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F2142C">
        <w:rPr>
          <w:rFonts w:ascii="Palatino Linotype" w:eastAsia="Times New Roman" w:hAnsi="Palatino Linotype" w:cs="Arial"/>
          <w:color w:val="000000"/>
          <w:sz w:val="24"/>
          <w:szCs w:val="24"/>
          <w:lang w:eastAsia="es-MX"/>
        </w:rPr>
        <w:t xml:space="preserve">seis de mayo </w:t>
      </w:r>
      <w:r w:rsidR="00796D61">
        <w:rPr>
          <w:rFonts w:ascii="Palatino Linotype" w:eastAsia="Times New Roman" w:hAnsi="Palatino Linotype" w:cs="Arial"/>
          <w:color w:val="000000"/>
          <w:sz w:val="24"/>
          <w:szCs w:val="24"/>
          <w:lang w:eastAsia="es-MX"/>
        </w:rPr>
        <w:t>de</w:t>
      </w:r>
      <w:r w:rsidR="00A15E74">
        <w:rPr>
          <w:rFonts w:ascii="Palatino Linotype" w:eastAsia="Times New Roman" w:hAnsi="Palatino Linotype" w:cs="Arial"/>
          <w:color w:val="000000"/>
          <w:sz w:val="24"/>
          <w:szCs w:val="24"/>
          <w:lang w:eastAsia="es-MX"/>
        </w:rPr>
        <w:t xml:space="preserve"> dos mil </w:t>
      </w:r>
      <w:r w:rsidR="003959AB">
        <w:rPr>
          <w:rFonts w:ascii="Palatino Linotype" w:eastAsia="Times New Roman" w:hAnsi="Palatino Linotype" w:cs="Arial"/>
          <w:color w:val="000000"/>
          <w:sz w:val="24"/>
          <w:szCs w:val="24"/>
          <w:lang w:eastAsia="es-MX"/>
        </w:rPr>
        <w:t>veintiuno.</w:t>
      </w:r>
    </w:p>
    <w:p w:rsidR="00A15E74" w:rsidRPr="00C968EA" w:rsidRDefault="00A15E74" w:rsidP="00DF6006">
      <w:pPr>
        <w:shd w:val="clear" w:color="auto" w:fill="FFFFFF"/>
        <w:spacing w:after="0" w:line="360" w:lineRule="auto"/>
        <w:jc w:val="both"/>
        <w:rPr>
          <w:rFonts w:ascii="Palatino Linotype" w:eastAsia="Times New Roman" w:hAnsi="Palatino Linotype" w:cs="Arial"/>
          <w:color w:val="000000"/>
          <w:sz w:val="18"/>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A7234C">
        <w:rPr>
          <w:rFonts w:ascii="Palatino Linotype" w:hAnsi="Palatino Linotype" w:cs="Arial"/>
          <w:b/>
          <w:bCs/>
          <w:sz w:val="24"/>
          <w:szCs w:val="24"/>
          <w:lang w:eastAsia="es-MX"/>
        </w:rPr>
        <w:t>1120</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w:t>
      </w:r>
      <w:r w:rsidR="00A7234C">
        <w:rPr>
          <w:rFonts w:ascii="Palatino Linotype" w:hAnsi="Palatino Linotype" w:cs="Arial"/>
          <w:b/>
          <w:bCs/>
          <w:sz w:val="24"/>
          <w:szCs w:val="24"/>
          <w:lang w:eastAsia="es-MX"/>
        </w:rPr>
        <w:t>1</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w:t>
      </w:r>
      <w:r w:rsidR="00D11387">
        <w:rPr>
          <w:rFonts w:ascii="Palatino Linotype" w:hAnsi="Palatino Linotype" w:cs="Arial"/>
          <w:sz w:val="24"/>
          <w:szCs w:val="24"/>
        </w:rPr>
        <w:t>e</w:t>
      </w:r>
      <w:r w:rsidR="00B64EC0">
        <w:rPr>
          <w:rFonts w:ascii="Palatino Linotype" w:hAnsi="Palatino Linotype" w:cs="Arial"/>
          <w:sz w:val="24"/>
          <w:szCs w:val="24"/>
        </w:rPr>
        <w:t xml:space="preserve">l C. </w:t>
      </w:r>
      <w:r w:rsidR="00D808C5">
        <w:rPr>
          <w:rFonts w:ascii="Palatino Linotype" w:hAnsi="Palatino Linotype" w:cs="Arial"/>
          <w:b/>
          <w:sz w:val="24"/>
          <w:szCs w:val="24"/>
        </w:rPr>
        <w:t>xxxxxxxxxxx</w:t>
      </w:r>
      <w:bookmarkStart w:id="0" w:name="_GoBack"/>
      <w:bookmarkEnd w:id="0"/>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D11387">
        <w:rPr>
          <w:rFonts w:ascii="Palatino Linotype" w:hAnsi="Palatino Linotype" w:cs="Arial"/>
          <w:b/>
          <w:sz w:val="24"/>
          <w:szCs w:val="24"/>
        </w:rPr>
        <w:t>el</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 xml:space="preserve">Ayuntamiento de </w:t>
      </w:r>
      <w:proofErr w:type="spellStart"/>
      <w:r w:rsidR="00D11387">
        <w:rPr>
          <w:rFonts w:ascii="Palatino Linotype" w:hAnsi="Palatino Linotype" w:cs="Arial"/>
          <w:b/>
          <w:sz w:val="24"/>
          <w:szCs w:val="24"/>
        </w:rPr>
        <w:t>Te</w:t>
      </w:r>
      <w:r w:rsidR="00A7234C">
        <w:rPr>
          <w:rFonts w:ascii="Palatino Linotype" w:hAnsi="Palatino Linotype" w:cs="Arial"/>
          <w:b/>
          <w:sz w:val="24"/>
          <w:szCs w:val="24"/>
        </w:rPr>
        <w:t>mascaltepec</w:t>
      </w:r>
      <w:proofErr w:type="spellEnd"/>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rsidR="00F2498E" w:rsidRPr="00C968EA" w:rsidRDefault="00F2498E" w:rsidP="00DF6006">
      <w:pPr>
        <w:tabs>
          <w:tab w:val="left" w:pos="1701"/>
        </w:tabs>
        <w:spacing w:after="0" w:line="360" w:lineRule="auto"/>
        <w:jc w:val="both"/>
        <w:rPr>
          <w:rFonts w:ascii="Palatino Linotype" w:hAnsi="Palatino Linotype" w:cs="Arial"/>
          <w:sz w:val="20"/>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A7234C">
        <w:rPr>
          <w:rFonts w:ascii="Palatino Linotype" w:hAnsi="Palatino Linotype" w:cs="Arial"/>
          <w:sz w:val="24"/>
          <w:szCs w:val="24"/>
        </w:rPr>
        <w:t>veintidós de febrero de dos mil veintiuno</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A7234C" w:rsidRPr="00A7234C">
        <w:rPr>
          <w:rFonts w:ascii="Palatino Linotype" w:hAnsi="Palatino Linotype" w:cs="Arial"/>
          <w:b/>
          <w:sz w:val="24"/>
          <w:szCs w:val="24"/>
        </w:rPr>
        <w:t>00015/TMASCALT/IP/2021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C47825" w:rsidRDefault="0023293E" w:rsidP="00C47825">
      <w:pPr>
        <w:spacing w:before="240" w:after="240" w:line="240" w:lineRule="auto"/>
        <w:ind w:left="851" w:right="850"/>
        <w:jc w:val="both"/>
        <w:rPr>
          <w:rFonts w:ascii="Palatino Linotype" w:hAnsi="Palatino Linotype"/>
          <w:i/>
          <w:color w:val="000000"/>
        </w:rPr>
      </w:pPr>
      <w:r w:rsidRPr="00A7234C">
        <w:rPr>
          <w:rFonts w:ascii="Palatino Linotype" w:hAnsi="Palatino Linotype"/>
          <w:i/>
          <w:color w:val="000000"/>
        </w:rPr>
        <w:t>“</w:t>
      </w:r>
      <w:r w:rsidR="00A7234C" w:rsidRPr="00A7234C">
        <w:rPr>
          <w:rFonts w:ascii="Palatino Linotype" w:hAnsi="Palatino Linotype"/>
          <w:i/>
          <w:color w:val="000000"/>
        </w:rPr>
        <w:t>Solicito todos los contratos celebrados por licitación pública en el año 2020</w:t>
      </w:r>
      <w:r w:rsidR="00C47825" w:rsidRPr="00A7234C">
        <w:rPr>
          <w:rFonts w:ascii="Palatino Linotype" w:hAnsi="Palatino Linotype"/>
          <w:i/>
          <w:color w:val="000000"/>
        </w:rPr>
        <w:t xml:space="preserve">” </w:t>
      </w:r>
      <w:r w:rsidR="002155ED" w:rsidRPr="00A7234C">
        <w:rPr>
          <w:rFonts w:ascii="Palatino Linotype" w:hAnsi="Palatino Linotype"/>
          <w:i/>
          <w:color w:val="000000"/>
        </w:rPr>
        <w:t>Sic).</w:t>
      </w:r>
    </w:p>
    <w:p w:rsidR="00A7234C" w:rsidRPr="00A7234C" w:rsidRDefault="00A7234C" w:rsidP="00C47825">
      <w:pPr>
        <w:spacing w:before="240" w:after="240" w:line="240" w:lineRule="auto"/>
        <w:ind w:left="851" w:right="850"/>
        <w:jc w:val="both"/>
        <w:rPr>
          <w:rFonts w:ascii="Palatino Linotype" w:hAnsi="Palatino Linotype" w:cs="Arial"/>
          <w:i/>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lastRenderedPageBreak/>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C47825">
        <w:rPr>
          <w:rFonts w:ascii="Palatino Linotype" w:hAnsi="Palatino Linotype" w:cs="Arial"/>
          <w:sz w:val="24"/>
          <w:szCs w:val="24"/>
        </w:rPr>
        <w:t>nueve</w:t>
      </w:r>
      <w:r w:rsidR="00B64EC0">
        <w:rPr>
          <w:rFonts w:ascii="Palatino Linotype" w:hAnsi="Palatino Linotype" w:cs="Arial"/>
          <w:sz w:val="24"/>
          <w:szCs w:val="24"/>
        </w:rPr>
        <w:t xml:space="preserve"> de octubre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C47825" w:rsidRPr="00A7234C" w:rsidRDefault="00A7234C" w:rsidP="00A7234C">
      <w:pPr>
        <w:tabs>
          <w:tab w:val="left" w:pos="7938"/>
          <w:tab w:val="left" w:pos="8080"/>
        </w:tabs>
        <w:spacing w:before="120" w:after="120" w:line="240" w:lineRule="auto"/>
        <w:ind w:left="851" w:right="850"/>
        <w:jc w:val="right"/>
        <w:rPr>
          <w:rFonts w:ascii="Palatino Linotype" w:hAnsi="Palatino Linotype"/>
          <w:i/>
          <w:color w:val="000000"/>
        </w:rPr>
      </w:pPr>
      <w:r w:rsidRPr="00A7234C">
        <w:rPr>
          <w:rFonts w:ascii="Palatino Linotype" w:hAnsi="Palatino Linotype"/>
          <w:i/>
          <w:color w:val="000000"/>
        </w:rPr>
        <w:t>Folio de la solicitud: 00015/TMASCALT/IP/2021</w:t>
      </w:r>
    </w:p>
    <w:p w:rsidR="00A7234C" w:rsidRPr="00A7234C" w:rsidRDefault="00A7234C" w:rsidP="00A7234C">
      <w:pPr>
        <w:tabs>
          <w:tab w:val="left" w:pos="7938"/>
          <w:tab w:val="left" w:pos="8080"/>
        </w:tabs>
        <w:spacing w:before="120" w:after="120" w:line="240" w:lineRule="auto"/>
        <w:ind w:left="851" w:right="850"/>
        <w:jc w:val="both"/>
        <w:rPr>
          <w:rFonts w:ascii="Palatino Linotype" w:hAnsi="Palatino Linotype"/>
          <w:i/>
          <w:color w:val="000000"/>
        </w:rPr>
      </w:pPr>
    </w:p>
    <w:p w:rsidR="00A7234C" w:rsidRPr="00A7234C" w:rsidRDefault="00A7234C" w:rsidP="00A7234C">
      <w:pPr>
        <w:tabs>
          <w:tab w:val="left" w:pos="7938"/>
          <w:tab w:val="left" w:pos="8080"/>
        </w:tabs>
        <w:spacing w:before="120" w:after="120" w:line="240" w:lineRule="auto"/>
        <w:ind w:left="851" w:right="850"/>
        <w:jc w:val="both"/>
        <w:rPr>
          <w:rFonts w:ascii="Palatino Linotype" w:hAnsi="Palatino Linotype"/>
          <w:i/>
          <w:color w:val="000000"/>
        </w:rPr>
      </w:pPr>
      <w:r w:rsidRPr="00A7234C">
        <w:rPr>
          <w:rFonts w:ascii="Palatino Linotype" w:hAnsi="Palatino Linotype"/>
          <w:i/>
          <w:color w:val="000000"/>
        </w:rPr>
        <w:t>Respuesta al folio de la Solicitud 00015/TEMASCAL/IP/2021 de parte del Sujeto obligado se anexa al presente.</w:t>
      </w:r>
    </w:p>
    <w:p w:rsidR="00483EC9" w:rsidRPr="00A7234C" w:rsidRDefault="00483EC9" w:rsidP="00A7234C">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A7234C">
        <w:rPr>
          <w:rFonts w:ascii="Palatino Linotype" w:eastAsia="Times New Roman" w:hAnsi="Palatino Linotype" w:cs="Times New Roman"/>
          <w:i/>
          <w:lang w:eastAsia="es-MX"/>
        </w:rPr>
        <w:t>ATENTAMENTE</w:t>
      </w:r>
    </w:p>
    <w:p w:rsidR="00A7234C" w:rsidRPr="00A7234C" w:rsidRDefault="00A7234C" w:rsidP="00A7234C">
      <w:pPr>
        <w:spacing w:before="120" w:after="120" w:line="360" w:lineRule="auto"/>
        <w:ind w:left="851"/>
        <w:jc w:val="both"/>
        <w:rPr>
          <w:rFonts w:ascii="Palatino Linotype" w:hAnsi="Palatino Linotype"/>
          <w:i/>
          <w:color w:val="000000"/>
        </w:rPr>
      </w:pPr>
      <w:r w:rsidRPr="00A7234C">
        <w:rPr>
          <w:rFonts w:ascii="Palatino Linotype" w:hAnsi="Palatino Linotype"/>
          <w:i/>
          <w:color w:val="000000"/>
        </w:rPr>
        <w:t>. . . .</w:t>
      </w:r>
    </w:p>
    <w:p w:rsidR="00A7234C" w:rsidRDefault="00A7234C" w:rsidP="00DF6006">
      <w:pPr>
        <w:spacing w:before="120" w:after="120" w:line="360" w:lineRule="auto"/>
        <w:jc w:val="both"/>
        <w:rPr>
          <w:rFonts w:ascii="Verdana" w:hAnsi="Verdana"/>
          <w:color w:val="000000"/>
          <w:sz w:val="18"/>
          <w:szCs w:val="18"/>
        </w:rPr>
      </w:pPr>
    </w:p>
    <w:p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085D6F">
        <w:rPr>
          <w:rFonts w:ascii="Palatino Linotype" w:eastAsia="Times New Roman" w:hAnsi="Palatino Linotype" w:cs="Times New Roman"/>
          <w:sz w:val="24"/>
          <w:szCs w:val="24"/>
          <w:lang w:eastAsia="es-MX"/>
        </w:rPr>
        <w:t>un</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 xml:space="preserve">archivo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rsidR="00A7234C" w:rsidRDefault="007424B3" w:rsidP="00F51CC4">
      <w:pPr>
        <w:spacing w:after="0" w:line="360" w:lineRule="auto"/>
        <w:jc w:val="both"/>
        <w:rPr>
          <w:rFonts w:ascii="Palatino Linotype" w:hAnsi="Palatino Linotype" w:cs="Arial"/>
          <w:bCs/>
          <w:sz w:val="24"/>
          <w:szCs w:val="24"/>
        </w:rPr>
      </w:pPr>
      <w:hyperlink r:id="rId8" w:tgtFrame="_blank" w:history="1">
        <w:r w:rsidR="00D11387" w:rsidRPr="001E4D1F">
          <w:rPr>
            <w:rStyle w:val="Hipervnculo"/>
            <w:rFonts w:ascii="Palatino Linotype" w:hAnsi="Palatino Linotype" w:cs="Arial"/>
            <w:b/>
            <w:bCs/>
            <w:color w:val="auto"/>
            <w:sz w:val="24"/>
            <w:szCs w:val="24"/>
            <w:u w:val="none"/>
          </w:rPr>
          <w:t>R</w:t>
        </w:r>
        <w:r w:rsidR="00A7234C">
          <w:rPr>
            <w:rStyle w:val="Hipervnculo"/>
            <w:rFonts w:ascii="Palatino Linotype" w:hAnsi="Palatino Linotype" w:cs="Arial"/>
            <w:b/>
            <w:bCs/>
            <w:color w:val="auto"/>
            <w:sz w:val="24"/>
            <w:szCs w:val="24"/>
            <w:u w:val="none"/>
          </w:rPr>
          <w:t>.-00015.</w:t>
        </w:r>
        <w:r w:rsidR="00996BCA" w:rsidRPr="001E4D1F">
          <w:rPr>
            <w:rStyle w:val="Hipervnculo"/>
            <w:rFonts w:ascii="Palatino Linotype" w:hAnsi="Palatino Linotype" w:cs="Arial"/>
            <w:b/>
            <w:bCs/>
            <w:color w:val="auto"/>
            <w:sz w:val="24"/>
            <w:szCs w:val="24"/>
            <w:u w:val="none"/>
          </w:rPr>
          <w:t>pdf</w:t>
        </w:r>
      </w:hyperlink>
      <w:r w:rsidR="00996BCA" w:rsidRPr="001E4D1F">
        <w:rPr>
          <w:rFonts w:ascii="Palatino Linotype" w:hAnsi="Palatino Linotype" w:cs="Arial"/>
          <w:b/>
          <w:bCs/>
          <w:sz w:val="24"/>
          <w:szCs w:val="24"/>
        </w:rPr>
        <w:t xml:space="preserve">, </w:t>
      </w:r>
      <w:r w:rsidR="00D766B4" w:rsidRPr="001E4D1F">
        <w:rPr>
          <w:rFonts w:ascii="Palatino Linotype" w:hAnsi="Palatino Linotype" w:cs="Arial"/>
          <w:bCs/>
          <w:sz w:val="24"/>
          <w:szCs w:val="24"/>
        </w:rPr>
        <w:t>co</w:t>
      </w:r>
      <w:r w:rsidR="00B64EC0" w:rsidRPr="001E4D1F">
        <w:rPr>
          <w:rFonts w:ascii="Palatino Linotype" w:hAnsi="Palatino Linotype" w:cs="Arial"/>
          <w:bCs/>
          <w:sz w:val="24"/>
          <w:szCs w:val="24"/>
        </w:rPr>
        <w:t>ntiene</w:t>
      </w:r>
      <w:r w:rsidR="00B64EC0">
        <w:rPr>
          <w:rFonts w:ascii="Palatino Linotype" w:hAnsi="Palatino Linotype" w:cs="Arial"/>
          <w:bCs/>
          <w:sz w:val="24"/>
          <w:szCs w:val="24"/>
        </w:rPr>
        <w:t xml:space="preserve"> el</w:t>
      </w:r>
      <w:r w:rsidR="00BF3A12">
        <w:rPr>
          <w:rFonts w:ascii="Palatino Linotype" w:hAnsi="Palatino Linotype" w:cs="Arial"/>
          <w:bCs/>
          <w:sz w:val="24"/>
          <w:szCs w:val="24"/>
        </w:rPr>
        <w:t xml:space="preserve"> </w:t>
      </w:r>
      <w:r w:rsidR="00A7234C">
        <w:rPr>
          <w:rFonts w:ascii="Palatino Linotype" w:hAnsi="Palatino Linotype" w:cs="Arial"/>
          <w:bCs/>
          <w:sz w:val="24"/>
          <w:szCs w:val="24"/>
        </w:rPr>
        <w:t>oficio DOP/057/2021, de fecha cinco de marzo de dos mil veintiuno, suscrito por el Director de Obras Públicas, en donde informa que en el ejercicio fiscal 2020, no se celebró ningún contrato por licitación pública; esto debido a la designación de los recursos por obra, de acuerdo al presupuesto de cada una, mencionando que esto se define en el libro décimo segundo de obra pública del Estado de México, en la Ley de Obra Pública Federal y en las Gacetas donde se pública los montos designados de los recursos estatales y Federales, en estos se define los porcentajes de los montos para la designación de la modalidad de ejecución de la obra, por lo que no se realizaron obras que alcanzaran el monto para la modalidad de licitación pública.</w:t>
      </w:r>
    </w:p>
    <w:p w:rsidR="00A7234C" w:rsidRDefault="00A7234C" w:rsidP="00F51CC4">
      <w:pPr>
        <w:spacing w:after="0" w:line="360" w:lineRule="auto"/>
        <w:jc w:val="both"/>
        <w:rPr>
          <w:rFonts w:ascii="Palatino Linotype" w:hAnsi="Palatino Linotype" w:cs="Arial"/>
          <w:bCs/>
          <w:sz w:val="24"/>
          <w:szCs w:val="24"/>
        </w:rPr>
      </w:pPr>
    </w:p>
    <w:p w:rsidR="00F2498E" w:rsidRPr="00ED5476" w:rsidRDefault="00F81A0E" w:rsidP="00DF6006">
      <w:pPr>
        <w:spacing w:after="0" w:line="360" w:lineRule="auto"/>
        <w:jc w:val="both"/>
        <w:rPr>
          <w:rFonts w:ascii="Palatino Linotype" w:hAnsi="Palatino Linotype" w:cs="Arial"/>
          <w:sz w:val="28"/>
          <w:szCs w:val="28"/>
        </w:rPr>
      </w:pPr>
      <w:r>
        <w:rPr>
          <w:rFonts w:ascii="Palatino Linotype" w:hAnsi="Palatino Linotype"/>
          <w:b/>
          <w:sz w:val="28"/>
          <w:szCs w:val="28"/>
        </w:rPr>
        <w:lastRenderedPageBreak/>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861D29">
        <w:rPr>
          <w:rFonts w:ascii="Palatino Linotype" w:hAnsi="Palatino Linotype" w:cs="Arial"/>
          <w:sz w:val="24"/>
          <w:szCs w:val="24"/>
        </w:rPr>
        <w:t>quince</w:t>
      </w:r>
      <w:r w:rsidR="002046BC">
        <w:rPr>
          <w:rFonts w:ascii="Palatino Linotype" w:hAnsi="Palatino Linotype" w:cs="Arial"/>
          <w:sz w:val="24"/>
          <w:szCs w:val="24"/>
        </w:rPr>
        <w:t xml:space="preserve"> de marzo de dos mil 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046BC">
        <w:rPr>
          <w:rFonts w:ascii="Palatino Linotype" w:hAnsi="Palatino Linotype" w:cs="Arial"/>
          <w:b/>
          <w:bCs/>
          <w:sz w:val="24"/>
          <w:szCs w:val="24"/>
          <w:lang w:eastAsia="es-MX"/>
        </w:rPr>
        <w:t>1120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2046BC">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2046BC" w:rsidRDefault="00680D15" w:rsidP="00D766B4">
      <w:pPr>
        <w:spacing w:before="240" w:after="240" w:line="240" w:lineRule="auto"/>
        <w:ind w:left="851" w:right="850"/>
        <w:jc w:val="both"/>
        <w:rPr>
          <w:rFonts w:ascii="Palatino Linotype" w:hAnsi="Palatino Linotype" w:cs="Arial"/>
          <w:b/>
          <w:i/>
        </w:rPr>
      </w:pPr>
      <w:r w:rsidRPr="002046BC">
        <w:rPr>
          <w:rFonts w:ascii="Palatino Linotype" w:hAnsi="Palatino Linotype"/>
          <w:i/>
          <w:color w:val="000000"/>
        </w:rPr>
        <w:t>“</w:t>
      </w:r>
      <w:r w:rsidR="002046BC" w:rsidRPr="002046BC">
        <w:rPr>
          <w:rFonts w:ascii="Palatino Linotype" w:hAnsi="Palatino Linotype"/>
          <w:i/>
          <w:color w:val="000000"/>
        </w:rPr>
        <w:t>Respuesta del Sujeto Obligado</w:t>
      </w:r>
      <w:r w:rsidR="009B6F07" w:rsidRPr="002046BC">
        <w:rPr>
          <w:rFonts w:ascii="Palatino Linotype" w:hAnsi="Palatino Linotype"/>
          <w:i/>
          <w:color w:val="000000"/>
        </w:rPr>
        <w:t>. (</w:t>
      </w:r>
      <w:r w:rsidR="00B84A8A" w:rsidRPr="002046BC">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2046BC" w:rsidRDefault="00296E92" w:rsidP="00D766B4">
      <w:pPr>
        <w:tabs>
          <w:tab w:val="left" w:pos="1405"/>
        </w:tabs>
        <w:spacing w:before="120" w:after="120" w:line="240" w:lineRule="auto"/>
        <w:ind w:left="851" w:right="850"/>
        <w:jc w:val="both"/>
        <w:rPr>
          <w:rFonts w:ascii="Palatino Linotype" w:hAnsi="Palatino Linotype" w:cs="Arial"/>
          <w:i/>
        </w:rPr>
      </w:pPr>
      <w:r w:rsidRPr="002046BC">
        <w:rPr>
          <w:rFonts w:ascii="Palatino Linotype" w:hAnsi="Palatino Linotype"/>
          <w:i/>
          <w:color w:val="000000"/>
        </w:rPr>
        <w:t>“</w:t>
      </w:r>
      <w:r w:rsidR="002046BC" w:rsidRPr="002046BC">
        <w:rPr>
          <w:rFonts w:ascii="Palatino Linotype" w:hAnsi="Palatino Linotype"/>
          <w:i/>
          <w:color w:val="000000"/>
        </w:rPr>
        <w:t>NO justifica búsqueda exhaustiva, es inverosímil que no tenga información</w:t>
      </w:r>
      <w:r w:rsidR="009B6F07" w:rsidRPr="002046BC">
        <w:rPr>
          <w:rFonts w:ascii="Palatino Linotype" w:hAnsi="Palatino Linotype"/>
          <w:i/>
          <w:color w:val="000000"/>
        </w:rPr>
        <w:t>.</w:t>
      </w:r>
      <w:r w:rsidRPr="002046BC">
        <w:rPr>
          <w:rFonts w:ascii="Palatino Linotype" w:hAnsi="Palatino Linotype"/>
          <w:i/>
          <w:color w:val="000000"/>
        </w:rPr>
        <w:t>”</w:t>
      </w:r>
      <w:r w:rsidR="00B84A8A" w:rsidRPr="002046BC">
        <w:rPr>
          <w:rFonts w:ascii="Palatino Linotype" w:hAnsi="Palatino Linotype"/>
          <w:i/>
          <w:color w:val="000000"/>
        </w:rPr>
        <w:t>(Sic).</w:t>
      </w:r>
    </w:p>
    <w:p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A03A83">
        <w:rPr>
          <w:rFonts w:ascii="Palatino Linotype" w:hAnsi="Palatino Linotype" w:cs="Arial"/>
          <w:sz w:val="24"/>
          <w:szCs w:val="24"/>
        </w:rPr>
        <w:t>veintidós de marzo de dos mil veintiuno</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t xml:space="preserve">Visto el estado que guarda el expediente electrónico del recurso de revisión número </w:t>
      </w:r>
      <w:r w:rsidRPr="00B21890">
        <w:rPr>
          <w:rFonts w:ascii="Palatino Linotype" w:hAnsi="Palatino Linotype"/>
          <w:b/>
          <w:sz w:val="24"/>
          <w:szCs w:val="24"/>
        </w:rPr>
        <w:t>0</w:t>
      </w:r>
      <w:r w:rsidR="00A03A83">
        <w:rPr>
          <w:rFonts w:ascii="Palatino Linotype" w:hAnsi="Palatino Linotype"/>
          <w:b/>
          <w:sz w:val="24"/>
          <w:szCs w:val="24"/>
        </w:rPr>
        <w:t>1120</w:t>
      </w:r>
      <w:r w:rsidRPr="00B21890">
        <w:rPr>
          <w:rFonts w:ascii="Palatino Linotype" w:hAnsi="Palatino Linotype"/>
          <w:b/>
          <w:sz w:val="24"/>
          <w:szCs w:val="24"/>
        </w:rPr>
        <w:t>/INFOEM/IP/RR/20</w:t>
      </w:r>
      <w:r w:rsidR="00680D15" w:rsidRPr="00B21890">
        <w:rPr>
          <w:rFonts w:ascii="Palatino Linotype" w:hAnsi="Palatino Linotype"/>
          <w:b/>
          <w:sz w:val="24"/>
          <w:szCs w:val="24"/>
        </w:rPr>
        <w:t>2</w:t>
      </w:r>
      <w:r w:rsidR="00A03A83">
        <w:rPr>
          <w:rFonts w:ascii="Palatino Linotype" w:hAnsi="Palatino Linotype"/>
          <w:b/>
          <w:sz w:val="24"/>
          <w:szCs w:val="24"/>
        </w:rPr>
        <w:t>1</w:t>
      </w:r>
      <w:r w:rsidRPr="00D731D0">
        <w:rPr>
          <w:rFonts w:ascii="Palatino Linotype" w:hAnsi="Palatino Linotype"/>
          <w:sz w:val="24"/>
          <w:szCs w:val="24"/>
        </w:rPr>
        <w:t xml:space="preserve">, y una vez que se encuentra transcurriendo el plazo otorgado a las partes mediante acuerdo de fecha </w:t>
      </w:r>
      <w:r w:rsidR="002E4DB0">
        <w:rPr>
          <w:rFonts w:ascii="Palatino Linotype" w:hAnsi="Palatino Linotype"/>
          <w:sz w:val="24"/>
          <w:szCs w:val="24"/>
        </w:rPr>
        <w:t>veintidós</w:t>
      </w:r>
      <w:r w:rsidR="00A03A83">
        <w:rPr>
          <w:rFonts w:ascii="Palatino Linotype" w:hAnsi="Palatino Linotype"/>
          <w:sz w:val="24"/>
          <w:szCs w:val="24"/>
        </w:rPr>
        <w:t xml:space="preserve"> de marzo de dos mil veintiuno</w:t>
      </w:r>
      <w:r w:rsidRPr="00D731D0">
        <w:rPr>
          <w:rFonts w:ascii="Palatino Linotype" w:hAnsi="Palatino Linotype"/>
          <w:sz w:val="24"/>
          <w:szCs w:val="24"/>
        </w:rPr>
        <w:t xml:space="preserve">, para que en un término de siete días manifestaran lo que a su derecho </w:t>
      </w:r>
      <w:r w:rsidRPr="00D731D0">
        <w:rPr>
          <w:rFonts w:ascii="Palatino Linotype" w:hAnsi="Palatino Linotype"/>
          <w:sz w:val="24"/>
          <w:szCs w:val="24"/>
        </w:rPr>
        <w:lastRenderedPageBreak/>
        <w:t xml:space="preserve">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B21890" w:rsidRPr="00C968EA" w:rsidRDefault="00B21890" w:rsidP="00DF6006">
      <w:pPr>
        <w:spacing w:after="0" w:line="360" w:lineRule="auto"/>
        <w:jc w:val="both"/>
        <w:rPr>
          <w:rFonts w:ascii="Palatino Linotype" w:hAnsi="Palatino Linotype"/>
          <w:szCs w:val="24"/>
        </w:rPr>
      </w:pPr>
    </w:p>
    <w:p w:rsidR="0064536E"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CC3F25">
        <w:rPr>
          <w:rFonts w:ascii="Palatino Linotype" w:hAnsi="Palatino Linotype"/>
          <w:sz w:val="24"/>
          <w:szCs w:val="24"/>
        </w:rPr>
        <w:t>e</w:t>
      </w:r>
      <w:r>
        <w:rPr>
          <w:rFonts w:ascii="Palatino Linotype" w:hAnsi="Palatino Linotype"/>
          <w:sz w:val="24"/>
          <w:szCs w:val="24"/>
        </w:rPr>
        <w:t>l Sujeto Obligado</w:t>
      </w:r>
      <w:r w:rsidR="002E4DB0">
        <w:rPr>
          <w:rFonts w:ascii="Palatino Linotype" w:hAnsi="Palatino Linotype"/>
          <w:sz w:val="24"/>
          <w:szCs w:val="24"/>
        </w:rPr>
        <w:t xml:space="preserve"> </w:t>
      </w:r>
      <w:r w:rsidR="00CC3F25">
        <w:rPr>
          <w:rFonts w:ascii="Palatino Linotype" w:hAnsi="Palatino Linotype"/>
          <w:sz w:val="24"/>
          <w:szCs w:val="24"/>
        </w:rPr>
        <w:t>emitió</w:t>
      </w:r>
      <w:r w:rsidR="002E4DB0">
        <w:rPr>
          <w:rFonts w:ascii="Palatino Linotype" w:hAnsi="Palatino Linotype"/>
          <w:sz w:val="24"/>
          <w:szCs w:val="24"/>
        </w:rPr>
        <w:t xml:space="preserve"> manifestaciones en fecha veintiséis </w:t>
      </w:r>
      <w:r w:rsidR="00DE2C60">
        <w:rPr>
          <w:rFonts w:ascii="Palatino Linotype" w:hAnsi="Palatino Linotype"/>
          <w:sz w:val="24"/>
          <w:szCs w:val="24"/>
        </w:rPr>
        <w:t xml:space="preserve"> </w:t>
      </w:r>
      <w:r w:rsidR="00CC3F25">
        <w:rPr>
          <w:rFonts w:ascii="Palatino Linotype" w:hAnsi="Palatino Linotype"/>
          <w:sz w:val="24"/>
          <w:szCs w:val="24"/>
        </w:rPr>
        <w:t>de marzo de dos mil veintiuno, la información remitida consta del mismo oficio que se remitió mediante respuesta, no obstante con la finalidad de que el Sujeto Obligado tenga constancia de todos y cada una de las constancias que integran el expediente del SAIMEX, se puso a disposición del particular en fecha trece de abril de dos mil veintiuno.</w:t>
      </w:r>
    </w:p>
    <w:p w:rsidR="00DE2C60" w:rsidRDefault="00DE2C60" w:rsidP="00CC3F25">
      <w:pPr>
        <w:spacing w:after="0" w:line="360" w:lineRule="auto"/>
        <w:rPr>
          <w:rFonts w:ascii="Palatino Linotype" w:hAnsi="Palatino Linotype"/>
          <w:sz w:val="24"/>
          <w:szCs w:val="24"/>
        </w:rPr>
      </w:pPr>
    </w:p>
    <w:p w:rsidR="00CC3F25" w:rsidRDefault="00CC3F25" w:rsidP="00CC3F25">
      <w:pPr>
        <w:spacing w:after="0" w:line="360" w:lineRule="auto"/>
        <w:jc w:val="both"/>
        <w:rPr>
          <w:rFonts w:ascii="Palatino Linotype" w:hAnsi="Palatino Linotype"/>
          <w:sz w:val="24"/>
          <w:szCs w:val="24"/>
        </w:rPr>
      </w:pPr>
      <w:r>
        <w:rPr>
          <w:rFonts w:ascii="Palatino Linotype" w:hAnsi="Palatino Linotype"/>
          <w:sz w:val="24"/>
          <w:szCs w:val="24"/>
        </w:rPr>
        <w:t>Por su parte el Recurrente no emitió manifestación alguna, que a su derecho conviniera.</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CC3F25">
        <w:rPr>
          <w:rFonts w:ascii="Palatino Linotype" w:hAnsi="Palatino Linotype" w:cs="Arial"/>
          <w:sz w:val="24"/>
          <w:szCs w:val="24"/>
        </w:rPr>
        <w:t>diecinueve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C3F25" w:rsidRDefault="00CC3F25" w:rsidP="00DF6006">
      <w:pPr>
        <w:spacing w:after="0" w:line="360" w:lineRule="auto"/>
        <w:jc w:val="center"/>
        <w:rPr>
          <w:rFonts w:ascii="Palatino Linotype" w:hAnsi="Palatino Linotype" w:cs="Arial"/>
          <w:b/>
          <w:sz w:val="24"/>
        </w:rPr>
      </w:pPr>
    </w:p>
    <w:p w:rsidR="00CC3F25" w:rsidRDefault="00CC3F25"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lastRenderedPageBreak/>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50F84" w:rsidRDefault="00F50F84" w:rsidP="00A24F60">
      <w:pPr>
        <w:spacing w:after="0" w:line="360" w:lineRule="auto"/>
        <w:jc w:val="both"/>
        <w:rPr>
          <w:rFonts w:ascii="Palatino Linotype" w:hAnsi="Palatino Linotype" w:cs="Arial"/>
          <w:sz w:val="24"/>
          <w:szCs w:val="24"/>
        </w:rPr>
      </w:pPr>
    </w:p>
    <w:p w:rsidR="00F50F84" w:rsidRPr="00DB56FA" w:rsidRDefault="00F50F84" w:rsidP="00F50F84">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13442F" w:rsidRDefault="0013442F" w:rsidP="00A24F60">
      <w:pPr>
        <w:spacing w:after="0" w:line="360" w:lineRule="auto"/>
        <w:jc w:val="both"/>
        <w:rPr>
          <w:rFonts w:ascii="Palatino Linotype" w:hAnsi="Palatino Linotype" w:cs="Arial"/>
          <w:sz w:val="24"/>
          <w:szCs w:val="24"/>
        </w:rPr>
      </w:pP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lastRenderedPageBreak/>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D2A55">
        <w:rPr>
          <w:rFonts w:ascii="Palatino Linotype" w:hAnsi="Palatino Linotype"/>
          <w:b/>
          <w:bCs/>
          <w:i/>
        </w:rPr>
        <w:lastRenderedPageBreak/>
        <w:t>ARTÍCULO 25.1 DE LA CONVENCIÓN AMERICANA SOBRE DERECHOS HUMANOS.</w:t>
      </w:r>
    </w:p>
    <w:p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la hoy Recurrente requirió, le fuese entregado por parte del Sujeto Obligado, a efecto de establecer la materia del presente asunto, ya que de ella deriva por un lado el procedimiento de acceso a la información ante el sujeto </w:t>
      </w:r>
      <w:r w:rsidRPr="00A64804">
        <w:rPr>
          <w:rFonts w:ascii="Palatino Linotype" w:hAnsi="Palatino Linotype"/>
          <w:sz w:val="24"/>
          <w:szCs w:val="24"/>
        </w:rPr>
        <w:lastRenderedPageBreak/>
        <w:t>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0A2C46" w:rsidRPr="00664797" w:rsidRDefault="00C7346A" w:rsidP="00607754">
      <w:pPr>
        <w:tabs>
          <w:tab w:val="left" w:pos="709"/>
        </w:tabs>
        <w:spacing w:after="0" w:line="360" w:lineRule="auto"/>
        <w:jc w:val="both"/>
        <w:rPr>
          <w:rFonts w:ascii="Palatino Linotype" w:hAnsi="Palatino Linotype"/>
          <w:i/>
          <w:color w:val="000000"/>
          <w:sz w:val="24"/>
          <w:szCs w:val="24"/>
        </w:rPr>
      </w:pPr>
      <w:r w:rsidRPr="002D0BE2">
        <w:rPr>
          <w:rFonts w:ascii="Palatino Linotype" w:hAnsi="Palatino Linotype"/>
          <w:sz w:val="24"/>
          <w:szCs w:val="24"/>
        </w:rPr>
        <w:t xml:space="preserve">Así, tenemos en un primer plano de estudio el texto de la solicitud de información, que fue plasmada por el Recurrente en </w:t>
      </w:r>
      <w:r w:rsidRPr="00607754">
        <w:rPr>
          <w:rFonts w:ascii="Palatino Linotype" w:hAnsi="Palatino Linotype"/>
          <w:sz w:val="24"/>
          <w:szCs w:val="24"/>
        </w:rPr>
        <w:t>los términos siguientes:</w:t>
      </w:r>
      <w:r w:rsidR="00607754" w:rsidRPr="00607754">
        <w:rPr>
          <w:rFonts w:ascii="Palatino Linotype" w:hAnsi="Palatino Linotype"/>
          <w:sz w:val="24"/>
          <w:szCs w:val="24"/>
        </w:rPr>
        <w:t xml:space="preserve"> </w:t>
      </w:r>
      <w:r w:rsidR="00607754" w:rsidRPr="00607754">
        <w:rPr>
          <w:rFonts w:ascii="Palatino Linotype" w:hAnsi="Palatino Linotype"/>
          <w:color w:val="000000"/>
          <w:sz w:val="24"/>
          <w:szCs w:val="24"/>
        </w:rPr>
        <w:t xml:space="preserve">Solicito todos los contratos </w:t>
      </w:r>
      <w:r w:rsidR="00607754" w:rsidRPr="00664797">
        <w:rPr>
          <w:rFonts w:ascii="Palatino Linotype" w:hAnsi="Palatino Linotype"/>
          <w:color w:val="000000"/>
          <w:sz w:val="24"/>
          <w:szCs w:val="24"/>
        </w:rPr>
        <w:t>celebrados por licitación pública en el año 2020</w:t>
      </w:r>
    </w:p>
    <w:p w:rsidR="00607754" w:rsidRPr="00664797" w:rsidRDefault="00607754" w:rsidP="009A3604">
      <w:pPr>
        <w:pStyle w:val="Prrafodelista"/>
        <w:autoSpaceDE w:val="0"/>
        <w:autoSpaceDN w:val="0"/>
        <w:adjustRightInd w:val="0"/>
        <w:spacing w:line="360" w:lineRule="auto"/>
        <w:ind w:left="0"/>
        <w:jc w:val="both"/>
        <w:rPr>
          <w:rFonts w:ascii="Palatino Linotype" w:hAnsi="Palatino Linotype" w:cs="Arial"/>
          <w:i/>
        </w:rPr>
      </w:pPr>
    </w:p>
    <w:p w:rsidR="00607754" w:rsidRPr="00664797" w:rsidRDefault="00175D7F" w:rsidP="00607754">
      <w:pPr>
        <w:spacing w:after="0" w:line="360" w:lineRule="auto"/>
        <w:jc w:val="both"/>
        <w:rPr>
          <w:rFonts w:ascii="Palatino Linotype" w:hAnsi="Palatino Linotype" w:cs="Arial"/>
          <w:bCs/>
          <w:sz w:val="24"/>
          <w:szCs w:val="24"/>
        </w:rPr>
      </w:pPr>
      <w:r w:rsidRPr="00664797">
        <w:rPr>
          <w:rFonts w:ascii="Palatino Linotype" w:hAnsi="Palatino Linotype" w:cs="Arial"/>
          <w:sz w:val="24"/>
          <w:szCs w:val="24"/>
        </w:rPr>
        <w:t>E</w:t>
      </w:r>
      <w:r w:rsidR="00607754" w:rsidRPr="00664797">
        <w:rPr>
          <w:rFonts w:ascii="Palatino Linotype" w:hAnsi="Palatino Linotype" w:cs="Arial"/>
          <w:sz w:val="24"/>
          <w:szCs w:val="24"/>
        </w:rPr>
        <w:t>n respuesta el Sujeto Obligado a través de</w:t>
      </w:r>
      <w:r w:rsidR="00607754" w:rsidRPr="00664797">
        <w:rPr>
          <w:rFonts w:ascii="Palatino Linotype" w:hAnsi="Palatino Linotype" w:cs="Arial"/>
          <w:bCs/>
          <w:sz w:val="24"/>
          <w:szCs w:val="24"/>
        </w:rPr>
        <w:t>l Director de Obras Públicas, en donde informa que en el ejercicio fiscal 2020, no se celebró ningún contrato por licitación pública; esto debido a la designación de los recursos por obra, de acuerdo al presupuesto de cada una, mencionando que esto se define en el libro décimo segundo de obra pública del Estado de México, en la Ley de Obra Pública Federal y en las Gacetas donde se pública los montos designados de los recursos estatales y Federales, en estos se define los porcentajes de los montos para la designación de la modalidad de ejecución de la obra, por lo que no se realizaron obras que alcanzaran el monto para la modalidad de licitación pública.</w:t>
      </w:r>
    </w:p>
    <w:p w:rsidR="00607754" w:rsidRDefault="00607754" w:rsidP="00F72D84">
      <w:pPr>
        <w:pStyle w:val="Sinespaciado"/>
        <w:spacing w:line="360" w:lineRule="auto"/>
        <w:jc w:val="both"/>
        <w:rPr>
          <w:rFonts w:ascii="Palatino Linotype" w:hAnsi="Palatino Linotype" w:cs="Arial"/>
        </w:rPr>
      </w:pPr>
    </w:p>
    <w:p w:rsidR="00194780" w:rsidRDefault="00664797" w:rsidP="00F72D84">
      <w:pPr>
        <w:pStyle w:val="Sinespaciado"/>
        <w:spacing w:line="360" w:lineRule="auto"/>
        <w:jc w:val="both"/>
        <w:rPr>
          <w:rFonts w:ascii="Palatino Linotype" w:hAnsi="Palatino Linotype" w:cs="Arial"/>
          <w:lang w:val="es-ES"/>
        </w:rPr>
      </w:pPr>
      <w:r>
        <w:rPr>
          <w:rFonts w:ascii="Palatino Linotype" w:hAnsi="Palatino Linotype" w:cs="Arial"/>
        </w:rPr>
        <w:t xml:space="preserve">Derivado de la respuesta el ahora recurrente </w:t>
      </w:r>
      <w:r w:rsidR="00812131">
        <w:rPr>
          <w:rFonts w:ascii="Palatino Linotype" w:hAnsi="Palatino Linotype" w:cs="Arial"/>
        </w:rPr>
        <w:t>interpuso recurso de revisión en donde manifestó su inconformidad aduciendo que no se justifica la búsqueda exhaustiva, así como también menciono que es imposible que no se tenga información al respecto</w:t>
      </w:r>
      <w:r w:rsidR="00194780">
        <w:rPr>
          <w:rFonts w:ascii="Palatino Linotype" w:hAnsi="Palatino Linotype" w:cs="Arial"/>
        </w:rPr>
        <w:t xml:space="preserve">, </w:t>
      </w:r>
      <w:r w:rsidR="00194780" w:rsidRPr="0033539F">
        <w:rPr>
          <w:rFonts w:ascii="Palatino Linotype" w:hAnsi="Palatino Linotype" w:cs="Arial"/>
          <w:lang w:val="es-ES"/>
        </w:rPr>
        <w:t xml:space="preserve">bajo </w:t>
      </w:r>
      <w:r w:rsidR="00194780">
        <w:rPr>
          <w:rFonts w:ascii="Palatino Linotype" w:hAnsi="Palatino Linotype" w:cs="Arial"/>
          <w:lang w:val="es-ES"/>
        </w:rPr>
        <w:t>lo anteriormente p</w:t>
      </w:r>
      <w:r w:rsidR="00194780" w:rsidRPr="0033539F">
        <w:rPr>
          <w:rFonts w:ascii="Palatino Linotype" w:hAnsi="Palatino Linotype" w:cs="Arial"/>
          <w:lang w:val="es-ES"/>
        </w:rPr>
        <w:t>lanteado resulta evidente que las razones o motivos de inconformidad hechos valer en el recurso de revisión resultan fundadas</w:t>
      </w:r>
      <w:r w:rsidR="00194780">
        <w:rPr>
          <w:rFonts w:ascii="Palatino Linotype" w:hAnsi="Palatino Linotype" w:cs="Arial"/>
          <w:lang w:val="es-ES"/>
        </w:rPr>
        <w:t>.</w:t>
      </w:r>
    </w:p>
    <w:p w:rsidR="00194780" w:rsidRDefault="00194780" w:rsidP="00F72D84">
      <w:pPr>
        <w:pStyle w:val="Sinespaciado"/>
        <w:spacing w:line="360" w:lineRule="auto"/>
        <w:jc w:val="both"/>
        <w:rPr>
          <w:rFonts w:ascii="Palatino Linotype" w:hAnsi="Palatino Linotype" w:cs="Arial"/>
          <w:lang w:val="es-ES"/>
        </w:rPr>
      </w:pPr>
    </w:p>
    <w:p w:rsidR="00194780" w:rsidRPr="000662CA" w:rsidRDefault="00194780" w:rsidP="00194780">
      <w:pPr>
        <w:pStyle w:val="Sinespaciado"/>
        <w:spacing w:line="360" w:lineRule="auto"/>
        <w:jc w:val="both"/>
        <w:rPr>
          <w:rFonts w:ascii="Palatino Linotype" w:hAnsi="Palatino Linotype" w:cs="Arial"/>
          <w:lang w:val="es-ES"/>
        </w:rPr>
      </w:pPr>
      <w:r>
        <w:rPr>
          <w:rFonts w:ascii="Palatino Linotype" w:hAnsi="Palatino Linotype" w:cs="Arial"/>
          <w:lang w:val="es-ES"/>
        </w:rPr>
        <w:lastRenderedPageBreak/>
        <w:t xml:space="preserve">Primeramente debemos mencionar que no se realizó el procedimiento correspondiente para dar atención a las solicitudes de información, pues el Titular de la Unidad de Transparencia, </w:t>
      </w:r>
      <w:r w:rsidRPr="000662CA">
        <w:rPr>
          <w:rFonts w:ascii="Palatino Linotype" w:hAnsi="Palatino Linotype" w:cs="Arial"/>
          <w:lang w:val="es-ES"/>
        </w:rPr>
        <w:t xml:space="preserve">omitió observar lo dispuesto en el artículo 162 de la Ley de Transparencia y Acceso a la Información Pública del Estado de México y Municipios, es decir, turnar a todas las áreas </w:t>
      </w:r>
      <w:r>
        <w:rPr>
          <w:rFonts w:ascii="Palatino Linotype" w:hAnsi="Palatino Linotype" w:cs="Arial"/>
          <w:lang w:val="es-ES"/>
        </w:rPr>
        <w:t xml:space="preserve">correspondientes </w:t>
      </w:r>
      <w:r w:rsidRPr="000662CA">
        <w:rPr>
          <w:rFonts w:ascii="Palatino Linotype" w:hAnsi="Palatino Linotype" w:cs="Arial"/>
          <w:lang w:val="es-ES"/>
        </w:rPr>
        <w:t xml:space="preserve">que de acuerdo a sus atribuciones pudieran generar, poseer o administrar la información solicitada, con el objeto de que realizaran una búsqueda exhaustiva y razonable de la información solicitada. </w:t>
      </w:r>
    </w:p>
    <w:p w:rsidR="00194780" w:rsidRPr="00194780" w:rsidRDefault="00194780" w:rsidP="00194780">
      <w:pPr>
        <w:spacing w:after="0" w:line="360" w:lineRule="auto"/>
        <w:ind w:right="51"/>
        <w:contextualSpacing/>
        <w:jc w:val="both"/>
        <w:rPr>
          <w:rFonts w:ascii="Palatino Linotype" w:hAnsi="Palatino Linotype" w:cs="Arial"/>
          <w:sz w:val="24"/>
          <w:szCs w:val="24"/>
          <w:lang w:val="es-ES"/>
        </w:rPr>
      </w:pPr>
    </w:p>
    <w:p w:rsidR="00194780" w:rsidRPr="00194780" w:rsidRDefault="00194780" w:rsidP="00194780">
      <w:pPr>
        <w:spacing w:after="0" w:line="360" w:lineRule="auto"/>
        <w:ind w:right="51"/>
        <w:contextualSpacing/>
        <w:jc w:val="both"/>
        <w:rPr>
          <w:rFonts w:ascii="Palatino Linotype" w:hAnsi="Palatino Linotype" w:cs="Arial"/>
          <w:sz w:val="24"/>
          <w:szCs w:val="24"/>
          <w:lang w:val="es-ES"/>
        </w:rPr>
      </w:pPr>
      <w:r w:rsidRPr="00194780">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rsidR="00194780" w:rsidRPr="000662CA" w:rsidRDefault="00194780" w:rsidP="00194780">
      <w:pPr>
        <w:spacing w:before="100" w:beforeAutospacing="1" w:after="100" w:afterAutospacing="1"/>
        <w:ind w:right="51"/>
        <w:contextualSpacing/>
        <w:jc w:val="both"/>
        <w:rPr>
          <w:rFonts w:ascii="Palatino Linotype" w:hAnsi="Palatino Linotype" w:cs="Arial"/>
          <w:lang w:val="es-ES"/>
        </w:rPr>
      </w:pP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194780" w:rsidRPr="000662CA" w:rsidRDefault="00194780" w:rsidP="00194780">
      <w:pPr>
        <w:spacing w:before="100" w:beforeAutospacing="1" w:after="100" w:afterAutospacing="1"/>
        <w:ind w:left="567" w:right="618"/>
        <w:contextualSpacing/>
        <w:jc w:val="both"/>
        <w:rPr>
          <w:rFonts w:ascii="Palatino Linotype" w:hAnsi="Palatino Linotype"/>
          <w:i/>
          <w:lang w:val="es-ES"/>
        </w:rPr>
      </w:pP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94780" w:rsidRPr="000662CA" w:rsidRDefault="00194780" w:rsidP="00194780">
      <w:pPr>
        <w:spacing w:before="100" w:beforeAutospacing="1" w:after="100" w:afterAutospacing="1"/>
        <w:ind w:left="567" w:right="618"/>
        <w:contextualSpacing/>
        <w:jc w:val="both"/>
        <w:rPr>
          <w:rFonts w:ascii="Palatino Linotype" w:hAnsi="Palatino Linotype"/>
          <w:i/>
          <w:lang w:val="es-ES"/>
        </w:rPr>
      </w:pP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194780" w:rsidRPr="000662CA" w:rsidRDefault="00194780" w:rsidP="00194780">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w:t>
      </w:r>
      <w:r w:rsidRPr="000662CA">
        <w:rPr>
          <w:rFonts w:ascii="Palatino Linotype" w:hAnsi="Palatino Linotype"/>
          <w:i/>
          <w:lang w:val="es-ES"/>
        </w:rPr>
        <w:lastRenderedPageBreak/>
        <w:t>solicitudes de acceso a la información y facilitar su gestión e interponer los recursos que las leyes establezcan.</w:t>
      </w:r>
    </w:p>
    <w:p w:rsidR="00194780" w:rsidRPr="000662CA" w:rsidRDefault="00194780" w:rsidP="00194780">
      <w:pPr>
        <w:spacing w:before="100" w:beforeAutospacing="1" w:after="100" w:afterAutospacing="1"/>
        <w:ind w:left="567" w:right="618"/>
        <w:contextualSpacing/>
        <w:jc w:val="both"/>
        <w:rPr>
          <w:rFonts w:ascii="Palatino Linotype" w:hAnsi="Palatino Linotype"/>
          <w:i/>
          <w:lang w:val="es-ES"/>
        </w:rPr>
      </w:pP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194780" w:rsidRPr="000662CA" w:rsidRDefault="00194780" w:rsidP="00194780">
      <w:pPr>
        <w:spacing w:before="100" w:beforeAutospacing="1" w:after="100" w:afterAutospacing="1"/>
        <w:ind w:left="567" w:right="618"/>
        <w:contextualSpacing/>
        <w:jc w:val="both"/>
        <w:rPr>
          <w:rFonts w:ascii="Palatino Linotype" w:hAnsi="Palatino Linotype"/>
          <w:i/>
          <w:lang w:val="es-ES"/>
        </w:rPr>
      </w:pP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94780" w:rsidRPr="000662CA" w:rsidRDefault="00194780" w:rsidP="0019478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194780" w:rsidRPr="000662CA" w:rsidRDefault="00194780" w:rsidP="00194780">
      <w:pPr>
        <w:spacing w:before="100" w:beforeAutospacing="1" w:after="100" w:afterAutospacing="1"/>
        <w:contextualSpacing/>
        <w:jc w:val="both"/>
        <w:rPr>
          <w:rFonts w:ascii="Palatino Linotype" w:hAnsi="Palatino Linotype" w:cs="Arial"/>
          <w:lang w:val="es-ES"/>
        </w:rPr>
      </w:pPr>
    </w:p>
    <w:p w:rsidR="00194780" w:rsidRPr="00194780" w:rsidRDefault="00194780" w:rsidP="00194780">
      <w:pPr>
        <w:spacing w:before="100" w:beforeAutospacing="1" w:after="100" w:afterAutospacing="1" w:line="360" w:lineRule="auto"/>
        <w:contextualSpacing/>
        <w:jc w:val="both"/>
        <w:rPr>
          <w:rFonts w:ascii="Palatino Linotype" w:eastAsia="Calibri" w:hAnsi="Palatino Linotype"/>
          <w:sz w:val="24"/>
          <w:szCs w:val="24"/>
          <w:lang w:val="es-ES"/>
        </w:rPr>
      </w:pPr>
      <w:r w:rsidRPr="00194780">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194780" w:rsidRPr="00194780" w:rsidRDefault="00194780" w:rsidP="00194780">
      <w:pPr>
        <w:spacing w:before="100" w:beforeAutospacing="1" w:after="100" w:afterAutospacing="1" w:line="360" w:lineRule="auto"/>
        <w:ind w:left="426"/>
        <w:contextualSpacing/>
        <w:jc w:val="both"/>
        <w:rPr>
          <w:rFonts w:ascii="Palatino Linotype" w:eastAsia="Calibri" w:hAnsi="Palatino Linotype"/>
          <w:sz w:val="24"/>
          <w:szCs w:val="24"/>
          <w:lang w:val="es-ES"/>
        </w:rPr>
      </w:pPr>
    </w:p>
    <w:p w:rsidR="00194780" w:rsidRPr="00194780" w:rsidRDefault="00194780" w:rsidP="00194780">
      <w:pPr>
        <w:spacing w:before="100" w:beforeAutospacing="1" w:after="100" w:afterAutospacing="1" w:line="360" w:lineRule="auto"/>
        <w:contextualSpacing/>
        <w:jc w:val="both"/>
        <w:rPr>
          <w:rFonts w:ascii="Palatino Linotype" w:eastAsia="Calibri" w:hAnsi="Palatino Linotype"/>
          <w:sz w:val="24"/>
          <w:szCs w:val="24"/>
          <w:lang w:val="es-ES"/>
        </w:rPr>
      </w:pPr>
      <w:r w:rsidRPr="00194780">
        <w:rPr>
          <w:rFonts w:ascii="Palatino Linotype" w:eastAsia="Calibri" w:hAnsi="Palatino Linotype"/>
          <w:sz w:val="24"/>
          <w:szCs w:val="24"/>
          <w:lang w:val="es-ES"/>
        </w:rPr>
        <w:lastRenderedPageBreak/>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194780" w:rsidRPr="00194780" w:rsidRDefault="00194780" w:rsidP="00194780">
      <w:pPr>
        <w:spacing w:before="100" w:beforeAutospacing="1" w:after="100" w:afterAutospacing="1" w:line="360" w:lineRule="auto"/>
        <w:contextualSpacing/>
        <w:jc w:val="both"/>
        <w:rPr>
          <w:rFonts w:ascii="Palatino Linotype" w:eastAsia="Calibri" w:hAnsi="Palatino Linotype"/>
          <w:sz w:val="24"/>
          <w:szCs w:val="24"/>
          <w:lang w:val="es-ES"/>
        </w:rPr>
      </w:pPr>
    </w:p>
    <w:p w:rsidR="00194780" w:rsidRDefault="00194780" w:rsidP="00194780">
      <w:pPr>
        <w:spacing w:before="100" w:beforeAutospacing="1" w:after="100" w:afterAutospacing="1" w:line="360" w:lineRule="auto"/>
        <w:contextualSpacing/>
        <w:jc w:val="both"/>
        <w:rPr>
          <w:rFonts w:ascii="Palatino Linotype" w:eastAsia="Calibri" w:hAnsi="Palatino Linotype"/>
          <w:sz w:val="24"/>
          <w:szCs w:val="24"/>
          <w:lang w:val="es-ES"/>
        </w:rPr>
      </w:pPr>
      <w:r w:rsidRPr="00194780">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F72D84" w:rsidRPr="00BA3BF3" w:rsidRDefault="00F72D84" w:rsidP="00F72D84">
      <w:pPr>
        <w:pStyle w:val="Sinespaciado"/>
        <w:spacing w:line="360" w:lineRule="auto"/>
        <w:jc w:val="both"/>
        <w:rPr>
          <w:rFonts w:ascii="Palatino Linotype" w:hAnsi="Palatino Linotype" w:cs="Arial"/>
          <w:lang w:val="es-ES"/>
        </w:rPr>
      </w:pPr>
      <w:r w:rsidRPr="00BA3BF3">
        <w:rPr>
          <w:rFonts w:ascii="Palatino Linotype" w:hAnsi="Palatino Linotype" w:cs="Arial"/>
        </w:rPr>
        <w:t>En es</w:t>
      </w:r>
      <w:r w:rsidR="005011A6">
        <w:rPr>
          <w:rFonts w:ascii="Palatino Linotype" w:hAnsi="Palatino Linotype" w:cs="Arial"/>
        </w:rPr>
        <w:t>te mismo</w:t>
      </w:r>
      <w:r w:rsidRPr="00BA3BF3">
        <w:rPr>
          <w:rFonts w:ascii="Palatino Linotype" w:hAnsi="Palatino Linotype" w:cs="Arial"/>
        </w:rPr>
        <w:t xml:space="preserve"> sentido, </w:t>
      </w:r>
      <w:r w:rsidRPr="00BA3BF3">
        <w:rPr>
          <w:rFonts w:ascii="Palatino Linotype" w:hAnsi="Palatino Linotype" w:cs="Arial"/>
          <w:lang w:val="es-ES"/>
        </w:rPr>
        <w:t xml:space="preserve">es conveniente traer a contexto lo dispuesto en la Ley de la  Contratación Pública del Estado de México y Municipios, la cual tiene por objeto regular los actos relativos a la planeación, programación, presupuestación, ejecución y control de la </w:t>
      </w:r>
      <w:r w:rsidRPr="009873A7">
        <w:rPr>
          <w:rFonts w:ascii="Palatino Linotype" w:hAnsi="Palatino Linotype" w:cs="Arial"/>
          <w:lang w:val="es-ES"/>
        </w:rPr>
        <w:t>adquisición, enajenación y arrendamiento de bienes, y la contratación de servicios de cualquier naturaleza, que realicen los Ayuntamientos del Estado;</w:t>
      </w:r>
      <w:r w:rsidRPr="00BA3BF3">
        <w:rPr>
          <w:rFonts w:ascii="Palatino Linotype" w:hAnsi="Palatino Linotype" w:cs="Arial"/>
          <w:lang w:val="es-ES"/>
        </w:rPr>
        <w:t xml:space="preserve"> los cuales se adjudicarán a través de </w:t>
      </w:r>
      <w:r w:rsidRPr="009873A7">
        <w:rPr>
          <w:rFonts w:ascii="Palatino Linotype" w:hAnsi="Palatino Linotype" w:cs="Arial"/>
          <w:b/>
          <w:u w:val="single"/>
          <w:lang w:val="es-ES"/>
        </w:rPr>
        <w:t>licitaciones públicas</w:t>
      </w:r>
      <w:r w:rsidRPr="00BA3BF3">
        <w:rPr>
          <w:rFonts w:ascii="Palatino Linotype" w:hAnsi="Palatino Linotype" w:cs="Arial"/>
          <w:lang w:val="es-ES"/>
        </w:rPr>
        <w:t>, invitación restringida o adjudicación directa, mediante convocatoria pública, tal y como lo establecen los artículos 26</w:t>
      </w:r>
      <w:r w:rsidR="009873A7">
        <w:rPr>
          <w:rFonts w:ascii="Palatino Linotype" w:hAnsi="Palatino Linotype" w:cs="Arial"/>
          <w:lang w:val="es-ES"/>
        </w:rPr>
        <w:t xml:space="preserve">, 28, 29, </w:t>
      </w:r>
      <w:r w:rsidR="0060695E">
        <w:rPr>
          <w:rFonts w:ascii="Palatino Linotype" w:hAnsi="Palatino Linotype" w:cs="Arial"/>
          <w:lang w:val="es-ES"/>
        </w:rPr>
        <w:t>30, 32 y 35,</w:t>
      </w:r>
      <w:r w:rsidRPr="00BA3BF3">
        <w:rPr>
          <w:rFonts w:ascii="Palatino Linotype" w:hAnsi="Palatino Linotype" w:cs="Arial"/>
          <w:lang w:val="es-ES"/>
        </w:rPr>
        <w:t xml:space="preserve">  de dicha Ley, los cuales son del tenor siguiente:</w:t>
      </w:r>
    </w:p>
    <w:p w:rsidR="009873A7" w:rsidRDefault="009873A7" w:rsidP="00F72D84">
      <w:pPr>
        <w:spacing w:after="0" w:line="240" w:lineRule="auto"/>
        <w:ind w:left="851" w:right="899"/>
        <w:jc w:val="both"/>
        <w:rPr>
          <w:rFonts w:ascii="Palatino Linotype" w:eastAsia="Times New Roman" w:hAnsi="Palatino Linotype" w:cs="Arial"/>
          <w:b/>
          <w:i/>
          <w:szCs w:val="24"/>
          <w:u w:val="single"/>
          <w:lang w:val="es-ES"/>
        </w:rPr>
      </w:pPr>
    </w:p>
    <w:p w:rsidR="00F72D84" w:rsidRPr="00BA3BF3" w:rsidRDefault="00F72D84" w:rsidP="00F72D84">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Artículo 26.- Las adquisiciones, arrendamientos y servicios se adjudicarán a través de licitaciones públicas, mediante convocatoria pública.</w:t>
      </w:r>
    </w:p>
    <w:p w:rsidR="00F72D84" w:rsidRDefault="00F72D84" w:rsidP="00F72D84">
      <w:pPr>
        <w:spacing w:after="0" w:line="240" w:lineRule="auto"/>
        <w:ind w:left="851" w:right="899"/>
        <w:jc w:val="both"/>
        <w:rPr>
          <w:rFonts w:ascii="Palatino Linotype" w:eastAsia="Times New Roman" w:hAnsi="Palatino Linotype" w:cs="Arial"/>
          <w:b/>
          <w:i/>
          <w:szCs w:val="24"/>
          <w:lang w:val="es-ES"/>
        </w:rPr>
      </w:pP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 xml:space="preserve">Artículo 28.- La licitación pública, conforme a los medios que se utilicen, podrá ser: </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lastRenderedPageBreak/>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rsid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Bajo esta modalidad, la o las juntas de aclaraciones, el acto de presentación y la apertura de propuestas se realizarán de manera presencial, a los cuales podrán asistir los licitantes.</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 xml:space="preserve">Bajo esta modalidad, la o las juntas de aclaraciones, el acto de presentación, la apertura de propuestas y el acto de fallo sólo se realizarán a través de COMPRAMEX y sin la presencia de los licitantes en dichos actos, y </w:t>
      </w:r>
    </w:p>
    <w:p w:rsid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III. Mixta, en la cual los licitantes, a su elección, podrán participar en forma presencial o electrónica en la o las juntas de aclaraciones, en el acto de presentación y en la apertura de propuestas, y el acto de fallo.</w:t>
      </w:r>
    </w:p>
    <w:p w:rsidR="009873A7" w:rsidRDefault="009873A7" w:rsidP="00F72D84">
      <w:pPr>
        <w:spacing w:after="0" w:line="240" w:lineRule="auto"/>
        <w:ind w:left="851" w:right="899"/>
        <w:jc w:val="both"/>
        <w:rPr>
          <w:rFonts w:ascii="Palatino Linotype" w:hAnsi="Palatino Linotype"/>
          <w:i/>
        </w:rPr>
      </w:pP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Artículo 29.- En el procedimiento de licitación pública deberán establecerse los mismos requisitos y condiciones para todos los licitantes.</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 xml:space="preserve">Todo licitante que satisfaga los requisitos de la convocatoria y de las </w:t>
      </w:r>
      <w:proofErr w:type="spellStart"/>
      <w:r w:rsidRPr="009873A7">
        <w:rPr>
          <w:rFonts w:ascii="Palatino Linotype" w:hAnsi="Palatino Linotype"/>
          <w:i/>
        </w:rPr>
        <w:t>ba</w:t>
      </w:r>
      <w:proofErr w:type="spellEnd"/>
      <w:r w:rsidRPr="009873A7">
        <w:rPr>
          <w:rFonts w:ascii="Palatino Linotype" w:hAnsi="Palatino Linotype"/>
          <w:i/>
        </w:rPr>
        <w:t xml:space="preserve"> </w:t>
      </w:r>
      <w:proofErr w:type="spellStart"/>
      <w:r w:rsidRPr="009873A7">
        <w:rPr>
          <w:rFonts w:ascii="Palatino Linotype" w:hAnsi="Palatino Linotype"/>
          <w:i/>
        </w:rPr>
        <w:t>ses</w:t>
      </w:r>
      <w:proofErr w:type="spellEnd"/>
      <w:r w:rsidRPr="009873A7">
        <w:rPr>
          <w:rFonts w:ascii="Palatino Linotype" w:hAnsi="Palatino Linotype"/>
          <w:i/>
        </w:rPr>
        <w:t xml:space="preserve">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Artículo 30.- Las licitaciones públicas podrán ser:</w:t>
      </w: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 xml:space="preserve">I. Nacionales, cuando únicamente puedan participar personas de nacionalidad mexicana. </w:t>
      </w:r>
    </w:p>
    <w:p w:rsid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II. Internacionales, cuando puedan participar tanto personas de nacionalidad mexicana como extranjera</w:t>
      </w:r>
    </w:p>
    <w:p w:rsidR="009873A7" w:rsidRDefault="009873A7" w:rsidP="00F72D84">
      <w:pPr>
        <w:spacing w:after="0" w:line="240" w:lineRule="auto"/>
        <w:ind w:left="851" w:right="899"/>
        <w:jc w:val="both"/>
        <w:rPr>
          <w:rFonts w:ascii="Palatino Linotype" w:hAnsi="Palatino Linotype"/>
          <w:i/>
        </w:rPr>
      </w:pPr>
    </w:p>
    <w:p w:rsidR="009873A7" w:rsidRPr="009873A7" w:rsidRDefault="009873A7" w:rsidP="00F72D84">
      <w:pPr>
        <w:spacing w:after="0" w:line="240" w:lineRule="auto"/>
        <w:ind w:left="851" w:right="899"/>
        <w:jc w:val="both"/>
        <w:rPr>
          <w:rFonts w:ascii="Palatino Linotype" w:hAnsi="Palatino Linotype"/>
          <w:i/>
        </w:rPr>
      </w:pPr>
      <w:r w:rsidRPr="009873A7">
        <w:rPr>
          <w:rFonts w:ascii="Palatino Linotype" w:hAnsi="Palatino Linotype"/>
          <w:i/>
        </w:rPr>
        <w:t>Artículo 32.- La Secretaría, las entidades, los tribunales administrativos y los ayuntamientos, en términos de esta Ley, serán los responsables de llevar a cabo el procedimiento de licitación pública.</w:t>
      </w:r>
    </w:p>
    <w:p w:rsidR="00F72D84" w:rsidRPr="00BA3BF3" w:rsidRDefault="00F72D84" w:rsidP="00F72D84">
      <w:pPr>
        <w:spacing w:after="0" w:line="240" w:lineRule="auto"/>
        <w:ind w:left="851" w:right="899"/>
        <w:jc w:val="right"/>
        <w:rPr>
          <w:rFonts w:ascii="Palatino Linotype" w:eastAsia="Times New Roman" w:hAnsi="Palatino Linotype" w:cs="Arial"/>
          <w:i/>
          <w:sz w:val="20"/>
          <w:szCs w:val="24"/>
          <w:lang w:val="es-ES"/>
        </w:rPr>
      </w:pPr>
      <w:r w:rsidRPr="00BA3BF3">
        <w:rPr>
          <w:rFonts w:ascii="Palatino Linotype" w:eastAsia="Times New Roman" w:hAnsi="Palatino Linotype" w:cs="Arial"/>
          <w:i/>
          <w:sz w:val="20"/>
          <w:szCs w:val="24"/>
          <w:lang w:val="es-ES"/>
        </w:rPr>
        <w:t xml:space="preserve">(Énfasis añadido) </w:t>
      </w:r>
    </w:p>
    <w:p w:rsidR="00F72D84" w:rsidRPr="00BA3BF3" w:rsidRDefault="00F72D84" w:rsidP="00F72D84">
      <w:pPr>
        <w:pStyle w:val="Sinespaciado"/>
        <w:spacing w:line="360" w:lineRule="auto"/>
        <w:ind w:right="567"/>
        <w:jc w:val="both"/>
        <w:rPr>
          <w:rFonts w:ascii="Palatino Linotype" w:eastAsia="Arial Unicode MS" w:hAnsi="Palatino Linotype"/>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Así, en lo que respecta sobre la licitación pública, el artículo</w:t>
      </w:r>
      <w:r w:rsidR="00525B1E">
        <w:rPr>
          <w:rFonts w:ascii="Palatino Linotype" w:eastAsia="Times New Roman" w:hAnsi="Palatino Linotype" w:cs="Arial"/>
          <w:sz w:val="24"/>
          <w:szCs w:val="24"/>
          <w:lang w:val="es-ES"/>
        </w:rPr>
        <w:t xml:space="preserve"> 26 establece que los procedimientos adquisitivos serán mediante licitaciones públicas, </w:t>
      </w:r>
      <w:proofErr w:type="gramStart"/>
      <w:r w:rsidR="00525B1E">
        <w:rPr>
          <w:rFonts w:ascii="Palatino Linotype" w:eastAsia="Times New Roman" w:hAnsi="Palatino Linotype" w:cs="Arial"/>
          <w:sz w:val="24"/>
          <w:szCs w:val="24"/>
          <w:lang w:val="es-ES"/>
        </w:rPr>
        <w:t>esta</w:t>
      </w:r>
      <w:proofErr w:type="gramEnd"/>
      <w:r w:rsidR="00525B1E">
        <w:rPr>
          <w:rFonts w:ascii="Palatino Linotype" w:eastAsia="Times New Roman" w:hAnsi="Palatino Linotype" w:cs="Arial"/>
          <w:sz w:val="24"/>
          <w:szCs w:val="24"/>
          <w:lang w:val="es-ES"/>
        </w:rPr>
        <w:t xml:space="preserve"> licitaciones </w:t>
      </w:r>
      <w:r w:rsidR="00525B1E">
        <w:rPr>
          <w:rFonts w:ascii="Palatino Linotype" w:eastAsia="Times New Roman" w:hAnsi="Palatino Linotype" w:cs="Arial"/>
          <w:sz w:val="24"/>
          <w:szCs w:val="24"/>
          <w:lang w:val="es-ES"/>
        </w:rPr>
        <w:lastRenderedPageBreak/>
        <w:t xml:space="preserve">podrán ser presenciales, electrónicas o mixta, el artículo </w:t>
      </w:r>
      <w:r w:rsidRPr="00BA3BF3">
        <w:rPr>
          <w:rFonts w:ascii="Palatino Linotype" w:eastAsia="Times New Roman" w:hAnsi="Palatino Linotype" w:cs="Arial"/>
          <w:sz w:val="24"/>
          <w:szCs w:val="24"/>
          <w:lang w:val="es-ES"/>
        </w:rPr>
        <w:t xml:space="preserve"> 29 de la Ley de la Contratación Pública en mención, indica que en este procedimiento deberán establecerse los mismos requisitos y condiciones para todos los licitantes. Todo licitante que satisfaga los requisitos de la convocatoria y de las bases de la licitación tendrá de</w:t>
      </w:r>
      <w:r w:rsidR="00525B1E">
        <w:rPr>
          <w:rFonts w:ascii="Palatino Linotype" w:eastAsia="Times New Roman" w:hAnsi="Palatino Linotype" w:cs="Arial"/>
          <w:sz w:val="24"/>
          <w:szCs w:val="24"/>
          <w:lang w:val="es-ES"/>
        </w:rPr>
        <w:t>recho a presentar su propuesta, los tipos de licitaciones que se mencionan son Nacionales e Internacionales, por lo que respecta a los Municipios estos serán los responsables de levar dicho procedimiento, así mismo se establecen el procedimientos para llevar a cabo las licitaciones.</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35</w:t>
      </w:r>
      <w:r w:rsidRPr="00BA3BF3">
        <w:rPr>
          <w:rFonts w:ascii="Palatino Linotype" w:eastAsia="Times New Roman" w:hAnsi="Palatino Linotype" w:cs="Arial"/>
          <w:i/>
          <w:szCs w:val="24"/>
          <w:lang w:val="es-ES"/>
        </w:rPr>
        <w:t>.- En los procedimientos de licitación pública se observará lo siguiente:</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lastRenderedPageBreak/>
        <w:t>VII. Se emitirá el fallo dentro de los 15 días hábiles siguientes a la publicación de la convocatoria.</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BA3BF3">
        <w:rPr>
          <w:rFonts w:ascii="Palatino Linotype" w:eastAsia="Times New Roman" w:hAnsi="Palatino Linotype" w:cs="Arial"/>
          <w:b/>
          <w:i/>
          <w:szCs w:val="24"/>
          <w:lang w:val="es-ES"/>
        </w:rPr>
        <w:t>”</w:t>
      </w:r>
    </w:p>
    <w:p w:rsidR="00F72D84" w:rsidRPr="00BA3BF3" w:rsidRDefault="00F72D84" w:rsidP="00F72D84">
      <w:pPr>
        <w:spacing w:after="0" w:line="240" w:lineRule="auto"/>
        <w:ind w:left="851" w:right="902"/>
        <w:jc w:val="right"/>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(Énfasis añadido)</w:t>
      </w:r>
    </w:p>
    <w:p w:rsidR="00F72D84" w:rsidRPr="00BA3BF3" w:rsidRDefault="00F72D84" w:rsidP="00F72D84">
      <w:pPr>
        <w:spacing w:after="0" w:line="240" w:lineRule="auto"/>
        <w:ind w:left="851" w:right="902"/>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F72D84" w:rsidRPr="00BA3BF3" w:rsidRDefault="00F72D84" w:rsidP="00F72D84">
      <w:pPr>
        <w:autoSpaceDE w:val="0"/>
        <w:autoSpaceDN w:val="0"/>
        <w:adjustRightInd w:val="0"/>
        <w:spacing w:after="0" w:line="360" w:lineRule="auto"/>
        <w:jc w:val="both"/>
        <w:rPr>
          <w:rFonts w:ascii="Palatino Linotype" w:hAnsi="Palatino Linotype" w:cs="Arial"/>
          <w:sz w:val="24"/>
          <w:szCs w:val="24"/>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Además, respecto al dictamen y el fallo de la adjudicación, es de señalar que</w:t>
      </w:r>
      <w:r w:rsidR="00977864">
        <w:rPr>
          <w:rFonts w:ascii="Palatino Linotype" w:eastAsia="Times New Roman" w:hAnsi="Palatino Linotype" w:cs="Arial"/>
          <w:sz w:val="24"/>
          <w:szCs w:val="24"/>
          <w:lang w:val="es-ES"/>
        </w:rPr>
        <w:t xml:space="preserve"> las obligaciones se formalizaran a la firma del contrato correspondiente, documentación solicitada por el particular, conforme a lo</w:t>
      </w:r>
      <w:r w:rsidRPr="00BA3BF3">
        <w:rPr>
          <w:rFonts w:ascii="Palatino Linotype" w:eastAsia="Times New Roman" w:hAnsi="Palatino Linotype" w:cs="Arial"/>
          <w:sz w:val="24"/>
          <w:szCs w:val="24"/>
          <w:lang w:val="es-ES"/>
        </w:rPr>
        <w:t xml:space="preserve"> siguiente:</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37.-</w:t>
      </w:r>
      <w:r w:rsidRPr="00BA3BF3">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F72D84" w:rsidRPr="00BA3BF3" w:rsidRDefault="00F72D84" w:rsidP="00F72D84">
      <w:pPr>
        <w:spacing w:after="0" w:line="240" w:lineRule="auto"/>
        <w:ind w:left="851" w:right="902"/>
        <w:jc w:val="both"/>
        <w:rPr>
          <w:rFonts w:ascii="Palatino Linotype" w:eastAsia="Times New Roman" w:hAnsi="Palatino Linotype" w:cs="Arial"/>
          <w:b/>
          <w:i/>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38.-</w:t>
      </w:r>
      <w:r w:rsidRPr="00BA3BF3">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El fallo de adjudicación surtirá efectos desde la emisión, siendo responsabilidad de los licitantes enterarse de su contenido, por lo que a partir de ese momento, las </w:t>
      </w:r>
      <w:r w:rsidRPr="00BA3BF3">
        <w:rPr>
          <w:rFonts w:ascii="Palatino Linotype" w:eastAsia="Times New Roman" w:hAnsi="Palatino Linotype" w:cs="Arial"/>
          <w:i/>
          <w:szCs w:val="24"/>
          <w:lang w:val="es-ES"/>
        </w:rPr>
        <w:lastRenderedPageBreak/>
        <w:t>obligaciones derivadas de éste serán exigibles sin perjuicio de la formalización del contrato respectivo, en los términos señalados en el fallo.</w:t>
      </w:r>
      <w:r w:rsidRPr="00BA3BF3">
        <w:rPr>
          <w:rFonts w:ascii="Palatino Linotype" w:eastAsia="Times New Roman" w:hAnsi="Palatino Linotype" w:cs="Arial"/>
          <w:b/>
          <w:i/>
          <w:szCs w:val="24"/>
          <w:lang w:val="es-ES"/>
        </w:rPr>
        <w:t>”</w:t>
      </w:r>
      <w:r w:rsidRPr="00BA3BF3">
        <w:rPr>
          <w:rFonts w:ascii="Palatino Linotype" w:eastAsia="Times New Roman" w:hAnsi="Palatino Linotype" w:cs="Arial"/>
          <w:i/>
          <w:szCs w:val="24"/>
          <w:lang w:val="es-ES"/>
        </w:rPr>
        <w:t xml:space="preserve"> </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rPr>
      </w:pPr>
      <w:r w:rsidRPr="00BA3BF3">
        <w:rPr>
          <w:rFonts w:ascii="Palatino Linotype" w:eastAsia="Times New Roman" w:hAnsi="Palatino Linotype" w:cs="Times New Roman"/>
          <w:sz w:val="24"/>
          <w:szCs w:val="24"/>
          <w:lang w:val="es-ES"/>
        </w:rPr>
        <w:t xml:space="preserve">En este sentido, </w:t>
      </w:r>
      <w:r w:rsidRPr="00BA3BF3">
        <w:rPr>
          <w:rFonts w:ascii="Palatino Linotype" w:eastAsia="Times New Roman" w:hAnsi="Palatino Linotype" w:cs="Arial"/>
          <w:sz w:val="24"/>
          <w:szCs w:val="24"/>
          <w:lang w:val="es-ES"/>
        </w:rPr>
        <w:t xml:space="preserve">debe decirse que los expedientes de las adquisiciones, arrendamientos, enajenaciones y servicios, </w:t>
      </w:r>
      <w:r w:rsidRPr="00BA3BF3">
        <w:rPr>
          <w:rFonts w:ascii="Palatino Linotype" w:eastAsia="Times New Roman" w:hAnsi="Palatino Linotype" w:cs="Arial"/>
          <w:sz w:val="24"/>
          <w:szCs w:val="24"/>
        </w:rPr>
        <w:t>se encuentra considerada como una de las obligaciones de transparencias comunes que l</w:t>
      </w:r>
      <w:r w:rsidRPr="00BA3BF3">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A3BF3">
        <w:rPr>
          <w:rFonts w:ascii="Palatino Linotype" w:eastAsia="Times New Roman" w:hAnsi="Palatino Linotype" w:cs="Arial"/>
          <w:color w:val="000000"/>
          <w:sz w:val="24"/>
          <w:szCs w:val="24"/>
        </w:rPr>
        <w:t xml:space="preserve">el </w:t>
      </w:r>
      <w:r w:rsidRPr="00BA3BF3">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rsidR="00F72D84" w:rsidRPr="00BA3BF3" w:rsidRDefault="00F72D84" w:rsidP="00F72D84">
      <w:pPr>
        <w:spacing w:after="0" w:line="240" w:lineRule="auto"/>
        <w:jc w:val="both"/>
        <w:rPr>
          <w:rFonts w:ascii="Palatino Linotype" w:eastAsia="Times New Roman" w:hAnsi="Palatino Linotype" w:cs="Arial"/>
          <w:sz w:val="24"/>
          <w:szCs w:val="24"/>
        </w:rPr>
      </w:pP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“Artículo 92. </w:t>
      </w:r>
      <w:r w:rsidRPr="00BA3BF3">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XXIX. </w:t>
      </w:r>
      <w:r w:rsidRPr="00BA3BF3">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BA3BF3">
        <w:rPr>
          <w:rFonts w:ascii="Palatino Linotype" w:eastAsia="Times New Roman" w:hAnsi="Palatino Linotype" w:cs="Arial"/>
          <w:b/>
          <w:bCs/>
          <w:i/>
          <w:iCs/>
          <w:u w:val="single"/>
          <w:lang w:val="es-ES"/>
        </w:rPr>
        <w:t>incluyendo la versión pública del expediente respectivo y de los contratos</w:t>
      </w:r>
      <w:r w:rsidRPr="00BA3BF3">
        <w:rPr>
          <w:rFonts w:ascii="Palatino Linotype" w:eastAsia="Times New Roman" w:hAnsi="Palatino Linotype" w:cs="Arial"/>
          <w:i/>
          <w:iCs/>
          <w:lang w:val="es-ES"/>
        </w:rPr>
        <w:t> celebrados, que deberán contener, por los menos, lo siguiente: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 </w:t>
      </w:r>
      <w:r w:rsidRPr="00BA3BF3">
        <w:rPr>
          <w:rFonts w:ascii="Palatino Linotype" w:eastAsia="Times New Roman" w:hAnsi="Palatino Linotype" w:cs="Arial"/>
          <w:i/>
          <w:iCs/>
          <w:lang w:val="es-ES"/>
        </w:rPr>
        <w:t>De licitaciones públicas o procedimientos de invitación restringida: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lastRenderedPageBreak/>
        <w:t>1)</w:t>
      </w:r>
      <w:r w:rsidRPr="00BA3BF3">
        <w:rPr>
          <w:rFonts w:ascii="Palatino Linotype" w:eastAsia="Times New Roman" w:hAnsi="Palatino Linotype" w:cs="Arial"/>
          <w:i/>
          <w:iCs/>
          <w:lang w:val="es-ES"/>
        </w:rPr>
        <w:t> La convocatoria o invitación emitida, así como los fundamentos legales aplicados para llevarla a cabo;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nombres de los participantes o invitados;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w:t>
      </w:r>
      <w:r w:rsidRPr="00BA3BF3">
        <w:rPr>
          <w:rFonts w:ascii="Palatino Linotype" w:eastAsia="Times New Roman" w:hAnsi="Palatino Linotype" w:cs="Arial"/>
          <w:i/>
          <w:iCs/>
          <w:lang w:val="es-ES"/>
        </w:rPr>
        <w:t> El nombre del ganador y las razones que lo justifican;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El área solicitante y la responsable de su ejecución;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5) </w:t>
      </w:r>
      <w:r w:rsidRPr="00BA3BF3">
        <w:rPr>
          <w:rFonts w:ascii="Palatino Linotype" w:eastAsia="Times New Roman" w:hAnsi="Palatino Linotype" w:cs="Arial"/>
          <w:i/>
          <w:iCs/>
          <w:lang w:val="es-ES"/>
        </w:rPr>
        <w:t>Las convocatorias e invitaciones emitidas;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6)</w:t>
      </w:r>
      <w:r w:rsidRPr="00BA3BF3">
        <w:rPr>
          <w:rFonts w:ascii="Palatino Linotype" w:eastAsia="Times New Roman" w:hAnsi="Palatino Linotype" w:cs="Arial"/>
          <w:i/>
          <w:iCs/>
          <w:lang w:val="es-ES"/>
        </w:rPr>
        <w:t> Los dictámenes y fallo de adjudicación;</w:t>
      </w:r>
    </w:p>
    <w:p w:rsidR="00F72D84" w:rsidRPr="00977864" w:rsidRDefault="00F72D84" w:rsidP="00F72D84">
      <w:pPr>
        <w:spacing w:after="0" w:line="240" w:lineRule="auto"/>
        <w:ind w:left="851" w:right="899"/>
        <w:jc w:val="both"/>
        <w:rPr>
          <w:rFonts w:ascii="Palatino Linotype" w:eastAsia="Times New Roman" w:hAnsi="Palatino Linotype" w:cs="Arial"/>
          <w:b/>
          <w:u w:val="single"/>
          <w:lang w:val="es-ES"/>
        </w:rPr>
      </w:pPr>
      <w:r w:rsidRPr="00977864">
        <w:rPr>
          <w:rFonts w:ascii="Palatino Linotype" w:eastAsia="Times New Roman" w:hAnsi="Palatino Linotype" w:cs="Arial"/>
          <w:b/>
          <w:bCs/>
          <w:i/>
          <w:iCs/>
          <w:u w:val="single"/>
          <w:lang w:val="es-ES"/>
        </w:rPr>
        <w:t>7) El contrato y, en su caso, sus anexos;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La partida presupuestal, de conformidad con el clasificador por objeto del gasto, en el caso de ser aplicable;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Los convenios modificatorios que, en su caso, sean firmados, precisando el objeto y la fecha de celebración;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12) </w:t>
      </w:r>
      <w:r w:rsidRPr="00BA3BF3">
        <w:rPr>
          <w:rFonts w:ascii="Palatino Linotype" w:eastAsia="Times New Roman" w:hAnsi="Palatino Linotype" w:cs="Arial"/>
          <w:i/>
          <w:iCs/>
          <w:lang w:val="es-ES"/>
        </w:rPr>
        <w:t>Los informes de avance físico y financiero sobre las obras o servicios contratados;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13) </w:t>
      </w:r>
      <w:r w:rsidRPr="00BA3BF3">
        <w:rPr>
          <w:rFonts w:ascii="Palatino Linotype" w:eastAsia="Times New Roman" w:hAnsi="Palatino Linotype" w:cs="Arial"/>
          <w:i/>
          <w:iCs/>
          <w:lang w:val="es-ES"/>
        </w:rPr>
        <w:t>El convenio de terminación; y</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14) </w:t>
      </w:r>
      <w:r w:rsidRPr="00BA3BF3">
        <w:rPr>
          <w:rFonts w:ascii="Palatino Linotype" w:eastAsia="Times New Roman" w:hAnsi="Palatino Linotype" w:cs="Arial"/>
          <w:i/>
          <w:iCs/>
          <w:lang w:val="es-ES"/>
        </w:rPr>
        <w:t>El finiquito.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b) </w:t>
      </w:r>
      <w:r w:rsidRPr="00BA3BF3">
        <w:rPr>
          <w:rFonts w:ascii="Palatino Linotype" w:eastAsia="Times New Roman" w:hAnsi="Palatino Linotype" w:cs="Arial"/>
          <w:i/>
          <w:iCs/>
          <w:lang w:val="es-ES"/>
        </w:rPr>
        <w:t>De las adjudicaciones directas: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 </w:t>
      </w:r>
      <w:r w:rsidRPr="00BA3BF3">
        <w:rPr>
          <w:rFonts w:ascii="Palatino Linotype" w:eastAsia="Times New Roman" w:hAnsi="Palatino Linotype" w:cs="Arial"/>
          <w:i/>
          <w:iCs/>
          <w:lang w:val="es-ES"/>
        </w:rPr>
        <w:t>La propuesta enviada por el participante;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motivos y fundamentos legales aplicados para llevarla a cabo;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 </w:t>
      </w:r>
      <w:r w:rsidRPr="00BA3BF3">
        <w:rPr>
          <w:rFonts w:ascii="Palatino Linotype" w:eastAsia="Times New Roman" w:hAnsi="Palatino Linotype" w:cs="Arial"/>
          <w:i/>
          <w:iCs/>
          <w:lang w:val="es-ES"/>
        </w:rPr>
        <w:t>La autorización del ejercicio de la opción;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En su caso, las cotizaciones consideradas, especificando los nombres de los proveedores y sus montos;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5) </w:t>
      </w:r>
      <w:r w:rsidRPr="00BA3BF3">
        <w:rPr>
          <w:rFonts w:ascii="Palatino Linotype" w:eastAsia="Times New Roman" w:hAnsi="Palatino Linotype" w:cs="Arial"/>
          <w:i/>
          <w:iCs/>
          <w:lang w:val="es-ES"/>
        </w:rPr>
        <w:t>El nombre de la persona física o jurídica colectiva adjudicada;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6) </w:t>
      </w:r>
      <w:r w:rsidRPr="00BA3BF3">
        <w:rPr>
          <w:rFonts w:ascii="Palatino Linotype" w:eastAsia="Times New Roman" w:hAnsi="Palatino Linotype" w:cs="Arial"/>
          <w:i/>
          <w:iCs/>
          <w:lang w:val="es-ES"/>
        </w:rPr>
        <w:t>La unidad administrativa solicitante y la responsable de su ejecución;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7)</w:t>
      </w:r>
      <w:r w:rsidRPr="00BA3BF3">
        <w:rPr>
          <w:rFonts w:ascii="Palatino Linotype" w:eastAsia="Times New Roman" w:hAnsi="Palatino Linotype" w:cs="Arial"/>
          <w:bCs/>
          <w:i/>
          <w:iCs/>
          <w:lang w:val="es-ES"/>
        </w:rPr>
        <w:t> El número, fecha, el monto del contrato y el plazo de entrega o de ejecución de los servicios u obra;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Los informes de avance sobre las obras o servicios contratados;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El convenio de terminación; y</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El finiquito.</w:t>
      </w:r>
      <w:r w:rsidRPr="00BA3BF3">
        <w:rPr>
          <w:rFonts w:ascii="Palatino Linotype" w:eastAsia="Times New Roman" w:hAnsi="Palatino Linotype" w:cs="Arial"/>
          <w:b/>
          <w:i/>
          <w:iCs/>
          <w:lang w:val="es-ES"/>
        </w:rPr>
        <w:t>”</w:t>
      </w:r>
    </w:p>
    <w:p w:rsidR="00F72D84" w:rsidRPr="00BA3BF3" w:rsidRDefault="00F72D84" w:rsidP="00F72D84">
      <w:pPr>
        <w:spacing w:after="0" w:line="240" w:lineRule="auto"/>
        <w:ind w:left="851" w:right="850"/>
        <w:jc w:val="both"/>
        <w:rPr>
          <w:rFonts w:ascii="Palatino Linotype" w:eastAsia="Times New Roman" w:hAnsi="Palatino Linotype" w:cs="Arial"/>
          <w:lang w:val="es-ES"/>
        </w:rPr>
      </w:pPr>
    </w:p>
    <w:p w:rsidR="00F72D84" w:rsidRPr="00BA3BF3" w:rsidRDefault="00F72D84" w:rsidP="00F72D84">
      <w:pPr>
        <w:spacing w:after="0" w:line="240" w:lineRule="auto"/>
        <w:ind w:left="851" w:right="850"/>
        <w:jc w:val="both"/>
        <w:rPr>
          <w:rFonts w:ascii="Palatino Linotype" w:eastAsia="Times New Roman" w:hAnsi="Palatino Linotype" w:cs="Arial"/>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w:t>
      </w:r>
      <w:r w:rsidRPr="00BA3BF3">
        <w:rPr>
          <w:rFonts w:ascii="Palatino Linotype" w:eastAsia="Times New Roman" w:hAnsi="Palatino Linotype" w:cs="Arial"/>
          <w:sz w:val="24"/>
          <w:szCs w:val="24"/>
          <w:lang w:val="es-ES"/>
        </w:rPr>
        <w:lastRenderedPageBreak/>
        <w:t>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 mayor abundamiento, debe observarse lo establecido en los artículos 1, fra</w:t>
      </w:r>
      <w:r w:rsidR="00525B1E">
        <w:rPr>
          <w:rFonts w:ascii="Palatino Linotype" w:eastAsia="Times New Roman" w:hAnsi="Palatino Linotype" w:cs="Arial"/>
          <w:sz w:val="24"/>
          <w:szCs w:val="24"/>
          <w:lang w:val="es-ES"/>
        </w:rPr>
        <w:t xml:space="preserve">cción III, 20, 21, 22, 23, 24, </w:t>
      </w:r>
      <w:r w:rsidRPr="00BA3BF3">
        <w:rPr>
          <w:rFonts w:ascii="Palatino Linotype" w:eastAsia="Times New Roman" w:hAnsi="Palatino Linotype" w:cs="Arial"/>
          <w:sz w:val="24"/>
          <w:szCs w:val="24"/>
          <w:lang w:val="es-ES"/>
        </w:rPr>
        <w:t>27 y 39 de la Ley de Contratación Pública del Estado de México y Municipios, los cuales se transcriben a continuación:</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1</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Esta Ley tiene por objeto regular los actos relativos a</w:t>
      </w:r>
      <w:r w:rsidRPr="00BA3BF3">
        <w:rPr>
          <w:rFonts w:ascii="Palatino Linotype" w:eastAsia="Times New Roman" w:hAnsi="Palatino Linotype" w:cs="Arial"/>
          <w:i/>
          <w:iCs/>
          <w:lang w:val="es-ES"/>
        </w:rPr>
        <w:t> la planeación, programación, presupuestación, ejecución y control de </w:t>
      </w:r>
      <w:r w:rsidRPr="00BA3BF3">
        <w:rPr>
          <w:rFonts w:ascii="Palatino Linotype" w:eastAsia="Times New Roman" w:hAnsi="Palatino Linotype" w:cs="Arial"/>
          <w:b/>
          <w:bCs/>
          <w:i/>
          <w:iCs/>
          <w:u w:val="single"/>
          <w:lang w:val="es-ES"/>
        </w:rPr>
        <w:t>la adquisición, enajenación y arrendamiento de bienes, y la contratación de servicios de cualquier naturaleza</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que realicen</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Los ayuntamientos de los municipios del Estado</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20</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establecerán y operarán el catálogo de bienes y servicios</w:t>
      </w:r>
      <w:r w:rsidRPr="00BA3BF3">
        <w:rPr>
          <w:rFonts w:ascii="Palatino Linotype" w:eastAsia="Times New Roman" w:hAnsi="Palatino Linotype" w:cs="Arial"/>
          <w:i/>
          <w:iCs/>
          <w:lang w:val="es-ES"/>
        </w:rPr>
        <w:t>, de acuerdo con la reglamentación respectiva. </w:t>
      </w:r>
      <w:r w:rsidRPr="00BA3BF3">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BA3BF3">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21.- </w:t>
      </w:r>
      <w:r w:rsidRPr="00BA3BF3">
        <w:rPr>
          <w:rFonts w:ascii="Palatino Linotype" w:eastAsia="Times New Roman" w:hAnsi="Palatino Linotype" w:cs="Arial"/>
          <w:b/>
          <w:bCs/>
          <w:i/>
          <w:iCs/>
          <w:u w:val="single"/>
          <w:lang w:val="es-ES"/>
        </w:rPr>
        <w:t>A fin de conocer la capacidad administrativa, financiera, legal y técnica de las fuentes de suministro</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integrarán un catálogo de proveedores y de prestadores de servicios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w:t>
      </w:r>
      <w:r w:rsidRPr="00BA3BF3">
        <w:rPr>
          <w:rFonts w:ascii="Palatino Linotype" w:eastAsia="Times New Roman" w:hAnsi="Palatino Linotype" w:cs="Arial"/>
          <w:i/>
          <w:iCs/>
          <w:lang w:val="es-ES"/>
        </w:rPr>
        <w:lastRenderedPageBreak/>
        <w:t>Ley de Medios Electrónicos, los proveedores y prestadores de servicios que deseen participar en los procedimientos que deban desahogarse por conducto del COMPRAMEX.</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22</w:t>
      </w:r>
      <w:r w:rsidRPr="00BA3BF3">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A3BF3">
        <w:rPr>
          <w:rFonts w:ascii="Palatino Linotype" w:eastAsia="Times New Roman" w:hAnsi="Palatino Linotype" w:cs="Arial"/>
          <w:b/>
          <w:bCs/>
          <w:i/>
          <w:iCs/>
          <w:u w:val="single"/>
          <w:lang w:val="es-ES"/>
        </w:rPr>
        <w:t>los ayuntamientos se auxiliarán de un comité de arrendamientos, adquisiciones de inmuebles y enajenaciones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23</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Los comités de adquisiciones y de servicios tendrán las funciones siguientes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Las demás que establezca el reglamento de esta Ley.”</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24</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El comité de arrendamientos, adquisiciones de inmuebles y enajenaciones tendrá las funciones siguientes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 tratándose de adquisiciones de inmuebles y arrendamientos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Participar en los procedimientos de subasta pública, hasta dejarlos en estado de dictar el fallo de adjudicación.</w:t>
      </w: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i/>
          <w:iCs/>
          <w:lang w:val="es-ES"/>
        </w:rPr>
        <w:t>V. Las demás que establezca el reglamento de esta Ley.”</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t>Artículo 26.- </w:t>
      </w:r>
      <w:r w:rsidRPr="00BA3BF3">
        <w:rPr>
          <w:rFonts w:ascii="Palatino Linotype" w:eastAsia="Times New Roman" w:hAnsi="Palatino Linotype" w:cs="Arial"/>
          <w:i/>
          <w:iCs/>
          <w:lang w:val="es-ES"/>
        </w:rPr>
        <w:t>Las adquisiciones, arrendamientos y servicios se adjudicarán a través de licitaciones públicas, mediante convocatoria pública.</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lastRenderedPageBreak/>
        <w:t>Artículo 27.-</w:t>
      </w:r>
      <w:r w:rsidRPr="00BA3BF3">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 </w:t>
      </w:r>
      <w:r w:rsidRPr="00BA3BF3">
        <w:rPr>
          <w:rFonts w:ascii="Palatino Linotype" w:eastAsia="Times New Roman" w:hAnsi="Palatino Linotype" w:cs="Arial"/>
          <w:b/>
          <w:bCs/>
          <w:i/>
          <w:iCs/>
          <w:u w:val="single"/>
          <w:lang w:val="es-ES"/>
        </w:rPr>
        <w:t>Invitación restringida</w:t>
      </w:r>
      <w:r w:rsidRPr="00BA3BF3">
        <w:rPr>
          <w:rFonts w:ascii="Palatino Linotype" w:eastAsia="Times New Roman" w:hAnsi="Palatino Linotype" w:cs="Arial"/>
          <w:b/>
          <w:bCs/>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 </w:t>
      </w:r>
      <w:r w:rsidRPr="00BA3BF3">
        <w:rPr>
          <w:rFonts w:ascii="Palatino Linotype" w:eastAsia="Times New Roman" w:hAnsi="Palatino Linotype" w:cs="Arial"/>
          <w:b/>
          <w:bCs/>
          <w:i/>
          <w:iCs/>
          <w:u w:val="single"/>
          <w:lang w:val="es-ES"/>
        </w:rPr>
        <w:t>Adjudicación directa</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b/>
          <w:sz w:val="19"/>
          <w:szCs w:val="19"/>
          <w:lang w:val="es-ES"/>
        </w:rPr>
      </w:pPr>
      <w:r w:rsidRPr="00BA3BF3">
        <w:rPr>
          <w:rFonts w:ascii="Palatino Linotype" w:eastAsia="Times New Roman" w:hAnsi="Palatino Linotype" w:cs="Arial"/>
          <w:b/>
          <w:bCs/>
          <w:i/>
          <w:iCs/>
          <w:lang w:val="es-ES"/>
        </w:rPr>
        <w:t>Artículo 39</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Para cada uno de los actos del procedimiento adquisitivo se levantará el acta respectiva</w:t>
      </w:r>
      <w:r w:rsidRPr="00BA3BF3">
        <w:rPr>
          <w:rFonts w:ascii="Palatino Linotype" w:eastAsia="Times New Roman" w:hAnsi="Palatino Linotype" w:cs="Arial"/>
          <w:i/>
          <w:iCs/>
          <w:lang w:val="es-ES"/>
        </w:rPr>
        <w:t>, la cual será firmada por los participantes, sin que la falta de firma de alguno de ellos invalide su contenido y efectos.</w:t>
      </w:r>
      <w:r w:rsidRPr="00BA3BF3">
        <w:rPr>
          <w:rFonts w:ascii="Palatino Linotype" w:eastAsia="Times New Roman" w:hAnsi="Palatino Linotype" w:cs="Arial"/>
          <w:b/>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(Énfasis añadido)</w:t>
      </w:r>
    </w:p>
    <w:p w:rsidR="00F72D84" w:rsidRPr="00BA3BF3" w:rsidRDefault="00F72D84" w:rsidP="00F72D84">
      <w:pPr>
        <w:spacing w:after="0" w:line="240" w:lineRule="auto"/>
        <w:ind w:left="851" w:right="899"/>
        <w:jc w:val="both"/>
        <w:rPr>
          <w:rFonts w:ascii="Palatino Linotype" w:eastAsia="Times New Roman" w:hAnsi="Palatino Linotype" w:cs="Arial"/>
          <w:sz w:val="24"/>
          <w:szCs w:val="24"/>
          <w:lang w:val="es-ES"/>
        </w:rPr>
      </w:pPr>
    </w:p>
    <w:p w:rsidR="00F72D84" w:rsidRPr="00BA3BF3" w:rsidRDefault="00F72D84" w:rsidP="00F72D84">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F72D84" w:rsidRDefault="00F72D84" w:rsidP="00F72D84">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 la interpretación armónica de los preceptos transcritos, se advierte que </w:t>
      </w:r>
      <w:r w:rsidRPr="00BA3BF3">
        <w:rPr>
          <w:rFonts w:ascii="Palatino Linotype" w:eastAsia="Times New Roman" w:hAnsi="Palatino Linotype" w:cs="Arial"/>
          <w:b/>
          <w:sz w:val="24"/>
          <w:szCs w:val="24"/>
          <w:lang w:val="es-ES"/>
        </w:rPr>
        <w:t>El Sujeto Obligado</w:t>
      </w:r>
      <w:r w:rsidRPr="00BA3BF3">
        <w:rPr>
          <w:rFonts w:ascii="Palatino Linotype" w:eastAsia="Times New Roman" w:hAnsi="Palatino Linotype" w:cs="Arial"/>
          <w:sz w:val="24"/>
          <w:szCs w:val="24"/>
          <w:lang w:val="es-ES"/>
        </w:rPr>
        <w:t xml:space="preserve">, cuenta con la competencia para regular los actos relativos a la </w:t>
      </w:r>
      <w:r w:rsidRPr="00BA3BF3">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BA3BF3">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Pr="00210DC4">
        <w:rPr>
          <w:rFonts w:ascii="Palatino Linotype" w:eastAsia="Times New Roman" w:hAnsi="Palatino Linotype" w:cs="Arial"/>
          <w:sz w:val="24"/>
          <w:szCs w:val="24"/>
          <w:lang w:val="es-ES"/>
        </w:rPr>
        <w:t xml:space="preserve"> </w:t>
      </w:r>
    </w:p>
    <w:p w:rsidR="00F72D84" w:rsidRDefault="00F72D84" w:rsidP="00F72D84">
      <w:pPr>
        <w:autoSpaceDE w:val="0"/>
        <w:autoSpaceDN w:val="0"/>
        <w:adjustRightInd w:val="0"/>
        <w:spacing w:after="0" w:line="360" w:lineRule="auto"/>
        <w:jc w:val="both"/>
        <w:rPr>
          <w:rFonts w:ascii="Palatino Linotype" w:hAnsi="Palatino Linotype" w:cs="Arial"/>
          <w:sz w:val="24"/>
          <w:szCs w:val="24"/>
        </w:rPr>
      </w:pPr>
    </w:p>
    <w:p w:rsidR="0069109B" w:rsidRPr="000177F8" w:rsidRDefault="0069109B" w:rsidP="0069109B">
      <w:pPr>
        <w:pStyle w:val="Prrafodelista"/>
        <w:numPr>
          <w:ilvl w:val="0"/>
          <w:numId w:val="4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69109B" w:rsidRPr="00E07DF5" w:rsidRDefault="0069109B" w:rsidP="0069109B">
      <w:pPr>
        <w:spacing w:line="360" w:lineRule="auto"/>
        <w:ind w:left="709" w:right="141"/>
        <w:jc w:val="both"/>
        <w:rPr>
          <w:rFonts w:ascii="Palatino Linotype" w:hAnsi="Palatino Linotype"/>
          <w:b/>
          <w:i/>
          <w:color w:val="000000"/>
          <w:sz w:val="2"/>
        </w:rPr>
      </w:pPr>
    </w:p>
    <w:p w:rsidR="0069109B" w:rsidRDefault="0069109B" w:rsidP="0069109B">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873BA">
        <w:rPr>
          <w:rFonts w:ascii="Palatino Linotype" w:hAnsi="Palatino Linotype" w:cs="Arial"/>
          <w:sz w:val="24"/>
          <w:szCs w:val="24"/>
        </w:rPr>
        <w:lastRenderedPageBreak/>
        <w:t>públicos, de acuerdo a lo dispuesto en los artículos 3, fracciones IX, XX, XXI y XLV; 91, 122, 132, 137, 143 fracción I, de la Ley de Transparencia y Acceso a la Información Pública del Estado de México y Municipios.</w:t>
      </w:r>
    </w:p>
    <w:p w:rsidR="0069109B" w:rsidRPr="000177F8" w:rsidRDefault="0069109B" w:rsidP="0069109B">
      <w:pPr>
        <w:spacing w:after="0" w:line="360" w:lineRule="auto"/>
        <w:jc w:val="both"/>
        <w:rPr>
          <w:rFonts w:ascii="Palatino Linotype" w:hAnsi="Palatino Linotype" w:cs="Arial"/>
          <w:sz w:val="18"/>
          <w:szCs w:val="24"/>
        </w:rPr>
      </w:pP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69109B" w:rsidRPr="00E07DF5" w:rsidRDefault="0069109B" w:rsidP="0069109B">
      <w:pPr>
        <w:autoSpaceDE w:val="0"/>
        <w:autoSpaceDN w:val="0"/>
        <w:adjustRightInd w:val="0"/>
        <w:spacing w:after="0" w:line="360" w:lineRule="auto"/>
        <w:jc w:val="both"/>
        <w:rPr>
          <w:rFonts w:ascii="Palatino Linotype" w:hAnsi="Palatino Linotype" w:cs="Arial"/>
        </w:rPr>
      </w:pP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E07DF5">
        <w:rPr>
          <w:rFonts w:ascii="Palatino Linotype" w:hAnsi="Palatino Linotype" w:cs="Arial"/>
          <w:i/>
        </w:rPr>
        <w:lastRenderedPageBreak/>
        <w:t>clasificadas, indicando su contenido de manera genérica y fundando y motivando su clasificación.</w:t>
      </w: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69109B" w:rsidRPr="00E07DF5" w:rsidRDefault="0069109B" w:rsidP="0069109B">
      <w:pPr>
        <w:pStyle w:val="Prrafodelista"/>
        <w:numPr>
          <w:ilvl w:val="0"/>
          <w:numId w:val="4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rsidR="0069109B" w:rsidRPr="00E07DF5" w:rsidRDefault="0069109B" w:rsidP="0069109B">
      <w:pPr>
        <w:pStyle w:val="Prrafodelista"/>
        <w:autoSpaceDE w:val="0"/>
        <w:autoSpaceDN w:val="0"/>
        <w:adjustRightInd w:val="0"/>
        <w:ind w:left="1287" w:right="284"/>
        <w:jc w:val="both"/>
        <w:rPr>
          <w:rFonts w:ascii="Palatino Linotype" w:hAnsi="Palatino Linotype" w:cs="Arial"/>
          <w:i/>
        </w:rPr>
      </w:pPr>
    </w:p>
    <w:p w:rsidR="0069109B" w:rsidRPr="008873BA" w:rsidRDefault="0069109B" w:rsidP="0069109B">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9109B" w:rsidRPr="00E07DF5" w:rsidRDefault="0069109B" w:rsidP="0069109B">
      <w:pPr>
        <w:rPr>
          <w:sz w:val="14"/>
          <w:lang w:val="es-ES" w:eastAsia="es-ES"/>
        </w:rPr>
      </w:pP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69109B" w:rsidRPr="008873BA" w:rsidRDefault="0069109B" w:rsidP="0069109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lang w:eastAsia="es-MX"/>
        </w:rPr>
      </w:pPr>
    </w:p>
    <w:p w:rsidR="0069109B" w:rsidRDefault="0069109B" w:rsidP="0069109B">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69109B" w:rsidRDefault="0069109B" w:rsidP="0069109B">
      <w:pPr>
        <w:autoSpaceDE w:val="0"/>
        <w:autoSpaceDN w:val="0"/>
        <w:adjustRightInd w:val="0"/>
        <w:spacing w:after="0" w:line="360" w:lineRule="auto"/>
        <w:jc w:val="both"/>
        <w:rPr>
          <w:rFonts w:ascii="Palatino Linotype" w:hAnsi="Palatino Linotype"/>
          <w:sz w:val="24"/>
          <w:szCs w:val="24"/>
        </w:rPr>
      </w:pPr>
    </w:p>
    <w:p w:rsidR="0069109B" w:rsidRDefault="0069109B" w:rsidP="0069109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9109B" w:rsidRPr="00481AA8" w:rsidRDefault="0069109B" w:rsidP="0069109B">
      <w:pPr>
        <w:autoSpaceDE w:val="0"/>
        <w:autoSpaceDN w:val="0"/>
        <w:adjustRightInd w:val="0"/>
        <w:spacing w:after="0" w:line="360" w:lineRule="auto"/>
        <w:jc w:val="both"/>
        <w:rPr>
          <w:rFonts w:ascii="Palatino Linotype" w:hAnsi="Palatino Linotype" w:cs="Arial"/>
          <w:bCs/>
          <w:sz w:val="18"/>
          <w:szCs w:val="24"/>
        </w:rPr>
      </w:pPr>
    </w:p>
    <w:p w:rsidR="0069109B" w:rsidRPr="008873BA" w:rsidRDefault="0069109B" w:rsidP="0069109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8873BA">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69109B" w:rsidRPr="00E07DF5" w:rsidRDefault="0069109B" w:rsidP="0069109B">
      <w:pPr>
        <w:spacing w:after="0" w:line="360" w:lineRule="auto"/>
        <w:jc w:val="both"/>
        <w:rPr>
          <w:rFonts w:ascii="Palatino Linotype" w:hAnsi="Palatino Linotype" w:cs="Arial"/>
          <w:bCs/>
          <w:sz w:val="14"/>
          <w:szCs w:val="24"/>
        </w:rPr>
      </w:pPr>
    </w:p>
    <w:p w:rsidR="0069109B" w:rsidRPr="008873BA" w:rsidRDefault="0069109B" w:rsidP="0069109B">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9109B" w:rsidRPr="008873BA" w:rsidRDefault="0069109B" w:rsidP="0069109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69109B" w:rsidRPr="008873BA" w:rsidRDefault="0069109B" w:rsidP="0069109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69109B" w:rsidRPr="00E07DF5" w:rsidRDefault="0069109B" w:rsidP="0069109B">
      <w:pPr>
        <w:spacing w:after="0" w:line="240" w:lineRule="auto"/>
        <w:ind w:left="851" w:right="850"/>
        <w:jc w:val="both"/>
        <w:rPr>
          <w:rFonts w:ascii="Palatino Linotype" w:hAnsi="Palatino Linotype" w:cs="Arial"/>
          <w:bCs/>
          <w:i/>
          <w:iCs/>
          <w:sz w:val="16"/>
        </w:rPr>
      </w:pPr>
    </w:p>
    <w:p w:rsidR="0069109B" w:rsidRPr="008873BA" w:rsidRDefault="0069109B" w:rsidP="0069109B">
      <w:pPr>
        <w:spacing w:after="0" w:line="240" w:lineRule="auto"/>
        <w:ind w:left="851" w:right="850"/>
        <w:jc w:val="both"/>
        <w:rPr>
          <w:rFonts w:ascii="Palatino Linotype" w:hAnsi="Palatino Linotype" w:cs="Arial"/>
          <w:bCs/>
          <w:i/>
          <w:iCs/>
        </w:rPr>
      </w:pPr>
    </w:p>
    <w:p w:rsidR="0069109B" w:rsidRDefault="0069109B" w:rsidP="0069109B">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C0D26" w:rsidRPr="00C968EA" w:rsidRDefault="001C0D26" w:rsidP="001C0D26">
      <w:pPr>
        <w:spacing w:after="0" w:line="360" w:lineRule="auto"/>
        <w:ind w:right="-91"/>
        <w:jc w:val="both"/>
        <w:rPr>
          <w:sz w:val="16"/>
        </w:rPr>
      </w:pPr>
    </w:p>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69109B">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525B1E" w:rsidRPr="00A7234C">
        <w:rPr>
          <w:rFonts w:ascii="Palatino Linotype" w:hAnsi="Palatino Linotype" w:cs="Arial"/>
          <w:b/>
          <w:sz w:val="24"/>
          <w:szCs w:val="24"/>
        </w:rPr>
        <w:t>00015/TMASCALT/IP/2021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Pr="00F2142C" w:rsidRDefault="00F34068" w:rsidP="009A3604">
      <w:pPr>
        <w:tabs>
          <w:tab w:val="left" w:pos="709"/>
        </w:tabs>
        <w:spacing w:after="0" w:line="360" w:lineRule="auto"/>
        <w:ind w:left="567"/>
        <w:jc w:val="both"/>
        <w:rPr>
          <w:rFonts w:ascii="Palatino Linotype" w:hAnsi="Palatino Linotype"/>
          <w:i/>
          <w:sz w:val="24"/>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2F1281" w:rsidRDefault="00A45454" w:rsidP="009A3604">
      <w:pPr>
        <w:spacing w:after="0" w:line="360" w:lineRule="auto"/>
        <w:jc w:val="both"/>
        <w:rPr>
          <w:rFonts w:ascii="Palatino Linotype" w:eastAsia="Times New Roman" w:hAnsi="Palatino Linotype"/>
          <w:b/>
          <w:bCs/>
          <w:spacing w:val="60"/>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977864">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977864" w:rsidRPr="00A7234C">
        <w:rPr>
          <w:rFonts w:ascii="Palatino Linotype" w:hAnsi="Palatino Linotype" w:cs="Arial"/>
          <w:b/>
          <w:sz w:val="24"/>
          <w:szCs w:val="24"/>
        </w:rPr>
        <w:t>00015/TMASCALT/IP/2021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2F1281" w:rsidRDefault="00AB26D5" w:rsidP="00AB26D5">
      <w:pPr>
        <w:spacing w:after="0" w:line="360" w:lineRule="auto"/>
        <w:jc w:val="both"/>
        <w:rPr>
          <w:rFonts w:ascii="Palatino Linotype" w:hAnsi="Palatino Linotype" w:cs="Arial"/>
          <w:sz w:val="28"/>
          <w:szCs w:val="24"/>
        </w:rPr>
      </w:pPr>
    </w:p>
    <w:p w:rsidR="00AB26D5" w:rsidRPr="00A64804"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2F1281">
        <w:rPr>
          <w:rFonts w:ascii="Palatino Linotype" w:hAnsi="Palatino Linotype" w:cs="Arial"/>
          <w:sz w:val="24"/>
          <w:szCs w:val="24"/>
        </w:rPr>
        <w:t xml:space="preserve">, </w:t>
      </w:r>
      <w:r w:rsidR="00861D29">
        <w:rPr>
          <w:rFonts w:ascii="Palatino Linotype" w:hAnsi="Palatino Linotype" w:cs="Arial"/>
          <w:sz w:val="24"/>
          <w:szCs w:val="24"/>
        </w:rPr>
        <w:t xml:space="preserve">previo a una búsqueda exhaustiva y razonable, </w:t>
      </w:r>
      <w:r w:rsidRPr="00A64804">
        <w:rPr>
          <w:rFonts w:ascii="Palatino Linotype" w:hAnsi="Palatino Linotype" w:cs="Arial"/>
          <w:sz w:val="24"/>
          <w:szCs w:val="24"/>
        </w:rPr>
        <w:t>entreg</w:t>
      </w:r>
      <w:r w:rsidR="0069109B">
        <w:rPr>
          <w:rFonts w:ascii="Palatino Linotype" w:hAnsi="Palatino Linotype" w:cs="Arial"/>
          <w:sz w:val="24"/>
          <w:szCs w:val="24"/>
        </w:rPr>
        <w:t>ue</w:t>
      </w:r>
      <w:r w:rsidRPr="00A64804">
        <w:rPr>
          <w:rFonts w:ascii="Palatino Linotype" w:hAnsi="Palatino Linotype" w:cs="Arial"/>
          <w:sz w:val="24"/>
          <w:szCs w:val="24"/>
        </w:rPr>
        <w:t xml:space="preserve"> al Recurrente, </w:t>
      </w:r>
      <w:r w:rsidR="00D65C56">
        <w:rPr>
          <w:rFonts w:ascii="Palatino Linotype" w:hAnsi="Palatino Linotype" w:cs="Arial"/>
          <w:sz w:val="24"/>
          <w:szCs w:val="24"/>
        </w:rPr>
        <w:t>en términos del considerando cuarto de la presente resolución</w:t>
      </w:r>
      <w:r w:rsidR="0069109B">
        <w:rPr>
          <w:rFonts w:ascii="Palatino Linotype" w:hAnsi="Palatino Linotype" w:cs="Arial"/>
          <w:sz w:val="24"/>
          <w:szCs w:val="24"/>
        </w:rPr>
        <w:t xml:space="preserve">, en versión pública y </w:t>
      </w:r>
      <w:r w:rsidRPr="00A64804">
        <w:rPr>
          <w:rFonts w:ascii="Palatino Linotype" w:hAnsi="Palatino Linotype" w:cs="Arial"/>
          <w:sz w:val="24"/>
          <w:szCs w:val="24"/>
        </w:rPr>
        <w:t xml:space="preserve">mediante el SAIMEX, lo siguiente: </w:t>
      </w:r>
    </w:p>
    <w:p w:rsidR="00977864" w:rsidRDefault="00977864" w:rsidP="00977864">
      <w:pPr>
        <w:pStyle w:val="Sinespaciado"/>
        <w:numPr>
          <w:ilvl w:val="0"/>
          <w:numId w:val="50"/>
        </w:numPr>
        <w:spacing w:line="360" w:lineRule="auto"/>
        <w:jc w:val="both"/>
        <w:rPr>
          <w:rFonts w:ascii="Palatino Linotype" w:hAnsi="Palatino Linotype" w:cs="Arial"/>
          <w:i/>
        </w:rPr>
      </w:pPr>
      <w:r>
        <w:rPr>
          <w:rFonts w:ascii="Palatino Linotype" w:hAnsi="Palatino Linotype"/>
          <w:i/>
          <w:color w:val="000000"/>
        </w:rPr>
        <w:t>C</w:t>
      </w:r>
      <w:r w:rsidRPr="00A7234C">
        <w:rPr>
          <w:rFonts w:ascii="Palatino Linotype" w:hAnsi="Palatino Linotype"/>
          <w:i/>
          <w:color w:val="000000"/>
        </w:rPr>
        <w:t xml:space="preserve">ontratos celebrados </w:t>
      </w:r>
      <w:r>
        <w:rPr>
          <w:rFonts w:ascii="Palatino Linotype" w:hAnsi="Palatino Linotype"/>
          <w:i/>
          <w:color w:val="000000"/>
        </w:rPr>
        <w:t>derivados de las</w:t>
      </w:r>
      <w:r w:rsidRPr="00A7234C">
        <w:rPr>
          <w:rFonts w:ascii="Palatino Linotype" w:hAnsi="Palatino Linotype"/>
          <w:i/>
          <w:color w:val="000000"/>
        </w:rPr>
        <w:t xml:space="preserve"> licitacion</w:t>
      </w:r>
      <w:r>
        <w:rPr>
          <w:rFonts w:ascii="Palatino Linotype" w:hAnsi="Palatino Linotype"/>
          <w:i/>
          <w:color w:val="000000"/>
        </w:rPr>
        <w:t>es</w:t>
      </w:r>
      <w:r w:rsidRPr="00A7234C">
        <w:rPr>
          <w:rFonts w:ascii="Palatino Linotype" w:hAnsi="Palatino Linotype"/>
          <w:i/>
          <w:color w:val="000000"/>
        </w:rPr>
        <w:t xml:space="preserve"> pública</w:t>
      </w:r>
      <w:r>
        <w:rPr>
          <w:rFonts w:ascii="Palatino Linotype" w:hAnsi="Palatino Linotype"/>
          <w:i/>
          <w:color w:val="000000"/>
        </w:rPr>
        <w:t xml:space="preserve">s llevadas a cabo </w:t>
      </w:r>
      <w:r w:rsidRPr="00A7234C">
        <w:rPr>
          <w:rFonts w:ascii="Palatino Linotype" w:hAnsi="Palatino Linotype"/>
          <w:i/>
          <w:color w:val="000000"/>
        </w:rPr>
        <w:t>en</w:t>
      </w:r>
      <w:r>
        <w:rPr>
          <w:rFonts w:ascii="Palatino Linotype" w:hAnsi="Palatino Linotype"/>
          <w:i/>
          <w:color w:val="000000"/>
        </w:rPr>
        <w:t xml:space="preserve"> </w:t>
      </w:r>
      <w:r w:rsidRPr="00A7234C">
        <w:rPr>
          <w:rFonts w:ascii="Palatino Linotype" w:hAnsi="Palatino Linotype"/>
          <w:i/>
          <w:color w:val="000000"/>
        </w:rPr>
        <w:t xml:space="preserve"> 2020</w:t>
      </w:r>
      <w:r>
        <w:rPr>
          <w:rFonts w:ascii="Palatino Linotype" w:hAnsi="Palatino Linotype"/>
          <w:i/>
          <w:color w:val="000000"/>
        </w:rPr>
        <w:t>, por el Sujeto Obligado.</w:t>
      </w:r>
    </w:p>
    <w:p w:rsidR="00CA3C3D" w:rsidRDefault="00CA3C3D" w:rsidP="009679E1">
      <w:pPr>
        <w:pStyle w:val="Sinespaciado"/>
        <w:spacing w:line="360" w:lineRule="auto"/>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A3C3D" w:rsidRDefault="00CA3C3D" w:rsidP="009679E1">
      <w:pPr>
        <w:pStyle w:val="Sinespaciado"/>
        <w:spacing w:line="360" w:lineRule="auto"/>
        <w:jc w:val="both"/>
        <w:rPr>
          <w:rFonts w:ascii="Palatino Linotype" w:hAnsi="Palatino Linotype"/>
          <w:i/>
          <w:color w:val="000000"/>
        </w:rPr>
      </w:pPr>
    </w:p>
    <w:p w:rsidR="00AB26D5" w:rsidRDefault="00AB26D5" w:rsidP="00D67293">
      <w:pPr>
        <w:pStyle w:val="Sinespaciado"/>
        <w:spacing w:line="360" w:lineRule="auto"/>
        <w:jc w:val="both"/>
        <w:rPr>
          <w:rFonts w:ascii="Palatino Linotype" w:hAnsi="Palatino Linotype" w:cs="Arial"/>
        </w:rPr>
      </w:pPr>
      <w:r w:rsidRPr="00AB26D5">
        <w:rPr>
          <w:rFonts w:ascii="Palatino Linotype" w:hAnsi="Palatino Linotype" w:cs="Arial"/>
          <w:b/>
          <w:sz w:val="28"/>
          <w:szCs w:val="28"/>
        </w:rPr>
        <w:t>TERCERO.</w:t>
      </w:r>
      <w:r w:rsidRPr="00A64804">
        <w:rPr>
          <w:rFonts w:ascii="Palatino Linotype" w:hAnsi="Palatino Linotype" w:cs="Arial"/>
          <w:b/>
        </w:rPr>
        <w:t xml:space="preserve"> </w:t>
      </w:r>
      <w:r w:rsidRPr="00A64804">
        <w:rPr>
          <w:rFonts w:ascii="Palatino Linotype" w:hAnsi="Palatino Linotype" w:cs="Arial"/>
        </w:rPr>
        <w:t>Notifíquese</w:t>
      </w:r>
      <w:r w:rsidRPr="00A64804">
        <w:rPr>
          <w:rFonts w:ascii="Palatino Linotype" w:hAnsi="Palatino Linotype" w:cs="Arial"/>
          <w:i/>
        </w:rPr>
        <w:t xml:space="preserve"> </w:t>
      </w:r>
      <w:r w:rsidRPr="00A64804">
        <w:rPr>
          <w:rFonts w:ascii="Palatino Linotype" w:hAnsi="Palatino Linotype" w:cs="Arial"/>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50F84">
        <w:rPr>
          <w:rFonts w:ascii="Palatino Linotype" w:hAnsi="Palatino Linotype" w:cs="Arial"/>
        </w:rPr>
        <w:t>veinte</w:t>
      </w:r>
      <w:r w:rsidR="00F50F84" w:rsidRPr="00A64804">
        <w:rPr>
          <w:rFonts w:ascii="Palatino Linotype" w:hAnsi="Palatino Linotype" w:cs="Arial"/>
        </w:rPr>
        <w:t xml:space="preserve"> </w:t>
      </w:r>
      <w:r w:rsidRPr="00A64804">
        <w:rPr>
          <w:rFonts w:ascii="Palatino Linotype" w:hAnsi="Palatino Linotype" w:cs="Arial"/>
        </w:rPr>
        <w:t>días hábiles, debiendo informar a este Instituto en un plazo de tres días hábiles siguientes sobre el cumplimiento dado a la presente resolución.</w:t>
      </w:r>
    </w:p>
    <w:p w:rsidR="00F50F84" w:rsidRDefault="00F50F84" w:rsidP="00D67293">
      <w:pPr>
        <w:pStyle w:val="Sinespaciado"/>
        <w:spacing w:line="360" w:lineRule="auto"/>
        <w:jc w:val="both"/>
        <w:rPr>
          <w:rFonts w:ascii="Palatino Linotype" w:hAnsi="Palatino Linotype" w:cs="Arial"/>
        </w:rPr>
      </w:pPr>
    </w:p>
    <w:p w:rsidR="00F50F84" w:rsidRPr="002121F2" w:rsidRDefault="00F50F84" w:rsidP="00F50F84">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rsidR="00CA3C3D" w:rsidRPr="00977864" w:rsidRDefault="00F50F84" w:rsidP="00CA3C3D">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QUIN</w:t>
      </w:r>
      <w:r w:rsidR="00977864">
        <w:rPr>
          <w:rFonts w:ascii="Palatino Linotype" w:hAnsi="Palatino Linotype" w:cs="Arial"/>
          <w:b/>
          <w:sz w:val="28"/>
          <w:szCs w:val="28"/>
        </w:rPr>
        <w:t>TO</w:t>
      </w:r>
      <w:r w:rsidR="00977864" w:rsidRPr="003721E8">
        <w:rPr>
          <w:rFonts w:ascii="Palatino Linotype" w:hAnsi="Palatino Linotype" w:cs="Arial"/>
          <w:b/>
          <w:sz w:val="28"/>
          <w:szCs w:val="28"/>
        </w:rPr>
        <w:t>.</w:t>
      </w:r>
      <w:r w:rsidR="00977864" w:rsidRPr="003721E8">
        <w:rPr>
          <w:rFonts w:ascii="Palatino Linotype" w:hAnsi="Palatino Linotype" w:cs="Arial"/>
          <w:b/>
          <w:sz w:val="24"/>
          <w:szCs w:val="24"/>
        </w:rPr>
        <w:t xml:space="preserve"> </w:t>
      </w:r>
      <w:r w:rsidR="00977864" w:rsidRPr="00363018">
        <w:rPr>
          <w:rFonts w:ascii="Palatino Linotype" w:hAnsi="Palatino Linotype" w:cs="Arial"/>
          <w:sz w:val="24"/>
          <w:szCs w:val="24"/>
        </w:rPr>
        <w:t>Notifíquese a</w:t>
      </w:r>
      <w:r w:rsidR="00977864">
        <w:rPr>
          <w:rFonts w:ascii="Palatino Linotype" w:hAnsi="Palatino Linotype" w:cs="Arial"/>
          <w:sz w:val="24"/>
          <w:szCs w:val="24"/>
        </w:rPr>
        <w:t xml:space="preserve"> </w:t>
      </w:r>
      <w:r w:rsidR="00977864" w:rsidRPr="00363018">
        <w:rPr>
          <w:rFonts w:ascii="Palatino Linotype" w:hAnsi="Palatino Linotype" w:cs="Arial"/>
          <w:sz w:val="24"/>
          <w:szCs w:val="24"/>
        </w:rPr>
        <w:t>l</w:t>
      </w:r>
      <w:r w:rsidR="00977864">
        <w:rPr>
          <w:rFonts w:ascii="Palatino Linotype" w:hAnsi="Palatino Linotype" w:cs="Arial"/>
          <w:sz w:val="24"/>
          <w:szCs w:val="24"/>
        </w:rPr>
        <w:t>a</w:t>
      </w:r>
      <w:r w:rsidR="00977864" w:rsidRPr="00363018">
        <w:rPr>
          <w:rFonts w:ascii="Palatino Linotype" w:hAnsi="Palatino Linotype" w:cs="Arial"/>
          <w:sz w:val="24"/>
          <w:szCs w:val="24"/>
        </w:rPr>
        <w:t xml:space="preserve"> Recurrente</w:t>
      </w:r>
      <w:r w:rsidR="00977864" w:rsidRPr="005C547D">
        <w:rPr>
          <w:rFonts w:ascii="Palatino Linotype" w:hAnsi="Palatino Linotype" w:cs="Arial"/>
          <w:sz w:val="24"/>
          <w:szCs w:val="24"/>
        </w:rPr>
        <w:t xml:space="preserve"> la presente resolución </w:t>
      </w:r>
      <w:r w:rsidR="00977864">
        <w:rPr>
          <w:rFonts w:ascii="Palatino Linotype" w:hAnsi="Palatino Linotype" w:cs="Arial"/>
          <w:sz w:val="24"/>
          <w:szCs w:val="24"/>
        </w:rPr>
        <w:t>mediante el SAIMEX, y h</w:t>
      </w:r>
      <w:r w:rsidR="00977864" w:rsidRPr="002E35AF">
        <w:rPr>
          <w:rFonts w:ascii="Palatino Linotype" w:hAnsi="Palatino Linotype" w:cs="Arial"/>
          <w:sz w:val="24"/>
          <w:szCs w:val="24"/>
        </w:rPr>
        <w:t>ágase de</w:t>
      </w:r>
      <w:r w:rsidR="00977864">
        <w:rPr>
          <w:rFonts w:ascii="Palatino Linotype" w:hAnsi="Palatino Linotype" w:cs="Arial"/>
          <w:sz w:val="24"/>
          <w:szCs w:val="24"/>
        </w:rPr>
        <w:t>l conocimiento que e</w:t>
      </w:r>
      <w:r w:rsidR="00977864" w:rsidRPr="002E35AF">
        <w:rPr>
          <w:rFonts w:ascii="Palatino Linotype" w:hAnsi="Palatino Linotype" w:cs="Arial"/>
          <w:sz w:val="24"/>
          <w:szCs w:val="24"/>
        </w:rPr>
        <w:t xml:space="preserve">n caso de considerar que </w:t>
      </w:r>
      <w:r w:rsidR="00977864">
        <w:rPr>
          <w:rFonts w:ascii="Palatino Linotype" w:hAnsi="Palatino Linotype" w:cs="Arial"/>
          <w:sz w:val="24"/>
          <w:szCs w:val="24"/>
        </w:rPr>
        <w:t>le</w:t>
      </w:r>
      <w:r w:rsidR="00977864"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w:t>
      </w:r>
      <w:r w:rsidR="009F114E">
        <w:rPr>
          <w:rFonts w:ascii="Palatino Linotype" w:hAnsi="Palatino Linotype" w:cs="Arial"/>
          <w:sz w:val="24"/>
          <w:szCs w:val="24"/>
        </w:rPr>
        <w:t>Municipios.</w:t>
      </w:r>
    </w:p>
    <w:p w:rsidR="002F1281" w:rsidRDefault="002F1281" w:rsidP="00AB26D5">
      <w:pPr>
        <w:spacing w:after="0" w:line="360" w:lineRule="auto"/>
        <w:jc w:val="both"/>
        <w:rPr>
          <w:rFonts w:ascii="Palatino Linotype" w:hAnsi="Palatino Linotype" w:cs="Arial"/>
          <w:bCs/>
          <w:sz w:val="24"/>
          <w:szCs w:val="24"/>
        </w:rPr>
      </w:pPr>
    </w:p>
    <w:p w:rsidR="00972340" w:rsidRDefault="00F2498E" w:rsidP="00C968EA">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796D61">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w:t>
      </w:r>
      <w:r w:rsidR="003959AB">
        <w:rPr>
          <w:rFonts w:ascii="Palatino Linotype" w:hAnsi="Palatino Linotype" w:cs="Arial"/>
          <w:sz w:val="24"/>
          <w:szCs w:val="24"/>
        </w:rPr>
        <w:t xml:space="preserve"> </w:t>
      </w:r>
      <w:r w:rsidRPr="00C43242">
        <w:rPr>
          <w:rFonts w:ascii="Palatino Linotype" w:hAnsi="Palatino Linotype" w:cs="Arial"/>
          <w:sz w:val="24"/>
          <w:szCs w:val="24"/>
        </w:rPr>
        <w:t>EN LA</w:t>
      </w:r>
      <w:r w:rsidR="00F2142C">
        <w:rPr>
          <w:rFonts w:ascii="Palatino Linotype" w:hAnsi="Palatino Linotype" w:cs="Arial"/>
          <w:sz w:val="24"/>
          <w:szCs w:val="24"/>
        </w:rPr>
        <w:t xml:space="preserve"> DÉCIMA QUINTA</w:t>
      </w:r>
      <w:r w:rsidR="003959AB">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F2142C">
        <w:rPr>
          <w:rFonts w:ascii="Palatino Linotype" w:hAnsi="Palatino Linotype" w:cs="Arial"/>
          <w:sz w:val="24"/>
          <w:szCs w:val="24"/>
        </w:rPr>
        <w:t>SEIS DE MAYO</w:t>
      </w:r>
      <w:r w:rsidR="003959AB">
        <w:rPr>
          <w:rFonts w:ascii="Palatino Linotype" w:hAnsi="Palatino Linotype" w:cs="Arial"/>
          <w:sz w:val="24"/>
          <w:szCs w:val="24"/>
        </w:rPr>
        <w:t xml:space="preserve"> DE DOS MIL VEINTIUNO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796D61">
        <w:rPr>
          <w:rFonts w:ascii="Palatino Linotype" w:hAnsi="Palatino Linotype" w:cs="Arial"/>
          <w:sz w:val="24"/>
          <w:szCs w:val="24"/>
        </w:rPr>
        <w:t>--------------------------------------------------------------------------------------------------------------------------------------------------------------------------------------------------------------------------------------------------------------------------------------------------------------------------------------------------------------------------------------------------------------------------------------------------------------------------------------------------------------------------------------------------------------------------------------------------------------------------------------</w:t>
      </w:r>
      <w:r w:rsidR="00F2142C">
        <w:rPr>
          <w:rFonts w:ascii="Palatino Linotype" w:hAnsi="Palatino Linotype" w:cs="Arial"/>
          <w:sz w:val="24"/>
          <w:szCs w:val="24"/>
        </w:rPr>
        <w:t>--------------------------------------------------------------------------------------------------------------------------------------------------------------------------------------------------------------------------------------------------------------------------------------------------------------------------------------------------------------------------------------------------------------------------------------------------------------------------------------------------------------------------------------------------------------------------------------------------------------------------------------------------------------------------------------------------------------------------------------------------------------------------------------------------------------------------------------------------------------------------------------------------------------------------------------------------------------------------------------------------------------------------------------------------------------------------------------------------------------------------------OSAM/MOC.</w:t>
      </w:r>
    </w:p>
    <w:p w:rsidR="009E7F49" w:rsidRDefault="009E7F49" w:rsidP="00DF6006">
      <w:pPr>
        <w:spacing w:after="0" w:line="360" w:lineRule="auto"/>
        <w:jc w:val="both"/>
        <w:rPr>
          <w:rFonts w:ascii="Palatino Linotype" w:hAnsi="Palatino Linotype" w:cs="Arial"/>
          <w:sz w:val="24"/>
          <w:szCs w:val="24"/>
        </w:rPr>
      </w:pPr>
    </w:p>
    <w:p w:rsidR="003959AB" w:rsidRDefault="003959AB" w:rsidP="00DF6006">
      <w:pPr>
        <w:spacing w:after="0" w:line="360" w:lineRule="auto"/>
        <w:jc w:val="both"/>
        <w:rPr>
          <w:rFonts w:ascii="Palatino Linotype" w:hAnsi="Palatino Linotype"/>
        </w:rPr>
      </w:pPr>
    </w:p>
    <w:p w:rsidR="003A3A32" w:rsidRPr="00152075" w:rsidRDefault="003A3A32" w:rsidP="00DF6006">
      <w:pPr>
        <w:spacing w:after="0" w:line="360" w:lineRule="auto"/>
        <w:jc w:val="both"/>
        <w:rPr>
          <w:rFonts w:ascii="Palatino Linotype" w:hAnsi="Palatino Linotype"/>
        </w:rPr>
      </w:pP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sectPr w:rsidR="003A3A32" w:rsidSect="00DF6006">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4B3" w:rsidRDefault="007424B3" w:rsidP="00F2498E">
      <w:pPr>
        <w:spacing w:after="0" w:line="240" w:lineRule="auto"/>
      </w:pPr>
      <w:r>
        <w:separator/>
      </w:r>
    </w:p>
  </w:endnote>
  <w:endnote w:type="continuationSeparator" w:id="0">
    <w:p w:rsidR="007424B3" w:rsidRDefault="007424B3"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4C" w:rsidRPr="000B69FA" w:rsidRDefault="00A7234C"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08C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08C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4C" w:rsidRPr="000B69FA" w:rsidRDefault="00A7234C"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08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08C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4B3" w:rsidRDefault="007424B3" w:rsidP="00F2498E">
      <w:pPr>
        <w:spacing w:after="0" w:line="240" w:lineRule="auto"/>
      </w:pPr>
      <w:r>
        <w:separator/>
      </w:r>
    </w:p>
  </w:footnote>
  <w:footnote w:type="continuationSeparator" w:id="0">
    <w:p w:rsidR="007424B3" w:rsidRDefault="007424B3"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CB8" w:rsidRDefault="007424B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55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4C" w:rsidRDefault="007424B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5580" o:spid="_x0000_s2051" type="#_x0000_t75" style="position:absolute;margin-left:-82.3pt;margin-top:-127.3pt;width:609.4pt;height:793.75pt;z-index:-251656192;mso-position-horizontal-relative:margin;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7234C" w:rsidRPr="00B4142F" w:rsidTr="00C36B0D">
      <w:trPr>
        <w:trHeight w:val="227"/>
      </w:trPr>
      <w:tc>
        <w:tcPr>
          <w:tcW w:w="5529" w:type="dxa"/>
          <w:hideMark/>
        </w:tcPr>
        <w:p w:rsidR="00A7234C" w:rsidRDefault="00A7234C"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7234C" w:rsidRPr="00DF5863" w:rsidRDefault="00A7234C" w:rsidP="005D0FB4">
          <w:pPr>
            <w:jc w:val="right"/>
            <w:rPr>
              <w:b/>
            </w:rPr>
          </w:pPr>
          <w:r>
            <w:rPr>
              <w:rFonts w:ascii="Palatino Linotype" w:hAnsi="Palatino Linotype" w:cs="Arial"/>
              <w:b/>
              <w:bCs/>
              <w:lang w:eastAsia="es-MX"/>
            </w:rPr>
            <w:t>01120</w:t>
          </w:r>
          <w:r w:rsidRPr="00DF5863">
            <w:rPr>
              <w:rFonts w:ascii="Palatino Linotype" w:hAnsi="Palatino Linotype" w:cs="Arial"/>
              <w:b/>
              <w:bCs/>
              <w:lang w:eastAsia="es-MX"/>
            </w:rPr>
            <w:t>/INFOEM/IP/RR/202</w:t>
          </w:r>
          <w:r>
            <w:rPr>
              <w:rFonts w:ascii="Palatino Linotype" w:hAnsi="Palatino Linotype" w:cs="Arial"/>
              <w:b/>
              <w:bCs/>
              <w:lang w:eastAsia="es-MX"/>
            </w:rPr>
            <w:t>1</w:t>
          </w:r>
        </w:p>
      </w:tc>
    </w:tr>
    <w:tr w:rsidR="00A7234C" w:rsidTr="00C36B0D">
      <w:trPr>
        <w:trHeight w:val="242"/>
      </w:trPr>
      <w:tc>
        <w:tcPr>
          <w:tcW w:w="5529" w:type="dxa"/>
          <w:vAlign w:val="center"/>
          <w:hideMark/>
        </w:tcPr>
        <w:p w:rsidR="00A7234C" w:rsidRDefault="00A7234C"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7234C" w:rsidRPr="00DF5863" w:rsidRDefault="00A7234C" w:rsidP="00A7234C">
          <w:pPr>
            <w:jc w:val="right"/>
            <w:rPr>
              <w:b/>
            </w:rPr>
          </w:pPr>
          <w:r>
            <w:rPr>
              <w:rFonts w:ascii="Palatino Linotype" w:hAnsi="Palatino Linotype" w:cs="Arial"/>
              <w:b/>
            </w:rPr>
            <w:t xml:space="preserve">Ayuntamiento de </w:t>
          </w:r>
          <w:proofErr w:type="spellStart"/>
          <w:r>
            <w:rPr>
              <w:rFonts w:ascii="Palatino Linotype" w:hAnsi="Palatino Linotype" w:cs="Arial"/>
              <w:b/>
            </w:rPr>
            <w:t>Temascaltepec</w:t>
          </w:r>
          <w:proofErr w:type="spellEnd"/>
        </w:p>
      </w:tc>
    </w:tr>
    <w:tr w:rsidR="00A7234C" w:rsidTr="00C36B0D">
      <w:trPr>
        <w:trHeight w:val="342"/>
      </w:trPr>
      <w:tc>
        <w:tcPr>
          <w:tcW w:w="5529" w:type="dxa"/>
          <w:hideMark/>
        </w:tcPr>
        <w:p w:rsidR="00A7234C" w:rsidRDefault="00A7234C"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A7234C" w:rsidRPr="00DF5863" w:rsidRDefault="00A7234C"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A7234C" w:rsidRDefault="00A723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A7234C" w:rsidTr="000C2D59">
      <w:trPr>
        <w:trHeight w:val="227"/>
      </w:trPr>
      <w:tc>
        <w:tcPr>
          <w:tcW w:w="5949" w:type="dxa"/>
          <w:hideMark/>
        </w:tcPr>
        <w:p w:rsidR="00A7234C" w:rsidRDefault="00A7234C"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A7234C" w:rsidRPr="00DF5863" w:rsidRDefault="00A7234C" w:rsidP="00A7234C">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01120</w:t>
          </w:r>
          <w:r w:rsidRPr="00DF5863">
            <w:rPr>
              <w:rFonts w:ascii="Palatino Linotype" w:hAnsi="Palatino Linotype" w:cs="Arial"/>
              <w:b/>
              <w:bCs/>
              <w:lang w:eastAsia="es-MX"/>
            </w:rPr>
            <w:t>/INFOEM/IP/RR/202</w:t>
          </w:r>
          <w:r>
            <w:rPr>
              <w:rFonts w:ascii="Palatino Linotype" w:hAnsi="Palatino Linotype" w:cs="Arial"/>
              <w:b/>
              <w:bCs/>
              <w:lang w:eastAsia="es-MX"/>
            </w:rPr>
            <w:t>1</w:t>
          </w:r>
        </w:p>
      </w:tc>
    </w:tr>
    <w:tr w:rsidR="00A7234C" w:rsidTr="00E042D8">
      <w:trPr>
        <w:trHeight w:val="196"/>
      </w:trPr>
      <w:tc>
        <w:tcPr>
          <w:tcW w:w="5949" w:type="dxa"/>
          <w:hideMark/>
        </w:tcPr>
        <w:p w:rsidR="00A7234C" w:rsidRDefault="00A7234C"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rsidR="00A7234C" w:rsidRPr="00E042D8" w:rsidRDefault="00D808C5" w:rsidP="00A7234C">
          <w:pPr>
            <w:spacing w:after="120" w:line="256" w:lineRule="auto"/>
            <w:jc w:val="right"/>
            <w:rPr>
              <w:rFonts w:ascii="Palatino Linotype" w:hAnsi="Palatino Linotype" w:cs="Arial"/>
              <w:b/>
            </w:rPr>
          </w:pPr>
          <w:proofErr w:type="spellStart"/>
          <w:r>
            <w:rPr>
              <w:rFonts w:ascii="Palatino Linotype" w:hAnsi="Palatino Linotype" w:cs="Arial"/>
              <w:b/>
            </w:rPr>
            <w:t>xxxxxxxxxxx</w:t>
          </w:r>
          <w:proofErr w:type="spellEnd"/>
        </w:p>
      </w:tc>
    </w:tr>
    <w:tr w:rsidR="00A7234C" w:rsidTr="000C2D59">
      <w:trPr>
        <w:trHeight w:val="242"/>
      </w:trPr>
      <w:tc>
        <w:tcPr>
          <w:tcW w:w="5949" w:type="dxa"/>
          <w:vAlign w:val="center"/>
          <w:hideMark/>
        </w:tcPr>
        <w:p w:rsidR="00A7234C" w:rsidRDefault="00A7234C"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A7234C" w:rsidRPr="00DF5863" w:rsidRDefault="00A7234C" w:rsidP="00A7234C">
          <w:pPr>
            <w:jc w:val="right"/>
            <w:rPr>
              <w:rFonts w:ascii="Palatino Linotype" w:hAnsi="Palatino Linotype" w:cs="Arial"/>
              <w:b/>
            </w:rPr>
          </w:pPr>
          <w:r>
            <w:rPr>
              <w:rFonts w:ascii="Palatino Linotype" w:hAnsi="Palatino Linotype" w:cs="Arial"/>
              <w:b/>
            </w:rPr>
            <w:t xml:space="preserve">Ayuntamiento de </w:t>
          </w:r>
          <w:proofErr w:type="spellStart"/>
          <w:r>
            <w:rPr>
              <w:rFonts w:ascii="Palatino Linotype" w:hAnsi="Palatino Linotype" w:cs="Arial"/>
              <w:b/>
            </w:rPr>
            <w:t>Temascaltepec</w:t>
          </w:r>
          <w:proofErr w:type="spellEnd"/>
        </w:p>
      </w:tc>
    </w:tr>
    <w:tr w:rsidR="00A7234C" w:rsidTr="000C2D59">
      <w:trPr>
        <w:trHeight w:val="342"/>
      </w:trPr>
      <w:tc>
        <w:tcPr>
          <w:tcW w:w="5949" w:type="dxa"/>
          <w:hideMark/>
        </w:tcPr>
        <w:p w:rsidR="00A7234C" w:rsidRDefault="00A7234C"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A7234C" w:rsidRPr="00DF5863" w:rsidRDefault="00A7234C"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A7234C" w:rsidRDefault="007424B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5578" o:spid="_x0000_s2049" type="#_x0000_t75" style="position:absolute;margin-left:-82.3pt;margin-top:-136.2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8B12E8"/>
    <w:multiLevelType w:val="hybridMultilevel"/>
    <w:tmpl w:val="104A65A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5D486E"/>
    <w:multiLevelType w:val="hybridMultilevel"/>
    <w:tmpl w:val="970075A4"/>
    <w:lvl w:ilvl="0" w:tplc="F5CE77E8">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8A54CE"/>
    <w:multiLevelType w:val="hybridMultilevel"/>
    <w:tmpl w:val="53288126"/>
    <w:lvl w:ilvl="0" w:tplc="080A0017">
      <w:start w:val="1"/>
      <w:numFmt w:val="lowerLetter"/>
      <w:lvlText w:val="%1)"/>
      <w:lvlJc w:val="left"/>
      <w:pPr>
        <w:ind w:left="720" w:hanging="360"/>
      </w:pPr>
    </w:lvl>
    <w:lvl w:ilvl="1" w:tplc="080A0019">
      <w:start w:val="1"/>
      <w:numFmt w:val="lowerLetter"/>
      <w:lvlText w:val="%2."/>
      <w:lvlJc w:val="left"/>
      <w:pPr>
        <w:ind w:left="1211"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D67318"/>
    <w:multiLevelType w:val="hybridMultilevel"/>
    <w:tmpl w:val="5492FF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2C536D"/>
    <w:multiLevelType w:val="hybridMultilevel"/>
    <w:tmpl w:val="9614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8">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D0A7081"/>
    <w:multiLevelType w:val="hybridMultilevel"/>
    <w:tmpl w:val="8B0E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BC55D8"/>
    <w:multiLevelType w:val="hybridMultilevel"/>
    <w:tmpl w:val="E9F2A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0F7B60"/>
    <w:multiLevelType w:val="hybridMultilevel"/>
    <w:tmpl w:val="B83EB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970D30"/>
    <w:multiLevelType w:val="hybridMultilevel"/>
    <w:tmpl w:val="BE0E8E8C"/>
    <w:lvl w:ilvl="0" w:tplc="C41023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5D802B2"/>
    <w:multiLevelType w:val="multilevel"/>
    <w:tmpl w:val="208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0C5F27"/>
    <w:multiLevelType w:val="hybridMultilevel"/>
    <w:tmpl w:val="6CF430C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D67DB1"/>
    <w:multiLevelType w:val="hybridMultilevel"/>
    <w:tmpl w:val="773A8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51287B"/>
    <w:multiLevelType w:val="hybridMultilevel"/>
    <w:tmpl w:val="8D6A8E3A"/>
    <w:lvl w:ilvl="0" w:tplc="EB362A84">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4">
    <w:nsid w:val="74C75363"/>
    <w:multiLevelType w:val="hybridMultilevel"/>
    <w:tmpl w:val="A754C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E304BF"/>
    <w:multiLevelType w:val="hybridMultilevel"/>
    <w:tmpl w:val="AC4ED02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7"/>
  </w:num>
  <w:num w:numId="3">
    <w:abstractNumId w:val="29"/>
  </w:num>
  <w:num w:numId="4">
    <w:abstractNumId w:val="0"/>
  </w:num>
  <w:num w:numId="5">
    <w:abstractNumId w:val="18"/>
  </w:num>
  <w:num w:numId="6">
    <w:abstractNumId w:val="19"/>
  </w:num>
  <w:num w:numId="7">
    <w:abstractNumId w:val="42"/>
  </w:num>
  <w:num w:numId="8">
    <w:abstractNumId w:val="33"/>
  </w:num>
  <w:num w:numId="9">
    <w:abstractNumId w:val="26"/>
  </w:num>
  <w:num w:numId="10">
    <w:abstractNumId w:val="15"/>
  </w:num>
  <w:num w:numId="11">
    <w:abstractNumId w:val="20"/>
  </w:num>
  <w:num w:numId="12">
    <w:abstractNumId w:val="16"/>
  </w:num>
  <w:num w:numId="13">
    <w:abstractNumId w:val="40"/>
  </w:num>
  <w:num w:numId="14">
    <w:abstractNumId w:val="41"/>
  </w:num>
  <w:num w:numId="15">
    <w:abstractNumId w:val="36"/>
  </w:num>
  <w:num w:numId="16">
    <w:abstractNumId w:val="32"/>
  </w:num>
  <w:num w:numId="17">
    <w:abstractNumId w:val="47"/>
  </w:num>
  <w:num w:numId="18">
    <w:abstractNumId w:val="6"/>
  </w:num>
  <w:num w:numId="19">
    <w:abstractNumId w:val="28"/>
  </w:num>
  <w:num w:numId="20">
    <w:abstractNumId w:val="5"/>
  </w:num>
  <w:num w:numId="21">
    <w:abstractNumId w:val="48"/>
  </w:num>
  <w:num w:numId="22">
    <w:abstractNumId w:val="10"/>
  </w:num>
  <w:num w:numId="23">
    <w:abstractNumId w:val="3"/>
  </w:num>
  <w:num w:numId="24">
    <w:abstractNumId w:val="25"/>
  </w:num>
  <w:num w:numId="25">
    <w:abstractNumId w:val="17"/>
  </w:num>
  <w:num w:numId="26">
    <w:abstractNumId w:val="34"/>
  </w:num>
  <w:num w:numId="27">
    <w:abstractNumId w:val="14"/>
  </w:num>
  <w:num w:numId="28">
    <w:abstractNumId w:val="35"/>
  </w:num>
  <w:num w:numId="29">
    <w:abstractNumId w:val="24"/>
  </w:num>
  <w:num w:numId="30">
    <w:abstractNumId w:val="49"/>
  </w:num>
  <w:num w:numId="31">
    <w:abstractNumId w:val="7"/>
  </w:num>
  <w:num w:numId="32">
    <w:abstractNumId w:val="43"/>
    <w:lvlOverride w:ilvl="0">
      <w:startOverride w:val="1"/>
    </w:lvlOverride>
    <w:lvlOverride w:ilvl="1"/>
    <w:lvlOverride w:ilvl="2"/>
    <w:lvlOverride w:ilvl="3"/>
    <w:lvlOverride w:ilvl="4"/>
    <w:lvlOverride w:ilvl="5"/>
    <w:lvlOverride w:ilvl="6"/>
    <w:lvlOverride w:ilvl="7"/>
    <w:lvlOverride w:ilvl="8"/>
  </w:num>
  <w:num w:numId="33">
    <w:abstractNumId w:val="30"/>
  </w:num>
  <w:num w:numId="34">
    <w:abstractNumId w:val="44"/>
  </w:num>
  <w:num w:numId="35">
    <w:abstractNumId w:val="45"/>
  </w:num>
  <w:num w:numId="36">
    <w:abstractNumId w:val="9"/>
  </w:num>
  <w:num w:numId="37">
    <w:abstractNumId w:val="31"/>
  </w:num>
  <w:num w:numId="38">
    <w:abstractNumId w:val="8"/>
  </w:num>
  <w:num w:numId="39">
    <w:abstractNumId w:val="21"/>
  </w:num>
  <w:num w:numId="40">
    <w:abstractNumId w:val="13"/>
  </w:num>
  <w:num w:numId="41">
    <w:abstractNumId w:val="27"/>
  </w:num>
  <w:num w:numId="42">
    <w:abstractNumId w:val="38"/>
  </w:num>
  <w:num w:numId="43">
    <w:abstractNumId w:val="22"/>
  </w:num>
  <w:num w:numId="44">
    <w:abstractNumId w:val="1"/>
  </w:num>
  <w:num w:numId="45">
    <w:abstractNumId w:val="23"/>
  </w:num>
  <w:num w:numId="46">
    <w:abstractNumId w:val="4"/>
  </w:num>
  <w:num w:numId="47">
    <w:abstractNumId w:val="46"/>
  </w:num>
  <w:num w:numId="48">
    <w:abstractNumId w:val="12"/>
  </w:num>
  <w:num w:numId="49">
    <w:abstractNumId w:val="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1777"/>
    <w:rsid w:val="0005480B"/>
    <w:rsid w:val="00054F6A"/>
    <w:rsid w:val="00055C90"/>
    <w:rsid w:val="0005787D"/>
    <w:rsid w:val="00060716"/>
    <w:rsid w:val="000666B3"/>
    <w:rsid w:val="0007107B"/>
    <w:rsid w:val="00075D5E"/>
    <w:rsid w:val="00077A55"/>
    <w:rsid w:val="000802BA"/>
    <w:rsid w:val="00082E5D"/>
    <w:rsid w:val="0008496A"/>
    <w:rsid w:val="00085D6F"/>
    <w:rsid w:val="00086E88"/>
    <w:rsid w:val="0008737D"/>
    <w:rsid w:val="00092D82"/>
    <w:rsid w:val="000A2C46"/>
    <w:rsid w:val="000A3F41"/>
    <w:rsid w:val="000A6885"/>
    <w:rsid w:val="000B4BAF"/>
    <w:rsid w:val="000C2D59"/>
    <w:rsid w:val="000C51AF"/>
    <w:rsid w:val="000C5DF1"/>
    <w:rsid w:val="000C7F8F"/>
    <w:rsid w:val="000D14DA"/>
    <w:rsid w:val="000D182C"/>
    <w:rsid w:val="000D5568"/>
    <w:rsid w:val="000D5634"/>
    <w:rsid w:val="000E1FD4"/>
    <w:rsid w:val="000E3E82"/>
    <w:rsid w:val="00100C53"/>
    <w:rsid w:val="001050A9"/>
    <w:rsid w:val="00116F6B"/>
    <w:rsid w:val="001178D9"/>
    <w:rsid w:val="00131F2D"/>
    <w:rsid w:val="0013442F"/>
    <w:rsid w:val="00142D35"/>
    <w:rsid w:val="00144BA8"/>
    <w:rsid w:val="001509C0"/>
    <w:rsid w:val="00155F53"/>
    <w:rsid w:val="001568D5"/>
    <w:rsid w:val="0016322B"/>
    <w:rsid w:val="0016339A"/>
    <w:rsid w:val="00165898"/>
    <w:rsid w:val="00175D7F"/>
    <w:rsid w:val="00176522"/>
    <w:rsid w:val="00177618"/>
    <w:rsid w:val="00185C61"/>
    <w:rsid w:val="00192D02"/>
    <w:rsid w:val="00194780"/>
    <w:rsid w:val="001957E6"/>
    <w:rsid w:val="00195845"/>
    <w:rsid w:val="0019584A"/>
    <w:rsid w:val="001A0AFD"/>
    <w:rsid w:val="001A0E96"/>
    <w:rsid w:val="001A1BDB"/>
    <w:rsid w:val="001A3C5F"/>
    <w:rsid w:val="001A6849"/>
    <w:rsid w:val="001B6C2D"/>
    <w:rsid w:val="001C0D26"/>
    <w:rsid w:val="001C2C72"/>
    <w:rsid w:val="001C7697"/>
    <w:rsid w:val="001D3EE2"/>
    <w:rsid w:val="001E4D1F"/>
    <w:rsid w:val="001E5453"/>
    <w:rsid w:val="001E678B"/>
    <w:rsid w:val="001F408E"/>
    <w:rsid w:val="001F7890"/>
    <w:rsid w:val="00201765"/>
    <w:rsid w:val="002046BC"/>
    <w:rsid w:val="00205FAC"/>
    <w:rsid w:val="00210714"/>
    <w:rsid w:val="0021327B"/>
    <w:rsid w:val="002155ED"/>
    <w:rsid w:val="0023118D"/>
    <w:rsid w:val="00231E25"/>
    <w:rsid w:val="0023293E"/>
    <w:rsid w:val="00232A7A"/>
    <w:rsid w:val="0023573F"/>
    <w:rsid w:val="00240046"/>
    <w:rsid w:val="002432E1"/>
    <w:rsid w:val="00254B5F"/>
    <w:rsid w:val="00256CE0"/>
    <w:rsid w:val="002710B5"/>
    <w:rsid w:val="002729A0"/>
    <w:rsid w:val="00273F7C"/>
    <w:rsid w:val="0027555F"/>
    <w:rsid w:val="0027728E"/>
    <w:rsid w:val="00282431"/>
    <w:rsid w:val="00283D5E"/>
    <w:rsid w:val="00284245"/>
    <w:rsid w:val="00293F85"/>
    <w:rsid w:val="00296E92"/>
    <w:rsid w:val="0029738B"/>
    <w:rsid w:val="002A5ADD"/>
    <w:rsid w:val="002A6FCE"/>
    <w:rsid w:val="002B317E"/>
    <w:rsid w:val="002B4D70"/>
    <w:rsid w:val="002C4718"/>
    <w:rsid w:val="002C7EC4"/>
    <w:rsid w:val="002D4953"/>
    <w:rsid w:val="002E1484"/>
    <w:rsid w:val="002E216E"/>
    <w:rsid w:val="002E40AD"/>
    <w:rsid w:val="002E4DB0"/>
    <w:rsid w:val="002E72F0"/>
    <w:rsid w:val="002F1281"/>
    <w:rsid w:val="002F368E"/>
    <w:rsid w:val="002F40FF"/>
    <w:rsid w:val="00302BF3"/>
    <w:rsid w:val="00303F92"/>
    <w:rsid w:val="003111FB"/>
    <w:rsid w:val="00316A7B"/>
    <w:rsid w:val="003266ED"/>
    <w:rsid w:val="00331513"/>
    <w:rsid w:val="00341178"/>
    <w:rsid w:val="00344766"/>
    <w:rsid w:val="00345708"/>
    <w:rsid w:val="003467CD"/>
    <w:rsid w:val="00350076"/>
    <w:rsid w:val="0036188D"/>
    <w:rsid w:val="00362FED"/>
    <w:rsid w:val="003705F0"/>
    <w:rsid w:val="0037526D"/>
    <w:rsid w:val="003839F9"/>
    <w:rsid w:val="00392022"/>
    <w:rsid w:val="0039214E"/>
    <w:rsid w:val="00395940"/>
    <w:rsid w:val="003959AB"/>
    <w:rsid w:val="003A0B24"/>
    <w:rsid w:val="003A3A32"/>
    <w:rsid w:val="003A59A6"/>
    <w:rsid w:val="003B1752"/>
    <w:rsid w:val="003E468A"/>
    <w:rsid w:val="003E6E17"/>
    <w:rsid w:val="003F2491"/>
    <w:rsid w:val="003F54AA"/>
    <w:rsid w:val="003F5D5C"/>
    <w:rsid w:val="00400915"/>
    <w:rsid w:val="00414CC7"/>
    <w:rsid w:val="004176BF"/>
    <w:rsid w:val="004204D0"/>
    <w:rsid w:val="004232C6"/>
    <w:rsid w:val="00434C3F"/>
    <w:rsid w:val="00435229"/>
    <w:rsid w:val="00445853"/>
    <w:rsid w:val="00447748"/>
    <w:rsid w:val="00447A90"/>
    <w:rsid w:val="00453687"/>
    <w:rsid w:val="00457F41"/>
    <w:rsid w:val="004632B1"/>
    <w:rsid w:val="004728C4"/>
    <w:rsid w:val="00474C35"/>
    <w:rsid w:val="004750A1"/>
    <w:rsid w:val="004769A4"/>
    <w:rsid w:val="0047747D"/>
    <w:rsid w:val="00480D99"/>
    <w:rsid w:val="00483EC9"/>
    <w:rsid w:val="004841AE"/>
    <w:rsid w:val="00484C7F"/>
    <w:rsid w:val="004933FC"/>
    <w:rsid w:val="004A52E2"/>
    <w:rsid w:val="004B0090"/>
    <w:rsid w:val="004B05C6"/>
    <w:rsid w:val="004B1A74"/>
    <w:rsid w:val="004B3514"/>
    <w:rsid w:val="004B7AD4"/>
    <w:rsid w:val="004C09C8"/>
    <w:rsid w:val="004C3C1C"/>
    <w:rsid w:val="004C439A"/>
    <w:rsid w:val="004C43C9"/>
    <w:rsid w:val="004C45FA"/>
    <w:rsid w:val="004C6779"/>
    <w:rsid w:val="004D66AD"/>
    <w:rsid w:val="004E1B3C"/>
    <w:rsid w:val="004E3F86"/>
    <w:rsid w:val="004E4AD1"/>
    <w:rsid w:val="004F3291"/>
    <w:rsid w:val="004F32D0"/>
    <w:rsid w:val="004F78C4"/>
    <w:rsid w:val="005011A6"/>
    <w:rsid w:val="005025C7"/>
    <w:rsid w:val="00504B42"/>
    <w:rsid w:val="00510870"/>
    <w:rsid w:val="00515E8C"/>
    <w:rsid w:val="00516A4D"/>
    <w:rsid w:val="00525B1E"/>
    <w:rsid w:val="00526627"/>
    <w:rsid w:val="00527022"/>
    <w:rsid w:val="00531016"/>
    <w:rsid w:val="00535E49"/>
    <w:rsid w:val="005367E7"/>
    <w:rsid w:val="00542CDB"/>
    <w:rsid w:val="005449D0"/>
    <w:rsid w:val="0055250F"/>
    <w:rsid w:val="0055603D"/>
    <w:rsid w:val="00557D73"/>
    <w:rsid w:val="0056402C"/>
    <w:rsid w:val="00564DDB"/>
    <w:rsid w:val="00566380"/>
    <w:rsid w:val="005701EF"/>
    <w:rsid w:val="00572C2A"/>
    <w:rsid w:val="00573B96"/>
    <w:rsid w:val="00577A03"/>
    <w:rsid w:val="00581ECD"/>
    <w:rsid w:val="00584C51"/>
    <w:rsid w:val="00587E84"/>
    <w:rsid w:val="00597018"/>
    <w:rsid w:val="005A2F92"/>
    <w:rsid w:val="005A7E33"/>
    <w:rsid w:val="005B10CC"/>
    <w:rsid w:val="005B6FFD"/>
    <w:rsid w:val="005C5501"/>
    <w:rsid w:val="005C7AFE"/>
    <w:rsid w:val="005D0FB4"/>
    <w:rsid w:val="005D10B3"/>
    <w:rsid w:val="005E1AEC"/>
    <w:rsid w:val="005E24C2"/>
    <w:rsid w:val="005E35AB"/>
    <w:rsid w:val="0060244C"/>
    <w:rsid w:val="0060290C"/>
    <w:rsid w:val="0060695E"/>
    <w:rsid w:val="00607754"/>
    <w:rsid w:val="00610A95"/>
    <w:rsid w:val="00613401"/>
    <w:rsid w:val="006168EB"/>
    <w:rsid w:val="00616DEB"/>
    <w:rsid w:val="006263D3"/>
    <w:rsid w:val="0062694E"/>
    <w:rsid w:val="00630030"/>
    <w:rsid w:val="00636EB3"/>
    <w:rsid w:val="00640E61"/>
    <w:rsid w:val="00642A8B"/>
    <w:rsid w:val="0064536E"/>
    <w:rsid w:val="006468ED"/>
    <w:rsid w:val="006512F6"/>
    <w:rsid w:val="00653B0F"/>
    <w:rsid w:val="00664797"/>
    <w:rsid w:val="00665A8F"/>
    <w:rsid w:val="0067157E"/>
    <w:rsid w:val="00680D15"/>
    <w:rsid w:val="006818D9"/>
    <w:rsid w:val="006838C7"/>
    <w:rsid w:val="00684A7D"/>
    <w:rsid w:val="00687492"/>
    <w:rsid w:val="0069109B"/>
    <w:rsid w:val="006914D2"/>
    <w:rsid w:val="00691C06"/>
    <w:rsid w:val="006A581B"/>
    <w:rsid w:val="006A7CE2"/>
    <w:rsid w:val="006B4CA4"/>
    <w:rsid w:val="006B6498"/>
    <w:rsid w:val="006B64AA"/>
    <w:rsid w:val="006C52D3"/>
    <w:rsid w:val="006C55C2"/>
    <w:rsid w:val="006D1EC8"/>
    <w:rsid w:val="006D3F59"/>
    <w:rsid w:val="006D6C42"/>
    <w:rsid w:val="006E20F9"/>
    <w:rsid w:val="006E6076"/>
    <w:rsid w:val="006F04A3"/>
    <w:rsid w:val="00700C90"/>
    <w:rsid w:val="00704693"/>
    <w:rsid w:val="007054D8"/>
    <w:rsid w:val="0071601C"/>
    <w:rsid w:val="007264EA"/>
    <w:rsid w:val="00732AB3"/>
    <w:rsid w:val="00736F47"/>
    <w:rsid w:val="007424B3"/>
    <w:rsid w:val="00752886"/>
    <w:rsid w:val="00753E4F"/>
    <w:rsid w:val="00754618"/>
    <w:rsid w:val="0075799A"/>
    <w:rsid w:val="00762151"/>
    <w:rsid w:val="00764010"/>
    <w:rsid w:val="00764368"/>
    <w:rsid w:val="00765477"/>
    <w:rsid w:val="0077455A"/>
    <w:rsid w:val="00781849"/>
    <w:rsid w:val="00781B6F"/>
    <w:rsid w:val="00783B56"/>
    <w:rsid w:val="0079156E"/>
    <w:rsid w:val="00791C7A"/>
    <w:rsid w:val="00791D59"/>
    <w:rsid w:val="007938AE"/>
    <w:rsid w:val="00795693"/>
    <w:rsid w:val="00796D61"/>
    <w:rsid w:val="007A5B2E"/>
    <w:rsid w:val="007B46BF"/>
    <w:rsid w:val="007C05DC"/>
    <w:rsid w:val="007C0FF7"/>
    <w:rsid w:val="007C14EE"/>
    <w:rsid w:val="007D07B3"/>
    <w:rsid w:val="007D1B1E"/>
    <w:rsid w:val="007E781F"/>
    <w:rsid w:val="007F1538"/>
    <w:rsid w:val="007F3446"/>
    <w:rsid w:val="007F5E4F"/>
    <w:rsid w:val="007F7965"/>
    <w:rsid w:val="00800EF1"/>
    <w:rsid w:val="008017D6"/>
    <w:rsid w:val="0080185B"/>
    <w:rsid w:val="00802AC9"/>
    <w:rsid w:val="00810E97"/>
    <w:rsid w:val="00812131"/>
    <w:rsid w:val="00812A9F"/>
    <w:rsid w:val="00816C5A"/>
    <w:rsid w:val="0082049D"/>
    <w:rsid w:val="008217BC"/>
    <w:rsid w:val="00831D6C"/>
    <w:rsid w:val="00832F6C"/>
    <w:rsid w:val="008341ED"/>
    <w:rsid w:val="00841963"/>
    <w:rsid w:val="00845B52"/>
    <w:rsid w:val="008477B9"/>
    <w:rsid w:val="00851B56"/>
    <w:rsid w:val="008523FA"/>
    <w:rsid w:val="008529E6"/>
    <w:rsid w:val="00852CDD"/>
    <w:rsid w:val="008575E1"/>
    <w:rsid w:val="00861D29"/>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03CB"/>
    <w:rsid w:val="008E2654"/>
    <w:rsid w:val="008F47DC"/>
    <w:rsid w:val="00900FC8"/>
    <w:rsid w:val="00914986"/>
    <w:rsid w:val="00914DFE"/>
    <w:rsid w:val="0092131F"/>
    <w:rsid w:val="009254C7"/>
    <w:rsid w:val="00933540"/>
    <w:rsid w:val="00941D0E"/>
    <w:rsid w:val="00946522"/>
    <w:rsid w:val="0095101B"/>
    <w:rsid w:val="0095183B"/>
    <w:rsid w:val="0095204C"/>
    <w:rsid w:val="009520FE"/>
    <w:rsid w:val="0095290F"/>
    <w:rsid w:val="00953B51"/>
    <w:rsid w:val="00956ED1"/>
    <w:rsid w:val="00960C91"/>
    <w:rsid w:val="00961AEB"/>
    <w:rsid w:val="00965CC4"/>
    <w:rsid w:val="0096624D"/>
    <w:rsid w:val="009679E1"/>
    <w:rsid w:val="00970C38"/>
    <w:rsid w:val="00971614"/>
    <w:rsid w:val="00972340"/>
    <w:rsid w:val="00972652"/>
    <w:rsid w:val="00972D35"/>
    <w:rsid w:val="00977864"/>
    <w:rsid w:val="00982494"/>
    <w:rsid w:val="009845F3"/>
    <w:rsid w:val="009873A7"/>
    <w:rsid w:val="00990935"/>
    <w:rsid w:val="00996BCA"/>
    <w:rsid w:val="009A3604"/>
    <w:rsid w:val="009A473C"/>
    <w:rsid w:val="009A7F00"/>
    <w:rsid w:val="009B41F0"/>
    <w:rsid w:val="009B6F07"/>
    <w:rsid w:val="009B7FFD"/>
    <w:rsid w:val="009C4284"/>
    <w:rsid w:val="009C5DC4"/>
    <w:rsid w:val="009D0BC2"/>
    <w:rsid w:val="009D4D86"/>
    <w:rsid w:val="009D7D83"/>
    <w:rsid w:val="009E7F49"/>
    <w:rsid w:val="009F0B98"/>
    <w:rsid w:val="009F114E"/>
    <w:rsid w:val="00A03A83"/>
    <w:rsid w:val="00A14320"/>
    <w:rsid w:val="00A15E74"/>
    <w:rsid w:val="00A164FB"/>
    <w:rsid w:val="00A24F60"/>
    <w:rsid w:val="00A31101"/>
    <w:rsid w:val="00A42629"/>
    <w:rsid w:val="00A4524B"/>
    <w:rsid w:val="00A45454"/>
    <w:rsid w:val="00A50EE4"/>
    <w:rsid w:val="00A60841"/>
    <w:rsid w:val="00A63700"/>
    <w:rsid w:val="00A67625"/>
    <w:rsid w:val="00A7234C"/>
    <w:rsid w:val="00A80BB6"/>
    <w:rsid w:val="00A80C68"/>
    <w:rsid w:val="00A855BE"/>
    <w:rsid w:val="00A9222E"/>
    <w:rsid w:val="00A92BB2"/>
    <w:rsid w:val="00A92DD2"/>
    <w:rsid w:val="00A9454C"/>
    <w:rsid w:val="00A94751"/>
    <w:rsid w:val="00A95B2A"/>
    <w:rsid w:val="00AA01A4"/>
    <w:rsid w:val="00AA1BBB"/>
    <w:rsid w:val="00AA7316"/>
    <w:rsid w:val="00AB0C12"/>
    <w:rsid w:val="00AB1AF4"/>
    <w:rsid w:val="00AB26D5"/>
    <w:rsid w:val="00AB5F3B"/>
    <w:rsid w:val="00AC3A6D"/>
    <w:rsid w:val="00AC5B12"/>
    <w:rsid w:val="00AC6797"/>
    <w:rsid w:val="00AD1EAE"/>
    <w:rsid w:val="00AD2280"/>
    <w:rsid w:val="00AD76EF"/>
    <w:rsid w:val="00AE19D1"/>
    <w:rsid w:val="00AE4E2E"/>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436A"/>
    <w:rsid w:val="00B57348"/>
    <w:rsid w:val="00B61E5E"/>
    <w:rsid w:val="00B63807"/>
    <w:rsid w:val="00B64EC0"/>
    <w:rsid w:val="00B66649"/>
    <w:rsid w:val="00B67741"/>
    <w:rsid w:val="00B75683"/>
    <w:rsid w:val="00B7635B"/>
    <w:rsid w:val="00B7667D"/>
    <w:rsid w:val="00B8179C"/>
    <w:rsid w:val="00B831E6"/>
    <w:rsid w:val="00B84A8A"/>
    <w:rsid w:val="00B934BE"/>
    <w:rsid w:val="00B962BB"/>
    <w:rsid w:val="00BA3BF3"/>
    <w:rsid w:val="00BA6707"/>
    <w:rsid w:val="00BA7C0B"/>
    <w:rsid w:val="00BB1940"/>
    <w:rsid w:val="00BB5301"/>
    <w:rsid w:val="00BB7349"/>
    <w:rsid w:val="00BC219A"/>
    <w:rsid w:val="00BC3CB8"/>
    <w:rsid w:val="00BC535E"/>
    <w:rsid w:val="00BD034D"/>
    <w:rsid w:val="00BD780A"/>
    <w:rsid w:val="00BE635E"/>
    <w:rsid w:val="00BE6364"/>
    <w:rsid w:val="00BF3A12"/>
    <w:rsid w:val="00BF4132"/>
    <w:rsid w:val="00BF6362"/>
    <w:rsid w:val="00C06182"/>
    <w:rsid w:val="00C07B7F"/>
    <w:rsid w:val="00C07EC8"/>
    <w:rsid w:val="00C13C38"/>
    <w:rsid w:val="00C14933"/>
    <w:rsid w:val="00C235D5"/>
    <w:rsid w:val="00C238FB"/>
    <w:rsid w:val="00C25B3F"/>
    <w:rsid w:val="00C35A64"/>
    <w:rsid w:val="00C36B0D"/>
    <w:rsid w:val="00C43D0A"/>
    <w:rsid w:val="00C463ED"/>
    <w:rsid w:val="00C47825"/>
    <w:rsid w:val="00C479A8"/>
    <w:rsid w:val="00C536D2"/>
    <w:rsid w:val="00C559CD"/>
    <w:rsid w:val="00C61FEC"/>
    <w:rsid w:val="00C65A44"/>
    <w:rsid w:val="00C72F35"/>
    <w:rsid w:val="00C7346A"/>
    <w:rsid w:val="00C76CD4"/>
    <w:rsid w:val="00C80B05"/>
    <w:rsid w:val="00C84348"/>
    <w:rsid w:val="00C90505"/>
    <w:rsid w:val="00C94177"/>
    <w:rsid w:val="00C968EA"/>
    <w:rsid w:val="00CA39B7"/>
    <w:rsid w:val="00CA3C3D"/>
    <w:rsid w:val="00CA5AEF"/>
    <w:rsid w:val="00CB2149"/>
    <w:rsid w:val="00CB3254"/>
    <w:rsid w:val="00CB4BBD"/>
    <w:rsid w:val="00CB54E8"/>
    <w:rsid w:val="00CC3F25"/>
    <w:rsid w:val="00CD19DB"/>
    <w:rsid w:val="00CD30FC"/>
    <w:rsid w:val="00CD4B87"/>
    <w:rsid w:val="00CD66D0"/>
    <w:rsid w:val="00CE1D8A"/>
    <w:rsid w:val="00CE49B6"/>
    <w:rsid w:val="00CE4A28"/>
    <w:rsid w:val="00CF0AE0"/>
    <w:rsid w:val="00CF2AF5"/>
    <w:rsid w:val="00CF31B4"/>
    <w:rsid w:val="00CF6431"/>
    <w:rsid w:val="00D01DCF"/>
    <w:rsid w:val="00D06233"/>
    <w:rsid w:val="00D11387"/>
    <w:rsid w:val="00D20EF6"/>
    <w:rsid w:val="00D219AA"/>
    <w:rsid w:val="00D2237A"/>
    <w:rsid w:val="00D24BD1"/>
    <w:rsid w:val="00D278F0"/>
    <w:rsid w:val="00D338DB"/>
    <w:rsid w:val="00D3511F"/>
    <w:rsid w:val="00D44D02"/>
    <w:rsid w:val="00D4515E"/>
    <w:rsid w:val="00D52933"/>
    <w:rsid w:val="00D52FF0"/>
    <w:rsid w:val="00D61E4F"/>
    <w:rsid w:val="00D65159"/>
    <w:rsid w:val="00D65C56"/>
    <w:rsid w:val="00D66CBB"/>
    <w:rsid w:val="00D67293"/>
    <w:rsid w:val="00D71BF7"/>
    <w:rsid w:val="00D725CF"/>
    <w:rsid w:val="00D731D0"/>
    <w:rsid w:val="00D738D2"/>
    <w:rsid w:val="00D766B4"/>
    <w:rsid w:val="00D808C5"/>
    <w:rsid w:val="00D90C1B"/>
    <w:rsid w:val="00D925D1"/>
    <w:rsid w:val="00D92668"/>
    <w:rsid w:val="00D93D58"/>
    <w:rsid w:val="00D94F27"/>
    <w:rsid w:val="00D95B37"/>
    <w:rsid w:val="00DA1F2A"/>
    <w:rsid w:val="00DA25BB"/>
    <w:rsid w:val="00DA6937"/>
    <w:rsid w:val="00DB0D6D"/>
    <w:rsid w:val="00DB1035"/>
    <w:rsid w:val="00DC0C9F"/>
    <w:rsid w:val="00DC4957"/>
    <w:rsid w:val="00DC63B3"/>
    <w:rsid w:val="00DD6122"/>
    <w:rsid w:val="00DE1DEE"/>
    <w:rsid w:val="00DE2C60"/>
    <w:rsid w:val="00DE3218"/>
    <w:rsid w:val="00DF06C4"/>
    <w:rsid w:val="00DF1173"/>
    <w:rsid w:val="00DF2CB0"/>
    <w:rsid w:val="00DF451B"/>
    <w:rsid w:val="00DF5863"/>
    <w:rsid w:val="00DF6006"/>
    <w:rsid w:val="00DF6955"/>
    <w:rsid w:val="00DF7B01"/>
    <w:rsid w:val="00E042D8"/>
    <w:rsid w:val="00E05047"/>
    <w:rsid w:val="00E120FC"/>
    <w:rsid w:val="00E14BA9"/>
    <w:rsid w:val="00E1701F"/>
    <w:rsid w:val="00E20793"/>
    <w:rsid w:val="00E245A1"/>
    <w:rsid w:val="00E24831"/>
    <w:rsid w:val="00E276FD"/>
    <w:rsid w:val="00E34A4E"/>
    <w:rsid w:val="00E41D0D"/>
    <w:rsid w:val="00E50A06"/>
    <w:rsid w:val="00E52300"/>
    <w:rsid w:val="00E5536A"/>
    <w:rsid w:val="00E563B1"/>
    <w:rsid w:val="00E701AC"/>
    <w:rsid w:val="00E730F3"/>
    <w:rsid w:val="00E75386"/>
    <w:rsid w:val="00E77015"/>
    <w:rsid w:val="00E807E8"/>
    <w:rsid w:val="00E8267D"/>
    <w:rsid w:val="00E8653F"/>
    <w:rsid w:val="00E86C05"/>
    <w:rsid w:val="00E93F35"/>
    <w:rsid w:val="00EA4537"/>
    <w:rsid w:val="00EA4C1F"/>
    <w:rsid w:val="00EA5932"/>
    <w:rsid w:val="00EB2BE8"/>
    <w:rsid w:val="00EB4897"/>
    <w:rsid w:val="00EC1362"/>
    <w:rsid w:val="00EC291E"/>
    <w:rsid w:val="00EC2EEA"/>
    <w:rsid w:val="00EC6ABB"/>
    <w:rsid w:val="00ED10D9"/>
    <w:rsid w:val="00ED28F4"/>
    <w:rsid w:val="00ED30A9"/>
    <w:rsid w:val="00ED43C6"/>
    <w:rsid w:val="00ED5476"/>
    <w:rsid w:val="00ED734E"/>
    <w:rsid w:val="00EE1465"/>
    <w:rsid w:val="00EE2C69"/>
    <w:rsid w:val="00EE34DD"/>
    <w:rsid w:val="00EE47C6"/>
    <w:rsid w:val="00EE4D84"/>
    <w:rsid w:val="00EF1196"/>
    <w:rsid w:val="00EF2B23"/>
    <w:rsid w:val="00EF6F58"/>
    <w:rsid w:val="00EF7935"/>
    <w:rsid w:val="00F04A95"/>
    <w:rsid w:val="00F072A2"/>
    <w:rsid w:val="00F12FB0"/>
    <w:rsid w:val="00F15063"/>
    <w:rsid w:val="00F16039"/>
    <w:rsid w:val="00F20DCF"/>
    <w:rsid w:val="00F2142C"/>
    <w:rsid w:val="00F238EF"/>
    <w:rsid w:val="00F2498E"/>
    <w:rsid w:val="00F34068"/>
    <w:rsid w:val="00F3421F"/>
    <w:rsid w:val="00F43916"/>
    <w:rsid w:val="00F50F84"/>
    <w:rsid w:val="00F51CC4"/>
    <w:rsid w:val="00F55B3B"/>
    <w:rsid w:val="00F56426"/>
    <w:rsid w:val="00F56BC0"/>
    <w:rsid w:val="00F72D84"/>
    <w:rsid w:val="00F74FB9"/>
    <w:rsid w:val="00F81A0E"/>
    <w:rsid w:val="00F97B3C"/>
    <w:rsid w:val="00F97DE7"/>
    <w:rsid w:val="00FA00A8"/>
    <w:rsid w:val="00FA1F4B"/>
    <w:rsid w:val="00FA20A7"/>
    <w:rsid w:val="00FA4B86"/>
    <w:rsid w:val="00FA4DC7"/>
    <w:rsid w:val="00FA5D15"/>
    <w:rsid w:val="00FC1BE0"/>
    <w:rsid w:val="00FC54A4"/>
    <w:rsid w:val="00FC6F5D"/>
    <w:rsid w:val="00FD0A58"/>
    <w:rsid w:val="00FD160B"/>
    <w:rsid w:val="00FD39C9"/>
    <w:rsid w:val="00FD4378"/>
    <w:rsid w:val="00FE26EC"/>
    <w:rsid w:val="00FF11C7"/>
    <w:rsid w:val="00FF14A3"/>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2C1526-8505-44E8-87EF-3B12570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FF14A3"/>
    <w:rPr>
      <w:sz w:val="16"/>
      <w:szCs w:val="16"/>
    </w:rPr>
  </w:style>
  <w:style w:type="paragraph" w:styleId="Textocomentario">
    <w:name w:val="annotation text"/>
    <w:basedOn w:val="Normal"/>
    <w:link w:val="TextocomentarioCar"/>
    <w:uiPriority w:val="99"/>
    <w:semiHidden/>
    <w:unhideWhenUsed/>
    <w:rsid w:val="00FF14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14A3"/>
    <w:rPr>
      <w:sz w:val="20"/>
      <w:szCs w:val="20"/>
    </w:rPr>
  </w:style>
  <w:style w:type="paragraph" w:styleId="Asuntodelcomentario">
    <w:name w:val="annotation subject"/>
    <w:basedOn w:val="Textocomentario"/>
    <w:next w:val="Textocomentario"/>
    <w:link w:val="AsuntodelcomentarioCar"/>
    <w:uiPriority w:val="99"/>
    <w:semiHidden/>
    <w:unhideWhenUsed/>
    <w:rsid w:val="00FF14A3"/>
    <w:rPr>
      <w:b/>
      <w:bCs/>
    </w:rPr>
  </w:style>
  <w:style w:type="character" w:customStyle="1" w:styleId="AsuntodelcomentarioCar">
    <w:name w:val="Asunto del comentario Car"/>
    <w:basedOn w:val="TextocomentarioCar"/>
    <w:link w:val="Asuntodelcomentario"/>
    <w:uiPriority w:val="99"/>
    <w:semiHidden/>
    <w:rsid w:val="00F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283191544">
          <w:marLeft w:val="864"/>
          <w:marRight w:val="0"/>
          <w:marTop w:val="0"/>
          <w:marBottom w:val="101"/>
          <w:divBdr>
            <w:top w:val="none" w:sz="0" w:space="0" w:color="auto"/>
            <w:left w:val="none" w:sz="0" w:space="0" w:color="auto"/>
            <w:bottom w:val="none" w:sz="0" w:space="0" w:color="auto"/>
            <w:right w:val="none" w:sz="0" w:space="0" w:color="auto"/>
          </w:divBdr>
        </w:div>
        <w:div w:id="338045021">
          <w:marLeft w:val="0"/>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sChild>
    </w:div>
    <w:div w:id="2000883195">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EE78-5E88-4F8D-A588-6AD74B9D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7945</Words>
  <Characters>43699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2021-05-06T23:47:00Z</dcterms:created>
  <dcterms:modified xsi:type="dcterms:W3CDTF">2021-06-17T19:24:00Z</dcterms:modified>
</cp:coreProperties>
</file>