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07D" w:rsidRPr="0024200F" w:rsidRDefault="0082707D" w:rsidP="0082707D">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8D3704">
        <w:rPr>
          <w:rFonts w:ascii="Palatino Linotype" w:hAnsi="Palatino Linotype"/>
        </w:rPr>
        <w:t xml:space="preserve"> catorce de julio </w:t>
      </w:r>
      <w:r>
        <w:rPr>
          <w:rFonts w:ascii="Palatino Linotype" w:hAnsi="Palatino Linotype"/>
        </w:rPr>
        <w:t>de dos mil veintiuno</w:t>
      </w:r>
      <w:r w:rsidRPr="0024200F">
        <w:rPr>
          <w:rFonts w:ascii="Palatino Linotype" w:hAnsi="Palatino Linotype"/>
        </w:rPr>
        <w:t>.</w:t>
      </w:r>
    </w:p>
    <w:p w:rsidR="0082707D" w:rsidRPr="0024200F" w:rsidRDefault="0082707D" w:rsidP="0082707D">
      <w:pPr>
        <w:spacing w:line="360" w:lineRule="auto"/>
        <w:jc w:val="both"/>
        <w:rPr>
          <w:rFonts w:ascii="Palatino Linotype" w:hAnsi="Palatino Linotype"/>
        </w:rPr>
      </w:pPr>
    </w:p>
    <w:p w:rsidR="0082707D" w:rsidRPr="0024200F" w:rsidRDefault="0082707D" w:rsidP="0082707D">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2715/INFOEM/IP/RR/2021 </w:t>
      </w:r>
      <w:r w:rsidRPr="0024200F">
        <w:rPr>
          <w:rFonts w:ascii="Palatino Linotype" w:hAnsi="Palatino Linotype"/>
        </w:rPr>
        <w:t>promovido por</w:t>
      </w:r>
      <w:r>
        <w:rPr>
          <w:rFonts w:ascii="Palatino Linotype" w:hAnsi="Palatino Linotype"/>
        </w:rPr>
        <w:t xml:space="preserve"> </w:t>
      </w:r>
      <w:r w:rsidR="00A447D4">
        <w:rPr>
          <w:rFonts w:ascii="Palatino Linotype" w:hAnsi="Palatino Linotype"/>
          <w:b/>
          <w:sz w:val="22"/>
          <w:szCs w:val="22"/>
          <w:lang w:val="es-ES_tradnl"/>
        </w:rPr>
        <w:t>xxxxxxxxxxxxxxxx</w:t>
      </w:r>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82707D">
        <w:rPr>
          <w:rFonts w:ascii="Palatino Linotype" w:hAnsi="Palatino Linotype"/>
          <w:b/>
        </w:rPr>
        <w:t>Ayuntamiento de Atizapán de Zaragoza</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82707D" w:rsidRPr="002478BC" w:rsidRDefault="0082707D" w:rsidP="0082707D">
      <w:pPr>
        <w:spacing w:line="360" w:lineRule="auto"/>
        <w:jc w:val="center"/>
        <w:rPr>
          <w:rFonts w:ascii="Palatino Linotype" w:hAnsi="Palatino Linotype"/>
          <w:b/>
          <w:bCs/>
          <w:spacing w:val="60"/>
          <w:lang w:val="es-ES_tradnl"/>
        </w:rPr>
      </w:pPr>
      <w:bookmarkStart w:id="0" w:name="_GoBack"/>
      <w:bookmarkEnd w:id="0"/>
    </w:p>
    <w:p w:rsidR="0082707D" w:rsidRPr="0024200F" w:rsidRDefault="0082707D" w:rsidP="0082707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82707D" w:rsidRPr="0024200F" w:rsidRDefault="0082707D" w:rsidP="0082707D">
      <w:pPr>
        <w:spacing w:line="360" w:lineRule="auto"/>
        <w:jc w:val="center"/>
        <w:rPr>
          <w:rFonts w:ascii="Palatino Linotype" w:hAnsi="Palatino Linotype"/>
          <w:b/>
          <w:bCs/>
          <w:spacing w:val="60"/>
          <w:lang w:val="es-ES_tradnl"/>
        </w:rPr>
      </w:pPr>
    </w:p>
    <w:p w:rsidR="0082707D" w:rsidRPr="0024200F" w:rsidRDefault="0082707D" w:rsidP="0082707D">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doce de abril de dos mil veintiuno</w:t>
      </w:r>
      <w:r w:rsidRPr="0024200F">
        <w:rPr>
          <w:rFonts w:ascii="Palatino Linotype" w:hAnsi="Palatino Linotype"/>
        </w:rPr>
        <w:t>, 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Pr="0082707D">
        <w:rPr>
          <w:rFonts w:ascii="Palatino Linotype" w:hAnsi="Palatino Linotype"/>
          <w:b/>
          <w:bCs/>
        </w:rPr>
        <w:t>00167/ATIZARA/IP/2021</w:t>
      </w:r>
      <w:r w:rsidRPr="00896769">
        <w:rPr>
          <w:rFonts w:ascii="Palatino Linotype" w:hAnsi="Palatino Linotype"/>
          <w:bCs/>
        </w:rPr>
        <w:t xml:space="preserve"> </w:t>
      </w:r>
      <w:r w:rsidRPr="0024200F">
        <w:rPr>
          <w:rFonts w:ascii="Palatino Linotype" w:hAnsi="Palatino Linotype"/>
        </w:rPr>
        <w:t>mediante la cual solicitó, lo siguiente:</w:t>
      </w:r>
    </w:p>
    <w:p w:rsidR="0082707D" w:rsidRDefault="0082707D" w:rsidP="0082707D">
      <w:pPr>
        <w:spacing w:line="360" w:lineRule="auto"/>
        <w:jc w:val="both"/>
        <w:rPr>
          <w:rFonts w:ascii="Palatino Linotype" w:hAnsi="Palatino Linotype" w:cs="Arial"/>
        </w:rPr>
      </w:pPr>
    </w:p>
    <w:p w:rsidR="0082707D" w:rsidRPr="00157DDD" w:rsidRDefault="0082707D" w:rsidP="0082707D">
      <w:pPr>
        <w:ind w:left="567" w:right="616"/>
        <w:jc w:val="both"/>
        <w:rPr>
          <w:rFonts w:ascii="Palatino Linotype" w:hAnsi="Palatino Linotype"/>
          <w:bCs/>
          <w:i/>
          <w:sz w:val="22"/>
        </w:rPr>
      </w:pPr>
      <w:r w:rsidRPr="00157DDD">
        <w:rPr>
          <w:rFonts w:ascii="Palatino Linotype" w:hAnsi="Palatino Linotype"/>
          <w:bCs/>
          <w:i/>
          <w:sz w:val="22"/>
        </w:rPr>
        <w:t>“</w:t>
      </w:r>
      <w:r w:rsidRPr="0082707D">
        <w:rPr>
          <w:rFonts w:ascii="Palatino Linotype" w:hAnsi="Palatino Linotype"/>
          <w:bCs/>
          <w:i/>
          <w:sz w:val="22"/>
        </w:rPr>
        <w:t>BUENAS NOCHES SOLICITO ME PROPORCIONE LA INFORMCION DE LA NOMINA DE LOS SERVIDORES PUBLICOS DE CONFIANZA DEL MES DE MARZO</w:t>
      </w:r>
      <w:r>
        <w:rPr>
          <w:rFonts w:ascii="Palatino Linotype" w:hAnsi="Palatino Linotype"/>
          <w:bCs/>
          <w:i/>
          <w:sz w:val="22"/>
        </w:rPr>
        <w:t>”</w:t>
      </w:r>
    </w:p>
    <w:p w:rsidR="0082707D" w:rsidRPr="00B02F4C" w:rsidRDefault="0082707D" w:rsidP="0082707D">
      <w:pPr>
        <w:spacing w:line="360" w:lineRule="auto"/>
        <w:ind w:left="567" w:right="616"/>
        <w:jc w:val="both"/>
        <w:rPr>
          <w:rFonts w:ascii="Palatino Linotype" w:hAnsi="Palatino Linotype"/>
          <w:bCs/>
        </w:rPr>
      </w:pPr>
    </w:p>
    <w:p w:rsidR="0082707D" w:rsidRDefault="0082707D" w:rsidP="0082707D">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rsidR="0082707D" w:rsidRPr="0056113A" w:rsidRDefault="0082707D" w:rsidP="0082707D">
      <w:pPr>
        <w:spacing w:line="360" w:lineRule="auto"/>
        <w:jc w:val="both"/>
        <w:rPr>
          <w:rFonts w:ascii="Palatino Linotype" w:hAnsi="Palatino Linotype"/>
          <w:szCs w:val="28"/>
          <w:lang w:val="es-MX"/>
        </w:rPr>
      </w:pPr>
    </w:p>
    <w:p w:rsidR="0082707D" w:rsidRDefault="0082707D" w:rsidP="0082707D">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r>
        <w:rPr>
          <w:rFonts w:ascii="Palatino Linotype" w:hAnsi="Palatino Linotype"/>
        </w:rPr>
        <w:t xml:space="preserve">aperturado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cuatro de mayo de dos mil veintiuno,</w:t>
      </w:r>
      <w:r w:rsidRPr="0024200F">
        <w:rPr>
          <w:rFonts w:ascii="Palatino Linotype" w:hAnsi="Palatino Linotype"/>
        </w:rPr>
        <w:t xml:space="preserve"> en </w:t>
      </w:r>
      <w:r>
        <w:rPr>
          <w:rFonts w:ascii="Palatino Linotype" w:hAnsi="Palatino Linotype"/>
        </w:rPr>
        <w:t>los términos siguientes:</w:t>
      </w:r>
    </w:p>
    <w:p w:rsidR="0082707D" w:rsidRDefault="0082707D" w:rsidP="0082707D">
      <w:pPr>
        <w:spacing w:line="360" w:lineRule="auto"/>
        <w:jc w:val="both"/>
        <w:rPr>
          <w:rFonts w:ascii="Palatino Linotype" w:hAnsi="Palatino Linotype"/>
        </w:rPr>
      </w:pPr>
    </w:p>
    <w:p w:rsidR="0082707D" w:rsidRDefault="0082707D" w:rsidP="0082707D">
      <w:pPr>
        <w:ind w:left="567" w:right="616"/>
        <w:jc w:val="both"/>
        <w:rPr>
          <w:rFonts w:ascii="Palatino Linotype" w:hAnsi="Palatino Linotype"/>
          <w:bCs/>
          <w:i/>
          <w:sz w:val="22"/>
        </w:rPr>
      </w:pPr>
      <w:r w:rsidRPr="00157DDD">
        <w:rPr>
          <w:rFonts w:ascii="Palatino Linotype" w:hAnsi="Palatino Linotype"/>
          <w:bCs/>
          <w:i/>
          <w:sz w:val="22"/>
        </w:rPr>
        <w:t>“</w:t>
      </w:r>
      <w:r w:rsidRPr="0082707D">
        <w:rPr>
          <w:rFonts w:ascii="Palatino Linotype" w:hAnsi="Palatino Linotype"/>
          <w:bCs/>
          <w:i/>
          <w:sz w:val="22"/>
        </w:rPr>
        <w:t>n respuesta a la solicitud recibida, nos permitimos hacer de su conocimiento que con fundamento en el artículo 53, Fracciones: II, V y VI de la Ley de Transparencia y Acceso a la Información Pública del Estado de México y Municipios, le contestamos que:</w:t>
      </w:r>
    </w:p>
    <w:p w:rsidR="0082707D" w:rsidRPr="0082707D" w:rsidRDefault="0082707D" w:rsidP="0082707D">
      <w:pPr>
        <w:ind w:left="567" w:right="616"/>
        <w:jc w:val="both"/>
        <w:rPr>
          <w:rFonts w:ascii="Palatino Linotype" w:hAnsi="Palatino Linotype"/>
          <w:bCs/>
          <w:i/>
          <w:sz w:val="22"/>
        </w:rPr>
      </w:pPr>
    </w:p>
    <w:p w:rsidR="0082707D" w:rsidRPr="00157DDD" w:rsidRDefault="0082707D" w:rsidP="0082707D">
      <w:pPr>
        <w:ind w:left="567" w:right="616"/>
        <w:jc w:val="both"/>
        <w:rPr>
          <w:rFonts w:ascii="Palatino Linotype" w:hAnsi="Palatino Linotype"/>
          <w:bCs/>
          <w:i/>
          <w:sz w:val="22"/>
        </w:rPr>
      </w:pPr>
      <w:r w:rsidRPr="0082707D">
        <w:rPr>
          <w:rFonts w:ascii="Palatino Linotype" w:hAnsi="Palatino Linotype"/>
          <w:bCs/>
          <w:i/>
          <w:sz w:val="22"/>
        </w:rPr>
        <w:t>En relación a su solicitud de información con número de folio 00167/ATIZARA/IP/2021.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w:t>
      </w:r>
      <w:r>
        <w:rPr>
          <w:rFonts w:ascii="Palatino Linotype" w:hAnsi="Palatino Linotype"/>
          <w:bCs/>
          <w:i/>
          <w:sz w:val="22"/>
        </w:rPr>
        <w:t>”</w:t>
      </w:r>
    </w:p>
    <w:p w:rsidR="0082707D" w:rsidRDefault="0082707D" w:rsidP="0082707D">
      <w:pPr>
        <w:spacing w:line="360" w:lineRule="auto"/>
        <w:ind w:right="616"/>
        <w:jc w:val="both"/>
        <w:rPr>
          <w:rFonts w:ascii="Palatino Linotype" w:hAnsi="Palatino Linotype"/>
          <w:bCs/>
        </w:rPr>
      </w:pPr>
    </w:p>
    <w:p w:rsidR="0082707D" w:rsidRDefault="0082707D" w:rsidP="0082707D">
      <w:pPr>
        <w:spacing w:line="360" w:lineRule="auto"/>
        <w:ind w:right="49"/>
        <w:jc w:val="both"/>
        <w:rPr>
          <w:rFonts w:ascii="Palatino Linotype" w:hAnsi="Palatino Linotype"/>
          <w:bCs/>
        </w:rPr>
      </w:pPr>
      <w:r>
        <w:rPr>
          <w:rFonts w:ascii="Palatino Linotype" w:hAnsi="Palatino Linotype"/>
          <w:bCs/>
        </w:rPr>
        <w:t>Anexando a su respuesta los archivos electrónicos “</w:t>
      </w:r>
      <w:r w:rsidRPr="0082707D">
        <w:rPr>
          <w:rFonts w:ascii="Palatino Linotype" w:hAnsi="Palatino Linotype"/>
          <w:bCs/>
        </w:rPr>
        <w:t>RH 00167.pdf</w:t>
      </w:r>
      <w:r>
        <w:rPr>
          <w:rFonts w:ascii="Palatino Linotype" w:hAnsi="Palatino Linotype"/>
          <w:bCs/>
        </w:rPr>
        <w:t xml:space="preserve"> y </w:t>
      </w:r>
      <w:r w:rsidRPr="0082707D">
        <w:rPr>
          <w:rFonts w:ascii="Palatino Linotype" w:hAnsi="Palatino Linotype"/>
          <w:bCs/>
        </w:rPr>
        <w:t>00167_ATIZARA_IP_2021.pdf</w:t>
      </w:r>
      <w:r>
        <w:rPr>
          <w:rFonts w:ascii="Palatino Linotype" w:hAnsi="Palatino Linotype"/>
          <w:bCs/>
        </w:rPr>
        <w:t>”, que al ser del conocimiento de las partes no se insertan en este apartado, en obvio de repeticiones innecesarias, máxime que serán objeto de estudio en párrafos posteriores.</w:t>
      </w:r>
    </w:p>
    <w:p w:rsidR="0082707D" w:rsidRDefault="0082707D" w:rsidP="0082707D">
      <w:pPr>
        <w:spacing w:line="360" w:lineRule="auto"/>
        <w:ind w:right="616"/>
        <w:jc w:val="both"/>
        <w:rPr>
          <w:rFonts w:ascii="Palatino Linotype" w:hAnsi="Palatino Linotype"/>
          <w:bCs/>
        </w:rPr>
      </w:pPr>
    </w:p>
    <w:p w:rsidR="0082707D" w:rsidRDefault="0082707D" w:rsidP="0082707D">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día seis de mayo de dos mil veintiuno</w:t>
      </w:r>
      <w:r w:rsidRPr="0024200F">
        <w:rPr>
          <w:rFonts w:ascii="Palatino Linotype" w:hAnsi="Palatino Linotype" w:cs="Arial"/>
        </w:rPr>
        <w:t>, el</w:t>
      </w:r>
      <w:r w:rsidRPr="0024200F">
        <w:rPr>
          <w:rFonts w:ascii="Palatino Linotype" w:hAnsi="Palatino Linotype" w:cs="Arial"/>
          <w:b/>
          <w:color w:val="000000"/>
        </w:rPr>
        <w:t xml:space="preserve"> </w:t>
      </w:r>
      <w:r>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w:t>
      </w:r>
      <w:r>
        <w:rPr>
          <w:rFonts w:ascii="Palatino Linotype" w:hAnsi="Palatino Linotype" w:cs="Arial"/>
        </w:rPr>
        <w:t>s</w:t>
      </w:r>
      <w:r w:rsidRPr="0024200F">
        <w:rPr>
          <w:rFonts w:ascii="Palatino Linotype" w:hAnsi="Palatino Linotype" w:cs="Arial"/>
        </w:rPr>
        <w:t xml:space="preserve">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 xml:space="preserve">2715/INFOEM/IP/RR/2021,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 acto impugnado, y motivos o razones de inconformidad lo siguiente:</w:t>
      </w:r>
    </w:p>
    <w:p w:rsidR="0082707D" w:rsidRDefault="0082707D" w:rsidP="0082707D">
      <w:pPr>
        <w:spacing w:line="360" w:lineRule="auto"/>
        <w:ind w:right="51"/>
        <w:jc w:val="both"/>
        <w:rPr>
          <w:rFonts w:ascii="Palatino Linotype" w:hAnsi="Palatino Linotype" w:cs="Arial"/>
        </w:rPr>
      </w:pPr>
      <w:r>
        <w:rPr>
          <w:rFonts w:ascii="Palatino Linotype" w:hAnsi="Palatino Linotype" w:cs="Arial"/>
        </w:rPr>
        <w:t xml:space="preserve"> </w:t>
      </w:r>
    </w:p>
    <w:p w:rsidR="0082707D" w:rsidRDefault="0082707D" w:rsidP="0082707D">
      <w:pPr>
        <w:spacing w:line="276" w:lineRule="auto"/>
        <w:ind w:right="616"/>
        <w:jc w:val="both"/>
        <w:rPr>
          <w:rFonts w:ascii="Palatino Linotype" w:hAnsi="Palatino Linotype"/>
        </w:rPr>
      </w:pPr>
      <w:r>
        <w:rPr>
          <w:rFonts w:ascii="Palatino Linotype" w:hAnsi="Palatino Linotype"/>
          <w:b/>
        </w:rPr>
        <w:t xml:space="preserve">Acto Impugnado: </w:t>
      </w:r>
    </w:p>
    <w:p w:rsidR="0082707D" w:rsidRPr="00807CDA" w:rsidRDefault="0082707D" w:rsidP="0082707D">
      <w:pPr>
        <w:spacing w:line="276" w:lineRule="auto"/>
        <w:ind w:right="616"/>
        <w:jc w:val="both"/>
        <w:rPr>
          <w:rFonts w:ascii="Palatino Linotype" w:hAnsi="Palatino Linotype"/>
        </w:rPr>
      </w:pPr>
    </w:p>
    <w:p w:rsidR="0082707D" w:rsidRPr="00591A86" w:rsidRDefault="0082707D" w:rsidP="0082707D">
      <w:pPr>
        <w:spacing w:line="276" w:lineRule="auto"/>
        <w:ind w:left="567" w:right="616"/>
        <w:jc w:val="both"/>
        <w:rPr>
          <w:rFonts w:ascii="Palatino Linotype" w:hAnsi="Palatino Linotype"/>
          <w:i/>
        </w:rPr>
      </w:pPr>
      <w:r>
        <w:rPr>
          <w:rFonts w:ascii="Palatino Linotype" w:hAnsi="Palatino Linotype"/>
          <w:i/>
        </w:rPr>
        <w:lastRenderedPageBreak/>
        <w:t>“</w:t>
      </w:r>
      <w:r w:rsidRPr="0082707D">
        <w:rPr>
          <w:rFonts w:ascii="Palatino Linotype" w:hAnsi="Palatino Linotype"/>
          <w:i/>
        </w:rPr>
        <w:t>La I nformacion no se entrega de manera clara y precisa de acuerdo a lo que solicite.</w:t>
      </w:r>
      <w:r>
        <w:rPr>
          <w:rFonts w:ascii="Palatino Linotype" w:hAnsi="Palatino Linotype"/>
          <w:i/>
        </w:rPr>
        <w:t>” (sic)</w:t>
      </w:r>
    </w:p>
    <w:p w:rsidR="0082707D" w:rsidRDefault="0082707D" w:rsidP="0082707D">
      <w:pPr>
        <w:spacing w:line="276" w:lineRule="auto"/>
        <w:ind w:right="616"/>
        <w:jc w:val="both"/>
        <w:rPr>
          <w:rFonts w:ascii="Palatino Linotype" w:hAnsi="Palatino Linotype"/>
          <w:b/>
        </w:rPr>
      </w:pPr>
    </w:p>
    <w:p w:rsidR="0082707D" w:rsidRDefault="0082707D" w:rsidP="0082707D">
      <w:pPr>
        <w:spacing w:line="276" w:lineRule="auto"/>
        <w:ind w:right="616"/>
        <w:jc w:val="both"/>
        <w:rPr>
          <w:rFonts w:ascii="Palatino Linotype" w:hAnsi="Palatino Linotype"/>
        </w:rPr>
      </w:pPr>
      <w:r>
        <w:rPr>
          <w:rFonts w:ascii="Palatino Linotype" w:hAnsi="Palatino Linotype"/>
          <w:b/>
        </w:rPr>
        <w:t>Razones o motivos de inconformidad:</w:t>
      </w:r>
      <w:r>
        <w:rPr>
          <w:rFonts w:ascii="Palatino Linotype" w:hAnsi="Palatino Linotype"/>
        </w:rPr>
        <w:t xml:space="preserve"> </w:t>
      </w:r>
    </w:p>
    <w:p w:rsidR="0082707D" w:rsidRDefault="0082707D" w:rsidP="0082707D">
      <w:pPr>
        <w:spacing w:line="276" w:lineRule="auto"/>
        <w:ind w:right="616"/>
        <w:jc w:val="both"/>
        <w:rPr>
          <w:rFonts w:ascii="Palatino Linotype" w:hAnsi="Palatino Linotype"/>
          <w:b/>
        </w:rPr>
      </w:pPr>
    </w:p>
    <w:p w:rsidR="0082707D" w:rsidRPr="00591A86" w:rsidRDefault="0082707D" w:rsidP="0082707D">
      <w:pPr>
        <w:spacing w:line="276" w:lineRule="auto"/>
        <w:ind w:left="567" w:right="616"/>
        <w:jc w:val="both"/>
        <w:rPr>
          <w:rFonts w:ascii="Palatino Linotype" w:hAnsi="Palatino Linotype"/>
          <w:i/>
        </w:rPr>
      </w:pPr>
      <w:r w:rsidRPr="00591A86">
        <w:rPr>
          <w:rFonts w:ascii="Palatino Linotype" w:hAnsi="Palatino Linotype"/>
          <w:i/>
          <w:sz w:val="22"/>
        </w:rPr>
        <w:t>“</w:t>
      </w:r>
      <w:r w:rsidRPr="0082707D">
        <w:rPr>
          <w:rFonts w:ascii="Palatino Linotype" w:hAnsi="Palatino Linotype"/>
          <w:i/>
          <w:sz w:val="22"/>
        </w:rPr>
        <w:t>La informacion no se entrega de manera clara, tal parece que es conla intencion de dificultar au analisis.</w:t>
      </w:r>
      <w:r>
        <w:rPr>
          <w:rFonts w:ascii="Palatino Linotype" w:hAnsi="Palatino Linotype"/>
          <w:i/>
          <w:sz w:val="22"/>
        </w:rPr>
        <w:t>” (sic)</w:t>
      </w:r>
    </w:p>
    <w:p w:rsidR="00AA03B0" w:rsidRDefault="00AA03B0" w:rsidP="0082707D">
      <w:pPr>
        <w:spacing w:line="360" w:lineRule="auto"/>
        <w:ind w:right="51"/>
        <w:jc w:val="both"/>
        <w:rPr>
          <w:rFonts w:ascii="Palatino Linotype" w:hAnsi="Palatino Linotype"/>
        </w:rPr>
      </w:pPr>
    </w:p>
    <w:p w:rsidR="0082707D" w:rsidRDefault="0082707D" w:rsidP="0082707D">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seis de mayo </w:t>
      </w:r>
      <w:r w:rsidRPr="00B36F6F">
        <w:rPr>
          <w:rFonts w:ascii="Palatino Linotype" w:hAnsi="Palatino Linotype" w:cs="Arial"/>
        </w:rPr>
        <w:t>de</w:t>
      </w:r>
      <w:r>
        <w:rPr>
          <w:rFonts w:ascii="Palatino Linotype" w:hAnsi="Palatino Linotype" w:cs="Arial"/>
        </w:rPr>
        <w:t xml:space="preserve"> dos mil veintiuno,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Pr>
          <w:rFonts w:ascii="Palatino Linotype" w:hAnsi="Palatino Linotype"/>
        </w:rPr>
        <w:t>a</w:t>
      </w:r>
      <w:r w:rsidRPr="0024200F">
        <w:rPr>
          <w:rFonts w:ascii="Palatino Linotype" w:hAnsi="Palatino Linotype"/>
        </w:rPr>
        <w:t xml:space="preserve"> </w:t>
      </w:r>
      <w:r>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sidRPr="0024200F">
        <w:rPr>
          <w:rFonts w:ascii="Palatino Linotype" w:hAnsi="Palatino Linotype" w:cs="Arial"/>
          <w:b/>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AA03B0" w:rsidRDefault="00AA03B0" w:rsidP="0082707D">
      <w:pPr>
        <w:spacing w:line="360" w:lineRule="auto"/>
        <w:ind w:right="49"/>
        <w:jc w:val="both"/>
        <w:rPr>
          <w:rFonts w:ascii="Palatino Linotype" w:hAnsi="Palatino Linotype" w:cs="Arial"/>
          <w:lang w:val="es-ES_tradnl"/>
        </w:rPr>
      </w:pPr>
    </w:p>
    <w:p w:rsidR="0082707D" w:rsidRDefault="0082707D" w:rsidP="0082707D">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n fecha doce de 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8D3704" w:rsidRDefault="008D3704" w:rsidP="0082707D">
      <w:pPr>
        <w:spacing w:line="360" w:lineRule="auto"/>
        <w:ind w:right="49"/>
        <w:jc w:val="both"/>
        <w:rPr>
          <w:rFonts w:ascii="Palatino Linotype" w:hAnsi="Palatino Linotype" w:cs="Arial"/>
        </w:rPr>
      </w:pPr>
    </w:p>
    <w:p w:rsidR="0082707D" w:rsidRDefault="0082707D" w:rsidP="0082707D">
      <w:pPr>
        <w:spacing w:line="360" w:lineRule="auto"/>
        <w:jc w:val="both"/>
        <w:rPr>
          <w:rFonts w:ascii="Palatino Linotype" w:hAnsi="Palatino Linotype" w:cs="Arial"/>
          <w:lang w:val="es-ES_tradnl"/>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w:t>
      </w:r>
      <w:r>
        <w:rPr>
          <w:rFonts w:ascii="Palatino Linotype" w:hAnsi="Palatino Linotype" w:cs="Arial"/>
          <w:lang w:val="es-ES_tradnl"/>
        </w:rPr>
        <w:t xml:space="preserve"> </w:t>
      </w:r>
      <w:r w:rsidRPr="002012DE">
        <w:rPr>
          <w:rFonts w:ascii="Palatino Linotype" w:hAnsi="Palatino Linotype" w:cs="Arial"/>
          <w:lang w:val="es-ES_tradnl"/>
        </w:rPr>
        <w:t>el</w:t>
      </w:r>
      <w:r>
        <w:rPr>
          <w:rFonts w:ascii="Palatino Linotype" w:hAnsi="Palatino Linotype" w:cs="Arial"/>
          <w:b/>
          <w:lang w:val="es-ES_tradnl"/>
        </w:rPr>
        <w:t xml:space="preserve"> Sujeto Obligado </w:t>
      </w:r>
      <w:r>
        <w:rPr>
          <w:rFonts w:ascii="Palatino Linotype" w:hAnsi="Palatino Linotype" w:cs="Arial"/>
          <w:lang w:val="es-ES_tradnl"/>
        </w:rPr>
        <w:t>rindió su informe justificado por medio del archivo electrónico “</w:t>
      </w:r>
      <w:r w:rsidRPr="0082707D">
        <w:rPr>
          <w:rFonts w:ascii="Palatino Linotype" w:hAnsi="Palatino Linotype" w:cs="Arial"/>
          <w:lang w:val="es-ES_tradnl"/>
        </w:rPr>
        <w:t>Recurse de Revisión 02715.pdf</w:t>
      </w:r>
      <w:r>
        <w:rPr>
          <w:rFonts w:ascii="Palatino Linotype" w:hAnsi="Palatino Linotype" w:cs="Arial"/>
          <w:lang w:val="es-ES_tradnl"/>
        </w:rPr>
        <w:t xml:space="preserve">”, mediante el cual ratifica su respuesta primigenia, archivo que fue </w:t>
      </w:r>
      <w:r>
        <w:rPr>
          <w:rFonts w:ascii="Palatino Linotype" w:hAnsi="Palatino Linotype" w:cs="Arial"/>
          <w:lang w:val="es-ES_tradnl"/>
        </w:rPr>
        <w:lastRenderedPageBreak/>
        <w:t xml:space="preserve">puesto a la vista del </w:t>
      </w:r>
      <w:r>
        <w:rPr>
          <w:rFonts w:ascii="Palatino Linotype" w:hAnsi="Palatino Linotype" w:cs="Arial"/>
          <w:b/>
          <w:lang w:val="es-ES_tradnl"/>
        </w:rPr>
        <w:t>Recurrente</w:t>
      </w:r>
      <w:r>
        <w:rPr>
          <w:rFonts w:ascii="Palatino Linotype" w:hAnsi="Palatino Linotype" w:cs="Arial"/>
          <w:lang w:val="es-ES_tradnl"/>
        </w:rPr>
        <w:t xml:space="preserve"> a efecto que hiciera valer lo que a sus intereses conviniera, en el término de ley, por lo que al no existir prueba alguna o diligencia que desahogar en el expediente citado al rubro, </w:t>
      </w:r>
      <w:r w:rsidRPr="00CC33DA">
        <w:rPr>
          <w:rFonts w:ascii="Palatino Linotype" w:hAnsi="Palatino Linotype" w:cs="Arial"/>
        </w:rPr>
        <w:t xml:space="preserve">la Comisionada Ponente acordó </w:t>
      </w:r>
      <w:r w:rsidRPr="0024200F">
        <w:rPr>
          <w:rFonts w:ascii="Palatino Linotype" w:hAnsi="Palatino Linotype" w:cs="Arial"/>
        </w:rPr>
        <w:t>el cierre de instrucción, así como la remisión d</w:t>
      </w:r>
      <w:r>
        <w:rPr>
          <w:rFonts w:ascii="Palatino Linotype" w:hAnsi="Palatino Linotype" w:cs="Arial"/>
        </w:rPr>
        <w:t>el</w:t>
      </w:r>
      <w:r w:rsidRPr="0024200F">
        <w:rPr>
          <w:rFonts w:ascii="Palatino Linotype" w:hAnsi="Palatino Linotype" w:cs="Arial"/>
        </w:rPr>
        <w:t xml:space="preserve"> mismo a efecto </w:t>
      </w:r>
      <w:r w:rsidRPr="0024200F">
        <w:rPr>
          <w:rFonts w:ascii="Palatino Linotype" w:hAnsi="Palatino Linotype" w:cs="Arial"/>
          <w:lang w:val="es-ES_tradnl"/>
        </w:rPr>
        <w:t>de</w:t>
      </w:r>
      <w:r w:rsidRPr="0024200F">
        <w:rPr>
          <w:rFonts w:ascii="Palatino Linotype" w:hAnsi="Palatino Linotype" w:cs="Arial"/>
        </w:rPr>
        <w:t xml:space="preserve"> ser resuelto, de conformidad con lo establecido en el artículo 185 fracciones VI y VIII </w:t>
      </w:r>
      <w:r w:rsidRPr="00177B0B">
        <w:rPr>
          <w:rFonts w:ascii="Palatino Linotype" w:hAnsi="Palatino Linotype" w:cs="Arial"/>
        </w:rPr>
        <w:t>de la Ley de Transparencia y Acceso a la Información Pública del Estado de México y Municipios</w:t>
      </w:r>
      <w:r w:rsidRPr="00177B0B">
        <w:rPr>
          <w:rFonts w:ascii="Palatino Linotype" w:hAnsi="Palatino Linotype" w:cs="Arial"/>
          <w:lang w:val="es-ES_tradnl"/>
        </w:rPr>
        <w:t>;</w:t>
      </w:r>
      <w:r>
        <w:rPr>
          <w:rFonts w:ascii="Palatino Linotype" w:hAnsi="Palatino Linotype" w:cs="Arial"/>
          <w:lang w:val="es-ES_tradnl"/>
        </w:rPr>
        <w:t xml:space="preserve"> </w:t>
      </w:r>
    </w:p>
    <w:p w:rsidR="0082707D" w:rsidRDefault="0082707D" w:rsidP="0082707D">
      <w:pPr>
        <w:pStyle w:val="Prrafodelista"/>
        <w:spacing w:line="360" w:lineRule="auto"/>
        <w:ind w:left="0"/>
        <w:jc w:val="both"/>
        <w:rPr>
          <w:rFonts w:ascii="Palatino Linotype" w:hAnsi="Palatino Linotype" w:cs="Arial"/>
          <w:lang w:val="es-ES_tradnl"/>
        </w:rPr>
      </w:pPr>
    </w:p>
    <w:p w:rsidR="0082707D" w:rsidRDefault="0082707D" w:rsidP="0082707D">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Pr>
          <w:rFonts w:ascii="Palatino Linotype" w:eastAsiaTheme="minorHAnsi" w:hAnsi="Palatino Linotype" w:cs="Arial"/>
          <w:lang w:val="es-MX" w:eastAsia="en-US"/>
        </w:rPr>
        <w:t>veinticinco de mayo de dos mil veintiuno</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AA03B0" w:rsidRDefault="00AA03B0" w:rsidP="0082707D">
      <w:pPr>
        <w:pStyle w:val="Prrafodelista"/>
        <w:spacing w:line="360" w:lineRule="auto"/>
        <w:ind w:left="0"/>
        <w:jc w:val="both"/>
        <w:rPr>
          <w:rFonts w:ascii="Palatino Linotype" w:eastAsiaTheme="minorHAnsi" w:hAnsi="Palatino Linotype" w:cs="Arial"/>
          <w:lang w:val="es-MX" w:eastAsia="en-US"/>
        </w:rPr>
      </w:pPr>
    </w:p>
    <w:p w:rsidR="0082707D" w:rsidRPr="00FF483B" w:rsidRDefault="0082707D" w:rsidP="0082707D">
      <w:pPr>
        <w:spacing w:line="360" w:lineRule="auto"/>
        <w:jc w:val="both"/>
        <w:rPr>
          <w:rFonts w:ascii="Palatino Linotype" w:hAnsi="Palatino Linotype" w:cs="Arial"/>
          <w:b/>
          <w:sz w:val="28"/>
          <w:szCs w:val="28"/>
        </w:rPr>
      </w:pPr>
      <w:r w:rsidRPr="00FF483B">
        <w:rPr>
          <w:rFonts w:ascii="Palatino Linotype" w:hAnsi="Palatino Linotype" w:cs="Arial"/>
          <w:b/>
          <w:sz w:val="28"/>
          <w:szCs w:val="28"/>
        </w:rPr>
        <w:t>OCTAVO. De la ampliación del término para resolver.</w:t>
      </w:r>
    </w:p>
    <w:p w:rsidR="0082707D" w:rsidRPr="00084D21" w:rsidRDefault="0082707D" w:rsidP="0082707D">
      <w:pPr>
        <w:spacing w:line="360" w:lineRule="auto"/>
        <w:jc w:val="both"/>
        <w:rPr>
          <w:rFonts w:ascii="Palatino Linotype" w:hAnsi="Palatino Linotype" w:cs="Arial"/>
        </w:rPr>
      </w:pPr>
      <w:r w:rsidRPr="00FF483B">
        <w:rPr>
          <w:rFonts w:ascii="Palatino Linotype" w:hAnsi="Palatino Linotype" w:cs="Arial"/>
        </w:rPr>
        <w:t xml:space="preserve">En fecha </w:t>
      </w:r>
      <w:r>
        <w:rPr>
          <w:rFonts w:ascii="Palatino Linotype" w:hAnsi="Palatino Linotype" w:cs="Arial"/>
        </w:rPr>
        <w:t xml:space="preserve">veintitrés de junio </w:t>
      </w:r>
      <w:r w:rsidRPr="00FF483B">
        <w:rPr>
          <w:rFonts w:ascii="Palatino Linotype" w:hAnsi="Palatino Linotype" w:cs="Arial"/>
        </w:rPr>
        <w:t>de dos mil veintiuno</w:t>
      </w:r>
      <w:r w:rsidRPr="00084D21">
        <w:rPr>
          <w:rFonts w:ascii="Palatino Linotype" w:hAnsi="Palatino Linotype" w:cs="Arial"/>
        </w:rPr>
        <w:t>, atendiendo que 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82707D" w:rsidRPr="00D3600E" w:rsidRDefault="0082707D" w:rsidP="0082707D">
      <w:pPr>
        <w:pStyle w:val="Prrafodelista"/>
        <w:spacing w:line="360" w:lineRule="auto"/>
        <w:ind w:left="0"/>
        <w:jc w:val="both"/>
        <w:rPr>
          <w:rFonts w:ascii="Palatino Linotype" w:eastAsiaTheme="minorHAnsi" w:hAnsi="Palatino Linotype" w:cs="Arial"/>
          <w:lang w:eastAsia="en-US"/>
        </w:rPr>
      </w:pPr>
    </w:p>
    <w:p w:rsidR="0082707D" w:rsidRPr="0024200F" w:rsidRDefault="0082707D" w:rsidP="0082707D">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82707D" w:rsidRPr="00825F67" w:rsidRDefault="0082707D" w:rsidP="0082707D">
      <w:pPr>
        <w:spacing w:line="360" w:lineRule="auto"/>
        <w:ind w:right="49"/>
        <w:jc w:val="both"/>
        <w:rPr>
          <w:rFonts w:ascii="Palatino Linotype" w:hAnsi="Palatino Linotype"/>
          <w:szCs w:val="28"/>
        </w:rPr>
      </w:pPr>
    </w:p>
    <w:p w:rsidR="0082707D" w:rsidRPr="00FB3150" w:rsidRDefault="0082707D" w:rsidP="0082707D">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82707D" w:rsidRDefault="0082707D" w:rsidP="0082707D">
      <w:pPr>
        <w:spacing w:line="360" w:lineRule="auto"/>
        <w:jc w:val="both"/>
        <w:rPr>
          <w:rFonts w:ascii="Palatino Linotype" w:hAnsi="Palatino Linotype" w:cs="Arial"/>
        </w:rPr>
      </w:pPr>
      <w:r w:rsidRPr="001D77CB">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conforme a lo 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82707D" w:rsidRDefault="0082707D" w:rsidP="0082707D">
      <w:pPr>
        <w:spacing w:line="360" w:lineRule="auto"/>
        <w:jc w:val="both"/>
        <w:rPr>
          <w:rFonts w:ascii="Palatino Linotype" w:hAnsi="Palatino Linotype" w:cs="Arial"/>
        </w:rPr>
      </w:pPr>
    </w:p>
    <w:p w:rsidR="0082707D" w:rsidRPr="001D77CB" w:rsidRDefault="0082707D" w:rsidP="0082707D">
      <w:pPr>
        <w:spacing w:line="360" w:lineRule="auto"/>
        <w:jc w:val="both"/>
        <w:rPr>
          <w:rFonts w:ascii="Palatino Linotype" w:hAnsi="Palatino Linotype" w:cs="Arial"/>
        </w:rPr>
      </w:pPr>
      <w:r w:rsidRPr="00BA5FE4">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A03B0" w:rsidRDefault="00AA03B0" w:rsidP="0082707D">
      <w:pPr>
        <w:spacing w:line="360" w:lineRule="auto"/>
        <w:ind w:right="49"/>
        <w:jc w:val="both"/>
        <w:rPr>
          <w:rFonts w:ascii="Palatino Linotype" w:hAnsi="Palatino Linotype" w:cs="Arial"/>
        </w:rPr>
      </w:pPr>
    </w:p>
    <w:p w:rsidR="0082707D" w:rsidRPr="00FB3150" w:rsidRDefault="0082707D" w:rsidP="0082707D">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82707D" w:rsidRDefault="0082707D" w:rsidP="0082707D">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w:t>
      </w:r>
      <w:r w:rsidRPr="0024200F">
        <w:rPr>
          <w:rFonts w:ascii="Palatino Linotype" w:hAnsi="Palatino Linotype" w:cs="Arial"/>
        </w:rPr>
        <w:lastRenderedPageBreak/>
        <w:t>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derecho de acceso a la información pública y garantizando el principio rector de máxima publicidad.</w:t>
      </w:r>
    </w:p>
    <w:p w:rsidR="00AA03B0" w:rsidRDefault="00AA03B0" w:rsidP="0082707D">
      <w:pPr>
        <w:spacing w:line="360" w:lineRule="auto"/>
        <w:ind w:right="49"/>
        <w:jc w:val="both"/>
        <w:rPr>
          <w:rFonts w:ascii="Palatino Linotype" w:hAnsi="Palatino Linotype" w:cs="Arial"/>
        </w:rPr>
      </w:pPr>
    </w:p>
    <w:p w:rsidR="0082707D" w:rsidRPr="00FB3150" w:rsidRDefault="0082707D" w:rsidP="0082707D">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82707D" w:rsidRDefault="0082707D" w:rsidP="0082707D">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82707D" w:rsidRDefault="0082707D" w:rsidP="0082707D">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AA03B0" w:rsidRDefault="00AA03B0" w:rsidP="0082707D">
      <w:pPr>
        <w:pStyle w:val="Prrafodelista"/>
        <w:autoSpaceDE w:val="0"/>
        <w:autoSpaceDN w:val="0"/>
        <w:adjustRightInd w:val="0"/>
        <w:spacing w:line="360" w:lineRule="auto"/>
        <w:ind w:left="0"/>
        <w:jc w:val="both"/>
        <w:rPr>
          <w:rFonts w:ascii="Palatino Linotype" w:hAnsi="Palatino Linotype" w:cs="Arial"/>
        </w:rPr>
      </w:pPr>
    </w:p>
    <w:p w:rsidR="008D3704" w:rsidRDefault="008D3704" w:rsidP="0082707D">
      <w:pPr>
        <w:pStyle w:val="Prrafodelista"/>
        <w:autoSpaceDE w:val="0"/>
        <w:autoSpaceDN w:val="0"/>
        <w:adjustRightInd w:val="0"/>
        <w:spacing w:line="360" w:lineRule="auto"/>
        <w:ind w:left="0"/>
        <w:jc w:val="both"/>
        <w:rPr>
          <w:rFonts w:ascii="Palatino Linotype" w:hAnsi="Palatino Linotype" w:cs="Arial"/>
        </w:rPr>
      </w:pPr>
    </w:p>
    <w:p w:rsidR="0082707D" w:rsidRPr="00FB3150" w:rsidRDefault="0082707D" w:rsidP="0082707D">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82707D" w:rsidRPr="0024200F" w:rsidRDefault="0082707D" w:rsidP="0082707D">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82707D" w:rsidRPr="0024200F" w:rsidRDefault="0082707D" w:rsidP="0082707D">
      <w:pPr>
        <w:pStyle w:val="Prrafodelista"/>
        <w:autoSpaceDE w:val="0"/>
        <w:autoSpaceDN w:val="0"/>
        <w:adjustRightInd w:val="0"/>
        <w:spacing w:line="360" w:lineRule="auto"/>
        <w:ind w:left="0"/>
        <w:jc w:val="both"/>
        <w:rPr>
          <w:rFonts w:ascii="Palatino Linotype" w:hAnsi="Palatino Linotype" w:cs="Arial"/>
        </w:rPr>
      </w:pPr>
    </w:p>
    <w:p w:rsidR="0082707D" w:rsidRDefault="0082707D" w:rsidP="0082707D">
      <w:pPr>
        <w:pStyle w:val="Prrafodelista"/>
        <w:widowControl w:val="0"/>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 xml:space="preserve">En primera instancia, al referirnos al acto impugnado por </w:t>
      </w:r>
      <w:r>
        <w:rPr>
          <w:rFonts w:ascii="Palatino Linotype" w:hAnsi="Palatino Linotype" w:cs="Arial"/>
        </w:rPr>
        <w:t>el</w:t>
      </w:r>
      <w:r w:rsidRPr="0024200F">
        <w:rPr>
          <w:rFonts w:ascii="Palatino Linotype" w:hAnsi="Palatino Linotype" w:cs="Arial"/>
        </w:rPr>
        <w:t xml:space="preserve"> </w:t>
      </w:r>
      <w:r>
        <w:rPr>
          <w:rFonts w:ascii="Palatino Linotype" w:hAnsi="Palatino Linotype" w:cs="Arial"/>
          <w:b/>
        </w:rPr>
        <w:t>Recurrente</w:t>
      </w:r>
      <w:r w:rsidRPr="0024200F">
        <w:rPr>
          <w:rFonts w:ascii="Palatino Linotype" w:hAnsi="Palatino Linotype" w:cs="Arial"/>
        </w:rPr>
        <w:t xml:space="preserve">, concatenado con los motivos o razones de inconformidad, se distingue que se adolece </w:t>
      </w:r>
      <w:r>
        <w:rPr>
          <w:rFonts w:ascii="Palatino Linotype" w:hAnsi="Palatino Linotype" w:cs="Arial"/>
        </w:rPr>
        <w:t xml:space="preserve">de una presunta la falta de respuesta por el </w:t>
      </w:r>
      <w:r>
        <w:rPr>
          <w:rFonts w:ascii="Palatino Linotype" w:hAnsi="Palatino Linotype" w:cs="Arial"/>
          <w:b/>
        </w:rPr>
        <w:t>Sujeto Obligado</w:t>
      </w:r>
      <w:r>
        <w:rPr>
          <w:rFonts w:ascii="Palatino Linotype" w:hAnsi="Palatino Linotype" w:cs="Arial"/>
        </w:rPr>
        <w:t xml:space="preserve">, supuesto establecido en la fracción VII del artículo 179 de la </w:t>
      </w:r>
      <w:r w:rsidRPr="0024200F">
        <w:rPr>
          <w:rFonts w:ascii="Palatino Linotype" w:hAnsi="Palatino Linotype" w:cs="Arial"/>
          <w:b/>
          <w:color w:val="000000" w:themeColor="text1"/>
        </w:rPr>
        <w:t xml:space="preserve">Ley de Transparencia y Acceso a la Información </w:t>
      </w:r>
      <w:r w:rsidRPr="0024200F">
        <w:rPr>
          <w:rFonts w:ascii="Palatino Linotype" w:hAnsi="Palatino Linotype" w:cs="Arial"/>
          <w:b/>
          <w:color w:val="000000" w:themeColor="text1"/>
        </w:rPr>
        <w:lastRenderedPageBreak/>
        <w:t>Pública del Estado de México y Municipios</w:t>
      </w:r>
      <w:r>
        <w:rPr>
          <w:rStyle w:val="Refdenotaalpie"/>
          <w:rFonts w:ascii="Palatino Linotype" w:hAnsi="Palatino Linotype" w:cs="Arial"/>
          <w:b/>
          <w:color w:val="000000" w:themeColor="text1"/>
        </w:rPr>
        <w:footnoteReference w:id="2"/>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resultando procedente la interposición del recurso de revisión</w:t>
      </w:r>
      <w:r>
        <w:rPr>
          <w:rFonts w:ascii="Palatino Linotype" w:hAnsi="Palatino Linotype" w:cs="Arial"/>
        </w:rPr>
        <w:t>.</w:t>
      </w:r>
    </w:p>
    <w:p w:rsidR="0082707D" w:rsidRDefault="0082707D" w:rsidP="0082707D">
      <w:pPr>
        <w:pStyle w:val="Prrafodelista"/>
        <w:widowControl w:val="0"/>
        <w:autoSpaceDE w:val="0"/>
        <w:autoSpaceDN w:val="0"/>
        <w:adjustRightInd w:val="0"/>
        <w:spacing w:line="360" w:lineRule="auto"/>
        <w:ind w:left="0"/>
        <w:jc w:val="both"/>
        <w:rPr>
          <w:rFonts w:ascii="Palatino Linotype" w:hAnsi="Palatino Linotype" w:cs="Arial"/>
        </w:rPr>
      </w:pPr>
    </w:p>
    <w:p w:rsidR="0082707D" w:rsidRDefault="0082707D" w:rsidP="0082707D">
      <w:pPr>
        <w:pStyle w:val="Prrafodelista"/>
        <w:spacing w:line="360" w:lineRule="auto"/>
        <w:ind w:left="0" w:right="49"/>
        <w:jc w:val="both"/>
        <w:rPr>
          <w:rFonts w:ascii="Palatino Linotype" w:hAnsi="Palatino Linotype" w:cs="Arial"/>
          <w:color w:val="000000" w:themeColor="text1"/>
        </w:rPr>
      </w:pPr>
      <w:r>
        <w:rPr>
          <w:rFonts w:ascii="Palatino Linotype" w:hAnsi="Palatino Linotype"/>
          <w:bCs/>
        </w:rPr>
        <w:t>Como se advierte del contenido de</w:t>
      </w:r>
      <w:r w:rsidRPr="004151FC">
        <w:rPr>
          <w:rFonts w:ascii="Palatino Linotype" w:hAnsi="Palatino Linotype"/>
          <w:bCs/>
        </w:rPr>
        <w:t xml:space="preserve"> la solicitud de </w:t>
      </w:r>
      <w:r w:rsidRPr="007D7352">
        <w:rPr>
          <w:rFonts w:ascii="Palatino Linotype" w:hAnsi="Palatino Linotype"/>
          <w:bCs/>
        </w:rPr>
        <w:t xml:space="preserve">información el </w:t>
      </w:r>
      <w:r w:rsidRPr="007D7352">
        <w:rPr>
          <w:rFonts w:ascii="Palatino Linotype" w:hAnsi="Palatino Linotype"/>
          <w:b/>
          <w:bCs/>
        </w:rPr>
        <w:t xml:space="preserve">Recurrente </w:t>
      </w:r>
      <w:r w:rsidRPr="007D7352">
        <w:rPr>
          <w:rFonts w:ascii="Palatino Linotype" w:hAnsi="Palatino Linotype"/>
          <w:bCs/>
        </w:rPr>
        <w:t>peticiona del</w:t>
      </w:r>
      <w:r>
        <w:rPr>
          <w:rFonts w:ascii="Palatino Linotype" w:hAnsi="Palatino Linotype"/>
          <w:bCs/>
        </w:rPr>
        <w:t xml:space="preserve"> mes de marzo del año 2021</w:t>
      </w:r>
      <w:r w:rsidRPr="007D7352">
        <w:rPr>
          <w:rFonts w:ascii="Palatino Linotype" w:hAnsi="Palatino Linotype"/>
          <w:bCs/>
        </w:rPr>
        <w:t>, lo siguiente:</w:t>
      </w:r>
      <w:r>
        <w:rPr>
          <w:rFonts w:ascii="Palatino Linotype" w:hAnsi="Palatino Linotype"/>
          <w:bCs/>
        </w:rPr>
        <w:t xml:space="preserve"> </w:t>
      </w:r>
    </w:p>
    <w:p w:rsidR="0082707D" w:rsidRDefault="0082707D" w:rsidP="0082707D">
      <w:pPr>
        <w:pStyle w:val="Prrafodelista"/>
        <w:spacing w:line="360" w:lineRule="auto"/>
        <w:ind w:left="0" w:right="49"/>
        <w:jc w:val="both"/>
        <w:rPr>
          <w:rFonts w:ascii="Palatino Linotype" w:hAnsi="Palatino Linotype" w:cs="Arial"/>
          <w:color w:val="000000" w:themeColor="text1"/>
        </w:rPr>
      </w:pPr>
    </w:p>
    <w:p w:rsidR="0082707D" w:rsidRPr="00606BF1" w:rsidRDefault="0082707D" w:rsidP="0082707D">
      <w:pPr>
        <w:pStyle w:val="Prrafodelista"/>
        <w:numPr>
          <w:ilvl w:val="0"/>
          <w:numId w:val="2"/>
        </w:numPr>
        <w:spacing w:line="360" w:lineRule="auto"/>
        <w:ind w:right="616"/>
        <w:jc w:val="both"/>
        <w:rPr>
          <w:rFonts w:ascii="Palatino Linotype" w:hAnsi="Palatino Linotype" w:cs="Arial"/>
          <w:color w:val="000000" w:themeColor="text1"/>
        </w:rPr>
      </w:pPr>
      <w:r>
        <w:rPr>
          <w:rFonts w:ascii="Palatino Linotype" w:hAnsi="Palatino Linotype" w:cs="Arial"/>
          <w:color w:val="000000" w:themeColor="text1"/>
        </w:rPr>
        <w:t>Nómina de los servidores públicos de confianza.</w:t>
      </w:r>
    </w:p>
    <w:p w:rsidR="0082707D" w:rsidRDefault="0082707D" w:rsidP="0082707D">
      <w:pPr>
        <w:spacing w:line="360" w:lineRule="auto"/>
        <w:ind w:right="616"/>
        <w:jc w:val="both"/>
        <w:rPr>
          <w:rFonts w:ascii="Palatino Linotype" w:hAnsi="Palatino Linotype" w:cs="Arial"/>
          <w:color w:val="000000" w:themeColor="text1"/>
        </w:rPr>
      </w:pPr>
    </w:p>
    <w:p w:rsidR="0082707D" w:rsidRDefault="0082707D" w:rsidP="0082707D">
      <w:pPr>
        <w:spacing w:line="360" w:lineRule="auto"/>
        <w:jc w:val="both"/>
        <w:rPr>
          <w:rFonts w:ascii="Palatino Linotype" w:hAnsi="Palatino Linotype"/>
          <w:bCs/>
        </w:rPr>
      </w:pPr>
      <w:r>
        <w:rPr>
          <w:rFonts w:ascii="Palatino Linotype" w:hAnsi="Palatino Linotype" w:cs="Arial"/>
          <w:color w:val="000000" w:themeColor="text1"/>
        </w:rPr>
        <w:t xml:space="preserve">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emitió respuesta por medio de</w:t>
      </w:r>
      <w:r w:rsidR="008D6A2E">
        <w:rPr>
          <w:rFonts w:ascii="Palatino Linotype" w:hAnsi="Palatino Linotype" w:cs="Arial"/>
          <w:color w:val="000000" w:themeColor="text1"/>
        </w:rPr>
        <w:t xml:space="preserve"> </w:t>
      </w:r>
      <w:r>
        <w:rPr>
          <w:rFonts w:ascii="Palatino Linotype" w:hAnsi="Palatino Linotype" w:cs="Arial"/>
          <w:color w:val="000000" w:themeColor="text1"/>
        </w:rPr>
        <w:t>l</w:t>
      </w:r>
      <w:r w:rsidR="008D6A2E">
        <w:rPr>
          <w:rFonts w:ascii="Palatino Linotype" w:hAnsi="Palatino Linotype" w:cs="Arial"/>
          <w:color w:val="000000" w:themeColor="text1"/>
        </w:rPr>
        <w:t>os</w:t>
      </w:r>
      <w:r>
        <w:rPr>
          <w:rFonts w:ascii="Palatino Linotype" w:hAnsi="Palatino Linotype" w:cs="Arial"/>
          <w:color w:val="000000" w:themeColor="text1"/>
        </w:rPr>
        <w:t xml:space="preserve"> archivo</w:t>
      </w:r>
      <w:r w:rsidR="008D6A2E">
        <w:rPr>
          <w:rFonts w:ascii="Palatino Linotype" w:hAnsi="Palatino Linotype" w:cs="Arial"/>
          <w:color w:val="000000" w:themeColor="text1"/>
        </w:rPr>
        <w:t>s</w:t>
      </w:r>
      <w:r>
        <w:rPr>
          <w:rFonts w:ascii="Palatino Linotype" w:hAnsi="Palatino Linotype" w:cs="Arial"/>
          <w:color w:val="000000" w:themeColor="text1"/>
        </w:rPr>
        <w:t xml:space="preserve"> “</w:t>
      </w:r>
      <w:r w:rsidR="008D6A2E" w:rsidRPr="008D6A2E">
        <w:rPr>
          <w:rFonts w:ascii="Palatino Linotype" w:hAnsi="Palatino Linotype"/>
          <w:bCs/>
        </w:rPr>
        <w:t>RH 00167.pdf</w:t>
      </w:r>
      <w:r w:rsidR="008D6A2E">
        <w:rPr>
          <w:rFonts w:ascii="Palatino Linotype" w:hAnsi="Palatino Linotype"/>
          <w:bCs/>
        </w:rPr>
        <w:t xml:space="preserve"> y </w:t>
      </w:r>
      <w:r w:rsidR="008D6A2E" w:rsidRPr="008D6A2E">
        <w:rPr>
          <w:rFonts w:ascii="Palatino Linotype" w:hAnsi="Palatino Linotype"/>
          <w:bCs/>
        </w:rPr>
        <w:t>00167_ATIZARA_IP_2021.pdf</w:t>
      </w:r>
      <w:r>
        <w:rPr>
          <w:rFonts w:ascii="Palatino Linotype" w:hAnsi="Palatino Linotype"/>
          <w:bCs/>
        </w:rPr>
        <w:t>”</w:t>
      </w:r>
      <w:r w:rsidRPr="00E11C7D">
        <w:rPr>
          <w:rFonts w:ascii="Palatino Linotype" w:hAnsi="Palatino Linotype"/>
          <w:bCs/>
        </w:rPr>
        <w:t>,</w:t>
      </w:r>
      <w:r>
        <w:rPr>
          <w:rFonts w:ascii="Palatino Linotype" w:hAnsi="Palatino Linotype"/>
          <w:bCs/>
        </w:rPr>
        <w:t xml:space="preserve"> del que se desprende el contenido siguiente:</w:t>
      </w:r>
    </w:p>
    <w:p w:rsidR="0082707D" w:rsidRDefault="0082707D" w:rsidP="0082707D">
      <w:pPr>
        <w:spacing w:line="360" w:lineRule="auto"/>
        <w:jc w:val="both"/>
        <w:rPr>
          <w:rFonts w:ascii="Palatino Linotype" w:hAnsi="Palatino Linotype"/>
          <w:bCs/>
        </w:rPr>
      </w:pPr>
    </w:p>
    <w:p w:rsidR="0082707D" w:rsidRDefault="008D6A2E" w:rsidP="0082707D">
      <w:pPr>
        <w:pStyle w:val="Prrafodelista"/>
        <w:numPr>
          <w:ilvl w:val="0"/>
          <w:numId w:val="1"/>
        </w:numPr>
        <w:spacing w:line="360" w:lineRule="auto"/>
        <w:jc w:val="both"/>
        <w:rPr>
          <w:rFonts w:ascii="Palatino Linotype" w:hAnsi="Palatino Linotype"/>
          <w:bCs/>
        </w:rPr>
      </w:pPr>
      <w:r w:rsidRPr="008D6A2E">
        <w:rPr>
          <w:rFonts w:ascii="Palatino Linotype" w:hAnsi="Palatino Linotype"/>
          <w:b/>
          <w:bCs/>
        </w:rPr>
        <w:t>RH 00167.pdf:</w:t>
      </w:r>
      <w:r>
        <w:rPr>
          <w:rFonts w:ascii="Palatino Linotype" w:hAnsi="Palatino Linotype"/>
          <w:bCs/>
        </w:rPr>
        <w:t xml:space="preserve"> consistente en el Memorándum SRH/078</w:t>
      </w:r>
      <w:r w:rsidR="0082707D">
        <w:rPr>
          <w:rFonts w:ascii="Palatino Linotype" w:hAnsi="Palatino Linotype"/>
          <w:bCs/>
        </w:rPr>
        <w:t>, mediante el cual</w:t>
      </w:r>
      <w:r>
        <w:rPr>
          <w:rFonts w:ascii="Palatino Linotype" w:hAnsi="Palatino Linotype"/>
          <w:bCs/>
        </w:rPr>
        <w:t xml:space="preserve"> la Subdirectora de Recursos Humanos remite al Enlace Jurídico de la Dirección de Administración y Desarrollo de Personal, el archivo con nombre 00167_ATIZARA_IP_2021, que refiere contener la nóminas cinco y seis, que comprenden del primero al treinta y uno de marzo de dos mil veintiuno, donde se enlista el nombre, puesto, adscripción, percepciones quincenales brutas, deducciones y percepciones quincenales netas.</w:t>
      </w:r>
    </w:p>
    <w:p w:rsidR="0082707D" w:rsidRDefault="0082707D" w:rsidP="0082707D">
      <w:pPr>
        <w:pStyle w:val="Prrafodelista"/>
        <w:spacing w:line="360" w:lineRule="auto"/>
        <w:ind w:left="720"/>
        <w:jc w:val="both"/>
        <w:rPr>
          <w:rFonts w:ascii="Palatino Linotype" w:hAnsi="Palatino Linotype"/>
          <w:bCs/>
        </w:rPr>
      </w:pPr>
    </w:p>
    <w:p w:rsidR="008D6A2E" w:rsidRDefault="008D6A2E" w:rsidP="008D6A2E">
      <w:pPr>
        <w:pStyle w:val="Prrafodelista"/>
        <w:numPr>
          <w:ilvl w:val="0"/>
          <w:numId w:val="1"/>
        </w:numPr>
        <w:spacing w:line="360" w:lineRule="auto"/>
        <w:jc w:val="both"/>
        <w:rPr>
          <w:rFonts w:ascii="Palatino Linotype" w:hAnsi="Palatino Linotype"/>
          <w:bCs/>
        </w:rPr>
      </w:pPr>
      <w:r w:rsidRPr="00AA03B0">
        <w:rPr>
          <w:rFonts w:ascii="Palatino Linotype" w:hAnsi="Palatino Linotype"/>
          <w:b/>
          <w:bCs/>
        </w:rPr>
        <w:t>00167_ATIZARA_IP_2021.pdf:</w:t>
      </w:r>
      <w:r>
        <w:rPr>
          <w:rFonts w:ascii="Palatino Linotype" w:hAnsi="Palatino Linotype"/>
          <w:bCs/>
        </w:rPr>
        <w:t xml:space="preserve"> archivo de tipo PDF, que refiere contener el listado de personal correspondiente a la primera quincena de marzo 2021, se inserta</w:t>
      </w:r>
      <w:r w:rsidR="0042445B">
        <w:rPr>
          <w:rFonts w:ascii="Palatino Linotype" w:hAnsi="Palatino Linotype"/>
          <w:bCs/>
        </w:rPr>
        <w:t>n</w:t>
      </w:r>
      <w:r>
        <w:rPr>
          <w:rFonts w:ascii="Palatino Linotype" w:hAnsi="Palatino Linotype"/>
          <w:bCs/>
        </w:rPr>
        <w:t xml:space="preserve"> esfinge</w:t>
      </w:r>
      <w:r w:rsidR="0042445B">
        <w:rPr>
          <w:rFonts w:ascii="Palatino Linotype" w:hAnsi="Palatino Linotype"/>
          <w:bCs/>
        </w:rPr>
        <w:t>s</w:t>
      </w:r>
      <w:r>
        <w:rPr>
          <w:rFonts w:ascii="Palatino Linotype" w:hAnsi="Palatino Linotype"/>
          <w:bCs/>
        </w:rPr>
        <w:t xml:space="preserve"> para mayor referencia:</w:t>
      </w:r>
    </w:p>
    <w:p w:rsidR="0042445B" w:rsidRDefault="0042445B" w:rsidP="0082707D">
      <w:pPr>
        <w:pStyle w:val="Prrafodelista"/>
        <w:spacing w:line="360" w:lineRule="auto"/>
        <w:ind w:left="0"/>
        <w:jc w:val="both"/>
        <w:rPr>
          <w:rFonts w:ascii="Palatino Linotype" w:hAnsi="Palatino Linotype"/>
          <w:bCs/>
        </w:rPr>
      </w:pPr>
      <w:r>
        <w:rPr>
          <w:rFonts w:ascii="Palatino Linotype" w:hAnsi="Palatino Linotype"/>
          <w:bCs/>
          <w:noProof/>
          <w:lang w:val="es-MX" w:eastAsia="es-MX"/>
        </w:rPr>
        <w:lastRenderedPageBreak/>
        <w:drawing>
          <wp:inline distT="0" distB="0" distL="0" distR="0">
            <wp:extent cx="5791835" cy="29000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7">
                      <a:extLst>
                        <a:ext uri="{28A0092B-C50C-407E-A947-70E740481C1C}">
                          <a14:useLocalDpi xmlns:a14="http://schemas.microsoft.com/office/drawing/2010/main" val="0"/>
                        </a:ext>
                      </a:extLst>
                    </a:blip>
                    <a:stretch>
                      <a:fillRect/>
                    </a:stretch>
                  </pic:blipFill>
                  <pic:spPr>
                    <a:xfrm>
                      <a:off x="0" y="0"/>
                      <a:ext cx="5791835" cy="2900045"/>
                    </a:xfrm>
                    <a:prstGeom prst="rect">
                      <a:avLst/>
                    </a:prstGeom>
                  </pic:spPr>
                </pic:pic>
              </a:graphicData>
            </a:graphic>
          </wp:inline>
        </w:drawing>
      </w:r>
    </w:p>
    <w:p w:rsidR="0042445B" w:rsidRDefault="0042445B" w:rsidP="0082707D">
      <w:pPr>
        <w:pStyle w:val="Prrafodelista"/>
        <w:spacing w:line="360" w:lineRule="auto"/>
        <w:ind w:left="0"/>
        <w:jc w:val="both"/>
        <w:rPr>
          <w:rFonts w:ascii="Palatino Linotype" w:hAnsi="Palatino Linotype"/>
          <w:bCs/>
        </w:rPr>
      </w:pPr>
    </w:p>
    <w:p w:rsidR="008D6A2E" w:rsidRDefault="0042445B" w:rsidP="0082707D">
      <w:pPr>
        <w:pStyle w:val="Prrafodelista"/>
        <w:spacing w:line="360" w:lineRule="auto"/>
        <w:ind w:left="0"/>
        <w:jc w:val="both"/>
        <w:rPr>
          <w:rFonts w:ascii="Palatino Linotype" w:hAnsi="Palatino Linotype"/>
          <w:bCs/>
        </w:rPr>
      </w:pPr>
      <w:r>
        <w:rPr>
          <w:rFonts w:ascii="Palatino Linotype" w:hAnsi="Palatino Linotype"/>
          <w:bCs/>
          <w:noProof/>
          <w:lang w:val="es-MX" w:eastAsia="es-MX"/>
        </w:rPr>
        <w:drawing>
          <wp:inline distT="0" distB="0" distL="0" distR="0">
            <wp:extent cx="5791835" cy="2928620"/>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928620"/>
                    </a:xfrm>
                    <a:prstGeom prst="rect">
                      <a:avLst/>
                    </a:prstGeom>
                  </pic:spPr>
                </pic:pic>
              </a:graphicData>
            </a:graphic>
          </wp:inline>
        </w:drawing>
      </w:r>
    </w:p>
    <w:p w:rsidR="0046579A" w:rsidRDefault="0046579A" w:rsidP="0082707D">
      <w:pPr>
        <w:pStyle w:val="Prrafodelista"/>
        <w:spacing w:line="360" w:lineRule="auto"/>
        <w:ind w:left="0"/>
        <w:jc w:val="both"/>
        <w:rPr>
          <w:rFonts w:ascii="Palatino Linotype" w:hAnsi="Palatino Linotype"/>
          <w:bCs/>
        </w:rPr>
      </w:pPr>
    </w:p>
    <w:p w:rsidR="0082707D" w:rsidRDefault="0082707D" w:rsidP="0082707D">
      <w:pPr>
        <w:spacing w:line="360" w:lineRule="auto"/>
        <w:jc w:val="both"/>
        <w:rPr>
          <w:rFonts w:ascii="Palatino Linotype" w:hAnsi="Palatino Linotype"/>
          <w:bCs/>
        </w:rPr>
      </w:pPr>
      <w:r>
        <w:rPr>
          <w:rFonts w:ascii="Palatino Linotype" w:hAnsi="Palatino Linotype"/>
          <w:bCs/>
        </w:rPr>
        <w:t xml:space="preserve">Inconforme con la respuesta proporcionada, el </w:t>
      </w:r>
      <w:r>
        <w:rPr>
          <w:rFonts w:ascii="Palatino Linotype" w:hAnsi="Palatino Linotype"/>
          <w:b/>
          <w:bCs/>
        </w:rPr>
        <w:t>Recurrente</w:t>
      </w:r>
      <w:r>
        <w:rPr>
          <w:rFonts w:ascii="Palatino Linotype" w:hAnsi="Palatino Linotype"/>
          <w:bCs/>
        </w:rPr>
        <w:t xml:space="preserve"> interpone el presente recurso de revisión, señalando objetivamente como razones o motivos de inconformidad </w:t>
      </w:r>
      <w:r>
        <w:rPr>
          <w:rFonts w:ascii="Palatino Linotype" w:hAnsi="Palatino Linotype"/>
          <w:bCs/>
          <w:i/>
        </w:rPr>
        <w:t>“</w:t>
      </w:r>
      <w:r w:rsidR="0046579A">
        <w:rPr>
          <w:rFonts w:ascii="Palatino Linotype" w:hAnsi="Palatino Linotype"/>
          <w:bCs/>
          <w:i/>
        </w:rPr>
        <w:t>la información no es clara y precisa</w:t>
      </w:r>
      <w:r>
        <w:rPr>
          <w:rFonts w:ascii="Palatino Linotype" w:hAnsi="Palatino Linotype"/>
          <w:bCs/>
          <w:i/>
        </w:rPr>
        <w:t>”</w:t>
      </w:r>
      <w:r>
        <w:rPr>
          <w:rFonts w:ascii="Palatino Linotype" w:hAnsi="Palatino Linotype"/>
          <w:bCs/>
        </w:rPr>
        <w:t xml:space="preserve">, razones o motivos de inconformidad que se traducen en la entrega de información incompleta, que encuadran en la hipótesis </w:t>
      </w:r>
      <w:r>
        <w:rPr>
          <w:rFonts w:ascii="Palatino Linotype" w:hAnsi="Palatino Linotype"/>
          <w:bCs/>
        </w:rPr>
        <w:lastRenderedPageBreak/>
        <w:t>norm</w:t>
      </w:r>
      <w:r w:rsidR="009E21AC">
        <w:rPr>
          <w:rFonts w:ascii="Palatino Linotype" w:hAnsi="Palatino Linotype"/>
          <w:bCs/>
        </w:rPr>
        <w:t>ativa señalada en la fracción IX</w:t>
      </w:r>
      <w:r>
        <w:rPr>
          <w:rFonts w:ascii="Palatino Linotype" w:hAnsi="Palatino Linotype"/>
          <w:bCs/>
        </w:rPr>
        <w:t xml:space="preserve"> del artículo 179 de la Ley de Transparencia y Acceso a la Información Pública del Estado de México y Municipios</w:t>
      </w:r>
      <w:r>
        <w:rPr>
          <w:rStyle w:val="Refdenotaalpie"/>
          <w:rFonts w:ascii="Palatino Linotype" w:hAnsi="Palatino Linotype"/>
          <w:bCs/>
        </w:rPr>
        <w:footnoteReference w:id="3"/>
      </w:r>
      <w:r>
        <w:rPr>
          <w:rFonts w:ascii="Palatino Linotype" w:hAnsi="Palatino Linotype"/>
          <w:bCs/>
        </w:rPr>
        <w:t>, resultando procedente la interposición del recurso.</w:t>
      </w:r>
    </w:p>
    <w:p w:rsidR="0082707D" w:rsidRDefault="0082707D" w:rsidP="0082707D">
      <w:pPr>
        <w:spacing w:line="360" w:lineRule="auto"/>
        <w:jc w:val="both"/>
        <w:rPr>
          <w:rFonts w:ascii="Palatino Linotype" w:hAnsi="Palatino Linotype"/>
          <w:bCs/>
        </w:rPr>
      </w:pPr>
    </w:p>
    <w:p w:rsidR="0082707D" w:rsidRDefault="0082707D" w:rsidP="009E21AC">
      <w:pPr>
        <w:spacing w:line="360" w:lineRule="auto"/>
        <w:jc w:val="both"/>
        <w:rPr>
          <w:rFonts w:ascii="Palatino Linotype" w:hAnsi="Palatino Linotype" w:cs="Arial"/>
          <w:lang w:val="es-ES_tradnl"/>
        </w:rPr>
      </w:pPr>
      <w:r>
        <w:rPr>
          <w:rFonts w:ascii="Palatino Linotype" w:hAnsi="Palatino Linotype"/>
          <w:bCs/>
        </w:rPr>
        <w:t xml:space="preserve">Derivado de la interposición del </w:t>
      </w:r>
      <w:r w:rsidRPr="009E21AC">
        <w:rPr>
          <w:rFonts w:ascii="Palatino Linotype" w:hAnsi="Palatino Linotype"/>
          <w:bCs/>
        </w:rPr>
        <w:t>recurso de revisión</w:t>
      </w:r>
      <w:r>
        <w:rPr>
          <w:rFonts w:ascii="Palatino Linotype" w:hAnsi="Palatino Linotype"/>
          <w:b/>
          <w:bCs/>
        </w:rPr>
        <w:t xml:space="preserve">, </w:t>
      </w:r>
      <w:r>
        <w:rPr>
          <w:rFonts w:ascii="Palatino Linotype" w:hAnsi="Palatino Linotype"/>
          <w:bCs/>
        </w:rPr>
        <w:t xml:space="preserve">el </w:t>
      </w:r>
      <w:r>
        <w:rPr>
          <w:rFonts w:ascii="Palatino Linotype" w:hAnsi="Palatino Linotype"/>
          <w:b/>
          <w:bCs/>
        </w:rPr>
        <w:t>Sujeto Obligado</w:t>
      </w:r>
      <w:r>
        <w:rPr>
          <w:rFonts w:ascii="Palatino Linotype" w:hAnsi="Palatino Linotype"/>
          <w:bCs/>
        </w:rPr>
        <w:t xml:space="preserve"> se sirvió en rendir en tiempo y forma su informe justificado por medio del archivo </w:t>
      </w:r>
      <w:r>
        <w:rPr>
          <w:rFonts w:ascii="Palatino Linotype" w:hAnsi="Palatino Linotype" w:cs="Arial"/>
          <w:lang w:val="es-ES_tradnl"/>
        </w:rPr>
        <w:t>“</w:t>
      </w:r>
      <w:r w:rsidR="009E21AC" w:rsidRPr="0082707D">
        <w:rPr>
          <w:rFonts w:ascii="Palatino Linotype" w:hAnsi="Palatino Linotype" w:cs="Arial"/>
          <w:lang w:val="es-ES_tradnl"/>
        </w:rPr>
        <w:t>Recurse de Revisión 02715.pdf</w:t>
      </w:r>
      <w:r>
        <w:rPr>
          <w:rFonts w:ascii="Palatino Linotype" w:hAnsi="Palatino Linotype" w:cs="Arial"/>
          <w:lang w:val="es-ES_tradnl"/>
        </w:rPr>
        <w:t xml:space="preserve">”, a través del cual </w:t>
      </w:r>
      <w:r w:rsidR="009E21AC">
        <w:rPr>
          <w:rFonts w:ascii="Palatino Linotype" w:hAnsi="Palatino Linotype" w:cs="Arial"/>
          <w:lang w:val="es-ES_tradnl"/>
        </w:rPr>
        <w:t xml:space="preserve">ratifico </w:t>
      </w:r>
      <w:r>
        <w:rPr>
          <w:rFonts w:ascii="Palatino Linotype" w:hAnsi="Palatino Linotype" w:cs="Arial"/>
          <w:lang w:val="es-ES_tradnl"/>
        </w:rPr>
        <w:t xml:space="preserve">su respuesta primigenia </w:t>
      </w:r>
    </w:p>
    <w:p w:rsidR="008D3704" w:rsidRDefault="008D3704" w:rsidP="009E21AC">
      <w:pPr>
        <w:spacing w:line="360" w:lineRule="auto"/>
        <w:jc w:val="both"/>
        <w:rPr>
          <w:rFonts w:ascii="Palatino Linotype" w:hAnsi="Palatino Linotype" w:cs="Arial"/>
          <w:lang w:val="es-ES_tradnl"/>
        </w:rPr>
      </w:pPr>
    </w:p>
    <w:p w:rsidR="0082707D" w:rsidRPr="005D7038" w:rsidRDefault="0082707D" w:rsidP="0082707D">
      <w:pPr>
        <w:spacing w:line="360" w:lineRule="auto"/>
        <w:jc w:val="both"/>
        <w:rPr>
          <w:rFonts w:ascii="Palatino Linotype" w:eastAsia="Calibri" w:hAnsi="Palatino Linotype"/>
          <w:lang w:val="es-ES_tradnl"/>
        </w:rPr>
      </w:pPr>
      <w:r>
        <w:rPr>
          <w:rFonts w:ascii="Palatino Linotype" w:hAnsi="Palatino Linotype"/>
        </w:rPr>
        <w:t xml:space="preserve">Señalado lo anterior, </w:t>
      </w:r>
      <w:r w:rsidRPr="005D7038">
        <w:rPr>
          <w:rFonts w:ascii="Palatino Linotype" w:eastAsia="Calibri" w:hAnsi="Palatino Linotype"/>
          <w:lang w:val="es-ES_tradnl"/>
        </w:rPr>
        <w:t>de conformidad con lo establecido en los artículos 4 y 12 de la Ley de Transparencia y Acceso a la Información Pública del Estado de México y Municipios</w:t>
      </w:r>
      <w:r w:rsidRPr="005D7038">
        <w:rPr>
          <w:rFonts w:ascii="Palatino Linotype" w:eastAsia="Calibri" w:hAnsi="Palatino Linotype"/>
          <w:vertAlign w:val="superscript"/>
          <w:lang w:val="es-ES_tradnl"/>
        </w:rPr>
        <w:footnoteReference w:id="4"/>
      </w:r>
      <w:r w:rsidRPr="005D7038">
        <w:rPr>
          <w:rFonts w:ascii="Palatino Linotype" w:eastAsia="Calibri" w:hAnsi="Palatino Linotype"/>
          <w:lang w:val="es-ES_tradnl"/>
        </w:rPr>
        <w:t xml:space="preserve">, el derecho de acceso a la información pública, es la prerrogativa de las </w:t>
      </w:r>
      <w:r w:rsidRPr="005D7038">
        <w:rPr>
          <w:rFonts w:ascii="Palatino Linotype" w:eastAsia="Calibri" w:hAnsi="Palatino Linotype"/>
          <w:lang w:val="es-ES_tradnl"/>
        </w:rPr>
        <w:lastRenderedPageBreak/>
        <w:t xml:space="preserve">personas para buscar, difundir, investigar, recabar, recibir y solicitar información pública, sin acreditar personalidad o interés jurídico. </w:t>
      </w:r>
    </w:p>
    <w:p w:rsidR="0082707D" w:rsidRPr="005D7038" w:rsidRDefault="0082707D" w:rsidP="0082707D">
      <w:pPr>
        <w:spacing w:line="360" w:lineRule="auto"/>
        <w:jc w:val="both"/>
        <w:rPr>
          <w:rFonts w:ascii="Palatino Linotype" w:eastAsia="Calibri" w:hAnsi="Palatino Linotype"/>
          <w:lang w:val="es-ES_tradnl"/>
        </w:rPr>
      </w:pPr>
    </w:p>
    <w:p w:rsidR="0082707D" w:rsidRDefault="0082707D" w:rsidP="0082707D">
      <w:pPr>
        <w:spacing w:line="360" w:lineRule="auto"/>
        <w:jc w:val="both"/>
        <w:rPr>
          <w:rFonts w:ascii="Palatino Linotype" w:eastAsia="Calibri" w:hAnsi="Palatino Linotype"/>
          <w:lang w:val="es-ES_tradnl"/>
        </w:rPr>
      </w:pPr>
      <w:r w:rsidRPr="005D7038">
        <w:rPr>
          <w:rFonts w:ascii="Palatino Linotype" w:eastAsia="Calibri" w:hAnsi="Palatino Linotype"/>
          <w:lang w:val="es-ES_tradn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r w:rsidRPr="005D7038">
        <w:rPr>
          <w:rFonts w:ascii="Palatino Linotype" w:eastAsia="Calibri" w:hAnsi="Palatino Linotype"/>
          <w:b/>
          <w:lang w:val="es-ES_tradnl"/>
        </w:rPr>
        <w:t xml:space="preserve">, </w:t>
      </w:r>
      <w:r w:rsidRPr="005D7038">
        <w:rPr>
          <w:rFonts w:ascii="Palatino Linotype" w:eastAsia="Calibri" w:hAnsi="Palatino Linotype"/>
          <w:lang w:val="es-ES_tradnl"/>
        </w:rPr>
        <w:t xml:space="preserve">esto es, </w:t>
      </w:r>
      <w:r w:rsidRPr="005D7038">
        <w:rPr>
          <w:rFonts w:ascii="Palatino Linotype" w:eastAsia="Calibri" w:hAnsi="Palatino Linotype"/>
          <w:u w:val="single"/>
          <w:lang w:val="es-ES_tradnl"/>
        </w:rPr>
        <w:t xml:space="preserve">que no tienen el deber de generar un documento </w:t>
      </w:r>
      <w:r w:rsidRPr="005D7038">
        <w:rPr>
          <w:rFonts w:ascii="Palatino Linotype" w:eastAsia="Calibri" w:hAnsi="Palatino Linotype"/>
          <w:i/>
          <w:u w:val="single"/>
          <w:lang w:val="es-ES_tradnl"/>
        </w:rPr>
        <w:t>ad hoc</w:t>
      </w:r>
      <w:r w:rsidRPr="005D7038">
        <w:rPr>
          <w:rFonts w:ascii="Palatino Linotype" w:eastAsia="Calibri" w:hAnsi="Palatino Linotype"/>
          <w:lang w:val="es-ES_tradnl"/>
        </w:rPr>
        <w:t>, para satisfacer el derecho de acceso a la información pública.</w:t>
      </w:r>
    </w:p>
    <w:p w:rsidR="009E21AC" w:rsidRDefault="009E21AC" w:rsidP="0082707D">
      <w:pPr>
        <w:spacing w:line="360" w:lineRule="auto"/>
        <w:jc w:val="both"/>
        <w:rPr>
          <w:rFonts w:ascii="Palatino Linotype" w:eastAsia="Calibri" w:hAnsi="Palatino Linotype"/>
          <w:lang w:val="es-ES_tradnl"/>
        </w:rPr>
      </w:pPr>
    </w:p>
    <w:p w:rsidR="008E2053" w:rsidRPr="008E2053" w:rsidRDefault="009E21AC" w:rsidP="008E2053">
      <w:pPr>
        <w:spacing w:line="360" w:lineRule="auto"/>
        <w:jc w:val="both"/>
        <w:rPr>
          <w:rFonts w:ascii="Palatino Linotype" w:hAnsi="Palatino Linotype" w:cs="Arial"/>
          <w:color w:val="000000" w:themeColor="text1"/>
        </w:rPr>
      </w:pPr>
      <w:r>
        <w:rPr>
          <w:rFonts w:ascii="Palatino Linotype" w:eastAsia="Calibri" w:hAnsi="Palatino Linotype"/>
          <w:lang w:val="es-ES_tradnl"/>
        </w:rPr>
        <w:t xml:space="preserve">Atentos a lo anterior, como quedó precisado en líneas anteriores, el </w:t>
      </w:r>
      <w:r w:rsidRPr="009E21AC">
        <w:rPr>
          <w:rFonts w:ascii="Palatino Linotype" w:eastAsia="Calibri" w:hAnsi="Palatino Linotype"/>
          <w:b/>
          <w:lang w:val="es-ES_tradnl"/>
        </w:rPr>
        <w:t>Recurrente</w:t>
      </w:r>
      <w:r>
        <w:rPr>
          <w:rFonts w:ascii="Palatino Linotype" w:eastAsia="Calibri" w:hAnsi="Palatino Linotype"/>
          <w:lang w:val="es-ES_tradnl"/>
        </w:rPr>
        <w:t xml:space="preserve"> peticionó le fuera entregada la nómina de los servidores públicos de confianza, del mes de marzo de 2021, en ese orden de ideas, </w:t>
      </w:r>
      <w:r w:rsidR="008E2053" w:rsidRPr="008E2053">
        <w:rPr>
          <w:rFonts w:ascii="Palatino Linotype" w:hAnsi="Palatino Linotype" w:cs="Arial"/>
          <w:color w:val="000000" w:themeColor="text1"/>
        </w:rPr>
        <w:t>para satisfacer el derecho de acceso a la información, los sujetos obligados deben hacer entrega de los documentos en los cuales conste la información</w:t>
      </w:r>
      <w:r w:rsidR="008E2053">
        <w:rPr>
          <w:rFonts w:ascii="Palatino Linotype" w:hAnsi="Palatino Linotype" w:cs="Arial"/>
          <w:color w:val="000000" w:themeColor="text1"/>
        </w:rPr>
        <w:t>.</w:t>
      </w:r>
      <w:r w:rsidR="008E2053" w:rsidRPr="008E2053">
        <w:rPr>
          <w:rFonts w:ascii="Palatino Linotype" w:hAnsi="Palatino Linotype" w:cs="Arial"/>
          <w:color w:val="000000" w:themeColor="text1"/>
        </w:rPr>
        <w:t xml:space="preserve"> </w:t>
      </w:r>
    </w:p>
    <w:p w:rsidR="008E2053" w:rsidRPr="008E2053" w:rsidRDefault="008E2053" w:rsidP="008E2053">
      <w:pPr>
        <w:spacing w:line="360" w:lineRule="auto"/>
        <w:jc w:val="both"/>
        <w:rPr>
          <w:rFonts w:ascii="Palatino Linotype" w:hAnsi="Palatino Linotype" w:cs="Arial"/>
          <w:color w:val="000000" w:themeColor="text1"/>
        </w:rPr>
      </w:pP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r w:rsidRPr="008E2053">
        <w:rPr>
          <w:rFonts w:ascii="Palatino Linotype" w:eastAsiaTheme="minorHAnsi" w:hAnsi="Palatino Linotype" w:cs="Arial"/>
          <w:lang w:val="es-MX" w:eastAsia="en-US"/>
        </w:rPr>
        <w:t xml:space="preserve">Ahora bien, </w:t>
      </w:r>
      <w:r w:rsidRPr="008E2053">
        <w:rPr>
          <w:rFonts w:ascii="Palatino Linotype" w:eastAsia="Calibri" w:hAnsi="Palatino Linotype" w:cs="Arial"/>
        </w:rPr>
        <w:t xml:space="preserve">de acuerdo a la naturaleza de la información solicitada se concluye que ésta es de interés general y de alcance público, puesto que la ciudadanía tiene derecho a saber cuál es el gasto ejercido para el pago de remuneraciones a los servidores públicos, así como las deducciones que por ley les son aplicables; esto es, su acceso permite transparentar la aplicación de los recursos públicos que son otorgados para el cumplimiento de sus funciones, máxime que es información pública, ello conforme a </w:t>
      </w:r>
      <w:r w:rsidRPr="008E2053">
        <w:rPr>
          <w:rFonts w:ascii="Palatino Linotype" w:eastAsia="Calibri" w:hAnsi="Palatino Linotype" w:cs="Arial"/>
        </w:rPr>
        <w:lastRenderedPageBreak/>
        <w:t>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r w:rsidRPr="008E2053">
        <w:rPr>
          <w:rFonts w:ascii="Palatino Linotype" w:eastAsia="Calibri" w:hAnsi="Palatino Linotype" w:cs="Arial"/>
          <w:b/>
          <w:i/>
          <w:sz w:val="22"/>
          <w:szCs w:val="22"/>
        </w:rPr>
        <w:t>Artículo 7. El Estado de México garantizará el efectivo acceso de toda persona a la información en posesión de cualquier entidad,</w:t>
      </w:r>
      <w:r w:rsidRPr="008E2053">
        <w:rPr>
          <w:rFonts w:ascii="Palatino Linotype" w:eastAsia="Calibri" w:hAnsi="Palatino Linotype" w:cs="Arial"/>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8E2053">
        <w:rPr>
          <w:rFonts w:ascii="Palatino Linotype" w:eastAsia="Calibri" w:hAnsi="Palatino Linotype" w:cs="Arial"/>
          <w:b/>
          <w:i/>
          <w:sz w:val="22"/>
          <w:szCs w:val="22"/>
        </w:rPr>
        <w:t>que reciba y ejerza recursos públicos</w:t>
      </w:r>
      <w:r w:rsidRPr="008E2053">
        <w:rPr>
          <w:rFonts w:ascii="Palatino Linotype" w:eastAsia="Calibri" w:hAnsi="Palatino Linotype" w:cs="Arial"/>
          <w:i/>
          <w:sz w:val="22"/>
          <w:szCs w:val="22"/>
        </w:rPr>
        <w:t xml:space="preserve"> o realice actos de autoridad </w:t>
      </w:r>
      <w:r w:rsidRPr="008E2053">
        <w:rPr>
          <w:rFonts w:ascii="Palatino Linotype" w:eastAsia="Calibri" w:hAnsi="Palatino Linotype" w:cs="Arial"/>
          <w:b/>
          <w:i/>
          <w:sz w:val="22"/>
          <w:szCs w:val="22"/>
        </w:rPr>
        <w:t>en el ámbito de competencia del Estado de México y sus municipios</w:t>
      </w:r>
      <w:r w:rsidRPr="008E2053">
        <w:rPr>
          <w:rFonts w:ascii="Palatino Linotype" w:eastAsia="Calibri" w:hAnsi="Palatino Linotype" w:cs="Arial"/>
          <w:i/>
          <w:sz w:val="22"/>
          <w:szCs w:val="22"/>
        </w:rPr>
        <w:t>.</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Artículo 23.</w:t>
      </w:r>
      <w:r w:rsidRPr="008E2053">
        <w:rPr>
          <w:rFonts w:ascii="Palatino Linotype" w:eastAsia="Calibri" w:hAnsi="Palatino Linotype" w:cs="Arial"/>
          <w:i/>
          <w:sz w:val="22"/>
          <w:szCs w:val="22"/>
        </w:rPr>
        <w:t xml:space="preserve"> Son sujetos obligados a transparentar y permitir el acceso a su información y proteger los datos personales que obren en su poder:</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IV. Los ayuntamientos</w:t>
      </w:r>
      <w:r w:rsidRPr="008E2053">
        <w:rPr>
          <w:rFonts w:ascii="Palatino Linotype" w:eastAsia="Calibri" w:hAnsi="Palatino Linotype" w:cs="Arial"/>
          <w:i/>
          <w:sz w:val="22"/>
          <w:szCs w:val="22"/>
        </w:rPr>
        <w:t xml:space="preserve"> y las dependencias, organismos, órganos y entidades de la administración municipal;</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8E2053" w:rsidRPr="008E2053" w:rsidRDefault="008E2053" w:rsidP="008E2053">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8E2053" w:rsidRPr="008E2053" w:rsidRDefault="008E2053" w:rsidP="008E2053">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t xml:space="preserve">Los servidores públicos deberán transparentar sus acciones así como garantizar y respetar el derecho de acceso a la información pública. </w:t>
      </w:r>
    </w:p>
    <w:p w:rsidR="008E2053" w:rsidRPr="008E2053" w:rsidRDefault="008E2053" w:rsidP="008E2053">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8E2053" w:rsidRPr="008E2053" w:rsidRDefault="008E2053" w:rsidP="008E2053">
      <w:pPr>
        <w:autoSpaceDE w:val="0"/>
        <w:autoSpaceDN w:val="0"/>
        <w:adjustRightInd w:val="0"/>
        <w:spacing w:line="360" w:lineRule="auto"/>
        <w:contextualSpacing/>
        <w:jc w:val="both"/>
        <w:rPr>
          <w:rFonts w:ascii="Palatino Linotype" w:eastAsia="Calibri" w:hAnsi="Palatino Linotype" w:cs="Arial"/>
        </w:rPr>
      </w:pP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r w:rsidRPr="008E2053">
        <w:rPr>
          <w:rFonts w:ascii="Palatino Linotype" w:eastAsia="Calibri" w:hAnsi="Palatino Linotype" w:cs="Arial"/>
        </w:rPr>
        <w:t xml:space="preserve">En esa tesitura, es de suma importancia señalar que de acuerdo a las obligaciones de transparencia comunes que le son atribuibles al </w:t>
      </w:r>
      <w:r w:rsidRPr="008E2053">
        <w:rPr>
          <w:rFonts w:ascii="Palatino Linotype" w:eastAsia="Calibri" w:hAnsi="Palatino Linotype" w:cs="Arial"/>
          <w:b/>
        </w:rPr>
        <w:t>sujeto obligado</w:t>
      </w:r>
      <w:r w:rsidRPr="008E2053">
        <w:rPr>
          <w:rFonts w:ascii="Palatino Linotype" w:eastAsia="Calibri" w:hAnsi="Palatino Linotype" w:cs="Arial"/>
        </w:rPr>
        <w:t xml:space="preserve"> de conformidad con el artículo 92, fracción VIII, de la Ley de Transparencia y Acceso a la Información Pública del Estado de México y Municipios, éste debe contar con los comprobantes de pago de todos los servidores públicos de su Administración, los cuales pueden </w:t>
      </w:r>
      <w:r w:rsidRPr="008E2053">
        <w:rPr>
          <w:rFonts w:ascii="Palatino Linotype" w:eastAsia="Calibri" w:hAnsi="Palatino Linotype" w:cs="Arial"/>
        </w:rPr>
        <w:lastRenderedPageBreak/>
        <w:t>contener las percepciones, incluyendo sueldos, prestaciones, gratificaciones, primas, comisiones, dietas, bonos, estímulos, ingresos y sistemas de compensación, su periodicidad, artículo y fracción que para mayor referencia se cita a continuación:</w:t>
      </w: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p>
    <w:p w:rsidR="008E2053" w:rsidRPr="008E2053" w:rsidRDefault="008E2053" w:rsidP="008E2053">
      <w:pPr>
        <w:autoSpaceDE w:val="0"/>
        <w:autoSpaceDN w:val="0"/>
        <w:adjustRightInd w:val="0"/>
        <w:ind w:left="567" w:right="567"/>
        <w:jc w:val="both"/>
        <w:rPr>
          <w:rFonts w:ascii="Palatino Linotype" w:eastAsia="Calibri" w:hAnsi="Palatino Linotype" w:cs="Arial"/>
          <w:b/>
          <w:i/>
          <w:sz w:val="22"/>
          <w:szCs w:val="22"/>
        </w:rPr>
      </w:pPr>
      <w:r w:rsidRPr="008E2053">
        <w:rPr>
          <w:rFonts w:ascii="Palatino Linotype" w:eastAsia="Calibri" w:hAnsi="Palatino Linotype" w:cs="Arial"/>
          <w:b/>
          <w:i/>
          <w:sz w:val="22"/>
          <w:szCs w:val="22"/>
        </w:rPr>
        <w:t>“Artículo 92. Los sujetos obligados deberán poner a disposición del público de manera permanente y actualizada</w:t>
      </w:r>
      <w:r w:rsidRPr="008E2053">
        <w:rPr>
          <w:rFonts w:ascii="Palatino Linotype" w:eastAsia="Calibri" w:hAnsi="Palatino Linotype" w:cs="Arial"/>
          <w:i/>
          <w:sz w:val="22"/>
          <w:szCs w:val="22"/>
        </w:rPr>
        <w:t xml:space="preserve">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VIII. La remuneración bruta y neta de todos los servidores públicos de base o de confianza, de todas las percepciones,</w:t>
      </w:r>
      <w:r w:rsidRPr="008E2053">
        <w:rPr>
          <w:rFonts w:ascii="Palatino Linotype" w:eastAsia="Calibri" w:hAnsi="Palatino Linotype" w:cs="Arial"/>
          <w:i/>
          <w:sz w:val="22"/>
          <w:szCs w:val="22"/>
        </w:rPr>
        <w:t xml:space="preserve"> incluyendo sueldos, prestaciones, gratificaciones, primas, comisiones, dietas, bonos, estímulos, ingresos y sistemas de compensación, señalando la periodicidad de dicha remuneración;”</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i/>
          <w:sz w:val="22"/>
          <w:szCs w:val="22"/>
        </w:rPr>
        <w:t xml:space="preserve"> …</w:t>
      </w:r>
    </w:p>
    <w:p w:rsidR="008E2053" w:rsidRPr="008E2053" w:rsidRDefault="008E2053" w:rsidP="008E2053">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8E2053" w:rsidRPr="008E2053" w:rsidRDefault="008E2053" w:rsidP="008E2053">
      <w:pPr>
        <w:autoSpaceDE w:val="0"/>
        <w:autoSpaceDN w:val="0"/>
        <w:adjustRightInd w:val="0"/>
        <w:spacing w:line="360" w:lineRule="auto"/>
        <w:ind w:left="567" w:right="284"/>
        <w:jc w:val="both"/>
        <w:rPr>
          <w:rFonts w:ascii="Palatino Linotype" w:eastAsia="Calibri" w:hAnsi="Palatino Linotype" w:cs="Arial"/>
        </w:rPr>
      </w:pP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r w:rsidRPr="008E2053">
        <w:rPr>
          <w:rFonts w:ascii="Palatino Linotype" w:eastAsia="Calibri"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INGRESOS DE LOS SERVIDORES PÚBLICOS. CONSTITUYEN INFORMACIÓN PÚBLICA AÚN Y CUANDO SU DIFUSIÓN PUEDE AFECTAR LA VIDA O LA SEGURIDAD DE AQUELLOS.</w:t>
      </w:r>
      <w:r w:rsidRPr="008E2053">
        <w:rPr>
          <w:rFonts w:ascii="Palatino Linotype" w:eastAsia="Calibri" w:hAnsi="Palatino Linotype" w:cs="Arial"/>
          <w:i/>
          <w:sz w:val="22"/>
          <w:szCs w:val="22"/>
        </w:rPr>
        <w:t xml:space="preserve"> </w:t>
      </w:r>
      <w:r w:rsidRPr="008E2053">
        <w:rPr>
          <w:rFonts w:ascii="Palatino Linotype" w:eastAsia="Calibri" w:hAnsi="Palatino Linotype" w:cs="Arial"/>
          <w:i/>
          <w:sz w:val="22"/>
          <w:szCs w:val="22"/>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8E2053">
        <w:rPr>
          <w:rFonts w:ascii="Palatino Linotype" w:eastAsia="Calibri" w:hAnsi="Palatino Linotype" w:cs="Arial"/>
          <w:i/>
          <w:sz w:val="22"/>
          <w:szCs w:val="22"/>
        </w:rPr>
        <w:t xml:space="preserve"> ello no obsta para reconocer que el legislador estableció en el artículo 7 de ese mismo ordenamiento que la referida información, como una obligación de trasparencia, </w:t>
      </w:r>
      <w:r w:rsidRPr="008E2053">
        <w:rPr>
          <w:rFonts w:ascii="Palatino Linotype" w:eastAsia="Calibri" w:hAnsi="Palatino Linotype" w:cs="Arial"/>
          <w:b/>
          <w:i/>
          <w:sz w:val="22"/>
          <w:szCs w:val="22"/>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w:t>
      </w:r>
      <w:r w:rsidRPr="008E2053">
        <w:rPr>
          <w:rFonts w:ascii="Palatino Linotype" w:eastAsia="Calibri" w:hAnsi="Palatino Linotype" w:cs="Arial"/>
          <w:b/>
          <w:i/>
          <w:sz w:val="22"/>
          <w:szCs w:val="22"/>
        </w:rPr>
        <w:lastRenderedPageBreak/>
        <w:t>cargo respecto. Constituyen información pública, en tanto que se trata de erogaciones que realiza un órgano del Estado en base con los recursos que encuentran su origen en mayor medida en las contribuciones aportados por los gobernados…”</w:t>
      </w:r>
    </w:p>
    <w:p w:rsidR="008E2053" w:rsidRPr="008E2053" w:rsidRDefault="008E2053" w:rsidP="008E2053">
      <w:pPr>
        <w:autoSpaceDE w:val="0"/>
        <w:autoSpaceDN w:val="0"/>
        <w:adjustRightInd w:val="0"/>
        <w:ind w:left="567" w:right="567"/>
        <w:jc w:val="both"/>
        <w:rPr>
          <w:rFonts w:ascii="Palatino Linotype" w:eastAsia="Calibri" w:hAnsi="Palatino Linotype" w:cs="Arial"/>
          <w:b/>
          <w:i/>
          <w:sz w:val="22"/>
          <w:szCs w:val="22"/>
        </w:rPr>
      </w:pPr>
    </w:p>
    <w:p w:rsidR="008E2053" w:rsidRPr="008E2053" w:rsidRDefault="008E2053" w:rsidP="008E2053">
      <w:pPr>
        <w:autoSpaceDE w:val="0"/>
        <w:autoSpaceDN w:val="0"/>
        <w:adjustRightInd w:val="0"/>
        <w:ind w:left="567" w:right="567"/>
        <w:jc w:val="both"/>
        <w:rPr>
          <w:rFonts w:ascii="Palatino Linotype" w:eastAsia="Calibri" w:hAnsi="Palatino Linotype" w:cs="Arial"/>
          <w:b/>
          <w:i/>
          <w:sz w:val="22"/>
          <w:szCs w:val="22"/>
        </w:rPr>
      </w:pP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INGRESOS DE LOS SERVIDORES PÚBLICOS, SON INFORMACIÓN PÚBLICA AÚN Y CUANDO CONSTITUYEN DATOS PERSONALES QUE SE REFIEREN AL PATRIMONIO DE AQUÉLLOS.</w:t>
      </w:r>
      <w:r w:rsidRPr="008E2053">
        <w:rPr>
          <w:rFonts w:ascii="Palatino Linotype" w:eastAsia="Calibri" w:hAnsi="Palatino Linotype" w:cs="Arial"/>
          <w:i/>
          <w:sz w:val="22"/>
          <w:szCs w:val="22"/>
        </w:rPr>
        <w:t xml:space="preserve"> De la interpretación sistemática de lo previsto en los artículos 3º, fracción II; 7º, 9º y 18, fracción II, de la Ley Federal de Transparencia y Acceso a la Información Pública Gubernamental </w:t>
      </w:r>
      <w:r w:rsidRPr="008E2053">
        <w:rPr>
          <w:rFonts w:ascii="Palatino Linotype" w:eastAsia="Calibri" w:hAnsi="Palatino Linotype" w:cs="Arial"/>
          <w:i/>
          <w:sz w:val="22"/>
          <w:szCs w:val="22"/>
          <w:u w:val="single"/>
        </w:rPr>
        <w:t>se advierte que no constituye información confidencial la relativa a los ingresos que reciben los servidores públicos, ya que aun y cuando se trata de datos personales relativos a su patrimonio</w:t>
      </w:r>
      <w:r w:rsidRPr="008E2053">
        <w:rPr>
          <w:rFonts w:ascii="Palatino Linotype" w:eastAsia="Calibri" w:hAnsi="Palatino Linotype" w:cs="Arial"/>
          <w:i/>
          <w:sz w:val="22"/>
          <w:szCs w:val="22"/>
        </w:rPr>
        <w:t xml:space="preserve">, para su difusión no se requiere consentimiento de aquellos, </w:t>
      </w:r>
      <w:r w:rsidRPr="008E2053">
        <w:rPr>
          <w:rFonts w:ascii="Palatino Linotype" w:eastAsia="Calibri" w:hAnsi="Palatino Linotype" w:cs="Arial"/>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8E2053">
        <w:rPr>
          <w:rFonts w:ascii="Palatino Linotype" w:eastAsia="Calibri" w:hAnsi="Palatino Linotype" w:cs="Arial"/>
          <w:i/>
          <w:sz w:val="22"/>
          <w:szCs w:val="22"/>
        </w:rPr>
        <w:t>”</w:t>
      </w:r>
    </w:p>
    <w:p w:rsidR="008E2053" w:rsidRPr="008E2053" w:rsidRDefault="008E2053" w:rsidP="008E2053">
      <w:pPr>
        <w:autoSpaceDE w:val="0"/>
        <w:autoSpaceDN w:val="0"/>
        <w:adjustRightInd w:val="0"/>
        <w:ind w:left="567" w:right="567"/>
        <w:jc w:val="both"/>
        <w:rPr>
          <w:rFonts w:ascii="Palatino Linotype" w:eastAsia="Calibri" w:hAnsi="Palatino Linotype" w:cs="Arial"/>
          <w:i/>
          <w:sz w:val="22"/>
          <w:szCs w:val="22"/>
        </w:rPr>
      </w:pPr>
    </w:p>
    <w:p w:rsidR="008E2053" w:rsidRPr="008E2053" w:rsidRDefault="008E2053" w:rsidP="008E2053">
      <w:pPr>
        <w:autoSpaceDE w:val="0"/>
        <w:autoSpaceDN w:val="0"/>
        <w:adjustRightInd w:val="0"/>
        <w:ind w:left="567" w:right="567"/>
        <w:jc w:val="right"/>
        <w:rPr>
          <w:rFonts w:ascii="Palatino Linotype" w:eastAsia="Calibri" w:hAnsi="Palatino Linotype" w:cs="Arial"/>
          <w:sz w:val="22"/>
          <w:szCs w:val="22"/>
        </w:rPr>
      </w:pPr>
      <w:r w:rsidRPr="008E2053">
        <w:rPr>
          <w:rFonts w:ascii="Palatino Linotype" w:eastAsia="Calibri" w:hAnsi="Palatino Linotype" w:cs="Arial"/>
          <w:sz w:val="22"/>
          <w:szCs w:val="22"/>
        </w:rPr>
        <w:t>(Énfasis añadido)</w:t>
      </w: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p>
    <w:p w:rsidR="008E2053" w:rsidRDefault="008E2053" w:rsidP="008E2053">
      <w:pPr>
        <w:spacing w:line="360" w:lineRule="auto"/>
        <w:ind w:right="51"/>
        <w:jc w:val="both"/>
        <w:rPr>
          <w:rFonts w:ascii="Palatino Linotype" w:eastAsia="Calibri" w:hAnsi="Palatino Linotype" w:cs="Arial"/>
        </w:rPr>
      </w:pPr>
      <w:r w:rsidRPr="008E2053">
        <w:rPr>
          <w:rFonts w:ascii="Palatino Linotype" w:eastAsia="Calibri" w:hAnsi="Palatino Linotype" w:cs="Arial"/>
        </w:rPr>
        <w:t>Resulta necesario precisar, que si bien es cierto, en nuestra legislación no existe como tal una definición de “nómina”,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ind w:left="567" w:right="567"/>
        <w:contextualSpacing/>
        <w:jc w:val="both"/>
        <w:rPr>
          <w:rFonts w:ascii="Palatino Linotype" w:eastAsia="Calibri" w:hAnsi="Palatino Linotype" w:cs="Arial"/>
          <w:i/>
          <w:sz w:val="22"/>
          <w:szCs w:val="22"/>
        </w:rPr>
      </w:pPr>
      <w:r w:rsidRPr="008E2053">
        <w:rPr>
          <w:rFonts w:ascii="Palatino Linotype" w:eastAsia="Calibri" w:hAnsi="Palatino Linotype" w:cs="Arial"/>
          <w:b/>
          <w:i/>
          <w:sz w:val="22"/>
          <w:szCs w:val="22"/>
        </w:rPr>
        <w:t>“NÓMINA</w:t>
      </w:r>
      <w:r w:rsidRPr="008E2053">
        <w:rPr>
          <w:rFonts w:ascii="Palatino Linotype" w:eastAsia="Calibri" w:hAnsi="Palatino Linotype" w:cs="Arial"/>
          <w:i/>
          <w:sz w:val="22"/>
          <w:szCs w:val="22"/>
        </w:rPr>
        <w:t xml:space="preserve"> Listado general de los trabajadores de una institución, en el cual se asientan las percepciones brutas, deducciones y alcance neto de las mismas; la nómina es utilizada </w:t>
      </w:r>
      <w:r w:rsidRPr="008E2053">
        <w:rPr>
          <w:rFonts w:ascii="Palatino Linotype" w:eastAsia="Calibri" w:hAnsi="Palatino Linotype" w:cs="Arial"/>
          <w:i/>
          <w:sz w:val="22"/>
          <w:szCs w:val="22"/>
        </w:rPr>
        <w:lastRenderedPageBreak/>
        <w:t>para efectuar los pagos periódicos (semanales, quincenales o mensuales) a los trabajadores por concepto de sueldos y salarios.”</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spacing w:line="360" w:lineRule="auto"/>
        <w:ind w:right="51"/>
        <w:jc w:val="both"/>
        <w:rPr>
          <w:rFonts w:ascii="Palatino Linotype" w:eastAsia="Calibri" w:hAnsi="Palatino Linotype" w:cs="Arial"/>
        </w:rPr>
      </w:pPr>
      <w:r w:rsidRPr="008E2053">
        <w:rPr>
          <w:rFonts w:ascii="Palatino Linotype" w:eastAsia="Calibri" w:hAnsi="Palatino Linotype" w:cs="Arial"/>
        </w:rPr>
        <w:t xml:space="preserve">Aunado a lo anterior, debe destacarse que dicho término es mencionado en diferentes ordenamientos legales, tal es el caso del artículo 804 de la Ley Federal de Trabajo, fracción II que establece: </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tabs>
          <w:tab w:val="right" w:leader="dot" w:pos="8505"/>
        </w:tabs>
        <w:ind w:left="567" w:right="567"/>
        <w:jc w:val="both"/>
        <w:rPr>
          <w:rFonts w:ascii="Palatino Linotype" w:eastAsia="MS Mincho" w:hAnsi="Palatino Linotype" w:cs="Arial"/>
          <w:b/>
          <w:i/>
          <w:sz w:val="22"/>
          <w:szCs w:val="22"/>
        </w:rPr>
      </w:pPr>
      <w:r w:rsidRPr="008E2053">
        <w:rPr>
          <w:rFonts w:ascii="Palatino Linotype" w:eastAsia="MS Mincho" w:hAnsi="Palatino Linotype" w:cs="Arial"/>
          <w:b/>
          <w:bCs/>
          <w:i/>
          <w:sz w:val="22"/>
          <w:szCs w:val="22"/>
        </w:rPr>
        <w:t>“Artículo 804.-</w:t>
      </w:r>
      <w:r w:rsidRPr="008E2053">
        <w:rPr>
          <w:rFonts w:ascii="Palatino Linotype" w:eastAsia="MS Mincho" w:hAnsi="Palatino Linotype" w:cs="Arial"/>
          <w:i/>
          <w:sz w:val="22"/>
          <w:szCs w:val="22"/>
        </w:rPr>
        <w:t xml:space="preserve"> </w:t>
      </w:r>
      <w:r w:rsidRPr="008E2053">
        <w:rPr>
          <w:rFonts w:ascii="Palatino Linotype" w:eastAsia="MS Mincho" w:hAnsi="Palatino Linotype" w:cs="Arial"/>
          <w:b/>
          <w:i/>
          <w:sz w:val="22"/>
          <w:szCs w:val="22"/>
        </w:rPr>
        <w:t>El patrón tiene obligación de conservar y exhibir en juicio los documentos que a continuación se precisan:</w:t>
      </w:r>
    </w:p>
    <w:p w:rsidR="008E2053" w:rsidRPr="008E2053" w:rsidRDefault="008E2053" w:rsidP="008E2053">
      <w:pPr>
        <w:tabs>
          <w:tab w:val="right" w:leader="dot" w:pos="8505"/>
        </w:tabs>
        <w:ind w:left="567" w:right="567"/>
        <w:jc w:val="both"/>
        <w:rPr>
          <w:rFonts w:ascii="Palatino Linotype" w:eastAsia="MS Mincho" w:hAnsi="Palatino Linotype" w:cs="Arial"/>
          <w:i/>
          <w:sz w:val="22"/>
          <w:szCs w:val="22"/>
        </w:rPr>
      </w:pPr>
      <w:r w:rsidRPr="008E2053">
        <w:rPr>
          <w:rFonts w:ascii="Palatino Linotype" w:eastAsia="MS Mincho" w:hAnsi="Palatino Linotype" w:cs="Arial"/>
          <w:i/>
          <w:sz w:val="22"/>
          <w:szCs w:val="22"/>
        </w:rPr>
        <w:t>…</w:t>
      </w:r>
    </w:p>
    <w:p w:rsidR="008E2053" w:rsidRPr="008E2053" w:rsidRDefault="008E2053" w:rsidP="008E2053">
      <w:pPr>
        <w:tabs>
          <w:tab w:val="right" w:leader="dot" w:pos="8505"/>
        </w:tabs>
        <w:ind w:left="567" w:right="567"/>
        <w:jc w:val="both"/>
        <w:rPr>
          <w:rFonts w:ascii="Palatino Linotype" w:eastAsia="MS Mincho" w:hAnsi="Palatino Linotype" w:cs="Arial"/>
          <w:i/>
          <w:sz w:val="22"/>
          <w:szCs w:val="22"/>
        </w:rPr>
      </w:pPr>
      <w:r w:rsidRPr="008E2053">
        <w:rPr>
          <w:rFonts w:ascii="Palatino Linotype" w:eastAsia="MS Mincho" w:hAnsi="Palatino Linotype" w:cs="Arial"/>
          <w:b/>
          <w:i/>
          <w:sz w:val="22"/>
          <w:szCs w:val="22"/>
        </w:rPr>
        <w:t>II.</w:t>
      </w:r>
      <w:r w:rsidRPr="008E2053">
        <w:rPr>
          <w:rFonts w:ascii="Palatino Linotype" w:eastAsia="MS Mincho" w:hAnsi="Palatino Linotype" w:cs="Arial"/>
          <w:i/>
          <w:sz w:val="22"/>
          <w:szCs w:val="22"/>
        </w:rPr>
        <w:t xml:space="preserve"> Listas</w:t>
      </w:r>
      <w:r w:rsidRPr="008E2053">
        <w:rPr>
          <w:rFonts w:ascii="Palatino Linotype" w:eastAsia="MS Mincho" w:hAnsi="Palatino Linotype" w:cs="Arial"/>
          <w:b/>
          <w:i/>
          <w:sz w:val="22"/>
          <w:szCs w:val="22"/>
        </w:rPr>
        <w:t xml:space="preserve"> </w:t>
      </w:r>
      <w:r w:rsidRPr="008E2053">
        <w:rPr>
          <w:rFonts w:ascii="Palatino Linotype" w:eastAsia="MS Mincho" w:hAnsi="Palatino Linotype" w:cs="Arial"/>
          <w:i/>
          <w:sz w:val="22"/>
          <w:szCs w:val="22"/>
        </w:rPr>
        <w:t xml:space="preserve">de raya o </w:t>
      </w:r>
      <w:r w:rsidRPr="008E2053">
        <w:rPr>
          <w:rFonts w:ascii="Palatino Linotype" w:eastAsia="MS Mincho" w:hAnsi="Palatino Linotype" w:cs="Arial"/>
          <w:b/>
          <w:i/>
          <w:sz w:val="22"/>
          <w:szCs w:val="22"/>
        </w:rPr>
        <w:t>nómina de personal</w:t>
      </w:r>
      <w:r w:rsidRPr="008E2053">
        <w:rPr>
          <w:rFonts w:ascii="Palatino Linotype" w:eastAsia="MS Mincho" w:hAnsi="Palatino Linotype" w:cs="Arial"/>
          <w:i/>
          <w:sz w:val="22"/>
          <w:szCs w:val="22"/>
        </w:rPr>
        <w:t xml:space="preserve">, cuando se lleven en el centro de trabajo; </w:t>
      </w:r>
      <w:r w:rsidRPr="008E2053">
        <w:rPr>
          <w:rFonts w:ascii="Palatino Linotype" w:eastAsia="MS Mincho" w:hAnsi="Palatino Linotype" w:cs="Arial"/>
          <w:b/>
          <w:i/>
          <w:sz w:val="22"/>
          <w:szCs w:val="22"/>
        </w:rPr>
        <w:t>o recibos de pagos de salarios</w:t>
      </w:r>
      <w:r w:rsidRPr="008E2053">
        <w:rPr>
          <w:rFonts w:ascii="Palatino Linotype" w:eastAsia="MS Mincho" w:hAnsi="Palatino Linotype" w:cs="Arial"/>
          <w:i/>
          <w:sz w:val="22"/>
          <w:szCs w:val="22"/>
        </w:rPr>
        <w:t>;</w:t>
      </w:r>
    </w:p>
    <w:p w:rsidR="008E2053" w:rsidRPr="008E2053" w:rsidRDefault="008E2053" w:rsidP="008E2053">
      <w:pPr>
        <w:tabs>
          <w:tab w:val="right" w:leader="dot" w:pos="8505"/>
        </w:tabs>
        <w:ind w:left="567" w:right="567"/>
        <w:jc w:val="both"/>
        <w:rPr>
          <w:rFonts w:ascii="Palatino Linotype" w:eastAsia="MS Mincho" w:hAnsi="Palatino Linotype" w:cs="Arial"/>
          <w:i/>
          <w:sz w:val="22"/>
          <w:szCs w:val="22"/>
        </w:rPr>
      </w:pPr>
      <w:r w:rsidRPr="008E2053">
        <w:rPr>
          <w:rFonts w:ascii="Palatino Linotype" w:eastAsia="MS Mincho" w:hAnsi="Palatino Linotype" w:cs="Arial"/>
          <w:i/>
          <w:sz w:val="22"/>
          <w:szCs w:val="22"/>
        </w:rPr>
        <w:t>…</w:t>
      </w:r>
    </w:p>
    <w:p w:rsidR="008E2053" w:rsidRPr="008E2053" w:rsidRDefault="008E2053" w:rsidP="008E2053">
      <w:pPr>
        <w:tabs>
          <w:tab w:val="right" w:leader="dot" w:pos="8505"/>
        </w:tabs>
        <w:ind w:left="567" w:right="567"/>
        <w:jc w:val="both"/>
        <w:rPr>
          <w:rFonts w:ascii="Palatino Linotype" w:hAnsi="Palatino Linotype" w:cs="Arial"/>
          <w:i/>
          <w:sz w:val="22"/>
          <w:szCs w:val="22"/>
          <w:lang w:val="es-MX"/>
        </w:rPr>
      </w:pPr>
      <w:r w:rsidRPr="008E2053">
        <w:rPr>
          <w:rFonts w:ascii="Palatino Linotype" w:hAnsi="Palatino Linotype" w:cs="Arial"/>
          <w:i/>
          <w:sz w:val="22"/>
          <w:szCs w:val="22"/>
          <w:lang w:val="es-MX"/>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8E2053" w:rsidRPr="008E2053" w:rsidRDefault="008E2053" w:rsidP="008E2053">
      <w:pPr>
        <w:tabs>
          <w:tab w:val="right" w:leader="dot" w:pos="8505"/>
        </w:tabs>
        <w:ind w:left="567" w:right="567"/>
        <w:jc w:val="right"/>
        <w:rPr>
          <w:rFonts w:ascii="Palatino Linotype" w:hAnsi="Palatino Linotype" w:cs="Arial"/>
          <w:sz w:val="22"/>
          <w:szCs w:val="22"/>
          <w:lang w:val="es-MX"/>
        </w:rPr>
      </w:pPr>
      <w:r w:rsidRPr="008E2053">
        <w:rPr>
          <w:rFonts w:ascii="Palatino Linotype" w:hAnsi="Palatino Linotype" w:cs="Arial"/>
          <w:sz w:val="22"/>
          <w:szCs w:val="22"/>
          <w:lang w:val="es-MX"/>
        </w:rPr>
        <w:t>(Énfasis añadido)</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spacing w:line="360" w:lineRule="auto"/>
        <w:ind w:right="51"/>
        <w:jc w:val="both"/>
        <w:rPr>
          <w:rFonts w:ascii="Palatino Linotype" w:eastAsia="Calibri" w:hAnsi="Palatino Linotype" w:cs="Arial"/>
        </w:rPr>
      </w:pPr>
      <w:r w:rsidRPr="008E2053">
        <w:rPr>
          <w:rFonts w:ascii="Palatino Linotype" w:eastAsia="Calibri" w:hAnsi="Palatino Linotype" w:cs="Arial"/>
        </w:rPr>
        <w:t>Tratándose de servidores públicos de los Municipios la Ley del Trabajo de los Servidores Públicos del Estado y Municipios, en su artículo 220-K fracciones II y IV y último párrafo, establecen lo siguiente:</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“ARTÍCULO 220 K.-</w:t>
      </w:r>
      <w:r w:rsidRPr="008E2053">
        <w:rPr>
          <w:rFonts w:ascii="Palatino Linotype" w:hAnsi="Palatino Linotype"/>
          <w:bCs/>
          <w:i/>
          <w:sz w:val="22"/>
          <w:szCs w:val="22"/>
        </w:rPr>
        <w:t xml:space="preserve"> La institución o dependencia pública tiene la obligación de conservar y exhibir en el proceso los documentos que a continuación se precisan:</w:t>
      </w: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w:t>
      </w:r>
      <w:r w:rsidRPr="008E2053">
        <w:rPr>
          <w:rFonts w:ascii="Palatino Linotype" w:hAnsi="Palatino Linotype"/>
          <w:bCs/>
          <w:i/>
          <w:sz w:val="22"/>
          <w:szCs w:val="22"/>
        </w:rPr>
        <w:t>)</w:t>
      </w: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II.</w:t>
      </w:r>
      <w:r w:rsidRPr="008E2053">
        <w:rPr>
          <w:rFonts w:ascii="Palatino Linotype" w:hAnsi="Palatino Linotype"/>
          <w:bCs/>
          <w:i/>
          <w:sz w:val="22"/>
          <w:szCs w:val="22"/>
        </w:rPr>
        <w:t xml:space="preserve"> </w:t>
      </w:r>
      <w:r w:rsidRPr="008E2053">
        <w:rPr>
          <w:rFonts w:ascii="Palatino Linotype" w:hAnsi="Palatino Linotype"/>
          <w:b/>
          <w:bCs/>
          <w:i/>
          <w:sz w:val="22"/>
          <w:szCs w:val="22"/>
        </w:rPr>
        <w:t>Recibos de pagos de salarios</w:t>
      </w:r>
      <w:r w:rsidRPr="008E2053">
        <w:rPr>
          <w:rFonts w:ascii="Palatino Linotype" w:hAnsi="Palatino Linotype"/>
          <w:bCs/>
          <w:i/>
          <w:sz w:val="22"/>
          <w:szCs w:val="22"/>
        </w:rPr>
        <w:t xml:space="preserve"> o las constancias documentales del pago de salario cuando sea por depósito o mediante información electrónica;</w:t>
      </w: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w:t>
      </w: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IV.</w:t>
      </w:r>
      <w:r w:rsidRPr="008E2053">
        <w:rPr>
          <w:rFonts w:ascii="Palatino Linotype" w:hAnsi="Palatino Linotype"/>
          <w:bCs/>
          <w:i/>
          <w:sz w:val="22"/>
          <w:szCs w:val="22"/>
        </w:rPr>
        <w:t xml:space="preserve"> </w:t>
      </w:r>
      <w:r w:rsidRPr="008E2053">
        <w:rPr>
          <w:rFonts w:ascii="Palatino Linotype" w:hAnsi="Palatino Linotype"/>
          <w:b/>
          <w:bCs/>
          <w:i/>
          <w:sz w:val="22"/>
          <w:szCs w:val="22"/>
        </w:rPr>
        <w:t xml:space="preserve">Recibos o las constancias de depósito o del medio de información magnética o electrónica que sean utilizadas para el pago de salarios, </w:t>
      </w:r>
      <w:r w:rsidRPr="008E2053">
        <w:rPr>
          <w:rFonts w:ascii="Palatino Linotype" w:hAnsi="Palatino Linotype"/>
          <w:bCs/>
          <w:i/>
          <w:sz w:val="22"/>
          <w:szCs w:val="22"/>
        </w:rPr>
        <w:t>prima vacacional, aguinaldo y demás prestaciones establecidas en la presente ley; y</w:t>
      </w: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
          <w:bCs/>
          <w:i/>
          <w:sz w:val="22"/>
          <w:szCs w:val="22"/>
        </w:rPr>
        <w:t>Los documentos señalados en la fracción I de este artículo, deberán conservarse mientras dure la relación laboral y hasta un año después;</w:t>
      </w:r>
      <w:r w:rsidRPr="008E2053">
        <w:rPr>
          <w:rFonts w:ascii="Palatino Linotype" w:hAnsi="Palatino Linotype"/>
          <w:bCs/>
          <w:i/>
          <w:sz w:val="22"/>
          <w:szCs w:val="22"/>
        </w:rPr>
        <w:t xml:space="preserve"> los señalados por las </w:t>
      </w:r>
      <w:r w:rsidRPr="008E2053">
        <w:rPr>
          <w:rFonts w:ascii="Palatino Linotype" w:hAnsi="Palatino Linotype"/>
          <w:bCs/>
          <w:i/>
          <w:sz w:val="22"/>
          <w:szCs w:val="22"/>
        </w:rPr>
        <w:lastRenderedPageBreak/>
        <w:t>fracciones II, III, IV durante el último año y un año después de que se extinga la relación laboral, y los mencionados en la fracción V, conforme lo señalen las leyes que los rijan.</w:t>
      </w:r>
    </w:p>
    <w:p w:rsidR="008E2053" w:rsidRPr="008E2053" w:rsidRDefault="008E2053" w:rsidP="008E2053">
      <w:pPr>
        <w:tabs>
          <w:tab w:val="left" w:pos="9072"/>
        </w:tabs>
        <w:ind w:left="567" w:right="567"/>
        <w:jc w:val="both"/>
        <w:rPr>
          <w:rFonts w:ascii="Palatino Linotype" w:hAnsi="Palatino Linotype"/>
          <w:bCs/>
          <w:i/>
          <w:sz w:val="22"/>
          <w:szCs w:val="22"/>
        </w:rPr>
      </w:pPr>
      <w:r w:rsidRPr="008E2053">
        <w:rPr>
          <w:rFonts w:ascii="Palatino Linotype" w:hAnsi="Palatino Linotype"/>
          <w:bCs/>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8E2053" w:rsidRPr="008E2053" w:rsidRDefault="008E2053" w:rsidP="008E2053">
      <w:pPr>
        <w:ind w:left="567" w:right="567"/>
        <w:jc w:val="both"/>
        <w:rPr>
          <w:rFonts w:ascii="Palatino Linotype" w:hAnsi="Palatino Linotype"/>
          <w:bCs/>
          <w:i/>
          <w:sz w:val="22"/>
          <w:szCs w:val="22"/>
        </w:rPr>
      </w:pPr>
      <w:r w:rsidRPr="008E2053">
        <w:rPr>
          <w:rFonts w:ascii="Palatino Linotype" w:hAnsi="Palatino Linotype"/>
          <w:bCs/>
          <w:i/>
          <w:sz w:val="22"/>
          <w:szCs w:val="22"/>
        </w:rPr>
        <w:t>El incumplimiento por lo dispuesto por este artículo, establecerá la presunción de ser ciertos los hechos que el actor exprese en su demanda, en relación con tales documentos, salvo prueba en contrario.” (Sic)</w:t>
      </w:r>
    </w:p>
    <w:p w:rsidR="008E2053" w:rsidRPr="008E2053" w:rsidRDefault="008E2053" w:rsidP="008E2053">
      <w:pPr>
        <w:ind w:left="567" w:right="567"/>
        <w:jc w:val="right"/>
        <w:rPr>
          <w:rFonts w:ascii="Palatino Linotype" w:eastAsia="Calibri" w:hAnsi="Palatino Linotype"/>
          <w:sz w:val="22"/>
          <w:szCs w:val="22"/>
        </w:rPr>
      </w:pPr>
      <w:r w:rsidRPr="008E2053">
        <w:rPr>
          <w:rFonts w:ascii="Palatino Linotype" w:eastAsia="Calibri" w:hAnsi="Palatino Linotype"/>
          <w:sz w:val="22"/>
          <w:szCs w:val="22"/>
        </w:rPr>
        <w:t>(Énfasis añadido).</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spacing w:line="360" w:lineRule="auto"/>
        <w:ind w:right="51"/>
        <w:jc w:val="both"/>
        <w:rPr>
          <w:rFonts w:ascii="Palatino Linotype" w:eastAsia="Calibri" w:hAnsi="Palatino Linotype" w:cs="Arial"/>
        </w:rPr>
      </w:pPr>
      <w:r w:rsidRPr="008E2053">
        <w:rPr>
          <w:rFonts w:ascii="Palatino Linotype" w:eastAsia="Calibri" w:hAnsi="Palatino Linotype" w:cs="Arial"/>
        </w:rPr>
        <w:t xml:space="preserve">Conforme a lo anterior, se advierte que toda institución o dependencia pública del Estado de México debe conservar </w:t>
      </w:r>
      <w:r w:rsidRPr="008E2053">
        <w:rPr>
          <w:rFonts w:ascii="Palatino Linotype" w:eastAsia="Calibri" w:hAnsi="Palatino Linotype" w:cs="Arial"/>
          <w:b/>
        </w:rPr>
        <w:t xml:space="preserve">los recibos o </w:t>
      </w:r>
      <w:r w:rsidRPr="008E2053">
        <w:rPr>
          <w:rFonts w:ascii="Palatino Linotype" w:eastAsia="Calibri" w:hAnsi="Palatino Linotype" w:cs="Arial"/>
          <w:b/>
          <w:u w:val="single"/>
        </w:rPr>
        <w:t>constancias de pago de salarios y demás prestaciones legales de acuerdo con la forma en que se haya realizado el pago</w:t>
      </w:r>
      <w:r w:rsidRPr="008E2053">
        <w:rPr>
          <w:rFonts w:ascii="Palatino Linotype" w:eastAsia="Calibri" w:hAnsi="Palatino Linotype" w:cs="Arial"/>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spacing w:line="360" w:lineRule="auto"/>
        <w:ind w:right="51"/>
        <w:jc w:val="both"/>
        <w:rPr>
          <w:rFonts w:ascii="Palatino Linotype" w:eastAsia="Calibri" w:hAnsi="Palatino Linotype" w:cs="Arial"/>
        </w:rPr>
      </w:pPr>
      <w:r w:rsidRPr="008E2053">
        <w:rPr>
          <w:rFonts w:ascii="Palatino Linotype" w:eastAsia="Calibri" w:hAnsi="Palatino Linotype" w:cs="Arial"/>
        </w:rPr>
        <w:t xml:space="preserve">Si bien es cierto,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8E2053">
        <w:rPr>
          <w:rFonts w:ascii="Palatino Linotype" w:eastAsia="Calibri" w:hAnsi="Palatino Linotype" w:cs="Arial"/>
          <w:b/>
        </w:rPr>
        <w:t>sujeto obligado</w:t>
      </w:r>
      <w:r w:rsidRPr="008E2053">
        <w:rPr>
          <w:rFonts w:ascii="Palatino Linotype" w:eastAsia="Calibri" w:hAnsi="Palatino Linotype" w:cs="Arial"/>
        </w:rPr>
        <w:t xml:space="preserve"> acredita las remuneraciones al personal y que de acuerdo al uso implantado en la colectividad se denominan “recibos de nómina”.</w:t>
      </w:r>
    </w:p>
    <w:p w:rsidR="008E2053" w:rsidRPr="008E2053" w:rsidRDefault="008E2053" w:rsidP="008E2053">
      <w:pPr>
        <w:spacing w:line="360" w:lineRule="auto"/>
        <w:ind w:right="51"/>
        <w:jc w:val="both"/>
        <w:rPr>
          <w:rFonts w:ascii="Palatino Linotype" w:eastAsia="Calibri" w:hAnsi="Palatino Linotype" w:cs="Arial"/>
        </w:rPr>
      </w:pPr>
    </w:p>
    <w:p w:rsidR="008E2053" w:rsidRPr="008E2053" w:rsidRDefault="008E2053" w:rsidP="008E2053">
      <w:pPr>
        <w:autoSpaceDE w:val="0"/>
        <w:autoSpaceDN w:val="0"/>
        <w:adjustRightInd w:val="0"/>
        <w:spacing w:line="360" w:lineRule="auto"/>
        <w:jc w:val="both"/>
        <w:rPr>
          <w:rFonts w:ascii="Palatino Linotype" w:eastAsia="Calibri" w:hAnsi="Palatino Linotype" w:cs="Arial"/>
        </w:rPr>
      </w:pPr>
      <w:r w:rsidRPr="008E2053">
        <w:rPr>
          <w:rFonts w:ascii="Palatino Linotype" w:eastAsia="Calibri" w:hAnsi="Palatino Linotype" w:cs="Arial"/>
        </w:rPr>
        <w:lastRenderedPageBreak/>
        <w:t>Efectivamente,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9E21AC" w:rsidRDefault="009E21AC" w:rsidP="0082707D">
      <w:pPr>
        <w:spacing w:line="360" w:lineRule="auto"/>
        <w:jc w:val="both"/>
        <w:rPr>
          <w:rFonts w:ascii="Palatino Linotype" w:eastAsia="Calibri" w:hAnsi="Palatino Linotype"/>
          <w:lang w:val="es-ES_tradnl"/>
        </w:rPr>
      </w:pPr>
    </w:p>
    <w:p w:rsidR="007523B6" w:rsidRPr="007523B6" w:rsidRDefault="007523B6" w:rsidP="007523B6">
      <w:pPr>
        <w:autoSpaceDE w:val="0"/>
        <w:autoSpaceDN w:val="0"/>
        <w:adjustRightInd w:val="0"/>
        <w:spacing w:line="360" w:lineRule="auto"/>
        <w:jc w:val="both"/>
        <w:rPr>
          <w:rFonts w:ascii="Palatino Linotype" w:eastAsiaTheme="minorHAnsi" w:hAnsi="Palatino Linotype" w:cs="Arial"/>
          <w:lang w:val="es-MX" w:eastAsia="en-US"/>
        </w:rPr>
      </w:pPr>
      <w:r w:rsidRPr="007523B6">
        <w:rPr>
          <w:rFonts w:ascii="Palatino Linotype" w:eastAsia="Calibri" w:hAnsi="Palatino Linotype" w:cs="Arial"/>
        </w:rPr>
        <w:t xml:space="preserve">Además de lo anterior, conviene mencionar que de acuerdo a los Lineamientos para la Integración del Informe Trimestral de los Sujetos de Fiscalización MUNICIPALES para el Ejercicio 2021, emitidos por el Auditor Superior de Fiscalización del Estado de México, visibles en la página oficial de dicho Órgano en el sitio de internet </w:t>
      </w:r>
      <w:r w:rsidRPr="007523B6">
        <w:rPr>
          <w:rFonts w:ascii="Palatino Linotype" w:eastAsia="Calibri" w:hAnsi="Palatino Linotype" w:cs="Arial"/>
          <w:i/>
          <w:color w:val="0563C1"/>
          <w:u w:val="single"/>
        </w:rPr>
        <w:t>https://www.osfem.gob.mx/04_Iconografia/Ent_Fisc/Doc_Apoy/Doc_Apoy.html</w:t>
      </w:r>
      <w:r w:rsidRPr="007523B6">
        <w:rPr>
          <w:rFonts w:ascii="Palatino Linotype" w:eastAsia="Calibri" w:hAnsi="Palatino Linotype" w:cs="Arial"/>
        </w:rPr>
        <w:t xml:space="preserve">, contienen los formatos e información que debe ser proporcionada para la integración de los informes mensuales que se entregan a éste de forma digitalizada, </w:t>
      </w:r>
      <w:r>
        <w:rPr>
          <w:rFonts w:ascii="Palatino Linotype" w:eastAsia="Calibri" w:hAnsi="Palatino Linotype" w:cs="Arial"/>
        </w:rPr>
        <w:t>encontrándose el formato denominado “Conciliación de Nómina Mensual</w:t>
      </w:r>
      <w:r w:rsidRPr="007523B6">
        <w:rPr>
          <w:rFonts w:ascii="Palatino Linotype" w:eastAsia="Calibri" w:hAnsi="Palatino Linotype" w:cs="Arial"/>
        </w:rPr>
        <w:t xml:space="preserve">, correspondiente a un periodo determinado; de tal manera, dichos formatos constituyen un soporte documental de que la información solicitada por la recurrente obra en los archivos del </w:t>
      </w:r>
      <w:r w:rsidRPr="007523B6">
        <w:rPr>
          <w:rFonts w:ascii="Palatino Linotype" w:eastAsia="Calibri" w:hAnsi="Palatino Linotype" w:cs="Arial"/>
          <w:b/>
        </w:rPr>
        <w:t>sujeto obligado</w:t>
      </w:r>
      <w:r w:rsidRPr="007523B6">
        <w:rPr>
          <w:rFonts w:ascii="Palatino Linotype" w:eastAsia="Calibri" w:hAnsi="Palatino Linotype" w:cs="Arial"/>
        </w:rPr>
        <w:t>, como se advierte a continuación:</w:t>
      </w:r>
    </w:p>
    <w:p w:rsidR="007523B6" w:rsidRPr="007523B6" w:rsidRDefault="007523B6" w:rsidP="007523B6">
      <w:pPr>
        <w:autoSpaceDE w:val="0"/>
        <w:autoSpaceDN w:val="0"/>
        <w:adjustRightInd w:val="0"/>
        <w:spacing w:line="360" w:lineRule="auto"/>
        <w:jc w:val="both"/>
        <w:rPr>
          <w:rFonts w:ascii="Palatino Linotype" w:eastAsiaTheme="minorHAnsi" w:hAnsi="Palatino Linotype" w:cs="Arial"/>
          <w:lang w:val="es-MX" w:eastAsia="en-US"/>
        </w:rPr>
      </w:pPr>
    </w:p>
    <w:p w:rsidR="007523B6" w:rsidRPr="007523B6" w:rsidRDefault="007523B6" w:rsidP="007523B6">
      <w:pPr>
        <w:autoSpaceDE w:val="0"/>
        <w:autoSpaceDN w:val="0"/>
        <w:adjustRightInd w:val="0"/>
        <w:spacing w:line="360" w:lineRule="auto"/>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extent cx="5791835" cy="667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1835" cy="667385"/>
                    </a:xfrm>
                    <a:prstGeom prst="rect">
                      <a:avLst/>
                    </a:prstGeom>
                  </pic:spPr>
                </pic:pic>
              </a:graphicData>
            </a:graphic>
          </wp:inline>
        </w:drawing>
      </w:r>
    </w:p>
    <w:p w:rsidR="007523B6" w:rsidRPr="007523B6" w:rsidRDefault="007523B6" w:rsidP="007523B6">
      <w:pPr>
        <w:autoSpaceDE w:val="0"/>
        <w:autoSpaceDN w:val="0"/>
        <w:adjustRightInd w:val="0"/>
        <w:spacing w:line="360" w:lineRule="auto"/>
        <w:jc w:val="both"/>
        <w:rPr>
          <w:rFonts w:ascii="Palatino Linotype" w:eastAsiaTheme="minorHAnsi" w:hAnsi="Palatino Linotype" w:cs="Arial"/>
          <w:lang w:val="es-MX" w:eastAsia="en-US"/>
        </w:rPr>
      </w:pPr>
    </w:p>
    <w:p w:rsidR="007523B6" w:rsidRPr="007523B6" w:rsidRDefault="007523B6" w:rsidP="007523B6">
      <w:pPr>
        <w:autoSpaceDE w:val="0"/>
        <w:autoSpaceDN w:val="0"/>
        <w:adjustRightInd w:val="0"/>
        <w:spacing w:line="360" w:lineRule="auto"/>
        <w:jc w:val="both"/>
        <w:rPr>
          <w:rFonts w:ascii="Palatino Linotype" w:hAnsi="Palatino Linotype" w:cs="Arial"/>
        </w:rPr>
      </w:pPr>
      <w:r w:rsidRPr="007523B6">
        <w:rPr>
          <w:rFonts w:ascii="Palatino Linotype" w:hAnsi="Palatino Linotype" w:cs="Arial"/>
        </w:rPr>
        <w:t xml:space="preserve">Atento a lo anterior, resulta claro que existe la obligación del </w:t>
      </w:r>
      <w:r w:rsidRPr="007523B6">
        <w:rPr>
          <w:rFonts w:ascii="Palatino Linotype" w:eastAsia="Calibri" w:hAnsi="Palatino Linotype" w:cs="Arial"/>
        </w:rPr>
        <w:t xml:space="preserve">Ayuntamiento de </w:t>
      </w:r>
      <w:r>
        <w:rPr>
          <w:rFonts w:ascii="Palatino Linotype" w:eastAsia="Calibri" w:hAnsi="Palatino Linotype" w:cs="Arial"/>
        </w:rPr>
        <w:t>Atizapán de Zaragoza</w:t>
      </w:r>
      <w:r w:rsidRPr="007523B6">
        <w:rPr>
          <w:rFonts w:ascii="Palatino Linotype" w:eastAsia="Calibri" w:hAnsi="Palatino Linotype" w:cs="Arial"/>
        </w:rPr>
        <w:t>,</w:t>
      </w:r>
      <w:r w:rsidRPr="007523B6">
        <w:rPr>
          <w:rFonts w:ascii="Palatino Linotype" w:hAnsi="Palatino Linotype" w:cs="Arial"/>
        </w:rPr>
        <w:t xml:space="preserve"> de entregar los informes </w:t>
      </w:r>
      <w:r>
        <w:rPr>
          <w:rFonts w:ascii="Palatino Linotype" w:hAnsi="Palatino Linotype" w:cs="Arial"/>
        </w:rPr>
        <w:t>trimestrales</w:t>
      </w:r>
      <w:r w:rsidRPr="007523B6">
        <w:rPr>
          <w:rFonts w:ascii="Palatino Linotype" w:hAnsi="Palatino Linotype" w:cs="Arial"/>
        </w:rPr>
        <w:t xml:space="preserve"> al OSFEM, en los cuales se incluye la información relativa </w:t>
      </w:r>
      <w:r w:rsidRPr="007523B6">
        <w:rPr>
          <w:rFonts w:ascii="Palatino Linotype" w:hAnsi="Palatino Linotype" w:cs="Arial"/>
          <w:u w:val="single"/>
        </w:rPr>
        <w:t>a la nómina</w:t>
      </w:r>
      <w:r w:rsidRPr="007523B6">
        <w:rPr>
          <w:rFonts w:ascii="Palatino Linotype" w:hAnsi="Palatino Linotype" w:cs="Arial"/>
        </w:rPr>
        <w:t>, correspondientes a</w:t>
      </w:r>
      <w:r>
        <w:rPr>
          <w:rFonts w:ascii="Palatino Linotype" w:hAnsi="Palatino Linotype" w:cs="Arial"/>
        </w:rPr>
        <w:t xml:space="preserve">l mes de marzo de </w:t>
      </w:r>
      <w:r>
        <w:rPr>
          <w:rFonts w:ascii="Palatino Linotype" w:hAnsi="Palatino Linotype" w:cs="Arial"/>
        </w:rPr>
        <w:lastRenderedPageBreak/>
        <w:t>2021</w:t>
      </w:r>
      <w:r w:rsidRPr="007523B6">
        <w:rPr>
          <w:rFonts w:ascii="Palatino Linotype" w:hAnsi="Palatino Linotype" w:cs="Arial"/>
        </w:rPr>
        <w:t xml:space="preserve">; en consecuencia, la información solicitada por la hoy </w:t>
      </w:r>
      <w:r w:rsidRPr="007523B6">
        <w:rPr>
          <w:rFonts w:ascii="Palatino Linotype" w:hAnsi="Palatino Linotype" w:cs="Arial"/>
          <w:b/>
        </w:rPr>
        <w:t>recurrente</w:t>
      </w:r>
      <w:r w:rsidRPr="007523B6">
        <w:rPr>
          <w:rFonts w:ascii="Palatino Linotype" w:hAnsi="Palatino Linotype" w:cs="Arial"/>
        </w:rPr>
        <w:t xml:space="preserve"> debe obrar de forma digitalizada en los archivos del </w:t>
      </w:r>
      <w:r w:rsidRPr="007523B6">
        <w:rPr>
          <w:rFonts w:ascii="Palatino Linotype" w:hAnsi="Palatino Linotype" w:cs="Arial"/>
          <w:b/>
        </w:rPr>
        <w:t>sujeto obligado</w:t>
      </w:r>
      <w:r w:rsidRPr="007523B6">
        <w:rPr>
          <w:rFonts w:ascii="Palatino Linotype" w:hAnsi="Palatino Linotype" w:cs="Arial"/>
        </w:rPr>
        <w:t xml:space="preserve"> y, por lo tanto, es dable ordenar la entrega de la misma.</w:t>
      </w:r>
    </w:p>
    <w:p w:rsidR="007523B6" w:rsidRDefault="007523B6" w:rsidP="0082707D">
      <w:pPr>
        <w:spacing w:line="360" w:lineRule="auto"/>
        <w:jc w:val="both"/>
        <w:rPr>
          <w:rFonts w:ascii="Palatino Linotype" w:eastAsia="Calibri" w:hAnsi="Palatino Linotype"/>
          <w:lang w:val="es-ES_tradnl"/>
        </w:rPr>
      </w:pPr>
    </w:p>
    <w:p w:rsidR="009E21AC" w:rsidRDefault="00B62C04" w:rsidP="0082707D">
      <w:p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Finalmente no pasa desapercibido que el </w:t>
      </w:r>
      <w:r w:rsidRPr="00B62C04">
        <w:rPr>
          <w:rFonts w:ascii="Palatino Linotype" w:eastAsia="Calibri" w:hAnsi="Palatino Linotype"/>
          <w:b/>
          <w:lang w:val="es-ES_tradnl"/>
        </w:rPr>
        <w:t>Sujeto Obligado</w:t>
      </w:r>
      <w:r>
        <w:rPr>
          <w:rFonts w:ascii="Palatino Linotype" w:eastAsia="Calibri" w:hAnsi="Palatino Linotype"/>
          <w:lang w:val="es-ES_tradnl"/>
        </w:rPr>
        <w:t xml:space="preserve">, pretendió satisfacer la solicitud de información por medio de un archivo </w:t>
      </w:r>
      <w:r w:rsidRPr="00B62C04">
        <w:rPr>
          <w:rFonts w:ascii="Palatino Linotype" w:eastAsia="Calibri" w:hAnsi="Palatino Linotype"/>
          <w:i/>
          <w:lang w:val="es-ES_tradnl"/>
        </w:rPr>
        <w:t>ad hoc</w:t>
      </w:r>
      <w:r>
        <w:rPr>
          <w:rFonts w:ascii="Palatino Linotype" w:eastAsia="Calibri" w:hAnsi="Palatino Linotype"/>
          <w:lang w:val="es-ES_tradnl"/>
        </w:rPr>
        <w:t xml:space="preserve">, en el cual si bien pudiera parecer contener la información peticionada, también lo es que el </w:t>
      </w:r>
      <w:r w:rsidRPr="00B62C04">
        <w:rPr>
          <w:rFonts w:ascii="Palatino Linotype" w:eastAsia="Calibri" w:hAnsi="Palatino Linotype"/>
          <w:b/>
          <w:lang w:val="es-ES_tradnl"/>
        </w:rPr>
        <w:t>Recurrente</w:t>
      </w:r>
      <w:r>
        <w:rPr>
          <w:rFonts w:ascii="Palatino Linotype" w:eastAsia="Calibri" w:hAnsi="Palatino Linotype"/>
          <w:lang w:val="es-ES_tradnl"/>
        </w:rPr>
        <w:t xml:space="preserve"> peticionó documento de tipo específico, el cual ha quedado acreditado, el Sujeto Obligado debe tener en sus archivos, en consecuencia resulta dable ordenar su entrega, observando lo establecido en la Ley de Transparencia y Acceso a la Información Pública del Estado de México y Municipios y de la Ley de Protección de Datos Personales del Estado de México y Municipios.</w:t>
      </w:r>
    </w:p>
    <w:p w:rsidR="0082707D" w:rsidRDefault="0082707D" w:rsidP="0082707D">
      <w:pPr>
        <w:autoSpaceDE w:val="0"/>
        <w:autoSpaceDN w:val="0"/>
        <w:adjustRightInd w:val="0"/>
        <w:spacing w:line="360" w:lineRule="auto"/>
        <w:jc w:val="both"/>
        <w:rPr>
          <w:rFonts w:ascii="Palatino Linotype" w:hAnsi="Palatino Linotype" w:cs="Arial"/>
        </w:rPr>
      </w:pPr>
    </w:p>
    <w:p w:rsidR="00E27860" w:rsidRPr="00E27860" w:rsidRDefault="00E27860" w:rsidP="00E27860">
      <w:pPr>
        <w:spacing w:line="360" w:lineRule="auto"/>
        <w:contextualSpacing/>
        <w:jc w:val="both"/>
        <w:rPr>
          <w:rFonts w:ascii="Palatino Linotype" w:eastAsia="Calibri" w:hAnsi="Palatino Linotype"/>
          <w:lang w:val="es-MX" w:eastAsia="es-MX"/>
        </w:rPr>
      </w:pPr>
      <w:r w:rsidRPr="00E27860">
        <w:rPr>
          <w:rFonts w:ascii="Palatino Linotype" w:eastAsia="Calibri" w:hAnsi="Palatino Linotype"/>
          <w:lang w:val="es-MX" w:eastAsia="es-MX"/>
        </w:rPr>
        <w:t>Finalmente, no escapa a la óptica de este Órgano Garante de la Transparencia y Protección de Datos personales que dentro de la información que se ordena su entrega, se encuentra la información concerniente a aquellos servidores públicos que se encuentran encargados de la seguridad pública municipal,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w:t>
      </w:r>
    </w:p>
    <w:p w:rsidR="00E27860" w:rsidRPr="00E27860" w:rsidRDefault="00E27860" w:rsidP="00E27860">
      <w:pPr>
        <w:spacing w:line="360" w:lineRule="auto"/>
        <w:contextualSpacing/>
        <w:jc w:val="both"/>
        <w:rPr>
          <w:rFonts w:ascii="Palatino Linotype" w:eastAsia="Calibri" w:hAnsi="Palatino Linotype"/>
          <w:lang w:val="es-MX" w:eastAsia="es-MX"/>
        </w:rPr>
      </w:pPr>
    </w:p>
    <w:p w:rsidR="00E27860" w:rsidRPr="00E27860" w:rsidRDefault="00E27860" w:rsidP="00E27860">
      <w:pPr>
        <w:spacing w:line="360" w:lineRule="auto"/>
        <w:contextualSpacing/>
        <w:jc w:val="both"/>
        <w:rPr>
          <w:rFonts w:ascii="Palatino Linotype" w:eastAsia="Calibri" w:hAnsi="Palatino Linotype"/>
          <w:lang w:val="es-MX" w:eastAsia="es-MX"/>
        </w:rPr>
      </w:pPr>
      <w:r w:rsidRPr="00E27860">
        <w:rPr>
          <w:rFonts w:ascii="Palatino Linotype" w:eastAsia="Calibri" w:hAnsi="Palatino Linotype"/>
          <w:lang w:val="es-MX" w:eastAsia="es-MX"/>
        </w:rPr>
        <w:t xml:space="preserve">Por lo cual, relativo a esta información, deberá de ser entregada de forma disociada, es decir, los datos personales de los servidores adscritos a las Instituciones de Seguridad </w:t>
      </w:r>
      <w:r w:rsidRPr="00E27860">
        <w:rPr>
          <w:rFonts w:ascii="Palatino Linotype" w:eastAsia="Calibri" w:hAnsi="Palatino Linotype"/>
          <w:lang w:val="es-MX" w:eastAsia="es-MX"/>
        </w:rPr>
        <w:lastRenderedPageBreak/>
        <w:t>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rsidR="00E27860" w:rsidRPr="00E27860" w:rsidRDefault="00E27860" w:rsidP="00E27860">
      <w:pPr>
        <w:spacing w:line="360" w:lineRule="auto"/>
        <w:contextualSpacing/>
        <w:jc w:val="both"/>
        <w:rPr>
          <w:rFonts w:ascii="Palatino Linotype" w:eastAsia="Calibri" w:hAnsi="Palatino Linotype"/>
          <w:lang w:val="es-MX" w:eastAsia="es-MX"/>
        </w:rPr>
      </w:pPr>
    </w:p>
    <w:p w:rsidR="00E27860" w:rsidRPr="00E27860" w:rsidRDefault="00E27860" w:rsidP="00E27860">
      <w:pPr>
        <w:ind w:left="567" w:right="567"/>
        <w:contextualSpacing/>
        <w:jc w:val="both"/>
        <w:rPr>
          <w:rFonts w:ascii="Palatino Linotype" w:eastAsia="Calibri" w:hAnsi="Palatino Linotype"/>
          <w:i/>
          <w:sz w:val="22"/>
          <w:lang w:val="es-MX" w:eastAsia="es-MX"/>
        </w:rPr>
      </w:pPr>
      <w:r w:rsidRPr="00E27860">
        <w:rPr>
          <w:rFonts w:ascii="Palatino Linotype" w:eastAsia="Calibri" w:hAnsi="Palatino Linotype"/>
          <w:i/>
          <w:sz w:val="22"/>
          <w:lang w:val="es-MX" w:eastAsia="es-MX"/>
        </w:rPr>
        <w:t>“</w:t>
      </w:r>
      <w:r w:rsidRPr="00E27860">
        <w:rPr>
          <w:rFonts w:ascii="Palatino Linotype" w:eastAsia="Calibri" w:hAnsi="Palatino Linotype"/>
          <w:b/>
          <w:i/>
          <w:sz w:val="22"/>
          <w:lang w:val="es-MX" w:eastAsia="es-MX"/>
        </w:rPr>
        <w:t>Artículo 4</w:t>
      </w:r>
      <w:r w:rsidRPr="00E27860">
        <w:rPr>
          <w:rFonts w:ascii="Palatino Linotype" w:eastAsia="Calibri" w:hAnsi="Palatino Linotype"/>
          <w:i/>
          <w:sz w:val="22"/>
          <w:lang w:val="es-MX" w:eastAsia="es-MX"/>
        </w:rPr>
        <w:t>.- Para los efectos de esta Ley se entiende por:</w:t>
      </w:r>
    </w:p>
    <w:p w:rsidR="00E27860" w:rsidRPr="00E27860" w:rsidRDefault="00E27860" w:rsidP="00E27860">
      <w:pPr>
        <w:ind w:left="567" w:right="567"/>
        <w:contextualSpacing/>
        <w:jc w:val="both"/>
        <w:rPr>
          <w:rFonts w:ascii="Palatino Linotype" w:eastAsia="Calibri" w:hAnsi="Palatino Linotype"/>
          <w:i/>
          <w:sz w:val="22"/>
          <w:lang w:val="es-MX" w:eastAsia="es-MX"/>
        </w:rPr>
      </w:pPr>
      <w:r w:rsidRPr="00E27860">
        <w:rPr>
          <w:rFonts w:ascii="Palatino Linotype" w:eastAsia="Calibri" w:hAnsi="Palatino Linotype"/>
          <w:i/>
          <w:sz w:val="22"/>
          <w:lang w:val="es-MX" w:eastAsia="es-MX"/>
        </w:rPr>
        <w:t>…</w:t>
      </w:r>
    </w:p>
    <w:p w:rsidR="00E27860" w:rsidRPr="00E27860" w:rsidRDefault="00E27860" w:rsidP="00E27860">
      <w:pPr>
        <w:ind w:left="567" w:right="567"/>
        <w:contextualSpacing/>
        <w:jc w:val="both"/>
        <w:rPr>
          <w:rFonts w:ascii="Palatino Linotype" w:eastAsia="Calibri" w:hAnsi="Palatino Linotype"/>
          <w:i/>
          <w:sz w:val="22"/>
          <w:lang w:val="es-MX" w:eastAsia="es-MX"/>
        </w:rPr>
      </w:pPr>
      <w:r w:rsidRPr="00E27860">
        <w:rPr>
          <w:rFonts w:ascii="Palatino Linotype" w:eastAsia="Calibri" w:hAnsi="Palatino Linotype"/>
          <w:b/>
          <w:i/>
          <w:sz w:val="22"/>
          <w:lang w:val="es-MX" w:eastAsia="es-MX"/>
        </w:rPr>
        <w:t>XII</w:t>
      </w:r>
      <w:r w:rsidRPr="00E27860">
        <w:rPr>
          <w:rFonts w:ascii="Palatino Linotype" w:eastAsia="Calibri" w:hAnsi="Palatino Linotype"/>
          <w:i/>
          <w:sz w:val="22"/>
          <w:lang w:val="es-MX" w:eastAsia="es-MX"/>
        </w:rPr>
        <w:t xml:space="preserve">. </w:t>
      </w:r>
      <w:r w:rsidRPr="00E27860">
        <w:rPr>
          <w:rFonts w:ascii="Palatino Linotype" w:eastAsia="Calibri" w:hAnsi="Palatino Linotype"/>
          <w:b/>
          <w:i/>
          <w:sz w:val="22"/>
          <w:lang w:val="es-MX" w:eastAsia="es-MX"/>
        </w:rPr>
        <w:t>Disociación</w:t>
      </w:r>
      <w:r w:rsidRPr="00E27860">
        <w:rPr>
          <w:rFonts w:ascii="Palatino Linotype" w:eastAsia="Calibri" w:hAnsi="Palatino Linotype"/>
          <w:i/>
          <w:sz w:val="22"/>
          <w:lang w:val="es-MX" w:eastAsia="es-MX"/>
        </w:rPr>
        <w:t>: Procedimiento mediante el cual los datos personales no pueden asociarse al titular, ni permitir por su estructura, contenido o grado de desagregación, la identificación individual del mismo;” (Sic)</w:t>
      </w:r>
    </w:p>
    <w:p w:rsidR="00E27860" w:rsidRPr="00E27860" w:rsidRDefault="00E27860" w:rsidP="00E27860">
      <w:pPr>
        <w:spacing w:line="360" w:lineRule="auto"/>
        <w:contextualSpacing/>
        <w:jc w:val="both"/>
        <w:rPr>
          <w:rFonts w:ascii="Palatino Linotype" w:eastAsia="Calibri" w:hAnsi="Palatino Linotype"/>
          <w:lang w:val="es-MX" w:eastAsia="es-MX"/>
        </w:rPr>
      </w:pPr>
    </w:p>
    <w:p w:rsidR="00E27860" w:rsidRPr="00E27860" w:rsidRDefault="00E27860" w:rsidP="00E27860">
      <w:pPr>
        <w:spacing w:line="360" w:lineRule="auto"/>
        <w:contextualSpacing/>
        <w:jc w:val="both"/>
        <w:rPr>
          <w:rFonts w:ascii="Palatino Linotype" w:eastAsia="Calibri" w:hAnsi="Palatino Linotype"/>
          <w:lang w:val="es-MX" w:eastAsia="es-MX"/>
        </w:rPr>
      </w:pPr>
      <w:r w:rsidRPr="00E27860">
        <w:rPr>
          <w:rFonts w:ascii="Palatino Linotype" w:eastAsia="Calibri" w:hAnsi="Palatino Linotype"/>
          <w:lang w:val="es-MX" w:eastAsia="es-MX"/>
        </w:rPr>
        <w:t>Dejando intocable el rubro de percepciones y deducciones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E27860" w:rsidRDefault="00E27860" w:rsidP="0082707D">
      <w:pPr>
        <w:autoSpaceDE w:val="0"/>
        <w:autoSpaceDN w:val="0"/>
        <w:adjustRightInd w:val="0"/>
        <w:spacing w:line="360" w:lineRule="auto"/>
        <w:jc w:val="both"/>
        <w:rPr>
          <w:rFonts w:ascii="Palatino Linotype" w:hAnsi="Palatino Linotype" w:cs="Arial"/>
        </w:rPr>
      </w:pPr>
    </w:p>
    <w:p w:rsidR="0082707D" w:rsidRPr="00A97F43" w:rsidRDefault="0082707D" w:rsidP="0082707D">
      <w:pPr>
        <w:numPr>
          <w:ilvl w:val="0"/>
          <w:numId w:val="3"/>
        </w:numPr>
        <w:autoSpaceDE w:val="0"/>
        <w:autoSpaceDN w:val="0"/>
        <w:adjustRightInd w:val="0"/>
        <w:spacing w:line="360" w:lineRule="auto"/>
        <w:contextualSpacing/>
        <w:jc w:val="both"/>
        <w:rPr>
          <w:rFonts w:ascii="Palatino Linotype" w:hAnsi="Palatino Linotype" w:cs="Arial"/>
          <w:b/>
          <w:i/>
          <w:sz w:val="28"/>
        </w:rPr>
      </w:pPr>
      <w:r w:rsidRPr="00A97F43">
        <w:rPr>
          <w:rFonts w:ascii="Palatino Linotype" w:hAnsi="Palatino Linotype" w:cs="Arial"/>
          <w:b/>
          <w:i/>
          <w:sz w:val="28"/>
        </w:rPr>
        <w:t>De la versión pública</w:t>
      </w:r>
    </w:p>
    <w:p w:rsidR="0082707D" w:rsidRPr="00A97F43" w:rsidRDefault="0082707D" w:rsidP="0082707D">
      <w:pPr>
        <w:tabs>
          <w:tab w:val="left" w:pos="8647"/>
        </w:tabs>
        <w:spacing w:line="360" w:lineRule="auto"/>
        <w:ind w:right="51"/>
        <w:jc w:val="both"/>
        <w:rPr>
          <w:rFonts w:ascii="Palatino Linotype" w:eastAsiaTheme="minorHAnsi" w:hAnsi="Palatino Linotype" w:cs="Arial"/>
          <w:lang w:val="es-MX" w:eastAsia="en-US"/>
        </w:rPr>
      </w:pPr>
    </w:p>
    <w:p w:rsidR="0082707D" w:rsidRPr="00A97F43" w:rsidRDefault="0082707D" w:rsidP="0082707D">
      <w:pPr>
        <w:spacing w:line="360" w:lineRule="auto"/>
        <w:contextualSpacing/>
        <w:jc w:val="both"/>
        <w:rPr>
          <w:rFonts w:ascii="Palatino Linotype" w:hAnsi="Palatino Linotype" w:cs="Arial"/>
          <w:lang w:val="es-ES_tradnl"/>
        </w:rPr>
      </w:pPr>
      <w:r w:rsidRPr="00A97F43">
        <w:rPr>
          <w:rFonts w:ascii="Palatino Linotype" w:hAnsi="Palatino Linotype"/>
          <w:color w:val="000000"/>
          <w:lang w:val="es-MX"/>
        </w:rPr>
        <w:t xml:space="preserve">Así, en relación a la información de la que se ordena su entrega en versión pública, en términos del artículo 143 de la Ley de Transparencia y Acceso a la Información Pública del Estado de México y Municipios, se deberá </w:t>
      </w:r>
      <w:r w:rsidRPr="00A97F43">
        <w:rPr>
          <w:rFonts w:ascii="Palatino Linotype" w:eastAsia="Arial Unicode MS" w:hAnsi="Palatino Linotype" w:cs="Arial"/>
          <w:lang w:val="es-MX"/>
        </w:rPr>
        <w:t>omitir, eliminar o suprimir la</w:t>
      </w:r>
      <w:r w:rsidRPr="00A97F43">
        <w:rPr>
          <w:rFonts w:ascii="Palatino Linotype" w:hAnsi="Palatino Linotype"/>
          <w:color w:val="000000"/>
          <w:lang w:val="es-MX"/>
        </w:rPr>
        <w:t xml:space="preserve"> información estrictamente </w:t>
      </w:r>
      <w:r w:rsidRPr="00A97F43">
        <w:rPr>
          <w:rFonts w:ascii="Palatino Linotype" w:hAnsi="Palatino Linotype"/>
          <w:b/>
          <w:color w:val="000000"/>
          <w:lang w:val="es-MX"/>
        </w:rPr>
        <w:t>confidencial</w:t>
      </w:r>
      <w:r w:rsidRPr="00A97F43">
        <w:rPr>
          <w:rFonts w:ascii="Palatino Linotype" w:eastAsia="Arial Unicode MS" w:hAnsi="Palatino Linotype" w:cs="Arial"/>
          <w:lang w:val="es-MX"/>
        </w:rPr>
        <w:t xml:space="preserve">. En ese sentido, </w:t>
      </w:r>
      <w:r w:rsidRPr="00A97F43">
        <w:rPr>
          <w:rFonts w:ascii="Palatino Linotype" w:hAnsi="Palatino Linotype" w:cs="Arial"/>
          <w:lang w:val="es-ES_tradnl"/>
        </w:rPr>
        <w:t xml:space="preserve">sólo podrán </w:t>
      </w:r>
      <w:r w:rsidRPr="00A97F43">
        <w:rPr>
          <w:rFonts w:ascii="Palatino Linotype" w:hAnsi="Palatino Linotype" w:cs="Arial"/>
          <w:lang w:val="es-MX"/>
        </w:rPr>
        <w:t>ser</w:t>
      </w:r>
      <w:r w:rsidRPr="00A97F43">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A97F43">
        <w:rPr>
          <w:rFonts w:ascii="Palatino Linotype" w:hAnsi="Palatino Linotype" w:cs="Arial"/>
          <w:lang w:val="es-MX"/>
        </w:rPr>
        <w:t xml:space="preserve"> que el Comité de Transparencia del </w:t>
      </w:r>
      <w:r>
        <w:rPr>
          <w:rFonts w:ascii="Palatino Linotype" w:hAnsi="Palatino Linotype" w:cs="Arial"/>
          <w:b/>
          <w:lang w:val="es-MX"/>
        </w:rPr>
        <w:t>Sujeto Obligado</w:t>
      </w:r>
      <w:r w:rsidRPr="00A97F43">
        <w:rPr>
          <w:rFonts w:ascii="Palatino Linotype" w:hAnsi="Palatino Linotype" w:cs="Arial"/>
          <w:lang w:val="es-MX"/>
        </w:rPr>
        <w:t xml:space="preserve"> emita el Acuerdo de Clasificación correspondiente</w:t>
      </w:r>
      <w:r w:rsidRPr="00A97F43">
        <w:rPr>
          <w:rFonts w:ascii="Palatino Linotype" w:hAnsi="Palatino Linotype" w:cs="Arial"/>
          <w:lang w:val="es-ES_tradnl"/>
        </w:rPr>
        <w:t xml:space="preserve"> debidamente fundado y motivado, en el cual se</w:t>
      </w:r>
      <w:r w:rsidRPr="00A97F43">
        <w:rPr>
          <w:rFonts w:ascii="Palatino Linotype" w:hAnsi="Palatino Linotype" w:cs="Arial"/>
          <w:lang w:val="es-MX"/>
        </w:rPr>
        <w:t xml:space="preserve"> sustente la versión </w:t>
      </w:r>
      <w:r w:rsidRPr="00A97F43">
        <w:rPr>
          <w:rFonts w:ascii="Palatino Linotype" w:hAnsi="Palatino Linotype" w:cs="Arial"/>
          <w:lang w:val="es-MX"/>
        </w:rPr>
        <w:lastRenderedPageBreak/>
        <w:t xml:space="preserve">pública, </w:t>
      </w:r>
      <w:r w:rsidRPr="00A97F43">
        <w:rPr>
          <w:rFonts w:ascii="Palatino Linotype" w:hAnsi="Palatino Linotype" w:cs="Arial"/>
          <w:lang w:val="es-ES_tradnl"/>
        </w:rPr>
        <w:t xml:space="preserve">en </w:t>
      </w:r>
      <w:r w:rsidRPr="00A97F43">
        <w:rPr>
          <w:rFonts w:ascii="Palatino Linotype" w:hAnsi="Palatino Linotype" w:cs="Arial"/>
          <w:noProof/>
          <w:lang w:val="es-MX" w:eastAsia="es-MX"/>
        </w:rPr>
        <w:t>términos</w:t>
      </w:r>
      <w:r w:rsidRPr="00A97F43">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2707D" w:rsidRPr="00A97F43" w:rsidRDefault="0082707D" w:rsidP="0082707D">
      <w:pPr>
        <w:spacing w:line="360" w:lineRule="auto"/>
        <w:contextualSpacing/>
        <w:jc w:val="both"/>
        <w:rPr>
          <w:rFonts w:ascii="Palatino Linotype" w:hAnsi="Palatino Linotype" w:cs="Arial"/>
          <w:lang w:val="es-ES_tradnl"/>
        </w:rPr>
      </w:pPr>
    </w:p>
    <w:p w:rsidR="0082707D" w:rsidRPr="00A97F43" w:rsidRDefault="0082707D" w:rsidP="0082707D">
      <w:pPr>
        <w:ind w:left="567" w:right="567"/>
        <w:contextualSpacing/>
        <w:jc w:val="center"/>
        <w:rPr>
          <w:rFonts w:ascii="Palatino Linotype" w:hAnsi="Palatino Linotype" w:cs="Arial"/>
          <w:b/>
          <w:i/>
          <w:sz w:val="22"/>
          <w:lang w:val="es-MX"/>
        </w:rPr>
      </w:pPr>
      <w:r w:rsidRPr="00A97F43">
        <w:rPr>
          <w:rFonts w:ascii="Palatino Linotype" w:hAnsi="Palatino Linotype" w:cs="Arial"/>
          <w:b/>
          <w:i/>
          <w:sz w:val="22"/>
          <w:lang w:val="es-MX"/>
        </w:rPr>
        <w:t>Ley de Transparencia y Acceso a la Información Pública del Estado de México y Municipios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 xml:space="preserve">Artículo 49. </w:t>
      </w:r>
      <w:r w:rsidRPr="00A97F43">
        <w:rPr>
          <w:rFonts w:ascii="Palatino Linotype" w:hAnsi="Palatino Linotype" w:cs="Arial"/>
          <w:i/>
          <w:sz w:val="22"/>
          <w:szCs w:val="22"/>
          <w:lang w:val="es-MX" w:eastAsia="es-MX"/>
        </w:rPr>
        <w:t xml:space="preserve">Los </w:t>
      </w:r>
      <w:r w:rsidRPr="00A97F43">
        <w:rPr>
          <w:rFonts w:ascii="Palatino Linotype" w:hAnsi="Palatino Linotype" w:cs="Arial"/>
          <w:i/>
          <w:sz w:val="22"/>
          <w:lang w:val="es-MX"/>
        </w:rPr>
        <w:t>Comités</w:t>
      </w:r>
      <w:r w:rsidRPr="00A97F43">
        <w:rPr>
          <w:rFonts w:ascii="Palatino Linotype" w:hAnsi="Palatino Linotype" w:cs="Arial"/>
          <w:i/>
          <w:sz w:val="22"/>
          <w:szCs w:val="22"/>
          <w:lang w:val="es-MX" w:eastAsia="es-MX"/>
        </w:rPr>
        <w:t xml:space="preserve"> de </w:t>
      </w:r>
      <w:r w:rsidRPr="00A97F43">
        <w:rPr>
          <w:rFonts w:ascii="Palatino Linotype" w:hAnsi="Palatino Linotype" w:cs="Arial"/>
          <w:i/>
          <w:sz w:val="22"/>
          <w:lang w:val="es-MX" w:eastAsia="es-MX"/>
        </w:rPr>
        <w:t>Transparencia</w:t>
      </w:r>
      <w:r w:rsidRPr="00A97F43">
        <w:rPr>
          <w:rFonts w:ascii="Palatino Linotype" w:hAnsi="Palatino Linotype" w:cs="Arial"/>
          <w:i/>
          <w:sz w:val="22"/>
          <w:szCs w:val="22"/>
          <w:lang w:val="es-MX" w:eastAsia="es-MX"/>
        </w:rPr>
        <w:t xml:space="preserve"> </w:t>
      </w:r>
      <w:r w:rsidRPr="00A97F43">
        <w:rPr>
          <w:rFonts w:ascii="Palatino Linotype" w:hAnsi="Palatino Linotype"/>
          <w:i/>
          <w:sz w:val="22"/>
          <w:szCs w:val="22"/>
          <w:lang w:val="es-MX"/>
        </w:rPr>
        <w:t>tendrán</w:t>
      </w:r>
      <w:r w:rsidRPr="00A97F43">
        <w:rPr>
          <w:rFonts w:ascii="Palatino Linotype" w:hAnsi="Palatino Linotype" w:cs="Arial"/>
          <w:i/>
          <w:sz w:val="22"/>
          <w:szCs w:val="22"/>
          <w:lang w:val="es-MX" w:eastAsia="es-MX"/>
        </w:rPr>
        <w:t xml:space="preserve"> las siguientes atribuciones: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VIII.</w:t>
      </w:r>
      <w:r w:rsidRPr="00A97F43">
        <w:rPr>
          <w:rFonts w:ascii="Palatino Linotype" w:hAnsi="Palatino Linotype" w:cs="Arial"/>
          <w:i/>
          <w:sz w:val="22"/>
          <w:szCs w:val="22"/>
          <w:lang w:val="es-MX" w:eastAsia="es-MX"/>
        </w:rPr>
        <w:t xml:space="preserve"> Aprobar, </w:t>
      </w:r>
      <w:r w:rsidRPr="00A97F43">
        <w:rPr>
          <w:rFonts w:ascii="Palatino Linotype" w:hAnsi="Palatino Linotype" w:cs="Arial"/>
          <w:i/>
          <w:sz w:val="22"/>
          <w:lang w:val="es-MX"/>
        </w:rPr>
        <w:t>modificar</w:t>
      </w:r>
      <w:r w:rsidRPr="00A97F43">
        <w:rPr>
          <w:rFonts w:ascii="Palatino Linotype" w:hAnsi="Palatino Linotype" w:cs="Arial"/>
          <w:i/>
          <w:sz w:val="22"/>
          <w:szCs w:val="22"/>
          <w:lang w:val="es-MX" w:eastAsia="es-MX"/>
        </w:rPr>
        <w:t xml:space="preserve"> o revocar la clasificación de la información;</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Artículo 132.</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de la información se llevará a cabo en el momento en que:</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i/>
          <w:sz w:val="22"/>
          <w:lang w:val="es-MX" w:eastAsia="es-MX"/>
        </w:rPr>
        <w:t>mediante</w:t>
      </w:r>
      <w:r w:rsidRPr="00A97F43">
        <w:rPr>
          <w:rFonts w:ascii="Palatino Linotype" w:hAnsi="Palatino Linotype" w:cs="Arial"/>
          <w:i/>
          <w:sz w:val="22"/>
          <w:szCs w:val="22"/>
          <w:lang w:val="es-MX" w:eastAsia="es-MX"/>
        </w:rPr>
        <w:t xml:space="preserve"> resolución de autoridad competente; o</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i/>
          <w:sz w:val="22"/>
          <w:lang w:val="es-MX" w:eastAsia="es-MX"/>
        </w:rPr>
        <w:t>versiones</w:t>
      </w:r>
      <w:r w:rsidRPr="00A97F43">
        <w:rPr>
          <w:rFonts w:ascii="Palatino Linotype" w:hAnsi="Palatino Linotype" w:cs="Arial"/>
          <w:i/>
          <w:sz w:val="22"/>
          <w:szCs w:val="22"/>
          <w:lang w:val="es-MX" w:eastAsia="es-MX"/>
        </w:rPr>
        <w:t xml:space="preserve"> públicas para dar cumplimiento a las obligaciones de transparencia previstas en esta Ley.”</w:t>
      </w:r>
    </w:p>
    <w:p w:rsidR="0082707D" w:rsidRPr="00A97F43" w:rsidRDefault="0082707D" w:rsidP="0082707D">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Lineamientos Generales en materia de Clasificación y Desclasificación de la </w:t>
      </w:r>
      <w:r w:rsidRPr="00A97F43">
        <w:rPr>
          <w:rFonts w:ascii="Palatino Linotype" w:hAnsi="Palatino Linotype" w:cs="Arial"/>
          <w:b/>
          <w:i/>
          <w:sz w:val="22"/>
          <w:lang w:val="es-MX"/>
        </w:rPr>
        <w:t>Información, así como para la elaboración de Versiones Públicas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r w:rsidRPr="00A97F43">
        <w:rPr>
          <w:rFonts w:ascii="Palatino Linotype" w:hAnsi="Palatino Linotype" w:cs="Arial"/>
          <w:b/>
          <w:i/>
          <w:sz w:val="22"/>
          <w:szCs w:val="22"/>
          <w:lang w:val="es-MX" w:eastAsia="es-MX"/>
        </w:rPr>
        <w:t>Segundo.-</w:t>
      </w:r>
      <w:r w:rsidRPr="00A97F43">
        <w:rPr>
          <w:rFonts w:ascii="Palatino Linotype" w:hAnsi="Palatino Linotype" w:cs="Arial"/>
          <w:i/>
          <w:sz w:val="22"/>
          <w:szCs w:val="22"/>
          <w:lang w:val="es-MX" w:eastAsia="es-MX"/>
        </w:rPr>
        <w:t xml:space="preserve"> Para </w:t>
      </w:r>
      <w:r w:rsidRPr="00A97F43">
        <w:rPr>
          <w:rFonts w:ascii="Palatino Linotype" w:hAnsi="Palatino Linotype" w:cs="Arial"/>
          <w:i/>
          <w:sz w:val="22"/>
          <w:lang w:val="es-MX" w:eastAsia="es-MX"/>
        </w:rPr>
        <w:t>efectos</w:t>
      </w:r>
      <w:r w:rsidRPr="00A97F43">
        <w:rPr>
          <w:rFonts w:ascii="Palatino Linotype" w:hAnsi="Palatino Linotype" w:cs="Arial"/>
          <w:i/>
          <w:sz w:val="22"/>
          <w:szCs w:val="22"/>
          <w:lang w:val="es-MX" w:eastAsia="es-MX"/>
        </w:rPr>
        <w:t xml:space="preserve"> de los </w:t>
      </w:r>
      <w:r w:rsidRPr="00A97F43">
        <w:rPr>
          <w:rFonts w:ascii="Palatino Linotype" w:hAnsi="Palatino Linotype" w:cs="Arial"/>
          <w:i/>
          <w:sz w:val="22"/>
          <w:lang w:val="es-MX"/>
        </w:rPr>
        <w:t>presentes</w:t>
      </w:r>
      <w:r w:rsidRPr="00A97F43">
        <w:rPr>
          <w:rFonts w:ascii="Palatino Linotype" w:hAnsi="Palatino Linotype" w:cs="Arial"/>
          <w:i/>
          <w:sz w:val="22"/>
          <w:szCs w:val="22"/>
          <w:lang w:val="es-MX" w:eastAsia="es-MX"/>
        </w:rPr>
        <w:t xml:space="preserve"> Lineamientos Generales, se entenderá por:</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XVIII.</w:t>
      </w:r>
      <w:r w:rsidRPr="00A97F43">
        <w:rPr>
          <w:rFonts w:ascii="Palatino Linotype" w:hAnsi="Palatino Linotype" w:cs="Arial"/>
          <w:i/>
          <w:sz w:val="22"/>
          <w:szCs w:val="22"/>
          <w:lang w:val="es-MX" w:eastAsia="es-MX"/>
        </w:rPr>
        <w:t xml:space="preserve"> </w:t>
      </w:r>
      <w:r w:rsidRPr="00A97F43">
        <w:rPr>
          <w:rFonts w:ascii="Palatino Linotype" w:hAnsi="Palatino Linotype" w:cs="Arial"/>
          <w:b/>
          <w:i/>
          <w:sz w:val="22"/>
          <w:szCs w:val="22"/>
          <w:lang w:val="es-MX" w:eastAsia="es-MX"/>
        </w:rPr>
        <w:t>Versión pública:</w:t>
      </w:r>
      <w:r w:rsidRPr="00A97F43">
        <w:rPr>
          <w:rFonts w:ascii="Palatino Linotype" w:hAnsi="Palatino Linotype" w:cs="Arial"/>
          <w:i/>
          <w:sz w:val="22"/>
          <w:szCs w:val="22"/>
          <w:lang w:val="es-MX" w:eastAsia="es-MX"/>
        </w:rPr>
        <w:t xml:space="preserve"> El </w:t>
      </w:r>
      <w:r w:rsidRPr="00A97F43">
        <w:rPr>
          <w:rFonts w:ascii="Palatino Linotype" w:hAnsi="Palatino Linotype" w:cs="Arial"/>
          <w:bCs/>
          <w:i/>
          <w:noProof/>
          <w:sz w:val="22"/>
          <w:lang w:val="es-MX"/>
        </w:rPr>
        <w:t>documento</w:t>
      </w:r>
      <w:r w:rsidRPr="00A97F43">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w:t>
      </w:r>
      <w:r w:rsidRPr="00A97F43">
        <w:rPr>
          <w:rFonts w:ascii="Palatino Linotype" w:hAnsi="Palatino Linotype" w:cs="Arial"/>
          <w:b/>
          <w:i/>
          <w:sz w:val="22"/>
          <w:szCs w:val="22"/>
          <w:u w:val="single"/>
          <w:lang w:val="es-MX" w:eastAsia="es-MX"/>
        </w:rPr>
        <w:t>fundando y motivando la</w:t>
      </w:r>
      <w:r w:rsidRPr="00A97F43">
        <w:rPr>
          <w:rFonts w:ascii="Palatino Linotype" w:hAnsi="Palatino Linotype" w:cs="Arial"/>
          <w:i/>
          <w:sz w:val="22"/>
          <w:szCs w:val="22"/>
          <w:lang w:val="es-MX" w:eastAsia="es-MX"/>
        </w:rPr>
        <w:t xml:space="preserve"> reserva o </w:t>
      </w:r>
      <w:r w:rsidRPr="00A97F43">
        <w:rPr>
          <w:rFonts w:ascii="Palatino Linotype" w:hAnsi="Palatino Linotype" w:cs="Arial"/>
          <w:b/>
          <w:i/>
          <w:sz w:val="22"/>
          <w:szCs w:val="22"/>
          <w:u w:val="single"/>
          <w:lang w:val="es-MX" w:eastAsia="es-MX"/>
        </w:rPr>
        <w:t>confidencialidad</w:t>
      </w:r>
      <w:r w:rsidRPr="00A97F43">
        <w:rPr>
          <w:rFonts w:ascii="Palatino Linotype" w:hAnsi="Palatino Linotype" w:cs="Arial"/>
          <w:i/>
          <w:sz w:val="22"/>
          <w:szCs w:val="22"/>
          <w:lang w:val="es-MX" w:eastAsia="es-MX"/>
        </w:rPr>
        <w:t xml:space="preserve">, a través de la resolución que para tal efecto emita el </w:t>
      </w:r>
      <w:r w:rsidRPr="00A97F43">
        <w:rPr>
          <w:rFonts w:ascii="Palatino Linotype" w:hAnsi="Palatino Linotype" w:cs="Arial"/>
          <w:bCs/>
          <w:i/>
          <w:noProof/>
          <w:sz w:val="22"/>
          <w:lang w:val="es-MX"/>
        </w:rPr>
        <w:t>Comité</w:t>
      </w:r>
      <w:r w:rsidRPr="00A97F43">
        <w:rPr>
          <w:rFonts w:ascii="Palatino Linotype" w:hAnsi="Palatino Linotype" w:cs="Arial"/>
          <w:i/>
          <w:sz w:val="22"/>
          <w:szCs w:val="22"/>
          <w:lang w:val="es-MX" w:eastAsia="es-MX"/>
        </w:rPr>
        <w:t xml:space="preserve"> de Transparencia.</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Cuarto.</w:t>
      </w:r>
      <w:r w:rsidRPr="00A97F43">
        <w:rPr>
          <w:rFonts w:ascii="Palatino Linotype" w:hAnsi="Palatino Linotype" w:cs="Arial"/>
          <w:i/>
          <w:sz w:val="22"/>
          <w:szCs w:val="22"/>
          <w:lang w:val="es-MX" w:eastAsia="es-MX"/>
        </w:rPr>
        <w:t xml:space="preserve"> Para clasificar la información como reservada o confidencial, de manera total o parcial, el </w:t>
      </w:r>
      <w:r w:rsidRPr="00A97F43">
        <w:rPr>
          <w:rFonts w:ascii="Palatino Linotype" w:hAnsi="Palatino Linotype" w:cs="Arial"/>
          <w:i/>
          <w:sz w:val="22"/>
          <w:lang w:val="es-MX" w:eastAsia="es-MX"/>
        </w:rPr>
        <w:t>titular</w:t>
      </w:r>
      <w:r w:rsidRPr="00A97F43">
        <w:rPr>
          <w:rFonts w:ascii="Palatino Linotype" w:hAnsi="Palatino Linotype" w:cs="Arial"/>
          <w:i/>
          <w:sz w:val="22"/>
          <w:szCs w:val="22"/>
          <w:lang w:val="es-MX" w:eastAsia="es-MX"/>
        </w:rPr>
        <w:t xml:space="preserve"> del </w:t>
      </w:r>
      <w:r w:rsidRPr="00A97F43">
        <w:rPr>
          <w:rFonts w:ascii="Palatino Linotype" w:hAnsi="Palatino Linotype" w:cs="Arial"/>
          <w:bCs/>
          <w:i/>
          <w:noProof/>
          <w:sz w:val="22"/>
          <w:lang w:val="es-MX"/>
        </w:rPr>
        <w:t>área</w:t>
      </w:r>
      <w:r w:rsidRPr="00A97F43">
        <w:rPr>
          <w:rFonts w:ascii="Palatino Linotype" w:hAnsi="Palatino Linotype" w:cs="Arial"/>
          <w:i/>
          <w:sz w:val="22"/>
          <w:szCs w:val="22"/>
          <w:lang w:val="es-MX" w:eastAsia="es-MX"/>
        </w:rPr>
        <w:t xml:space="preserve">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sujetos obligados deberán aplicar, de manera estricta, las excepciones al derecho de acceso a la </w:t>
      </w:r>
      <w:r w:rsidRPr="00A97F43">
        <w:rPr>
          <w:rFonts w:ascii="Palatino Linotype" w:hAnsi="Palatino Linotype" w:cs="Arial"/>
          <w:bCs/>
          <w:i/>
          <w:noProof/>
          <w:sz w:val="22"/>
          <w:lang w:val="es-MX"/>
        </w:rPr>
        <w:t>información</w:t>
      </w:r>
      <w:r w:rsidRPr="00A97F43">
        <w:rPr>
          <w:rFonts w:ascii="Palatino Linotype" w:hAnsi="Palatino Linotype" w:cs="Arial"/>
          <w:i/>
          <w:sz w:val="22"/>
          <w:szCs w:val="22"/>
          <w:lang w:val="es-MX" w:eastAsia="es-MX"/>
        </w:rPr>
        <w:t xml:space="preserve"> y sólo </w:t>
      </w:r>
      <w:r w:rsidRPr="00A97F43">
        <w:rPr>
          <w:rFonts w:ascii="Palatino Linotype" w:hAnsi="Palatino Linotype" w:cs="Arial"/>
          <w:i/>
          <w:sz w:val="22"/>
          <w:lang w:val="es-MX"/>
        </w:rPr>
        <w:t>podrán</w:t>
      </w:r>
      <w:r w:rsidRPr="00A97F43">
        <w:rPr>
          <w:rFonts w:ascii="Palatino Linotype" w:hAnsi="Palatino Linotype" w:cs="Arial"/>
          <w:i/>
          <w:sz w:val="22"/>
          <w:szCs w:val="22"/>
          <w:lang w:val="es-MX" w:eastAsia="es-MX"/>
        </w:rPr>
        <w:t xml:space="preserve"> invocarlas cuando acrediten su procedencia.</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Quinto.</w:t>
      </w:r>
      <w:r w:rsidRPr="00A97F43">
        <w:rPr>
          <w:rFonts w:ascii="Palatino Linotype" w:hAnsi="Palatino Linotype" w:cs="Arial"/>
          <w:i/>
          <w:sz w:val="22"/>
          <w:szCs w:val="22"/>
          <w:lang w:val="es-MX" w:eastAsia="es-MX"/>
        </w:rPr>
        <w:t xml:space="preserve"> La carga de </w:t>
      </w:r>
      <w:r w:rsidRPr="00A97F43">
        <w:rPr>
          <w:rFonts w:ascii="Palatino Linotype" w:hAnsi="Palatino Linotype" w:cs="Arial"/>
          <w:i/>
          <w:sz w:val="22"/>
          <w:lang w:val="es-MX" w:eastAsia="es-MX"/>
        </w:rPr>
        <w:t>la</w:t>
      </w:r>
      <w:r w:rsidRPr="00A97F43">
        <w:rPr>
          <w:rFonts w:ascii="Palatino Linotype" w:hAnsi="Palatino Linotype" w:cs="Arial"/>
          <w:i/>
          <w:sz w:val="22"/>
          <w:szCs w:val="22"/>
          <w:lang w:val="es-MX" w:eastAsia="es-MX"/>
        </w:rPr>
        <w:t xml:space="preserve"> prueba para justificar toda negativa de acceso a la información, por actualizarse cualquiera de los supuestos de clasificación previstos en la Ley General, la Ley Federal y leyes estatales, </w:t>
      </w:r>
      <w:r w:rsidRPr="00A97F43">
        <w:rPr>
          <w:rFonts w:ascii="Palatino Linotype" w:hAnsi="Palatino Linotype" w:cs="Arial"/>
          <w:i/>
          <w:sz w:val="22"/>
          <w:lang w:val="es-MX"/>
        </w:rPr>
        <w:t>corresponderá</w:t>
      </w:r>
      <w:r w:rsidRPr="00A97F43">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w:t>
      </w:r>
      <w:r w:rsidRPr="00A97F43">
        <w:rPr>
          <w:rFonts w:ascii="Palatino Linotype" w:hAnsi="Palatino Linotype" w:cs="Arial"/>
          <w:i/>
          <w:sz w:val="22"/>
          <w:szCs w:val="22"/>
          <w:lang w:val="es-MX" w:eastAsia="es-MX"/>
        </w:rPr>
        <w:lastRenderedPageBreak/>
        <w:t>transparencia, observando lo dispuesto en la Ley General y las demás disposiciones aplicables en la materia.</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Sexto.</w:t>
      </w:r>
      <w:r w:rsidRPr="00A97F43">
        <w:rPr>
          <w:rFonts w:ascii="Palatino Linotype" w:hAnsi="Palatino Linotype" w:cs="Arial"/>
          <w:i/>
          <w:sz w:val="22"/>
          <w:szCs w:val="22"/>
          <w:lang w:val="es-MX" w:eastAsia="es-MX"/>
        </w:rPr>
        <w:t xml:space="preserve"> Los sujetos obligados no podrán emitir acuerdos de carácter general ni particular que clasifiquen </w:t>
      </w:r>
      <w:r w:rsidRPr="00A97F43">
        <w:rPr>
          <w:rFonts w:ascii="Palatino Linotype" w:hAnsi="Palatino Linotype" w:cs="Arial"/>
          <w:bCs/>
          <w:i/>
          <w:noProof/>
          <w:sz w:val="22"/>
          <w:lang w:val="es-MX"/>
        </w:rPr>
        <w:t>documentos</w:t>
      </w:r>
      <w:r w:rsidRPr="00A97F43">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82707D" w:rsidRPr="00A97F43" w:rsidRDefault="0082707D" w:rsidP="0082707D">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La clasificación de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realizará conforme a un análisis caso por caso, mediante la aplicación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prueba de daño y de interés público.</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Séptimo.</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eastAsia="es-MX"/>
        </w:rPr>
        <w:t>clasificación</w:t>
      </w:r>
      <w:r w:rsidRPr="00A97F43">
        <w:rPr>
          <w:rFonts w:ascii="Palatino Linotype" w:hAnsi="Palatino Linotype" w:cs="Arial"/>
          <w:i/>
          <w:sz w:val="22"/>
          <w:szCs w:val="22"/>
          <w:lang w:val="es-MX" w:eastAsia="es-MX"/>
        </w:rPr>
        <w:t xml:space="preserve"> </w:t>
      </w:r>
      <w:r w:rsidRPr="00A97F43">
        <w:rPr>
          <w:rFonts w:ascii="Palatino Linotype" w:hAnsi="Palatino Linotype" w:cs="Arial"/>
          <w:bCs/>
          <w:i/>
          <w:noProof/>
          <w:sz w:val="22"/>
          <w:lang w:val="es-MX"/>
        </w:rPr>
        <w:t>de</w:t>
      </w:r>
      <w:r w:rsidRPr="00A97F43">
        <w:rPr>
          <w:rFonts w:ascii="Palatino Linotype" w:hAnsi="Palatino Linotype" w:cs="Arial"/>
          <w:i/>
          <w:sz w:val="22"/>
          <w:szCs w:val="22"/>
          <w:lang w:val="es-MX" w:eastAsia="es-MX"/>
        </w:rPr>
        <w:t xml:space="preserve"> la </w:t>
      </w:r>
      <w:r w:rsidRPr="00A97F43">
        <w:rPr>
          <w:rFonts w:ascii="Palatino Linotype" w:hAnsi="Palatino Linotype" w:cs="Arial"/>
          <w:i/>
          <w:sz w:val="22"/>
          <w:lang w:val="es-MX"/>
        </w:rPr>
        <w:t>información</w:t>
      </w:r>
      <w:r w:rsidRPr="00A97F43">
        <w:rPr>
          <w:rFonts w:ascii="Palatino Linotype" w:hAnsi="Palatino Linotype" w:cs="Arial"/>
          <w:i/>
          <w:sz w:val="22"/>
          <w:szCs w:val="22"/>
          <w:lang w:val="es-MX" w:eastAsia="es-MX"/>
        </w:rPr>
        <w:t xml:space="preserve"> se llevará a cabo en el momento en que:</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w:t>
      </w:r>
      <w:r w:rsidRPr="00A97F43">
        <w:rPr>
          <w:rFonts w:ascii="Palatino Linotype" w:hAnsi="Palatino Linotype" w:cs="Arial"/>
          <w:i/>
          <w:sz w:val="22"/>
          <w:szCs w:val="22"/>
          <w:lang w:val="es-MX" w:eastAsia="es-MX"/>
        </w:rPr>
        <w:t xml:space="preserve"> Se reciba una </w:t>
      </w:r>
      <w:r w:rsidRPr="00A97F43">
        <w:rPr>
          <w:rFonts w:ascii="Palatino Linotype" w:hAnsi="Palatino Linotype" w:cs="Arial"/>
          <w:i/>
          <w:sz w:val="22"/>
          <w:lang w:val="es-MX" w:eastAsia="es-MX"/>
        </w:rPr>
        <w:t>solicitud</w:t>
      </w:r>
      <w:r w:rsidRPr="00A97F43">
        <w:rPr>
          <w:rFonts w:ascii="Palatino Linotype" w:hAnsi="Palatino Linotype" w:cs="Arial"/>
          <w:i/>
          <w:sz w:val="22"/>
          <w:szCs w:val="22"/>
          <w:lang w:val="es-MX" w:eastAsia="es-MX"/>
        </w:rPr>
        <w:t xml:space="preserve"> de acceso a la información;</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w:t>
      </w:r>
      <w:r w:rsidRPr="00A97F43">
        <w:rPr>
          <w:rFonts w:ascii="Palatino Linotype" w:hAnsi="Palatino Linotype" w:cs="Arial"/>
          <w:i/>
          <w:sz w:val="22"/>
          <w:szCs w:val="22"/>
          <w:lang w:val="es-MX" w:eastAsia="es-MX"/>
        </w:rPr>
        <w:t xml:space="preserve"> Se determine </w:t>
      </w:r>
      <w:r w:rsidRPr="00A97F43">
        <w:rPr>
          <w:rFonts w:ascii="Palatino Linotype" w:hAnsi="Palatino Linotype" w:cs="Arial"/>
          <w:bCs/>
          <w:i/>
          <w:noProof/>
          <w:sz w:val="22"/>
          <w:lang w:val="es-MX"/>
        </w:rPr>
        <w:t>mediante</w:t>
      </w:r>
      <w:r w:rsidRPr="00A97F43">
        <w:rPr>
          <w:rFonts w:ascii="Palatino Linotype" w:hAnsi="Palatino Linotype" w:cs="Arial"/>
          <w:i/>
          <w:sz w:val="22"/>
          <w:szCs w:val="22"/>
          <w:lang w:val="es-MX" w:eastAsia="es-MX"/>
        </w:rPr>
        <w:t xml:space="preserve"> resolución de autoridad competente, o</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III.</w:t>
      </w:r>
      <w:r w:rsidRPr="00A97F43">
        <w:rPr>
          <w:rFonts w:ascii="Palatino Linotype" w:hAnsi="Palatino Linotype" w:cs="Arial"/>
          <w:i/>
          <w:sz w:val="22"/>
          <w:szCs w:val="22"/>
          <w:lang w:val="es-MX" w:eastAsia="es-MX"/>
        </w:rPr>
        <w:t xml:space="preserve"> Se generen </w:t>
      </w:r>
      <w:r w:rsidRPr="00A97F43">
        <w:rPr>
          <w:rFonts w:ascii="Palatino Linotype" w:hAnsi="Palatino Linotype" w:cs="Arial"/>
          <w:bCs/>
          <w:i/>
          <w:noProof/>
          <w:sz w:val="22"/>
          <w:lang w:val="es-MX"/>
        </w:rPr>
        <w:t>versiones</w:t>
      </w:r>
      <w:r w:rsidRPr="00A97F43">
        <w:rPr>
          <w:rFonts w:ascii="Palatino Linotype" w:hAnsi="Palatino Linotype" w:cs="Arial"/>
          <w:i/>
          <w:sz w:val="22"/>
          <w:szCs w:val="22"/>
          <w:lang w:val="es-MX" w:eastAsia="es-MX"/>
        </w:rPr>
        <w:t xml:space="preserve"> públicas para dar cumplimiento a las obligaciones de transparencia </w:t>
      </w:r>
      <w:r w:rsidRPr="00A97F43">
        <w:rPr>
          <w:rFonts w:ascii="Palatino Linotype" w:hAnsi="Palatino Linotype" w:cs="Arial"/>
          <w:i/>
          <w:sz w:val="22"/>
          <w:lang w:val="es-MX" w:eastAsia="es-MX"/>
        </w:rPr>
        <w:t>previstas</w:t>
      </w:r>
      <w:r w:rsidRPr="00A97F43">
        <w:rPr>
          <w:rFonts w:ascii="Palatino Linotype" w:hAnsi="Palatino Linotype" w:cs="Arial"/>
          <w:i/>
          <w:sz w:val="22"/>
          <w:szCs w:val="22"/>
          <w:lang w:val="es-MX" w:eastAsia="es-MX"/>
        </w:rPr>
        <w:t xml:space="preserve"> en la Ley General, la Ley Federal y las correspondientes de las entidades federativas.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 xml:space="preserve">Los titulares de las áreas deberán revisar la clasificación al momento de la recepción de una solicitud de </w:t>
      </w:r>
      <w:r w:rsidRPr="00A97F43">
        <w:rPr>
          <w:rFonts w:ascii="Palatino Linotype" w:hAnsi="Palatino Linotype" w:cs="Arial"/>
          <w:bCs/>
          <w:i/>
          <w:noProof/>
          <w:sz w:val="22"/>
          <w:lang w:val="es-MX"/>
        </w:rPr>
        <w:t>acceso</w:t>
      </w:r>
      <w:r w:rsidRPr="00A97F43">
        <w:rPr>
          <w:rFonts w:ascii="Palatino Linotype" w:hAnsi="Palatino Linotype" w:cs="Arial"/>
          <w:i/>
          <w:sz w:val="22"/>
          <w:szCs w:val="22"/>
          <w:lang w:val="es-MX" w:eastAsia="es-MX"/>
        </w:rPr>
        <w:t xml:space="preserve"> a la información, para verificar si encuadra en una causal de reserva o de confidencialidad.</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Octavo.</w:t>
      </w:r>
      <w:r w:rsidRPr="00A97F43">
        <w:rPr>
          <w:rFonts w:ascii="Palatino Linotype" w:hAnsi="Palatino Linotype" w:cs="Arial"/>
          <w:i/>
          <w:sz w:val="22"/>
          <w:szCs w:val="22"/>
          <w:lang w:val="es-MX" w:eastAsia="es-MX"/>
        </w:rPr>
        <w:t xml:space="preserve"> Para fundar la clasificación de la información se debe señalar el artículo, fracción, inciso, </w:t>
      </w:r>
      <w:r w:rsidRPr="00A97F43">
        <w:rPr>
          <w:rFonts w:ascii="Palatino Linotype" w:hAnsi="Palatino Linotype" w:cs="Arial"/>
          <w:i/>
          <w:sz w:val="22"/>
          <w:lang w:val="es-MX" w:eastAsia="es-MX"/>
        </w:rPr>
        <w:t>párrafo</w:t>
      </w:r>
      <w:r w:rsidRPr="00A97F43">
        <w:rPr>
          <w:rFonts w:ascii="Palatino Linotype" w:hAnsi="Palatino Linotype" w:cs="Arial"/>
          <w:i/>
          <w:sz w:val="22"/>
          <w:szCs w:val="22"/>
          <w:lang w:val="es-MX" w:eastAsia="es-MX"/>
        </w:rPr>
        <w:t xml:space="preserve"> o numeral de la ley o tratado internacional suscrito por el Estado mexicano que </w:t>
      </w:r>
      <w:r w:rsidRPr="00A97F43">
        <w:rPr>
          <w:rFonts w:ascii="Palatino Linotype" w:hAnsi="Palatino Linotype" w:cs="Arial"/>
          <w:bCs/>
          <w:i/>
          <w:noProof/>
          <w:sz w:val="22"/>
          <w:lang w:val="es-MX"/>
        </w:rPr>
        <w:t>expresamente</w:t>
      </w:r>
      <w:r w:rsidRPr="00A97F43">
        <w:rPr>
          <w:rFonts w:ascii="Palatino Linotype" w:hAnsi="Palatino Linotype" w:cs="Arial"/>
          <w:i/>
          <w:sz w:val="22"/>
          <w:szCs w:val="22"/>
          <w:lang w:val="es-MX" w:eastAsia="es-MX"/>
        </w:rPr>
        <w:t xml:space="preserve"> le otorga el carácter de reservada o confidencial.</w:t>
      </w:r>
    </w:p>
    <w:p w:rsidR="0082707D" w:rsidRPr="00A97F43" w:rsidRDefault="0082707D" w:rsidP="0082707D">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 xml:space="preserve">Para </w:t>
      </w:r>
      <w:r w:rsidRPr="00A97F43">
        <w:rPr>
          <w:rFonts w:ascii="Palatino Linotype" w:hAnsi="Palatino Linotype" w:cs="Arial"/>
          <w:bCs/>
          <w:i/>
          <w:noProof/>
          <w:sz w:val="22"/>
          <w:lang w:val="es-MX"/>
        </w:rPr>
        <w:t xml:space="preserve">motivar la clasificación se deberán señalar las razones o circunstancias especiales que lo </w:t>
      </w:r>
      <w:r w:rsidRPr="00A97F43">
        <w:rPr>
          <w:rFonts w:ascii="Palatino Linotype" w:hAnsi="Palatino Linotype" w:cs="Arial"/>
          <w:i/>
          <w:sz w:val="22"/>
          <w:szCs w:val="22"/>
          <w:lang w:val="es-MX" w:eastAsia="es-MX"/>
        </w:rPr>
        <w:t>llevaron</w:t>
      </w:r>
      <w:r w:rsidRPr="00A97F43">
        <w:rPr>
          <w:rFonts w:ascii="Palatino Linotype" w:hAnsi="Palatino Linotype" w:cs="Arial"/>
          <w:bCs/>
          <w:i/>
          <w:noProof/>
          <w:sz w:val="22"/>
          <w:lang w:val="es-MX"/>
        </w:rPr>
        <w:t xml:space="preserve"> a concluir que el caso particular se ajusta al supuesto previsto por la norma legal invocada como fundamento.</w:t>
      </w:r>
    </w:p>
    <w:p w:rsidR="0082707D" w:rsidRPr="00A97F43" w:rsidRDefault="0082707D" w:rsidP="0082707D">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bCs/>
          <w:i/>
          <w:noProof/>
          <w:sz w:val="22"/>
          <w:lang w:val="es-MX"/>
        </w:rPr>
        <w:t xml:space="preserve">En caso de referirse a información reservada, la motivación de la clasificación también deberá comprender las circunstancias que justifican el establecimiento de determinado plazo </w:t>
      </w:r>
      <w:r w:rsidRPr="00A97F43">
        <w:rPr>
          <w:rFonts w:ascii="Palatino Linotype" w:hAnsi="Palatino Linotype" w:cs="Arial"/>
          <w:i/>
          <w:sz w:val="22"/>
          <w:szCs w:val="22"/>
          <w:lang w:val="es-MX" w:eastAsia="es-MX"/>
        </w:rPr>
        <w:t>de</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reserva</w:t>
      </w:r>
      <w:r w:rsidRPr="00A97F43">
        <w:rPr>
          <w:rFonts w:ascii="Palatino Linotype" w:hAnsi="Palatino Linotype" w:cs="Arial"/>
          <w:bCs/>
          <w:i/>
          <w:noProof/>
          <w:sz w:val="22"/>
          <w:lang w:val="es-MX"/>
        </w:rPr>
        <w:t>.</w:t>
      </w:r>
    </w:p>
    <w:p w:rsidR="0082707D" w:rsidRPr="00A97F43" w:rsidRDefault="0082707D" w:rsidP="0082707D">
      <w:pPr>
        <w:autoSpaceDE w:val="0"/>
        <w:autoSpaceDN w:val="0"/>
        <w:adjustRightInd w:val="0"/>
        <w:ind w:left="567" w:right="567"/>
        <w:contextualSpacing/>
        <w:jc w:val="both"/>
        <w:rPr>
          <w:rFonts w:ascii="Palatino Linotype" w:hAnsi="Palatino Linotype" w:cs="Arial"/>
          <w:bCs/>
          <w:i/>
          <w:noProof/>
          <w:sz w:val="22"/>
          <w:lang w:val="es-MX"/>
        </w:rPr>
      </w:pPr>
      <w:r w:rsidRPr="00A97F43">
        <w:rPr>
          <w:rFonts w:ascii="Palatino Linotype" w:hAnsi="Palatino Linotype" w:cs="Arial"/>
          <w:i/>
          <w:sz w:val="22"/>
          <w:szCs w:val="22"/>
          <w:lang w:val="es-MX" w:eastAsia="es-MX"/>
        </w:rPr>
        <w:t>Tratándose</w:t>
      </w:r>
      <w:r w:rsidRPr="00A97F43">
        <w:rPr>
          <w:rFonts w:ascii="Palatino Linotype" w:hAnsi="Palatino Linotype" w:cs="Arial"/>
          <w:bCs/>
          <w:i/>
          <w:noProof/>
          <w:sz w:val="22"/>
          <w:lang w:val="es-MX"/>
        </w:rPr>
        <w:t xml:space="preserve"> de información clasificada como confidencial respecto de la cual se haya </w:t>
      </w:r>
      <w:r w:rsidRPr="00A97F43">
        <w:rPr>
          <w:rFonts w:ascii="Palatino Linotype" w:hAnsi="Palatino Linotype" w:cs="Arial"/>
          <w:i/>
          <w:sz w:val="22"/>
          <w:lang w:val="es-MX" w:eastAsia="es-MX"/>
        </w:rPr>
        <w:t>determinado</w:t>
      </w:r>
      <w:r w:rsidRPr="00A97F43">
        <w:rPr>
          <w:rFonts w:ascii="Palatino Linotype" w:hAnsi="Palatino Linotype" w:cs="Arial"/>
          <w:bCs/>
          <w:i/>
          <w:noProof/>
          <w:sz w:val="22"/>
          <w:lang w:val="es-MX"/>
        </w:rPr>
        <w:t xml:space="preserve"> </w:t>
      </w:r>
      <w:r w:rsidRPr="00A97F43">
        <w:rPr>
          <w:rFonts w:ascii="Palatino Linotype" w:hAnsi="Palatino Linotype" w:cs="Arial"/>
          <w:i/>
          <w:sz w:val="22"/>
          <w:szCs w:val="22"/>
          <w:lang w:val="es-MX" w:eastAsia="es-MX"/>
        </w:rPr>
        <w:t>su</w:t>
      </w:r>
      <w:r w:rsidRPr="00A97F43">
        <w:rPr>
          <w:rFonts w:ascii="Palatino Linotype" w:hAnsi="Palatino Linotype" w:cs="Arial"/>
          <w:bCs/>
          <w:i/>
          <w:noProof/>
          <w:sz w:val="22"/>
          <w:lang w:val="es-MX"/>
        </w:rPr>
        <w:t xml:space="preserve"> conservación permanente por tener valor histórico, ésta conservará tal carácter de conformidad con la normativa aplicable en materia de archivos.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Cs/>
          <w:i/>
          <w:noProof/>
          <w:sz w:val="22"/>
          <w:lang w:val="es-MX"/>
        </w:rPr>
        <w:t>Los documentos contenidos</w:t>
      </w:r>
      <w:r w:rsidRPr="00A97F43">
        <w:rPr>
          <w:rFonts w:ascii="Palatino Linotype" w:hAnsi="Palatino Linotype" w:cs="Arial"/>
          <w:i/>
          <w:sz w:val="22"/>
          <w:szCs w:val="22"/>
          <w:lang w:val="es-MX" w:eastAsia="es-MX"/>
        </w:rPr>
        <w:t xml:space="preserve"> en los archivos históricos y los identificados como históricos confidenciales no </w:t>
      </w:r>
      <w:r w:rsidRPr="00A97F43">
        <w:rPr>
          <w:rFonts w:ascii="Palatino Linotype" w:hAnsi="Palatino Linotype" w:cs="Arial"/>
          <w:i/>
          <w:sz w:val="22"/>
          <w:lang w:val="es-MX" w:eastAsia="es-MX"/>
        </w:rPr>
        <w:t>serán</w:t>
      </w:r>
      <w:r w:rsidRPr="00A97F43">
        <w:rPr>
          <w:rFonts w:ascii="Palatino Linotype" w:hAnsi="Palatino Linotype" w:cs="Arial"/>
          <w:i/>
          <w:sz w:val="22"/>
          <w:szCs w:val="22"/>
          <w:lang w:val="es-MX" w:eastAsia="es-MX"/>
        </w:rPr>
        <w:t xml:space="preserve"> susceptibles de clasificación como reservados.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Noveno.</w:t>
      </w:r>
      <w:r w:rsidRPr="00A97F43">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w:t>
      </w:r>
      <w:r w:rsidRPr="00A97F43">
        <w:rPr>
          <w:rFonts w:ascii="Palatino Linotype" w:hAnsi="Palatino Linotype" w:cs="Arial"/>
          <w:i/>
          <w:sz w:val="22"/>
          <w:szCs w:val="22"/>
          <w:lang w:val="es-MX" w:eastAsia="es-MX"/>
        </w:rPr>
        <w:t xml:space="preserve"> Los titulares de las áreas, deberán tener conocimiento y llevar un registro del personal que, por la </w:t>
      </w:r>
      <w:r w:rsidRPr="00A97F43">
        <w:rPr>
          <w:rFonts w:ascii="Palatino Linotype" w:hAnsi="Palatino Linotype" w:cs="Arial"/>
          <w:i/>
          <w:sz w:val="22"/>
          <w:lang w:val="es-MX" w:eastAsia="es-MX"/>
        </w:rPr>
        <w:t>naturaleza</w:t>
      </w:r>
      <w:r w:rsidRPr="00A97F43">
        <w:rPr>
          <w:rFonts w:ascii="Palatino Linotype" w:hAnsi="Palatino Linotype" w:cs="Arial"/>
          <w:i/>
          <w:sz w:val="22"/>
          <w:szCs w:val="22"/>
          <w:lang w:val="es-MX" w:eastAsia="es-MX"/>
        </w:rPr>
        <w:t xml:space="preserve"> de sus atribuciones, tenga acceso a los </w:t>
      </w:r>
      <w:r w:rsidRPr="00A97F43">
        <w:rPr>
          <w:rFonts w:ascii="Palatino Linotype" w:hAnsi="Palatino Linotype" w:cs="Arial"/>
          <w:i/>
          <w:sz w:val="22"/>
          <w:lang w:val="es-MX"/>
        </w:rPr>
        <w:t>documentos</w:t>
      </w:r>
      <w:r w:rsidRPr="00A97F43">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lastRenderedPageBreak/>
        <w:t xml:space="preserve">En ausencia de los titulares de las áreas, la información será clasificada o desclasificada por la persona que lo supla, en términos de la normativa </w:t>
      </w:r>
      <w:r w:rsidRPr="00A97F43">
        <w:rPr>
          <w:rFonts w:ascii="Palatino Linotype" w:hAnsi="Palatino Linotype" w:cs="Arial"/>
          <w:i/>
          <w:sz w:val="22"/>
          <w:lang w:val="es-MX"/>
        </w:rPr>
        <w:t>que</w:t>
      </w:r>
      <w:r w:rsidRPr="00A97F43">
        <w:rPr>
          <w:rFonts w:ascii="Palatino Linotype" w:hAnsi="Palatino Linotype" w:cs="Arial"/>
          <w:i/>
          <w:sz w:val="22"/>
          <w:szCs w:val="22"/>
          <w:lang w:val="es-MX" w:eastAsia="es-MX"/>
        </w:rPr>
        <w:t xml:space="preserve"> rija la actuación del </w:t>
      </w:r>
      <w:r>
        <w:rPr>
          <w:rFonts w:ascii="Palatino Linotype" w:hAnsi="Palatino Linotype" w:cs="Arial"/>
          <w:i/>
          <w:sz w:val="22"/>
          <w:szCs w:val="22"/>
          <w:lang w:val="es-MX" w:eastAsia="es-MX"/>
        </w:rPr>
        <w:t>Sujeto Obligado</w:t>
      </w:r>
      <w:r w:rsidRPr="00A97F43">
        <w:rPr>
          <w:rFonts w:ascii="Palatino Linotype" w:hAnsi="Palatino Linotype" w:cs="Arial"/>
          <w:i/>
          <w:sz w:val="22"/>
          <w:szCs w:val="22"/>
          <w:lang w:val="es-MX" w:eastAsia="es-MX"/>
        </w:rPr>
        <w:t>.</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Décimo primero.</w:t>
      </w:r>
      <w:r w:rsidRPr="00A97F43">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2707D" w:rsidRPr="00A97F43" w:rsidRDefault="0082707D" w:rsidP="0082707D">
      <w:pPr>
        <w:autoSpaceDE w:val="0"/>
        <w:autoSpaceDN w:val="0"/>
        <w:adjustRightInd w:val="0"/>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82707D" w:rsidRDefault="0082707D" w:rsidP="0082707D">
      <w:pPr>
        <w:ind w:left="567" w:right="567"/>
        <w:contextualSpacing/>
        <w:jc w:val="center"/>
        <w:rPr>
          <w:rFonts w:ascii="Palatino Linotype" w:hAnsi="Palatino Linotype" w:cs="Arial"/>
          <w:b/>
          <w:i/>
          <w:sz w:val="22"/>
          <w:szCs w:val="22"/>
          <w:lang w:val="es-MX" w:eastAsia="es-MX"/>
        </w:rPr>
      </w:pPr>
    </w:p>
    <w:p w:rsidR="0082707D" w:rsidRPr="00A97F43" w:rsidRDefault="0082707D" w:rsidP="00D303A7">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CAPÍTULO VIII</w:t>
      </w:r>
    </w:p>
    <w:p w:rsidR="0082707D" w:rsidRPr="00A97F43" w:rsidRDefault="0082707D" w:rsidP="00D303A7">
      <w:pPr>
        <w:ind w:left="567" w:right="567"/>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DE LA LEYENDA DE CLASIFICACIÓN</w:t>
      </w:r>
    </w:p>
    <w:p w:rsidR="0082707D" w:rsidRPr="00A97F43" w:rsidRDefault="0082707D" w:rsidP="00D303A7">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w:t>
      </w:r>
      <w:r w:rsidRPr="00A97F43">
        <w:rPr>
          <w:rFonts w:ascii="Palatino Linotype" w:hAnsi="Palatino Linotype" w:cs="Arial"/>
          <w:b/>
          <w:i/>
          <w:sz w:val="22"/>
          <w:szCs w:val="22"/>
          <w:u w:val="single"/>
          <w:lang w:val="es-MX" w:eastAsia="es-MX"/>
        </w:rPr>
        <w:t>Los titulares de las áreas de los sujetos obligados podrán utilizar los formatos contenidos en el presente Capítulo como modelo</w:t>
      </w:r>
      <w:r w:rsidRPr="00A97F43">
        <w:rPr>
          <w:rFonts w:ascii="Palatino Linotype" w:hAnsi="Palatino Linotype" w:cs="Arial"/>
          <w:i/>
          <w:sz w:val="22"/>
          <w:szCs w:val="22"/>
          <w:lang w:val="es-MX" w:eastAsia="es-MX"/>
        </w:rPr>
        <w:t xml:space="preserve"> para señalar la clasificación de documentos o expedientes, sin perjuicio de que establezcan los propios.</w:t>
      </w:r>
    </w:p>
    <w:p w:rsidR="0082707D" w:rsidRPr="00A97F43" w:rsidRDefault="0082707D" w:rsidP="0082707D">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82707D" w:rsidRPr="00A97F43" w:rsidRDefault="0082707D" w:rsidP="0082707D">
      <w:pPr>
        <w:ind w:left="567" w:right="567"/>
        <w:contextualSpacing/>
        <w:jc w:val="both"/>
        <w:rPr>
          <w:rFonts w:ascii="Palatino Linotype" w:hAnsi="Palatino Linotype" w:cs="Arial"/>
          <w:i/>
          <w:sz w:val="22"/>
          <w:szCs w:val="22"/>
          <w:lang w:val="es-MX" w:eastAsia="es-MX"/>
        </w:rPr>
      </w:pPr>
      <w:r w:rsidRPr="00A97F43">
        <w:rPr>
          <w:rFonts w:ascii="Palatino Linotype" w:hAnsi="Palatino Linotype" w:cs="Arial"/>
          <w:b/>
          <w:i/>
          <w:sz w:val="22"/>
          <w:szCs w:val="22"/>
          <w:lang w:val="es-MX" w:eastAsia="es-MX"/>
        </w:rPr>
        <w:t xml:space="preserve">Quincuagésimo tercero. </w:t>
      </w:r>
      <w:r w:rsidRPr="00A97F43">
        <w:rPr>
          <w:rFonts w:ascii="Palatino Linotype" w:hAnsi="Palatino Linotype" w:cs="Arial"/>
          <w:b/>
          <w:i/>
          <w:sz w:val="22"/>
          <w:szCs w:val="22"/>
          <w:u w:val="single"/>
          <w:lang w:val="es-MX" w:eastAsia="es-MX"/>
        </w:rPr>
        <w:t>El formato para señalar la clasificación parcial de un documento</w:t>
      </w:r>
      <w:r w:rsidRPr="00A97F43">
        <w:rPr>
          <w:rFonts w:ascii="Palatino Linotype" w:hAnsi="Palatino Linotype" w:cs="Arial"/>
          <w:i/>
          <w:sz w:val="22"/>
          <w:szCs w:val="22"/>
          <w:lang w:val="es-MX" w:eastAsia="es-MX"/>
        </w:rPr>
        <w:t>, es el siguiente:</w:t>
      </w:r>
    </w:p>
    <w:p w:rsidR="0082707D" w:rsidRPr="00A97F43" w:rsidRDefault="0082707D" w:rsidP="0082707D">
      <w:pPr>
        <w:ind w:left="851" w:right="902"/>
        <w:contextualSpacing/>
        <w:jc w:val="both"/>
        <w:rPr>
          <w:rFonts w:ascii="Palatino Linotype" w:hAnsi="Palatino Linotype" w:cs="Arial"/>
          <w:i/>
          <w:sz w:val="22"/>
          <w:szCs w:val="22"/>
          <w:lang w:val="es-MX"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82707D" w:rsidRPr="00A97F43" w:rsidTr="009D7886">
        <w:trPr>
          <w:trHeight w:val="597"/>
        </w:trPr>
        <w:tc>
          <w:tcPr>
            <w:tcW w:w="1275" w:type="dxa"/>
            <w:tcBorders>
              <w:top w:val="nil"/>
              <w:left w:val="nil"/>
              <w:bottom w:val="single" w:sz="4" w:space="0" w:color="auto"/>
              <w:right w:val="single" w:sz="4" w:space="0" w:color="auto"/>
            </w:tcBorders>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82707D" w:rsidRPr="00A97F43" w:rsidRDefault="0082707D" w:rsidP="009D7886">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rsidR="0082707D" w:rsidRPr="00A97F43" w:rsidRDefault="0082707D" w:rsidP="009D7886">
            <w:pPr>
              <w:contextualSpacing/>
              <w:jc w:val="center"/>
              <w:rPr>
                <w:rFonts w:ascii="Palatino Linotype" w:hAnsi="Palatino Linotype"/>
                <w:b/>
                <w:i/>
                <w:sz w:val="22"/>
                <w:szCs w:val="22"/>
                <w:lang w:val="es-MX"/>
              </w:rPr>
            </w:pPr>
            <w:r w:rsidRPr="00A97F43">
              <w:rPr>
                <w:rFonts w:ascii="Palatino Linotype" w:hAnsi="Palatino Linotype"/>
                <w:b/>
                <w:i/>
                <w:sz w:val="22"/>
                <w:szCs w:val="22"/>
                <w:lang w:val="es-MX"/>
              </w:rPr>
              <w:t>Dónde:</w:t>
            </w:r>
          </w:p>
        </w:tc>
      </w:tr>
      <w:tr w:rsidR="0082707D" w:rsidRPr="00A97F43" w:rsidTr="009D7886">
        <w:tc>
          <w:tcPr>
            <w:tcW w:w="1275" w:type="dxa"/>
            <w:vMerge w:val="restart"/>
            <w:tcBorders>
              <w:top w:val="single" w:sz="4" w:space="0" w:color="auto"/>
            </w:tcBorders>
            <w:shd w:val="clear" w:color="auto" w:fill="auto"/>
            <w:vAlign w:val="center"/>
          </w:tcPr>
          <w:p w:rsidR="0082707D" w:rsidRPr="00A97F43" w:rsidRDefault="0082707D" w:rsidP="009D7886">
            <w:pPr>
              <w:contextualSpacing/>
              <w:jc w:val="center"/>
              <w:rPr>
                <w:rFonts w:ascii="Palatino Linotype" w:hAnsi="Palatino Linotype" w:cs="Arial"/>
                <w:b/>
                <w:i/>
                <w:sz w:val="22"/>
                <w:szCs w:val="22"/>
                <w:lang w:val="es-MX" w:eastAsia="es-MX"/>
              </w:rPr>
            </w:pPr>
            <w:r w:rsidRPr="00A97F43">
              <w:rPr>
                <w:rFonts w:ascii="Palatino Linotype" w:hAnsi="Palatino Linotype" w:cs="Arial"/>
                <w:b/>
                <w:i/>
                <w:sz w:val="22"/>
                <w:szCs w:val="22"/>
                <w:lang w:val="es-MX" w:eastAsia="es-MX"/>
              </w:rPr>
              <w:t xml:space="preserve">Sello oficial o logotipo del </w:t>
            </w:r>
            <w:r>
              <w:rPr>
                <w:rFonts w:ascii="Palatino Linotype" w:hAnsi="Palatino Linotype" w:cs="Arial"/>
                <w:b/>
                <w:i/>
                <w:sz w:val="22"/>
                <w:szCs w:val="22"/>
                <w:lang w:val="es-MX" w:eastAsia="es-MX"/>
              </w:rPr>
              <w:t>Sujeto Obligado</w:t>
            </w:r>
          </w:p>
        </w:tc>
        <w:tc>
          <w:tcPr>
            <w:tcW w:w="1850" w:type="dxa"/>
            <w:tcBorders>
              <w:top w:val="single" w:sz="4" w:space="0" w:color="auto"/>
            </w:tcBorders>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clasificación</w:t>
            </w:r>
          </w:p>
        </w:tc>
        <w:tc>
          <w:tcPr>
            <w:tcW w:w="4954" w:type="dxa"/>
            <w:tcBorders>
              <w:top w:val="single" w:sz="4" w:space="0" w:color="auto"/>
            </w:tcBorders>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la que el Comité de Transparencia confirmó la clasificación del documento, en su caso.</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Área</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área del cual es titular quien clasifica.</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Información reservada</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Periodo de reserva</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el número de años o meses por los que se mantendrá el documento o las partes del mismo como reservado.</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reserva.</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Ampliación del periodo de reserva</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En caso de haber solicitado la ampliación del periodo de reserva originalmente establecido, se deberá anotar el número de años o meses por los que se amplía la reserva.</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Confidencial</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Fundamento legal</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señalará el nombre del ordenamiento, el o los artículos, fracción(es), párrafo(s) con base en los cuales se sustente la confidencialidad.</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del titular del área</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clasifica.</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Fecha de desclasificación</w:t>
            </w:r>
          </w:p>
        </w:tc>
        <w:tc>
          <w:tcPr>
            <w:tcW w:w="4954" w:type="dxa"/>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Se anotará la fecha en que se desclasifica el documento.</w:t>
            </w:r>
          </w:p>
        </w:tc>
      </w:tr>
      <w:tr w:rsidR="0082707D" w:rsidRPr="00A97F43" w:rsidTr="009D7886">
        <w:tc>
          <w:tcPr>
            <w:tcW w:w="1275" w:type="dxa"/>
            <w:vMerge/>
            <w:shd w:val="clear" w:color="auto" w:fill="auto"/>
          </w:tcPr>
          <w:p w:rsidR="0082707D" w:rsidRPr="00A97F43" w:rsidRDefault="0082707D" w:rsidP="009D7886">
            <w:pPr>
              <w:contextualSpacing/>
              <w:jc w:val="both"/>
              <w:rPr>
                <w:rFonts w:ascii="Palatino Linotype" w:hAnsi="Palatino Linotype" w:cs="Arial"/>
                <w:i/>
                <w:sz w:val="22"/>
                <w:szCs w:val="22"/>
                <w:lang w:val="es-MX" w:eastAsia="es-MX"/>
              </w:rPr>
            </w:pPr>
          </w:p>
        </w:tc>
        <w:tc>
          <w:tcPr>
            <w:tcW w:w="1850" w:type="dxa"/>
            <w:shd w:val="clear" w:color="auto" w:fill="auto"/>
          </w:tcPr>
          <w:p w:rsidR="0082707D" w:rsidRPr="00A97F43" w:rsidRDefault="0082707D" w:rsidP="009D7886">
            <w:pPr>
              <w:contextualSpacing/>
              <w:jc w:val="center"/>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y cargo del servidor público</w:t>
            </w:r>
          </w:p>
        </w:tc>
        <w:tc>
          <w:tcPr>
            <w:tcW w:w="4954" w:type="dxa"/>
            <w:shd w:val="clear" w:color="auto" w:fill="auto"/>
            <w:vAlign w:val="center"/>
          </w:tcPr>
          <w:p w:rsidR="0082707D" w:rsidRPr="00A97F43" w:rsidRDefault="0082707D" w:rsidP="009D7886">
            <w:pPr>
              <w:contextualSpacing/>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Rúbrica autógrafa de quien desclasifica.</w:t>
            </w:r>
          </w:p>
        </w:tc>
      </w:tr>
    </w:tbl>
    <w:p w:rsidR="0082707D" w:rsidRPr="00A97F43" w:rsidRDefault="0082707D" w:rsidP="0082707D">
      <w:pPr>
        <w:ind w:left="851" w:right="902"/>
        <w:contextualSpacing/>
        <w:jc w:val="both"/>
        <w:rPr>
          <w:rFonts w:ascii="Palatino Linotype" w:hAnsi="Palatino Linotype" w:cs="Arial"/>
          <w:i/>
          <w:sz w:val="22"/>
          <w:szCs w:val="22"/>
          <w:lang w:val="es-MX" w:eastAsia="es-MX"/>
        </w:rPr>
      </w:pPr>
      <w:r w:rsidRPr="00A97F43">
        <w:rPr>
          <w:rFonts w:ascii="Palatino Linotype" w:hAnsi="Palatino Linotype" w:cs="Arial"/>
          <w:i/>
          <w:sz w:val="22"/>
          <w:szCs w:val="22"/>
          <w:lang w:val="es-MX" w:eastAsia="es-MX"/>
        </w:rPr>
        <w:t>…”</w:t>
      </w:r>
    </w:p>
    <w:p w:rsidR="0082707D" w:rsidRPr="00A97F43" w:rsidRDefault="0082707D" w:rsidP="0082707D">
      <w:pPr>
        <w:ind w:left="567" w:right="567"/>
        <w:contextualSpacing/>
        <w:jc w:val="right"/>
        <w:rPr>
          <w:rFonts w:ascii="Palatino Linotype" w:hAnsi="Palatino Linotype" w:cs="Arial"/>
          <w:sz w:val="22"/>
          <w:szCs w:val="22"/>
          <w:lang w:val="es-MX" w:eastAsia="es-MX"/>
        </w:rPr>
      </w:pPr>
      <w:r w:rsidRPr="00A97F43">
        <w:rPr>
          <w:rFonts w:ascii="Palatino Linotype" w:hAnsi="Palatino Linotype" w:cs="Arial"/>
          <w:sz w:val="22"/>
          <w:szCs w:val="22"/>
          <w:lang w:val="es-MX" w:eastAsia="es-MX"/>
        </w:rPr>
        <w:t>(Énfasis Añadido)</w:t>
      </w:r>
    </w:p>
    <w:p w:rsidR="0082707D" w:rsidRPr="00A97F43" w:rsidRDefault="0082707D" w:rsidP="0082707D">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p>
    <w:p w:rsidR="0082707D" w:rsidRPr="00A97F43" w:rsidRDefault="0082707D" w:rsidP="0082707D">
      <w:pPr>
        <w:widowControl w:val="0"/>
        <w:tabs>
          <w:tab w:val="left" w:pos="1701"/>
          <w:tab w:val="left" w:pos="1843"/>
        </w:tabs>
        <w:autoSpaceDE w:val="0"/>
        <w:autoSpaceDN w:val="0"/>
        <w:adjustRightInd w:val="0"/>
        <w:spacing w:line="360" w:lineRule="auto"/>
        <w:contextualSpacing/>
        <w:jc w:val="both"/>
        <w:rPr>
          <w:rFonts w:ascii="Palatino Linotype" w:hAnsi="Palatino Linotype" w:cs="Arial"/>
          <w:lang w:val="es-MX"/>
        </w:rPr>
      </w:pPr>
      <w:r w:rsidRPr="00A97F43">
        <w:rPr>
          <w:rFonts w:ascii="Palatino Linotype" w:hAnsi="Palatino Linotype" w:cs="Arial"/>
          <w:lang w:val="es-MX"/>
        </w:rPr>
        <w:t>Por lo tanto,</w:t>
      </w:r>
      <w:r w:rsidRPr="00A97F43">
        <w:rPr>
          <w:rFonts w:ascii="Palatino Linotype" w:hAnsi="Palatino Linotype"/>
          <w:lang w:val="es-MX"/>
        </w:rPr>
        <w:t xml:space="preserve"> es importante referir que </w:t>
      </w:r>
      <w:r w:rsidRPr="00A97F43">
        <w:rPr>
          <w:rFonts w:ascii="Palatino Linotype" w:hAnsi="Palatino Linotype"/>
          <w:b/>
          <w:lang w:val="es-MX"/>
        </w:rPr>
        <w:t xml:space="preserve">El </w:t>
      </w:r>
      <w:r>
        <w:rPr>
          <w:rFonts w:ascii="Palatino Linotype" w:hAnsi="Palatino Linotype"/>
          <w:b/>
          <w:lang w:val="es-MX"/>
        </w:rPr>
        <w:t>Sujeto Obligado</w:t>
      </w:r>
      <w:r w:rsidRPr="00A97F43">
        <w:rPr>
          <w:rFonts w:ascii="Palatino Linotype" w:hAnsi="Palatino Linotype"/>
          <w:lang w:val="es-MX"/>
        </w:rPr>
        <w:t xml:space="preserve"> deberá seguir el procedimiento legal establecido para su </w:t>
      </w:r>
      <w:r w:rsidRPr="00A97F43">
        <w:rPr>
          <w:rFonts w:ascii="Palatino Linotype" w:hAnsi="Palatino Linotype"/>
          <w:lang w:val="es-MX" w:eastAsia="es-MX"/>
        </w:rPr>
        <w:t>clasificación</w:t>
      </w:r>
      <w:r w:rsidRPr="00A97F43">
        <w:rPr>
          <w:rFonts w:ascii="Palatino Linotype" w:hAnsi="Palatino Linotype"/>
          <w:lang w:val="es-MX"/>
        </w:rPr>
        <w:t>, esto es, que su Comité de</w:t>
      </w:r>
      <w:r w:rsidRPr="00A97F43">
        <w:rPr>
          <w:rFonts w:ascii="Palatino Linotype" w:hAnsi="Palatino Linotype" w:cs="Arial"/>
          <w:lang w:val="es-MX"/>
        </w:rPr>
        <w:t xml:space="preserve"> Transparencia emita </w:t>
      </w:r>
      <w:r w:rsidRPr="00A97F43">
        <w:rPr>
          <w:rFonts w:ascii="Palatino Linotype" w:hAnsi="Palatino Linotype" w:cs="Arial"/>
          <w:lang w:val="es-ES_tradnl"/>
        </w:rPr>
        <w:t>un</w:t>
      </w:r>
      <w:r w:rsidRPr="00A97F43">
        <w:rPr>
          <w:rFonts w:ascii="Palatino Linotype" w:hAnsi="Palatino Linotype" w:cs="Arial"/>
          <w:lang w:val="es-MX"/>
        </w:rPr>
        <w:t xml:space="preserve"> Acuerdo de Clasificación que cumpla con las formalidades previstas, antes citadas</w:t>
      </w:r>
      <w:r w:rsidRPr="00A97F43">
        <w:rPr>
          <w:rFonts w:ascii="Palatino Linotype" w:hAnsi="Palatino Linotype" w:cs="Arial"/>
          <w:b/>
          <w:lang w:val="es-MX"/>
        </w:rPr>
        <w:t xml:space="preserve"> </w:t>
      </w:r>
      <w:r w:rsidRPr="00A97F43">
        <w:rPr>
          <w:rFonts w:ascii="Palatino Linotype" w:hAnsi="Palatino Linotype" w:cs="Arial"/>
          <w:lang w:val="es-MX"/>
        </w:rPr>
        <w:t xml:space="preserve">que la sustente, en el </w:t>
      </w:r>
      <w:r w:rsidRPr="00A97F43">
        <w:rPr>
          <w:rFonts w:ascii="Palatino Linotype" w:hAnsi="Palatino Linotype" w:cs="Arial"/>
          <w:lang w:val="es-MX" w:eastAsia="es-MX"/>
        </w:rPr>
        <w:t>que</w:t>
      </w:r>
      <w:r w:rsidRPr="00A97F43">
        <w:rPr>
          <w:rFonts w:ascii="Palatino Linotype" w:hAnsi="Palatino Linotype" w:cs="Arial"/>
          <w:lang w:val="es-MX"/>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82707D" w:rsidRPr="00A97F43" w:rsidRDefault="0082707D" w:rsidP="0082707D">
      <w:pPr>
        <w:autoSpaceDE w:val="0"/>
        <w:autoSpaceDN w:val="0"/>
        <w:adjustRightInd w:val="0"/>
        <w:spacing w:line="360" w:lineRule="auto"/>
        <w:contextualSpacing/>
        <w:jc w:val="both"/>
        <w:rPr>
          <w:rFonts w:ascii="Palatino Linotype" w:hAnsi="Palatino Linotype" w:cs="Arial"/>
          <w:iCs/>
          <w:lang w:val="es-MX"/>
        </w:rPr>
      </w:pPr>
    </w:p>
    <w:p w:rsidR="0082707D" w:rsidRDefault="0082707D" w:rsidP="0082707D">
      <w:pPr>
        <w:spacing w:line="360" w:lineRule="auto"/>
        <w:jc w:val="both"/>
        <w:rPr>
          <w:rFonts w:ascii="Palatino Linotype" w:eastAsiaTheme="minorHAnsi" w:hAnsi="Palatino Linotype" w:cstheme="minorBidi"/>
          <w:lang w:val="es-MX" w:eastAsia="en-US"/>
        </w:rPr>
      </w:pPr>
      <w:r w:rsidRPr="00A97F43">
        <w:rPr>
          <w:rFonts w:ascii="Palatino Linotype" w:eastAsiaTheme="minorHAnsi" w:hAnsi="Palatino Linotype" w:cstheme="minorBidi"/>
          <w:lang w:val="es-MX" w:eastAsia="en-US"/>
        </w:rPr>
        <w:lastRenderedPageBreak/>
        <w:t xml:space="preserve">En mérito de lo expuesto en líneas anteriores, al resultar fundados los motivos de inconformidad vertidos por </w:t>
      </w:r>
      <w:r w:rsidRPr="00A97F43">
        <w:rPr>
          <w:rFonts w:ascii="Palatino Linotype" w:eastAsiaTheme="minorHAnsi" w:hAnsi="Palatino Linotype" w:cstheme="minorBidi"/>
          <w:b/>
          <w:lang w:val="es-MX" w:eastAsia="en-US"/>
        </w:rPr>
        <w:t xml:space="preserve">el </w:t>
      </w:r>
      <w:r>
        <w:rPr>
          <w:rFonts w:ascii="Palatino Linotype" w:eastAsiaTheme="minorHAnsi" w:hAnsi="Palatino Linotype" w:cstheme="minorBidi"/>
          <w:b/>
          <w:lang w:val="es-MX" w:eastAsia="en-US"/>
        </w:rPr>
        <w:t>Recurrente</w:t>
      </w:r>
      <w:r w:rsidRPr="00A97F43">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segunda</w:t>
      </w:r>
      <w:r w:rsidRPr="00A97F43">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MODIFICA</w:t>
      </w:r>
      <w:r w:rsidRPr="00A97F43">
        <w:rPr>
          <w:rFonts w:ascii="Palatino Linotype" w:eastAsiaTheme="minorHAnsi" w:hAnsi="Palatino Linotype" w:cstheme="minorBidi"/>
          <w:b/>
          <w:lang w:val="es-MX" w:eastAsia="en-US"/>
        </w:rPr>
        <w:t xml:space="preserve"> </w:t>
      </w:r>
      <w:r w:rsidRPr="00A97F43">
        <w:rPr>
          <w:rFonts w:ascii="Palatino Linotype" w:eastAsiaTheme="minorHAnsi" w:hAnsi="Palatino Linotype" w:cstheme="minorBidi"/>
          <w:lang w:val="es-MX" w:eastAsia="en-US"/>
        </w:rPr>
        <w:t xml:space="preserve">la respuesta emitida a la solicitud de información </w:t>
      </w:r>
      <w:r w:rsidR="0069269B" w:rsidRPr="0082707D">
        <w:rPr>
          <w:rFonts w:ascii="Palatino Linotype" w:hAnsi="Palatino Linotype"/>
          <w:b/>
          <w:bCs/>
        </w:rPr>
        <w:t>00167/ATIZARA/IP/2021</w:t>
      </w:r>
      <w:r w:rsidRPr="00A97F43">
        <w:rPr>
          <w:rFonts w:ascii="Palatino Linotype" w:eastAsiaTheme="minorHAnsi" w:hAnsi="Palatino Linotype" w:cs="Arial"/>
          <w:lang w:val="es-MX" w:eastAsia="en-US"/>
        </w:rPr>
        <w:t xml:space="preserve">, </w:t>
      </w:r>
      <w:r w:rsidRPr="00A97F43">
        <w:rPr>
          <w:rFonts w:ascii="Palatino Linotype" w:eastAsiaTheme="minorHAnsi" w:hAnsi="Palatino Linotype" w:cstheme="minorBidi"/>
          <w:lang w:val="es-MX" w:eastAsia="en-US"/>
        </w:rPr>
        <w:t>que ha sido materia del presente fallo.</w:t>
      </w:r>
    </w:p>
    <w:p w:rsidR="0082707D" w:rsidRPr="00A97F43" w:rsidRDefault="0082707D" w:rsidP="0082707D">
      <w:pPr>
        <w:spacing w:line="360" w:lineRule="auto"/>
        <w:jc w:val="both"/>
        <w:rPr>
          <w:rFonts w:ascii="Palatino Linotype" w:eastAsiaTheme="minorHAnsi" w:hAnsi="Palatino Linotype" w:cstheme="minorBidi"/>
          <w:lang w:val="es-MX" w:eastAsia="en-US"/>
        </w:rPr>
      </w:pPr>
    </w:p>
    <w:p w:rsidR="0082707D" w:rsidRPr="00A97F43" w:rsidRDefault="0082707D" w:rsidP="0082707D">
      <w:pPr>
        <w:spacing w:line="360" w:lineRule="auto"/>
        <w:jc w:val="both"/>
        <w:rPr>
          <w:rFonts w:ascii="Palatino Linotype" w:hAnsi="Palatino Linotype"/>
          <w:lang w:val="es-MX"/>
        </w:rPr>
      </w:pPr>
      <w:r w:rsidRPr="00A97F43">
        <w:rPr>
          <w:rFonts w:ascii="Palatino Linotype" w:hAnsi="Palatino Linotype"/>
          <w:lang w:val="es-MX"/>
        </w:rPr>
        <w:t>Por lo antes expuesto y fundado es de resolverse y,</w:t>
      </w:r>
    </w:p>
    <w:p w:rsidR="0082707D" w:rsidRPr="00A97F43" w:rsidRDefault="0082707D" w:rsidP="0082707D">
      <w:pPr>
        <w:spacing w:line="360" w:lineRule="auto"/>
        <w:jc w:val="both"/>
        <w:rPr>
          <w:rFonts w:ascii="Palatino Linotype" w:hAnsi="Palatino Linotype"/>
          <w:lang w:val="es-MX"/>
        </w:rPr>
      </w:pPr>
    </w:p>
    <w:p w:rsidR="0082707D" w:rsidRPr="00A97F43" w:rsidRDefault="0082707D" w:rsidP="0082707D">
      <w:pPr>
        <w:spacing w:line="360" w:lineRule="auto"/>
        <w:jc w:val="center"/>
        <w:rPr>
          <w:rFonts w:ascii="Palatino Linotype" w:hAnsi="Palatino Linotype"/>
          <w:bCs/>
          <w:spacing w:val="60"/>
          <w:lang w:val="es-ES_tradnl"/>
        </w:rPr>
      </w:pPr>
      <w:r w:rsidRPr="00A97F43">
        <w:rPr>
          <w:rFonts w:ascii="Palatino Linotype" w:hAnsi="Palatino Linotype"/>
          <w:b/>
          <w:bCs/>
          <w:spacing w:val="60"/>
          <w:sz w:val="28"/>
          <w:lang w:val="es-ES_tradnl"/>
        </w:rPr>
        <w:t>SE    RESUELVE</w:t>
      </w:r>
    </w:p>
    <w:p w:rsidR="0082707D" w:rsidRPr="00A97F43" w:rsidRDefault="0082707D" w:rsidP="0082707D">
      <w:pPr>
        <w:spacing w:line="360" w:lineRule="auto"/>
        <w:jc w:val="center"/>
        <w:rPr>
          <w:rFonts w:ascii="Palatino Linotype" w:hAnsi="Palatino Linotype"/>
          <w:bCs/>
          <w:spacing w:val="60"/>
          <w:lang w:val="es-ES_tradnl"/>
        </w:rPr>
      </w:pPr>
    </w:p>
    <w:p w:rsidR="0082707D" w:rsidRPr="00A97F43"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ES_tradnl" w:eastAsia="en-US"/>
        </w:rPr>
        <w:t>PRIMERO.</w:t>
      </w:r>
      <w:r w:rsidRPr="00A97F43">
        <w:rPr>
          <w:rFonts w:ascii="Palatino Linotype" w:eastAsiaTheme="minorHAnsi" w:hAnsi="Palatino Linotype" w:cs="Arial"/>
          <w:lang w:val="es-ES_tradnl" w:eastAsia="en-US"/>
        </w:rPr>
        <w:t xml:space="preserve"> </w:t>
      </w:r>
      <w:r w:rsidRPr="00A97F43">
        <w:rPr>
          <w:rFonts w:ascii="Palatino Linotype" w:eastAsiaTheme="minorHAnsi" w:hAnsi="Palatino Linotype" w:cs="Arial"/>
          <w:lang w:val="es-MX" w:eastAsia="en-US"/>
        </w:rPr>
        <w:t>Se</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MODIFICA</w:t>
      </w:r>
      <w:r w:rsidRPr="00A97F43">
        <w:rPr>
          <w:rFonts w:ascii="Palatino Linotype" w:eastAsiaTheme="minorHAnsi" w:hAnsi="Palatino Linotype" w:cs="Arial"/>
          <w:b/>
          <w:lang w:val="es-MX" w:eastAsia="en-US"/>
        </w:rPr>
        <w:t xml:space="preserve"> </w:t>
      </w:r>
      <w:r w:rsidRPr="00A97F43">
        <w:rPr>
          <w:rFonts w:ascii="Palatino Linotype" w:eastAsia="Arial Unicode MS" w:hAnsi="Palatino Linotype" w:cs="Arial"/>
          <w:lang w:val="es-MX" w:eastAsia="en-US"/>
        </w:rPr>
        <w:t xml:space="preserve">la respuesta entregada por </w:t>
      </w:r>
      <w:r w:rsidRPr="00A97F43">
        <w:rPr>
          <w:rFonts w:ascii="Palatino Linotype" w:eastAsia="Arial Unicode MS" w:hAnsi="Palatino Linotype" w:cs="Arial"/>
          <w:b/>
          <w:lang w:val="es-MX" w:eastAsia="en-US"/>
        </w:rPr>
        <w:t xml:space="preserve">el </w:t>
      </w:r>
      <w:r>
        <w:rPr>
          <w:rFonts w:ascii="Palatino Linotype" w:eastAsia="Arial Unicode MS" w:hAnsi="Palatino Linotype" w:cs="Arial"/>
          <w:b/>
          <w:lang w:val="es-MX" w:eastAsia="en-US"/>
        </w:rPr>
        <w:t>Sujeto Obligado</w:t>
      </w:r>
      <w:r w:rsidRPr="00A97F43">
        <w:rPr>
          <w:rFonts w:ascii="Palatino Linotype" w:eastAsiaTheme="minorHAnsi" w:hAnsi="Palatino Linotype" w:cs="Arial"/>
          <w:lang w:val="es-MX" w:eastAsia="en-US"/>
        </w:rPr>
        <w:t xml:space="preserve">, a la solicitud de información </w:t>
      </w:r>
      <w:r w:rsidR="0069269B" w:rsidRPr="0082707D">
        <w:rPr>
          <w:rFonts w:ascii="Palatino Linotype" w:hAnsi="Palatino Linotype"/>
          <w:b/>
          <w:bCs/>
        </w:rPr>
        <w:t>00167/ATIZARA/IP/2021</w:t>
      </w:r>
      <w:r w:rsidRPr="00A97F43">
        <w:rPr>
          <w:rFonts w:ascii="Palatino Linotype" w:eastAsiaTheme="minorHAnsi" w:hAnsi="Palatino Linotype" w:cs="Arial"/>
          <w:lang w:val="es-MX" w:eastAsia="en-US"/>
        </w:rPr>
        <w:t>, por resultar</w:t>
      </w:r>
      <w:r>
        <w:rPr>
          <w:rFonts w:ascii="Palatino Linotype" w:eastAsiaTheme="minorHAnsi" w:hAnsi="Palatino Linotype" w:cs="Arial"/>
          <w:lang w:val="es-MX" w:eastAsia="en-US"/>
        </w:rPr>
        <w:t xml:space="preserve"> parcialmente</w:t>
      </w:r>
      <w:r w:rsidRPr="00A97F43">
        <w:rPr>
          <w:rFonts w:ascii="Palatino Linotype" w:eastAsiaTheme="minorHAnsi" w:hAnsi="Palatino Linotype" w:cs="Arial"/>
          <w:lang w:val="es-MX" w:eastAsia="en-US"/>
        </w:rPr>
        <w:t xml:space="preserve"> fundados los motivos de inconformidad vertidos por </w:t>
      </w:r>
      <w:r w:rsidRPr="00A97F43">
        <w:rPr>
          <w:rFonts w:ascii="Palatino Linotype" w:eastAsiaTheme="minorHAnsi" w:hAnsi="Palatino Linotype" w:cs="Arial"/>
          <w:b/>
          <w:lang w:val="es-MX" w:eastAsia="en-US"/>
        </w:rPr>
        <w:t xml:space="preserve">el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ésta resolución.</w:t>
      </w:r>
    </w:p>
    <w:p w:rsidR="0082707D" w:rsidRPr="00A97F43"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p>
    <w:p w:rsidR="0082707D" w:rsidRPr="00A97F43"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SEGUNDO.</w:t>
      </w:r>
      <w:r w:rsidRPr="00A97F43">
        <w:rPr>
          <w:rFonts w:ascii="Palatino Linotype" w:eastAsiaTheme="minorHAnsi" w:hAnsi="Palatino Linotype" w:cs="Arial"/>
          <w:lang w:val="es-MX" w:eastAsia="en-US"/>
        </w:rPr>
        <w:t xml:space="preserve"> Se </w:t>
      </w:r>
      <w:r w:rsidRPr="00A97F43">
        <w:rPr>
          <w:rFonts w:ascii="Palatino Linotype" w:eastAsiaTheme="minorHAnsi" w:hAnsi="Palatino Linotype" w:cs="Arial"/>
          <w:b/>
          <w:lang w:val="es-MX" w:eastAsia="en-US"/>
        </w:rPr>
        <w:t>ORDENA</w:t>
      </w:r>
      <w:r w:rsidRPr="00A97F43">
        <w:rPr>
          <w:rFonts w:ascii="Palatino Linotype" w:eastAsiaTheme="minorHAnsi" w:hAnsi="Palatino Linotype" w:cs="Arial"/>
          <w:lang w:val="es-MX" w:eastAsia="en-US"/>
        </w:rPr>
        <w:t xml:space="preserve"> al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en términos del considerando </w:t>
      </w:r>
      <w:r w:rsidRPr="00A97F43">
        <w:rPr>
          <w:rFonts w:ascii="Palatino Linotype" w:eastAsiaTheme="minorHAnsi" w:hAnsi="Palatino Linotype" w:cs="Arial"/>
          <w:b/>
          <w:lang w:val="es-MX" w:eastAsia="en-US"/>
        </w:rPr>
        <w:t xml:space="preserve">cuarto </w:t>
      </w:r>
      <w:r w:rsidRPr="00A97F43">
        <w:rPr>
          <w:rFonts w:ascii="Palatino Linotype" w:eastAsiaTheme="minorHAnsi" w:hAnsi="Palatino Linotype" w:cs="Arial"/>
          <w:lang w:val="es-MX" w:eastAsia="en-US"/>
        </w:rPr>
        <w:t>de esta resolución, haga entrega a través del SAIMEX</w:t>
      </w:r>
      <w:r>
        <w:rPr>
          <w:rFonts w:ascii="Palatino Linotype" w:eastAsiaTheme="minorHAnsi" w:hAnsi="Palatino Linotype" w:cs="Arial"/>
          <w:lang w:val="es-MX" w:eastAsia="en-US"/>
        </w:rPr>
        <w:t xml:space="preserve">, en versión pública </w:t>
      </w:r>
      <w:r w:rsidR="0069269B">
        <w:rPr>
          <w:rFonts w:ascii="Palatino Linotype" w:eastAsiaTheme="minorHAnsi" w:hAnsi="Palatino Linotype" w:cs="Arial"/>
          <w:lang w:val="es-MX" w:eastAsia="en-US"/>
        </w:rPr>
        <w:t xml:space="preserve">de </w:t>
      </w:r>
      <w:r w:rsidRPr="00A97F43">
        <w:rPr>
          <w:rFonts w:ascii="Palatino Linotype" w:eastAsiaTheme="minorHAnsi" w:hAnsi="Palatino Linotype" w:cs="Arial"/>
          <w:lang w:val="es-MX" w:eastAsia="en-US"/>
        </w:rPr>
        <w:t>lo siguiente:</w:t>
      </w:r>
    </w:p>
    <w:p w:rsidR="0082707D"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p>
    <w:p w:rsidR="0082707D" w:rsidRPr="0069269B" w:rsidRDefault="0069269B" w:rsidP="0069269B">
      <w:pPr>
        <w:pStyle w:val="Prrafodelista"/>
        <w:numPr>
          <w:ilvl w:val="0"/>
          <w:numId w:val="6"/>
        </w:numPr>
        <w:spacing w:line="360" w:lineRule="auto"/>
        <w:jc w:val="both"/>
        <w:rPr>
          <w:rFonts w:ascii="Palatino Linotype" w:eastAsiaTheme="minorHAnsi" w:hAnsi="Palatino Linotype" w:cs="Arial"/>
          <w:lang w:val="es-MX" w:eastAsia="en-US"/>
        </w:rPr>
      </w:pPr>
      <w:r w:rsidRPr="0069269B">
        <w:rPr>
          <w:rFonts w:ascii="Palatino Linotype" w:hAnsi="Palatino Linotype" w:cs="Arial"/>
          <w:color w:val="000000" w:themeColor="text1"/>
        </w:rPr>
        <w:t>Nómina de los servidores públicos de confianza</w:t>
      </w:r>
      <w:r>
        <w:rPr>
          <w:rFonts w:ascii="Palatino Linotype" w:hAnsi="Palatino Linotype" w:cs="Arial"/>
          <w:color w:val="000000" w:themeColor="text1"/>
        </w:rPr>
        <w:t xml:space="preserve">, </w:t>
      </w:r>
      <w:r w:rsidRPr="007D7352">
        <w:rPr>
          <w:rFonts w:ascii="Palatino Linotype" w:hAnsi="Palatino Linotype"/>
          <w:bCs/>
        </w:rPr>
        <w:t>del</w:t>
      </w:r>
      <w:r>
        <w:rPr>
          <w:rFonts w:ascii="Palatino Linotype" w:hAnsi="Palatino Linotype"/>
          <w:bCs/>
        </w:rPr>
        <w:t xml:space="preserve"> mes de marzo del año 2021.</w:t>
      </w:r>
    </w:p>
    <w:p w:rsidR="0069269B" w:rsidRDefault="0069269B" w:rsidP="0082707D">
      <w:pPr>
        <w:spacing w:line="360" w:lineRule="auto"/>
        <w:jc w:val="both"/>
        <w:rPr>
          <w:rFonts w:ascii="Palatino Linotype" w:eastAsiaTheme="minorHAnsi" w:hAnsi="Palatino Linotype" w:cs="Arial"/>
          <w:lang w:val="es-MX" w:eastAsia="en-US"/>
        </w:rPr>
      </w:pPr>
    </w:p>
    <w:p w:rsidR="0082707D" w:rsidRDefault="0069269B" w:rsidP="0082707D">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Debiendo </w:t>
      </w:r>
      <w:r w:rsidR="0082707D" w:rsidRPr="00A97F43">
        <w:rPr>
          <w:rFonts w:ascii="Palatino Linotype" w:eastAsiaTheme="minorHAnsi" w:hAnsi="Palatino Linotype" w:cs="Arial"/>
          <w:lang w:val="es-MX" w:eastAsia="en-US"/>
        </w:rPr>
        <w:t xml:space="preserve">emitir y hacer entrega del Acuerdo del Comité de Transparencia en términos de los artículos 49, fracción VIII y 132 fracción II de la Ley de Transparencia y Acceso </w:t>
      </w:r>
      <w:r w:rsidR="0082707D" w:rsidRPr="00A97F43">
        <w:rPr>
          <w:rFonts w:ascii="Palatino Linotype" w:eastAsiaTheme="minorHAnsi" w:hAnsi="Palatino Linotype" w:cs="Arial"/>
          <w:lang w:val="es-MX" w:eastAsia="en-US"/>
        </w:rPr>
        <w:lastRenderedPageBreak/>
        <w:t>a la Información Pública del Estado de México y Municipios, en el que funde y motive la clasificación de los datos contenidos en la información proporcionada.</w:t>
      </w:r>
    </w:p>
    <w:p w:rsidR="0082707D" w:rsidRPr="00A97F43" w:rsidRDefault="0082707D" w:rsidP="0082707D">
      <w:pPr>
        <w:spacing w:line="360" w:lineRule="auto"/>
        <w:jc w:val="both"/>
        <w:rPr>
          <w:rFonts w:ascii="Palatino Linotype" w:eastAsiaTheme="minorHAnsi" w:hAnsi="Palatino Linotype" w:cs="Arial"/>
          <w:lang w:val="es-MX" w:eastAsia="en-US"/>
        </w:rPr>
      </w:pPr>
    </w:p>
    <w:p w:rsidR="0082707D" w:rsidRPr="00A97F43"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eastAsiaTheme="minorHAnsi" w:hAnsi="Palatino Linotype" w:cs="Arial"/>
          <w:b/>
          <w:sz w:val="28"/>
          <w:szCs w:val="28"/>
          <w:lang w:val="es-MX" w:eastAsia="en-US"/>
        </w:rPr>
        <w:t>TERCERO.</w:t>
      </w:r>
      <w:r w:rsidRPr="00A97F43">
        <w:rPr>
          <w:rFonts w:ascii="Palatino Linotype" w:eastAsiaTheme="minorHAnsi" w:hAnsi="Palatino Linotype" w:cs="Arial"/>
          <w:b/>
          <w:lang w:val="es-MX" w:eastAsia="en-US"/>
        </w:rPr>
        <w:t xml:space="preserve"> NOTIFÍQUESE</w:t>
      </w:r>
      <w:r w:rsidRPr="00A97F43">
        <w:rPr>
          <w:rFonts w:ascii="Palatino Linotype" w:eastAsiaTheme="minorHAnsi" w:hAnsi="Palatino Linotype" w:cs="Arial"/>
          <w:i/>
          <w:lang w:val="es-MX" w:eastAsia="en-US"/>
        </w:rPr>
        <w:t xml:space="preserve"> </w:t>
      </w:r>
      <w:r w:rsidRPr="00A97F43">
        <w:rPr>
          <w:rFonts w:ascii="Palatino Linotype" w:eastAsiaTheme="minorHAnsi" w:hAnsi="Palatino Linotype" w:cs="Arial"/>
          <w:lang w:val="es-MX" w:eastAsia="en-US"/>
        </w:rPr>
        <w:t>la presente resolución al Titular de la Unidad de Transparencia del</w:t>
      </w:r>
      <w:r w:rsidRPr="00A97F43">
        <w:rPr>
          <w:rFonts w:ascii="Palatino Linotype" w:eastAsiaTheme="minorHAnsi" w:hAnsi="Palatino Linotype" w:cs="Arial"/>
          <w:b/>
          <w:lang w:val="es-MX" w:eastAsia="en-US"/>
        </w:rPr>
        <w:t xml:space="preserve"> </w:t>
      </w:r>
      <w:r>
        <w:rPr>
          <w:rFonts w:ascii="Palatino Linotype" w:eastAsiaTheme="minorHAnsi" w:hAnsi="Palatino Linotype" w:cs="Arial"/>
          <w:b/>
          <w:lang w:val="es-MX" w:eastAsia="en-US"/>
        </w:rPr>
        <w:t>Sujeto Obligado</w:t>
      </w:r>
      <w:r w:rsidRPr="00A97F43">
        <w:rPr>
          <w:rFonts w:ascii="Palatino Linotype" w:eastAsiaTheme="minorHAnsi" w:hAnsi="Palatino Linotype" w:cs="Arial"/>
          <w:lang w:val="es-MX" w:eastAsia="en-US"/>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eastAsiaTheme="minorHAnsi" w:hAnsi="Palatino Linotype" w:cs="Arial"/>
          <w:lang w:val="es-MX" w:eastAsia="en-US"/>
        </w:rPr>
        <w:t>15 (quince)</w:t>
      </w:r>
      <w:r w:rsidRPr="00A97F43">
        <w:rPr>
          <w:rFonts w:ascii="Palatino Linotype" w:eastAsiaTheme="minorHAnsi" w:hAnsi="Palatino Linotype" w:cs="Arial"/>
          <w:lang w:val="es-MX" w:eastAsia="en-US"/>
        </w:rPr>
        <w:t xml:space="preserve"> días hábiles, debiendo informar a este Instituto en un plazo de tres días hábiles siguientes sobre el cumplimiento dado a la presente.</w:t>
      </w:r>
    </w:p>
    <w:p w:rsidR="0082707D" w:rsidRPr="00A97F43"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p>
    <w:p w:rsidR="0082707D" w:rsidRPr="00A97F43" w:rsidRDefault="0082707D" w:rsidP="0082707D">
      <w:pPr>
        <w:autoSpaceDE w:val="0"/>
        <w:autoSpaceDN w:val="0"/>
        <w:adjustRightInd w:val="0"/>
        <w:spacing w:line="360" w:lineRule="auto"/>
        <w:jc w:val="both"/>
        <w:rPr>
          <w:rFonts w:ascii="Palatino Linotype" w:hAnsi="Palatino Linotype" w:cs="Arial"/>
        </w:rPr>
      </w:pPr>
      <w:r w:rsidRPr="00A97F43">
        <w:rPr>
          <w:rFonts w:ascii="Palatino Linotype" w:eastAsiaTheme="minorHAnsi" w:hAnsi="Palatino Linotype" w:cs="Arial"/>
          <w:b/>
          <w:sz w:val="28"/>
          <w:szCs w:val="28"/>
          <w:lang w:val="es-MX" w:eastAsia="en-US"/>
        </w:rPr>
        <w:t>CUARTO.</w:t>
      </w:r>
      <w:r w:rsidRPr="00A97F43">
        <w:rPr>
          <w:rFonts w:ascii="Palatino Linotype" w:eastAsiaTheme="minorHAnsi" w:hAnsi="Palatino Linotype" w:cs="Arial"/>
          <w:b/>
          <w:lang w:val="es-MX" w:eastAsia="en-US"/>
        </w:rPr>
        <w:t xml:space="preserve"> </w:t>
      </w:r>
      <w:r w:rsidRPr="00A97F43">
        <w:rPr>
          <w:rFonts w:ascii="Palatino Linotype" w:hAnsi="Palatino Linotype" w:cs="Arial"/>
        </w:rPr>
        <w:t xml:space="preserve">De conformidad con el artículo 198 de la Ley de Transparencia y Acceso a la Información Pública del Estado de México y Municipios, de considerarlo procedente, el </w:t>
      </w:r>
      <w:r>
        <w:rPr>
          <w:rFonts w:ascii="Palatino Linotype" w:hAnsi="Palatino Linotype" w:cs="Arial"/>
        </w:rPr>
        <w:t>Sujeto Obligado</w:t>
      </w:r>
      <w:r w:rsidRPr="00A97F43">
        <w:rPr>
          <w:rFonts w:ascii="Palatino Linotype" w:hAnsi="Palatino Linotype" w:cs="Arial"/>
        </w:rPr>
        <w:t xml:space="preserve"> de manera fundada y motivada, podrá solicitar una ampliación de plazo para el cumplimiento de la presente resolución.</w:t>
      </w:r>
    </w:p>
    <w:p w:rsidR="0082707D" w:rsidRPr="00A97F43" w:rsidRDefault="0082707D" w:rsidP="0082707D">
      <w:pPr>
        <w:autoSpaceDE w:val="0"/>
        <w:autoSpaceDN w:val="0"/>
        <w:adjustRightInd w:val="0"/>
        <w:spacing w:line="360" w:lineRule="auto"/>
        <w:jc w:val="both"/>
        <w:rPr>
          <w:rFonts w:ascii="Palatino Linotype" w:hAnsi="Palatino Linotype" w:cs="Arial"/>
          <w:lang w:val="es-MX"/>
        </w:rPr>
      </w:pPr>
    </w:p>
    <w:p w:rsidR="0082707D" w:rsidRPr="00A97F43" w:rsidRDefault="0082707D" w:rsidP="0082707D">
      <w:pPr>
        <w:autoSpaceDE w:val="0"/>
        <w:autoSpaceDN w:val="0"/>
        <w:adjustRightInd w:val="0"/>
        <w:spacing w:line="360" w:lineRule="auto"/>
        <w:ind w:right="49"/>
        <w:jc w:val="both"/>
        <w:rPr>
          <w:rFonts w:ascii="Palatino Linotype" w:eastAsiaTheme="minorHAnsi" w:hAnsi="Palatino Linotype" w:cs="Arial"/>
          <w:lang w:val="es-MX" w:eastAsia="en-US"/>
        </w:rPr>
      </w:pPr>
      <w:r w:rsidRPr="00A97F43">
        <w:rPr>
          <w:rFonts w:ascii="Palatino Linotype" w:hAnsi="Palatino Linotype" w:cs="Arial"/>
          <w:b/>
          <w:sz w:val="28"/>
        </w:rPr>
        <w:t>QUINTO</w:t>
      </w:r>
      <w:r w:rsidRPr="00A97F43">
        <w:rPr>
          <w:rFonts w:ascii="Palatino Linotype" w:eastAsiaTheme="minorHAnsi" w:hAnsi="Palatino Linotype" w:cs="Arial"/>
          <w:b/>
          <w:lang w:val="es-MX" w:eastAsia="en-US"/>
        </w:rPr>
        <w:t>. NOTIFÍQUESE</w:t>
      </w:r>
      <w:r w:rsidRPr="00A97F43">
        <w:rPr>
          <w:rFonts w:ascii="Palatino Linotype" w:eastAsiaTheme="minorHAnsi" w:hAnsi="Palatino Linotype" w:cs="Arial"/>
          <w:lang w:val="es-MX" w:eastAsia="en-US"/>
        </w:rPr>
        <w:t xml:space="preserve"> a través del SAIMEX, al </w:t>
      </w:r>
      <w:r>
        <w:rPr>
          <w:rFonts w:ascii="Palatino Linotype" w:eastAsiaTheme="minorHAnsi" w:hAnsi="Palatino Linotype" w:cs="Arial"/>
          <w:b/>
          <w:lang w:val="es-MX" w:eastAsia="en-US"/>
        </w:rPr>
        <w:t>Recurrente</w:t>
      </w:r>
      <w:r w:rsidRPr="00A97F43">
        <w:rPr>
          <w:rFonts w:ascii="Palatino Linotype" w:eastAsiaTheme="minorHAnsi" w:hAnsi="Palatino Linotype" w:cs="Arial"/>
          <w:lang w:val="es-MX" w:eastAsia="en-U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82707D" w:rsidRDefault="008D3704" w:rsidP="0082707D">
      <w:pPr>
        <w:spacing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46406</wp:posOffset>
                </wp:positionH>
                <wp:positionV relativeFrom="paragraph">
                  <wp:posOffset>94309</wp:posOffset>
                </wp:positionV>
                <wp:extent cx="5683910" cy="1477671"/>
                <wp:effectExtent l="0" t="0" r="69215" b="65405"/>
                <wp:wrapNone/>
                <wp:docPr id="1" name="Conector recto de flecha 1"/>
                <wp:cNvGraphicFramePr/>
                <a:graphic xmlns:a="http://schemas.openxmlformats.org/drawingml/2006/main">
                  <a:graphicData uri="http://schemas.microsoft.com/office/word/2010/wordprocessingShape">
                    <wps:wsp>
                      <wps:cNvCnPr/>
                      <wps:spPr>
                        <a:xfrm>
                          <a:off x="0" y="0"/>
                          <a:ext cx="5683910" cy="1477671"/>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0287E99E" id="_x0000_t32" coordsize="21600,21600" o:spt="32" o:oned="t" path="m,l21600,21600e" filled="f">
                <v:path arrowok="t" fillok="f" o:connecttype="none"/>
                <o:lock v:ext="edit" shapetype="t"/>
              </v:shapetype>
              <v:shape id="Conector recto de flecha 1" o:spid="_x0000_s1026" type="#_x0000_t32" style="position:absolute;margin-left:3.65pt;margin-top:7.45pt;width:447.55pt;height:116.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" strokecolor="black [3200]" strokeweight="1.5pt">
                <v:stroke endarrow="block" joinstyle="miter"/>
              </v:shape>
            </w:pict>
          </mc:Fallback>
        </mc:AlternateContent>
      </w:r>
    </w:p>
    <w:p w:rsidR="0082707D" w:rsidRDefault="0082707D" w:rsidP="0082707D">
      <w:pPr>
        <w:spacing w:line="360" w:lineRule="auto"/>
        <w:jc w:val="both"/>
        <w:rPr>
          <w:rFonts w:ascii="Palatino Linotype" w:hAnsi="Palatino Linotype" w:cs="Arial"/>
          <w:lang w:val="es-MX"/>
        </w:rPr>
      </w:pPr>
    </w:p>
    <w:p w:rsidR="008D3704" w:rsidRDefault="008D3704" w:rsidP="0082707D">
      <w:pPr>
        <w:spacing w:line="360" w:lineRule="auto"/>
        <w:jc w:val="both"/>
        <w:rPr>
          <w:rFonts w:ascii="Palatino Linotype" w:hAnsi="Palatino Linotype" w:cs="Arial"/>
          <w:lang w:val="es-MX"/>
        </w:rPr>
      </w:pPr>
    </w:p>
    <w:p w:rsidR="008D3704" w:rsidRDefault="008D3704" w:rsidP="0082707D">
      <w:pPr>
        <w:spacing w:line="360" w:lineRule="auto"/>
        <w:jc w:val="both"/>
        <w:rPr>
          <w:rFonts w:ascii="Palatino Linotype" w:hAnsi="Palatino Linotype" w:cs="Arial"/>
          <w:lang w:val="es-MX"/>
        </w:rPr>
      </w:pPr>
    </w:p>
    <w:p w:rsidR="008D3704" w:rsidRPr="00A97F43" w:rsidRDefault="008D3704" w:rsidP="0082707D">
      <w:pPr>
        <w:spacing w:line="360" w:lineRule="auto"/>
        <w:jc w:val="both"/>
        <w:rPr>
          <w:rFonts w:ascii="Palatino Linotype" w:hAnsi="Palatino Linotype" w:cs="Arial"/>
          <w:lang w:val="es-MX"/>
        </w:rPr>
      </w:pPr>
    </w:p>
    <w:p w:rsidR="0082707D" w:rsidRDefault="0082707D" w:rsidP="0082707D">
      <w:pPr>
        <w:spacing w:line="360" w:lineRule="auto"/>
        <w:jc w:val="both"/>
        <w:rPr>
          <w:rFonts w:ascii="Palatino Linotype" w:hAnsi="Palatino Linotype" w:cs="Arial"/>
        </w:rPr>
      </w:pPr>
      <w:r w:rsidRPr="00883E54">
        <w:rPr>
          <w:rFonts w:ascii="Palatino Linotype" w:hAnsi="Palatino Linotype" w:cs="Arial"/>
        </w:rPr>
        <w:lastRenderedPageBreak/>
        <w:t xml:space="preserve">ASÍ LO RESUELVE, POR </w:t>
      </w:r>
      <w:r>
        <w:rPr>
          <w:rFonts w:ascii="Palatino Linotype" w:hAnsi="Palatino Linotype" w:cs="Arial"/>
        </w:rPr>
        <w:t>UNANIMIDAD DE VOTOS</w:t>
      </w:r>
      <w:r w:rsidRPr="00883E54">
        <w:rPr>
          <w:rFonts w:ascii="Palatino Linotype" w:hAnsi="Palatino Linotype" w:cs="Arial"/>
        </w:rPr>
        <w:t xml:space="preserve">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xml:space="preserve">, CONFORMADO POR LOS COMISIONADOS ZULEMA MARTÍNEZ SÁNCHEZ, EVA ABAID YAPUR, JAVIER </w:t>
      </w:r>
      <w:r w:rsidRPr="00431F28">
        <w:rPr>
          <w:rFonts w:ascii="Palatino Linotype" w:hAnsi="Palatino Linotype" w:cs="Arial"/>
        </w:rPr>
        <w:t>MARTÍNEZ CRUZ</w:t>
      </w:r>
      <w:r w:rsidR="00A45684">
        <w:rPr>
          <w:rFonts w:ascii="Palatino Linotype" w:hAnsi="Palatino Linotype" w:cs="Arial"/>
        </w:rPr>
        <w:t xml:space="preserve"> (EMITIENDO VOTO PARTICULAR)</w:t>
      </w:r>
      <w:r>
        <w:rPr>
          <w:rFonts w:ascii="Palatino Linotype" w:hAnsi="Palatino Linotype" w:cs="Arial"/>
        </w:rPr>
        <w:t xml:space="preserve"> Y LUIS GUSTAVO PARRA NORIEGA</w:t>
      </w:r>
      <w:r w:rsidR="00A45684">
        <w:rPr>
          <w:rFonts w:ascii="Palatino Linotype" w:hAnsi="Palatino Linotype" w:cs="Arial"/>
        </w:rPr>
        <w:t xml:space="preserve"> (EMITIENDO VOTO PARTICULAR)</w:t>
      </w:r>
      <w:r w:rsidRPr="00431F28">
        <w:rPr>
          <w:rFonts w:ascii="Palatino Linotype" w:hAnsi="Palatino Linotype" w:cs="Arial"/>
        </w:rPr>
        <w:t>, EN LA</w:t>
      </w:r>
      <w:r>
        <w:rPr>
          <w:rFonts w:ascii="Palatino Linotype" w:hAnsi="Palatino Linotype" w:cs="Arial"/>
        </w:rPr>
        <w:t xml:space="preserve"> VIGÉSIMA </w:t>
      </w:r>
      <w:r w:rsidR="00A45684">
        <w:rPr>
          <w:rFonts w:ascii="Palatino Linotype" w:hAnsi="Palatino Linotype" w:cs="Arial"/>
        </w:rPr>
        <w:t>QUINTA</w:t>
      </w:r>
      <w:r w:rsidR="008D3704">
        <w:rPr>
          <w:rFonts w:ascii="Palatino Linotype" w:hAnsi="Palatino Linotype" w:cs="Arial"/>
        </w:rPr>
        <w:t xml:space="preserve"> </w:t>
      </w:r>
      <w:r>
        <w:rPr>
          <w:rFonts w:ascii="Palatino Linotype" w:hAnsi="Palatino Linotype" w:cs="Arial"/>
        </w:rPr>
        <w:t xml:space="preserve">SESION </w:t>
      </w:r>
      <w:r w:rsidRPr="00431F28">
        <w:rPr>
          <w:rFonts w:ascii="Palatino Linotype" w:hAnsi="Palatino Linotype" w:cs="Arial"/>
        </w:rPr>
        <w:t>ORDINARIA CELEBRADA EL</w:t>
      </w:r>
      <w:r w:rsidR="008D3704">
        <w:rPr>
          <w:rFonts w:ascii="Palatino Linotype" w:hAnsi="Palatino Linotype" w:cs="Arial"/>
        </w:rPr>
        <w:t xml:space="preserve"> CATORCE DE JULIO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82707D" w:rsidRDefault="0082707D" w:rsidP="0082707D">
      <w:pPr>
        <w:spacing w:line="360" w:lineRule="auto"/>
        <w:jc w:val="both"/>
        <w:rPr>
          <w:rFonts w:ascii="Palatino Linotype" w:hAnsi="Palatino Linotype" w:cs="Arial"/>
        </w:rPr>
      </w:pPr>
      <w:r>
        <w:rPr>
          <w:rFonts w:ascii="Palatino Linotype" w:hAnsi="Palatino Linotype" w:cs="Arial"/>
        </w:rPr>
        <w:t>------------------------------------------------------------------------------------------------------------------</w:t>
      </w:r>
    </w:p>
    <w:p w:rsidR="00D303A7" w:rsidRDefault="00D303A7" w:rsidP="00D303A7">
      <w:pPr>
        <w:spacing w:line="360" w:lineRule="auto"/>
        <w:jc w:val="both"/>
        <w:rPr>
          <w:rFonts w:ascii="Palatino Linotype" w:hAnsi="Palatino Linotype" w:cs="Arial"/>
        </w:rPr>
      </w:pPr>
      <w:r>
        <w:rPr>
          <w:rFonts w:ascii="Palatino Linotype" w:hAnsi="Palatino Linotype" w:cs="Arial"/>
        </w:rPr>
        <w:t>------------------------------------------------------------------------------------------------------------------</w:t>
      </w:r>
    </w:p>
    <w:p w:rsidR="00D303A7" w:rsidRDefault="00D303A7" w:rsidP="00D303A7">
      <w:pPr>
        <w:spacing w:line="360" w:lineRule="auto"/>
        <w:jc w:val="both"/>
        <w:rPr>
          <w:rFonts w:ascii="Palatino Linotype" w:hAnsi="Palatino Linotype" w:cs="Arial"/>
        </w:rPr>
      </w:pPr>
      <w:r>
        <w:rPr>
          <w:rFonts w:ascii="Palatino Linotype" w:hAnsi="Palatino Linotype" w:cs="Arial"/>
        </w:rPr>
        <w:t>------------------------------------------------------------------------------------------------------------------</w:t>
      </w:r>
    </w:p>
    <w:p w:rsidR="00D303A7" w:rsidRDefault="00D303A7" w:rsidP="00D303A7">
      <w:pPr>
        <w:spacing w:line="360" w:lineRule="auto"/>
        <w:jc w:val="both"/>
        <w:rPr>
          <w:rFonts w:ascii="Palatino Linotype" w:hAnsi="Palatino Linotype" w:cs="Arial"/>
        </w:rPr>
      </w:pPr>
      <w:r>
        <w:rPr>
          <w:rFonts w:ascii="Palatino Linotype" w:hAnsi="Palatino Linotype" w:cs="Arial"/>
        </w:rPr>
        <w:t>------------------------------------------------------------------------------------------------------------------</w:t>
      </w:r>
    </w:p>
    <w:p w:rsidR="00D303A7" w:rsidRDefault="00D303A7" w:rsidP="00D303A7">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D3704" w:rsidRDefault="008D3704" w:rsidP="008D3704">
      <w:pPr>
        <w:spacing w:line="360" w:lineRule="auto"/>
        <w:jc w:val="both"/>
        <w:rPr>
          <w:rFonts w:ascii="Palatino Linotype" w:hAnsi="Palatino Linotype" w:cs="Arial"/>
        </w:rPr>
      </w:pPr>
      <w:r>
        <w:rPr>
          <w:rFonts w:ascii="Palatino Linotype" w:hAnsi="Palatino Linotype" w:cs="Arial"/>
        </w:rPr>
        <w:t>------------------------------------------------------------------------------------------------------------------</w:t>
      </w:r>
    </w:p>
    <w:p w:rsidR="0082707D" w:rsidRPr="00DE4568" w:rsidRDefault="0082707D" w:rsidP="0082707D">
      <w:pPr>
        <w:spacing w:line="360" w:lineRule="auto"/>
        <w:jc w:val="both"/>
        <w:rPr>
          <w:rFonts w:ascii="Palatino Linotype" w:hAnsi="Palatino Linotype" w:cs="Arial"/>
          <w:sz w:val="20"/>
        </w:rPr>
      </w:pPr>
      <w:r w:rsidRPr="00DE4568">
        <w:rPr>
          <w:rFonts w:ascii="Palatino Linotype" w:hAnsi="Palatino Linotype" w:cs="Arial"/>
          <w:sz w:val="20"/>
        </w:rPr>
        <w:t>OSAM/HAP</w:t>
      </w:r>
    </w:p>
    <w:p w:rsidR="0082707D" w:rsidRDefault="0082707D" w:rsidP="0082707D">
      <w:pPr>
        <w:spacing w:line="360" w:lineRule="auto"/>
        <w:jc w:val="both"/>
        <w:rPr>
          <w:rFonts w:ascii="Palatino Linotype" w:hAnsi="Palatino Linotype" w:cs="Arial"/>
        </w:rPr>
      </w:pPr>
    </w:p>
    <w:p w:rsidR="0082707D" w:rsidRDefault="0082707D" w:rsidP="0082707D">
      <w:pPr>
        <w:spacing w:line="360" w:lineRule="auto"/>
        <w:jc w:val="both"/>
        <w:rPr>
          <w:rFonts w:ascii="Palatino Linotype" w:hAnsi="Palatino Linotype" w:cs="Arial"/>
        </w:rPr>
      </w:pPr>
    </w:p>
    <w:p w:rsidR="0082707D" w:rsidRDefault="0082707D" w:rsidP="0082707D">
      <w:pPr>
        <w:spacing w:line="360" w:lineRule="auto"/>
        <w:jc w:val="both"/>
        <w:rPr>
          <w:rFonts w:ascii="Palatino Linotype" w:hAnsi="Palatino Linotype" w:cs="Arial"/>
        </w:rPr>
      </w:pPr>
    </w:p>
    <w:p w:rsidR="0082707D" w:rsidRDefault="0082707D" w:rsidP="0082707D"/>
    <w:p w:rsidR="0082707D" w:rsidRDefault="0082707D" w:rsidP="0082707D"/>
    <w:p w:rsidR="0082707D" w:rsidRDefault="0082707D" w:rsidP="0082707D"/>
    <w:p w:rsidR="0082707D" w:rsidRDefault="0082707D" w:rsidP="0082707D"/>
    <w:p w:rsidR="0082707D" w:rsidRDefault="0082707D" w:rsidP="0082707D"/>
    <w:p w:rsidR="0082707D" w:rsidRDefault="0082707D" w:rsidP="0082707D"/>
    <w:p w:rsidR="0082707D" w:rsidRDefault="0082707D" w:rsidP="0082707D"/>
    <w:p w:rsidR="00C86533" w:rsidRDefault="00C86533"/>
    <w:sectPr w:rsidR="00C86533" w:rsidSect="00203650">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977" w:rsidRDefault="00F65977" w:rsidP="0082707D">
      <w:r>
        <w:separator/>
      </w:r>
    </w:p>
  </w:endnote>
  <w:endnote w:type="continuationSeparator" w:id="0">
    <w:p w:rsidR="00F65977" w:rsidRDefault="00F65977" w:rsidP="0082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52" w:rsidRPr="00A2780F" w:rsidRDefault="00E27860"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47D4">
      <w:rPr>
        <w:rFonts w:ascii="Arial" w:hAnsi="Arial" w:cs="Arial"/>
        <w:b/>
        <w:bCs/>
        <w:noProof/>
        <w:sz w:val="20"/>
        <w:szCs w:val="20"/>
      </w:rPr>
      <w:t>27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47D4">
      <w:rPr>
        <w:rFonts w:ascii="Arial" w:hAnsi="Arial" w:cs="Arial"/>
        <w:b/>
        <w:bCs/>
        <w:noProof/>
        <w:sz w:val="20"/>
        <w:szCs w:val="20"/>
      </w:rPr>
      <w:t>27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352" w:rsidRPr="00070856" w:rsidRDefault="00E27860" w:rsidP="0020365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A447D4">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A447D4">
      <w:rPr>
        <w:rFonts w:ascii="Arial" w:hAnsi="Arial" w:cs="Arial"/>
        <w:b/>
        <w:bCs/>
        <w:noProof/>
        <w:sz w:val="20"/>
        <w:szCs w:val="20"/>
      </w:rPr>
      <w:t>27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977" w:rsidRDefault="00F65977" w:rsidP="0082707D">
      <w:r>
        <w:separator/>
      </w:r>
    </w:p>
  </w:footnote>
  <w:footnote w:type="continuationSeparator" w:id="0">
    <w:p w:rsidR="00F65977" w:rsidRDefault="00F65977" w:rsidP="0082707D">
      <w:r>
        <w:continuationSeparator/>
      </w:r>
    </w:p>
  </w:footnote>
  <w:footnote w:id="1">
    <w:p w:rsidR="0082707D" w:rsidRPr="00946E1F" w:rsidRDefault="0082707D" w:rsidP="0082707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82707D" w:rsidRPr="00E74580" w:rsidRDefault="0082707D" w:rsidP="0082707D">
      <w:pPr>
        <w:pStyle w:val="Textonotapie"/>
        <w:rPr>
          <w:rFonts w:ascii="Palatino Linotype" w:hAnsi="Palatino Linotype"/>
          <w:i/>
        </w:rPr>
      </w:pPr>
      <w:r>
        <w:rPr>
          <w:rStyle w:val="Refdenotaalpie"/>
        </w:rPr>
        <w:footnoteRef/>
      </w:r>
      <w:r>
        <w:t xml:space="preserve"> </w:t>
      </w:r>
      <w:r w:rsidRPr="00E74580">
        <w:rPr>
          <w:rFonts w:ascii="Palatino Linotype" w:hAnsi="Palatino Linotype"/>
          <w:b/>
          <w:i/>
        </w:rPr>
        <w:t>Artículo 179.</w:t>
      </w:r>
      <w:r w:rsidRPr="00E74580">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E74580">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E74580">
        <w:rPr>
          <w:rFonts w:ascii="Palatino Linotype" w:hAnsi="Palatino Linotype"/>
          <w:i/>
        </w:rPr>
        <w:t>causas:</w:t>
      </w:r>
    </w:p>
    <w:p w:rsidR="0082707D" w:rsidRPr="00E74580" w:rsidRDefault="0082707D" w:rsidP="0082707D">
      <w:pPr>
        <w:pStyle w:val="Textonotapie"/>
        <w:rPr>
          <w:rFonts w:ascii="Palatino Linotype" w:hAnsi="Palatino Linotype"/>
          <w:i/>
        </w:rPr>
      </w:pPr>
      <w:r w:rsidRPr="00E74580">
        <w:rPr>
          <w:rFonts w:ascii="Palatino Linotype" w:hAnsi="Palatino Linotype"/>
          <w:i/>
        </w:rPr>
        <w:t>(…)</w:t>
      </w:r>
    </w:p>
    <w:p w:rsidR="0082707D" w:rsidRPr="00E74580" w:rsidRDefault="0082707D" w:rsidP="0082707D">
      <w:pPr>
        <w:pStyle w:val="Textonotapie"/>
        <w:rPr>
          <w:lang w:val="es-MX"/>
        </w:rPr>
      </w:pPr>
      <w:r w:rsidRPr="00E74580">
        <w:rPr>
          <w:rFonts w:ascii="Palatino Linotype" w:hAnsi="Palatino Linotype"/>
          <w:b/>
          <w:i/>
          <w:lang w:val="es-MX"/>
        </w:rPr>
        <w:t>VII</w:t>
      </w:r>
      <w:r w:rsidRPr="00E74580">
        <w:rPr>
          <w:rFonts w:ascii="Palatino Linotype" w:hAnsi="Palatino Linotype"/>
          <w:i/>
          <w:lang w:val="es-MX"/>
        </w:rPr>
        <w:t>. La falta de respuesta a una solicitud de acceso a la información;</w:t>
      </w:r>
    </w:p>
  </w:footnote>
  <w:footnote w:id="3">
    <w:p w:rsidR="0082707D" w:rsidRPr="00CC03D4" w:rsidRDefault="0082707D" w:rsidP="0082707D">
      <w:pPr>
        <w:pStyle w:val="Textonotapie"/>
        <w:jc w:val="both"/>
        <w:rPr>
          <w:rFonts w:ascii="Palatino Linotype" w:hAnsi="Palatino Linotype"/>
          <w:i/>
        </w:rPr>
      </w:pPr>
      <w:r>
        <w:rPr>
          <w:rStyle w:val="Refdenotaalpie"/>
        </w:rPr>
        <w:footnoteRef/>
      </w:r>
      <w:r>
        <w:t xml:space="preserve"> </w:t>
      </w:r>
      <w:r w:rsidRPr="00CC03D4">
        <w:rPr>
          <w:rFonts w:ascii="Palatino Linotype" w:hAnsi="Palatino Linotype"/>
          <w:b/>
          <w:i/>
        </w:rPr>
        <w:t>Artículo 179.</w:t>
      </w:r>
      <w:r w:rsidRPr="00CC03D4">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CC03D4">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CC03D4">
        <w:rPr>
          <w:rFonts w:ascii="Palatino Linotype" w:hAnsi="Palatino Linotype"/>
          <w:i/>
        </w:rPr>
        <w:t>causas:</w:t>
      </w:r>
    </w:p>
    <w:p w:rsidR="0082707D" w:rsidRPr="00CC03D4" w:rsidRDefault="0082707D" w:rsidP="0082707D">
      <w:pPr>
        <w:pStyle w:val="Textonotapie"/>
        <w:jc w:val="both"/>
        <w:rPr>
          <w:rFonts w:ascii="Palatino Linotype" w:hAnsi="Palatino Linotype"/>
          <w:i/>
        </w:rPr>
      </w:pPr>
      <w:r w:rsidRPr="00CC03D4">
        <w:rPr>
          <w:rFonts w:ascii="Palatino Linotype" w:hAnsi="Palatino Linotype"/>
          <w:i/>
        </w:rPr>
        <w:t>(…)</w:t>
      </w:r>
    </w:p>
    <w:p w:rsidR="0082707D" w:rsidRPr="009E21AC" w:rsidRDefault="009E21AC" w:rsidP="009E21AC">
      <w:pPr>
        <w:pStyle w:val="Textonotapie"/>
        <w:jc w:val="both"/>
      </w:pPr>
      <w:r w:rsidRPr="009E21AC">
        <w:rPr>
          <w:rFonts w:ascii="Palatino Linotype" w:hAnsi="Palatino Linotype"/>
          <w:b/>
          <w:i/>
        </w:rPr>
        <w:t>IX</w:t>
      </w:r>
      <w:r w:rsidRPr="009E21AC">
        <w:rPr>
          <w:rFonts w:ascii="Palatino Linotype" w:hAnsi="Palatino Linotype"/>
          <w:i/>
        </w:rPr>
        <w:t>. La entrega o puesta a disposición de información en un formato incomprensible y/o no accesible</w:t>
      </w:r>
      <w:r>
        <w:rPr>
          <w:rFonts w:ascii="Palatino Linotype" w:hAnsi="Palatino Linotype"/>
          <w:i/>
        </w:rPr>
        <w:t xml:space="preserve"> </w:t>
      </w:r>
      <w:r w:rsidRPr="009E21AC">
        <w:rPr>
          <w:rFonts w:ascii="Palatino Linotype" w:hAnsi="Palatino Linotype"/>
          <w:i/>
        </w:rPr>
        <w:t>para el solicitante</w:t>
      </w:r>
      <w:r w:rsidR="0082707D" w:rsidRPr="009E21AC">
        <w:rPr>
          <w:rFonts w:ascii="Palatino Linotype" w:hAnsi="Palatino Linotype"/>
          <w:i/>
        </w:rPr>
        <w:t>;</w:t>
      </w:r>
    </w:p>
  </w:footnote>
  <w:footnote w:id="4">
    <w:p w:rsidR="0082707D" w:rsidRPr="00A8601B" w:rsidRDefault="0082707D" w:rsidP="0082707D">
      <w:pPr>
        <w:pStyle w:val="Textonotapie"/>
        <w:jc w:val="both"/>
        <w:rPr>
          <w:rFonts w:ascii="Palatino Linotype" w:hAnsi="Palatino Linotype"/>
          <w:i/>
        </w:rPr>
      </w:pPr>
      <w:r>
        <w:rPr>
          <w:rStyle w:val="Refdenotaalpie"/>
        </w:rPr>
        <w:footnoteRef/>
      </w:r>
      <w:r>
        <w:t xml:space="preserve"> </w:t>
      </w:r>
      <w:r w:rsidRPr="00A8601B">
        <w:rPr>
          <w:rFonts w:ascii="Palatino Linotype" w:hAnsi="Palatino Linotype"/>
          <w:i/>
        </w:rPr>
        <w:t>“</w:t>
      </w:r>
      <w:r w:rsidRPr="00A8601B">
        <w:rPr>
          <w:rFonts w:ascii="Palatino Linotype" w:hAnsi="Palatino Linotype"/>
          <w:b/>
          <w:i/>
        </w:rPr>
        <w:t>Artículo 4</w:t>
      </w:r>
      <w:r w:rsidRPr="00A8601B">
        <w:rPr>
          <w:rFonts w:ascii="Palatino Linotype" w:hAnsi="Palatino Linotype"/>
          <w:i/>
        </w:rPr>
        <w:t>. El derecho humano de acceso a la información pública es la prerrogativa de las personas para buscar, difundir, investigar, recabar, recibir y solicitar información pública, sin necesidad de acreditar personalidad ni interés jurídico.</w:t>
      </w:r>
    </w:p>
    <w:p w:rsidR="0082707D" w:rsidRPr="00A8601B" w:rsidRDefault="0082707D" w:rsidP="0082707D">
      <w:pPr>
        <w:pStyle w:val="Textonotapie"/>
        <w:jc w:val="both"/>
        <w:rPr>
          <w:rFonts w:ascii="Palatino Linotype" w:hAnsi="Palatino Linotype"/>
          <w:i/>
        </w:rPr>
      </w:pPr>
    </w:p>
    <w:p w:rsidR="0082707D" w:rsidRPr="00A8601B" w:rsidRDefault="0082707D" w:rsidP="0082707D">
      <w:pPr>
        <w:pStyle w:val="Textonotapie"/>
        <w:jc w:val="both"/>
        <w:rPr>
          <w:rFonts w:ascii="Palatino Linotype" w:hAnsi="Palatino Linotype"/>
          <w:i/>
        </w:rPr>
      </w:pPr>
      <w:r w:rsidRPr="00A8601B">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2707D" w:rsidRPr="00A8601B" w:rsidRDefault="0082707D" w:rsidP="0082707D">
      <w:pPr>
        <w:pStyle w:val="Textonotapie"/>
        <w:jc w:val="both"/>
        <w:rPr>
          <w:rFonts w:ascii="Palatino Linotype" w:hAnsi="Palatino Linotype"/>
          <w:i/>
        </w:rPr>
      </w:pPr>
      <w:r w:rsidRPr="00A8601B">
        <w:rPr>
          <w:rFonts w:ascii="Palatino Linotype" w:hAnsi="Palatino Linotype"/>
          <w:i/>
        </w:rPr>
        <w:t>[…]</w:t>
      </w:r>
    </w:p>
    <w:p w:rsidR="0082707D" w:rsidRPr="00A8601B" w:rsidRDefault="0082707D" w:rsidP="0082707D">
      <w:pPr>
        <w:pStyle w:val="Textonotapie"/>
        <w:jc w:val="both"/>
        <w:rPr>
          <w:rFonts w:ascii="Palatino Linotype" w:hAnsi="Palatino Linotype"/>
          <w:i/>
        </w:rPr>
      </w:pPr>
    </w:p>
    <w:p w:rsidR="0082707D" w:rsidRPr="00A8601B" w:rsidRDefault="0082707D" w:rsidP="0082707D">
      <w:pPr>
        <w:pStyle w:val="Textonotapie"/>
        <w:jc w:val="both"/>
        <w:rPr>
          <w:rFonts w:ascii="Palatino Linotype" w:hAnsi="Palatino Linotype"/>
          <w:i/>
        </w:rPr>
      </w:pPr>
      <w:r w:rsidRPr="00A8601B">
        <w:rPr>
          <w:rFonts w:ascii="Palatino Linotype" w:hAnsi="Palatino Linotype"/>
          <w:b/>
          <w:i/>
        </w:rPr>
        <w:t>Artículo 12.</w:t>
      </w:r>
      <w:r w:rsidRPr="00A8601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2707D" w:rsidRPr="00A8601B" w:rsidRDefault="0082707D" w:rsidP="0082707D">
      <w:pPr>
        <w:pStyle w:val="Textonotapie"/>
        <w:jc w:val="both"/>
        <w:rPr>
          <w:rFonts w:ascii="Palatino Linotype" w:hAnsi="Palatino Linotype"/>
          <w:i/>
        </w:rPr>
      </w:pPr>
    </w:p>
    <w:p w:rsidR="0082707D" w:rsidRPr="00A8601B" w:rsidRDefault="0082707D" w:rsidP="0082707D">
      <w:pPr>
        <w:pStyle w:val="Textonotapie"/>
        <w:jc w:val="both"/>
        <w:rPr>
          <w:rFonts w:ascii="Palatino Linotype" w:hAnsi="Palatino Linotype"/>
          <w:i/>
        </w:rPr>
      </w:pPr>
      <w:r w:rsidRPr="00A8601B">
        <w:rPr>
          <w:rFonts w:ascii="Palatino Linotype" w:hAnsi="Palatino Linotype"/>
          <w:b/>
          <w:i/>
        </w:rPr>
        <w:t>Los sujetos obligados sólo proporcionarán la información pública que se les requiera y que obre en sus archivos y en el estado en que ésta se encuentre</w:t>
      </w:r>
      <w:r w:rsidRPr="00A8601B">
        <w:rPr>
          <w:rFonts w:ascii="Palatino Linotype" w:hAnsi="Palatino Linotype"/>
          <w:i/>
        </w:rPr>
        <w:t>. La obligación de proporcionar información no comprende el procesamiento de la misma, ni el presentarla conforme al interés del solicitante; no estarán obligados a generarla, resumirla, efectuar cálculos o practicar investigaciones.”</w:t>
      </w:r>
    </w:p>
    <w:p w:rsidR="0082707D" w:rsidRDefault="0082707D" w:rsidP="0082707D">
      <w:pPr>
        <w:pStyle w:val="Textonotapie"/>
        <w:jc w:val="right"/>
      </w:pPr>
      <w:r w:rsidRPr="00A8601B">
        <w:rPr>
          <w:rFonts w:ascii="Palatino Linotype" w:hAnsi="Palatino Linotype"/>
          <w:i/>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C6" w:rsidRDefault="00F6597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575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694"/>
      <w:gridCol w:w="5811"/>
    </w:tblGrid>
    <w:tr w:rsidR="007D7352" w:rsidRPr="008F2CCC" w:rsidTr="00203650">
      <w:tc>
        <w:tcPr>
          <w:tcW w:w="2694" w:type="dxa"/>
          <w:shd w:val="clear" w:color="auto" w:fill="auto"/>
        </w:tcPr>
        <w:p w:rsidR="007D7352" w:rsidRPr="00807CDA" w:rsidRDefault="00E27860" w:rsidP="00203650">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5811" w:type="dxa"/>
          <w:shd w:val="clear" w:color="auto" w:fill="auto"/>
          <w:vAlign w:val="center"/>
        </w:tcPr>
        <w:p w:rsidR="007D7352" w:rsidRPr="00664658" w:rsidRDefault="00E27860" w:rsidP="0082707D">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82707D">
            <w:rPr>
              <w:rFonts w:ascii="Palatino Linotype" w:hAnsi="Palatino Linotype"/>
              <w:b/>
              <w:sz w:val="22"/>
              <w:szCs w:val="22"/>
              <w:lang w:val="es-ES_tradnl"/>
            </w:rPr>
            <w:t>715</w:t>
          </w:r>
          <w:r>
            <w:rPr>
              <w:rFonts w:ascii="Palatino Linotype" w:hAnsi="Palatino Linotype"/>
              <w:b/>
              <w:sz w:val="22"/>
              <w:szCs w:val="22"/>
              <w:lang w:val="es-ES_tradnl"/>
            </w:rPr>
            <w:t>/INFOEM/IP/RR/2021</w:t>
          </w:r>
        </w:p>
      </w:tc>
    </w:tr>
    <w:tr w:rsidR="007D7352" w:rsidRPr="008F2CCC" w:rsidTr="00203650">
      <w:tc>
        <w:tcPr>
          <w:tcW w:w="2694" w:type="dxa"/>
          <w:shd w:val="clear" w:color="auto" w:fill="auto"/>
        </w:tcPr>
        <w:p w:rsidR="007D7352" w:rsidRPr="00807CDA" w:rsidRDefault="00E27860" w:rsidP="00203650">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5811" w:type="dxa"/>
          <w:shd w:val="clear" w:color="auto" w:fill="auto"/>
          <w:vAlign w:val="center"/>
        </w:tcPr>
        <w:p w:rsidR="007D7352" w:rsidRPr="00664658" w:rsidRDefault="0082707D" w:rsidP="00203650">
          <w:pPr>
            <w:spacing w:line="276" w:lineRule="auto"/>
            <w:jc w:val="right"/>
            <w:rPr>
              <w:rFonts w:ascii="Palatino Linotype" w:hAnsi="Palatino Linotype"/>
              <w:b/>
              <w:sz w:val="22"/>
              <w:szCs w:val="22"/>
              <w:lang w:val="es-ES_tradnl"/>
            </w:rPr>
          </w:pPr>
          <w:r w:rsidRPr="0082707D">
            <w:rPr>
              <w:rFonts w:ascii="Palatino Linotype" w:hAnsi="Palatino Linotype"/>
              <w:b/>
              <w:sz w:val="22"/>
              <w:szCs w:val="22"/>
            </w:rPr>
            <w:t>Ayuntamiento de Atizapán de Zaragoza</w:t>
          </w:r>
        </w:p>
      </w:tc>
    </w:tr>
    <w:tr w:rsidR="007D7352" w:rsidRPr="008F2CCC" w:rsidTr="00203650">
      <w:trPr>
        <w:trHeight w:val="228"/>
      </w:trPr>
      <w:tc>
        <w:tcPr>
          <w:tcW w:w="2694" w:type="dxa"/>
          <w:shd w:val="clear" w:color="auto" w:fill="auto"/>
        </w:tcPr>
        <w:p w:rsidR="007D7352" w:rsidRPr="00807CDA" w:rsidRDefault="00E27860" w:rsidP="00203650">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5811" w:type="dxa"/>
          <w:shd w:val="clear" w:color="auto" w:fill="auto"/>
        </w:tcPr>
        <w:p w:rsidR="007D7352" w:rsidRPr="00664658" w:rsidRDefault="00E27860" w:rsidP="0020365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D7352" w:rsidRPr="001779E0" w:rsidRDefault="00F65977" w:rsidP="00203650">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575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505" w:type="dxa"/>
      <w:tblInd w:w="567" w:type="dxa"/>
      <w:tblLayout w:type="fixed"/>
      <w:tblLook w:val="04A0" w:firstRow="1" w:lastRow="0" w:firstColumn="1" w:lastColumn="0" w:noHBand="0" w:noVBand="1"/>
    </w:tblPr>
    <w:tblGrid>
      <w:gridCol w:w="2410"/>
      <w:gridCol w:w="6095"/>
    </w:tblGrid>
    <w:tr w:rsidR="007D7352" w:rsidRPr="008F2CCC" w:rsidTr="00203650">
      <w:tc>
        <w:tcPr>
          <w:tcW w:w="2410" w:type="dxa"/>
          <w:shd w:val="clear" w:color="auto" w:fill="auto"/>
        </w:tcPr>
        <w:p w:rsidR="007D7352" w:rsidRPr="00807CDA" w:rsidRDefault="00E27860" w:rsidP="00203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6095" w:type="dxa"/>
          <w:shd w:val="clear" w:color="auto" w:fill="auto"/>
          <w:vAlign w:val="center"/>
        </w:tcPr>
        <w:p w:rsidR="007D7352" w:rsidRPr="008F2CCC" w:rsidRDefault="00E27860" w:rsidP="0082707D">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82707D">
            <w:rPr>
              <w:rFonts w:ascii="Palatino Linotype" w:hAnsi="Palatino Linotype"/>
              <w:b/>
              <w:sz w:val="22"/>
              <w:szCs w:val="22"/>
              <w:lang w:val="es-ES_tradnl"/>
            </w:rPr>
            <w:t>715</w:t>
          </w:r>
          <w:r>
            <w:rPr>
              <w:rFonts w:ascii="Palatino Linotype" w:hAnsi="Palatino Linotype"/>
              <w:b/>
              <w:sz w:val="22"/>
              <w:szCs w:val="22"/>
              <w:lang w:val="es-ES_tradnl"/>
            </w:rPr>
            <w:t>/INFOEM/IP/RR/2021</w:t>
          </w:r>
        </w:p>
      </w:tc>
    </w:tr>
    <w:tr w:rsidR="007D7352" w:rsidRPr="008F2CCC" w:rsidTr="00203650">
      <w:tc>
        <w:tcPr>
          <w:tcW w:w="2410" w:type="dxa"/>
          <w:shd w:val="clear" w:color="auto" w:fill="auto"/>
          <w:vAlign w:val="center"/>
        </w:tcPr>
        <w:p w:rsidR="007D7352" w:rsidRPr="00807CDA" w:rsidRDefault="00E27860"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6095" w:type="dxa"/>
          <w:shd w:val="clear" w:color="auto" w:fill="auto"/>
          <w:vAlign w:val="center"/>
        </w:tcPr>
        <w:p w:rsidR="007D7352" w:rsidRPr="008F2CCC" w:rsidRDefault="00A447D4"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7D7352" w:rsidRPr="008F2CCC" w:rsidTr="00203650">
      <w:trPr>
        <w:trHeight w:val="228"/>
      </w:trPr>
      <w:tc>
        <w:tcPr>
          <w:tcW w:w="2410" w:type="dxa"/>
          <w:shd w:val="clear" w:color="auto" w:fill="auto"/>
        </w:tcPr>
        <w:p w:rsidR="007D7352" w:rsidRPr="00807CDA" w:rsidRDefault="00E27860" w:rsidP="00203650">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6095" w:type="dxa"/>
          <w:shd w:val="clear" w:color="auto" w:fill="auto"/>
          <w:vAlign w:val="center"/>
        </w:tcPr>
        <w:p w:rsidR="007D7352" w:rsidRPr="00DC41C8" w:rsidRDefault="0082707D" w:rsidP="00203650">
          <w:pPr>
            <w:spacing w:line="360" w:lineRule="auto"/>
            <w:jc w:val="right"/>
            <w:rPr>
              <w:rFonts w:ascii="Palatino Linotype" w:hAnsi="Palatino Linotype"/>
              <w:b/>
              <w:sz w:val="22"/>
              <w:szCs w:val="22"/>
            </w:rPr>
          </w:pPr>
          <w:r w:rsidRPr="0082707D">
            <w:rPr>
              <w:rFonts w:ascii="Palatino Linotype" w:hAnsi="Palatino Linotype"/>
              <w:b/>
              <w:sz w:val="22"/>
              <w:szCs w:val="22"/>
            </w:rPr>
            <w:t>Ayuntamiento de Atizapán de Zaragoza</w:t>
          </w:r>
        </w:p>
      </w:tc>
    </w:tr>
    <w:tr w:rsidR="007D7352" w:rsidRPr="008F2CCC" w:rsidTr="00203650">
      <w:tc>
        <w:tcPr>
          <w:tcW w:w="2410" w:type="dxa"/>
          <w:shd w:val="clear" w:color="auto" w:fill="auto"/>
        </w:tcPr>
        <w:p w:rsidR="007D7352" w:rsidRPr="00807CDA" w:rsidRDefault="00E27860" w:rsidP="00203650">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Comisionada ponente:</w:t>
          </w:r>
        </w:p>
      </w:tc>
      <w:tc>
        <w:tcPr>
          <w:tcW w:w="6095" w:type="dxa"/>
          <w:shd w:val="clear" w:color="auto" w:fill="auto"/>
        </w:tcPr>
        <w:p w:rsidR="007D7352" w:rsidRPr="008F2CCC" w:rsidRDefault="00E27860" w:rsidP="002036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7D7352" w:rsidRPr="009F1AB6" w:rsidRDefault="00F65977">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8575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A3220"/>
    <w:multiLevelType w:val="hybridMultilevel"/>
    <w:tmpl w:val="66ECE98A"/>
    <w:lvl w:ilvl="0" w:tplc="08BA419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4243357A"/>
    <w:multiLevelType w:val="hybridMultilevel"/>
    <w:tmpl w:val="68AAD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AC210D7"/>
    <w:multiLevelType w:val="hybridMultilevel"/>
    <w:tmpl w:val="77C676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8714F7E"/>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7D"/>
    <w:rsid w:val="00093434"/>
    <w:rsid w:val="0042445B"/>
    <w:rsid w:val="0046579A"/>
    <w:rsid w:val="004F745E"/>
    <w:rsid w:val="005B16C6"/>
    <w:rsid w:val="00646998"/>
    <w:rsid w:val="0069269B"/>
    <w:rsid w:val="00696F07"/>
    <w:rsid w:val="007523B6"/>
    <w:rsid w:val="0082707D"/>
    <w:rsid w:val="008D3704"/>
    <w:rsid w:val="008D6A2E"/>
    <w:rsid w:val="008E2053"/>
    <w:rsid w:val="009E21AC"/>
    <w:rsid w:val="00A447D4"/>
    <w:rsid w:val="00A45684"/>
    <w:rsid w:val="00AA03B0"/>
    <w:rsid w:val="00B62C04"/>
    <w:rsid w:val="00C86533"/>
    <w:rsid w:val="00D303A7"/>
    <w:rsid w:val="00DE3BEA"/>
    <w:rsid w:val="00E27860"/>
    <w:rsid w:val="00F65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95421F-C670-42A3-9ACB-5684E887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07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707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2707D"/>
    <w:rPr>
      <w:rFonts w:eastAsiaTheme="minorEastAsia"/>
      <w:sz w:val="24"/>
      <w:szCs w:val="24"/>
      <w:lang w:val="es-ES_tradnl" w:eastAsia="es-ES"/>
    </w:rPr>
  </w:style>
  <w:style w:type="paragraph" w:styleId="Piedepgina">
    <w:name w:val="footer"/>
    <w:basedOn w:val="Normal"/>
    <w:link w:val="PiedepginaCar"/>
    <w:uiPriority w:val="99"/>
    <w:unhideWhenUsed/>
    <w:rsid w:val="0082707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2707D"/>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82707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2707D"/>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2707D"/>
    <w:rPr>
      <w:vertAlign w:val="superscript"/>
    </w:rPr>
  </w:style>
  <w:style w:type="character" w:customStyle="1" w:styleId="apple-converted-space">
    <w:name w:val="apple-converted-space"/>
    <w:basedOn w:val="Fuentedeprrafopredeter"/>
    <w:rsid w:val="0082707D"/>
  </w:style>
  <w:style w:type="character" w:styleId="Hipervnculo">
    <w:name w:val="Hyperlink"/>
    <w:basedOn w:val="Fuentedeprrafopredeter"/>
    <w:uiPriority w:val="99"/>
    <w:unhideWhenUsed/>
    <w:rsid w:val="0082707D"/>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2707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2707D"/>
    <w:rPr>
      <w:rFonts w:ascii="Times New Roman" w:eastAsia="Times New Roman" w:hAnsi="Times New Roman" w:cs="Times New Roman"/>
      <w:sz w:val="20"/>
      <w:szCs w:val="20"/>
      <w:lang w:val="es-ES" w:eastAsia="es-ES"/>
    </w:rPr>
  </w:style>
  <w:style w:type="paragraph" w:styleId="Sinespaciado">
    <w:name w:val="No Spacing"/>
    <w:aliases w:val="Francesa"/>
    <w:link w:val="SinespaciadoCar"/>
    <w:uiPriority w:val="1"/>
    <w:qFormat/>
    <w:rsid w:val="0082707D"/>
    <w:pPr>
      <w:spacing w:after="0" w:line="240" w:lineRule="auto"/>
    </w:pPr>
  </w:style>
  <w:style w:type="character" w:customStyle="1" w:styleId="SinespaciadoCar">
    <w:name w:val="Sin espaciado Car"/>
    <w:aliases w:val="Francesa Car"/>
    <w:link w:val="Sinespaciado"/>
    <w:uiPriority w:val="1"/>
    <w:locked/>
    <w:rsid w:val="00827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27</Pages>
  <Words>6683</Words>
  <Characters>36758</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2021-06-29T16:03:00Z</dcterms:created>
  <dcterms:modified xsi:type="dcterms:W3CDTF">2021-08-05T16:11:00Z</dcterms:modified>
</cp:coreProperties>
</file>