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71D1B" w14:textId="77777777" w:rsidR="004B3451" w:rsidRPr="00667998" w:rsidRDefault="004B3451" w:rsidP="004B3451">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Hlk78307299"/>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once de agosto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3BC46FD9" w14:textId="77777777" w:rsidR="004B3451" w:rsidRPr="00667998" w:rsidRDefault="004B3451" w:rsidP="004B3451">
      <w:pPr>
        <w:shd w:val="clear" w:color="auto" w:fill="FFFFFF"/>
        <w:spacing w:after="0" w:line="360" w:lineRule="auto"/>
        <w:jc w:val="both"/>
        <w:rPr>
          <w:rFonts w:ascii="Palatino Linotype" w:eastAsia="Times New Roman" w:hAnsi="Palatino Linotype" w:cs="Arial"/>
          <w:color w:val="000000"/>
          <w:sz w:val="2"/>
          <w:szCs w:val="24"/>
          <w:lang w:eastAsia="es-MX"/>
        </w:rPr>
      </w:pPr>
    </w:p>
    <w:p w14:paraId="7A03A5E7" w14:textId="77777777" w:rsidR="004B3451" w:rsidRPr="00667998" w:rsidRDefault="004B3451" w:rsidP="004B3451">
      <w:pPr>
        <w:tabs>
          <w:tab w:val="left" w:pos="1701"/>
        </w:tabs>
        <w:spacing w:after="0" w:line="360" w:lineRule="auto"/>
        <w:jc w:val="both"/>
        <w:rPr>
          <w:rFonts w:ascii="Palatino Linotype" w:hAnsi="Palatino Linotype" w:cs="Arial"/>
          <w:b/>
          <w:sz w:val="24"/>
        </w:rPr>
      </w:pPr>
    </w:p>
    <w:p w14:paraId="79009975" w14:textId="511F90F1" w:rsidR="004B3451" w:rsidRPr="00667998" w:rsidRDefault="004B3451" w:rsidP="004B3451">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02990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5971D4">
        <w:rPr>
          <w:rFonts w:ascii="Palatino Linotype" w:hAnsi="Palatino Linotype" w:cs="Arial"/>
          <w:b/>
          <w:sz w:val="24"/>
          <w:szCs w:val="24"/>
        </w:rPr>
        <w:t>xxxxxxxxxxxxxxxxxxxxxxxxxxxxx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en contra de la respuesta de</w:t>
      </w:r>
      <w:r>
        <w:rPr>
          <w:rFonts w:ascii="Palatino Linotype" w:hAnsi="Palatino Linotype" w:cs="Arial"/>
          <w:sz w:val="24"/>
          <w:szCs w:val="24"/>
        </w:rPr>
        <w:t xml:space="preserve"> </w:t>
      </w:r>
      <w:r w:rsidRPr="00667998">
        <w:rPr>
          <w:rFonts w:ascii="Palatino Linotype" w:hAnsi="Palatino Linotype" w:cs="Arial"/>
          <w:sz w:val="24"/>
          <w:szCs w:val="24"/>
        </w:rPr>
        <w:t>l</w:t>
      </w:r>
      <w:r>
        <w:rPr>
          <w:rFonts w:ascii="Palatino Linotype" w:hAnsi="Palatino Linotype" w:cs="Arial"/>
          <w:sz w:val="24"/>
          <w:szCs w:val="24"/>
        </w:rPr>
        <w:t>a</w:t>
      </w:r>
      <w:r w:rsidRPr="00667998">
        <w:rPr>
          <w:rFonts w:ascii="Palatino Linotype" w:hAnsi="Palatino Linotype" w:cs="Arial"/>
          <w:sz w:val="24"/>
          <w:szCs w:val="24"/>
        </w:rPr>
        <w:t xml:space="preserve"> </w:t>
      </w:r>
      <w:r>
        <w:rPr>
          <w:rFonts w:ascii="Palatino Linotype" w:hAnsi="Palatino Linotype" w:cs="Arial"/>
          <w:b/>
          <w:sz w:val="24"/>
          <w:szCs w:val="24"/>
        </w:rPr>
        <w:t>Poder Judicial</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70C182A" w14:textId="77777777" w:rsidR="004B3451" w:rsidRPr="004A1460" w:rsidRDefault="004B3451" w:rsidP="004B3451">
      <w:pPr>
        <w:tabs>
          <w:tab w:val="left" w:pos="1701"/>
        </w:tabs>
        <w:spacing w:after="0" w:line="360" w:lineRule="auto"/>
        <w:jc w:val="both"/>
        <w:rPr>
          <w:rFonts w:ascii="Palatino Linotype" w:hAnsi="Palatino Linotype" w:cs="Arial"/>
          <w:sz w:val="24"/>
        </w:rPr>
      </w:pPr>
    </w:p>
    <w:p w14:paraId="1607C413" w14:textId="77777777" w:rsidR="004B3451" w:rsidRPr="00667998" w:rsidRDefault="004B3451" w:rsidP="004B3451">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2F9C4F3" w14:textId="77777777" w:rsidR="004B3451" w:rsidRPr="00667998" w:rsidRDefault="004B3451" w:rsidP="004B3451">
      <w:pPr>
        <w:spacing w:after="0" w:line="360" w:lineRule="auto"/>
        <w:jc w:val="center"/>
        <w:rPr>
          <w:rFonts w:ascii="Palatino Linotype" w:hAnsi="Palatino Linotype"/>
          <w:b/>
          <w:sz w:val="24"/>
        </w:rPr>
      </w:pPr>
    </w:p>
    <w:p w14:paraId="03057306" w14:textId="77777777" w:rsidR="004B3451" w:rsidRPr="00667998" w:rsidRDefault="004B3451" w:rsidP="004B3451">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31A715E" w14:textId="79091272" w:rsidR="004B3451" w:rsidRPr="00667998" w:rsidRDefault="004B3451" w:rsidP="004B3451">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treinta</w:t>
      </w:r>
      <w:r w:rsidRPr="00667998">
        <w:rPr>
          <w:rFonts w:ascii="Palatino Linotype" w:hAnsi="Palatino Linotype" w:cs="Arial"/>
          <w:sz w:val="24"/>
        </w:rPr>
        <w:t xml:space="preserve"> de </w:t>
      </w:r>
      <w:r>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DA3D21">
        <w:rPr>
          <w:rFonts w:ascii="Palatino Linotype" w:hAnsi="Palatino Linotype" w:cs="Arial"/>
          <w:b/>
          <w:sz w:val="24"/>
        </w:rPr>
        <w:t>00</w:t>
      </w:r>
      <w:r>
        <w:rPr>
          <w:rFonts w:ascii="Palatino Linotype" w:hAnsi="Palatino Linotype" w:cs="Arial"/>
          <w:b/>
          <w:sz w:val="24"/>
        </w:rPr>
        <w:t>389</w:t>
      </w:r>
      <w:r w:rsidRPr="00DA3D21">
        <w:rPr>
          <w:rFonts w:ascii="Palatino Linotype" w:hAnsi="Palatino Linotype" w:cs="Arial"/>
          <w:b/>
          <w:sz w:val="24"/>
        </w:rPr>
        <w:t>/</w:t>
      </w:r>
      <w:r>
        <w:rPr>
          <w:rFonts w:ascii="Palatino Linotype" w:hAnsi="Palatino Linotype" w:cs="Arial"/>
          <w:b/>
          <w:sz w:val="24"/>
        </w:rPr>
        <w:t>PJUDICI</w:t>
      </w:r>
      <w:r w:rsidRPr="00DA3D21">
        <w:rPr>
          <w:rFonts w:ascii="Palatino Linotype" w:hAnsi="Palatino Linotype" w:cs="Arial"/>
          <w:b/>
          <w:sz w:val="24"/>
        </w:rPr>
        <w:t>/IP/2021</w:t>
      </w:r>
      <w:r w:rsidRPr="00667998">
        <w:rPr>
          <w:rFonts w:ascii="Palatino Linotype" w:hAnsi="Palatino Linotype" w:cs="Arial"/>
          <w:sz w:val="24"/>
        </w:rPr>
        <w:t>, mediante la cual solicitó lo siguiente:</w:t>
      </w:r>
    </w:p>
    <w:p w14:paraId="287BE1DE" w14:textId="77777777" w:rsidR="004B3451" w:rsidRPr="004A1460" w:rsidRDefault="004B3451" w:rsidP="004B3451"/>
    <w:p w14:paraId="3394CD66" w14:textId="4488AF62" w:rsidR="004B3451" w:rsidRPr="00667998" w:rsidRDefault="004B3451" w:rsidP="004B3451">
      <w:pPr>
        <w:rPr>
          <w:rFonts w:ascii="Palatino Linotype" w:hAnsi="Palatino Linotype" w:cs="Arial"/>
          <w:i/>
          <w:sz w:val="24"/>
        </w:rPr>
      </w:pPr>
      <w:r w:rsidRPr="00667998">
        <w:rPr>
          <w:rFonts w:ascii="Palatino Linotype" w:hAnsi="Palatino Linotype" w:cs="Arial"/>
          <w:i/>
          <w:sz w:val="24"/>
        </w:rPr>
        <w:t>“</w:t>
      </w:r>
      <w:r w:rsidRPr="004B3451">
        <w:rPr>
          <w:rFonts w:ascii="Palatino Linotype" w:hAnsi="Palatino Linotype" w:cs="Arial"/>
          <w:i/>
          <w:sz w:val="24"/>
        </w:rPr>
        <w:t>Versión Pública de todo lo actuado en el expediente DGC/049/INV/2020</w:t>
      </w:r>
      <w:r w:rsidRPr="00667998">
        <w:rPr>
          <w:rFonts w:ascii="Palatino Linotype" w:hAnsi="Palatino Linotype" w:cs="Arial"/>
          <w:i/>
          <w:sz w:val="24"/>
        </w:rPr>
        <w:t>” (Sic).</w:t>
      </w:r>
    </w:p>
    <w:p w14:paraId="6E988663" w14:textId="77777777" w:rsidR="004B3451" w:rsidRPr="00667998" w:rsidRDefault="004B3451" w:rsidP="004B3451">
      <w:pPr>
        <w:spacing w:after="0" w:line="360" w:lineRule="auto"/>
        <w:ind w:right="850"/>
        <w:jc w:val="both"/>
        <w:rPr>
          <w:rFonts w:ascii="Palatino Linotype" w:hAnsi="Palatino Linotype" w:cs="Arial"/>
          <w:b/>
          <w:sz w:val="2"/>
        </w:rPr>
      </w:pPr>
    </w:p>
    <w:p w14:paraId="6C6876FA" w14:textId="77777777" w:rsidR="004B3451" w:rsidRDefault="004B3451" w:rsidP="004B3451"/>
    <w:p w14:paraId="34B70BD3" w14:textId="77777777" w:rsidR="004B3451" w:rsidRDefault="004B3451" w:rsidP="004B3451">
      <w:pPr>
        <w:spacing w:after="0" w:line="360" w:lineRule="auto"/>
        <w:ind w:right="850"/>
        <w:jc w:val="both"/>
        <w:rPr>
          <w:rFonts w:ascii="Palatino Linotype" w:hAnsi="Palatino Linotype" w:cs="Arial"/>
          <w:b/>
          <w:sz w:val="24"/>
        </w:rPr>
      </w:pPr>
    </w:p>
    <w:p w14:paraId="6D4D76BD" w14:textId="77777777" w:rsidR="004B3451" w:rsidRPr="00667998" w:rsidRDefault="004B3451" w:rsidP="004B3451">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4FD12FBD" w14:textId="77777777" w:rsidR="004B3451" w:rsidRDefault="004B3451" w:rsidP="004B3451">
      <w:pPr>
        <w:spacing w:after="0" w:line="360" w:lineRule="auto"/>
        <w:jc w:val="both"/>
        <w:rPr>
          <w:rFonts w:ascii="Palatino Linotype" w:hAnsi="Palatino Linotype" w:cs="Arial"/>
          <w:b/>
          <w:sz w:val="24"/>
        </w:rPr>
      </w:pPr>
    </w:p>
    <w:p w14:paraId="272141E6" w14:textId="77777777" w:rsidR="004B3451" w:rsidRPr="004A1460" w:rsidRDefault="004B3451" w:rsidP="004B3451">
      <w:pPr>
        <w:spacing w:after="0" w:line="360" w:lineRule="auto"/>
        <w:jc w:val="both"/>
        <w:rPr>
          <w:rFonts w:ascii="Palatino Linotype" w:hAnsi="Palatino Linotype" w:cs="Arial"/>
          <w:b/>
          <w:sz w:val="24"/>
        </w:rPr>
      </w:pPr>
    </w:p>
    <w:p w14:paraId="41E9DF09" w14:textId="77777777" w:rsidR="004B3451" w:rsidRPr="00667998" w:rsidRDefault="004B3451" w:rsidP="004B3451">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SEGUNDO. </w:t>
      </w:r>
      <w:r w:rsidRPr="00667998">
        <w:rPr>
          <w:rFonts w:ascii="Palatino Linotype" w:hAnsi="Palatino Linotype" w:cs="Arial"/>
          <w:b/>
          <w:sz w:val="28"/>
          <w:szCs w:val="20"/>
        </w:rPr>
        <w:t>De la respuesta del Sujeto Obligado.</w:t>
      </w:r>
    </w:p>
    <w:p w14:paraId="441E24E0" w14:textId="381CC8EB" w:rsidR="004B3451" w:rsidRPr="00667998" w:rsidRDefault="004B3451" w:rsidP="004B3451">
      <w:pPr>
        <w:tabs>
          <w:tab w:val="right" w:pos="8505"/>
        </w:tabs>
        <w:spacing w:after="0" w:line="360" w:lineRule="auto"/>
        <w:jc w:val="both"/>
        <w:rPr>
          <w:rFonts w:ascii="Palatino Linotype" w:hAnsi="Palatino Linotype" w:cs="Arial"/>
          <w:sz w:val="24"/>
        </w:rPr>
      </w:pPr>
      <w:r w:rsidRPr="00667998">
        <w:rPr>
          <w:rFonts w:ascii="Palatino Linotype" w:hAnsi="Palatino Linotype" w:cs="Arial"/>
          <w:sz w:val="24"/>
        </w:rPr>
        <w:t xml:space="preserve">De las constancias que obran en el SAIMEX, se advierte que en fecha </w:t>
      </w:r>
      <w:r>
        <w:rPr>
          <w:rFonts w:ascii="Palatino Linotype" w:hAnsi="Palatino Linotype" w:cs="Arial"/>
          <w:sz w:val="24"/>
        </w:rPr>
        <w:t>ve</w:t>
      </w:r>
      <w:r w:rsidR="00EE57F2">
        <w:rPr>
          <w:rFonts w:ascii="Palatino Linotype" w:hAnsi="Palatino Linotype" w:cs="Arial"/>
          <w:sz w:val="24"/>
        </w:rPr>
        <w:t>inticuatro</w:t>
      </w:r>
      <w:r>
        <w:rPr>
          <w:rFonts w:ascii="Palatino Linotype" w:hAnsi="Palatino Linotype" w:cs="Arial"/>
          <w:sz w:val="24"/>
        </w:rPr>
        <w:t xml:space="preserve"> de </w:t>
      </w:r>
      <w:r w:rsidR="00EE57F2">
        <w:rPr>
          <w:rFonts w:ascii="Palatino Linotype" w:hAnsi="Palatino Linotype" w:cs="Arial"/>
          <w:sz w:val="24"/>
        </w:rPr>
        <w:t>mayo</w:t>
      </w:r>
      <w:r w:rsidRPr="00667998">
        <w:rPr>
          <w:rFonts w:ascii="Palatino Linotype" w:hAnsi="Palatino Linotype" w:cs="Arial"/>
          <w:sz w:val="24"/>
        </w:rPr>
        <w:t xml:space="preserve"> de dos mil </w:t>
      </w:r>
      <w:r>
        <w:rPr>
          <w:rFonts w:ascii="Palatino Linotype" w:hAnsi="Palatino Linotype" w:cs="Arial"/>
          <w:sz w:val="24"/>
        </w:rPr>
        <w:t>veintiuno</w:t>
      </w:r>
      <w:r w:rsidRPr="00667998">
        <w:rPr>
          <w:rFonts w:ascii="Palatino Linotype" w:hAnsi="Palatino Linotype" w:cs="Arial"/>
          <w:sz w:val="24"/>
        </w:rPr>
        <w:t xml:space="preserve">, el </w:t>
      </w:r>
      <w:r w:rsidRPr="00667998">
        <w:rPr>
          <w:rFonts w:ascii="Palatino Linotype" w:hAnsi="Palatino Linotype" w:cs="Arial"/>
          <w:b/>
          <w:sz w:val="24"/>
        </w:rPr>
        <w:t>Sujeto Obligado</w:t>
      </w:r>
      <w:r w:rsidRPr="00667998">
        <w:rPr>
          <w:rFonts w:ascii="Palatino Linotype" w:hAnsi="Palatino Linotype" w:cs="Arial"/>
          <w:sz w:val="24"/>
        </w:rPr>
        <w:t xml:space="preserve"> notificó la siguiente respuesta:</w:t>
      </w:r>
    </w:p>
    <w:p w14:paraId="53797F96" w14:textId="77777777" w:rsidR="004B3451" w:rsidRPr="004A1460" w:rsidRDefault="004B3451" w:rsidP="004B3451">
      <w:pPr>
        <w:pStyle w:val="Sinespaciado"/>
      </w:pPr>
    </w:p>
    <w:p w14:paraId="4EE8F2DC" w14:textId="77777777" w:rsidR="00EE57F2" w:rsidRPr="00EE57F2" w:rsidRDefault="004B3451" w:rsidP="00EE57F2">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EE57F2" w:rsidRPr="00EE57F2">
        <w:rPr>
          <w:rFonts w:ascii="Palatino Linotype" w:hAnsi="Palatino Linotype" w:cs="Arial"/>
          <w:i/>
        </w:rPr>
        <w:t>Se hace de su conocimiento que de conformidad con el artículo 178 de la Ley de Transparencia y Acceso a la Información Pública del Estado de México y Municipios cuenta con un plazo de 15 días hábiles posteriores a la notificación de la respuesta para interponer recurso de revisión.</w:t>
      </w:r>
    </w:p>
    <w:p w14:paraId="59B9C37A" w14:textId="77777777" w:rsidR="00EE57F2" w:rsidRPr="00EE57F2" w:rsidRDefault="00EE57F2" w:rsidP="00EE57F2">
      <w:pPr>
        <w:spacing w:after="0" w:line="240" w:lineRule="auto"/>
        <w:ind w:left="567" w:right="567"/>
        <w:jc w:val="both"/>
        <w:rPr>
          <w:rFonts w:ascii="Palatino Linotype" w:hAnsi="Palatino Linotype" w:cs="Arial"/>
          <w:i/>
        </w:rPr>
      </w:pPr>
      <w:r w:rsidRPr="00EE57F2">
        <w:rPr>
          <w:rFonts w:ascii="Palatino Linotype" w:hAnsi="Palatino Linotype" w:cs="Arial"/>
          <w:i/>
        </w:rPr>
        <w:t>ATENTAMENTE</w:t>
      </w:r>
    </w:p>
    <w:p w14:paraId="743E402F" w14:textId="2C198AB8" w:rsidR="004B3451" w:rsidRDefault="00EE57F2" w:rsidP="00EE57F2">
      <w:pPr>
        <w:spacing w:after="0" w:line="240" w:lineRule="auto"/>
        <w:ind w:left="567" w:right="567"/>
        <w:jc w:val="both"/>
        <w:rPr>
          <w:rFonts w:ascii="Palatino Linotype" w:hAnsi="Palatino Linotype" w:cs="Arial"/>
          <w:i/>
        </w:rPr>
      </w:pPr>
      <w:r w:rsidRPr="00EE57F2">
        <w:rPr>
          <w:rFonts w:ascii="Palatino Linotype" w:hAnsi="Palatino Linotype" w:cs="Arial"/>
          <w:i/>
        </w:rPr>
        <w:t xml:space="preserve">Lic. NORMA ANGÉLICA ZETINA MARTÍNEZ </w:t>
      </w:r>
      <w:r w:rsidR="004B3451" w:rsidRPr="00667998">
        <w:rPr>
          <w:rFonts w:ascii="Palatino Linotype" w:hAnsi="Palatino Linotype" w:cs="Arial"/>
          <w:i/>
        </w:rPr>
        <w:t>“(Sic).</w:t>
      </w:r>
    </w:p>
    <w:p w14:paraId="1331413D" w14:textId="77777777" w:rsidR="004B3451" w:rsidRPr="005171EC" w:rsidRDefault="004B3451" w:rsidP="004B3451">
      <w:pPr>
        <w:spacing w:after="0" w:line="240" w:lineRule="auto"/>
        <w:ind w:left="567" w:right="567"/>
        <w:jc w:val="both"/>
        <w:rPr>
          <w:rFonts w:ascii="Palatino Linotype" w:hAnsi="Palatino Linotype" w:cs="Arial"/>
          <w:i/>
        </w:rPr>
      </w:pPr>
    </w:p>
    <w:p w14:paraId="63A085DE" w14:textId="77777777" w:rsidR="004B3451" w:rsidRPr="00667998" w:rsidRDefault="004B3451" w:rsidP="004B3451">
      <w:pPr>
        <w:pStyle w:val="Sinespaciado"/>
      </w:pPr>
    </w:p>
    <w:p w14:paraId="203C8525" w14:textId="0AE9C415" w:rsidR="004B3451" w:rsidRPr="006F3258" w:rsidRDefault="004B3451" w:rsidP="00EE57F2">
      <w:pPr>
        <w:spacing w:after="0" w:line="360" w:lineRule="auto"/>
        <w:jc w:val="both"/>
        <w:rPr>
          <w:rFonts w:ascii="Palatino Linotype" w:hAnsi="Palatino Linotype" w:cs="Arial"/>
          <w:sz w:val="24"/>
          <w:szCs w:val="24"/>
        </w:rPr>
      </w:pPr>
      <w:r w:rsidRPr="006F3258">
        <w:rPr>
          <w:rFonts w:ascii="Palatino Linotype" w:hAnsi="Palatino Linotype" w:cs="Arial"/>
          <w:sz w:val="24"/>
          <w:szCs w:val="24"/>
        </w:rPr>
        <w:t xml:space="preserve">Adjuntando el archivo denominado </w:t>
      </w:r>
      <w:r w:rsidRPr="006F3258">
        <w:rPr>
          <w:rFonts w:ascii="Palatino Linotype" w:hAnsi="Palatino Linotype" w:cs="Arial"/>
          <w:i/>
          <w:sz w:val="24"/>
          <w:szCs w:val="24"/>
        </w:rPr>
        <w:t>“</w:t>
      </w:r>
      <w:r w:rsidR="00EE57F2" w:rsidRPr="00EE57F2">
        <w:rPr>
          <w:rFonts w:ascii="Palatino Linotype" w:hAnsi="Palatino Linotype"/>
          <w:i/>
          <w:sz w:val="24"/>
          <w:szCs w:val="24"/>
        </w:rPr>
        <w:t>Respuesta 389.pdf</w:t>
      </w:r>
      <w:r w:rsidR="00EE57F2">
        <w:rPr>
          <w:rFonts w:ascii="Palatino Linotype" w:hAnsi="Palatino Linotype"/>
          <w:i/>
          <w:sz w:val="24"/>
          <w:szCs w:val="24"/>
        </w:rPr>
        <w:t>” y “</w:t>
      </w:r>
      <w:r w:rsidR="00EE57F2" w:rsidRPr="00EE57F2">
        <w:rPr>
          <w:rFonts w:ascii="Palatino Linotype" w:hAnsi="Palatino Linotype"/>
          <w:i/>
          <w:sz w:val="24"/>
          <w:szCs w:val="24"/>
        </w:rPr>
        <w:t>GUIA PARA OBTENER HOJA DE AYUDA (1).pdf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serán materia del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4CCC9AB5" w14:textId="77777777" w:rsidR="004B3451" w:rsidRPr="005171EC" w:rsidRDefault="004B3451" w:rsidP="004B3451">
      <w:pPr>
        <w:spacing w:line="360" w:lineRule="auto"/>
        <w:jc w:val="both"/>
        <w:rPr>
          <w:rFonts w:ascii="Palatino Linotype" w:hAnsi="Palatino Linotype" w:cs="Arial"/>
          <w:sz w:val="28"/>
        </w:rPr>
      </w:pPr>
    </w:p>
    <w:p w14:paraId="6057E96B" w14:textId="77777777" w:rsidR="004B3451" w:rsidRPr="00667998" w:rsidRDefault="004B3451" w:rsidP="004B3451">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27A29BA5" w14:textId="5646B85F" w:rsidR="004B3451" w:rsidRPr="00667998" w:rsidRDefault="004B3451" w:rsidP="004B3451">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ve</w:t>
      </w:r>
      <w:r w:rsidR="0012120D">
        <w:rPr>
          <w:rFonts w:ascii="Palatino Linotype" w:hAnsi="Palatino Linotype" w:cs="Arial"/>
          <w:sz w:val="24"/>
          <w:szCs w:val="24"/>
        </w:rPr>
        <w:t>inticuatro</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029</w:t>
      </w:r>
      <w:r w:rsidR="0012120D">
        <w:rPr>
          <w:rFonts w:ascii="Palatino Linotype" w:hAnsi="Palatino Linotype" w:cs="Arial"/>
          <w:b/>
          <w:bCs/>
          <w:sz w:val="24"/>
          <w:szCs w:val="24"/>
          <w:lang w:eastAsia="es-MX"/>
        </w:rPr>
        <w:t>9</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439C064" w14:textId="77777777" w:rsidR="004B3451" w:rsidRPr="00667998" w:rsidRDefault="004B3451" w:rsidP="004B3451">
      <w:pPr>
        <w:spacing w:after="0" w:line="360" w:lineRule="auto"/>
        <w:jc w:val="both"/>
        <w:rPr>
          <w:rFonts w:ascii="Palatino Linotype" w:hAnsi="Palatino Linotype" w:cs="Arial"/>
          <w:b/>
          <w:sz w:val="8"/>
        </w:rPr>
      </w:pPr>
    </w:p>
    <w:p w14:paraId="56967FB0" w14:textId="77777777" w:rsidR="004B3451" w:rsidRPr="00667998" w:rsidRDefault="004B3451" w:rsidP="004B3451">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6AD6817" w14:textId="66A881FB" w:rsidR="004B3451" w:rsidRPr="00667998" w:rsidRDefault="004B3451" w:rsidP="004B3451">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2120D" w:rsidRPr="0012120D">
        <w:rPr>
          <w:rFonts w:ascii="Palatino Linotype" w:hAnsi="Palatino Linotype" w:cs="Arial"/>
          <w:i/>
        </w:rPr>
        <w:t>El documento denominado como "respuesta" del 24 de mayo de 2021 a la solicitud la de información pública con número de folio 00389/PJUDICI/IP/2021.</w:t>
      </w:r>
      <w:r w:rsidRPr="00667998">
        <w:rPr>
          <w:rFonts w:ascii="Palatino Linotype" w:hAnsi="Palatino Linotype" w:cs="Arial"/>
          <w:i/>
        </w:rPr>
        <w:t>” [Sic].</w:t>
      </w:r>
    </w:p>
    <w:p w14:paraId="257F1C70" w14:textId="77777777" w:rsidR="004B3451" w:rsidRPr="004A1460" w:rsidRDefault="004B3451" w:rsidP="004B3451">
      <w:pPr>
        <w:spacing w:after="0" w:line="360" w:lineRule="auto"/>
        <w:ind w:left="851" w:right="851"/>
        <w:jc w:val="both"/>
        <w:rPr>
          <w:rFonts w:ascii="Palatino Linotype" w:hAnsi="Palatino Linotype" w:cs="Arial"/>
          <w:i/>
          <w:sz w:val="24"/>
          <w:szCs w:val="24"/>
        </w:rPr>
      </w:pPr>
    </w:p>
    <w:p w14:paraId="1872C59D" w14:textId="77777777" w:rsidR="004B3451" w:rsidRPr="00667998" w:rsidRDefault="004B3451" w:rsidP="004B3451">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0613D21C" w14:textId="4EAE5354" w:rsidR="004B3451" w:rsidRPr="00667998" w:rsidRDefault="004B3451" w:rsidP="004B3451">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12120D" w:rsidRPr="0012120D">
        <w:rPr>
          <w:rFonts w:ascii="Palatino Linotype" w:hAnsi="Palatino Linotype" w:cs="Arial"/>
          <w:i/>
        </w:rPr>
        <w:t xml:space="preserve">Ofrezco como prueba todo lo actuado en la solicitud de información pública con número de folio 00389/PJUDICI/IP/2021. Con ese medio de convicción que ofrezco, pruebo que solicité la versión pública de todo lo actuado en el expediente </w:t>
      </w:r>
      <w:r w:rsidR="0012120D" w:rsidRPr="0012120D">
        <w:rPr>
          <w:rFonts w:ascii="Palatino Linotype" w:hAnsi="Palatino Linotype" w:cs="Arial"/>
          <w:i/>
        </w:rPr>
        <w:lastRenderedPageBreak/>
        <w:t xml:space="preserve">DGC/049/INV/2020, y que el Poder Judicial en el documento denominado como "respuesta" que hoy se combate, me requiere el pago de las copias simples y su posterior digitalización para la elaboración de la versión pública de ese expediente. Sin embargo, el artículo 3 de la Ley de Transparencia y Acceso a la Información Pública del Estado de México y Municipios, en su fracción XLV, establece que Versión pública es el documento en el que se elimine, suprime o borra la información clasificada como reservada o confidencial para permitir su acceso. Por su parte el artículo Artículo 137 de esa Ley prevé que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A ese respecto el artículo Artículo 165 de la Ley citada establece que los sujetos obligados establecerán la forma y términos en que darán trámite interno a las solicitudes en materia de acceso a la información. Continúa su texto en el sentido de que la información que se entregue en versión pública, cuya modalidad de reproducción o envío tenga un costo, procederá una vez que se acredite el pago respectivo, pero estipula que no puede entenderse como reproducción la elaboración de la misma, finalmente el artículo prevé que ante la falta de respuesta a una solicitud en el plazo previsto y en caso de que proceda el acceso, los costos de reproducción y envío correrán a cargo del sujeto obligado. De los textos legales referidos es evidente concluir que la elaboración de las versiones públicas para atender cualquier solicitud de información corresponden como obligación legal a los sujetos obligados, además que la elaboración de las versiones públicas no puede entenderse como reproducción. En el caso concreto y derivado de lo anterior concluyo que es obligación legal del Poder Judicial elaborar la versión pública del expediente DGC/049/INV/2020, para que dé atención adecuada y legal a la solicitud de información con folio 00389/PJUDICI/IP/2021. Además esa versión pública no debe generar costo alguno para el hoy recurrente, ya que el sujeto obligado aseguró en la respuesta combatida, que el expediente ya obra en forma impresa y el cobro que pretende del suscrito, relativo a las copias simples es con el objeto de realizar la versión pública, por tanto, es injustificado y contrario a la ley en los términos esgrimidos en este recurso. Ahora bien, el sujeto obligado afirmó en el documento denominado como "respuesta", que con fundamento en el artículo 17 de la Ley de Transparencia y Acceso a la Información Pública del Estado de México y Municipios, la búsqueda y acceso a la información es gratuita y solo se cubrirán los gastos de reproducción, por la modalidad de entrega solicitada, de conformidad con los derechos, productos y aprovechamientos establecidos en la legislación aplicable; en este sentido, se hace de su conocimiento que el expediente al cual desea acceder solo se encuentra de forma impresa por lo que para poder entregarlo a través de SAIMEX, es necesario fotocopiar </w:t>
      </w:r>
      <w:r w:rsidR="0012120D" w:rsidRPr="0012120D">
        <w:rPr>
          <w:rFonts w:ascii="Palatino Linotype" w:hAnsi="Palatino Linotype" w:cs="Arial"/>
          <w:i/>
        </w:rPr>
        <w:lastRenderedPageBreak/>
        <w:t xml:space="preserve">el documento para testar en la copia y posteriormente digitalizarlo. Aunado a ello, los artículos 174 y 175 de la Ley en comento, establecen que la información deberá ser entregada sin costo, cuando implique la entrega de no más de veinte hojas simples; en los casos de existir costo para obtener la información, este deberá cubrirse de manera previa a la entrega y no podrá ser superior a los costos de los materiales utilizados en la reproducción de la información. Así no es correcto que se actualicen las hipótesis previstas por los artículos en que fundó el acto el sujeto obligado, pues en principio la búsqueda y acceso a la información son gratuitos. Luego, los gastos de reproducción no se materializan en este caso particular porque ya quedó asentado que por disposición legal la elaboración de la versión pública no se puede entender como reproducción. En cuanto a la modalidad de entrega solicitada, es a través del el Sistema de Acceso a la Información Mexiquense (SAIMEX). De acuerdo al documento datado en Toluca, Estado de México, el 21 de agosto de 2014, BOLETÍN/DCCS/026/2014, la C. Josefina Román Vergara, entonces comisionada presidenta del Infoem, señaló que este sistema, único en el país, es capaz de responder ágilmente a todos los usuarios El Sistema de Acceso a la Información Mexiquense (Saimex) es una herramienta que posiciona al Estado de México a la vanguardia nacional en acceso a la información pública, pues permite la gestión de solicitudes de esta materia en una plataforma con patente propia, altamente accesible, de bajo costo y con múltiples beneficios para los usuarios, tanto mexicanos como extranjeros, aseguró Josefina Román Vergara. La entonces comisionada presidenta del Instituto de Transparencia, Acceso a la Información Pública y Protección de Datos Personales del Estado de México y Municipios (Infoem), órgano garante creador del Saimex, participó en el panel “Hacia un nuevo Infomex”, organizado por el Instituto Federal de Acceso a la Información y Protección de Datos (IFAI), durante el cual puntualizó que el Infoem se encuentra preparado para responder ante cualquier necesidad de los solicitantes, de manera independiente. “Contar con la patente del Saimex es una gran ventaja, porque todas las mejoras se atienden inmediatamente; de este modo, no requerimos autorizaciones externas ni mayor tiempo para realizarlas, lo cual agiliza la atención a los usuarios”, afirmó la presidenta, quien agregó que una peculiaridad del sistema es que puede administrar y seguir todo el procedimientos de las solicitudes de información, desde su ingreso hasta la notificación del recurso de revisión aprobado por el Pleno del Infoem. Esta plataforma se ha mejorado y actualizado en cinco versiones, desde su creación en 2005, y, al desarrollarse bajo el concepto de código abierto, hace posible escribir, modificar y redistribuir gratuitamente la información, mientras se hace referencia a la fuente original, lo cual permite ofrecer una mejor atención a quien desea realizar una solicitud de información a través de internet. En el mismo sentido, estos rasgos lo ubican como un sistema vanguardista en el panorama nacional. Además, el desarrollo del Saimex es capaz de integrar expedientes electrónicos a perpetuidad, lo </w:t>
      </w:r>
      <w:r w:rsidR="0012120D" w:rsidRPr="0012120D">
        <w:rPr>
          <w:rFonts w:ascii="Palatino Linotype" w:hAnsi="Palatino Linotype" w:cs="Arial"/>
          <w:i/>
        </w:rPr>
        <w:lastRenderedPageBreak/>
        <w:t xml:space="preserve">que produce una base de datos única con información de las instituciones públicas mexiquenses que responden a las múltiples solicitudes de los particulares y dan pie a la generación de reportes estadísticos dinámicos. La entonces presidenta Román Vergara añadió que el Saimex es compatible con dispositivos móviles y Mac y cuenta con motores de búsqueda avanzados por tema, así como con certificados de seguridad que garantizan el resguardo de la información, lo que cuida la privacidad de los solicitantes. Al tratarse de un desarrollo multiplataforma, resulta posible ejecutar la aplicación en diversos sistemas operativos y eliminar la necesidad de adquirir licencias y pólizas anuales. Actualmente, el número total de usuarios en el Saimex (www.saimex.org.mx) es de 46 mil 517 y cuenta con un registro de 119 mil 299 expedientes electrónicos generados con la información brindada por 466 sujetos obligados, correspondientes a 233 unidades de información y 233 módulos de acceso. De ello se obtiene que el Saimex es un desarrollo propio del Instituto de Transparencia, Acceso a la Información Pública y Protección de Datos Personales del Estado de México y Municipios (Infoem), que adopta las mejores prácticas y funcionalidades del INFOMEX. Por tanto no es factible que el Poder Judicial del Estado de México pretenda cobrar por la modalidad de entrega que a través de ese sistema que no le pertenece se ha solicitado en el caso particular, pues el suscrito como ciudadano mexicano y como mexiquense únicamente hago uso de mi derecho al acceso a la información a través de los mecanismos y sistemas establecidos por el propio órgano constitucional garante de ese derecho en el Estado de México, y en él se debe privilegiar el principio de máxima publicidad. Aunado a ello el Poder Judicial actualmente cuenta dentro de sus áreas administrativas con las correspondientes especializadas en tecnologías de la información, basta con remitirse a la gaceta de gobierno del 16 de marzo de 2021, así como en la Circular No. 17/2021, que contiene el Acuerdo del Pleno Extraordinario del Consejo de la Judicatura del Estado de México de veintiséis de febrero de dos mil veintiuno por el que se aprueba la modificación y actualización de la estructura orgánica y del organigrama de las unidades administrativas dependientes de la Presidencia y del Consejo de la Judicatura. Lo que no es objeto de prueba, que además es un hecho conocido y cuyo contenido solicito se tenga por reproducido en este apartado como si a la letra se insertara. Así en esas áreas podemos encontrar, entre otras áreas a la: 3013300000 Dirección General de Innovación y Desarrollo Tecnológico 3013301000 Dirección de Infraestructura Tecnológica 3013301100 Subdirección de Servicios Informáticos 3013301101 Departamento de Soporte Técnico Toluca 3013301102 Departamento de Soporte Técnico Tlalnepantla 3013301103 Departamento de Soporte Técnico Texcoco 3013301104 Departamento de Mesa de Ayuda 3013301105 Departamento de Certificados Electrónicos 3013301200 Subdirección de Redes e Infraestructura 3013301201 Departamento de Operaciones de Red 3013301202 Departamento de Supervisión de Infraestructura </w:t>
      </w:r>
      <w:r w:rsidR="0012120D" w:rsidRPr="0012120D">
        <w:rPr>
          <w:rFonts w:ascii="Palatino Linotype" w:hAnsi="Palatino Linotype" w:cs="Arial"/>
          <w:i/>
        </w:rPr>
        <w:lastRenderedPageBreak/>
        <w:t>3013301300 Subdirección de Centros de Datos 3013301301 Departamento de Seguridad Informática 3013301302 Departamento de Administración de Bases de Datos 3013301303 Departamento de Servidores de Datos 3013302000 Dirección de Innovación Tecnológica 3013302100 Subdirección de Ingeniería de Software Código Unidad Administrativa 3013302101 Departamento de Desarrollo de Sistemas 3013302102 Departamento de Mantenimiento de Sistemas 3013302103 Departamento de Supervisión de Sistemas 3013302200 Subdirección de Investigación Tecnológica 3013302201 Departamento de Proyectos de Innovación Tecnológica 3013302202 Departamento de Evaluación y Soporte de Proyectos Tecnológicos. Por ello se demuestra que el Poder Judicial como sujeto obligado cuenta con los medios tecnológicos y humanos para poder elaborar la versión pública del expediente que he pedido y entregarla sin costo para el suscrito a través del SAIMEX. Si a pesar de lo expresado, el Instituto decide que al suscrito no le asiste la razón, es un hecho que en la realidad no se ha entregado ni se entregó la versión pública del expediente de investigación supracitado dentro de los 15 días que por ley tenía concedidos, lo que se traduce materialmente en la realidad en una omisión de entregar la información y que en consecuencia actualiza la hipótesis prevista en la parte final del artículo 165 de la Ley en comento.</w:t>
      </w:r>
      <w:r w:rsidRPr="00667998">
        <w:rPr>
          <w:rFonts w:ascii="Palatino Linotype" w:hAnsi="Palatino Linotype" w:cs="Arial"/>
          <w:i/>
        </w:rPr>
        <w:t>” [Sic].</w:t>
      </w:r>
    </w:p>
    <w:p w14:paraId="417026E2" w14:textId="77777777" w:rsidR="004B3451" w:rsidRPr="00667998" w:rsidRDefault="004B3451" w:rsidP="004B3451">
      <w:pPr>
        <w:spacing w:after="0" w:line="360" w:lineRule="auto"/>
        <w:ind w:right="851"/>
        <w:jc w:val="both"/>
        <w:rPr>
          <w:rFonts w:ascii="Palatino Linotype" w:hAnsi="Palatino Linotype" w:cs="Arial"/>
          <w:i/>
          <w:sz w:val="24"/>
        </w:rPr>
      </w:pPr>
    </w:p>
    <w:p w14:paraId="6EC31F00" w14:textId="77777777" w:rsidR="004B3451" w:rsidRDefault="004B3451" w:rsidP="004B3451">
      <w:pPr>
        <w:pStyle w:val="Sinespaciado"/>
      </w:pPr>
    </w:p>
    <w:p w14:paraId="4E89321E" w14:textId="77777777" w:rsidR="004B3451" w:rsidRPr="00667998" w:rsidRDefault="004B3451" w:rsidP="004B3451">
      <w:pPr>
        <w:pStyle w:val="Sinespaciado"/>
      </w:pPr>
    </w:p>
    <w:p w14:paraId="00549121" w14:textId="77777777" w:rsidR="004B3451" w:rsidRPr="00667998" w:rsidRDefault="004B3451" w:rsidP="004B3451">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47504580" w14:textId="1B503AF7" w:rsidR="004B3451" w:rsidRPr="00667998" w:rsidRDefault="004B3451" w:rsidP="004B345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E512FA">
        <w:rPr>
          <w:rFonts w:ascii="Palatino Linotype" w:hAnsi="Palatino Linotype" w:cs="Arial"/>
          <w:sz w:val="24"/>
          <w:szCs w:val="24"/>
        </w:rPr>
        <w:t>treinta y uno</w:t>
      </w:r>
      <w:r w:rsidRPr="00667998">
        <w:rPr>
          <w:rFonts w:ascii="Palatino Linotype" w:hAnsi="Palatino Linotype" w:cs="Arial"/>
          <w:sz w:val="24"/>
          <w:szCs w:val="24"/>
        </w:rPr>
        <w:t xml:space="preserve"> de </w:t>
      </w:r>
      <w:r>
        <w:rPr>
          <w:rFonts w:ascii="Palatino Linotype" w:hAnsi="Palatino Linotype" w:cs="Arial"/>
          <w:sz w:val="24"/>
          <w:szCs w:val="24"/>
        </w:rPr>
        <w:t>mayo</w:t>
      </w:r>
      <w:r w:rsidRPr="00667998">
        <w:rPr>
          <w:rFonts w:ascii="Palatino Linotype" w:hAnsi="Palatino Linotype" w:cs="Arial"/>
          <w:sz w:val="24"/>
          <w:szCs w:val="24"/>
        </w:rPr>
        <w:t xml:space="preserve"> del año dos mil </w:t>
      </w:r>
      <w:r>
        <w:rPr>
          <w:rFonts w:ascii="Palatino Linotype" w:hAnsi="Palatino Linotype" w:cs="Arial"/>
          <w:sz w:val="24"/>
          <w:szCs w:val="24"/>
        </w:rPr>
        <w:t>veintiuno</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6D872746" w14:textId="431E581E" w:rsidR="004B3451" w:rsidRDefault="004B3451" w:rsidP="004B3451">
      <w:pPr>
        <w:spacing w:after="0" w:line="360" w:lineRule="auto"/>
        <w:jc w:val="both"/>
        <w:rPr>
          <w:rFonts w:ascii="Palatino Linotype" w:hAnsi="Palatino Linotype" w:cs="Arial"/>
          <w:sz w:val="24"/>
          <w:szCs w:val="24"/>
        </w:rPr>
      </w:pPr>
    </w:p>
    <w:p w14:paraId="7E2751A2" w14:textId="4573B2C8" w:rsidR="00E512FA" w:rsidRDefault="00E512FA" w:rsidP="004B3451">
      <w:pPr>
        <w:spacing w:after="0" w:line="360" w:lineRule="auto"/>
        <w:jc w:val="both"/>
        <w:rPr>
          <w:rFonts w:ascii="Palatino Linotype" w:hAnsi="Palatino Linotype" w:cs="Arial"/>
          <w:sz w:val="24"/>
          <w:szCs w:val="24"/>
        </w:rPr>
      </w:pPr>
    </w:p>
    <w:p w14:paraId="029E711C" w14:textId="1365F978" w:rsidR="00E512FA" w:rsidRDefault="00E512FA" w:rsidP="004B3451">
      <w:pPr>
        <w:spacing w:after="0" w:line="360" w:lineRule="auto"/>
        <w:jc w:val="both"/>
        <w:rPr>
          <w:rFonts w:ascii="Palatino Linotype" w:hAnsi="Palatino Linotype" w:cs="Arial"/>
          <w:sz w:val="24"/>
          <w:szCs w:val="24"/>
        </w:rPr>
      </w:pPr>
    </w:p>
    <w:p w14:paraId="4A203036" w14:textId="77777777" w:rsidR="00E512FA" w:rsidRPr="00667998" w:rsidRDefault="00E512FA" w:rsidP="004B3451">
      <w:pPr>
        <w:spacing w:after="0" w:line="360" w:lineRule="auto"/>
        <w:jc w:val="both"/>
        <w:rPr>
          <w:rFonts w:ascii="Palatino Linotype" w:hAnsi="Palatino Linotype" w:cs="Arial"/>
          <w:sz w:val="24"/>
          <w:szCs w:val="24"/>
        </w:rPr>
      </w:pPr>
    </w:p>
    <w:p w14:paraId="74FAA69B" w14:textId="77777777" w:rsidR="004B3451" w:rsidRPr="00667998" w:rsidRDefault="004B3451" w:rsidP="004B3451">
      <w:pPr>
        <w:spacing w:after="0" w:line="360" w:lineRule="auto"/>
        <w:jc w:val="both"/>
        <w:rPr>
          <w:rFonts w:ascii="Palatino Linotype" w:hAnsi="Palatino Linotype" w:cs="Arial"/>
          <w:b/>
          <w:sz w:val="28"/>
          <w:szCs w:val="28"/>
        </w:rPr>
      </w:pPr>
      <w:r w:rsidRPr="00667998">
        <w:rPr>
          <w:rFonts w:ascii="Palatino Linotype" w:hAnsi="Palatino Linotype" w:cs="Arial"/>
          <w:b/>
          <w:sz w:val="28"/>
        </w:rPr>
        <w:lastRenderedPageBreak/>
        <w:t xml:space="preserve">QUINTO. </w:t>
      </w:r>
      <w:r w:rsidRPr="00667998">
        <w:rPr>
          <w:rFonts w:ascii="Palatino Linotype" w:hAnsi="Palatino Linotype" w:cs="Arial"/>
          <w:b/>
          <w:sz w:val="28"/>
          <w:szCs w:val="28"/>
        </w:rPr>
        <w:t>De la etapa de instrucción.</w:t>
      </w:r>
    </w:p>
    <w:p w14:paraId="4ED68404" w14:textId="2A7610DA" w:rsidR="004B3451" w:rsidRDefault="004B3451" w:rsidP="004B345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00EF3055">
        <w:rPr>
          <w:rFonts w:ascii="Palatino Linotype" w:hAnsi="Palatino Linotype" w:cs="Arial"/>
          <w:b/>
          <w:sz w:val="24"/>
          <w:szCs w:val="24"/>
        </w:rPr>
        <w:t xml:space="preserve"> </w:t>
      </w:r>
      <w:r w:rsidR="00EF3055" w:rsidRPr="00EF3055">
        <w:rPr>
          <w:rFonts w:ascii="Palatino Linotype" w:hAnsi="Palatino Linotype" w:cs="Arial"/>
          <w:bCs/>
          <w:sz w:val="24"/>
          <w:szCs w:val="24"/>
        </w:rPr>
        <w:t>remitió su informe justificado en fecha dos de junio</w:t>
      </w:r>
      <w:r w:rsidR="00EF3055">
        <w:rPr>
          <w:rFonts w:ascii="Palatino Linotype" w:hAnsi="Palatino Linotype" w:cs="Arial"/>
          <w:bCs/>
          <w:sz w:val="24"/>
          <w:szCs w:val="24"/>
        </w:rPr>
        <w:t xml:space="preserve"> de dos mil veintiuno</w:t>
      </w:r>
      <w:r w:rsidR="00EF3055" w:rsidRPr="00EF3055">
        <w:rPr>
          <w:rFonts w:ascii="Palatino Linotype" w:hAnsi="Palatino Linotype" w:cs="Arial"/>
          <w:bCs/>
          <w:sz w:val="24"/>
          <w:szCs w:val="24"/>
        </w:rPr>
        <w:t xml:space="preserve"> el cual se puso a la vista del recurrente el día</w:t>
      </w:r>
      <w:r w:rsidR="00EF3055">
        <w:rPr>
          <w:rFonts w:ascii="Palatino Linotype" w:hAnsi="Palatino Linotype" w:cs="Arial"/>
          <w:bCs/>
          <w:sz w:val="24"/>
          <w:szCs w:val="24"/>
        </w:rPr>
        <w:t xml:space="preserve"> diez de junio de la presente anualidad, por medio del cual ratifica su respuesta inicial, así mismo se advierte que</w:t>
      </w:r>
      <w:r>
        <w:rPr>
          <w:rFonts w:ascii="Palatino Linotype" w:hAnsi="Palatino Linotype" w:cs="Arial"/>
          <w:sz w:val="24"/>
          <w:szCs w:val="24"/>
        </w:rPr>
        <w:t xml:space="preserve"> el particular omiti</w:t>
      </w:r>
      <w:r w:rsidR="00EF3055">
        <w:rPr>
          <w:rFonts w:ascii="Palatino Linotype" w:hAnsi="Palatino Linotype" w:cs="Arial"/>
          <w:sz w:val="24"/>
          <w:szCs w:val="24"/>
        </w:rPr>
        <w:t>ó</w:t>
      </w:r>
      <w:r>
        <w:rPr>
          <w:rFonts w:ascii="Palatino Linotype" w:hAnsi="Palatino Linotype" w:cs="Arial"/>
          <w:sz w:val="24"/>
          <w:szCs w:val="24"/>
        </w:rPr>
        <w:t xml:space="preserve"> remitir alegatos, pruebas o manifestaciones, </w:t>
      </w:r>
      <w:r w:rsidRPr="00667998">
        <w:rPr>
          <w:rFonts w:ascii="Palatino Linotype" w:hAnsi="Palatino Linotype" w:cs="Arial"/>
          <w:sz w:val="24"/>
          <w:szCs w:val="24"/>
        </w:rPr>
        <w:t xml:space="preserve">tal </w:t>
      </w:r>
      <w:r>
        <w:rPr>
          <w:rFonts w:ascii="Palatino Linotype" w:hAnsi="Palatino Linotype" w:cs="Arial"/>
          <w:sz w:val="24"/>
          <w:szCs w:val="24"/>
        </w:rPr>
        <w:t xml:space="preserve">y </w:t>
      </w:r>
      <w:r w:rsidRPr="00667998">
        <w:rPr>
          <w:rFonts w:ascii="Palatino Linotype" w:hAnsi="Palatino Linotype" w:cs="Arial"/>
          <w:sz w:val="24"/>
          <w:szCs w:val="24"/>
        </w:rPr>
        <w:t>como se advierte a continuación:</w:t>
      </w:r>
    </w:p>
    <w:p w14:paraId="2F4D8129" w14:textId="71B52CF4" w:rsidR="004B3451" w:rsidRDefault="00EF3055" w:rsidP="004B3451">
      <w:pPr>
        <w:spacing w:after="0" w:line="360" w:lineRule="auto"/>
        <w:jc w:val="center"/>
        <w:rPr>
          <w:rFonts w:ascii="Palatino Linotype" w:hAnsi="Palatino Linotype" w:cs="Arial"/>
          <w:sz w:val="24"/>
          <w:szCs w:val="24"/>
        </w:rPr>
      </w:pPr>
      <w:r>
        <w:rPr>
          <w:noProof/>
          <w:lang w:eastAsia="es-MX"/>
        </w:rPr>
        <w:drawing>
          <wp:inline distT="0" distB="0" distL="0" distR="0" wp14:anchorId="4E8A9276" wp14:editId="690B9475">
            <wp:extent cx="5587602" cy="2352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33" t="27204" r="25277" b="35752"/>
                    <a:stretch/>
                  </pic:blipFill>
                  <pic:spPr bwMode="auto">
                    <a:xfrm>
                      <a:off x="0" y="0"/>
                      <a:ext cx="5601514" cy="2358533"/>
                    </a:xfrm>
                    <a:prstGeom prst="rect">
                      <a:avLst/>
                    </a:prstGeom>
                    <a:ln>
                      <a:noFill/>
                    </a:ln>
                    <a:extLst>
                      <a:ext uri="{53640926-AAD7-44D8-BBD7-CCE9431645EC}">
                        <a14:shadowObscured xmlns:a14="http://schemas.microsoft.com/office/drawing/2010/main"/>
                      </a:ext>
                    </a:extLst>
                  </pic:spPr>
                </pic:pic>
              </a:graphicData>
            </a:graphic>
          </wp:inline>
        </w:drawing>
      </w:r>
    </w:p>
    <w:p w14:paraId="4B60DBE2" w14:textId="77777777" w:rsidR="004B3451" w:rsidRDefault="004B3451" w:rsidP="004B3451">
      <w:pPr>
        <w:pStyle w:val="Sinespaciado"/>
      </w:pPr>
    </w:p>
    <w:p w14:paraId="5DE04CB5" w14:textId="77777777" w:rsidR="004B3451" w:rsidRDefault="004B3451" w:rsidP="004B3451">
      <w:pPr>
        <w:spacing w:after="0" w:line="360" w:lineRule="auto"/>
        <w:jc w:val="both"/>
        <w:rPr>
          <w:rFonts w:ascii="Palatino Linotype" w:hAnsi="Palatino Linotype" w:cs="Arial"/>
          <w:b/>
          <w:sz w:val="28"/>
        </w:rPr>
      </w:pPr>
    </w:p>
    <w:p w14:paraId="6D4906AD" w14:textId="77777777" w:rsidR="004B3451" w:rsidRPr="00C220D0" w:rsidRDefault="004B3451" w:rsidP="004B3451">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59205EC" w14:textId="6465F57D" w:rsidR="004B3451" w:rsidRDefault="004B3451" w:rsidP="004B3451">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sidR="00865DCA">
        <w:rPr>
          <w:rFonts w:ascii="Palatino Linotype" w:hAnsi="Palatino Linotype" w:cs="Arial"/>
          <w:sz w:val="24"/>
          <w:szCs w:val="24"/>
        </w:rPr>
        <w:t>dieciséis</w:t>
      </w:r>
      <w:r>
        <w:rPr>
          <w:rFonts w:ascii="Palatino Linotype" w:hAnsi="Palatino Linotype" w:cs="Arial"/>
          <w:sz w:val="24"/>
          <w:szCs w:val="24"/>
        </w:rPr>
        <w:t xml:space="preserve"> de junio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6DFA037A" w14:textId="77777777" w:rsidR="004B3451" w:rsidRPr="00667998" w:rsidRDefault="004B3451" w:rsidP="004B3451">
      <w:pPr>
        <w:spacing w:after="0" w:line="360" w:lineRule="auto"/>
        <w:jc w:val="both"/>
        <w:rPr>
          <w:rFonts w:ascii="Palatino Linotype" w:hAnsi="Palatino Linotype" w:cs="Arial"/>
          <w:sz w:val="24"/>
          <w:szCs w:val="24"/>
        </w:rPr>
      </w:pPr>
    </w:p>
    <w:p w14:paraId="2B6449DF" w14:textId="77777777" w:rsidR="004B3451" w:rsidRPr="00667998" w:rsidRDefault="004B3451" w:rsidP="004B3451">
      <w:pPr>
        <w:pStyle w:val="Sinespaciado"/>
      </w:pPr>
    </w:p>
    <w:p w14:paraId="4172AEE0" w14:textId="48E88D34" w:rsidR="004B3451" w:rsidRPr="00667998" w:rsidRDefault="004B3451" w:rsidP="004B345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sidR="00865DCA">
        <w:rPr>
          <w:rFonts w:ascii="Palatino Linotype" w:hAnsi="Palatino Linotype" w:cs="Arial"/>
          <w:sz w:val="24"/>
          <w:szCs w:val="24"/>
        </w:rPr>
        <w:t>d</w:t>
      </w:r>
      <w:r>
        <w:rPr>
          <w:rFonts w:ascii="Palatino Linotype" w:hAnsi="Palatino Linotype" w:cs="Arial"/>
          <w:sz w:val="24"/>
          <w:szCs w:val="24"/>
        </w:rPr>
        <w:t>o</w:t>
      </w:r>
      <w:r w:rsidR="00865DCA">
        <w:rPr>
          <w:rFonts w:ascii="Palatino Linotype" w:hAnsi="Palatino Linotype" w:cs="Arial"/>
          <w:sz w:val="24"/>
          <w:szCs w:val="24"/>
        </w:rPr>
        <w:t>ce</w:t>
      </w:r>
      <w:r>
        <w:rPr>
          <w:rFonts w:ascii="Palatino Linotype" w:hAnsi="Palatino Linotype" w:cs="Arial"/>
          <w:sz w:val="24"/>
          <w:szCs w:val="24"/>
        </w:rPr>
        <w:t xml:space="preserve"> de julio</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67ABB06C" w14:textId="77777777" w:rsidR="004B3451" w:rsidRDefault="004B3451" w:rsidP="004B3451">
      <w:pPr>
        <w:spacing w:after="0" w:line="360" w:lineRule="auto"/>
        <w:jc w:val="both"/>
        <w:rPr>
          <w:rFonts w:ascii="Palatino Linotype" w:hAnsi="Palatino Linotype" w:cs="Arial"/>
          <w:sz w:val="24"/>
          <w:szCs w:val="24"/>
        </w:rPr>
      </w:pPr>
    </w:p>
    <w:p w14:paraId="0452F2D7" w14:textId="1C7DF1AA" w:rsidR="004B3451" w:rsidRDefault="004B3451" w:rsidP="004B3451">
      <w:pPr>
        <w:spacing w:after="0" w:line="360" w:lineRule="auto"/>
        <w:jc w:val="both"/>
        <w:rPr>
          <w:rFonts w:ascii="Palatino Linotype" w:hAnsi="Palatino Linotype" w:cs="Arial"/>
          <w:sz w:val="24"/>
          <w:szCs w:val="24"/>
        </w:rPr>
      </w:pPr>
    </w:p>
    <w:p w14:paraId="26ACBE35" w14:textId="77777777" w:rsidR="00865DCA" w:rsidRPr="00667998" w:rsidRDefault="00865DCA" w:rsidP="004B3451">
      <w:pPr>
        <w:spacing w:after="0" w:line="360" w:lineRule="auto"/>
        <w:jc w:val="both"/>
        <w:rPr>
          <w:rFonts w:ascii="Palatino Linotype" w:hAnsi="Palatino Linotype" w:cs="Arial"/>
          <w:sz w:val="24"/>
          <w:szCs w:val="24"/>
        </w:rPr>
      </w:pPr>
    </w:p>
    <w:p w14:paraId="7D3AD581" w14:textId="77777777" w:rsidR="004B3451" w:rsidRPr="00667998" w:rsidRDefault="004B3451" w:rsidP="004B3451">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51DA6EE" w14:textId="77777777" w:rsidR="004B3451" w:rsidRPr="00C220D0" w:rsidRDefault="004B3451" w:rsidP="004B3451">
      <w:pPr>
        <w:pStyle w:val="Sinespaciado"/>
        <w:rPr>
          <w:rFonts w:ascii="Palatino Linotype" w:hAnsi="Palatino Linotype"/>
        </w:rPr>
      </w:pPr>
    </w:p>
    <w:p w14:paraId="6D99D60B" w14:textId="77777777" w:rsidR="004B3451" w:rsidRPr="00667998" w:rsidRDefault="004B3451" w:rsidP="004B3451">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1B55F2E" w14:textId="77777777" w:rsidR="004B3451" w:rsidRPr="00667998" w:rsidRDefault="004B3451" w:rsidP="004B3451">
      <w:pPr>
        <w:pStyle w:val="Sinespaciado"/>
        <w:spacing w:line="360" w:lineRule="auto"/>
        <w:jc w:val="both"/>
        <w:rPr>
          <w:rFonts w:ascii="Palatino Linotype" w:hAnsi="Palatino Linotype"/>
        </w:rPr>
      </w:pPr>
      <w:r w:rsidRPr="0066799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661132DD" w14:textId="77777777" w:rsidR="004B3451" w:rsidRDefault="004B3451" w:rsidP="004B3451">
      <w:pPr>
        <w:spacing w:after="0" w:line="360" w:lineRule="auto"/>
        <w:jc w:val="both"/>
        <w:rPr>
          <w:rFonts w:ascii="Palatino Linotype" w:hAnsi="Palatino Linotype" w:cs="Arial"/>
          <w:sz w:val="24"/>
        </w:rPr>
      </w:pPr>
    </w:p>
    <w:p w14:paraId="3CD9293E" w14:textId="77777777" w:rsidR="004B3451" w:rsidRDefault="004B3451" w:rsidP="004B345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2100B02" w14:textId="77777777" w:rsidR="004B3451" w:rsidRDefault="004B3451" w:rsidP="004B3451">
      <w:pPr>
        <w:spacing w:after="0" w:line="360" w:lineRule="auto"/>
        <w:jc w:val="both"/>
        <w:rPr>
          <w:rFonts w:ascii="Palatino Linotype" w:hAnsi="Palatino Linotype" w:cs="Arial"/>
          <w:sz w:val="24"/>
        </w:rPr>
      </w:pPr>
    </w:p>
    <w:p w14:paraId="6C83439C" w14:textId="77777777" w:rsidR="004B3451" w:rsidRPr="00667998" w:rsidRDefault="004B3451" w:rsidP="004B3451">
      <w:pPr>
        <w:spacing w:after="0" w:line="360" w:lineRule="auto"/>
        <w:jc w:val="both"/>
        <w:rPr>
          <w:rFonts w:ascii="Palatino Linotype" w:hAnsi="Palatino Linotype" w:cs="Arial"/>
          <w:sz w:val="24"/>
        </w:rPr>
      </w:pPr>
    </w:p>
    <w:p w14:paraId="02C5A97E"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403F6F3"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5C09D" w14:textId="77777777" w:rsidR="004B3451" w:rsidRDefault="004B3451" w:rsidP="004B3451">
      <w:pPr>
        <w:pStyle w:val="Prrafodelista"/>
        <w:autoSpaceDE w:val="0"/>
        <w:autoSpaceDN w:val="0"/>
        <w:adjustRightInd w:val="0"/>
        <w:spacing w:line="360" w:lineRule="auto"/>
        <w:ind w:left="0"/>
        <w:jc w:val="both"/>
        <w:rPr>
          <w:rFonts w:ascii="Palatino Linotype" w:hAnsi="Palatino Linotype" w:cs="Arial"/>
          <w:b/>
        </w:rPr>
      </w:pPr>
    </w:p>
    <w:p w14:paraId="5E5B2D03" w14:textId="77777777" w:rsidR="004B3451" w:rsidRPr="009E0295" w:rsidRDefault="004B3451" w:rsidP="004B3451">
      <w:pPr>
        <w:pStyle w:val="Prrafodelista"/>
        <w:autoSpaceDE w:val="0"/>
        <w:autoSpaceDN w:val="0"/>
        <w:adjustRightInd w:val="0"/>
        <w:spacing w:line="360" w:lineRule="auto"/>
        <w:ind w:left="0"/>
        <w:jc w:val="both"/>
        <w:rPr>
          <w:rFonts w:ascii="Palatino Linotype" w:hAnsi="Palatino Linotype" w:cs="Arial"/>
          <w:b/>
          <w:lang w:val="es-MX"/>
        </w:rPr>
      </w:pPr>
    </w:p>
    <w:p w14:paraId="6ADAAE18"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6255BF09"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E8EA0E7"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rPr>
      </w:pPr>
    </w:p>
    <w:p w14:paraId="10BF6F39" w14:textId="77777777" w:rsidR="004B3451" w:rsidRDefault="004B3451" w:rsidP="004B345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B1AA51E"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rPr>
      </w:pPr>
    </w:p>
    <w:p w14:paraId="683D2758" w14:textId="77777777" w:rsidR="004B3451" w:rsidRDefault="004B3451" w:rsidP="004B345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Así las cosas, al no existir causas de improcedencia invocadas por las partes ni advertidas de oficio por este Resolutor, se proceden al análisis del asunto en los siguientes términos.</w:t>
      </w:r>
    </w:p>
    <w:p w14:paraId="0D1B44B2" w14:textId="77777777" w:rsidR="004B3451" w:rsidRDefault="004B3451" w:rsidP="004B3451">
      <w:pPr>
        <w:pStyle w:val="Prrafodelista"/>
        <w:autoSpaceDE w:val="0"/>
        <w:autoSpaceDN w:val="0"/>
        <w:adjustRightInd w:val="0"/>
        <w:spacing w:line="360" w:lineRule="auto"/>
        <w:ind w:left="0"/>
        <w:jc w:val="both"/>
        <w:rPr>
          <w:rFonts w:ascii="Palatino Linotype" w:hAnsi="Palatino Linotype" w:cs="Arial"/>
        </w:rPr>
      </w:pPr>
    </w:p>
    <w:p w14:paraId="6A271F74" w14:textId="77777777" w:rsidR="004B3451" w:rsidRPr="00C220D0" w:rsidRDefault="004B3451" w:rsidP="004B3451">
      <w:pPr>
        <w:pStyle w:val="Prrafodelista"/>
        <w:autoSpaceDE w:val="0"/>
        <w:autoSpaceDN w:val="0"/>
        <w:adjustRightInd w:val="0"/>
        <w:spacing w:line="360" w:lineRule="auto"/>
        <w:ind w:left="0"/>
        <w:jc w:val="both"/>
        <w:rPr>
          <w:rFonts w:ascii="Palatino Linotype" w:hAnsi="Palatino Linotype" w:cs="Arial"/>
        </w:rPr>
      </w:pPr>
    </w:p>
    <w:p w14:paraId="79EE8738" w14:textId="77777777" w:rsidR="004B3451" w:rsidRDefault="004B3451" w:rsidP="004B3451">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4EC666A1" w14:textId="77777777" w:rsidR="004B3451" w:rsidRPr="00667998" w:rsidRDefault="004B3451" w:rsidP="004B345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C5C0EEC" w14:textId="77777777" w:rsidR="004B3451" w:rsidRPr="00667998" w:rsidRDefault="004B3451" w:rsidP="004B3451">
      <w:pPr>
        <w:tabs>
          <w:tab w:val="left" w:pos="709"/>
        </w:tabs>
        <w:spacing w:after="0" w:line="360" w:lineRule="auto"/>
        <w:jc w:val="both"/>
        <w:rPr>
          <w:rFonts w:ascii="Palatino Linotype" w:hAnsi="Palatino Linotype" w:cs="Arial"/>
          <w:sz w:val="24"/>
          <w:szCs w:val="24"/>
        </w:rPr>
      </w:pPr>
    </w:p>
    <w:p w14:paraId="62B544CE" w14:textId="77777777" w:rsidR="004B3451" w:rsidRDefault="004B3451" w:rsidP="004B3451">
      <w:pPr>
        <w:tabs>
          <w:tab w:val="left" w:pos="709"/>
        </w:tabs>
        <w:spacing w:after="0" w:line="360" w:lineRule="auto"/>
        <w:jc w:val="both"/>
        <w:rPr>
          <w:rFonts w:ascii="Palatino Linotype" w:hAnsi="Palatino Linotype" w:cs="Arial"/>
          <w:sz w:val="24"/>
          <w:szCs w:val="24"/>
        </w:rPr>
      </w:pPr>
    </w:p>
    <w:p w14:paraId="51FC4898" w14:textId="77777777" w:rsidR="00865DCA" w:rsidRPr="0007281A" w:rsidRDefault="00865DCA" w:rsidP="00865DCA">
      <w:pPr>
        <w:tabs>
          <w:tab w:val="left" w:pos="709"/>
        </w:tabs>
        <w:spacing w:line="360" w:lineRule="auto"/>
        <w:jc w:val="both"/>
        <w:rPr>
          <w:rFonts w:ascii="Palatino Linotype" w:hAnsi="Palatino Linotype"/>
          <w:sz w:val="24"/>
        </w:rPr>
      </w:pPr>
      <w:r w:rsidRPr="0007281A">
        <w:rPr>
          <w:rFonts w:ascii="Palatino Linotype" w:hAnsi="Palatino Linotype" w:cs="Arial"/>
          <w:sz w:val="24"/>
        </w:rPr>
        <w:t xml:space="preserve">Con el propósito de realizar un mejor proveer por parte de este Órgano Garante, es conveniente </w:t>
      </w:r>
      <w:r w:rsidRPr="0007281A">
        <w:rPr>
          <w:rFonts w:ascii="Palatino Linotype" w:hAnsi="Palatino Linotype"/>
          <w:sz w:val="24"/>
        </w:rPr>
        <w:t xml:space="preserve">hacer alusión a lo que </w:t>
      </w:r>
      <w:r>
        <w:rPr>
          <w:rFonts w:ascii="Palatino Linotype" w:hAnsi="Palatino Linotype"/>
          <w:sz w:val="24"/>
        </w:rPr>
        <w:t>e</w:t>
      </w:r>
      <w:r w:rsidRPr="0007281A">
        <w:rPr>
          <w:rFonts w:ascii="Palatino Linotype" w:hAnsi="Palatino Linotype"/>
          <w:sz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versara el recurso de revisión ante este Órgano Garante.</w:t>
      </w:r>
    </w:p>
    <w:p w14:paraId="5679C04A" w14:textId="77777777" w:rsidR="00865DCA" w:rsidRPr="00AC1E9C" w:rsidRDefault="00865DCA" w:rsidP="00865DCA">
      <w:pPr>
        <w:pStyle w:val="Prrafodelista"/>
        <w:autoSpaceDE w:val="0"/>
        <w:autoSpaceDN w:val="0"/>
        <w:adjustRightInd w:val="0"/>
        <w:spacing w:line="360" w:lineRule="auto"/>
        <w:ind w:left="0"/>
        <w:jc w:val="both"/>
        <w:rPr>
          <w:rFonts w:ascii="Palatino Linotype" w:hAnsi="Palatino Linotype" w:cs="Arial"/>
        </w:rPr>
      </w:pPr>
    </w:p>
    <w:p w14:paraId="17D2C541" w14:textId="62159396" w:rsidR="00865DCA" w:rsidRDefault="00865DCA" w:rsidP="00865DCA">
      <w:pPr>
        <w:pStyle w:val="Sinespaciado"/>
        <w:spacing w:line="360" w:lineRule="auto"/>
        <w:jc w:val="both"/>
        <w:rPr>
          <w:rFonts w:ascii="Palatino Linotype" w:hAnsi="Palatino Linotype"/>
        </w:rPr>
      </w:pPr>
      <w:r w:rsidRPr="0007281A">
        <w:rPr>
          <w:rFonts w:ascii="Palatino Linotype" w:hAnsi="Palatino Linotype"/>
        </w:rPr>
        <w:lastRenderedPageBreak/>
        <w:t xml:space="preserve">Así, tenemos en un primer plano de estudio el texto de la solicitud de información, que fue plasmada por </w:t>
      </w:r>
      <w:r w:rsidR="00AC1090">
        <w:rPr>
          <w:rFonts w:ascii="Palatino Linotype" w:hAnsi="Palatino Linotype"/>
        </w:rPr>
        <w:t>el</w:t>
      </w:r>
      <w:r w:rsidRPr="0007281A">
        <w:rPr>
          <w:rFonts w:ascii="Palatino Linotype" w:hAnsi="Palatino Linotype"/>
        </w:rPr>
        <w:t xml:space="preserve"> Recurrente, ello a efecto de poder determinar la materia de la solicitud de información que nos ocupa, así la particular objetivamente requiere lo siguiente:</w:t>
      </w:r>
      <w:r w:rsidR="00AC1090">
        <w:rPr>
          <w:rFonts w:ascii="Palatino Linotype" w:hAnsi="Palatino Linotype"/>
        </w:rPr>
        <w:t xml:space="preserve"> </w:t>
      </w:r>
      <w:r w:rsidR="00AC1090" w:rsidRPr="00AC1090">
        <w:rPr>
          <w:rFonts w:ascii="Palatino Linotype" w:hAnsi="Palatino Linotype"/>
        </w:rPr>
        <w:t>Versión Pública de todo lo actuado en el expediente DGC/049/INV/2020</w:t>
      </w:r>
      <w:r w:rsidR="00AC1090">
        <w:rPr>
          <w:rFonts w:ascii="Palatino Linotype" w:hAnsi="Palatino Linotype"/>
        </w:rPr>
        <w:t>.</w:t>
      </w:r>
    </w:p>
    <w:p w14:paraId="64EC5A89" w14:textId="77777777" w:rsidR="004B3451" w:rsidRDefault="004B3451" w:rsidP="004B3451">
      <w:pPr>
        <w:autoSpaceDE w:val="0"/>
        <w:autoSpaceDN w:val="0"/>
        <w:adjustRightInd w:val="0"/>
        <w:spacing w:after="0" w:line="360" w:lineRule="auto"/>
        <w:jc w:val="both"/>
        <w:rPr>
          <w:rFonts w:ascii="Palatino Linotype" w:hAnsi="Palatino Linotype" w:cs="Arial"/>
          <w:sz w:val="24"/>
        </w:rPr>
      </w:pPr>
    </w:p>
    <w:p w14:paraId="61D109FA" w14:textId="77777777" w:rsidR="004B3451" w:rsidRDefault="004B3451" w:rsidP="004B3451">
      <w:pPr>
        <w:autoSpaceDE w:val="0"/>
        <w:autoSpaceDN w:val="0"/>
        <w:adjustRightInd w:val="0"/>
        <w:spacing w:after="0" w:line="360" w:lineRule="auto"/>
        <w:jc w:val="both"/>
        <w:rPr>
          <w:rFonts w:ascii="Palatino Linotype" w:hAnsi="Palatino Linotype" w:cs="Arial"/>
          <w:sz w:val="24"/>
        </w:rPr>
      </w:pPr>
    </w:p>
    <w:p w14:paraId="0109B8B2" w14:textId="47CF8739" w:rsidR="004B3451" w:rsidRDefault="004B3451" w:rsidP="004B3451">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AC1090">
        <w:rPr>
          <w:rFonts w:ascii="Palatino Linotype" w:hAnsi="Palatino Linotype"/>
        </w:rPr>
        <w:t>los</w:t>
      </w:r>
      <w:r w:rsidRPr="00667998">
        <w:rPr>
          <w:rFonts w:ascii="Palatino Linotype" w:hAnsi="Palatino Linotype" w:cs="Arial"/>
        </w:rPr>
        <w:t xml:space="preserve"> archivo</w:t>
      </w:r>
      <w:r w:rsidR="00AC1090">
        <w:rPr>
          <w:rFonts w:ascii="Palatino Linotype" w:hAnsi="Palatino Linotype" w:cs="Arial"/>
        </w:rPr>
        <w:t>s</w:t>
      </w:r>
      <w:r w:rsidRPr="00667998">
        <w:rPr>
          <w:rFonts w:ascii="Palatino Linotype" w:hAnsi="Palatino Linotype" w:cs="Arial"/>
        </w:rPr>
        <w:t xml:space="preserve"> denominado</w:t>
      </w:r>
      <w:r w:rsidR="00AC1090">
        <w:rPr>
          <w:rFonts w:ascii="Palatino Linotype" w:hAnsi="Palatino Linotype" w:cs="Arial"/>
        </w:rPr>
        <w:t>s</w:t>
      </w:r>
      <w:r>
        <w:rPr>
          <w:rFonts w:ascii="Palatino Linotype" w:hAnsi="Palatino Linotype" w:cs="Arial"/>
        </w:rPr>
        <w:t xml:space="preserve"> </w:t>
      </w:r>
      <w:r w:rsidR="00AC1090" w:rsidRPr="006F3258">
        <w:rPr>
          <w:rFonts w:ascii="Palatino Linotype" w:hAnsi="Palatino Linotype" w:cs="Arial"/>
          <w:i/>
        </w:rPr>
        <w:t>“</w:t>
      </w:r>
      <w:r w:rsidR="00AC1090" w:rsidRPr="00EE57F2">
        <w:rPr>
          <w:rFonts w:ascii="Palatino Linotype" w:hAnsi="Palatino Linotype"/>
          <w:i/>
        </w:rPr>
        <w:t>Respuesta 389.pdf</w:t>
      </w:r>
      <w:r w:rsidR="00AC1090">
        <w:rPr>
          <w:rFonts w:ascii="Palatino Linotype" w:hAnsi="Palatino Linotype"/>
          <w:i/>
        </w:rPr>
        <w:t>” y “</w:t>
      </w:r>
      <w:bookmarkStart w:id="1" w:name="_Hlk77820269"/>
      <w:r w:rsidR="00AC1090" w:rsidRPr="00EE57F2">
        <w:rPr>
          <w:rFonts w:ascii="Palatino Linotype" w:hAnsi="Palatino Linotype"/>
          <w:i/>
        </w:rPr>
        <w:t>GUIA PARA OBTENER HOJA DE AYUDA (1).pdf</w:t>
      </w:r>
      <w:bookmarkEnd w:id="1"/>
      <w:r w:rsidR="00AC1090" w:rsidRPr="006F3258">
        <w:rPr>
          <w:rFonts w:ascii="Palatino Linotype" w:hAnsi="Palatino Linotype" w:cs="Arial"/>
          <w:i/>
        </w:rPr>
        <w:t>”</w:t>
      </w:r>
      <w:r>
        <w:rPr>
          <w:rFonts w:ascii="Palatino Linotype" w:hAnsi="Palatino Linotype" w:cs="Arial"/>
        </w:rPr>
        <w:t>;</w:t>
      </w:r>
      <w:r>
        <w:rPr>
          <w:rFonts w:ascii="Palatino Linotype" w:hAnsi="Palatino Linotype"/>
        </w:rPr>
        <w:t xml:space="preserve"> </w:t>
      </w:r>
      <w:r w:rsidR="00AC1090">
        <w:rPr>
          <w:rFonts w:ascii="Palatino Linotype" w:hAnsi="Palatino Linotype"/>
        </w:rPr>
        <w:t>los</w:t>
      </w:r>
      <w:r>
        <w:rPr>
          <w:rFonts w:ascii="Palatino Linotype" w:hAnsi="Palatino Linotype"/>
        </w:rPr>
        <w:t xml:space="preserve"> cual</w:t>
      </w:r>
      <w:r w:rsidR="00AC1090">
        <w:rPr>
          <w:rFonts w:ascii="Palatino Linotype" w:hAnsi="Palatino Linotype"/>
        </w:rPr>
        <w:t>es</w:t>
      </w:r>
      <w:r>
        <w:rPr>
          <w:rFonts w:ascii="Palatino Linotype" w:hAnsi="Palatino Linotype"/>
        </w:rPr>
        <w:t xml:space="preserve"> se describe</w:t>
      </w:r>
      <w:r w:rsidR="00AC1090">
        <w:rPr>
          <w:rFonts w:ascii="Palatino Linotype" w:hAnsi="Palatino Linotype"/>
        </w:rPr>
        <w:t>n</w:t>
      </w:r>
      <w:r>
        <w:rPr>
          <w:rFonts w:ascii="Palatino Linotype" w:hAnsi="Palatino Linotype"/>
        </w:rPr>
        <w:t xml:space="preserve"> a continuación:</w:t>
      </w:r>
    </w:p>
    <w:p w14:paraId="6CFF3A89" w14:textId="77777777" w:rsidR="004B3451" w:rsidRDefault="004B3451" w:rsidP="004B3451">
      <w:pPr>
        <w:pStyle w:val="Sinespaciado"/>
        <w:spacing w:line="360" w:lineRule="auto"/>
        <w:jc w:val="both"/>
        <w:rPr>
          <w:rFonts w:ascii="Palatino Linotype" w:hAnsi="Palatino Linotype"/>
        </w:rPr>
      </w:pPr>
    </w:p>
    <w:p w14:paraId="16758A9E" w14:textId="33EC7D4A" w:rsidR="004B3451" w:rsidRPr="00AC1090" w:rsidRDefault="00AC1090" w:rsidP="00A04798">
      <w:pPr>
        <w:pStyle w:val="Sinespaciado"/>
        <w:numPr>
          <w:ilvl w:val="0"/>
          <w:numId w:val="2"/>
        </w:numPr>
        <w:spacing w:line="360" w:lineRule="auto"/>
        <w:jc w:val="both"/>
        <w:rPr>
          <w:rFonts w:ascii="Palatino Linotype" w:hAnsi="Palatino Linotype"/>
          <w:iCs/>
        </w:rPr>
      </w:pPr>
      <w:r w:rsidRPr="00AC1090">
        <w:rPr>
          <w:rFonts w:ascii="Palatino Linotype" w:hAnsi="Palatino Linotype"/>
          <w:b/>
          <w:bCs/>
          <w:iCs/>
        </w:rPr>
        <w:t>Respuesta 389.pdf</w:t>
      </w:r>
      <w:r w:rsidR="004B3451" w:rsidRPr="00AC1090">
        <w:rPr>
          <w:rFonts w:ascii="Palatino Linotype" w:hAnsi="Palatino Linotype"/>
          <w:i/>
        </w:rPr>
        <w:t xml:space="preserve">: </w:t>
      </w:r>
      <w:r w:rsidR="004B3451" w:rsidRPr="00AC1090">
        <w:rPr>
          <w:rFonts w:ascii="Palatino Linotype" w:hAnsi="Palatino Linotype"/>
          <w:iCs/>
        </w:rPr>
        <w:t xml:space="preserve">Documento en </w:t>
      </w:r>
      <w:r w:rsidRPr="00AC1090">
        <w:rPr>
          <w:rFonts w:ascii="Palatino Linotype" w:hAnsi="Palatino Linotype"/>
          <w:iCs/>
        </w:rPr>
        <w:t>tre</w:t>
      </w:r>
      <w:r w:rsidR="004B3451" w:rsidRPr="00AC1090">
        <w:rPr>
          <w:rFonts w:ascii="Palatino Linotype" w:hAnsi="Palatino Linotype"/>
          <w:iCs/>
        </w:rPr>
        <w:t xml:space="preserve">s fojas consistentes en oficio de fecha </w:t>
      </w:r>
      <w:r w:rsidRPr="00AC1090">
        <w:rPr>
          <w:rFonts w:ascii="Palatino Linotype" w:hAnsi="Palatino Linotype"/>
          <w:iCs/>
        </w:rPr>
        <w:t>veinticuatro</w:t>
      </w:r>
      <w:r w:rsidR="004B3451" w:rsidRPr="00AC1090">
        <w:rPr>
          <w:rFonts w:ascii="Palatino Linotype" w:hAnsi="Palatino Linotype"/>
          <w:iCs/>
        </w:rPr>
        <w:t xml:space="preserve"> de mayo del dos mil veintiuno, por medio del cual l</w:t>
      </w:r>
      <w:r w:rsidRPr="00AC1090">
        <w:rPr>
          <w:rFonts w:ascii="Palatino Linotype" w:hAnsi="Palatino Linotype"/>
          <w:iCs/>
        </w:rPr>
        <w:t>a</w:t>
      </w:r>
      <w:r w:rsidR="004B3451" w:rsidRPr="00AC1090">
        <w:rPr>
          <w:rFonts w:ascii="Palatino Linotype" w:hAnsi="Palatino Linotype"/>
          <w:iCs/>
        </w:rPr>
        <w:t xml:space="preserve"> Titular de la Unidad de Transparencia informa al particular </w:t>
      </w:r>
      <w:r w:rsidRPr="00AC1090">
        <w:rPr>
          <w:rFonts w:ascii="Palatino Linotype" w:hAnsi="Palatino Linotype"/>
          <w:iCs/>
        </w:rPr>
        <w:t>que toda vez que el expediente de su interés sobrepasa las veinte hojas simples, deberá de cu</w:t>
      </w:r>
      <w:r>
        <w:rPr>
          <w:rFonts w:ascii="Palatino Linotype" w:hAnsi="Palatino Linotype"/>
          <w:iCs/>
        </w:rPr>
        <w:t>b</w:t>
      </w:r>
      <w:r w:rsidRPr="00AC1090">
        <w:rPr>
          <w:rFonts w:ascii="Palatino Linotype" w:hAnsi="Palatino Linotype"/>
          <w:iCs/>
        </w:rPr>
        <w:t>rir de manera previa el pago, de acuerdo a lo establecido por el artículo 73 del Código Financiero del Estado de México y</w:t>
      </w:r>
      <w:r>
        <w:rPr>
          <w:rFonts w:ascii="Palatino Linotype" w:hAnsi="Palatino Linotype"/>
          <w:iCs/>
        </w:rPr>
        <w:t xml:space="preserve"> </w:t>
      </w:r>
      <w:r w:rsidRPr="00AC1090">
        <w:rPr>
          <w:rFonts w:ascii="Palatino Linotype" w:hAnsi="Palatino Linotype"/>
          <w:iCs/>
        </w:rPr>
        <w:t>Municipios</w:t>
      </w:r>
      <w:r>
        <w:rPr>
          <w:rFonts w:ascii="Palatino Linotype" w:hAnsi="Palatino Linotype"/>
          <w:iCs/>
        </w:rPr>
        <w:t>, tal y como se advierte a continuación:</w:t>
      </w:r>
    </w:p>
    <w:p w14:paraId="36537D2E" w14:textId="77777777" w:rsidR="004B3451" w:rsidRDefault="004B3451" w:rsidP="004B3451">
      <w:pPr>
        <w:pStyle w:val="Sinespaciado"/>
        <w:spacing w:line="360" w:lineRule="auto"/>
        <w:ind w:left="720"/>
        <w:jc w:val="both"/>
        <w:rPr>
          <w:rFonts w:ascii="Palatino Linotype" w:hAnsi="Palatino Linotype"/>
          <w:iCs/>
        </w:rPr>
      </w:pPr>
      <w:r>
        <w:rPr>
          <w:rFonts w:ascii="Palatino Linotype" w:hAnsi="Palatino Linotype"/>
          <w:iCs/>
          <w:noProof/>
          <w:lang w:eastAsia="es-MX"/>
        </w:rPr>
        <mc:AlternateContent>
          <mc:Choice Requires="wps">
            <w:drawing>
              <wp:anchor distT="0" distB="0" distL="114300" distR="114300" simplePos="0" relativeHeight="251659264" behindDoc="0" locked="0" layoutInCell="1" allowOverlap="1" wp14:anchorId="5F388642" wp14:editId="16837962">
                <wp:simplePos x="0" y="0"/>
                <wp:positionH relativeFrom="margin">
                  <wp:posOffset>524378</wp:posOffset>
                </wp:positionH>
                <wp:positionV relativeFrom="paragraph">
                  <wp:posOffset>7260</wp:posOffset>
                </wp:positionV>
                <wp:extent cx="5253008" cy="1923139"/>
                <wp:effectExtent l="0" t="0" r="24130" b="20320"/>
                <wp:wrapNone/>
                <wp:docPr id="4" name="Conector recto 4"/>
                <wp:cNvGraphicFramePr/>
                <a:graphic xmlns:a="http://schemas.openxmlformats.org/drawingml/2006/main">
                  <a:graphicData uri="http://schemas.microsoft.com/office/word/2010/wordprocessingShape">
                    <wps:wsp>
                      <wps:cNvCnPr/>
                      <wps:spPr>
                        <a:xfrm>
                          <a:off x="0" y="0"/>
                          <a:ext cx="5253008" cy="19231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439929C"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3pt,.55pt" to="454.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" strokecolor="#4472c4 [3204]" strokeweight=".5pt">
                <v:stroke joinstyle="miter"/>
                <w10:wrap anchorx="margin"/>
              </v:line>
            </w:pict>
          </mc:Fallback>
        </mc:AlternateContent>
      </w:r>
    </w:p>
    <w:p w14:paraId="3BF626E0" w14:textId="4285EE76" w:rsidR="004B3451" w:rsidRDefault="004B3451" w:rsidP="004B3451">
      <w:pPr>
        <w:pStyle w:val="Sinespaciado"/>
        <w:spacing w:line="360" w:lineRule="auto"/>
        <w:ind w:left="720"/>
        <w:jc w:val="center"/>
        <w:rPr>
          <w:rFonts w:ascii="Palatino Linotype" w:hAnsi="Palatino Linotype"/>
          <w:iCs/>
        </w:rPr>
      </w:pPr>
      <w:r w:rsidRPr="0065213F">
        <w:rPr>
          <w:rFonts w:ascii="Palatino Linotype" w:hAnsi="Palatino Linotype" w:cs="Arial"/>
          <w:noProof/>
          <w:lang w:eastAsia="es-MX"/>
        </w:rPr>
        <w:lastRenderedPageBreak/>
        <mc:AlternateContent>
          <mc:Choice Requires="wps">
            <w:drawing>
              <wp:anchor distT="0" distB="0" distL="114300" distR="114300" simplePos="0" relativeHeight="251661312" behindDoc="0" locked="0" layoutInCell="1" allowOverlap="1" wp14:anchorId="4CD46231" wp14:editId="6CF8152F">
                <wp:simplePos x="0" y="0"/>
                <wp:positionH relativeFrom="column">
                  <wp:posOffset>1177290</wp:posOffset>
                </wp:positionH>
                <wp:positionV relativeFrom="paragraph">
                  <wp:posOffset>3768725</wp:posOffset>
                </wp:positionV>
                <wp:extent cx="4105275" cy="1514475"/>
                <wp:effectExtent l="19050" t="19050" r="28575" b="28575"/>
                <wp:wrapNone/>
                <wp:docPr id="6" name="Rectángulo redondeado 9"/>
                <wp:cNvGraphicFramePr/>
                <a:graphic xmlns:a="http://schemas.openxmlformats.org/drawingml/2006/main">
                  <a:graphicData uri="http://schemas.microsoft.com/office/word/2010/wordprocessingShape">
                    <wps:wsp>
                      <wps:cNvSpPr/>
                      <wps:spPr>
                        <a:xfrm>
                          <a:off x="0" y="0"/>
                          <a:ext cx="4105275" cy="151447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075BCBC" id="Rectángulo redondeado 9" o:spid="_x0000_s1026" style="position:absolute;margin-left:92.7pt;margin-top:296.75pt;width:323.25pt;height:1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" filled="f" strokecolor="red" strokeweight="3pt">
                <v:stroke joinstyle="miter"/>
              </v:roundrect>
            </w:pict>
          </mc:Fallback>
        </mc:AlternateContent>
      </w:r>
      <w:r w:rsidRPr="003237FC">
        <w:rPr>
          <w:noProof/>
        </w:rPr>
        <w:t xml:space="preserve"> </w:t>
      </w:r>
      <w:r w:rsidR="00CA3B8B">
        <w:rPr>
          <w:noProof/>
          <w:lang w:eastAsia="es-MX"/>
        </w:rPr>
        <w:drawing>
          <wp:inline distT="0" distB="0" distL="0" distR="0" wp14:anchorId="2719F8CA" wp14:editId="7DCF4024">
            <wp:extent cx="4510769" cy="599122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210" t="15917" r="35045" b="9126"/>
                    <a:stretch/>
                  </pic:blipFill>
                  <pic:spPr bwMode="auto">
                    <a:xfrm>
                      <a:off x="0" y="0"/>
                      <a:ext cx="4542384" cy="6033216"/>
                    </a:xfrm>
                    <a:prstGeom prst="rect">
                      <a:avLst/>
                    </a:prstGeom>
                    <a:ln>
                      <a:noFill/>
                    </a:ln>
                    <a:extLst>
                      <a:ext uri="{53640926-AAD7-44D8-BBD7-CCE9431645EC}">
                        <a14:shadowObscured xmlns:a14="http://schemas.microsoft.com/office/drawing/2010/main"/>
                      </a:ext>
                    </a:extLst>
                  </pic:spPr>
                </pic:pic>
              </a:graphicData>
            </a:graphic>
          </wp:inline>
        </w:drawing>
      </w:r>
    </w:p>
    <w:p w14:paraId="6D3E3F0E" w14:textId="53586305" w:rsidR="004B3451" w:rsidRDefault="004B3451" w:rsidP="00CA3B8B">
      <w:pPr>
        <w:pStyle w:val="Sinespaciado"/>
        <w:spacing w:line="360" w:lineRule="auto"/>
        <w:jc w:val="both"/>
        <w:rPr>
          <w:rFonts w:ascii="Palatino Linotype" w:hAnsi="Palatino Linotype"/>
          <w:iCs/>
        </w:rPr>
      </w:pPr>
    </w:p>
    <w:p w14:paraId="00DB8785" w14:textId="295988FF" w:rsidR="00CA3B8B" w:rsidRPr="00CA3B8B" w:rsidRDefault="00CA3B8B" w:rsidP="00784410">
      <w:pPr>
        <w:pStyle w:val="Sinespaciado"/>
        <w:numPr>
          <w:ilvl w:val="0"/>
          <w:numId w:val="2"/>
        </w:numPr>
        <w:spacing w:line="360" w:lineRule="auto"/>
        <w:jc w:val="both"/>
        <w:rPr>
          <w:rFonts w:ascii="Palatino Linotype" w:hAnsi="Palatino Linotype"/>
          <w:iCs/>
        </w:rPr>
      </w:pPr>
      <w:r w:rsidRPr="00CA3B8B">
        <w:rPr>
          <w:rFonts w:ascii="Palatino Linotype" w:hAnsi="Palatino Linotype"/>
          <w:b/>
          <w:bCs/>
          <w:iCs/>
        </w:rPr>
        <w:t>GUIA PARA OBTENER HOJA DE AYUDA (1).pdf</w:t>
      </w:r>
      <w:r w:rsidRPr="00CA3B8B">
        <w:rPr>
          <w:rFonts w:ascii="Palatino Linotype" w:hAnsi="Palatino Linotype"/>
          <w:i/>
        </w:rPr>
        <w:t xml:space="preserve">: </w:t>
      </w:r>
      <w:r w:rsidRPr="00CA3B8B">
        <w:rPr>
          <w:rFonts w:ascii="Palatino Linotype" w:hAnsi="Palatino Linotype"/>
          <w:iCs/>
        </w:rPr>
        <w:t xml:space="preserve">Documento en nueve fojas consistentes en </w:t>
      </w:r>
      <w:r>
        <w:rPr>
          <w:rFonts w:ascii="Palatino Linotype" w:hAnsi="Palatino Linotype"/>
          <w:iCs/>
        </w:rPr>
        <w:t>guía de ayuda para poder realizar el pago por copias simples y digitalización, al expediente solicitado.</w:t>
      </w:r>
    </w:p>
    <w:p w14:paraId="686A5787" w14:textId="6EAFE264" w:rsidR="004B3451" w:rsidRPr="00B34BE7" w:rsidRDefault="00EA0596" w:rsidP="00EA0596">
      <w:pPr>
        <w:autoSpaceDE w:val="0"/>
        <w:autoSpaceDN w:val="0"/>
        <w:adjustRightInd w:val="0"/>
        <w:spacing w:after="0" w:line="360" w:lineRule="auto"/>
        <w:jc w:val="both"/>
        <w:rPr>
          <w:rFonts w:ascii="Palatino Linotype" w:hAnsi="Palatino Linotype" w:cs="Arial"/>
          <w:sz w:val="24"/>
        </w:rPr>
      </w:pPr>
      <w:r w:rsidRPr="00EA0596">
        <w:rPr>
          <w:rFonts w:ascii="Palatino Linotype" w:hAnsi="Palatino Linotype" w:cs="Arial"/>
          <w:sz w:val="24"/>
        </w:rPr>
        <w:lastRenderedPageBreak/>
        <w:t xml:space="preserve">Ante la respuesta del Sujeto Obligado, el Recurrente consideró que su derecho de acceso a la información había sido conculcado por lo que interpuso el presente recurso de revisión impugnando la respuesta del Sujeto Obligado y dando como motivo de inconformidad </w:t>
      </w:r>
      <w:r>
        <w:rPr>
          <w:rFonts w:ascii="Palatino Linotype" w:hAnsi="Palatino Linotype" w:cs="Arial"/>
          <w:sz w:val="24"/>
        </w:rPr>
        <w:t>“O</w:t>
      </w:r>
      <w:r w:rsidRPr="00EA0596">
        <w:rPr>
          <w:rFonts w:ascii="Palatino Linotype" w:hAnsi="Palatino Linotype" w:cs="Arial"/>
          <w:sz w:val="24"/>
        </w:rPr>
        <w:t xml:space="preserve">frezco como prueba todo lo actuado en la solicitud de información pública con número de folio 00389/PJUDICI/IP/2021. Con ese medio de convicción que ofrezco, pruebo que solicité la versión pública de todo lo actuado en el expediente DGC/049/INV/2020, </w:t>
      </w:r>
      <w:r w:rsidRPr="00EA0596">
        <w:rPr>
          <w:rFonts w:ascii="Palatino Linotype" w:hAnsi="Palatino Linotype" w:cs="Arial"/>
          <w:sz w:val="24"/>
          <w:u w:val="single"/>
        </w:rPr>
        <w:t>y que el Poder Judicial en el documento denominado como "respuesta" que hoy se combate, me requiere el pago de las copias simples y su posterior digitalización para la elaboración de la versión pública de ese expediente</w:t>
      </w:r>
      <w:r w:rsidRPr="00EA0596">
        <w:rPr>
          <w:rFonts w:ascii="Palatino Linotype" w:hAnsi="Palatino Linotype" w:cs="Arial"/>
          <w:sz w:val="24"/>
        </w:rPr>
        <w:t>. …” (Sic)</w:t>
      </w:r>
    </w:p>
    <w:p w14:paraId="52ACC17D" w14:textId="77777777" w:rsidR="004B3451" w:rsidRDefault="004B3451" w:rsidP="004B3451">
      <w:pPr>
        <w:autoSpaceDE w:val="0"/>
        <w:autoSpaceDN w:val="0"/>
        <w:adjustRightInd w:val="0"/>
        <w:spacing w:after="0" w:line="360" w:lineRule="auto"/>
        <w:jc w:val="both"/>
        <w:rPr>
          <w:rFonts w:ascii="Palatino Linotype" w:hAnsi="Palatino Linotype" w:cs="Arial"/>
          <w:sz w:val="24"/>
          <w:szCs w:val="24"/>
        </w:rPr>
      </w:pPr>
    </w:p>
    <w:p w14:paraId="55964139" w14:textId="77777777" w:rsidR="002A56DC" w:rsidRDefault="002A56DC" w:rsidP="002A56DC">
      <w:pPr>
        <w:pStyle w:val="Sinespaciado"/>
        <w:spacing w:line="360" w:lineRule="auto"/>
        <w:jc w:val="both"/>
        <w:rPr>
          <w:rFonts w:ascii="Palatino Linotype" w:hAnsi="Palatino Linotype" w:cs="Arial"/>
        </w:rPr>
      </w:pPr>
      <w:r>
        <w:rPr>
          <w:rFonts w:ascii="Palatino Linotype" w:hAnsi="Palatino Linotype" w:cs="Arial"/>
        </w:rPr>
        <w:t>Ahora bien, una vez establecido lo anterior y con el propósito de resolver con apego a la normatividad aplicable el recurso materia de esta resolución, este Instituto considera necesario establecer si la respuesta dada por el Sujeto Obligado colma a plenitud la pretensión del Recurrente, con base a las siguientes consideraciones de hecho y de derecho:</w:t>
      </w:r>
    </w:p>
    <w:p w14:paraId="00510346" w14:textId="77777777" w:rsidR="002A56DC" w:rsidRDefault="002A56DC" w:rsidP="002A56DC">
      <w:pPr>
        <w:pStyle w:val="Sinespaciado"/>
        <w:spacing w:line="360" w:lineRule="auto"/>
        <w:jc w:val="both"/>
        <w:rPr>
          <w:rFonts w:ascii="Palatino Linotype" w:hAnsi="Palatino Linotype" w:cs="Arial"/>
        </w:rPr>
      </w:pPr>
    </w:p>
    <w:p w14:paraId="3EF7468F" w14:textId="77777777" w:rsidR="002A56DC" w:rsidRPr="00FE5972" w:rsidRDefault="002A56DC" w:rsidP="002A56DC">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FE5972">
        <w:rPr>
          <w:rFonts w:ascii="Palatino Linotype" w:hAnsi="Palatino Linotype"/>
          <w:color w:val="000000"/>
        </w:rPr>
        <w:lastRenderedPageBreak/>
        <w:t>se aprecia en el Artículo 6, apartado A, numeral I de la Constitución Política de los Estados Unidos Mexicanos que a la letra establece:</w:t>
      </w:r>
    </w:p>
    <w:p w14:paraId="2F5AA349" w14:textId="77777777" w:rsidR="002A56DC" w:rsidRPr="00FE5972" w:rsidRDefault="002A56DC" w:rsidP="002A56DC">
      <w:pPr>
        <w:pStyle w:val="Sinespaciado"/>
        <w:spacing w:line="360" w:lineRule="auto"/>
        <w:jc w:val="both"/>
        <w:rPr>
          <w:rFonts w:ascii="Palatino Linotype" w:hAnsi="Palatino Linotype"/>
          <w:color w:val="000000"/>
        </w:rPr>
      </w:pPr>
    </w:p>
    <w:p w14:paraId="4336E662" w14:textId="77777777" w:rsidR="002A56DC" w:rsidRPr="004E6B5B" w:rsidRDefault="002A56DC" w:rsidP="002A56DC">
      <w:pPr>
        <w:pStyle w:val="Sinespaciado"/>
        <w:ind w:left="567" w:right="567"/>
        <w:jc w:val="both"/>
        <w:rPr>
          <w:rFonts w:ascii="Palatino Linotype" w:hAnsi="Palatino Linotype"/>
          <w:b/>
          <w:i/>
        </w:rPr>
      </w:pPr>
      <w:r w:rsidRPr="004E6B5B">
        <w:rPr>
          <w:rFonts w:ascii="Palatino Linotype" w:hAnsi="Palatino Linotype"/>
          <w:b/>
          <w:i/>
        </w:rPr>
        <w:t>Artículo 6</w:t>
      </w:r>
    </w:p>
    <w:p w14:paraId="2C3126A7" w14:textId="77777777" w:rsidR="002A56DC" w:rsidRPr="004E6B5B" w:rsidRDefault="002A56DC" w:rsidP="002A56DC">
      <w:pPr>
        <w:pStyle w:val="Sinespaciado"/>
        <w:ind w:left="567" w:right="567"/>
        <w:jc w:val="both"/>
        <w:rPr>
          <w:rFonts w:ascii="Palatino Linotype" w:hAnsi="Palatino Linotype"/>
          <w:i/>
        </w:rPr>
      </w:pPr>
      <w:r w:rsidRPr="004E6B5B">
        <w:rPr>
          <w:rFonts w:ascii="Palatino Linotype" w:hAnsi="Palatino Linotype"/>
          <w:i/>
        </w:rPr>
        <w:t>…</w:t>
      </w:r>
    </w:p>
    <w:p w14:paraId="74A4A177" w14:textId="77777777" w:rsidR="002A56DC" w:rsidRPr="004E6B5B" w:rsidRDefault="002A56DC" w:rsidP="002A56D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6AD35966" w14:textId="77777777" w:rsidR="002A56DC" w:rsidRPr="004E6B5B" w:rsidRDefault="002A56DC" w:rsidP="002A56DC">
      <w:pPr>
        <w:pStyle w:val="Sinespaciado"/>
        <w:ind w:left="567" w:right="567"/>
        <w:jc w:val="both"/>
        <w:rPr>
          <w:rFonts w:ascii="Palatino Linotype" w:hAnsi="Palatino Linotype"/>
          <w:i/>
        </w:rPr>
      </w:pPr>
    </w:p>
    <w:p w14:paraId="491991F8" w14:textId="77777777" w:rsidR="002A56DC" w:rsidRPr="00FE5972" w:rsidRDefault="002A56DC" w:rsidP="002A56DC">
      <w:pPr>
        <w:pStyle w:val="Sinespaciado"/>
        <w:numPr>
          <w:ilvl w:val="0"/>
          <w:numId w:val="9"/>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7501B0EE" w14:textId="77777777" w:rsidR="002A56DC" w:rsidRPr="00FE5972" w:rsidRDefault="002A56DC" w:rsidP="002A56DC">
      <w:pPr>
        <w:pStyle w:val="Sinespaciado"/>
        <w:spacing w:line="360" w:lineRule="auto"/>
        <w:jc w:val="both"/>
        <w:rPr>
          <w:rFonts w:ascii="Palatino Linotype" w:hAnsi="Palatino Linotype"/>
        </w:rPr>
      </w:pPr>
    </w:p>
    <w:p w14:paraId="5CED927F" w14:textId="627AFBB1" w:rsidR="002A56DC" w:rsidRPr="00FE5972" w:rsidRDefault="002A56DC" w:rsidP="002A56DC">
      <w:pPr>
        <w:pStyle w:val="Sinespaciado"/>
        <w:spacing w:line="360" w:lineRule="auto"/>
        <w:jc w:val="both"/>
        <w:rPr>
          <w:rFonts w:ascii="Palatino Linotype" w:hAnsi="Palatino Linotype" w:cs="Arial"/>
        </w:rPr>
      </w:pPr>
      <w:r>
        <w:rPr>
          <w:rFonts w:ascii="Palatino Linotype" w:hAnsi="Palatino Linotype" w:cs="Arial"/>
        </w:rPr>
        <w:t>Así mismo</w:t>
      </w:r>
      <w:r w:rsidRPr="00FE5972">
        <w:rPr>
          <w:rFonts w:ascii="Palatino Linotype" w:hAnsi="Palatino Linotype" w:cs="Arial"/>
        </w:rPr>
        <w:t xml:space="preserve">,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2119EBAE" w14:textId="77777777" w:rsidR="002A56DC" w:rsidRPr="00FE5972" w:rsidRDefault="002A56DC" w:rsidP="002A56DC">
      <w:pPr>
        <w:pStyle w:val="Sinespaciado"/>
        <w:ind w:left="567" w:right="567"/>
        <w:jc w:val="both"/>
        <w:rPr>
          <w:rFonts w:ascii="Palatino Linotype" w:hAnsi="Palatino Linotype"/>
        </w:rPr>
      </w:pPr>
    </w:p>
    <w:p w14:paraId="7A732802" w14:textId="77777777" w:rsidR="002A56DC" w:rsidRPr="006376FA" w:rsidRDefault="002A56DC" w:rsidP="002A56D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ED2BE9A" w14:textId="77777777" w:rsidR="002A56DC" w:rsidRPr="006376FA" w:rsidRDefault="002A56DC" w:rsidP="002A56DC">
      <w:pPr>
        <w:pStyle w:val="Sinespaciado"/>
        <w:ind w:left="567" w:right="567"/>
        <w:jc w:val="both"/>
        <w:rPr>
          <w:rFonts w:ascii="Palatino Linotype" w:hAnsi="Palatino Linotype"/>
          <w:i/>
        </w:rPr>
      </w:pPr>
      <w:r w:rsidRPr="006376FA">
        <w:rPr>
          <w:rFonts w:ascii="Palatino Linotype" w:hAnsi="Palatino Linotype"/>
          <w:i/>
        </w:rPr>
        <w:t>…</w:t>
      </w:r>
    </w:p>
    <w:p w14:paraId="65E6E6BF" w14:textId="77777777" w:rsidR="002A56DC" w:rsidRPr="006376FA" w:rsidRDefault="002A56DC" w:rsidP="002A56D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 xml:space="preserve">cualquier otro registro que documente el ejercicio de las facultades, funciones y competencias de los sujetos obligados, sus servidores públicos e integrantes, sin importar su </w:t>
      </w:r>
      <w:r w:rsidRPr="006376FA">
        <w:rPr>
          <w:rFonts w:ascii="Palatino Linotype" w:hAnsi="Palatino Linotype"/>
          <w:b/>
          <w:i/>
          <w:u w:val="single"/>
        </w:rPr>
        <w:lastRenderedPageBreak/>
        <w:t>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662F0E31" w14:textId="77777777" w:rsidR="002A56DC" w:rsidRPr="006376FA" w:rsidRDefault="002A56DC" w:rsidP="002A56DC">
      <w:pPr>
        <w:pStyle w:val="Sinespaciado"/>
        <w:ind w:left="567" w:right="567"/>
        <w:jc w:val="both"/>
        <w:rPr>
          <w:rFonts w:ascii="Palatino Linotype" w:hAnsi="Palatino Linotype"/>
          <w:i/>
        </w:rPr>
      </w:pPr>
    </w:p>
    <w:p w14:paraId="364061B7" w14:textId="77777777" w:rsidR="002A56DC" w:rsidRPr="006376FA" w:rsidRDefault="002A56DC" w:rsidP="002A56D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F1833E" w14:textId="77777777" w:rsidR="002A56DC" w:rsidRPr="006376FA" w:rsidRDefault="002A56DC" w:rsidP="002A56DC">
      <w:pPr>
        <w:pStyle w:val="Sinespaciado"/>
        <w:ind w:left="567" w:right="567"/>
        <w:jc w:val="both"/>
        <w:rPr>
          <w:rFonts w:ascii="Palatino Linotype" w:hAnsi="Palatino Linotype"/>
          <w:bCs/>
          <w:i/>
        </w:rPr>
      </w:pPr>
    </w:p>
    <w:p w14:paraId="7244D296" w14:textId="77777777" w:rsidR="002A56DC" w:rsidRPr="006376FA" w:rsidRDefault="002A56DC" w:rsidP="002A56D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4FC85D" w14:textId="77777777" w:rsidR="002A56DC" w:rsidRPr="006376FA" w:rsidRDefault="002A56DC" w:rsidP="002A56DC">
      <w:pPr>
        <w:pStyle w:val="Sinespaciado"/>
        <w:ind w:left="567" w:right="567"/>
        <w:jc w:val="both"/>
        <w:rPr>
          <w:rFonts w:ascii="Palatino Linotype" w:hAnsi="Palatino Linotype"/>
          <w:bCs/>
          <w:i/>
        </w:rPr>
      </w:pPr>
    </w:p>
    <w:p w14:paraId="70C68BFF" w14:textId="77777777" w:rsidR="002A56DC" w:rsidRPr="006376FA" w:rsidRDefault="002A56DC" w:rsidP="002A56D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BF5AB47" w14:textId="77777777" w:rsidR="002A56DC" w:rsidRPr="006376FA" w:rsidRDefault="002A56DC" w:rsidP="002A56DC">
      <w:pPr>
        <w:pStyle w:val="Sinespaciado"/>
        <w:ind w:left="567" w:right="567"/>
        <w:jc w:val="both"/>
        <w:rPr>
          <w:rFonts w:ascii="Palatino Linotype" w:hAnsi="Palatino Linotype"/>
          <w:i/>
        </w:rPr>
      </w:pPr>
    </w:p>
    <w:p w14:paraId="6AB87D29" w14:textId="77777777" w:rsidR="002A56DC" w:rsidRPr="006376FA" w:rsidRDefault="002A56DC" w:rsidP="002A56D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2A67AD7" w14:textId="77777777" w:rsidR="002A56DC" w:rsidRPr="006376FA" w:rsidRDefault="002A56DC" w:rsidP="002A56DC">
      <w:pPr>
        <w:pStyle w:val="Sinespaciado"/>
        <w:ind w:left="567" w:right="567"/>
        <w:jc w:val="both"/>
        <w:rPr>
          <w:rFonts w:ascii="Palatino Linotype" w:hAnsi="Palatino Linotype"/>
          <w:i/>
        </w:rPr>
      </w:pPr>
    </w:p>
    <w:p w14:paraId="07C367FF" w14:textId="77777777" w:rsidR="002A56DC" w:rsidRPr="004E6B5B" w:rsidRDefault="002A56DC" w:rsidP="002A56D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E79459A" w14:textId="77777777" w:rsidR="002A56DC" w:rsidRPr="004E6B5B" w:rsidRDefault="002A56DC" w:rsidP="002A56DC">
      <w:pPr>
        <w:pStyle w:val="Sinespaciado"/>
        <w:spacing w:line="360" w:lineRule="auto"/>
        <w:jc w:val="both"/>
        <w:rPr>
          <w:rFonts w:ascii="Palatino Linotype" w:hAnsi="Palatino Linotype"/>
        </w:rPr>
      </w:pPr>
    </w:p>
    <w:p w14:paraId="3D7005FA" w14:textId="77777777" w:rsidR="002A56DC" w:rsidRPr="00FE5972" w:rsidRDefault="002A56DC" w:rsidP="002A56DC">
      <w:pPr>
        <w:pStyle w:val="Sinespaciado"/>
        <w:spacing w:line="360" w:lineRule="auto"/>
        <w:jc w:val="both"/>
        <w:rPr>
          <w:rFonts w:ascii="Palatino Linotype" w:hAnsi="Palatino Linotype"/>
        </w:rPr>
      </w:pPr>
      <w:r w:rsidRPr="00FE5972">
        <w:rPr>
          <w:rFonts w:ascii="Palatino Linotype" w:hAnsi="Palatino Linotype"/>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FE5972">
        <w:rPr>
          <w:rFonts w:ascii="Palatino Linotype" w:hAnsi="Palatino Linotype"/>
        </w:rPr>
        <w:lastRenderedPageBreak/>
        <w:t>generada, obtenida, adquirida, transformada, administrada o en posesión de los sujetos obligados es pública y accesible de manera permanente a cualquier persona.</w:t>
      </w:r>
    </w:p>
    <w:p w14:paraId="0DA22A5B" w14:textId="77777777" w:rsidR="002A56DC" w:rsidRPr="00FE5972" w:rsidRDefault="002A56DC" w:rsidP="002A56DC">
      <w:pPr>
        <w:pStyle w:val="Sinespaciado"/>
        <w:spacing w:line="360" w:lineRule="auto"/>
        <w:jc w:val="both"/>
        <w:rPr>
          <w:rFonts w:ascii="Palatino Linotype" w:hAnsi="Palatino Linotype"/>
        </w:rPr>
      </w:pPr>
    </w:p>
    <w:p w14:paraId="213F9311" w14:textId="7F2B63EF" w:rsidR="002A56DC" w:rsidRDefault="002A56DC" w:rsidP="002A56DC">
      <w:pPr>
        <w:pStyle w:val="Sinespaciado"/>
        <w:spacing w:line="360" w:lineRule="auto"/>
        <w:jc w:val="both"/>
        <w:rPr>
          <w:rFonts w:ascii="Palatino Linotype" w:hAnsi="Palatino Linotype"/>
        </w:rPr>
      </w:pPr>
      <w:r w:rsidRPr="00FE5972">
        <w:rPr>
          <w:rFonts w:ascii="Palatino Linotype" w:hAnsi="Palatino Linotype"/>
        </w:rPr>
        <w:t>En segundo término, es necesario señalar que se omite el estudio de la naturaleza jurídica de la información pública solicitada, toda vez que el Sujeto Obligado puso a disposición del Recurrente la información solicitada</w:t>
      </w:r>
      <w:r>
        <w:rPr>
          <w:rFonts w:ascii="Palatino Linotype" w:hAnsi="Palatino Linotype"/>
        </w:rPr>
        <w:t xml:space="preserve"> en la respuesta a la solicitud</w:t>
      </w:r>
      <w:r w:rsidRPr="00FE5972">
        <w:rPr>
          <w:rFonts w:ascii="Palatino Linotype" w:hAnsi="Palatino Linotype"/>
        </w:rPr>
        <w:t xml:space="preserve"> de información, de lo que se deduce que existe una aceptación por parte del Sujeto Obligado que genera, administra o posee dicha información, derivada del ejercicio de sus funciones de derecho público.</w:t>
      </w:r>
    </w:p>
    <w:p w14:paraId="1EF9BAE2" w14:textId="77777777" w:rsidR="002A56DC" w:rsidRPr="00FE5972" w:rsidRDefault="002A56DC" w:rsidP="002A56DC">
      <w:pPr>
        <w:pStyle w:val="Sinespaciado"/>
        <w:spacing w:line="360" w:lineRule="auto"/>
        <w:jc w:val="both"/>
        <w:rPr>
          <w:rFonts w:ascii="Palatino Linotype" w:hAnsi="Palatino Linotype"/>
        </w:rPr>
      </w:pPr>
    </w:p>
    <w:p w14:paraId="6D83436B" w14:textId="77777777" w:rsidR="002A56DC" w:rsidRPr="00FE5972" w:rsidRDefault="002A56DC" w:rsidP="002A56DC">
      <w:pPr>
        <w:pStyle w:val="Sinespaciado"/>
        <w:spacing w:line="360" w:lineRule="auto"/>
        <w:jc w:val="both"/>
        <w:rPr>
          <w:rFonts w:ascii="Palatino Linotype" w:hAnsi="Palatino Linotype"/>
        </w:rPr>
      </w:pPr>
      <w:r w:rsidRPr="00FE5972">
        <w:rPr>
          <w:rFonts w:ascii="Palatino Linotype" w:hAnsi="Palatino Linotype"/>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5FBE5F79" w14:textId="77777777" w:rsidR="002A56DC" w:rsidRDefault="002A56DC" w:rsidP="002A56DC">
      <w:pPr>
        <w:pStyle w:val="Sinespaciado"/>
        <w:spacing w:line="360" w:lineRule="auto"/>
        <w:jc w:val="both"/>
        <w:rPr>
          <w:rFonts w:ascii="Palatino Linotype" w:hAnsi="Palatino Linotype"/>
        </w:rPr>
      </w:pPr>
    </w:p>
    <w:p w14:paraId="25618BB0" w14:textId="42D96BCC" w:rsidR="002A56DC" w:rsidRDefault="002A56DC" w:rsidP="002A56DC">
      <w:pPr>
        <w:pStyle w:val="Sinespaciado"/>
        <w:spacing w:line="360" w:lineRule="auto"/>
        <w:jc w:val="both"/>
        <w:rPr>
          <w:rFonts w:ascii="Palatino Linotype" w:hAnsi="Palatino Linotype"/>
        </w:rPr>
      </w:pPr>
      <w:r>
        <w:rPr>
          <w:rFonts w:ascii="Palatino Linotype" w:hAnsi="Palatino Linotype"/>
        </w:rPr>
        <w:t xml:space="preserve">No obstante, se advierte que </w:t>
      </w:r>
      <w:r w:rsidRPr="005E5ECE">
        <w:rPr>
          <w:rFonts w:ascii="Palatino Linotype" w:hAnsi="Palatino Linotype"/>
        </w:rPr>
        <w:t>el Sujeto Obligado rindió su Informe Justificado durante la</w:t>
      </w:r>
      <w:r>
        <w:rPr>
          <w:rFonts w:ascii="Palatino Linotype" w:hAnsi="Palatino Linotype"/>
        </w:rPr>
        <w:t xml:space="preserve"> etapa procesal correspondiente, el cual se integra por el archivo electrónico denominado </w:t>
      </w:r>
      <w:r>
        <w:rPr>
          <w:rFonts w:ascii="Palatino Linotype" w:hAnsi="Palatino Linotype" w:cs="Arial"/>
        </w:rPr>
        <w:t>“</w:t>
      </w:r>
      <w:r w:rsidRPr="002A56DC">
        <w:rPr>
          <w:rFonts w:ascii="Palatino Linotype" w:hAnsi="Palatino Linotype" w:cs="Arial"/>
        </w:rPr>
        <w:t xml:space="preserve">210531 informe justificado.pdf </w:t>
      </w:r>
      <w:r>
        <w:rPr>
          <w:rFonts w:ascii="Palatino Linotype" w:hAnsi="Palatino Linotype" w:cs="Arial"/>
        </w:rPr>
        <w:t xml:space="preserve">“, </w:t>
      </w:r>
      <w:r>
        <w:rPr>
          <w:rFonts w:ascii="Palatino Linotype" w:hAnsi="Palatino Linotype"/>
        </w:rPr>
        <w:t>por medio del cual ratifica su respuesta primigenia.</w:t>
      </w:r>
    </w:p>
    <w:p w14:paraId="2A38938A" w14:textId="77777777" w:rsidR="002A56DC" w:rsidRDefault="002A56DC" w:rsidP="002A56DC">
      <w:pPr>
        <w:pStyle w:val="Sinespaciado"/>
        <w:spacing w:line="360" w:lineRule="auto"/>
        <w:jc w:val="both"/>
        <w:rPr>
          <w:rFonts w:ascii="Palatino Linotype" w:hAnsi="Palatino Linotype"/>
        </w:rPr>
      </w:pPr>
    </w:p>
    <w:p w14:paraId="5780DC3D" w14:textId="36FE7A8E" w:rsidR="002A56DC" w:rsidRPr="00853B62" w:rsidRDefault="002A56DC" w:rsidP="002A56DC">
      <w:pPr>
        <w:pStyle w:val="Prrafodelista"/>
        <w:autoSpaceDE w:val="0"/>
        <w:autoSpaceDN w:val="0"/>
        <w:adjustRightInd w:val="0"/>
        <w:spacing w:line="360" w:lineRule="auto"/>
        <w:ind w:left="0"/>
        <w:jc w:val="both"/>
        <w:rPr>
          <w:rFonts w:ascii="Palatino Linotype" w:hAnsi="Palatino Linotype" w:cs="Arial"/>
          <w:b/>
        </w:rPr>
      </w:pPr>
      <w:r w:rsidRPr="00853B62">
        <w:rPr>
          <w:rFonts w:ascii="Palatino Linotype" w:hAnsi="Palatino Linotype" w:cs="Arial"/>
        </w:rPr>
        <w:t xml:space="preserve">Una vez establecida y delimitada la materia del presente recurso de revisión, y atentos a </w:t>
      </w:r>
      <w:r w:rsidRPr="00853B62">
        <w:rPr>
          <w:rFonts w:ascii="Palatino Linotype" w:hAnsi="Palatino Linotype"/>
          <w:lang w:eastAsia="es-MX"/>
        </w:rPr>
        <w:t xml:space="preserve">la respuesta del </w:t>
      </w:r>
      <w:r w:rsidRPr="00853B62">
        <w:rPr>
          <w:rFonts w:ascii="Palatino Linotype" w:hAnsi="Palatino Linotype"/>
          <w:b/>
          <w:lang w:eastAsia="es-MX"/>
        </w:rPr>
        <w:t>Sujeto Obligado</w:t>
      </w:r>
      <w:r w:rsidRPr="00853B62">
        <w:rPr>
          <w:rFonts w:ascii="Palatino Linotype" w:hAnsi="Palatino Linotype"/>
          <w:lang w:eastAsia="es-MX"/>
        </w:rPr>
        <w:t xml:space="preserve"> a la solicitud de información, tal y como lo constituyen </w:t>
      </w:r>
      <w:r w:rsidRPr="00853B62">
        <w:rPr>
          <w:rFonts w:ascii="Palatino Linotype" w:hAnsi="Palatino Linotype" w:cs="Arial"/>
        </w:rPr>
        <w:t xml:space="preserve">los artículos, 7 y 23, fracción IV, de la Ley de Transparencia y Acceso a la Información Pública del Estado de México y Municipios, que establecen como deber de </w:t>
      </w:r>
      <w:r w:rsidRPr="00853B62">
        <w:rPr>
          <w:rFonts w:ascii="Palatino Linotype" w:hAnsi="Palatino Linotype" w:cs="Arial"/>
        </w:rPr>
        <w:lastRenderedPageBreak/>
        <w:t xml:space="preserve">los sujetos obligados el </w:t>
      </w:r>
      <w:r w:rsidR="00D86644" w:rsidRPr="00853B62">
        <w:rPr>
          <w:rFonts w:ascii="Palatino Linotype" w:hAnsi="Palatino Linotype" w:cs="Arial"/>
        </w:rPr>
        <w:t>hacer públic</w:t>
      </w:r>
      <w:r w:rsidR="00D86644">
        <w:rPr>
          <w:rFonts w:ascii="Palatino Linotype" w:hAnsi="Palatino Linotype" w:cs="Arial"/>
        </w:rPr>
        <w:t>a</w:t>
      </w:r>
      <w:r w:rsidRPr="00853B62">
        <w:rPr>
          <w:rFonts w:ascii="Palatino Linotype" w:hAnsi="Palatino Linotype" w:cs="Arial"/>
        </w:rPr>
        <w:t xml:space="preserve"> toda la información en su posesión, como se aprecia a continuación:</w:t>
      </w:r>
    </w:p>
    <w:p w14:paraId="058DF877" w14:textId="77777777" w:rsidR="002A56DC" w:rsidRPr="00853B62" w:rsidRDefault="002A56DC" w:rsidP="002A56DC">
      <w:pPr>
        <w:pStyle w:val="Sinespaciado"/>
      </w:pPr>
    </w:p>
    <w:p w14:paraId="32819AB7" w14:textId="77777777" w:rsidR="002A56DC" w:rsidRPr="00853B62" w:rsidRDefault="002A56DC" w:rsidP="002A56DC">
      <w:pPr>
        <w:autoSpaceDE w:val="0"/>
        <w:autoSpaceDN w:val="0"/>
        <w:adjustRightInd w:val="0"/>
        <w:spacing w:after="0" w:line="240" w:lineRule="auto"/>
        <w:ind w:left="567" w:right="567"/>
        <w:jc w:val="both"/>
        <w:rPr>
          <w:rFonts w:ascii="Palatino Linotype" w:hAnsi="Palatino Linotype" w:cs="Arial"/>
          <w:i/>
        </w:rPr>
      </w:pPr>
      <w:r w:rsidRPr="00853B62">
        <w:rPr>
          <w:rFonts w:ascii="Palatino Linotype" w:hAnsi="Palatino Linotype" w:cs="Arial"/>
          <w:i/>
        </w:rPr>
        <w:t>“</w:t>
      </w:r>
      <w:r w:rsidRPr="00853B62">
        <w:rPr>
          <w:rFonts w:ascii="Palatino Linotype" w:hAnsi="Palatino Linotype" w:cs="Arial"/>
          <w:b/>
          <w:i/>
        </w:rPr>
        <w:t>Artículo 7. El Estado de México garantizará el efectivo acceso de toda persona a la información en posesión de cualquier entidad,</w:t>
      </w:r>
      <w:r w:rsidRPr="00853B62">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53B62">
        <w:rPr>
          <w:rFonts w:ascii="Palatino Linotype" w:hAnsi="Palatino Linotype" w:cs="Arial"/>
          <w:b/>
          <w:i/>
        </w:rPr>
        <w:t>que reciba y ejerza recursos públicos</w:t>
      </w:r>
      <w:r w:rsidRPr="00853B62">
        <w:rPr>
          <w:rFonts w:ascii="Palatino Linotype" w:hAnsi="Palatino Linotype" w:cs="Arial"/>
          <w:i/>
        </w:rPr>
        <w:t xml:space="preserve"> o realice actos de autoridad en el ámbito de competencia del Estado de México y sus municipios. </w:t>
      </w:r>
    </w:p>
    <w:p w14:paraId="31191BC6" w14:textId="77777777" w:rsidR="002A56DC" w:rsidRPr="00853B62" w:rsidRDefault="002A56DC" w:rsidP="002A56DC">
      <w:pPr>
        <w:autoSpaceDE w:val="0"/>
        <w:autoSpaceDN w:val="0"/>
        <w:adjustRightInd w:val="0"/>
        <w:spacing w:after="0" w:line="240" w:lineRule="auto"/>
        <w:ind w:left="567" w:right="567"/>
        <w:jc w:val="both"/>
        <w:rPr>
          <w:rFonts w:ascii="Palatino Linotype" w:hAnsi="Palatino Linotype" w:cs="Arial"/>
          <w:i/>
        </w:rPr>
      </w:pPr>
    </w:p>
    <w:p w14:paraId="2B4B44BC" w14:textId="77777777" w:rsidR="002A56DC" w:rsidRPr="00853B62" w:rsidRDefault="002A56DC" w:rsidP="002A56DC">
      <w:pPr>
        <w:autoSpaceDE w:val="0"/>
        <w:autoSpaceDN w:val="0"/>
        <w:adjustRightInd w:val="0"/>
        <w:spacing w:after="0" w:line="240" w:lineRule="auto"/>
        <w:ind w:left="567" w:right="567"/>
        <w:jc w:val="both"/>
        <w:rPr>
          <w:rFonts w:ascii="Palatino Linotype" w:hAnsi="Palatino Linotype" w:cs="Arial"/>
          <w:bCs/>
          <w:i/>
        </w:rPr>
      </w:pPr>
      <w:r w:rsidRPr="00853B62">
        <w:rPr>
          <w:rFonts w:ascii="Palatino Linotype" w:hAnsi="Palatino Linotype" w:cs="Arial"/>
          <w:b/>
          <w:bCs/>
          <w:i/>
        </w:rPr>
        <w:t>Artículo 23</w:t>
      </w:r>
      <w:r w:rsidRPr="00853B62">
        <w:rPr>
          <w:rFonts w:ascii="Palatino Linotype" w:hAnsi="Palatino Linotype" w:cs="Arial"/>
          <w:bCs/>
          <w:i/>
        </w:rPr>
        <w:t xml:space="preserve">. Son sujetos obligados a transparentar y permitir el acceso a su información y proteger los datos personales que obren en su poder: </w:t>
      </w:r>
    </w:p>
    <w:p w14:paraId="0198B6EB" w14:textId="77777777" w:rsidR="002A56DC" w:rsidRPr="00853B62" w:rsidRDefault="002A56DC" w:rsidP="002A56DC">
      <w:pPr>
        <w:spacing w:after="0" w:line="240" w:lineRule="auto"/>
        <w:ind w:left="567" w:right="709"/>
        <w:jc w:val="both"/>
        <w:rPr>
          <w:rFonts w:ascii="Palatino Linotype" w:hAnsi="Palatino Linotype" w:cs="Arial"/>
          <w:bCs/>
          <w:i/>
        </w:rPr>
      </w:pPr>
      <w:r w:rsidRPr="00853B62">
        <w:rPr>
          <w:rFonts w:ascii="Palatino Linotype" w:hAnsi="Palatino Linotype" w:cs="Arial"/>
          <w:bCs/>
          <w:i/>
        </w:rPr>
        <w:t>(…)</w:t>
      </w:r>
    </w:p>
    <w:p w14:paraId="5AAE07F2" w14:textId="77777777" w:rsidR="002A56DC" w:rsidRPr="00853B62" w:rsidRDefault="002A56DC" w:rsidP="002A56DC">
      <w:pPr>
        <w:spacing w:after="0" w:line="240" w:lineRule="auto"/>
        <w:ind w:left="567" w:right="709"/>
        <w:jc w:val="both"/>
        <w:rPr>
          <w:rFonts w:ascii="Palatino Linotype" w:hAnsi="Palatino Linotype" w:cs="Arial"/>
          <w:bCs/>
          <w:i/>
        </w:rPr>
      </w:pPr>
      <w:r>
        <w:rPr>
          <w:rFonts w:ascii="Palatino Linotype" w:hAnsi="Palatino Linotype" w:cs="Arial"/>
          <w:b/>
          <w:bCs/>
          <w:i/>
        </w:rPr>
        <w:t>III</w:t>
      </w:r>
      <w:r w:rsidRPr="00853B62">
        <w:rPr>
          <w:rFonts w:ascii="Palatino Linotype" w:hAnsi="Palatino Linotype" w:cs="Arial"/>
          <w:b/>
          <w:bCs/>
          <w:i/>
        </w:rPr>
        <w:t xml:space="preserve">. </w:t>
      </w:r>
      <w:r>
        <w:rPr>
          <w:rFonts w:ascii="Palatino Linotype" w:hAnsi="Palatino Linotype" w:cs="Arial"/>
          <w:b/>
          <w:bCs/>
          <w:i/>
          <w:u w:val="single"/>
        </w:rPr>
        <w:t>El Poder Judicial, sus organismos, órganos y entidades, así como el Consejo de la Judicatura del Estado</w:t>
      </w:r>
      <w:r w:rsidRPr="00853B62">
        <w:rPr>
          <w:rFonts w:ascii="Palatino Linotype" w:hAnsi="Palatino Linotype" w:cs="Arial"/>
          <w:bCs/>
          <w:i/>
        </w:rPr>
        <w:t>;</w:t>
      </w:r>
    </w:p>
    <w:p w14:paraId="6173C00E" w14:textId="77777777" w:rsidR="002A56DC" w:rsidRPr="00853B62" w:rsidRDefault="002A56DC" w:rsidP="002A56DC">
      <w:pPr>
        <w:spacing w:after="0" w:line="240" w:lineRule="auto"/>
        <w:ind w:right="709" w:firstLine="567"/>
        <w:jc w:val="both"/>
        <w:rPr>
          <w:rFonts w:ascii="Palatino Linotype" w:hAnsi="Palatino Linotype" w:cs="Arial"/>
          <w:bCs/>
          <w:i/>
        </w:rPr>
      </w:pPr>
      <w:r w:rsidRPr="00853B62">
        <w:rPr>
          <w:rFonts w:ascii="Palatino Linotype" w:hAnsi="Palatino Linotype" w:cs="Arial"/>
          <w:bCs/>
          <w:i/>
        </w:rPr>
        <w:t>(…)</w:t>
      </w:r>
    </w:p>
    <w:p w14:paraId="309BC908" w14:textId="77777777" w:rsidR="002A56DC" w:rsidRDefault="002A56DC" w:rsidP="002A56DC">
      <w:pPr>
        <w:ind w:left="567" w:right="902"/>
        <w:jc w:val="both"/>
        <w:rPr>
          <w:rFonts w:ascii="Palatino Linotype" w:hAnsi="Palatino Linotype" w:cs="Arial"/>
          <w:i/>
        </w:rPr>
      </w:pPr>
      <w:r w:rsidRPr="00853B62">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37BF99E" w14:textId="77777777" w:rsidR="002A56DC" w:rsidRPr="00B96E81" w:rsidRDefault="002A56DC" w:rsidP="002A56DC">
      <w:pPr>
        <w:ind w:left="567" w:right="902"/>
        <w:jc w:val="both"/>
        <w:rPr>
          <w:rFonts w:ascii="Palatino Linotype" w:hAnsi="Palatino Linotype" w:cs="Arial"/>
          <w:i/>
        </w:rPr>
      </w:pPr>
      <w:r w:rsidRPr="00B96E81">
        <w:rPr>
          <w:rFonts w:ascii="Palatino Linotype" w:hAnsi="Palatino Linotype" w:cs="Arial"/>
          <w:i/>
        </w:rPr>
        <w:t>Los servidores públicos deberán transparentar sus acciones así como garantizar y respetar el derecho de acceso a la información pública.</w:t>
      </w:r>
    </w:p>
    <w:p w14:paraId="262407B4" w14:textId="77777777" w:rsidR="002A56DC" w:rsidRPr="00853B62" w:rsidRDefault="002A56DC" w:rsidP="002A56DC">
      <w:pPr>
        <w:ind w:left="851" w:right="902"/>
        <w:jc w:val="right"/>
        <w:rPr>
          <w:rFonts w:ascii="Palatino Linotype" w:hAnsi="Palatino Linotype" w:cs="Arial"/>
          <w:i/>
        </w:rPr>
      </w:pPr>
      <w:r w:rsidRPr="00853B62">
        <w:rPr>
          <w:rFonts w:ascii="Palatino Linotype" w:hAnsi="Palatino Linotype" w:cs="Arial"/>
          <w:i/>
        </w:rPr>
        <w:t xml:space="preserve"> (Énfasis añadido)</w:t>
      </w:r>
    </w:p>
    <w:p w14:paraId="4F484E0B" w14:textId="77777777" w:rsidR="002A56DC" w:rsidRDefault="002A56DC" w:rsidP="002A56DC">
      <w:pPr>
        <w:pStyle w:val="Sinespaciado"/>
        <w:spacing w:line="360" w:lineRule="auto"/>
        <w:jc w:val="both"/>
        <w:rPr>
          <w:rFonts w:ascii="Palatino Linotype" w:hAnsi="Palatino Linotype"/>
        </w:rPr>
      </w:pPr>
    </w:p>
    <w:p w14:paraId="5064D5EB" w14:textId="76D55271" w:rsidR="005300EB" w:rsidRPr="00277D19" w:rsidRDefault="005300EB" w:rsidP="005300EB">
      <w:pPr>
        <w:widowControl w:val="0"/>
        <w:autoSpaceDE w:val="0"/>
        <w:autoSpaceDN w:val="0"/>
        <w:adjustRightInd w:val="0"/>
        <w:spacing w:before="240" w:after="240" w:line="360" w:lineRule="auto"/>
        <w:ind w:right="474"/>
        <w:jc w:val="both"/>
        <w:rPr>
          <w:rFonts w:ascii="Palatino Linotype" w:hAnsi="Palatino Linotype"/>
          <w:sz w:val="24"/>
          <w:szCs w:val="24"/>
          <w:lang w:eastAsia="es-ES_tradnl"/>
        </w:rPr>
      </w:pPr>
      <w:r w:rsidRPr="00277D19">
        <w:rPr>
          <w:rFonts w:ascii="Palatino Linotype" w:eastAsia="Calibri" w:hAnsi="Palatino Linotype"/>
          <w:sz w:val="24"/>
          <w:szCs w:val="24"/>
        </w:rPr>
        <w:t xml:space="preserve">Por lo anterior y derivado de la solicitud de información que es objeto del presente estudio, la Titular de la Unidad de Transparencia dio respuesta pronunciándose al respecto informando al </w:t>
      </w:r>
      <w:r w:rsidRPr="00277D19">
        <w:rPr>
          <w:rFonts w:ascii="Palatino Linotype" w:eastAsia="Calibri" w:hAnsi="Palatino Linotype"/>
          <w:b/>
          <w:sz w:val="24"/>
          <w:szCs w:val="24"/>
        </w:rPr>
        <w:t>Recurrente</w:t>
      </w:r>
      <w:r w:rsidRPr="00277D19">
        <w:rPr>
          <w:rFonts w:ascii="Palatino Linotype" w:eastAsia="Calibri" w:hAnsi="Palatino Linotype"/>
          <w:sz w:val="24"/>
          <w:szCs w:val="24"/>
        </w:rPr>
        <w:t xml:space="preserve"> que el expediente de su interés sobrepasa las veinte hojas simples por lo que es necesario cubrir de manera previa el pago </w:t>
      </w:r>
      <w:r w:rsidRPr="00277D19">
        <w:rPr>
          <w:rFonts w:ascii="Palatino Linotype" w:hAnsi="Palatino Linotype"/>
          <w:sz w:val="24"/>
          <w:szCs w:val="24"/>
        </w:rPr>
        <w:t>de acuerdo a lo establecido por el artículo 73 del Código Financiero del Estado de México y Municipios, por lo que deber</w:t>
      </w:r>
      <w:r w:rsidR="007C1409" w:rsidRPr="00277D19">
        <w:rPr>
          <w:rFonts w:ascii="Palatino Linotype" w:hAnsi="Palatino Linotype"/>
          <w:sz w:val="24"/>
          <w:szCs w:val="24"/>
        </w:rPr>
        <w:t xml:space="preserve"> de</w:t>
      </w:r>
      <w:r w:rsidRPr="00277D19">
        <w:rPr>
          <w:rFonts w:ascii="Palatino Linotype" w:eastAsia="Calibri" w:hAnsi="Palatino Linotype"/>
          <w:sz w:val="24"/>
          <w:szCs w:val="24"/>
        </w:rPr>
        <w:t xml:space="preserve"> ingresar a</w:t>
      </w:r>
      <w:r w:rsidR="007C1409" w:rsidRPr="00277D19">
        <w:rPr>
          <w:rFonts w:ascii="Palatino Linotype" w:eastAsia="Calibri" w:hAnsi="Palatino Linotype"/>
          <w:sz w:val="24"/>
          <w:szCs w:val="24"/>
        </w:rPr>
        <w:t xml:space="preserve"> </w:t>
      </w:r>
      <w:r w:rsidRPr="00277D19">
        <w:rPr>
          <w:rFonts w:ascii="Palatino Linotype" w:eastAsia="Calibri" w:hAnsi="Palatino Linotype"/>
          <w:sz w:val="24"/>
          <w:szCs w:val="24"/>
        </w:rPr>
        <w:t>l</w:t>
      </w:r>
      <w:r w:rsidR="007C1409" w:rsidRPr="00277D19">
        <w:rPr>
          <w:rFonts w:ascii="Palatino Linotype" w:eastAsia="Calibri" w:hAnsi="Palatino Linotype"/>
          <w:sz w:val="24"/>
          <w:szCs w:val="24"/>
        </w:rPr>
        <w:t xml:space="preserve">a página de internet proporcionada </w:t>
      </w:r>
      <w:r w:rsidR="00D60BDC" w:rsidRPr="00277D19">
        <w:rPr>
          <w:rFonts w:ascii="Palatino Linotype" w:eastAsia="Calibri" w:hAnsi="Palatino Linotype"/>
          <w:sz w:val="24"/>
          <w:szCs w:val="24"/>
        </w:rPr>
        <w:t>por el Sujeto Obligado</w:t>
      </w:r>
      <w:r w:rsidRPr="00277D19">
        <w:rPr>
          <w:rFonts w:ascii="Palatino Linotype" w:eastAsia="Calibri" w:hAnsi="Palatino Linotype"/>
          <w:sz w:val="24"/>
          <w:szCs w:val="24"/>
        </w:rPr>
        <w:t xml:space="preserve"> </w:t>
      </w:r>
      <w:r w:rsidR="00D60BDC" w:rsidRPr="00277D19">
        <w:rPr>
          <w:rFonts w:ascii="Palatino Linotype" w:eastAsia="Calibri" w:hAnsi="Palatino Linotype"/>
          <w:sz w:val="24"/>
          <w:szCs w:val="24"/>
        </w:rPr>
        <w:t>en servicios en línea</w:t>
      </w:r>
      <w:r w:rsidRPr="00277D19">
        <w:rPr>
          <w:rFonts w:ascii="Palatino Linotype" w:eastAsia="Calibri" w:hAnsi="Palatino Linotype"/>
          <w:sz w:val="24"/>
          <w:szCs w:val="24"/>
        </w:rPr>
        <w:t xml:space="preserve">, a efecto de cubrir los </w:t>
      </w:r>
      <w:r w:rsidRPr="00277D19">
        <w:rPr>
          <w:rFonts w:ascii="Palatino Linotype" w:eastAsia="Calibri" w:hAnsi="Palatino Linotype"/>
          <w:sz w:val="24"/>
          <w:szCs w:val="24"/>
        </w:rPr>
        <w:lastRenderedPageBreak/>
        <w:t xml:space="preserve">derechos por </w:t>
      </w:r>
      <w:r w:rsidR="00D60BDC" w:rsidRPr="00277D19">
        <w:rPr>
          <w:rFonts w:ascii="Palatino Linotype" w:eastAsia="Calibri" w:hAnsi="Palatino Linotype"/>
          <w:sz w:val="24"/>
          <w:szCs w:val="24"/>
        </w:rPr>
        <w:t xml:space="preserve">reproducción del expediente en copias simples así como por </w:t>
      </w:r>
      <w:r w:rsidRPr="00277D19">
        <w:rPr>
          <w:rFonts w:ascii="Palatino Linotype" w:eastAsia="Calibri" w:hAnsi="Palatino Linotype"/>
          <w:sz w:val="24"/>
          <w:szCs w:val="24"/>
        </w:rPr>
        <w:t>digitalización del</w:t>
      </w:r>
      <w:r w:rsidR="00D60BDC" w:rsidRPr="00277D19">
        <w:rPr>
          <w:rFonts w:ascii="Palatino Linotype" w:eastAsia="Calibri" w:hAnsi="Palatino Linotype"/>
          <w:sz w:val="24"/>
          <w:szCs w:val="24"/>
        </w:rPr>
        <w:t xml:space="preserve"> expediente en cuestión</w:t>
      </w:r>
      <w:r w:rsidRPr="00277D19">
        <w:rPr>
          <w:rFonts w:ascii="Palatino Linotype" w:eastAsia="Calibri" w:hAnsi="Palatino Linotype"/>
          <w:sz w:val="24"/>
          <w:szCs w:val="24"/>
        </w:rPr>
        <w:t xml:space="preserve"> toda vez que ést</w:t>
      </w:r>
      <w:r w:rsidR="00D60BDC" w:rsidRPr="00277D19">
        <w:rPr>
          <w:rFonts w:ascii="Palatino Linotype" w:eastAsia="Calibri" w:hAnsi="Palatino Linotype"/>
          <w:sz w:val="24"/>
          <w:szCs w:val="24"/>
        </w:rPr>
        <w:t>e</w:t>
      </w:r>
      <w:r w:rsidRPr="00277D19">
        <w:rPr>
          <w:rFonts w:ascii="Palatino Linotype" w:eastAsia="Calibri" w:hAnsi="Palatino Linotype"/>
          <w:sz w:val="24"/>
          <w:szCs w:val="24"/>
        </w:rPr>
        <w:t xml:space="preserve"> </w:t>
      </w:r>
      <w:r w:rsidR="00D60BDC" w:rsidRPr="00277D19">
        <w:rPr>
          <w:rFonts w:ascii="Palatino Linotype" w:hAnsi="Palatino Linotype"/>
          <w:sz w:val="24"/>
          <w:szCs w:val="24"/>
        </w:rPr>
        <w:t>se encuentra de forma impresa por lo que para poder entregarlo a través de SAIMEX, es necesario fotocopiar el documento para testar en la copia y posteriormente digitalizarlo</w:t>
      </w:r>
      <w:r w:rsidRPr="00277D19">
        <w:rPr>
          <w:rFonts w:ascii="Palatino Linotype" w:eastAsia="Calibri" w:hAnsi="Palatino Linotype"/>
          <w:sz w:val="24"/>
          <w:szCs w:val="24"/>
        </w:rPr>
        <w:t xml:space="preserve">. Se anexa fragmento del oficio de respuesta de la </w:t>
      </w:r>
      <w:r w:rsidR="00D60BDC" w:rsidRPr="00277D19">
        <w:rPr>
          <w:rFonts w:ascii="Palatino Linotype" w:eastAsia="Calibri" w:hAnsi="Palatino Linotype"/>
          <w:sz w:val="24"/>
          <w:szCs w:val="24"/>
        </w:rPr>
        <w:t>Titular de la Unidad de Transparencia,</w:t>
      </w:r>
      <w:r w:rsidRPr="00277D19">
        <w:rPr>
          <w:rFonts w:ascii="Palatino Linotype" w:eastAsia="Calibri" w:hAnsi="Palatino Linotype"/>
          <w:sz w:val="24"/>
          <w:szCs w:val="24"/>
        </w:rPr>
        <w:t xml:space="preserve"> mediante los cuales solicita el pago por digitalización de documentos a efectos de mera referencia visual:</w:t>
      </w:r>
    </w:p>
    <w:p w14:paraId="613B5781" w14:textId="3C98E1FB" w:rsidR="00657790" w:rsidRPr="005300EB" w:rsidRDefault="00657790" w:rsidP="005727C8">
      <w:pPr>
        <w:spacing w:after="0" w:line="360" w:lineRule="auto"/>
        <w:rPr>
          <w:rFonts w:ascii="Palatino Linotype" w:hAnsi="Palatino Linotype" w:cs="Arial"/>
          <w:sz w:val="24"/>
          <w:szCs w:val="24"/>
          <w:lang w:val="es-ES"/>
        </w:rPr>
      </w:pPr>
    </w:p>
    <w:p w14:paraId="50222629" w14:textId="260DAA6B" w:rsidR="00657790" w:rsidRDefault="00277D19" w:rsidP="00AB79DA">
      <w:pPr>
        <w:spacing w:after="0" w:line="360" w:lineRule="auto"/>
        <w:jc w:val="center"/>
        <w:rPr>
          <w:rFonts w:ascii="Palatino Linotype" w:hAnsi="Palatino Linotype" w:cs="Arial"/>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63360" behindDoc="0" locked="0" layoutInCell="1" allowOverlap="1" wp14:anchorId="754F9ABE" wp14:editId="56DB38BE">
                <wp:simplePos x="0" y="0"/>
                <wp:positionH relativeFrom="column">
                  <wp:posOffset>710565</wp:posOffset>
                </wp:positionH>
                <wp:positionV relativeFrom="paragraph">
                  <wp:posOffset>1268095</wp:posOffset>
                </wp:positionV>
                <wp:extent cx="4505325" cy="2952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505325" cy="295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DC9CAA" id="Rectángulo 7" o:spid="_x0000_s1026" style="position:absolute;margin-left:55.95pt;margin-top:99.85pt;width:354.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" filled="f" strokecolor="red" strokeweight="3pt"/>
            </w:pict>
          </mc:Fallback>
        </mc:AlternateContent>
      </w:r>
      <w:r w:rsidR="00D60BDC">
        <w:rPr>
          <w:noProof/>
          <w:lang w:eastAsia="es-MX"/>
        </w:rPr>
        <w:drawing>
          <wp:inline distT="0" distB="0" distL="0" distR="0" wp14:anchorId="05EA24F8" wp14:editId="6D975A82">
            <wp:extent cx="5239222" cy="1952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3234" t="37912" r="2648" b="32858"/>
                    <a:stretch/>
                  </pic:blipFill>
                  <pic:spPr bwMode="auto">
                    <a:xfrm>
                      <a:off x="0" y="0"/>
                      <a:ext cx="5260142" cy="1960422"/>
                    </a:xfrm>
                    <a:prstGeom prst="rect">
                      <a:avLst/>
                    </a:prstGeom>
                    <a:ln>
                      <a:noFill/>
                    </a:ln>
                    <a:extLst>
                      <a:ext uri="{53640926-AAD7-44D8-BBD7-CCE9431645EC}">
                        <a14:shadowObscured xmlns:a14="http://schemas.microsoft.com/office/drawing/2010/main"/>
                      </a:ext>
                    </a:extLst>
                  </pic:spPr>
                </pic:pic>
              </a:graphicData>
            </a:graphic>
          </wp:inline>
        </w:drawing>
      </w:r>
    </w:p>
    <w:p w14:paraId="3EAF4DD0" w14:textId="132976F5" w:rsidR="00657790" w:rsidRDefault="00657790" w:rsidP="00277D19">
      <w:pPr>
        <w:spacing w:after="0" w:line="360" w:lineRule="auto"/>
        <w:rPr>
          <w:rFonts w:ascii="Palatino Linotype" w:hAnsi="Palatino Linotype" w:cs="Arial"/>
          <w:sz w:val="24"/>
          <w:szCs w:val="24"/>
        </w:rPr>
      </w:pPr>
    </w:p>
    <w:p w14:paraId="06F2A066" w14:textId="77777777" w:rsidR="00277D19" w:rsidRPr="00277D19" w:rsidRDefault="00277D19" w:rsidP="00277D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277D19">
        <w:rPr>
          <w:rFonts w:ascii="Palatino Linotype" w:hAnsi="Palatino Linotype" w:cs="Arial"/>
          <w:sz w:val="24"/>
          <w:szCs w:val="24"/>
        </w:rPr>
        <w:t xml:space="preserve">Es importante visualizar que el </w:t>
      </w:r>
      <w:r w:rsidRPr="00277D19">
        <w:rPr>
          <w:rFonts w:ascii="Palatino Linotype" w:hAnsi="Palatino Linotype" w:cs="Arial"/>
          <w:b/>
          <w:sz w:val="24"/>
          <w:szCs w:val="24"/>
        </w:rPr>
        <w:t>SUJETO OBLIGADO</w:t>
      </w:r>
      <w:r w:rsidRPr="00277D19">
        <w:rPr>
          <w:rFonts w:ascii="Palatino Linotype" w:hAnsi="Palatino Linotype" w:cs="Arial"/>
          <w:sz w:val="24"/>
          <w:szCs w:val="24"/>
        </w:rPr>
        <w:t xml:space="preserve"> ya asumió contar con la información, por ello es fundamental el respetar y cumplir los principios rectores de la materia de acceso a la información y a su vez los principios del Instituto de Transparencia, los cuales son </w:t>
      </w:r>
      <w:r w:rsidRPr="00277D19">
        <w:rPr>
          <w:rFonts w:ascii="Palatino Linotype" w:hAnsi="Palatino Linotype" w:cs="Arial"/>
          <w:b/>
          <w:sz w:val="24"/>
          <w:szCs w:val="24"/>
        </w:rPr>
        <w:t>Certeza, Eficacia, Máxima Publicidad, Objetividad, Transparencia</w:t>
      </w:r>
      <w:r w:rsidRPr="00277D19">
        <w:rPr>
          <w:rFonts w:ascii="Palatino Linotype" w:hAnsi="Palatino Linotype" w:cs="Arial"/>
          <w:sz w:val="24"/>
          <w:szCs w:val="24"/>
        </w:rPr>
        <w:t xml:space="preserve"> entre otros, ya que se debe otorgar seguridad y certidumbre jurídica a los particulares, para que se puedan conocer las acciones apegadas a derecho y que se garantice que los procedimientos sean completamente verificables, fidedignos y confiables.</w:t>
      </w:r>
    </w:p>
    <w:p w14:paraId="250014AA" w14:textId="61988CFC" w:rsidR="00277D19" w:rsidRPr="00277D19" w:rsidRDefault="00277D19" w:rsidP="00277D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277D19">
        <w:rPr>
          <w:rFonts w:ascii="Palatino Linotype" w:hAnsi="Palatino Linotype" w:cs="Arial"/>
          <w:sz w:val="24"/>
          <w:szCs w:val="24"/>
        </w:rPr>
        <w:lastRenderedPageBreak/>
        <w:t xml:space="preserve">Cabe </w:t>
      </w:r>
      <w:r w:rsidRPr="00277D19">
        <w:rPr>
          <w:rFonts w:ascii="Palatino Linotype" w:eastAsia="Calibri" w:hAnsi="Palatino Linotype" w:cs="Arial"/>
          <w:sz w:val="24"/>
          <w:szCs w:val="24"/>
        </w:rPr>
        <w:t xml:space="preserve">hacer el señalamiento que </w:t>
      </w:r>
      <w:r>
        <w:rPr>
          <w:rFonts w:ascii="Palatino Linotype" w:eastAsia="Calibri" w:hAnsi="Palatino Linotype" w:cs="Arial"/>
          <w:sz w:val="24"/>
          <w:szCs w:val="24"/>
        </w:rPr>
        <w:t>el</w:t>
      </w:r>
      <w:r w:rsidRPr="00277D19">
        <w:rPr>
          <w:rFonts w:ascii="Palatino Linotype" w:eastAsia="Calibri" w:hAnsi="Palatino Linotype" w:cs="Arial"/>
          <w:sz w:val="24"/>
          <w:szCs w:val="24"/>
        </w:rPr>
        <w:t xml:space="preserve"> </w:t>
      </w:r>
      <w:r w:rsidRPr="00277D19">
        <w:rPr>
          <w:rFonts w:ascii="Palatino Linotype" w:eastAsia="Calibri" w:hAnsi="Palatino Linotype" w:cs="Arial"/>
          <w:b/>
          <w:sz w:val="24"/>
          <w:szCs w:val="24"/>
        </w:rPr>
        <w:t>R</w:t>
      </w:r>
      <w:r>
        <w:rPr>
          <w:rFonts w:ascii="Palatino Linotype" w:eastAsia="Calibri" w:hAnsi="Palatino Linotype" w:cs="Arial"/>
          <w:b/>
          <w:sz w:val="24"/>
          <w:szCs w:val="24"/>
        </w:rPr>
        <w:t>ecurrente</w:t>
      </w:r>
      <w:r w:rsidRPr="00277D19">
        <w:rPr>
          <w:rFonts w:ascii="Palatino Linotype" w:eastAsia="Calibri" w:hAnsi="Palatino Linotype" w:cs="Arial"/>
          <w:sz w:val="24"/>
          <w:szCs w:val="24"/>
        </w:rPr>
        <w:t xml:space="preserve"> solicitó la información vía Sistema de Acceso a la Información Mexiquense (SAIMEX), sin embargo, el </w:t>
      </w:r>
      <w:r w:rsidRPr="00277D19">
        <w:rPr>
          <w:rFonts w:ascii="Palatino Linotype" w:eastAsia="Calibri" w:hAnsi="Palatino Linotype" w:cs="Arial"/>
          <w:b/>
          <w:sz w:val="24"/>
          <w:szCs w:val="24"/>
        </w:rPr>
        <w:t>SUJETO OBLIGADO</w:t>
      </w:r>
      <w:r w:rsidRPr="00277D19">
        <w:rPr>
          <w:rFonts w:ascii="Palatino Linotype" w:eastAsia="Calibri" w:hAnsi="Palatino Linotype" w:cs="Arial"/>
          <w:sz w:val="24"/>
          <w:szCs w:val="24"/>
        </w:rPr>
        <w:t xml:space="preserve"> en su respuesta señaló que no contaba con la información digitalizada y que únicamente la conservaba en soporte físico, además, solicitó el pago de derechos correspondientes para digitalizarla y entregarla.</w:t>
      </w:r>
    </w:p>
    <w:p w14:paraId="0F258CA9" w14:textId="77777777" w:rsidR="00277D19" w:rsidRPr="00277D19" w:rsidRDefault="00277D19" w:rsidP="00277D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277D19">
        <w:rPr>
          <w:rFonts w:ascii="Palatino Linotype" w:hAnsi="Palatino Linotype" w:cs="Arial"/>
          <w:sz w:val="24"/>
          <w:szCs w:val="24"/>
        </w:rPr>
        <w:t xml:space="preserve">Bajo la tesitura anterior, </w:t>
      </w:r>
      <w:r w:rsidRPr="00277D19">
        <w:rPr>
          <w:rFonts w:ascii="Palatino Linotype" w:eastAsia="Calibri" w:hAnsi="Palatino Linotype" w:cs="Arial"/>
          <w:sz w:val="24"/>
          <w:szCs w:val="24"/>
        </w:rPr>
        <w:t>se debe traer a estudio lo dispuesto en los Lineamientos para la Organización y Conservación de los Archivos</w:t>
      </w:r>
      <w:r w:rsidRPr="00277D19">
        <w:rPr>
          <w:rStyle w:val="Refdenotaalpie"/>
          <w:rFonts w:ascii="Palatino Linotype" w:eastAsia="Calibri" w:hAnsi="Palatino Linotype" w:cs="Arial"/>
          <w:sz w:val="24"/>
          <w:szCs w:val="24"/>
          <w:lang w:val="es-ES"/>
        </w:rPr>
        <w:footnoteReference w:id="2"/>
      </w:r>
      <w:r w:rsidRPr="00277D19">
        <w:rPr>
          <w:rFonts w:ascii="Palatino Linotype" w:eastAsia="Calibri" w:hAnsi="Palatino Linotype" w:cs="Arial"/>
          <w:sz w:val="24"/>
          <w:szCs w:val="24"/>
        </w:rPr>
        <w:t xml:space="preserve"> emitidos por el Consejo Nacional del Sistema Nacional de Transparencia, Acceso a la Información Pública y Protección de Datos Personales, mismos que establecen lo siguiente:</w:t>
      </w:r>
    </w:p>
    <w:p w14:paraId="2E91ED23"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193C37">
        <w:rPr>
          <w:rFonts w:ascii="Palatino Linotype" w:hAnsi="Palatino Linotype"/>
          <w:i/>
          <w:sz w:val="22"/>
          <w:lang w:eastAsia="es-ES_tradnl"/>
        </w:rPr>
        <w:t>“</w:t>
      </w:r>
      <w:r w:rsidRPr="00193C37">
        <w:rPr>
          <w:rFonts w:ascii="Palatino Linotype" w:hAnsi="Palatino Linotype"/>
          <w:b/>
          <w:i/>
          <w:sz w:val="22"/>
          <w:lang w:eastAsia="es-ES_tradnl"/>
        </w:rPr>
        <w:t>Primero.</w:t>
      </w:r>
      <w:r w:rsidRPr="00193C37">
        <w:rPr>
          <w:rFonts w:ascii="Palatino Linotype" w:hAnsi="Palatino Linotype"/>
          <w:i/>
          <w:sz w:val="22"/>
          <w:lang w:eastAsia="es-ES_tradnl"/>
        </w:rPr>
        <w:t xml:space="preserve"> Los presentes lineamientos tienen por objeto </w:t>
      </w:r>
      <w:r w:rsidRPr="00EB1DFD">
        <w:rPr>
          <w:rFonts w:ascii="Palatino Linotype" w:hAnsi="Palatino Linotype"/>
          <w:b/>
          <w:i/>
          <w:sz w:val="22"/>
          <w:lang w:eastAsia="es-ES_tradnl"/>
        </w:rPr>
        <w:t>establecer las políticas y criterios para la sistematización y digitalización</w:t>
      </w:r>
      <w:r w:rsidRPr="00193C37">
        <w:rPr>
          <w:rFonts w:ascii="Palatino Linotype" w:hAnsi="Palatino Linotype"/>
          <w:i/>
          <w:sz w:val="22"/>
          <w:lang w:eastAsia="es-ES_tradnl"/>
        </w:rPr>
        <w:t xml:space="preserve">, así como para la custodia y conservación </w:t>
      </w:r>
      <w:r w:rsidRPr="00EB1DFD">
        <w:rPr>
          <w:rFonts w:ascii="Palatino Linotype" w:hAnsi="Palatino Linotype"/>
          <w:b/>
          <w:i/>
          <w:sz w:val="22"/>
          <w:lang w:eastAsia="es-ES_tradnl"/>
        </w:rPr>
        <w:t>de los archivos en posesión de los sujetos obligados, con la finalidad de garantizar la disponibilidad</w:t>
      </w:r>
      <w:r w:rsidRPr="00193C37">
        <w:rPr>
          <w:rFonts w:ascii="Palatino Linotype" w:hAnsi="Palatino Linotype"/>
          <w:i/>
          <w:sz w:val="22"/>
          <w:lang w:eastAsia="es-ES_tradnl"/>
        </w:rPr>
        <w:t>, la localización eficiente de la información generada, obtenida, adquirida, transformada y contar con sistemas de información, ágiles y eficientes.</w:t>
      </w:r>
    </w:p>
    <w:p w14:paraId="2F4324F8" w14:textId="77777777" w:rsidR="00277D19" w:rsidRPr="00193C37" w:rsidRDefault="00277D19" w:rsidP="00277D19">
      <w:pPr>
        <w:pStyle w:val="Sinespaciado"/>
        <w:ind w:left="851" w:right="567"/>
        <w:jc w:val="both"/>
        <w:rPr>
          <w:rFonts w:ascii="Palatino Linotype" w:hAnsi="Palatino Linotype"/>
          <w:i/>
          <w:sz w:val="22"/>
          <w:lang w:eastAsia="es-ES_tradnl"/>
        </w:rPr>
      </w:pPr>
      <w:r>
        <w:rPr>
          <w:rFonts w:ascii="Palatino Linotype" w:hAnsi="Palatino Linotype"/>
          <w:i/>
          <w:sz w:val="22"/>
          <w:lang w:eastAsia="es-ES_tradnl"/>
        </w:rPr>
        <w:t>(</w:t>
      </w:r>
      <w:r w:rsidRPr="00193C37">
        <w:rPr>
          <w:rFonts w:ascii="Palatino Linotype" w:hAnsi="Palatino Linotype"/>
          <w:i/>
          <w:sz w:val="22"/>
          <w:lang w:eastAsia="es-ES_tradnl"/>
        </w:rPr>
        <w:t>…</w:t>
      </w:r>
      <w:r>
        <w:rPr>
          <w:rFonts w:ascii="Palatino Linotype" w:hAnsi="Palatino Linotype"/>
          <w:i/>
          <w:sz w:val="22"/>
          <w:lang w:eastAsia="es-ES_tradnl"/>
        </w:rPr>
        <w:t>)</w:t>
      </w:r>
    </w:p>
    <w:p w14:paraId="3DEDFBFC"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193C37">
        <w:rPr>
          <w:rFonts w:ascii="Palatino Linotype" w:hAnsi="Palatino Linotype"/>
          <w:b/>
          <w:i/>
          <w:sz w:val="22"/>
          <w:lang w:eastAsia="es-ES_tradnl"/>
        </w:rPr>
        <w:t>Cuarto.</w:t>
      </w:r>
      <w:r w:rsidRPr="00193C37">
        <w:rPr>
          <w:rFonts w:ascii="Palatino Linotype" w:hAnsi="Palatino Linotype"/>
          <w:i/>
          <w:sz w:val="22"/>
          <w:lang w:eastAsia="es-ES_tradnl"/>
        </w:rPr>
        <w:t xml:space="preserve"> Además de las definiciones contenidas en el artículo 3 de la Ley General de Transparencia y Acceso a la Información Pública, para efectos de los presentes lineamientos se entenderá por:</w:t>
      </w:r>
    </w:p>
    <w:p w14:paraId="6DE8CDBB"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193C37">
        <w:rPr>
          <w:rFonts w:ascii="Palatino Linotype" w:hAnsi="Palatino Linotype"/>
          <w:i/>
          <w:sz w:val="22"/>
          <w:lang w:eastAsia="es-ES_tradnl"/>
        </w:rPr>
        <w:t>(…)</w:t>
      </w:r>
    </w:p>
    <w:p w14:paraId="17298150" w14:textId="77777777" w:rsidR="00277D19" w:rsidRPr="00193C37" w:rsidRDefault="00277D19" w:rsidP="00277D19">
      <w:pPr>
        <w:pStyle w:val="Sinespaciado"/>
        <w:ind w:left="851" w:right="567"/>
        <w:jc w:val="both"/>
        <w:rPr>
          <w:rFonts w:ascii="Palatino Linotype" w:hAnsi="Palatino Linotype"/>
          <w:i/>
          <w:sz w:val="22"/>
          <w:lang w:eastAsia="es-ES_tradnl"/>
        </w:rPr>
      </w:pPr>
      <w:r>
        <w:rPr>
          <w:rFonts w:ascii="Palatino Linotype" w:hAnsi="Palatino Linotype"/>
          <w:b/>
          <w:i/>
          <w:sz w:val="22"/>
          <w:lang w:eastAsia="es-ES_tradnl"/>
        </w:rPr>
        <w:t>XVII. Digitalización.</w:t>
      </w:r>
      <w:r w:rsidRPr="00193C37">
        <w:rPr>
          <w:rFonts w:ascii="Palatino Linotype" w:hAnsi="Palatino Linotype"/>
          <w:i/>
          <w:sz w:val="22"/>
          <w:lang w:eastAsia="es-ES_tradnl"/>
        </w:rPr>
        <w:t xml:space="preserve">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14:paraId="2E528FA3" w14:textId="77777777" w:rsidR="00277D19" w:rsidRPr="00193C37" w:rsidRDefault="00277D19" w:rsidP="00277D19">
      <w:pPr>
        <w:pStyle w:val="Sinespaciado"/>
        <w:ind w:left="851" w:right="567"/>
        <w:jc w:val="both"/>
        <w:rPr>
          <w:rFonts w:ascii="Palatino Linotype" w:hAnsi="Palatino Linotype"/>
          <w:i/>
          <w:sz w:val="22"/>
          <w:lang w:eastAsia="es-ES_tradnl"/>
        </w:rPr>
      </w:pPr>
      <w:r>
        <w:rPr>
          <w:rFonts w:ascii="Palatino Linotype" w:hAnsi="Palatino Linotype"/>
          <w:i/>
          <w:sz w:val="22"/>
          <w:lang w:eastAsia="es-ES_tradnl"/>
        </w:rPr>
        <w:t>(</w:t>
      </w:r>
      <w:r w:rsidRPr="00193C37">
        <w:rPr>
          <w:rFonts w:ascii="Palatino Linotype" w:hAnsi="Palatino Linotype"/>
          <w:i/>
          <w:sz w:val="22"/>
          <w:lang w:eastAsia="es-ES_tradnl"/>
        </w:rPr>
        <w:t>…</w:t>
      </w:r>
      <w:r>
        <w:rPr>
          <w:rFonts w:ascii="Palatino Linotype" w:hAnsi="Palatino Linotype"/>
          <w:i/>
          <w:sz w:val="22"/>
          <w:lang w:eastAsia="es-ES_tradnl"/>
        </w:rPr>
        <w:t>)</w:t>
      </w:r>
    </w:p>
    <w:p w14:paraId="305D352F"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EB1DFD">
        <w:rPr>
          <w:rFonts w:ascii="Palatino Linotype" w:hAnsi="Palatino Linotype"/>
          <w:b/>
          <w:i/>
          <w:sz w:val="22"/>
          <w:lang w:eastAsia="es-ES_tradnl"/>
        </w:rPr>
        <w:t>XXXVIII.</w:t>
      </w:r>
      <w:r w:rsidRPr="00193C37">
        <w:rPr>
          <w:rFonts w:ascii="Palatino Linotype" w:hAnsi="Palatino Linotype"/>
          <w:i/>
          <w:sz w:val="22"/>
          <w:lang w:eastAsia="es-ES_tradnl"/>
        </w:rPr>
        <w:t xml:space="preserve"> </w:t>
      </w:r>
      <w:r w:rsidRPr="00EB1DFD">
        <w:rPr>
          <w:rFonts w:ascii="Palatino Linotype" w:hAnsi="Palatino Linotype"/>
          <w:b/>
          <w:i/>
          <w:sz w:val="22"/>
          <w:lang w:eastAsia="es-ES_tradnl"/>
        </w:rPr>
        <w:t>Preservación digital:</w:t>
      </w:r>
      <w:r w:rsidRPr="00193C37">
        <w:rPr>
          <w:rFonts w:ascii="Palatino Linotype" w:hAnsi="Palatino Linotype"/>
          <w:i/>
          <w:sz w:val="22"/>
          <w:lang w:eastAsia="es-ES_tradnl"/>
        </w:rPr>
        <w:t xml:space="preserve"> </w:t>
      </w:r>
      <w:r w:rsidRPr="00FD4CC7">
        <w:rPr>
          <w:rFonts w:ascii="Palatino Linotype" w:hAnsi="Palatino Linotype"/>
          <w:b/>
          <w:i/>
          <w:sz w:val="22"/>
          <w:lang w:eastAsia="es-ES_tradnl"/>
        </w:rPr>
        <w:t>El proceso específico para mantener los materiales digitales durante las diferentes generaciones de la tecnología, a través del tiempo, con independencia de los soportes en los que se almacenan;</w:t>
      </w:r>
    </w:p>
    <w:p w14:paraId="02CE252B"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193C37">
        <w:rPr>
          <w:rFonts w:ascii="Palatino Linotype" w:hAnsi="Palatino Linotype"/>
          <w:i/>
          <w:sz w:val="22"/>
          <w:lang w:eastAsia="es-ES_tradnl"/>
        </w:rPr>
        <w:t>(…)</w:t>
      </w:r>
    </w:p>
    <w:p w14:paraId="397494F9" w14:textId="77777777" w:rsidR="00277D19" w:rsidRPr="00193C37" w:rsidRDefault="00277D19" w:rsidP="00277D19">
      <w:pPr>
        <w:pStyle w:val="Sinespaciado"/>
        <w:ind w:left="851" w:right="567"/>
        <w:jc w:val="both"/>
        <w:rPr>
          <w:rFonts w:ascii="Palatino Linotype" w:hAnsi="Palatino Linotype"/>
          <w:i/>
          <w:sz w:val="22"/>
          <w:lang w:eastAsia="es-ES_tradnl"/>
        </w:rPr>
      </w:pPr>
      <w:r w:rsidRPr="00EB1DFD">
        <w:rPr>
          <w:rFonts w:ascii="Palatino Linotype" w:hAnsi="Palatino Linotype"/>
          <w:b/>
          <w:i/>
          <w:sz w:val="22"/>
          <w:lang w:eastAsia="es-ES_tradnl"/>
        </w:rPr>
        <w:lastRenderedPageBreak/>
        <w:t>Trigésimo cuarto.</w:t>
      </w:r>
      <w:r w:rsidRPr="00193C37">
        <w:rPr>
          <w:rFonts w:ascii="Palatino Linotype" w:hAnsi="Palatino Linotype"/>
          <w:i/>
          <w:sz w:val="22"/>
          <w:lang w:eastAsia="es-ES_tradnl"/>
        </w:rPr>
        <w:t xml:space="preserve"> </w:t>
      </w:r>
      <w:r w:rsidRPr="00EB1DFD">
        <w:rPr>
          <w:rFonts w:ascii="Palatino Linotype" w:hAnsi="Palatino Linotype"/>
          <w:b/>
          <w:i/>
          <w:sz w:val="22"/>
          <w:lang w:eastAsia="es-ES_tradnl"/>
        </w:rPr>
        <w:t>Los Sujetos obligados deberán establecer, en el Programa anual de desarrollo archivístico, la estrategia de conservación a largo plazo y las acciones que garanticen los procesos de gestión documental electrónica.</w:t>
      </w:r>
    </w:p>
    <w:p w14:paraId="4883F0B2" w14:textId="77777777" w:rsidR="00277D19" w:rsidRPr="00193C37" w:rsidRDefault="00277D19" w:rsidP="00277D19">
      <w:pPr>
        <w:pStyle w:val="Sinespaciado"/>
        <w:ind w:left="851" w:right="567"/>
        <w:jc w:val="both"/>
        <w:rPr>
          <w:rFonts w:ascii="Palatino Linotype" w:hAnsi="Palatino Linotype"/>
          <w:i/>
          <w:sz w:val="22"/>
          <w:lang w:eastAsia="es-ES_tradnl"/>
        </w:rPr>
      </w:pPr>
      <w:r>
        <w:rPr>
          <w:rFonts w:ascii="Palatino Linotype" w:hAnsi="Palatino Linotype"/>
          <w:i/>
          <w:sz w:val="22"/>
          <w:lang w:eastAsia="es-ES_tradnl"/>
        </w:rPr>
        <w:t>(</w:t>
      </w:r>
      <w:r w:rsidRPr="00193C37">
        <w:rPr>
          <w:rFonts w:ascii="Palatino Linotype" w:hAnsi="Palatino Linotype"/>
          <w:i/>
          <w:sz w:val="22"/>
          <w:lang w:eastAsia="es-ES_tradnl"/>
        </w:rPr>
        <w:t>…</w:t>
      </w:r>
      <w:r>
        <w:rPr>
          <w:rFonts w:ascii="Palatino Linotype" w:hAnsi="Palatino Linotype"/>
          <w:i/>
          <w:sz w:val="22"/>
          <w:lang w:eastAsia="es-ES_tradnl"/>
        </w:rPr>
        <w:t>)</w:t>
      </w:r>
      <w:r w:rsidRPr="00193C37">
        <w:rPr>
          <w:rFonts w:ascii="Palatino Linotype" w:hAnsi="Palatino Linotype"/>
          <w:i/>
          <w:sz w:val="22"/>
          <w:lang w:eastAsia="es-ES_tradnl"/>
        </w:rPr>
        <w:t>”</w:t>
      </w:r>
    </w:p>
    <w:p w14:paraId="08B5BE26" w14:textId="77777777" w:rsidR="00277D19" w:rsidRDefault="00277D19" w:rsidP="00277D19">
      <w:pPr>
        <w:pStyle w:val="Sinespaciado"/>
        <w:ind w:left="851" w:right="567"/>
        <w:jc w:val="both"/>
        <w:rPr>
          <w:rFonts w:ascii="Palatino Linotype" w:hAnsi="Palatino Linotype"/>
          <w:sz w:val="22"/>
          <w:lang w:eastAsia="es-ES_tradnl"/>
        </w:rPr>
      </w:pPr>
      <w:r w:rsidRPr="00EB1DFD">
        <w:rPr>
          <w:rFonts w:ascii="Palatino Linotype" w:hAnsi="Palatino Linotype"/>
          <w:sz w:val="22"/>
          <w:lang w:eastAsia="es-ES_tradnl"/>
        </w:rPr>
        <w:t>(Énfasis añadido)</w:t>
      </w:r>
    </w:p>
    <w:p w14:paraId="3F4C7758" w14:textId="77777777" w:rsidR="00277D19" w:rsidRPr="00EB1DFD" w:rsidRDefault="00277D19" w:rsidP="00277D19">
      <w:pPr>
        <w:pStyle w:val="Sinespaciado"/>
        <w:ind w:left="851" w:right="567"/>
        <w:jc w:val="both"/>
        <w:rPr>
          <w:rFonts w:ascii="Palatino Linotype" w:hAnsi="Palatino Linotype"/>
          <w:sz w:val="22"/>
          <w:lang w:eastAsia="es-ES_tradnl"/>
        </w:rPr>
      </w:pPr>
    </w:p>
    <w:p w14:paraId="738B4601" w14:textId="77777777" w:rsidR="00277D19" w:rsidRPr="00277D19" w:rsidRDefault="00277D19" w:rsidP="00277D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277D19">
        <w:rPr>
          <w:rFonts w:ascii="Palatino Linotype" w:hAnsi="Palatino Linotype" w:cs="Arial"/>
          <w:sz w:val="24"/>
          <w:szCs w:val="24"/>
        </w:rPr>
        <w:t xml:space="preserve">Es así, que los Sujetos Obligados de conformidad con los citados Lineamientos </w:t>
      </w:r>
      <w:r w:rsidRPr="00277D19">
        <w:rPr>
          <w:rFonts w:ascii="Palatino Linotype" w:hAnsi="Palatino Linotype" w:cs="Arial"/>
          <w:b/>
          <w:sz w:val="24"/>
          <w:szCs w:val="24"/>
          <w:u w:val="single"/>
        </w:rPr>
        <w:t>tienen la obligación de digitalizar la información de los archivos en su posesión</w:t>
      </w:r>
      <w:r w:rsidRPr="00277D19">
        <w:rPr>
          <w:rFonts w:ascii="Palatino Linotype" w:hAnsi="Palatino Linotype" w:cs="Arial"/>
          <w:sz w:val="24"/>
          <w:szCs w:val="24"/>
        </w:rPr>
        <w:t>, con la finalidad de garantizar su disponibilidad para los particulares en general, además, en su transitorio segundo establece que los Sujetos Obligados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14:paraId="410988CD" w14:textId="77777777" w:rsidR="00277D19" w:rsidRPr="0033595B" w:rsidRDefault="00277D19" w:rsidP="00277D19">
      <w:pPr>
        <w:pStyle w:val="Prrafodelista"/>
        <w:widowControl w:val="0"/>
        <w:autoSpaceDE w:val="0"/>
        <w:autoSpaceDN w:val="0"/>
        <w:adjustRightInd w:val="0"/>
        <w:spacing w:before="240" w:after="240" w:line="360" w:lineRule="auto"/>
        <w:ind w:left="0" w:right="474"/>
        <w:jc w:val="both"/>
        <w:rPr>
          <w:rFonts w:ascii="Palatino Linotype" w:hAnsi="Palatino Linotype"/>
          <w:lang w:eastAsia="es-ES_tradnl"/>
        </w:rPr>
      </w:pPr>
      <w:r>
        <w:rPr>
          <w:rFonts w:ascii="Palatino Linotype" w:hAnsi="Palatino Linotype" w:cs="Arial"/>
        </w:rPr>
        <w:t xml:space="preserve">En consecuencia de lo anterior, </w:t>
      </w:r>
      <w:r w:rsidRPr="00D35B4C">
        <w:rPr>
          <w:rFonts w:ascii="Palatino Linotype" w:hAnsi="Palatino Linotype"/>
          <w:bCs/>
          <w:color w:val="000000" w:themeColor="text1"/>
        </w:rPr>
        <w:t xml:space="preserve">si </w:t>
      </w:r>
      <w:r>
        <w:rPr>
          <w:rFonts w:ascii="Palatino Linotype" w:hAnsi="Palatino Linotype"/>
          <w:bCs/>
          <w:color w:val="000000" w:themeColor="text1"/>
        </w:rPr>
        <w:t xml:space="preserve">el </w:t>
      </w:r>
      <w:r>
        <w:rPr>
          <w:rFonts w:ascii="Palatino Linotype" w:hAnsi="Palatino Linotype"/>
          <w:b/>
          <w:bCs/>
          <w:color w:val="000000" w:themeColor="text1"/>
        </w:rPr>
        <w:t>SUJETO OBLIGADO</w:t>
      </w:r>
      <w:r>
        <w:rPr>
          <w:rFonts w:ascii="Palatino Linotype" w:hAnsi="Palatino Linotype"/>
          <w:bCs/>
          <w:color w:val="000000" w:themeColor="text1"/>
        </w:rPr>
        <w:t xml:space="preserve"> se ha manifestado afirmativamente respecto de que posee, genera y administra la información solicitada</w:t>
      </w:r>
      <w:r>
        <w:rPr>
          <w:rFonts w:ascii="Palatino Linotype" w:hAnsi="Palatino Linotype" w:cs="Arial"/>
          <w:b/>
        </w:rPr>
        <w:t>,</w:t>
      </w:r>
      <w:r>
        <w:rPr>
          <w:rFonts w:ascii="Palatino Linotype" w:hAnsi="Palatino Linotype" w:cs="Arial"/>
        </w:rPr>
        <w:t xml:space="preserve"> por consiguiente, ya no cabe la condicionante de que se hará entrega de la información previo pago de derechos por digitalización</w:t>
      </w:r>
      <w:r w:rsidRPr="00D35B4C">
        <w:rPr>
          <w:rFonts w:ascii="Palatino Linotype" w:hAnsi="Palatino Linotype" w:cs="Arial"/>
        </w:rPr>
        <w:t>, sino que se deben observar dos puntos importantes:</w:t>
      </w:r>
    </w:p>
    <w:p w14:paraId="25D204CE" w14:textId="77777777" w:rsidR="00277D19" w:rsidRPr="0033595B" w:rsidRDefault="00277D19" w:rsidP="00277D19">
      <w:pPr>
        <w:pStyle w:val="Prrafodelista"/>
        <w:widowControl w:val="0"/>
        <w:numPr>
          <w:ilvl w:val="1"/>
          <w:numId w:val="12"/>
        </w:numPr>
        <w:autoSpaceDE w:val="0"/>
        <w:autoSpaceDN w:val="0"/>
        <w:adjustRightInd w:val="0"/>
        <w:spacing w:before="240" w:after="240" w:line="360" w:lineRule="auto"/>
        <w:ind w:left="851" w:right="474"/>
        <w:jc w:val="both"/>
        <w:rPr>
          <w:rFonts w:ascii="Palatino Linotype" w:hAnsi="Palatino Linotype"/>
          <w:lang w:eastAsia="es-ES_tradnl"/>
        </w:rPr>
      </w:pPr>
      <w:r>
        <w:rPr>
          <w:rFonts w:ascii="Palatino Linotype" w:hAnsi="Palatino Linotype"/>
          <w:lang w:eastAsia="es-ES_tradnl"/>
        </w:rPr>
        <w:t xml:space="preserve">Si </w:t>
      </w:r>
      <w:r w:rsidRPr="00D35B4C">
        <w:rPr>
          <w:rFonts w:ascii="Palatino Linotype" w:hAnsi="Palatino Linotype"/>
          <w:bCs/>
          <w:color w:val="000000" w:themeColor="text1"/>
        </w:rPr>
        <w:t xml:space="preserve">la posesión de la información es de carácter inexcusable, es decir </w:t>
      </w:r>
      <w:r w:rsidRPr="00D35B4C">
        <w:rPr>
          <w:rFonts w:ascii="Palatino Linotype" w:hAnsi="Palatino Linotype"/>
        </w:rPr>
        <w:t xml:space="preserve">si el </w:t>
      </w:r>
      <w:r w:rsidRPr="0033595B">
        <w:rPr>
          <w:rFonts w:ascii="Palatino Linotype" w:hAnsi="Palatino Linotype"/>
          <w:b/>
        </w:rPr>
        <w:t>SUJETO OBLIGADO</w:t>
      </w:r>
      <w:r w:rsidRPr="00D35B4C">
        <w:rPr>
          <w:rFonts w:ascii="Palatino Linotype" w:hAnsi="Palatino Linotype"/>
        </w:rPr>
        <w:t>, en el eje</w:t>
      </w:r>
      <w:r>
        <w:rPr>
          <w:rFonts w:ascii="Palatino Linotype" w:hAnsi="Palatino Linotype"/>
        </w:rPr>
        <w:t>rcicio de sus atribuciones, debe</w:t>
      </w:r>
      <w:r w:rsidRPr="00D35B4C">
        <w:rPr>
          <w:rFonts w:ascii="Palatino Linotype" w:hAnsi="Palatino Linotype"/>
        </w:rPr>
        <w:t xml:space="preserve"> generar, poseer o administrar la información, </w:t>
      </w:r>
      <w:r w:rsidRPr="0033595B">
        <w:rPr>
          <w:rFonts w:ascii="Palatino Linotype" w:hAnsi="Palatino Linotype"/>
          <w:b/>
        </w:rPr>
        <w:t>deberá entenderse como información de oficio aplicable a la rendición de cuenta pública</w:t>
      </w:r>
      <w:r>
        <w:rPr>
          <w:rFonts w:ascii="Palatino Linotype" w:hAnsi="Palatino Linotype"/>
        </w:rPr>
        <w:t xml:space="preserve"> a pesar de no figurar en los preceptos legales aplicables de los artículos 92, 94 o 98 de la Ley de Transparencia y Acceso a la Información Pública del Estado de México y </w:t>
      </w:r>
      <w:r>
        <w:rPr>
          <w:rFonts w:ascii="Palatino Linotype" w:hAnsi="Palatino Linotype"/>
        </w:rPr>
        <w:lastRenderedPageBreak/>
        <w:t>Municipios</w:t>
      </w:r>
      <w:r w:rsidRPr="00D35B4C">
        <w:rPr>
          <w:rFonts w:ascii="Palatino Linotype" w:hAnsi="Palatino Linotype"/>
        </w:rPr>
        <w:t>.</w:t>
      </w:r>
    </w:p>
    <w:p w14:paraId="050F0EA2" w14:textId="77777777" w:rsidR="00277D19" w:rsidRPr="004B020F" w:rsidRDefault="00277D19" w:rsidP="00277D19">
      <w:pPr>
        <w:pStyle w:val="Prrafodelista"/>
        <w:widowControl w:val="0"/>
        <w:numPr>
          <w:ilvl w:val="1"/>
          <w:numId w:val="12"/>
        </w:numPr>
        <w:autoSpaceDE w:val="0"/>
        <w:autoSpaceDN w:val="0"/>
        <w:adjustRightInd w:val="0"/>
        <w:spacing w:before="240" w:after="240" w:line="360" w:lineRule="auto"/>
        <w:ind w:left="851" w:right="474"/>
        <w:jc w:val="both"/>
        <w:rPr>
          <w:rFonts w:ascii="Palatino Linotype" w:hAnsi="Palatino Linotype"/>
          <w:lang w:eastAsia="es-ES_tradnl"/>
        </w:rPr>
      </w:pPr>
      <w:r>
        <w:rPr>
          <w:rFonts w:ascii="Palatino Linotype" w:hAnsi="Palatino Linotype"/>
        </w:rPr>
        <w:t xml:space="preserve">El cobro por digitalizar archivos o documentos reconocido dentro del artículo 73 fracción VI del Código Financiero del Estado de México, </w:t>
      </w:r>
      <w:r w:rsidRPr="0033595B">
        <w:rPr>
          <w:rFonts w:ascii="Palatino Linotype" w:hAnsi="Palatino Linotype"/>
          <w:b/>
        </w:rPr>
        <w:t>contradice los Lineamientos para la Organización y Conservación de Archivos</w:t>
      </w:r>
      <w:r>
        <w:rPr>
          <w:rFonts w:ascii="Palatino Linotype" w:hAnsi="Palatino Linotype"/>
        </w:rPr>
        <w:t>, del Sistema Nacional de Transparencia, Acceso a la Información Pública y Protección de Datos Personales.</w:t>
      </w:r>
    </w:p>
    <w:p w14:paraId="520DA137" w14:textId="77777777" w:rsidR="00A57B19" w:rsidRPr="00A57B19" w:rsidRDefault="00A57B19" w:rsidP="00A57B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A57B19">
        <w:rPr>
          <w:rFonts w:ascii="Palatino Linotype" w:hAnsi="Palatino Linotype" w:cs="Arial"/>
          <w:sz w:val="24"/>
          <w:szCs w:val="24"/>
        </w:rPr>
        <w:t xml:space="preserve">Del </w:t>
      </w:r>
      <w:r w:rsidRPr="00A57B19">
        <w:rPr>
          <w:rFonts w:ascii="Palatino Linotype" w:hAnsi="Palatino Linotype"/>
          <w:sz w:val="24"/>
          <w:szCs w:val="24"/>
        </w:rPr>
        <w:t xml:space="preserve">mismo modo, no se debe ignorar que el Archivo General de la Nación, dentro de sus </w:t>
      </w:r>
      <w:r w:rsidRPr="00A57B19">
        <w:rPr>
          <w:rFonts w:ascii="Palatino Linotype" w:hAnsi="Palatino Linotype"/>
          <w:i/>
          <w:sz w:val="24"/>
          <w:szCs w:val="24"/>
        </w:rPr>
        <w:t>Recomendaciones para proyectos de digitalización de documentos</w:t>
      </w:r>
      <w:r w:rsidRPr="00A57B19">
        <w:rPr>
          <w:rFonts w:ascii="Palatino Linotype" w:hAnsi="Palatino Linotype"/>
          <w:sz w:val="24"/>
          <w:szCs w:val="24"/>
        </w:rPr>
        <w:t>, concibe al objeto de digitalización de la siguiente manera:</w:t>
      </w:r>
    </w:p>
    <w:p w14:paraId="6FEE8FB9" w14:textId="77777777" w:rsidR="00A57B19" w:rsidRPr="00E96E28" w:rsidRDefault="00A57B19" w:rsidP="00A57B19">
      <w:pPr>
        <w:pStyle w:val="Sinespaciado"/>
        <w:ind w:left="851" w:right="567"/>
        <w:jc w:val="both"/>
        <w:rPr>
          <w:rFonts w:ascii="Palatino Linotype" w:hAnsi="Palatino Linotype"/>
          <w:i/>
          <w:sz w:val="22"/>
          <w:szCs w:val="22"/>
        </w:rPr>
      </w:pPr>
      <w:r w:rsidRPr="00E96E28">
        <w:rPr>
          <w:rFonts w:ascii="Palatino Linotype" w:hAnsi="Palatino Linotype"/>
          <w:i/>
          <w:sz w:val="22"/>
          <w:szCs w:val="22"/>
        </w:rPr>
        <w:t>“</w:t>
      </w:r>
      <w:r w:rsidRPr="00E96E28">
        <w:rPr>
          <w:rFonts w:ascii="Palatino Linotype" w:hAnsi="Palatino Linotype"/>
          <w:b/>
          <w:i/>
          <w:sz w:val="22"/>
          <w:szCs w:val="22"/>
        </w:rPr>
        <w:t>El fin de un</w:t>
      </w:r>
      <w:r w:rsidRPr="00E96E28">
        <w:rPr>
          <w:rFonts w:ascii="Palatino Linotype" w:hAnsi="Palatino Linotype"/>
          <w:i/>
          <w:sz w:val="22"/>
          <w:szCs w:val="22"/>
        </w:rPr>
        <w:t xml:space="preserve"> proyecto como éste (</w:t>
      </w:r>
      <w:r w:rsidRPr="00E96E28">
        <w:rPr>
          <w:rFonts w:ascii="Palatino Linotype" w:hAnsi="Palatino Linotype"/>
          <w:b/>
          <w:i/>
          <w:sz w:val="22"/>
          <w:szCs w:val="22"/>
        </w:rPr>
        <w:t>proyecto de digitalización</w:t>
      </w:r>
      <w:r w:rsidRPr="00E96E28">
        <w:rPr>
          <w:rFonts w:ascii="Palatino Linotype" w:hAnsi="Palatino Linotype"/>
          <w:i/>
          <w:sz w:val="22"/>
          <w:szCs w:val="22"/>
        </w:rPr>
        <w:t xml:space="preserve">) </w:t>
      </w:r>
      <w:r w:rsidRPr="00E96E28">
        <w:rPr>
          <w:rFonts w:ascii="Palatino Linotype" w:hAnsi="Palatino Linotype"/>
          <w:b/>
          <w:i/>
          <w:sz w:val="22"/>
          <w:szCs w:val="22"/>
        </w:rPr>
        <w:t>es digitalizar una sola vez los documentos y utilizar el archivo obtenido para diversos propósitos</w:t>
      </w:r>
      <w:r w:rsidRPr="00E96E28">
        <w:rPr>
          <w:rFonts w:ascii="Palatino Linotype" w:hAnsi="Palatino Linotype"/>
          <w:i/>
          <w:sz w:val="22"/>
          <w:szCs w:val="22"/>
        </w:rPr>
        <w:t xml:space="preserve">; por ello se debe definir desde la planeación una digitalización estandarizada, clasificada y con óptima calidad, </w:t>
      </w:r>
      <w:r w:rsidRPr="00E96E28">
        <w:rPr>
          <w:rFonts w:ascii="Palatino Linotype" w:hAnsi="Palatino Linotype"/>
          <w:b/>
          <w:i/>
          <w:sz w:val="22"/>
          <w:szCs w:val="22"/>
        </w:rPr>
        <w:t>para garantizar que cada archivo se pueda utilizar para nuevos requerimientos, sin necesidad de volver a digitalizarlo</w:t>
      </w:r>
      <w:r w:rsidRPr="00E96E28">
        <w:rPr>
          <w:rFonts w:ascii="Palatino Linotype" w:hAnsi="Palatino Linotype"/>
          <w:i/>
          <w:sz w:val="22"/>
          <w:szCs w:val="22"/>
        </w:rPr>
        <w:t>.”</w:t>
      </w:r>
    </w:p>
    <w:p w14:paraId="653A17DB" w14:textId="77777777" w:rsidR="00A57B19" w:rsidRDefault="00A57B19" w:rsidP="00A57B19">
      <w:pPr>
        <w:widowControl w:val="0"/>
        <w:autoSpaceDE w:val="0"/>
        <w:autoSpaceDN w:val="0"/>
        <w:adjustRightInd w:val="0"/>
        <w:spacing w:before="240" w:after="240" w:line="360" w:lineRule="auto"/>
        <w:ind w:right="474"/>
        <w:jc w:val="both"/>
        <w:rPr>
          <w:rFonts w:ascii="Palatino Linotype" w:hAnsi="Palatino Linotype" w:cs="Arial"/>
          <w:sz w:val="24"/>
          <w:szCs w:val="24"/>
        </w:rPr>
      </w:pPr>
    </w:p>
    <w:p w14:paraId="2E0C96C2" w14:textId="43EC8F16" w:rsidR="00A57B19" w:rsidRPr="00A57B19" w:rsidRDefault="00A57B19" w:rsidP="00A57B19">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A57B19">
        <w:rPr>
          <w:rFonts w:ascii="Palatino Linotype" w:hAnsi="Palatino Linotype" w:cs="Arial"/>
          <w:sz w:val="24"/>
          <w:szCs w:val="24"/>
        </w:rPr>
        <w:t xml:space="preserve">De </w:t>
      </w:r>
      <w:r w:rsidRPr="00A57B19">
        <w:rPr>
          <w:rFonts w:ascii="Palatino Linotype" w:hAnsi="Palatino Linotype"/>
          <w:sz w:val="24"/>
          <w:szCs w:val="24"/>
        </w:rPr>
        <w:t xml:space="preserve">lo anterior se entiende que el digitalizar documentos no se debe entender como una actividad concebida únicamente para dar atención a una solicitud de información, sino como una </w:t>
      </w:r>
      <w:r w:rsidRPr="00A57B19">
        <w:rPr>
          <w:rFonts w:ascii="Palatino Linotype" w:hAnsi="Palatino Linotype"/>
          <w:b/>
          <w:sz w:val="24"/>
          <w:szCs w:val="24"/>
        </w:rPr>
        <w:t>oportunidad que tienen los Sujetos Obligados para asegurar en un medio digital su información física y poder hacer uso de la misma en oportunidades futuras</w:t>
      </w:r>
      <w:r w:rsidRPr="00A57B19">
        <w:rPr>
          <w:rFonts w:ascii="Palatino Linotype" w:hAnsi="Palatino Linotype"/>
          <w:sz w:val="24"/>
          <w:szCs w:val="24"/>
        </w:rPr>
        <w:t>.</w:t>
      </w:r>
    </w:p>
    <w:p w14:paraId="38C55FA2" w14:textId="77777777" w:rsidR="00277D19" w:rsidRPr="00277D19" w:rsidRDefault="00277D19" w:rsidP="00277D19">
      <w:pPr>
        <w:spacing w:after="0" w:line="360" w:lineRule="auto"/>
        <w:rPr>
          <w:rFonts w:ascii="Palatino Linotype" w:hAnsi="Palatino Linotype" w:cs="Arial"/>
          <w:sz w:val="24"/>
          <w:szCs w:val="24"/>
          <w:lang w:val="es-ES"/>
        </w:rPr>
      </w:pPr>
    </w:p>
    <w:p w14:paraId="5F2D07B9" w14:textId="5D8E1CB2" w:rsidR="00D60BDC" w:rsidRDefault="00D60BDC" w:rsidP="00AB79DA">
      <w:pPr>
        <w:spacing w:after="0" w:line="360" w:lineRule="auto"/>
        <w:jc w:val="center"/>
        <w:rPr>
          <w:rFonts w:ascii="Palatino Linotype" w:hAnsi="Palatino Linotype" w:cs="Arial"/>
          <w:sz w:val="24"/>
          <w:szCs w:val="24"/>
        </w:rPr>
      </w:pPr>
    </w:p>
    <w:p w14:paraId="2FEFC65C" w14:textId="1C998E44" w:rsidR="00D60BDC" w:rsidRDefault="00D60BDC" w:rsidP="00AB79DA">
      <w:pPr>
        <w:spacing w:after="0" w:line="360" w:lineRule="auto"/>
        <w:jc w:val="center"/>
        <w:rPr>
          <w:rFonts w:ascii="Palatino Linotype" w:hAnsi="Palatino Linotype" w:cs="Arial"/>
          <w:sz w:val="24"/>
          <w:szCs w:val="24"/>
        </w:rPr>
      </w:pPr>
    </w:p>
    <w:p w14:paraId="3AC16EF2" w14:textId="54C8A27D" w:rsidR="008E39CF" w:rsidRDefault="008E39CF" w:rsidP="003F456E">
      <w:pPr>
        <w:widowControl w:val="0"/>
        <w:autoSpaceDE w:val="0"/>
        <w:autoSpaceDN w:val="0"/>
        <w:adjustRightInd w:val="0"/>
        <w:spacing w:before="240" w:after="240" w:line="360" w:lineRule="auto"/>
        <w:ind w:right="474"/>
        <w:jc w:val="both"/>
        <w:rPr>
          <w:rFonts w:ascii="Palatino Linotype" w:hAnsi="Palatino Linotype" w:cs="Arial"/>
          <w:sz w:val="24"/>
          <w:szCs w:val="24"/>
        </w:rPr>
      </w:pPr>
      <w:r>
        <w:rPr>
          <w:rFonts w:ascii="Palatino Linotype" w:hAnsi="Palatino Linotype" w:cs="Arial"/>
          <w:sz w:val="24"/>
          <w:szCs w:val="24"/>
        </w:rPr>
        <w:lastRenderedPageBreak/>
        <w:t xml:space="preserve">Una vez asentado lo anterior el </w:t>
      </w:r>
      <w:r w:rsidRPr="008E39CF">
        <w:rPr>
          <w:rFonts w:ascii="Palatino Linotype" w:hAnsi="Palatino Linotype" w:cs="Arial"/>
          <w:b/>
          <w:bCs/>
          <w:sz w:val="24"/>
          <w:szCs w:val="24"/>
        </w:rPr>
        <w:t>Recurrente</w:t>
      </w:r>
      <w:r>
        <w:rPr>
          <w:rFonts w:ascii="Palatino Linotype" w:hAnsi="Palatino Linotype" w:cs="Arial"/>
          <w:sz w:val="24"/>
          <w:szCs w:val="24"/>
        </w:rPr>
        <w:t xml:space="preserve"> deberá seguir los pasos proporcionados por el Sujeto Obligado en Respuesta dentro del archivo </w:t>
      </w:r>
      <w:r w:rsidR="00426BBE">
        <w:rPr>
          <w:rFonts w:ascii="Palatino Linotype" w:hAnsi="Palatino Linotype" w:cs="Arial"/>
          <w:sz w:val="24"/>
          <w:szCs w:val="24"/>
        </w:rPr>
        <w:t>“</w:t>
      </w:r>
      <w:r w:rsidR="00426BBE" w:rsidRPr="00426BBE">
        <w:rPr>
          <w:rFonts w:ascii="Palatino Linotype" w:hAnsi="Palatino Linotype" w:cs="Arial"/>
          <w:sz w:val="24"/>
          <w:szCs w:val="24"/>
        </w:rPr>
        <w:t>GUIA PARA OBTENER HOJA DE AYUDA (1).pdf</w:t>
      </w:r>
      <w:r w:rsidR="00426BBE">
        <w:rPr>
          <w:rFonts w:ascii="Palatino Linotype" w:hAnsi="Palatino Linotype" w:cs="Arial"/>
          <w:sz w:val="24"/>
          <w:szCs w:val="24"/>
        </w:rPr>
        <w:t xml:space="preserve">”, mismo que describe  cada uno de los pasos para poder acceder a través de la página de internet </w:t>
      </w:r>
      <w:hyperlink r:id="rId10" w:history="1">
        <w:r w:rsidR="00426BBE" w:rsidRPr="008F4D62">
          <w:rPr>
            <w:rStyle w:val="Hipervnculo"/>
            <w:rFonts w:ascii="Palatino Linotype" w:hAnsi="Palatino Linotype" w:cs="Arial"/>
            <w:sz w:val="24"/>
            <w:szCs w:val="24"/>
          </w:rPr>
          <w:t>www.pjedomex.gob.mx</w:t>
        </w:r>
      </w:hyperlink>
      <w:r w:rsidR="00426BBE">
        <w:rPr>
          <w:rFonts w:ascii="Palatino Linotype" w:hAnsi="Palatino Linotype" w:cs="Arial"/>
          <w:sz w:val="24"/>
          <w:szCs w:val="24"/>
        </w:rPr>
        <w:t xml:space="preserve"> en el apartado de </w:t>
      </w:r>
      <w:r w:rsidR="0055586B">
        <w:rPr>
          <w:rFonts w:ascii="Palatino Linotype" w:hAnsi="Palatino Linotype" w:cs="Arial"/>
          <w:sz w:val="24"/>
          <w:szCs w:val="24"/>
        </w:rPr>
        <w:t>“</w:t>
      </w:r>
      <w:r w:rsidR="00426BBE">
        <w:rPr>
          <w:rFonts w:ascii="Palatino Linotype" w:hAnsi="Palatino Linotype" w:cs="Arial"/>
          <w:sz w:val="24"/>
          <w:szCs w:val="24"/>
        </w:rPr>
        <w:t>SERVICIOS EN LÍNEA</w:t>
      </w:r>
      <w:r w:rsidR="0055586B">
        <w:rPr>
          <w:rFonts w:ascii="Palatino Linotype" w:hAnsi="Palatino Linotype" w:cs="Arial"/>
          <w:sz w:val="24"/>
          <w:szCs w:val="24"/>
        </w:rPr>
        <w:t>”</w:t>
      </w:r>
      <w:r w:rsidR="00426BBE">
        <w:rPr>
          <w:rFonts w:ascii="Palatino Linotype" w:hAnsi="Palatino Linotype" w:cs="Arial"/>
          <w:sz w:val="24"/>
          <w:szCs w:val="24"/>
        </w:rPr>
        <w:t>, para estar en posibilidades de generar el pago correspondiente por concepto</w:t>
      </w:r>
      <w:r w:rsidR="00426BBE" w:rsidRPr="00426BBE">
        <w:rPr>
          <w:rFonts w:ascii="Palatino Linotype" w:hAnsi="Palatino Linotype" w:cs="Arial"/>
          <w:b/>
          <w:sz w:val="24"/>
          <w:szCs w:val="24"/>
        </w:rPr>
        <w:t xml:space="preserve"> </w:t>
      </w:r>
      <w:r w:rsidR="00426BBE" w:rsidRPr="00426BBE">
        <w:rPr>
          <w:rFonts w:ascii="Palatino Linotype" w:hAnsi="Palatino Linotype" w:cs="Arial"/>
          <w:bCs/>
          <w:sz w:val="24"/>
          <w:szCs w:val="24"/>
        </w:rPr>
        <w:t>de reproducción del expediente en copias simples</w:t>
      </w:r>
      <w:r w:rsidR="00426BBE">
        <w:rPr>
          <w:rFonts w:ascii="Palatino Linotype" w:hAnsi="Palatino Linotype" w:cs="Arial"/>
          <w:bCs/>
          <w:sz w:val="24"/>
          <w:szCs w:val="24"/>
        </w:rPr>
        <w:t>, por lo que una vez que se haya generado el pago el Recurrente deberá escanear y enviar el recibo de pago al correo electrónico de la Unidad de Transparencia del Sujeto Obligado</w:t>
      </w:r>
      <w:r w:rsidR="0055586B">
        <w:rPr>
          <w:rFonts w:ascii="Palatino Linotype" w:hAnsi="Palatino Linotype" w:cs="Arial"/>
          <w:bCs/>
          <w:sz w:val="24"/>
          <w:szCs w:val="24"/>
        </w:rPr>
        <w:t xml:space="preserve"> </w:t>
      </w:r>
      <w:hyperlink r:id="rId11" w:history="1">
        <w:r w:rsidR="0055586B" w:rsidRPr="008F4D62">
          <w:rPr>
            <w:rStyle w:val="Hipervnculo"/>
            <w:rFonts w:ascii="Palatino Linotype" w:hAnsi="Palatino Linotype" w:cs="Arial"/>
            <w:bCs/>
            <w:sz w:val="24"/>
            <w:szCs w:val="24"/>
          </w:rPr>
          <w:t>unidad.transparencia@pjedomex.gob.mx</w:t>
        </w:r>
      </w:hyperlink>
      <w:r w:rsidR="0055586B">
        <w:rPr>
          <w:rFonts w:ascii="Palatino Linotype" w:hAnsi="Palatino Linotype" w:cs="Arial"/>
          <w:bCs/>
          <w:sz w:val="24"/>
          <w:szCs w:val="24"/>
        </w:rPr>
        <w:t>, mismo que debe contener el número de folio de la solicitud de información en cuestión.</w:t>
      </w:r>
    </w:p>
    <w:p w14:paraId="0FCF1544" w14:textId="77777777" w:rsidR="0055586B" w:rsidRDefault="0055586B" w:rsidP="003F456E">
      <w:pPr>
        <w:widowControl w:val="0"/>
        <w:autoSpaceDE w:val="0"/>
        <w:autoSpaceDN w:val="0"/>
        <w:adjustRightInd w:val="0"/>
        <w:spacing w:before="240" w:after="240" w:line="360" w:lineRule="auto"/>
        <w:ind w:right="474"/>
        <w:jc w:val="both"/>
        <w:rPr>
          <w:rFonts w:ascii="Palatino Linotype" w:hAnsi="Palatino Linotype" w:cs="Arial"/>
          <w:sz w:val="24"/>
          <w:szCs w:val="24"/>
        </w:rPr>
      </w:pPr>
    </w:p>
    <w:p w14:paraId="08C5F95A" w14:textId="05AB1847" w:rsidR="003F456E" w:rsidRPr="003F456E" w:rsidRDefault="003F456E" w:rsidP="003F456E">
      <w:pPr>
        <w:widowControl w:val="0"/>
        <w:autoSpaceDE w:val="0"/>
        <w:autoSpaceDN w:val="0"/>
        <w:adjustRightInd w:val="0"/>
        <w:spacing w:before="240" w:after="240" w:line="360" w:lineRule="auto"/>
        <w:ind w:right="474"/>
        <w:jc w:val="both"/>
        <w:rPr>
          <w:rFonts w:ascii="Palatino Linotype" w:hAnsi="Palatino Linotype" w:cs="Times New Roman"/>
          <w:sz w:val="24"/>
          <w:szCs w:val="24"/>
          <w:lang w:eastAsia="es-ES_tradnl"/>
        </w:rPr>
      </w:pPr>
      <w:r w:rsidRPr="003F456E">
        <w:rPr>
          <w:rFonts w:ascii="Palatino Linotype" w:hAnsi="Palatino Linotype" w:cs="Arial"/>
          <w:sz w:val="24"/>
          <w:szCs w:val="24"/>
        </w:rPr>
        <w:t xml:space="preserve">En conclusión, el </w:t>
      </w:r>
      <w:r w:rsidRPr="003F456E">
        <w:rPr>
          <w:rFonts w:ascii="Palatino Linotype" w:hAnsi="Palatino Linotype" w:cs="Arial"/>
          <w:b/>
          <w:sz w:val="24"/>
          <w:szCs w:val="24"/>
        </w:rPr>
        <w:t>S</w:t>
      </w:r>
      <w:r>
        <w:rPr>
          <w:rFonts w:ascii="Palatino Linotype" w:hAnsi="Palatino Linotype" w:cs="Arial"/>
          <w:b/>
          <w:sz w:val="24"/>
          <w:szCs w:val="24"/>
        </w:rPr>
        <w:t>ujeto</w:t>
      </w:r>
      <w:r w:rsidRPr="003F456E">
        <w:rPr>
          <w:rFonts w:ascii="Palatino Linotype" w:hAnsi="Palatino Linotype" w:cs="Arial"/>
          <w:b/>
          <w:sz w:val="24"/>
          <w:szCs w:val="24"/>
        </w:rPr>
        <w:t xml:space="preserve"> O</w:t>
      </w:r>
      <w:r>
        <w:rPr>
          <w:rFonts w:ascii="Palatino Linotype" w:hAnsi="Palatino Linotype" w:cs="Arial"/>
          <w:b/>
          <w:sz w:val="24"/>
          <w:szCs w:val="24"/>
        </w:rPr>
        <w:t>bligado</w:t>
      </w:r>
      <w:r w:rsidRPr="003F456E">
        <w:rPr>
          <w:rFonts w:ascii="Palatino Linotype" w:hAnsi="Palatino Linotype" w:cs="Arial"/>
          <w:sz w:val="24"/>
          <w:szCs w:val="24"/>
        </w:rPr>
        <w:t xml:space="preserve"> al asumir contar con la información y de conformidad con los Lineamientos, Manuales y principios jurídicos estudiados, tiene la obligación de digitalizar los archivos que obren en su poder por lo cual, ajustándose lo que señala la normatividad de contar con los documentos digitalizados, </w:t>
      </w:r>
      <w:r w:rsidRPr="003F456E">
        <w:rPr>
          <w:rFonts w:ascii="Palatino Linotype" w:hAnsi="Palatino Linotype" w:cs="Arial"/>
          <w:b/>
          <w:sz w:val="24"/>
          <w:szCs w:val="24"/>
        </w:rPr>
        <w:t xml:space="preserve">se desestima el pago de derechos de la información </w:t>
      </w:r>
      <w:r w:rsidR="00F9183C">
        <w:rPr>
          <w:rFonts w:ascii="Palatino Linotype" w:hAnsi="Palatino Linotype" w:cs="Arial"/>
          <w:b/>
          <w:sz w:val="24"/>
          <w:szCs w:val="24"/>
        </w:rPr>
        <w:t xml:space="preserve">por digitalización </w:t>
      </w:r>
      <w:r w:rsidRPr="003F456E">
        <w:rPr>
          <w:rFonts w:ascii="Palatino Linotype" w:hAnsi="Palatino Linotype" w:cs="Arial"/>
          <w:b/>
          <w:sz w:val="24"/>
          <w:szCs w:val="24"/>
        </w:rPr>
        <w:t xml:space="preserve">y se ordena </w:t>
      </w:r>
      <w:r w:rsidR="00F9183C">
        <w:rPr>
          <w:rFonts w:ascii="Palatino Linotype" w:hAnsi="Palatino Linotype" w:cs="Arial"/>
          <w:b/>
          <w:sz w:val="24"/>
          <w:szCs w:val="24"/>
        </w:rPr>
        <w:t xml:space="preserve">previo pago de derechos por concepto de reproducción del expediente en copias simples haga </w:t>
      </w:r>
      <w:r w:rsidRPr="003F456E">
        <w:rPr>
          <w:rFonts w:ascii="Palatino Linotype" w:hAnsi="Palatino Linotype" w:cs="Arial"/>
          <w:b/>
          <w:sz w:val="24"/>
          <w:szCs w:val="24"/>
        </w:rPr>
        <w:t xml:space="preserve">la entrega de la información </w:t>
      </w:r>
      <w:r w:rsidRPr="003F456E">
        <w:rPr>
          <w:rFonts w:ascii="Palatino Linotype" w:eastAsia="Calibri" w:hAnsi="Palatino Linotype" w:cs="Arial"/>
          <w:b/>
          <w:sz w:val="24"/>
          <w:szCs w:val="24"/>
          <w:lang w:val="es-ES"/>
        </w:rPr>
        <w:t>vía Sistema de Acceso a la Información Mexiquense SAIMEX</w:t>
      </w:r>
      <w:r w:rsidRPr="003F456E">
        <w:rPr>
          <w:rFonts w:ascii="Palatino Linotype" w:eastAsia="Calibri" w:hAnsi="Palatino Linotype" w:cs="Arial"/>
          <w:sz w:val="24"/>
          <w:szCs w:val="24"/>
          <w:lang w:val="es-ES"/>
        </w:rPr>
        <w:t xml:space="preserve"> con la finalidad de garantizar el derecho de acceso a información ejercido por </w:t>
      </w:r>
      <w:r w:rsidR="008B676C">
        <w:rPr>
          <w:rFonts w:ascii="Palatino Linotype" w:eastAsia="Calibri" w:hAnsi="Palatino Linotype" w:cs="Arial"/>
          <w:sz w:val="24"/>
          <w:szCs w:val="24"/>
          <w:lang w:val="es-ES"/>
        </w:rPr>
        <w:t>el</w:t>
      </w:r>
      <w:r w:rsidRPr="003F456E">
        <w:rPr>
          <w:rFonts w:ascii="Palatino Linotype" w:eastAsia="Calibri" w:hAnsi="Palatino Linotype" w:cs="Arial"/>
          <w:sz w:val="24"/>
          <w:szCs w:val="24"/>
          <w:lang w:val="es-ES"/>
        </w:rPr>
        <w:t xml:space="preserve"> </w:t>
      </w:r>
      <w:r w:rsidRPr="003F456E">
        <w:rPr>
          <w:rFonts w:ascii="Palatino Linotype" w:eastAsia="Calibri" w:hAnsi="Palatino Linotype" w:cs="Arial"/>
          <w:b/>
          <w:sz w:val="24"/>
          <w:szCs w:val="24"/>
          <w:lang w:val="es-ES"/>
        </w:rPr>
        <w:t>R</w:t>
      </w:r>
      <w:r w:rsidR="002F2B39">
        <w:rPr>
          <w:rFonts w:ascii="Palatino Linotype" w:eastAsia="Calibri" w:hAnsi="Palatino Linotype" w:cs="Arial"/>
          <w:b/>
          <w:sz w:val="24"/>
          <w:szCs w:val="24"/>
          <w:lang w:val="es-ES"/>
        </w:rPr>
        <w:t>ecurrente</w:t>
      </w:r>
      <w:r w:rsidRPr="003F456E">
        <w:rPr>
          <w:rFonts w:ascii="Palatino Linotype" w:eastAsia="Calibri" w:hAnsi="Palatino Linotype" w:cs="Arial"/>
          <w:sz w:val="24"/>
          <w:szCs w:val="24"/>
          <w:lang w:val="es-ES"/>
        </w:rPr>
        <w:t>.</w:t>
      </w:r>
    </w:p>
    <w:p w14:paraId="49F38E2F" w14:textId="1FA285DB" w:rsidR="00D60BDC" w:rsidRPr="003F456E" w:rsidRDefault="00D60BDC" w:rsidP="003F456E">
      <w:pPr>
        <w:spacing w:after="0" w:line="360" w:lineRule="auto"/>
        <w:rPr>
          <w:rFonts w:ascii="Palatino Linotype" w:hAnsi="Palatino Linotype" w:cs="Arial"/>
          <w:sz w:val="24"/>
          <w:szCs w:val="24"/>
          <w:lang w:val="es-ES"/>
        </w:rPr>
      </w:pPr>
    </w:p>
    <w:p w14:paraId="38F5E1CD" w14:textId="4BE434A3" w:rsidR="00D60BDC" w:rsidRDefault="00D60BDC" w:rsidP="00AB79DA">
      <w:pPr>
        <w:spacing w:after="0" w:line="360" w:lineRule="auto"/>
        <w:jc w:val="center"/>
        <w:rPr>
          <w:rFonts w:ascii="Palatino Linotype" w:hAnsi="Palatino Linotype" w:cs="Arial"/>
          <w:sz w:val="24"/>
          <w:szCs w:val="24"/>
        </w:rPr>
      </w:pPr>
    </w:p>
    <w:p w14:paraId="0CC42FC7" w14:textId="77777777" w:rsidR="00D60BDC" w:rsidRDefault="00D60BDC" w:rsidP="00AB79DA">
      <w:pPr>
        <w:spacing w:after="0" w:line="360" w:lineRule="auto"/>
        <w:jc w:val="center"/>
        <w:rPr>
          <w:rFonts w:ascii="Palatino Linotype" w:hAnsi="Palatino Linotype" w:cs="Arial"/>
          <w:sz w:val="24"/>
          <w:szCs w:val="24"/>
        </w:rPr>
      </w:pPr>
    </w:p>
    <w:p w14:paraId="7566402A" w14:textId="77777777" w:rsidR="005727C8" w:rsidRDefault="005727C8" w:rsidP="005727C8">
      <w:pPr>
        <w:pStyle w:val="Prrafodelista"/>
        <w:numPr>
          <w:ilvl w:val="0"/>
          <w:numId w:val="10"/>
        </w:numPr>
        <w:spacing w:line="360" w:lineRule="auto"/>
        <w:jc w:val="both"/>
        <w:rPr>
          <w:rFonts w:ascii="Palatino Linotype" w:hAnsi="Palatino Linotype" w:cs="Arial"/>
          <w:b/>
          <w:i/>
          <w:sz w:val="28"/>
        </w:rPr>
      </w:pPr>
      <w:r w:rsidRPr="0089748D">
        <w:rPr>
          <w:rFonts w:ascii="Palatino Linotype" w:hAnsi="Palatino Linotype" w:cs="Arial"/>
          <w:b/>
          <w:i/>
        </w:rPr>
        <w:lastRenderedPageBreak/>
        <w:t>Versión pública.</w:t>
      </w:r>
      <w:r w:rsidRPr="0089748D">
        <w:rPr>
          <w:rFonts w:ascii="Palatino Linotype" w:hAnsi="Palatino Linotype" w:cs="Arial"/>
          <w:b/>
          <w:i/>
          <w:sz w:val="28"/>
        </w:rPr>
        <w:t xml:space="preserve"> </w:t>
      </w:r>
    </w:p>
    <w:p w14:paraId="6EB87ECB" w14:textId="77777777" w:rsidR="005727C8" w:rsidRPr="00822149" w:rsidRDefault="005727C8" w:rsidP="005727C8">
      <w:pPr>
        <w:spacing w:line="360" w:lineRule="auto"/>
        <w:jc w:val="both"/>
        <w:rPr>
          <w:rFonts w:ascii="Palatino Linotype" w:hAnsi="Palatino Linotype" w:cs="Arial"/>
        </w:rPr>
      </w:pPr>
    </w:p>
    <w:p w14:paraId="36E5358C" w14:textId="77777777" w:rsidR="005727C8" w:rsidRPr="006C08E8" w:rsidRDefault="005727C8" w:rsidP="005727C8">
      <w:pPr>
        <w:spacing w:line="360" w:lineRule="auto"/>
        <w:jc w:val="both"/>
        <w:rPr>
          <w:rFonts w:ascii="Palatino Linotype" w:hAnsi="Palatino Linotype" w:cs="Arial"/>
          <w:sz w:val="24"/>
        </w:rPr>
      </w:pPr>
      <w:r w:rsidRPr="006C08E8">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6C08E8">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C08E8">
        <w:rPr>
          <w:rFonts w:ascii="Palatino Linotype" w:hAnsi="Palatino Linotype" w:cs="Arial"/>
          <w:sz w:val="24"/>
        </w:rPr>
        <w:t>, tal como lo dispone el artículo 22 de la Ley de Protección de Datos Personales en posesión de los Sujetos Obligados del Estado de México y Municipios.</w:t>
      </w:r>
    </w:p>
    <w:p w14:paraId="124402D2" w14:textId="77777777" w:rsidR="005727C8" w:rsidRPr="006C08E8" w:rsidRDefault="005727C8" w:rsidP="005727C8">
      <w:pPr>
        <w:spacing w:line="360" w:lineRule="auto"/>
        <w:jc w:val="both"/>
        <w:rPr>
          <w:rFonts w:ascii="Palatino Linotype" w:hAnsi="Palatino Linotype" w:cs="Arial"/>
          <w:sz w:val="24"/>
        </w:rPr>
      </w:pPr>
    </w:p>
    <w:p w14:paraId="562CE64A" w14:textId="77777777" w:rsidR="005727C8" w:rsidRDefault="005727C8" w:rsidP="005727C8">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138B80F9" w14:textId="77777777" w:rsidR="005727C8" w:rsidRPr="00822149" w:rsidRDefault="005727C8" w:rsidP="005727C8">
      <w:pPr>
        <w:pStyle w:val="Sinespaciado"/>
        <w:spacing w:line="360" w:lineRule="auto"/>
        <w:jc w:val="both"/>
        <w:rPr>
          <w:rFonts w:ascii="Palatino Linotype" w:hAnsi="Palatino Linotype" w:cs="Arial"/>
        </w:rPr>
      </w:pPr>
    </w:p>
    <w:p w14:paraId="69DF8CFF" w14:textId="77777777" w:rsidR="005727C8" w:rsidRPr="00EE2F1D" w:rsidRDefault="005727C8" w:rsidP="005727C8">
      <w:pPr>
        <w:autoSpaceDE w:val="0"/>
        <w:autoSpaceDN w:val="0"/>
        <w:adjustRightInd w:val="0"/>
        <w:spacing w:line="360" w:lineRule="auto"/>
        <w:jc w:val="both"/>
        <w:rPr>
          <w:rFonts w:ascii="Palatino Linotype" w:hAnsi="Palatino Linotype" w:cs="Arial"/>
          <w:sz w:val="24"/>
          <w:lang w:eastAsia="es-MX"/>
        </w:rPr>
      </w:pPr>
      <w:r w:rsidRPr="00EE2F1D">
        <w:rPr>
          <w:rFonts w:ascii="Palatino Linotype" w:hAnsi="Palatino Linotype" w:cs="Arial"/>
          <w:sz w:val="24"/>
          <w:lang w:eastAsia="es-MX"/>
        </w:rPr>
        <w:t>En cuanto al RFC, este constituye un dato personal, ya que para su obtención es necesario acreditar ante la autoridad fiscal previamente la identidad de la persona, su fecha de nacimiento, entre otros aspectos.</w:t>
      </w:r>
    </w:p>
    <w:p w14:paraId="403109D9" w14:textId="77777777" w:rsidR="005727C8" w:rsidRPr="00EE2F1D" w:rsidRDefault="005727C8" w:rsidP="005727C8">
      <w:pPr>
        <w:autoSpaceDE w:val="0"/>
        <w:autoSpaceDN w:val="0"/>
        <w:adjustRightInd w:val="0"/>
        <w:spacing w:line="360" w:lineRule="auto"/>
        <w:jc w:val="both"/>
        <w:rPr>
          <w:rFonts w:ascii="Palatino Linotype" w:hAnsi="Palatino Linotype" w:cs="Arial"/>
          <w:sz w:val="24"/>
        </w:rPr>
      </w:pPr>
    </w:p>
    <w:p w14:paraId="3453A34C" w14:textId="77777777" w:rsidR="005727C8" w:rsidRPr="00EE2F1D" w:rsidRDefault="005727C8" w:rsidP="005727C8">
      <w:pPr>
        <w:spacing w:line="360" w:lineRule="auto"/>
        <w:jc w:val="both"/>
        <w:rPr>
          <w:rFonts w:ascii="Palatino Linotype" w:hAnsi="Palatino Linotype" w:cs="Arial"/>
          <w:sz w:val="24"/>
          <w:lang w:eastAsia="es-MX"/>
        </w:rPr>
      </w:pPr>
      <w:r w:rsidRPr="00EE2F1D">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07AC6FCE" w14:textId="77777777" w:rsidR="005727C8" w:rsidRPr="00EE2F1D" w:rsidRDefault="005727C8" w:rsidP="005727C8">
      <w:pPr>
        <w:spacing w:line="360" w:lineRule="auto"/>
        <w:jc w:val="both"/>
        <w:rPr>
          <w:rFonts w:ascii="Palatino Linotype" w:hAnsi="Palatino Linotype" w:cs="Arial"/>
          <w:sz w:val="24"/>
          <w:lang w:eastAsia="es-MX"/>
        </w:rPr>
      </w:pPr>
      <w:bookmarkStart w:id="2" w:name="_GoBack"/>
      <w:bookmarkEnd w:id="2"/>
    </w:p>
    <w:p w14:paraId="7D49F977" w14:textId="77777777" w:rsidR="005727C8" w:rsidRPr="00EE2F1D" w:rsidRDefault="005727C8" w:rsidP="005727C8">
      <w:pPr>
        <w:spacing w:line="360" w:lineRule="auto"/>
        <w:jc w:val="both"/>
        <w:rPr>
          <w:rFonts w:ascii="Palatino Linotype" w:hAnsi="Palatino Linotype" w:cs="Arial"/>
          <w:sz w:val="24"/>
          <w:lang w:eastAsia="es-MX"/>
        </w:rPr>
      </w:pPr>
      <w:r w:rsidRPr="00EE2F1D">
        <w:rPr>
          <w:rFonts w:ascii="Palatino Linotype" w:hAnsi="Palatino Linotype" w:cs="Arial"/>
          <w:sz w:val="24"/>
          <w:lang w:eastAsia="es-MX"/>
        </w:rPr>
        <w:t>Lo anterior, es compartido por el Instituto Nacional de Transparencia, Acceso a la Información Pública y Protección de Datos Personales (INAI) a través del Criterio 19-2017, el cual es del tenor literal siguiente:</w:t>
      </w:r>
    </w:p>
    <w:p w14:paraId="19F43CF3" w14:textId="77777777" w:rsidR="005727C8" w:rsidRPr="00822149" w:rsidRDefault="005727C8" w:rsidP="005727C8">
      <w:pPr>
        <w:spacing w:line="360" w:lineRule="auto"/>
        <w:jc w:val="both"/>
        <w:rPr>
          <w:rFonts w:ascii="Palatino Linotype" w:hAnsi="Palatino Linotype" w:cs="Arial"/>
          <w:lang w:eastAsia="es-MX"/>
        </w:rPr>
      </w:pPr>
    </w:p>
    <w:p w14:paraId="49D2ED59" w14:textId="77777777" w:rsidR="005727C8" w:rsidRPr="00822149" w:rsidRDefault="005727C8" w:rsidP="005727C8">
      <w:pPr>
        <w:autoSpaceDE w:val="0"/>
        <w:autoSpaceDN w:val="0"/>
        <w:adjustRightInd w:val="0"/>
        <w:ind w:left="567" w:right="567"/>
        <w:jc w:val="both"/>
        <w:rPr>
          <w:rFonts w:ascii="Palatino Linotype" w:hAnsi="Palatino Linotype" w:cs="Arial"/>
          <w:bCs/>
          <w:i/>
        </w:rPr>
      </w:pPr>
      <w:r w:rsidRPr="00822149">
        <w:rPr>
          <w:rFonts w:ascii="Palatino Linotype" w:hAnsi="Palatino Linotype" w:cs="Arial"/>
          <w:b/>
          <w:bCs/>
          <w:i/>
        </w:rPr>
        <w:t xml:space="preserve">“Registro Federal de Contribuyentes (RFC) de personas físicas. </w:t>
      </w:r>
      <w:r w:rsidRPr="0082214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822149">
        <w:rPr>
          <w:rFonts w:ascii="Palatino Linotype" w:hAnsi="Palatino Linotype" w:cs="Arial"/>
          <w:b/>
          <w:bCs/>
          <w:i/>
        </w:rPr>
        <w:t>.”</w:t>
      </w:r>
      <w:r w:rsidRPr="00822149">
        <w:rPr>
          <w:rFonts w:ascii="Palatino Linotype" w:hAnsi="Palatino Linotype" w:cs="Arial"/>
          <w:bCs/>
          <w:i/>
        </w:rPr>
        <w:t xml:space="preserve"> (Sic)</w:t>
      </w:r>
    </w:p>
    <w:p w14:paraId="3BE85C94" w14:textId="77777777" w:rsidR="005727C8" w:rsidRPr="00822149" w:rsidRDefault="005727C8" w:rsidP="005727C8">
      <w:pPr>
        <w:pStyle w:val="Sinespaciado"/>
        <w:spacing w:before="240" w:after="240" w:line="360" w:lineRule="auto"/>
        <w:jc w:val="both"/>
        <w:rPr>
          <w:rFonts w:ascii="Palatino Linotype" w:hAnsi="Palatino Linotype" w:cs="Arial"/>
          <w:sz w:val="14"/>
          <w:lang w:eastAsia="es-MX"/>
        </w:rPr>
      </w:pPr>
    </w:p>
    <w:p w14:paraId="5C346D29" w14:textId="77777777" w:rsidR="005727C8" w:rsidRPr="00822149" w:rsidRDefault="005727C8" w:rsidP="005727C8">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24C9E1A" w14:textId="77777777" w:rsidR="005727C8" w:rsidRPr="00822149" w:rsidRDefault="005727C8" w:rsidP="005727C8">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lastRenderedPageBreak/>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05A2DFA" w14:textId="77777777" w:rsidR="005727C8" w:rsidRPr="00EE2F1D" w:rsidRDefault="005727C8" w:rsidP="005727C8">
      <w:pPr>
        <w:spacing w:line="360" w:lineRule="auto"/>
        <w:jc w:val="both"/>
        <w:rPr>
          <w:rFonts w:ascii="Palatino Linotype" w:hAnsi="Palatino Linotype" w:cs="Arial"/>
          <w:sz w:val="24"/>
        </w:rPr>
      </w:pPr>
      <w:r w:rsidRPr="00EE2F1D">
        <w:rPr>
          <w:rFonts w:ascii="Palatino Linotype" w:hAnsi="Palatino Linotype" w:cs="Arial"/>
          <w:sz w:val="24"/>
        </w:rPr>
        <w:t xml:space="preserve">Argumento que es compartido por el </w:t>
      </w:r>
      <w:r w:rsidRPr="00EE2F1D">
        <w:rPr>
          <w:rFonts w:ascii="Palatino Linotype" w:hAnsi="Palatino Linotype" w:cs="Arial"/>
          <w:sz w:val="24"/>
          <w:lang w:eastAsia="es-MX"/>
        </w:rPr>
        <w:t>Instituto Nacional de Transparencia, Acceso a la Información Pública y Protección de Datos Personales (INAI)</w:t>
      </w:r>
      <w:r w:rsidRPr="00EE2F1D">
        <w:rPr>
          <w:rStyle w:val="Textoennegrita"/>
          <w:rFonts w:ascii="Palatino Linotype" w:hAnsi="Palatino Linotype" w:cs="Arial"/>
          <w:sz w:val="24"/>
        </w:rPr>
        <w:t xml:space="preserve">, conforme al </w:t>
      </w:r>
      <w:r w:rsidRPr="00EE2F1D">
        <w:rPr>
          <w:rFonts w:ascii="Palatino Linotype" w:hAnsi="Palatino Linotype" w:cs="Arial"/>
          <w:sz w:val="24"/>
        </w:rPr>
        <w:t xml:space="preserve">criterio número 18-2017, el cual refiere: </w:t>
      </w:r>
    </w:p>
    <w:p w14:paraId="0EA2A431" w14:textId="77777777" w:rsidR="005727C8" w:rsidRDefault="005727C8" w:rsidP="005727C8">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1081B383" w14:textId="77777777" w:rsidR="005727C8" w:rsidRPr="00822149" w:rsidRDefault="005727C8" w:rsidP="005727C8">
      <w:pPr>
        <w:pStyle w:val="Sinespaciado"/>
        <w:ind w:left="567" w:right="709"/>
        <w:jc w:val="both"/>
        <w:rPr>
          <w:rFonts w:ascii="Palatino Linotype" w:hAnsi="Palatino Linotype" w:cs="Arial"/>
          <w:bCs/>
          <w:i/>
          <w:lang w:eastAsia="es-MX"/>
        </w:rPr>
      </w:pPr>
    </w:p>
    <w:p w14:paraId="5AD0558C" w14:textId="77777777" w:rsidR="005727C8" w:rsidRDefault="005727C8" w:rsidP="005727C8">
      <w:pPr>
        <w:pStyle w:val="Sinespaciado"/>
        <w:spacing w:line="360" w:lineRule="auto"/>
        <w:jc w:val="both"/>
        <w:rPr>
          <w:rFonts w:ascii="Palatino Linotype" w:eastAsia="Calibri" w:hAnsi="Palatino Linotype" w:cs="Arial"/>
        </w:rPr>
      </w:pPr>
      <w:r w:rsidRPr="00822149">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56EB51A" w14:textId="77777777" w:rsidR="005727C8" w:rsidRPr="00822149" w:rsidRDefault="005727C8" w:rsidP="005727C8">
      <w:pPr>
        <w:pStyle w:val="Sinespaciado"/>
        <w:spacing w:line="360" w:lineRule="auto"/>
        <w:jc w:val="both"/>
        <w:rPr>
          <w:rFonts w:ascii="Palatino Linotype" w:eastAsia="Calibri" w:hAnsi="Palatino Linotype" w:cs="Arial"/>
        </w:rPr>
      </w:pPr>
    </w:p>
    <w:p w14:paraId="032666BD" w14:textId="77777777" w:rsidR="005727C8" w:rsidRPr="00EE2F1D" w:rsidRDefault="005727C8" w:rsidP="005727C8">
      <w:pPr>
        <w:autoSpaceDE w:val="0"/>
        <w:autoSpaceDN w:val="0"/>
        <w:adjustRightInd w:val="0"/>
        <w:spacing w:line="360" w:lineRule="auto"/>
        <w:jc w:val="both"/>
        <w:rPr>
          <w:rFonts w:ascii="Palatino Linotype" w:hAnsi="Palatino Linotype" w:cs="Arial"/>
          <w:sz w:val="24"/>
        </w:rPr>
      </w:pPr>
      <w:r w:rsidRPr="00EE2F1D">
        <w:rPr>
          <w:rFonts w:ascii="Palatino Linotype" w:hAnsi="Palatino Linotype" w:cs="Arial"/>
          <w:sz w:val="24"/>
        </w:rPr>
        <w:t>Por lo anterior, el Sujeto Obligado deberá emitir el acuerdo de clasificación de la información como confidencial, en términos de este considerando.</w:t>
      </w:r>
    </w:p>
    <w:p w14:paraId="73400E4A" w14:textId="77777777" w:rsidR="005727C8" w:rsidRDefault="005727C8" w:rsidP="005727C8">
      <w:pPr>
        <w:pStyle w:val="Sinespaciado"/>
        <w:spacing w:line="360" w:lineRule="auto"/>
        <w:jc w:val="both"/>
        <w:rPr>
          <w:rFonts w:ascii="Palatino Linotype" w:hAnsi="Palatino Linotype"/>
        </w:rPr>
      </w:pPr>
    </w:p>
    <w:p w14:paraId="7B711E79" w14:textId="77777777" w:rsidR="005727C8" w:rsidRPr="00A64574" w:rsidRDefault="005727C8" w:rsidP="005727C8">
      <w:pPr>
        <w:jc w:val="both"/>
        <w:rPr>
          <w:rFonts w:ascii="Palatino Linotype" w:hAnsi="Palatino Linotype"/>
        </w:rPr>
      </w:pPr>
      <w:r w:rsidRPr="00A64574">
        <w:rPr>
          <w:rFonts w:ascii="Palatino Linotype" w:hAnsi="Palatino Linotype"/>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DAB06F6" w14:textId="77777777" w:rsidR="005727C8" w:rsidRPr="00AD2A55" w:rsidRDefault="005727C8" w:rsidP="005727C8"/>
    <w:p w14:paraId="6536E0B5"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lastRenderedPageBreak/>
        <w:t>“Cuarto. </w:t>
      </w:r>
      <w:r w:rsidRPr="00AD2A55">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hAnsi="Palatino Linotype" w:cs="Arial"/>
          <w:i/>
          <w:iCs/>
          <w:color w:val="222222"/>
          <w:lang w:eastAsia="es-MX"/>
        </w:rPr>
        <w:t>, en tanto estas últimas no contravengan lo dispuesto en la Ley General.</w:t>
      </w:r>
    </w:p>
    <w:p w14:paraId="05577BB0"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830D30D"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w:t>
      </w:r>
    </w:p>
    <w:p w14:paraId="541D5178"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Quinto. </w:t>
      </w:r>
      <w:r w:rsidRPr="00AD2A55">
        <w:rPr>
          <w:rFonts w:ascii="Palatino Linotype" w:hAnsi="Palatino Linotype" w:cs="Arial"/>
          <w:i/>
          <w:iCs/>
          <w:color w:val="2222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hAnsi="Palatino Linotype" w:cs="Arial"/>
          <w:i/>
          <w:iCs/>
          <w:color w:val="222222"/>
          <w:lang w:eastAsia="es-MX"/>
        </w:rPr>
        <w:t>, observando lo dispuesto en la Ley General y las demás disposiciones aplicables en la materia.</w:t>
      </w:r>
    </w:p>
    <w:p w14:paraId="03CB47D5"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Octavo. </w:t>
      </w:r>
      <w:r w:rsidRPr="00AD2A55">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hAnsi="Palatino Linotype" w:cs="Arial"/>
          <w:i/>
          <w:iCs/>
          <w:color w:val="222222"/>
          <w:lang w:eastAsia="es-MX"/>
        </w:rPr>
        <w:t>.</w:t>
      </w:r>
    </w:p>
    <w:p w14:paraId="288F64B0"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 </w:t>
      </w:r>
      <w:r w:rsidRPr="00AD2A55">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hAnsi="Palatino Linotype" w:cs="Arial"/>
          <w:i/>
          <w:iCs/>
          <w:color w:val="222222"/>
          <w:lang w:eastAsia="es-MX"/>
        </w:rPr>
        <w:t>.</w:t>
      </w:r>
    </w:p>
    <w:p w14:paraId="20167128" w14:textId="77777777" w:rsidR="005727C8" w:rsidRDefault="005727C8" w:rsidP="005727C8">
      <w:pPr>
        <w:shd w:val="clear" w:color="auto" w:fill="FFFFFF"/>
        <w:ind w:left="851" w:right="851"/>
        <w:jc w:val="both"/>
        <w:rPr>
          <w:rFonts w:ascii="Palatino Linotype" w:hAnsi="Palatino Linotype" w:cs="Arial"/>
          <w:i/>
          <w:iCs/>
          <w:color w:val="222222"/>
          <w:lang w:eastAsia="es-MX"/>
        </w:rPr>
      </w:pPr>
      <w:r w:rsidRPr="00AD2A55">
        <w:rPr>
          <w:rFonts w:ascii="Palatino Linotype" w:hAnsi="Palatino Linotype" w:cs="Arial"/>
          <w:i/>
          <w:iCs/>
          <w:color w:val="222222"/>
          <w:lang w:eastAsia="es-MX"/>
        </w:rPr>
        <w:t>…</w:t>
      </w:r>
    </w:p>
    <w:p w14:paraId="17FFCE5F" w14:textId="77777777" w:rsidR="005727C8" w:rsidRDefault="005727C8" w:rsidP="005727C8">
      <w:pPr>
        <w:shd w:val="clear" w:color="auto" w:fill="FFFFFF"/>
        <w:ind w:left="851" w:right="851"/>
        <w:jc w:val="both"/>
        <w:rPr>
          <w:rFonts w:ascii="Palatino Linotype" w:hAnsi="Palatino Linotype" w:cstheme="majorBidi"/>
          <w:i/>
          <w:lang w:eastAsia="es-MX"/>
        </w:rPr>
      </w:pPr>
      <w:r w:rsidRPr="00B728B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4B9CC6E3" w14:textId="77777777" w:rsidR="005727C8" w:rsidRPr="00B728BC" w:rsidRDefault="005727C8" w:rsidP="005727C8">
      <w:pPr>
        <w:shd w:val="clear" w:color="auto" w:fill="FFFFFF"/>
        <w:ind w:left="851" w:right="851"/>
        <w:jc w:val="both"/>
        <w:rPr>
          <w:rFonts w:ascii="Palatino Linotype" w:hAnsi="Palatino Linotype" w:cstheme="majorBidi"/>
          <w:i/>
          <w:lang w:eastAsia="es-MX"/>
        </w:rPr>
      </w:pPr>
    </w:p>
    <w:p w14:paraId="5886CB07" w14:textId="77777777" w:rsidR="005727C8" w:rsidRPr="00AD2A55" w:rsidRDefault="005727C8" w:rsidP="005727C8">
      <w:pPr>
        <w:shd w:val="clear" w:color="auto" w:fill="FFFFFF"/>
        <w:ind w:left="851" w:right="851"/>
        <w:jc w:val="both"/>
        <w:rPr>
          <w:rFonts w:ascii="Palatino Linotype" w:hAnsi="Palatino Linotype" w:cs="Arial"/>
          <w:color w:val="222222"/>
          <w:lang w:eastAsia="es-MX"/>
        </w:rPr>
      </w:pPr>
      <w:r w:rsidRPr="00AD2A55">
        <w:rPr>
          <w:rFonts w:ascii="Palatino Linotype" w:hAnsi="Palatino Linotype" w:cs="Arial"/>
          <w:i/>
          <w:iCs/>
          <w:color w:val="222222"/>
          <w:lang w:eastAsia="es-MX"/>
        </w:rPr>
        <w:t>DE LA INFORMACIÓN CONFIDENCIAL</w:t>
      </w:r>
    </w:p>
    <w:p w14:paraId="4627C035" w14:textId="77777777" w:rsidR="005727C8" w:rsidRPr="00AD2A55" w:rsidRDefault="005727C8" w:rsidP="005727C8">
      <w:pPr>
        <w:shd w:val="clear" w:color="auto" w:fill="FFFFFF"/>
        <w:ind w:left="851" w:right="851"/>
        <w:jc w:val="both"/>
        <w:rPr>
          <w:rFonts w:ascii="Palatino Linotype" w:hAnsi="Palatino Linotype" w:cs="Arial"/>
          <w:lang w:eastAsia="es-MX"/>
        </w:rPr>
      </w:pPr>
      <w:r w:rsidRPr="00AD2A55">
        <w:rPr>
          <w:rFonts w:ascii="Palatino Linotype" w:hAnsi="Palatino Linotype" w:cs="Arial"/>
          <w:i/>
          <w:iCs/>
          <w:lang w:eastAsia="es-MX"/>
        </w:rPr>
        <w:lastRenderedPageBreak/>
        <w:t>Trigésimo octavo. Se considera información confidencial:</w:t>
      </w:r>
    </w:p>
    <w:p w14:paraId="7E0583F9" w14:textId="77777777" w:rsidR="005727C8" w:rsidRPr="00AD2A55" w:rsidRDefault="005727C8" w:rsidP="005727C8">
      <w:pPr>
        <w:shd w:val="clear" w:color="auto" w:fill="FFFFFF"/>
        <w:tabs>
          <w:tab w:val="left" w:pos="1134"/>
        </w:tabs>
        <w:ind w:left="851" w:right="851"/>
        <w:jc w:val="both"/>
        <w:rPr>
          <w:rFonts w:ascii="Palatino Linotype" w:hAnsi="Palatino Linotype" w:cs="Arial"/>
          <w:lang w:eastAsia="es-MX"/>
        </w:rPr>
      </w:pPr>
      <w:r w:rsidRPr="00AD2A55">
        <w:rPr>
          <w:rFonts w:ascii="Palatino Linotype" w:hAnsi="Palatino Linotype" w:cs="Arial"/>
          <w:i/>
          <w:iCs/>
          <w:lang w:eastAsia="es-MX"/>
        </w:rPr>
        <w:t>I.        </w:t>
      </w:r>
      <w:r w:rsidRPr="00AD2A55">
        <w:rPr>
          <w:rFonts w:ascii="Palatino Linotype" w:hAnsi="Palatino Linotype" w:cs="Arial"/>
          <w:i/>
          <w:iCs/>
          <w:u w:val="single"/>
          <w:lang w:eastAsia="es-MX"/>
        </w:rPr>
        <w:t>Los datos personales en los términos de la norma aplicable</w:t>
      </w:r>
      <w:r w:rsidRPr="00AD2A55">
        <w:rPr>
          <w:rFonts w:ascii="Palatino Linotype" w:hAnsi="Palatino Linotype" w:cs="Arial"/>
          <w:i/>
          <w:iCs/>
          <w:lang w:eastAsia="es-MX"/>
        </w:rPr>
        <w:t>;</w:t>
      </w:r>
    </w:p>
    <w:p w14:paraId="34A4D5AD" w14:textId="77777777" w:rsidR="005727C8" w:rsidRPr="00A64574" w:rsidRDefault="005727C8" w:rsidP="005727C8">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2A62F2E" w14:textId="77777777" w:rsidR="005727C8" w:rsidRPr="00A64574" w:rsidRDefault="005727C8" w:rsidP="005727C8">
      <w:pPr>
        <w:ind w:left="851" w:right="850"/>
        <w:jc w:val="both"/>
        <w:rPr>
          <w:rFonts w:ascii="Palatino Linotype" w:hAnsi="Palatino Linotype"/>
          <w:i/>
          <w:lang w:eastAsia="es-MX"/>
        </w:rPr>
      </w:pPr>
      <w:r w:rsidRPr="00A64574">
        <w:rPr>
          <w:rFonts w:ascii="Palatino Linotype" w:hAnsi="Palatino Linotype"/>
          <w:i/>
          <w:lang w:eastAsia="es-MX"/>
        </w:rPr>
        <w:t>III.  …</w:t>
      </w:r>
    </w:p>
    <w:p w14:paraId="2C6CCFAE" w14:textId="77777777" w:rsidR="005727C8" w:rsidRPr="00A64574" w:rsidRDefault="005727C8" w:rsidP="005727C8">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65680320" w14:textId="77777777" w:rsidR="005727C8" w:rsidRDefault="005727C8" w:rsidP="005727C8">
      <w:pPr>
        <w:shd w:val="clear" w:color="auto" w:fill="FFFFFF"/>
        <w:ind w:left="851" w:right="851"/>
        <w:jc w:val="both"/>
        <w:rPr>
          <w:rFonts w:ascii="Palatino Linotype" w:hAnsi="Palatino Linotype" w:cs="Arial"/>
          <w:i/>
          <w:iCs/>
          <w:lang w:eastAsia="es-MX"/>
        </w:rPr>
      </w:pPr>
      <w:r w:rsidRPr="00AD2A55">
        <w:rPr>
          <w:rFonts w:ascii="Palatino Linotype" w:hAnsi="Palatino Linotype" w:cs="Arial"/>
          <w:i/>
          <w:iCs/>
          <w:lang w:eastAsia="es-MX"/>
        </w:rPr>
        <w:t>(Énfasis añadido)</w:t>
      </w:r>
    </w:p>
    <w:p w14:paraId="624CD650" w14:textId="77777777" w:rsidR="005727C8" w:rsidRPr="00AD2A55" w:rsidRDefault="005727C8" w:rsidP="005727C8">
      <w:pPr>
        <w:shd w:val="clear" w:color="auto" w:fill="FFFFFF"/>
        <w:ind w:left="851" w:right="851"/>
        <w:jc w:val="both"/>
        <w:rPr>
          <w:rFonts w:ascii="Palatino Linotype" w:hAnsi="Palatino Linotype" w:cs="Arial"/>
          <w:lang w:eastAsia="es-MX"/>
        </w:rPr>
      </w:pPr>
    </w:p>
    <w:p w14:paraId="38C6A649" w14:textId="77777777" w:rsidR="005727C8" w:rsidRPr="00EE2F1D" w:rsidRDefault="005727C8" w:rsidP="005727C8">
      <w:pPr>
        <w:autoSpaceDE w:val="0"/>
        <w:autoSpaceDN w:val="0"/>
        <w:adjustRightInd w:val="0"/>
        <w:spacing w:line="360" w:lineRule="auto"/>
        <w:jc w:val="both"/>
        <w:rPr>
          <w:rFonts w:ascii="Palatino Linotype" w:hAnsi="Palatino Linotype"/>
          <w:color w:val="2E2E2E"/>
          <w:sz w:val="24"/>
        </w:rPr>
      </w:pPr>
      <w:r w:rsidRPr="00EE2F1D">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EE2F1D">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14:paraId="37E61596" w14:textId="77777777" w:rsidR="005727C8" w:rsidRPr="00EE2F1D" w:rsidRDefault="005727C8" w:rsidP="005727C8">
      <w:pPr>
        <w:autoSpaceDE w:val="0"/>
        <w:autoSpaceDN w:val="0"/>
        <w:adjustRightInd w:val="0"/>
        <w:spacing w:line="360" w:lineRule="auto"/>
        <w:jc w:val="both"/>
        <w:rPr>
          <w:rFonts w:ascii="Palatino Linotype" w:hAnsi="Palatino Linotype" w:cs="Arial"/>
          <w:bCs/>
          <w:sz w:val="24"/>
        </w:rPr>
      </w:pPr>
    </w:p>
    <w:p w14:paraId="10D6F7E2" w14:textId="77777777" w:rsidR="005727C8" w:rsidRPr="00EE2F1D" w:rsidRDefault="005727C8" w:rsidP="005727C8">
      <w:pPr>
        <w:autoSpaceDE w:val="0"/>
        <w:autoSpaceDN w:val="0"/>
        <w:adjustRightInd w:val="0"/>
        <w:spacing w:line="360" w:lineRule="auto"/>
        <w:jc w:val="both"/>
        <w:rPr>
          <w:rFonts w:ascii="Palatino Linotype" w:hAnsi="Palatino Linotype" w:cs="Arial"/>
          <w:bCs/>
          <w:sz w:val="24"/>
        </w:rPr>
      </w:pPr>
      <w:r w:rsidRPr="00EE2F1D">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1F04B28" w14:textId="77777777" w:rsidR="005727C8" w:rsidRPr="00EE2F1D" w:rsidRDefault="005727C8" w:rsidP="005727C8">
      <w:pPr>
        <w:autoSpaceDE w:val="0"/>
        <w:autoSpaceDN w:val="0"/>
        <w:adjustRightInd w:val="0"/>
        <w:spacing w:line="360" w:lineRule="auto"/>
        <w:jc w:val="both"/>
        <w:rPr>
          <w:rFonts w:ascii="Palatino Linotype" w:hAnsi="Palatino Linotype" w:cs="Arial"/>
          <w:bCs/>
          <w:sz w:val="24"/>
        </w:rPr>
      </w:pPr>
    </w:p>
    <w:p w14:paraId="1A7FFDE6" w14:textId="77777777" w:rsidR="005727C8" w:rsidRPr="00EE2F1D" w:rsidRDefault="005727C8" w:rsidP="005727C8">
      <w:pPr>
        <w:autoSpaceDE w:val="0"/>
        <w:autoSpaceDN w:val="0"/>
        <w:adjustRightInd w:val="0"/>
        <w:spacing w:line="360" w:lineRule="auto"/>
        <w:jc w:val="both"/>
        <w:rPr>
          <w:rFonts w:ascii="Palatino Linotype" w:hAnsi="Palatino Linotype" w:cs="Arial"/>
          <w:bCs/>
          <w:sz w:val="24"/>
        </w:rPr>
      </w:pPr>
      <w:r w:rsidRPr="00EE2F1D">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w:t>
      </w:r>
      <w:r w:rsidRPr="00EE2F1D">
        <w:rPr>
          <w:rFonts w:ascii="Palatino Linotype" w:hAnsi="Palatino Linotype" w:cs="Arial"/>
          <w:bCs/>
          <w:sz w:val="24"/>
        </w:rPr>
        <w:lastRenderedPageBreak/>
        <w:t xml:space="preserve">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B3C1528" w14:textId="77777777" w:rsidR="005727C8" w:rsidRPr="00EE2F1D" w:rsidRDefault="005727C8" w:rsidP="005727C8">
      <w:pPr>
        <w:autoSpaceDE w:val="0"/>
        <w:autoSpaceDN w:val="0"/>
        <w:adjustRightInd w:val="0"/>
        <w:spacing w:line="360" w:lineRule="auto"/>
        <w:jc w:val="both"/>
        <w:rPr>
          <w:rFonts w:ascii="Palatino Linotype" w:hAnsi="Palatino Linotype" w:cs="Arial"/>
          <w:bCs/>
          <w:sz w:val="24"/>
        </w:rPr>
      </w:pPr>
    </w:p>
    <w:p w14:paraId="0B0466A4" w14:textId="77777777" w:rsidR="005727C8" w:rsidRPr="00EE2F1D" w:rsidRDefault="005727C8" w:rsidP="005727C8">
      <w:pPr>
        <w:spacing w:line="360" w:lineRule="auto"/>
        <w:jc w:val="both"/>
        <w:rPr>
          <w:rFonts w:ascii="Palatino Linotype" w:hAnsi="Palatino Linotype" w:cs="Arial"/>
          <w:bCs/>
          <w:sz w:val="24"/>
        </w:rPr>
      </w:pPr>
      <w:r w:rsidRPr="00EE2F1D">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2E26384" w14:textId="77777777" w:rsidR="005727C8" w:rsidRPr="00AD2A55" w:rsidRDefault="005727C8" w:rsidP="005727C8">
      <w:pPr>
        <w:spacing w:line="360" w:lineRule="auto"/>
        <w:jc w:val="both"/>
        <w:rPr>
          <w:rFonts w:ascii="Palatino Linotype" w:hAnsi="Palatino Linotype" w:cs="Arial"/>
          <w:bCs/>
        </w:rPr>
      </w:pPr>
    </w:p>
    <w:p w14:paraId="021092CD" w14:textId="77777777" w:rsidR="005727C8" w:rsidRPr="00AD2A55" w:rsidRDefault="005727C8" w:rsidP="005727C8">
      <w:pPr>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w:t>
      </w:r>
      <w:r w:rsidRPr="00AD2A55">
        <w:rPr>
          <w:rFonts w:ascii="Palatino Linotype" w:hAnsi="Palatino Linotype" w:cs="Arial"/>
          <w:bCs/>
          <w:i/>
          <w:iCs/>
          <w:u w:val="single"/>
        </w:rPr>
        <w:lastRenderedPageBreak/>
        <w:t>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0DC7FC3" w14:textId="77777777" w:rsidR="005727C8" w:rsidRDefault="005727C8" w:rsidP="005727C8">
      <w:pPr>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361E4C03" w14:textId="77777777" w:rsidR="005727C8" w:rsidRDefault="005727C8" w:rsidP="005727C8">
      <w:pPr>
        <w:ind w:left="851" w:right="850"/>
        <w:jc w:val="both"/>
        <w:rPr>
          <w:rFonts w:ascii="Palatino Linotype" w:hAnsi="Palatino Linotype" w:cs="Arial"/>
          <w:bCs/>
          <w:i/>
          <w:iCs/>
        </w:rPr>
      </w:pPr>
    </w:p>
    <w:p w14:paraId="4356D659" w14:textId="77777777" w:rsidR="005727C8" w:rsidRDefault="005727C8" w:rsidP="005727C8">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569E434" w14:textId="77777777" w:rsidR="005727C8" w:rsidRDefault="005727C8" w:rsidP="005727C8">
      <w:pPr>
        <w:spacing w:line="360" w:lineRule="auto"/>
        <w:jc w:val="both"/>
        <w:rPr>
          <w:rFonts w:ascii="Palatino Linotype" w:hAnsi="Palatino Linotype" w:cs="Arial"/>
        </w:rPr>
      </w:pPr>
    </w:p>
    <w:p w14:paraId="7A6490DA" w14:textId="77777777" w:rsidR="005727C8" w:rsidRDefault="005727C8" w:rsidP="005727C8">
      <w:pPr>
        <w:spacing w:before="200" w:after="200" w:line="360" w:lineRule="auto"/>
        <w:jc w:val="both"/>
        <w:rPr>
          <w:rFonts w:ascii="Palatino Linotype" w:hAnsi="Palatino Linotype" w:cs="Arial"/>
          <w:sz w:val="24"/>
        </w:rPr>
      </w:pPr>
      <w:r w:rsidRPr="00FA2034">
        <w:rPr>
          <w:rFonts w:ascii="Palatino Linotype" w:hAnsi="Palatino Linotype" w:cs="Arial"/>
          <w:sz w:val="24"/>
        </w:rPr>
        <w:t>Por lo que con la finalidad de no coartar el derecho de acceso a la información accionado por el recurrente y no dejarlo en estado de incertidumbr</w:t>
      </w:r>
    </w:p>
    <w:p w14:paraId="7F160609" w14:textId="77777777" w:rsidR="005727C8" w:rsidRPr="00FA2034" w:rsidRDefault="005727C8" w:rsidP="005727C8">
      <w:pPr>
        <w:spacing w:before="200" w:after="200" w:line="360" w:lineRule="auto"/>
        <w:jc w:val="both"/>
        <w:rPr>
          <w:rFonts w:ascii="Palatino Linotype" w:hAnsi="Palatino Linotype" w:cs="Arial"/>
          <w:sz w:val="28"/>
        </w:rPr>
      </w:pPr>
      <w:r w:rsidRPr="00FA2034">
        <w:rPr>
          <w:rFonts w:ascii="Palatino Linotype" w:hAnsi="Palatino Linotype" w:cs="Arial"/>
          <w:sz w:val="24"/>
        </w:rPr>
        <w:t xml:space="preserve">e, es dable ordenar realice nuevamente una búsqueda exhaustiva de la información a fin de localizar </w:t>
      </w:r>
      <w:r>
        <w:rPr>
          <w:rFonts w:ascii="Palatino Linotype" w:hAnsi="Palatino Linotype" w:cs="Arial"/>
          <w:sz w:val="24"/>
        </w:rPr>
        <w:t>las resoluciones en materia civil y familiar que son de interés para el recurrente.</w:t>
      </w:r>
    </w:p>
    <w:p w14:paraId="0AF27771" w14:textId="77777777" w:rsidR="005727C8" w:rsidRDefault="005727C8" w:rsidP="005727C8">
      <w:pPr>
        <w:spacing w:after="0" w:line="240" w:lineRule="auto"/>
        <w:ind w:left="851" w:right="851"/>
        <w:jc w:val="right"/>
        <w:rPr>
          <w:rFonts w:ascii="Palatino Linotype" w:hAnsi="Palatino Linotype" w:cs="Arial"/>
          <w:i/>
          <w:szCs w:val="24"/>
          <w:lang w:val="es-ES" w:eastAsia="es-MX"/>
        </w:rPr>
      </w:pPr>
    </w:p>
    <w:p w14:paraId="12DCDA62" w14:textId="77777777" w:rsidR="005727C8" w:rsidRDefault="005727C8" w:rsidP="005727C8">
      <w:pPr>
        <w:pStyle w:val="Sinespaciado"/>
      </w:pPr>
    </w:p>
    <w:p w14:paraId="3DB29B26" w14:textId="5DC74249" w:rsidR="005727C8" w:rsidRPr="000F4AB0" w:rsidRDefault="005727C8" w:rsidP="005727C8">
      <w:pPr>
        <w:spacing w:line="360" w:lineRule="auto"/>
        <w:ind w:right="51"/>
        <w:jc w:val="both"/>
        <w:rPr>
          <w:rFonts w:ascii="Palatino Linotype" w:eastAsia="Calibri" w:hAnsi="Palatino Linotype"/>
          <w:sz w:val="24"/>
        </w:rPr>
      </w:pPr>
      <w:r w:rsidRPr="000F4AB0">
        <w:rPr>
          <w:rFonts w:ascii="Palatino Linotype" w:eastAsia="MS Mincho" w:hAnsi="Palatino Linotype" w:cs="Arial"/>
          <w:sz w:val="24"/>
        </w:rPr>
        <w:t>Así, en mérito</w:t>
      </w:r>
      <w:r w:rsidRPr="000F4AB0">
        <w:rPr>
          <w:rFonts w:ascii="Palatino Linotype" w:eastAsia="Calibri" w:hAnsi="Palatino Linotype" w:cs="Arial"/>
          <w:sz w:val="24"/>
        </w:rPr>
        <w:t xml:space="preserve"> de lo expuesto en líneas anteriores </w:t>
      </w:r>
      <w:r w:rsidRPr="000F4AB0">
        <w:rPr>
          <w:rFonts w:ascii="Palatino Linotype" w:eastAsia="Calibri" w:hAnsi="Palatino Linotype"/>
          <w:noProof/>
          <w:sz w:val="24"/>
          <w:lang w:eastAsia="es-MX"/>
        </w:rPr>
        <w:t>resultan</w:t>
      </w:r>
      <w:r>
        <w:rPr>
          <w:rFonts w:ascii="Palatino Linotype" w:eastAsia="Calibri" w:hAnsi="Palatino Linotype"/>
          <w:noProof/>
          <w:sz w:val="24"/>
          <w:lang w:eastAsia="es-MX"/>
        </w:rPr>
        <w:t xml:space="preserve"> par</w:t>
      </w:r>
      <w:r w:rsidRPr="000F4AB0">
        <w:rPr>
          <w:rFonts w:ascii="Palatino Linotype" w:eastAsia="Calibri" w:hAnsi="Palatino Linotype"/>
          <w:noProof/>
          <w:sz w:val="24"/>
          <w:lang w:eastAsia="es-MX"/>
        </w:rPr>
        <w:t>cialmente fundadas</w:t>
      </w:r>
      <w:r w:rsidRPr="000F4AB0">
        <w:rPr>
          <w:rFonts w:ascii="Palatino Linotype" w:eastAsia="Calibri" w:hAnsi="Palatino Linotype"/>
          <w:b/>
          <w:i/>
          <w:noProof/>
          <w:sz w:val="24"/>
          <w:lang w:eastAsia="es-MX"/>
        </w:rPr>
        <w:t xml:space="preserve"> </w:t>
      </w:r>
      <w:r w:rsidRPr="000F4AB0">
        <w:rPr>
          <w:rFonts w:ascii="Palatino Linotype" w:eastAsia="Calibri" w:hAnsi="Palatino Linotype"/>
          <w:noProof/>
          <w:sz w:val="24"/>
          <w:lang w:eastAsia="es-MX"/>
        </w:rPr>
        <w:t xml:space="preserve">las razones o motivos de inconformidad que arguye el </w:t>
      </w:r>
      <w:r w:rsidRPr="000F4AB0">
        <w:rPr>
          <w:rFonts w:ascii="Palatino Linotype" w:eastAsia="Calibri" w:hAnsi="Palatino Linotype"/>
          <w:b/>
          <w:noProof/>
          <w:sz w:val="24"/>
          <w:lang w:eastAsia="es-MX"/>
        </w:rPr>
        <w:t>Recurrente</w:t>
      </w:r>
      <w:r w:rsidRPr="000F4AB0">
        <w:rPr>
          <w:rFonts w:ascii="Palatino Linotype" w:eastAsia="Calibri" w:hAnsi="Palatino Linotype"/>
          <w:noProof/>
          <w:sz w:val="24"/>
          <w:lang w:eastAsia="es-MX"/>
        </w:rPr>
        <w:t xml:space="preserve">, </w:t>
      </w:r>
      <w:r w:rsidRPr="000F4AB0">
        <w:rPr>
          <w:rFonts w:ascii="Palatino Linotype" w:eastAsia="Calibri" w:hAnsi="Palatino Linotype" w:cs="Arial"/>
          <w:sz w:val="24"/>
        </w:rPr>
        <w:t xml:space="preserve">por ello con fundamento en el artículo 186, fracción III, de la Ley de Transparencia y Acceso a la Información Pública del Estado de México y Municipios, se </w:t>
      </w:r>
      <w:r>
        <w:rPr>
          <w:rFonts w:ascii="Palatino Linotype" w:eastAsia="Calibri" w:hAnsi="Palatino Linotype" w:cs="Arial"/>
          <w:b/>
          <w:sz w:val="24"/>
        </w:rPr>
        <w:t>ORDENA</w:t>
      </w:r>
      <w:r w:rsidRPr="000F4AB0">
        <w:rPr>
          <w:rFonts w:ascii="Palatino Linotype" w:eastAsia="Calibri" w:hAnsi="Palatino Linotype" w:cs="Arial"/>
          <w:sz w:val="24"/>
        </w:rPr>
        <w:t xml:space="preserve"> la respuesta a la </w:t>
      </w:r>
      <w:r w:rsidRPr="000F4AB0">
        <w:rPr>
          <w:rFonts w:ascii="Palatino Linotype" w:eastAsia="Calibri" w:hAnsi="Palatino Linotype" w:cs="Arial"/>
          <w:sz w:val="24"/>
        </w:rPr>
        <w:lastRenderedPageBreak/>
        <w:t xml:space="preserve">solicitud de información pública número: </w:t>
      </w:r>
      <w:r w:rsidRPr="000F4AB0">
        <w:rPr>
          <w:rFonts w:ascii="Palatino Linotype" w:hAnsi="Palatino Linotype" w:cs="Arial"/>
          <w:b/>
          <w:sz w:val="24"/>
        </w:rPr>
        <w:t>00</w:t>
      </w:r>
      <w:r w:rsidR="003851FB">
        <w:rPr>
          <w:rFonts w:ascii="Palatino Linotype" w:hAnsi="Palatino Linotype" w:cs="Arial"/>
          <w:b/>
          <w:sz w:val="24"/>
        </w:rPr>
        <w:t>38</w:t>
      </w:r>
      <w:r w:rsidRPr="000F4AB0">
        <w:rPr>
          <w:rFonts w:ascii="Palatino Linotype" w:hAnsi="Palatino Linotype" w:cs="Arial"/>
          <w:b/>
          <w:sz w:val="24"/>
        </w:rPr>
        <w:t>9/</w:t>
      </w:r>
      <w:r>
        <w:rPr>
          <w:rFonts w:ascii="Palatino Linotype" w:hAnsi="Palatino Linotype" w:cs="Arial"/>
          <w:b/>
          <w:sz w:val="24"/>
        </w:rPr>
        <w:t>PJUDICI</w:t>
      </w:r>
      <w:r w:rsidRPr="000F4AB0">
        <w:rPr>
          <w:rFonts w:ascii="Palatino Linotype" w:hAnsi="Palatino Linotype" w:cs="Arial"/>
          <w:b/>
          <w:sz w:val="24"/>
        </w:rPr>
        <w:t>/20</w:t>
      </w:r>
      <w:r w:rsidR="003851FB">
        <w:rPr>
          <w:rFonts w:ascii="Palatino Linotype" w:hAnsi="Palatino Linotype" w:cs="Arial"/>
          <w:b/>
          <w:sz w:val="24"/>
        </w:rPr>
        <w:t>21</w:t>
      </w:r>
      <w:r w:rsidRPr="000F4AB0">
        <w:rPr>
          <w:rFonts w:ascii="Palatino Linotype" w:eastAsia="Calibri" w:hAnsi="Palatino Linotype" w:cs="Arial"/>
          <w:sz w:val="24"/>
        </w:rPr>
        <w:t xml:space="preserve">; </w:t>
      </w:r>
      <w:r w:rsidRPr="000F4AB0">
        <w:rPr>
          <w:rFonts w:ascii="Palatino Linotype" w:eastAsia="Calibri" w:hAnsi="Palatino Linotype"/>
          <w:sz w:val="24"/>
        </w:rPr>
        <w:t>que ha sido materia del presente fallo.</w:t>
      </w:r>
    </w:p>
    <w:p w14:paraId="07F6C777" w14:textId="77777777" w:rsidR="005727C8" w:rsidRPr="00835647" w:rsidRDefault="005727C8" w:rsidP="005727C8">
      <w:pPr>
        <w:pStyle w:val="Sinespaciado"/>
        <w:rPr>
          <w:lang w:eastAsia="es-MX"/>
        </w:rPr>
      </w:pPr>
    </w:p>
    <w:p w14:paraId="214EDEB9" w14:textId="77777777" w:rsidR="005727C8" w:rsidRPr="00835647" w:rsidRDefault="005727C8" w:rsidP="005727C8">
      <w:pPr>
        <w:tabs>
          <w:tab w:val="left" w:pos="8931"/>
        </w:tabs>
        <w:spacing w:before="240" w:line="360" w:lineRule="auto"/>
        <w:ind w:right="51"/>
        <w:jc w:val="both"/>
        <w:rPr>
          <w:rFonts w:ascii="Palatino Linotype" w:hAnsi="Palatino Linotype"/>
          <w:sz w:val="24"/>
          <w:szCs w:val="24"/>
        </w:rPr>
      </w:pPr>
      <w:r w:rsidRPr="00835647">
        <w:rPr>
          <w:rFonts w:ascii="Palatino Linotype" w:hAnsi="Palatino Linotype"/>
          <w:sz w:val="24"/>
          <w:szCs w:val="24"/>
        </w:rPr>
        <w:t>Por lo antes expuesto y fundado es de resolverse y,</w:t>
      </w:r>
    </w:p>
    <w:p w14:paraId="69C3256A" w14:textId="77777777" w:rsidR="005727C8" w:rsidRDefault="005727C8" w:rsidP="005727C8">
      <w:pPr>
        <w:pStyle w:val="Sinespaciado"/>
        <w:spacing w:line="360" w:lineRule="auto"/>
        <w:jc w:val="center"/>
        <w:rPr>
          <w:rFonts w:ascii="Palatino Linotype" w:hAnsi="Palatino Linotype"/>
          <w:b/>
          <w:bCs/>
          <w:spacing w:val="60"/>
          <w:sz w:val="28"/>
          <w:szCs w:val="28"/>
        </w:rPr>
      </w:pPr>
    </w:p>
    <w:p w14:paraId="7E7F34E9" w14:textId="77777777" w:rsidR="005727C8" w:rsidRPr="00AB48CB" w:rsidRDefault="005727C8" w:rsidP="005727C8">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t>RESUELVE</w:t>
      </w:r>
    </w:p>
    <w:p w14:paraId="711DD3F0" w14:textId="77777777" w:rsidR="005727C8" w:rsidRDefault="005727C8" w:rsidP="005727C8">
      <w:pPr>
        <w:pStyle w:val="Sinespaciado"/>
        <w:spacing w:line="360" w:lineRule="auto"/>
        <w:jc w:val="both"/>
        <w:rPr>
          <w:rFonts w:ascii="Palatino Linotype" w:hAnsi="Palatino Linotype" w:cs="Arial"/>
          <w:b/>
        </w:rPr>
      </w:pPr>
    </w:p>
    <w:p w14:paraId="2058A3C9" w14:textId="5DFB8E40" w:rsidR="005727C8" w:rsidRDefault="005727C8" w:rsidP="005727C8">
      <w:pPr>
        <w:spacing w:line="360" w:lineRule="auto"/>
        <w:jc w:val="both"/>
        <w:rPr>
          <w:rFonts w:ascii="Palatino Linotype" w:hAnsi="Palatino Linotype" w:cs="Arial"/>
          <w:sz w:val="24"/>
        </w:rPr>
      </w:pPr>
      <w:r w:rsidRPr="00D94696">
        <w:rPr>
          <w:rFonts w:ascii="Palatino Linotype" w:hAnsi="Palatino Linotype" w:cs="Arial"/>
          <w:b/>
          <w:sz w:val="28"/>
          <w:szCs w:val="24"/>
          <w:lang w:val="es-ES_tradnl"/>
        </w:rPr>
        <w:t>PRIMERO</w:t>
      </w:r>
      <w:r w:rsidRPr="009701BD">
        <w:rPr>
          <w:rFonts w:ascii="Palatino Linotype" w:hAnsi="Palatino Linotype" w:cs="Arial"/>
          <w:b/>
          <w:sz w:val="24"/>
          <w:lang w:val="es-ES_tradnl"/>
        </w:rPr>
        <w:t>.</w:t>
      </w:r>
      <w:r w:rsidRPr="009701BD">
        <w:rPr>
          <w:rFonts w:ascii="Palatino Linotype" w:hAnsi="Palatino Linotype" w:cs="Arial"/>
          <w:sz w:val="24"/>
          <w:lang w:val="es-ES_tradnl"/>
        </w:rPr>
        <w:t xml:space="preserve"> </w:t>
      </w:r>
      <w:r w:rsidRPr="008B369F">
        <w:rPr>
          <w:rFonts w:ascii="Palatino Linotype" w:hAnsi="Palatino Linotype" w:cs="Arial"/>
          <w:b/>
          <w:sz w:val="24"/>
        </w:rPr>
        <w:t xml:space="preserve">Se </w:t>
      </w:r>
      <w:r w:rsidR="007670E6">
        <w:rPr>
          <w:rFonts w:ascii="Palatino Linotype" w:hAnsi="Palatino Linotype" w:cs="Arial"/>
          <w:b/>
          <w:sz w:val="24"/>
        </w:rPr>
        <w:t>MODIFI</w:t>
      </w:r>
      <w:r w:rsidRPr="008B369F">
        <w:rPr>
          <w:rFonts w:ascii="Palatino Linotype" w:hAnsi="Palatino Linotype" w:cs="Arial"/>
          <w:b/>
          <w:sz w:val="24"/>
        </w:rPr>
        <w:t xml:space="preserve">CA </w:t>
      </w:r>
      <w:r w:rsidRPr="008B369F">
        <w:rPr>
          <w:rFonts w:ascii="Palatino Linotype" w:hAnsi="Palatino Linotype" w:cs="Arial"/>
          <w:sz w:val="24"/>
        </w:rPr>
        <w:t>la respuesta entregada por el Sujeto Obligado</w:t>
      </w:r>
      <w:r w:rsidRPr="008B369F">
        <w:rPr>
          <w:rFonts w:ascii="Palatino Linotype" w:hAnsi="Palatino Linotype" w:cs="Arial"/>
          <w:b/>
          <w:sz w:val="24"/>
        </w:rPr>
        <w:t xml:space="preserve"> </w:t>
      </w:r>
      <w:r w:rsidRPr="008B369F">
        <w:rPr>
          <w:rFonts w:ascii="Palatino Linotype" w:hAnsi="Palatino Linotype" w:cs="Arial"/>
          <w:sz w:val="24"/>
        </w:rPr>
        <w:t xml:space="preserve">a la solicitud de información </w:t>
      </w:r>
      <w:r w:rsidRPr="006067BF">
        <w:rPr>
          <w:rFonts w:ascii="Palatino Linotype" w:hAnsi="Palatino Linotype" w:cs="Arial"/>
          <w:b/>
          <w:sz w:val="24"/>
        </w:rPr>
        <w:t>00</w:t>
      </w:r>
      <w:r w:rsidR="003851FB">
        <w:rPr>
          <w:rFonts w:ascii="Palatino Linotype" w:hAnsi="Palatino Linotype" w:cs="Arial"/>
          <w:b/>
          <w:sz w:val="24"/>
        </w:rPr>
        <w:t>38</w:t>
      </w:r>
      <w:r w:rsidRPr="006067BF">
        <w:rPr>
          <w:rFonts w:ascii="Palatino Linotype" w:hAnsi="Palatino Linotype" w:cs="Arial"/>
          <w:b/>
          <w:sz w:val="24"/>
        </w:rPr>
        <w:t>9/</w:t>
      </w:r>
      <w:r>
        <w:rPr>
          <w:rFonts w:ascii="Palatino Linotype" w:hAnsi="Palatino Linotype" w:cs="Arial"/>
          <w:b/>
          <w:sz w:val="24"/>
        </w:rPr>
        <w:t>PJUDICI</w:t>
      </w:r>
      <w:r w:rsidRPr="006067BF">
        <w:rPr>
          <w:rFonts w:ascii="Palatino Linotype" w:hAnsi="Palatino Linotype" w:cs="Arial"/>
          <w:b/>
          <w:sz w:val="24"/>
        </w:rPr>
        <w:t>/20</w:t>
      </w:r>
      <w:r w:rsidR="003851FB">
        <w:rPr>
          <w:rFonts w:ascii="Palatino Linotype" w:hAnsi="Palatino Linotype" w:cs="Arial"/>
          <w:b/>
          <w:sz w:val="24"/>
        </w:rPr>
        <w:t>2</w:t>
      </w:r>
      <w:r w:rsidRPr="006067BF">
        <w:rPr>
          <w:rFonts w:ascii="Palatino Linotype" w:hAnsi="Palatino Linotype" w:cs="Arial"/>
          <w:b/>
          <w:sz w:val="24"/>
        </w:rPr>
        <w:t>1</w:t>
      </w:r>
      <w:r>
        <w:rPr>
          <w:rFonts w:ascii="Palatino Linotype" w:hAnsi="Palatino Linotype" w:cs="Arial"/>
          <w:b/>
          <w:sz w:val="24"/>
        </w:rPr>
        <w:t xml:space="preserve">, </w:t>
      </w:r>
      <w:r>
        <w:rPr>
          <w:rFonts w:ascii="Palatino Linotype" w:hAnsi="Palatino Linotype" w:cs="Arial"/>
          <w:sz w:val="24"/>
        </w:rPr>
        <w:t>por r</w:t>
      </w:r>
      <w:r w:rsidRPr="00F12FB0">
        <w:rPr>
          <w:rFonts w:ascii="Palatino Linotype" w:hAnsi="Palatino Linotype" w:cs="Arial"/>
          <w:sz w:val="24"/>
        </w:rPr>
        <w:t>esulta</w:t>
      </w:r>
      <w:r>
        <w:rPr>
          <w:rFonts w:ascii="Palatino Linotype" w:hAnsi="Palatino Linotype" w:cs="Arial"/>
          <w:sz w:val="24"/>
        </w:rPr>
        <w:t>r</w:t>
      </w:r>
      <w:r w:rsidRPr="00F12FB0">
        <w:rPr>
          <w:rFonts w:ascii="Palatino Linotype" w:hAnsi="Palatino Linotype" w:cs="Arial"/>
          <w:sz w:val="24"/>
        </w:rPr>
        <w:t xml:space="preserve"> fundadas las razones o motivos de inconformidad hechos valer por </w:t>
      </w:r>
      <w:r w:rsidRPr="00F12FB0">
        <w:rPr>
          <w:rFonts w:ascii="Palatino Linotype" w:hAnsi="Palatino Linotype" w:cs="Arial"/>
          <w:b/>
          <w:sz w:val="24"/>
        </w:rPr>
        <w:t>El Recurrente,</w:t>
      </w:r>
      <w:r w:rsidRPr="00F12FB0">
        <w:rPr>
          <w:rFonts w:ascii="Palatino Linotype" w:hAnsi="Palatino Linotype" w:cs="Arial"/>
          <w:sz w:val="24"/>
        </w:rPr>
        <w:t xml:space="preserve"> en términos del Considerando </w:t>
      </w:r>
      <w:r>
        <w:rPr>
          <w:rFonts w:ascii="Palatino Linotype" w:hAnsi="Palatino Linotype" w:cs="Arial"/>
          <w:b/>
          <w:sz w:val="24"/>
        </w:rPr>
        <w:t>CUART</w:t>
      </w:r>
      <w:r w:rsidRPr="00F12FB0">
        <w:rPr>
          <w:rFonts w:ascii="Palatino Linotype" w:hAnsi="Palatino Linotype" w:cs="Arial"/>
          <w:b/>
          <w:sz w:val="24"/>
        </w:rPr>
        <w:t>O</w:t>
      </w:r>
      <w:r w:rsidRPr="00F12FB0">
        <w:rPr>
          <w:rFonts w:ascii="Palatino Linotype" w:hAnsi="Palatino Linotype" w:cs="Arial"/>
          <w:sz w:val="24"/>
        </w:rPr>
        <w:t>, de la presente resolución.</w:t>
      </w:r>
    </w:p>
    <w:p w14:paraId="03902AC4" w14:textId="77777777" w:rsidR="005727C8" w:rsidRPr="00F12FB0" w:rsidRDefault="005727C8" w:rsidP="005727C8">
      <w:pPr>
        <w:spacing w:line="360" w:lineRule="auto"/>
        <w:jc w:val="both"/>
        <w:rPr>
          <w:rFonts w:ascii="Palatino Linotype" w:hAnsi="Palatino Linotype" w:cs="Arial"/>
          <w:sz w:val="24"/>
        </w:rPr>
      </w:pPr>
    </w:p>
    <w:p w14:paraId="4CC56563" w14:textId="1E490E78" w:rsidR="005727C8" w:rsidRDefault="005727C8" w:rsidP="005727C8">
      <w:pPr>
        <w:autoSpaceDE w:val="0"/>
        <w:autoSpaceDN w:val="0"/>
        <w:adjustRightInd w:val="0"/>
        <w:spacing w:line="360" w:lineRule="auto"/>
        <w:ind w:right="49"/>
        <w:jc w:val="both"/>
        <w:rPr>
          <w:rFonts w:ascii="Palatino Linotype" w:hAnsi="Palatino Linotype" w:cs="Arial"/>
          <w:sz w:val="24"/>
        </w:rPr>
      </w:pPr>
      <w:r w:rsidRPr="00D94696">
        <w:rPr>
          <w:rFonts w:ascii="Palatino Linotype" w:hAnsi="Palatino Linotype"/>
          <w:b/>
          <w:sz w:val="28"/>
          <w:szCs w:val="24"/>
        </w:rPr>
        <w:t>SEGUNDO</w:t>
      </w:r>
      <w:r w:rsidRPr="009701BD">
        <w:rPr>
          <w:rFonts w:ascii="Palatino Linotype" w:hAnsi="Palatino Linotype"/>
          <w:b/>
          <w:sz w:val="24"/>
        </w:rPr>
        <w:t>.</w:t>
      </w:r>
      <w:r w:rsidRPr="009701BD">
        <w:rPr>
          <w:rFonts w:ascii="Palatino Linotype" w:hAnsi="Palatino Linotype" w:cs="Arial"/>
          <w:sz w:val="24"/>
        </w:rPr>
        <w:t xml:space="preserve"> Se ordena al Sujeto Obligado haga entrega al recurrente</w:t>
      </w:r>
      <w:r w:rsidR="002F2B39">
        <w:rPr>
          <w:rFonts w:ascii="Palatino Linotype" w:hAnsi="Palatino Linotype" w:cs="Arial"/>
          <w:sz w:val="24"/>
        </w:rPr>
        <w:t xml:space="preserve">, previo pago de derechos por reproducción </w:t>
      </w:r>
      <w:r w:rsidR="002F2B39" w:rsidRPr="002F2B39">
        <w:rPr>
          <w:rFonts w:ascii="Palatino Linotype" w:hAnsi="Palatino Linotype" w:cs="Arial"/>
          <w:sz w:val="24"/>
        </w:rPr>
        <w:t>del expediente en copias simples</w:t>
      </w:r>
      <w:r w:rsidR="002F2B39">
        <w:rPr>
          <w:rFonts w:ascii="Palatino Linotype" w:hAnsi="Palatino Linotype" w:cs="Arial"/>
          <w:sz w:val="24"/>
        </w:rPr>
        <w:t xml:space="preserve">, </w:t>
      </w:r>
      <w:r w:rsidRPr="009701BD">
        <w:rPr>
          <w:rFonts w:ascii="Palatino Linotype" w:hAnsi="Palatino Linotype" w:cs="Arial"/>
          <w:sz w:val="24"/>
        </w:rPr>
        <w:t xml:space="preserve">en términos del Considerando Cuarto de la presente resolución, </w:t>
      </w:r>
      <w:r>
        <w:rPr>
          <w:rFonts w:ascii="Palatino Linotype" w:hAnsi="Palatino Linotype" w:cs="Arial"/>
          <w:sz w:val="24"/>
        </w:rPr>
        <w:t xml:space="preserve">en versión pública, </w:t>
      </w:r>
      <w:r w:rsidRPr="009701BD">
        <w:rPr>
          <w:rFonts w:ascii="Palatino Linotype" w:hAnsi="Palatino Linotype" w:cs="Arial"/>
          <w:sz w:val="24"/>
        </w:rPr>
        <w:t>a través del SAIMEX, de lo siguiente:</w:t>
      </w:r>
    </w:p>
    <w:p w14:paraId="4BCF6C0B" w14:textId="77777777" w:rsidR="005727C8" w:rsidRPr="009701BD" w:rsidRDefault="005727C8" w:rsidP="005727C8">
      <w:pPr>
        <w:autoSpaceDE w:val="0"/>
        <w:autoSpaceDN w:val="0"/>
        <w:adjustRightInd w:val="0"/>
        <w:spacing w:line="360" w:lineRule="auto"/>
        <w:ind w:right="49"/>
        <w:jc w:val="both"/>
        <w:rPr>
          <w:rFonts w:ascii="Palatino Linotype" w:hAnsi="Palatino Linotype" w:cs="Arial"/>
          <w:sz w:val="24"/>
        </w:rPr>
      </w:pPr>
    </w:p>
    <w:p w14:paraId="4CAAE6DA" w14:textId="5C670C87" w:rsidR="003851FB" w:rsidRPr="003851FB" w:rsidRDefault="003851FB" w:rsidP="003851FB">
      <w:pPr>
        <w:pStyle w:val="Prrafodelista"/>
        <w:numPr>
          <w:ilvl w:val="0"/>
          <w:numId w:val="11"/>
        </w:numPr>
        <w:rPr>
          <w:rFonts w:ascii="Palatino Linotype" w:hAnsi="Palatino Linotype" w:cs="Arial"/>
          <w:lang w:eastAsia="es-MX"/>
        </w:rPr>
      </w:pPr>
      <w:r>
        <w:rPr>
          <w:rFonts w:ascii="Palatino Linotype" w:hAnsi="Palatino Linotype" w:cs="Arial"/>
          <w:lang w:eastAsia="es-MX"/>
        </w:rPr>
        <w:t>V</w:t>
      </w:r>
      <w:r w:rsidRPr="003851FB">
        <w:rPr>
          <w:rFonts w:ascii="Palatino Linotype" w:hAnsi="Palatino Linotype" w:cs="Arial"/>
          <w:lang w:eastAsia="es-MX"/>
        </w:rPr>
        <w:t>ersión Pública del expediente DGC/049/INV/2020</w:t>
      </w:r>
      <w:r w:rsidR="00E953D0">
        <w:rPr>
          <w:rFonts w:ascii="Palatino Linotype" w:hAnsi="Palatino Linotype" w:cs="Arial"/>
          <w:lang w:eastAsia="es-MX"/>
        </w:rPr>
        <w:t>.</w:t>
      </w:r>
    </w:p>
    <w:p w14:paraId="5313B037" w14:textId="77777777" w:rsidR="005727C8" w:rsidRDefault="005727C8" w:rsidP="005727C8">
      <w:pPr>
        <w:pStyle w:val="Prrafodelista"/>
        <w:tabs>
          <w:tab w:val="left" w:pos="7938"/>
        </w:tabs>
        <w:spacing w:line="360" w:lineRule="auto"/>
        <w:ind w:left="720" w:right="1134"/>
        <w:contextualSpacing/>
        <w:jc w:val="both"/>
        <w:rPr>
          <w:rFonts w:ascii="Palatino Linotype" w:hAnsi="Palatino Linotype" w:cs="Arial"/>
        </w:rPr>
      </w:pPr>
    </w:p>
    <w:p w14:paraId="355C0E1D" w14:textId="77777777" w:rsidR="005727C8" w:rsidRPr="00D13C11" w:rsidRDefault="005727C8" w:rsidP="002F2B39">
      <w:pPr>
        <w:spacing w:line="360" w:lineRule="auto"/>
        <w:ind w:left="567" w:right="567"/>
        <w:jc w:val="both"/>
        <w:rPr>
          <w:rFonts w:ascii="Palatino Linotype" w:hAnsi="Palatino Linotype"/>
          <w:i/>
          <w:color w:val="000000"/>
        </w:rPr>
      </w:pPr>
      <w:r w:rsidRPr="00D13C11">
        <w:rPr>
          <w:rFonts w:ascii="Palatino Linotype" w:hAnsi="Palatino Linotype"/>
          <w:i/>
          <w:color w:val="000000"/>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w:t>
      </w:r>
      <w:r w:rsidRPr="00D13C11">
        <w:rPr>
          <w:rFonts w:ascii="Palatino Linotype" w:hAnsi="Palatino Linotype"/>
          <w:i/>
          <w:color w:val="000000"/>
        </w:rPr>
        <w:lastRenderedPageBreak/>
        <w:t>Municipios, en el que funde y motive las razones sobre los datos que se supriman o eliminen dentro del soporte documental respectivo objeto de las versiones públicas que se formulen y se ponga a disposición del recurrente.</w:t>
      </w:r>
    </w:p>
    <w:p w14:paraId="6D17DDBA" w14:textId="77777777" w:rsidR="004B3451" w:rsidRDefault="004B3451" w:rsidP="004B3451">
      <w:pPr>
        <w:pStyle w:val="Sinespaciado"/>
        <w:spacing w:line="360" w:lineRule="auto"/>
        <w:ind w:left="426"/>
        <w:jc w:val="both"/>
        <w:rPr>
          <w:rFonts w:ascii="Palatino Linotype" w:hAnsi="Palatino Linotype" w:cs="Arial"/>
          <w:i/>
        </w:rPr>
      </w:pPr>
    </w:p>
    <w:p w14:paraId="47A2185D" w14:textId="18B8E7A5" w:rsidR="004B3451" w:rsidRPr="00D94696" w:rsidRDefault="004B3451" w:rsidP="004B3451">
      <w:pPr>
        <w:spacing w:line="360" w:lineRule="auto"/>
        <w:jc w:val="both"/>
        <w:rPr>
          <w:rFonts w:ascii="Palatino Linotype" w:hAnsi="Palatino Linotype" w:cs="Arial"/>
          <w:bCs/>
          <w:sz w:val="24"/>
          <w:szCs w:val="24"/>
        </w:rPr>
      </w:pPr>
      <w:r w:rsidRPr="003C4C99">
        <w:rPr>
          <w:rFonts w:ascii="Palatino Linotype" w:hAnsi="Palatino Linotype" w:cs="Arial"/>
          <w:b/>
          <w:sz w:val="28"/>
        </w:rPr>
        <w:t>TERCERO</w:t>
      </w:r>
      <w:r w:rsidRPr="003C4C99">
        <w:rPr>
          <w:rFonts w:ascii="Palatino Linotype" w:hAnsi="Palatino Linotype" w:cs="Arial"/>
          <w:bCs/>
        </w:rPr>
        <w:t xml:space="preserve">. </w:t>
      </w:r>
      <w:r w:rsidRPr="00D94696">
        <w:rPr>
          <w:rFonts w:ascii="Palatino Linotype" w:hAnsi="Palatino Linotype" w:cs="Arial"/>
          <w:b/>
          <w:bCs/>
          <w:sz w:val="24"/>
          <w:szCs w:val="24"/>
        </w:rPr>
        <w:t>NOTIFÍQUESE</w:t>
      </w:r>
      <w:r w:rsidRPr="00D94696">
        <w:rPr>
          <w:rFonts w:ascii="Palatino Linotype" w:hAnsi="Palatino Linotype" w:cs="Arial"/>
          <w:bCs/>
          <w:sz w:val="24"/>
          <w:szCs w:val="24"/>
        </w:rPr>
        <w:t xml:space="preserve"> al Titular de la Unidad de Transparencia del </w:t>
      </w:r>
      <w:r w:rsidRPr="00D94696">
        <w:rPr>
          <w:rFonts w:ascii="Palatino Linotype" w:hAnsi="Palatino Linotype" w:cs="Arial"/>
          <w:b/>
          <w:bCs/>
          <w:sz w:val="24"/>
          <w:szCs w:val="24"/>
        </w:rPr>
        <w:t>Sujeto Obligado</w:t>
      </w:r>
      <w:r w:rsidRPr="00D94696">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89B5A25" w14:textId="77777777" w:rsidR="003851FB" w:rsidRPr="003C4C99" w:rsidRDefault="003851FB" w:rsidP="004B3451">
      <w:pPr>
        <w:spacing w:line="360" w:lineRule="auto"/>
        <w:jc w:val="both"/>
        <w:rPr>
          <w:rFonts w:ascii="Palatino Linotype" w:hAnsi="Palatino Linotype" w:cs="Arial"/>
          <w:bCs/>
        </w:rPr>
      </w:pPr>
    </w:p>
    <w:p w14:paraId="308D81ED" w14:textId="77777777" w:rsidR="004B3451" w:rsidRDefault="004B3451" w:rsidP="004B3451">
      <w:pPr>
        <w:spacing w:after="0" w:line="360" w:lineRule="auto"/>
        <w:jc w:val="both"/>
        <w:rPr>
          <w:rFonts w:ascii="Palatino Linotype" w:hAnsi="Palatino Linotype" w:cs="Arial"/>
          <w:sz w:val="24"/>
          <w:szCs w:val="24"/>
        </w:rPr>
      </w:pPr>
      <w:bookmarkStart w:id="3" w:name="_Hlk61556434"/>
      <w:r w:rsidRPr="00951014">
        <w:rPr>
          <w:rFonts w:ascii="Palatino Linotype" w:hAnsi="Palatino Linotype" w:cs="Arial"/>
          <w:b/>
          <w:bCs/>
          <w:sz w:val="28"/>
          <w:szCs w:val="24"/>
        </w:rPr>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3"/>
    <w:p w14:paraId="3FBE2848" w14:textId="77777777" w:rsidR="004B3451" w:rsidRDefault="004B3451" w:rsidP="004B3451">
      <w:pPr>
        <w:spacing w:after="0" w:line="360" w:lineRule="auto"/>
        <w:jc w:val="both"/>
        <w:rPr>
          <w:rFonts w:ascii="Palatino Linotype" w:hAnsi="Palatino Linotype" w:cs="Arial"/>
          <w:bCs/>
          <w:sz w:val="24"/>
          <w:szCs w:val="24"/>
        </w:rPr>
      </w:pPr>
    </w:p>
    <w:p w14:paraId="7D1C1B0F" w14:textId="168D23A4" w:rsidR="004B3451" w:rsidRDefault="004B3451" w:rsidP="004B3451">
      <w:pPr>
        <w:pStyle w:val="Textoindependiente"/>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1A14A9">
        <w:rPr>
          <w:rFonts w:ascii="Palatino Linotype" w:hAnsi="Palatino Linotype" w:cs="Arial"/>
          <w:sz w:val="24"/>
          <w:szCs w:val="24"/>
        </w:rPr>
        <w:t>proporcionado por el particular</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w:t>
      </w:r>
      <w:r>
        <w:rPr>
          <w:rFonts w:ascii="Palatino Linotype" w:hAnsi="Palatino Linotype" w:cs="Arial"/>
          <w:bCs/>
          <w:sz w:val="24"/>
          <w:szCs w:val="24"/>
        </w:rPr>
        <w:t>.</w:t>
      </w:r>
    </w:p>
    <w:p w14:paraId="3F9CFDC1" w14:textId="04BFB147" w:rsidR="007670E6" w:rsidRDefault="007670E6" w:rsidP="004B3451">
      <w:pPr>
        <w:pStyle w:val="Textoindependiente"/>
        <w:spacing w:after="0" w:line="360" w:lineRule="auto"/>
        <w:jc w:val="both"/>
        <w:rPr>
          <w:rFonts w:ascii="Palatino Linotype" w:hAnsi="Palatino Linotype" w:cs="Arial"/>
          <w:bCs/>
          <w:sz w:val="24"/>
          <w:szCs w:val="24"/>
        </w:rPr>
      </w:pPr>
    </w:p>
    <w:p w14:paraId="4900B44E" w14:textId="77777777" w:rsidR="007670E6" w:rsidRDefault="007670E6" w:rsidP="004B3451">
      <w:pPr>
        <w:pStyle w:val="Textoindependiente"/>
        <w:spacing w:after="0" w:line="360" w:lineRule="auto"/>
        <w:jc w:val="both"/>
        <w:rPr>
          <w:rFonts w:ascii="Palatino Linotype" w:hAnsi="Palatino Linotype" w:cs="Arial"/>
          <w:bCs/>
          <w:sz w:val="24"/>
          <w:szCs w:val="24"/>
        </w:rPr>
      </w:pPr>
    </w:p>
    <w:p w14:paraId="3A470489" w14:textId="77777777" w:rsidR="004B3451" w:rsidRDefault="004B3451" w:rsidP="004B3451">
      <w:pPr>
        <w:pStyle w:val="Textoindependiente"/>
        <w:spacing w:after="0" w:line="360" w:lineRule="auto"/>
        <w:jc w:val="both"/>
        <w:rPr>
          <w:rFonts w:ascii="Palatino Linotype" w:hAnsi="Palatino Linotype"/>
          <w:sz w:val="24"/>
          <w:szCs w:val="24"/>
        </w:rPr>
      </w:pPr>
    </w:p>
    <w:p w14:paraId="5185DFCC" w14:textId="738964BC" w:rsidR="004B3451" w:rsidRDefault="0047515E" w:rsidP="004B345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ACORDÓ</w:t>
      </w:r>
      <w:r w:rsidR="004B3451"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ZULEMA MARTÍNEZ SÁNCHEZ, EVA ABAID YAPUR,  </w:t>
      </w:r>
      <w:r w:rsidRPr="00667998">
        <w:rPr>
          <w:rFonts w:ascii="Palatino Linotype" w:eastAsiaTheme="minorEastAsia" w:hAnsi="Palatino Linotype"/>
          <w:color w:val="000000" w:themeColor="text1"/>
          <w:sz w:val="24"/>
          <w:szCs w:val="24"/>
          <w:lang w:val="es-ES_tradnl" w:eastAsia="es-ES"/>
        </w:rPr>
        <w:t xml:space="preserve">Y </w:t>
      </w:r>
      <w:r w:rsidR="004B3451" w:rsidRPr="00667998">
        <w:rPr>
          <w:rFonts w:ascii="Palatino Linotype" w:eastAsiaTheme="minorEastAsia" w:hAnsi="Palatino Linotype"/>
          <w:color w:val="000000" w:themeColor="text1"/>
          <w:sz w:val="24"/>
          <w:szCs w:val="24"/>
          <w:lang w:val="es-ES_tradnl" w:eastAsia="es-ES"/>
        </w:rPr>
        <w:t xml:space="preserve">JAVIER MARTÍNEZ CRUZ; EN LA </w:t>
      </w:r>
      <w:r w:rsidR="004B3451" w:rsidRPr="00CC689C">
        <w:rPr>
          <w:rFonts w:ascii="Palatino Linotype" w:eastAsiaTheme="minorEastAsia" w:hAnsi="Palatino Linotype"/>
          <w:color w:val="000000" w:themeColor="text1"/>
          <w:sz w:val="24"/>
          <w:szCs w:val="24"/>
          <w:lang w:val="es-ES_tradnl" w:eastAsia="es-ES"/>
        </w:rPr>
        <w:t>VIGÉSIMA</w:t>
      </w:r>
      <w:r w:rsidR="004B3451">
        <w:rPr>
          <w:rFonts w:ascii="Palatino Linotype" w:eastAsiaTheme="minorEastAsia" w:hAnsi="Palatino Linotype"/>
          <w:color w:val="000000" w:themeColor="text1"/>
          <w:sz w:val="24"/>
          <w:szCs w:val="24"/>
          <w:lang w:val="es-ES_tradnl" w:eastAsia="es-ES"/>
        </w:rPr>
        <w:t xml:space="preserve"> </w:t>
      </w:r>
      <w:r w:rsidR="00D94696">
        <w:rPr>
          <w:rFonts w:ascii="Palatino Linotype" w:eastAsiaTheme="minorEastAsia" w:hAnsi="Palatino Linotype"/>
          <w:color w:val="000000" w:themeColor="text1"/>
          <w:sz w:val="24"/>
          <w:szCs w:val="24"/>
          <w:lang w:val="es-ES_tradnl" w:eastAsia="es-ES"/>
        </w:rPr>
        <w:t>SÉPTIMA</w:t>
      </w:r>
      <w:r w:rsidR="004B3451" w:rsidRPr="00CC689C">
        <w:rPr>
          <w:rFonts w:ascii="Palatino Linotype" w:eastAsiaTheme="minorEastAsia" w:hAnsi="Palatino Linotype"/>
          <w:color w:val="000000" w:themeColor="text1"/>
          <w:sz w:val="24"/>
          <w:szCs w:val="24"/>
          <w:lang w:val="es-ES_tradnl" w:eastAsia="es-ES"/>
        </w:rPr>
        <w:t xml:space="preserve"> SESIÓN</w:t>
      </w:r>
      <w:r w:rsidR="004B3451" w:rsidRPr="00667998">
        <w:rPr>
          <w:rFonts w:ascii="Palatino Linotype" w:eastAsiaTheme="minorEastAsia" w:hAnsi="Palatino Linotype"/>
          <w:color w:val="000000" w:themeColor="text1"/>
          <w:sz w:val="24"/>
          <w:szCs w:val="24"/>
          <w:lang w:val="es-ES_tradnl" w:eastAsia="es-ES"/>
        </w:rPr>
        <w:t xml:space="preserve"> ORDINARIA CELEBRADA EL </w:t>
      </w:r>
      <w:r w:rsidR="003851FB">
        <w:rPr>
          <w:rFonts w:ascii="Palatino Linotype" w:eastAsiaTheme="minorEastAsia" w:hAnsi="Palatino Linotype"/>
          <w:color w:val="000000" w:themeColor="text1"/>
          <w:sz w:val="24"/>
          <w:szCs w:val="24"/>
          <w:lang w:val="es-ES_tradnl" w:eastAsia="es-ES"/>
        </w:rPr>
        <w:t>ON</w:t>
      </w:r>
      <w:r w:rsidR="004B3451">
        <w:rPr>
          <w:rFonts w:ascii="Palatino Linotype" w:eastAsiaTheme="minorEastAsia" w:hAnsi="Palatino Linotype"/>
          <w:color w:val="000000" w:themeColor="text1"/>
          <w:sz w:val="24"/>
          <w:szCs w:val="24"/>
          <w:lang w:val="es-ES_tradnl" w:eastAsia="es-ES"/>
        </w:rPr>
        <w:t>CE</w:t>
      </w:r>
      <w:r w:rsidR="004B3451" w:rsidRPr="00667998">
        <w:rPr>
          <w:rFonts w:ascii="Palatino Linotype" w:eastAsiaTheme="minorEastAsia" w:hAnsi="Palatino Linotype"/>
          <w:color w:val="000000" w:themeColor="text1"/>
          <w:sz w:val="24"/>
          <w:szCs w:val="24"/>
          <w:lang w:val="es-ES_tradnl" w:eastAsia="es-ES"/>
        </w:rPr>
        <w:t xml:space="preserve"> </w:t>
      </w:r>
      <w:r w:rsidR="004B3451">
        <w:rPr>
          <w:rFonts w:ascii="Palatino Linotype" w:eastAsiaTheme="minorEastAsia" w:hAnsi="Palatino Linotype"/>
          <w:color w:val="000000" w:themeColor="text1"/>
          <w:sz w:val="24"/>
          <w:szCs w:val="24"/>
          <w:lang w:val="es-ES_tradnl" w:eastAsia="es-ES"/>
        </w:rPr>
        <w:t xml:space="preserve">DE </w:t>
      </w:r>
      <w:r w:rsidR="003851FB">
        <w:rPr>
          <w:rFonts w:ascii="Palatino Linotype" w:eastAsiaTheme="minorEastAsia" w:hAnsi="Palatino Linotype"/>
          <w:color w:val="000000" w:themeColor="text1"/>
          <w:sz w:val="24"/>
          <w:szCs w:val="24"/>
          <w:lang w:val="es-ES_tradnl" w:eastAsia="es-ES"/>
        </w:rPr>
        <w:t>AGOST</w:t>
      </w:r>
      <w:r w:rsidR="004B3451">
        <w:rPr>
          <w:rFonts w:ascii="Palatino Linotype" w:eastAsiaTheme="minorEastAsia" w:hAnsi="Palatino Linotype"/>
          <w:color w:val="000000" w:themeColor="text1"/>
          <w:sz w:val="24"/>
          <w:szCs w:val="24"/>
          <w:lang w:val="es-ES_tradnl" w:eastAsia="es-ES"/>
        </w:rPr>
        <w:t xml:space="preserve">O </w:t>
      </w:r>
      <w:r w:rsidR="004B3451" w:rsidRPr="00667998">
        <w:rPr>
          <w:rFonts w:ascii="Palatino Linotype" w:eastAsiaTheme="minorEastAsia" w:hAnsi="Palatino Linotype"/>
          <w:color w:val="000000" w:themeColor="text1"/>
          <w:sz w:val="24"/>
          <w:szCs w:val="24"/>
          <w:lang w:val="es-ES_tradnl" w:eastAsia="es-ES"/>
        </w:rPr>
        <w:t>DE DOS MIL VEINT</w:t>
      </w:r>
      <w:r w:rsidR="004B3451">
        <w:rPr>
          <w:rFonts w:ascii="Palatino Linotype" w:eastAsiaTheme="minorEastAsia" w:hAnsi="Palatino Linotype"/>
          <w:color w:val="000000" w:themeColor="text1"/>
          <w:sz w:val="24"/>
          <w:szCs w:val="24"/>
          <w:lang w:val="es-ES_tradnl" w:eastAsia="es-ES"/>
        </w:rPr>
        <w:t>IUNO</w:t>
      </w:r>
      <w:r w:rsidR="004B3451"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4B3451">
        <w:rPr>
          <w:rFonts w:ascii="Palatino Linotype" w:eastAsiaTheme="minorEastAsia" w:hAnsi="Palatino Linotype"/>
          <w:color w:val="000000" w:themeColor="text1"/>
          <w:sz w:val="24"/>
          <w:szCs w:val="24"/>
          <w:lang w:val="es-ES_tradnl" w:eastAsia="es-ES"/>
        </w:rPr>
        <w:t>-------------------------------</w:t>
      </w:r>
      <w:r w:rsidR="004B3451" w:rsidRPr="00667998">
        <w:rPr>
          <w:rFonts w:ascii="Palatino Linotype" w:eastAsiaTheme="minorEastAsia" w:hAnsi="Palatino Linotype"/>
          <w:color w:val="000000" w:themeColor="text1"/>
          <w:sz w:val="24"/>
          <w:szCs w:val="24"/>
          <w:lang w:val="es-ES_tradnl" w:eastAsia="es-ES"/>
        </w:rPr>
        <w:t>-----------------------------------------------------------------------------------------------------------------------------------------------------------------------------------------------------------------------------------------------------------------------------</w:t>
      </w:r>
      <w:r w:rsidR="003851FB" w:rsidRPr="00667998">
        <w:rPr>
          <w:rFonts w:ascii="Palatino Linotype" w:eastAsiaTheme="minorEastAsia" w:hAnsi="Palatino Linotype"/>
          <w:color w:val="000000" w:themeColor="text1"/>
          <w:sz w:val="24"/>
          <w:szCs w:val="24"/>
          <w:lang w:val="es-ES_tradnl" w:eastAsia="es-ES"/>
        </w:rPr>
        <w:t>-------------------------------------------------------------------------------------------------------------------------------------------------------------------------------------------------------------------------------------------------------------------------------------------------------------------------------------------------------------------------------------------------------------------------------------------------------------------------------------------------------------------------------------------------------------------------------------------------------------------------------------------------------------------------------------------------------------------------------------------------------------------------------------------------------------------------------------</w:t>
      </w:r>
      <w:r w:rsidR="00D94696" w:rsidRPr="0066799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D94696" w:rsidRPr="00667998">
        <w:rPr>
          <w:rFonts w:ascii="Palatino Linotype" w:eastAsiaTheme="minorEastAsia" w:hAnsi="Palatino Linotype"/>
          <w:color w:val="000000" w:themeColor="text1"/>
          <w:sz w:val="24"/>
          <w:szCs w:val="24"/>
          <w:lang w:val="es-ES_tradnl" w:eastAsia="es-ES"/>
        </w:rPr>
        <w:t>--------</w:t>
      </w:r>
    </w:p>
    <w:p w14:paraId="17E781C2" w14:textId="77777777" w:rsidR="004B3451" w:rsidRDefault="004B3451" w:rsidP="004B3451">
      <w:pPr>
        <w:spacing w:after="0" w:line="240" w:lineRule="auto"/>
        <w:rPr>
          <w:rFonts w:ascii="Palatino Linotype" w:hAnsi="Palatino Linotype"/>
          <w:sz w:val="16"/>
          <w:szCs w:val="18"/>
        </w:rPr>
      </w:pPr>
    </w:p>
    <w:p w14:paraId="2769B17D" w14:textId="77777777" w:rsidR="004B3451" w:rsidRPr="00EB66ED" w:rsidRDefault="004B3451" w:rsidP="004B3451">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1CCAE33A" w14:textId="77777777" w:rsidR="004B3451" w:rsidRDefault="004B3451" w:rsidP="004B3451"/>
    <w:p w14:paraId="2E7BE13E" w14:textId="77777777" w:rsidR="004B3451" w:rsidRDefault="004B3451" w:rsidP="004B3451"/>
    <w:p w14:paraId="617CD1B3" w14:textId="77777777" w:rsidR="004B3451" w:rsidRDefault="004B3451" w:rsidP="004B3451"/>
    <w:p w14:paraId="0C85B97D" w14:textId="77777777" w:rsidR="004B3451" w:rsidRDefault="004B3451" w:rsidP="004B3451"/>
    <w:bookmarkEnd w:id="0"/>
    <w:p w14:paraId="45742721" w14:textId="77777777" w:rsidR="00F95786" w:rsidRDefault="00F95786"/>
    <w:sectPr w:rsidR="00F95786" w:rsidSect="0003121D">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67E0E" w14:textId="77777777" w:rsidR="002E67D7" w:rsidRDefault="002E67D7" w:rsidP="004B3451">
      <w:pPr>
        <w:spacing w:after="0" w:line="240" w:lineRule="auto"/>
      </w:pPr>
      <w:r>
        <w:separator/>
      </w:r>
    </w:p>
  </w:endnote>
  <w:endnote w:type="continuationSeparator" w:id="0">
    <w:p w14:paraId="6CA2CC4A" w14:textId="77777777" w:rsidR="002E67D7" w:rsidRDefault="002E67D7" w:rsidP="004B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89BDB" w14:textId="77777777" w:rsidR="00732E0E" w:rsidRPr="000B69FA" w:rsidRDefault="003851FB"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1D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71D4">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A8AA5" w14:textId="77777777" w:rsidR="00732E0E" w:rsidRPr="000B69FA" w:rsidRDefault="003851FB"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71D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71D4">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F6449" w14:textId="77777777" w:rsidR="002E67D7" w:rsidRDefault="002E67D7" w:rsidP="004B3451">
      <w:pPr>
        <w:spacing w:after="0" w:line="240" w:lineRule="auto"/>
      </w:pPr>
      <w:r>
        <w:separator/>
      </w:r>
    </w:p>
  </w:footnote>
  <w:footnote w:type="continuationSeparator" w:id="0">
    <w:p w14:paraId="6D3025EF" w14:textId="77777777" w:rsidR="002E67D7" w:rsidRDefault="002E67D7" w:rsidP="004B3451">
      <w:pPr>
        <w:spacing w:after="0" w:line="240" w:lineRule="auto"/>
      </w:pPr>
      <w:r>
        <w:continuationSeparator/>
      </w:r>
    </w:p>
  </w:footnote>
  <w:footnote w:id="1">
    <w:p w14:paraId="7919BD7F" w14:textId="77777777" w:rsidR="004B3451" w:rsidRPr="00481AAF" w:rsidRDefault="004B3451" w:rsidP="004B345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B87B6BB" w14:textId="77777777" w:rsidR="004B3451" w:rsidRPr="00946E1F" w:rsidRDefault="004B3451" w:rsidP="004B345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DB10E61" w14:textId="77777777" w:rsidR="00277D19" w:rsidRDefault="00277D19" w:rsidP="00277D19">
      <w:pPr>
        <w:pStyle w:val="Textonotapie"/>
      </w:pPr>
      <w:r>
        <w:rPr>
          <w:rStyle w:val="Refdenotaalpie"/>
        </w:rPr>
        <w:footnoteRef/>
      </w:r>
      <w:r>
        <w:t xml:space="preserve"> Consultable en: </w:t>
      </w:r>
      <w:r w:rsidRPr="00BD3E90">
        <w:t>http://www.dof.gob.mx/nota_detalle.php?codigo=5436056&amp;fecha=04/05/2016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AC80" w14:textId="38F4B3ED" w:rsidR="00C80A4D" w:rsidRDefault="002E67D7">
    <w:pPr>
      <w:pStyle w:val="Encabezado"/>
    </w:pPr>
    <w:r>
      <w:rPr>
        <w:noProof/>
        <w:lang w:val="es-MX" w:eastAsia="es-MX"/>
      </w:rPr>
      <w:pict w14:anchorId="1EA75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3439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F0A" w14:textId="14D873E2" w:rsidR="00732E0E" w:rsidRDefault="002E67D7">
    <w:pPr>
      <w:pStyle w:val="Encabezado"/>
    </w:pPr>
    <w:r>
      <w:rPr>
        <w:noProof/>
        <w:lang w:val="es-MX" w:eastAsia="es-MX"/>
      </w:rPr>
      <w:pict w14:anchorId="4EE25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3439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4FA56489" w14:textId="77777777" w:rsidTr="00732E0E">
      <w:trPr>
        <w:trHeight w:val="227"/>
      </w:trPr>
      <w:tc>
        <w:tcPr>
          <w:tcW w:w="5529" w:type="dxa"/>
          <w:hideMark/>
        </w:tcPr>
        <w:p w14:paraId="7805AD41" w14:textId="77777777" w:rsidR="00732E0E" w:rsidRDefault="003851F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CD482AA" w14:textId="1DAFB238" w:rsidR="00732E0E" w:rsidRPr="00B4142F" w:rsidRDefault="003851FB"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029</w:t>
          </w:r>
          <w:r w:rsidR="004B3451">
            <w:rPr>
              <w:rFonts w:ascii="Palatino Linotype" w:hAnsi="Palatino Linotype" w:cs="Arial"/>
              <w:bCs/>
              <w:sz w:val="24"/>
              <w:lang w:eastAsia="es-MX"/>
            </w:rPr>
            <w:t>9</w:t>
          </w:r>
          <w:r>
            <w:rPr>
              <w:rFonts w:ascii="Palatino Linotype" w:hAnsi="Palatino Linotype" w:cs="Arial"/>
              <w:bCs/>
              <w:sz w:val="24"/>
              <w:lang w:eastAsia="es-MX"/>
            </w:rPr>
            <w:t>0/INFOEM/IP/RR/2021</w:t>
          </w:r>
        </w:p>
      </w:tc>
    </w:tr>
    <w:tr w:rsidR="00732E0E" w14:paraId="0CC7D87A" w14:textId="77777777" w:rsidTr="00732E0E">
      <w:trPr>
        <w:trHeight w:val="242"/>
      </w:trPr>
      <w:tc>
        <w:tcPr>
          <w:tcW w:w="5529" w:type="dxa"/>
          <w:hideMark/>
        </w:tcPr>
        <w:p w14:paraId="170EBF21" w14:textId="77777777" w:rsidR="00732E0E" w:rsidRDefault="003851F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C702EC" w14:textId="6C696BDD" w:rsidR="00732E0E" w:rsidRPr="00F06FED" w:rsidRDefault="004B3451" w:rsidP="00E00CAD">
          <w:pPr>
            <w:spacing w:after="120" w:line="256" w:lineRule="auto"/>
            <w:ind w:left="639" w:right="214"/>
            <w:jc w:val="right"/>
            <w:rPr>
              <w:rFonts w:ascii="Palatino Linotype" w:hAnsi="Palatino Linotype" w:cs="Arial"/>
            </w:rPr>
          </w:pPr>
          <w:r>
            <w:rPr>
              <w:rFonts w:ascii="Palatino Linotype" w:hAnsi="Palatino Linotype" w:cs="Arial"/>
              <w:szCs w:val="20"/>
            </w:rPr>
            <w:t>Poder Judicial</w:t>
          </w:r>
        </w:p>
      </w:tc>
    </w:tr>
    <w:tr w:rsidR="00732E0E" w14:paraId="7A1BD78B" w14:textId="77777777" w:rsidTr="00732E0E">
      <w:trPr>
        <w:trHeight w:val="342"/>
      </w:trPr>
      <w:tc>
        <w:tcPr>
          <w:tcW w:w="5529" w:type="dxa"/>
          <w:hideMark/>
        </w:tcPr>
        <w:p w14:paraId="69C87165" w14:textId="77777777" w:rsidR="00732E0E" w:rsidRDefault="003851F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9B32EEB" w14:textId="77777777" w:rsidR="00732E0E" w:rsidRDefault="003851FB"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928D819" w14:textId="77777777" w:rsidR="00732E0E" w:rsidRDefault="002E67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0B50D9F7" w14:textId="77777777" w:rsidTr="00732E0E">
      <w:trPr>
        <w:trHeight w:val="227"/>
      </w:trPr>
      <w:tc>
        <w:tcPr>
          <w:tcW w:w="5529" w:type="dxa"/>
          <w:hideMark/>
        </w:tcPr>
        <w:p w14:paraId="132803AE" w14:textId="77777777" w:rsidR="00732E0E" w:rsidRDefault="003851F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121DE11" w14:textId="364E7C92" w:rsidR="00732E0E" w:rsidRPr="00B4142F" w:rsidRDefault="003851FB" w:rsidP="005171E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029</w:t>
          </w:r>
          <w:r w:rsidR="004B3451">
            <w:rPr>
              <w:rFonts w:ascii="Palatino Linotype" w:hAnsi="Palatino Linotype" w:cs="Arial"/>
              <w:bCs/>
              <w:sz w:val="24"/>
              <w:lang w:eastAsia="es-MX"/>
            </w:rPr>
            <w:t>9</w:t>
          </w:r>
          <w:r>
            <w:rPr>
              <w:rFonts w:ascii="Palatino Linotype" w:hAnsi="Palatino Linotype" w:cs="Arial"/>
              <w:bCs/>
              <w:sz w:val="24"/>
              <w:lang w:eastAsia="es-MX"/>
            </w:rPr>
            <w:t>0/INFOEM/IP/RR/2021</w:t>
          </w:r>
        </w:p>
      </w:tc>
    </w:tr>
    <w:tr w:rsidR="00732E0E" w14:paraId="5E098C6A" w14:textId="77777777" w:rsidTr="00732E0E">
      <w:trPr>
        <w:trHeight w:val="196"/>
      </w:trPr>
      <w:tc>
        <w:tcPr>
          <w:tcW w:w="5529" w:type="dxa"/>
          <w:hideMark/>
        </w:tcPr>
        <w:p w14:paraId="37C69D84" w14:textId="77777777" w:rsidR="00732E0E" w:rsidRDefault="003851F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95AC8D" w14:textId="011DE8C5" w:rsidR="00732E0E" w:rsidRPr="00F06FED" w:rsidRDefault="005971D4" w:rsidP="00E00CAD">
          <w:pPr>
            <w:spacing w:after="120" w:line="256" w:lineRule="auto"/>
            <w:ind w:left="639" w:right="214"/>
            <w:jc w:val="right"/>
            <w:rPr>
              <w:rFonts w:ascii="Palatino Linotype" w:hAnsi="Palatino Linotype" w:cs="Arial"/>
            </w:rPr>
          </w:pPr>
          <w:r>
            <w:rPr>
              <w:rFonts w:ascii="Palatino Linotype" w:hAnsi="Palatino Linotype" w:cs="Arial"/>
            </w:rPr>
            <w:t>xxxxxxxxxxxxxxxxxxxxxxxxxxxx</w:t>
          </w:r>
        </w:p>
      </w:tc>
    </w:tr>
    <w:tr w:rsidR="00732E0E" w14:paraId="1F8658B4" w14:textId="77777777" w:rsidTr="00732E0E">
      <w:trPr>
        <w:trHeight w:val="242"/>
      </w:trPr>
      <w:tc>
        <w:tcPr>
          <w:tcW w:w="5529" w:type="dxa"/>
          <w:hideMark/>
        </w:tcPr>
        <w:p w14:paraId="2F5CADA1" w14:textId="77777777" w:rsidR="00732E0E" w:rsidRDefault="003851FB"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7DBB47" w14:textId="439ACEEF" w:rsidR="00732E0E" w:rsidRDefault="004B3451"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Poder Judicial</w:t>
          </w:r>
        </w:p>
      </w:tc>
    </w:tr>
    <w:tr w:rsidR="00732E0E" w14:paraId="2CE694D5" w14:textId="77777777" w:rsidTr="00732E0E">
      <w:trPr>
        <w:trHeight w:val="342"/>
      </w:trPr>
      <w:tc>
        <w:tcPr>
          <w:tcW w:w="5529" w:type="dxa"/>
          <w:hideMark/>
        </w:tcPr>
        <w:p w14:paraId="0005B6EE" w14:textId="77777777" w:rsidR="00732E0E" w:rsidRDefault="003851FB"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6476B26" w14:textId="77777777" w:rsidR="00732E0E" w:rsidRDefault="003851FB"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24E872BE" w14:textId="472F2E0F" w:rsidR="00732E0E" w:rsidRDefault="002E67D7">
    <w:pPr>
      <w:pStyle w:val="Encabezado"/>
    </w:pPr>
    <w:r>
      <w:rPr>
        <w:noProof/>
        <w:lang w:val="es-MX" w:eastAsia="es-MX"/>
      </w:rPr>
      <w:pict w14:anchorId="7806D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3439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00388"/>
    <w:multiLevelType w:val="hybridMultilevel"/>
    <w:tmpl w:val="BD60BD82"/>
    <w:lvl w:ilvl="0" w:tplc="2FB8FB8C">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A57427"/>
    <w:multiLevelType w:val="hybridMultilevel"/>
    <w:tmpl w:val="D41E2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90B14EE"/>
    <w:multiLevelType w:val="hybridMultilevel"/>
    <w:tmpl w:val="1964533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8F3893"/>
    <w:multiLevelType w:val="hybridMultilevel"/>
    <w:tmpl w:val="C8EA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195364"/>
    <w:multiLevelType w:val="hybridMultilevel"/>
    <w:tmpl w:val="F834A720"/>
    <w:lvl w:ilvl="0" w:tplc="9960A0A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DF167DA"/>
    <w:multiLevelType w:val="hybridMultilevel"/>
    <w:tmpl w:val="6D9C5F28"/>
    <w:lvl w:ilvl="0" w:tplc="9DFA01C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4"/>
  </w:num>
  <w:num w:numId="3">
    <w:abstractNumId w:val="0"/>
  </w:num>
  <w:num w:numId="4">
    <w:abstractNumId w:val="1"/>
  </w:num>
  <w:num w:numId="5">
    <w:abstractNumId w:val="6"/>
  </w:num>
  <w:num w:numId="6">
    <w:abstractNumId w:val="11"/>
  </w:num>
  <w:num w:numId="7">
    <w:abstractNumId w:val="10"/>
  </w:num>
  <w:num w:numId="8">
    <w:abstractNumId w:val="8"/>
  </w:num>
  <w:num w:numId="9">
    <w:abstractNumId w:val="2"/>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51"/>
    <w:rsid w:val="00077B58"/>
    <w:rsid w:val="00100627"/>
    <w:rsid w:val="0012120D"/>
    <w:rsid w:val="00162C88"/>
    <w:rsid w:val="00277D19"/>
    <w:rsid w:val="00282CF1"/>
    <w:rsid w:val="002A56DC"/>
    <w:rsid w:val="002E67D7"/>
    <w:rsid w:val="002F2B39"/>
    <w:rsid w:val="003851FB"/>
    <w:rsid w:val="003C5748"/>
    <w:rsid w:val="003F456E"/>
    <w:rsid w:val="00426BBE"/>
    <w:rsid w:val="0047515E"/>
    <w:rsid w:val="004B3451"/>
    <w:rsid w:val="00513BEE"/>
    <w:rsid w:val="005300EB"/>
    <w:rsid w:val="0055586B"/>
    <w:rsid w:val="005727C8"/>
    <w:rsid w:val="005971D4"/>
    <w:rsid w:val="005C205C"/>
    <w:rsid w:val="005C6EF0"/>
    <w:rsid w:val="00657790"/>
    <w:rsid w:val="006A3658"/>
    <w:rsid w:val="007670E6"/>
    <w:rsid w:val="007C1409"/>
    <w:rsid w:val="008609A6"/>
    <w:rsid w:val="00865DCA"/>
    <w:rsid w:val="008B676C"/>
    <w:rsid w:val="008E39CF"/>
    <w:rsid w:val="00A57B19"/>
    <w:rsid w:val="00AB79DA"/>
    <w:rsid w:val="00AC1090"/>
    <w:rsid w:val="00B21333"/>
    <w:rsid w:val="00B77DF0"/>
    <w:rsid w:val="00BF684A"/>
    <w:rsid w:val="00C80A4D"/>
    <w:rsid w:val="00CA3B8B"/>
    <w:rsid w:val="00D60BDC"/>
    <w:rsid w:val="00D86644"/>
    <w:rsid w:val="00D94696"/>
    <w:rsid w:val="00E40E3F"/>
    <w:rsid w:val="00E512FA"/>
    <w:rsid w:val="00E953D0"/>
    <w:rsid w:val="00EA0596"/>
    <w:rsid w:val="00EA2953"/>
    <w:rsid w:val="00EB35EE"/>
    <w:rsid w:val="00ED3B6E"/>
    <w:rsid w:val="00EE57F2"/>
    <w:rsid w:val="00EF3055"/>
    <w:rsid w:val="00F9183C"/>
    <w:rsid w:val="00F957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C34BB4"/>
  <w15:chartTrackingRefBased/>
  <w15:docId w15:val="{B92EFFF7-CA6E-416B-93D5-177E378E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451"/>
  </w:style>
  <w:style w:type="paragraph" w:styleId="Ttulo2">
    <w:name w:val="heading 2"/>
    <w:basedOn w:val="Normal"/>
    <w:next w:val="Normal"/>
    <w:link w:val="Ttulo2Car"/>
    <w:uiPriority w:val="9"/>
    <w:unhideWhenUsed/>
    <w:qFormat/>
    <w:rsid w:val="005727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4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345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345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345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45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45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B345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B345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B3451"/>
    <w:rPr>
      <w:color w:val="0563C1" w:themeColor="hyperlink"/>
      <w:u w:val="single"/>
    </w:rPr>
  </w:style>
  <w:style w:type="paragraph" w:styleId="Sinespaciado">
    <w:name w:val="No Spacing"/>
    <w:aliases w:val="Francesa,INAI"/>
    <w:link w:val="SinespaciadoCar"/>
    <w:uiPriority w:val="1"/>
    <w:qFormat/>
    <w:rsid w:val="004B345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B345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B3451"/>
    <w:pPr>
      <w:spacing w:after="120"/>
    </w:pPr>
  </w:style>
  <w:style w:type="character" w:customStyle="1" w:styleId="TextoindependienteCar">
    <w:name w:val="Texto independiente Car"/>
    <w:basedOn w:val="Fuentedeprrafopredeter"/>
    <w:link w:val="Textoindependiente"/>
    <w:uiPriority w:val="99"/>
    <w:rsid w:val="004B3451"/>
  </w:style>
  <w:style w:type="character" w:customStyle="1" w:styleId="UnresolvedMention">
    <w:name w:val="Unresolved Mention"/>
    <w:basedOn w:val="Fuentedeprrafopredeter"/>
    <w:uiPriority w:val="99"/>
    <w:semiHidden/>
    <w:unhideWhenUsed/>
    <w:rsid w:val="005C205C"/>
    <w:rPr>
      <w:color w:val="605E5C"/>
      <w:shd w:val="clear" w:color="auto" w:fill="E1DFDD"/>
    </w:rPr>
  </w:style>
  <w:style w:type="character" w:customStyle="1" w:styleId="Ttulo2Car">
    <w:name w:val="Título 2 Car"/>
    <w:basedOn w:val="Fuentedeprrafopredeter"/>
    <w:link w:val="Ttulo2"/>
    <w:uiPriority w:val="9"/>
    <w:rsid w:val="005727C8"/>
    <w:rPr>
      <w:rFonts w:asciiTheme="majorHAnsi" w:eastAsiaTheme="majorEastAsia" w:hAnsiTheme="majorHAnsi" w:cstheme="majorBidi"/>
      <w:color w:val="2F5496" w:themeColor="accent1" w:themeShade="BF"/>
      <w:sz w:val="26"/>
      <w:szCs w:val="26"/>
    </w:rPr>
  </w:style>
  <w:style w:type="character" w:styleId="Textoennegrita">
    <w:name w:val="Strong"/>
    <w:uiPriority w:val="22"/>
    <w:qFormat/>
    <w:rsid w:val="005727C8"/>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277D1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77D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516444">
      <w:bodyDiv w:val="1"/>
      <w:marLeft w:val="0"/>
      <w:marRight w:val="0"/>
      <w:marTop w:val="0"/>
      <w:marBottom w:val="0"/>
      <w:divBdr>
        <w:top w:val="none" w:sz="0" w:space="0" w:color="auto"/>
        <w:left w:val="none" w:sz="0" w:space="0" w:color="auto"/>
        <w:bottom w:val="none" w:sz="0" w:space="0" w:color="auto"/>
        <w:right w:val="none" w:sz="0" w:space="0" w:color="auto"/>
      </w:divBdr>
    </w:div>
    <w:div w:id="1060906566">
      <w:bodyDiv w:val="1"/>
      <w:marLeft w:val="0"/>
      <w:marRight w:val="0"/>
      <w:marTop w:val="0"/>
      <w:marBottom w:val="0"/>
      <w:divBdr>
        <w:top w:val="none" w:sz="0" w:space="0" w:color="auto"/>
        <w:left w:val="none" w:sz="0" w:space="0" w:color="auto"/>
        <w:bottom w:val="none" w:sz="0" w:space="0" w:color="auto"/>
        <w:right w:val="none" w:sz="0" w:space="0" w:color="auto"/>
      </w:divBdr>
    </w:div>
    <w:div w:id="11895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dad.transparencia@pjedomex.gob.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jedomex.gob.m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34</Pages>
  <Words>8372</Words>
  <Characters>46052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35</cp:revision>
  <dcterms:created xsi:type="dcterms:W3CDTF">2021-07-22T08:58:00Z</dcterms:created>
  <dcterms:modified xsi:type="dcterms:W3CDTF">2021-08-20T05:12:00Z</dcterms:modified>
</cp:coreProperties>
</file>