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DE307" w14:textId="74A5AAF9" w:rsidR="00CF5253" w:rsidRPr="00667998" w:rsidRDefault="00CF5253" w:rsidP="00CF5253">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Hlk55519242"/>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5673D">
        <w:rPr>
          <w:rFonts w:ascii="Palatino Linotype" w:eastAsia="Times New Roman" w:hAnsi="Palatino Linotype" w:cs="Arial"/>
          <w:color w:val="000000"/>
          <w:sz w:val="24"/>
          <w:szCs w:val="24"/>
          <w:lang w:eastAsia="es-MX"/>
        </w:rPr>
        <w:t xml:space="preserve">dieciséis de  junio </w:t>
      </w:r>
      <w:r w:rsidRPr="00667998">
        <w:rPr>
          <w:rFonts w:ascii="Palatino Linotype" w:eastAsia="Times New Roman" w:hAnsi="Palatino Linotype" w:cs="Arial"/>
          <w:color w:val="000000"/>
          <w:sz w:val="24"/>
          <w:szCs w:val="24"/>
          <w:lang w:eastAsia="es-MX"/>
        </w:rPr>
        <w:t>de dos mil veint</w:t>
      </w:r>
      <w:r w:rsidR="00F462B1">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679B81A5" w14:textId="77777777" w:rsidR="00CF5253" w:rsidRPr="00667998" w:rsidRDefault="00CF5253" w:rsidP="00CF5253">
      <w:pPr>
        <w:shd w:val="clear" w:color="auto" w:fill="FFFFFF"/>
        <w:spacing w:after="0" w:line="360" w:lineRule="auto"/>
        <w:jc w:val="both"/>
        <w:rPr>
          <w:rFonts w:ascii="Palatino Linotype" w:eastAsia="Times New Roman" w:hAnsi="Palatino Linotype" w:cs="Arial"/>
          <w:color w:val="000000"/>
          <w:sz w:val="2"/>
          <w:szCs w:val="24"/>
          <w:lang w:eastAsia="es-MX"/>
        </w:rPr>
      </w:pPr>
    </w:p>
    <w:p w14:paraId="53C98BC1" w14:textId="77777777" w:rsidR="00CF5253" w:rsidRPr="00667998" w:rsidRDefault="00CF5253" w:rsidP="00CF5253">
      <w:pPr>
        <w:tabs>
          <w:tab w:val="left" w:pos="1701"/>
        </w:tabs>
        <w:spacing w:after="0" w:line="360" w:lineRule="auto"/>
        <w:jc w:val="both"/>
        <w:rPr>
          <w:rFonts w:ascii="Palatino Linotype" w:hAnsi="Palatino Linotype" w:cs="Arial"/>
          <w:b/>
          <w:sz w:val="24"/>
        </w:rPr>
      </w:pPr>
    </w:p>
    <w:p w14:paraId="76034BC5" w14:textId="7F4F400B" w:rsidR="00CF5253" w:rsidRPr="00667998" w:rsidRDefault="00CF5253" w:rsidP="00CF5253">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B828F9">
        <w:rPr>
          <w:rFonts w:ascii="Palatino Linotype" w:hAnsi="Palatino Linotype" w:cs="Arial"/>
          <w:b/>
          <w:bCs/>
          <w:sz w:val="24"/>
          <w:lang w:eastAsia="es-MX"/>
        </w:rPr>
        <w:t>01760</w:t>
      </w:r>
      <w:r w:rsidRPr="00667998">
        <w:rPr>
          <w:rFonts w:ascii="Palatino Linotype" w:hAnsi="Palatino Linotype" w:cs="Arial"/>
          <w:b/>
          <w:bCs/>
          <w:sz w:val="24"/>
          <w:lang w:eastAsia="es-MX"/>
        </w:rPr>
        <w:t>/INFOEM/IP/RR/20</w:t>
      </w:r>
      <w:r w:rsidR="00050C32">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el </w:t>
      </w:r>
      <w:r w:rsidRPr="00667998">
        <w:rPr>
          <w:rFonts w:ascii="Palatino Linotype" w:hAnsi="Palatino Linotype" w:cs="Arial"/>
          <w:b/>
          <w:sz w:val="24"/>
          <w:szCs w:val="24"/>
        </w:rPr>
        <w:t>C.</w:t>
      </w:r>
      <w:r>
        <w:rPr>
          <w:rFonts w:ascii="Palatino Linotype" w:hAnsi="Palatino Linotype" w:cs="Arial"/>
          <w:b/>
          <w:sz w:val="24"/>
          <w:szCs w:val="24"/>
        </w:rPr>
        <w:t xml:space="preserve"> </w:t>
      </w:r>
      <w:proofErr w:type="spellStart"/>
      <w:r w:rsidR="007E61F0">
        <w:rPr>
          <w:rFonts w:ascii="Palatino Linotype" w:hAnsi="Palatino Linotype" w:cs="Arial"/>
          <w:b/>
          <w:sz w:val="24"/>
          <w:szCs w:val="24"/>
        </w:rPr>
        <w:t>xxxxxxxxxxxxxxxxxxxxxxx</w:t>
      </w:r>
      <w:proofErr w:type="spellEnd"/>
      <w:r w:rsidR="00B828F9" w:rsidRPr="00B828F9">
        <w:rPr>
          <w:rFonts w:ascii="Palatino Linotype" w:hAnsi="Palatino Linotype" w:cs="Arial"/>
          <w:b/>
          <w:sz w:val="24"/>
          <w:szCs w:val="24"/>
        </w:rPr>
        <w:t xml:space="preserve"> </w:t>
      </w:r>
      <w:proofErr w:type="spellStart"/>
      <w:r w:rsidR="007E61F0">
        <w:rPr>
          <w:rFonts w:ascii="Palatino Linotype" w:hAnsi="Palatino Linotype" w:cs="Arial"/>
          <w:b/>
          <w:sz w:val="24"/>
          <w:szCs w:val="24"/>
        </w:rPr>
        <w:t>xxxxxxxxxxxxx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en contra de la</w:t>
      </w:r>
      <w:r w:rsidR="00976D7D">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de</w:t>
      </w:r>
      <w:r>
        <w:rPr>
          <w:rFonts w:ascii="Palatino Linotype" w:hAnsi="Palatino Linotype" w:cs="Arial"/>
          <w:sz w:val="24"/>
          <w:szCs w:val="24"/>
        </w:rPr>
        <w:t xml:space="preserve">l </w:t>
      </w:r>
      <w:r w:rsidR="00B828F9" w:rsidRPr="00B828F9">
        <w:rPr>
          <w:rFonts w:ascii="Palatino Linotype" w:hAnsi="Palatino Linotype" w:cs="Arial"/>
          <w:b/>
          <w:sz w:val="24"/>
          <w:szCs w:val="24"/>
        </w:rPr>
        <w:t>Ayuntamiento de Naucalpan de Juárez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77EAA8A" w14:textId="77777777" w:rsidR="00CF5253" w:rsidRPr="004A1460" w:rsidRDefault="00CF5253" w:rsidP="00CF5253">
      <w:pPr>
        <w:tabs>
          <w:tab w:val="left" w:pos="1701"/>
        </w:tabs>
        <w:spacing w:after="0" w:line="360" w:lineRule="auto"/>
        <w:jc w:val="both"/>
        <w:rPr>
          <w:rFonts w:ascii="Palatino Linotype" w:hAnsi="Palatino Linotype" w:cs="Arial"/>
          <w:sz w:val="24"/>
        </w:rPr>
      </w:pPr>
    </w:p>
    <w:p w14:paraId="51617894" w14:textId="77777777" w:rsidR="00CF5253" w:rsidRPr="00667998" w:rsidRDefault="00CF5253" w:rsidP="00CF5253">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35B96C4" w14:textId="77777777" w:rsidR="00CF5253" w:rsidRPr="00667998" w:rsidRDefault="00CF5253" w:rsidP="00CF5253">
      <w:pPr>
        <w:spacing w:after="0" w:line="360" w:lineRule="auto"/>
        <w:jc w:val="center"/>
        <w:rPr>
          <w:rFonts w:ascii="Palatino Linotype" w:hAnsi="Palatino Linotype"/>
          <w:b/>
          <w:sz w:val="24"/>
        </w:rPr>
      </w:pPr>
    </w:p>
    <w:p w14:paraId="0BB39E3F" w14:textId="77777777" w:rsidR="00CF5253" w:rsidRPr="00667998" w:rsidRDefault="00CF5253" w:rsidP="00CF5253">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4CA7D7B" w14:textId="6DE7F511" w:rsidR="00CF5253" w:rsidRPr="00667998" w:rsidRDefault="00CF5253" w:rsidP="00CF5253">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F81987">
        <w:rPr>
          <w:rFonts w:ascii="Palatino Linotype" w:hAnsi="Palatino Linotype" w:cs="Arial"/>
          <w:sz w:val="24"/>
        </w:rPr>
        <w:t>dieciséis de marzo de dos mil veintiuno</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F81987" w:rsidRPr="00F81987">
        <w:rPr>
          <w:rFonts w:ascii="Palatino Linotype" w:hAnsi="Palatino Linotype" w:cs="Arial"/>
          <w:b/>
          <w:sz w:val="24"/>
        </w:rPr>
        <w:t>00136/NAUCALPA/IP/2021</w:t>
      </w:r>
      <w:r w:rsidRPr="00667998">
        <w:rPr>
          <w:rFonts w:ascii="Palatino Linotype" w:hAnsi="Palatino Linotype" w:cs="Arial"/>
          <w:sz w:val="24"/>
        </w:rPr>
        <w:t>, mediante la cual solicitó lo siguiente:</w:t>
      </w:r>
    </w:p>
    <w:p w14:paraId="673C79B3" w14:textId="77777777" w:rsidR="00CF5253" w:rsidRPr="004A1460" w:rsidRDefault="00CF5253" w:rsidP="00CF5253"/>
    <w:p w14:paraId="1615B3B4" w14:textId="426E0B6D" w:rsidR="00CF5253" w:rsidRPr="00667998" w:rsidRDefault="00CF5253" w:rsidP="00CF5253">
      <w:pPr>
        <w:spacing w:after="0" w:line="240" w:lineRule="auto"/>
        <w:ind w:left="567" w:right="850"/>
        <w:jc w:val="both"/>
        <w:rPr>
          <w:rFonts w:ascii="Palatino Linotype" w:hAnsi="Palatino Linotype" w:cs="Arial"/>
          <w:i/>
          <w:sz w:val="24"/>
        </w:rPr>
      </w:pPr>
      <w:r w:rsidRPr="00667998">
        <w:rPr>
          <w:rFonts w:ascii="Palatino Linotype" w:hAnsi="Palatino Linotype" w:cs="Arial"/>
          <w:i/>
          <w:sz w:val="24"/>
        </w:rPr>
        <w:t>“</w:t>
      </w:r>
      <w:r w:rsidR="00F81987" w:rsidRPr="00F81987">
        <w:rPr>
          <w:rFonts w:ascii="Palatino Linotype" w:hAnsi="Palatino Linotype" w:cs="Arial"/>
          <w:i/>
          <w:sz w:val="24"/>
        </w:rPr>
        <w:t xml:space="preserve">1.- Información de la cantidad total de dinero caudado por concepto de Derecho de alumbrado público por cada año fiscal siguiente 2021, 2020, 2019, 2018, 2017 y 2016. 2.- Cantidad de dinero que por concepto de derecho de alumbrado público fue reintegrado a personas morales o físicas por haber ganado un juicio de amparo, durante el año fiscal 2021, 2020, 2019, 2018, 2017 y 2016. 3. Cantidad de dinero </w:t>
      </w:r>
      <w:r w:rsidR="00F81987" w:rsidRPr="00F81987">
        <w:rPr>
          <w:rFonts w:ascii="Palatino Linotype" w:hAnsi="Palatino Linotype" w:cs="Arial"/>
          <w:i/>
          <w:sz w:val="24"/>
        </w:rPr>
        <w:lastRenderedPageBreak/>
        <w:t xml:space="preserve">que el municipio destino para el pago del derecho de alumbrado </w:t>
      </w:r>
      <w:proofErr w:type="spellStart"/>
      <w:r w:rsidR="00F81987" w:rsidRPr="00F81987">
        <w:rPr>
          <w:rFonts w:ascii="Palatino Linotype" w:hAnsi="Palatino Linotype" w:cs="Arial"/>
          <w:i/>
          <w:sz w:val="24"/>
        </w:rPr>
        <w:t>publico</w:t>
      </w:r>
      <w:proofErr w:type="spellEnd"/>
      <w:r w:rsidR="00F81987" w:rsidRPr="00F81987">
        <w:rPr>
          <w:rFonts w:ascii="Palatino Linotype" w:hAnsi="Palatino Linotype" w:cs="Arial"/>
          <w:i/>
          <w:sz w:val="24"/>
        </w:rPr>
        <w:t xml:space="preserve"> para los años fiscales 2021, 2020, 2019, 2018, 2017 y 2016</w:t>
      </w:r>
      <w:r w:rsidRPr="00667998">
        <w:rPr>
          <w:rFonts w:ascii="Palatino Linotype" w:hAnsi="Palatino Linotype" w:cs="Arial"/>
          <w:i/>
          <w:sz w:val="24"/>
        </w:rPr>
        <w:t>” (Sic).</w:t>
      </w:r>
    </w:p>
    <w:p w14:paraId="599BB48A" w14:textId="77777777" w:rsidR="00CF5253" w:rsidRPr="00667998" w:rsidRDefault="00CF5253" w:rsidP="00CF5253">
      <w:pPr>
        <w:spacing w:after="0" w:line="360" w:lineRule="auto"/>
        <w:ind w:right="850"/>
        <w:jc w:val="both"/>
        <w:rPr>
          <w:rFonts w:ascii="Palatino Linotype" w:hAnsi="Palatino Linotype" w:cs="Arial"/>
          <w:b/>
          <w:sz w:val="2"/>
        </w:rPr>
      </w:pPr>
    </w:p>
    <w:p w14:paraId="4569FC28" w14:textId="66FF5C7C" w:rsidR="00CF5253" w:rsidRPr="004A1460" w:rsidRDefault="00D136C4" w:rsidP="00D136C4">
      <w:pPr>
        <w:tabs>
          <w:tab w:val="left" w:pos="6571"/>
        </w:tabs>
      </w:pPr>
      <w:r>
        <w:tab/>
      </w:r>
    </w:p>
    <w:p w14:paraId="0DFB6533" w14:textId="576CDB81" w:rsidR="00CF5253" w:rsidRDefault="00CF5253" w:rsidP="00CF5253">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r w:rsidR="000A5106">
        <w:rPr>
          <w:rFonts w:ascii="Palatino Linotype" w:hAnsi="Palatino Linotype" w:cs="Arial"/>
          <w:b/>
          <w:sz w:val="24"/>
        </w:rPr>
        <w:t xml:space="preserve"> y correo electrónico</w:t>
      </w:r>
      <w:r w:rsidR="000A5106">
        <w:rPr>
          <w:rFonts w:ascii="Palatino Linotype" w:hAnsi="Palatino Linotype" w:cs="Arial"/>
          <w:sz w:val="24"/>
        </w:rPr>
        <w:t>, tal como se muestra a continuación</w:t>
      </w:r>
      <w:r w:rsidR="000A5106">
        <w:rPr>
          <w:rFonts w:ascii="Palatino Linotype" w:hAnsi="Palatino Linotype" w:cs="Arial"/>
          <w:b/>
          <w:sz w:val="24"/>
        </w:rPr>
        <w:t>:</w:t>
      </w:r>
    </w:p>
    <w:p w14:paraId="3EA1920D" w14:textId="5A6B69AF" w:rsidR="000A5106" w:rsidRPr="00667998" w:rsidRDefault="007E61F0" w:rsidP="00CF5253">
      <w:pPr>
        <w:spacing w:after="0" w:line="360" w:lineRule="auto"/>
        <w:ind w:right="850"/>
        <w:jc w:val="both"/>
        <w:rPr>
          <w:rFonts w:ascii="Palatino Linotype" w:hAnsi="Palatino Linotype" w:cs="Arial"/>
          <w:b/>
          <w:sz w:val="24"/>
        </w:rPr>
      </w:pPr>
      <w:r>
        <w:rPr>
          <w:rFonts w:ascii="Palatino Linotype" w:hAnsi="Palatino Linotype" w:cs="Arial"/>
          <w:b/>
          <w:noProof/>
          <w:sz w:val="24"/>
          <w:lang w:eastAsia="es-MX"/>
        </w:rPr>
        <w:drawing>
          <wp:inline distT="0" distB="0" distL="0" distR="0" wp14:anchorId="2E15039E" wp14:editId="359C24DF">
            <wp:extent cx="5812325" cy="66698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7682" cy="672193"/>
                    </a:xfrm>
                    <a:prstGeom prst="rect">
                      <a:avLst/>
                    </a:prstGeom>
                    <a:noFill/>
                    <a:ln>
                      <a:noFill/>
                    </a:ln>
                  </pic:spPr>
                </pic:pic>
              </a:graphicData>
            </a:graphic>
          </wp:inline>
        </w:drawing>
      </w:r>
    </w:p>
    <w:p w14:paraId="006600C4" w14:textId="56572D47" w:rsidR="00CF5253" w:rsidRDefault="00EF3701" w:rsidP="00CF5253">
      <w:pPr>
        <w:spacing w:after="0" w:line="360" w:lineRule="auto"/>
        <w:jc w:val="both"/>
        <w:rPr>
          <w:rFonts w:ascii="Palatino Linotype" w:hAnsi="Palatino Linotype" w:cs="Arial"/>
          <w:b/>
          <w:sz w:val="28"/>
        </w:rPr>
      </w:pPr>
      <w:r>
        <w:rPr>
          <w:rFonts w:ascii="Palatino Linotype" w:hAnsi="Palatino Linotype" w:cs="Arial"/>
          <w:b/>
          <w:sz w:val="28"/>
        </w:rPr>
        <w:t xml:space="preserve"> </w:t>
      </w:r>
    </w:p>
    <w:p w14:paraId="64380B42" w14:textId="77777777" w:rsidR="00CF5253" w:rsidRPr="00667998" w:rsidRDefault="00CF5253" w:rsidP="00CF5253">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 respuesta del Sujeto Obligado.</w:t>
      </w:r>
    </w:p>
    <w:p w14:paraId="39329387" w14:textId="24624193" w:rsidR="00CF5253" w:rsidRDefault="00CF5253" w:rsidP="002E4812">
      <w:pPr>
        <w:tabs>
          <w:tab w:val="right" w:pos="8505"/>
        </w:tabs>
        <w:spacing w:after="0" w:line="360" w:lineRule="auto"/>
        <w:jc w:val="both"/>
        <w:rPr>
          <w:rFonts w:ascii="Palatino Linotype" w:hAnsi="Palatino Linotype" w:cs="Arial"/>
        </w:rPr>
      </w:pPr>
      <w:r w:rsidRPr="00667998">
        <w:rPr>
          <w:rFonts w:ascii="Palatino Linotype" w:hAnsi="Palatino Linotype" w:cs="Arial"/>
          <w:sz w:val="24"/>
        </w:rPr>
        <w:t xml:space="preserve">De las constancias que obran en el SAIMEX, se advierte que </w:t>
      </w:r>
      <w:r w:rsidR="00F24914">
        <w:rPr>
          <w:rFonts w:ascii="Palatino Linotype" w:hAnsi="Palatino Linotype" w:cs="Arial"/>
          <w:sz w:val="24"/>
        </w:rPr>
        <w:t>el Sujeto Obligado fue omiso en responder.</w:t>
      </w:r>
    </w:p>
    <w:p w14:paraId="687A7912" w14:textId="77777777" w:rsidR="002E4812" w:rsidRPr="002E4812" w:rsidRDefault="002E4812" w:rsidP="002E4812">
      <w:pPr>
        <w:tabs>
          <w:tab w:val="right" w:pos="8505"/>
        </w:tabs>
        <w:spacing w:after="0" w:line="360" w:lineRule="auto"/>
        <w:jc w:val="both"/>
        <w:rPr>
          <w:rFonts w:ascii="Palatino Linotype" w:hAnsi="Palatino Linotype" w:cs="Arial"/>
        </w:rPr>
      </w:pPr>
    </w:p>
    <w:p w14:paraId="645261CE" w14:textId="77777777" w:rsidR="00CF5253" w:rsidRPr="00667998" w:rsidRDefault="00CF5253" w:rsidP="00CF5253">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477F0BC7" w14:textId="7EEC06D0" w:rsidR="00CF5253" w:rsidRPr="00667998" w:rsidRDefault="00CF5253" w:rsidP="00CF5253">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w:t>
      </w:r>
      <w:r w:rsidR="007B32EB">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sidR="00CF76CB">
        <w:rPr>
          <w:rFonts w:ascii="Palatino Linotype" w:hAnsi="Palatino Linotype" w:cs="Arial"/>
          <w:sz w:val="24"/>
          <w:szCs w:val="24"/>
        </w:rPr>
        <w:t>quince de abril</w:t>
      </w:r>
      <w:r w:rsidR="00EF3701">
        <w:rPr>
          <w:rFonts w:ascii="Palatino Linotype" w:hAnsi="Palatino Linotype" w:cs="Arial"/>
          <w:sz w:val="24"/>
          <w:szCs w:val="24"/>
        </w:rPr>
        <w:t xml:space="preserve"> de dos mil 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CF76CB">
        <w:rPr>
          <w:rFonts w:ascii="Palatino Linotype" w:hAnsi="Palatino Linotype" w:cs="Arial"/>
          <w:b/>
          <w:bCs/>
          <w:sz w:val="24"/>
          <w:szCs w:val="24"/>
          <w:lang w:eastAsia="es-MX"/>
        </w:rPr>
        <w:t>001760</w:t>
      </w:r>
      <w:r w:rsidRPr="00667998">
        <w:rPr>
          <w:rFonts w:ascii="Palatino Linotype" w:hAnsi="Palatino Linotype" w:cs="Arial"/>
          <w:b/>
          <w:bCs/>
          <w:sz w:val="24"/>
          <w:szCs w:val="24"/>
          <w:lang w:eastAsia="es-MX"/>
        </w:rPr>
        <w:t>/INFOEM/IP/RR/20</w:t>
      </w:r>
      <w:r w:rsidR="00BA02D1">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bookmarkStart w:id="1" w:name="_GoBack"/>
      <w:bookmarkEnd w:id="1"/>
    </w:p>
    <w:p w14:paraId="6FF3B95E" w14:textId="77777777" w:rsidR="00CF5253" w:rsidRPr="00667998" w:rsidRDefault="00CF5253" w:rsidP="00CF5253">
      <w:pPr>
        <w:spacing w:after="0" w:line="360" w:lineRule="auto"/>
        <w:jc w:val="both"/>
        <w:rPr>
          <w:rFonts w:ascii="Palatino Linotype" w:hAnsi="Palatino Linotype" w:cs="Arial"/>
          <w:b/>
          <w:sz w:val="8"/>
        </w:rPr>
      </w:pPr>
    </w:p>
    <w:p w14:paraId="741B3073" w14:textId="77777777" w:rsidR="00CF5253" w:rsidRPr="00667998" w:rsidRDefault="00CF5253" w:rsidP="00CF5253">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521E9BCB" w14:textId="1F023634" w:rsidR="00CF5253" w:rsidRPr="00667998" w:rsidRDefault="00CF5253" w:rsidP="00CF5253">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CF76CB" w:rsidRPr="00CF76CB">
        <w:rPr>
          <w:rFonts w:ascii="Palatino Linotype" w:hAnsi="Palatino Linotype"/>
          <w:i/>
          <w:color w:val="000000"/>
        </w:rPr>
        <w:t xml:space="preserve">El Ayuntamiento de Naucalpan de Juárez viola mi derecho constitucional de acceso a la información que el suscrito le solicite de manera </w:t>
      </w:r>
      <w:proofErr w:type="spellStart"/>
      <w:r w:rsidR="00CF76CB" w:rsidRPr="00CF76CB">
        <w:rPr>
          <w:rFonts w:ascii="Palatino Linotype" w:hAnsi="Palatino Linotype"/>
          <w:i/>
          <w:color w:val="000000"/>
        </w:rPr>
        <w:t>pacifica</w:t>
      </w:r>
      <w:proofErr w:type="spellEnd"/>
      <w:r w:rsidR="00CF76CB" w:rsidRPr="00CF76CB">
        <w:rPr>
          <w:rFonts w:ascii="Palatino Linotype" w:hAnsi="Palatino Linotype"/>
          <w:i/>
          <w:color w:val="000000"/>
        </w:rPr>
        <w:t xml:space="preserve"> y por escrito, por lo anterior le solicito tenga a bien ordenar que el Ayuntamiento aludido cumpla con sus obligaciones.</w:t>
      </w:r>
      <w:r w:rsidRPr="00CF76CB">
        <w:rPr>
          <w:rFonts w:ascii="Palatino Linotype" w:hAnsi="Palatino Linotype" w:cs="Arial"/>
          <w:i/>
        </w:rPr>
        <w:t xml:space="preserve">” </w:t>
      </w:r>
      <w:r w:rsidRPr="00667998">
        <w:rPr>
          <w:rFonts w:ascii="Palatino Linotype" w:hAnsi="Palatino Linotype" w:cs="Arial"/>
          <w:i/>
        </w:rPr>
        <w:t>[Sic].</w:t>
      </w:r>
    </w:p>
    <w:p w14:paraId="7B4BA9DD" w14:textId="77777777" w:rsidR="00CF5253" w:rsidRPr="004A1460" w:rsidRDefault="00CF5253" w:rsidP="00CF5253">
      <w:pPr>
        <w:spacing w:after="0" w:line="360" w:lineRule="auto"/>
        <w:ind w:left="851" w:right="851"/>
        <w:jc w:val="both"/>
        <w:rPr>
          <w:rFonts w:ascii="Palatino Linotype" w:hAnsi="Palatino Linotype" w:cs="Arial"/>
          <w:i/>
          <w:sz w:val="24"/>
          <w:szCs w:val="24"/>
        </w:rPr>
      </w:pPr>
    </w:p>
    <w:p w14:paraId="20C06B70" w14:textId="77777777" w:rsidR="00CF5253" w:rsidRPr="00667998" w:rsidRDefault="00CF5253" w:rsidP="00CF5253">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10E66DC0" w14:textId="6995BA9F" w:rsidR="00CF5253" w:rsidRPr="00667998" w:rsidRDefault="00CF5253" w:rsidP="00CF5253">
      <w:pPr>
        <w:spacing w:after="0" w:line="240" w:lineRule="auto"/>
        <w:ind w:left="851" w:right="851"/>
        <w:jc w:val="both"/>
        <w:rPr>
          <w:rFonts w:ascii="Palatino Linotype" w:hAnsi="Palatino Linotype" w:cs="Arial"/>
          <w:i/>
        </w:rPr>
      </w:pPr>
      <w:r w:rsidRPr="00B7552E">
        <w:rPr>
          <w:rFonts w:ascii="Palatino Linotype" w:hAnsi="Palatino Linotype" w:cs="Arial"/>
          <w:i/>
        </w:rPr>
        <w:t>“</w:t>
      </w:r>
      <w:r w:rsidR="00CF76CB" w:rsidRPr="00CF76CB">
        <w:rPr>
          <w:rFonts w:ascii="Palatino Linotype" w:hAnsi="Palatino Linotype"/>
          <w:i/>
          <w:color w:val="000000"/>
        </w:rPr>
        <w:t xml:space="preserve">El Ayuntamiento de Naucalpan de Juárez viola mi derecho constitucional de acceso a la información que el suscrito le solicite de manera </w:t>
      </w:r>
      <w:proofErr w:type="spellStart"/>
      <w:r w:rsidR="00CF76CB" w:rsidRPr="00CF76CB">
        <w:rPr>
          <w:rFonts w:ascii="Palatino Linotype" w:hAnsi="Palatino Linotype"/>
          <w:i/>
          <w:color w:val="000000"/>
        </w:rPr>
        <w:t>pacifica</w:t>
      </w:r>
      <w:proofErr w:type="spellEnd"/>
      <w:r w:rsidR="00CF76CB" w:rsidRPr="00CF76CB">
        <w:rPr>
          <w:rFonts w:ascii="Palatino Linotype" w:hAnsi="Palatino Linotype"/>
          <w:i/>
          <w:color w:val="000000"/>
        </w:rPr>
        <w:t xml:space="preserve"> y por escrito, por lo </w:t>
      </w:r>
      <w:r w:rsidR="00CF76CB" w:rsidRPr="00CF76CB">
        <w:rPr>
          <w:rFonts w:ascii="Palatino Linotype" w:hAnsi="Palatino Linotype"/>
          <w:i/>
          <w:color w:val="000000"/>
        </w:rPr>
        <w:lastRenderedPageBreak/>
        <w:t>anterior le solicito tenga a bien ordenar que el Ayuntamiento aludido cumpla con sus obligaciones.</w:t>
      </w:r>
      <w:r w:rsidRPr="00667998">
        <w:rPr>
          <w:rFonts w:ascii="Palatino Linotype" w:hAnsi="Palatino Linotype" w:cs="Arial"/>
          <w:i/>
        </w:rPr>
        <w:t>” [Sic].</w:t>
      </w:r>
    </w:p>
    <w:p w14:paraId="568CB7BC" w14:textId="77777777" w:rsidR="00CF5253" w:rsidRPr="00667998" w:rsidRDefault="00CF5253" w:rsidP="00CF5253">
      <w:pPr>
        <w:spacing w:after="0" w:line="360" w:lineRule="auto"/>
        <w:ind w:right="851"/>
        <w:jc w:val="both"/>
        <w:rPr>
          <w:rFonts w:ascii="Palatino Linotype" w:hAnsi="Palatino Linotype" w:cs="Arial"/>
          <w:i/>
          <w:sz w:val="24"/>
        </w:rPr>
      </w:pPr>
    </w:p>
    <w:p w14:paraId="6F7185C7" w14:textId="77777777" w:rsidR="00CF5253" w:rsidRPr="00667998" w:rsidRDefault="00CF5253" w:rsidP="00CF5253">
      <w:pPr>
        <w:pStyle w:val="Sinespaciado"/>
      </w:pPr>
    </w:p>
    <w:p w14:paraId="7126255E" w14:textId="77777777" w:rsidR="00CF5253" w:rsidRPr="00667998" w:rsidRDefault="00CF5253" w:rsidP="00CF5253">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5F746D93" w14:textId="14C47F51" w:rsidR="00CF5253" w:rsidRPr="00667998" w:rsidRDefault="00CF5253" w:rsidP="00CF525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CF76CB">
        <w:rPr>
          <w:rFonts w:ascii="Palatino Linotype" w:hAnsi="Palatino Linotype" w:cs="Arial"/>
          <w:sz w:val="24"/>
          <w:szCs w:val="24"/>
        </w:rPr>
        <w:t>veintiuno de abril</w:t>
      </w:r>
      <w:r w:rsidR="00FE56FE">
        <w:rPr>
          <w:rFonts w:ascii="Palatino Linotype" w:hAnsi="Palatino Linotype" w:cs="Arial"/>
          <w:sz w:val="24"/>
          <w:szCs w:val="24"/>
        </w:rPr>
        <w:t xml:space="preserve"> de dos mil veintiuno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109C85EF" w14:textId="77777777" w:rsidR="00CF5253" w:rsidRDefault="00CF5253" w:rsidP="00CF5253">
      <w:pPr>
        <w:spacing w:after="0" w:line="360" w:lineRule="auto"/>
        <w:jc w:val="both"/>
        <w:rPr>
          <w:rFonts w:ascii="Palatino Linotype" w:hAnsi="Palatino Linotype" w:cs="Arial"/>
          <w:sz w:val="24"/>
          <w:szCs w:val="24"/>
        </w:rPr>
      </w:pPr>
    </w:p>
    <w:p w14:paraId="5FCADA05" w14:textId="77777777" w:rsidR="00CF5253" w:rsidRPr="00667998" w:rsidRDefault="00CF5253" w:rsidP="00CF5253">
      <w:pPr>
        <w:spacing w:after="0" w:line="360" w:lineRule="auto"/>
        <w:jc w:val="both"/>
        <w:rPr>
          <w:rFonts w:ascii="Palatino Linotype" w:hAnsi="Palatino Linotype" w:cs="Arial"/>
          <w:sz w:val="24"/>
          <w:szCs w:val="24"/>
        </w:rPr>
      </w:pPr>
    </w:p>
    <w:p w14:paraId="041AD480" w14:textId="77777777" w:rsidR="00CF5253" w:rsidRPr="00667998" w:rsidRDefault="00CF5253" w:rsidP="00CF5253">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66064AE0" w14:textId="67A96A3F" w:rsidR="00CF5253" w:rsidRDefault="00CF5253" w:rsidP="00CF525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sidR="00B21C55">
        <w:rPr>
          <w:rFonts w:ascii="Palatino Linotype" w:hAnsi="Palatino Linotype" w:cs="Arial"/>
          <w:sz w:val="24"/>
          <w:szCs w:val="24"/>
        </w:rPr>
        <w:t xml:space="preserve">en fecha </w:t>
      </w:r>
      <w:r w:rsidR="00C271A6">
        <w:rPr>
          <w:rFonts w:ascii="Palatino Linotype" w:hAnsi="Palatino Linotype" w:cs="Arial"/>
          <w:sz w:val="24"/>
          <w:szCs w:val="24"/>
        </w:rPr>
        <w:t>veintiocho de mayo</w:t>
      </w:r>
      <w:r w:rsidR="003631BA">
        <w:rPr>
          <w:rFonts w:ascii="Palatino Linotype" w:hAnsi="Palatino Linotype" w:cs="Arial"/>
          <w:sz w:val="24"/>
          <w:szCs w:val="24"/>
        </w:rPr>
        <w:t xml:space="preserve"> de dos mil veintiuno tuvo a bien rendir</w:t>
      </w:r>
      <w:r w:rsidR="00C271A6">
        <w:rPr>
          <w:rFonts w:ascii="Palatino Linotype" w:hAnsi="Palatino Linotype" w:cs="Arial"/>
          <w:sz w:val="24"/>
          <w:szCs w:val="24"/>
        </w:rPr>
        <w:t xml:space="preserve"> s</w:t>
      </w:r>
      <w:r w:rsidR="00FE56FE">
        <w:rPr>
          <w:rFonts w:ascii="Palatino Linotype" w:hAnsi="Palatino Linotype" w:cs="Arial"/>
          <w:sz w:val="24"/>
          <w:szCs w:val="24"/>
        </w:rPr>
        <w:t>u</w:t>
      </w:r>
      <w:r>
        <w:rPr>
          <w:rFonts w:ascii="Palatino Linotype" w:hAnsi="Palatino Linotype" w:cs="Arial"/>
          <w:sz w:val="24"/>
          <w:szCs w:val="24"/>
        </w:rPr>
        <w:t xml:space="preserve"> Informe Justificado</w:t>
      </w:r>
      <w:r w:rsidRPr="00667998">
        <w:rPr>
          <w:rFonts w:ascii="Palatino Linotype" w:hAnsi="Palatino Linotype" w:cs="Arial"/>
          <w:sz w:val="24"/>
          <w:szCs w:val="24"/>
        </w:rPr>
        <w:t>;</w:t>
      </w:r>
      <w:r>
        <w:rPr>
          <w:rFonts w:ascii="Palatino Linotype" w:hAnsi="Palatino Linotype" w:cs="Arial"/>
          <w:sz w:val="24"/>
          <w:szCs w:val="24"/>
        </w:rPr>
        <w:t xml:space="preserve"> asimismo, el particular </w:t>
      </w:r>
      <w:r w:rsidR="00B902C3">
        <w:rPr>
          <w:rFonts w:ascii="Palatino Linotype" w:hAnsi="Palatino Linotype" w:cs="Arial"/>
          <w:sz w:val="24"/>
          <w:szCs w:val="24"/>
        </w:rPr>
        <w:t xml:space="preserve">no </w:t>
      </w:r>
      <w:r>
        <w:rPr>
          <w:rFonts w:ascii="Palatino Linotype" w:hAnsi="Palatino Linotype" w:cs="Arial"/>
          <w:sz w:val="24"/>
          <w:szCs w:val="24"/>
        </w:rPr>
        <w:t xml:space="preserve">remitió </w:t>
      </w:r>
      <w:r w:rsidR="00B902C3">
        <w:rPr>
          <w:rFonts w:ascii="Palatino Linotype" w:hAnsi="Palatino Linotype" w:cs="Arial"/>
          <w:sz w:val="24"/>
          <w:szCs w:val="24"/>
        </w:rPr>
        <w:t>manifestaciones</w:t>
      </w:r>
      <w:r w:rsidR="00C271A6">
        <w:rPr>
          <w:rFonts w:ascii="Palatino Linotype" w:hAnsi="Palatino Linotype" w:cs="Arial"/>
          <w:sz w:val="24"/>
          <w:szCs w:val="24"/>
        </w:rPr>
        <w:t>.</w:t>
      </w:r>
    </w:p>
    <w:p w14:paraId="1A736DCF" w14:textId="6D1789EC" w:rsidR="00CF5253" w:rsidRPr="00667998" w:rsidRDefault="00CF5253" w:rsidP="00CF5253">
      <w:pPr>
        <w:spacing w:after="0" w:line="360" w:lineRule="auto"/>
        <w:jc w:val="center"/>
        <w:rPr>
          <w:rFonts w:ascii="Palatino Linotype" w:hAnsi="Palatino Linotype" w:cs="Arial"/>
          <w:sz w:val="24"/>
          <w:szCs w:val="24"/>
        </w:rPr>
      </w:pPr>
    </w:p>
    <w:p w14:paraId="59487065" w14:textId="77777777" w:rsidR="00CF5253" w:rsidRDefault="00CF5253" w:rsidP="00CF5253">
      <w:pPr>
        <w:pStyle w:val="Sinespaciado"/>
      </w:pPr>
    </w:p>
    <w:p w14:paraId="4B0CB67F" w14:textId="77777777" w:rsidR="00CF5253" w:rsidRPr="00C220D0" w:rsidRDefault="00CF5253" w:rsidP="00CF5253">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5A7C5CF" w14:textId="44262313" w:rsidR="00CF5253" w:rsidRDefault="00CF5253" w:rsidP="00CF5253">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FE56FE">
        <w:rPr>
          <w:rFonts w:ascii="Palatino Linotype" w:hAnsi="Palatino Linotype" w:cs="Arial"/>
          <w:sz w:val="24"/>
          <w:szCs w:val="24"/>
        </w:rPr>
        <w:t>veinticuatro de febrero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w:t>
      </w:r>
      <w:r w:rsidR="00FE56FE">
        <w:rPr>
          <w:rFonts w:ascii="Palatino Linotype" w:hAnsi="Palatino Linotype" w:cs="Arial"/>
          <w:sz w:val="24"/>
          <w:szCs w:val="24"/>
        </w:rPr>
        <w:t xml:space="preserve"> de resolución correspondiente.</w:t>
      </w:r>
    </w:p>
    <w:p w14:paraId="105C5179" w14:textId="77777777" w:rsidR="00CF5253" w:rsidRPr="00667998" w:rsidRDefault="00CF5253" w:rsidP="00CF5253">
      <w:pPr>
        <w:spacing w:after="0" w:line="360" w:lineRule="auto"/>
        <w:jc w:val="both"/>
        <w:rPr>
          <w:rFonts w:ascii="Palatino Linotype" w:hAnsi="Palatino Linotype" w:cs="Arial"/>
          <w:sz w:val="24"/>
          <w:szCs w:val="24"/>
        </w:rPr>
      </w:pPr>
    </w:p>
    <w:p w14:paraId="40AE3612" w14:textId="77777777" w:rsidR="00CF5253" w:rsidRPr="00667998" w:rsidRDefault="00CF5253" w:rsidP="00CF5253">
      <w:pPr>
        <w:spacing w:after="0" w:line="360" w:lineRule="auto"/>
        <w:jc w:val="center"/>
        <w:rPr>
          <w:rFonts w:ascii="Palatino Linotype" w:hAnsi="Palatino Linotype" w:cs="Arial"/>
          <w:b/>
          <w:sz w:val="28"/>
        </w:rPr>
      </w:pPr>
      <w:r w:rsidRPr="00667998">
        <w:rPr>
          <w:rFonts w:ascii="Palatino Linotype" w:hAnsi="Palatino Linotype" w:cs="Arial"/>
          <w:b/>
          <w:sz w:val="28"/>
        </w:rPr>
        <w:lastRenderedPageBreak/>
        <w:t xml:space="preserve">C O N S I D E R A N D O </w:t>
      </w:r>
    </w:p>
    <w:p w14:paraId="765D2355" w14:textId="77777777" w:rsidR="00CF5253" w:rsidRPr="00C220D0" w:rsidRDefault="00CF5253" w:rsidP="00CF5253">
      <w:pPr>
        <w:pStyle w:val="Sinespaciado"/>
        <w:rPr>
          <w:rFonts w:ascii="Palatino Linotype" w:hAnsi="Palatino Linotype"/>
        </w:rPr>
      </w:pPr>
    </w:p>
    <w:p w14:paraId="5E3EDA62" w14:textId="77777777" w:rsidR="00771878" w:rsidRPr="002E2CCE" w:rsidRDefault="00771878" w:rsidP="00771878">
      <w:pPr>
        <w:spacing w:before="240" w:line="360" w:lineRule="auto"/>
        <w:jc w:val="both"/>
        <w:rPr>
          <w:rFonts w:ascii="Palatino Linotype" w:hAnsi="Palatino Linotype" w:cs="Arial"/>
          <w:sz w:val="24"/>
          <w:lang w:val="es-ES"/>
        </w:rPr>
      </w:pPr>
      <w:r w:rsidRPr="002E2CCE">
        <w:rPr>
          <w:rFonts w:ascii="Palatino Linotype" w:hAnsi="Palatino Linotype" w:cs="Arial"/>
          <w:b/>
          <w:sz w:val="28"/>
          <w:lang w:val="es-ES"/>
        </w:rPr>
        <w:t>PRIMERO.</w:t>
      </w:r>
      <w:r w:rsidRPr="002E2CCE">
        <w:rPr>
          <w:rFonts w:ascii="Palatino Linotype" w:hAnsi="Palatino Linotype" w:cs="Arial"/>
          <w:b/>
          <w:lang w:val="es-ES"/>
        </w:rPr>
        <w:t xml:space="preserve"> </w:t>
      </w:r>
      <w:r w:rsidRPr="002E2CCE">
        <w:rPr>
          <w:rFonts w:ascii="Palatino Linotype" w:hAnsi="Palatino Linotype" w:cs="Arial"/>
          <w:b/>
          <w:sz w:val="28"/>
          <w:szCs w:val="28"/>
          <w:lang w:val="es-ES"/>
        </w:rPr>
        <w:t>De la competencia</w:t>
      </w:r>
      <w:r w:rsidRPr="002E2CCE">
        <w:rPr>
          <w:rFonts w:ascii="Palatino Linotype" w:hAnsi="Palatino Linotype" w:cs="Arial"/>
          <w:sz w:val="28"/>
          <w:szCs w:val="28"/>
          <w:lang w:val="es-ES"/>
        </w:rPr>
        <w:t>.</w:t>
      </w:r>
    </w:p>
    <w:p w14:paraId="2C4CBE37" w14:textId="77777777" w:rsidR="00771878" w:rsidRPr="002E2CCE" w:rsidRDefault="00771878" w:rsidP="00771878">
      <w:pPr>
        <w:spacing w:before="240" w:after="240" w:line="360" w:lineRule="auto"/>
        <w:jc w:val="both"/>
        <w:rPr>
          <w:rFonts w:ascii="Palatino Linotype" w:hAnsi="Palatino Linotype" w:cs="Arial"/>
          <w:sz w:val="24"/>
          <w:lang w:val="es-ES"/>
        </w:rPr>
      </w:pPr>
      <w:r w:rsidRPr="002E2CCE">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2F2738D" w14:textId="77777777" w:rsidR="00771878" w:rsidRPr="002E2CCE" w:rsidRDefault="00771878" w:rsidP="00771878">
      <w:pPr>
        <w:pStyle w:val="Prrafodelista"/>
        <w:autoSpaceDE w:val="0"/>
        <w:autoSpaceDN w:val="0"/>
        <w:adjustRightInd w:val="0"/>
        <w:spacing w:before="240" w:after="160" w:line="360" w:lineRule="auto"/>
        <w:ind w:left="0"/>
        <w:jc w:val="both"/>
        <w:rPr>
          <w:rFonts w:ascii="Palatino Linotype" w:hAnsi="Palatino Linotype" w:cs="Arial"/>
          <w:b/>
        </w:rPr>
      </w:pPr>
      <w:r w:rsidRPr="002E2CCE">
        <w:rPr>
          <w:rFonts w:ascii="Palatino Linotype" w:hAnsi="Palatino Linotype" w:cs="Arial"/>
          <w:b/>
          <w:sz w:val="28"/>
        </w:rPr>
        <w:t>SEGUNDO</w:t>
      </w:r>
      <w:r w:rsidRPr="002E2CCE">
        <w:rPr>
          <w:rFonts w:ascii="Palatino Linotype" w:hAnsi="Palatino Linotype" w:cs="Arial"/>
          <w:b/>
        </w:rPr>
        <w:t xml:space="preserve">. </w:t>
      </w:r>
      <w:r w:rsidRPr="002E2CCE">
        <w:rPr>
          <w:rFonts w:ascii="Palatino Linotype" w:hAnsi="Palatino Linotype" w:cs="Arial"/>
          <w:b/>
          <w:sz w:val="28"/>
          <w:szCs w:val="28"/>
        </w:rPr>
        <w:t>Sobre los alcances del recurso de revisión.</w:t>
      </w:r>
      <w:r w:rsidRPr="002E2CCE">
        <w:rPr>
          <w:rFonts w:ascii="Palatino Linotype" w:hAnsi="Palatino Linotype" w:cs="Arial"/>
          <w:b/>
        </w:rPr>
        <w:t xml:space="preserve"> </w:t>
      </w:r>
    </w:p>
    <w:p w14:paraId="6A47C44F" w14:textId="77777777" w:rsidR="00771878" w:rsidRPr="002E2CCE" w:rsidRDefault="00771878" w:rsidP="00771878">
      <w:pPr>
        <w:pStyle w:val="Prrafodelista"/>
        <w:autoSpaceDE w:val="0"/>
        <w:autoSpaceDN w:val="0"/>
        <w:adjustRightInd w:val="0"/>
        <w:spacing w:before="240" w:after="160" w:line="360" w:lineRule="auto"/>
        <w:ind w:left="0"/>
        <w:jc w:val="both"/>
        <w:rPr>
          <w:rFonts w:ascii="Palatino Linotype" w:hAnsi="Palatino Linotype" w:cs="Arial"/>
        </w:rPr>
      </w:pPr>
      <w:r w:rsidRPr="002E2CCE">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2E2CCE">
        <w:rPr>
          <w:rFonts w:ascii="Palatino Linotype" w:hAnsi="Palatino Linotype" w:cs="Arial"/>
        </w:rPr>
        <w:lastRenderedPageBreak/>
        <w:t>derecho de acceso a la información pública y garantizando el principio rector de máxima publicidad.</w:t>
      </w:r>
    </w:p>
    <w:p w14:paraId="5E42ED9A" w14:textId="77777777" w:rsidR="00771878" w:rsidRPr="002E2CCE" w:rsidRDefault="00771878" w:rsidP="00771878">
      <w:pPr>
        <w:pStyle w:val="Sinespaciado"/>
        <w:spacing w:before="240" w:after="240" w:line="360" w:lineRule="auto"/>
        <w:jc w:val="both"/>
        <w:rPr>
          <w:rFonts w:ascii="Palatino Linotype" w:hAnsi="Palatino Linotype"/>
          <w:b/>
          <w:sz w:val="28"/>
          <w:szCs w:val="28"/>
          <w:lang w:val="es-ES"/>
        </w:rPr>
      </w:pPr>
      <w:r w:rsidRPr="002E2CCE">
        <w:rPr>
          <w:rFonts w:ascii="Palatino Linotype" w:hAnsi="Palatino Linotype"/>
          <w:b/>
          <w:sz w:val="28"/>
          <w:szCs w:val="28"/>
          <w:lang w:val="es-ES"/>
        </w:rPr>
        <w:t>TERCERO. De las causas de improcedencia.</w:t>
      </w:r>
    </w:p>
    <w:p w14:paraId="48A22428" w14:textId="6CACD0D3"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 xml:space="preserve">En el procedimiento de acceso a la información y de </w:t>
      </w:r>
      <w:r w:rsidR="00D72336">
        <w:rPr>
          <w:rFonts w:ascii="Palatino Linotype" w:hAnsi="Palatino Linotype"/>
          <w:lang w:val="es-ES"/>
        </w:rPr>
        <w:t xml:space="preserve">los medios de impugnación de la </w:t>
      </w:r>
      <w:r w:rsidRPr="002E2CCE">
        <w:rPr>
          <w:rFonts w:ascii="Palatino Linotype" w:hAnsi="Palatino Linotype"/>
          <w:lang w:val="es-ES"/>
        </w:rPr>
        <w:t>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51EC00"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E2CCE">
        <w:rPr>
          <w:rStyle w:val="Refdenotaalpie"/>
          <w:rFonts w:ascii="Palatino Linotype" w:hAnsi="Palatino Linotype" w:cs="Arial"/>
          <w:lang w:val="es-ES"/>
        </w:rPr>
        <w:footnoteReference w:id="1"/>
      </w:r>
      <w:r w:rsidRPr="002E2CCE">
        <w:rPr>
          <w:rFonts w:ascii="Palatino Linotype" w:hAnsi="Palatino Linotype"/>
          <w:lang w:val="es-ES"/>
        </w:rPr>
        <w:t xml:space="preserve">, la cual permite dilucidar </w:t>
      </w:r>
      <w:r w:rsidRPr="002E2CCE">
        <w:rPr>
          <w:rFonts w:ascii="Palatino Linotype" w:hAnsi="Palatino Linotype"/>
          <w:lang w:val="es-ES"/>
        </w:rPr>
        <w:lastRenderedPageBreak/>
        <w:t>alguna causal que impida el estudio y resolución, cuando una vez admitido el recurso de revisión se advierta una causa de improcedencia que permita sobreseerlo, sin estudiar el fondo del asunto.</w:t>
      </w:r>
    </w:p>
    <w:p w14:paraId="54D76AD4"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72A3502"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b/>
          <w:sz w:val="28"/>
          <w:szCs w:val="28"/>
          <w:lang w:val="es-ES"/>
        </w:rPr>
        <w:t>CUARTO. Estudio y resolución del asunto.</w:t>
      </w:r>
    </w:p>
    <w:p w14:paraId="59408071" w14:textId="77777777" w:rsidR="00771878" w:rsidRPr="002E2CCE" w:rsidRDefault="00771878" w:rsidP="00771878">
      <w:pPr>
        <w:pStyle w:val="Sinespaciado"/>
        <w:spacing w:before="240" w:after="240" w:line="360" w:lineRule="auto"/>
        <w:jc w:val="both"/>
        <w:rPr>
          <w:rFonts w:ascii="Palatino Linotype" w:hAnsi="Palatino Linotype"/>
          <w:lang w:val="es-ES"/>
        </w:rPr>
      </w:pPr>
      <w:r w:rsidRPr="002E2CCE">
        <w:rPr>
          <w:rFonts w:ascii="Palatino Linotype" w:hAnsi="Palatino Linotype"/>
          <w:lang w:val="es-ES"/>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2E2CCE">
        <w:rPr>
          <w:rFonts w:ascii="Palatino Linotype" w:hAnsi="Palatino Linotype"/>
          <w:lang w:val="es-ES"/>
        </w:rPr>
        <w:lastRenderedPageBreak/>
        <w:t>el Estado Mexicano sea parte, en concordancia con el párrafo tercero del artículo 1 de la Constitución Federal y el diverso 8 de la Ley de Transparencia local.</w:t>
      </w:r>
    </w:p>
    <w:p w14:paraId="1A8C4C6A" w14:textId="77777777" w:rsidR="00771878" w:rsidRPr="002E2CCE" w:rsidRDefault="00771878" w:rsidP="00771878">
      <w:pPr>
        <w:tabs>
          <w:tab w:val="left" w:pos="709"/>
        </w:tabs>
        <w:spacing w:before="240" w:line="360" w:lineRule="auto"/>
        <w:ind w:right="51"/>
        <w:jc w:val="both"/>
        <w:rPr>
          <w:rFonts w:ascii="Palatino Linotype" w:hAnsi="Palatino Linotype"/>
          <w:sz w:val="24"/>
          <w:szCs w:val="24"/>
          <w:lang w:val="es-ES"/>
        </w:rPr>
      </w:pPr>
      <w:r w:rsidRPr="002E2CCE">
        <w:rPr>
          <w:rFonts w:ascii="Palatino Linotype" w:hAnsi="Palatino Linotype"/>
          <w:sz w:val="24"/>
          <w:szCs w:val="24"/>
          <w:lang w:val="es-ES"/>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135C3E6D" w14:textId="77777777" w:rsidR="00771878" w:rsidRPr="002E2CCE" w:rsidRDefault="00771878" w:rsidP="00771878">
      <w:pPr>
        <w:tabs>
          <w:tab w:val="left" w:pos="709"/>
        </w:tabs>
        <w:spacing w:before="240" w:line="360" w:lineRule="auto"/>
        <w:ind w:right="51"/>
        <w:jc w:val="both"/>
        <w:rPr>
          <w:rFonts w:ascii="Palatino Linotype" w:hAnsi="Palatino Linotype"/>
          <w:sz w:val="24"/>
          <w:szCs w:val="24"/>
          <w:lang w:val="es-ES"/>
        </w:rPr>
      </w:pPr>
      <w:r w:rsidRPr="002E2CCE">
        <w:rPr>
          <w:rFonts w:ascii="Palatino Linotype" w:hAnsi="Palatino Linotype"/>
          <w:sz w:val="24"/>
          <w:szCs w:val="24"/>
          <w:lang w:val="es-ES"/>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2E2CCE">
        <w:rPr>
          <w:rStyle w:val="Refdenotaalpie"/>
          <w:rFonts w:ascii="Palatino Linotype" w:hAnsi="Palatino Linotype"/>
          <w:sz w:val="24"/>
          <w:szCs w:val="24"/>
          <w:lang w:val="es-ES"/>
        </w:rPr>
        <w:footnoteReference w:id="2"/>
      </w:r>
    </w:p>
    <w:p w14:paraId="54D38CC0" w14:textId="77777777" w:rsidR="00771878" w:rsidRPr="002E2CCE" w:rsidRDefault="00771878" w:rsidP="00771878">
      <w:pPr>
        <w:spacing w:before="100" w:beforeAutospacing="1" w:after="100" w:afterAutospacing="1" w:line="360" w:lineRule="auto"/>
        <w:jc w:val="both"/>
        <w:rPr>
          <w:rFonts w:ascii="Palatino Linotype" w:hAnsi="Palatino Linotype" w:cs="Arial"/>
          <w:sz w:val="24"/>
          <w:lang w:val="es-ES"/>
        </w:rPr>
      </w:pPr>
      <w:r w:rsidRPr="002E2CCE">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2E2CCE">
        <w:rPr>
          <w:rFonts w:ascii="Palatino Linotype" w:hAnsi="Palatino Linotype" w:cs="Arial"/>
          <w:b/>
          <w:sz w:val="24"/>
          <w:lang w:val="es-ES"/>
        </w:rPr>
        <w:t>Sujeto Obligado</w:t>
      </w:r>
      <w:r w:rsidRPr="002E2CCE">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w:t>
      </w:r>
      <w:r w:rsidRPr="002E2CCE">
        <w:rPr>
          <w:rFonts w:ascii="Palatino Linotype" w:hAnsi="Palatino Linotype" w:cs="Arial"/>
          <w:sz w:val="24"/>
          <w:lang w:val="es-ES"/>
        </w:rPr>
        <w:lastRenderedPageBreak/>
        <w:t>pueda computar el plazo dispuesto en el artículo 178 de la Ley de la Materia, para la presentación del recurso de revisión.</w:t>
      </w:r>
    </w:p>
    <w:p w14:paraId="52CB8195" w14:textId="77777777" w:rsidR="00771878" w:rsidRPr="002E2CCE" w:rsidRDefault="00771878" w:rsidP="00771878">
      <w:pPr>
        <w:tabs>
          <w:tab w:val="left" w:pos="709"/>
        </w:tabs>
        <w:spacing w:before="240" w:line="360" w:lineRule="auto"/>
        <w:ind w:right="51"/>
        <w:jc w:val="both"/>
        <w:rPr>
          <w:rFonts w:ascii="Palatino Linotype" w:hAnsi="Palatino Linotype"/>
          <w:sz w:val="24"/>
          <w:szCs w:val="24"/>
          <w:lang w:val="es-ES"/>
        </w:rPr>
      </w:pPr>
      <w:r w:rsidRPr="002E2CCE">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6437172E" w14:textId="77777777" w:rsidR="00771878" w:rsidRPr="002E2CCE" w:rsidRDefault="00771878" w:rsidP="00771878">
      <w:pPr>
        <w:spacing w:before="100" w:beforeAutospacing="1" w:after="100" w:afterAutospacing="1"/>
        <w:ind w:left="851" w:right="902"/>
        <w:jc w:val="both"/>
        <w:rPr>
          <w:rFonts w:ascii="Palatino Linotype" w:hAnsi="Palatino Linotype" w:cs="Arial"/>
          <w:lang w:val="es-ES"/>
        </w:rPr>
      </w:pPr>
      <w:r w:rsidRPr="002E2CCE">
        <w:rPr>
          <w:rFonts w:ascii="Palatino Linotype" w:hAnsi="Palatino Linotype" w:cs="Arial"/>
          <w:i/>
          <w:iCs/>
          <w:lang w:val="es-ES"/>
        </w:rPr>
        <w:t>“</w:t>
      </w:r>
      <w:r w:rsidRPr="002E2CCE">
        <w:rPr>
          <w:rFonts w:ascii="Palatino Linotype" w:hAnsi="Palatino Linotype" w:cs="Arial"/>
          <w:b/>
          <w:bCs/>
          <w:i/>
          <w:iCs/>
          <w:lang w:val="es-ES"/>
        </w:rPr>
        <w:t>Artículo 178</w:t>
      </w:r>
      <w:r w:rsidRPr="002E2CCE">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08128B0" w14:textId="77777777" w:rsidR="00771878" w:rsidRPr="002E2CCE" w:rsidRDefault="00771878" w:rsidP="00771878">
      <w:pPr>
        <w:spacing w:before="100" w:beforeAutospacing="1" w:after="100" w:afterAutospacing="1"/>
        <w:ind w:left="851" w:right="902"/>
        <w:jc w:val="both"/>
        <w:rPr>
          <w:rFonts w:ascii="Palatino Linotype" w:hAnsi="Palatino Linotype" w:cs="Arial"/>
          <w:lang w:val="es-ES"/>
        </w:rPr>
      </w:pPr>
      <w:r w:rsidRPr="002E2CCE">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2E2CCE">
        <w:rPr>
          <w:rFonts w:ascii="Palatino Linotype" w:hAnsi="Palatino Linotype" w:cs="Arial"/>
          <w:i/>
          <w:iCs/>
          <w:lang w:val="es-ES"/>
        </w:rPr>
        <w:t> acompañado con el documento que pruebe la fecha en que presentó la solicitud…”</w:t>
      </w:r>
    </w:p>
    <w:p w14:paraId="6602ADC5" w14:textId="77777777" w:rsidR="00771878" w:rsidRPr="002E2CCE" w:rsidRDefault="00771878" w:rsidP="00771878">
      <w:pPr>
        <w:spacing w:before="100" w:beforeAutospacing="1" w:after="100" w:afterAutospacing="1" w:line="360" w:lineRule="auto"/>
        <w:jc w:val="both"/>
        <w:rPr>
          <w:rFonts w:ascii="Palatino Linotype" w:hAnsi="Palatino Linotype" w:cs="Arial"/>
          <w:sz w:val="24"/>
          <w:lang w:val="es-ES"/>
        </w:rPr>
      </w:pPr>
      <w:r w:rsidRPr="002E2CCE">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0FD14380" w14:textId="77777777" w:rsidR="00771878" w:rsidRPr="002E2CCE" w:rsidRDefault="00771878" w:rsidP="00771878">
      <w:pPr>
        <w:spacing w:before="240" w:line="360" w:lineRule="auto"/>
        <w:ind w:left="708" w:right="51" w:firstLine="1"/>
        <w:jc w:val="both"/>
        <w:rPr>
          <w:rFonts w:ascii="Palatino Linotype" w:hAnsi="Palatino Linotype" w:cs="Arial"/>
          <w:i/>
          <w:iCs/>
          <w:lang w:val="es-ES"/>
        </w:rPr>
      </w:pPr>
      <w:r w:rsidRPr="002E2CCE">
        <w:rPr>
          <w:rFonts w:ascii="Palatino Linotype" w:hAnsi="Palatino Linotype" w:cs="Arial"/>
          <w:b/>
          <w:bCs/>
          <w:i/>
          <w:iCs/>
          <w:lang w:val="es-ES"/>
        </w:rPr>
        <w:t>“CRITERIO 0001-15 NEGATIVA FICTA. PLAZO PARA INTERPONER EL RECURSO DE REVISIÓN TRATÁNDOSE DE</w:t>
      </w:r>
      <w:r w:rsidRPr="002E2CCE">
        <w:rPr>
          <w:rFonts w:ascii="Palatino Linotype" w:hAnsi="Palatino Linotype" w:cs="Arial"/>
          <w:i/>
          <w:iCs/>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2E2CCE">
        <w:rPr>
          <w:rFonts w:ascii="Palatino Linotype" w:hAnsi="Palatino Linotype" w:cs="Arial"/>
          <w:i/>
          <w:iCs/>
          <w:lang w:val="es-ES"/>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A172C50" w14:textId="77777777" w:rsidR="00771878" w:rsidRPr="002E2CCE" w:rsidRDefault="00771878" w:rsidP="00771878">
      <w:pPr>
        <w:spacing w:before="240" w:line="360" w:lineRule="auto"/>
        <w:ind w:right="51" w:firstLine="1"/>
        <w:jc w:val="both"/>
        <w:rPr>
          <w:rFonts w:ascii="Palatino Linotype" w:hAnsi="Palatino Linotype"/>
          <w:sz w:val="24"/>
          <w:szCs w:val="24"/>
          <w:lang w:val="es-ES"/>
        </w:rPr>
      </w:pPr>
      <w:r w:rsidRPr="002E2CCE">
        <w:rPr>
          <w:rFonts w:ascii="Palatino Linotype" w:hAnsi="Palatino Linotype"/>
          <w:sz w:val="24"/>
          <w:szCs w:val="24"/>
          <w:lang w:val="es-ES"/>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160BD65A" w14:textId="6ED69EDB" w:rsidR="00771878" w:rsidRPr="002E2CCE" w:rsidRDefault="00771878" w:rsidP="00771878">
      <w:pPr>
        <w:spacing w:before="240" w:after="240" w:line="360" w:lineRule="auto"/>
        <w:jc w:val="both"/>
        <w:rPr>
          <w:rFonts w:ascii="Palatino Linotype" w:hAnsi="Palatino Linotype" w:cs="Arial"/>
          <w:sz w:val="24"/>
          <w:szCs w:val="24"/>
          <w:lang w:val="es-ES"/>
        </w:rPr>
      </w:pPr>
      <w:r w:rsidRPr="002E2CCE">
        <w:rPr>
          <w:rFonts w:ascii="Palatino Linotype" w:hAnsi="Palatino Linotype"/>
          <w:sz w:val="24"/>
          <w:szCs w:val="24"/>
          <w:lang w:val="es-ES"/>
        </w:rPr>
        <w:t>Luego</w:t>
      </w:r>
      <w:r w:rsidR="00252583">
        <w:rPr>
          <w:rFonts w:ascii="Palatino Linotype" w:hAnsi="Palatino Linotype"/>
          <w:sz w:val="24"/>
          <w:szCs w:val="24"/>
          <w:lang w:val="es-ES"/>
        </w:rPr>
        <w:t xml:space="preserve"> entonces, es importante resaltar</w:t>
      </w:r>
      <w:r w:rsidRPr="002E2CCE">
        <w:rPr>
          <w:rFonts w:ascii="Palatino Linotype" w:hAnsi="Palatino Linotype"/>
          <w:sz w:val="24"/>
          <w:szCs w:val="24"/>
          <w:lang w:val="es-ES"/>
        </w:rPr>
        <w:t xml:space="preserve"> que </w:t>
      </w:r>
      <w:r w:rsidRPr="002E2CCE">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5F2AF3A4" w14:textId="77777777" w:rsidR="00771878" w:rsidRPr="002E2CCE" w:rsidRDefault="00771878" w:rsidP="00771878">
      <w:pPr>
        <w:spacing w:before="240" w:after="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lastRenderedPageBreak/>
        <w:t xml:space="preserve">Resulta indispensable referir que el derecho de acceso a la información pública implica que cualquier persona pueda acceder y conocer la información contenida en los documentos que se encuentran en posesión de los sujetos obligados. </w:t>
      </w:r>
    </w:p>
    <w:p w14:paraId="0DD1B638" w14:textId="77777777" w:rsidR="00771878" w:rsidRPr="002E2CCE" w:rsidRDefault="00771878" w:rsidP="00771878">
      <w:pPr>
        <w:tabs>
          <w:tab w:val="left" w:pos="709"/>
        </w:tabs>
        <w:spacing w:before="240" w:line="360" w:lineRule="auto"/>
        <w:ind w:right="51"/>
        <w:jc w:val="both"/>
        <w:rPr>
          <w:rFonts w:ascii="Palatino Linotype" w:hAnsi="Palatino Linotype"/>
          <w:sz w:val="24"/>
          <w:lang w:val="es-ES"/>
        </w:rPr>
      </w:pPr>
      <w:r w:rsidRPr="002E2CCE">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41483B70"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sz w:val="24"/>
          <w:szCs w:val="24"/>
          <w:lang w:val="es-ES" w:eastAsia="es-MX"/>
        </w:rPr>
        <w:t xml:space="preserve">En tal sentido primeramente debemos mencionar que </w:t>
      </w:r>
      <w:r w:rsidRPr="002E2CCE">
        <w:rPr>
          <w:rFonts w:ascii="Palatino Linotype" w:hAnsi="Palatino Linotype"/>
          <w:sz w:val="24"/>
          <w:szCs w:val="24"/>
          <w:lang w:val="es-ES"/>
        </w:rPr>
        <w:t xml:space="preserve">para tener por satisfecho </w:t>
      </w:r>
      <w:r w:rsidRPr="002E2CCE">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0B1D2144"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2E2CCE">
        <w:rPr>
          <w:rFonts w:ascii="Palatino Linotype" w:hAnsi="Palatino Linotype" w:cs="Arial"/>
          <w:bCs/>
          <w:color w:val="000000" w:themeColor="text1"/>
          <w:sz w:val="24"/>
          <w:szCs w:val="24"/>
          <w:lang w:val="es-ES"/>
        </w:rPr>
        <w:t>de la Ley de Transparencia y Acceso a la Información Pública del Estado de México y Municipios</w:t>
      </w:r>
      <w:r w:rsidRPr="002E2CCE">
        <w:rPr>
          <w:rFonts w:ascii="Palatino Linotype" w:hAnsi="Palatino Linotype" w:cs="Arial"/>
          <w:color w:val="000000" w:themeColor="text1"/>
          <w:sz w:val="24"/>
          <w:szCs w:val="24"/>
          <w:lang w:val="es-ES"/>
        </w:rPr>
        <w:t>:</w:t>
      </w:r>
    </w:p>
    <w:p w14:paraId="7791DE8E"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3. </w:t>
      </w:r>
      <w:r w:rsidRPr="002E2CCE">
        <w:rPr>
          <w:rFonts w:ascii="Palatino Linotype" w:hAnsi="Palatino Linotype" w:cs="Arial"/>
          <w:bCs/>
          <w:i/>
          <w:color w:val="000000" w:themeColor="text1"/>
          <w:sz w:val="24"/>
          <w:szCs w:val="24"/>
          <w:u w:val="single"/>
          <w:lang w:val="es-ES"/>
        </w:rPr>
        <w:t>Para los efectos de la presente Ley se entenderá por</w:t>
      </w:r>
      <w:r w:rsidRPr="002E2CCE">
        <w:rPr>
          <w:rFonts w:ascii="Palatino Linotype" w:hAnsi="Palatino Linotype" w:cs="Arial"/>
          <w:bCs/>
          <w:i/>
          <w:color w:val="000000" w:themeColor="text1"/>
          <w:sz w:val="24"/>
          <w:szCs w:val="24"/>
          <w:lang w:val="es-ES"/>
        </w:rPr>
        <w:t>:</w:t>
      </w:r>
    </w:p>
    <w:p w14:paraId="3213D7E9" w14:textId="77777777" w:rsidR="00771878" w:rsidRPr="002E2CCE" w:rsidRDefault="00771878" w:rsidP="00771878">
      <w:pPr>
        <w:spacing w:before="240" w:line="360" w:lineRule="auto"/>
        <w:ind w:left="851" w:right="850"/>
        <w:jc w:val="both"/>
        <w:rPr>
          <w:rFonts w:ascii="Palatino Linotype" w:hAnsi="Palatino Linotype" w:cs="Arial"/>
          <w:i/>
          <w:sz w:val="24"/>
          <w:szCs w:val="24"/>
          <w:lang w:val="es-ES"/>
        </w:rPr>
      </w:pPr>
      <w:r w:rsidRPr="002E2CCE">
        <w:rPr>
          <w:rFonts w:ascii="Palatino Linotype" w:hAnsi="Palatino Linotype" w:cs="Arial"/>
          <w:i/>
          <w:sz w:val="24"/>
          <w:szCs w:val="24"/>
          <w:lang w:val="es-ES"/>
        </w:rPr>
        <w:t>…</w:t>
      </w:r>
    </w:p>
    <w:p w14:paraId="3E4ED5E5"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XI. </w:t>
      </w:r>
      <w:r w:rsidRPr="002E2CCE">
        <w:rPr>
          <w:rFonts w:ascii="Palatino Linotype" w:hAnsi="Palatino Linotype" w:cs="Arial"/>
          <w:b/>
          <w:bCs/>
          <w:i/>
          <w:color w:val="000000" w:themeColor="text1"/>
          <w:sz w:val="24"/>
          <w:szCs w:val="24"/>
          <w:u w:val="single"/>
          <w:lang w:val="es-ES"/>
        </w:rPr>
        <w:t>Documento</w:t>
      </w:r>
      <w:r w:rsidRPr="002E2CCE">
        <w:rPr>
          <w:rFonts w:ascii="Palatino Linotype" w:hAnsi="Palatino Linotype" w:cs="Arial"/>
          <w:b/>
          <w:bCs/>
          <w:i/>
          <w:color w:val="000000" w:themeColor="text1"/>
          <w:sz w:val="24"/>
          <w:szCs w:val="24"/>
          <w:lang w:val="es-ES"/>
        </w:rPr>
        <w:t xml:space="preserve">: </w:t>
      </w:r>
      <w:r w:rsidRPr="002E2CCE">
        <w:rPr>
          <w:rFonts w:ascii="Palatino Linotype" w:hAnsi="Palatino Linotype" w:cs="Arial"/>
          <w:i/>
          <w:color w:val="000000" w:themeColor="text1"/>
          <w:sz w:val="24"/>
          <w:szCs w:val="24"/>
          <w:lang w:val="es-ES"/>
        </w:rPr>
        <w:t xml:space="preserve">Los expedientes, reportes, estudios, actas, resoluciones, oficios, correspondencia, acuerdos, directivas, directrices, circulares, contratos, convenios, instructivos, notas, memorandos, estadísticas o bien, cualquier otro </w:t>
      </w:r>
      <w:r w:rsidRPr="002E2CCE">
        <w:rPr>
          <w:rFonts w:ascii="Palatino Linotype" w:hAnsi="Palatino Linotype" w:cs="Arial"/>
          <w:i/>
          <w:color w:val="000000" w:themeColor="text1"/>
          <w:sz w:val="24"/>
          <w:szCs w:val="24"/>
          <w:lang w:val="es-ES"/>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1707A45"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XII. Documento electrónico:</w:t>
      </w:r>
      <w:r w:rsidRPr="002E2CCE">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30F9F3B"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w:t>
      </w:r>
    </w:p>
    <w:p w14:paraId="095C5F26"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4. </w:t>
      </w:r>
      <w:r w:rsidRPr="002E2CCE">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2E2CCE">
        <w:rPr>
          <w:rFonts w:ascii="Palatino Linotype" w:hAnsi="Palatino Linotype" w:cs="Arial"/>
          <w:bCs/>
          <w:i/>
          <w:color w:val="000000" w:themeColor="text1"/>
          <w:sz w:val="24"/>
          <w:szCs w:val="24"/>
          <w:lang w:val="es-ES"/>
        </w:rPr>
        <w:t>, sin necesidad de acreditar personalidad ni interés jurídico.</w:t>
      </w:r>
    </w:p>
    <w:p w14:paraId="37BAD793"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2CCE">
        <w:rPr>
          <w:rFonts w:ascii="Palatino Linotype" w:hAnsi="Palatino Linotype" w:cs="Arial"/>
          <w:i/>
          <w:color w:val="000000" w:themeColor="text1"/>
          <w:sz w:val="24"/>
          <w:szCs w:val="24"/>
          <w:lang w:val="es-ES"/>
        </w:rPr>
        <w:t xml:space="preserve"> Solo podrá ser clasificada excepcionalmente como reservada temporalmente por razones de </w:t>
      </w:r>
      <w:r w:rsidRPr="002E2CCE">
        <w:rPr>
          <w:rFonts w:ascii="Palatino Linotype" w:hAnsi="Palatino Linotype" w:cs="Arial"/>
          <w:i/>
          <w:color w:val="000000" w:themeColor="text1"/>
          <w:sz w:val="24"/>
          <w:szCs w:val="24"/>
          <w:lang w:val="es-ES"/>
        </w:rPr>
        <w:lastRenderedPageBreak/>
        <w:t>interés público, en los términos de las causas legítimas y estrictamente necesarias previstas por esta Ley.</w:t>
      </w:r>
    </w:p>
    <w:p w14:paraId="15ECF7AA"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3EE5F413" w14:textId="77777777" w:rsidR="00771878" w:rsidRPr="002E2CCE" w:rsidRDefault="00771878" w:rsidP="00660B20">
      <w:pPr>
        <w:tabs>
          <w:tab w:val="left" w:pos="8080"/>
        </w:tabs>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12. </w:t>
      </w:r>
      <w:r w:rsidRPr="002E2CCE">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16D1430A"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2E2CCE">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5058AB4"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w:t>
      </w:r>
    </w:p>
    <w:p w14:paraId="70A724CE"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
          <w:bCs/>
          <w:i/>
          <w:color w:val="000000" w:themeColor="text1"/>
          <w:sz w:val="24"/>
          <w:szCs w:val="24"/>
          <w:lang w:val="es-ES"/>
        </w:rPr>
        <w:t xml:space="preserve">Artículo 24. </w:t>
      </w:r>
      <w:r w:rsidRPr="002E2CCE">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573BF822"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Cs/>
          <w:i/>
          <w:color w:val="000000" w:themeColor="text1"/>
          <w:sz w:val="24"/>
          <w:szCs w:val="24"/>
          <w:lang w:val="es-ES"/>
        </w:rPr>
        <w:t>..</w:t>
      </w:r>
      <w:r w:rsidRPr="002E2CCE">
        <w:rPr>
          <w:rFonts w:ascii="Palatino Linotype" w:hAnsi="Palatino Linotype" w:cs="Arial"/>
          <w:i/>
          <w:color w:val="000000" w:themeColor="text1"/>
          <w:sz w:val="24"/>
          <w:szCs w:val="24"/>
          <w:lang w:val="es-ES"/>
        </w:rPr>
        <w:t>.</w:t>
      </w:r>
    </w:p>
    <w:p w14:paraId="32AB0F96"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IX.</w:t>
      </w:r>
      <w:r w:rsidRPr="002E2CCE">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6781C229"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lastRenderedPageBreak/>
        <w:t>…</w:t>
      </w:r>
    </w:p>
    <w:p w14:paraId="78028279" w14:textId="77777777" w:rsidR="00771878" w:rsidRPr="002E2CCE" w:rsidRDefault="00771878" w:rsidP="00771878">
      <w:pPr>
        <w:spacing w:before="240" w:line="360" w:lineRule="auto"/>
        <w:ind w:left="851" w:right="850"/>
        <w:jc w:val="both"/>
        <w:rPr>
          <w:rFonts w:ascii="Palatino Linotype" w:hAnsi="Palatino Linotype" w:cs="Arial"/>
          <w:bCs/>
          <w:i/>
          <w:color w:val="000000" w:themeColor="text1"/>
          <w:sz w:val="24"/>
          <w:szCs w:val="24"/>
          <w:lang w:val="es-ES"/>
        </w:rPr>
      </w:pPr>
      <w:r w:rsidRPr="002E2CCE">
        <w:rPr>
          <w:rFonts w:ascii="Palatino Linotype" w:hAnsi="Palatino Linotype" w:cs="Arial"/>
          <w:b/>
          <w:bCs/>
          <w:i/>
          <w:color w:val="000000" w:themeColor="text1"/>
          <w:sz w:val="24"/>
          <w:szCs w:val="24"/>
          <w:lang w:val="es-ES"/>
        </w:rPr>
        <w:t>XI.</w:t>
      </w:r>
      <w:r w:rsidRPr="002E2CCE">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13544529"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bCs/>
          <w:i/>
          <w:color w:val="000000" w:themeColor="text1"/>
          <w:sz w:val="24"/>
          <w:szCs w:val="24"/>
          <w:lang w:val="es-ES"/>
        </w:rPr>
        <w:t>…</w:t>
      </w:r>
    </w:p>
    <w:p w14:paraId="22EDEA46" w14:textId="77777777" w:rsidR="00771878" w:rsidRPr="002E2CCE" w:rsidRDefault="00771878" w:rsidP="00771878">
      <w:pPr>
        <w:spacing w:before="240" w:line="360" w:lineRule="auto"/>
        <w:ind w:left="851" w:right="850"/>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1C4131A2" w14:textId="77777777" w:rsidR="00771878" w:rsidRPr="002E2CCE" w:rsidRDefault="00771878" w:rsidP="00771878">
      <w:pPr>
        <w:spacing w:before="240" w:line="360" w:lineRule="auto"/>
        <w:ind w:left="851" w:right="851"/>
        <w:jc w:val="both"/>
        <w:rPr>
          <w:rFonts w:ascii="Palatino Linotype" w:hAnsi="Palatino Linotype" w:cs="Arial"/>
          <w:i/>
          <w:color w:val="000000" w:themeColor="text1"/>
          <w:sz w:val="24"/>
          <w:szCs w:val="24"/>
          <w:lang w:val="es-ES"/>
        </w:rPr>
      </w:pPr>
      <w:r w:rsidRPr="002E2CCE">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0C19E228"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805C4E3" w14:textId="77777777" w:rsidR="00771878" w:rsidRPr="002E2CCE" w:rsidRDefault="00771878" w:rsidP="00771878">
      <w:pPr>
        <w:spacing w:before="240" w:line="360" w:lineRule="auto"/>
        <w:jc w:val="both"/>
        <w:rPr>
          <w:rFonts w:ascii="Palatino Linotype" w:hAnsi="Palatino Linotype" w:cs="Arial"/>
          <w:color w:val="000000" w:themeColor="text1"/>
          <w:sz w:val="24"/>
          <w:szCs w:val="24"/>
          <w:lang w:val="es-ES"/>
        </w:rPr>
      </w:pPr>
      <w:r w:rsidRPr="002E2CCE">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05F26AF" w14:textId="0A3DE7CA" w:rsidR="00771878" w:rsidRPr="002E2CCE" w:rsidRDefault="00771878" w:rsidP="00771878">
      <w:pPr>
        <w:tabs>
          <w:tab w:val="left" w:pos="709"/>
        </w:tabs>
        <w:spacing w:before="240" w:line="360" w:lineRule="auto"/>
        <w:ind w:right="51"/>
        <w:jc w:val="both"/>
        <w:rPr>
          <w:rFonts w:ascii="Palatino Linotype" w:hAnsi="Palatino Linotype" w:cs="Arial"/>
          <w:i/>
          <w:sz w:val="24"/>
          <w:szCs w:val="24"/>
          <w:lang w:val="es-ES"/>
        </w:rPr>
      </w:pPr>
      <w:r w:rsidRPr="002E2CCE">
        <w:rPr>
          <w:rFonts w:ascii="Palatino Linotype" w:hAnsi="Palatino Linotype" w:cs="Arial"/>
          <w:sz w:val="24"/>
          <w:szCs w:val="24"/>
          <w:lang w:val="es-ES"/>
        </w:rPr>
        <w:t xml:space="preserve">En primer término, es menester establecer la materia de revisión en el presente asunto, ya que, del análisis al medio de impugnación, se aprecia que la recurrente señala como acto impugnado, </w:t>
      </w:r>
      <w:r w:rsidRPr="002E2CCE">
        <w:rPr>
          <w:rFonts w:ascii="Palatino Linotype" w:hAnsi="Palatino Linotype" w:cs="Arial"/>
          <w:i/>
          <w:sz w:val="24"/>
          <w:szCs w:val="24"/>
          <w:lang w:val="es-ES"/>
        </w:rPr>
        <w:t>“</w:t>
      </w:r>
      <w:r w:rsidR="00F374A3" w:rsidRPr="00F374A3">
        <w:rPr>
          <w:rFonts w:ascii="Palatino Linotype" w:hAnsi="Palatino Linotype" w:cs="Arial"/>
          <w:i/>
          <w:sz w:val="24"/>
          <w:szCs w:val="24"/>
          <w:lang w:val="es-ES"/>
        </w:rPr>
        <w:t xml:space="preserve">El Ayuntamiento de Naucalpan de Juárez viola mi derecho constitucional de acceso a la información que el suscrito le solicite de manera </w:t>
      </w:r>
      <w:proofErr w:type="spellStart"/>
      <w:r w:rsidR="00F374A3" w:rsidRPr="00F374A3">
        <w:rPr>
          <w:rFonts w:ascii="Palatino Linotype" w:hAnsi="Palatino Linotype" w:cs="Arial"/>
          <w:i/>
          <w:sz w:val="24"/>
          <w:szCs w:val="24"/>
          <w:lang w:val="es-ES"/>
        </w:rPr>
        <w:t>pacifica</w:t>
      </w:r>
      <w:proofErr w:type="spellEnd"/>
      <w:r w:rsidR="00F374A3" w:rsidRPr="00F374A3">
        <w:rPr>
          <w:rFonts w:ascii="Palatino Linotype" w:hAnsi="Palatino Linotype" w:cs="Arial"/>
          <w:i/>
          <w:sz w:val="24"/>
          <w:szCs w:val="24"/>
          <w:lang w:val="es-ES"/>
        </w:rPr>
        <w:t xml:space="preserve"> y por escrito, por lo </w:t>
      </w:r>
      <w:r w:rsidR="00F374A3" w:rsidRPr="00F374A3">
        <w:rPr>
          <w:rFonts w:ascii="Palatino Linotype" w:hAnsi="Palatino Linotype" w:cs="Arial"/>
          <w:i/>
          <w:sz w:val="24"/>
          <w:szCs w:val="24"/>
          <w:lang w:val="es-ES"/>
        </w:rPr>
        <w:lastRenderedPageBreak/>
        <w:t>anterior le solicito tenga a bien ordenar que el Ayuntamiento aludido cumpla con sus obligaciones.</w:t>
      </w:r>
      <w:r w:rsidRPr="002E2CCE">
        <w:rPr>
          <w:rFonts w:ascii="Palatino Linotype" w:hAnsi="Palatino Linotype" w:cs="Arial"/>
          <w:i/>
          <w:sz w:val="24"/>
          <w:szCs w:val="24"/>
          <w:lang w:val="es-ES"/>
        </w:rPr>
        <w:t>”.</w:t>
      </w:r>
    </w:p>
    <w:p w14:paraId="0D5BE8D6" w14:textId="77777777" w:rsidR="00771878" w:rsidRPr="002E2CCE" w:rsidRDefault="00771878" w:rsidP="00771878">
      <w:pPr>
        <w:tabs>
          <w:tab w:val="left" w:pos="709"/>
        </w:tabs>
        <w:spacing w:before="240" w:line="360" w:lineRule="auto"/>
        <w:ind w:right="51"/>
        <w:jc w:val="both"/>
        <w:rPr>
          <w:rFonts w:ascii="Palatino Linotype" w:hAnsi="Palatino Linotype" w:cs="Arial"/>
          <w:iCs/>
          <w:sz w:val="24"/>
          <w:szCs w:val="24"/>
          <w:lang w:val="es-ES"/>
        </w:rPr>
      </w:pPr>
      <w:r w:rsidRPr="002E2CCE">
        <w:rPr>
          <w:rFonts w:ascii="Palatino Linotype" w:hAnsi="Palatino Linotype" w:cs="Arial"/>
          <w:iCs/>
          <w:sz w:val="24"/>
          <w:szCs w:val="24"/>
          <w:lang w:val="es-ES"/>
        </w:rPr>
        <w:t>Luego entonces, es menester recordar que el particular tuvo a bien solicitar lo siguiente:</w:t>
      </w:r>
    </w:p>
    <w:p w14:paraId="08433D00" w14:textId="77777777" w:rsidR="00F374A3" w:rsidRPr="00B521A1" w:rsidRDefault="00771878" w:rsidP="00771878">
      <w:pPr>
        <w:spacing w:before="240" w:after="240" w:line="240" w:lineRule="auto"/>
        <w:ind w:left="851" w:right="851"/>
        <w:jc w:val="both"/>
        <w:rPr>
          <w:rFonts w:ascii="Palatino Linotype" w:hAnsi="Palatino Linotype"/>
          <w:color w:val="000000"/>
          <w:sz w:val="24"/>
          <w:lang w:val="es-ES"/>
        </w:rPr>
      </w:pPr>
      <w:r w:rsidRPr="00B521A1">
        <w:rPr>
          <w:rFonts w:ascii="Palatino Linotype" w:eastAsia="Times New Roman" w:hAnsi="Palatino Linotype" w:cs="Times New Roman"/>
          <w:sz w:val="24"/>
          <w:lang w:val="es-ES" w:eastAsia="es-ES"/>
        </w:rPr>
        <w:t>“</w:t>
      </w:r>
      <w:r w:rsidR="00F374A3" w:rsidRPr="00B521A1">
        <w:rPr>
          <w:rFonts w:ascii="Palatino Linotype" w:hAnsi="Palatino Linotype"/>
          <w:color w:val="000000"/>
          <w:sz w:val="24"/>
          <w:lang w:val="es-ES"/>
        </w:rPr>
        <w:t xml:space="preserve">1.- Información de la cantidad total de dinero caudado por concepto de Derecho de alumbrado público por cada año fiscal siguiente 2021, 2020, 2019, 2018, 2017 y 2016. </w:t>
      </w:r>
    </w:p>
    <w:p w14:paraId="729B4316" w14:textId="77777777" w:rsidR="00F374A3" w:rsidRPr="00B521A1" w:rsidRDefault="00F374A3" w:rsidP="00771878">
      <w:pPr>
        <w:spacing w:before="240" w:after="240" w:line="240" w:lineRule="auto"/>
        <w:ind w:left="851" w:right="851"/>
        <w:jc w:val="both"/>
        <w:rPr>
          <w:rFonts w:ascii="Palatino Linotype" w:hAnsi="Palatino Linotype"/>
          <w:color w:val="000000"/>
          <w:sz w:val="24"/>
          <w:lang w:val="es-ES"/>
        </w:rPr>
      </w:pPr>
      <w:r w:rsidRPr="00B521A1">
        <w:rPr>
          <w:rFonts w:ascii="Palatino Linotype" w:hAnsi="Palatino Linotype"/>
          <w:color w:val="000000"/>
          <w:sz w:val="24"/>
          <w:lang w:val="es-ES"/>
        </w:rPr>
        <w:t xml:space="preserve">2.- Cantidad de dinero que por concepto de derecho de alumbrado público fue reintegrado a personas morales o físicas por haber ganado un juicio de amparo, durante el año fiscal 2021, 2020, 2019, 2018, 2017 y 2016. </w:t>
      </w:r>
    </w:p>
    <w:p w14:paraId="1A000487" w14:textId="17D71A47" w:rsidR="00771878" w:rsidRPr="00B521A1" w:rsidRDefault="00F374A3" w:rsidP="00771878">
      <w:pPr>
        <w:spacing w:before="240" w:after="240" w:line="240" w:lineRule="auto"/>
        <w:ind w:left="851" w:right="851"/>
        <w:jc w:val="both"/>
        <w:rPr>
          <w:rFonts w:ascii="Palatino Linotype" w:eastAsia="Times New Roman" w:hAnsi="Palatino Linotype" w:cs="Times New Roman"/>
          <w:sz w:val="24"/>
          <w:lang w:val="es-ES" w:eastAsia="es-ES"/>
        </w:rPr>
      </w:pPr>
      <w:r w:rsidRPr="00B521A1">
        <w:rPr>
          <w:rFonts w:ascii="Palatino Linotype" w:hAnsi="Palatino Linotype"/>
          <w:color w:val="000000"/>
          <w:sz w:val="24"/>
          <w:lang w:val="es-ES"/>
        </w:rPr>
        <w:t>3. Cantidad de dinero que el municipio destino para el pago del derecho de alumbrado público para los años fiscales 2021, 2020, 2019, 2018, 2017 y 2016</w:t>
      </w:r>
      <w:r w:rsidR="00771878" w:rsidRPr="00B521A1">
        <w:rPr>
          <w:rFonts w:ascii="Palatino Linotype" w:hAnsi="Palatino Linotype"/>
          <w:color w:val="000000"/>
          <w:sz w:val="24"/>
          <w:lang w:val="es-ES"/>
        </w:rPr>
        <w:t>”.</w:t>
      </w:r>
      <w:r w:rsidR="00771878" w:rsidRPr="00B521A1">
        <w:rPr>
          <w:rFonts w:ascii="Palatino Linotype" w:eastAsia="Times New Roman" w:hAnsi="Palatino Linotype" w:cs="Times New Roman"/>
          <w:sz w:val="24"/>
          <w:lang w:val="es-ES" w:eastAsia="es-ES"/>
        </w:rPr>
        <w:t xml:space="preserve"> [Sic]</w:t>
      </w:r>
      <w:r w:rsidR="00AC22C8" w:rsidRPr="00B521A1">
        <w:rPr>
          <w:rFonts w:ascii="Palatino Linotype" w:eastAsia="Times New Roman" w:hAnsi="Palatino Linotype" w:cs="Times New Roman"/>
          <w:sz w:val="24"/>
          <w:lang w:val="es-ES" w:eastAsia="es-ES"/>
        </w:rPr>
        <w:t xml:space="preserve"> </w:t>
      </w:r>
    </w:p>
    <w:p w14:paraId="7F5125C5" w14:textId="77777777" w:rsidR="009D27B5" w:rsidRDefault="00771878" w:rsidP="009D27B5">
      <w:pPr>
        <w:spacing w:before="240" w:after="240" w:line="360" w:lineRule="auto"/>
        <w:ind w:right="851"/>
        <w:jc w:val="both"/>
        <w:rPr>
          <w:rFonts w:ascii="Palatino Linotype" w:hAnsi="Palatino Linotype"/>
          <w:color w:val="000000"/>
          <w:sz w:val="24"/>
          <w:lang w:val="es-ES"/>
        </w:rPr>
      </w:pPr>
      <w:r w:rsidRPr="00AC22C8">
        <w:rPr>
          <w:rFonts w:ascii="Palatino Linotype" w:hAnsi="Palatino Linotype"/>
          <w:color w:val="000000"/>
          <w:sz w:val="24"/>
          <w:lang w:val="es-ES"/>
        </w:rPr>
        <w:t>Por su parte el sujeto obligado no dio respuesta</w:t>
      </w:r>
      <w:r w:rsidR="00AC22C8">
        <w:rPr>
          <w:rFonts w:ascii="Palatino Linotype" w:hAnsi="Palatino Linotype"/>
          <w:color w:val="000000"/>
          <w:sz w:val="24"/>
          <w:lang w:val="es-ES"/>
        </w:rPr>
        <w:t xml:space="preserve"> a la solicitud de información.</w:t>
      </w:r>
    </w:p>
    <w:p w14:paraId="46F7B6E9" w14:textId="77777777" w:rsidR="009D27B5" w:rsidRDefault="009D27B5" w:rsidP="009D27B5">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contraste, como fue referido en el antecedente quinto, </w:t>
      </w:r>
      <w:r>
        <w:rPr>
          <w:rFonts w:ascii="Palatino Linotype" w:hAnsi="Palatino Linotype" w:cs="Arial"/>
          <w:b/>
          <w:bCs/>
          <w:sz w:val="24"/>
          <w:szCs w:val="24"/>
          <w:lang w:eastAsia="es-MX"/>
        </w:rPr>
        <w:t xml:space="preserve">El Sujeto Obligado </w:t>
      </w:r>
      <w:r>
        <w:rPr>
          <w:rFonts w:ascii="Palatino Linotype" w:hAnsi="Palatino Linotype" w:cs="Arial"/>
          <w:sz w:val="24"/>
          <w:szCs w:val="24"/>
          <w:lang w:eastAsia="es-MX"/>
        </w:rPr>
        <w:t>rindió su informe justificado, consistente en lo siguiente:</w:t>
      </w:r>
    </w:p>
    <w:p w14:paraId="48D4A9D7" w14:textId="77777777" w:rsidR="00D2494B" w:rsidRPr="00D2494B" w:rsidRDefault="009D27B5" w:rsidP="00CD2624">
      <w:pPr>
        <w:pStyle w:val="Prrafodelista"/>
        <w:numPr>
          <w:ilvl w:val="0"/>
          <w:numId w:val="37"/>
        </w:numPr>
        <w:tabs>
          <w:tab w:val="right" w:leader="dot" w:pos="8505"/>
        </w:tabs>
        <w:spacing w:before="240" w:after="240" w:line="360" w:lineRule="auto"/>
        <w:jc w:val="both"/>
        <w:rPr>
          <w:rFonts w:ascii="Palatino Linotype" w:hAnsi="Palatino Linotype" w:cs="Arial"/>
          <w:b/>
          <w:bCs/>
          <w:lang w:val="es-MX" w:eastAsia="es-MX"/>
        </w:rPr>
      </w:pPr>
      <w:r w:rsidRPr="0096015A">
        <w:rPr>
          <w:rFonts w:ascii="Palatino Linotype" w:hAnsi="Palatino Linotype" w:cs="Arial"/>
          <w:b/>
          <w:bCs/>
          <w:lang w:val="es-MX" w:eastAsia="es-MX"/>
        </w:rPr>
        <w:t>“</w:t>
      </w:r>
      <w:r w:rsidR="00CD2624" w:rsidRPr="00CD2624">
        <w:rPr>
          <w:rFonts w:ascii="Palatino Linotype" w:hAnsi="Palatino Linotype" w:cs="Arial"/>
          <w:b/>
          <w:bCs/>
          <w:lang w:val="es-MX" w:eastAsia="es-MX"/>
        </w:rPr>
        <w:t>UTAIP-0182-2021_202104271104.pdf</w:t>
      </w:r>
      <w:r w:rsidRPr="0096015A">
        <w:rPr>
          <w:rFonts w:ascii="Palatino Linotype" w:hAnsi="Palatino Linotype" w:cs="Arial"/>
          <w:b/>
          <w:bCs/>
          <w:lang w:val="es-MX" w:eastAsia="es-MX"/>
        </w:rPr>
        <w:t xml:space="preserve">”: </w:t>
      </w:r>
      <w:r w:rsidRPr="0096015A">
        <w:rPr>
          <w:rFonts w:ascii="Palatino Linotype" w:hAnsi="Palatino Linotype" w:cs="Arial"/>
          <w:lang w:val="es-MX" w:eastAsia="es-MX"/>
        </w:rPr>
        <w:t xml:space="preserve">Oficio </w:t>
      </w:r>
      <w:r w:rsidR="00CD2624">
        <w:rPr>
          <w:rFonts w:ascii="Palatino Linotype" w:hAnsi="Palatino Linotype" w:cs="Arial"/>
          <w:lang w:val="es-MX" w:eastAsia="es-MX"/>
        </w:rPr>
        <w:t xml:space="preserve">número UTAIP/0182/2021 </w:t>
      </w:r>
      <w:r w:rsidRPr="0096015A">
        <w:rPr>
          <w:rFonts w:ascii="Palatino Linotype" w:hAnsi="Palatino Linotype" w:cs="Arial"/>
          <w:lang w:val="es-MX" w:eastAsia="es-MX"/>
        </w:rPr>
        <w:t>signado por e</w:t>
      </w:r>
      <w:r>
        <w:rPr>
          <w:rFonts w:ascii="Palatino Linotype" w:hAnsi="Palatino Linotype" w:cs="Arial"/>
          <w:lang w:val="es-MX" w:eastAsia="es-MX"/>
        </w:rPr>
        <w:t xml:space="preserve">l </w:t>
      </w:r>
      <w:r w:rsidR="00CD2624">
        <w:rPr>
          <w:rFonts w:ascii="Palatino Linotype" w:hAnsi="Palatino Linotype" w:cs="Arial"/>
          <w:lang w:val="es-MX" w:eastAsia="es-MX"/>
        </w:rPr>
        <w:t xml:space="preserve">Director </w:t>
      </w:r>
      <w:r>
        <w:rPr>
          <w:rFonts w:ascii="Palatino Linotype" w:hAnsi="Palatino Linotype" w:cs="Arial"/>
          <w:lang w:val="es-MX" w:eastAsia="es-MX"/>
        </w:rPr>
        <w:t>de la Unida de Transparencia</w:t>
      </w:r>
      <w:r w:rsidR="002673DB">
        <w:rPr>
          <w:rFonts w:ascii="Palatino Linotype" w:hAnsi="Palatino Linotype" w:cs="Arial"/>
          <w:lang w:val="es-MX" w:eastAsia="es-MX"/>
        </w:rPr>
        <w:t xml:space="preserve"> y Acceso a la Información Pública</w:t>
      </w:r>
      <w:r>
        <w:rPr>
          <w:rFonts w:ascii="Palatino Linotype" w:hAnsi="Palatino Linotype" w:cs="Arial"/>
          <w:lang w:val="es-MX" w:eastAsia="es-MX"/>
        </w:rPr>
        <w:t>, el cual en lo medular</w:t>
      </w:r>
      <w:r w:rsidR="002673DB">
        <w:rPr>
          <w:rFonts w:ascii="Palatino Linotype" w:hAnsi="Palatino Linotype" w:cs="Arial"/>
          <w:lang w:val="es-MX" w:eastAsia="es-MX"/>
        </w:rPr>
        <w:t xml:space="preserve"> solicita realizar un</w:t>
      </w:r>
      <w:r w:rsidR="00D2494B">
        <w:rPr>
          <w:rFonts w:ascii="Palatino Linotype" w:hAnsi="Palatino Linotype" w:cs="Arial"/>
          <w:lang w:val="es-MX" w:eastAsia="es-MX"/>
        </w:rPr>
        <w:t xml:space="preserve">a búsqueda exhaustiva  dentro de los archivos de las áreas competentes a su digno cargo, a la unidad de transparencia en un término no mayor a 3 días hábiles de los documentos  que den atención a la garantía individual de acceso a la información del ahora </w:t>
      </w:r>
      <w:r w:rsidR="00D2494B">
        <w:rPr>
          <w:rFonts w:ascii="Palatino Linotype" w:hAnsi="Palatino Linotype" w:cs="Arial"/>
          <w:lang w:val="es-MX" w:eastAsia="es-MX"/>
        </w:rPr>
        <w:lastRenderedPageBreak/>
        <w:t xml:space="preserve">recurrente, haciendo entrega vía Informe Justificado, tal como se muestra en las siguientes imágenes: </w:t>
      </w:r>
    </w:p>
    <w:p w14:paraId="62AAA137" w14:textId="0EF8D423" w:rsidR="009D27B5" w:rsidRDefault="005B7275" w:rsidP="009D27B5">
      <w:pPr>
        <w:spacing w:before="240" w:after="240" w:line="360" w:lineRule="auto"/>
        <w:ind w:right="851"/>
        <w:jc w:val="both"/>
        <w:rPr>
          <w:rFonts w:ascii="Palatino Linotype" w:hAnsi="Palatino Linotype" w:cs="Arial"/>
          <w:color w:val="000000" w:themeColor="text1"/>
          <w:sz w:val="24"/>
          <w:szCs w:val="24"/>
          <w:lang w:val="es-ES"/>
        </w:rPr>
      </w:pPr>
      <w:r>
        <w:rPr>
          <w:rFonts w:ascii="Palatino Linotype" w:hAnsi="Palatino Linotype" w:cs="Arial"/>
          <w:noProof/>
          <w:color w:val="000000" w:themeColor="text1"/>
          <w:sz w:val="24"/>
          <w:szCs w:val="24"/>
          <w:lang w:eastAsia="es-MX"/>
        </w:rPr>
        <w:lastRenderedPageBreak/>
        <w:drawing>
          <wp:inline distT="0" distB="0" distL="0" distR="0" wp14:anchorId="58EB9E0F" wp14:editId="4D76D511">
            <wp:extent cx="5776111" cy="738590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0261" cy="7391211"/>
                    </a:xfrm>
                    <a:prstGeom prst="rect">
                      <a:avLst/>
                    </a:prstGeom>
                    <a:noFill/>
                    <a:ln>
                      <a:noFill/>
                    </a:ln>
                  </pic:spPr>
                </pic:pic>
              </a:graphicData>
            </a:graphic>
          </wp:inline>
        </w:drawing>
      </w:r>
    </w:p>
    <w:p w14:paraId="62D8B987" w14:textId="47B5093D" w:rsidR="005B7275" w:rsidRDefault="005B7275" w:rsidP="009D27B5">
      <w:pPr>
        <w:spacing w:before="240" w:after="240" w:line="360" w:lineRule="auto"/>
        <w:ind w:right="851"/>
        <w:jc w:val="both"/>
        <w:rPr>
          <w:rFonts w:ascii="Palatino Linotype" w:hAnsi="Palatino Linotype" w:cs="Arial"/>
          <w:color w:val="000000" w:themeColor="text1"/>
          <w:sz w:val="24"/>
          <w:szCs w:val="24"/>
          <w:lang w:val="es-ES"/>
        </w:rPr>
      </w:pPr>
      <w:r>
        <w:rPr>
          <w:rFonts w:ascii="Palatino Linotype" w:hAnsi="Palatino Linotype" w:cs="Arial"/>
          <w:noProof/>
          <w:color w:val="000000" w:themeColor="text1"/>
          <w:sz w:val="24"/>
          <w:szCs w:val="24"/>
          <w:lang w:eastAsia="es-MX"/>
        </w:rPr>
        <w:lastRenderedPageBreak/>
        <w:drawing>
          <wp:inline distT="0" distB="0" distL="0" distR="0" wp14:anchorId="140B65D2" wp14:editId="2CC78335">
            <wp:extent cx="5812325" cy="73807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7627" cy="7387440"/>
                    </a:xfrm>
                    <a:prstGeom prst="rect">
                      <a:avLst/>
                    </a:prstGeom>
                    <a:noFill/>
                    <a:ln>
                      <a:noFill/>
                    </a:ln>
                  </pic:spPr>
                </pic:pic>
              </a:graphicData>
            </a:graphic>
          </wp:inline>
        </w:drawing>
      </w:r>
    </w:p>
    <w:p w14:paraId="299A3419" w14:textId="6722F81E" w:rsidR="00771878" w:rsidRPr="009D27B5" w:rsidRDefault="00771878" w:rsidP="009D27B5">
      <w:pPr>
        <w:spacing w:before="240" w:after="240" w:line="360" w:lineRule="auto"/>
        <w:ind w:right="851"/>
        <w:jc w:val="both"/>
        <w:rPr>
          <w:rFonts w:ascii="Palatino Linotype" w:hAnsi="Palatino Linotype"/>
          <w:color w:val="000000"/>
          <w:sz w:val="24"/>
          <w:lang w:val="es-ES"/>
        </w:rPr>
      </w:pPr>
      <w:r w:rsidRPr="002E2CCE">
        <w:rPr>
          <w:rFonts w:ascii="Palatino Linotype" w:hAnsi="Palatino Linotype" w:cs="Arial"/>
          <w:color w:val="000000" w:themeColor="text1"/>
          <w:sz w:val="24"/>
          <w:szCs w:val="24"/>
          <w:lang w:val="es-ES"/>
        </w:rPr>
        <w:lastRenderedPageBreak/>
        <w:t>Luego, la información pública se encuentra a disposición de cualquier persona, lo que implica que es deber de los Sujetos Obligados, garantizar a toda persona el derecho de acceso a la información pública.</w:t>
      </w:r>
    </w:p>
    <w:p w14:paraId="1BCD61E0" w14:textId="77777777" w:rsidR="00771878" w:rsidRPr="002E2CCE" w:rsidRDefault="00771878" w:rsidP="00771878">
      <w:pPr>
        <w:spacing w:before="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t>Adicional, tenemos que la Ley de la materia, prevé en su artículo 23, lo siguiente:</w:t>
      </w:r>
    </w:p>
    <w:p w14:paraId="31308A18"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b/>
          <w:i/>
          <w:sz w:val="24"/>
          <w:szCs w:val="24"/>
          <w:lang w:val="es-ES"/>
        </w:rPr>
        <w:t xml:space="preserve">Artículo 23. Son sujetos obligados a transparentar y permitir el acceso a su información y </w:t>
      </w:r>
      <w:r w:rsidRPr="002E2CCE">
        <w:rPr>
          <w:rFonts w:ascii="Palatino Linotype" w:hAnsi="Palatino Linotype"/>
          <w:b/>
          <w:i/>
          <w:sz w:val="24"/>
          <w:szCs w:val="24"/>
          <w:lang w:val="es-ES"/>
        </w:rPr>
        <w:t>proteger</w:t>
      </w:r>
      <w:r w:rsidRPr="002E2CCE">
        <w:rPr>
          <w:rFonts w:ascii="Palatino Linotype" w:hAnsi="Palatino Linotype" w:cs="Arial"/>
          <w:b/>
          <w:i/>
          <w:sz w:val="24"/>
          <w:szCs w:val="24"/>
          <w:lang w:val="es-ES"/>
        </w:rPr>
        <w:t xml:space="preserve"> los datos personales que obren en su poder</w:t>
      </w:r>
      <w:r w:rsidRPr="002E2CCE">
        <w:rPr>
          <w:rFonts w:ascii="Palatino Linotype" w:hAnsi="Palatino Linotype" w:cs="Arial"/>
          <w:i/>
          <w:sz w:val="24"/>
          <w:szCs w:val="24"/>
          <w:lang w:val="es-ES"/>
        </w:rPr>
        <w:t>:</w:t>
      </w:r>
    </w:p>
    <w:p w14:paraId="2E2E8BA5"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i/>
          <w:sz w:val="24"/>
          <w:szCs w:val="24"/>
          <w:lang w:val="es-ES"/>
        </w:rPr>
        <w:t xml:space="preserve">I. El Poder Ejecutivo del Estado de México, las dependencias, organismos auxiliares, órganos, </w:t>
      </w:r>
      <w:r w:rsidRPr="002E2CCE">
        <w:rPr>
          <w:rFonts w:ascii="Palatino Linotype" w:hAnsi="Palatino Linotype"/>
          <w:i/>
          <w:sz w:val="24"/>
          <w:szCs w:val="24"/>
          <w:lang w:val="es-ES"/>
        </w:rPr>
        <w:t>entidades</w:t>
      </w:r>
      <w:r w:rsidRPr="002E2CCE">
        <w:rPr>
          <w:rFonts w:ascii="Palatino Linotype" w:hAnsi="Palatino Linotype" w:cs="Arial"/>
          <w:i/>
          <w:sz w:val="24"/>
          <w:szCs w:val="24"/>
          <w:lang w:val="es-ES"/>
        </w:rPr>
        <w:t>, fideicomisos y fondos públicos, así como la Procuraduría General de Justicia;</w:t>
      </w:r>
    </w:p>
    <w:p w14:paraId="4AAFF303"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i/>
          <w:sz w:val="24"/>
          <w:szCs w:val="24"/>
          <w:lang w:val="es-ES"/>
        </w:rPr>
        <w:t xml:space="preserve">II. El Poder </w:t>
      </w:r>
      <w:r w:rsidRPr="002E2CCE">
        <w:rPr>
          <w:rFonts w:ascii="Palatino Linotype" w:hAnsi="Palatino Linotype"/>
          <w:i/>
          <w:sz w:val="24"/>
          <w:szCs w:val="24"/>
          <w:lang w:val="es-ES"/>
        </w:rPr>
        <w:t>Legislativo</w:t>
      </w:r>
      <w:r w:rsidRPr="002E2CCE">
        <w:rPr>
          <w:rFonts w:ascii="Palatino Linotype" w:hAnsi="Palatino Linotype" w:cs="Arial"/>
          <w:i/>
          <w:sz w:val="24"/>
          <w:szCs w:val="24"/>
          <w:lang w:val="es-ES"/>
        </w:rPr>
        <w:t xml:space="preserve"> del Estado, los organismos, órganos y entidades de la Legislatura y sus dependencias;</w:t>
      </w:r>
    </w:p>
    <w:p w14:paraId="5B0A8B29"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i/>
          <w:sz w:val="24"/>
          <w:szCs w:val="24"/>
          <w:lang w:val="es-ES"/>
        </w:rPr>
        <w:t xml:space="preserve">III. El Poder </w:t>
      </w:r>
      <w:r w:rsidRPr="002E2CCE">
        <w:rPr>
          <w:rFonts w:ascii="Palatino Linotype" w:hAnsi="Palatino Linotype"/>
          <w:i/>
          <w:sz w:val="24"/>
          <w:szCs w:val="24"/>
          <w:lang w:val="es-ES"/>
        </w:rPr>
        <w:t>Judicial</w:t>
      </w:r>
      <w:r w:rsidRPr="002E2CCE">
        <w:rPr>
          <w:rFonts w:ascii="Palatino Linotype" w:hAnsi="Palatino Linotype" w:cs="Arial"/>
          <w:i/>
          <w:sz w:val="24"/>
          <w:szCs w:val="24"/>
          <w:lang w:val="es-ES"/>
        </w:rPr>
        <w:t xml:space="preserve">, sus organismos, órganos y entidades, así como el Consejo de la </w:t>
      </w:r>
      <w:r w:rsidRPr="002E2CCE">
        <w:rPr>
          <w:rFonts w:ascii="Palatino Linotype" w:hAnsi="Palatino Linotype"/>
          <w:i/>
          <w:sz w:val="24"/>
          <w:szCs w:val="24"/>
          <w:lang w:val="es-ES"/>
        </w:rPr>
        <w:t>Judicatura</w:t>
      </w:r>
      <w:r w:rsidRPr="002E2CCE">
        <w:rPr>
          <w:rFonts w:ascii="Palatino Linotype" w:hAnsi="Palatino Linotype" w:cs="Arial"/>
          <w:i/>
          <w:sz w:val="24"/>
          <w:szCs w:val="24"/>
          <w:lang w:val="es-ES"/>
        </w:rPr>
        <w:t xml:space="preserve"> del Estado;</w:t>
      </w:r>
    </w:p>
    <w:p w14:paraId="3E899244" w14:textId="77777777" w:rsidR="00771878" w:rsidRPr="00B222B8" w:rsidRDefault="00771878" w:rsidP="00771878">
      <w:pPr>
        <w:spacing w:before="240" w:line="360" w:lineRule="auto"/>
        <w:ind w:left="709" w:right="814"/>
        <w:jc w:val="both"/>
        <w:rPr>
          <w:rFonts w:ascii="Palatino Linotype" w:hAnsi="Palatino Linotype" w:cs="Arial"/>
          <w:b/>
          <w:i/>
          <w:sz w:val="24"/>
          <w:szCs w:val="24"/>
          <w:lang w:val="es-ES"/>
        </w:rPr>
      </w:pPr>
      <w:r w:rsidRPr="00B222B8">
        <w:rPr>
          <w:rFonts w:ascii="Palatino Linotype" w:hAnsi="Palatino Linotype" w:cs="Arial"/>
          <w:b/>
          <w:i/>
          <w:sz w:val="24"/>
          <w:szCs w:val="24"/>
          <w:lang w:val="es-ES"/>
        </w:rPr>
        <w:t>IV. Los ayuntamientos y las dependencias, organismos, órganos y entidades de la administración municipal;</w:t>
      </w:r>
    </w:p>
    <w:p w14:paraId="3EBD0389" w14:textId="77777777" w:rsidR="00771878" w:rsidRPr="00BC0F2E" w:rsidRDefault="00771878" w:rsidP="00771878">
      <w:pPr>
        <w:spacing w:before="240" w:line="360" w:lineRule="auto"/>
        <w:ind w:left="709" w:right="814"/>
        <w:jc w:val="both"/>
        <w:rPr>
          <w:rFonts w:ascii="Palatino Linotype" w:hAnsi="Palatino Linotype" w:cs="Arial"/>
          <w:i/>
          <w:sz w:val="24"/>
          <w:szCs w:val="24"/>
          <w:lang w:val="es-ES"/>
        </w:rPr>
      </w:pPr>
      <w:r w:rsidRPr="00BC0F2E">
        <w:rPr>
          <w:rFonts w:ascii="Palatino Linotype" w:hAnsi="Palatino Linotype" w:cs="Arial"/>
          <w:i/>
          <w:sz w:val="24"/>
          <w:szCs w:val="24"/>
          <w:lang w:val="es-ES"/>
        </w:rPr>
        <w:t xml:space="preserve">V. Los </w:t>
      </w:r>
      <w:r w:rsidRPr="00BC0F2E">
        <w:rPr>
          <w:rFonts w:ascii="Palatino Linotype" w:hAnsi="Palatino Linotype"/>
          <w:i/>
          <w:sz w:val="24"/>
          <w:szCs w:val="24"/>
          <w:lang w:val="es-ES"/>
        </w:rPr>
        <w:t>órganos</w:t>
      </w:r>
      <w:r w:rsidRPr="00BC0F2E">
        <w:rPr>
          <w:rFonts w:ascii="Palatino Linotype" w:hAnsi="Palatino Linotype" w:cs="Arial"/>
          <w:i/>
          <w:sz w:val="24"/>
          <w:szCs w:val="24"/>
          <w:lang w:val="es-ES"/>
        </w:rPr>
        <w:t xml:space="preserve"> </w:t>
      </w:r>
      <w:r w:rsidRPr="00BC0F2E">
        <w:rPr>
          <w:rFonts w:ascii="Palatino Linotype" w:hAnsi="Palatino Linotype"/>
          <w:i/>
          <w:sz w:val="24"/>
          <w:szCs w:val="24"/>
          <w:lang w:val="es-ES"/>
        </w:rPr>
        <w:t>autónomos</w:t>
      </w:r>
      <w:r w:rsidRPr="00BC0F2E">
        <w:rPr>
          <w:rFonts w:ascii="Palatino Linotype" w:hAnsi="Palatino Linotype" w:cs="Arial"/>
          <w:i/>
          <w:sz w:val="24"/>
          <w:szCs w:val="24"/>
          <w:lang w:val="es-ES"/>
        </w:rPr>
        <w:t>;</w:t>
      </w:r>
    </w:p>
    <w:p w14:paraId="743D6786" w14:textId="77777777" w:rsidR="00771878" w:rsidRPr="002E2CCE" w:rsidRDefault="00771878" w:rsidP="00771878">
      <w:pPr>
        <w:spacing w:before="240" w:line="360" w:lineRule="auto"/>
        <w:ind w:left="709" w:right="814"/>
        <w:jc w:val="both"/>
        <w:rPr>
          <w:rFonts w:ascii="Palatino Linotype" w:hAnsi="Palatino Linotype" w:cs="Times New Roman"/>
          <w:i/>
          <w:sz w:val="24"/>
          <w:szCs w:val="24"/>
          <w:lang w:val="es-ES"/>
        </w:rPr>
      </w:pPr>
      <w:r w:rsidRPr="002E2CCE">
        <w:rPr>
          <w:rFonts w:ascii="Palatino Linotype" w:hAnsi="Palatino Linotype" w:cs="Arial"/>
          <w:b/>
          <w:i/>
          <w:sz w:val="24"/>
          <w:szCs w:val="24"/>
          <w:lang w:val="es-ES"/>
        </w:rPr>
        <w:t>VI.</w:t>
      </w:r>
      <w:r w:rsidRPr="002E2CCE">
        <w:rPr>
          <w:rFonts w:ascii="Palatino Linotype" w:hAnsi="Palatino Linotype" w:cs="Arial"/>
          <w:i/>
          <w:sz w:val="24"/>
          <w:szCs w:val="24"/>
          <w:lang w:val="es-ES"/>
        </w:rPr>
        <w:t xml:space="preserve"> Los </w:t>
      </w:r>
      <w:r w:rsidRPr="002E2CCE">
        <w:rPr>
          <w:rFonts w:ascii="Palatino Linotype" w:hAnsi="Palatino Linotype"/>
          <w:i/>
          <w:sz w:val="24"/>
          <w:szCs w:val="24"/>
          <w:lang w:val="es-ES"/>
        </w:rPr>
        <w:t>tribunales administrativos y autoridades jurisdiccionales en materia laboral;</w:t>
      </w:r>
    </w:p>
    <w:p w14:paraId="72B967D4" w14:textId="77777777" w:rsidR="00771878" w:rsidRPr="00B222B8" w:rsidRDefault="00771878" w:rsidP="00771878">
      <w:pPr>
        <w:spacing w:before="240" w:line="360" w:lineRule="auto"/>
        <w:ind w:left="709" w:right="814"/>
        <w:jc w:val="both"/>
        <w:rPr>
          <w:rFonts w:ascii="Palatino Linotype" w:hAnsi="Palatino Linotype"/>
          <w:i/>
          <w:sz w:val="24"/>
          <w:szCs w:val="24"/>
          <w:lang w:val="es-ES"/>
        </w:rPr>
      </w:pPr>
      <w:r w:rsidRPr="00B222B8">
        <w:rPr>
          <w:rFonts w:ascii="Palatino Linotype" w:hAnsi="Palatino Linotype"/>
          <w:i/>
          <w:sz w:val="24"/>
          <w:szCs w:val="24"/>
          <w:lang w:val="es-ES"/>
        </w:rPr>
        <w:lastRenderedPageBreak/>
        <w:t>VII. Los partidos políticos y agrupaciones políticas, en los términos de las disposiciones aplicables;</w:t>
      </w:r>
    </w:p>
    <w:p w14:paraId="4DD11C70"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b/>
          <w:i/>
          <w:sz w:val="24"/>
          <w:szCs w:val="24"/>
          <w:lang w:val="es-ES"/>
        </w:rPr>
        <w:t>VIII.</w:t>
      </w:r>
      <w:r w:rsidRPr="002E2CCE">
        <w:rPr>
          <w:rFonts w:ascii="Palatino Linotype" w:hAnsi="Palatino Linotype"/>
          <w:i/>
          <w:sz w:val="24"/>
          <w:szCs w:val="24"/>
          <w:lang w:val="es-ES"/>
        </w:rPr>
        <w:t xml:space="preserve"> Los fideicomisos y fondos públicos que cuenten con financiamiento público, parcial o total, o con participación de entidades de gobierno;</w:t>
      </w:r>
    </w:p>
    <w:p w14:paraId="6A3CC83B"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b/>
          <w:i/>
          <w:sz w:val="24"/>
          <w:szCs w:val="24"/>
          <w:lang w:val="es-ES"/>
        </w:rPr>
        <w:t>IX.</w:t>
      </w:r>
      <w:r w:rsidRPr="002E2CCE">
        <w:rPr>
          <w:rFonts w:ascii="Palatino Linotype" w:hAnsi="Palatino Linotype"/>
          <w:i/>
          <w:sz w:val="24"/>
          <w:szCs w:val="24"/>
          <w:lang w:val="es-ES"/>
        </w:rPr>
        <w:t xml:space="preserve"> Los sindicatos que reciban y/o ejerzan recursos públicos en el ámbito estatal y municipal;</w:t>
      </w:r>
    </w:p>
    <w:p w14:paraId="38DA6D94"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b/>
          <w:i/>
          <w:sz w:val="24"/>
          <w:szCs w:val="24"/>
          <w:lang w:val="es-ES"/>
        </w:rPr>
        <w:t>X.</w:t>
      </w:r>
      <w:r w:rsidRPr="002E2CCE">
        <w:rPr>
          <w:rFonts w:ascii="Palatino Linotype" w:hAnsi="Palatino Linotype"/>
          <w:i/>
          <w:sz w:val="24"/>
          <w:szCs w:val="24"/>
          <w:lang w:val="es-ES"/>
        </w:rPr>
        <w:t xml:space="preserve"> Cualquier persona física o jurídico colectiva que reciba y ejerza recursos públicos en el ámbito estatal o municipal; y</w:t>
      </w:r>
    </w:p>
    <w:p w14:paraId="2EAAA10E"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b/>
          <w:i/>
          <w:sz w:val="24"/>
          <w:szCs w:val="24"/>
          <w:lang w:val="es-ES"/>
        </w:rPr>
        <w:t>XI.</w:t>
      </w:r>
      <w:r w:rsidRPr="002E2CCE">
        <w:rPr>
          <w:rFonts w:ascii="Palatino Linotype" w:hAnsi="Palatino Linotype"/>
          <w:i/>
          <w:sz w:val="24"/>
          <w:szCs w:val="24"/>
          <w:lang w:val="es-ES"/>
        </w:rPr>
        <w:t xml:space="preserve"> Cualquier otra autoridad, entidad, órgano u organismo de los poderes estatal o municipal, que reciba recursos públicos.</w:t>
      </w:r>
    </w:p>
    <w:p w14:paraId="62F16B34" w14:textId="77777777" w:rsidR="00771878" w:rsidRPr="002E2CCE" w:rsidRDefault="00771878" w:rsidP="00771878">
      <w:pPr>
        <w:spacing w:before="240" w:line="360" w:lineRule="auto"/>
        <w:ind w:left="709" w:right="814"/>
        <w:jc w:val="both"/>
        <w:rPr>
          <w:rFonts w:ascii="Palatino Linotype" w:hAnsi="Palatino Linotype"/>
          <w:i/>
          <w:sz w:val="24"/>
          <w:szCs w:val="24"/>
          <w:lang w:val="es-ES"/>
        </w:rPr>
      </w:pPr>
      <w:r w:rsidRPr="002E2CCE">
        <w:rPr>
          <w:rFonts w:ascii="Palatino Linotype" w:hAnsi="Palatino Linotype"/>
          <w:i/>
          <w:sz w:val="24"/>
          <w:szCs w:val="24"/>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2AA90EA"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b/>
          <w:i/>
          <w:sz w:val="24"/>
          <w:szCs w:val="24"/>
          <w:lang w:val="es-ES"/>
        </w:rPr>
        <w:t>Los servidores públicos deberán transparentar sus acciones así como garantizar y respetar el derecho de acceso a la información pública.</w:t>
      </w:r>
    </w:p>
    <w:p w14:paraId="448657D8" w14:textId="77777777" w:rsidR="00771878" w:rsidRPr="002E2CCE" w:rsidRDefault="00771878" w:rsidP="00771878">
      <w:pPr>
        <w:spacing w:before="240" w:line="360" w:lineRule="auto"/>
        <w:ind w:left="709" w:right="814"/>
        <w:jc w:val="both"/>
        <w:rPr>
          <w:rFonts w:ascii="Palatino Linotype" w:hAnsi="Palatino Linotype" w:cs="Arial"/>
          <w:i/>
          <w:sz w:val="24"/>
          <w:szCs w:val="24"/>
          <w:lang w:val="es-ES"/>
        </w:rPr>
      </w:pPr>
      <w:r w:rsidRPr="002E2CCE">
        <w:rPr>
          <w:rFonts w:ascii="Palatino Linotype" w:hAnsi="Palatino Linotype" w:cs="Arial"/>
          <w:i/>
          <w:sz w:val="24"/>
          <w:szCs w:val="24"/>
          <w:lang w:val="es-ES"/>
        </w:rPr>
        <w:t>(Énfasis añadido)</w:t>
      </w:r>
    </w:p>
    <w:p w14:paraId="70E4D674" w14:textId="77777777" w:rsidR="00771878" w:rsidRDefault="00771878" w:rsidP="00771878">
      <w:pPr>
        <w:spacing w:before="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w:t>
      </w:r>
      <w:r w:rsidRPr="002E2CCE">
        <w:rPr>
          <w:rFonts w:ascii="Palatino Linotype" w:hAnsi="Palatino Linotype" w:cs="Arial"/>
          <w:sz w:val="24"/>
          <w:szCs w:val="24"/>
          <w:lang w:val="es-ES"/>
        </w:rPr>
        <w:lastRenderedPageBreak/>
        <w:t xml:space="preserve">Ciudad de México, o Municipales, con el fin de que los particulares conozcan toda aquella información que es considerada como pública. </w:t>
      </w:r>
    </w:p>
    <w:p w14:paraId="1249C21E" w14:textId="77777777" w:rsidR="00B521A1" w:rsidRDefault="00B521A1" w:rsidP="00B521A1">
      <w:pPr>
        <w:pStyle w:val="Sinespaciado"/>
        <w:spacing w:line="360" w:lineRule="auto"/>
        <w:jc w:val="both"/>
        <w:rPr>
          <w:rFonts w:ascii="Palatino Linotype" w:hAnsi="Palatino Linotype"/>
        </w:rPr>
      </w:pPr>
      <w:r>
        <w:rPr>
          <w:rFonts w:ascii="Palatino Linotype" w:hAnsi="Palatino Linotype"/>
        </w:rPr>
        <w:t>Ahora bien, de acuerdo al artículo 115, fracción VI, de la Constitución Política de los Estados Unidos Mexicanos, el cual establece que los municipios, tendrán a su cargo calles, parques, jardines y su equipamiento y administrarán libremente su hacienda.</w:t>
      </w:r>
    </w:p>
    <w:p w14:paraId="32A8A6FB" w14:textId="77777777" w:rsidR="00B521A1" w:rsidRDefault="00B521A1" w:rsidP="00B521A1">
      <w:pPr>
        <w:pStyle w:val="Sinespaciado"/>
        <w:spacing w:line="360" w:lineRule="auto"/>
        <w:jc w:val="both"/>
        <w:rPr>
          <w:rFonts w:ascii="Palatino Linotype" w:hAnsi="Palatino Linotype"/>
        </w:rPr>
      </w:pPr>
    </w:p>
    <w:p w14:paraId="0B1AB9DD" w14:textId="77777777" w:rsidR="00B521A1" w:rsidRDefault="00B521A1" w:rsidP="00B521A1">
      <w:pPr>
        <w:pStyle w:val="Sinespaciado"/>
        <w:spacing w:line="360" w:lineRule="auto"/>
        <w:ind w:left="851" w:right="567"/>
        <w:jc w:val="both"/>
        <w:rPr>
          <w:rFonts w:ascii="Palatino Linotype" w:hAnsi="Palatino Linotype"/>
          <w:i/>
        </w:rPr>
      </w:pPr>
      <w:r w:rsidRPr="00826D48">
        <w:rPr>
          <w:rFonts w:ascii="Palatino Linotype" w:hAnsi="Palatino Linotype"/>
          <w:b/>
          <w:i/>
        </w:rPr>
        <w:t>Artículo 115.</w:t>
      </w:r>
      <w:r w:rsidRPr="00826D48">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1B58FC20" w14:textId="77777777" w:rsidR="00B521A1" w:rsidRDefault="00B521A1" w:rsidP="00B521A1">
      <w:pPr>
        <w:pStyle w:val="Sinespaciado"/>
        <w:spacing w:line="360" w:lineRule="auto"/>
        <w:ind w:left="851" w:right="567"/>
        <w:jc w:val="both"/>
        <w:rPr>
          <w:rFonts w:ascii="Palatino Linotype" w:hAnsi="Palatino Linotype"/>
          <w:i/>
        </w:rPr>
      </w:pPr>
      <w:r w:rsidRPr="007D3EC6">
        <w:rPr>
          <w:rFonts w:ascii="Palatino Linotype" w:hAnsi="Palatino Linotype"/>
          <w:i/>
        </w:rPr>
        <w:t>III. Los Municipios tendrán a su cargo las</w:t>
      </w:r>
      <w:r>
        <w:rPr>
          <w:rFonts w:ascii="Palatino Linotype" w:hAnsi="Palatino Linotype"/>
          <w:i/>
        </w:rPr>
        <w:t xml:space="preserve"> </w:t>
      </w:r>
      <w:r w:rsidRPr="007D3EC6">
        <w:rPr>
          <w:rFonts w:ascii="Palatino Linotype" w:hAnsi="Palatino Linotype"/>
          <w:i/>
        </w:rPr>
        <w:t>funciones y servicios públicos siguientes:</w:t>
      </w:r>
      <w:r w:rsidRPr="007D3EC6">
        <w:rPr>
          <w:rFonts w:ascii="Palatino Linotype" w:hAnsi="Palatino Linotype"/>
          <w:i/>
        </w:rPr>
        <w:cr/>
      </w:r>
      <w:r>
        <w:rPr>
          <w:rFonts w:ascii="Palatino Linotype" w:hAnsi="Palatino Linotype"/>
          <w:i/>
        </w:rPr>
        <w:t>(…)</w:t>
      </w:r>
    </w:p>
    <w:p w14:paraId="3FCD0AE0" w14:textId="77777777" w:rsidR="00B521A1" w:rsidRPr="007D3EC6" w:rsidRDefault="00B521A1" w:rsidP="00B521A1">
      <w:pPr>
        <w:pStyle w:val="Sinespaciado"/>
        <w:spacing w:line="360" w:lineRule="auto"/>
        <w:ind w:left="851" w:right="567"/>
        <w:jc w:val="both"/>
        <w:rPr>
          <w:rFonts w:ascii="Palatino Linotype" w:hAnsi="Palatino Linotype"/>
          <w:i/>
          <w:iCs/>
        </w:rPr>
      </w:pPr>
      <w:r w:rsidRPr="007D3EC6">
        <w:rPr>
          <w:rFonts w:ascii="Palatino Linotype" w:hAnsi="Palatino Linotype"/>
          <w:i/>
          <w:iCs/>
        </w:rPr>
        <w:t>b) Alumbrado público.</w:t>
      </w:r>
    </w:p>
    <w:p w14:paraId="38271682" w14:textId="77777777" w:rsidR="00B521A1" w:rsidRDefault="00B521A1" w:rsidP="00B521A1">
      <w:pPr>
        <w:pStyle w:val="Sinespaciado"/>
        <w:spacing w:line="360" w:lineRule="auto"/>
        <w:ind w:left="851" w:right="567"/>
        <w:jc w:val="both"/>
        <w:rPr>
          <w:rFonts w:ascii="Palatino Linotype" w:hAnsi="Palatino Linotype"/>
          <w:i/>
        </w:rPr>
      </w:pPr>
      <w:r>
        <w:rPr>
          <w:rFonts w:ascii="Palatino Linotype" w:hAnsi="Palatino Linotype"/>
          <w:i/>
        </w:rPr>
        <w:t>(…)</w:t>
      </w:r>
    </w:p>
    <w:p w14:paraId="4E97389E" w14:textId="77777777" w:rsidR="00B521A1" w:rsidRDefault="00B521A1" w:rsidP="00B521A1">
      <w:pPr>
        <w:pStyle w:val="Sinespaciado"/>
        <w:spacing w:line="360" w:lineRule="auto"/>
        <w:ind w:left="851" w:right="567"/>
        <w:jc w:val="both"/>
        <w:rPr>
          <w:rFonts w:ascii="Palatino Linotype" w:hAnsi="Palatino Linotype"/>
          <w:i/>
        </w:rPr>
      </w:pPr>
      <w:r w:rsidRPr="007D3EC6">
        <w:rPr>
          <w:rFonts w:ascii="Palatino Linotype" w:hAnsi="Palatino Linotype"/>
          <w:i/>
        </w:rPr>
        <w:t>g) Calles, parques y jardines y su equipamiento;</w:t>
      </w:r>
    </w:p>
    <w:p w14:paraId="1A63D281" w14:textId="77777777" w:rsidR="00B521A1" w:rsidRPr="00826D48" w:rsidRDefault="00B521A1" w:rsidP="00B521A1">
      <w:pPr>
        <w:pStyle w:val="Sinespaciado"/>
        <w:spacing w:line="360" w:lineRule="auto"/>
        <w:ind w:left="851" w:right="567"/>
        <w:jc w:val="both"/>
        <w:rPr>
          <w:rFonts w:ascii="Palatino Linotype" w:hAnsi="Palatino Linotype"/>
          <w:i/>
        </w:rPr>
      </w:pPr>
      <w:r>
        <w:rPr>
          <w:rFonts w:ascii="Palatino Linotype" w:hAnsi="Palatino Linotype"/>
          <w:b/>
          <w:i/>
        </w:rPr>
        <w:t>(…</w:t>
      </w:r>
      <w:r>
        <w:rPr>
          <w:rFonts w:ascii="Palatino Linotype" w:hAnsi="Palatino Linotype"/>
          <w:i/>
        </w:rPr>
        <w:t>)</w:t>
      </w:r>
    </w:p>
    <w:p w14:paraId="028F4ED2" w14:textId="77777777" w:rsidR="00B521A1" w:rsidRDefault="00B521A1" w:rsidP="00B521A1">
      <w:pPr>
        <w:pStyle w:val="Sinespaciado"/>
        <w:spacing w:line="360" w:lineRule="auto"/>
        <w:ind w:right="567"/>
        <w:jc w:val="both"/>
        <w:rPr>
          <w:rFonts w:ascii="Palatino Linotype" w:hAnsi="Palatino Linotype"/>
          <w:i/>
        </w:rPr>
      </w:pPr>
    </w:p>
    <w:p w14:paraId="4ECF8B5B" w14:textId="77777777" w:rsidR="00B521A1" w:rsidRPr="005E37BF" w:rsidRDefault="00B521A1" w:rsidP="00B521A1">
      <w:pPr>
        <w:pStyle w:val="Sinespaciado"/>
        <w:spacing w:line="360" w:lineRule="auto"/>
        <w:jc w:val="both"/>
        <w:rPr>
          <w:rFonts w:ascii="Palatino Linotype" w:hAnsi="Palatino Linotype"/>
        </w:rPr>
      </w:pPr>
      <w:r w:rsidRPr="005E37BF">
        <w:rPr>
          <w:rFonts w:ascii="Palatino Linotype" w:hAnsi="Palatino Linotype"/>
        </w:rPr>
        <w:t>Aunado a lo anterior el artículo 122 de la Constitución</w:t>
      </w:r>
      <w:r w:rsidRPr="005E37BF">
        <w:rPr>
          <w:rFonts w:ascii="Palatino Linotype" w:eastAsia="Calibri" w:hAnsi="Palatino Linotype" w:cs="Tahoma"/>
          <w:b/>
          <w:bCs/>
          <w:lang w:eastAsia="en-US"/>
        </w:rPr>
        <w:t xml:space="preserve"> Política del Estado Libre y Soberano de México</w:t>
      </w:r>
      <w:r>
        <w:rPr>
          <w:rFonts w:ascii="Palatino Linotype" w:hAnsi="Palatino Linotype"/>
        </w:rPr>
        <w:t xml:space="preserve">, reitera lo señalado en el artículo 115, fracción III, de la </w:t>
      </w:r>
      <w:r w:rsidRPr="00DA2489">
        <w:rPr>
          <w:rFonts w:ascii="Palatino Linotype" w:hAnsi="Palatino Linotype"/>
        </w:rPr>
        <w:t>Constitución Política de los Estados Unidos Mexicanos</w:t>
      </w:r>
      <w:r>
        <w:rPr>
          <w:rFonts w:ascii="Palatino Linotype" w:hAnsi="Palatino Linotype"/>
        </w:rPr>
        <w:t xml:space="preserve">, es decir que los </w:t>
      </w:r>
      <w:r w:rsidRPr="00DA2489">
        <w:rPr>
          <w:rFonts w:ascii="Palatino Linotype" w:hAnsi="Palatino Linotype"/>
        </w:rPr>
        <w:t>municipios tienen a su cargo las fu</w:t>
      </w:r>
      <w:r>
        <w:rPr>
          <w:rFonts w:ascii="Palatino Linotype" w:hAnsi="Palatino Linotype"/>
        </w:rPr>
        <w:t xml:space="preserve">nciones y servicios públicos: </w:t>
      </w:r>
      <w:r w:rsidRPr="00DA2489">
        <w:rPr>
          <w:rFonts w:ascii="Palatino Linotype" w:hAnsi="Palatino Linotype"/>
        </w:rPr>
        <w:t>las calles, parques, jardines y su equipamiento, así como la administración de su hacienda.</w:t>
      </w:r>
    </w:p>
    <w:p w14:paraId="0B21FD54" w14:textId="77777777" w:rsidR="00B521A1" w:rsidRDefault="00B521A1" w:rsidP="00B521A1">
      <w:pPr>
        <w:pStyle w:val="Sinespaciado"/>
        <w:spacing w:line="360" w:lineRule="auto"/>
        <w:ind w:left="567" w:right="567"/>
        <w:jc w:val="both"/>
        <w:rPr>
          <w:rFonts w:ascii="Palatino Linotype" w:hAnsi="Palatino Linotype"/>
          <w:i/>
        </w:rPr>
      </w:pPr>
    </w:p>
    <w:p w14:paraId="32002CC6" w14:textId="77777777" w:rsidR="00B521A1" w:rsidRDefault="00B521A1" w:rsidP="00B521A1">
      <w:pPr>
        <w:pStyle w:val="Sinespaciado"/>
        <w:spacing w:line="360" w:lineRule="auto"/>
        <w:ind w:left="567" w:right="567"/>
        <w:jc w:val="center"/>
        <w:rPr>
          <w:rFonts w:ascii="Palatino Linotype" w:hAnsi="Palatino Linotype"/>
          <w:i/>
          <w:sz w:val="22"/>
          <w:szCs w:val="22"/>
        </w:rPr>
      </w:pPr>
      <w:r w:rsidRPr="005E37BF">
        <w:rPr>
          <w:rFonts w:ascii="Palatino Linotype" w:hAnsi="Palatino Linotype"/>
          <w:i/>
          <w:sz w:val="22"/>
          <w:szCs w:val="22"/>
        </w:rPr>
        <w:t>CAPITULO TERCERO</w:t>
      </w:r>
    </w:p>
    <w:p w14:paraId="4BC276AE" w14:textId="77777777" w:rsidR="00B521A1" w:rsidRDefault="00B521A1" w:rsidP="00B521A1">
      <w:pPr>
        <w:pStyle w:val="Sinespaciado"/>
        <w:spacing w:line="360" w:lineRule="auto"/>
        <w:ind w:left="567" w:right="567"/>
        <w:jc w:val="center"/>
        <w:rPr>
          <w:rFonts w:ascii="Palatino Linotype" w:hAnsi="Palatino Linotype"/>
          <w:i/>
          <w:sz w:val="22"/>
          <w:szCs w:val="22"/>
        </w:rPr>
      </w:pPr>
      <w:r w:rsidRPr="005E37BF">
        <w:rPr>
          <w:rFonts w:ascii="Palatino Linotype" w:hAnsi="Palatino Linotype"/>
          <w:i/>
          <w:sz w:val="22"/>
          <w:szCs w:val="22"/>
        </w:rPr>
        <w:t>De las Atribuciones de los Ayuntamientos</w:t>
      </w:r>
    </w:p>
    <w:p w14:paraId="7E4FC760" w14:textId="77777777" w:rsidR="00B521A1" w:rsidRDefault="00B521A1" w:rsidP="00B521A1">
      <w:pPr>
        <w:pStyle w:val="Sinespaciado"/>
        <w:spacing w:line="360" w:lineRule="auto"/>
        <w:ind w:left="567" w:right="567"/>
        <w:jc w:val="both"/>
        <w:rPr>
          <w:rFonts w:ascii="Palatino Linotype" w:hAnsi="Palatino Linotype"/>
          <w:i/>
          <w:sz w:val="22"/>
          <w:szCs w:val="22"/>
        </w:rPr>
      </w:pPr>
      <w:r w:rsidRPr="005E37BF">
        <w:rPr>
          <w:rFonts w:ascii="Palatino Linotype" w:hAnsi="Palatino Linotype"/>
          <w:b/>
          <w:i/>
          <w:sz w:val="22"/>
          <w:szCs w:val="22"/>
        </w:rPr>
        <w:t xml:space="preserve">Artículo 122.- </w:t>
      </w:r>
      <w:r w:rsidRPr="005E37BF">
        <w:rPr>
          <w:rFonts w:ascii="Palatino Linotype" w:hAnsi="Palatino Linotype"/>
          <w:i/>
          <w:sz w:val="22"/>
          <w:szCs w:val="22"/>
        </w:rPr>
        <w:t xml:space="preserve">Los ayuntamientos de los municipios tienen las atribuciones que establecen la Constitución Federal, esta Constitución, y demás disposiciones legales aplicables. </w:t>
      </w:r>
    </w:p>
    <w:p w14:paraId="55A0A9BB" w14:textId="77777777" w:rsidR="00B521A1" w:rsidRDefault="00B521A1" w:rsidP="00B521A1">
      <w:pPr>
        <w:pStyle w:val="Sinespaciado"/>
        <w:spacing w:line="360" w:lineRule="auto"/>
        <w:ind w:left="567" w:right="567"/>
        <w:jc w:val="both"/>
        <w:rPr>
          <w:rFonts w:ascii="Palatino Linotype" w:hAnsi="Palatino Linotype"/>
          <w:i/>
          <w:sz w:val="22"/>
          <w:szCs w:val="22"/>
        </w:rPr>
      </w:pPr>
      <w:r w:rsidRPr="005E37BF">
        <w:rPr>
          <w:rFonts w:ascii="Palatino Linotype" w:hAnsi="Palatino Linotype"/>
          <w:i/>
          <w:sz w:val="22"/>
          <w:szCs w:val="22"/>
        </w:rPr>
        <w:t xml:space="preserve">Los municipios tendrán a su cargo las funciones y </w:t>
      </w:r>
      <w:r w:rsidRPr="007D3EC6">
        <w:rPr>
          <w:rFonts w:ascii="Palatino Linotype" w:hAnsi="Palatino Linotype"/>
          <w:b/>
          <w:bCs/>
          <w:i/>
          <w:sz w:val="22"/>
          <w:szCs w:val="22"/>
          <w:u w:val="single"/>
        </w:rPr>
        <w:t>servicios públicos que señala la fracción III del artículo 115</w:t>
      </w:r>
      <w:r w:rsidRPr="005E37BF">
        <w:rPr>
          <w:rFonts w:ascii="Palatino Linotype" w:hAnsi="Palatino Linotype"/>
          <w:i/>
          <w:sz w:val="22"/>
          <w:szCs w:val="22"/>
        </w:rPr>
        <w:t xml:space="preserve"> de la Constitución Política de los Estados Unidos Mexicanos.</w:t>
      </w:r>
    </w:p>
    <w:p w14:paraId="0F9C4E84" w14:textId="77777777" w:rsidR="00B521A1" w:rsidRPr="005E37BF" w:rsidRDefault="00B521A1" w:rsidP="00B521A1">
      <w:pPr>
        <w:pStyle w:val="Sinespaciado"/>
        <w:spacing w:line="360" w:lineRule="auto"/>
        <w:ind w:left="567" w:right="567"/>
        <w:jc w:val="both"/>
        <w:rPr>
          <w:rFonts w:ascii="Palatino Linotype" w:hAnsi="Palatino Linotype"/>
          <w:i/>
          <w:sz w:val="22"/>
          <w:szCs w:val="22"/>
        </w:rPr>
      </w:pPr>
      <w:r w:rsidRPr="005E37BF">
        <w:rPr>
          <w:rFonts w:ascii="Palatino Linotype" w:hAnsi="Palatino Linotype"/>
          <w:i/>
          <w:sz w:val="22"/>
          <w:szCs w:val="22"/>
        </w:rPr>
        <w:t xml:space="preserve"> 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2BB651C5" w14:textId="77777777" w:rsidR="00B521A1" w:rsidRDefault="00B521A1" w:rsidP="00B521A1">
      <w:pPr>
        <w:pStyle w:val="Sinespaciado"/>
        <w:spacing w:line="360" w:lineRule="auto"/>
        <w:jc w:val="both"/>
        <w:rPr>
          <w:rFonts w:ascii="Palatino Linotype" w:hAnsi="Palatino Linotype"/>
          <w:i/>
          <w:sz w:val="22"/>
          <w:szCs w:val="22"/>
        </w:rPr>
      </w:pPr>
    </w:p>
    <w:p w14:paraId="00557BEE" w14:textId="77777777" w:rsidR="00B521A1" w:rsidRDefault="00B521A1" w:rsidP="00B521A1">
      <w:pPr>
        <w:pStyle w:val="Sinespaciado"/>
        <w:spacing w:line="360" w:lineRule="auto"/>
        <w:jc w:val="both"/>
        <w:rPr>
          <w:rFonts w:ascii="Palatino Linotype" w:hAnsi="Palatino Linotype"/>
        </w:rPr>
      </w:pPr>
    </w:p>
    <w:p w14:paraId="6A800D4F" w14:textId="41A06A4C" w:rsidR="00B521A1" w:rsidRDefault="00B521A1" w:rsidP="00B521A1">
      <w:pPr>
        <w:spacing w:line="360" w:lineRule="auto"/>
        <w:jc w:val="both"/>
        <w:rPr>
          <w:rFonts w:ascii="Palatino Linotype" w:eastAsia="Calibri" w:hAnsi="Palatino Linotype" w:cs="Tahoma"/>
          <w:bCs/>
          <w:color w:val="FF0000"/>
          <w:sz w:val="24"/>
          <w:szCs w:val="24"/>
        </w:rPr>
      </w:pPr>
      <w:r>
        <w:rPr>
          <w:rFonts w:ascii="Palatino Linotype" w:eastAsia="Calibri" w:hAnsi="Palatino Linotype" w:cs="Tahoma"/>
          <w:bCs/>
          <w:sz w:val="24"/>
          <w:szCs w:val="24"/>
        </w:rPr>
        <w:t xml:space="preserve">Por lo que en virtud de lo anterior es necesario traer a colación lo establecido en el Bando </w:t>
      </w:r>
      <w:r w:rsidRPr="00AD72CF">
        <w:rPr>
          <w:rFonts w:ascii="Palatino Linotype" w:eastAsia="Calibri" w:hAnsi="Palatino Linotype" w:cs="Tahoma"/>
          <w:bCs/>
          <w:sz w:val="24"/>
          <w:szCs w:val="24"/>
        </w:rPr>
        <w:t>Municipal de Naucalpan de Juárez:</w:t>
      </w:r>
    </w:p>
    <w:p w14:paraId="15915608" w14:textId="77777777" w:rsidR="00B521A1" w:rsidRPr="00B521A1" w:rsidRDefault="00B521A1" w:rsidP="00B521A1">
      <w:pPr>
        <w:spacing w:after="0" w:line="240" w:lineRule="auto"/>
        <w:ind w:left="567" w:right="709"/>
        <w:jc w:val="center"/>
        <w:rPr>
          <w:rFonts w:ascii="Palatino Linotype" w:hAnsi="Palatino Linotype"/>
          <w:b/>
          <w:bCs/>
          <w:i/>
          <w:iCs/>
        </w:rPr>
      </w:pPr>
      <w:r w:rsidRPr="00B521A1">
        <w:rPr>
          <w:rFonts w:ascii="Palatino Linotype" w:hAnsi="Palatino Linotype"/>
          <w:b/>
          <w:bCs/>
          <w:i/>
          <w:iCs/>
        </w:rPr>
        <w:t>CAPÍTULO III</w:t>
      </w:r>
    </w:p>
    <w:p w14:paraId="039E1C85" w14:textId="77777777" w:rsidR="00B521A1" w:rsidRPr="00B521A1" w:rsidRDefault="00B521A1" w:rsidP="00B521A1">
      <w:pPr>
        <w:spacing w:after="0" w:line="240" w:lineRule="auto"/>
        <w:ind w:left="567" w:right="709"/>
        <w:jc w:val="center"/>
        <w:rPr>
          <w:rFonts w:ascii="Palatino Linotype" w:hAnsi="Palatino Linotype"/>
          <w:b/>
          <w:bCs/>
          <w:i/>
          <w:iCs/>
        </w:rPr>
      </w:pPr>
      <w:r w:rsidRPr="00B521A1">
        <w:rPr>
          <w:rFonts w:ascii="Palatino Linotype" w:hAnsi="Palatino Linotype"/>
          <w:b/>
          <w:bCs/>
          <w:i/>
          <w:iCs/>
        </w:rPr>
        <w:t>DE LA ADMINISTRACIÓN</w:t>
      </w:r>
    </w:p>
    <w:p w14:paraId="63B8C2DA" w14:textId="77777777" w:rsidR="00B521A1" w:rsidRDefault="00B521A1" w:rsidP="00B521A1">
      <w:pPr>
        <w:spacing w:after="0" w:line="240" w:lineRule="auto"/>
        <w:ind w:left="567" w:right="709"/>
        <w:jc w:val="center"/>
        <w:rPr>
          <w:rFonts w:ascii="Palatino Linotype" w:hAnsi="Palatino Linotype"/>
          <w:b/>
          <w:bCs/>
          <w:i/>
          <w:iCs/>
        </w:rPr>
      </w:pPr>
      <w:r w:rsidRPr="00B521A1">
        <w:rPr>
          <w:rFonts w:ascii="Palatino Linotype" w:hAnsi="Palatino Linotype"/>
          <w:b/>
          <w:bCs/>
          <w:i/>
          <w:iCs/>
        </w:rPr>
        <w:t>PÚBLICA MUNICIPAL</w:t>
      </w:r>
    </w:p>
    <w:p w14:paraId="7CCB8A0F" w14:textId="77777777" w:rsidR="00B521A1" w:rsidRPr="00B521A1" w:rsidRDefault="00B521A1" w:rsidP="00B521A1">
      <w:pPr>
        <w:spacing w:after="0" w:line="240" w:lineRule="auto"/>
        <w:ind w:left="567" w:right="709"/>
        <w:jc w:val="center"/>
        <w:rPr>
          <w:rFonts w:ascii="Palatino Linotype" w:hAnsi="Palatino Linotype"/>
          <w:b/>
          <w:bCs/>
          <w:i/>
          <w:iCs/>
        </w:rPr>
      </w:pPr>
    </w:p>
    <w:p w14:paraId="44262A8E" w14:textId="521DEF4E" w:rsidR="00B521A1" w:rsidRP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
          <w:bCs/>
          <w:i/>
          <w:iCs/>
        </w:rPr>
        <w:t xml:space="preserve">Artículo 30. </w:t>
      </w:r>
      <w:r w:rsidRPr="00B521A1">
        <w:rPr>
          <w:rFonts w:ascii="Palatino Linotype" w:hAnsi="Palatino Linotype"/>
          <w:bCs/>
          <w:i/>
          <w:iCs/>
        </w:rPr>
        <w:t>La Administración Pública Municipal se compone por las dependencias y entidades a través de los cuales el Ayuntamiento realiza actividades para satisfacer las necesidades generales que constituyen el objeto de los servicios y funciones públicas, las cuales se realizan de manera permanente y continua, siempre de acuerdo al interés público y con perspectiva de género.</w:t>
      </w:r>
    </w:p>
    <w:p w14:paraId="29AE46A1" w14:textId="74401B04" w:rsidR="00B521A1" w:rsidRPr="00B521A1" w:rsidRDefault="00B521A1" w:rsidP="00B521A1">
      <w:pPr>
        <w:spacing w:after="0" w:line="240" w:lineRule="auto"/>
        <w:ind w:left="567" w:right="709"/>
        <w:jc w:val="both"/>
        <w:rPr>
          <w:rFonts w:ascii="Palatino Linotype" w:hAnsi="Palatino Linotype"/>
          <w:i/>
          <w:iCs/>
        </w:rPr>
      </w:pPr>
      <w:r w:rsidRPr="00B521A1">
        <w:rPr>
          <w:rFonts w:ascii="Palatino Linotype" w:hAnsi="Palatino Linotype"/>
          <w:bCs/>
          <w:i/>
          <w:iCs/>
        </w:rPr>
        <w:t>Para el ejercicio de estas atribuciones y responsabilidades ejecutivas y administrativas, el Gobierno del Municipio, se auxiliará de las dependencias y entidades que considere necesarias, siempre de acuerdo con su presupuesto, mismas que estarán subordinadas a la Presidenta Municipal.</w:t>
      </w:r>
      <w:r w:rsidRPr="00B521A1">
        <w:rPr>
          <w:rFonts w:ascii="Palatino Linotype" w:hAnsi="Palatino Linotype"/>
          <w:i/>
          <w:iCs/>
        </w:rPr>
        <w:t xml:space="preserve">; </w:t>
      </w:r>
    </w:p>
    <w:p w14:paraId="5A595A1E" w14:textId="277C55F7" w:rsid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La Administración Pública Municipal para una mejor eficiencia, se dividirá en centralizada y</w:t>
      </w:r>
      <w:r>
        <w:rPr>
          <w:rFonts w:ascii="Palatino Linotype" w:hAnsi="Palatino Linotype"/>
          <w:bCs/>
          <w:i/>
          <w:iCs/>
        </w:rPr>
        <w:t xml:space="preserve"> </w:t>
      </w:r>
      <w:r w:rsidRPr="00B521A1">
        <w:rPr>
          <w:rFonts w:ascii="Palatino Linotype" w:hAnsi="Palatino Linotype"/>
          <w:bCs/>
          <w:i/>
          <w:iCs/>
        </w:rPr>
        <w:t>descentralizada.</w:t>
      </w:r>
    </w:p>
    <w:p w14:paraId="362582F4" w14:textId="77777777" w:rsidR="00B521A1" w:rsidRDefault="00B521A1" w:rsidP="00B521A1">
      <w:pPr>
        <w:spacing w:after="0" w:line="240" w:lineRule="auto"/>
        <w:ind w:left="567" w:right="709"/>
        <w:jc w:val="both"/>
        <w:rPr>
          <w:rFonts w:ascii="Palatino Linotype" w:hAnsi="Palatino Linotype"/>
          <w:bCs/>
          <w:i/>
          <w:iCs/>
        </w:rPr>
      </w:pPr>
    </w:p>
    <w:p w14:paraId="1C2E60F2" w14:textId="020CB044" w:rsid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
          <w:bCs/>
          <w:i/>
          <w:iCs/>
        </w:rPr>
        <w:t>Artículo 32.</w:t>
      </w:r>
      <w:r w:rsidRPr="00B521A1">
        <w:rPr>
          <w:rFonts w:ascii="Palatino Linotype" w:hAnsi="Palatino Linotype"/>
          <w:bCs/>
          <w:i/>
          <w:iCs/>
        </w:rPr>
        <w:t xml:space="preserve"> La Administración Pública Centralizada se constituye </w:t>
      </w:r>
      <w:r>
        <w:rPr>
          <w:rFonts w:ascii="Palatino Linotype" w:hAnsi="Palatino Linotype"/>
          <w:bCs/>
          <w:i/>
          <w:iCs/>
        </w:rPr>
        <w:t xml:space="preserve">por las dependencias que señala </w:t>
      </w:r>
      <w:r w:rsidRPr="00B521A1">
        <w:rPr>
          <w:rFonts w:ascii="Palatino Linotype" w:hAnsi="Palatino Linotype"/>
          <w:bCs/>
          <w:i/>
          <w:iCs/>
        </w:rPr>
        <w:t>la Ley Orgánica</w:t>
      </w:r>
      <w:r w:rsidR="00C2556D">
        <w:rPr>
          <w:rFonts w:ascii="Palatino Linotype" w:hAnsi="Palatino Linotype"/>
          <w:bCs/>
          <w:i/>
          <w:iCs/>
        </w:rPr>
        <w:t xml:space="preserve"> </w:t>
      </w:r>
      <w:r w:rsidRPr="00B521A1">
        <w:rPr>
          <w:rFonts w:ascii="Palatino Linotype" w:hAnsi="Palatino Linotype"/>
          <w:bCs/>
          <w:i/>
          <w:iCs/>
        </w:rPr>
        <w:t>Municipal del Estado de México, así como por aquell</w:t>
      </w:r>
      <w:r>
        <w:rPr>
          <w:rFonts w:ascii="Palatino Linotype" w:hAnsi="Palatino Linotype"/>
          <w:bCs/>
          <w:i/>
          <w:iCs/>
        </w:rPr>
        <w:t xml:space="preserve">as que sean creadas por acuerdo </w:t>
      </w:r>
      <w:r w:rsidRPr="00B521A1">
        <w:rPr>
          <w:rFonts w:ascii="Palatino Linotype" w:hAnsi="Palatino Linotype"/>
          <w:bCs/>
          <w:i/>
          <w:iCs/>
        </w:rPr>
        <w:t xml:space="preserve">de Cabildo; dependen del Ayuntamiento y están subordinados </w:t>
      </w:r>
      <w:r>
        <w:rPr>
          <w:rFonts w:ascii="Palatino Linotype" w:hAnsi="Palatino Linotype"/>
          <w:bCs/>
          <w:i/>
          <w:iCs/>
        </w:rPr>
        <w:t xml:space="preserve">jerárquicamente a la Presidenta </w:t>
      </w:r>
      <w:r w:rsidRPr="00B521A1">
        <w:rPr>
          <w:rFonts w:ascii="Palatino Linotype" w:hAnsi="Palatino Linotype"/>
          <w:bCs/>
          <w:i/>
          <w:iCs/>
        </w:rPr>
        <w:t>Municipal.</w:t>
      </w:r>
    </w:p>
    <w:p w14:paraId="634260B3" w14:textId="77777777" w:rsidR="00B521A1" w:rsidRPr="00B521A1" w:rsidRDefault="00B521A1" w:rsidP="00B521A1">
      <w:pPr>
        <w:spacing w:after="0" w:line="240" w:lineRule="auto"/>
        <w:ind w:left="567" w:right="709"/>
        <w:jc w:val="both"/>
        <w:rPr>
          <w:rFonts w:ascii="Palatino Linotype" w:hAnsi="Palatino Linotype"/>
          <w:bCs/>
          <w:i/>
          <w:iCs/>
        </w:rPr>
      </w:pPr>
    </w:p>
    <w:p w14:paraId="3A49F74F" w14:textId="77777777" w:rsid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La Administración Pública Centralizada se integra por:</w:t>
      </w:r>
    </w:p>
    <w:p w14:paraId="0484956A" w14:textId="77777777" w:rsidR="00B521A1" w:rsidRPr="00B521A1" w:rsidRDefault="00B521A1" w:rsidP="00B521A1">
      <w:pPr>
        <w:spacing w:after="0" w:line="240" w:lineRule="auto"/>
        <w:ind w:left="567" w:right="709"/>
        <w:jc w:val="both"/>
        <w:rPr>
          <w:rFonts w:ascii="Palatino Linotype" w:hAnsi="Palatino Linotype"/>
          <w:bCs/>
          <w:i/>
          <w:iCs/>
        </w:rPr>
      </w:pPr>
    </w:p>
    <w:p w14:paraId="42A171E8" w14:textId="77777777" w:rsidR="00B521A1" w:rsidRP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I. Secretaría del Ayuntamiento;</w:t>
      </w:r>
    </w:p>
    <w:p w14:paraId="469BB3D0" w14:textId="77777777" w:rsidR="00B521A1" w:rsidRP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 xml:space="preserve">II. </w:t>
      </w:r>
      <w:r w:rsidRPr="00340F6B">
        <w:rPr>
          <w:rFonts w:ascii="Palatino Linotype" w:hAnsi="Palatino Linotype"/>
          <w:b/>
          <w:bCs/>
          <w:i/>
          <w:iCs/>
          <w:u w:val="single"/>
        </w:rPr>
        <w:t>Tesorería Municipal;</w:t>
      </w:r>
    </w:p>
    <w:p w14:paraId="5E4E06EE" w14:textId="77777777" w:rsidR="00B521A1" w:rsidRP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III. Contraloría Interna Municipal;</w:t>
      </w:r>
    </w:p>
    <w:p w14:paraId="726CC687" w14:textId="77777777" w:rsidR="00B521A1" w:rsidRP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IV. Secretarías de:</w:t>
      </w:r>
    </w:p>
    <w:p w14:paraId="520922BA" w14:textId="77777777" w:rsidR="00B521A1" w:rsidRP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a) Administración;</w:t>
      </w:r>
    </w:p>
    <w:p w14:paraId="438612CF" w14:textId="77777777" w:rsidR="00B521A1" w:rsidRP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b) Desarrollo Económico;</w:t>
      </w:r>
    </w:p>
    <w:p w14:paraId="098C75DB" w14:textId="77777777" w:rsidR="00B521A1" w:rsidRP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c) Desarrollo Social;</w:t>
      </w:r>
    </w:p>
    <w:p w14:paraId="6C920030" w14:textId="77777777" w:rsidR="00B521A1" w:rsidRPr="009F55E9" w:rsidRDefault="00B521A1" w:rsidP="00B521A1">
      <w:pPr>
        <w:spacing w:after="0" w:line="240" w:lineRule="auto"/>
        <w:ind w:left="567" w:right="709"/>
        <w:jc w:val="both"/>
        <w:rPr>
          <w:rFonts w:ascii="Palatino Linotype" w:hAnsi="Palatino Linotype"/>
          <w:bCs/>
          <w:i/>
          <w:iCs/>
        </w:rPr>
      </w:pPr>
      <w:r w:rsidRPr="009F55E9">
        <w:rPr>
          <w:rFonts w:ascii="Palatino Linotype" w:hAnsi="Palatino Linotype"/>
          <w:bCs/>
          <w:i/>
          <w:iCs/>
        </w:rPr>
        <w:t>d) Planeación Urbana y Obras Públicas;</w:t>
      </w:r>
    </w:p>
    <w:p w14:paraId="381E2308" w14:textId="77777777" w:rsidR="00B521A1" w:rsidRPr="009F55E9" w:rsidRDefault="00B521A1" w:rsidP="00B521A1">
      <w:pPr>
        <w:spacing w:after="0" w:line="240" w:lineRule="auto"/>
        <w:ind w:left="567" w:right="709"/>
        <w:jc w:val="both"/>
        <w:rPr>
          <w:rFonts w:ascii="Palatino Linotype" w:hAnsi="Palatino Linotype"/>
          <w:bCs/>
          <w:i/>
          <w:iCs/>
        </w:rPr>
      </w:pPr>
      <w:r w:rsidRPr="009F55E9">
        <w:rPr>
          <w:rFonts w:ascii="Palatino Linotype" w:hAnsi="Palatino Linotype"/>
          <w:bCs/>
          <w:i/>
          <w:iCs/>
        </w:rPr>
        <w:t>e) Medio Ambiente;</w:t>
      </w:r>
    </w:p>
    <w:p w14:paraId="7732AB77" w14:textId="77777777" w:rsidR="00B521A1" w:rsidRPr="009F55E9" w:rsidRDefault="00B521A1" w:rsidP="00B521A1">
      <w:pPr>
        <w:spacing w:after="0" w:line="240" w:lineRule="auto"/>
        <w:ind w:left="567" w:right="709"/>
        <w:jc w:val="both"/>
        <w:rPr>
          <w:rFonts w:ascii="Palatino Linotype" w:hAnsi="Palatino Linotype"/>
          <w:bCs/>
          <w:i/>
          <w:iCs/>
        </w:rPr>
      </w:pPr>
      <w:r w:rsidRPr="009F55E9">
        <w:rPr>
          <w:rFonts w:ascii="Palatino Linotype" w:hAnsi="Palatino Linotype"/>
          <w:bCs/>
          <w:i/>
          <w:iCs/>
        </w:rPr>
        <w:t>f) Servicios Públicos;</w:t>
      </w:r>
    </w:p>
    <w:p w14:paraId="6DE8F1F5" w14:textId="77777777" w:rsidR="00B521A1" w:rsidRP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g) las Mujeres Naucalpenses y la Igualdad Sustantiva;</w:t>
      </w:r>
    </w:p>
    <w:p w14:paraId="1C973C6B" w14:textId="77777777" w:rsidR="00B521A1" w:rsidRP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h) Gobierno;</w:t>
      </w:r>
    </w:p>
    <w:p w14:paraId="70F58473" w14:textId="77777777" w:rsidR="00B521A1" w:rsidRP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i) Cultura, y</w:t>
      </w:r>
    </w:p>
    <w:p w14:paraId="15E716BB" w14:textId="77777777" w:rsidR="00B521A1" w:rsidRP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j) Asuntos Jurídicos.</w:t>
      </w:r>
    </w:p>
    <w:p w14:paraId="5D5FCD96" w14:textId="77777777" w:rsidR="00B521A1" w:rsidRP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V. Dirección General de Seguridad Ciudadana y Tránsito Municipal, y</w:t>
      </w:r>
    </w:p>
    <w:p w14:paraId="493D573B" w14:textId="3F5EE289" w:rsidR="00B521A1" w:rsidRDefault="00B521A1" w:rsidP="00B521A1">
      <w:pPr>
        <w:spacing w:after="0" w:line="240" w:lineRule="auto"/>
        <w:ind w:left="567" w:right="709"/>
        <w:jc w:val="both"/>
        <w:rPr>
          <w:rFonts w:ascii="Palatino Linotype" w:hAnsi="Palatino Linotype"/>
          <w:bCs/>
          <w:i/>
          <w:iCs/>
        </w:rPr>
      </w:pPr>
      <w:r w:rsidRPr="00B521A1">
        <w:rPr>
          <w:rFonts w:ascii="Palatino Linotype" w:hAnsi="Palatino Linotype"/>
          <w:bCs/>
          <w:i/>
          <w:iCs/>
        </w:rPr>
        <w:t>VI. Coordinación Municipal de Protección Civil.</w:t>
      </w:r>
    </w:p>
    <w:p w14:paraId="6BE70D7E" w14:textId="77777777" w:rsidR="00064A02" w:rsidRDefault="00064A02" w:rsidP="00B521A1">
      <w:pPr>
        <w:spacing w:after="0" w:line="240" w:lineRule="auto"/>
        <w:ind w:left="567" w:right="709"/>
        <w:jc w:val="both"/>
        <w:rPr>
          <w:rFonts w:ascii="Palatino Linotype" w:hAnsi="Palatino Linotype"/>
          <w:bCs/>
          <w:i/>
          <w:iCs/>
        </w:rPr>
      </w:pPr>
    </w:p>
    <w:p w14:paraId="4DA2230E" w14:textId="6EE1A73F" w:rsid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
          <w:bCs/>
          <w:i/>
          <w:iCs/>
        </w:rPr>
        <w:t>Artículo 44.</w:t>
      </w:r>
      <w:r w:rsidRPr="00064A02">
        <w:rPr>
          <w:rFonts w:ascii="Palatino Linotype" w:hAnsi="Palatino Linotype"/>
          <w:bCs/>
          <w:i/>
          <w:iCs/>
        </w:rPr>
        <w:t xml:space="preserve"> El Ayuntamiento tiene a su cargo la prestació</w:t>
      </w:r>
      <w:r>
        <w:rPr>
          <w:rFonts w:ascii="Palatino Linotype" w:hAnsi="Palatino Linotype"/>
          <w:bCs/>
          <w:i/>
          <w:iCs/>
        </w:rPr>
        <w:t xml:space="preserve">n, explotación, administración, </w:t>
      </w:r>
      <w:r w:rsidRPr="00064A02">
        <w:rPr>
          <w:rFonts w:ascii="Palatino Linotype" w:hAnsi="Palatino Linotype"/>
          <w:bCs/>
          <w:i/>
          <w:iCs/>
        </w:rPr>
        <w:t xml:space="preserve">funcionamiento, conservación, mantenimiento y uso de los </w:t>
      </w:r>
      <w:r>
        <w:rPr>
          <w:rFonts w:ascii="Palatino Linotype" w:hAnsi="Palatino Linotype"/>
          <w:bCs/>
          <w:i/>
          <w:iCs/>
        </w:rPr>
        <w:t xml:space="preserve">servicios públicos municipales, </w:t>
      </w:r>
      <w:r w:rsidRPr="00064A02">
        <w:rPr>
          <w:rFonts w:ascii="Palatino Linotype" w:hAnsi="Palatino Linotype"/>
          <w:bCs/>
          <w:i/>
          <w:iCs/>
        </w:rPr>
        <w:t>considerándose enunciativa y más no limitativamente, los siguientes:</w:t>
      </w:r>
    </w:p>
    <w:p w14:paraId="61DA0695" w14:textId="77777777" w:rsidR="00064A02" w:rsidRPr="00064A02" w:rsidRDefault="00064A02" w:rsidP="00064A02">
      <w:pPr>
        <w:spacing w:after="0" w:line="240" w:lineRule="auto"/>
        <w:ind w:left="567" w:right="709"/>
        <w:jc w:val="both"/>
        <w:rPr>
          <w:rFonts w:ascii="Palatino Linotype" w:hAnsi="Palatino Linotype"/>
          <w:bCs/>
          <w:i/>
          <w:iCs/>
        </w:rPr>
      </w:pPr>
    </w:p>
    <w:p w14:paraId="6E8BE54D" w14:textId="10E02887"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I. Agua potable, drenaje, alcantarillado, saneamiento, tratami</w:t>
      </w:r>
      <w:r>
        <w:rPr>
          <w:rFonts w:ascii="Palatino Linotype" w:hAnsi="Palatino Linotype"/>
          <w:bCs/>
          <w:i/>
          <w:iCs/>
        </w:rPr>
        <w:t xml:space="preserve">ento y disposición de sus aguas </w:t>
      </w:r>
      <w:r w:rsidRPr="00064A02">
        <w:rPr>
          <w:rFonts w:ascii="Palatino Linotype" w:hAnsi="Palatino Linotype"/>
          <w:bCs/>
          <w:i/>
          <w:iCs/>
        </w:rPr>
        <w:t>residuales;</w:t>
      </w:r>
    </w:p>
    <w:p w14:paraId="07E89ACF" w14:textId="77777777" w:rsidR="00064A02" w:rsidRPr="00064A02" w:rsidRDefault="00064A02" w:rsidP="00064A02">
      <w:pPr>
        <w:spacing w:after="0" w:line="240" w:lineRule="auto"/>
        <w:ind w:left="567" w:right="709"/>
        <w:jc w:val="both"/>
        <w:rPr>
          <w:rFonts w:ascii="Palatino Linotype" w:hAnsi="Palatino Linotype"/>
          <w:b/>
          <w:bCs/>
          <w:i/>
          <w:iCs/>
          <w:u w:val="single"/>
        </w:rPr>
      </w:pPr>
      <w:r w:rsidRPr="00064A02">
        <w:rPr>
          <w:rFonts w:ascii="Palatino Linotype" w:hAnsi="Palatino Linotype"/>
          <w:b/>
          <w:bCs/>
          <w:i/>
          <w:iCs/>
          <w:u w:val="single"/>
        </w:rPr>
        <w:t>II. Alumbrado público;</w:t>
      </w:r>
    </w:p>
    <w:p w14:paraId="4E82EB4F" w14:textId="1516117D"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III. Limpia, recolección, traslado, así como tratamiento y disposición final de residuos no</w:t>
      </w:r>
      <w:r>
        <w:rPr>
          <w:rFonts w:ascii="Palatino Linotype" w:hAnsi="Palatino Linotype"/>
          <w:bCs/>
          <w:i/>
          <w:iCs/>
        </w:rPr>
        <w:t xml:space="preserve"> </w:t>
      </w:r>
      <w:r w:rsidRPr="00064A02">
        <w:rPr>
          <w:rFonts w:ascii="Palatino Linotype" w:hAnsi="Palatino Linotype"/>
          <w:bCs/>
          <w:i/>
          <w:iCs/>
        </w:rPr>
        <w:t>peligrosos;</w:t>
      </w:r>
    </w:p>
    <w:p w14:paraId="0F8A1DC7" w14:textId="77777777"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IV. Mercados;</w:t>
      </w:r>
    </w:p>
    <w:p w14:paraId="40A525B2" w14:textId="77777777"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V. Panteones;</w:t>
      </w:r>
    </w:p>
    <w:p w14:paraId="1AA405AB" w14:textId="77777777"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VI. Centro de Refrigeración y Distribución de Cárnicos;</w:t>
      </w:r>
    </w:p>
    <w:p w14:paraId="217A2918" w14:textId="77777777"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VII. Calles, áreas verdes y recreativas, parques, jardines y su equipamiento;</w:t>
      </w:r>
    </w:p>
    <w:p w14:paraId="66874B7E" w14:textId="77777777"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lastRenderedPageBreak/>
        <w:t>VIII. Mantenimiento de árboles;</w:t>
      </w:r>
    </w:p>
    <w:p w14:paraId="5F1838BF" w14:textId="0F47F552"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IX. Salud, asistencia social, en el ámbito de su competencia, así como orien</w:t>
      </w:r>
      <w:r>
        <w:rPr>
          <w:rFonts w:ascii="Palatino Linotype" w:hAnsi="Palatino Linotype"/>
          <w:bCs/>
          <w:i/>
          <w:iCs/>
        </w:rPr>
        <w:t xml:space="preserve">tación y atención </w:t>
      </w:r>
      <w:r w:rsidRPr="00064A02">
        <w:rPr>
          <w:rFonts w:ascii="Palatino Linotype" w:hAnsi="Palatino Linotype"/>
          <w:bCs/>
          <w:i/>
          <w:iCs/>
        </w:rPr>
        <w:t>para el desarrollo integral de la mujer, para lograr su incorp</w:t>
      </w:r>
      <w:r>
        <w:rPr>
          <w:rFonts w:ascii="Palatino Linotype" w:hAnsi="Palatino Linotype"/>
          <w:bCs/>
          <w:i/>
          <w:iCs/>
        </w:rPr>
        <w:t xml:space="preserve">oración plena y activa en todos </w:t>
      </w:r>
      <w:r w:rsidRPr="00064A02">
        <w:rPr>
          <w:rFonts w:ascii="Palatino Linotype" w:hAnsi="Palatino Linotype"/>
          <w:bCs/>
          <w:i/>
          <w:iCs/>
        </w:rPr>
        <w:t>los ámbitos;</w:t>
      </w:r>
    </w:p>
    <w:p w14:paraId="3F45E109" w14:textId="77777777"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X. Promoción del empleo y capacitación para el trabajo;</w:t>
      </w:r>
    </w:p>
    <w:p w14:paraId="76D6F474" w14:textId="77777777"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XI. Embellecimiento y conservación del centro de población y obras de interés social;</w:t>
      </w:r>
    </w:p>
    <w:p w14:paraId="2F6CEC58" w14:textId="77777777"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XII. Seguridad ciudadana y tránsito;</w:t>
      </w:r>
    </w:p>
    <w:p w14:paraId="00B3BC85" w14:textId="77777777"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XIII. Protección civil y bomberos;</w:t>
      </w:r>
    </w:p>
    <w:p w14:paraId="0A53F7E9" w14:textId="77777777"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XIV. El depósito y custodia de vehículos;</w:t>
      </w:r>
    </w:p>
    <w:p w14:paraId="525A64F6" w14:textId="77777777"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XV. El arrastre y salvamento de vehículos, y</w:t>
      </w:r>
    </w:p>
    <w:p w14:paraId="70E00300" w14:textId="77777777"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XVI. Los demás servicios públicos que determinen las disposiciones jurídicas aplicables.</w:t>
      </w:r>
    </w:p>
    <w:p w14:paraId="19FD7A16" w14:textId="0391D79E" w:rsid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Cuando un servicio público se preste con la participación del Ayun</w:t>
      </w:r>
      <w:r>
        <w:rPr>
          <w:rFonts w:ascii="Palatino Linotype" w:hAnsi="Palatino Linotype"/>
          <w:bCs/>
          <w:i/>
          <w:iCs/>
        </w:rPr>
        <w:t xml:space="preserve">tamiento y los particulares, la </w:t>
      </w:r>
      <w:r w:rsidRPr="00064A02">
        <w:rPr>
          <w:rFonts w:ascii="Palatino Linotype" w:hAnsi="Palatino Linotype"/>
          <w:bCs/>
          <w:i/>
          <w:iCs/>
        </w:rPr>
        <w:t>organización y dirección del mismo, siempre estará a cargo de la autoridad municipal.</w:t>
      </w:r>
    </w:p>
    <w:p w14:paraId="043B7526" w14:textId="77777777" w:rsidR="00064A02" w:rsidRDefault="00064A02" w:rsidP="00064A02">
      <w:pPr>
        <w:spacing w:after="0" w:line="240" w:lineRule="auto"/>
        <w:ind w:left="567" w:right="709"/>
        <w:jc w:val="both"/>
        <w:rPr>
          <w:rFonts w:ascii="Palatino Linotype" w:hAnsi="Palatino Linotype"/>
          <w:bCs/>
          <w:i/>
          <w:iCs/>
        </w:rPr>
      </w:pPr>
    </w:p>
    <w:p w14:paraId="0D8744F2" w14:textId="77777777" w:rsidR="00064A02" w:rsidRPr="00064A02" w:rsidRDefault="00064A02" w:rsidP="00064A02">
      <w:pPr>
        <w:spacing w:after="0" w:line="240" w:lineRule="auto"/>
        <w:ind w:left="567" w:right="709"/>
        <w:jc w:val="center"/>
        <w:rPr>
          <w:rFonts w:ascii="Palatino Linotype" w:hAnsi="Palatino Linotype"/>
          <w:b/>
          <w:bCs/>
          <w:i/>
          <w:iCs/>
        </w:rPr>
      </w:pPr>
      <w:r w:rsidRPr="00064A02">
        <w:rPr>
          <w:rFonts w:ascii="Palatino Linotype" w:hAnsi="Palatino Linotype"/>
          <w:b/>
          <w:bCs/>
          <w:i/>
          <w:iCs/>
        </w:rPr>
        <w:t>CAPÍTULO III</w:t>
      </w:r>
    </w:p>
    <w:p w14:paraId="196CA83F" w14:textId="77777777" w:rsidR="00064A02" w:rsidRPr="00064A02" w:rsidRDefault="00064A02" w:rsidP="00064A02">
      <w:pPr>
        <w:spacing w:after="0" w:line="240" w:lineRule="auto"/>
        <w:ind w:left="567" w:right="709"/>
        <w:jc w:val="center"/>
        <w:rPr>
          <w:rFonts w:ascii="Palatino Linotype" w:hAnsi="Palatino Linotype"/>
          <w:b/>
          <w:bCs/>
          <w:i/>
          <w:iCs/>
        </w:rPr>
      </w:pPr>
      <w:r w:rsidRPr="00064A02">
        <w:rPr>
          <w:rFonts w:ascii="Palatino Linotype" w:hAnsi="Palatino Linotype"/>
          <w:b/>
          <w:bCs/>
          <w:i/>
          <w:iCs/>
        </w:rPr>
        <w:t>DE LOS SERVICIOS DE ALUMBRADO PÚBLICO, LIMPIA, RECOLECCIÓN,</w:t>
      </w:r>
    </w:p>
    <w:p w14:paraId="787F3DEE" w14:textId="77777777" w:rsidR="00064A02" w:rsidRDefault="00064A02" w:rsidP="00064A02">
      <w:pPr>
        <w:spacing w:after="0" w:line="240" w:lineRule="auto"/>
        <w:ind w:left="567" w:right="709"/>
        <w:jc w:val="center"/>
        <w:rPr>
          <w:rFonts w:ascii="Palatino Linotype" w:hAnsi="Palatino Linotype"/>
          <w:b/>
          <w:bCs/>
          <w:i/>
          <w:iCs/>
        </w:rPr>
      </w:pPr>
      <w:r w:rsidRPr="00064A02">
        <w:rPr>
          <w:rFonts w:ascii="Palatino Linotype" w:hAnsi="Palatino Linotype"/>
          <w:b/>
          <w:bCs/>
          <w:i/>
          <w:iCs/>
        </w:rPr>
        <w:t>TRASLADO Y DISPOSICIÓN FINAL DE RESIDUOS NO PELIGROSOS</w:t>
      </w:r>
    </w:p>
    <w:p w14:paraId="57C41159" w14:textId="77777777" w:rsidR="00064A02" w:rsidRPr="00064A02" w:rsidRDefault="00064A02" w:rsidP="00064A02">
      <w:pPr>
        <w:spacing w:after="0" w:line="240" w:lineRule="auto"/>
        <w:ind w:left="567" w:right="709"/>
        <w:jc w:val="center"/>
        <w:rPr>
          <w:rFonts w:ascii="Palatino Linotype" w:hAnsi="Palatino Linotype"/>
          <w:b/>
          <w:bCs/>
          <w:i/>
          <w:iCs/>
        </w:rPr>
      </w:pPr>
    </w:p>
    <w:p w14:paraId="2A8114F8" w14:textId="74B4D108" w:rsid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
          <w:bCs/>
          <w:i/>
          <w:iCs/>
        </w:rPr>
        <w:t>Artículo 47</w:t>
      </w:r>
      <w:r w:rsidRPr="00064A02">
        <w:rPr>
          <w:rFonts w:ascii="Palatino Linotype" w:hAnsi="Palatino Linotype"/>
          <w:bCs/>
          <w:i/>
          <w:iCs/>
        </w:rPr>
        <w:t>. Corresponde a la Secretaría de Servicios Públicos del</w:t>
      </w:r>
      <w:r>
        <w:rPr>
          <w:rFonts w:ascii="Palatino Linotype" w:hAnsi="Palatino Linotype"/>
          <w:bCs/>
          <w:i/>
          <w:iCs/>
        </w:rPr>
        <w:t xml:space="preserve"> Municipio la prestación de los </w:t>
      </w:r>
      <w:r w:rsidRPr="00064A02">
        <w:rPr>
          <w:rFonts w:ascii="Palatino Linotype" w:hAnsi="Palatino Linotype"/>
          <w:bCs/>
          <w:i/>
          <w:iCs/>
        </w:rPr>
        <w:t xml:space="preserve">servicios públicos de alumbrado público, limpia, recolección, traslado </w:t>
      </w:r>
      <w:r>
        <w:rPr>
          <w:rFonts w:ascii="Palatino Linotype" w:hAnsi="Palatino Linotype"/>
          <w:bCs/>
          <w:i/>
          <w:iCs/>
        </w:rPr>
        <w:t xml:space="preserve">y disposición final de residuos </w:t>
      </w:r>
      <w:r w:rsidRPr="00064A02">
        <w:rPr>
          <w:rFonts w:ascii="Palatino Linotype" w:hAnsi="Palatino Linotype"/>
          <w:bCs/>
          <w:i/>
          <w:iCs/>
        </w:rPr>
        <w:t>sólidos urbanos de conformidad con la normatividad aplicable, los c</w:t>
      </w:r>
      <w:r>
        <w:rPr>
          <w:rFonts w:ascii="Palatino Linotype" w:hAnsi="Palatino Linotype"/>
          <w:bCs/>
          <w:i/>
          <w:iCs/>
        </w:rPr>
        <w:t xml:space="preserve">uales constituyen servicios que </w:t>
      </w:r>
      <w:r w:rsidRPr="00064A02">
        <w:rPr>
          <w:rFonts w:ascii="Palatino Linotype" w:hAnsi="Palatino Linotype"/>
          <w:bCs/>
          <w:i/>
          <w:iCs/>
        </w:rPr>
        <w:t>deben ser prestados de manera regular y uniforme dentro del territor</w:t>
      </w:r>
      <w:r>
        <w:rPr>
          <w:rFonts w:ascii="Palatino Linotype" w:hAnsi="Palatino Linotype"/>
          <w:bCs/>
          <w:i/>
          <w:iCs/>
        </w:rPr>
        <w:t xml:space="preserve">io municipal en el ámbito de su </w:t>
      </w:r>
      <w:r w:rsidRPr="00064A02">
        <w:rPr>
          <w:rFonts w:ascii="Palatino Linotype" w:hAnsi="Palatino Linotype"/>
          <w:bCs/>
          <w:i/>
          <w:iCs/>
        </w:rPr>
        <w:t>competencia, con el fin de mejorar la calidad de vida de los naucalpenses.</w:t>
      </w:r>
    </w:p>
    <w:p w14:paraId="17DA5D79" w14:textId="77777777" w:rsidR="00064A02" w:rsidRPr="00064A02" w:rsidRDefault="00064A02" w:rsidP="00064A02">
      <w:pPr>
        <w:spacing w:after="0" w:line="240" w:lineRule="auto"/>
        <w:ind w:left="567" w:right="709"/>
        <w:jc w:val="both"/>
        <w:rPr>
          <w:rFonts w:ascii="Palatino Linotype" w:hAnsi="Palatino Linotype"/>
          <w:bCs/>
          <w:i/>
          <w:iCs/>
        </w:rPr>
      </w:pPr>
    </w:p>
    <w:p w14:paraId="06956BCE" w14:textId="1F26918F"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La Secretaría de Servicios Públicos deberá instrumentar de manera permanente camp</w:t>
      </w:r>
      <w:r>
        <w:rPr>
          <w:rFonts w:ascii="Palatino Linotype" w:hAnsi="Palatino Linotype"/>
          <w:bCs/>
          <w:i/>
          <w:iCs/>
        </w:rPr>
        <w:t xml:space="preserve">añas que </w:t>
      </w:r>
      <w:r w:rsidRPr="00064A02">
        <w:rPr>
          <w:rFonts w:ascii="Palatino Linotype" w:hAnsi="Palatino Linotype"/>
          <w:bCs/>
          <w:i/>
          <w:iCs/>
        </w:rPr>
        <w:t>tiendan a concientizar a la población en general sobre la cultu</w:t>
      </w:r>
      <w:r>
        <w:rPr>
          <w:rFonts w:ascii="Palatino Linotype" w:hAnsi="Palatino Linotype"/>
          <w:bCs/>
          <w:i/>
          <w:iCs/>
        </w:rPr>
        <w:t xml:space="preserve">ra del reciclaje e instrumentar </w:t>
      </w:r>
      <w:r w:rsidRPr="00064A02">
        <w:rPr>
          <w:rFonts w:ascii="Palatino Linotype" w:hAnsi="Palatino Linotype"/>
          <w:bCs/>
          <w:i/>
          <w:iCs/>
        </w:rPr>
        <w:t>programas para la separación de residuos sólidos urbanos,</w:t>
      </w:r>
      <w:r>
        <w:rPr>
          <w:rFonts w:ascii="Palatino Linotype" w:hAnsi="Palatino Linotype"/>
          <w:bCs/>
          <w:i/>
          <w:iCs/>
        </w:rPr>
        <w:t xml:space="preserve"> clasificándolos en orgánicos e </w:t>
      </w:r>
      <w:r w:rsidRPr="00064A02">
        <w:rPr>
          <w:rFonts w:ascii="Palatino Linotype" w:hAnsi="Palatino Linotype"/>
          <w:bCs/>
          <w:i/>
          <w:iCs/>
        </w:rPr>
        <w:t>inorgánicos, con el fin de contribuir a la conservación del medio ambiente, la economía circular y</w:t>
      </w:r>
      <w:r>
        <w:rPr>
          <w:rFonts w:ascii="Palatino Linotype" w:hAnsi="Palatino Linotype"/>
          <w:bCs/>
          <w:i/>
          <w:iCs/>
        </w:rPr>
        <w:t xml:space="preserve"> </w:t>
      </w:r>
      <w:r w:rsidRPr="00064A02">
        <w:rPr>
          <w:rFonts w:ascii="Palatino Linotype" w:hAnsi="Palatino Linotype"/>
          <w:bCs/>
          <w:i/>
          <w:iCs/>
        </w:rPr>
        <w:t>promover la valorización de los mismos, éste programa tendrá como fi</w:t>
      </w:r>
      <w:r>
        <w:rPr>
          <w:rFonts w:ascii="Palatino Linotype" w:hAnsi="Palatino Linotype"/>
          <w:bCs/>
          <w:i/>
          <w:iCs/>
        </w:rPr>
        <w:t xml:space="preserve">nalidad la separación de dichos </w:t>
      </w:r>
      <w:r w:rsidRPr="00064A02">
        <w:rPr>
          <w:rFonts w:ascii="Palatino Linotype" w:hAnsi="Palatino Linotype"/>
          <w:bCs/>
          <w:i/>
          <w:iCs/>
        </w:rPr>
        <w:t>residuos desde los hogares, negocios, unidades económicas o cual</w:t>
      </w:r>
      <w:r>
        <w:rPr>
          <w:rFonts w:ascii="Palatino Linotype" w:hAnsi="Palatino Linotype"/>
          <w:bCs/>
          <w:i/>
          <w:iCs/>
        </w:rPr>
        <w:t xml:space="preserve">quier otra fuente de generación </w:t>
      </w:r>
      <w:r w:rsidRPr="00064A02">
        <w:rPr>
          <w:rFonts w:ascii="Palatino Linotype" w:hAnsi="Palatino Linotype"/>
          <w:bCs/>
          <w:i/>
          <w:iCs/>
        </w:rPr>
        <w:t>de desechos; los camiones recolectores de basura, y el destino fi</w:t>
      </w:r>
      <w:r>
        <w:rPr>
          <w:rFonts w:ascii="Palatino Linotype" w:hAnsi="Palatino Linotype"/>
          <w:bCs/>
          <w:i/>
          <w:iCs/>
        </w:rPr>
        <w:t xml:space="preserve">nal de los mismos, todo ello de </w:t>
      </w:r>
      <w:r w:rsidRPr="00064A02">
        <w:rPr>
          <w:rFonts w:ascii="Palatino Linotype" w:hAnsi="Palatino Linotype"/>
          <w:bCs/>
          <w:i/>
          <w:iCs/>
        </w:rPr>
        <w:t>acuerdo a la Norma Oficial aplicable y la Ley Orgánica Munic</w:t>
      </w:r>
      <w:r>
        <w:rPr>
          <w:rFonts w:ascii="Palatino Linotype" w:hAnsi="Palatino Linotype"/>
          <w:bCs/>
          <w:i/>
          <w:iCs/>
        </w:rPr>
        <w:t xml:space="preserve">ipal, en materia de recolección </w:t>
      </w:r>
      <w:r w:rsidRPr="00064A02">
        <w:rPr>
          <w:rFonts w:ascii="Palatino Linotype" w:hAnsi="Palatino Linotype"/>
          <w:bCs/>
          <w:i/>
          <w:iCs/>
        </w:rPr>
        <w:t>segregada.</w:t>
      </w:r>
    </w:p>
    <w:p w14:paraId="06D88041" w14:textId="76263F5C" w:rsidR="00064A02" w:rsidRPr="00064A02"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No obstante lo anterior, las personas físicas o jurídico colectivas podrán solic</w:t>
      </w:r>
      <w:r>
        <w:rPr>
          <w:rFonts w:ascii="Palatino Linotype" w:hAnsi="Palatino Linotype"/>
          <w:bCs/>
          <w:i/>
          <w:iCs/>
        </w:rPr>
        <w:t xml:space="preserve">itar a la Secretaría de </w:t>
      </w:r>
      <w:r w:rsidRPr="00064A02">
        <w:rPr>
          <w:rFonts w:ascii="Palatino Linotype" w:hAnsi="Palatino Linotype"/>
          <w:bCs/>
          <w:i/>
          <w:iCs/>
        </w:rPr>
        <w:t>Servicios Públicos la recolección, traslado y disposición final de los</w:t>
      </w:r>
      <w:r>
        <w:rPr>
          <w:rFonts w:ascii="Palatino Linotype" w:hAnsi="Palatino Linotype"/>
          <w:bCs/>
          <w:i/>
          <w:iCs/>
        </w:rPr>
        <w:t xml:space="preserve"> residuos sólidos no peligrosos </w:t>
      </w:r>
      <w:r w:rsidRPr="00064A02">
        <w:rPr>
          <w:rFonts w:ascii="Palatino Linotype" w:hAnsi="Palatino Linotype"/>
          <w:bCs/>
          <w:i/>
          <w:iCs/>
        </w:rPr>
        <w:t xml:space="preserve">urbanos con características domiciliarias que generen, provenientes </w:t>
      </w:r>
      <w:r w:rsidRPr="00064A02">
        <w:rPr>
          <w:rFonts w:ascii="Palatino Linotype" w:hAnsi="Palatino Linotype"/>
          <w:bCs/>
          <w:i/>
          <w:iCs/>
        </w:rPr>
        <w:lastRenderedPageBreak/>
        <w:t>de</w:t>
      </w:r>
      <w:r>
        <w:rPr>
          <w:rFonts w:ascii="Palatino Linotype" w:hAnsi="Palatino Linotype"/>
          <w:bCs/>
          <w:i/>
          <w:iCs/>
        </w:rPr>
        <w:t xml:space="preserve"> establecimientos industriales, </w:t>
      </w:r>
      <w:r w:rsidRPr="00064A02">
        <w:rPr>
          <w:rFonts w:ascii="Palatino Linotype" w:hAnsi="Palatino Linotype"/>
          <w:bCs/>
          <w:i/>
          <w:iCs/>
        </w:rPr>
        <w:t>comerciales y de servicios o del ejercicio del comercio en la vía públ</w:t>
      </w:r>
      <w:r>
        <w:rPr>
          <w:rFonts w:ascii="Palatino Linotype" w:hAnsi="Palatino Linotype"/>
          <w:bCs/>
          <w:i/>
          <w:iCs/>
        </w:rPr>
        <w:t xml:space="preserve">ica, previo pago a la Tesorería </w:t>
      </w:r>
      <w:r w:rsidRPr="00064A02">
        <w:rPr>
          <w:rFonts w:ascii="Palatino Linotype" w:hAnsi="Palatino Linotype"/>
          <w:bCs/>
          <w:i/>
          <w:iCs/>
        </w:rPr>
        <w:t>Municipal de los derechos que por ese concepto se generen de confo</w:t>
      </w:r>
      <w:r>
        <w:rPr>
          <w:rFonts w:ascii="Palatino Linotype" w:hAnsi="Palatino Linotype"/>
          <w:bCs/>
          <w:i/>
          <w:iCs/>
        </w:rPr>
        <w:t xml:space="preserve">rmidad con el Código Financiero </w:t>
      </w:r>
      <w:r w:rsidRPr="00064A02">
        <w:rPr>
          <w:rFonts w:ascii="Palatino Linotype" w:hAnsi="Palatino Linotype"/>
          <w:bCs/>
          <w:i/>
          <w:iCs/>
        </w:rPr>
        <w:t>del Estado de México y Municipios y demás normatividad aplicable, debiendo contar co</w:t>
      </w:r>
      <w:r>
        <w:rPr>
          <w:rFonts w:ascii="Palatino Linotype" w:hAnsi="Palatino Linotype"/>
          <w:bCs/>
          <w:i/>
          <w:iCs/>
        </w:rPr>
        <w:t xml:space="preserve">n la </w:t>
      </w:r>
      <w:r w:rsidRPr="00064A02">
        <w:rPr>
          <w:rFonts w:ascii="Palatino Linotype" w:hAnsi="Palatino Linotype"/>
          <w:bCs/>
          <w:i/>
          <w:iCs/>
        </w:rPr>
        <w:t>autorización que para tal efecto emita la Secretaría del Medio Ambien</w:t>
      </w:r>
      <w:r>
        <w:rPr>
          <w:rFonts w:ascii="Palatino Linotype" w:hAnsi="Palatino Linotype"/>
          <w:bCs/>
          <w:i/>
          <w:iCs/>
        </w:rPr>
        <w:t xml:space="preserve">te, y la orden de pago que para </w:t>
      </w:r>
      <w:r w:rsidRPr="00064A02">
        <w:rPr>
          <w:rFonts w:ascii="Palatino Linotype" w:hAnsi="Palatino Linotype"/>
          <w:bCs/>
          <w:i/>
          <w:iCs/>
        </w:rPr>
        <w:t xml:space="preserve">tal efecto deberá expedir la Secretaría de Servicios Públicos; con el </w:t>
      </w:r>
      <w:r>
        <w:rPr>
          <w:rFonts w:ascii="Palatino Linotype" w:hAnsi="Palatino Linotype"/>
          <w:bCs/>
          <w:i/>
          <w:iCs/>
        </w:rPr>
        <w:t xml:space="preserve">fin de promover la conservación </w:t>
      </w:r>
      <w:r w:rsidRPr="00064A02">
        <w:rPr>
          <w:rFonts w:ascii="Palatino Linotype" w:hAnsi="Palatino Linotype"/>
          <w:bCs/>
          <w:i/>
          <w:iCs/>
        </w:rPr>
        <w:t>del equilibrio ecológico.</w:t>
      </w:r>
    </w:p>
    <w:p w14:paraId="7809DF4F" w14:textId="575B8E6C" w:rsidR="00064A02" w:rsidRPr="00B521A1" w:rsidRDefault="00064A02" w:rsidP="00064A02">
      <w:pPr>
        <w:spacing w:after="0" w:line="240" w:lineRule="auto"/>
        <w:ind w:left="567" w:right="709"/>
        <w:jc w:val="both"/>
        <w:rPr>
          <w:rFonts w:ascii="Palatino Linotype" w:hAnsi="Palatino Linotype"/>
          <w:bCs/>
          <w:i/>
          <w:iCs/>
        </w:rPr>
      </w:pPr>
      <w:r w:rsidRPr="00064A02">
        <w:rPr>
          <w:rFonts w:ascii="Palatino Linotype" w:hAnsi="Palatino Linotype"/>
          <w:bCs/>
          <w:i/>
          <w:iCs/>
        </w:rPr>
        <w:t>La Secretaría de Servicios Públicos se coordinará con la Dirección</w:t>
      </w:r>
      <w:r>
        <w:rPr>
          <w:rFonts w:ascii="Palatino Linotype" w:hAnsi="Palatino Linotype"/>
          <w:bCs/>
          <w:i/>
          <w:iCs/>
        </w:rPr>
        <w:t xml:space="preserve"> General de Seguridad Ciudadana </w:t>
      </w:r>
      <w:r w:rsidRPr="00064A02">
        <w:rPr>
          <w:rFonts w:ascii="Palatino Linotype" w:hAnsi="Palatino Linotype"/>
          <w:bCs/>
          <w:i/>
          <w:iCs/>
        </w:rPr>
        <w:t>y Tránsito Municipal, así como la Tesorería Municipal, a efecto d</w:t>
      </w:r>
      <w:r w:rsidR="00AD72CF">
        <w:rPr>
          <w:rFonts w:ascii="Palatino Linotype" w:hAnsi="Palatino Linotype"/>
          <w:bCs/>
          <w:i/>
          <w:iCs/>
        </w:rPr>
        <w:t xml:space="preserve">e que ningún </w:t>
      </w:r>
      <w:r>
        <w:rPr>
          <w:rFonts w:ascii="Palatino Linotype" w:hAnsi="Palatino Linotype"/>
          <w:bCs/>
          <w:i/>
          <w:iCs/>
        </w:rPr>
        <w:t xml:space="preserve">vehículo impida el </w:t>
      </w:r>
      <w:r w:rsidRPr="00064A02">
        <w:rPr>
          <w:rFonts w:ascii="Palatino Linotype" w:hAnsi="Palatino Linotype"/>
          <w:bCs/>
          <w:i/>
          <w:iCs/>
        </w:rPr>
        <w:t>barrido manual o mecánico que deba realizarse.</w:t>
      </w:r>
    </w:p>
    <w:p w14:paraId="1E648B89" w14:textId="77777777" w:rsidR="00B521A1" w:rsidRPr="002E2CCE" w:rsidRDefault="00B521A1" w:rsidP="00771878">
      <w:pPr>
        <w:spacing w:before="240" w:line="360" w:lineRule="auto"/>
        <w:jc w:val="both"/>
        <w:rPr>
          <w:rFonts w:ascii="Palatino Linotype" w:hAnsi="Palatino Linotype" w:cs="Arial"/>
          <w:sz w:val="24"/>
          <w:szCs w:val="24"/>
          <w:lang w:val="es-ES"/>
        </w:rPr>
      </w:pPr>
    </w:p>
    <w:p w14:paraId="7BDA9335" w14:textId="77777777" w:rsidR="00771878" w:rsidRPr="002E2CCE" w:rsidRDefault="00771878" w:rsidP="00771878">
      <w:pPr>
        <w:spacing w:before="240" w:after="240" w:line="360" w:lineRule="auto"/>
        <w:contextualSpacing/>
        <w:jc w:val="both"/>
        <w:rPr>
          <w:rFonts w:ascii="Palatino Linotype" w:eastAsia="MS Mincho" w:hAnsi="Palatino Linotype" w:cs="Arial"/>
          <w:i/>
          <w:sz w:val="24"/>
          <w:szCs w:val="24"/>
          <w:lang w:val="es-ES" w:eastAsia="es-ES"/>
        </w:rPr>
      </w:pPr>
      <w:r w:rsidRPr="002E2CCE">
        <w:rPr>
          <w:rFonts w:ascii="Palatino Linotype" w:eastAsia="MS Mincho" w:hAnsi="Palatino Linotype" w:cs="Times New Roman"/>
          <w:sz w:val="24"/>
          <w:szCs w:val="24"/>
          <w:lang w:val="es-ES" w:eastAsia="es-ES"/>
        </w:rPr>
        <w:t xml:space="preserve">Resulta necesario señalar que el derecho de acceso a la información pública es un </w:t>
      </w:r>
      <w:r w:rsidRPr="002E2CCE">
        <w:rPr>
          <w:rFonts w:ascii="Palatino Linotype" w:eastAsia="Times New Roman" w:hAnsi="Palatino Linotype" w:cs="Arial"/>
          <w:color w:val="000000"/>
          <w:sz w:val="24"/>
          <w:szCs w:val="24"/>
          <w:lang w:val="es-ES"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2E2CCE">
        <w:rPr>
          <w:rFonts w:ascii="Palatino Linotype" w:eastAsia="Times New Roman" w:hAnsi="Palatino Linotype" w:cs="Arial"/>
          <w:color w:val="000000"/>
          <w:sz w:val="24"/>
          <w:szCs w:val="24"/>
          <w:lang w:val="es-ES"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0B4E6173" w14:textId="77777777" w:rsidR="00771878" w:rsidRPr="002E2CCE" w:rsidRDefault="00771878" w:rsidP="00771878">
      <w:pPr>
        <w:spacing w:before="240" w:after="240" w:line="360" w:lineRule="auto"/>
        <w:contextualSpacing/>
        <w:jc w:val="both"/>
        <w:rPr>
          <w:rFonts w:ascii="Palatino Linotype" w:eastAsia="MS Mincho" w:hAnsi="Palatino Linotype" w:cs="Arial"/>
          <w:i/>
          <w:sz w:val="24"/>
          <w:szCs w:val="24"/>
          <w:lang w:val="es-ES" w:eastAsia="es-ES"/>
        </w:rPr>
      </w:pPr>
      <w:r w:rsidRPr="002E2CCE">
        <w:rPr>
          <w:rFonts w:ascii="Palatino Linotype" w:eastAsia="Times New Roman" w:hAnsi="Palatino Linotype" w:cs="Arial"/>
          <w:color w:val="000000"/>
          <w:sz w:val="24"/>
          <w:szCs w:val="24"/>
          <w:lang w:val="es-ES" w:eastAsia="es-ES"/>
        </w:rPr>
        <w:t>El acceso a la información pública es el derecho humano a través del cual se puede solicitar aquellos documentos que generen, administren o posean las autoridades en ejercicio de sus respectivas atribuciones y competencia.</w:t>
      </w:r>
    </w:p>
    <w:p w14:paraId="58FD42BB" w14:textId="77777777" w:rsidR="00771878" w:rsidRPr="002E2CCE" w:rsidRDefault="00771878" w:rsidP="00771878">
      <w:pPr>
        <w:spacing w:before="240" w:after="240" w:line="360" w:lineRule="auto"/>
        <w:contextualSpacing/>
        <w:jc w:val="both"/>
        <w:rPr>
          <w:rFonts w:ascii="Palatino Linotype" w:eastAsia="MS Mincho" w:hAnsi="Palatino Linotype" w:cs="Arial"/>
          <w:i/>
          <w:sz w:val="24"/>
          <w:szCs w:val="24"/>
          <w:lang w:val="es-ES" w:eastAsia="es-ES"/>
        </w:rPr>
      </w:pPr>
      <w:r w:rsidRPr="002E2CCE">
        <w:rPr>
          <w:rFonts w:ascii="Palatino Linotype" w:eastAsia="Times New Roman" w:hAnsi="Palatino Linotype" w:cs="Arial"/>
          <w:color w:val="000000"/>
          <w:sz w:val="24"/>
          <w:szCs w:val="24"/>
          <w:lang w:val="es-ES" w:eastAsia="es-ES"/>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2E2CCE">
        <w:rPr>
          <w:rFonts w:ascii="Palatino Linotype" w:eastAsia="Times New Roman" w:hAnsi="Palatino Linotype" w:cs="Arial"/>
          <w:color w:val="000000"/>
          <w:sz w:val="24"/>
          <w:szCs w:val="24"/>
          <w:lang w:val="es-ES" w:eastAsia="es-ES"/>
        </w:rPr>
        <w:lastRenderedPageBreak/>
        <w:t>y actualizados, supuesto indispensable para hacerlos del conocimiento de los particulares que requieren conocer la información contenida en estos.</w:t>
      </w:r>
    </w:p>
    <w:p w14:paraId="06F5E47E" w14:textId="77777777" w:rsidR="00771878" w:rsidRPr="002E2CCE" w:rsidRDefault="00771878" w:rsidP="00771878">
      <w:pPr>
        <w:pStyle w:val="Prrafodelista"/>
        <w:spacing w:before="240" w:after="240" w:line="360" w:lineRule="auto"/>
        <w:ind w:left="0"/>
        <w:jc w:val="both"/>
        <w:rPr>
          <w:rFonts w:ascii="Palatino Linotype" w:eastAsia="MS Mincho" w:hAnsi="Palatino Linotype"/>
        </w:rPr>
      </w:pPr>
      <w:r w:rsidRPr="002E2CCE">
        <w:rPr>
          <w:rFonts w:ascii="Palatino Linotype" w:eastAsia="MS Mincho" w:hAnsi="Palatino Linotype"/>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224B601C" w14:textId="55C583A1" w:rsidR="00771878" w:rsidRPr="002E2CCE" w:rsidRDefault="00771878" w:rsidP="00771878">
      <w:pPr>
        <w:pStyle w:val="Prrafodelista"/>
        <w:spacing w:before="240" w:after="240" w:line="360" w:lineRule="auto"/>
        <w:ind w:left="0"/>
        <w:jc w:val="both"/>
        <w:rPr>
          <w:rFonts w:ascii="Palatino Linotype" w:hAnsi="Palatino Linotype" w:cs="Arial"/>
        </w:rPr>
      </w:pPr>
      <w:r w:rsidRPr="002E2CCE">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w:t>
      </w:r>
      <w:r w:rsidR="00C37A7D">
        <w:rPr>
          <w:rFonts w:ascii="Palatino Linotype" w:hAnsi="Palatino Linotype" w:cs="Arial"/>
        </w:rPr>
        <w:t>Partidos Políticos</w:t>
      </w:r>
      <w:r w:rsidRPr="002E2CCE">
        <w:rPr>
          <w:rFonts w:ascii="Palatino Linotype" w:hAnsi="Palatino Linotype" w:cs="Arial"/>
        </w:rPr>
        <w:t>,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0B2DDB3"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hAnsi="Palatino Linotype" w:cs="Arial"/>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2E2CCE">
        <w:rPr>
          <w:rFonts w:ascii="Palatino Linotype" w:hAnsi="Palatino Linotype" w:cs="Arial"/>
        </w:rPr>
        <w:lastRenderedPageBreak/>
        <w:t>sistema SAIMEX por motivo de la solicitud que dio origen a este recurso, el sujeto obligado fue omiso en dar respuesta a la solicitud.</w:t>
      </w:r>
    </w:p>
    <w:p w14:paraId="28EFF977"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942111E"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eastAsia="Calibri" w:hAnsi="Palatino Linotype"/>
          <w:i/>
        </w:rPr>
      </w:pPr>
      <w:r w:rsidRPr="002E2CCE">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E2CCE">
        <w:rPr>
          <w:rFonts w:ascii="Palatino Linotype" w:eastAsia="Calibri" w:hAnsi="Palatino Linotype"/>
          <w:i/>
        </w:rPr>
        <w:t xml:space="preserve">en el ámbito de sus atribuciones, de promover, respetar, proteger y garantizar los derechos humanos. </w:t>
      </w:r>
    </w:p>
    <w:p w14:paraId="169758EF"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2E2CCE">
        <w:rPr>
          <w:rFonts w:ascii="Palatino Linotype" w:eastAsia="Calibri" w:hAnsi="Palatino Linotype"/>
          <w:i/>
        </w:rPr>
        <w:t>procedimiento de acceso a la información es la garantía primaria del derecho en cuestión.</w:t>
      </w:r>
      <w:r w:rsidRPr="002E2CCE">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E2CCE">
        <w:rPr>
          <w:rFonts w:ascii="Palatino Linotype" w:eastAsia="Calibri" w:hAnsi="Palatino Linotype"/>
          <w:i/>
        </w:rPr>
        <w:t>investigar, sancionar y reparar las violaciones a los derechos humanos.</w:t>
      </w:r>
    </w:p>
    <w:p w14:paraId="473B82AB"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hAnsi="Palatino Linotype" w:cs="Arial"/>
        </w:rPr>
        <w:t xml:space="preserve">Por lo que, en cumplimiento a esta resolución, el sujeto obligado deberá dar atención a la solicitud de información, puesto que el silencio administrativo que hizo patente al omitir dar respuesta trae como consecuencia que se le ordene dar atención a la solicitud </w:t>
      </w:r>
      <w:r w:rsidRPr="002E2CCE">
        <w:rPr>
          <w:rFonts w:ascii="Palatino Linotype" w:hAnsi="Palatino Linotype" w:cs="Arial"/>
        </w:rPr>
        <w:lastRenderedPageBreak/>
        <w:t>entregando la información solicitada, lo cual deberá llevar a cabo en ejercicio de sus atribuciones y con arreglo a lo dispuesto por la ley de la materia.</w:t>
      </w:r>
    </w:p>
    <w:p w14:paraId="5110BCA7"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A22270A" w14:textId="77777777" w:rsidR="00771878" w:rsidRPr="002E2CCE" w:rsidRDefault="00771878" w:rsidP="00771878">
      <w:pPr>
        <w:pStyle w:val="Prrafodelista"/>
        <w:autoSpaceDE w:val="0"/>
        <w:autoSpaceDN w:val="0"/>
        <w:adjustRightInd w:val="0"/>
        <w:spacing w:before="240" w:after="240" w:line="360" w:lineRule="auto"/>
        <w:ind w:left="0"/>
        <w:jc w:val="both"/>
        <w:rPr>
          <w:rFonts w:ascii="Palatino Linotype" w:hAnsi="Palatino Linotype" w:cs="Arial"/>
        </w:rPr>
      </w:pPr>
      <w:r w:rsidRPr="002E2CCE">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462830DD" w14:textId="2318828D" w:rsidR="00771878" w:rsidRPr="002E2CCE" w:rsidRDefault="00771878" w:rsidP="00771878">
      <w:pPr>
        <w:spacing w:before="240" w:after="240" w:line="360" w:lineRule="auto"/>
        <w:jc w:val="both"/>
        <w:rPr>
          <w:rFonts w:ascii="Palatino Linotype" w:hAnsi="Palatino Linotype"/>
          <w:sz w:val="24"/>
          <w:szCs w:val="24"/>
          <w:lang w:val="es-ES"/>
        </w:rPr>
      </w:pPr>
      <w:r w:rsidRPr="002E2CCE">
        <w:rPr>
          <w:rFonts w:ascii="Palatino Linotype" w:hAnsi="Palatino Linotype"/>
          <w:sz w:val="24"/>
          <w:szCs w:val="24"/>
          <w:lang w:val="es-ES"/>
        </w:rPr>
        <w:t xml:space="preserve">Es de recordar que el derecho de acceso a la información pública, es una prerrogativa que consiste en dar a conocer toda aquella información pública que sea generada, adquirida, transformada, administrada o en posesión de los sujetos obligados, tal y </w:t>
      </w:r>
      <w:r w:rsidRPr="002E2CCE">
        <w:rPr>
          <w:rFonts w:ascii="Palatino Linotype" w:hAnsi="Palatino Linotype"/>
          <w:sz w:val="24"/>
          <w:szCs w:val="24"/>
          <w:lang w:val="es-ES"/>
        </w:rPr>
        <w:lastRenderedPageBreak/>
        <w:t>como lo señala la Ley de Transparencia y Acceso a la Información Pública del Estado de México en su diverso 4</w:t>
      </w:r>
      <w:r w:rsidRPr="002E2CCE">
        <w:rPr>
          <w:rStyle w:val="Refdenotaalpie"/>
          <w:rFonts w:ascii="Palatino Linotype" w:hAnsi="Palatino Linotype"/>
          <w:sz w:val="24"/>
          <w:szCs w:val="24"/>
          <w:lang w:val="es-ES"/>
        </w:rPr>
        <w:footnoteReference w:id="3"/>
      </w:r>
      <w:r w:rsidRPr="002E2CCE">
        <w:rPr>
          <w:rFonts w:ascii="Palatino Linotype" w:hAnsi="Palatino Linotype"/>
          <w:sz w:val="24"/>
          <w:szCs w:val="24"/>
          <w:lang w:val="es-ES"/>
        </w:rPr>
        <w:t xml:space="preserve">, que toda la información generada, obtenida, adquirida, transformada, administrada o en posesión de los sujetos obligados será </w:t>
      </w:r>
      <w:r w:rsidR="007B3BBF" w:rsidRPr="002E2CCE">
        <w:rPr>
          <w:rFonts w:ascii="Palatino Linotype" w:hAnsi="Palatino Linotype"/>
          <w:sz w:val="24"/>
          <w:szCs w:val="24"/>
          <w:lang w:val="es-ES"/>
        </w:rPr>
        <w:t>pública</w:t>
      </w:r>
      <w:r w:rsidRPr="002E2CCE">
        <w:rPr>
          <w:rFonts w:ascii="Palatino Linotype" w:hAnsi="Palatino Linotype"/>
          <w:sz w:val="24"/>
          <w:szCs w:val="24"/>
          <w:lang w:val="es-ES"/>
        </w:rPr>
        <w:t xml:space="preserve"> y accesible de manera permanente a todo el público, privilegiando en todo momento el principio de máxima publicidad que consagra nuestra carta magna.</w:t>
      </w:r>
    </w:p>
    <w:p w14:paraId="0EE776AA" w14:textId="77777777" w:rsidR="00771878" w:rsidRPr="002E2CCE" w:rsidRDefault="00771878" w:rsidP="00771878">
      <w:pPr>
        <w:spacing w:before="240" w:after="240" w:line="360" w:lineRule="auto"/>
        <w:jc w:val="both"/>
        <w:rPr>
          <w:rFonts w:ascii="Palatino Linotype" w:hAnsi="Palatino Linotype"/>
          <w:sz w:val="24"/>
          <w:szCs w:val="24"/>
          <w:lang w:val="es-ES"/>
        </w:rPr>
      </w:pPr>
      <w:r w:rsidRPr="002E2CCE">
        <w:rPr>
          <w:rFonts w:ascii="Palatino Linotype" w:hAnsi="Palatino Linotype"/>
          <w:sz w:val="24"/>
          <w:szCs w:val="24"/>
          <w:lang w:val="es-ES"/>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60C00C35" w14:textId="77777777" w:rsidR="00771878" w:rsidRPr="002E2CCE" w:rsidRDefault="00771878" w:rsidP="00771878">
      <w:pPr>
        <w:spacing w:before="240" w:after="240" w:line="360" w:lineRule="auto"/>
        <w:ind w:left="708"/>
        <w:jc w:val="both"/>
        <w:rPr>
          <w:rFonts w:ascii="Palatino Linotype" w:hAnsi="Palatino Linotype"/>
          <w:i/>
          <w:lang w:val="es-ES"/>
        </w:rPr>
      </w:pPr>
      <w:r w:rsidRPr="002E2CCE">
        <w:rPr>
          <w:rFonts w:ascii="Palatino Linotype" w:hAnsi="Palatino Linotype"/>
          <w:i/>
          <w:sz w:val="24"/>
          <w:szCs w:val="24"/>
          <w:lang w:val="es-ES"/>
        </w:rPr>
        <w:t xml:space="preserve"> </w:t>
      </w:r>
      <w:r w:rsidRPr="002E2CCE">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5F2E9D01" w14:textId="6E73A896" w:rsidR="00B222B8" w:rsidRPr="00AD72CF" w:rsidRDefault="00771878" w:rsidP="00AD72CF">
      <w:pPr>
        <w:spacing w:before="240" w:after="240" w:line="360" w:lineRule="auto"/>
        <w:ind w:left="708"/>
        <w:jc w:val="both"/>
        <w:rPr>
          <w:rFonts w:ascii="Palatino Linotype" w:hAnsi="Palatino Linotype"/>
          <w:i/>
          <w:lang w:val="es-ES"/>
        </w:rPr>
      </w:pPr>
      <w:r w:rsidRPr="002E2CCE">
        <w:rPr>
          <w:rFonts w:ascii="Palatino Linotype" w:hAnsi="Palatino Linotype"/>
          <w:i/>
          <w:lang w:val="es-ES"/>
        </w:rPr>
        <w:t xml:space="preserve">Los sujetos obligados sólo proporcionarán la información pública que se les requiera y que obre en sus archivos y en el estado en que ésta se encuentre. La obligación de proporcionar información </w:t>
      </w:r>
      <w:r w:rsidRPr="002E2CCE">
        <w:rPr>
          <w:rFonts w:ascii="Palatino Linotype" w:hAnsi="Palatino Linotype"/>
          <w:i/>
          <w:lang w:val="es-ES"/>
        </w:rPr>
        <w:lastRenderedPageBreak/>
        <w:t>no comprende el procesamiento de la misma, ni el presentarla conforme al interés del solicitante; no estarán obligados a generarla, resumirla, efectuar cálculos o practicar investigaciones.</w:t>
      </w:r>
    </w:p>
    <w:p w14:paraId="31559137" w14:textId="77777777" w:rsidR="00771878" w:rsidRPr="002E2CCE" w:rsidRDefault="00771878" w:rsidP="00771878">
      <w:pPr>
        <w:spacing w:before="240" w:line="360" w:lineRule="auto"/>
        <w:jc w:val="both"/>
        <w:rPr>
          <w:rFonts w:ascii="Palatino Linotype" w:hAnsi="Palatino Linotype"/>
          <w:sz w:val="24"/>
          <w:szCs w:val="24"/>
          <w:lang w:val="es-ES" w:eastAsia="es-ES"/>
        </w:rPr>
      </w:pPr>
      <w:r w:rsidRPr="002E2CCE">
        <w:rPr>
          <w:rFonts w:ascii="Palatino Linotype" w:hAnsi="Palatino Linotype"/>
          <w:sz w:val="24"/>
          <w:szCs w:val="24"/>
          <w:lang w:val="es-ES" w:eastAsia="es-ES"/>
        </w:rPr>
        <w:t>Luego entonces, es importante dejar en claro lo que debe entenderse por derecho de petición y por derecho de acceso a la información pública.</w:t>
      </w:r>
    </w:p>
    <w:p w14:paraId="3AB0B622" w14:textId="77777777" w:rsidR="00771878" w:rsidRPr="002E2CCE" w:rsidRDefault="00771878" w:rsidP="00771878">
      <w:pPr>
        <w:spacing w:before="240" w:line="360" w:lineRule="auto"/>
        <w:jc w:val="both"/>
        <w:rPr>
          <w:rFonts w:ascii="Palatino Linotype" w:hAnsi="Palatino Linotype"/>
          <w:i/>
          <w:sz w:val="24"/>
          <w:szCs w:val="24"/>
          <w:lang w:val="es-ES" w:eastAsia="es-ES"/>
        </w:rPr>
      </w:pPr>
      <w:r w:rsidRPr="002E2CCE">
        <w:rPr>
          <w:rFonts w:ascii="Palatino Linotype" w:hAnsi="Palatino Linotype"/>
          <w:sz w:val="24"/>
          <w:szCs w:val="24"/>
          <w:lang w:val="es-ES" w:eastAsia="es-ES"/>
        </w:rPr>
        <w:t>Por lo que respecta a la definición de derecho de petición, el Maestro Ignacio Burgoa Orihuela refiere: “…</w:t>
      </w:r>
      <w:r w:rsidRPr="002E2CCE">
        <w:rPr>
          <w:rFonts w:ascii="Palatino Linotype" w:hAnsi="Palatino Linotype"/>
          <w:i/>
          <w:sz w:val="24"/>
          <w:szCs w:val="24"/>
          <w:lang w:val="es-ES"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E2CCE">
        <w:rPr>
          <w:rFonts w:ascii="Palatino Linotype" w:hAnsi="Palatino Linotype"/>
          <w:i/>
          <w:sz w:val="24"/>
          <w:szCs w:val="24"/>
          <w:vertAlign w:val="superscript"/>
          <w:lang w:val="es-ES" w:eastAsia="es-ES"/>
        </w:rPr>
        <w:footnoteReference w:id="4"/>
      </w:r>
      <w:r w:rsidRPr="002E2CCE">
        <w:rPr>
          <w:rFonts w:ascii="Palatino Linotype" w:hAnsi="Palatino Linotype"/>
          <w:i/>
          <w:sz w:val="24"/>
          <w:szCs w:val="24"/>
          <w:lang w:val="es-ES" w:eastAsia="es-ES"/>
        </w:rPr>
        <w:t xml:space="preserve">  </w:t>
      </w:r>
      <w:proofErr w:type="gramStart"/>
      <w:r w:rsidRPr="002E2CCE">
        <w:rPr>
          <w:rFonts w:ascii="Palatino Linotype" w:hAnsi="Palatino Linotype"/>
          <w:i/>
          <w:sz w:val="24"/>
          <w:szCs w:val="24"/>
          <w:lang w:val="es-ES" w:eastAsia="es-ES"/>
        </w:rPr>
        <w:t>“ (</w:t>
      </w:r>
      <w:proofErr w:type="gramEnd"/>
      <w:r w:rsidRPr="002E2CCE">
        <w:rPr>
          <w:rFonts w:ascii="Palatino Linotype" w:hAnsi="Palatino Linotype"/>
          <w:i/>
          <w:sz w:val="24"/>
          <w:szCs w:val="24"/>
          <w:lang w:val="es-ES" w:eastAsia="es-ES"/>
        </w:rPr>
        <w:t>Sic)</w:t>
      </w:r>
    </w:p>
    <w:p w14:paraId="2848174F" w14:textId="77777777" w:rsidR="00771878" w:rsidRPr="002E2CCE" w:rsidRDefault="00771878" w:rsidP="00771878">
      <w:pPr>
        <w:spacing w:before="240" w:line="360" w:lineRule="auto"/>
        <w:jc w:val="both"/>
        <w:rPr>
          <w:rFonts w:ascii="Palatino Linotype" w:hAnsi="Palatino Linotype"/>
          <w:sz w:val="24"/>
          <w:szCs w:val="24"/>
          <w:lang w:val="es-ES" w:eastAsia="es-ES"/>
        </w:rPr>
      </w:pPr>
      <w:r w:rsidRPr="002E2CCE">
        <w:rPr>
          <w:rFonts w:ascii="Palatino Linotype" w:hAnsi="Palatino Linotype"/>
          <w:sz w:val="24"/>
          <w:szCs w:val="24"/>
          <w:lang w:val="es-ES" w:eastAsia="es-ES"/>
        </w:rPr>
        <w:t xml:space="preserve">Por su parte, David Cienfuegos Salgado, concibe al derecho de petición como </w:t>
      </w:r>
      <w:r w:rsidRPr="002E2CCE">
        <w:rPr>
          <w:rFonts w:ascii="Palatino Linotype" w:hAnsi="Palatino Linotype"/>
          <w:i/>
          <w:sz w:val="24"/>
          <w:szCs w:val="24"/>
          <w:lang w:val="es-ES" w:eastAsia="es-ES"/>
        </w:rPr>
        <w:t>“el derecho de toda persona a ser escuchado por quienes ejercen el poder público</w:t>
      </w:r>
      <w:proofErr w:type="gramStart"/>
      <w:r w:rsidRPr="002E2CCE">
        <w:rPr>
          <w:rFonts w:ascii="Palatino Linotype" w:hAnsi="Palatino Linotype"/>
          <w:i/>
          <w:sz w:val="24"/>
          <w:szCs w:val="24"/>
          <w:lang w:val="es-ES" w:eastAsia="es-ES"/>
        </w:rPr>
        <w:t xml:space="preserve">. </w:t>
      </w:r>
      <w:proofErr w:type="gramEnd"/>
      <w:r w:rsidRPr="002E2CCE">
        <w:rPr>
          <w:rFonts w:ascii="Palatino Linotype" w:hAnsi="Palatino Linotype"/>
          <w:i/>
          <w:sz w:val="24"/>
          <w:szCs w:val="24"/>
          <w:vertAlign w:val="superscript"/>
          <w:lang w:val="es-ES" w:eastAsia="es-ES"/>
        </w:rPr>
        <w:footnoteReference w:id="5"/>
      </w:r>
      <w:r w:rsidRPr="002E2CCE">
        <w:rPr>
          <w:rFonts w:ascii="Palatino Linotype" w:hAnsi="Palatino Linotype"/>
          <w:i/>
          <w:sz w:val="24"/>
          <w:szCs w:val="24"/>
          <w:lang w:val="es-ES" w:eastAsia="es-ES"/>
        </w:rPr>
        <w:t>” (Sic)</w:t>
      </w:r>
      <w:r w:rsidRPr="002E2CCE">
        <w:rPr>
          <w:rFonts w:ascii="Palatino Linotype" w:hAnsi="Palatino Linotype"/>
          <w:sz w:val="24"/>
          <w:szCs w:val="24"/>
          <w:lang w:val="es-ES" w:eastAsia="es-ES"/>
        </w:rPr>
        <w:t xml:space="preserve"> </w:t>
      </w:r>
    </w:p>
    <w:p w14:paraId="70B30D2F" w14:textId="77777777" w:rsidR="00771878" w:rsidRPr="002E2CCE" w:rsidRDefault="00771878" w:rsidP="00771878">
      <w:pPr>
        <w:spacing w:before="240" w:line="360" w:lineRule="auto"/>
        <w:jc w:val="both"/>
        <w:rPr>
          <w:rFonts w:ascii="Palatino Linotype" w:hAnsi="Palatino Linotype"/>
          <w:i/>
          <w:sz w:val="24"/>
          <w:szCs w:val="24"/>
          <w:lang w:val="es-ES" w:eastAsia="es-ES"/>
        </w:rPr>
      </w:pPr>
      <w:r w:rsidRPr="002E2CCE">
        <w:rPr>
          <w:rFonts w:ascii="Palatino Linotype" w:hAnsi="Palatino Linotype"/>
          <w:sz w:val="24"/>
          <w:szCs w:val="24"/>
          <w:lang w:val="es-ES" w:eastAsia="es-ES"/>
        </w:rPr>
        <w:t xml:space="preserve">A este respecto, y para diferenciar el derecho de petición al derecho de acceso a la información, resulta conducente señalar que José Guadalupe Robles, conceptualiza el derecho a la información como </w:t>
      </w:r>
      <w:r w:rsidRPr="002E2CCE">
        <w:rPr>
          <w:rFonts w:ascii="Palatino Linotype" w:hAnsi="Palatino Linotype"/>
          <w:i/>
          <w:sz w:val="24"/>
          <w:szCs w:val="24"/>
          <w:lang w:val="es-ES"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w:t>
      </w:r>
      <w:r w:rsidRPr="002E2CCE">
        <w:rPr>
          <w:rFonts w:ascii="Palatino Linotype" w:hAnsi="Palatino Linotype"/>
          <w:i/>
          <w:sz w:val="24"/>
          <w:szCs w:val="24"/>
          <w:lang w:val="es-ES" w:eastAsia="es-ES"/>
        </w:rPr>
        <w:lastRenderedPageBreak/>
        <w:t xml:space="preserve">coadyuva al desarrollo de las personas y a la formación de opinión pública de calidad para poder participar y luego influir en la vida pública. </w:t>
      </w:r>
      <w:r w:rsidRPr="002E2CCE">
        <w:rPr>
          <w:rFonts w:ascii="Palatino Linotype" w:hAnsi="Palatino Linotype"/>
          <w:i/>
          <w:sz w:val="24"/>
          <w:szCs w:val="24"/>
          <w:vertAlign w:val="superscript"/>
          <w:lang w:val="es-ES" w:eastAsia="es-ES"/>
        </w:rPr>
        <w:footnoteReference w:id="6"/>
      </w:r>
      <w:r w:rsidRPr="002E2CCE">
        <w:rPr>
          <w:rFonts w:ascii="Palatino Linotype" w:hAnsi="Palatino Linotype"/>
          <w:i/>
          <w:sz w:val="24"/>
          <w:szCs w:val="24"/>
          <w:lang w:val="es-ES" w:eastAsia="es-ES"/>
        </w:rPr>
        <w:t xml:space="preserve">“(Sic) </w:t>
      </w:r>
    </w:p>
    <w:p w14:paraId="200DBBF6" w14:textId="77777777" w:rsidR="00771878" w:rsidRPr="002E2CCE" w:rsidRDefault="00771878" w:rsidP="00771878">
      <w:pPr>
        <w:spacing w:before="240" w:line="360" w:lineRule="auto"/>
        <w:jc w:val="both"/>
        <w:rPr>
          <w:rFonts w:ascii="Palatino Linotype" w:hAnsi="Palatino Linotype"/>
          <w:i/>
          <w:sz w:val="24"/>
          <w:szCs w:val="24"/>
          <w:lang w:val="es-ES"/>
        </w:rPr>
      </w:pPr>
      <w:r w:rsidRPr="002E2CCE">
        <w:rPr>
          <w:rFonts w:ascii="Palatino Linotype" w:hAnsi="Palatino Linotype"/>
          <w:sz w:val="24"/>
          <w:szCs w:val="24"/>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2E2CCE">
        <w:rPr>
          <w:rFonts w:ascii="Palatino Linotype" w:hAnsi="Palatino Linotype"/>
          <w:sz w:val="24"/>
          <w:szCs w:val="24"/>
          <w:lang w:val="es-ES"/>
        </w:rPr>
        <w:t>Villanueva</w:t>
      </w:r>
      <w:proofErr w:type="spellEnd"/>
      <w:r w:rsidRPr="002E2CCE">
        <w:rPr>
          <w:rFonts w:ascii="Palatino Linotype" w:hAnsi="Palatino Linotype"/>
          <w:sz w:val="24"/>
          <w:szCs w:val="24"/>
          <w:lang w:val="es-ES"/>
        </w:rPr>
        <w:t xml:space="preserve"> que dice: </w:t>
      </w:r>
      <w:r w:rsidRPr="002E2CCE">
        <w:rPr>
          <w:rFonts w:ascii="Palatino Linotype" w:hAnsi="Palatino Linotype"/>
          <w:i/>
          <w:sz w:val="24"/>
          <w:szCs w:val="24"/>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2E2CCE">
        <w:rPr>
          <w:rFonts w:ascii="Palatino Linotype" w:hAnsi="Palatino Linotype"/>
          <w:i/>
          <w:sz w:val="24"/>
          <w:szCs w:val="24"/>
          <w:vertAlign w:val="superscript"/>
          <w:lang w:val="es-ES"/>
        </w:rPr>
        <w:footnoteReference w:id="7"/>
      </w:r>
      <w:r w:rsidRPr="002E2CCE">
        <w:rPr>
          <w:rFonts w:ascii="Palatino Linotype" w:hAnsi="Palatino Linotype"/>
          <w:i/>
          <w:sz w:val="24"/>
          <w:szCs w:val="24"/>
          <w:lang w:val="es-ES"/>
        </w:rPr>
        <w:t>” (Sic)</w:t>
      </w:r>
    </w:p>
    <w:p w14:paraId="49F097D2" w14:textId="77777777" w:rsidR="00771878" w:rsidRPr="002E2CCE" w:rsidRDefault="00771878" w:rsidP="00771878">
      <w:pPr>
        <w:spacing w:before="240" w:line="360" w:lineRule="auto"/>
        <w:jc w:val="both"/>
        <w:rPr>
          <w:rFonts w:cs="Arial"/>
          <w:lang w:val="es-ES"/>
        </w:rPr>
      </w:pPr>
      <w:r w:rsidRPr="002E2CCE">
        <w:rPr>
          <w:rFonts w:ascii="Palatino Linotype" w:hAnsi="Palatino Linotype" w:cs="Arial"/>
          <w:sz w:val="24"/>
          <w:szCs w:val="24"/>
          <w:lang w:val="es-ES"/>
        </w:rPr>
        <w:t xml:space="preserve">Ahora bien, para entender los alcances de la información pública se considera importante citar el criterio </w:t>
      </w:r>
      <w:r w:rsidRPr="002E2CCE">
        <w:rPr>
          <w:rFonts w:ascii="Palatino Linotype" w:hAnsi="Palatino Linotype" w:cs="Arial"/>
          <w:bCs/>
          <w:sz w:val="24"/>
          <w:szCs w:val="24"/>
          <w:lang w:val="es-ES" w:eastAsia="es-MX"/>
        </w:rPr>
        <w:t>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w:t>
      </w:r>
      <w:r w:rsidRPr="002E2CCE">
        <w:rPr>
          <w:rFonts w:cs="Arial"/>
          <w:bCs/>
          <w:sz w:val="24"/>
          <w:szCs w:val="24"/>
          <w:lang w:val="es-ES" w:eastAsia="es-MX"/>
        </w:rPr>
        <w:t xml:space="preserve"> </w:t>
      </w:r>
      <w:r w:rsidRPr="002E2CCE">
        <w:rPr>
          <w:rFonts w:cs="Arial"/>
          <w:bCs/>
          <w:lang w:val="es-ES" w:eastAsia="es-MX"/>
        </w:rPr>
        <w:t xml:space="preserve">Gobierno” el diecinueve de octubre de dos mil once, </w:t>
      </w:r>
      <w:r w:rsidRPr="002E2CCE">
        <w:rPr>
          <w:rFonts w:cs="Arial"/>
          <w:lang w:val="es-ES"/>
        </w:rPr>
        <w:t>cuyo rubro y texto dispone:</w:t>
      </w:r>
    </w:p>
    <w:p w14:paraId="2DFD29C2" w14:textId="77777777" w:rsidR="00771878" w:rsidRPr="002E2CCE" w:rsidRDefault="00771878" w:rsidP="00771878">
      <w:pPr>
        <w:autoSpaceDE w:val="0"/>
        <w:autoSpaceDN w:val="0"/>
        <w:adjustRightInd w:val="0"/>
        <w:spacing w:before="240" w:line="276" w:lineRule="auto"/>
        <w:ind w:left="567" w:right="567"/>
        <w:jc w:val="center"/>
        <w:rPr>
          <w:rFonts w:ascii="Palatino Linotype" w:hAnsi="Palatino Linotype" w:cs="Arial"/>
          <w:b/>
          <w:i/>
          <w:lang w:val="es-ES" w:eastAsia="es-MX"/>
        </w:rPr>
      </w:pPr>
      <w:r w:rsidRPr="002E2CCE">
        <w:rPr>
          <w:rFonts w:ascii="Palatino Linotype" w:hAnsi="Palatino Linotype" w:cs="Arial"/>
          <w:b/>
          <w:i/>
          <w:sz w:val="20"/>
          <w:szCs w:val="20"/>
          <w:lang w:val="es-ES" w:eastAsia="es-MX"/>
        </w:rPr>
        <w:t>“</w:t>
      </w:r>
      <w:r w:rsidRPr="002E2CCE">
        <w:rPr>
          <w:rFonts w:ascii="Palatino Linotype" w:hAnsi="Palatino Linotype" w:cs="Arial"/>
          <w:b/>
          <w:i/>
          <w:lang w:val="es-ES" w:eastAsia="es-MX"/>
        </w:rPr>
        <w:t>CRITERIO 0002-11</w:t>
      </w:r>
    </w:p>
    <w:p w14:paraId="6437C27A" w14:textId="77777777"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b/>
          <w:i/>
          <w:lang w:val="es-ES" w:eastAsia="es-MX"/>
        </w:rPr>
        <w:t xml:space="preserve">INFORMACIÓN PÚBLICA, CONCEPTO DE, EN MATERIA DE TRANSPARENCIA. INTERPRETACIÓN TEMÁTICA DE LOS ARTÍCULOS 2, FRACCIÓN </w:t>
      </w:r>
      <w:r w:rsidRPr="002E2CCE">
        <w:rPr>
          <w:rFonts w:ascii="Palatino Linotype" w:hAnsi="Palatino Linotype" w:cs="Arial"/>
          <w:b/>
          <w:bCs/>
          <w:i/>
          <w:lang w:val="es-ES" w:eastAsia="es-MX"/>
        </w:rPr>
        <w:t xml:space="preserve">V, XV, Y XVI, </w:t>
      </w:r>
      <w:r w:rsidRPr="002E2CCE">
        <w:rPr>
          <w:rFonts w:ascii="Palatino Linotype" w:hAnsi="Palatino Linotype" w:cs="Arial"/>
          <w:b/>
          <w:i/>
          <w:lang w:val="es-ES" w:eastAsia="es-MX"/>
        </w:rPr>
        <w:t>32, 4,11 Y 41.</w:t>
      </w:r>
      <w:r w:rsidRPr="002E2CCE">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w:t>
      </w:r>
      <w:r w:rsidRPr="002E2CCE">
        <w:rPr>
          <w:rFonts w:ascii="Palatino Linotype" w:hAnsi="Palatino Linotype" w:cs="Arial"/>
          <w:i/>
          <w:lang w:val="es-ES" w:eastAsia="es-MX"/>
        </w:rPr>
        <w:lastRenderedPageBreak/>
        <w:t>o en posesión de los órganos u organismos públicos, en virtud del ejercicio de sus funciones de derecho público, sin importar su fuente, soporte o fecha de elaboración.</w:t>
      </w:r>
    </w:p>
    <w:p w14:paraId="4A2CBBB4" w14:textId="77777777"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i/>
          <w:lang w:val="es-ES" w:eastAsia="es-MX"/>
        </w:rPr>
        <w:t>En consecuencia el acceso a la información se refiere a que se cumplan cualquiera de los siguientes tres supuestos:</w:t>
      </w:r>
    </w:p>
    <w:p w14:paraId="3129CC1F" w14:textId="77777777"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2B889209" w14:textId="77777777"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315735C4" w14:textId="77777777" w:rsidR="00771878" w:rsidRPr="002E2CCE" w:rsidRDefault="00771878" w:rsidP="00771878">
      <w:pPr>
        <w:autoSpaceDE w:val="0"/>
        <w:autoSpaceDN w:val="0"/>
        <w:adjustRightInd w:val="0"/>
        <w:spacing w:line="276" w:lineRule="auto"/>
        <w:ind w:left="567" w:right="567"/>
        <w:jc w:val="both"/>
        <w:rPr>
          <w:rFonts w:ascii="Palatino Linotype" w:hAnsi="Palatino Linotype" w:cs="Arial"/>
          <w:i/>
          <w:lang w:val="es-ES" w:eastAsia="es-MX"/>
        </w:rPr>
      </w:pPr>
      <w:r w:rsidRPr="002E2CCE">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79B67984" w14:textId="77777777" w:rsidR="00771878" w:rsidRPr="002E2CCE" w:rsidRDefault="00771878" w:rsidP="00771878">
      <w:pPr>
        <w:autoSpaceDE w:val="0"/>
        <w:autoSpaceDN w:val="0"/>
        <w:adjustRightInd w:val="0"/>
        <w:spacing w:after="0" w:line="360" w:lineRule="auto"/>
        <w:jc w:val="both"/>
        <w:rPr>
          <w:rFonts w:ascii="Palatino Linotype" w:hAnsi="Palatino Linotype"/>
          <w:sz w:val="24"/>
          <w:szCs w:val="24"/>
          <w:lang w:val="es-ES"/>
        </w:rPr>
      </w:pPr>
      <w:r w:rsidRPr="002E2CCE">
        <w:rPr>
          <w:rFonts w:ascii="Palatino Linotype" w:hAnsi="Palatino Linotype" w:cs="Arial"/>
          <w:sz w:val="24"/>
          <w:lang w:val="es-ES"/>
        </w:rPr>
        <w:t>Por lo anterior, al no constituirse dicho cuestionamiento como materia del derecho de acceso a la información, se considera que el Sujeto Obligado no está constreñido a emitir una respuesta al mismo.</w:t>
      </w:r>
    </w:p>
    <w:p w14:paraId="6860AA92" w14:textId="77777777" w:rsidR="00771878" w:rsidRPr="002E2CCE" w:rsidRDefault="00771878" w:rsidP="00771878">
      <w:pPr>
        <w:pStyle w:val="Prrafodelista"/>
        <w:numPr>
          <w:ilvl w:val="0"/>
          <w:numId w:val="32"/>
        </w:numPr>
        <w:spacing w:before="240" w:after="240" w:line="360" w:lineRule="auto"/>
        <w:jc w:val="both"/>
        <w:rPr>
          <w:rFonts w:ascii="Palatino Linotype" w:hAnsi="Palatino Linotype"/>
          <w:b/>
          <w:i/>
          <w:sz w:val="28"/>
          <w:szCs w:val="28"/>
        </w:rPr>
      </w:pPr>
      <w:r w:rsidRPr="002E2CCE">
        <w:rPr>
          <w:rFonts w:ascii="Palatino Linotype" w:hAnsi="Palatino Linotype"/>
          <w:b/>
          <w:i/>
          <w:sz w:val="28"/>
          <w:szCs w:val="28"/>
        </w:rPr>
        <w:t xml:space="preserve">Vista a los Órganos de Control Interno </w:t>
      </w:r>
    </w:p>
    <w:p w14:paraId="5F7C9959" w14:textId="77777777" w:rsidR="00771878" w:rsidRPr="002E2CCE" w:rsidRDefault="00771878" w:rsidP="00771878">
      <w:pPr>
        <w:spacing w:before="240" w:line="360" w:lineRule="auto"/>
        <w:jc w:val="both"/>
        <w:rPr>
          <w:rFonts w:ascii="Palatino Linotype" w:hAnsi="Palatino Linotype"/>
          <w:sz w:val="24"/>
          <w:szCs w:val="24"/>
          <w:lang w:val="es-ES"/>
        </w:rPr>
      </w:pPr>
      <w:r w:rsidRPr="002E2CCE">
        <w:rPr>
          <w:rFonts w:ascii="Palatino Linotype" w:hAnsi="Palatino Linotype"/>
          <w:sz w:val="24"/>
          <w:szCs w:val="24"/>
          <w:lang w:val="es-ES"/>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4A13E444" w14:textId="77777777" w:rsidR="00771878" w:rsidRPr="002E2CCE" w:rsidRDefault="00771878" w:rsidP="00771878">
      <w:pPr>
        <w:spacing w:before="240" w:line="360" w:lineRule="auto"/>
        <w:jc w:val="both"/>
        <w:rPr>
          <w:rFonts w:ascii="Palatino Linotype" w:hAnsi="Palatino Linotype"/>
          <w:sz w:val="24"/>
          <w:szCs w:val="24"/>
          <w:lang w:val="es-ES"/>
        </w:rPr>
      </w:pPr>
      <w:r w:rsidRPr="002E2CCE">
        <w:rPr>
          <w:rFonts w:ascii="Palatino Linotype" w:hAnsi="Palatino Linotype"/>
          <w:sz w:val="24"/>
          <w:szCs w:val="24"/>
          <w:lang w:val="es-ES"/>
        </w:rPr>
        <w:t>Por ello, es conveniente señalar la fracción X, del artículo 36, de la Ley de Transparencia y Acceso a la Información Pública del Estado de México y Municipios, que establece:</w:t>
      </w:r>
    </w:p>
    <w:p w14:paraId="7828E4FC"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lastRenderedPageBreak/>
        <w:t>Artículo 36. El Instituto tendrá, en el ámbito de su competencia, las siguientes atribuciones:</w:t>
      </w:r>
    </w:p>
    <w:p w14:paraId="53E5810C"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2694799C"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 xml:space="preserve">X. Hacer del conocimiento del órgano de control interno o equivalente de cada Sujeto Obligado las infracciones a esta Ley; </w:t>
      </w:r>
    </w:p>
    <w:p w14:paraId="290A1DC1"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042444EA" w14:textId="77777777" w:rsidR="00771878" w:rsidRPr="002E2CCE" w:rsidRDefault="00771878" w:rsidP="00771878">
      <w:pPr>
        <w:spacing w:before="240" w:line="360" w:lineRule="auto"/>
        <w:jc w:val="both"/>
        <w:rPr>
          <w:rFonts w:ascii="Palatino Linotype" w:hAnsi="Palatino Linotype"/>
          <w:sz w:val="24"/>
          <w:szCs w:val="24"/>
          <w:lang w:val="es-ES"/>
        </w:rPr>
      </w:pPr>
      <w:r w:rsidRPr="002E2CCE">
        <w:rPr>
          <w:rFonts w:ascii="Palatino Linotype" w:hAnsi="Palatino Linotype"/>
          <w:sz w:val="24"/>
          <w:szCs w:val="24"/>
          <w:lang w:val="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E7489A3"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D1411A"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Artículo 222. Son causas de responsabilidad administrativa de los servidores públicos de los sujetos obligados, por incumplimiento de las obligaciones establecidas en la materia de la presente Ley, las siguientes:</w:t>
      </w:r>
    </w:p>
    <w:p w14:paraId="11BB6B46"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5E0F1453"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lastRenderedPageBreak/>
        <w:t>I. Cualquier acto u omisión que provoque la suspensión o deficiencia en la atención de las solicitudes de información;</w:t>
      </w:r>
    </w:p>
    <w:p w14:paraId="038BA154"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II. La falta de respuesta a las solicitudes de información en los plazos señalados en la normatividad aplicable;</w:t>
      </w:r>
    </w:p>
    <w:p w14:paraId="1EB8B995"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2FB44719"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V. Entregar información clasificada como confidencial fuera de los casos previstos por esta Ley;</w:t>
      </w:r>
    </w:p>
    <w:p w14:paraId="321845E0"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w:t>
      </w:r>
    </w:p>
    <w:p w14:paraId="683D7A44" w14:textId="77777777" w:rsidR="00771878" w:rsidRPr="002E2CCE" w:rsidRDefault="00771878" w:rsidP="00771878">
      <w:pPr>
        <w:spacing w:before="240" w:line="360" w:lineRule="auto"/>
        <w:ind w:left="708"/>
        <w:jc w:val="both"/>
        <w:rPr>
          <w:rFonts w:ascii="Palatino Linotype" w:hAnsi="Palatino Linotype"/>
          <w:i/>
          <w:iCs/>
          <w:lang w:val="es-ES"/>
        </w:rPr>
      </w:pPr>
      <w:r w:rsidRPr="002E2CCE">
        <w:rPr>
          <w:rFonts w:ascii="Palatino Linotype" w:hAnsi="Palatino Linotype"/>
          <w:i/>
          <w:iCs/>
          <w:lang w:val="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9885F04" w14:textId="56A36B35" w:rsidR="00771878" w:rsidRDefault="00771878" w:rsidP="00771878">
      <w:pPr>
        <w:spacing w:before="240" w:line="360" w:lineRule="auto"/>
        <w:jc w:val="both"/>
        <w:rPr>
          <w:rFonts w:ascii="Palatino Linotype" w:hAnsi="Palatino Linotype"/>
          <w:sz w:val="24"/>
          <w:lang w:val="es-ES"/>
        </w:rPr>
      </w:pPr>
      <w:r w:rsidRPr="002E2CCE">
        <w:rPr>
          <w:rFonts w:ascii="Palatino Linotype" w:hAnsi="Palatino Linotype"/>
          <w:sz w:val="24"/>
          <w:lang w:val="es-ES"/>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sidR="00183558">
        <w:rPr>
          <w:rFonts w:ascii="Palatino Linotype" w:hAnsi="Palatino Linotype"/>
          <w:sz w:val="24"/>
          <w:lang w:val="es-ES"/>
        </w:rPr>
        <w:t>}</w:t>
      </w:r>
    </w:p>
    <w:p w14:paraId="5654AD04" w14:textId="77777777" w:rsidR="00183558" w:rsidRPr="00850407" w:rsidRDefault="00183558" w:rsidP="00183558">
      <w:pPr>
        <w:pStyle w:val="Prrafodelista"/>
        <w:numPr>
          <w:ilvl w:val="0"/>
          <w:numId w:val="36"/>
        </w:numPr>
        <w:spacing w:line="360" w:lineRule="auto"/>
        <w:jc w:val="both"/>
        <w:rPr>
          <w:rFonts w:ascii="Palatino Linotype" w:hAnsi="Palatino Linotype"/>
          <w:b/>
          <w:sz w:val="28"/>
        </w:rPr>
      </w:pPr>
      <w:r w:rsidRPr="00850407">
        <w:rPr>
          <w:rFonts w:ascii="Palatino Linotype" w:hAnsi="Palatino Linotype"/>
          <w:b/>
          <w:sz w:val="28"/>
        </w:rPr>
        <w:t>Versión Pública</w:t>
      </w:r>
    </w:p>
    <w:p w14:paraId="097E475A" w14:textId="77777777" w:rsidR="00183558" w:rsidRDefault="00183558" w:rsidP="00183558">
      <w:pPr>
        <w:spacing w:line="360" w:lineRule="auto"/>
        <w:jc w:val="both"/>
        <w:rPr>
          <w:rFonts w:ascii="Palatino Linotype" w:hAnsi="Palatino Linotype"/>
          <w:sz w:val="24"/>
          <w:szCs w:val="24"/>
        </w:rPr>
      </w:pPr>
    </w:p>
    <w:p w14:paraId="4C83F374" w14:textId="77777777" w:rsidR="00183558" w:rsidRPr="001571EB" w:rsidRDefault="00183558" w:rsidP="0018355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D1F85F9" w14:textId="77777777" w:rsidR="00183558" w:rsidRPr="00E60DEF" w:rsidRDefault="00183558" w:rsidP="0018355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D63A3AF" w14:textId="77777777" w:rsidR="00183558" w:rsidRPr="00E60DEF" w:rsidRDefault="00183558" w:rsidP="0018355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28B3EBA" w14:textId="77777777" w:rsidR="00183558" w:rsidRPr="001571EB" w:rsidRDefault="00183558" w:rsidP="0018355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2F22A5B" w14:textId="77777777" w:rsidR="00183558" w:rsidRPr="001571EB" w:rsidRDefault="00183558" w:rsidP="00183558">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F4FB528" w14:textId="77777777" w:rsidR="00183558" w:rsidRPr="001571EB" w:rsidRDefault="00183558" w:rsidP="0018355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FE5A009" w14:textId="77777777" w:rsidR="00183558" w:rsidRPr="001571EB" w:rsidRDefault="00183558" w:rsidP="0018355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573977AC" w14:textId="77777777" w:rsidR="00183558" w:rsidRPr="001571EB" w:rsidRDefault="00183558" w:rsidP="0018355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2B0EBCF" w14:textId="77777777" w:rsidR="00183558" w:rsidRPr="001571EB" w:rsidRDefault="00183558" w:rsidP="0018355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853345F" w14:textId="77777777" w:rsidR="00183558" w:rsidRPr="001571EB" w:rsidRDefault="00183558" w:rsidP="0018355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B0D07FD" w14:textId="77777777" w:rsidR="00183558" w:rsidRPr="00E60DEF" w:rsidRDefault="00183558" w:rsidP="0018355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DF848D5" w14:textId="77777777" w:rsidR="00183558" w:rsidRPr="001571EB" w:rsidRDefault="00183558" w:rsidP="0018355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90ED7A3" w14:textId="77777777" w:rsidR="00183558" w:rsidRPr="00E60DEF" w:rsidRDefault="00183558" w:rsidP="00183558">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9737443" w14:textId="77777777" w:rsidR="00183558" w:rsidRPr="001571EB" w:rsidRDefault="00183558" w:rsidP="00183558">
      <w:pPr>
        <w:spacing w:line="240" w:lineRule="auto"/>
        <w:ind w:left="851" w:right="851"/>
        <w:jc w:val="both"/>
        <w:rPr>
          <w:rFonts w:ascii="Palatino Linotype" w:hAnsi="Palatino Linotype" w:cs="Arial"/>
          <w:b/>
          <w:i/>
          <w:u w:val="single"/>
        </w:rPr>
      </w:pPr>
    </w:p>
    <w:p w14:paraId="4D400555" w14:textId="77777777" w:rsidR="00183558" w:rsidRPr="001571EB" w:rsidRDefault="00183558" w:rsidP="0018355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C19634C" w14:textId="77777777" w:rsidR="00183558" w:rsidRPr="001571EB" w:rsidRDefault="00183558" w:rsidP="0018355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5033725" w14:textId="77777777" w:rsidR="00183558" w:rsidRPr="001571EB" w:rsidRDefault="00183558" w:rsidP="0018355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7676CCB" w14:textId="77777777" w:rsidR="00183558" w:rsidRPr="001571EB" w:rsidRDefault="00183558" w:rsidP="0018355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5C5863B"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65BB6125"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08AAEDE"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363601A"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66A9D09"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53174912" w14:textId="77777777" w:rsidR="00183558" w:rsidRPr="001571EB" w:rsidRDefault="00183558" w:rsidP="00183558">
      <w:pPr>
        <w:autoSpaceDE w:val="0"/>
        <w:autoSpaceDN w:val="0"/>
        <w:adjustRightInd w:val="0"/>
        <w:spacing w:before="120" w:after="120"/>
        <w:ind w:left="567" w:right="850"/>
        <w:jc w:val="both"/>
        <w:rPr>
          <w:rFonts w:ascii="Palatino Linotype" w:eastAsia="Times New Roman" w:hAnsi="Palatino Linotype" w:cs="Arial"/>
          <w:i/>
        </w:rPr>
      </w:pPr>
    </w:p>
    <w:p w14:paraId="3F5B1979" w14:textId="77777777" w:rsidR="00183558" w:rsidRPr="001571EB" w:rsidRDefault="00183558" w:rsidP="0018355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4ECF9F2" w14:textId="77777777" w:rsidR="00183558" w:rsidRPr="001571EB" w:rsidRDefault="00183558" w:rsidP="0018355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23D7B3A" w14:textId="77777777" w:rsidR="00183558" w:rsidRPr="001571EB" w:rsidRDefault="00183558" w:rsidP="0018355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BAD3064"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E2661BE"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18081C6"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9FF7B46"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928E6F2" w14:textId="77777777" w:rsidR="00183558" w:rsidRPr="001571EB" w:rsidRDefault="00183558" w:rsidP="0018355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3130CCCC" w14:textId="77777777" w:rsidR="00183558" w:rsidRPr="001571EB" w:rsidRDefault="00183558" w:rsidP="00183558">
      <w:pPr>
        <w:spacing w:after="0" w:line="360" w:lineRule="auto"/>
        <w:jc w:val="both"/>
        <w:rPr>
          <w:rFonts w:ascii="Palatino Linotype" w:hAnsi="Palatino Linotype" w:cs="Arial"/>
        </w:rPr>
      </w:pPr>
    </w:p>
    <w:p w14:paraId="14748F20" w14:textId="382D83C1" w:rsidR="00183558" w:rsidRPr="002E2CCE" w:rsidRDefault="00183558" w:rsidP="00183558">
      <w:pPr>
        <w:spacing w:before="240" w:line="360" w:lineRule="auto"/>
        <w:jc w:val="both"/>
        <w:rPr>
          <w:rFonts w:ascii="Palatino Linotype" w:hAnsi="Palatino Linotype"/>
          <w:sz w:val="24"/>
          <w:lang w:val="es-ES"/>
        </w:rPr>
      </w:pPr>
      <w:r w:rsidRPr="001571EB">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1FB1EDE7" w14:textId="142E5C64" w:rsidR="00771878" w:rsidRPr="002E2CCE" w:rsidRDefault="00771878" w:rsidP="00771878">
      <w:pPr>
        <w:autoSpaceDE w:val="0"/>
        <w:autoSpaceDN w:val="0"/>
        <w:adjustRightInd w:val="0"/>
        <w:spacing w:before="240" w:after="240" w:line="360" w:lineRule="auto"/>
        <w:jc w:val="both"/>
        <w:rPr>
          <w:rFonts w:ascii="Palatino Linotype" w:hAnsi="Palatino Linotype" w:cs="Arial"/>
          <w:sz w:val="24"/>
          <w:szCs w:val="24"/>
          <w:lang w:val="es-ES"/>
        </w:rPr>
      </w:pPr>
      <w:r w:rsidRPr="002E2CCE">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Estado de México y Municipios, se </w:t>
      </w:r>
      <w:r w:rsidRPr="002E2CCE">
        <w:rPr>
          <w:rFonts w:ascii="Palatino Linotype" w:hAnsi="Palatino Linotype" w:cs="Arial"/>
          <w:b/>
          <w:sz w:val="24"/>
          <w:szCs w:val="24"/>
          <w:lang w:val="es-ES"/>
        </w:rPr>
        <w:t>ORDENA</w:t>
      </w:r>
      <w:r w:rsidRPr="002E2CCE">
        <w:rPr>
          <w:rFonts w:ascii="Palatino Linotype" w:hAnsi="Palatino Linotype" w:cs="Arial"/>
          <w:sz w:val="24"/>
          <w:szCs w:val="24"/>
          <w:lang w:val="es-ES"/>
        </w:rPr>
        <w:t xml:space="preserve"> al </w:t>
      </w:r>
      <w:r w:rsidRPr="002E2CCE">
        <w:rPr>
          <w:rFonts w:ascii="Palatino Linotype" w:hAnsi="Palatino Linotype" w:cs="Arial"/>
          <w:b/>
          <w:sz w:val="24"/>
          <w:szCs w:val="24"/>
          <w:lang w:val="es-ES"/>
        </w:rPr>
        <w:t>Sujeto Obligado</w:t>
      </w:r>
      <w:r w:rsidRPr="002E2CCE">
        <w:rPr>
          <w:rFonts w:ascii="Palatino Linotype" w:hAnsi="Palatino Linotype" w:cs="Arial"/>
          <w:sz w:val="24"/>
          <w:szCs w:val="24"/>
          <w:lang w:val="es-ES"/>
        </w:rPr>
        <w:t xml:space="preserve">, atienda la solicitud de información </w:t>
      </w:r>
      <w:r w:rsidR="00C17676" w:rsidRPr="00C17676">
        <w:rPr>
          <w:rFonts w:ascii="Palatino Linotype" w:hAnsi="Palatino Linotype" w:cs="Arial"/>
          <w:b/>
          <w:sz w:val="24"/>
          <w:lang w:val="es-ES"/>
        </w:rPr>
        <w:t>00136/NAUCALPA/IP/2021</w:t>
      </w:r>
      <w:r w:rsidRPr="002E2CCE">
        <w:rPr>
          <w:rFonts w:ascii="Palatino Linotype" w:hAnsi="Palatino Linotype" w:cs="Arial"/>
          <w:b/>
          <w:sz w:val="24"/>
          <w:lang w:val="es-ES"/>
        </w:rPr>
        <w:t xml:space="preserve">, </w:t>
      </w:r>
      <w:r w:rsidRPr="002E2CCE">
        <w:rPr>
          <w:rFonts w:ascii="Palatino Linotype" w:hAnsi="Palatino Linotype" w:cs="Arial"/>
          <w:sz w:val="24"/>
          <w:szCs w:val="24"/>
          <w:lang w:val="es-ES"/>
        </w:rPr>
        <w:t>que ha sido materia del presente fallo.</w:t>
      </w:r>
    </w:p>
    <w:p w14:paraId="08007B68" w14:textId="77777777" w:rsidR="00771878" w:rsidRPr="002E2CCE" w:rsidRDefault="00771878" w:rsidP="00771878">
      <w:pPr>
        <w:spacing w:before="240" w:line="360" w:lineRule="auto"/>
        <w:jc w:val="both"/>
        <w:rPr>
          <w:rFonts w:ascii="Palatino Linotype" w:hAnsi="Palatino Linotype" w:cs="Arial"/>
          <w:sz w:val="24"/>
          <w:lang w:val="es-ES"/>
        </w:rPr>
      </w:pPr>
      <w:r w:rsidRPr="002E2CCE">
        <w:rPr>
          <w:rFonts w:ascii="Palatino Linotype" w:hAnsi="Palatino Linotype" w:cs="Arial"/>
          <w:sz w:val="24"/>
          <w:lang w:val="es-ES"/>
        </w:rPr>
        <w:t>Por lo antes expuesto y fundado es de resolverse y;</w:t>
      </w:r>
    </w:p>
    <w:p w14:paraId="158AF902" w14:textId="77777777" w:rsidR="00771878" w:rsidRPr="002E2CCE" w:rsidRDefault="00771878" w:rsidP="00771878">
      <w:pPr>
        <w:spacing w:before="240" w:line="360" w:lineRule="auto"/>
        <w:jc w:val="both"/>
        <w:rPr>
          <w:rFonts w:ascii="Palatino Linotype" w:hAnsi="Palatino Linotype" w:cs="Arial"/>
          <w:sz w:val="24"/>
          <w:lang w:val="es-ES"/>
        </w:rPr>
      </w:pPr>
    </w:p>
    <w:p w14:paraId="0F7F8C5C" w14:textId="77777777" w:rsidR="00771878" w:rsidRPr="002E2CCE" w:rsidRDefault="00771878" w:rsidP="00771878">
      <w:pPr>
        <w:spacing w:before="240" w:line="360" w:lineRule="auto"/>
        <w:jc w:val="center"/>
        <w:rPr>
          <w:rFonts w:ascii="Palatino Linotype" w:eastAsia="Times New Roman" w:hAnsi="Palatino Linotype"/>
          <w:b/>
          <w:bCs/>
          <w:spacing w:val="60"/>
          <w:sz w:val="28"/>
          <w:lang w:val="es-ES"/>
        </w:rPr>
      </w:pPr>
      <w:r w:rsidRPr="002E2CCE">
        <w:rPr>
          <w:rFonts w:ascii="Palatino Linotype" w:eastAsia="Times New Roman" w:hAnsi="Palatino Linotype"/>
          <w:b/>
          <w:bCs/>
          <w:spacing w:val="60"/>
          <w:sz w:val="28"/>
          <w:lang w:val="es-ES"/>
        </w:rPr>
        <w:t>SE RESUELVE</w:t>
      </w:r>
    </w:p>
    <w:p w14:paraId="2B38559A" w14:textId="77777777" w:rsidR="00771878" w:rsidRPr="002E2CCE" w:rsidRDefault="00771878" w:rsidP="00771878">
      <w:pPr>
        <w:tabs>
          <w:tab w:val="left" w:pos="8647"/>
        </w:tabs>
        <w:spacing w:before="240" w:line="360" w:lineRule="auto"/>
        <w:ind w:right="51"/>
        <w:jc w:val="both"/>
        <w:rPr>
          <w:rFonts w:ascii="Palatino Linotype" w:hAnsi="Palatino Linotype" w:cs="Arial"/>
          <w:sz w:val="24"/>
          <w:szCs w:val="24"/>
          <w:lang w:val="es-ES"/>
        </w:rPr>
      </w:pPr>
      <w:r w:rsidRPr="002E2CCE">
        <w:rPr>
          <w:rFonts w:ascii="Palatino Linotype" w:hAnsi="Palatino Linotype" w:cs="Arial"/>
          <w:b/>
          <w:sz w:val="28"/>
          <w:szCs w:val="28"/>
          <w:lang w:val="es-ES"/>
        </w:rPr>
        <w:t>PRIMERO.</w:t>
      </w:r>
      <w:r w:rsidRPr="002E2CCE">
        <w:rPr>
          <w:rFonts w:ascii="Palatino Linotype" w:hAnsi="Palatino Linotype" w:cs="Arial"/>
          <w:sz w:val="24"/>
          <w:szCs w:val="24"/>
          <w:lang w:val="es-ES"/>
        </w:rPr>
        <w:t xml:space="preserve"> Resultan fundadas las razones o motivos de inconformidad hechos valer por </w:t>
      </w:r>
      <w:r w:rsidRPr="002E2CCE">
        <w:rPr>
          <w:rFonts w:ascii="Palatino Linotype" w:hAnsi="Palatino Linotype" w:cs="Arial"/>
          <w:b/>
          <w:sz w:val="24"/>
          <w:szCs w:val="24"/>
          <w:lang w:val="es-ES"/>
        </w:rPr>
        <w:t>el recurrente,</w:t>
      </w:r>
      <w:r w:rsidRPr="002E2CCE">
        <w:rPr>
          <w:rFonts w:ascii="Palatino Linotype" w:hAnsi="Palatino Linotype" w:cs="Arial"/>
          <w:sz w:val="24"/>
          <w:szCs w:val="24"/>
          <w:lang w:val="es-ES"/>
        </w:rPr>
        <w:t xml:space="preserve"> en términos del considerando </w:t>
      </w:r>
      <w:r w:rsidRPr="002E2CCE">
        <w:rPr>
          <w:rFonts w:ascii="Palatino Linotype" w:hAnsi="Palatino Linotype" w:cs="Arial"/>
          <w:b/>
          <w:sz w:val="24"/>
          <w:szCs w:val="24"/>
          <w:lang w:val="es-ES"/>
        </w:rPr>
        <w:t>Cuarto</w:t>
      </w:r>
      <w:r w:rsidRPr="002E2CCE">
        <w:rPr>
          <w:rFonts w:ascii="Palatino Linotype" w:hAnsi="Palatino Linotype" w:cs="Arial"/>
          <w:sz w:val="24"/>
          <w:szCs w:val="24"/>
          <w:lang w:val="es-ES"/>
        </w:rPr>
        <w:t>, de la presente resolución.</w:t>
      </w:r>
    </w:p>
    <w:p w14:paraId="2B38C6EB" w14:textId="77777777" w:rsidR="00771878" w:rsidRPr="00FE22BC" w:rsidRDefault="00771878" w:rsidP="00771878">
      <w:pPr>
        <w:tabs>
          <w:tab w:val="left" w:pos="8647"/>
        </w:tabs>
        <w:spacing w:before="240" w:line="360" w:lineRule="auto"/>
        <w:ind w:right="51"/>
        <w:jc w:val="both"/>
        <w:rPr>
          <w:rFonts w:ascii="Palatino Linotype" w:hAnsi="Palatino Linotype" w:cs="Arial"/>
          <w:sz w:val="4"/>
          <w:szCs w:val="24"/>
          <w:lang w:val="es-ES"/>
        </w:rPr>
      </w:pPr>
    </w:p>
    <w:p w14:paraId="7616AC23" w14:textId="408D8887" w:rsidR="00183558" w:rsidRPr="00835D88" w:rsidRDefault="00183558" w:rsidP="0018355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SEGUNDO.</w:t>
      </w:r>
      <w:r w:rsidRPr="00835D88">
        <w:rPr>
          <w:rFonts w:ascii="Palatino Linotype" w:hAnsi="Palatino Linotype" w:cs="Arial"/>
          <w:sz w:val="24"/>
          <w:szCs w:val="24"/>
        </w:rPr>
        <w:t xml:space="preserve">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atienda la solicitud de información </w:t>
      </w:r>
      <w:r w:rsidR="00C17676" w:rsidRPr="00C17676">
        <w:rPr>
          <w:rFonts w:ascii="Palatino Linotype" w:hAnsi="Palatino Linotype" w:cs="Arial"/>
          <w:b/>
          <w:sz w:val="24"/>
          <w:lang w:val="es-ES"/>
        </w:rPr>
        <w:t>00136/NAUCALPA/IP/2021</w:t>
      </w:r>
      <w:r w:rsidRPr="00835D88">
        <w:rPr>
          <w:rFonts w:ascii="Palatino Linotype" w:hAnsi="Palatino Linotype" w:cs="Arial"/>
          <w:sz w:val="24"/>
          <w:szCs w:val="24"/>
        </w:rPr>
        <w:t xml:space="preserve">, en términos del Considerando </w:t>
      </w:r>
      <w:r w:rsidRPr="00835D88">
        <w:rPr>
          <w:rFonts w:ascii="Palatino Linotype" w:hAnsi="Palatino Linotype" w:cs="Arial"/>
          <w:b/>
          <w:sz w:val="24"/>
          <w:szCs w:val="24"/>
        </w:rPr>
        <w:t xml:space="preserve">CUARTO </w:t>
      </w:r>
      <w:r w:rsidRPr="00835D88">
        <w:rPr>
          <w:rFonts w:ascii="Palatino Linotype" w:hAnsi="Palatino Linotype" w:cs="Arial"/>
          <w:sz w:val="24"/>
          <w:szCs w:val="24"/>
        </w:rPr>
        <w:t>de esta resolución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vía Sistema de Acceso a la Información Mexiquense (SAIMEX)</w:t>
      </w:r>
      <w:r w:rsidR="00252583">
        <w:rPr>
          <w:rFonts w:ascii="Palatino Linotype" w:hAnsi="Palatino Linotype" w:cs="Arial"/>
          <w:sz w:val="24"/>
          <w:szCs w:val="24"/>
        </w:rPr>
        <w:t xml:space="preserve"> así </w:t>
      </w:r>
      <w:r w:rsidR="003E2D9F">
        <w:rPr>
          <w:rFonts w:ascii="Palatino Linotype" w:hAnsi="Palatino Linotype" w:cs="Arial"/>
          <w:sz w:val="24"/>
          <w:szCs w:val="24"/>
        </w:rPr>
        <w:t>como</w:t>
      </w:r>
      <w:r w:rsidR="00252583">
        <w:rPr>
          <w:rFonts w:ascii="Palatino Linotype" w:hAnsi="Palatino Linotype" w:cs="Arial"/>
          <w:sz w:val="24"/>
          <w:szCs w:val="24"/>
        </w:rPr>
        <w:t xml:space="preserve"> por correo electrónico</w:t>
      </w:r>
      <w:r w:rsidRPr="00835D88">
        <w:rPr>
          <w:rFonts w:ascii="Palatino Linotype" w:hAnsi="Palatino Linotype" w:cs="Arial"/>
          <w:sz w:val="24"/>
          <w:szCs w:val="24"/>
        </w:rPr>
        <w:t>.</w:t>
      </w:r>
    </w:p>
    <w:p w14:paraId="2B4CB9A8" w14:textId="77777777" w:rsidR="00771878" w:rsidRPr="00FE22BC" w:rsidRDefault="00771878" w:rsidP="00771878">
      <w:pPr>
        <w:tabs>
          <w:tab w:val="left" w:pos="8647"/>
        </w:tabs>
        <w:spacing w:before="240" w:line="360" w:lineRule="auto"/>
        <w:ind w:right="51"/>
        <w:jc w:val="both"/>
        <w:rPr>
          <w:rFonts w:ascii="Palatino Linotype" w:hAnsi="Palatino Linotype" w:cs="Arial"/>
          <w:sz w:val="2"/>
          <w:szCs w:val="24"/>
          <w:lang w:val="es-ES"/>
        </w:rPr>
      </w:pPr>
    </w:p>
    <w:p w14:paraId="397B3DF8" w14:textId="77777777" w:rsidR="00771878" w:rsidRPr="002E2CCE" w:rsidRDefault="00771878" w:rsidP="00771878">
      <w:pPr>
        <w:tabs>
          <w:tab w:val="left" w:pos="8647"/>
        </w:tabs>
        <w:spacing w:before="240" w:line="360" w:lineRule="auto"/>
        <w:ind w:right="51"/>
        <w:jc w:val="both"/>
        <w:rPr>
          <w:rFonts w:ascii="Palatino Linotype" w:hAnsi="Palatino Linotype" w:cs="Arial"/>
          <w:sz w:val="24"/>
          <w:szCs w:val="24"/>
          <w:lang w:val="es-ES"/>
        </w:rPr>
      </w:pPr>
      <w:r w:rsidRPr="002E2CCE">
        <w:rPr>
          <w:rFonts w:ascii="Palatino Linotype" w:hAnsi="Palatino Linotype" w:cs="Arial"/>
          <w:b/>
          <w:sz w:val="28"/>
          <w:szCs w:val="24"/>
          <w:lang w:val="es-ES"/>
        </w:rPr>
        <w:t>TERCERO</w:t>
      </w:r>
      <w:r w:rsidRPr="002E2CCE">
        <w:rPr>
          <w:rFonts w:ascii="Palatino Linotype" w:hAnsi="Palatino Linotype" w:cs="Arial"/>
          <w:sz w:val="28"/>
          <w:szCs w:val="24"/>
          <w:lang w:val="es-ES"/>
        </w:rPr>
        <w:t>.</w:t>
      </w:r>
      <w:r w:rsidRPr="002E2CCE">
        <w:rPr>
          <w:rFonts w:ascii="Palatino Linotype" w:hAnsi="Palatino Linotype" w:cs="Arial"/>
          <w:sz w:val="24"/>
          <w:szCs w:val="24"/>
          <w:lang w:val="es-ES"/>
        </w:rPr>
        <w:t xml:space="preserve"> </w:t>
      </w:r>
      <w:r w:rsidRPr="002E2CCE">
        <w:rPr>
          <w:rFonts w:ascii="Palatino Linotype" w:hAnsi="Palatino Linotype" w:cs="Arial"/>
          <w:b/>
          <w:sz w:val="24"/>
          <w:szCs w:val="24"/>
          <w:lang w:val="es-ES"/>
        </w:rPr>
        <w:t>Notifíquese</w:t>
      </w:r>
      <w:r w:rsidRPr="002E2CCE">
        <w:rPr>
          <w:rFonts w:ascii="Palatino Linotype" w:hAnsi="Palatino Linotype" w:cs="Arial"/>
          <w:b/>
          <w:i/>
          <w:sz w:val="24"/>
          <w:szCs w:val="24"/>
          <w:lang w:val="es-ES"/>
        </w:rPr>
        <w:t xml:space="preserve"> </w:t>
      </w:r>
      <w:r w:rsidRPr="002E2CCE">
        <w:rPr>
          <w:rFonts w:ascii="Palatino Linotype" w:hAnsi="Palatino Linotype" w:cs="Arial"/>
          <w:sz w:val="24"/>
          <w:szCs w:val="24"/>
          <w:lang w:val="es-ES"/>
        </w:rPr>
        <w:t>la presente resolución al Titular de la Unidad de Transparencia del</w:t>
      </w:r>
      <w:r w:rsidRPr="002E2CCE">
        <w:rPr>
          <w:rFonts w:ascii="Palatino Linotype" w:hAnsi="Palatino Linotype" w:cs="Arial"/>
          <w:b/>
          <w:sz w:val="24"/>
          <w:szCs w:val="24"/>
          <w:lang w:val="es-ES"/>
        </w:rPr>
        <w:t xml:space="preserve"> sujeto obligado</w:t>
      </w:r>
      <w:r w:rsidRPr="002E2CCE">
        <w:rPr>
          <w:rFonts w:ascii="Palatino Linotype" w:hAnsi="Palatino Linotype" w:cs="Arial"/>
          <w:sz w:val="24"/>
          <w:szCs w:val="24"/>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A85FE30" w14:textId="77777777" w:rsidR="00183558" w:rsidRPr="00FE22BC" w:rsidRDefault="00183558" w:rsidP="00771878">
      <w:pPr>
        <w:autoSpaceDE w:val="0"/>
        <w:autoSpaceDN w:val="0"/>
        <w:adjustRightInd w:val="0"/>
        <w:spacing w:before="240" w:line="360" w:lineRule="auto"/>
        <w:jc w:val="both"/>
        <w:rPr>
          <w:rFonts w:ascii="Palatino Linotype" w:hAnsi="Palatino Linotype" w:cs="Arial"/>
          <w:sz w:val="4"/>
          <w:szCs w:val="24"/>
          <w:lang w:val="es-ES"/>
        </w:rPr>
      </w:pPr>
    </w:p>
    <w:p w14:paraId="2FFE7717" w14:textId="2D2D536F" w:rsidR="00771878" w:rsidRDefault="00183558" w:rsidP="00771878">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b/>
          <w:sz w:val="28"/>
          <w:szCs w:val="24"/>
          <w:lang w:val="es-ES"/>
        </w:rPr>
        <w:t>CUARTO</w:t>
      </w:r>
      <w:r w:rsidR="00771878" w:rsidRPr="002E2CCE">
        <w:rPr>
          <w:rFonts w:ascii="Palatino Linotype" w:hAnsi="Palatino Linotype" w:cs="Arial"/>
          <w:b/>
          <w:sz w:val="28"/>
          <w:szCs w:val="24"/>
          <w:lang w:val="es-ES"/>
        </w:rPr>
        <w:t>.</w:t>
      </w:r>
      <w:r w:rsidR="00771878" w:rsidRPr="002E2CCE">
        <w:rPr>
          <w:rFonts w:ascii="Palatino Linotype" w:hAnsi="Palatino Linotype" w:cs="Arial"/>
          <w:b/>
          <w:sz w:val="24"/>
          <w:szCs w:val="24"/>
          <w:lang w:val="es-ES"/>
        </w:rPr>
        <w:t xml:space="preserve"> </w:t>
      </w:r>
      <w:r w:rsidR="00771878" w:rsidRPr="002E2CCE">
        <w:rPr>
          <w:rFonts w:ascii="Palatino Linotype" w:hAnsi="Palatino Linotype" w:cs="Arial"/>
          <w:b/>
          <w:bCs/>
          <w:sz w:val="24"/>
          <w:szCs w:val="24"/>
          <w:lang w:val="es-ES"/>
        </w:rPr>
        <w:t>Notifíquese</w:t>
      </w:r>
      <w:r w:rsidR="00771878" w:rsidRPr="002E2CCE">
        <w:rPr>
          <w:rFonts w:ascii="Palatino Linotype" w:hAnsi="Palatino Linotype" w:cs="Arial"/>
          <w:lang w:val="es-ES"/>
        </w:rPr>
        <w:t xml:space="preserve"> </w:t>
      </w:r>
      <w:r w:rsidR="00A041EC" w:rsidRPr="00A041EC">
        <w:rPr>
          <w:rFonts w:ascii="Palatino Linotype" w:hAnsi="Palatino Linotype" w:cs="Arial"/>
          <w:sz w:val="24"/>
          <w:szCs w:val="24"/>
          <w:lang w:val="es-ES"/>
        </w:rPr>
        <w:t xml:space="preserve">al Recurrente la presente resolución vía SAIMEX y correo electrónico y hágase de su conocimiento, que podrá impugnarla vía Juicio de Amparo en los términos de las leyes aplicables, de conformidad con lo establecido en el artículo </w:t>
      </w:r>
      <w:r w:rsidR="00A041EC" w:rsidRPr="00A041EC">
        <w:rPr>
          <w:rFonts w:ascii="Palatino Linotype" w:hAnsi="Palatino Linotype" w:cs="Arial"/>
          <w:sz w:val="24"/>
          <w:szCs w:val="24"/>
          <w:lang w:val="es-ES"/>
        </w:rPr>
        <w:lastRenderedPageBreak/>
        <w:t>196 de la Ley de Transparencia y Acceso a la Información Pública del Estado de México y Municipios.</w:t>
      </w:r>
    </w:p>
    <w:p w14:paraId="6A614C2A" w14:textId="77777777" w:rsidR="00FE22BC" w:rsidRPr="00FE22BC" w:rsidRDefault="00FE22BC" w:rsidP="00771878">
      <w:pPr>
        <w:autoSpaceDE w:val="0"/>
        <w:autoSpaceDN w:val="0"/>
        <w:adjustRightInd w:val="0"/>
        <w:spacing w:before="240" w:line="360" w:lineRule="auto"/>
        <w:jc w:val="both"/>
        <w:rPr>
          <w:rFonts w:ascii="Palatino Linotype" w:hAnsi="Palatino Linotype" w:cs="Arial"/>
          <w:sz w:val="2"/>
          <w:szCs w:val="24"/>
          <w:lang w:val="es-ES"/>
        </w:rPr>
      </w:pPr>
    </w:p>
    <w:p w14:paraId="2EA11559" w14:textId="5D8B4246" w:rsidR="00771878" w:rsidRDefault="00183558" w:rsidP="00771878">
      <w:pPr>
        <w:autoSpaceDE w:val="0"/>
        <w:autoSpaceDN w:val="0"/>
        <w:adjustRightInd w:val="0"/>
        <w:spacing w:before="240" w:line="360" w:lineRule="auto"/>
        <w:jc w:val="both"/>
        <w:rPr>
          <w:rFonts w:ascii="Palatino Linotype" w:eastAsia="MS Mincho" w:hAnsi="Palatino Linotype" w:cs="Times New Roman"/>
          <w:sz w:val="24"/>
          <w:szCs w:val="24"/>
          <w:lang w:val="es-ES" w:eastAsia="es-ES"/>
        </w:rPr>
      </w:pPr>
      <w:r>
        <w:rPr>
          <w:rFonts w:ascii="Palatino Linotype" w:hAnsi="Palatino Linotype" w:cs="Arial"/>
          <w:b/>
          <w:sz w:val="28"/>
          <w:szCs w:val="24"/>
          <w:lang w:val="es-ES"/>
        </w:rPr>
        <w:t>QUINTO</w:t>
      </w:r>
      <w:r w:rsidR="00771878" w:rsidRPr="002E2CCE">
        <w:rPr>
          <w:rFonts w:ascii="Palatino Linotype" w:hAnsi="Palatino Linotype" w:cs="Arial"/>
          <w:b/>
          <w:sz w:val="28"/>
          <w:szCs w:val="24"/>
          <w:lang w:val="es-ES"/>
        </w:rPr>
        <w:t xml:space="preserve">. </w:t>
      </w:r>
      <w:r w:rsidR="00771878" w:rsidRPr="002E2CCE">
        <w:rPr>
          <w:rFonts w:ascii="Palatino Linotype" w:eastAsia="MS Mincho" w:hAnsi="Palatino Linotype" w:cs="Times New Roman"/>
          <w:b/>
          <w:bCs/>
          <w:sz w:val="24"/>
          <w:szCs w:val="24"/>
          <w:lang w:val="es-ES" w:eastAsia="es-ES"/>
        </w:rPr>
        <w:t>Gírese</w:t>
      </w:r>
      <w:r w:rsidR="00771878" w:rsidRPr="002E2CCE">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771878" w:rsidRPr="002E2CCE">
        <w:rPr>
          <w:rFonts w:ascii="Palatino Linotype" w:eastAsia="MS Mincho" w:hAnsi="Palatino Linotype" w:cs="Times New Roman"/>
          <w:b/>
          <w:sz w:val="24"/>
          <w:szCs w:val="24"/>
          <w:lang w:val="es-ES" w:eastAsia="es-ES"/>
        </w:rPr>
        <w:t>Cuarto</w:t>
      </w:r>
      <w:r w:rsidR="00771878" w:rsidRPr="002E2CCE">
        <w:rPr>
          <w:rFonts w:ascii="Palatino Linotype" w:eastAsia="MS Mincho" w:hAnsi="Palatino Linotype" w:cs="Times New Roman"/>
          <w:sz w:val="24"/>
          <w:szCs w:val="24"/>
          <w:lang w:val="es-ES" w:eastAsia="es-ES"/>
        </w:rPr>
        <w:t>.</w:t>
      </w:r>
    </w:p>
    <w:p w14:paraId="31B3E8F6" w14:textId="77777777" w:rsidR="00FE22BC" w:rsidRPr="00FE22BC" w:rsidRDefault="00FE22BC" w:rsidP="00771878">
      <w:pPr>
        <w:autoSpaceDE w:val="0"/>
        <w:autoSpaceDN w:val="0"/>
        <w:adjustRightInd w:val="0"/>
        <w:spacing w:before="240" w:line="360" w:lineRule="auto"/>
        <w:jc w:val="both"/>
        <w:rPr>
          <w:rFonts w:ascii="Palatino Linotype" w:eastAsia="MS Mincho" w:hAnsi="Palatino Linotype" w:cs="Times New Roman"/>
          <w:sz w:val="2"/>
          <w:szCs w:val="24"/>
          <w:lang w:val="es-ES" w:eastAsia="es-ES"/>
        </w:rPr>
      </w:pPr>
    </w:p>
    <w:p w14:paraId="0ABFB603" w14:textId="2CAC0010" w:rsidR="00771878" w:rsidRDefault="00771878" w:rsidP="00771878">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sidRPr="002E2CCE">
        <w:rPr>
          <w:rFonts w:ascii="Palatino Linotype" w:hAnsi="Palatino Linotype" w:cs="Arial"/>
          <w:b/>
          <w:sz w:val="28"/>
          <w:szCs w:val="24"/>
          <w:lang w:val="es-ES"/>
        </w:rPr>
        <w:t>S</w:t>
      </w:r>
      <w:r w:rsidR="00183558">
        <w:rPr>
          <w:rFonts w:ascii="Palatino Linotype" w:hAnsi="Palatino Linotype" w:cs="Arial"/>
          <w:b/>
          <w:sz w:val="28"/>
          <w:szCs w:val="24"/>
          <w:lang w:val="es-ES"/>
        </w:rPr>
        <w:t>EXTO</w:t>
      </w:r>
      <w:r w:rsidRPr="002E2CCE">
        <w:rPr>
          <w:rFonts w:ascii="Palatino Linotype" w:hAnsi="Palatino Linotype" w:cs="Arial"/>
          <w:b/>
          <w:sz w:val="28"/>
          <w:szCs w:val="24"/>
          <w:lang w:val="es-ES"/>
        </w:rPr>
        <w:t xml:space="preserve">. </w:t>
      </w:r>
      <w:r w:rsidRPr="002E2CCE">
        <w:rPr>
          <w:rFonts w:ascii="Palatino Linotype" w:eastAsia="Calibri" w:hAnsi="Palatino Linotype" w:cs="Tahoma"/>
          <w:bCs/>
          <w:iCs/>
          <w:sz w:val="24"/>
          <w:szCs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DFCE8F3" w14:textId="77777777" w:rsidR="00FE22BC" w:rsidRPr="00FE22BC" w:rsidRDefault="00FE22BC" w:rsidP="00771878">
      <w:pPr>
        <w:autoSpaceDE w:val="0"/>
        <w:autoSpaceDN w:val="0"/>
        <w:adjustRightInd w:val="0"/>
        <w:spacing w:before="240" w:line="360" w:lineRule="auto"/>
        <w:jc w:val="both"/>
        <w:rPr>
          <w:rFonts w:ascii="Palatino Linotype" w:eastAsia="Calibri" w:hAnsi="Palatino Linotype" w:cs="Tahoma"/>
          <w:bCs/>
          <w:iCs/>
          <w:sz w:val="2"/>
          <w:szCs w:val="24"/>
          <w:lang w:val="es-ES" w:eastAsia="es-ES_tradnl"/>
        </w:rPr>
      </w:pPr>
    </w:p>
    <w:p w14:paraId="77B655F2" w14:textId="3A855C35" w:rsidR="00771878" w:rsidRDefault="00183558" w:rsidP="00771878">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00771878" w:rsidRPr="002E2CCE">
        <w:rPr>
          <w:rFonts w:ascii="Palatino Linotype" w:eastAsia="Calibri" w:hAnsi="Palatino Linotype" w:cs="Tahoma"/>
          <w:b/>
          <w:bCs/>
          <w:iCs/>
          <w:sz w:val="24"/>
          <w:szCs w:val="24"/>
          <w:lang w:val="es-ES" w:eastAsia="es-ES_tradnl"/>
        </w:rPr>
        <w:t>.</w:t>
      </w:r>
      <w:r w:rsidR="00771878" w:rsidRPr="002E2CCE">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artículos 213, 214, 216 y 217 de dicha Ley.</w:t>
      </w:r>
    </w:p>
    <w:p w14:paraId="0B985CBC" w14:textId="77777777" w:rsidR="00FE22BC" w:rsidRPr="002E2CCE" w:rsidRDefault="00FE22BC" w:rsidP="00771878">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p>
    <w:bookmarkEnd w:id="0"/>
    <w:p w14:paraId="19F77C53" w14:textId="77777777" w:rsidR="00CF5253" w:rsidRDefault="00CF5253" w:rsidP="00CF5253">
      <w:pPr>
        <w:pStyle w:val="Prrafodelista"/>
        <w:autoSpaceDE w:val="0"/>
        <w:autoSpaceDN w:val="0"/>
        <w:adjustRightInd w:val="0"/>
        <w:spacing w:line="360" w:lineRule="auto"/>
        <w:ind w:left="0"/>
        <w:jc w:val="both"/>
        <w:rPr>
          <w:rFonts w:ascii="Palatino Linotype" w:hAnsi="Palatino Linotype" w:cs="Arial"/>
          <w:sz w:val="10"/>
        </w:rPr>
      </w:pPr>
    </w:p>
    <w:p w14:paraId="5FEF7D91" w14:textId="039C3063" w:rsidR="00FE22BC" w:rsidRDefault="0015673D" w:rsidP="00CF5253">
      <w:pPr>
        <w:pStyle w:val="Prrafodelista"/>
        <w:autoSpaceDE w:val="0"/>
        <w:autoSpaceDN w:val="0"/>
        <w:adjustRightInd w:val="0"/>
        <w:spacing w:line="360" w:lineRule="auto"/>
        <w:ind w:left="0"/>
        <w:jc w:val="both"/>
        <w:rPr>
          <w:rFonts w:ascii="Palatino Linotype" w:hAnsi="Palatino Linotype" w:cs="Arial"/>
          <w:sz w:val="14"/>
        </w:rPr>
      </w:pPr>
      <w:r>
        <w:rPr>
          <w:rFonts w:ascii="Palatino Linotype" w:hAnsi="Palatino Linotype" w:cs="Arial"/>
        </w:rPr>
        <w:lastRenderedPageBreak/>
        <w:t>ASÍ LO RESUELVE, POR MAYORÍA</w:t>
      </w:r>
      <w:r w:rsidR="00FE22BC" w:rsidRPr="005E2BAE">
        <w:rPr>
          <w:rFonts w:ascii="Palatino Linotype" w:hAnsi="Palatino Linotype" w:cs="Arial"/>
        </w:rPr>
        <w:t xml:space="preserve"> DE VOTOS, EL PLENO DEL</w:t>
      </w:r>
      <w:r w:rsidR="00FE22BC" w:rsidRPr="005E2BAE">
        <w:rPr>
          <w:rFonts w:ascii="Palatino Linotype" w:eastAsia="Arial Unicode MS" w:hAnsi="Palatino Linotype" w:cs="Arial"/>
        </w:rPr>
        <w:t xml:space="preserve"> INSTITUTO DE TRANSPARENCIA, ACCESO A LA INFORMACIÓN PÚBLICA Y PROTECCIÓN DE DATOS PERSONALES DEL ESTADO DE MÉXICO Y MUNICIPIOS</w:t>
      </w:r>
      <w:r w:rsidR="00FE22BC" w:rsidRPr="005E2BAE">
        <w:rPr>
          <w:rFonts w:ascii="Palatino Linotype" w:hAnsi="Palatino Linotype" w:cs="Arial"/>
        </w:rPr>
        <w:t>, CONFORMADO POR LOS COMISIONADOS ZULEMA MARTÍNEZ SÁNCHEZ, EVA ABAID YAPUR, JOSÉ GUADALUPE LUNA HERNÁNDEZ, JAVIER MARTÍNEZ CRUZ</w:t>
      </w:r>
      <w:r>
        <w:rPr>
          <w:rFonts w:ascii="Palatino Linotype" w:hAnsi="Palatino Linotype" w:cs="Arial"/>
        </w:rPr>
        <w:t xml:space="preserve"> (EMITIENDO VOTO EN CONTRA CON VOTO DISIDENTE)</w:t>
      </w:r>
      <w:r w:rsidR="00FE22BC" w:rsidRPr="005E2BAE">
        <w:rPr>
          <w:rFonts w:ascii="Palatino Linotype" w:hAnsi="Palatino Linotype" w:cs="Arial"/>
        </w:rPr>
        <w:t xml:space="preserve"> Y LUIS GUSTAVO PARRA NORIEGA, EN LA </w:t>
      </w:r>
      <w:r>
        <w:rPr>
          <w:rFonts w:ascii="Palatino Linotype" w:hAnsi="Palatino Linotype" w:cs="Arial"/>
        </w:rPr>
        <w:t>VIGÉSIMO PRIMERA</w:t>
      </w:r>
      <w:r w:rsidR="00FE22BC" w:rsidRPr="005E2BAE">
        <w:rPr>
          <w:rFonts w:ascii="Palatino Linotype" w:hAnsi="Palatino Linotype" w:cs="Arial"/>
        </w:rPr>
        <w:t xml:space="preserve"> SESIÓN ORDINARIA CELEBRADA EL </w:t>
      </w:r>
      <w:r>
        <w:rPr>
          <w:rFonts w:ascii="Palatino Linotype" w:hAnsi="Palatino Linotype" w:cs="Arial"/>
        </w:rPr>
        <w:t>DIECISÉIS DE JUNIO</w:t>
      </w:r>
      <w:r w:rsidR="00FE22BC" w:rsidRPr="005E2BAE">
        <w:rPr>
          <w:rFonts w:ascii="Palatino Linotype" w:hAnsi="Palatino Linotype" w:cs="Arial"/>
        </w:rPr>
        <w:t xml:space="preserve"> DE DOS MIL VEINTIUNO, ANTE EL SECRETARIO TÉCNICO DEL PLENO, ALEXIS TAPIA RAMÍREZ.----------------------------------------------</w:t>
      </w:r>
      <w:r w:rsidR="00FE22BC" w:rsidRPr="00FE22BC">
        <w:rPr>
          <w:rFonts w:ascii="Palatino Linotype" w:hAnsi="Palatino Linotype" w:cs="Arial"/>
        </w:rPr>
        <w:t xml:space="preserve"> </w:t>
      </w:r>
      <w:r w:rsidR="00FE22BC" w:rsidRPr="005E2BAE">
        <w:rPr>
          <w:rFonts w:ascii="Palatino Linotype" w:hAnsi="Palatino Linotype" w:cs="Arial"/>
        </w:rPr>
        <w:t>-------------------------------------------------------------------------------------------------------------------------------------------------------------------------------------------------------------------------------------------------------------------------------------------------------------------------------------------------------------------------------------------------------------------------------------------------------------------------------------------------------------------------------------------------------------------------------------------------------------------------------------------------------------------------------------------------------------------------------------------------------------------------------------------------------------------------------------------------------------------------------------------------------------------------------------------------------------------------------------------------------------------------------------------------------------------------------------------------------------------------------------------------------------------------------------------------------------------------------------------------------------------------------------------------------------------------------------------------------------------------------------------------------------------------------</w:t>
      </w:r>
      <w:r>
        <w:rPr>
          <w:rFonts w:ascii="Palatino Linotype" w:hAnsi="Palatino Linotype" w:cs="Arial"/>
        </w:rPr>
        <w:t>---------------------------------------------------------------------------------------------------------------------------------------------------</w:t>
      </w:r>
      <w:r w:rsidR="00FE22BC" w:rsidRPr="005E2BAE">
        <w:rPr>
          <w:rFonts w:ascii="Palatino Linotype" w:hAnsi="Palatino Linotype" w:cs="Arial"/>
        </w:rPr>
        <w:t>-----</w:t>
      </w:r>
    </w:p>
    <w:p w14:paraId="261E8A09" w14:textId="77777777" w:rsidR="00FE22BC" w:rsidRPr="00FE22BC" w:rsidRDefault="00FE22BC" w:rsidP="00CF5253">
      <w:pPr>
        <w:pStyle w:val="Prrafodelista"/>
        <w:autoSpaceDE w:val="0"/>
        <w:autoSpaceDN w:val="0"/>
        <w:adjustRightInd w:val="0"/>
        <w:spacing w:line="360" w:lineRule="auto"/>
        <w:ind w:left="0"/>
        <w:jc w:val="both"/>
        <w:rPr>
          <w:rFonts w:ascii="Palatino Linotype" w:hAnsi="Palatino Linotype" w:cs="Arial"/>
          <w:sz w:val="14"/>
        </w:rPr>
      </w:pPr>
    </w:p>
    <w:p w14:paraId="7DB86599" w14:textId="749ED259" w:rsidR="00FE22BC" w:rsidRDefault="00FE22BC" w:rsidP="00FE22BC">
      <w:pPr>
        <w:spacing w:after="0" w:line="240" w:lineRule="auto"/>
        <w:rPr>
          <w:rFonts w:ascii="Palatino Linotype" w:hAnsi="Palatino Linotype"/>
          <w:sz w:val="16"/>
          <w:szCs w:val="18"/>
        </w:rPr>
      </w:pPr>
      <w:r w:rsidRPr="00667998">
        <w:rPr>
          <w:rFonts w:ascii="Palatino Linotype" w:hAnsi="Palatino Linotype"/>
          <w:sz w:val="16"/>
          <w:szCs w:val="18"/>
        </w:rPr>
        <w:t>ZMS/OSAM/</w:t>
      </w:r>
      <w:r>
        <w:rPr>
          <w:rFonts w:ascii="Palatino Linotype" w:hAnsi="Palatino Linotype"/>
          <w:sz w:val="16"/>
          <w:szCs w:val="18"/>
        </w:rPr>
        <w:t>FJJC</w:t>
      </w:r>
    </w:p>
    <w:p w14:paraId="61EB8EDC" w14:textId="77777777" w:rsidR="0011206B" w:rsidRDefault="0011206B" w:rsidP="00FE22BC">
      <w:pPr>
        <w:spacing w:after="0" w:line="240" w:lineRule="auto"/>
        <w:rPr>
          <w:rFonts w:ascii="Palatino Linotype" w:hAnsi="Palatino Linotype"/>
          <w:sz w:val="16"/>
          <w:szCs w:val="18"/>
        </w:rPr>
      </w:pPr>
    </w:p>
    <w:p w14:paraId="19F90881" w14:textId="77777777" w:rsidR="0015673D" w:rsidRDefault="0015673D" w:rsidP="00FE22BC">
      <w:pPr>
        <w:spacing w:after="0" w:line="240" w:lineRule="auto"/>
        <w:rPr>
          <w:rFonts w:ascii="Palatino Linotype" w:hAnsi="Palatino Linotype"/>
          <w:sz w:val="16"/>
          <w:szCs w:val="18"/>
        </w:rPr>
      </w:pPr>
    </w:p>
    <w:p w14:paraId="01C7FBBB" w14:textId="77777777" w:rsidR="0015673D" w:rsidRDefault="0015673D" w:rsidP="00FE22BC">
      <w:pPr>
        <w:spacing w:after="0" w:line="240" w:lineRule="auto"/>
        <w:rPr>
          <w:rFonts w:ascii="Palatino Linotype" w:hAnsi="Palatino Linotype"/>
          <w:sz w:val="16"/>
          <w:szCs w:val="18"/>
        </w:rPr>
      </w:pPr>
    </w:p>
    <w:p w14:paraId="7010F79E" w14:textId="77777777" w:rsidR="0015673D" w:rsidRDefault="0015673D" w:rsidP="00FE22BC">
      <w:pPr>
        <w:spacing w:after="0" w:line="240" w:lineRule="auto"/>
        <w:rPr>
          <w:rFonts w:ascii="Palatino Linotype" w:hAnsi="Palatino Linotype"/>
          <w:sz w:val="16"/>
          <w:szCs w:val="18"/>
        </w:rPr>
      </w:pPr>
    </w:p>
    <w:p w14:paraId="55F85B91" w14:textId="77777777" w:rsidR="0015673D" w:rsidRDefault="0015673D" w:rsidP="00FE22BC">
      <w:pPr>
        <w:spacing w:after="0" w:line="240" w:lineRule="auto"/>
        <w:rPr>
          <w:rFonts w:ascii="Palatino Linotype" w:hAnsi="Palatino Linotype"/>
          <w:sz w:val="16"/>
          <w:szCs w:val="18"/>
        </w:rPr>
      </w:pPr>
    </w:p>
    <w:p w14:paraId="33DD9B20" w14:textId="77777777" w:rsidR="0015673D" w:rsidRPr="00FE22BC" w:rsidRDefault="0015673D" w:rsidP="00FE22BC">
      <w:pPr>
        <w:spacing w:after="0" w:line="240" w:lineRule="auto"/>
        <w:rPr>
          <w:rFonts w:ascii="Palatino Linotype" w:hAnsi="Palatino Linotype"/>
          <w:sz w:val="16"/>
          <w:szCs w:val="18"/>
        </w:rPr>
      </w:pPr>
    </w:p>
    <w:sectPr w:rsidR="0015673D" w:rsidRPr="00FE22BC" w:rsidSect="00FD0031">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B50E4" w14:textId="77777777" w:rsidR="000043E3" w:rsidRDefault="000043E3" w:rsidP="00CF5253">
      <w:pPr>
        <w:spacing w:after="0" w:line="240" w:lineRule="auto"/>
      </w:pPr>
      <w:r>
        <w:separator/>
      </w:r>
    </w:p>
  </w:endnote>
  <w:endnote w:type="continuationSeparator" w:id="0">
    <w:p w14:paraId="2AD76A28" w14:textId="77777777" w:rsidR="000043E3" w:rsidRDefault="000043E3" w:rsidP="00CF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12007" w14:textId="77777777" w:rsidR="008D1BCE" w:rsidRPr="000B69FA" w:rsidRDefault="008D1BCE" w:rsidP="00FD00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289D">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289D">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B9AE" w14:textId="77777777" w:rsidR="008D1BCE" w:rsidRPr="000B69FA" w:rsidRDefault="008D1BCE" w:rsidP="00FD00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61F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E61F0">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7347E" w14:textId="77777777" w:rsidR="000043E3" w:rsidRDefault="000043E3" w:rsidP="00CF5253">
      <w:pPr>
        <w:spacing w:after="0" w:line="240" w:lineRule="auto"/>
      </w:pPr>
      <w:r>
        <w:separator/>
      </w:r>
    </w:p>
  </w:footnote>
  <w:footnote w:type="continuationSeparator" w:id="0">
    <w:p w14:paraId="3054B80C" w14:textId="77777777" w:rsidR="000043E3" w:rsidRDefault="000043E3" w:rsidP="00CF5253">
      <w:pPr>
        <w:spacing w:after="0" w:line="240" w:lineRule="auto"/>
      </w:pPr>
      <w:r>
        <w:continuationSeparator/>
      </w:r>
    </w:p>
  </w:footnote>
  <w:footnote w:id="1">
    <w:p w14:paraId="290C2259" w14:textId="77777777" w:rsidR="008D1BCE" w:rsidRPr="00615B4B" w:rsidRDefault="008D1BCE" w:rsidP="00771878">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18E6681" w14:textId="77777777" w:rsidR="008D1BCE" w:rsidRPr="00615B4B" w:rsidRDefault="008D1BCE" w:rsidP="00771878">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EFF4937" w14:textId="77777777" w:rsidR="008D1BCE" w:rsidRPr="00B92BC3" w:rsidRDefault="008D1BCE" w:rsidP="00771878">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2A8A178" w14:textId="77777777" w:rsidR="008D1BCE" w:rsidRDefault="008D1BCE" w:rsidP="00771878">
      <w:pPr>
        <w:pStyle w:val="Textonotapie"/>
        <w:numPr>
          <w:ilvl w:val="0"/>
          <w:numId w:val="31"/>
        </w:numPr>
        <w:spacing w:line="276" w:lineRule="auto"/>
        <w:jc w:val="both"/>
      </w:pPr>
      <w:r w:rsidRPr="00B92BC3">
        <w:rPr>
          <w:rFonts w:ascii="Arial" w:hAnsi="Arial" w:cs="Arial"/>
          <w:sz w:val="18"/>
        </w:rPr>
        <w:t>La falta de respuesta a una solicitud de acceso a la información;</w:t>
      </w:r>
    </w:p>
  </w:footnote>
  <w:footnote w:id="3">
    <w:p w14:paraId="1A472DF2" w14:textId="77777777" w:rsidR="008D1BCE" w:rsidRPr="00F36995" w:rsidRDefault="008D1BCE" w:rsidP="00771878">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37BA5CFB" w14:textId="77777777" w:rsidR="008D1BCE" w:rsidRPr="00F36995" w:rsidRDefault="008D1BCE" w:rsidP="00771878">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 w:id="4">
    <w:p w14:paraId="038DDF48" w14:textId="77777777" w:rsidR="008D1BCE" w:rsidRDefault="008D1BCE" w:rsidP="00771878">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5">
    <w:p w14:paraId="74BB7551" w14:textId="77777777" w:rsidR="008D1BCE" w:rsidRDefault="008D1BCE" w:rsidP="00771878">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6">
    <w:p w14:paraId="56908C0D" w14:textId="77777777" w:rsidR="008D1BCE" w:rsidRDefault="008D1BCE" w:rsidP="00771878">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7">
    <w:p w14:paraId="0259B0A8" w14:textId="77777777" w:rsidR="008D1BCE" w:rsidRDefault="008D1BCE" w:rsidP="00771878">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3093D" w14:textId="4EEE7240" w:rsidR="008D1BCE" w:rsidRDefault="000043E3">
    <w:pPr>
      <w:pStyle w:val="Encabezado"/>
    </w:pPr>
    <w:r>
      <w:rPr>
        <w:noProof/>
        <w:lang w:val="es-MX" w:eastAsia="es-MX"/>
      </w:rPr>
      <w:pict w14:anchorId="2CA1D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749348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00634" w14:textId="5916CAC0" w:rsidR="008D1BCE" w:rsidRDefault="000043E3">
    <w:pPr>
      <w:pStyle w:val="Encabezado"/>
    </w:pPr>
    <w:r>
      <w:rPr>
        <w:noProof/>
        <w:lang w:val="es-MX" w:eastAsia="es-MX"/>
      </w:rPr>
      <w:pict w14:anchorId="5A6D0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7493486" o:spid="_x0000_s2051" type="#_x0000_t75" style="position:absolute;margin-left:-82.35pt;margin-top:-119.3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D1BCE" w14:paraId="36769EB9" w14:textId="77777777" w:rsidTr="00FD0031">
      <w:trPr>
        <w:trHeight w:val="227"/>
      </w:trPr>
      <w:tc>
        <w:tcPr>
          <w:tcW w:w="5529" w:type="dxa"/>
          <w:hideMark/>
        </w:tcPr>
        <w:p w14:paraId="438AC0E6" w14:textId="77777777" w:rsidR="008D1BCE" w:rsidRDefault="008D1BC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D170063" w14:textId="2BB7DCF7" w:rsidR="008D1BCE" w:rsidRPr="00B4142F" w:rsidRDefault="00E3555C" w:rsidP="00E3555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01760</w:t>
          </w:r>
          <w:r w:rsidR="0011206B">
            <w:rPr>
              <w:rFonts w:ascii="Palatino Linotype" w:hAnsi="Palatino Linotype" w:cs="Arial"/>
              <w:bCs/>
              <w:sz w:val="24"/>
              <w:lang w:eastAsia="es-MX"/>
            </w:rPr>
            <w:t>/INFOEM/IP/RR/2021</w:t>
          </w:r>
        </w:p>
      </w:tc>
    </w:tr>
    <w:tr w:rsidR="008D1BCE" w14:paraId="3EAA2C78" w14:textId="77777777" w:rsidTr="00FD0031">
      <w:trPr>
        <w:trHeight w:val="242"/>
      </w:trPr>
      <w:tc>
        <w:tcPr>
          <w:tcW w:w="5529" w:type="dxa"/>
          <w:hideMark/>
        </w:tcPr>
        <w:p w14:paraId="7FB3E0FE" w14:textId="77777777" w:rsidR="008D1BCE" w:rsidRDefault="008D1BC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2CB5C8C" w14:textId="5AFCCB6F" w:rsidR="008D1BCE" w:rsidRPr="00F06FED" w:rsidRDefault="00E3555C" w:rsidP="00FD0031">
          <w:pPr>
            <w:spacing w:after="120" w:line="256" w:lineRule="auto"/>
            <w:ind w:left="639" w:right="214"/>
            <w:jc w:val="right"/>
            <w:rPr>
              <w:rFonts w:ascii="Palatino Linotype" w:hAnsi="Palatino Linotype" w:cs="Arial"/>
            </w:rPr>
          </w:pPr>
          <w:r w:rsidRPr="00E3555C">
            <w:rPr>
              <w:rFonts w:ascii="Palatino Linotype" w:hAnsi="Palatino Linotype" w:cs="Arial"/>
              <w:szCs w:val="20"/>
            </w:rPr>
            <w:t>Ayuntamiento de Naucalpan de Juárez</w:t>
          </w:r>
        </w:p>
      </w:tc>
    </w:tr>
    <w:tr w:rsidR="008D1BCE" w14:paraId="4F18C059" w14:textId="77777777" w:rsidTr="00FD0031">
      <w:trPr>
        <w:trHeight w:val="342"/>
      </w:trPr>
      <w:tc>
        <w:tcPr>
          <w:tcW w:w="5529" w:type="dxa"/>
          <w:hideMark/>
        </w:tcPr>
        <w:p w14:paraId="2178C79F" w14:textId="77777777" w:rsidR="008D1BCE" w:rsidRDefault="008D1BCE" w:rsidP="00FD00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18ED1F0" w14:textId="77777777" w:rsidR="008D1BCE" w:rsidRDefault="008D1BCE" w:rsidP="00FD003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03980036" w14:textId="77777777" w:rsidR="008D1BCE" w:rsidRDefault="008D1BC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D1BCE" w14:paraId="364E2DE0" w14:textId="77777777" w:rsidTr="00FD0031">
      <w:trPr>
        <w:trHeight w:val="227"/>
      </w:trPr>
      <w:tc>
        <w:tcPr>
          <w:tcW w:w="5529" w:type="dxa"/>
          <w:hideMark/>
        </w:tcPr>
        <w:p w14:paraId="76F7FF74" w14:textId="77777777" w:rsidR="008D1BCE" w:rsidRDefault="008D1BC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30FF59C" w14:textId="5BE029C5" w:rsidR="008D1BCE" w:rsidRPr="00B4142F" w:rsidRDefault="00DD7173" w:rsidP="00FD003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01760</w:t>
          </w:r>
          <w:r w:rsidR="008D1BCE">
            <w:rPr>
              <w:rFonts w:ascii="Palatino Linotype" w:hAnsi="Palatino Linotype" w:cs="Arial"/>
              <w:bCs/>
              <w:sz w:val="24"/>
              <w:lang w:eastAsia="es-MX"/>
            </w:rPr>
            <w:t>/INFOEM/IP/RR/2021</w:t>
          </w:r>
        </w:p>
      </w:tc>
    </w:tr>
    <w:tr w:rsidR="008D1BCE" w14:paraId="5CEAB854" w14:textId="77777777" w:rsidTr="00FD0031">
      <w:trPr>
        <w:trHeight w:val="196"/>
      </w:trPr>
      <w:tc>
        <w:tcPr>
          <w:tcW w:w="5529" w:type="dxa"/>
          <w:hideMark/>
        </w:tcPr>
        <w:p w14:paraId="7042B9CC" w14:textId="77777777" w:rsidR="008D1BCE" w:rsidRDefault="008D1BC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ADEB5A1" w14:textId="335DCD0F" w:rsidR="008D1BCE" w:rsidRPr="00F06FED" w:rsidRDefault="007E61F0" w:rsidP="007E61F0">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xxxxxxxxxxxxxxxxxxxxx</w:t>
          </w:r>
          <w:proofErr w:type="spellEnd"/>
          <w:r w:rsidR="00DD7173" w:rsidRPr="00DD7173">
            <w:rPr>
              <w:rFonts w:ascii="Palatino Linotype" w:hAnsi="Palatino Linotype" w:cs="Arial"/>
            </w:rPr>
            <w:t xml:space="preserve"> </w:t>
          </w:r>
          <w:proofErr w:type="spellStart"/>
          <w:r>
            <w:rPr>
              <w:rFonts w:ascii="Palatino Linotype" w:hAnsi="Palatino Linotype" w:cs="Arial"/>
            </w:rPr>
            <w:t>xxxxxxxxxxxx</w:t>
          </w:r>
          <w:proofErr w:type="spellEnd"/>
        </w:p>
      </w:tc>
    </w:tr>
    <w:tr w:rsidR="008D1BCE" w14:paraId="5B6BFC21" w14:textId="77777777" w:rsidTr="00FD0031">
      <w:trPr>
        <w:trHeight w:val="242"/>
      </w:trPr>
      <w:tc>
        <w:tcPr>
          <w:tcW w:w="5529" w:type="dxa"/>
          <w:hideMark/>
        </w:tcPr>
        <w:p w14:paraId="33AE5C5D" w14:textId="77777777" w:rsidR="008D1BCE" w:rsidRDefault="008D1BCE" w:rsidP="00FD00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1A1A33" w14:textId="2C993D25" w:rsidR="008D1BCE" w:rsidRDefault="00DD7173" w:rsidP="00FD0031">
          <w:pPr>
            <w:spacing w:after="120" w:line="256" w:lineRule="auto"/>
            <w:ind w:left="639" w:right="214"/>
            <w:jc w:val="right"/>
            <w:rPr>
              <w:rFonts w:ascii="Palatino Linotype" w:hAnsi="Palatino Linotype" w:cs="Arial"/>
              <w:szCs w:val="20"/>
            </w:rPr>
          </w:pPr>
          <w:r w:rsidRPr="00DD7173">
            <w:rPr>
              <w:rFonts w:ascii="Palatino Linotype" w:hAnsi="Palatino Linotype" w:cs="Arial"/>
              <w:szCs w:val="20"/>
            </w:rPr>
            <w:t>Ayuntamiento de Naucalpan de Juárez</w:t>
          </w:r>
        </w:p>
      </w:tc>
    </w:tr>
    <w:tr w:rsidR="008D1BCE" w14:paraId="7E598D44" w14:textId="77777777" w:rsidTr="00FD0031">
      <w:trPr>
        <w:trHeight w:val="342"/>
      </w:trPr>
      <w:tc>
        <w:tcPr>
          <w:tcW w:w="5529" w:type="dxa"/>
          <w:hideMark/>
        </w:tcPr>
        <w:p w14:paraId="58B46384" w14:textId="77777777" w:rsidR="008D1BCE" w:rsidRDefault="008D1BCE" w:rsidP="00FD00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B5A9D84" w14:textId="77777777" w:rsidR="008D1BCE" w:rsidRDefault="008D1BCE" w:rsidP="00FD0031">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4C8D725F" w14:textId="659BEE85" w:rsidR="008D1BCE" w:rsidRDefault="000043E3">
    <w:pPr>
      <w:pStyle w:val="Encabezado"/>
    </w:pPr>
    <w:r>
      <w:rPr>
        <w:noProof/>
        <w:lang w:val="es-MX" w:eastAsia="es-MX"/>
      </w:rPr>
      <w:pict w14:anchorId="2A1A5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7493484" o:spid="_x0000_s2049" type="#_x0000_t75" style="position:absolute;margin-left:-82.35pt;margin-top:-132.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0C5E"/>
    <w:multiLevelType w:val="hybridMultilevel"/>
    <w:tmpl w:val="616271C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
    <w:nsid w:val="0C763267"/>
    <w:multiLevelType w:val="hybridMultilevel"/>
    <w:tmpl w:val="B628B03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B0223F"/>
    <w:multiLevelType w:val="hybridMultilevel"/>
    <w:tmpl w:val="DD92D616"/>
    <w:lvl w:ilvl="0" w:tplc="B63000B0">
      <w:start w:val="1"/>
      <w:numFmt w:val="decimal"/>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EC2B99"/>
    <w:multiLevelType w:val="hybridMultilevel"/>
    <w:tmpl w:val="9BDA976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576F059E"/>
    <w:multiLevelType w:val="hybridMultilevel"/>
    <w:tmpl w:val="0F1E61BE"/>
    <w:lvl w:ilvl="0" w:tplc="16FC4AA6">
      <w:start w:val="1"/>
      <w:numFmt w:val="decimal"/>
      <w:lvlText w:val="%1."/>
      <w:lvlJc w:val="left"/>
      <w:pPr>
        <w:ind w:left="1080" w:hanging="360"/>
      </w:pPr>
      <w:rPr>
        <w:rFonts w:eastAsia="Calibri" w:cs="Tahom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4">
    <w:nsid w:val="7C1B6434"/>
    <w:multiLevelType w:val="hybridMultilevel"/>
    <w:tmpl w:val="95C2B0C6"/>
    <w:lvl w:ilvl="0" w:tplc="417ED8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3"/>
  </w:num>
  <w:num w:numId="4">
    <w:abstractNumId w:val="6"/>
  </w:num>
  <w:num w:numId="5">
    <w:abstractNumId w:val="8"/>
  </w:num>
  <w:num w:numId="6">
    <w:abstractNumId w:val="14"/>
  </w:num>
  <w:num w:numId="7">
    <w:abstractNumId w:val="26"/>
  </w:num>
  <w:num w:numId="8">
    <w:abstractNumId w:val="7"/>
  </w:num>
  <w:num w:numId="9">
    <w:abstractNumId w:val="19"/>
  </w:num>
  <w:num w:numId="10">
    <w:abstractNumId w:val="15"/>
  </w:num>
  <w:num w:numId="11">
    <w:abstractNumId w:val="24"/>
  </w:num>
  <w:num w:numId="12">
    <w:abstractNumId w:val="5"/>
  </w:num>
  <w:num w:numId="13">
    <w:abstractNumId w:val="30"/>
  </w:num>
  <w:num w:numId="14">
    <w:abstractNumId w:val="35"/>
  </w:num>
  <w:num w:numId="15">
    <w:abstractNumId w:val="21"/>
  </w:num>
  <w:num w:numId="16">
    <w:abstractNumId w:val="2"/>
  </w:num>
  <w:num w:numId="17">
    <w:abstractNumId w:val="1"/>
  </w:num>
  <w:num w:numId="18">
    <w:abstractNumId w:val="33"/>
  </w:num>
  <w:num w:numId="19">
    <w:abstractNumId w:val="36"/>
  </w:num>
  <w:num w:numId="20">
    <w:abstractNumId w:val="20"/>
  </w:num>
  <w:num w:numId="21">
    <w:abstractNumId w:val="11"/>
  </w:num>
  <w:num w:numId="22">
    <w:abstractNumId w:val="12"/>
  </w:num>
  <w:num w:numId="23">
    <w:abstractNumId w:val="31"/>
  </w:num>
  <w:num w:numId="24">
    <w:abstractNumId w:val="4"/>
  </w:num>
  <w:num w:numId="25">
    <w:abstractNumId w:val="23"/>
  </w:num>
  <w:num w:numId="26">
    <w:abstractNumId w:val="18"/>
  </w:num>
  <w:num w:numId="27">
    <w:abstractNumId w:val="10"/>
  </w:num>
  <w:num w:numId="28">
    <w:abstractNumId w:val="17"/>
  </w:num>
  <w:num w:numId="29">
    <w:abstractNumId w:val="29"/>
  </w:num>
  <w:num w:numId="30">
    <w:abstractNumId w:val="34"/>
  </w:num>
  <w:num w:numId="31">
    <w:abstractNumId w:val="25"/>
  </w:num>
  <w:num w:numId="32">
    <w:abstractNumId w:val="27"/>
  </w:num>
  <w:num w:numId="33">
    <w:abstractNumId w:val="9"/>
  </w:num>
  <w:num w:numId="34">
    <w:abstractNumId w:val="0"/>
  </w:num>
  <w:num w:numId="35">
    <w:abstractNumId w:val="3"/>
  </w:num>
  <w:num w:numId="36">
    <w:abstractNumId w:val="2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53"/>
    <w:rsid w:val="000043E3"/>
    <w:rsid w:val="00050C32"/>
    <w:rsid w:val="000513D8"/>
    <w:rsid w:val="00061294"/>
    <w:rsid w:val="00064A02"/>
    <w:rsid w:val="000A5106"/>
    <w:rsid w:val="000D31B1"/>
    <w:rsid w:val="000F4925"/>
    <w:rsid w:val="0011206B"/>
    <w:rsid w:val="00125A2C"/>
    <w:rsid w:val="0014472E"/>
    <w:rsid w:val="00153CB2"/>
    <w:rsid w:val="0015673D"/>
    <w:rsid w:val="00176D8D"/>
    <w:rsid w:val="00183558"/>
    <w:rsid w:val="001A786B"/>
    <w:rsid w:val="001E0ED0"/>
    <w:rsid w:val="001F66F0"/>
    <w:rsid w:val="00216E94"/>
    <w:rsid w:val="00220C03"/>
    <w:rsid w:val="00224BD6"/>
    <w:rsid w:val="002436C3"/>
    <w:rsid w:val="002516DC"/>
    <w:rsid w:val="00252583"/>
    <w:rsid w:val="002673DB"/>
    <w:rsid w:val="00277E4B"/>
    <w:rsid w:val="002906F0"/>
    <w:rsid w:val="002A41E6"/>
    <w:rsid w:val="002A44FD"/>
    <w:rsid w:val="002D6011"/>
    <w:rsid w:val="002E4812"/>
    <w:rsid w:val="002F04C1"/>
    <w:rsid w:val="00340F6B"/>
    <w:rsid w:val="003631BA"/>
    <w:rsid w:val="00386C76"/>
    <w:rsid w:val="003918CA"/>
    <w:rsid w:val="00397BA8"/>
    <w:rsid w:val="003C154D"/>
    <w:rsid w:val="003E2D9F"/>
    <w:rsid w:val="003E5878"/>
    <w:rsid w:val="00421111"/>
    <w:rsid w:val="00423199"/>
    <w:rsid w:val="00431D3D"/>
    <w:rsid w:val="00434994"/>
    <w:rsid w:val="00443920"/>
    <w:rsid w:val="004612D0"/>
    <w:rsid w:val="00512191"/>
    <w:rsid w:val="00525B4B"/>
    <w:rsid w:val="0055071B"/>
    <w:rsid w:val="005B100D"/>
    <w:rsid w:val="005B7275"/>
    <w:rsid w:val="005E30AA"/>
    <w:rsid w:val="005E35FA"/>
    <w:rsid w:val="005E7C9F"/>
    <w:rsid w:val="00605B16"/>
    <w:rsid w:val="00660B20"/>
    <w:rsid w:val="0069750C"/>
    <w:rsid w:val="00715EF8"/>
    <w:rsid w:val="00747403"/>
    <w:rsid w:val="00771878"/>
    <w:rsid w:val="00794DA9"/>
    <w:rsid w:val="00797B0E"/>
    <w:rsid w:val="007B32EB"/>
    <w:rsid w:val="007B3BBF"/>
    <w:rsid w:val="007E4FF1"/>
    <w:rsid w:val="007E61F0"/>
    <w:rsid w:val="007F58B1"/>
    <w:rsid w:val="00812525"/>
    <w:rsid w:val="00821AC3"/>
    <w:rsid w:val="008420CE"/>
    <w:rsid w:val="008547EF"/>
    <w:rsid w:val="008C0758"/>
    <w:rsid w:val="008C4471"/>
    <w:rsid w:val="008D1BCE"/>
    <w:rsid w:val="008D4EAB"/>
    <w:rsid w:val="008E21E5"/>
    <w:rsid w:val="008E2500"/>
    <w:rsid w:val="008F5AA9"/>
    <w:rsid w:val="0090408F"/>
    <w:rsid w:val="00905F5E"/>
    <w:rsid w:val="00932593"/>
    <w:rsid w:val="00951D2B"/>
    <w:rsid w:val="00956B84"/>
    <w:rsid w:val="00962977"/>
    <w:rsid w:val="009755D0"/>
    <w:rsid w:val="00976D7D"/>
    <w:rsid w:val="009867E6"/>
    <w:rsid w:val="009A49B7"/>
    <w:rsid w:val="009B1BD2"/>
    <w:rsid w:val="009B4E78"/>
    <w:rsid w:val="009D27B5"/>
    <w:rsid w:val="009E3A17"/>
    <w:rsid w:val="009F208F"/>
    <w:rsid w:val="009F4D62"/>
    <w:rsid w:val="009F55E9"/>
    <w:rsid w:val="00A041EC"/>
    <w:rsid w:val="00A17B53"/>
    <w:rsid w:val="00A35DFC"/>
    <w:rsid w:val="00A51BD0"/>
    <w:rsid w:val="00A65B98"/>
    <w:rsid w:val="00A84438"/>
    <w:rsid w:val="00AA1589"/>
    <w:rsid w:val="00AB389F"/>
    <w:rsid w:val="00AC22C8"/>
    <w:rsid w:val="00AD2242"/>
    <w:rsid w:val="00AD72CF"/>
    <w:rsid w:val="00AE394C"/>
    <w:rsid w:val="00AF09DE"/>
    <w:rsid w:val="00B02B7E"/>
    <w:rsid w:val="00B05F58"/>
    <w:rsid w:val="00B21C55"/>
    <w:rsid w:val="00B222B8"/>
    <w:rsid w:val="00B24DA2"/>
    <w:rsid w:val="00B32C7B"/>
    <w:rsid w:val="00B521A1"/>
    <w:rsid w:val="00B7552E"/>
    <w:rsid w:val="00B828F9"/>
    <w:rsid w:val="00B902C3"/>
    <w:rsid w:val="00BA02D1"/>
    <w:rsid w:val="00BA33B4"/>
    <w:rsid w:val="00BC0F2E"/>
    <w:rsid w:val="00BC2C6A"/>
    <w:rsid w:val="00BC5C98"/>
    <w:rsid w:val="00BD6686"/>
    <w:rsid w:val="00BE289D"/>
    <w:rsid w:val="00C00761"/>
    <w:rsid w:val="00C071E5"/>
    <w:rsid w:val="00C17676"/>
    <w:rsid w:val="00C2556D"/>
    <w:rsid w:val="00C271A6"/>
    <w:rsid w:val="00C271C6"/>
    <w:rsid w:val="00C37A7D"/>
    <w:rsid w:val="00C66053"/>
    <w:rsid w:val="00C86392"/>
    <w:rsid w:val="00C94F82"/>
    <w:rsid w:val="00CD2624"/>
    <w:rsid w:val="00CE6052"/>
    <w:rsid w:val="00CE6AB8"/>
    <w:rsid w:val="00CF5253"/>
    <w:rsid w:val="00CF76CB"/>
    <w:rsid w:val="00D136C4"/>
    <w:rsid w:val="00D2494B"/>
    <w:rsid w:val="00D366F7"/>
    <w:rsid w:val="00D632D0"/>
    <w:rsid w:val="00D72336"/>
    <w:rsid w:val="00DC2983"/>
    <w:rsid w:val="00DD6C4C"/>
    <w:rsid w:val="00DD7173"/>
    <w:rsid w:val="00DE10DA"/>
    <w:rsid w:val="00DF3903"/>
    <w:rsid w:val="00E12420"/>
    <w:rsid w:val="00E23ADA"/>
    <w:rsid w:val="00E3555C"/>
    <w:rsid w:val="00E7214C"/>
    <w:rsid w:val="00E76899"/>
    <w:rsid w:val="00E768F9"/>
    <w:rsid w:val="00E85604"/>
    <w:rsid w:val="00EB65CE"/>
    <w:rsid w:val="00EF3701"/>
    <w:rsid w:val="00F03DC6"/>
    <w:rsid w:val="00F111D8"/>
    <w:rsid w:val="00F1590F"/>
    <w:rsid w:val="00F24914"/>
    <w:rsid w:val="00F363B1"/>
    <w:rsid w:val="00F374A3"/>
    <w:rsid w:val="00F462B1"/>
    <w:rsid w:val="00F57D68"/>
    <w:rsid w:val="00F714F1"/>
    <w:rsid w:val="00F81987"/>
    <w:rsid w:val="00FC2F6E"/>
    <w:rsid w:val="00FD0031"/>
    <w:rsid w:val="00FD18AE"/>
    <w:rsid w:val="00FE134C"/>
    <w:rsid w:val="00FE22BC"/>
    <w:rsid w:val="00FE56FE"/>
    <w:rsid w:val="00FF0FEB"/>
    <w:rsid w:val="00FF16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3D9272"/>
  <w15:chartTrackingRefBased/>
  <w15:docId w15:val="{B539B25D-0465-4D96-952E-94933E67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253"/>
  </w:style>
  <w:style w:type="paragraph" w:styleId="Ttulo1">
    <w:name w:val="heading 1"/>
    <w:basedOn w:val="Normal"/>
    <w:next w:val="Normal"/>
    <w:link w:val="Ttulo1Car"/>
    <w:uiPriority w:val="9"/>
    <w:qFormat/>
    <w:rsid w:val="00F1590F"/>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F159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F1590F"/>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52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525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F52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525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F525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F525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F525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F525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F5253"/>
    <w:rPr>
      <w:color w:val="0563C1" w:themeColor="hyperlink"/>
      <w:u w:val="single"/>
    </w:rPr>
  </w:style>
  <w:style w:type="paragraph" w:styleId="Sinespaciado">
    <w:name w:val="No Spacing"/>
    <w:aliases w:val="Francesa,INAI"/>
    <w:link w:val="SinespaciadoCar"/>
    <w:uiPriority w:val="1"/>
    <w:qFormat/>
    <w:rsid w:val="00CF525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525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CF5253"/>
    <w:pPr>
      <w:spacing w:after="120"/>
    </w:pPr>
  </w:style>
  <w:style w:type="character" w:customStyle="1" w:styleId="TextoindependienteCar">
    <w:name w:val="Texto independiente Car"/>
    <w:basedOn w:val="Fuentedeprrafopredeter"/>
    <w:link w:val="Textoindependiente"/>
    <w:uiPriority w:val="1"/>
    <w:rsid w:val="00CF525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F525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F5253"/>
    <w:rPr>
      <w:sz w:val="20"/>
      <w:szCs w:val="20"/>
    </w:rPr>
  </w:style>
  <w:style w:type="paragraph" w:styleId="Textodeglobo">
    <w:name w:val="Balloon Text"/>
    <w:basedOn w:val="Normal"/>
    <w:link w:val="TextodegloboCar"/>
    <w:uiPriority w:val="99"/>
    <w:semiHidden/>
    <w:unhideWhenUsed/>
    <w:rsid w:val="005507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71B"/>
    <w:rPr>
      <w:rFonts w:ascii="Segoe UI" w:hAnsi="Segoe UI" w:cs="Segoe UI"/>
      <w:sz w:val="18"/>
      <w:szCs w:val="18"/>
    </w:rPr>
  </w:style>
  <w:style w:type="character" w:customStyle="1" w:styleId="Ttulo1Car">
    <w:name w:val="Título 1 Car"/>
    <w:basedOn w:val="Fuentedeprrafopredeter"/>
    <w:link w:val="Ttulo1"/>
    <w:uiPriority w:val="9"/>
    <w:rsid w:val="00F1590F"/>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F1590F"/>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F1590F"/>
    <w:rPr>
      <w:rFonts w:ascii="Times New Roman" w:eastAsia="Times New Roman" w:hAnsi="Times New Roman" w:cs="Times New Roman"/>
      <w:b/>
      <w:bCs/>
      <w:sz w:val="24"/>
      <w:szCs w:val="24"/>
      <w:lang w:eastAsia="es-MX"/>
    </w:rPr>
  </w:style>
  <w:style w:type="paragraph" w:styleId="Textosinformato">
    <w:name w:val="Plain Text"/>
    <w:basedOn w:val="Normal"/>
    <w:link w:val="TextosinformatoCar"/>
    <w:rsid w:val="00F1590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1590F"/>
    <w:rPr>
      <w:rFonts w:ascii="Courier New" w:eastAsia="Times New Roman" w:hAnsi="Courier New" w:cs="Times New Roman"/>
      <w:sz w:val="20"/>
      <w:szCs w:val="20"/>
      <w:lang w:val="es-ES" w:eastAsia="es-ES"/>
    </w:rPr>
  </w:style>
  <w:style w:type="paragraph" w:customStyle="1" w:styleId="Default">
    <w:name w:val="Default"/>
    <w:rsid w:val="00F1590F"/>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F1590F"/>
    <w:rPr>
      <w:b/>
      <w:bCs/>
    </w:rPr>
  </w:style>
  <w:style w:type="character" w:customStyle="1" w:styleId="lbl-encabezado-negro">
    <w:name w:val="lbl-encabezado-negro"/>
    <w:basedOn w:val="Fuentedeprrafopredeter"/>
    <w:rsid w:val="00F1590F"/>
  </w:style>
  <w:style w:type="character" w:customStyle="1" w:styleId="red">
    <w:name w:val="red"/>
    <w:basedOn w:val="Fuentedeprrafopredeter"/>
    <w:rsid w:val="00F1590F"/>
  </w:style>
  <w:style w:type="paragraph" w:customStyle="1" w:styleId="francesa">
    <w:name w:val="francesa"/>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F15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F1590F"/>
    <w:pPr>
      <w:spacing w:line="221" w:lineRule="atLeast"/>
    </w:pPr>
    <w:rPr>
      <w:color w:val="auto"/>
    </w:rPr>
  </w:style>
  <w:style w:type="paragraph" w:customStyle="1" w:styleId="n2">
    <w:name w:val="n2"/>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F1590F"/>
    <w:rPr>
      <w:i/>
      <w:iCs/>
    </w:rPr>
  </w:style>
  <w:style w:type="paragraph" w:customStyle="1" w:styleId="j">
    <w:name w:val="j"/>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F1590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F1590F"/>
  </w:style>
  <w:style w:type="character" w:customStyle="1" w:styleId="h">
    <w:name w:val="h"/>
    <w:basedOn w:val="Fuentedeprrafopredeter"/>
    <w:rsid w:val="00F1590F"/>
  </w:style>
  <w:style w:type="character" w:customStyle="1" w:styleId="i1">
    <w:name w:val="i1"/>
    <w:basedOn w:val="Fuentedeprrafopredeter"/>
    <w:rsid w:val="00F1590F"/>
  </w:style>
  <w:style w:type="paragraph" w:styleId="Sangradetextonormal">
    <w:name w:val="Body Text Indent"/>
    <w:basedOn w:val="Normal"/>
    <w:link w:val="SangradetextonormalCar"/>
    <w:uiPriority w:val="99"/>
    <w:unhideWhenUsed/>
    <w:rsid w:val="00F159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F1590F"/>
    <w:rPr>
      <w:rFonts w:ascii="Calibri" w:eastAsia="Calibri" w:hAnsi="Calibri" w:cs="Times New Roman"/>
    </w:rPr>
  </w:style>
  <w:style w:type="paragraph" w:styleId="NormalWeb">
    <w:name w:val="Normal (Web)"/>
    <w:basedOn w:val="Normal"/>
    <w:uiPriority w:val="99"/>
    <w:rsid w:val="00F1590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F1590F"/>
    <w:rPr>
      <w:sz w:val="16"/>
      <w:szCs w:val="16"/>
    </w:rPr>
  </w:style>
  <w:style w:type="paragraph" w:styleId="Textocomentario">
    <w:name w:val="annotation text"/>
    <w:basedOn w:val="Normal"/>
    <w:link w:val="TextocomentarioCar"/>
    <w:uiPriority w:val="99"/>
    <w:semiHidden/>
    <w:unhideWhenUsed/>
    <w:rsid w:val="00F159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590F"/>
    <w:rPr>
      <w:sz w:val="20"/>
      <w:szCs w:val="20"/>
    </w:rPr>
  </w:style>
  <w:style w:type="paragraph" w:styleId="Asuntodelcomentario">
    <w:name w:val="annotation subject"/>
    <w:basedOn w:val="Textocomentario"/>
    <w:next w:val="Textocomentario"/>
    <w:link w:val="AsuntodelcomentarioCar"/>
    <w:uiPriority w:val="99"/>
    <w:semiHidden/>
    <w:unhideWhenUsed/>
    <w:rsid w:val="00F1590F"/>
    <w:rPr>
      <w:b/>
      <w:bCs/>
    </w:rPr>
  </w:style>
  <w:style w:type="character" w:customStyle="1" w:styleId="AsuntodelcomentarioCar">
    <w:name w:val="Asunto del comentario Car"/>
    <w:basedOn w:val="TextocomentarioCar"/>
    <w:link w:val="Asuntodelcomentario"/>
    <w:uiPriority w:val="99"/>
    <w:semiHidden/>
    <w:rsid w:val="00F1590F"/>
    <w:rPr>
      <w:b/>
      <w:bCs/>
      <w:sz w:val="20"/>
      <w:szCs w:val="20"/>
    </w:rPr>
  </w:style>
  <w:style w:type="paragraph" w:styleId="Revisin">
    <w:name w:val="Revision"/>
    <w:hidden/>
    <w:uiPriority w:val="99"/>
    <w:semiHidden/>
    <w:rsid w:val="00F1590F"/>
    <w:pPr>
      <w:spacing w:after="0" w:line="240" w:lineRule="auto"/>
    </w:pPr>
  </w:style>
  <w:style w:type="character" w:customStyle="1" w:styleId="notranslate">
    <w:name w:val="notranslate"/>
    <w:basedOn w:val="Fuentedeprrafopredeter"/>
    <w:rsid w:val="00F1590F"/>
  </w:style>
  <w:style w:type="character" w:styleId="Hipervnculovisitado">
    <w:name w:val="FollowedHyperlink"/>
    <w:basedOn w:val="Fuentedeprrafopredeter"/>
    <w:uiPriority w:val="99"/>
    <w:semiHidden/>
    <w:unhideWhenUsed/>
    <w:rsid w:val="00F159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561052">
      <w:bodyDiv w:val="1"/>
      <w:marLeft w:val="0"/>
      <w:marRight w:val="0"/>
      <w:marTop w:val="0"/>
      <w:marBottom w:val="0"/>
      <w:divBdr>
        <w:top w:val="none" w:sz="0" w:space="0" w:color="auto"/>
        <w:left w:val="none" w:sz="0" w:space="0" w:color="auto"/>
        <w:bottom w:val="none" w:sz="0" w:space="0" w:color="auto"/>
        <w:right w:val="none" w:sz="0" w:space="0" w:color="auto"/>
      </w:divBdr>
    </w:div>
    <w:div w:id="439373908">
      <w:bodyDiv w:val="1"/>
      <w:marLeft w:val="0"/>
      <w:marRight w:val="0"/>
      <w:marTop w:val="0"/>
      <w:marBottom w:val="0"/>
      <w:divBdr>
        <w:top w:val="none" w:sz="0" w:space="0" w:color="auto"/>
        <w:left w:val="none" w:sz="0" w:space="0" w:color="auto"/>
        <w:bottom w:val="none" w:sz="0" w:space="0" w:color="auto"/>
        <w:right w:val="none" w:sz="0" w:space="0" w:color="auto"/>
      </w:divBdr>
    </w:div>
    <w:div w:id="552620105">
      <w:bodyDiv w:val="1"/>
      <w:marLeft w:val="0"/>
      <w:marRight w:val="0"/>
      <w:marTop w:val="0"/>
      <w:marBottom w:val="0"/>
      <w:divBdr>
        <w:top w:val="none" w:sz="0" w:space="0" w:color="auto"/>
        <w:left w:val="none" w:sz="0" w:space="0" w:color="auto"/>
        <w:bottom w:val="none" w:sz="0" w:space="0" w:color="auto"/>
        <w:right w:val="none" w:sz="0" w:space="0" w:color="auto"/>
      </w:divBdr>
    </w:div>
    <w:div w:id="6612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1060</TotalTime>
  <Pages>42</Pages>
  <Words>8722</Words>
  <Characters>47977</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10</cp:revision>
  <dcterms:created xsi:type="dcterms:W3CDTF">2021-06-02T02:29:00Z</dcterms:created>
  <dcterms:modified xsi:type="dcterms:W3CDTF">2021-08-04T18:24:00Z</dcterms:modified>
</cp:coreProperties>
</file>