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AFCF8" w14:textId="77777777" w:rsidR="00C928A3" w:rsidRPr="00FC71F1" w:rsidRDefault="00C928A3" w:rsidP="00C928A3">
      <w:pPr>
        <w:shd w:val="clear" w:color="auto" w:fill="FFFFFF"/>
        <w:spacing w:after="0" w:line="360" w:lineRule="auto"/>
        <w:jc w:val="both"/>
        <w:rPr>
          <w:rFonts w:ascii="Palatino Linotype" w:eastAsia="Times New Roman" w:hAnsi="Palatino Linotype" w:cs="Arial"/>
          <w:color w:val="000000"/>
          <w:sz w:val="2"/>
          <w:szCs w:val="24"/>
          <w:lang w:eastAsia="es-MX"/>
        </w:rPr>
      </w:pPr>
    </w:p>
    <w:p w14:paraId="3FF79E65" w14:textId="77777777" w:rsidR="00C928A3" w:rsidRDefault="00C928A3" w:rsidP="00C928A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9845C8A" w14:textId="415852CC" w:rsidR="00C928A3" w:rsidRPr="00B22B55" w:rsidRDefault="00C928A3" w:rsidP="00C928A3">
      <w:pPr>
        <w:shd w:val="clear" w:color="auto" w:fill="FFFFFF"/>
        <w:spacing w:after="0" w:line="360" w:lineRule="auto"/>
        <w:jc w:val="both"/>
        <w:rPr>
          <w:rFonts w:ascii="Palatino Linotype" w:eastAsia="Times New Roman" w:hAnsi="Palatino Linotype" w:cs="Arial"/>
          <w:color w:val="000000"/>
          <w:sz w:val="24"/>
          <w:szCs w:val="24"/>
          <w:lang w:eastAsia="es-MX"/>
        </w:rPr>
      </w:pPr>
      <w:r w:rsidRPr="003448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B7E69">
        <w:rPr>
          <w:rFonts w:ascii="Palatino Linotype" w:eastAsia="Times New Roman" w:hAnsi="Palatino Linotype" w:cs="Arial"/>
          <w:color w:val="000000"/>
          <w:sz w:val="24"/>
          <w:szCs w:val="24"/>
          <w:lang w:eastAsia="es-MX"/>
        </w:rPr>
        <w:t>primero</w:t>
      </w:r>
      <w:r w:rsidRPr="00344890">
        <w:rPr>
          <w:rFonts w:ascii="Palatino Linotype" w:eastAsia="Times New Roman" w:hAnsi="Palatino Linotype" w:cs="Arial"/>
          <w:color w:val="000000"/>
          <w:sz w:val="24"/>
          <w:szCs w:val="24"/>
          <w:lang w:eastAsia="es-MX"/>
        </w:rPr>
        <w:t xml:space="preserve"> de </w:t>
      </w:r>
      <w:r w:rsidR="006B7E69">
        <w:rPr>
          <w:rFonts w:ascii="Palatino Linotype" w:eastAsia="Times New Roman" w:hAnsi="Palatino Linotype" w:cs="Arial"/>
          <w:color w:val="000000"/>
          <w:sz w:val="24"/>
          <w:szCs w:val="24"/>
          <w:lang w:eastAsia="es-MX"/>
        </w:rPr>
        <w:t>dic</w:t>
      </w:r>
      <w:r>
        <w:rPr>
          <w:rFonts w:ascii="Palatino Linotype" w:eastAsia="Times New Roman" w:hAnsi="Palatino Linotype" w:cs="Arial"/>
          <w:color w:val="000000"/>
          <w:sz w:val="24"/>
          <w:szCs w:val="24"/>
          <w:lang w:eastAsia="es-MX"/>
        </w:rPr>
        <w:t>iem</w:t>
      </w:r>
      <w:r w:rsidRPr="00344890">
        <w:rPr>
          <w:rFonts w:ascii="Palatino Linotype" w:eastAsia="Times New Roman" w:hAnsi="Palatino Linotype" w:cs="Arial"/>
          <w:color w:val="000000"/>
          <w:sz w:val="24"/>
          <w:szCs w:val="24"/>
          <w:lang w:eastAsia="es-MX"/>
        </w:rPr>
        <w:t>bre de dos mil veintiuno.</w:t>
      </w:r>
    </w:p>
    <w:p w14:paraId="05DED76E" w14:textId="77777777" w:rsidR="00C928A3" w:rsidRPr="00FC71F1" w:rsidRDefault="00C928A3" w:rsidP="00C928A3">
      <w:pPr>
        <w:shd w:val="clear" w:color="auto" w:fill="FFFFFF"/>
        <w:spacing w:after="0" w:line="360" w:lineRule="auto"/>
        <w:jc w:val="both"/>
        <w:rPr>
          <w:rFonts w:ascii="Palatino Linotype" w:eastAsia="Times New Roman" w:hAnsi="Palatino Linotype" w:cs="Arial"/>
          <w:color w:val="000000"/>
          <w:szCs w:val="24"/>
          <w:lang w:eastAsia="es-MX"/>
        </w:rPr>
      </w:pPr>
    </w:p>
    <w:p w14:paraId="50FB3A67" w14:textId="42FBC544" w:rsidR="00C928A3" w:rsidRPr="00B22B55" w:rsidRDefault="00C928A3" w:rsidP="00C928A3">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Pr="00FC71F1">
        <w:rPr>
          <w:rFonts w:ascii="Palatino Linotype" w:hAnsi="Palatino Linotype" w:cs="Arial"/>
          <w:b/>
          <w:bCs/>
          <w:sz w:val="24"/>
          <w:lang w:eastAsia="es-MX"/>
        </w:rPr>
        <w:t>0</w:t>
      </w:r>
      <w:r>
        <w:rPr>
          <w:rFonts w:ascii="Palatino Linotype" w:hAnsi="Palatino Linotype" w:cs="Arial"/>
          <w:b/>
          <w:bCs/>
          <w:sz w:val="24"/>
          <w:lang w:eastAsia="es-MX"/>
        </w:rPr>
        <w:t>5</w:t>
      </w:r>
      <w:r w:rsidR="006B7E69">
        <w:rPr>
          <w:rFonts w:ascii="Palatino Linotype" w:hAnsi="Palatino Linotype" w:cs="Arial"/>
          <w:b/>
          <w:bCs/>
          <w:sz w:val="24"/>
          <w:lang w:eastAsia="es-MX"/>
        </w:rPr>
        <w:t>210</w:t>
      </w:r>
      <w:r w:rsidRPr="00FC71F1">
        <w:rPr>
          <w:rFonts w:ascii="Palatino Linotype" w:hAnsi="Palatino Linotype" w:cs="Arial"/>
          <w:b/>
          <w:bCs/>
          <w:sz w:val="24"/>
          <w:lang w:eastAsia="es-MX"/>
        </w:rPr>
        <w:t>/INFOEM/IP/RR/2021</w:t>
      </w:r>
      <w:r w:rsidRPr="00B22B55">
        <w:rPr>
          <w:rFonts w:ascii="Palatino Linotype" w:hAnsi="Palatino Linotype" w:cs="Arial"/>
          <w:sz w:val="24"/>
        </w:rPr>
        <w:t>, interpuesto por</w:t>
      </w:r>
      <w:r>
        <w:rPr>
          <w:rFonts w:ascii="Palatino Linotype" w:hAnsi="Palatino Linotype" w:cs="Arial"/>
          <w:sz w:val="24"/>
        </w:rPr>
        <w:t xml:space="preserve"> </w:t>
      </w:r>
      <w:proofErr w:type="spellStart"/>
      <w:r w:rsidR="00F64008">
        <w:rPr>
          <w:rFonts w:ascii="Palatino Linotype" w:hAnsi="Palatino Linotype" w:cs="Arial"/>
          <w:b/>
          <w:bCs/>
          <w:sz w:val="24"/>
        </w:rPr>
        <w:t>xxxxxxxxxxxxxxxxxxxxxxxxxxx</w:t>
      </w:r>
      <w:proofErr w:type="spellEnd"/>
      <w:r w:rsidR="006B7E69" w:rsidRPr="006B7E69">
        <w:rPr>
          <w:rFonts w:ascii="Palatino Linotype" w:hAnsi="Palatino Linotype" w:cs="Arial"/>
          <w:b/>
          <w:bCs/>
          <w:sz w:val="24"/>
        </w:rPr>
        <w:t xml:space="preserve"> </w:t>
      </w:r>
      <w:proofErr w:type="spellStart"/>
      <w:r w:rsidR="00F64008">
        <w:rPr>
          <w:rFonts w:ascii="Palatino Linotype" w:hAnsi="Palatino Linotype" w:cs="Arial"/>
          <w:b/>
          <w:bCs/>
          <w:sz w:val="24"/>
        </w:rPr>
        <w:t>xxxxxxxxxxxxxx</w:t>
      </w:r>
      <w:proofErr w:type="spellEnd"/>
      <w:r>
        <w:rPr>
          <w:rFonts w:ascii="Palatino Linotype" w:hAnsi="Palatino Linotype" w:cs="Arial"/>
          <w:sz w:val="24"/>
        </w:rPr>
        <w:t>,</w:t>
      </w:r>
      <w:r>
        <w:rPr>
          <w:rFonts w:ascii="Palatino Linotype" w:hAnsi="Palatino Linotype" w:cs="Arial"/>
          <w:b/>
          <w:sz w:val="24"/>
        </w:rPr>
        <w:t xml:space="preserve"> </w:t>
      </w:r>
      <w:r w:rsidRPr="00B22B55">
        <w:rPr>
          <w:rFonts w:ascii="Palatino Linotype" w:hAnsi="Palatino Linotype" w:cs="Arial"/>
          <w:sz w:val="24"/>
        </w:rPr>
        <w:t xml:space="preserve">en lo sucesivo </w:t>
      </w:r>
      <w:r>
        <w:rPr>
          <w:rFonts w:ascii="Palatino Linotype" w:hAnsi="Palatino Linotype" w:cs="Arial"/>
          <w:b/>
          <w:sz w:val="24"/>
        </w:rPr>
        <w:t>e</w:t>
      </w:r>
      <w:r w:rsidR="006B7E69">
        <w:rPr>
          <w:rFonts w:ascii="Palatino Linotype" w:hAnsi="Palatino Linotype" w:cs="Arial"/>
          <w:b/>
          <w:sz w:val="24"/>
        </w:rPr>
        <w:t>l</w:t>
      </w:r>
      <w:r>
        <w:rPr>
          <w:rFonts w:ascii="Palatino Linotype" w:hAnsi="Palatino Linotype" w:cs="Arial"/>
          <w:b/>
          <w:sz w:val="24"/>
        </w:rPr>
        <w:t xml:space="preserve"> </w:t>
      </w:r>
      <w:r w:rsidRPr="00B22B55">
        <w:rPr>
          <w:rFonts w:ascii="Palatino Linotype" w:hAnsi="Palatino Linotype" w:cs="Arial"/>
          <w:b/>
          <w:sz w:val="24"/>
        </w:rPr>
        <w:t>Recurrente</w:t>
      </w:r>
      <w:r w:rsidRPr="00B22B55">
        <w:rPr>
          <w:rFonts w:ascii="Palatino Linotype" w:hAnsi="Palatino Linotype" w:cs="Arial"/>
          <w:sz w:val="24"/>
        </w:rPr>
        <w:t xml:space="preserve">, en contra de la </w:t>
      </w:r>
      <w:r w:rsidRPr="00B22B55">
        <w:rPr>
          <w:rFonts w:ascii="Palatino Linotype" w:hAnsi="Palatino Linotype" w:cs="Arial"/>
          <w:sz w:val="24"/>
          <w:szCs w:val="24"/>
        </w:rPr>
        <w:t>respuesta de</w:t>
      </w:r>
      <w:r>
        <w:rPr>
          <w:rFonts w:ascii="Palatino Linotype" w:hAnsi="Palatino Linotype" w:cs="Arial"/>
          <w:sz w:val="24"/>
          <w:szCs w:val="24"/>
        </w:rPr>
        <w:t xml:space="preserve">l </w:t>
      </w:r>
      <w:r w:rsidR="006B7E69">
        <w:rPr>
          <w:rFonts w:ascii="Palatino Linotype" w:hAnsi="Palatino Linotype" w:cs="Arial"/>
          <w:b/>
          <w:bCs/>
          <w:sz w:val="24"/>
          <w:szCs w:val="24"/>
          <w:lang w:eastAsia="es-MX"/>
        </w:rPr>
        <w:t xml:space="preserve">Ayuntamiento de </w:t>
      </w:r>
      <w:r w:rsidR="00985F92">
        <w:rPr>
          <w:rFonts w:ascii="Palatino Linotype" w:hAnsi="Palatino Linotype" w:cs="Arial"/>
          <w:b/>
          <w:bCs/>
          <w:sz w:val="24"/>
          <w:szCs w:val="24"/>
          <w:lang w:eastAsia="es-MX"/>
        </w:rPr>
        <w:t>Ixtlahuaca</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14:paraId="50FC5809" w14:textId="77777777" w:rsidR="00C928A3" w:rsidRPr="00C83B6B" w:rsidRDefault="00C928A3" w:rsidP="00C928A3">
      <w:pPr>
        <w:tabs>
          <w:tab w:val="left" w:pos="1701"/>
        </w:tabs>
        <w:spacing w:after="0" w:line="360" w:lineRule="auto"/>
        <w:jc w:val="both"/>
        <w:rPr>
          <w:rFonts w:ascii="Palatino Linotype" w:hAnsi="Palatino Linotype" w:cs="Arial"/>
          <w:sz w:val="24"/>
        </w:rPr>
      </w:pPr>
    </w:p>
    <w:p w14:paraId="7BCA2A35" w14:textId="77777777" w:rsidR="00C928A3" w:rsidRPr="00B22B55" w:rsidRDefault="00C928A3" w:rsidP="00C928A3">
      <w:pPr>
        <w:pStyle w:val="Sinespaciado"/>
        <w:spacing w:line="360" w:lineRule="auto"/>
        <w:rPr>
          <w:sz w:val="2"/>
        </w:rPr>
      </w:pPr>
    </w:p>
    <w:p w14:paraId="15C22466" w14:textId="77777777" w:rsidR="00C928A3" w:rsidRPr="00B22B55" w:rsidRDefault="00C928A3" w:rsidP="00C928A3">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14:paraId="53FB1B52" w14:textId="77777777" w:rsidR="00C928A3" w:rsidRPr="00BB66C1" w:rsidRDefault="00C928A3" w:rsidP="00C928A3">
      <w:pPr>
        <w:spacing w:after="0" w:line="360" w:lineRule="auto"/>
        <w:jc w:val="center"/>
        <w:rPr>
          <w:rFonts w:ascii="Palatino Linotype" w:hAnsi="Palatino Linotype"/>
          <w:b/>
          <w:sz w:val="24"/>
        </w:rPr>
      </w:pPr>
    </w:p>
    <w:p w14:paraId="6353F074" w14:textId="77777777" w:rsidR="00C928A3" w:rsidRPr="00B22B55" w:rsidRDefault="00C928A3" w:rsidP="00C928A3">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14:paraId="263C7FEA" w14:textId="414514C3" w:rsidR="00C928A3" w:rsidRPr="00B22B55" w:rsidRDefault="00C928A3" w:rsidP="00C928A3">
      <w:pPr>
        <w:spacing w:after="0" w:line="360" w:lineRule="auto"/>
        <w:jc w:val="both"/>
        <w:rPr>
          <w:rFonts w:ascii="Palatino Linotype" w:hAnsi="Palatino Linotype" w:cs="Arial"/>
          <w:sz w:val="24"/>
        </w:rPr>
      </w:pPr>
      <w:r w:rsidRPr="00B22B55">
        <w:rPr>
          <w:rFonts w:ascii="Palatino Linotype" w:hAnsi="Palatino Linotype" w:cs="Arial"/>
          <w:sz w:val="24"/>
        </w:rPr>
        <w:t>Con fecha</w:t>
      </w:r>
      <w:r>
        <w:rPr>
          <w:rFonts w:ascii="Palatino Linotype" w:hAnsi="Palatino Linotype" w:cs="Arial"/>
          <w:sz w:val="24"/>
        </w:rPr>
        <w:t xml:space="preserve"> </w:t>
      </w:r>
      <w:r w:rsidR="00DB3007">
        <w:rPr>
          <w:rFonts w:ascii="Palatino Linotype" w:hAnsi="Palatino Linotype" w:cs="Arial"/>
          <w:sz w:val="24"/>
        </w:rPr>
        <w:t>doce</w:t>
      </w:r>
      <w:r>
        <w:rPr>
          <w:rFonts w:ascii="Palatino Linotype" w:hAnsi="Palatino Linotype" w:cs="Arial"/>
          <w:sz w:val="24"/>
        </w:rPr>
        <w:t xml:space="preserve"> de o</w:t>
      </w:r>
      <w:r w:rsidR="00DB3007">
        <w:rPr>
          <w:rFonts w:ascii="Palatino Linotype" w:hAnsi="Palatino Linotype" w:cs="Arial"/>
          <w:sz w:val="24"/>
        </w:rPr>
        <w:t>ctubre</w:t>
      </w:r>
      <w:r>
        <w:rPr>
          <w:rFonts w:ascii="Palatino Linotype" w:hAnsi="Palatino Linotype" w:cs="Arial"/>
          <w:sz w:val="24"/>
        </w:rPr>
        <w:t xml:space="preserve"> de dos mil veintiuno</w:t>
      </w:r>
      <w:r w:rsidRPr="00B22B55">
        <w:rPr>
          <w:rFonts w:ascii="Palatino Linotype" w:hAnsi="Palatino Linotype" w:cs="Arial"/>
          <w:sz w:val="24"/>
        </w:rPr>
        <w:t xml:space="preserve">, </w:t>
      </w:r>
      <w:r w:rsidRPr="00F22562">
        <w:rPr>
          <w:rFonts w:ascii="Palatino Linotype" w:hAnsi="Palatino Linotype" w:cs="Arial"/>
          <w:b/>
          <w:sz w:val="24"/>
        </w:rPr>
        <w:t>e</w:t>
      </w:r>
      <w:r w:rsidR="00DB3007">
        <w:rPr>
          <w:rFonts w:ascii="Palatino Linotype" w:hAnsi="Palatino Linotype" w:cs="Arial"/>
          <w:b/>
          <w:sz w:val="24"/>
        </w:rPr>
        <w:t>l</w:t>
      </w:r>
      <w:r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través del Sistema de Acceso a la Información Mexiquense (</w:t>
      </w:r>
      <w:r w:rsidRPr="00B22B55">
        <w:rPr>
          <w:rFonts w:ascii="Palatino Linotype" w:hAnsi="Palatino Linotype" w:cs="Arial"/>
          <w:b/>
          <w:sz w:val="24"/>
        </w:rPr>
        <w:t>SAIMEX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la solicitud de acceso a la información, registrada bajo el número de expediente</w:t>
      </w:r>
      <w:r w:rsidRPr="00B22B55">
        <w:rPr>
          <w:rFonts w:ascii="Palatino Linotype" w:hAnsi="Palatino Linotype" w:cs="Arial"/>
          <w:b/>
          <w:sz w:val="24"/>
        </w:rPr>
        <w:t xml:space="preserve"> </w:t>
      </w:r>
      <w:r w:rsidR="00DB3007" w:rsidRPr="00DB3007">
        <w:rPr>
          <w:rFonts w:ascii="Palatino Linotype" w:hAnsi="Palatino Linotype" w:cs="Arial"/>
          <w:b/>
          <w:sz w:val="24"/>
        </w:rPr>
        <w:t>00175/IXTLAHUA/IP/2021</w:t>
      </w:r>
      <w:r w:rsidRPr="00B22B55">
        <w:rPr>
          <w:rFonts w:ascii="Palatino Linotype" w:hAnsi="Palatino Linotype" w:cs="Arial"/>
          <w:sz w:val="24"/>
          <w:lang w:eastAsia="es-MX"/>
        </w:rPr>
        <w:t xml:space="preserve">, </w:t>
      </w:r>
      <w:r w:rsidRPr="00B22B55">
        <w:rPr>
          <w:rFonts w:ascii="Palatino Linotype" w:hAnsi="Palatino Linotype" w:cs="Arial"/>
          <w:sz w:val="24"/>
        </w:rPr>
        <w:t>mediante la cual solicitó lo siguiente:</w:t>
      </w:r>
    </w:p>
    <w:p w14:paraId="7A03EB74" w14:textId="77777777" w:rsidR="00C928A3" w:rsidRPr="00BB66C1" w:rsidRDefault="00C928A3" w:rsidP="00C928A3">
      <w:pPr>
        <w:spacing w:after="0" w:line="360" w:lineRule="auto"/>
        <w:jc w:val="both"/>
        <w:rPr>
          <w:rFonts w:ascii="Palatino Linotype" w:hAnsi="Palatino Linotype" w:cs="Arial"/>
          <w:sz w:val="24"/>
        </w:rPr>
      </w:pPr>
    </w:p>
    <w:p w14:paraId="036CAADE" w14:textId="77777777" w:rsidR="00C928A3" w:rsidRPr="00B22B55" w:rsidRDefault="00C928A3" w:rsidP="00C928A3">
      <w:pPr>
        <w:spacing w:after="0" w:line="360" w:lineRule="auto"/>
        <w:rPr>
          <w:sz w:val="2"/>
        </w:rPr>
      </w:pPr>
    </w:p>
    <w:p w14:paraId="7AE3C583" w14:textId="50DABFF3" w:rsidR="00C928A3" w:rsidRPr="00B22B55" w:rsidRDefault="00C928A3" w:rsidP="00C928A3">
      <w:pPr>
        <w:spacing w:after="0" w:line="36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DB3007" w:rsidRPr="00DB3007">
        <w:rPr>
          <w:rFonts w:ascii="Palatino Linotype" w:eastAsia="Calibri" w:hAnsi="Palatino Linotype" w:cs="Arial"/>
          <w:i/>
          <w:szCs w:val="24"/>
          <w:lang w:val="es-ES" w:eastAsia="es-ES"/>
        </w:rPr>
        <w:t xml:space="preserve">Con fundamento en lo dispuesto en los artículos 1°, 6°, 8° párrafo primero y 35 fracción V de la Constitución Federal; 5 párrafos primero, tercero, vigésimo cuarto, trigésimo y trigésimo primero de la Constitución Local; 4, 7, 15, 23 fracción IV, 24 fracciones XI y XIX, 53 fracciones II y V, 150, 152, 155 y 160 de la Ley de Transparencia y Acceso a la Información Pública del Estado de México y Municipios; 2 fracción XXVII y 7 fracciones </w:t>
      </w:r>
      <w:r w:rsidR="00DB3007" w:rsidRPr="00DB3007">
        <w:rPr>
          <w:rFonts w:ascii="Palatino Linotype" w:eastAsia="Calibri" w:hAnsi="Palatino Linotype" w:cs="Arial"/>
          <w:i/>
          <w:szCs w:val="24"/>
          <w:lang w:val="es-ES" w:eastAsia="es-ES"/>
        </w:rPr>
        <w:lastRenderedPageBreak/>
        <w:t>I y III de la Ley de Competitividad y Ordenamiento Comercial del Estado de México y demás disposiciones relativas y aplicables, solicito se me proporcione vía SAIMEX de la información pública consistente en la versión actualizada y digitalizada del Registro Municipal de Unidades Económicas del municipio de Ixtlahuaca; y adicionalmente solicito se me señale o indique el portal de internet en donde se encuentre publicado el registro anteriormente mencionado.</w:t>
      </w:r>
      <w:r w:rsidRPr="00FC71F1">
        <w:rPr>
          <w:rFonts w:ascii="Palatino Linotype" w:eastAsia="Calibri" w:hAnsi="Palatino Linotype" w:cs="Arial"/>
          <w:i/>
          <w:szCs w:val="24"/>
          <w:lang w:val="es-ES" w:eastAsia="es-ES"/>
        </w:rPr>
        <w:t>” (Sic.)</w:t>
      </w:r>
    </w:p>
    <w:p w14:paraId="0F1D1BA5" w14:textId="77777777" w:rsidR="00C928A3" w:rsidRDefault="00C928A3" w:rsidP="00C928A3">
      <w:pPr>
        <w:spacing w:after="0" w:line="360" w:lineRule="auto"/>
        <w:ind w:right="851"/>
        <w:jc w:val="both"/>
        <w:rPr>
          <w:rFonts w:ascii="Palatino Linotype" w:eastAsia="Times New Roman" w:hAnsi="Palatino Linotype" w:cs="Times New Roman"/>
          <w:b/>
          <w:sz w:val="24"/>
          <w:szCs w:val="24"/>
          <w:lang w:val="es-ES_tradnl" w:eastAsia="es-ES"/>
        </w:rPr>
      </w:pPr>
    </w:p>
    <w:p w14:paraId="6ABA2F87" w14:textId="2770A907" w:rsidR="00C928A3" w:rsidRPr="00B22B55" w:rsidRDefault="00C928A3" w:rsidP="004C0C9F">
      <w:pPr>
        <w:tabs>
          <w:tab w:val="left" w:pos="8221"/>
        </w:tabs>
        <w:spacing w:after="0" w:line="360" w:lineRule="auto"/>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Pr="00B22B55">
        <w:rPr>
          <w:rFonts w:ascii="Palatino Linotype" w:eastAsia="Times New Roman" w:hAnsi="Palatino Linotype" w:cs="Times New Roman"/>
          <w:sz w:val="24"/>
          <w:szCs w:val="24"/>
          <w:lang w:val="es-ES_tradnl" w:eastAsia="es-ES"/>
        </w:rPr>
        <w:t xml:space="preserve">: A través del </w:t>
      </w:r>
      <w:r w:rsidR="004C0C9F" w:rsidRPr="00B22B55">
        <w:rPr>
          <w:rFonts w:ascii="Palatino Linotype" w:hAnsi="Palatino Linotype" w:cs="Arial"/>
          <w:sz w:val="24"/>
        </w:rPr>
        <w:t xml:space="preserve">Sistema de Acceso a la Información Mexiquense </w:t>
      </w:r>
      <w:r w:rsidR="004C0C9F">
        <w:rPr>
          <w:rFonts w:ascii="Palatino Linotype" w:hAnsi="Palatino Linotype" w:cs="Arial"/>
          <w:sz w:val="24"/>
        </w:rPr>
        <w:t>(</w:t>
      </w:r>
      <w:r w:rsidRPr="00B22B55">
        <w:rPr>
          <w:rFonts w:ascii="Palatino Linotype" w:eastAsia="Times New Roman" w:hAnsi="Palatino Linotype" w:cs="Times New Roman"/>
          <w:b/>
          <w:sz w:val="24"/>
          <w:szCs w:val="24"/>
          <w:lang w:val="es-ES_tradnl" w:eastAsia="es-ES"/>
        </w:rPr>
        <w:t>SAIMEX</w:t>
      </w:r>
      <w:r w:rsidR="004C0C9F">
        <w:rPr>
          <w:rFonts w:ascii="Palatino Linotype" w:eastAsia="Times New Roman" w:hAnsi="Palatino Linotype" w:cs="Times New Roman"/>
          <w:b/>
          <w:sz w:val="24"/>
          <w:szCs w:val="24"/>
          <w:lang w:val="es-ES_tradnl" w:eastAsia="es-ES"/>
        </w:rPr>
        <w:t>)</w:t>
      </w:r>
      <w:r w:rsidRPr="00B22B55">
        <w:rPr>
          <w:rFonts w:ascii="Palatino Linotype" w:eastAsia="Times New Roman" w:hAnsi="Palatino Linotype" w:cs="Times New Roman"/>
          <w:sz w:val="24"/>
          <w:szCs w:val="24"/>
          <w:lang w:val="es-ES_tradnl" w:eastAsia="es-ES"/>
        </w:rPr>
        <w:t>.</w:t>
      </w:r>
    </w:p>
    <w:p w14:paraId="03BE3CCA" w14:textId="77777777" w:rsidR="00C928A3" w:rsidRPr="004C0C9F" w:rsidRDefault="00C928A3" w:rsidP="00C928A3">
      <w:pPr>
        <w:spacing w:after="0" w:line="360" w:lineRule="auto"/>
        <w:rPr>
          <w:rFonts w:ascii="Palatino Linotype" w:hAnsi="Palatino Linotype" w:cs="Arial"/>
          <w:b/>
          <w:sz w:val="24"/>
          <w:szCs w:val="24"/>
        </w:rPr>
      </w:pPr>
    </w:p>
    <w:p w14:paraId="342ED6B1" w14:textId="77777777" w:rsidR="00C928A3" w:rsidRPr="00B22B55" w:rsidRDefault="00C928A3" w:rsidP="00C928A3">
      <w:pPr>
        <w:spacing w:after="0" w:line="360" w:lineRule="auto"/>
        <w:rPr>
          <w:rFonts w:ascii="Palatino Linotype" w:hAnsi="Palatino Linotype" w:cs="Arial"/>
          <w:sz w:val="24"/>
        </w:rPr>
      </w:pPr>
      <w:r w:rsidRPr="00B22B55">
        <w:rPr>
          <w:rFonts w:ascii="Palatino Linotype" w:hAnsi="Palatino Linotype" w:cs="Arial"/>
          <w:b/>
          <w:sz w:val="28"/>
        </w:rPr>
        <w:t>SEGUNDO. De la respuesta del Sujeto Obligado</w:t>
      </w:r>
      <w:r w:rsidRPr="00B22B55">
        <w:rPr>
          <w:rFonts w:ascii="Palatino Linotype" w:hAnsi="Palatino Linotype"/>
          <w:b/>
          <w:sz w:val="28"/>
        </w:rPr>
        <w:t>.</w:t>
      </w:r>
    </w:p>
    <w:p w14:paraId="03EF1ED1" w14:textId="5615333E" w:rsidR="00C928A3" w:rsidRDefault="00C928A3" w:rsidP="00C928A3">
      <w:pPr>
        <w:tabs>
          <w:tab w:val="right" w:pos="8080"/>
        </w:tabs>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w:t>
      </w:r>
      <w:r>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Pr>
          <w:rFonts w:ascii="Palatino Linotype" w:hAnsi="Palatino Linotype" w:cs="Arial"/>
          <w:sz w:val="24"/>
        </w:rPr>
        <w:t>ve</w:t>
      </w:r>
      <w:r w:rsidR="00B8452C">
        <w:rPr>
          <w:rFonts w:ascii="Palatino Linotype" w:hAnsi="Palatino Linotype" w:cs="Arial"/>
          <w:sz w:val="24"/>
        </w:rPr>
        <w:t>inte</w:t>
      </w:r>
      <w:r>
        <w:rPr>
          <w:rFonts w:ascii="Palatino Linotype" w:hAnsi="Palatino Linotype" w:cs="Arial"/>
          <w:sz w:val="24"/>
        </w:rPr>
        <w:t xml:space="preserve"> de </w:t>
      </w:r>
      <w:r w:rsidR="00B8452C">
        <w:rPr>
          <w:rFonts w:ascii="Palatino Linotype" w:hAnsi="Palatino Linotype" w:cs="Arial"/>
          <w:sz w:val="24"/>
        </w:rPr>
        <w:t>octu</w:t>
      </w:r>
      <w:r>
        <w:rPr>
          <w:rFonts w:ascii="Palatino Linotype" w:hAnsi="Palatino Linotype" w:cs="Arial"/>
          <w:sz w:val="24"/>
        </w:rPr>
        <w:t xml:space="preserve">bre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14:paraId="077DFB97" w14:textId="77777777" w:rsidR="00C928A3" w:rsidRPr="00BB66C1" w:rsidRDefault="00C928A3" w:rsidP="00C928A3">
      <w:pPr>
        <w:tabs>
          <w:tab w:val="right" w:pos="8505"/>
        </w:tabs>
        <w:spacing w:after="0" w:line="360" w:lineRule="auto"/>
        <w:ind w:left="567" w:right="567"/>
        <w:jc w:val="right"/>
        <w:rPr>
          <w:rFonts w:ascii="Palatino Linotype" w:hAnsi="Palatino Linotype" w:cs="Arial"/>
          <w:i/>
          <w:sz w:val="24"/>
        </w:rPr>
      </w:pPr>
    </w:p>
    <w:p w14:paraId="0F794196" w14:textId="34DA50BD" w:rsidR="00B8452C" w:rsidRPr="00B8452C" w:rsidRDefault="00C928A3" w:rsidP="00B8452C">
      <w:pPr>
        <w:tabs>
          <w:tab w:val="right" w:pos="8505"/>
        </w:tabs>
        <w:spacing w:after="0" w:line="360" w:lineRule="auto"/>
        <w:ind w:left="567" w:right="567"/>
        <w:jc w:val="both"/>
        <w:rPr>
          <w:rFonts w:ascii="Palatino Linotype" w:hAnsi="Palatino Linotype" w:cs="Arial"/>
          <w:i/>
        </w:rPr>
      </w:pPr>
      <w:r>
        <w:rPr>
          <w:rFonts w:ascii="Palatino Linotype" w:hAnsi="Palatino Linotype" w:cs="Arial"/>
          <w:i/>
        </w:rPr>
        <w:t>“</w:t>
      </w:r>
      <w:r w:rsidR="00B8452C" w:rsidRPr="00B8452C">
        <w:rPr>
          <w:rFonts w:ascii="Palatino Linotype" w:hAnsi="Palatino Linotype" w:cs="Arial"/>
          <w:i/>
        </w:rPr>
        <w:t xml:space="preserve">Ixtlahuaca de Rayón; México, a 20 de Octubre de 2021 C. </w:t>
      </w:r>
      <w:proofErr w:type="spellStart"/>
      <w:r w:rsidR="00F64008">
        <w:rPr>
          <w:rFonts w:ascii="Palatino Linotype" w:hAnsi="Palatino Linotype" w:cs="Arial"/>
          <w:i/>
        </w:rPr>
        <w:t>xxxxxxxxxxxxxxxxxxxxxxx</w:t>
      </w:r>
      <w:proofErr w:type="spellEnd"/>
      <w:r w:rsidR="00B8452C" w:rsidRPr="00B8452C">
        <w:rPr>
          <w:rFonts w:ascii="Palatino Linotype" w:hAnsi="Palatino Linotype" w:cs="Arial"/>
          <w:i/>
        </w:rPr>
        <w:t xml:space="preserve"> </w:t>
      </w:r>
      <w:proofErr w:type="spellStart"/>
      <w:r w:rsidR="00F64008">
        <w:rPr>
          <w:rFonts w:ascii="Palatino Linotype" w:hAnsi="Palatino Linotype" w:cs="Arial"/>
          <w:i/>
        </w:rPr>
        <w:t>xxxxxxxxxxxxxxx</w:t>
      </w:r>
      <w:proofErr w:type="spellEnd"/>
      <w:r w:rsidR="00B8452C" w:rsidRPr="00B8452C">
        <w:rPr>
          <w:rFonts w:ascii="Palatino Linotype" w:hAnsi="Palatino Linotype" w:cs="Arial"/>
          <w:i/>
        </w:rPr>
        <w:t xml:space="preserve"> P R E S E N T E Por medio del presente me permito enviarle un cordial y afectuoso saludo, al mismo tiempo y en atención a su solicitud 0175/IXTLAHUA/IP/2021 de fecha doce de octubre de dos mil veintiuno; donde solicita lo siguiente: “…Con fundamento en lo dispuesto en los artículos 1°, 6°, 8° párrafo primero y 35 fracción V de la Constitución Federal; 5 párrafos primero, tercero, vigésimo cuarto, trigésimo y trigésimo primero de la Constitución Local; 4, 7, 15, 23 fracción IV, 24 fracciones XI y XIX, 53 fracciones II y V, 150, 152, 155 y 160 de la Ley de Transparencia y Acceso a la Información Pública del Estado de México y Municipios; 2 fracción XXVII y 7 fracciones I y III de la Ley de Competitividad y Ordenamiento Comercial del Estado de México y demás disposiciones relativas y aplicables, solicito se me proporcione vía </w:t>
      </w:r>
      <w:r w:rsidR="00B8452C" w:rsidRPr="00B8452C">
        <w:rPr>
          <w:rFonts w:ascii="Palatino Linotype" w:hAnsi="Palatino Linotype" w:cs="Arial"/>
          <w:i/>
        </w:rPr>
        <w:lastRenderedPageBreak/>
        <w:t>SAIMEX de la información pública consistente en la versión actualizada y digitalizada del Registro Municipal de Unidades Económicas del municipio de Ixtlahuaca; y adicionalmente solicito se me señale o indique el portal de internet en donde se encuentre publicado el registro anteriormente mencionado...”;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Al respecto envió en formato PDF (RESP. SOL.175) Sin otro particular por el momento quedo de Usted; para cualquier duda y/o aclaración al respecto. A T E N T A M E N T E LIC. LUDIVINA ERIKA VIEYRA URBINA TITULAR DE LA UNIDAD DE TRANSPARENCIA Y ACCESO A LA INFORMACIÓN MUNICIPAL</w:t>
      </w:r>
    </w:p>
    <w:p w14:paraId="39D5C26D" w14:textId="77777777" w:rsidR="00B8452C" w:rsidRPr="00B8452C" w:rsidRDefault="00B8452C" w:rsidP="00B8452C">
      <w:pPr>
        <w:tabs>
          <w:tab w:val="right" w:pos="8505"/>
        </w:tabs>
        <w:spacing w:after="0" w:line="360" w:lineRule="auto"/>
        <w:ind w:left="567" w:right="567"/>
        <w:jc w:val="both"/>
        <w:rPr>
          <w:rFonts w:ascii="Palatino Linotype" w:hAnsi="Palatino Linotype" w:cs="Arial"/>
          <w:i/>
        </w:rPr>
      </w:pPr>
      <w:r w:rsidRPr="00B8452C">
        <w:rPr>
          <w:rFonts w:ascii="Palatino Linotype" w:hAnsi="Palatino Linotype" w:cs="Arial"/>
          <w:i/>
        </w:rPr>
        <w:t>ATENTAMENTE</w:t>
      </w:r>
    </w:p>
    <w:p w14:paraId="7DD3F868" w14:textId="4136DA0F" w:rsidR="00C928A3" w:rsidRPr="009A6CC5" w:rsidRDefault="00B8452C" w:rsidP="00B8452C">
      <w:pPr>
        <w:tabs>
          <w:tab w:val="right" w:pos="8505"/>
        </w:tabs>
        <w:spacing w:after="0" w:line="360" w:lineRule="auto"/>
        <w:ind w:left="567" w:right="567"/>
        <w:jc w:val="both"/>
        <w:rPr>
          <w:rFonts w:ascii="Palatino Linotype" w:hAnsi="Palatino Linotype" w:cs="Arial"/>
          <w:i/>
        </w:rPr>
      </w:pPr>
      <w:r w:rsidRPr="00B8452C">
        <w:rPr>
          <w:rFonts w:ascii="Palatino Linotype" w:hAnsi="Palatino Linotype" w:cs="Arial"/>
          <w:i/>
        </w:rPr>
        <w:t xml:space="preserve">LIC. LUDIVINA ERIKA VIEYRA URBINA </w:t>
      </w:r>
      <w:r w:rsidR="00C928A3" w:rsidRPr="009A6CC5">
        <w:rPr>
          <w:rFonts w:ascii="Palatino Linotype" w:hAnsi="Palatino Linotype" w:cs="Arial"/>
          <w:i/>
        </w:rPr>
        <w:t>“(Sic).</w:t>
      </w:r>
    </w:p>
    <w:p w14:paraId="47EDA67E" w14:textId="77777777" w:rsidR="00C928A3" w:rsidRPr="009A6CC5" w:rsidRDefault="00C928A3" w:rsidP="00C928A3">
      <w:pPr>
        <w:tabs>
          <w:tab w:val="right" w:pos="8505"/>
        </w:tabs>
        <w:spacing w:after="0" w:line="360" w:lineRule="auto"/>
        <w:ind w:left="567" w:right="567"/>
        <w:jc w:val="center"/>
        <w:rPr>
          <w:rFonts w:ascii="Palatino Linotype" w:hAnsi="Palatino Linotype" w:cs="Arial"/>
          <w:i/>
          <w:sz w:val="24"/>
        </w:rPr>
      </w:pPr>
    </w:p>
    <w:p w14:paraId="706AB689" w14:textId="53F34919" w:rsidR="00C928A3" w:rsidRDefault="00C928A3" w:rsidP="00C928A3">
      <w:pPr>
        <w:spacing w:after="0" w:line="360" w:lineRule="auto"/>
        <w:jc w:val="both"/>
        <w:rPr>
          <w:rFonts w:ascii="Palatino Linotype" w:eastAsia="Times New Roman" w:hAnsi="Palatino Linotype" w:cs="Times New Roman"/>
          <w:bCs/>
          <w:sz w:val="24"/>
          <w:szCs w:val="24"/>
          <w:lang w:val="es-ES_tradnl" w:eastAsia="es-ES"/>
        </w:rPr>
      </w:pPr>
      <w:r w:rsidRPr="0028034A">
        <w:rPr>
          <w:rFonts w:ascii="Palatino Linotype" w:eastAsia="Times New Roman" w:hAnsi="Palatino Linotype" w:cs="Times New Roman"/>
          <w:bCs/>
          <w:sz w:val="24"/>
          <w:szCs w:val="24"/>
          <w:lang w:val="es-ES_tradnl" w:eastAsia="es-ES"/>
        </w:rPr>
        <w:t xml:space="preserve">Adjuntando para tal efecto </w:t>
      </w:r>
      <w:r w:rsidR="00F31942">
        <w:rPr>
          <w:rFonts w:ascii="Palatino Linotype" w:eastAsia="Times New Roman" w:hAnsi="Palatino Linotype" w:cs="Times New Roman"/>
          <w:bCs/>
          <w:sz w:val="24"/>
          <w:szCs w:val="24"/>
          <w:lang w:val="es-ES_tradnl" w:eastAsia="es-ES"/>
        </w:rPr>
        <w:t xml:space="preserve">un </w:t>
      </w:r>
      <w:r w:rsidRPr="0028034A">
        <w:rPr>
          <w:rFonts w:ascii="Palatino Linotype" w:eastAsia="Times New Roman" w:hAnsi="Palatino Linotype" w:cs="Times New Roman"/>
          <w:bCs/>
          <w:sz w:val="24"/>
          <w:szCs w:val="24"/>
          <w:lang w:val="es-ES_tradnl" w:eastAsia="es-ES"/>
        </w:rPr>
        <w:t>archivo electrónico</w:t>
      </w:r>
      <w:r w:rsidR="00F31942">
        <w:rPr>
          <w:rFonts w:ascii="Palatino Linotype" w:eastAsia="Times New Roman" w:hAnsi="Palatino Linotype" w:cs="Times New Roman"/>
          <w:bCs/>
          <w:sz w:val="24"/>
          <w:szCs w:val="24"/>
          <w:lang w:val="es-ES_tradnl" w:eastAsia="es-ES"/>
        </w:rPr>
        <w:t xml:space="preserve"> </w:t>
      </w:r>
      <w:r w:rsidRPr="0028034A">
        <w:rPr>
          <w:rFonts w:ascii="Palatino Linotype" w:eastAsia="Times New Roman" w:hAnsi="Palatino Linotype" w:cs="Times New Roman"/>
          <w:bCs/>
          <w:sz w:val="24"/>
          <w:szCs w:val="24"/>
          <w:lang w:val="es-ES_tradnl" w:eastAsia="es-ES"/>
        </w:rPr>
        <w:t>denominado</w:t>
      </w:r>
      <w:r>
        <w:rPr>
          <w:rFonts w:ascii="Palatino Linotype" w:eastAsia="Times New Roman" w:hAnsi="Palatino Linotype" w:cs="Times New Roman"/>
          <w:bCs/>
          <w:sz w:val="24"/>
          <w:szCs w:val="24"/>
          <w:lang w:val="es-ES_tradnl" w:eastAsia="es-ES"/>
        </w:rPr>
        <w:t xml:space="preserve"> </w:t>
      </w:r>
      <w:r w:rsidRPr="00344890">
        <w:rPr>
          <w:rFonts w:ascii="Palatino Linotype" w:hAnsi="Palatino Linotype"/>
          <w:i/>
          <w:sz w:val="24"/>
          <w:szCs w:val="24"/>
        </w:rPr>
        <w:t>“</w:t>
      </w:r>
      <w:r w:rsidR="00B8452C" w:rsidRPr="00B8452C">
        <w:rPr>
          <w:rFonts w:ascii="Palatino Linotype" w:hAnsi="Palatino Linotype"/>
          <w:i/>
          <w:sz w:val="24"/>
          <w:szCs w:val="24"/>
        </w:rPr>
        <w:t>RESP.SOL.175.pdf</w:t>
      </w:r>
      <w:r w:rsidRPr="00344890">
        <w:rPr>
          <w:rFonts w:ascii="Palatino Linotype" w:hAnsi="Palatino Linotype"/>
          <w:i/>
          <w:sz w:val="24"/>
          <w:szCs w:val="24"/>
        </w:rPr>
        <w:t>”</w:t>
      </w:r>
      <w:r>
        <w:rPr>
          <w:rFonts w:ascii="Palatino Linotype" w:eastAsia="Times New Roman" w:hAnsi="Palatino Linotype" w:cs="Times New Roman"/>
          <w:bCs/>
          <w:sz w:val="24"/>
          <w:szCs w:val="24"/>
          <w:lang w:val="es-ES_tradnl" w:eastAsia="es-ES"/>
        </w:rPr>
        <w:t>, mismo que consta de lo siguiente:</w:t>
      </w:r>
    </w:p>
    <w:p w14:paraId="48E99723" w14:textId="77777777" w:rsidR="00C928A3" w:rsidRPr="005A5D82" w:rsidRDefault="00C928A3" w:rsidP="0031199E">
      <w:pPr>
        <w:spacing w:after="0" w:line="360" w:lineRule="auto"/>
        <w:jc w:val="both"/>
        <w:rPr>
          <w:rFonts w:ascii="Palatino Linotype" w:hAnsi="Palatino Linotype"/>
          <w:sz w:val="24"/>
          <w:szCs w:val="24"/>
          <w:highlight w:val="yellow"/>
        </w:rPr>
      </w:pPr>
    </w:p>
    <w:p w14:paraId="445803BD" w14:textId="5DF6B846" w:rsidR="00C928A3" w:rsidRDefault="00F31942" w:rsidP="0031199E">
      <w:pPr>
        <w:pStyle w:val="Prrafodelista"/>
        <w:numPr>
          <w:ilvl w:val="0"/>
          <w:numId w:val="3"/>
        </w:numPr>
        <w:spacing w:line="360" w:lineRule="auto"/>
        <w:ind w:left="567" w:hanging="283"/>
        <w:jc w:val="both"/>
        <w:rPr>
          <w:rFonts w:ascii="Palatino Linotype" w:hAnsi="Palatino Linotype"/>
        </w:rPr>
      </w:pPr>
      <w:r w:rsidRPr="00F31942">
        <w:rPr>
          <w:rFonts w:ascii="Palatino Linotype" w:hAnsi="Palatino Linotype"/>
          <w:b/>
        </w:rPr>
        <w:t>RESP.SOL.175.pdf</w:t>
      </w:r>
      <w:r w:rsidR="00C928A3">
        <w:rPr>
          <w:rFonts w:ascii="Palatino Linotype" w:hAnsi="Palatino Linotype"/>
        </w:rPr>
        <w:t xml:space="preserve">: documento en </w:t>
      </w:r>
      <w:r>
        <w:rPr>
          <w:rFonts w:ascii="Palatino Linotype" w:hAnsi="Palatino Linotype"/>
        </w:rPr>
        <w:t>setenta fojas consistente en oficio número PMIX</w:t>
      </w:r>
      <w:r w:rsidR="0031199E">
        <w:rPr>
          <w:rFonts w:ascii="Palatino Linotype" w:hAnsi="Palatino Linotype"/>
        </w:rPr>
        <w:t>/</w:t>
      </w:r>
      <w:proofErr w:type="spellStart"/>
      <w:r w:rsidR="0031199E">
        <w:rPr>
          <w:rFonts w:ascii="Palatino Linotype" w:hAnsi="Palatino Linotype"/>
        </w:rPr>
        <w:t>DFETyA</w:t>
      </w:r>
      <w:proofErr w:type="spellEnd"/>
      <w:r w:rsidR="0031199E">
        <w:rPr>
          <w:rFonts w:ascii="Palatino Linotype" w:hAnsi="Palatino Linotype"/>
        </w:rPr>
        <w:t xml:space="preserve">/0715/2021, signado por el Director de Fomento Económico Turístico y Artesanal, a través del cual manifiesta a la Titular de la Unidad de Transparencia y Acceso a la Información Pública Municipal, que remite el Registro Municipal de Unidades Económicas de la Dirección de Fomento </w:t>
      </w:r>
      <w:r w:rsidR="0031199E">
        <w:rPr>
          <w:rFonts w:ascii="Palatino Linotype" w:hAnsi="Palatino Linotype"/>
        </w:rPr>
        <w:lastRenderedPageBreak/>
        <w:t>Económico, Turístico y artesanal, en versión actualizada y digitalizada, mismo que consta de 69 fojas a una sola de sus caras</w:t>
      </w:r>
      <w:r w:rsidR="0078404B">
        <w:rPr>
          <w:rFonts w:ascii="Palatino Linotype" w:hAnsi="Palatino Linotype"/>
        </w:rPr>
        <w:t>, señalando asimismo que no está obligada a llevar a cabo la publicación del Registro Municipal en comento en algún sitio o portal de internet.</w:t>
      </w:r>
    </w:p>
    <w:p w14:paraId="760DF5BF" w14:textId="3748208B" w:rsidR="00C928A3" w:rsidRPr="005A5D82" w:rsidRDefault="00C928A3" w:rsidP="00C928A3">
      <w:pPr>
        <w:pStyle w:val="Prrafodelista"/>
        <w:spacing w:line="360" w:lineRule="auto"/>
        <w:ind w:left="0"/>
        <w:jc w:val="center"/>
        <w:rPr>
          <w:rFonts w:ascii="Palatino Linotype" w:hAnsi="Palatino Linotype"/>
        </w:rPr>
      </w:pPr>
    </w:p>
    <w:p w14:paraId="58B0605A" w14:textId="77777777" w:rsidR="00C928A3" w:rsidRPr="00B22B55" w:rsidRDefault="00C928A3" w:rsidP="00C928A3">
      <w:pPr>
        <w:spacing w:after="0" w:line="360" w:lineRule="auto"/>
        <w:jc w:val="both"/>
        <w:rPr>
          <w:rFonts w:ascii="Palatino Linotype" w:hAnsi="Palatino Linotype" w:cs="Arial"/>
          <w:b/>
          <w:sz w:val="28"/>
        </w:rPr>
      </w:pPr>
      <w:r w:rsidRPr="00344890">
        <w:rPr>
          <w:rFonts w:ascii="Palatino Linotype" w:hAnsi="Palatino Linotype" w:cs="Arial"/>
          <w:b/>
          <w:sz w:val="28"/>
        </w:rPr>
        <w:t xml:space="preserve">TERCERO. </w:t>
      </w:r>
      <w:r w:rsidRPr="00344890">
        <w:rPr>
          <w:rFonts w:ascii="Palatino Linotype" w:hAnsi="Palatino Linotype"/>
          <w:b/>
          <w:sz w:val="28"/>
        </w:rPr>
        <w:t>Del recurso de revisión.</w:t>
      </w:r>
    </w:p>
    <w:p w14:paraId="016D4A05" w14:textId="312CEA59" w:rsidR="00C928A3" w:rsidRPr="00B22B55" w:rsidRDefault="00C928A3" w:rsidP="00C928A3">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Pr>
          <w:rFonts w:ascii="Palatino Linotype" w:hAnsi="Palatino Linotype" w:cs="Arial"/>
          <w:sz w:val="24"/>
          <w:szCs w:val="24"/>
        </w:rPr>
        <w:t>e</w:t>
      </w:r>
      <w:r w:rsidR="00B02C38">
        <w:rPr>
          <w:rFonts w:ascii="Palatino Linotype" w:hAnsi="Palatino Linotype" w:cs="Arial"/>
          <w:sz w:val="24"/>
          <w:szCs w:val="24"/>
        </w:rPr>
        <w:t>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w:t>
      </w:r>
      <w:r>
        <w:rPr>
          <w:rFonts w:ascii="Palatino Linotype" w:hAnsi="Palatino Linotype" w:cs="Arial"/>
          <w:sz w:val="24"/>
          <w:szCs w:val="24"/>
        </w:rPr>
        <w:t xml:space="preserve">veintiuno de </w:t>
      </w:r>
      <w:r w:rsidR="00B02C38">
        <w:rPr>
          <w:rFonts w:ascii="Palatino Linotype" w:hAnsi="Palatino Linotype" w:cs="Arial"/>
          <w:sz w:val="24"/>
          <w:szCs w:val="24"/>
        </w:rPr>
        <w:t>octu</w:t>
      </w:r>
      <w:r>
        <w:rPr>
          <w:rFonts w:ascii="Palatino Linotype" w:hAnsi="Palatino Linotype" w:cs="Arial"/>
          <w:sz w:val="24"/>
          <w:szCs w:val="24"/>
        </w:rPr>
        <w:t xml:space="preserve">bre dos mil veintiuno,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Pr="00AE7959">
        <w:rPr>
          <w:rFonts w:ascii="Palatino Linotype" w:hAnsi="Palatino Linotype" w:cs="Arial"/>
          <w:b/>
          <w:bCs/>
          <w:sz w:val="24"/>
          <w:szCs w:val="24"/>
          <w:lang w:eastAsia="es-MX"/>
        </w:rPr>
        <w:t>0</w:t>
      </w:r>
      <w:r>
        <w:rPr>
          <w:rFonts w:ascii="Palatino Linotype" w:hAnsi="Palatino Linotype" w:cs="Arial"/>
          <w:b/>
          <w:bCs/>
          <w:sz w:val="24"/>
          <w:szCs w:val="24"/>
          <w:lang w:eastAsia="es-MX"/>
        </w:rPr>
        <w:t>5</w:t>
      </w:r>
      <w:r w:rsidR="00B02C38">
        <w:rPr>
          <w:rFonts w:ascii="Palatino Linotype" w:hAnsi="Palatino Linotype" w:cs="Arial"/>
          <w:b/>
          <w:bCs/>
          <w:sz w:val="24"/>
          <w:szCs w:val="24"/>
          <w:lang w:eastAsia="es-MX"/>
        </w:rPr>
        <w:t>210</w:t>
      </w:r>
      <w:r w:rsidRPr="00AE7959">
        <w:rPr>
          <w:rFonts w:ascii="Palatino Linotype" w:hAnsi="Palatino Linotype" w:cs="Arial"/>
          <w:b/>
          <w:bCs/>
          <w:sz w:val="24"/>
          <w:szCs w:val="24"/>
          <w:lang w:eastAsia="es-MX"/>
        </w:rPr>
        <w:t>/INFOEM/IP/RR/2021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14:paraId="58BD55D1" w14:textId="77777777" w:rsidR="00C928A3" w:rsidRPr="00BB66C1" w:rsidRDefault="00C928A3" w:rsidP="00C928A3">
      <w:pPr>
        <w:pStyle w:val="Sinespaciado"/>
        <w:spacing w:line="360" w:lineRule="auto"/>
        <w:rPr>
          <w:rFonts w:ascii="Palatino Linotype" w:hAnsi="Palatino Linotype"/>
          <w:sz w:val="24"/>
        </w:rPr>
      </w:pPr>
    </w:p>
    <w:p w14:paraId="72920F03" w14:textId="77777777" w:rsidR="00C928A3" w:rsidRPr="00B22B55" w:rsidRDefault="00C928A3" w:rsidP="00C928A3">
      <w:pPr>
        <w:pStyle w:val="Sinespaciado"/>
        <w:spacing w:line="360" w:lineRule="auto"/>
        <w:rPr>
          <w:sz w:val="2"/>
        </w:rPr>
      </w:pPr>
    </w:p>
    <w:p w14:paraId="6856D475" w14:textId="77777777" w:rsidR="00C928A3" w:rsidRPr="00B22B55" w:rsidRDefault="00C928A3" w:rsidP="00C928A3">
      <w:pPr>
        <w:pStyle w:val="Prrafodelista"/>
        <w:numPr>
          <w:ilvl w:val="0"/>
          <w:numId w:val="1"/>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14:paraId="66217BC5" w14:textId="15429681" w:rsidR="00C928A3" w:rsidRDefault="00C928A3" w:rsidP="00C928A3">
      <w:pPr>
        <w:spacing w:after="0" w:line="360" w:lineRule="auto"/>
        <w:ind w:left="567" w:right="567" w:hanging="11"/>
        <w:jc w:val="both"/>
        <w:rPr>
          <w:rFonts w:ascii="Palatino Linotype" w:hAnsi="Palatino Linotype"/>
          <w:i/>
          <w:color w:val="000000"/>
        </w:rPr>
      </w:pPr>
      <w:r>
        <w:rPr>
          <w:rFonts w:ascii="Palatino Linotype" w:hAnsi="Palatino Linotype"/>
          <w:i/>
          <w:color w:val="000000"/>
        </w:rPr>
        <w:t>“</w:t>
      </w:r>
      <w:r w:rsidR="00B02C38" w:rsidRPr="00B02C38">
        <w:rPr>
          <w:rFonts w:ascii="Palatino Linotype" w:hAnsi="Palatino Linotype"/>
          <w:i/>
          <w:color w:val="000000"/>
        </w:rPr>
        <w:t>LA RESPUESTA DEL SUJETO OBLIGADO A LA SOLICITUD DE INFORMACIÓN NÚMERO 00175/IXTLAHUA/IP/2021.</w:t>
      </w:r>
      <w:r>
        <w:rPr>
          <w:rFonts w:ascii="Palatino Linotype" w:hAnsi="Palatino Linotype"/>
          <w:i/>
          <w:color w:val="000000"/>
        </w:rPr>
        <w:t>” (sic)</w:t>
      </w:r>
    </w:p>
    <w:p w14:paraId="2D962AA8" w14:textId="77777777" w:rsidR="00C928A3" w:rsidRPr="00B22B55" w:rsidRDefault="00C928A3" w:rsidP="00C928A3">
      <w:pPr>
        <w:spacing w:after="0" w:line="360" w:lineRule="auto"/>
        <w:ind w:left="567" w:right="567" w:hanging="11"/>
        <w:jc w:val="both"/>
        <w:rPr>
          <w:rFonts w:ascii="Palatino Linotype" w:hAnsi="Palatino Linotype"/>
          <w:i/>
          <w:color w:val="000000"/>
          <w:sz w:val="24"/>
        </w:rPr>
      </w:pPr>
    </w:p>
    <w:p w14:paraId="74EF2CB2" w14:textId="77777777" w:rsidR="00C928A3" w:rsidRPr="00B22B55" w:rsidRDefault="00C928A3" w:rsidP="00C928A3">
      <w:pPr>
        <w:pStyle w:val="Prrafodelista"/>
        <w:numPr>
          <w:ilvl w:val="0"/>
          <w:numId w:val="1"/>
        </w:numPr>
        <w:spacing w:line="360" w:lineRule="auto"/>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14:paraId="16929550" w14:textId="067D90BB" w:rsidR="00C928A3" w:rsidRPr="00B22B55" w:rsidRDefault="00C928A3" w:rsidP="00C928A3">
      <w:pPr>
        <w:spacing w:after="0" w:line="276"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B02C38" w:rsidRPr="00B02C38">
        <w:rPr>
          <w:rFonts w:ascii="Palatino Linotype" w:hAnsi="Palatino Linotype"/>
          <w:i/>
          <w:color w:val="000000"/>
        </w:rPr>
        <w:t>La respuesta del sujeto obligado resulta ser incompleta, ya que de la lectura integra de su respuesta emitida, se aprecia que la misma no contiene la totalidad de los datos que señala el artículo 11 de la Ley de Competitividad y Ordenamiento Comercial del Estado de México; por otra parte, es importante resaltar que el Sujeto Obligado y sus dependencias administrativas no se encuentran exentos al cumplimiento del referido cuerpo normativo, pues así se establece en sus dispositivos 4 fracción VIII, 5 fracción IV y 7 fracciones I y III.</w:t>
      </w:r>
      <w:r w:rsidRPr="00AE7959">
        <w:rPr>
          <w:rFonts w:ascii="Palatino Linotype" w:hAnsi="Palatino Linotype"/>
          <w:i/>
          <w:color w:val="000000"/>
        </w:rPr>
        <w:t>” (Sic).</w:t>
      </w:r>
    </w:p>
    <w:p w14:paraId="1076E03A" w14:textId="77777777" w:rsidR="00C928A3" w:rsidRDefault="00C928A3" w:rsidP="00C928A3">
      <w:pPr>
        <w:spacing w:after="0" w:line="276" w:lineRule="auto"/>
        <w:rPr>
          <w:sz w:val="24"/>
        </w:rPr>
      </w:pPr>
    </w:p>
    <w:p w14:paraId="4E166260" w14:textId="643B20F1" w:rsidR="00201815" w:rsidRPr="00201815" w:rsidRDefault="00201815" w:rsidP="00201815">
      <w:pPr>
        <w:spacing w:after="0" w:line="360" w:lineRule="auto"/>
        <w:jc w:val="both"/>
        <w:rPr>
          <w:rFonts w:ascii="Palatino Linotype" w:eastAsia="Calibri" w:hAnsi="Palatino Linotype" w:cs="Arial"/>
          <w:b/>
          <w:sz w:val="28"/>
          <w:szCs w:val="28"/>
        </w:rPr>
      </w:pPr>
      <w:r w:rsidRPr="00201815">
        <w:rPr>
          <w:rFonts w:ascii="Palatino Linotype" w:hAnsi="Palatino Linotype" w:cs="Arial"/>
          <w:b/>
          <w:sz w:val="28"/>
          <w:szCs w:val="28"/>
        </w:rPr>
        <w:t xml:space="preserve">CUARTO. </w:t>
      </w:r>
      <w:r>
        <w:rPr>
          <w:rFonts w:ascii="Palatino Linotype" w:hAnsi="Palatino Linotype" w:cs="Arial"/>
          <w:b/>
          <w:sz w:val="28"/>
          <w:szCs w:val="28"/>
        </w:rPr>
        <w:t xml:space="preserve">Del </w:t>
      </w:r>
      <w:r w:rsidRPr="00201815">
        <w:rPr>
          <w:rFonts w:ascii="Palatino Linotype" w:eastAsia="Calibri" w:hAnsi="Palatino Linotype" w:cs="Arial"/>
          <w:b/>
          <w:sz w:val="28"/>
          <w:szCs w:val="28"/>
        </w:rPr>
        <w:t xml:space="preserve">Turno. </w:t>
      </w:r>
    </w:p>
    <w:p w14:paraId="6FB1AABD" w14:textId="7621E27E" w:rsidR="00964933" w:rsidRDefault="00964933" w:rsidP="00201815">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Pr>
          <w:rFonts w:ascii="Palatino Linotype" w:hAnsi="Palatino Linotype" w:cs="Arial"/>
          <w:sz w:val="24"/>
          <w:szCs w:val="24"/>
        </w:rPr>
        <w:t xml:space="preserve">mpugnación que le fue turnado al </w:t>
      </w:r>
      <w:r w:rsidRPr="00B22B55">
        <w:rPr>
          <w:rFonts w:ascii="Palatino Linotype" w:hAnsi="Palatino Linotype" w:cs="Arial"/>
          <w:sz w:val="24"/>
          <w:szCs w:val="24"/>
        </w:rPr>
        <w:t>Comisionad</w:t>
      </w:r>
      <w:r>
        <w:rPr>
          <w:rFonts w:ascii="Palatino Linotype" w:hAnsi="Palatino Linotype" w:cs="Arial"/>
          <w:sz w:val="24"/>
          <w:szCs w:val="24"/>
        </w:rPr>
        <w:t>o</w:t>
      </w:r>
      <w:r>
        <w:rPr>
          <w:rFonts w:ascii="Palatino Linotype" w:hAnsi="Palatino Linotype" w:cs="Arial"/>
          <w:b/>
          <w:sz w:val="24"/>
          <w:szCs w:val="24"/>
        </w:rPr>
        <w:t xml:space="preserve"> José Martínez Vilchis</w:t>
      </w:r>
      <w:r w:rsidRPr="00B22B55">
        <w:rPr>
          <w:rFonts w:ascii="Palatino Linotype" w:hAnsi="Palatino Linotype" w:cs="Arial"/>
          <w:sz w:val="24"/>
          <w:szCs w:val="24"/>
        </w:rPr>
        <w:t xml:space="preserve">, por medio del sistema electrónico en términos del arábigo 185, fracción I, de la Ley de </w:t>
      </w:r>
      <w:r w:rsidRPr="00B22B55">
        <w:rPr>
          <w:rFonts w:ascii="Palatino Linotype" w:hAnsi="Palatino Linotype" w:cs="Arial"/>
          <w:sz w:val="24"/>
          <w:szCs w:val="24"/>
        </w:rPr>
        <w:lastRenderedPageBreak/>
        <w:t>Transparencia y Acceso a la información Pública del Estado de México y Municipios,</w:t>
      </w:r>
      <w:r>
        <w:rPr>
          <w:rFonts w:ascii="Palatino Linotype" w:hAnsi="Palatino Linotype" w:cs="Arial"/>
          <w:sz w:val="24"/>
          <w:szCs w:val="24"/>
        </w:rPr>
        <w:t xml:space="preserve"> en fecha veintiuno de octubre de dos mil veintiuno.</w:t>
      </w:r>
    </w:p>
    <w:p w14:paraId="0CFAE6A0" w14:textId="77777777" w:rsidR="00964933" w:rsidRPr="00C020EB" w:rsidRDefault="00964933" w:rsidP="00201815">
      <w:pPr>
        <w:spacing w:after="0" w:line="360" w:lineRule="auto"/>
        <w:jc w:val="both"/>
        <w:rPr>
          <w:rFonts w:ascii="Palatino Linotype" w:hAnsi="Palatino Linotype" w:cs="Arial"/>
          <w:b/>
          <w:sz w:val="24"/>
          <w:szCs w:val="24"/>
        </w:rPr>
      </w:pPr>
    </w:p>
    <w:p w14:paraId="729C8D31" w14:textId="7FB57760" w:rsidR="00201815" w:rsidRPr="00964933" w:rsidRDefault="00201815" w:rsidP="00201815">
      <w:pPr>
        <w:spacing w:after="0" w:line="360" w:lineRule="auto"/>
        <w:jc w:val="both"/>
        <w:rPr>
          <w:rFonts w:ascii="Palatino Linotype" w:hAnsi="Palatino Linotype" w:cs="Arial"/>
          <w:b/>
          <w:sz w:val="32"/>
          <w:szCs w:val="32"/>
        </w:rPr>
      </w:pPr>
      <w:r w:rsidRPr="00964933">
        <w:rPr>
          <w:rFonts w:ascii="Palatino Linotype" w:hAnsi="Palatino Linotype" w:cs="Arial"/>
          <w:b/>
          <w:sz w:val="28"/>
          <w:szCs w:val="28"/>
        </w:rPr>
        <w:t xml:space="preserve">QUINTO. </w:t>
      </w:r>
      <w:r w:rsidRPr="00964933">
        <w:rPr>
          <w:rFonts w:ascii="Palatino Linotype" w:hAnsi="Palatino Linotype" w:cs="Arial"/>
          <w:b/>
          <w:sz w:val="32"/>
          <w:szCs w:val="32"/>
        </w:rPr>
        <w:t>Del desistimiento del recurso de revisión</w:t>
      </w:r>
    </w:p>
    <w:p w14:paraId="7AE183AA" w14:textId="420C5299" w:rsidR="00201815" w:rsidRPr="00DC2A96" w:rsidRDefault="00201815" w:rsidP="00201815">
      <w:pPr>
        <w:spacing w:after="0" w:line="360" w:lineRule="auto"/>
        <w:jc w:val="both"/>
        <w:rPr>
          <w:rFonts w:ascii="Palatino Linotype" w:hAnsi="Palatino Linotype" w:cs="Arial"/>
          <w:b/>
          <w:bCs/>
          <w:sz w:val="24"/>
          <w:szCs w:val="24"/>
          <w:u w:val="single"/>
        </w:rPr>
      </w:pPr>
      <w:r w:rsidRPr="00DC2A96">
        <w:rPr>
          <w:rFonts w:ascii="Palatino Linotype" w:hAnsi="Palatino Linotype" w:cs="Arial"/>
          <w:b/>
          <w:bCs/>
          <w:sz w:val="24"/>
          <w:szCs w:val="24"/>
          <w:u w:val="single"/>
        </w:rPr>
        <w:t xml:space="preserve">En fecha </w:t>
      </w:r>
      <w:r>
        <w:rPr>
          <w:rFonts w:ascii="Palatino Linotype" w:hAnsi="Palatino Linotype" w:cs="Arial"/>
          <w:b/>
          <w:bCs/>
          <w:sz w:val="24"/>
          <w:szCs w:val="24"/>
          <w:u w:val="single"/>
        </w:rPr>
        <w:t>veintidós</w:t>
      </w:r>
      <w:r w:rsidRPr="00DC2A96">
        <w:rPr>
          <w:rFonts w:ascii="Palatino Linotype" w:hAnsi="Palatino Linotype" w:cs="Arial"/>
          <w:b/>
          <w:bCs/>
          <w:sz w:val="24"/>
          <w:szCs w:val="24"/>
          <w:u w:val="single"/>
        </w:rPr>
        <w:t xml:space="preserve"> de </w:t>
      </w:r>
      <w:r>
        <w:rPr>
          <w:rFonts w:ascii="Palatino Linotype" w:hAnsi="Palatino Linotype" w:cs="Arial"/>
          <w:b/>
          <w:bCs/>
          <w:sz w:val="24"/>
          <w:szCs w:val="24"/>
          <w:u w:val="single"/>
        </w:rPr>
        <w:t>octu</w:t>
      </w:r>
      <w:r w:rsidRPr="00DC2A96">
        <w:rPr>
          <w:rFonts w:ascii="Palatino Linotype" w:hAnsi="Palatino Linotype" w:cs="Arial"/>
          <w:b/>
          <w:bCs/>
          <w:sz w:val="24"/>
          <w:szCs w:val="24"/>
          <w:u w:val="single"/>
        </w:rPr>
        <w:t>bre de dos mil veintiuno, e</w:t>
      </w:r>
      <w:r>
        <w:rPr>
          <w:rFonts w:ascii="Palatino Linotype" w:hAnsi="Palatino Linotype" w:cs="Arial"/>
          <w:b/>
          <w:bCs/>
          <w:sz w:val="24"/>
          <w:szCs w:val="24"/>
          <w:u w:val="single"/>
        </w:rPr>
        <w:t>l</w:t>
      </w:r>
      <w:r w:rsidRPr="00DC2A96">
        <w:rPr>
          <w:rFonts w:ascii="Palatino Linotype" w:hAnsi="Palatino Linotype" w:cs="Arial"/>
          <w:b/>
          <w:bCs/>
          <w:sz w:val="24"/>
          <w:szCs w:val="24"/>
          <w:u w:val="single"/>
        </w:rPr>
        <w:t xml:space="preserve"> Recurrente se desistió del recurso de revisión en los siguientes términos:</w:t>
      </w:r>
    </w:p>
    <w:p w14:paraId="3884FC21" w14:textId="77777777" w:rsidR="00201815" w:rsidRPr="00DC2A96" w:rsidRDefault="00201815" w:rsidP="00201815">
      <w:pPr>
        <w:spacing w:after="0" w:line="360" w:lineRule="auto"/>
        <w:jc w:val="both"/>
        <w:rPr>
          <w:rFonts w:ascii="Palatino Linotype" w:hAnsi="Palatino Linotype" w:cs="Arial"/>
          <w:b/>
          <w:bCs/>
          <w:sz w:val="24"/>
          <w:szCs w:val="24"/>
          <w:u w:val="single"/>
        </w:rPr>
      </w:pPr>
    </w:p>
    <w:p w14:paraId="1E6C852E" w14:textId="77777777" w:rsidR="00201815" w:rsidRPr="00201815" w:rsidRDefault="00201815" w:rsidP="00201815">
      <w:pPr>
        <w:spacing w:after="0" w:line="360" w:lineRule="auto"/>
        <w:ind w:left="567" w:right="567"/>
        <w:jc w:val="both"/>
        <w:rPr>
          <w:rFonts w:ascii="Palatino Linotype" w:hAnsi="Palatino Linotype" w:cs="Arial"/>
          <w:b/>
          <w:bCs/>
          <w:i/>
          <w:u w:val="single"/>
        </w:rPr>
      </w:pPr>
      <w:r w:rsidRPr="00DC2A96">
        <w:rPr>
          <w:rFonts w:ascii="Palatino Linotype" w:hAnsi="Palatino Linotype" w:cs="Arial"/>
          <w:b/>
          <w:bCs/>
          <w:i/>
          <w:u w:val="single"/>
        </w:rPr>
        <w:t>“</w:t>
      </w:r>
      <w:r w:rsidRPr="00201815">
        <w:rPr>
          <w:rFonts w:ascii="Palatino Linotype" w:hAnsi="Palatino Linotype" w:cs="Arial"/>
          <w:b/>
          <w:bCs/>
          <w:i/>
          <w:u w:val="single"/>
        </w:rPr>
        <w:t>Con fundamento en lo dispuesto en el artículo 192 fracción I de la Ley de Transparencia y Acceso a la Información Pública del Estado de México y Municipios en relación con los diversos 132 fracción I y 133 del Código de Procedimientos Administrativos del Estado de México, de aplicación supletoria en la materia, me permito manifestar expresamente mi deseo y voluntad de desistir en mi inconformidad presentada ante la respuesta emitida por el Sujeto Obligado a mi solicitud de información número 00175/IXTLAHUA/IP/2021, por así convenir a mis intereses.</w:t>
      </w:r>
    </w:p>
    <w:p w14:paraId="443DE644" w14:textId="77777777" w:rsidR="00201815" w:rsidRPr="00201815" w:rsidRDefault="00201815" w:rsidP="00201815">
      <w:pPr>
        <w:spacing w:after="0" w:line="360" w:lineRule="auto"/>
        <w:ind w:left="567" w:right="567"/>
        <w:jc w:val="both"/>
        <w:rPr>
          <w:rFonts w:ascii="Palatino Linotype" w:hAnsi="Palatino Linotype" w:cs="Arial"/>
          <w:b/>
          <w:bCs/>
          <w:i/>
          <w:u w:val="single"/>
        </w:rPr>
      </w:pPr>
      <w:r w:rsidRPr="00201815">
        <w:rPr>
          <w:rFonts w:ascii="Palatino Linotype" w:hAnsi="Palatino Linotype" w:cs="Arial"/>
          <w:b/>
          <w:bCs/>
          <w:i/>
          <w:u w:val="single"/>
        </w:rPr>
        <w:t>ATENTAMENTE</w:t>
      </w:r>
    </w:p>
    <w:p w14:paraId="4DC98020" w14:textId="79B4E4F8" w:rsidR="00201815" w:rsidRPr="00DC2A96" w:rsidRDefault="00807679" w:rsidP="00201815">
      <w:pPr>
        <w:spacing w:after="0" w:line="360" w:lineRule="auto"/>
        <w:ind w:left="567" w:right="567"/>
        <w:jc w:val="both"/>
        <w:rPr>
          <w:rFonts w:ascii="Palatino Linotype" w:hAnsi="Palatino Linotype" w:cs="Arial"/>
          <w:b/>
          <w:bCs/>
          <w:i/>
          <w:u w:val="single"/>
        </w:rPr>
      </w:pPr>
      <w:proofErr w:type="spellStart"/>
      <w:proofErr w:type="gramStart"/>
      <w:r>
        <w:rPr>
          <w:rFonts w:ascii="Palatino Linotype" w:hAnsi="Palatino Linotype" w:cs="Arial"/>
          <w:b/>
          <w:bCs/>
          <w:i/>
          <w:u w:val="single"/>
        </w:rPr>
        <w:t>xxxxxxxxxxxxxxxxxxxxxxxxxxxxx</w:t>
      </w:r>
      <w:proofErr w:type="spellEnd"/>
      <w:proofErr w:type="gramEnd"/>
      <w:r w:rsidR="00201815" w:rsidRPr="00DC2A96">
        <w:rPr>
          <w:rFonts w:ascii="Palatino Linotype" w:hAnsi="Palatino Linotype" w:cs="Arial"/>
          <w:b/>
          <w:bCs/>
          <w:i/>
          <w:u w:val="single"/>
        </w:rPr>
        <w:t>” (Sic)</w:t>
      </w:r>
    </w:p>
    <w:p w14:paraId="3B84D375" w14:textId="77777777" w:rsidR="00C928A3" w:rsidRPr="00B02C38" w:rsidRDefault="00C928A3" w:rsidP="00C928A3">
      <w:pPr>
        <w:spacing w:after="0" w:line="360" w:lineRule="auto"/>
        <w:rPr>
          <w:rFonts w:ascii="Palatino Linotype" w:hAnsi="Palatino Linotype" w:cs="Arial"/>
          <w:b/>
          <w:sz w:val="24"/>
          <w:szCs w:val="24"/>
        </w:rPr>
      </w:pPr>
    </w:p>
    <w:p w14:paraId="71B106CB" w14:textId="16DF92B2" w:rsidR="00C928A3" w:rsidRPr="00B22B55" w:rsidRDefault="00964933" w:rsidP="00C928A3">
      <w:pPr>
        <w:spacing w:after="0" w:line="360" w:lineRule="auto"/>
        <w:rPr>
          <w:rFonts w:ascii="Palatino Linotype" w:hAnsi="Palatino Linotype" w:cs="Arial"/>
          <w:b/>
          <w:sz w:val="24"/>
          <w:szCs w:val="24"/>
        </w:rPr>
      </w:pPr>
      <w:r>
        <w:rPr>
          <w:rFonts w:ascii="Palatino Linotype" w:hAnsi="Palatino Linotype" w:cs="Arial"/>
          <w:b/>
          <w:sz w:val="28"/>
          <w:szCs w:val="28"/>
        </w:rPr>
        <w:t>SEX</w:t>
      </w:r>
      <w:r w:rsidR="00C928A3" w:rsidRPr="00FD3A9F">
        <w:rPr>
          <w:rFonts w:ascii="Palatino Linotype" w:hAnsi="Palatino Linotype" w:cs="Arial"/>
          <w:b/>
          <w:sz w:val="28"/>
          <w:szCs w:val="28"/>
        </w:rPr>
        <w:t xml:space="preserve">TO. </w:t>
      </w:r>
      <w:r w:rsidR="00C928A3" w:rsidRPr="00B22B55">
        <w:rPr>
          <w:rFonts w:ascii="Palatino Linotype" w:hAnsi="Palatino Linotype" w:cs="Arial"/>
          <w:b/>
          <w:sz w:val="28"/>
          <w:szCs w:val="28"/>
        </w:rPr>
        <w:t>De</w:t>
      </w:r>
      <w:r>
        <w:rPr>
          <w:rFonts w:ascii="Palatino Linotype" w:hAnsi="Palatino Linotype" w:cs="Arial"/>
          <w:b/>
          <w:sz w:val="28"/>
          <w:szCs w:val="28"/>
        </w:rPr>
        <w:t xml:space="preserve"> </w:t>
      </w:r>
      <w:r w:rsidR="00C928A3" w:rsidRPr="00B22B55">
        <w:rPr>
          <w:rFonts w:ascii="Palatino Linotype" w:hAnsi="Palatino Linotype" w:cs="Arial"/>
          <w:b/>
          <w:sz w:val="28"/>
          <w:szCs w:val="28"/>
        </w:rPr>
        <w:t>l</w:t>
      </w:r>
      <w:r>
        <w:rPr>
          <w:rFonts w:ascii="Palatino Linotype" w:hAnsi="Palatino Linotype" w:cs="Arial"/>
          <w:b/>
          <w:sz w:val="28"/>
          <w:szCs w:val="28"/>
        </w:rPr>
        <w:t>a</w:t>
      </w:r>
      <w:r w:rsidR="00C928A3">
        <w:rPr>
          <w:rFonts w:ascii="Palatino Linotype" w:hAnsi="Palatino Linotype" w:cs="Arial"/>
          <w:b/>
          <w:sz w:val="28"/>
          <w:szCs w:val="28"/>
        </w:rPr>
        <w:t xml:space="preserve"> admisión </w:t>
      </w:r>
      <w:r w:rsidR="00C928A3" w:rsidRPr="00B22B55">
        <w:rPr>
          <w:rFonts w:ascii="Palatino Linotype" w:hAnsi="Palatino Linotype" w:cs="Arial"/>
          <w:b/>
          <w:sz w:val="28"/>
          <w:szCs w:val="28"/>
        </w:rPr>
        <w:t>del recurso de revisión.</w:t>
      </w:r>
    </w:p>
    <w:p w14:paraId="5908CAAF" w14:textId="0A71306C" w:rsidR="00C928A3" w:rsidRDefault="00964933" w:rsidP="00C928A3">
      <w:pPr>
        <w:spacing w:after="0" w:line="360" w:lineRule="auto"/>
        <w:jc w:val="both"/>
        <w:rPr>
          <w:rFonts w:ascii="Palatino Linotype" w:hAnsi="Palatino Linotype" w:cs="Arial"/>
          <w:sz w:val="24"/>
          <w:szCs w:val="24"/>
        </w:rPr>
      </w:pPr>
      <w:r w:rsidRPr="00964933">
        <w:rPr>
          <w:rFonts w:ascii="Palatino Linotype" w:hAnsi="Palatino Linotype" w:cs="Arial"/>
          <w:sz w:val="24"/>
          <w:szCs w:val="24"/>
        </w:rPr>
        <w:t>Mediante a</w:t>
      </w:r>
      <w:r w:rsidR="00952A2E">
        <w:rPr>
          <w:rFonts w:ascii="Palatino Linotype" w:hAnsi="Palatino Linotype" w:cs="Arial"/>
          <w:sz w:val="24"/>
          <w:szCs w:val="24"/>
        </w:rPr>
        <w:t>cuerdo</w:t>
      </w:r>
      <w:r w:rsidRPr="00964933">
        <w:rPr>
          <w:rFonts w:ascii="Palatino Linotype" w:hAnsi="Palatino Linotype" w:cs="Arial"/>
          <w:sz w:val="24"/>
          <w:szCs w:val="24"/>
        </w:rPr>
        <w:t xml:space="preserve"> de fecha veinti</w:t>
      </w:r>
      <w:r w:rsidR="00952A2E">
        <w:rPr>
          <w:rFonts w:ascii="Palatino Linotype" w:hAnsi="Palatino Linotype" w:cs="Arial"/>
          <w:sz w:val="24"/>
          <w:szCs w:val="24"/>
        </w:rPr>
        <w:t>siete</w:t>
      </w:r>
      <w:r w:rsidRPr="00964933">
        <w:rPr>
          <w:rFonts w:ascii="Palatino Linotype" w:hAnsi="Palatino Linotype" w:cs="Arial"/>
          <w:sz w:val="24"/>
          <w:szCs w:val="24"/>
        </w:rPr>
        <w:t xml:space="preserve"> de o</w:t>
      </w:r>
      <w:r w:rsidR="00952A2E">
        <w:rPr>
          <w:rFonts w:ascii="Palatino Linotype" w:hAnsi="Palatino Linotype" w:cs="Arial"/>
          <w:sz w:val="24"/>
          <w:szCs w:val="24"/>
        </w:rPr>
        <w:t>ctubre</w:t>
      </w:r>
      <w:r w:rsidRPr="00964933">
        <w:rPr>
          <w:rFonts w:ascii="Palatino Linotype" w:hAnsi="Palatino Linotype" w:cs="Arial"/>
          <w:sz w:val="24"/>
          <w:szCs w:val="24"/>
        </w:rPr>
        <w:t xml:space="preserve"> del año en curso, este Órgano Garante, admitió a trámite el recurso de revisión respectivo, </w:t>
      </w:r>
      <w:r w:rsidR="00952A2E" w:rsidRPr="00CF567E">
        <w:rPr>
          <w:rFonts w:ascii="Palatino Linotype" w:hAnsi="Palatino Linotype" w:cs="Arial"/>
          <w:sz w:val="24"/>
          <w:szCs w:val="24"/>
        </w:rPr>
        <w:t xml:space="preserve">determinándose en </w:t>
      </w:r>
      <w:r w:rsidR="00952A2E">
        <w:rPr>
          <w:rFonts w:ascii="Palatino Linotype" w:hAnsi="Palatino Linotype" w:cs="Arial"/>
          <w:sz w:val="24"/>
          <w:szCs w:val="24"/>
        </w:rPr>
        <w:t>él</w:t>
      </w:r>
      <w:r w:rsidR="00952A2E" w:rsidRPr="00CF567E">
        <w:rPr>
          <w:rFonts w:ascii="Palatino Linotype" w:hAnsi="Palatino Linotype" w:cs="Arial"/>
          <w:sz w:val="24"/>
          <w:szCs w:val="24"/>
        </w:rPr>
        <w:t>, un plazo de siete días para que las partes manifestaran lo que a su derecho corresponda en términos del</w:t>
      </w:r>
      <w:r w:rsidR="00952A2E">
        <w:rPr>
          <w:rFonts w:ascii="Palatino Linotype" w:hAnsi="Palatino Linotype" w:cs="Arial"/>
          <w:sz w:val="24"/>
          <w:szCs w:val="24"/>
        </w:rPr>
        <w:t xml:space="preserve"> </w:t>
      </w:r>
      <w:r w:rsidR="00952A2E" w:rsidRPr="00CF567E">
        <w:rPr>
          <w:rFonts w:ascii="Palatino Linotype" w:hAnsi="Palatino Linotype" w:cs="Arial"/>
          <w:sz w:val="24"/>
          <w:szCs w:val="24"/>
        </w:rPr>
        <w:t>numeral</w:t>
      </w:r>
      <w:r w:rsidR="00952A2E">
        <w:rPr>
          <w:rFonts w:ascii="Palatino Linotype" w:hAnsi="Palatino Linotype" w:cs="Arial"/>
          <w:sz w:val="24"/>
          <w:szCs w:val="24"/>
        </w:rPr>
        <w:t xml:space="preserve"> 185</w:t>
      </w:r>
      <w:r w:rsidR="007A1308">
        <w:rPr>
          <w:rFonts w:ascii="Palatino Linotype" w:hAnsi="Palatino Linotype" w:cs="Arial"/>
          <w:sz w:val="24"/>
          <w:szCs w:val="24"/>
        </w:rPr>
        <w:t xml:space="preserve"> fracciones II,</w:t>
      </w:r>
      <w:r w:rsidR="00952A2E" w:rsidRPr="00CF567E">
        <w:rPr>
          <w:rFonts w:ascii="Palatino Linotype" w:hAnsi="Palatino Linotype" w:cs="Arial"/>
          <w:sz w:val="24"/>
          <w:szCs w:val="24"/>
        </w:rPr>
        <w:t xml:space="preserve"> </w:t>
      </w:r>
      <w:r w:rsidRPr="00964933">
        <w:rPr>
          <w:rFonts w:ascii="Palatino Linotype" w:hAnsi="Palatino Linotype" w:cs="Arial"/>
          <w:sz w:val="24"/>
          <w:szCs w:val="24"/>
        </w:rPr>
        <w:t>de la Ley de Transparencia y Acceso a la Información Pública del Estado de México y Municipios.</w:t>
      </w:r>
    </w:p>
    <w:p w14:paraId="335B442D" w14:textId="77777777" w:rsidR="00C020EB" w:rsidRDefault="00C020EB" w:rsidP="00C928A3">
      <w:pPr>
        <w:spacing w:after="0" w:line="360" w:lineRule="auto"/>
        <w:jc w:val="both"/>
        <w:rPr>
          <w:rFonts w:ascii="Palatino Linotype" w:hAnsi="Palatino Linotype" w:cs="Arial"/>
          <w:b/>
          <w:sz w:val="24"/>
          <w:szCs w:val="28"/>
        </w:rPr>
      </w:pPr>
    </w:p>
    <w:p w14:paraId="15EE560E" w14:textId="77777777" w:rsidR="00C020EB" w:rsidRPr="00BB66C1" w:rsidRDefault="00C020EB" w:rsidP="00C928A3">
      <w:pPr>
        <w:spacing w:after="0" w:line="360" w:lineRule="auto"/>
        <w:jc w:val="both"/>
        <w:rPr>
          <w:rFonts w:ascii="Palatino Linotype" w:hAnsi="Palatino Linotype"/>
          <w:b/>
          <w:sz w:val="24"/>
          <w:szCs w:val="24"/>
        </w:rPr>
      </w:pPr>
    </w:p>
    <w:p w14:paraId="4154836D" w14:textId="53022FBD" w:rsidR="00C928A3" w:rsidRPr="00B22B55" w:rsidRDefault="00C020EB" w:rsidP="00C928A3">
      <w:pPr>
        <w:spacing w:after="0" w:line="360" w:lineRule="auto"/>
        <w:jc w:val="both"/>
        <w:rPr>
          <w:rFonts w:ascii="Palatino Linotype" w:hAnsi="Palatino Linotype" w:cs="Arial"/>
          <w:b/>
          <w:sz w:val="24"/>
          <w:szCs w:val="24"/>
        </w:rPr>
      </w:pPr>
      <w:r>
        <w:rPr>
          <w:rFonts w:ascii="Palatino Linotype" w:hAnsi="Palatino Linotype"/>
          <w:b/>
          <w:sz w:val="28"/>
          <w:szCs w:val="24"/>
        </w:rPr>
        <w:t>SÉPTIM</w:t>
      </w:r>
      <w:r w:rsidR="00C928A3">
        <w:rPr>
          <w:rFonts w:ascii="Palatino Linotype" w:hAnsi="Palatino Linotype"/>
          <w:b/>
          <w:sz w:val="28"/>
          <w:szCs w:val="24"/>
        </w:rPr>
        <w:t xml:space="preserve">O. </w:t>
      </w:r>
      <w:r w:rsidR="00C928A3" w:rsidRPr="00B22B55">
        <w:rPr>
          <w:rFonts w:ascii="Palatino Linotype" w:hAnsi="Palatino Linotype" w:cs="Arial"/>
          <w:b/>
          <w:sz w:val="28"/>
          <w:szCs w:val="28"/>
        </w:rPr>
        <w:t>De la etapa de instrucción.</w:t>
      </w:r>
    </w:p>
    <w:p w14:paraId="6242BCFE" w14:textId="08614EDD" w:rsidR="00C928A3" w:rsidRDefault="00C928A3" w:rsidP="00C928A3">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Así, una vez abierta la etapa de instrucción, en el sumario se observa que </w:t>
      </w:r>
      <w:r w:rsidR="00C020EB">
        <w:rPr>
          <w:rFonts w:ascii="Palatino Linotype" w:hAnsi="Palatino Linotype" w:cs="Arial"/>
          <w:b/>
          <w:sz w:val="24"/>
          <w:szCs w:val="24"/>
        </w:rPr>
        <w:t>E</w:t>
      </w:r>
      <w:r w:rsidRPr="00B22B55">
        <w:rPr>
          <w:rFonts w:ascii="Palatino Linotype" w:hAnsi="Palatino Linotype" w:cs="Arial"/>
          <w:b/>
          <w:sz w:val="24"/>
          <w:szCs w:val="24"/>
        </w:rPr>
        <w:t>l Sujeto Obligado</w:t>
      </w:r>
      <w:r w:rsidRPr="00B22B55">
        <w:rPr>
          <w:rFonts w:ascii="Palatino Linotype" w:hAnsi="Palatino Linotype" w:cs="Arial"/>
          <w:sz w:val="24"/>
          <w:szCs w:val="24"/>
        </w:rPr>
        <w:t xml:space="preserve"> </w:t>
      </w:r>
      <w:r>
        <w:rPr>
          <w:rFonts w:ascii="Palatino Linotype" w:hAnsi="Palatino Linotype" w:cs="Arial"/>
          <w:sz w:val="24"/>
          <w:szCs w:val="24"/>
        </w:rPr>
        <w:t>no rindió su</w:t>
      </w:r>
      <w:r w:rsidRPr="00B22B55">
        <w:rPr>
          <w:rFonts w:ascii="Palatino Linotype" w:hAnsi="Palatino Linotype" w:cs="Arial"/>
          <w:sz w:val="24"/>
          <w:szCs w:val="24"/>
        </w:rPr>
        <w:t xml:space="preserve"> informe justificado; asimismo, </w:t>
      </w:r>
      <w:r w:rsidRPr="00B22B55">
        <w:rPr>
          <w:rFonts w:ascii="Palatino Linotype" w:hAnsi="Palatino Linotype"/>
          <w:sz w:val="24"/>
          <w:szCs w:val="24"/>
        </w:rPr>
        <w:t>se hace constar que e</w:t>
      </w:r>
      <w:r w:rsidR="00C020EB">
        <w:rPr>
          <w:rFonts w:ascii="Palatino Linotype" w:hAnsi="Palatino Linotype"/>
          <w:sz w:val="24"/>
          <w:szCs w:val="24"/>
        </w:rPr>
        <w:t>l</w:t>
      </w:r>
      <w:r w:rsidRPr="00B22B55">
        <w:rPr>
          <w:rFonts w:ascii="Palatino Linotype" w:hAnsi="Palatino Linotype"/>
          <w:sz w:val="24"/>
          <w:szCs w:val="24"/>
        </w:rPr>
        <w:t xml:space="preserve"> R</w:t>
      </w:r>
      <w:r w:rsidRPr="00B22B55">
        <w:rPr>
          <w:rFonts w:ascii="Palatino Linotype" w:hAnsi="Palatino Linotype"/>
          <w:b/>
          <w:sz w:val="24"/>
          <w:szCs w:val="24"/>
        </w:rPr>
        <w:t>ecurrente</w:t>
      </w:r>
      <w:r w:rsidRPr="00B22B55">
        <w:rPr>
          <w:rFonts w:ascii="Palatino Linotype" w:hAnsi="Palatino Linotype"/>
          <w:sz w:val="24"/>
          <w:szCs w:val="24"/>
        </w:rPr>
        <w:t xml:space="preserve"> no presentó sus manifestaciones; finalmente se advierte de las constancias que integran el presente expediente, que no existe prueba alguna que deba desahogarse, </w:t>
      </w:r>
      <w:r w:rsidRPr="00B22B55">
        <w:rPr>
          <w:rFonts w:ascii="Palatino Linotype" w:hAnsi="Palatino Linotype" w:cs="Arial"/>
          <w:sz w:val="24"/>
          <w:szCs w:val="24"/>
        </w:rPr>
        <w:t>de conformidad con la siguiente imagen:</w:t>
      </w:r>
    </w:p>
    <w:p w14:paraId="355958A8" w14:textId="77777777" w:rsidR="00C928A3" w:rsidRPr="00DC2CE9" w:rsidRDefault="00C928A3" w:rsidP="00C928A3">
      <w:pPr>
        <w:spacing w:after="0" w:line="360" w:lineRule="auto"/>
        <w:rPr>
          <w:sz w:val="8"/>
        </w:rPr>
      </w:pPr>
    </w:p>
    <w:p w14:paraId="3FAAEC97" w14:textId="201B151B" w:rsidR="00C928A3" w:rsidRDefault="00C020EB" w:rsidP="00C928A3">
      <w:pPr>
        <w:spacing w:after="0" w:line="360" w:lineRule="auto"/>
        <w:jc w:val="center"/>
        <w:rPr>
          <w:rFonts w:ascii="Palatino Linotype" w:hAnsi="Palatino Linotype" w:cs="Arial"/>
          <w:noProof/>
          <w:sz w:val="24"/>
          <w:szCs w:val="24"/>
          <w:lang w:eastAsia="es-MX"/>
        </w:rPr>
      </w:pPr>
      <w:r>
        <w:rPr>
          <w:noProof/>
          <w:lang w:eastAsia="es-MX"/>
        </w:rPr>
        <w:drawing>
          <wp:inline distT="0" distB="0" distL="0" distR="0" wp14:anchorId="4A0571BE" wp14:editId="62A94E57">
            <wp:extent cx="5037161" cy="1819275"/>
            <wp:effectExtent l="114300" t="95250" r="106680" b="85725"/>
            <wp:docPr id="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10;&#10;Descripción generada automáticamente"/>
                    <pic:cNvPicPr/>
                  </pic:nvPicPr>
                  <pic:blipFill rotWithShape="1">
                    <a:blip r:embed="rId7"/>
                    <a:srcRect l="24967" t="29100" r="24934" b="41506"/>
                    <a:stretch/>
                  </pic:blipFill>
                  <pic:spPr bwMode="auto">
                    <a:xfrm>
                      <a:off x="0" y="0"/>
                      <a:ext cx="5061288" cy="1827989"/>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B43223E" w14:textId="77777777" w:rsidR="00C928A3" w:rsidRDefault="00C928A3" w:rsidP="00C928A3">
      <w:pPr>
        <w:spacing w:after="0" w:line="360" w:lineRule="auto"/>
        <w:rPr>
          <w:rFonts w:ascii="Palatino Linotype" w:hAnsi="Palatino Linotype" w:cs="Arial"/>
          <w:noProof/>
          <w:sz w:val="24"/>
          <w:szCs w:val="24"/>
          <w:lang w:eastAsia="es-MX"/>
        </w:rPr>
      </w:pPr>
    </w:p>
    <w:p w14:paraId="30542F0F" w14:textId="77777777" w:rsidR="00C928A3" w:rsidRPr="00B22B55" w:rsidRDefault="00C928A3" w:rsidP="00C928A3">
      <w:pPr>
        <w:spacing w:after="0" w:line="360" w:lineRule="auto"/>
        <w:jc w:val="both"/>
        <w:rPr>
          <w:rFonts w:ascii="Palatino Linotype" w:hAnsi="Palatino Linotype"/>
          <w:b/>
          <w:sz w:val="28"/>
          <w:szCs w:val="24"/>
        </w:rPr>
      </w:pPr>
      <w:r w:rsidRPr="00E1047D">
        <w:rPr>
          <w:rFonts w:ascii="Palatino Linotype" w:hAnsi="Palatino Linotype" w:cs="Arial"/>
          <w:b/>
          <w:sz w:val="28"/>
          <w:szCs w:val="24"/>
        </w:rPr>
        <w:t>SÉPTIMO.</w:t>
      </w:r>
      <w:r>
        <w:rPr>
          <w:rFonts w:ascii="Palatino Linotype" w:hAnsi="Palatino Linotype" w:cs="Arial"/>
          <w:b/>
          <w:sz w:val="28"/>
          <w:szCs w:val="24"/>
        </w:rPr>
        <w:t xml:space="preserve"> </w:t>
      </w:r>
      <w:r w:rsidRPr="00B22B55">
        <w:rPr>
          <w:rFonts w:ascii="Palatino Linotype" w:hAnsi="Palatino Linotype"/>
          <w:b/>
          <w:sz w:val="28"/>
          <w:szCs w:val="24"/>
        </w:rPr>
        <w:t>Del Cierre de Instrucción.</w:t>
      </w:r>
    </w:p>
    <w:p w14:paraId="289E29AB" w14:textId="3B44A1DB" w:rsidR="00C928A3" w:rsidRDefault="00C928A3" w:rsidP="00C928A3">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C020EB">
        <w:rPr>
          <w:rFonts w:ascii="Palatino Linotype" w:hAnsi="Palatino Linotype" w:cs="Arial"/>
          <w:sz w:val="24"/>
          <w:szCs w:val="24"/>
        </w:rPr>
        <w:t>nuev</w:t>
      </w:r>
      <w:r>
        <w:rPr>
          <w:rFonts w:ascii="Palatino Linotype" w:hAnsi="Palatino Linotype" w:cs="Arial"/>
          <w:sz w:val="24"/>
          <w:szCs w:val="24"/>
        </w:rPr>
        <w:t xml:space="preserve">e de </w:t>
      </w:r>
      <w:r w:rsidR="00C020EB">
        <w:rPr>
          <w:rFonts w:ascii="Palatino Linotype" w:hAnsi="Palatino Linotype" w:cs="Arial"/>
          <w:sz w:val="24"/>
          <w:szCs w:val="24"/>
        </w:rPr>
        <w:t>noviem</w:t>
      </w:r>
      <w:r>
        <w:rPr>
          <w:rFonts w:ascii="Palatino Linotype" w:hAnsi="Palatino Linotype" w:cs="Arial"/>
          <w:sz w:val="24"/>
          <w:szCs w:val="24"/>
        </w:rPr>
        <w:t xml:space="preserve">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56B14914" w14:textId="73681C3E" w:rsidR="00C928A3" w:rsidRDefault="00C928A3" w:rsidP="00C928A3">
      <w:pPr>
        <w:spacing w:after="0" w:line="360" w:lineRule="auto"/>
        <w:jc w:val="both"/>
        <w:rPr>
          <w:rFonts w:ascii="Palatino Linotype" w:hAnsi="Palatino Linotype" w:cs="Arial"/>
          <w:b/>
          <w:sz w:val="24"/>
        </w:rPr>
      </w:pPr>
    </w:p>
    <w:p w14:paraId="7C106976" w14:textId="1CAAC649" w:rsidR="00C020EB" w:rsidRDefault="00C020EB" w:rsidP="00C928A3">
      <w:pPr>
        <w:spacing w:after="0" w:line="360" w:lineRule="auto"/>
        <w:jc w:val="both"/>
        <w:rPr>
          <w:rFonts w:ascii="Palatino Linotype" w:hAnsi="Palatino Linotype" w:cs="Arial"/>
          <w:b/>
          <w:sz w:val="24"/>
        </w:rPr>
      </w:pPr>
    </w:p>
    <w:p w14:paraId="5E85A015" w14:textId="475B1CFF" w:rsidR="00C020EB" w:rsidRDefault="00C020EB" w:rsidP="00C928A3">
      <w:pPr>
        <w:spacing w:after="0" w:line="360" w:lineRule="auto"/>
        <w:jc w:val="both"/>
        <w:rPr>
          <w:rFonts w:ascii="Palatino Linotype" w:hAnsi="Palatino Linotype" w:cs="Arial"/>
          <w:b/>
          <w:sz w:val="24"/>
        </w:rPr>
      </w:pPr>
    </w:p>
    <w:p w14:paraId="0D743489" w14:textId="3E1033B3" w:rsidR="00C020EB" w:rsidRDefault="00C020EB" w:rsidP="00C928A3">
      <w:pPr>
        <w:spacing w:after="0" w:line="360" w:lineRule="auto"/>
        <w:jc w:val="both"/>
        <w:rPr>
          <w:rFonts w:ascii="Palatino Linotype" w:hAnsi="Palatino Linotype" w:cs="Arial"/>
          <w:b/>
          <w:sz w:val="24"/>
        </w:rPr>
      </w:pPr>
    </w:p>
    <w:p w14:paraId="0E9C4242" w14:textId="77777777" w:rsidR="00C020EB" w:rsidRPr="00C020EB" w:rsidRDefault="00C020EB" w:rsidP="00C928A3">
      <w:pPr>
        <w:spacing w:after="0" w:line="360" w:lineRule="auto"/>
        <w:jc w:val="both"/>
        <w:rPr>
          <w:rFonts w:ascii="Palatino Linotype" w:hAnsi="Palatino Linotype" w:cs="Arial"/>
          <w:b/>
          <w:sz w:val="24"/>
        </w:rPr>
      </w:pPr>
    </w:p>
    <w:p w14:paraId="6A4D7ACD" w14:textId="77777777" w:rsidR="00C928A3" w:rsidRPr="00B22B55" w:rsidRDefault="00C928A3" w:rsidP="00C928A3">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14:paraId="238ACB33" w14:textId="77777777" w:rsidR="00C928A3" w:rsidRPr="00C020EB" w:rsidRDefault="00C928A3" w:rsidP="00C928A3">
      <w:pPr>
        <w:pStyle w:val="Sinespaciado"/>
        <w:spacing w:line="360" w:lineRule="auto"/>
        <w:rPr>
          <w:rFonts w:ascii="Palatino Linotype" w:hAnsi="Palatino Linotype"/>
          <w:sz w:val="24"/>
          <w:szCs w:val="24"/>
        </w:rPr>
      </w:pPr>
    </w:p>
    <w:p w14:paraId="1EA227CA" w14:textId="77777777" w:rsidR="00C928A3" w:rsidRPr="00B22B55" w:rsidRDefault="00C928A3" w:rsidP="00C928A3">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14:paraId="4DDD3611" w14:textId="13332B51" w:rsidR="00C928A3" w:rsidRPr="000229DA" w:rsidRDefault="00C928A3" w:rsidP="00C928A3">
      <w:pPr>
        <w:spacing w:line="360" w:lineRule="auto"/>
        <w:jc w:val="both"/>
        <w:rPr>
          <w:rFonts w:ascii="Palatino Linotype" w:hAnsi="Palatino Linotype" w:cs="Arial"/>
          <w:sz w:val="24"/>
          <w:szCs w:val="24"/>
        </w:rPr>
      </w:pPr>
      <w:r w:rsidRPr="0034489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w:t>
      </w:r>
      <w:r>
        <w:rPr>
          <w:rFonts w:ascii="Palatino Linotype" w:hAnsi="Palatino Linotype" w:cs="Arial"/>
          <w:sz w:val="24"/>
          <w:szCs w:val="24"/>
        </w:rPr>
        <w:t>e</w:t>
      </w:r>
      <w:r w:rsidR="00C020EB">
        <w:rPr>
          <w:rFonts w:ascii="Palatino Linotype" w:hAnsi="Palatino Linotype" w:cs="Arial"/>
          <w:sz w:val="24"/>
          <w:szCs w:val="24"/>
        </w:rPr>
        <w:t>l</w:t>
      </w:r>
      <w:r w:rsidRPr="00344890">
        <w:rPr>
          <w:rFonts w:ascii="Palatino Linotype" w:hAnsi="Palatino Linotype" w:cs="Arial"/>
          <w:sz w:val="24"/>
          <w:szCs w:val="24"/>
        </w:rPr>
        <w:t xml:space="preserve"> </w:t>
      </w:r>
      <w:r w:rsidRPr="00344890">
        <w:rPr>
          <w:rFonts w:ascii="Palatino Linotype" w:hAnsi="Palatino Linotype" w:cs="Arial"/>
          <w:b/>
          <w:sz w:val="24"/>
          <w:szCs w:val="24"/>
        </w:rPr>
        <w:t>Recurrente</w:t>
      </w:r>
      <w:r w:rsidRPr="00344890">
        <w:rPr>
          <w:rFonts w:ascii="Palatino Linotype" w:hAnsi="Palatino Linotype" w:cs="Arial"/>
          <w:sz w:val="24"/>
          <w:szCs w:val="24"/>
        </w:rPr>
        <w:t>,</w:t>
      </w:r>
      <w:r w:rsidRPr="00344890">
        <w:rPr>
          <w:rFonts w:ascii="Palatino Linotype" w:hAnsi="Palatino Linotype" w:cs="Arial"/>
          <w:b/>
          <w:sz w:val="24"/>
          <w:szCs w:val="24"/>
        </w:rPr>
        <w:t xml:space="preserve"> </w:t>
      </w:r>
      <w:r w:rsidRPr="00344890">
        <w:rPr>
          <w:rFonts w:ascii="Palatino Linotype" w:hAnsi="Palatino Linotype" w:cs="Arial"/>
          <w:sz w:val="24"/>
          <w:szCs w:val="24"/>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A70012B" w14:textId="77777777" w:rsidR="00C928A3" w:rsidRPr="00B22B55" w:rsidRDefault="00C928A3" w:rsidP="00C928A3">
      <w:pPr>
        <w:autoSpaceDE w:val="0"/>
        <w:autoSpaceDN w:val="0"/>
        <w:adjustRightInd w:val="0"/>
        <w:spacing w:after="0" w:line="360" w:lineRule="auto"/>
        <w:jc w:val="both"/>
        <w:rPr>
          <w:rFonts w:ascii="Palatino Linotype" w:hAnsi="Palatino Linotype" w:cs="Arial"/>
          <w:sz w:val="24"/>
        </w:rPr>
      </w:pPr>
    </w:p>
    <w:p w14:paraId="75E9A409" w14:textId="77777777" w:rsidR="00C928A3" w:rsidRDefault="00C928A3" w:rsidP="00C928A3">
      <w:pPr>
        <w:pStyle w:val="Prrafodelista"/>
        <w:autoSpaceDE w:val="0"/>
        <w:autoSpaceDN w:val="0"/>
        <w:adjustRightInd w:val="0"/>
        <w:spacing w:line="360" w:lineRule="auto"/>
        <w:ind w:left="0"/>
        <w:jc w:val="both"/>
        <w:rPr>
          <w:rFonts w:ascii="Palatino Linotype" w:hAnsi="Palatino Linotype" w:cs="Arial"/>
          <w:b/>
          <w:sz w:val="28"/>
          <w:szCs w:val="28"/>
        </w:rPr>
      </w:pPr>
      <w:r w:rsidRPr="00344890">
        <w:rPr>
          <w:rFonts w:ascii="Palatino Linotype" w:hAnsi="Palatino Linotype" w:cs="Arial"/>
          <w:b/>
          <w:sz w:val="28"/>
          <w:szCs w:val="28"/>
        </w:rPr>
        <w:t>SEGUNDO. Sobre los alcances del recurso de revisión.</w:t>
      </w:r>
      <w:r w:rsidRPr="00B22B55">
        <w:rPr>
          <w:rFonts w:ascii="Palatino Linotype" w:hAnsi="Palatino Linotype" w:cs="Arial"/>
          <w:b/>
          <w:sz w:val="28"/>
          <w:szCs w:val="28"/>
        </w:rPr>
        <w:t xml:space="preserve"> </w:t>
      </w:r>
    </w:p>
    <w:p w14:paraId="1F46F02C" w14:textId="77777777" w:rsidR="00C928A3" w:rsidRPr="0065221D" w:rsidRDefault="00C928A3" w:rsidP="00C928A3">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los expedientes electrónicos,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F78880B" w14:textId="77777777" w:rsidR="00C928A3" w:rsidRDefault="00C928A3" w:rsidP="00C928A3">
      <w:pPr>
        <w:pStyle w:val="Prrafodelista"/>
        <w:autoSpaceDE w:val="0"/>
        <w:autoSpaceDN w:val="0"/>
        <w:adjustRightInd w:val="0"/>
        <w:spacing w:line="360" w:lineRule="auto"/>
        <w:ind w:left="0"/>
        <w:jc w:val="both"/>
        <w:rPr>
          <w:rFonts w:ascii="Palatino Linotype" w:hAnsi="Palatino Linotype" w:cs="Arial"/>
        </w:rPr>
      </w:pPr>
    </w:p>
    <w:p w14:paraId="5776426A" w14:textId="23E89757" w:rsidR="00C928A3" w:rsidRDefault="00C928A3" w:rsidP="003650AA">
      <w:pPr>
        <w:pStyle w:val="Sinespaciado"/>
        <w:spacing w:line="360" w:lineRule="auto"/>
        <w:jc w:val="both"/>
        <w:rPr>
          <w:rFonts w:ascii="Palatino Linotype" w:hAnsi="Palatino Linotype" w:cs="Arial"/>
          <w:b/>
          <w:sz w:val="28"/>
          <w:szCs w:val="28"/>
        </w:rPr>
      </w:pPr>
      <w:r w:rsidRPr="00344890">
        <w:rPr>
          <w:rFonts w:ascii="Palatino Linotype" w:hAnsi="Palatino Linotype"/>
          <w:b/>
          <w:sz w:val="28"/>
          <w:szCs w:val="26"/>
        </w:rPr>
        <w:t>TERCERO.</w:t>
      </w:r>
      <w:r w:rsidR="003650AA">
        <w:rPr>
          <w:rFonts w:ascii="Palatino Linotype" w:hAnsi="Palatino Linotype"/>
          <w:b/>
          <w:sz w:val="28"/>
          <w:szCs w:val="26"/>
        </w:rPr>
        <w:t xml:space="preserve"> </w:t>
      </w:r>
      <w:r w:rsidRPr="009510B5">
        <w:rPr>
          <w:rFonts w:ascii="Palatino Linotype" w:hAnsi="Palatino Linotype" w:cs="Arial"/>
          <w:b/>
          <w:sz w:val="28"/>
          <w:szCs w:val="28"/>
        </w:rPr>
        <w:t>Del estudio de las causas de improcedencia y sobreseimiento</w:t>
      </w:r>
      <w:r>
        <w:rPr>
          <w:rFonts w:ascii="Palatino Linotype" w:hAnsi="Palatino Linotype" w:cs="Arial"/>
          <w:b/>
          <w:sz w:val="28"/>
          <w:szCs w:val="28"/>
        </w:rPr>
        <w:t>.</w:t>
      </w:r>
    </w:p>
    <w:p w14:paraId="5B48A47E" w14:textId="77777777" w:rsidR="00225BEA" w:rsidRPr="00344890" w:rsidRDefault="00225BEA" w:rsidP="00225BEA">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sidRPr="00344890">
        <w:rPr>
          <w:rFonts w:ascii="Palatino Linotype" w:hAnsi="Palatino Linotype" w:cs="Arial"/>
          <w:b/>
          <w:sz w:val="24"/>
          <w:szCs w:val="24"/>
        </w:rPr>
        <w:t xml:space="preserve">2000365, </w:t>
      </w:r>
      <w:r w:rsidRPr="00344890">
        <w:rPr>
          <w:rFonts w:ascii="Palatino Linotype" w:hAnsi="Palatino Linotype" w:cs="Arial"/>
          <w:sz w:val="24"/>
          <w:szCs w:val="24"/>
        </w:rPr>
        <w:t xml:space="preserve">la cual dispone a la literalidad: </w:t>
      </w:r>
    </w:p>
    <w:p w14:paraId="0CDB602D" w14:textId="77777777" w:rsidR="00225BEA" w:rsidRPr="00C2109D" w:rsidRDefault="00225BEA" w:rsidP="009822FC">
      <w:pPr>
        <w:tabs>
          <w:tab w:val="left" w:pos="567"/>
        </w:tabs>
        <w:autoSpaceDE w:val="0"/>
        <w:autoSpaceDN w:val="0"/>
        <w:adjustRightInd w:val="0"/>
        <w:spacing w:after="0" w:line="360" w:lineRule="auto"/>
        <w:jc w:val="both"/>
        <w:rPr>
          <w:rFonts w:ascii="Palatino Linotype" w:hAnsi="Palatino Linotype" w:cs="Arial"/>
          <w:sz w:val="24"/>
          <w:szCs w:val="24"/>
          <w:highlight w:val="cyan"/>
        </w:rPr>
      </w:pPr>
    </w:p>
    <w:p w14:paraId="57054F20" w14:textId="77777777" w:rsidR="00225BEA" w:rsidRPr="00344890" w:rsidRDefault="00225BEA" w:rsidP="009822FC">
      <w:pPr>
        <w:pStyle w:val="Prrafodelista"/>
        <w:tabs>
          <w:tab w:val="left" w:pos="567"/>
        </w:tabs>
        <w:spacing w:line="360" w:lineRule="auto"/>
        <w:ind w:left="567" w:right="567"/>
        <w:jc w:val="both"/>
        <w:rPr>
          <w:rFonts w:ascii="Palatino Linotype" w:hAnsi="Palatino Linotype"/>
          <w:i/>
          <w:sz w:val="22"/>
          <w:szCs w:val="22"/>
        </w:rPr>
      </w:pPr>
      <w:r w:rsidRPr="00344890">
        <w:rPr>
          <w:rFonts w:ascii="Palatino Linotype" w:hAnsi="Palatino Linotype"/>
          <w:i/>
          <w:sz w:val="22"/>
          <w:szCs w:val="22"/>
        </w:rPr>
        <w:t>“Época: Décima</w:t>
      </w:r>
    </w:p>
    <w:p w14:paraId="01B961FC" w14:textId="77777777" w:rsidR="00225BEA" w:rsidRPr="00344890" w:rsidRDefault="00225BEA" w:rsidP="009822FC">
      <w:pPr>
        <w:pStyle w:val="Prrafodelista"/>
        <w:tabs>
          <w:tab w:val="left" w:pos="567"/>
        </w:tabs>
        <w:spacing w:line="360" w:lineRule="auto"/>
        <w:ind w:left="567" w:right="567"/>
        <w:jc w:val="both"/>
        <w:rPr>
          <w:rFonts w:ascii="Palatino Linotype" w:hAnsi="Palatino Linotype"/>
          <w:i/>
          <w:sz w:val="22"/>
          <w:szCs w:val="22"/>
        </w:rPr>
      </w:pPr>
      <w:r w:rsidRPr="00344890">
        <w:rPr>
          <w:rFonts w:ascii="Palatino Linotype" w:hAnsi="Palatino Linotype"/>
          <w:i/>
          <w:sz w:val="22"/>
          <w:szCs w:val="22"/>
        </w:rPr>
        <w:t>Registro: 2000365</w:t>
      </w:r>
    </w:p>
    <w:p w14:paraId="3FF0AE7A" w14:textId="77777777" w:rsidR="00225BEA" w:rsidRPr="00344890" w:rsidRDefault="00225BEA" w:rsidP="009822FC">
      <w:pPr>
        <w:pStyle w:val="Prrafodelista"/>
        <w:tabs>
          <w:tab w:val="left" w:pos="567"/>
        </w:tabs>
        <w:spacing w:line="360" w:lineRule="auto"/>
        <w:ind w:left="567" w:right="567"/>
        <w:jc w:val="both"/>
        <w:rPr>
          <w:rFonts w:ascii="Palatino Linotype" w:hAnsi="Palatino Linotype"/>
          <w:i/>
          <w:sz w:val="22"/>
          <w:szCs w:val="22"/>
        </w:rPr>
      </w:pPr>
      <w:r w:rsidRPr="00344890">
        <w:rPr>
          <w:rFonts w:ascii="Palatino Linotype" w:hAnsi="Palatino Linotype"/>
          <w:i/>
          <w:sz w:val="22"/>
          <w:szCs w:val="22"/>
        </w:rPr>
        <w:t>Tipo de tesis: Tesis Aislada</w:t>
      </w:r>
    </w:p>
    <w:p w14:paraId="0F62656D" w14:textId="77777777" w:rsidR="00225BEA" w:rsidRPr="00344890" w:rsidRDefault="00225BEA" w:rsidP="009822FC">
      <w:pPr>
        <w:pStyle w:val="Prrafodelista"/>
        <w:tabs>
          <w:tab w:val="left" w:pos="567"/>
        </w:tabs>
        <w:spacing w:line="360" w:lineRule="auto"/>
        <w:ind w:left="567" w:right="567"/>
        <w:jc w:val="both"/>
        <w:rPr>
          <w:rFonts w:ascii="Palatino Linotype" w:hAnsi="Palatino Linotype"/>
          <w:i/>
          <w:sz w:val="22"/>
          <w:szCs w:val="22"/>
        </w:rPr>
      </w:pPr>
      <w:r w:rsidRPr="00344890">
        <w:rPr>
          <w:rFonts w:ascii="Palatino Linotype" w:hAnsi="Palatino Linotype"/>
          <w:i/>
          <w:sz w:val="22"/>
          <w:szCs w:val="22"/>
        </w:rPr>
        <w:t>Fuente: Semanario Judicial de la Federación y su Gaceta</w:t>
      </w:r>
    </w:p>
    <w:p w14:paraId="4CD9CEAE" w14:textId="77777777" w:rsidR="00225BEA" w:rsidRPr="00344890" w:rsidRDefault="00225BEA" w:rsidP="009822FC">
      <w:pPr>
        <w:pStyle w:val="Prrafodelista"/>
        <w:tabs>
          <w:tab w:val="left" w:pos="567"/>
        </w:tabs>
        <w:spacing w:line="360" w:lineRule="auto"/>
        <w:ind w:left="567" w:right="567"/>
        <w:jc w:val="both"/>
        <w:rPr>
          <w:rFonts w:ascii="Palatino Linotype" w:hAnsi="Palatino Linotype"/>
          <w:i/>
          <w:sz w:val="22"/>
          <w:szCs w:val="22"/>
        </w:rPr>
      </w:pPr>
      <w:r w:rsidRPr="00344890">
        <w:rPr>
          <w:rFonts w:ascii="Palatino Linotype" w:hAnsi="Palatino Linotype"/>
          <w:i/>
          <w:sz w:val="22"/>
          <w:szCs w:val="22"/>
        </w:rPr>
        <w:t>Libro VI, Marzo de 2012, Tomo 2</w:t>
      </w:r>
    </w:p>
    <w:p w14:paraId="5ADAB902" w14:textId="77777777" w:rsidR="00225BEA" w:rsidRPr="00344890" w:rsidRDefault="00225BEA" w:rsidP="009822FC">
      <w:pPr>
        <w:pStyle w:val="Prrafodelista"/>
        <w:tabs>
          <w:tab w:val="left" w:pos="567"/>
        </w:tabs>
        <w:spacing w:line="360" w:lineRule="auto"/>
        <w:ind w:left="567" w:right="567"/>
        <w:jc w:val="both"/>
        <w:rPr>
          <w:rFonts w:ascii="Palatino Linotype" w:hAnsi="Palatino Linotype"/>
          <w:i/>
          <w:sz w:val="22"/>
          <w:szCs w:val="22"/>
        </w:rPr>
      </w:pPr>
      <w:r w:rsidRPr="00344890">
        <w:rPr>
          <w:rFonts w:ascii="Palatino Linotype" w:hAnsi="Palatino Linotype"/>
          <w:i/>
          <w:sz w:val="22"/>
          <w:szCs w:val="22"/>
        </w:rPr>
        <w:t>Materia (s): Constitucional</w:t>
      </w:r>
    </w:p>
    <w:p w14:paraId="13F86CBA" w14:textId="77777777" w:rsidR="00225BEA" w:rsidRPr="00344890" w:rsidRDefault="00225BEA" w:rsidP="009822FC">
      <w:pPr>
        <w:pStyle w:val="Prrafodelista"/>
        <w:tabs>
          <w:tab w:val="left" w:pos="567"/>
        </w:tabs>
        <w:spacing w:line="360" w:lineRule="auto"/>
        <w:ind w:left="567" w:right="567"/>
        <w:jc w:val="both"/>
        <w:rPr>
          <w:rFonts w:ascii="Palatino Linotype" w:hAnsi="Palatino Linotype"/>
          <w:i/>
          <w:sz w:val="22"/>
          <w:szCs w:val="22"/>
        </w:rPr>
      </w:pPr>
      <w:r w:rsidRPr="00344890">
        <w:rPr>
          <w:rFonts w:ascii="Palatino Linotype" w:hAnsi="Palatino Linotype"/>
          <w:i/>
          <w:sz w:val="22"/>
          <w:szCs w:val="22"/>
        </w:rPr>
        <w:t>Tesis: XVI. 1o.A.T. 2 K</w:t>
      </w:r>
    </w:p>
    <w:p w14:paraId="3C6FDDBC" w14:textId="77777777" w:rsidR="00225BEA" w:rsidRPr="00344890" w:rsidRDefault="00225BEA" w:rsidP="009822FC">
      <w:pPr>
        <w:pStyle w:val="Prrafodelista"/>
        <w:tabs>
          <w:tab w:val="left" w:pos="567"/>
        </w:tabs>
        <w:spacing w:line="360" w:lineRule="auto"/>
        <w:ind w:left="567" w:right="567"/>
        <w:jc w:val="both"/>
        <w:rPr>
          <w:rFonts w:ascii="Palatino Linotype" w:hAnsi="Palatino Linotype"/>
          <w:i/>
          <w:sz w:val="22"/>
          <w:szCs w:val="22"/>
        </w:rPr>
      </w:pPr>
      <w:r w:rsidRPr="00344890">
        <w:rPr>
          <w:rFonts w:ascii="Palatino Linotype" w:hAnsi="Palatino Linotype"/>
          <w:i/>
          <w:sz w:val="22"/>
          <w:szCs w:val="22"/>
        </w:rPr>
        <w:t>Página: 1167</w:t>
      </w:r>
    </w:p>
    <w:p w14:paraId="2A9A37AF" w14:textId="77777777" w:rsidR="00225BEA" w:rsidRPr="00344890" w:rsidRDefault="00225BEA" w:rsidP="009822FC">
      <w:pPr>
        <w:tabs>
          <w:tab w:val="left" w:pos="567"/>
        </w:tabs>
        <w:spacing w:after="0" w:line="360" w:lineRule="auto"/>
        <w:ind w:left="567" w:right="567"/>
        <w:jc w:val="both"/>
        <w:rPr>
          <w:rFonts w:ascii="Palatino Linotype" w:hAnsi="Palatino Linotype"/>
          <w:b/>
          <w:bCs/>
          <w:i/>
          <w:lang w:eastAsia="es-MX"/>
        </w:rPr>
      </w:pPr>
      <w:r w:rsidRPr="00344890">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79570BDD" w14:textId="77777777" w:rsidR="00225BEA" w:rsidRPr="00344890" w:rsidRDefault="00225BEA" w:rsidP="009822FC">
      <w:pPr>
        <w:pStyle w:val="Prrafodelista"/>
        <w:tabs>
          <w:tab w:val="left" w:pos="567"/>
        </w:tabs>
        <w:autoSpaceDE w:val="0"/>
        <w:autoSpaceDN w:val="0"/>
        <w:adjustRightInd w:val="0"/>
        <w:spacing w:line="360" w:lineRule="auto"/>
        <w:ind w:left="567" w:right="567"/>
        <w:jc w:val="both"/>
        <w:rPr>
          <w:rFonts w:ascii="Palatino Linotype" w:hAnsi="Palatino Linotype"/>
          <w:i/>
          <w:sz w:val="22"/>
          <w:szCs w:val="22"/>
        </w:rPr>
      </w:pPr>
      <w:r w:rsidRPr="00344890">
        <w:rPr>
          <w:rFonts w:ascii="Palatino Linotype" w:hAnsi="Palatino Linotype"/>
          <w:i/>
          <w:sz w:val="22"/>
          <w:szCs w:val="22"/>
        </w:rPr>
        <w:t>Del examen de compatibilidad de los artículos</w:t>
      </w:r>
      <w:r w:rsidRPr="00344890">
        <w:rPr>
          <w:rStyle w:val="apple-converted-space"/>
          <w:rFonts w:ascii="Palatino Linotype" w:hAnsi="Palatino Linotype"/>
          <w:i/>
          <w:sz w:val="22"/>
          <w:szCs w:val="22"/>
        </w:rPr>
        <w:t> </w:t>
      </w:r>
      <w:hyperlink r:id="rId8" w:history="1">
        <w:r w:rsidRPr="00344890">
          <w:rPr>
            <w:rStyle w:val="Hipervnculo"/>
            <w:rFonts w:ascii="Palatino Linotype" w:eastAsia="Calibri" w:hAnsi="Palatino Linotype"/>
            <w:i/>
            <w:color w:val="000000" w:themeColor="text1"/>
            <w:sz w:val="22"/>
            <w:szCs w:val="22"/>
          </w:rPr>
          <w:t>73 y 74 de la Ley de Amparo</w:t>
        </w:r>
      </w:hyperlink>
      <w:r w:rsidRPr="00344890">
        <w:rPr>
          <w:rStyle w:val="apple-converted-space"/>
          <w:rFonts w:ascii="Palatino Linotype" w:hAnsi="Palatino Linotype"/>
          <w:i/>
          <w:color w:val="000000" w:themeColor="text1"/>
          <w:sz w:val="22"/>
          <w:szCs w:val="22"/>
        </w:rPr>
        <w:t> </w:t>
      </w:r>
      <w:r w:rsidRPr="00344890">
        <w:rPr>
          <w:rFonts w:ascii="Palatino Linotype" w:hAnsi="Palatino Linotype"/>
          <w:i/>
          <w:color w:val="000000" w:themeColor="text1"/>
          <w:sz w:val="22"/>
          <w:szCs w:val="22"/>
        </w:rPr>
        <w:t>con el artículo</w:t>
      </w:r>
      <w:r w:rsidRPr="00344890">
        <w:rPr>
          <w:rStyle w:val="apple-converted-space"/>
          <w:rFonts w:ascii="Palatino Linotype" w:hAnsi="Palatino Linotype"/>
          <w:i/>
          <w:color w:val="000000" w:themeColor="text1"/>
          <w:sz w:val="22"/>
          <w:szCs w:val="22"/>
        </w:rPr>
        <w:t> </w:t>
      </w:r>
      <w:hyperlink r:id="rId9" w:history="1">
        <w:r w:rsidRPr="00344890">
          <w:rPr>
            <w:rStyle w:val="Hipervnculo"/>
            <w:rFonts w:ascii="Palatino Linotype" w:eastAsia="Calibri" w:hAnsi="Palatino Linotype"/>
            <w:i/>
            <w:color w:val="000000" w:themeColor="text1"/>
            <w:sz w:val="22"/>
            <w:szCs w:val="22"/>
          </w:rPr>
          <w:t>25.1 de la Convención Americana sobre Derechos Humanos</w:t>
        </w:r>
      </w:hyperlink>
      <w:r w:rsidRPr="00344890">
        <w:rPr>
          <w:rStyle w:val="apple-converted-space"/>
          <w:rFonts w:ascii="Palatino Linotype" w:hAnsi="Palatino Linotype"/>
          <w:i/>
          <w:sz w:val="22"/>
          <w:szCs w:val="22"/>
        </w:rPr>
        <w:t> </w:t>
      </w:r>
      <w:r w:rsidRPr="00344890">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4489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6F0E94" w14:textId="77777777" w:rsidR="00225BEA" w:rsidRPr="00344890" w:rsidRDefault="00225BEA" w:rsidP="009822FC">
      <w:pPr>
        <w:tabs>
          <w:tab w:val="left" w:pos="567"/>
        </w:tabs>
        <w:spacing w:after="0" w:line="360" w:lineRule="auto"/>
        <w:ind w:left="567" w:right="567"/>
        <w:jc w:val="both"/>
        <w:rPr>
          <w:rFonts w:ascii="Palatino Linotype" w:eastAsia="Times New Roman" w:hAnsi="Palatino Linotype" w:cs="Times New Roman"/>
          <w:i/>
          <w:color w:val="000000"/>
          <w:lang w:eastAsia="es-MX"/>
        </w:rPr>
      </w:pPr>
      <w:r w:rsidRPr="00344890">
        <w:rPr>
          <w:rFonts w:ascii="Palatino Linotype" w:eastAsia="Times New Roman" w:hAnsi="Palatino Linotype" w:cs="Times New Roman"/>
          <w:i/>
          <w:color w:val="000000"/>
          <w:lang w:eastAsia="es-MX"/>
        </w:rPr>
        <w:t>PRIMER TRIBUNAL COLEGIADO EN MATERIAS ADMINISTRATIVA Y DE TRABAJO DEL DÉCIMO SEXTO CIRCUITO.</w:t>
      </w:r>
    </w:p>
    <w:p w14:paraId="0E8F0FD2" w14:textId="77777777" w:rsidR="00225BEA" w:rsidRPr="00344890" w:rsidRDefault="00225BEA" w:rsidP="009822FC">
      <w:pPr>
        <w:tabs>
          <w:tab w:val="left" w:pos="567"/>
        </w:tabs>
        <w:spacing w:after="0" w:line="360" w:lineRule="auto"/>
        <w:ind w:left="851" w:right="851"/>
        <w:jc w:val="both"/>
        <w:rPr>
          <w:rFonts w:ascii="Palatino Linotype" w:eastAsia="Times New Roman" w:hAnsi="Palatino Linotype" w:cs="Times New Roman"/>
          <w:i/>
          <w:color w:val="444444"/>
          <w:lang w:eastAsia="es-MX"/>
        </w:rPr>
      </w:pPr>
      <w:r w:rsidRPr="00344890">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215EACC7" w14:textId="77777777" w:rsidR="00225BEA" w:rsidRPr="00344890" w:rsidRDefault="00225BEA" w:rsidP="009822FC">
      <w:pPr>
        <w:tabs>
          <w:tab w:val="left" w:pos="567"/>
        </w:tabs>
        <w:spacing w:after="0" w:line="360" w:lineRule="auto"/>
        <w:ind w:left="567" w:right="567"/>
        <w:jc w:val="both"/>
        <w:rPr>
          <w:rFonts w:ascii="Palatino Linotype" w:eastAsia="Times New Roman" w:hAnsi="Palatino Linotype" w:cs="Times New Roman"/>
          <w:b/>
          <w:bCs/>
          <w:i/>
          <w:color w:val="444444"/>
          <w:lang w:eastAsia="es-MX"/>
        </w:rPr>
      </w:pPr>
      <w:r w:rsidRPr="00344890">
        <w:rPr>
          <w:rFonts w:ascii="Palatino Linotype" w:eastAsia="Times New Roman" w:hAnsi="Palatino Linotype" w:cs="Times New Roman"/>
          <w:i/>
          <w:color w:val="444444"/>
          <w:lang w:eastAsia="es-MX"/>
        </w:rPr>
        <w:lastRenderedPageBreak/>
        <w:t xml:space="preserve">Amparo en revisión 526/2011. Juan Valencia Fernández. 4 de noviembre de 2011. Unanimidad de votos. Ponente: Ariel Alberto Rojas Caballero. Secretaria: Silvia Vidal </w:t>
      </w:r>
      <w:proofErr w:type="spellStart"/>
      <w:r w:rsidRPr="00344890">
        <w:rPr>
          <w:rFonts w:ascii="Palatino Linotype" w:eastAsia="Times New Roman" w:hAnsi="Palatino Linotype" w:cs="Times New Roman"/>
          <w:i/>
          <w:color w:val="444444"/>
          <w:lang w:eastAsia="es-MX"/>
        </w:rPr>
        <w:t>Vidal</w:t>
      </w:r>
      <w:proofErr w:type="spellEnd"/>
      <w:r w:rsidRPr="00344890">
        <w:rPr>
          <w:rFonts w:ascii="Palatino Linotype" w:eastAsia="Times New Roman" w:hAnsi="Palatino Linotype" w:cs="Times New Roman"/>
          <w:i/>
          <w:color w:val="444444"/>
          <w:lang w:eastAsia="es-MX"/>
        </w:rPr>
        <w:t xml:space="preserve">.” </w:t>
      </w:r>
      <w:r w:rsidRPr="00344890">
        <w:rPr>
          <w:rFonts w:ascii="Palatino Linotype" w:eastAsia="Times New Roman" w:hAnsi="Palatino Linotype" w:cs="Times New Roman"/>
          <w:b/>
          <w:bCs/>
          <w:i/>
          <w:color w:val="444444"/>
          <w:lang w:eastAsia="es-MX"/>
        </w:rPr>
        <w:t>[Sic]</w:t>
      </w:r>
    </w:p>
    <w:p w14:paraId="62721AB7" w14:textId="77777777" w:rsidR="00225BEA" w:rsidRDefault="00225BEA" w:rsidP="009822FC">
      <w:pPr>
        <w:pStyle w:val="Prrafodelista"/>
        <w:autoSpaceDE w:val="0"/>
        <w:autoSpaceDN w:val="0"/>
        <w:adjustRightInd w:val="0"/>
        <w:spacing w:line="360" w:lineRule="auto"/>
        <w:ind w:left="0"/>
        <w:jc w:val="both"/>
        <w:rPr>
          <w:rFonts w:ascii="Palatino Linotype" w:hAnsi="Palatino Linotype" w:cs="Arial"/>
        </w:rPr>
      </w:pPr>
    </w:p>
    <w:p w14:paraId="6EDEC6D4" w14:textId="5D5A0B58" w:rsidR="00C928A3" w:rsidRDefault="00C928A3" w:rsidP="009822F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737EA98D" w14:textId="77777777" w:rsidR="00C928A3" w:rsidRDefault="00C928A3" w:rsidP="00C928A3">
      <w:pPr>
        <w:pStyle w:val="Prrafodelista"/>
        <w:autoSpaceDE w:val="0"/>
        <w:autoSpaceDN w:val="0"/>
        <w:adjustRightInd w:val="0"/>
        <w:spacing w:line="360" w:lineRule="auto"/>
        <w:ind w:left="0"/>
        <w:jc w:val="both"/>
        <w:rPr>
          <w:rFonts w:ascii="Palatino Linotype" w:hAnsi="Palatino Linotype" w:cs="Arial"/>
        </w:rPr>
      </w:pPr>
    </w:p>
    <w:p w14:paraId="5D3B6DD9" w14:textId="77777777" w:rsidR="00C928A3" w:rsidRDefault="00C928A3" w:rsidP="00C928A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p>
    <w:p w14:paraId="4BF1FFC3" w14:textId="77777777" w:rsidR="00C928A3" w:rsidRDefault="00C928A3" w:rsidP="00C928A3">
      <w:pPr>
        <w:pStyle w:val="Prrafodelista"/>
        <w:autoSpaceDE w:val="0"/>
        <w:autoSpaceDN w:val="0"/>
        <w:adjustRightInd w:val="0"/>
        <w:spacing w:line="360" w:lineRule="auto"/>
        <w:ind w:left="0"/>
        <w:jc w:val="both"/>
        <w:rPr>
          <w:rFonts w:ascii="Palatino Linotype" w:hAnsi="Palatino Linotype" w:cs="Arial"/>
        </w:rPr>
      </w:pPr>
    </w:p>
    <w:p w14:paraId="1DEDC531" w14:textId="77777777" w:rsidR="00C928A3" w:rsidRPr="0095340D" w:rsidRDefault="00C928A3" w:rsidP="00C928A3">
      <w:pPr>
        <w:pStyle w:val="Prrafodelista"/>
        <w:autoSpaceDE w:val="0"/>
        <w:autoSpaceDN w:val="0"/>
        <w:adjustRightInd w:val="0"/>
        <w:spacing w:line="360" w:lineRule="auto"/>
        <w:ind w:left="0"/>
        <w:jc w:val="both"/>
        <w:rPr>
          <w:rFonts w:ascii="Palatino Linotype" w:hAnsi="Palatino Linotype" w:cs="Arial"/>
        </w:rPr>
      </w:pPr>
      <w:r w:rsidRPr="0095340D">
        <w:rPr>
          <w:rFonts w:ascii="Palatino Linotype" w:hAnsi="Palatino Linotype" w:cs="Arial"/>
        </w:rPr>
        <w:t>Ya que el planteamiento del problema es de toral importancia, a efecto de determinar la intención o voluntad de</w:t>
      </w:r>
      <w:r>
        <w:rPr>
          <w:rFonts w:ascii="Palatino Linotype" w:hAnsi="Palatino Linotype" w:cs="Arial"/>
        </w:rPr>
        <w:t xml:space="preserve"> </w:t>
      </w:r>
      <w:r w:rsidRPr="0095340D">
        <w:rPr>
          <w:rFonts w:ascii="Palatino Linotype" w:hAnsi="Palatino Linotype" w:cs="Arial"/>
        </w:rPr>
        <w:t>l</w:t>
      </w:r>
      <w:r>
        <w:rPr>
          <w:rFonts w:ascii="Palatino Linotype" w:hAnsi="Palatino Linotype" w:cs="Arial"/>
        </w:rPr>
        <w:t>a parte</w:t>
      </w:r>
      <w:r w:rsidRPr="0095340D">
        <w:rPr>
          <w:rFonts w:ascii="Palatino Linotype" w:hAnsi="Palatino Linotype" w:cs="Arial"/>
        </w:rPr>
        <w:t xml:space="preserve"> recurrente a la luz de la interpretación de las solicitudes de información, y que puede generar de forma objetiva y material el sujeto </w:t>
      </w:r>
      <w:r w:rsidRPr="0095340D">
        <w:rPr>
          <w:rFonts w:ascii="Palatino Linotype" w:hAnsi="Palatino Linotype" w:cs="Arial"/>
        </w:rPr>
        <w:lastRenderedPageBreak/>
        <w:t>obligado que se relacione con esa intención, respecto del presente asunto se realiza a continuación.</w:t>
      </w:r>
    </w:p>
    <w:p w14:paraId="45B2AB1D" w14:textId="77777777" w:rsidR="00C928A3" w:rsidRPr="0095340D" w:rsidRDefault="00C928A3" w:rsidP="00C928A3">
      <w:pPr>
        <w:pStyle w:val="Sinespaciado"/>
        <w:spacing w:line="360" w:lineRule="auto"/>
      </w:pPr>
    </w:p>
    <w:p w14:paraId="725B47DB" w14:textId="77777777" w:rsidR="00C928A3" w:rsidRPr="0095340D" w:rsidRDefault="00C928A3" w:rsidP="00C928A3">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La Ley de Transparencia de la entidad, en su artículo 192, contempla la figura jurídica del sobreseimiento, y específicamente en sus hipótesis inmersas en la fracción I, refieren que se sobreseerá el asunto cuando </w:t>
      </w:r>
      <w:r>
        <w:rPr>
          <w:rFonts w:ascii="Palatino Linotype" w:hAnsi="Palatino Linotype" w:cs="Arial"/>
          <w:b/>
          <w:sz w:val="24"/>
          <w:szCs w:val="24"/>
        </w:rPr>
        <w:t>e</w:t>
      </w:r>
      <w:r w:rsidRPr="0095340D">
        <w:rPr>
          <w:rFonts w:ascii="Palatino Linotype" w:hAnsi="Palatino Linotype" w:cs="Arial"/>
          <w:b/>
          <w:sz w:val="24"/>
          <w:szCs w:val="24"/>
        </w:rPr>
        <w:t>l Recurrente</w:t>
      </w:r>
      <w:r w:rsidRPr="0095340D">
        <w:rPr>
          <w:rFonts w:ascii="Palatino Linotype" w:hAnsi="Palatino Linotype" w:cs="Arial"/>
          <w:sz w:val="24"/>
          <w:szCs w:val="24"/>
        </w:rPr>
        <w:t xml:space="preserve"> </w:t>
      </w:r>
      <w:r w:rsidRPr="0095340D">
        <w:rPr>
          <w:rFonts w:ascii="Palatino Linotype" w:hAnsi="Palatino Linotype" w:cs="Arial"/>
          <w:b/>
          <w:sz w:val="24"/>
          <w:szCs w:val="24"/>
          <w:u w:val="single"/>
        </w:rPr>
        <w:t>se desista expresamente del recurso</w:t>
      </w:r>
      <w:r w:rsidRPr="0095340D">
        <w:rPr>
          <w:rFonts w:ascii="Palatino Linotype" w:hAnsi="Palatino Linotype" w:cs="Arial"/>
          <w:sz w:val="24"/>
          <w:szCs w:val="24"/>
        </w:rPr>
        <w:t>.</w:t>
      </w:r>
    </w:p>
    <w:p w14:paraId="32E091F9" w14:textId="77777777" w:rsidR="00C928A3" w:rsidRPr="0095340D" w:rsidRDefault="00C928A3" w:rsidP="00C928A3">
      <w:pPr>
        <w:pStyle w:val="Sinespaciado"/>
        <w:spacing w:line="360" w:lineRule="auto"/>
      </w:pPr>
    </w:p>
    <w:p w14:paraId="6C4CC935" w14:textId="067946CD" w:rsidR="00C928A3" w:rsidRDefault="00C928A3" w:rsidP="00C928A3">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Así, para que se tenga por desistido bastará con que </w:t>
      </w:r>
      <w:r>
        <w:rPr>
          <w:rFonts w:ascii="Palatino Linotype" w:hAnsi="Palatino Linotype" w:cs="Arial"/>
          <w:sz w:val="24"/>
          <w:szCs w:val="24"/>
        </w:rPr>
        <w:t>los recurrentes</w:t>
      </w:r>
      <w:r w:rsidRPr="0095340D">
        <w:rPr>
          <w:rFonts w:ascii="Palatino Linotype" w:hAnsi="Palatino Linotype" w:cs="Arial"/>
          <w:sz w:val="24"/>
          <w:szCs w:val="24"/>
        </w:rPr>
        <w:t xml:space="preserve"> expresamente se desista</w:t>
      </w:r>
      <w:r>
        <w:rPr>
          <w:rFonts w:ascii="Palatino Linotype" w:hAnsi="Palatino Linotype" w:cs="Arial"/>
          <w:sz w:val="24"/>
          <w:szCs w:val="24"/>
        </w:rPr>
        <w:t>n</w:t>
      </w:r>
      <w:r w:rsidRPr="0095340D">
        <w:rPr>
          <w:rFonts w:ascii="Palatino Linotype" w:hAnsi="Palatino Linotype" w:cs="Arial"/>
          <w:sz w:val="24"/>
          <w:szCs w:val="24"/>
        </w:rPr>
        <w:t xml:space="preserve"> del recurso de revisión promovido, lo cual es a todas luces evidente que se actualiza en el presente asunto, como se observa en el </w:t>
      </w:r>
      <w:r w:rsidRPr="00E246C3">
        <w:rPr>
          <w:rFonts w:ascii="Palatino Linotype" w:hAnsi="Palatino Linotype" w:cs="Arial"/>
          <w:sz w:val="24"/>
        </w:rPr>
        <w:t>Sistema de Acceso a la Información Mexiquense (</w:t>
      </w:r>
      <w:r w:rsidRPr="00E246C3">
        <w:rPr>
          <w:rFonts w:ascii="Palatino Linotype" w:eastAsia="Calibri" w:hAnsi="Palatino Linotype" w:cs="Times New Roman"/>
          <w:sz w:val="24"/>
          <w:szCs w:val="24"/>
        </w:rPr>
        <w:t>SAIMEX)</w:t>
      </w:r>
      <w:r w:rsidRPr="0095340D">
        <w:rPr>
          <w:rFonts w:ascii="Palatino Linotype" w:hAnsi="Palatino Linotype" w:cs="Arial"/>
          <w:sz w:val="24"/>
          <w:szCs w:val="24"/>
        </w:rPr>
        <w:t xml:space="preserve">, </w:t>
      </w:r>
      <w:r>
        <w:rPr>
          <w:rFonts w:ascii="Palatino Linotype" w:hAnsi="Palatino Linotype" w:cs="Arial"/>
          <w:sz w:val="24"/>
          <w:szCs w:val="24"/>
        </w:rPr>
        <w:t xml:space="preserve">toda vez que </w:t>
      </w:r>
      <w:r w:rsidRPr="00F777A0">
        <w:rPr>
          <w:rFonts w:ascii="Palatino Linotype" w:hAnsi="Palatino Linotype" w:cs="Arial"/>
          <w:b/>
          <w:sz w:val="24"/>
          <w:szCs w:val="24"/>
        </w:rPr>
        <w:t>e</w:t>
      </w:r>
      <w:r w:rsidR="00247A80">
        <w:rPr>
          <w:rFonts w:ascii="Palatino Linotype" w:hAnsi="Palatino Linotype" w:cs="Arial"/>
          <w:b/>
          <w:sz w:val="24"/>
          <w:szCs w:val="24"/>
        </w:rPr>
        <w:t>l</w:t>
      </w:r>
      <w:r w:rsidRPr="00F777A0">
        <w:rPr>
          <w:rFonts w:ascii="Palatino Linotype" w:hAnsi="Palatino Linotype" w:cs="Arial"/>
          <w:b/>
          <w:sz w:val="24"/>
          <w:szCs w:val="24"/>
        </w:rPr>
        <w:t xml:space="preserve"> </w:t>
      </w:r>
      <w:r w:rsidRPr="0095340D">
        <w:rPr>
          <w:rFonts w:ascii="Palatino Linotype" w:hAnsi="Palatino Linotype" w:cs="Arial"/>
          <w:b/>
          <w:sz w:val="24"/>
          <w:szCs w:val="24"/>
        </w:rPr>
        <w:t>Recurrente</w:t>
      </w:r>
      <w:r w:rsidRPr="0095340D">
        <w:rPr>
          <w:rFonts w:ascii="Palatino Linotype" w:hAnsi="Palatino Linotype" w:cs="Arial"/>
          <w:sz w:val="24"/>
          <w:szCs w:val="24"/>
        </w:rPr>
        <w:t>,</w:t>
      </w:r>
      <w:r w:rsidRPr="0095340D">
        <w:rPr>
          <w:rFonts w:ascii="Palatino Linotype" w:hAnsi="Palatino Linotype" w:cs="Arial"/>
          <w:b/>
          <w:sz w:val="24"/>
          <w:szCs w:val="24"/>
        </w:rPr>
        <w:t xml:space="preserve"> </w:t>
      </w:r>
      <w:r w:rsidRPr="0095340D">
        <w:rPr>
          <w:rFonts w:ascii="Palatino Linotype" w:hAnsi="Palatino Linotype" w:cs="Arial"/>
          <w:sz w:val="24"/>
          <w:szCs w:val="24"/>
        </w:rPr>
        <w:t xml:space="preserve">en fecha </w:t>
      </w:r>
      <w:r w:rsidR="00247A80" w:rsidRPr="00247A80">
        <w:rPr>
          <w:rFonts w:ascii="Palatino Linotype" w:hAnsi="Palatino Linotype" w:cs="Arial"/>
          <w:b/>
          <w:bCs/>
          <w:sz w:val="24"/>
          <w:szCs w:val="24"/>
        </w:rPr>
        <w:t>veintidós</w:t>
      </w:r>
      <w:r>
        <w:rPr>
          <w:rFonts w:ascii="Palatino Linotype" w:hAnsi="Palatino Linotype" w:cs="Arial"/>
          <w:b/>
          <w:sz w:val="24"/>
          <w:szCs w:val="24"/>
        </w:rPr>
        <w:t xml:space="preserve"> de octubre de dos mil veintiuno</w:t>
      </w:r>
      <w:r w:rsidRPr="0095340D">
        <w:rPr>
          <w:rFonts w:ascii="Palatino Linotype" w:hAnsi="Palatino Linotype" w:cs="Arial"/>
          <w:sz w:val="24"/>
          <w:szCs w:val="24"/>
        </w:rPr>
        <w:t xml:space="preserve">, </w:t>
      </w:r>
      <w:r>
        <w:rPr>
          <w:rFonts w:ascii="Palatino Linotype" w:hAnsi="Palatino Linotype" w:cs="Arial"/>
          <w:sz w:val="24"/>
          <w:szCs w:val="24"/>
        </w:rPr>
        <w:t xml:space="preserve">realizo el movimiento de Desistimiento del Recurso de Revisión, en el que una vez requisitados el apartado correspondiente, se puede observar  en la columna de requerimientos y respuesta fue registrado </w:t>
      </w:r>
      <w:r w:rsidRPr="005950BC">
        <w:rPr>
          <w:rFonts w:ascii="Palatino Linotype" w:hAnsi="Palatino Linotype" w:cs="Arial"/>
          <w:b/>
          <w:i/>
          <w:sz w:val="24"/>
          <w:szCs w:val="24"/>
        </w:rPr>
        <w:t>“recurso de revisión desistido”</w:t>
      </w:r>
      <w:r w:rsidRPr="007C1B8F">
        <w:rPr>
          <w:rFonts w:ascii="Palatino Linotype" w:hAnsi="Palatino Linotype" w:cs="Arial"/>
          <w:i/>
          <w:sz w:val="24"/>
          <w:szCs w:val="24"/>
        </w:rPr>
        <w:t xml:space="preserve"> </w:t>
      </w:r>
      <w:r>
        <w:rPr>
          <w:rFonts w:ascii="Palatino Linotype" w:hAnsi="Palatino Linotype" w:cs="Arial"/>
          <w:sz w:val="24"/>
          <w:szCs w:val="24"/>
        </w:rPr>
        <w:t>aunado a  su</w:t>
      </w:r>
      <w:r w:rsidRPr="0095340D">
        <w:rPr>
          <w:rFonts w:ascii="Palatino Linotype" w:hAnsi="Palatino Linotype" w:cs="Arial"/>
          <w:sz w:val="24"/>
          <w:szCs w:val="24"/>
        </w:rPr>
        <w:t xml:space="preserve"> manifestación</w:t>
      </w:r>
      <w:r>
        <w:rPr>
          <w:rFonts w:ascii="Palatino Linotype" w:hAnsi="Palatino Linotype" w:cs="Arial"/>
          <w:sz w:val="24"/>
          <w:szCs w:val="24"/>
        </w:rPr>
        <w:t xml:space="preserve"> de</w:t>
      </w:r>
      <w:r w:rsidRPr="0095340D">
        <w:rPr>
          <w:rFonts w:ascii="Palatino Linotype" w:hAnsi="Palatino Linotype" w:cs="Arial"/>
          <w:sz w:val="24"/>
          <w:szCs w:val="24"/>
        </w:rPr>
        <w:t xml:space="preserve">: </w:t>
      </w:r>
      <w:r w:rsidRPr="0095340D">
        <w:rPr>
          <w:rFonts w:ascii="Palatino Linotype" w:hAnsi="Palatino Linotype" w:cs="Arial"/>
          <w:b/>
          <w:sz w:val="24"/>
          <w:szCs w:val="24"/>
          <w:u w:val="single"/>
        </w:rPr>
        <w:t>“</w:t>
      </w:r>
      <w:r w:rsidR="00247A80" w:rsidRPr="00247A80">
        <w:rPr>
          <w:rFonts w:ascii="Palatino Linotype" w:hAnsi="Palatino Linotype" w:cs="Arial"/>
          <w:b/>
          <w:sz w:val="24"/>
          <w:szCs w:val="24"/>
          <w:u w:val="single"/>
        </w:rPr>
        <w:t>Con fundamento en lo dispuesto en el artículo 192 fracción I de la Ley de Transparencia y Acceso a la Información Pública del Estado de México y Municipios en relación con los diversos 132 fracción I y 133 del Código de Procedimientos Administrativos del Estado de México, de aplicación supletoria en la materia, me permito manifestar expresamente mi deseo y voluntad de desistir en mi inconformidad presentada ante la respuesta emitida por el Sujeto Obligado a mi solicitud de información número 00175/IXTLAHUA/IP/2021, por así convenir a mis intereses.</w:t>
      </w:r>
      <w:r w:rsidRPr="0095340D">
        <w:rPr>
          <w:rFonts w:ascii="Palatino Linotype" w:hAnsi="Palatino Linotype" w:cs="Arial"/>
          <w:b/>
          <w:sz w:val="24"/>
          <w:szCs w:val="24"/>
          <w:u w:val="single"/>
        </w:rPr>
        <w:t xml:space="preserve">” </w:t>
      </w:r>
      <w:r w:rsidRPr="0095340D">
        <w:rPr>
          <w:rFonts w:ascii="Palatino Linotype" w:hAnsi="Palatino Linotype" w:cs="Arial"/>
          <w:sz w:val="24"/>
          <w:szCs w:val="24"/>
        </w:rPr>
        <w:t>(Sic).</w:t>
      </w:r>
    </w:p>
    <w:p w14:paraId="58CFE898" w14:textId="65242A30" w:rsidR="00C928A3" w:rsidRPr="0095340D" w:rsidRDefault="009822FC" w:rsidP="00C928A3">
      <w:pPr>
        <w:tabs>
          <w:tab w:val="left" w:pos="709"/>
        </w:tabs>
        <w:spacing w:after="0" w:line="360" w:lineRule="auto"/>
        <w:jc w:val="center"/>
        <w:rPr>
          <w:rFonts w:ascii="Palatino Linotype" w:hAnsi="Palatino Linotype" w:cs="Arial"/>
          <w:sz w:val="24"/>
          <w:szCs w:val="24"/>
        </w:rPr>
      </w:pPr>
      <w:r w:rsidRPr="0065213F">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3D74080F" wp14:editId="41A35A57">
                <wp:simplePos x="0" y="0"/>
                <wp:positionH relativeFrom="column">
                  <wp:posOffset>462280</wp:posOffset>
                </wp:positionH>
                <wp:positionV relativeFrom="paragraph">
                  <wp:posOffset>1626235</wp:posOffset>
                </wp:positionV>
                <wp:extent cx="4905375" cy="20002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4905375" cy="2000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0970E" id="Rectángulo 7" o:spid="_x0000_s1026" style="position:absolute;margin-left:36.4pt;margin-top:128.05pt;width:386.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" filled="f" strokecolor="red" strokeweight="1.5pt"/>
            </w:pict>
          </mc:Fallback>
        </mc:AlternateContent>
      </w:r>
      <w:r w:rsidR="00B8582B">
        <w:rPr>
          <w:rFonts w:ascii="Palatino Linotype" w:hAnsi="Palatino Linotype" w:cs="Arial"/>
          <w:noProof/>
          <w:sz w:val="24"/>
          <w:szCs w:val="24"/>
          <w:lang w:eastAsia="es-MX"/>
        </w:rPr>
        <w:drawing>
          <wp:inline distT="0" distB="0" distL="0" distR="0" wp14:anchorId="073F5B67" wp14:editId="2A5D261B">
            <wp:extent cx="5486400" cy="3179504"/>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1468" cy="3194031"/>
                    </a:xfrm>
                    <a:prstGeom prst="rect">
                      <a:avLst/>
                    </a:prstGeom>
                    <a:noFill/>
                    <a:ln>
                      <a:noFill/>
                    </a:ln>
                  </pic:spPr>
                </pic:pic>
              </a:graphicData>
            </a:graphic>
          </wp:inline>
        </w:drawing>
      </w:r>
    </w:p>
    <w:p w14:paraId="3B1AF040" w14:textId="77777777" w:rsidR="00C928A3" w:rsidRPr="0095340D" w:rsidRDefault="00C928A3" w:rsidP="00C928A3">
      <w:pPr>
        <w:tabs>
          <w:tab w:val="left" w:pos="709"/>
        </w:tabs>
        <w:spacing w:after="0" w:line="360" w:lineRule="auto"/>
        <w:jc w:val="both"/>
        <w:rPr>
          <w:rFonts w:ascii="Palatino Linotype" w:hAnsi="Palatino Linotype" w:cs="Arial"/>
          <w:sz w:val="24"/>
          <w:szCs w:val="24"/>
        </w:rPr>
      </w:pPr>
    </w:p>
    <w:p w14:paraId="137FA9B5" w14:textId="52B51882" w:rsidR="00C928A3" w:rsidRPr="0095340D" w:rsidRDefault="00C928A3" w:rsidP="00C928A3">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En ese orden de ideas, se entiende que </w:t>
      </w:r>
      <w:r w:rsidRPr="00176577">
        <w:rPr>
          <w:rFonts w:ascii="Palatino Linotype" w:hAnsi="Palatino Linotype" w:cs="Arial"/>
          <w:b/>
          <w:sz w:val="24"/>
          <w:szCs w:val="24"/>
        </w:rPr>
        <w:t>e</w:t>
      </w:r>
      <w:r w:rsidR="009822FC">
        <w:rPr>
          <w:rFonts w:ascii="Palatino Linotype" w:hAnsi="Palatino Linotype" w:cs="Arial"/>
          <w:b/>
          <w:sz w:val="24"/>
          <w:szCs w:val="24"/>
        </w:rPr>
        <w:t>l</w:t>
      </w:r>
      <w:r w:rsidRPr="0095340D">
        <w:rPr>
          <w:rFonts w:ascii="Palatino Linotype" w:hAnsi="Palatino Linotype" w:cs="Arial"/>
          <w:b/>
          <w:sz w:val="24"/>
          <w:szCs w:val="24"/>
        </w:rPr>
        <w:t xml:space="preserve"> Recurrente</w:t>
      </w:r>
      <w:r w:rsidRPr="0095340D">
        <w:rPr>
          <w:rFonts w:ascii="Palatino Linotype" w:hAnsi="Palatino Linotype" w:cs="Arial"/>
          <w:sz w:val="24"/>
          <w:szCs w:val="24"/>
        </w:rPr>
        <w:t>, de propia voluntad, sin existir coacción o dolo, en ejercicio de sus derechos, se desiste del presente recurso en que se actúa,</w:t>
      </w:r>
      <w:r>
        <w:rPr>
          <w:rFonts w:ascii="Palatino Linotype" w:hAnsi="Palatino Linotype" w:cs="Arial"/>
          <w:sz w:val="24"/>
          <w:szCs w:val="24"/>
        </w:rPr>
        <w:t xml:space="preserve"> toda vez que e</w:t>
      </w:r>
      <w:r w:rsidR="009822FC">
        <w:rPr>
          <w:rFonts w:ascii="Palatino Linotype" w:hAnsi="Palatino Linotype" w:cs="Arial"/>
          <w:sz w:val="24"/>
          <w:szCs w:val="24"/>
        </w:rPr>
        <w:t>l</w:t>
      </w:r>
      <w:r>
        <w:rPr>
          <w:rFonts w:ascii="Palatino Linotype" w:hAnsi="Palatino Linotype" w:cs="Arial"/>
          <w:sz w:val="24"/>
          <w:szCs w:val="24"/>
        </w:rPr>
        <w:t xml:space="preserve"> Recurrente en fecha </w:t>
      </w:r>
      <w:r w:rsidR="009822FC">
        <w:rPr>
          <w:rFonts w:ascii="Palatino Linotype" w:hAnsi="Palatino Linotype" w:cs="Arial"/>
          <w:sz w:val="24"/>
          <w:szCs w:val="24"/>
        </w:rPr>
        <w:t>veintidós</w:t>
      </w:r>
      <w:r>
        <w:rPr>
          <w:rFonts w:ascii="Palatino Linotype" w:hAnsi="Palatino Linotype" w:cs="Arial"/>
          <w:sz w:val="24"/>
          <w:szCs w:val="24"/>
        </w:rPr>
        <w:t xml:space="preserve"> de octubre de dos mil veintiuno, registra el movimiento de desistimiento del recurso de revisión en el status del seguimiento del </w:t>
      </w:r>
      <w:r w:rsidRPr="00E246C3">
        <w:rPr>
          <w:rFonts w:ascii="Palatino Linotype" w:hAnsi="Palatino Linotype" w:cs="Arial"/>
          <w:sz w:val="24"/>
        </w:rPr>
        <w:t>Sistema de Acceso a la Información Mexiquense (</w:t>
      </w:r>
      <w:r w:rsidRPr="00E246C3">
        <w:rPr>
          <w:rFonts w:ascii="Palatino Linotype" w:eastAsia="Calibri" w:hAnsi="Palatino Linotype" w:cs="Times New Roman"/>
          <w:sz w:val="24"/>
          <w:szCs w:val="24"/>
        </w:rPr>
        <w:t>SAIMEX)</w:t>
      </w:r>
      <w:r>
        <w:rPr>
          <w:rFonts w:ascii="Palatino Linotype" w:eastAsia="Calibri" w:hAnsi="Palatino Linotype" w:cs="Times New Roman"/>
          <w:sz w:val="24"/>
          <w:szCs w:val="24"/>
        </w:rPr>
        <w:t xml:space="preserve">, </w:t>
      </w:r>
      <w:r>
        <w:rPr>
          <w:rFonts w:ascii="Palatino Linotype" w:hAnsi="Palatino Linotype" w:cs="Arial"/>
          <w:sz w:val="24"/>
          <w:szCs w:val="24"/>
        </w:rPr>
        <w:t xml:space="preserve">por lo que una vez que requisito  el apartado correspondiente, el mismo fue cargado o agregado al Seguimiento del Expediente </w:t>
      </w:r>
      <w:r w:rsidRPr="00FC71F1">
        <w:rPr>
          <w:rFonts w:ascii="Palatino Linotype" w:hAnsi="Palatino Linotype" w:cs="Arial"/>
          <w:b/>
          <w:bCs/>
          <w:sz w:val="24"/>
          <w:lang w:eastAsia="es-MX"/>
        </w:rPr>
        <w:t>0</w:t>
      </w:r>
      <w:r>
        <w:rPr>
          <w:rFonts w:ascii="Palatino Linotype" w:hAnsi="Palatino Linotype" w:cs="Arial"/>
          <w:b/>
          <w:bCs/>
          <w:sz w:val="24"/>
          <w:lang w:eastAsia="es-MX"/>
        </w:rPr>
        <w:t>5</w:t>
      </w:r>
      <w:r w:rsidR="009822FC">
        <w:rPr>
          <w:rFonts w:ascii="Palatino Linotype" w:hAnsi="Palatino Linotype" w:cs="Arial"/>
          <w:b/>
          <w:bCs/>
          <w:sz w:val="24"/>
          <w:lang w:eastAsia="es-MX"/>
        </w:rPr>
        <w:t>210</w:t>
      </w:r>
      <w:r w:rsidRPr="00FC71F1">
        <w:rPr>
          <w:rFonts w:ascii="Palatino Linotype" w:hAnsi="Palatino Linotype" w:cs="Arial"/>
          <w:b/>
          <w:bCs/>
          <w:sz w:val="24"/>
          <w:lang w:eastAsia="es-MX"/>
        </w:rPr>
        <w:t>/INFOEM/IP/RR/2021</w:t>
      </w:r>
      <w:r>
        <w:rPr>
          <w:rFonts w:ascii="Palatino Linotype" w:eastAsia="Calibri" w:hAnsi="Palatino Linotype" w:cs="Times New Roman"/>
          <w:sz w:val="24"/>
          <w:szCs w:val="24"/>
        </w:rPr>
        <w:t xml:space="preserve">, </w:t>
      </w:r>
      <w:r w:rsidRPr="0095340D">
        <w:rPr>
          <w:rFonts w:ascii="Palatino Linotype" w:hAnsi="Palatino Linotype" w:cs="Arial"/>
          <w:sz w:val="24"/>
          <w:szCs w:val="24"/>
        </w:rPr>
        <w:t xml:space="preserve">por lo que se procede a la valoración, respecto de si el </w:t>
      </w:r>
      <w:r w:rsidRPr="0095340D">
        <w:rPr>
          <w:rFonts w:ascii="Palatino Linotype" w:hAnsi="Palatino Linotype" w:cs="Arial"/>
          <w:b/>
          <w:i/>
          <w:sz w:val="24"/>
          <w:szCs w:val="24"/>
        </w:rPr>
        <w:t>desistimiento</w:t>
      </w:r>
      <w:r w:rsidRPr="0095340D">
        <w:rPr>
          <w:rFonts w:ascii="Palatino Linotype" w:hAnsi="Palatino Linotype" w:cs="Arial"/>
          <w:sz w:val="24"/>
          <w:szCs w:val="24"/>
        </w:rPr>
        <w:t xml:space="preserve"> cumple con lo establecido en la fracción I, del artículo 192, de la Ley de Transparencia, Acceso a la Información Pública y Protección de Datos Personales del Estado de México y Municipios.</w:t>
      </w:r>
    </w:p>
    <w:p w14:paraId="239E5228" w14:textId="77777777" w:rsidR="00C928A3" w:rsidRPr="0095340D" w:rsidRDefault="00C928A3" w:rsidP="00C928A3">
      <w:pPr>
        <w:tabs>
          <w:tab w:val="left" w:pos="709"/>
        </w:tabs>
        <w:spacing w:after="0" w:line="360" w:lineRule="auto"/>
        <w:jc w:val="both"/>
        <w:rPr>
          <w:rFonts w:ascii="Palatino Linotype" w:hAnsi="Palatino Linotype" w:cs="Arial"/>
          <w:sz w:val="24"/>
          <w:szCs w:val="24"/>
        </w:rPr>
      </w:pPr>
    </w:p>
    <w:p w14:paraId="0BC2945D" w14:textId="685771E2" w:rsidR="00C928A3" w:rsidRDefault="00C928A3" w:rsidP="00C928A3">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En primer lugar, habrá que señalarse que el desistimiento, es la </w:t>
      </w:r>
      <w:r w:rsidRPr="0095340D">
        <w:rPr>
          <w:rFonts w:ascii="Palatino Linotype" w:hAnsi="Palatino Linotype" w:cs="Arial"/>
          <w:i/>
          <w:sz w:val="24"/>
          <w:szCs w:val="24"/>
        </w:rPr>
        <w:t>terminación anormal de un proceso, por el que el actor manifiesta su voluntad de abandonar su pretensión</w:t>
      </w:r>
      <w:r w:rsidRPr="0095340D">
        <w:rPr>
          <w:rFonts w:ascii="Palatino Linotype" w:hAnsi="Palatino Linotype" w:cs="Arial"/>
          <w:sz w:val="24"/>
          <w:szCs w:val="24"/>
        </w:rPr>
        <w:t xml:space="preserve">; lo que en </w:t>
      </w:r>
      <w:r w:rsidRPr="0095340D">
        <w:rPr>
          <w:rFonts w:ascii="Palatino Linotype" w:hAnsi="Palatino Linotype" w:cs="Arial"/>
          <w:sz w:val="24"/>
          <w:szCs w:val="24"/>
        </w:rPr>
        <w:lastRenderedPageBreak/>
        <w:t xml:space="preserve">el caso concreto ha de entenderse como la renuncia que hace </w:t>
      </w:r>
      <w:r w:rsidRPr="00176577">
        <w:rPr>
          <w:rFonts w:ascii="Palatino Linotype" w:hAnsi="Palatino Linotype" w:cs="Arial"/>
          <w:b/>
          <w:sz w:val="24"/>
          <w:szCs w:val="24"/>
        </w:rPr>
        <w:t>e</w:t>
      </w:r>
      <w:r w:rsidR="009822FC">
        <w:rPr>
          <w:rFonts w:ascii="Palatino Linotype" w:hAnsi="Palatino Linotype" w:cs="Arial"/>
          <w:b/>
          <w:sz w:val="24"/>
          <w:szCs w:val="24"/>
        </w:rPr>
        <w:t>l</w:t>
      </w:r>
      <w:r w:rsidRPr="00176577">
        <w:rPr>
          <w:rFonts w:ascii="Palatino Linotype" w:hAnsi="Palatino Linotype" w:cs="Arial"/>
          <w:b/>
          <w:sz w:val="24"/>
          <w:szCs w:val="24"/>
        </w:rPr>
        <w:t xml:space="preserve"> r</w:t>
      </w:r>
      <w:r w:rsidRPr="0095340D">
        <w:rPr>
          <w:rFonts w:ascii="Palatino Linotype" w:hAnsi="Palatino Linotype" w:cs="Arial"/>
          <w:b/>
          <w:sz w:val="24"/>
          <w:szCs w:val="24"/>
        </w:rPr>
        <w:t xml:space="preserve">ecurrente </w:t>
      </w:r>
      <w:r w:rsidRPr="0095340D">
        <w:rPr>
          <w:rFonts w:ascii="Palatino Linotype" w:hAnsi="Palatino Linotype" w:cs="Arial"/>
          <w:sz w:val="24"/>
          <w:szCs w:val="24"/>
        </w:rPr>
        <w:t xml:space="preserve">a la pretensión procesal que dio origen al recurso, ocasionando la culminación del mismo; se precisa que no existe momento procesal alguno para realizarlo, por lo que el mismo se podrá </w:t>
      </w:r>
      <w:r>
        <w:rPr>
          <w:rFonts w:ascii="Palatino Linotype" w:hAnsi="Palatino Linotype" w:cs="Arial"/>
          <w:sz w:val="24"/>
          <w:szCs w:val="24"/>
        </w:rPr>
        <w:t xml:space="preserve">interponer en cualquier momento, teniendo como consecuencia el sobreseimiento del asunto, lo anterior tiene sustento en la tesis con número de registro digital </w:t>
      </w:r>
      <w:r w:rsidRPr="00D75925">
        <w:rPr>
          <w:rFonts w:ascii="Palatino Linotype" w:hAnsi="Palatino Linotype" w:cs="Arial"/>
          <w:sz w:val="24"/>
          <w:szCs w:val="24"/>
        </w:rPr>
        <w:t>228307</w:t>
      </w:r>
      <w:r>
        <w:rPr>
          <w:rFonts w:ascii="Palatino Linotype" w:hAnsi="Palatino Linotype" w:cs="Arial"/>
          <w:sz w:val="24"/>
          <w:szCs w:val="24"/>
        </w:rPr>
        <w:t xml:space="preserve">, del </w:t>
      </w:r>
      <w:r w:rsidRPr="00D75925">
        <w:rPr>
          <w:rFonts w:ascii="Palatino Linotype" w:hAnsi="Palatino Linotype" w:cs="Arial"/>
          <w:sz w:val="24"/>
          <w:szCs w:val="24"/>
        </w:rPr>
        <w:t>Sema</w:t>
      </w:r>
      <w:r>
        <w:rPr>
          <w:rFonts w:ascii="Palatino Linotype" w:hAnsi="Palatino Linotype" w:cs="Arial"/>
          <w:sz w:val="24"/>
          <w:szCs w:val="24"/>
        </w:rPr>
        <w:t xml:space="preserve">nario Judicial de la Federación, </w:t>
      </w:r>
      <w:r w:rsidRPr="00D75925">
        <w:rPr>
          <w:rFonts w:ascii="Palatino Linotype" w:hAnsi="Palatino Linotype" w:cs="Arial"/>
          <w:sz w:val="24"/>
          <w:szCs w:val="24"/>
        </w:rPr>
        <w:t>Tomo III, Segunda Parte-1, Enero-Junio de 1989, página 272</w:t>
      </w:r>
      <w:r>
        <w:rPr>
          <w:rFonts w:ascii="Palatino Linotype" w:hAnsi="Palatino Linotype" w:cs="Arial"/>
          <w:sz w:val="24"/>
          <w:szCs w:val="24"/>
        </w:rPr>
        <w:t>, que es del tenor literal siguiente:</w:t>
      </w:r>
    </w:p>
    <w:p w14:paraId="42C2605E" w14:textId="77777777" w:rsidR="00C928A3" w:rsidRPr="00D75925" w:rsidRDefault="00C928A3" w:rsidP="00C928A3">
      <w:pPr>
        <w:shd w:val="clear" w:color="auto" w:fill="FFFFFF"/>
        <w:spacing w:before="100" w:beforeAutospacing="1" w:after="100" w:afterAutospacing="1" w:line="240" w:lineRule="auto"/>
        <w:ind w:left="567" w:right="567"/>
        <w:jc w:val="both"/>
        <w:rPr>
          <w:rFonts w:ascii="Palatino Linotype" w:eastAsia="Times New Roman" w:hAnsi="Palatino Linotype" w:cs="Times New Roman"/>
          <w:b/>
          <w:bCs/>
          <w:i/>
          <w:color w:val="212529"/>
          <w:lang w:eastAsia="es-MX"/>
        </w:rPr>
      </w:pPr>
      <w:r w:rsidRPr="00D75925">
        <w:rPr>
          <w:rFonts w:ascii="Palatino Linotype" w:eastAsia="Times New Roman" w:hAnsi="Palatino Linotype" w:cs="Times New Roman"/>
          <w:b/>
          <w:bCs/>
          <w:i/>
          <w:color w:val="212529"/>
          <w:lang w:eastAsia="es-MX"/>
        </w:rPr>
        <w:t>DESISTIMIENTO DEL RECURSO DE REVISION. CONSECUENCIAS.</w:t>
      </w:r>
    </w:p>
    <w:p w14:paraId="35F7D2E9" w14:textId="77777777" w:rsidR="00C928A3" w:rsidRPr="00D75925" w:rsidRDefault="00C928A3" w:rsidP="00C928A3">
      <w:pPr>
        <w:shd w:val="clear" w:color="auto" w:fill="FFFFFF"/>
        <w:spacing w:before="100" w:beforeAutospacing="1" w:after="100" w:afterAutospacing="1" w:line="240" w:lineRule="auto"/>
        <w:ind w:left="567" w:right="567"/>
        <w:jc w:val="both"/>
        <w:rPr>
          <w:rFonts w:ascii="Palatino Linotype" w:eastAsia="Times New Roman" w:hAnsi="Palatino Linotype" w:cs="Times New Roman"/>
          <w:i/>
          <w:color w:val="212529"/>
          <w:lang w:eastAsia="es-MX"/>
        </w:rPr>
      </w:pPr>
      <w:r w:rsidRPr="00D75925">
        <w:rPr>
          <w:rFonts w:ascii="Palatino Linotype" w:eastAsia="Times New Roman" w:hAnsi="Palatino Linotype" w:cs="Times New Roman"/>
          <w:i/>
          <w:color w:val="212529"/>
          <w:lang w:eastAsia="es-MX"/>
        </w:rPr>
        <w:t xml:space="preserve">La Suprema Corte de Justicia de la Nación ha considerado que sí es factible el desistimiento de los recursos cuando la segunda instancia se abre a solicitud de la parte quejosa y ésta desiste del recurso intentado (Tesis jurisprudencial 129, Apéndice 1985, Octava Parte, página ciento noventa y tres). Estimarlo en sentido contrario, implicaría una injusticia, pues sin provecho para ninguna de las partes, se obligaría al recurrente a litigar en una instancia en la que ya no tiene ningún interés y que pudiera serle perjudicial en un momento dado. Sin embargo, la consecuencia del multicitado desistimiento, en forma alguna puede ser el sobreseimiento en el juicio de garantías como lo solicita el revisionista, en atención a las siguientes consideraciones: según la doctrina, el desistimiento es la abdicación o el abandono de algún derecho; la renuncia de una convención empezada a ejecutar; la deserción de la apelación de una sentencia; el apartamiento de la acción y demanda, acusación o querella. Ese acto </w:t>
      </w:r>
      <w:proofErr w:type="spellStart"/>
      <w:r w:rsidRPr="00D75925">
        <w:rPr>
          <w:rFonts w:ascii="Palatino Linotype" w:eastAsia="Times New Roman" w:hAnsi="Palatino Linotype" w:cs="Times New Roman"/>
          <w:i/>
          <w:color w:val="212529"/>
          <w:lang w:eastAsia="es-MX"/>
        </w:rPr>
        <w:t>abdicatorio</w:t>
      </w:r>
      <w:proofErr w:type="spellEnd"/>
      <w:r w:rsidRPr="00D75925">
        <w:rPr>
          <w:rFonts w:ascii="Palatino Linotype" w:eastAsia="Times New Roman" w:hAnsi="Palatino Linotype" w:cs="Times New Roman"/>
          <w:i/>
          <w:color w:val="212529"/>
          <w:lang w:eastAsia="es-MX"/>
        </w:rPr>
        <w:t xml:space="preserve"> implica, por lógica, el reconocimiento de un derecho a demandar, apelar o querellarse. Por ende, mediante el desistimiento, el actor manifiesta su voluntad de abandonar el ejercicio de ese derecho a demandar, apelar o a querellarse lo que se traduce, por supuesto, en no querer ya continuar con la acción la apelación o la realización de cualquier otro trámite de un procedimiento iniciado. Por tanto, y en congruencia con lo anterior, el desistimiento de una demanda como significa el de la acción que dio origen a un juicio, traerá como consecuencia el sobreseimiento en dicho juicio y el multicitado desistimiento sólo puede proceder cuando aún no se ha dictado sentencia en el mismo; o cuando, habiéndose dictado, esa sentencia le haya sido favorable al actor; pues sólo así se entiende que se puede renunciar, a través de ese acto procesal (el desistimiento), a algo que se tiene en el patrimonio o esfera jurídica: en el primer caso, el derecho a que se dicte una sentencia que puede ser favorable para las pretensiones del actor; en el segundo, al derecho que se tiene de solicitar la ejecución de esa resolución que fue benigna. Pero, si el desistimiento lo es de un recurso, que se interpuso para impugnar </w:t>
      </w:r>
      <w:r w:rsidRPr="00D75925">
        <w:rPr>
          <w:rFonts w:ascii="Palatino Linotype" w:eastAsia="Times New Roman" w:hAnsi="Palatino Linotype" w:cs="Times New Roman"/>
          <w:i/>
          <w:color w:val="212529"/>
          <w:lang w:eastAsia="es-MX"/>
        </w:rPr>
        <w:lastRenderedPageBreak/>
        <w:t>un fallo que se dictó en contra del recurrente, el desistimiento de ese recurso no puede traer aparejado el sobreseimiento en el juicio cuya resolución es objeto precisamente de dicho recurso, porque en esa primera instancia no tiene más derecho que el de recurrir una sentencia que le fue adversa. Sólo se puede abandonar lo que se tiene; en el caso, una pretensión litigiosa en segunda instancia de un posible triunfo de su recurso de revisión, en el que pide al superior jerárquico del a quo, la revocación de la sentencia y la concesión del amparo. No es posible, entonces, aceptar que como consecuencia del desistimiento del recurso, se sobresea el juicio en el que se declaró constitucional el acto reclamado; es decir, en el que resultó perdidoso el quejoso. Luego entonces, como lo único que puede pretender abandonar es la continuación del procedimiento de la segunda instancia, ese desistimiento sólo debe producir la renuncia del acto procesal realizado: la interposición del recurso de revisión y la tramitación que haya habido en el mismo. Pero el fallo emitido por el juez del conocimiento debe quedar firme para declararse, en su caso, ejecutoriado. Así lo ha sostenido el más alto tribunal de la República, en la tesis jurisprudencial antes invocada, cuyo rubro es: "Desistimiento del recurso de revisión".</w:t>
      </w:r>
    </w:p>
    <w:p w14:paraId="7F630989" w14:textId="77777777" w:rsidR="00C928A3" w:rsidRPr="00D75925" w:rsidRDefault="00C928A3" w:rsidP="00C928A3">
      <w:pPr>
        <w:shd w:val="clear" w:color="auto" w:fill="FFFFFF"/>
        <w:spacing w:after="0" w:line="240" w:lineRule="auto"/>
        <w:ind w:left="567" w:right="567"/>
        <w:jc w:val="both"/>
        <w:rPr>
          <w:rFonts w:ascii="Palatino Linotype" w:eastAsia="Times New Roman" w:hAnsi="Palatino Linotype" w:cs="Times New Roman"/>
          <w:i/>
          <w:color w:val="212529"/>
          <w:lang w:eastAsia="es-MX"/>
        </w:rPr>
      </w:pPr>
    </w:p>
    <w:p w14:paraId="1571C542" w14:textId="77777777" w:rsidR="00C928A3" w:rsidRPr="00D75925" w:rsidRDefault="00C928A3" w:rsidP="00C928A3">
      <w:pPr>
        <w:shd w:val="clear" w:color="auto" w:fill="FFFFFF"/>
        <w:spacing w:before="100" w:beforeAutospacing="1" w:after="100" w:afterAutospacing="1" w:line="240" w:lineRule="auto"/>
        <w:ind w:left="567" w:right="567"/>
        <w:jc w:val="both"/>
        <w:rPr>
          <w:rFonts w:ascii="Palatino Linotype" w:eastAsia="Times New Roman" w:hAnsi="Palatino Linotype" w:cs="Times New Roman"/>
          <w:i/>
          <w:color w:val="212529"/>
          <w:lang w:eastAsia="es-MX"/>
        </w:rPr>
      </w:pPr>
      <w:r w:rsidRPr="00D75925">
        <w:rPr>
          <w:rFonts w:ascii="Palatino Linotype" w:eastAsia="Times New Roman" w:hAnsi="Palatino Linotype" w:cs="Times New Roman"/>
          <w:i/>
          <w:color w:val="212529"/>
          <w:lang w:eastAsia="es-MX"/>
        </w:rPr>
        <w:t>TERCER TRIBUNAL COLEGIADO EN MATERIA ADMINISTRATIVA DEL PRIMER CIRCUITO.</w:t>
      </w:r>
    </w:p>
    <w:p w14:paraId="48A92B73" w14:textId="77777777" w:rsidR="00C928A3" w:rsidRPr="00D75925" w:rsidRDefault="00C928A3" w:rsidP="00C928A3">
      <w:pPr>
        <w:shd w:val="clear" w:color="auto" w:fill="FFFFFF"/>
        <w:spacing w:after="0" w:line="240" w:lineRule="auto"/>
        <w:ind w:left="567" w:right="567"/>
        <w:jc w:val="both"/>
        <w:rPr>
          <w:rFonts w:ascii="Palatino Linotype" w:eastAsia="Times New Roman" w:hAnsi="Palatino Linotype" w:cs="Times New Roman"/>
          <w:i/>
          <w:color w:val="212529"/>
          <w:lang w:eastAsia="es-MX"/>
        </w:rPr>
      </w:pPr>
      <w:r w:rsidRPr="00D75925">
        <w:rPr>
          <w:rFonts w:ascii="Palatino Linotype" w:eastAsia="Times New Roman" w:hAnsi="Palatino Linotype" w:cs="Times New Roman"/>
          <w:i/>
          <w:color w:val="212529"/>
          <w:lang w:eastAsia="es-MX"/>
        </w:rPr>
        <w:t>Amparo en revisión 593/89.Grupo Coraza. S.A. de C.V 3 de mayo de 1989. Unanimidad de votos. Ponente: Genaro David Góngora Pimentel. Secretaria: María Guadalupe Saucedo Zavala.</w:t>
      </w:r>
    </w:p>
    <w:p w14:paraId="1CF4B6A4" w14:textId="77777777" w:rsidR="00C928A3" w:rsidRPr="00D75925" w:rsidRDefault="00C928A3" w:rsidP="00C928A3">
      <w:pPr>
        <w:tabs>
          <w:tab w:val="left" w:pos="709"/>
        </w:tabs>
        <w:spacing w:after="0" w:line="360" w:lineRule="auto"/>
        <w:ind w:left="567" w:right="567"/>
        <w:jc w:val="both"/>
        <w:rPr>
          <w:rFonts w:ascii="Palatino Linotype" w:hAnsi="Palatino Linotype" w:cs="Arial"/>
          <w:i/>
        </w:rPr>
      </w:pPr>
    </w:p>
    <w:p w14:paraId="730F7F93" w14:textId="54562FE5" w:rsidR="00C928A3" w:rsidRDefault="00C928A3" w:rsidP="00C928A3">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t xml:space="preserve">En ese tenor de ideas, se precisa que </w:t>
      </w:r>
      <w:r w:rsidRPr="00176577">
        <w:rPr>
          <w:rFonts w:ascii="Palatino Linotype" w:hAnsi="Palatino Linotype" w:cs="Arial"/>
          <w:b/>
          <w:sz w:val="24"/>
          <w:szCs w:val="24"/>
        </w:rPr>
        <w:t>e</w:t>
      </w:r>
      <w:r w:rsidR="009822FC">
        <w:rPr>
          <w:rFonts w:ascii="Palatino Linotype" w:hAnsi="Palatino Linotype" w:cs="Arial"/>
          <w:b/>
          <w:sz w:val="24"/>
          <w:szCs w:val="24"/>
        </w:rPr>
        <w:t>l</w:t>
      </w:r>
      <w:r>
        <w:rPr>
          <w:rFonts w:ascii="Palatino Linotype" w:hAnsi="Palatino Linotype" w:cs="Arial"/>
          <w:sz w:val="24"/>
          <w:szCs w:val="24"/>
        </w:rPr>
        <w:t xml:space="preserve"> </w:t>
      </w:r>
      <w:r w:rsidRPr="0095340D">
        <w:rPr>
          <w:rFonts w:ascii="Palatino Linotype" w:hAnsi="Palatino Linotype" w:cs="Arial"/>
          <w:b/>
          <w:sz w:val="24"/>
          <w:szCs w:val="24"/>
        </w:rPr>
        <w:t>Recurrente</w:t>
      </w:r>
      <w:r w:rsidRPr="0095340D">
        <w:rPr>
          <w:rFonts w:ascii="Palatino Linotype" w:hAnsi="Palatino Linotype" w:cs="Arial"/>
          <w:sz w:val="24"/>
          <w:szCs w:val="24"/>
        </w:rPr>
        <w:t>,</w:t>
      </w:r>
      <w:r w:rsidRPr="0095340D">
        <w:rPr>
          <w:rFonts w:ascii="Palatino Linotype" w:hAnsi="Palatino Linotype" w:cs="Arial"/>
          <w:b/>
          <w:sz w:val="24"/>
          <w:szCs w:val="24"/>
        </w:rPr>
        <w:t xml:space="preserve"> </w:t>
      </w:r>
      <w:r w:rsidRPr="0095340D">
        <w:rPr>
          <w:rFonts w:ascii="Palatino Linotype" w:hAnsi="Palatino Linotype" w:cs="Arial"/>
          <w:sz w:val="24"/>
          <w:szCs w:val="24"/>
        </w:rPr>
        <w:t>con la legitimación activa</w:t>
      </w:r>
      <w:r w:rsidRPr="0095340D">
        <w:rPr>
          <w:rStyle w:val="Refdenotaalpie"/>
          <w:rFonts w:ascii="Palatino Linotype" w:hAnsi="Palatino Linotype" w:cs="Arial"/>
          <w:sz w:val="24"/>
          <w:szCs w:val="24"/>
        </w:rPr>
        <w:footnoteReference w:id="1"/>
      </w:r>
      <w:r w:rsidRPr="0095340D">
        <w:rPr>
          <w:rFonts w:ascii="Palatino Linotype" w:hAnsi="Palatino Linotype" w:cs="Arial"/>
          <w:sz w:val="24"/>
          <w:szCs w:val="24"/>
        </w:rPr>
        <w:t xml:space="preserve"> que debidamente se tiene acreditada en autos, toda vez que es la misma persona que realizó la solicitud de información número </w:t>
      </w:r>
      <w:r w:rsidR="009822FC" w:rsidRPr="009822FC">
        <w:rPr>
          <w:rFonts w:ascii="Palatino Linotype" w:hAnsi="Palatino Linotype" w:cs="Arial"/>
          <w:b/>
          <w:sz w:val="24"/>
        </w:rPr>
        <w:t>00175/IXTLAHUA/IP/2021</w:t>
      </w:r>
      <w:r>
        <w:rPr>
          <w:rFonts w:ascii="Palatino Linotype" w:hAnsi="Palatino Linotype" w:cs="Arial"/>
          <w:b/>
          <w:sz w:val="24"/>
        </w:rPr>
        <w:t xml:space="preserve">, </w:t>
      </w:r>
      <w:r w:rsidRPr="0095340D">
        <w:rPr>
          <w:rFonts w:ascii="Palatino Linotype" w:hAnsi="Palatino Linotype" w:cs="Arial"/>
          <w:sz w:val="24"/>
          <w:szCs w:val="24"/>
        </w:rPr>
        <w:t xml:space="preserve">al </w:t>
      </w:r>
      <w:r w:rsidRPr="0095340D">
        <w:rPr>
          <w:rFonts w:ascii="Palatino Linotype" w:hAnsi="Palatino Linotype" w:cs="Arial"/>
          <w:b/>
          <w:sz w:val="24"/>
          <w:szCs w:val="24"/>
        </w:rPr>
        <w:t>Sujeto Obligado</w:t>
      </w:r>
      <w:r w:rsidRPr="0095340D">
        <w:rPr>
          <w:rFonts w:ascii="Palatino Linotype" w:hAnsi="Palatino Linotype" w:cs="Arial"/>
          <w:sz w:val="24"/>
          <w:szCs w:val="24"/>
        </w:rPr>
        <w:t xml:space="preserve">, y quien posteriormente interpuso el presente recurso de revisión número </w:t>
      </w:r>
      <w:r>
        <w:rPr>
          <w:rFonts w:ascii="Palatino Linotype" w:hAnsi="Palatino Linotype" w:cs="Arial"/>
          <w:b/>
          <w:sz w:val="24"/>
          <w:szCs w:val="24"/>
        </w:rPr>
        <w:t>05</w:t>
      </w:r>
      <w:r w:rsidR="009822FC">
        <w:rPr>
          <w:rFonts w:ascii="Palatino Linotype" w:hAnsi="Palatino Linotype" w:cs="Arial"/>
          <w:b/>
          <w:sz w:val="24"/>
          <w:szCs w:val="24"/>
        </w:rPr>
        <w:t>210</w:t>
      </w:r>
      <w:r w:rsidRPr="0095340D">
        <w:rPr>
          <w:rFonts w:ascii="Palatino Linotype" w:hAnsi="Palatino Linotype" w:cs="Arial"/>
          <w:b/>
          <w:sz w:val="24"/>
          <w:szCs w:val="24"/>
        </w:rPr>
        <w:t>/INFOEM/IP/RR/20</w:t>
      </w:r>
      <w:r w:rsidR="009822FC">
        <w:rPr>
          <w:rFonts w:ascii="Palatino Linotype" w:hAnsi="Palatino Linotype" w:cs="Arial"/>
          <w:b/>
          <w:sz w:val="24"/>
          <w:szCs w:val="24"/>
        </w:rPr>
        <w:t>21</w:t>
      </w:r>
      <w:r w:rsidRPr="0095340D">
        <w:rPr>
          <w:rFonts w:ascii="Palatino Linotype" w:hAnsi="Palatino Linotype" w:cs="Arial"/>
          <w:sz w:val="24"/>
          <w:szCs w:val="24"/>
        </w:rPr>
        <w:t xml:space="preserve">, en contra de la respuesta; todo esto </w:t>
      </w:r>
      <w:r w:rsidR="009822FC">
        <w:rPr>
          <w:rFonts w:ascii="Palatino Linotype" w:hAnsi="Palatino Linotype" w:cs="Arial"/>
          <w:sz w:val="24"/>
          <w:szCs w:val="24"/>
        </w:rPr>
        <w:t>como se deriva de</w:t>
      </w:r>
      <w:r w:rsidRPr="0095340D">
        <w:rPr>
          <w:rFonts w:ascii="Palatino Linotype" w:hAnsi="Palatino Linotype" w:cs="Arial"/>
          <w:sz w:val="24"/>
          <w:szCs w:val="24"/>
        </w:rPr>
        <w:t xml:space="preserve"> las </w:t>
      </w:r>
      <w:r w:rsidRPr="0095340D">
        <w:rPr>
          <w:rFonts w:ascii="Palatino Linotype" w:hAnsi="Palatino Linotype" w:cs="Arial"/>
          <w:sz w:val="24"/>
          <w:szCs w:val="24"/>
        </w:rPr>
        <w:lastRenderedPageBreak/>
        <w:t xml:space="preserve">actuaciones que obran en el </w:t>
      </w:r>
      <w:r>
        <w:rPr>
          <w:rFonts w:ascii="Palatino Linotype" w:hAnsi="Palatino Linotype" w:cs="Arial"/>
          <w:sz w:val="24"/>
          <w:szCs w:val="24"/>
        </w:rPr>
        <w:t xml:space="preserve">Sistema de Acceso a la Información Mexiquense (SAIMEX), </w:t>
      </w:r>
      <w:r w:rsidRPr="0095340D">
        <w:rPr>
          <w:rFonts w:ascii="Palatino Linotype" w:hAnsi="Palatino Linotype" w:cs="Arial"/>
          <w:sz w:val="24"/>
          <w:szCs w:val="24"/>
        </w:rPr>
        <w:t>imagen</w:t>
      </w:r>
      <w:r>
        <w:rPr>
          <w:rFonts w:ascii="Palatino Linotype" w:hAnsi="Palatino Linotype" w:cs="Arial"/>
          <w:sz w:val="24"/>
          <w:szCs w:val="24"/>
        </w:rPr>
        <w:t xml:space="preserve"> que se inserta a continuación:</w:t>
      </w:r>
    </w:p>
    <w:p w14:paraId="349E2DFA" w14:textId="77777777" w:rsidR="00C928A3" w:rsidRDefault="00C928A3" w:rsidP="00C928A3">
      <w:pPr>
        <w:tabs>
          <w:tab w:val="left" w:pos="709"/>
        </w:tabs>
        <w:spacing w:after="0" w:line="360" w:lineRule="auto"/>
        <w:jc w:val="both"/>
        <w:rPr>
          <w:rFonts w:ascii="Palatino Linotype" w:hAnsi="Palatino Linotype" w:cs="Arial"/>
          <w:sz w:val="24"/>
          <w:szCs w:val="24"/>
        </w:rPr>
      </w:pPr>
    </w:p>
    <w:p w14:paraId="3356A829" w14:textId="7A770512" w:rsidR="00C928A3" w:rsidRDefault="00417D2C" w:rsidP="00C928A3">
      <w:pPr>
        <w:tabs>
          <w:tab w:val="left" w:pos="709"/>
        </w:tabs>
        <w:spacing w:after="0" w:line="360" w:lineRule="auto"/>
        <w:jc w:val="center"/>
        <w:rPr>
          <w:rFonts w:ascii="Palatino Linotype" w:hAnsi="Palatino Linotype" w:cs="Arial"/>
          <w:sz w:val="24"/>
          <w:szCs w:val="24"/>
        </w:rPr>
      </w:pPr>
      <w:bookmarkStart w:id="0" w:name="_GoBack"/>
      <w:r>
        <w:rPr>
          <w:rFonts w:ascii="Palatino Linotype" w:hAnsi="Palatino Linotype" w:cs="Arial"/>
          <w:noProof/>
          <w:sz w:val="24"/>
          <w:szCs w:val="24"/>
          <w:lang w:eastAsia="es-MX"/>
        </w:rPr>
        <w:drawing>
          <wp:inline distT="0" distB="0" distL="0" distR="0" wp14:anchorId="0F460731" wp14:editId="6D90E3FF">
            <wp:extent cx="5219956" cy="4495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4969" cy="4500118"/>
                    </a:xfrm>
                    <a:prstGeom prst="rect">
                      <a:avLst/>
                    </a:prstGeom>
                    <a:noFill/>
                    <a:ln>
                      <a:noFill/>
                    </a:ln>
                  </pic:spPr>
                </pic:pic>
              </a:graphicData>
            </a:graphic>
          </wp:inline>
        </w:drawing>
      </w:r>
      <w:bookmarkEnd w:id="0"/>
    </w:p>
    <w:p w14:paraId="64B841C0" w14:textId="77777777" w:rsidR="00C928A3" w:rsidRDefault="00C928A3" w:rsidP="00C928A3">
      <w:pPr>
        <w:tabs>
          <w:tab w:val="left" w:pos="709"/>
        </w:tabs>
        <w:spacing w:after="0" w:line="360" w:lineRule="auto"/>
        <w:jc w:val="center"/>
        <w:rPr>
          <w:rFonts w:ascii="Palatino Linotype" w:hAnsi="Palatino Linotype" w:cs="Arial"/>
          <w:sz w:val="24"/>
          <w:szCs w:val="24"/>
        </w:rPr>
      </w:pPr>
    </w:p>
    <w:p w14:paraId="4566FD4A" w14:textId="2182119B" w:rsidR="00C928A3" w:rsidRPr="0095340D" w:rsidRDefault="00C928A3" w:rsidP="00C928A3">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Asimismo, no se debe</w:t>
      </w:r>
      <w:r w:rsidRPr="0095340D">
        <w:rPr>
          <w:rFonts w:ascii="Palatino Linotype" w:hAnsi="Palatino Linotype" w:cs="Arial"/>
          <w:sz w:val="24"/>
          <w:szCs w:val="24"/>
        </w:rPr>
        <w:t xml:space="preserve"> soslayar que la figura del </w:t>
      </w:r>
      <w:r w:rsidRPr="0095340D">
        <w:rPr>
          <w:rFonts w:ascii="Palatino Linotype" w:hAnsi="Palatino Linotype" w:cs="Arial"/>
          <w:b/>
          <w:sz w:val="24"/>
          <w:szCs w:val="24"/>
        </w:rPr>
        <w:t>DESISTIMIENTO</w:t>
      </w:r>
      <w:r w:rsidRPr="0095340D">
        <w:rPr>
          <w:rFonts w:ascii="Palatino Linotype" w:hAnsi="Palatino Linotype" w:cs="Arial"/>
          <w:sz w:val="24"/>
          <w:szCs w:val="24"/>
        </w:rPr>
        <w:t>,</w:t>
      </w:r>
      <w:r w:rsidRPr="0095340D">
        <w:rPr>
          <w:rFonts w:ascii="Palatino Linotype" w:hAnsi="Palatino Linotype" w:cs="Arial"/>
          <w:b/>
          <w:sz w:val="24"/>
          <w:szCs w:val="24"/>
        </w:rPr>
        <w:t xml:space="preserve"> </w:t>
      </w:r>
      <w:r w:rsidRPr="0095340D">
        <w:rPr>
          <w:rFonts w:ascii="Palatino Linotype" w:hAnsi="Palatino Linotype" w:cs="Arial"/>
          <w:sz w:val="24"/>
          <w:szCs w:val="24"/>
        </w:rPr>
        <w:t>tiene como finalidad la interrupción y terminación del procedimiento, sin entrar al estudio, derivado de l</w:t>
      </w:r>
      <w:r>
        <w:rPr>
          <w:rFonts w:ascii="Palatino Linotype" w:hAnsi="Palatino Linotype" w:cs="Arial"/>
          <w:sz w:val="24"/>
          <w:szCs w:val="24"/>
        </w:rPr>
        <w:t xml:space="preserve">a existencia de la renuncia del </w:t>
      </w:r>
      <w:r w:rsidRPr="0095340D">
        <w:rPr>
          <w:rFonts w:ascii="Palatino Linotype" w:hAnsi="Palatino Linotype" w:cs="Arial"/>
          <w:b/>
          <w:sz w:val="24"/>
          <w:szCs w:val="24"/>
        </w:rPr>
        <w:t>Recurrente</w:t>
      </w:r>
      <w:r w:rsidRPr="0095340D">
        <w:rPr>
          <w:rFonts w:ascii="Palatino Linotype" w:hAnsi="Palatino Linotype" w:cs="Arial"/>
          <w:sz w:val="24"/>
          <w:szCs w:val="24"/>
        </w:rPr>
        <w:t xml:space="preserve"> a la sustanciación y resolución del procedimiento, y que dicha renuncia quede firme y con fuerza vinculatoria.</w:t>
      </w:r>
    </w:p>
    <w:p w14:paraId="1B0FE856" w14:textId="77777777" w:rsidR="00C928A3" w:rsidRPr="0095340D" w:rsidRDefault="00C928A3" w:rsidP="00C928A3">
      <w:pPr>
        <w:tabs>
          <w:tab w:val="left" w:pos="709"/>
        </w:tabs>
        <w:spacing w:after="0" w:line="360" w:lineRule="auto"/>
        <w:jc w:val="both"/>
        <w:rPr>
          <w:rFonts w:ascii="Palatino Linotype" w:hAnsi="Palatino Linotype" w:cs="Arial"/>
          <w:sz w:val="24"/>
          <w:szCs w:val="24"/>
        </w:rPr>
      </w:pPr>
    </w:p>
    <w:p w14:paraId="4C50E6A9" w14:textId="688F0682" w:rsidR="00C928A3" w:rsidRDefault="00C928A3" w:rsidP="00C928A3">
      <w:pPr>
        <w:tabs>
          <w:tab w:val="left" w:pos="709"/>
        </w:tabs>
        <w:spacing w:after="0" w:line="360" w:lineRule="auto"/>
        <w:jc w:val="both"/>
        <w:rPr>
          <w:rFonts w:ascii="Palatino Linotype" w:hAnsi="Palatino Linotype" w:cs="Arial"/>
          <w:sz w:val="24"/>
          <w:szCs w:val="24"/>
        </w:rPr>
      </w:pPr>
      <w:r w:rsidRPr="0095340D">
        <w:rPr>
          <w:rFonts w:ascii="Palatino Linotype" w:hAnsi="Palatino Linotype" w:cs="Arial"/>
          <w:sz w:val="24"/>
          <w:szCs w:val="24"/>
        </w:rPr>
        <w:lastRenderedPageBreak/>
        <w:t xml:space="preserve">En consecuencia, al actualizarse lo estipulado en la fracción I, del artículo 192, de la Ley de Transparencia, Acceso a la Información Pública y Protección de Datos Personales del Estado de México y Municipios; lo procedente será </w:t>
      </w:r>
      <w:r w:rsidRPr="0095340D">
        <w:rPr>
          <w:rFonts w:ascii="Palatino Linotype" w:hAnsi="Palatino Linotype" w:cs="Arial"/>
          <w:b/>
          <w:sz w:val="24"/>
          <w:szCs w:val="24"/>
        </w:rPr>
        <w:t xml:space="preserve">SOBRESEER </w:t>
      </w:r>
      <w:r w:rsidRPr="0095340D">
        <w:rPr>
          <w:rFonts w:ascii="Palatino Linotype" w:hAnsi="Palatino Linotype" w:cs="Arial"/>
          <w:sz w:val="24"/>
          <w:szCs w:val="24"/>
        </w:rPr>
        <w:t xml:space="preserve">el recurso de revisión que nos atañe, dado que no es necesario estudiar si existió vulneración en el derecho de acceso a la información pública, en atención </w:t>
      </w:r>
      <w:r w:rsidR="00252397">
        <w:rPr>
          <w:rFonts w:ascii="Palatino Linotype" w:hAnsi="Palatino Linotype" w:cs="Arial"/>
          <w:sz w:val="24"/>
          <w:szCs w:val="24"/>
        </w:rPr>
        <w:t xml:space="preserve">a </w:t>
      </w:r>
      <w:r w:rsidRPr="0095340D">
        <w:rPr>
          <w:rFonts w:ascii="Palatino Linotype" w:hAnsi="Palatino Linotype" w:cs="Arial"/>
          <w:sz w:val="24"/>
          <w:szCs w:val="24"/>
        </w:rPr>
        <w:t xml:space="preserve">que </w:t>
      </w:r>
      <w:r>
        <w:rPr>
          <w:rFonts w:ascii="Palatino Linotype" w:hAnsi="Palatino Linotype" w:cs="Arial"/>
          <w:sz w:val="24"/>
          <w:szCs w:val="24"/>
        </w:rPr>
        <w:t>e</w:t>
      </w:r>
      <w:r w:rsidR="00252397">
        <w:rPr>
          <w:rFonts w:ascii="Palatino Linotype" w:hAnsi="Palatino Linotype" w:cs="Arial"/>
          <w:sz w:val="24"/>
          <w:szCs w:val="24"/>
        </w:rPr>
        <w:t>l</w:t>
      </w:r>
      <w:r w:rsidRPr="0095340D">
        <w:rPr>
          <w:rFonts w:ascii="Palatino Linotype" w:hAnsi="Palatino Linotype" w:cs="Arial"/>
          <w:b/>
          <w:sz w:val="24"/>
          <w:szCs w:val="24"/>
        </w:rPr>
        <w:t xml:space="preserve"> Recurrente</w:t>
      </w:r>
      <w:r w:rsidRPr="0095340D">
        <w:rPr>
          <w:rFonts w:ascii="Palatino Linotype" w:hAnsi="Palatino Linotype" w:cs="Arial"/>
          <w:sz w:val="24"/>
          <w:szCs w:val="24"/>
        </w:rPr>
        <w:t xml:space="preserve"> que presentó el recurso de revisión manifiesta su voluntad de desistirse,</w:t>
      </w:r>
      <w:r>
        <w:rPr>
          <w:rFonts w:ascii="Palatino Linotype" w:hAnsi="Palatino Linotype" w:cs="Arial"/>
          <w:sz w:val="24"/>
          <w:szCs w:val="24"/>
        </w:rPr>
        <w:t xml:space="preserve"> al requisitar el apartado correspondiente al desistimiento, que posteriormente fue cargado, quedando registrado como “Desistimiento del Recurso de Revisión”,</w:t>
      </w:r>
      <w:r w:rsidRPr="0095340D">
        <w:rPr>
          <w:rFonts w:ascii="Palatino Linotype" w:hAnsi="Palatino Linotype" w:cs="Arial"/>
          <w:sz w:val="24"/>
          <w:szCs w:val="24"/>
        </w:rPr>
        <w:t xml:space="preserve"> </w:t>
      </w:r>
      <w:r>
        <w:rPr>
          <w:rFonts w:ascii="Palatino Linotype" w:hAnsi="Palatino Linotype" w:cs="Arial"/>
          <w:sz w:val="24"/>
          <w:szCs w:val="24"/>
        </w:rPr>
        <w:t xml:space="preserve">lo anterior, </w:t>
      </w:r>
      <w:r w:rsidRPr="0095340D">
        <w:rPr>
          <w:rFonts w:ascii="Palatino Linotype" w:hAnsi="Palatino Linotype" w:cs="Arial"/>
          <w:sz w:val="24"/>
          <w:szCs w:val="24"/>
        </w:rPr>
        <w:t>con las co</w:t>
      </w:r>
      <w:r>
        <w:rPr>
          <w:rFonts w:ascii="Palatino Linotype" w:hAnsi="Palatino Linotype" w:cs="Arial"/>
          <w:sz w:val="24"/>
          <w:szCs w:val="24"/>
        </w:rPr>
        <w:t xml:space="preserve">nsecuencias que a ello conlleva, es decir debe tenerse como desistido el presente recurso de revisión, lo anterior tiene sustento en la tesis con número de registro digital </w:t>
      </w:r>
      <w:r>
        <w:rPr>
          <w:rFonts w:ascii="Calibri" w:hAnsi="Calibri"/>
          <w:color w:val="212529"/>
          <w:sz w:val="26"/>
          <w:szCs w:val="26"/>
          <w:shd w:val="clear" w:color="auto" w:fill="FFFFFF"/>
        </w:rPr>
        <w:t>192994</w:t>
      </w:r>
      <w:r>
        <w:rPr>
          <w:rFonts w:ascii="Palatino Linotype" w:hAnsi="Palatino Linotype" w:cs="Arial"/>
          <w:sz w:val="24"/>
          <w:szCs w:val="24"/>
        </w:rPr>
        <w:t xml:space="preserve">, del </w:t>
      </w:r>
      <w:r w:rsidRPr="00D75925">
        <w:rPr>
          <w:rFonts w:ascii="Palatino Linotype" w:hAnsi="Palatino Linotype" w:cs="Arial"/>
          <w:sz w:val="24"/>
          <w:szCs w:val="24"/>
        </w:rPr>
        <w:t>Semanario Judici</w:t>
      </w:r>
      <w:r>
        <w:rPr>
          <w:rFonts w:ascii="Palatino Linotype" w:hAnsi="Palatino Linotype" w:cs="Arial"/>
          <w:sz w:val="24"/>
          <w:szCs w:val="24"/>
        </w:rPr>
        <w:t xml:space="preserve">al de la Federación y su Gaceta, </w:t>
      </w:r>
      <w:r w:rsidRPr="00D75925">
        <w:rPr>
          <w:rFonts w:ascii="Palatino Linotype" w:hAnsi="Palatino Linotype" w:cs="Arial"/>
          <w:sz w:val="24"/>
          <w:szCs w:val="24"/>
        </w:rPr>
        <w:t>Tomo X, Noviembre de 1999, página 391</w:t>
      </w:r>
      <w:r>
        <w:rPr>
          <w:rFonts w:ascii="Palatino Linotype" w:hAnsi="Palatino Linotype" w:cs="Arial"/>
          <w:sz w:val="24"/>
          <w:szCs w:val="24"/>
        </w:rPr>
        <w:t>, la cual es del tenor literal siguiente:</w:t>
      </w:r>
    </w:p>
    <w:p w14:paraId="56ADBCCE" w14:textId="77777777" w:rsidR="00C928A3" w:rsidRDefault="00C928A3" w:rsidP="00C928A3">
      <w:pPr>
        <w:tabs>
          <w:tab w:val="left" w:pos="709"/>
        </w:tabs>
        <w:spacing w:after="0" w:line="360" w:lineRule="auto"/>
        <w:jc w:val="both"/>
        <w:rPr>
          <w:rFonts w:ascii="Palatino Linotype" w:hAnsi="Palatino Linotype" w:cs="Arial"/>
          <w:sz w:val="24"/>
          <w:szCs w:val="24"/>
        </w:rPr>
      </w:pPr>
    </w:p>
    <w:p w14:paraId="62311BC0" w14:textId="77777777" w:rsidR="00C928A3" w:rsidRPr="00D75925" w:rsidRDefault="00C928A3" w:rsidP="00C928A3">
      <w:pPr>
        <w:tabs>
          <w:tab w:val="left" w:pos="709"/>
        </w:tabs>
        <w:spacing w:after="0" w:line="360" w:lineRule="auto"/>
        <w:ind w:left="567" w:right="567"/>
        <w:jc w:val="both"/>
        <w:rPr>
          <w:rFonts w:ascii="Palatino Linotype" w:hAnsi="Palatino Linotype" w:cs="Arial"/>
          <w:b/>
          <w:i/>
          <w:sz w:val="24"/>
          <w:szCs w:val="24"/>
        </w:rPr>
      </w:pPr>
      <w:r w:rsidRPr="00D75925">
        <w:rPr>
          <w:rFonts w:ascii="Palatino Linotype" w:hAnsi="Palatino Linotype" w:cs="Arial"/>
          <w:b/>
          <w:i/>
          <w:sz w:val="24"/>
          <w:szCs w:val="24"/>
        </w:rPr>
        <w:t>REVISIÓN. DESISTIMIENTO DEL RECURSO DE.</w:t>
      </w:r>
    </w:p>
    <w:p w14:paraId="11028AB1" w14:textId="77777777" w:rsidR="00C928A3" w:rsidRPr="00D75925" w:rsidRDefault="00C928A3" w:rsidP="00C928A3">
      <w:pPr>
        <w:tabs>
          <w:tab w:val="left" w:pos="709"/>
        </w:tabs>
        <w:spacing w:after="0" w:line="360" w:lineRule="auto"/>
        <w:ind w:left="567" w:right="567"/>
        <w:jc w:val="both"/>
        <w:rPr>
          <w:rFonts w:ascii="Palatino Linotype" w:hAnsi="Palatino Linotype" w:cs="Arial"/>
          <w:i/>
          <w:sz w:val="24"/>
          <w:szCs w:val="24"/>
        </w:rPr>
      </w:pPr>
    </w:p>
    <w:p w14:paraId="298F5808" w14:textId="77777777" w:rsidR="00C928A3" w:rsidRPr="00252397" w:rsidRDefault="00C928A3" w:rsidP="00C928A3">
      <w:pPr>
        <w:tabs>
          <w:tab w:val="left" w:pos="709"/>
        </w:tabs>
        <w:spacing w:after="0" w:line="360" w:lineRule="auto"/>
        <w:ind w:left="567" w:right="567"/>
        <w:jc w:val="both"/>
        <w:rPr>
          <w:rFonts w:ascii="Palatino Linotype" w:hAnsi="Palatino Linotype" w:cs="Arial"/>
          <w:i/>
        </w:rPr>
      </w:pPr>
      <w:r w:rsidRPr="00252397">
        <w:rPr>
          <w:rFonts w:ascii="Palatino Linotype" w:hAnsi="Palatino Linotype" w:cs="Arial"/>
          <w:i/>
        </w:rPr>
        <w:t>Si en la tramitación del amparo en revisión, que se abre a petición de la parte que se considera agraviada por la sentencia, ésta desiste del recurso intentado en el toca, debe tenérsele por desistida y declarar firme la sentencia recurrida.</w:t>
      </w:r>
    </w:p>
    <w:p w14:paraId="7B30F96E" w14:textId="77777777" w:rsidR="00C928A3" w:rsidRPr="00252397" w:rsidRDefault="00C928A3" w:rsidP="00C928A3">
      <w:pPr>
        <w:tabs>
          <w:tab w:val="left" w:pos="709"/>
        </w:tabs>
        <w:spacing w:after="0" w:line="360" w:lineRule="auto"/>
        <w:ind w:left="567" w:right="567"/>
        <w:jc w:val="both"/>
        <w:rPr>
          <w:rFonts w:ascii="Palatino Linotype" w:hAnsi="Palatino Linotype" w:cs="Arial"/>
          <w:i/>
          <w:sz w:val="20"/>
          <w:szCs w:val="20"/>
        </w:rPr>
      </w:pPr>
    </w:p>
    <w:p w14:paraId="20DDD897" w14:textId="77777777" w:rsidR="00C928A3" w:rsidRPr="00252397" w:rsidRDefault="00C928A3" w:rsidP="00C928A3">
      <w:pPr>
        <w:tabs>
          <w:tab w:val="left" w:pos="709"/>
        </w:tabs>
        <w:spacing w:after="0" w:line="360" w:lineRule="auto"/>
        <w:ind w:left="567" w:right="567"/>
        <w:jc w:val="both"/>
        <w:rPr>
          <w:rFonts w:ascii="Palatino Linotype" w:hAnsi="Palatino Linotype" w:cs="Arial"/>
          <w:i/>
        </w:rPr>
      </w:pPr>
      <w:r w:rsidRPr="00252397">
        <w:rPr>
          <w:rFonts w:ascii="Palatino Linotype" w:hAnsi="Palatino Linotype" w:cs="Arial"/>
          <w:i/>
        </w:rPr>
        <w:t xml:space="preserve">Amparo en revisión 585/84. </w:t>
      </w:r>
      <w:proofErr w:type="spellStart"/>
      <w:r w:rsidRPr="00252397">
        <w:rPr>
          <w:rFonts w:ascii="Palatino Linotype" w:hAnsi="Palatino Linotype" w:cs="Arial"/>
          <w:i/>
        </w:rPr>
        <w:t>Kir</w:t>
      </w:r>
      <w:proofErr w:type="spellEnd"/>
      <w:r w:rsidRPr="00252397">
        <w:rPr>
          <w:rFonts w:ascii="Palatino Linotype" w:hAnsi="Palatino Linotype" w:cs="Arial"/>
          <w:i/>
        </w:rPr>
        <w:t xml:space="preserve"> Alimentos, S.A. de C.V. 29 de marzo de 1989. Cinco votos. Ponente: Salvador Rocha Díaz. Secretario: José Juan Trejo Orduña.</w:t>
      </w:r>
    </w:p>
    <w:p w14:paraId="79CAD46C" w14:textId="77777777" w:rsidR="00C928A3" w:rsidRPr="00252397" w:rsidRDefault="00C928A3" w:rsidP="00C928A3">
      <w:pPr>
        <w:tabs>
          <w:tab w:val="left" w:pos="709"/>
        </w:tabs>
        <w:spacing w:after="0" w:line="360" w:lineRule="auto"/>
        <w:ind w:left="567" w:right="567"/>
        <w:jc w:val="both"/>
        <w:rPr>
          <w:rFonts w:ascii="Palatino Linotype" w:hAnsi="Palatino Linotype" w:cs="Arial"/>
          <w:i/>
          <w:sz w:val="20"/>
          <w:szCs w:val="32"/>
        </w:rPr>
      </w:pPr>
    </w:p>
    <w:p w14:paraId="75441C95" w14:textId="77777777" w:rsidR="00C928A3" w:rsidRPr="00252397" w:rsidRDefault="00C928A3" w:rsidP="00C928A3">
      <w:pPr>
        <w:tabs>
          <w:tab w:val="left" w:pos="709"/>
        </w:tabs>
        <w:spacing w:after="0" w:line="360" w:lineRule="auto"/>
        <w:ind w:left="567" w:right="567"/>
        <w:jc w:val="both"/>
        <w:rPr>
          <w:rFonts w:ascii="Palatino Linotype" w:hAnsi="Palatino Linotype" w:cs="Arial"/>
          <w:i/>
        </w:rPr>
      </w:pPr>
      <w:r w:rsidRPr="00252397">
        <w:rPr>
          <w:rFonts w:ascii="Palatino Linotype" w:hAnsi="Palatino Linotype" w:cs="Arial"/>
          <w:i/>
        </w:rPr>
        <w:t>Amparo en revisión 949/97. Operadora Playa Coral, S.A. de C.V. 7 de enero de 1998. Cinco votos. Ponente: Juventino V. Castro y Castro. Secretario: Hilario Sánchez Cortés.</w:t>
      </w:r>
    </w:p>
    <w:p w14:paraId="510968F4" w14:textId="77777777" w:rsidR="00C928A3" w:rsidRPr="00252397" w:rsidRDefault="00C928A3" w:rsidP="00C928A3">
      <w:pPr>
        <w:tabs>
          <w:tab w:val="left" w:pos="709"/>
        </w:tabs>
        <w:spacing w:after="0" w:line="360" w:lineRule="auto"/>
        <w:ind w:left="567" w:right="567"/>
        <w:jc w:val="both"/>
        <w:rPr>
          <w:rFonts w:ascii="Palatino Linotype" w:hAnsi="Palatino Linotype" w:cs="Arial"/>
          <w:i/>
          <w:sz w:val="12"/>
        </w:rPr>
      </w:pPr>
    </w:p>
    <w:p w14:paraId="710C36F9" w14:textId="77777777" w:rsidR="00C928A3" w:rsidRPr="00252397" w:rsidRDefault="00C928A3" w:rsidP="00C928A3">
      <w:pPr>
        <w:tabs>
          <w:tab w:val="left" w:pos="709"/>
        </w:tabs>
        <w:spacing w:after="0" w:line="360" w:lineRule="auto"/>
        <w:ind w:left="567" w:right="567"/>
        <w:jc w:val="both"/>
        <w:rPr>
          <w:rFonts w:ascii="Palatino Linotype" w:hAnsi="Palatino Linotype" w:cs="Arial"/>
          <w:i/>
        </w:rPr>
      </w:pPr>
      <w:r w:rsidRPr="00252397">
        <w:rPr>
          <w:rFonts w:ascii="Palatino Linotype" w:hAnsi="Palatino Linotype" w:cs="Arial"/>
          <w:i/>
        </w:rPr>
        <w:lastRenderedPageBreak/>
        <w:t xml:space="preserve">Amparo en revisión 2537/96. Maquinaria Ligera </w:t>
      </w:r>
      <w:proofErr w:type="spellStart"/>
      <w:r w:rsidRPr="00252397">
        <w:rPr>
          <w:rFonts w:ascii="Palatino Linotype" w:hAnsi="Palatino Linotype" w:cs="Arial"/>
          <w:i/>
        </w:rPr>
        <w:t>Equinter</w:t>
      </w:r>
      <w:proofErr w:type="spellEnd"/>
      <w:r w:rsidRPr="00252397">
        <w:rPr>
          <w:rFonts w:ascii="Palatino Linotype" w:hAnsi="Palatino Linotype" w:cs="Arial"/>
          <w:i/>
        </w:rPr>
        <w:t>, S.A. de C.V. 6 de mayo de 1998. Unanimidad de cuatro votos. Ausente: José de Jesús Gudiño Pelayo. Ponente: Humberto Román Palacios. Secretario: Manuel Rojas Fonseca.</w:t>
      </w:r>
    </w:p>
    <w:p w14:paraId="7CA5E298" w14:textId="77777777" w:rsidR="00C928A3" w:rsidRPr="00252397" w:rsidRDefault="00C928A3" w:rsidP="00C928A3">
      <w:pPr>
        <w:tabs>
          <w:tab w:val="left" w:pos="709"/>
        </w:tabs>
        <w:spacing w:after="0" w:line="360" w:lineRule="auto"/>
        <w:ind w:left="567" w:right="567"/>
        <w:jc w:val="both"/>
        <w:rPr>
          <w:rFonts w:ascii="Palatino Linotype" w:hAnsi="Palatino Linotype" w:cs="Arial"/>
          <w:i/>
          <w:sz w:val="20"/>
          <w:szCs w:val="32"/>
        </w:rPr>
      </w:pPr>
    </w:p>
    <w:p w14:paraId="02F2D00B" w14:textId="77777777" w:rsidR="00C928A3" w:rsidRPr="00252397" w:rsidRDefault="00C928A3" w:rsidP="00C928A3">
      <w:pPr>
        <w:tabs>
          <w:tab w:val="left" w:pos="709"/>
        </w:tabs>
        <w:spacing w:after="0" w:line="360" w:lineRule="auto"/>
        <w:ind w:left="567" w:right="567"/>
        <w:jc w:val="both"/>
        <w:rPr>
          <w:rFonts w:ascii="Palatino Linotype" w:hAnsi="Palatino Linotype" w:cs="Arial"/>
          <w:i/>
        </w:rPr>
      </w:pPr>
      <w:r w:rsidRPr="00252397">
        <w:rPr>
          <w:rFonts w:ascii="Palatino Linotype" w:hAnsi="Palatino Linotype" w:cs="Arial"/>
          <w:i/>
        </w:rPr>
        <w:t>Amparo en revisión 2665/98. José Raúl Plasencia. 28 de abril de 1999. Cinco votos. Ponente: José de Jesús Gudiño Pelayo. Secretario: Miguel Ángel Ramírez González.</w:t>
      </w:r>
    </w:p>
    <w:p w14:paraId="3823DBFC" w14:textId="77777777" w:rsidR="00C928A3" w:rsidRPr="00252397" w:rsidRDefault="00C928A3" w:rsidP="00C928A3">
      <w:pPr>
        <w:tabs>
          <w:tab w:val="left" w:pos="709"/>
        </w:tabs>
        <w:spacing w:after="0" w:line="360" w:lineRule="auto"/>
        <w:ind w:left="567" w:right="567"/>
        <w:jc w:val="both"/>
        <w:rPr>
          <w:rFonts w:ascii="Palatino Linotype" w:hAnsi="Palatino Linotype" w:cs="Arial"/>
          <w:i/>
          <w:sz w:val="20"/>
          <w:szCs w:val="32"/>
        </w:rPr>
      </w:pPr>
    </w:p>
    <w:p w14:paraId="52BB2FE9" w14:textId="77777777" w:rsidR="00C928A3" w:rsidRPr="00252397" w:rsidRDefault="00C928A3" w:rsidP="00C928A3">
      <w:pPr>
        <w:tabs>
          <w:tab w:val="left" w:pos="709"/>
        </w:tabs>
        <w:spacing w:after="0" w:line="360" w:lineRule="auto"/>
        <w:ind w:left="567" w:right="567"/>
        <w:jc w:val="both"/>
        <w:rPr>
          <w:rFonts w:ascii="Palatino Linotype" w:hAnsi="Palatino Linotype" w:cs="Arial"/>
          <w:i/>
        </w:rPr>
      </w:pPr>
      <w:r w:rsidRPr="00252397">
        <w:rPr>
          <w:rFonts w:ascii="Palatino Linotype" w:hAnsi="Palatino Linotype" w:cs="Arial"/>
          <w:i/>
        </w:rPr>
        <w:t xml:space="preserve">Amparo en revisión 1027/99. Inmobiliaria </w:t>
      </w:r>
      <w:proofErr w:type="spellStart"/>
      <w:r w:rsidRPr="00252397">
        <w:rPr>
          <w:rFonts w:ascii="Palatino Linotype" w:hAnsi="Palatino Linotype" w:cs="Arial"/>
          <w:i/>
        </w:rPr>
        <w:t>Fumisa</w:t>
      </w:r>
      <w:proofErr w:type="spellEnd"/>
      <w:r w:rsidRPr="00252397">
        <w:rPr>
          <w:rFonts w:ascii="Palatino Linotype" w:hAnsi="Palatino Linotype" w:cs="Arial"/>
          <w:i/>
        </w:rPr>
        <w:t>, S.A. de C.V. 18 de agosto de 1999. Unanimidad de cuatro votos. Ausente: Olga Sánchez Cordero de García Villegas. Ponente: Juventino V. Castro y Castro. Secretario: Roberto Javier Ortega Pineda.</w:t>
      </w:r>
    </w:p>
    <w:p w14:paraId="7229D48F" w14:textId="77777777" w:rsidR="00C928A3" w:rsidRPr="00252397" w:rsidRDefault="00C928A3" w:rsidP="00C928A3">
      <w:pPr>
        <w:tabs>
          <w:tab w:val="left" w:pos="709"/>
        </w:tabs>
        <w:spacing w:after="0" w:line="360" w:lineRule="auto"/>
        <w:ind w:left="567" w:right="567"/>
        <w:jc w:val="both"/>
        <w:rPr>
          <w:rFonts w:ascii="Palatino Linotype" w:hAnsi="Palatino Linotype" w:cs="Arial"/>
          <w:i/>
          <w:sz w:val="20"/>
          <w:szCs w:val="28"/>
        </w:rPr>
      </w:pPr>
    </w:p>
    <w:p w14:paraId="49CC66C3" w14:textId="77777777" w:rsidR="00C928A3" w:rsidRPr="00252397" w:rsidRDefault="00C928A3" w:rsidP="00C928A3">
      <w:pPr>
        <w:tabs>
          <w:tab w:val="left" w:pos="709"/>
        </w:tabs>
        <w:spacing w:after="0" w:line="360" w:lineRule="auto"/>
        <w:ind w:left="567" w:right="567"/>
        <w:jc w:val="both"/>
        <w:rPr>
          <w:rFonts w:ascii="Palatino Linotype" w:hAnsi="Palatino Linotype" w:cs="Arial"/>
          <w:i/>
        </w:rPr>
      </w:pPr>
      <w:r w:rsidRPr="00252397">
        <w:rPr>
          <w:rFonts w:ascii="Palatino Linotype" w:hAnsi="Palatino Linotype" w:cs="Arial"/>
          <w:i/>
        </w:rPr>
        <w:t>Tesis de jurisprudencia 67/99. Aprobada por la Primera Sala de este Alto Tribunal, en sesión de veinte de octubre de mil novecientos noventa y nueve por unanimidad de cinco votos de los señores Ministros: presidente Humberto Román Palacios, Juventino V. Castro y Castro, José de Jesús Gudiño Pelayo, Juan N. Silva Meza y Olga Sánchez Cordero de García Villegas.</w:t>
      </w:r>
    </w:p>
    <w:p w14:paraId="418F2793" w14:textId="77777777" w:rsidR="00C928A3" w:rsidRPr="00252397" w:rsidRDefault="00C928A3" w:rsidP="00C928A3">
      <w:pPr>
        <w:tabs>
          <w:tab w:val="left" w:pos="709"/>
        </w:tabs>
        <w:spacing w:after="0" w:line="360" w:lineRule="auto"/>
        <w:ind w:left="567" w:right="567"/>
        <w:jc w:val="both"/>
        <w:rPr>
          <w:rFonts w:ascii="Palatino Linotype" w:hAnsi="Palatino Linotype" w:cs="Arial"/>
          <w:iCs/>
          <w:sz w:val="24"/>
          <w:szCs w:val="24"/>
        </w:rPr>
      </w:pPr>
    </w:p>
    <w:p w14:paraId="2BEDF8FD" w14:textId="3E54AA56" w:rsidR="00C928A3" w:rsidRPr="0095340D" w:rsidRDefault="00C928A3" w:rsidP="00C928A3">
      <w:pPr>
        <w:tabs>
          <w:tab w:val="left" w:pos="709"/>
        </w:tabs>
        <w:spacing w:after="0" w:line="360" w:lineRule="auto"/>
        <w:jc w:val="both"/>
        <w:rPr>
          <w:rFonts w:ascii="Palatino Linotype" w:hAnsi="Palatino Linotype" w:cs="Arial"/>
          <w:sz w:val="28"/>
          <w:szCs w:val="24"/>
        </w:rPr>
      </w:pPr>
      <w:r>
        <w:rPr>
          <w:rFonts w:ascii="Palatino Linotype" w:hAnsi="Palatino Linotype" w:cs="Arial"/>
          <w:sz w:val="24"/>
        </w:rPr>
        <w:t xml:space="preserve">En mérito de lo expuesto, </w:t>
      </w:r>
      <w:r w:rsidRPr="0095340D">
        <w:rPr>
          <w:rFonts w:ascii="Palatino Linotype" w:hAnsi="Palatino Linotype" w:cs="Arial"/>
          <w:sz w:val="24"/>
        </w:rPr>
        <w:t xml:space="preserve">con fundamento en la </w:t>
      </w:r>
      <w:r w:rsidRPr="0095340D">
        <w:rPr>
          <w:rFonts w:ascii="Palatino Linotype" w:hAnsi="Palatino Linotype" w:cs="Arial"/>
          <w:i/>
          <w:sz w:val="24"/>
        </w:rPr>
        <w:t>segunda hipót</w:t>
      </w:r>
      <w:r w:rsidRPr="0095340D">
        <w:rPr>
          <w:rFonts w:ascii="Palatino Linotype" w:hAnsi="Palatino Linotype" w:cs="Arial"/>
          <w:sz w:val="24"/>
        </w:rPr>
        <w:t xml:space="preserve">esis de la fracción I, del artículo 186, en concordancia con el artículo 192, fracción I, de la Ley de Transparencia y Acceso a la Información Pública del Estado de México y Municipios, se </w:t>
      </w:r>
      <w:r w:rsidRPr="0095340D">
        <w:rPr>
          <w:rFonts w:ascii="Palatino Linotype" w:hAnsi="Palatino Linotype" w:cs="Arial"/>
          <w:b/>
          <w:sz w:val="24"/>
        </w:rPr>
        <w:t>SOBRESEE</w:t>
      </w:r>
      <w:r w:rsidRPr="0095340D">
        <w:rPr>
          <w:rFonts w:ascii="Palatino Linotype" w:hAnsi="Palatino Linotype" w:cs="Arial"/>
          <w:sz w:val="24"/>
        </w:rPr>
        <w:t xml:space="preserve"> el recurso de revisión </w:t>
      </w:r>
      <w:r w:rsidRPr="00344890">
        <w:rPr>
          <w:rFonts w:ascii="Palatino Linotype" w:eastAsiaTheme="minorEastAsia" w:hAnsi="Palatino Linotype"/>
          <w:b/>
          <w:sz w:val="24"/>
          <w:lang w:val="es-ES_tradnl"/>
        </w:rPr>
        <w:t>0</w:t>
      </w:r>
      <w:r w:rsidR="00252397">
        <w:rPr>
          <w:rFonts w:ascii="Palatino Linotype" w:eastAsiaTheme="minorEastAsia" w:hAnsi="Palatino Linotype"/>
          <w:b/>
          <w:sz w:val="24"/>
          <w:lang w:val="es-ES_tradnl"/>
        </w:rPr>
        <w:t>5210</w:t>
      </w:r>
      <w:r w:rsidRPr="00344890">
        <w:rPr>
          <w:rFonts w:ascii="Palatino Linotype" w:eastAsiaTheme="minorEastAsia" w:hAnsi="Palatino Linotype"/>
          <w:b/>
          <w:sz w:val="24"/>
          <w:lang w:val="es-ES_tradnl"/>
        </w:rPr>
        <w:t>/INFOEM/IP/RR/2021</w:t>
      </w:r>
      <w:r w:rsidRPr="0095340D">
        <w:rPr>
          <w:rFonts w:ascii="Palatino Linotype" w:eastAsiaTheme="minorEastAsia" w:hAnsi="Palatino Linotype"/>
          <w:b/>
          <w:sz w:val="24"/>
          <w:lang w:val="es-ES_tradnl"/>
        </w:rPr>
        <w:t xml:space="preserve"> </w:t>
      </w:r>
      <w:r w:rsidRPr="0095340D">
        <w:rPr>
          <w:rFonts w:ascii="Palatino Linotype" w:hAnsi="Palatino Linotype" w:cs="Arial"/>
          <w:bCs/>
          <w:sz w:val="24"/>
          <w:lang w:eastAsia="es-MX"/>
        </w:rPr>
        <w:t>que ha sido materia del presente fallo.</w:t>
      </w:r>
    </w:p>
    <w:p w14:paraId="6375B96E" w14:textId="77777777" w:rsidR="00C928A3" w:rsidRPr="0095340D" w:rsidRDefault="00C928A3" w:rsidP="00C928A3">
      <w:pPr>
        <w:spacing w:after="0"/>
        <w:rPr>
          <w:sz w:val="24"/>
        </w:rPr>
      </w:pPr>
    </w:p>
    <w:p w14:paraId="3657A1A7" w14:textId="0C68A23C" w:rsidR="00C928A3" w:rsidRDefault="00C928A3" w:rsidP="00C928A3">
      <w:pPr>
        <w:autoSpaceDE w:val="0"/>
        <w:autoSpaceDN w:val="0"/>
        <w:adjustRightInd w:val="0"/>
        <w:spacing w:after="0" w:line="360" w:lineRule="auto"/>
        <w:jc w:val="both"/>
        <w:rPr>
          <w:rFonts w:ascii="Palatino Linotype" w:hAnsi="Palatino Linotype" w:cs="Arial"/>
          <w:sz w:val="24"/>
          <w:szCs w:val="24"/>
        </w:rPr>
      </w:pPr>
      <w:r w:rsidRPr="0095340D">
        <w:rPr>
          <w:rFonts w:ascii="Palatino Linotype" w:hAnsi="Palatino Linotype" w:cs="Arial"/>
          <w:sz w:val="24"/>
          <w:szCs w:val="24"/>
        </w:rPr>
        <w:t>Por lo antes expuesto y fundado es de resolverse y,</w:t>
      </w:r>
    </w:p>
    <w:p w14:paraId="25248727" w14:textId="77777777" w:rsidR="00252397" w:rsidRPr="0095340D" w:rsidRDefault="00252397" w:rsidP="00C928A3">
      <w:pPr>
        <w:autoSpaceDE w:val="0"/>
        <w:autoSpaceDN w:val="0"/>
        <w:adjustRightInd w:val="0"/>
        <w:spacing w:after="0" w:line="360" w:lineRule="auto"/>
        <w:jc w:val="both"/>
        <w:rPr>
          <w:rFonts w:ascii="Palatino Linotype" w:hAnsi="Palatino Linotype" w:cs="Arial"/>
          <w:sz w:val="24"/>
          <w:szCs w:val="24"/>
        </w:rPr>
      </w:pPr>
    </w:p>
    <w:p w14:paraId="13E1097C" w14:textId="77777777" w:rsidR="00C928A3" w:rsidRPr="0095340D" w:rsidRDefault="00C928A3" w:rsidP="00C928A3">
      <w:pPr>
        <w:pStyle w:val="Prrafodelista"/>
        <w:spacing w:line="360" w:lineRule="auto"/>
        <w:ind w:left="426"/>
        <w:jc w:val="center"/>
        <w:rPr>
          <w:rFonts w:ascii="Palatino Linotype" w:hAnsi="Palatino Linotype"/>
          <w:b/>
          <w:color w:val="000000"/>
          <w:sz w:val="28"/>
        </w:rPr>
      </w:pPr>
      <w:r w:rsidRPr="0095340D">
        <w:rPr>
          <w:rFonts w:ascii="Palatino Linotype" w:hAnsi="Palatino Linotype"/>
          <w:b/>
          <w:color w:val="000000"/>
          <w:sz w:val="28"/>
        </w:rPr>
        <w:t xml:space="preserve">S E    R E S U E L V E </w:t>
      </w:r>
    </w:p>
    <w:p w14:paraId="3B35A773" w14:textId="77777777" w:rsidR="00C928A3" w:rsidRPr="0095340D" w:rsidRDefault="00C928A3" w:rsidP="00C928A3">
      <w:pPr>
        <w:pStyle w:val="Sinespaciado"/>
      </w:pPr>
    </w:p>
    <w:p w14:paraId="1465B29C" w14:textId="3795153C" w:rsidR="00C928A3" w:rsidRPr="002267DB" w:rsidRDefault="00C928A3" w:rsidP="00C928A3">
      <w:pPr>
        <w:spacing w:after="0" w:line="360" w:lineRule="auto"/>
        <w:jc w:val="both"/>
        <w:rPr>
          <w:rFonts w:ascii="Palatino Linotype" w:eastAsiaTheme="minorEastAsia" w:hAnsi="Palatino Linotype"/>
          <w:sz w:val="24"/>
          <w:szCs w:val="24"/>
          <w:lang w:val="es-ES_tradnl"/>
        </w:rPr>
      </w:pPr>
      <w:r w:rsidRPr="002267DB">
        <w:rPr>
          <w:rFonts w:ascii="Palatino Linotype" w:eastAsia="Times New Roman" w:hAnsi="Palatino Linotype"/>
          <w:b/>
          <w:bCs/>
          <w:sz w:val="24"/>
          <w:szCs w:val="24"/>
          <w:lang w:eastAsia="es-MX"/>
        </w:rPr>
        <w:t>PRIMERO</w:t>
      </w:r>
      <w:r w:rsidRPr="002267DB">
        <w:rPr>
          <w:rFonts w:ascii="Palatino Linotype" w:eastAsia="Times New Roman" w:hAnsi="Palatino Linotype"/>
          <w:sz w:val="24"/>
          <w:szCs w:val="24"/>
          <w:lang w:eastAsia="es-MX"/>
        </w:rPr>
        <w:t xml:space="preserve">. </w:t>
      </w:r>
      <w:r w:rsidRPr="002267DB">
        <w:rPr>
          <w:rFonts w:ascii="Palatino Linotype" w:hAnsi="Palatino Linotype" w:cs="Arial"/>
          <w:sz w:val="24"/>
          <w:szCs w:val="24"/>
          <w:lang w:val="es-ES_tradnl"/>
        </w:rPr>
        <w:t xml:space="preserve">Se </w:t>
      </w:r>
      <w:r w:rsidRPr="002267DB">
        <w:rPr>
          <w:rFonts w:ascii="Palatino Linotype" w:hAnsi="Palatino Linotype" w:cs="Arial"/>
          <w:b/>
          <w:sz w:val="24"/>
          <w:szCs w:val="24"/>
          <w:lang w:val="es-ES_tradnl"/>
        </w:rPr>
        <w:t>SOBRESEE</w:t>
      </w:r>
      <w:r w:rsidRPr="002267DB">
        <w:rPr>
          <w:rFonts w:ascii="Palatino Linotype" w:hAnsi="Palatino Linotype" w:cs="Arial"/>
          <w:sz w:val="24"/>
          <w:szCs w:val="24"/>
          <w:lang w:val="es-ES_tradnl"/>
        </w:rPr>
        <w:t xml:space="preserve"> el recurso de revisión </w:t>
      </w:r>
      <w:r w:rsidRPr="00344890">
        <w:rPr>
          <w:rFonts w:ascii="Palatino Linotype" w:hAnsi="Palatino Linotype" w:cs="Arial"/>
          <w:sz w:val="24"/>
          <w:szCs w:val="24"/>
          <w:lang w:val="es-ES_tradnl"/>
        </w:rPr>
        <w:t xml:space="preserve">número </w:t>
      </w:r>
      <w:r w:rsidRPr="00344890">
        <w:rPr>
          <w:rFonts w:ascii="Palatino Linotype" w:eastAsiaTheme="minorEastAsia" w:hAnsi="Palatino Linotype"/>
          <w:b/>
          <w:sz w:val="24"/>
          <w:szCs w:val="24"/>
          <w:lang w:val="es-ES_tradnl"/>
        </w:rPr>
        <w:t>05</w:t>
      </w:r>
      <w:r w:rsidR="00252397">
        <w:rPr>
          <w:rFonts w:ascii="Palatino Linotype" w:eastAsiaTheme="minorEastAsia" w:hAnsi="Palatino Linotype"/>
          <w:b/>
          <w:sz w:val="24"/>
          <w:szCs w:val="24"/>
          <w:lang w:val="es-ES_tradnl"/>
        </w:rPr>
        <w:t>210</w:t>
      </w:r>
      <w:r w:rsidRPr="00344890">
        <w:rPr>
          <w:rFonts w:ascii="Palatino Linotype" w:eastAsiaTheme="minorEastAsia" w:hAnsi="Palatino Linotype"/>
          <w:b/>
          <w:sz w:val="24"/>
          <w:szCs w:val="24"/>
          <w:lang w:val="es-ES_tradnl"/>
        </w:rPr>
        <w:t>/INFOEM/IP/RR/2021</w:t>
      </w:r>
      <w:r w:rsidRPr="002267DB">
        <w:rPr>
          <w:rFonts w:ascii="Palatino Linotype" w:eastAsiaTheme="minorEastAsia" w:hAnsi="Palatino Linotype"/>
          <w:sz w:val="24"/>
          <w:szCs w:val="24"/>
          <w:lang w:val="es-ES_tradnl"/>
        </w:rPr>
        <w:t xml:space="preserve"> </w:t>
      </w:r>
      <w:r w:rsidRPr="002267DB">
        <w:rPr>
          <w:rFonts w:ascii="Palatino Linotype" w:eastAsiaTheme="minorEastAsia" w:hAnsi="Palatino Linotype"/>
          <w:b/>
          <w:sz w:val="24"/>
          <w:szCs w:val="24"/>
          <w:lang w:val="es-ES_tradnl"/>
        </w:rPr>
        <w:t xml:space="preserve">por haberse desistido </w:t>
      </w:r>
      <w:r>
        <w:rPr>
          <w:rFonts w:ascii="Palatino Linotype" w:eastAsiaTheme="minorEastAsia" w:hAnsi="Palatino Linotype"/>
          <w:b/>
          <w:sz w:val="24"/>
          <w:szCs w:val="24"/>
          <w:lang w:val="es-ES_tradnl"/>
        </w:rPr>
        <w:t>e</w:t>
      </w:r>
      <w:r w:rsidR="00252397">
        <w:rPr>
          <w:rFonts w:ascii="Palatino Linotype" w:eastAsiaTheme="minorEastAsia" w:hAnsi="Palatino Linotype"/>
          <w:b/>
          <w:sz w:val="24"/>
          <w:szCs w:val="24"/>
          <w:lang w:val="es-ES_tradnl"/>
        </w:rPr>
        <w:t>l</w:t>
      </w:r>
      <w:r w:rsidRPr="002267DB">
        <w:rPr>
          <w:rFonts w:ascii="Palatino Linotype" w:eastAsiaTheme="minorEastAsia" w:hAnsi="Palatino Linotype"/>
          <w:b/>
          <w:sz w:val="24"/>
          <w:szCs w:val="24"/>
          <w:lang w:val="es-ES_tradnl"/>
        </w:rPr>
        <w:t xml:space="preserve"> Recurrente</w:t>
      </w:r>
      <w:r w:rsidRPr="002267DB">
        <w:rPr>
          <w:rFonts w:ascii="Palatino Linotype" w:eastAsiaTheme="minorEastAsia" w:hAnsi="Palatino Linotype"/>
          <w:sz w:val="24"/>
          <w:szCs w:val="24"/>
          <w:lang w:val="es-ES_tradnl"/>
        </w:rPr>
        <w:t xml:space="preserve">, en términos del </w:t>
      </w:r>
      <w:r w:rsidRPr="00344890">
        <w:rPr>
          <w:rFonts w:ascii="Palatino Linotype" w:eastAsiaTheme="minorEastAsia" w:hAnsi="Palatino Linotype"/>
          <w:b/>
          <w:sz w:val="24"/>
          <w:szCs w:val="24"/>
          <w:lang w:val="es-ES_tradnl"/>
        </w:rPr>
        <w:t xml:space="preserve">Considerando </w:t>
      </w:r>
      <w:r w:rsidR="00252397">
        <w:rPr>
          <w:rFonts w:ascii="Palatino Linotype" w:eastAsiaTheme="minorEastAsia" w:hAnsi="Palatino Linotype"/>
          <w:b/>
          <w:sz w:val="24"/>
          <w:szCs w:val="24"/>
          <w:lang w:val="es-ES_tradnl"/>
        </w:rPr>
        <w:t>Tercero</w:t>
      </w:r>
      <w:r>
        <w:rPr>
          <w:rFonts w:ascii="Palatino Linotype" w:eastAsiaTheme="minorEastAsia" w:hAnsi="Palatino Linotype"/>
          <w:b/>
          <w:sz w:val="24"/>
          <w:szCs w:val="24"/>
          <w:lang w:val="es-ES_tradnl"/>
        </w:rPr>
        <w:t xml:space="preserve"> </w:t>
      </w:r>
      <w:r w:rsidRPr="00FE0393">
        <w:rPr>
          <w:rFonts w:ascii="Palatino Linotype" w:eastAsiaTheme="minorEastAsia" w:hAnsi="Palatino Linotype"/>
          <w:sz w:val="24"/>
          <w:szCs w:val="24"/>
          <w:lang w:val="es-ES_tradnl"/>
        </w:rPr>
        <w:t>d</w:t>
      </w:r>
      <w:r w:rsidRPr="002267DB">
        <w:rPr>
          <w:rFonts w:ascii="Palatino Linotype" w:eastAsiaTheme="minorEastAsia" w:hAnsi="Palatino Linotype"/>
          <w:sz w:val="24"/>
          <w:szCs w:val="24"/>
          <w:lang w:val="es-ES_tradnl"/>
        </w:rPr>
        <w:t>e la presente resolución.</w:t>
      </w:r>
    </w:p>
    <w:p w14:paraId="1C81B742" w14:textId="77777777" w:rsidR="00C928A3" w:rsidRPr="002267DB" w:rsidRDefault="00C928A3" w:rsidP="00C928A3">
      <w:pPr>
        <w:pStyle w:val="Textoindependiente"/>
        <w:spacing w:after="0" w:line="360" w:lineRule="auto"/>
        <w:jc w:val="both"/>
        <w:rPr>
          <w:rFonts w:ascii="Palatino Linotype" w:hAnsi="Palatino Linotype"/>
          <w:b/>
          <w:sz w:val="24"/>
          <w:szCs w:val="24"/>
        </w:rPr>
      </w:pPr>
    </w:p>
    <w:p w14:paraId="37601560" w14:textId="77777777" w:rsidR="00C928A3" w:rsidRPr="002267DB" w:rsidRDefault="00C928A3" w:rsidP="00C928A3">
      <w:pPr>
        <w:pStyle w:val="Textoindependiente"/>
        <w:spacing w:after="0" w:line="360" w:lineRule="auto"/>
        <w:jc w:val="both"/>
        <w:rPr>
          <w:rFonts w:ascii="Palatino Linotype" w:hAnsi="Palatino Linotype"/>
          <w:sz w:val="24"/>
          <w:szCs w:val="24"/>
        </w:rPr>
      </w:pPr>
      <w:r w:rsidRPr="002267DB">
        <w:rPr>
          <w:rFonts w:ascii="Palatino Linotype" w:hAnsi="Palatino Linotype"/>
          <w:b/>
          <w:sz w:val="24"/>
          <w:szCs w:val="24"/>
        </w:rPr>
        <w:t>SEGUNDO.</w:t>
      </w:r>
      <w:r w:rsidRPr="002267DB">
        <w:rPr>
          <w:rFonts w:ascii="Palatino Linotype" w:hAnsi="Palatino Linotype" w:cs="Arial"/>
          <w:sz w:val="24"/>
          <w:szCs w:val="24"/>
        </w:rPr>
        <w:t xml:space="preserve"> </w:t>
      </w:r>
      <w:r w:rsidRPr="002267DB">
        <w:rPr>
          <w:rFonts w:ascii="Palatino Linotype" w:hAnsi="Palatino Linotype"/>
          <w:b/>
          <w:sz w:val="24"/>
          <w:szCs w:val="24"/>
        </w:rPr>
        <w:t>NOTIFÍQUESE</w:t>
      </w:r>
      <w:r w:rsidRPr="002267DB">
        <w:rPr>
          <w:rFonts w:ascii="Palatino Linotype" w:hAnsi="Palatino Linotype"/>
          <w:sz w:val="24"/>
          <w:szCs w:val="24"/>
        </w:rPr>
        <w:t xml:space="preserve"> </w:t>
      </w:r>
      <w:r w:rsidRPr="0065221D">
        <w:rPr>
          <w:rFonts w:ascii="Palatino Linotype" w:hAnsi="Palatino Linotype"/>
          <w:b/>
          <w:bCs/>
          <w:sz w:val="24"/>
          <w:szCs w:val="24"/>
        </w:rPr>
        <w:t xml:space="preserve">vía </w:t>
      </w:r>
      <w:r w:rsidRPr="0065221D">
        <w:rPr>
          <w:rFonts w:ascii="Palatino Linotype" w:hAnsi="Palatino Linotype" w:cs="Arial"/>
          <w:b/>
          <w:bCs/>
          <w:sz w:val="24"/>
        </w:rPr>
        <w:t>Sistema de Acceso a la Información Mexiquense (</w:t>
      </w:r>
      <w:r w:rsidRPr="0065221D">
        <w:rPr>
          <w:rFonts w:ascii="Palatino Linotype" w:eastAsia="Calibri" w:hAnsi="Palatino Linotype" w:cs="Times New Roman"/>
          <w:b/>
          <w:bCs/>
          <w:sz w:val="24"/>
          <w:szCs w:val="24"/>
        </w:rPr>
        <w:t>SAIMEX)</w:t>
      </w:r>
      <w:r w:rsidRPr="002267DB">
        <w:rPr>
          <w:rFonts w:ascii="Palatino Linotype" w:hAnsi="Palatino Linotype"/>
          <w:sz w:val="24"/>
          <w:szCs w:val="24"/>
        </w:rPr>
        <w:t xml:space="preserve">, la presente resolución al Titular de la Unidad de Transparencia del </w:t>
      </w:r>
      <w:r w:rsidRPr="002267DB">
        <w:rPr>
          <w:rFonts w:ascii="Palatino Linotype" w:hAnsi="Palatino Linotype"/>
          <w:b/>
          <w:sz w:val="24"/>
          <w:szCs w:val="24"/>
        </w:rPr>
        <w:t>Sujeto Obligado</w:t>
      </w:r>
      <w:r w:rsidRPr="002267DB">
        <w:rPr>
          <w:rFonts w:ascii="Palatino Linotype" w:hAnsi="Palatino Linotype"/>
          <w:sz w:val="24"/>
          <w:szCs w:val="24"/>
        </w:rPr>
        <w:t>.</w:t>
      </w:r>
    </w:p>
    <w:p w14:paraId="7C20D8C4" w14:textId="77777777" w:rsidR="00C928A3" w:rsidRPr="002267DB" w:rsidRDefault="00C928A3" w:rsidP="00C928A3">
      <w:pPr>
        <w:spacing w:after="0" w:line="360" w:lineRule="auto"/>
        <w:jc w:val="both"/>
        <w:rPr>
          <w:rFonts w:ascii="Palatino Linotype" w:hAnsi="Palatino Linotype" w:cs="Arial"/>
          <w:sz w:val="24"/>
          <w:szCs w:val="24"/>
          <w:lang w:val="es-ES_tradnl"/>
        </w:rPr>
      </w:pPr>
    </w:p>
    <w:p w14:paraId="1328CFB1" w14:textId="3E883254" w:rsidR="00C928A3" w:rsidRPr="002267DB" w:rsidRDefault="00C928A3" w:rsidP="00C928A3">
      <w:pPr>
        <w:pStyle w:val="Textoindependiente"/>
        <w:spacing w:after="0" w:line="360" w:lineRule="auto"/>
        <w:jc w:val="both"/>
        <w:rPr>
          <w:rFonts w:ascii="Palatino Linotype" w:hAnsi="Palatino Linotype"/>
          <w:sz w:val="24"/>
          <w:szCs w:val="24"/>
        </w:rPr>
      </w:pPr>
      <w:r w:rsidRPr="002267DB">
        <w:rPr>
          <w:rFonts w:ascii="Palatino Linotype" w:hAnsi="Palatino Linotype" w:cs="Arial"/>
          <w:b/>
          <w:sz w:val="24"/>
          <w:szCs w:val="24"/>
        </w:rPr>
        <w:t xml:space="preserve">TERCERO. </w:t>
      </w:r>
      <w:r w:rsidRPr="002267DB">
        <w:rPr>
          <w:rFonts w:ascii="Palatino Linotype" w:hAnsi="Palatino Linotype"/>
          <w:b/>
          <w:sz w:val="24"/>
          <w:szCs w:val="24"/>
        </w:rPr>
        <w:t>NOTIFÍQUESE</w:t>
      </w:r>
      <w:r>
        <w:rPr>
          <w:rFonts w:ascii="Palatino Linotype" w:hAnsi="Palatino Linotype"/>
          <w:sz w:val="24"/>
          <w:szCs w:val="24"/>
        </w:rPr>
        <w:t xml:space="preserve"> </w:t>
      </w:r>
      <w:r w:rsidRPr="003A5EDE">
        <w:rPr>
          <w:rFonts w:ascii="Palatino Linotype" w:hAnsi="Palatino Linotype"/>
          <w:sz w:val="24"/>
          <w:szCs w:val="24"/>
        </w:rPr>
        <w:t>a</w:t>
      </w:r>
      <w:r w:rsidRPr="003A5EDE">
        <w:rPr>
          <w:rFonts w:ascii="Palatino Linotype" w:hAnsi="Palatino Linotype"/>
          <w:noProof/>
          <w:sz w:val="24"/>
          <w:szCs w:val="24"/>
          <w:lang w:eastAsia="es-MX"/>
        </w:rPr>
        <w:t>l</w:t>
      </w:r>
      <w:r w:rsidRPr="002267DB">
        <w:rPr>
          <w:rFonts w:ascii="Palatino Linotype" w:hAnsi="Palatino Linotype"/>
          <w:b/>
          <w:sz w:val="24"/>
          <w:szCs w:val="24"/>
        </w:rPr>
        <w:t xml:space="preserve"> Recurrente </w:t>
      </w:r>
      <w:r w:rsidRPr="002267DB">
        <w:rPr>
          <w:rFonts w:ascii="Palatino Linotype" w:hAnsi="Palatino Linotype"/>
          <w:sz w:val="24"/>
          <w:szCs w:val="24"/>
        </w:rPr>
        <w:t>la presente resolución,</w:t>
      </w:r>
      <w:r>
        <w:rPr>
          <w:rFonts w:ascii="Palatino Linotype" w:hAnsi="Palatino Linotype"/>
          <w:sz w:val="24"/>
          <w:szCs w:val="24"/>
        </w:rPr>
        <w:t xml:space="preserve"> </w:t>
      </w:r>
      <w:r w:rsidRPr="0065221D">
        <w:rPr>
          <w:rFonts w:ascii="Palatino Linotype" w:hAnsi="Palatino Linotype"/>
          <w:b/>
          <w:bCs/>
          <w:sz w:val="24"/>
          <w:szCs w:val="24"/>
        </w:rPr>
        <w:t xml:space="preserve">vía </w:t>
      </w:r>
      <w:r w:rsidRPr="0065221D">
        <w:rPr>
          <w:rFonts w:ascii="Palatino Linotype" w:hAnsi="Palatino Linotype" w:cs="Arial"/>
          <w:b/>
          <w:bCs/>
          <w:sz w:val="24"/>
        </w:rPr>
        <w:t>Sistema de Acceso a la Información Mexiquense (</w:t>
      </w:r>
      <w:r w:rsidRPr="0065221D">
        <w:rPr>
          <w:rFonts w:ascii="Palatino Linotype" w:eastAsia="Calibri" w:hAnsi="Palatino Linotype" w:cs="Times New Roman"/>
          <w:b/>
          <w:bCs/>
          <w:sz w:val="24"/>
          <w:szCs w:val="24"/>
        </w:rPr>
        <w:t>SAIMEX)</w:t>
      </w:r>
      <w:r>
        <w:rPr>
          <w:rFonts w:ascii="Palatino Linotype" w:hAnsi="Palatino Linotype"/>
          <w:sz w:val="24"/>
          <w:szCs w:val="24"/>
        </w:rPr>
        <w:t xml:space="preserve"> y </w:t>
      </w:r>
      <w:r w:rsidRPr="002267DB">
        <w:rPr>
          <w:rFonts w:ascii="Palatino Linotype" w:hAnsi="Palatino Linotype"/>
          <w:sz w:val="24"/>
          <w:szCs w:val="24"/>
        </w:rPr>
        <w:t xml:space="preserve">en caso de que considere que le cause algún perjuicio, podrá promover el Juicio de Amparo en los términos de las leyes aplicables, </w:t>
      </w:r>
      <w:r w:rsidR="00D5253C" w:rsidRPr="002267DB">
        <w:rPr>
          <w:rFonts w:ascii="Palatino Linotype" w:hAnsi="Palatino Linotype"/>
          <w:sz w:val="24"/>
          <w:szCs w:val="24"/>
        </w:rPr>
        <w:t>de acuerdo con</w:t>
      </w:r>
      <w:r w:rsidRPr="002267DB">
        <w:rPr>
          <w:rFonts w:ascii="Palatino Linotype" w:hAnsi="Palatino Linotype"/>
          <w:sz w:val="24"/>
          <w:szCs w:val="24"/>
        </w:rPr>
        <w:t xml:space="preserve"> lo estipulado por el artículo 196, de la Ley de Transparencia y Acceso a la Información Pública del Estado de México y Municipios.</w:t>
      </w:r>
    </w:p>
    <w:p w14:paraId="1FB46FC7" w14:textId="77777777" w:rsidR="00C928A3" w:rsidRPr="00B22B55" w:rsidRDefault="00C928A3" w:rsidP="00C928A3">
      <w:pPr>
        <w:pStyle w:val="Textoindependiente"/>
        <w:spacing w:after="0" w:line="360" w:lineRule="auto"/>
        <w:jc w:val="both"/>
        <w:rPr>
          <w:rFonts w:ascii="Palatino Linotype" w:hAnsi="Palatino Linotype"/>
          <w:sz w:val="24"/>
          <w:szCs w:val="24"/>
        </w:rPr>
      </w:pPr>
    </w:p>
    <w:p w14:paraId="35466BBF" w14:textId="093A687B" w:rsidR="00C928A3" w:rsidRDefault="00C928A3" w:rsidP="00252397">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w:t>
      </w:r>
      <w:r w:rsidRPr="00B22B55">
        <w:rPr>
          <w:rFonts w:ascii="Palatino Linotype" w:hAnsi="Palatino Linotype" w:cs="Arial"/>
          <w:sz w:val="24"/>
        </w:rPr>
        <w:t xml:space="preserve">EN LA </w:t>
      </w:r>
      <w:r w:rsidR="00BB66C1">
        <w:rPr>
          <w:rFonts w:ascii="Palatino Linotype" w:hAnsi="Palatino Linotype" w:cs="Arial"/>
          <w:sz w:val="24"/>
        </w:rPr>
        <w:t>CUADRA</w:t>
      </w:r>
      <w:r>
        <w:rPr>
          <w:rFonts w:ascii="Palatino Linotype" w:hAnsi="Palatino Linotype" w:cs="Arial"/>
          <w:sz w:val="24"/>
        </w:rPr>
        <w:t xml:space="preserve">GÉSIMA </w:t>
      </w:r>
      <w:r w:rsidR="00BB66C1">
        <w:rPr>
          <w:rFonts w:ascii="Palatino Linotype" w:hAnsi="Palatino Linotype" w:cs="Arial"/>
          <w:sz w:val="24"/>
        </w:rPr>
        <w:t>TERCER</w:t>
      </w:r>
      <w:r>
        <w:rPr>
          <w:rFonts w:ascii="Palatino Linotype" w:hAnsi="Palatino Linotype" w:cs="Arial"/>
          <w:sz w:val="24"/>
        </w:rPr>
        <w:t xml:space="preserve">A </w:t>
      </w:r>
      <w:r w:rsidRPr="00B22B55">
        <w:rPr>
          <w:rFonts w:ascii="Palatino Linotype" w:hAnsi="Palatino Linotype" w:cs="Arial"/>
          <w:sz w:val="24"/>
        </w:rPr>
        <w:t xml:space="preserve">SESIÓN ORDINARIA CELEBRADA EL </w:t>
      </w:r>
      <w:r w:rsidR="00252397">
        <w:rPr>
          <w:rFonts w:ascii="Palatino Linotype" w:hAnsi="Palatino Linotype" w:cs="Arial"/>
          <w:sz w:val="24"/>
        </w:rPr>
        <w:t>PRIME</w:t>
      </w:r>
      <w:r>
        <w:rPr>
          <w:rFonts w:ascii="Palatino Linotype" w:hAnsi="Palatino Linotype" w:cs="Arial"/>
          <w:sz w:val="24"/>
        </w:rPr>
        <w:t xml:space="preserve">RO DE </w:t>
      </w:r>
      <w:r w:rsidR="00252397">
        <w:rPr>
          <w:rFonts w:ascii="Palatino Linotype" w:hAnsi="Palatino Linotype" w:cs="Arial"/>
          <w:sz w:val="24"/>
        </w:rPr>
        <w:t>DICI</w:t>
      </w:r>
      <w:r>
        <w:rPr>
          <w:rFonts w:ascii="Palatino Linotype" w:hAnsi="Palatino Linotype" w:cs="Arial"/>
          <w:sz w:val="24"/>
        </w:rPr>
        <w:t xml:space="preserve">EMBRE </w:t>
      </w:r>
      <w:r w:rsidRPr="00B22B55">
        <w:rPr>
          <w:rFonts w:ascii="Palatino Linotype" w:hAnsi="Palatino Linotype" w:cs="Arial"/>
          <w:sz w:val="24"/>
        </w:rPr>
        <w:t>DE DOS MIL VEINTIUNO, ANTE EL SECRETARIO TÉCNICO DEL PLENO, ALEXIS TAPIA RAMÍREZ.--------------------------------------------</w:t>
      </w:r>
      <w:r>
        <w:rPr>
          <w:rFonts w:ascii="Palatino Linotype" w:hAnsi="Palatino Linotype" w:cs="Arial"/>
          <w:sz w:val="24"/>
        </w:rPr>
        <w:t>---------------------</w:t>
      </w:r>
    </w:p>
    <w:p w14:paraId="47E6D4EC" w14:textId="77777777" w:rsidR="00C928A3" w:rsidRPr="008B55BF" w:rsidRDefault="00C928A3" w:rsidP="00C928A3">
      <w:pPr>
        <w:spacing w:after="0" w:line="360" w:lineRule="auto"/>
        <w:jc w:val="both"/>
        <w:rPr>
          <w:rFonts w:ascii="Palatino Linotype" w:hAnsi="Palatino Linotype" w:cs="Arial"/>
          <w:sz w:val="18"/>
          <w:szCs w:val="18"/>
        </w:rPr>
      </w:pPr>
      <w:r w:rsidRPr="008B55BF">
        <w:rPr>
          <w:rFonts w:ascii="Palatino Linotype" w:hAnsi="Palatino Linotype" w:cs="Arial"/>
          <w:sz w:val="18"/>
          <w:szCs w:val="18"/>
        </w:rPr>
        <w:t>JMV/CCR/</w:t>
      </w:r>
      <w:proofErr w:type="spellStart"/>
      <w:r w:rsidRPr="008B55BF">
        <w:rPr>
          <w:rFonts w:ascii="Palatino Linotype" w:hAnsi="Palatino Linotype" w:cs="Arial"/>
          <w:sz w:val="18"/>
          <w:szCs w:val="18"/>
        </w:rPr>
        <w:t>bpac</w:t>
      </w:r>
      <w:proofErr w:type="spellEnd"/>
    </w:p>
    <w:p w14:paraId="7D83417D" w14:textId="77777777" w:rsidR="00C928A3" w:rsidRDefault="00C928A3" w:rsidP="00C928A3">
      <w:pPr>
        <w:spacing w:after="0" w:line="360" w:lineRule="auto"/>
        <w:jc w:val="both"/>
        <w:rPr>
          <w:rFonts w:ascii="Palatino Linotype" w:hAnsi="Palatino Linotype" w:cs="Arial"/>
          <w:sz w:val="24"/>
        </w:rPr>
      </w:pPr>
    </w:p>
    <w:p w14:paraId="2F745DDC" w14:textId="77777777" w:rsidR="00C928A3" w:rsidRDefault="00C928A3" w:rsidP="00C928A3">
      <w:pPr>
        <w:spacing w:after="0" w:line="360" w:lineRule="auto"/>
        <w:jc w:val="both"/>
        <w:rPr>
          <w:rFonts w:ascii="Palatino Linotype" w:hAnsi="Palatino Linotype" w:cs="Arial"/>
          <w:sz w:val="24"/>
        </w:rPr>
      </w:pPr>
    </w:p>
    <w:p w14:paraId="1E4187BB" w14:textId="77777777" w:rsidR="00C928A3" w:rsidRDefault="00C928A3" w:rsidP="00C928A3">
      <w:pPr>
        <w:spacing w:after="0" w:line="360" w:lineRule="auto"/>
        <w:jc w:val="both"/>
        <w:rPr>
          <w:rFonts w:ascii="Palatino Linotype" w:hAnsi="Palatino Linotype" w:cs="Arial"/>
          <w:sz w:val="24"/>
        </w:rPr>
      </w:pPr>
    </w:p>
    <w:p w14:paraId="5300DD5C" w14:textId="77777777" w:rsidR="00C928A3" w:rsidRDefault="00C928A3" w:rsidP="00C928A3">
      <w:pPr>
        <w:spacing w:after="0" w:line="360" w:lineRule="auto"/>
        <w:jc w:val="both"/>
        <w:rPr>
          <w:rFonts w:ascii="Palatino Linotype" w:hAnsi="Palatino Linotype" w:cs="Arial"/>
          <w:sz w:val="24"/>
        </w:rPr>
      </w:pPr>
    </w:p>
    <w:p w14:paraId="6338F6C0" w14:textId="77777777" w:rsidR="00C928A3" w:rsidRDefault="00C928A3" w:rsidP="00C928A3">
      <w:pPr>
        <w:spacing w:after="0" w:line="360" w:lineRule="auto"/>
        <w:jc w:val="both"/>
        <w:rPr>
          <w:rFonts w:ascii="Palatino Linotype" w:hAnsi="Palatino Linotype" w:cs="Arial"/>
          <w:sz w:val="24"/>
        </w:rPr>
      </w:pPr>
    </w:p>
    <w:p w14:paraId="1B5F05E9" w14:textId="77777777" w:rsidR="00C928A3" w:rsidRDefault="00C928A3" w:rsidP="00C928A3">
      <w:pPr>
        <w:spacing w:after="0" w:line="360" w:lineRule="auto"/>
        <w:jc w:val="both"/>
        <w:rPr>
          <w:rFonts w:ascii="Palatino Linotype" w:hAnsi="Palatino Linotype" w:cs="Arial"/>
          <w:sz w:val="24"/>
        </w:rPr>
      </w:pPr>
    </w:p>
    <w:p w14:paraId="27726D2D" w14:textId="77777777" w:rsidR="00C928A3" w:rsidRDefault="00C928A3" w:rsidP="00C928A3">
      <w:pPr>
        <w:spacing w:after="0" w:line="360" w:lineRule="auto"/>
        <w:jc w:val="both"/>
        <w:rPr>
          <w:rFonts w:ascii="Palatino Linotype" w:hAnsi="Palatino Linotype" w:cs="Arial"/>
          <w:sz w:val="24"/>
        </w:rPr>
      </w:pPr>
    </w:p>
    <w:p w14:paraId="6BD30D4B" w14:textId="77777777" w:rsidR="00C928A3" w:rsidRDefault="00C928A3" w:rsidP="00C928A3">
      <w:pPr>
        <w:spacing w:after="0" w:line="360" w:lineRule="auto"/>
        <w:jc w:val="both"/>
        <w:rPr>
          <w:rFonts w:ascii="Palatino Linotype" w:hAnsi="Palatino Linotype" w:cs="Arial"/>
          <w:sz w:val="24"/>
        </w:rPr>
      </w:pPr>
    </w:p>
    <w:p w14:paraId="1AB1EE0F" w14:textId="77777777" w:rsidR="00C928A3" w:rsidRDefault="00C928A3" w:rsidP="00C928A3">
      <w:pPr>
        <w:spacing w:after="0" w:line="360" w:lineRule="auto"/>
        <w:jc w:val="both"/>
        <w:rPr>
          <w:rFonts w:ascii="Palatino Linotype" w:hAnsi="Palatino Linotype" w:cs="Arial"/>
          <w:sz w:val="24"/>
        </w:rPr>
      </w:pPr>
    </w:p>
    <w:p w14:paraId="37067A02" w14:textId="77777777" w:rsidR="00C928A3" w:rsidRDefault="00C928A3" w:rsidP="00C928A3">
      <w:pPr>
        <w:spacing w:after="0" w:line="360" w:lineRule="auto"/>
        <w:jc w:val="both"/>
        <w:rPr>
          <w:rFonts w:ascii="Palatino Linotype" w:hAnsi="Palatino Linotype" w:cs="Arial"/>
          <w:sz w:val="24"/>
        </w:rPr>
      </w:pPr>
    </w:p>
    <w:p w14:paraId="0E838049" w14:textId="77777777" w:rsidR="00C928A3" w:rsidRDefault="00C928A3" w:rsidP="00C928A3">
      <w:pPr>
        <w:spacing w:after="0" w:line="360" w:lineRule="auto"/>
        <w:jc w:val="both"/>
        <w:rPr>
          <w:rFonts w:ascii="Palatino Linotype" w:hAnsi="Palatino Linotype" w:cs="Arial"/>
          <w:sz w:val="24"/>
        </w:rPr>
      </w:pPr>
    </w:p>
    <w:p w14:paraId="65DD3706" w14:textId="77777777" w:rsidR="00C928A3" w:rsidRDefault="00C928A3" w:rsidP="00C928A3">
      <w:pPr>
        <w:spacing w:after="0" w:line="360" w:lineRule="auto"/>
        <w:jc w:val="both"/>
        <w:rPr>
          <w:rFonts w:ascii="Palatino Linotype" w:hAnsi="Palatino Linotype" w:cs="Arial"/>
          <w:sz w:val="24"/>
        </w:rPr>
      </w:pPr>
    </w:p>
    <w:p w14:paraId="7294DE75" w14:textId="77777777" w:rsidR="00C928A3" w:rsidRDefault="00C928A3" w:rsidP="00C928A3">
      <w:pPr>
        <w:spacing w:after="0" w:line="360" w:lineRule="auto"/>
        <w:jc w:val="both"/>
        <w:rPr>
          <w:rFonts w:ascii="Palatino Linotype" w:hAnsi="Palatino Linotype" w:cs="Arial"/>
          <w:sz w:val="24"/>
        </w:rPr>
      </w:pPr>
    </w:p>
    <w:p w14:paraId="54272351" w14:textId="77777777" w:rsidR="00C928A3" w:rsidRDefault="00C928A3" w:rsidP="00C928A3">
      <w:pPr>
        <w:spacing w:after="0" w:line="360" w:lineRule="auto"/>
        <w:jc w:val="both"/>
        <w:rPr>
          <w:rFonts w:ascii="Palatino Linotype" w:hAnsi="Palatino Linotype" w:cs="Arial"/>
          <w:sz w:val="24"/>
        </w:rPr>
      </w:pPr>
    </w:p>
    <w:p w14:paraId="7C82BB28" w14:textId="77777777" w:rsidR="00C928A3" w:rsidRDefault="00C928A3" w:rsidP="00C928A3">
      <w:pPr>
        <w:spacing w:after="0" w:line="360" w:lineRule="auto"/>
        <w:jc w:val="both"/>
        <w:rPr>
          <w:rFonts w:ascii="Palatino Linotype" w:hAnsi="Palatino Linotype" w:cs="Arial"/>
          <w:sz w:val="24"/>
        </w:rPr>
      </w:pPr>
    </w:p>
    <w:p w14:paraId="3E52DA7A" w14:textId="77777777" w:rsidR="00C928A3" w:rsidRDefault="00C928A3" w:rsidP="00C928A3">
      <w:pPr>
        <w:spacing w:after="0" w:line="360" w:lineRule="auto"/>
        <w:jc w:val="both"/>
        <w:rPr>
          <w:rFonts w:ascii="Palatino Linotype" w:hAnsi="Palatino Linotype" w:cs="Arial"/>
          <w:sz w:val="24"/>
        </w:rPr>
      </w:pPr>
    </w:p>
    <w:p w14:paraId="0B94585C" w14:textId="77777777" w:rsidR="00C928A3" w:rsidRDefault="00C928A3" w:rsidP="00C928A3">
      <w:pPr>
        <w:spacing w:after="0" w:line="360" w:lineRule="auto"/>
        <w:jc w:val="both"/>
        <w:rPr>
          <w:rFonts w:ascii="Palatino Linotype" w:hAnsi="Palatino Linotype" w:cs="Arial"/>
          <w:sz w:val="24"/>
        </w:rPr>
      </w:pPr>
    </w:p>
    <w:p w14:paraId="550E7353" w14:textId="77777777" w:rsidR="00C928A3" w:rsidRDefault="00C928A3" w:rsidP="00C928A3">
      <w:pPr>
        <w:spacing w:after="0" w:line="360" w:lineRule="auto"/>
        <w:jc w:val="both"/>
        <w:rPr>
          <w:rFonts w:ascii="Palatino Linotype" w:hAnsi="Palatino Linotype" w:cs="Arial"/>
          <w:sz w:val="24"/>
        </w:rPr>
      </w:pPr>
    </w:p>
    <w:p w14:paraId="266B0FF2" w14:textId="77777777" w:rsidR="00C928A3" w:rsidRDefault="00C928A3" w:rsidP="00C928A3">
      <w:pPr>
        <w:spacing w:after="0" w:line="360" w:lineRule="auto"/>
        <w:jc w:val="both"/>
        <w:rPr>
          <w:rFonts w:ascii="Palatino Linotype" w:hAnsi="Palatino Linotype" w:cs="Arial"/>
          <w:sz w:val="24"/>
        </w:rPr>
      </w:pPr>
    </w:p>
    <w:p w14:paraId="744F73C1" w14:textId="77777777" w:rsidR="0027022B" w:rsidRDefault="0027022B"/>
    <w:sectPr w:rsidR="0027022B" w:rsidSect="00963AE0">
      <w:headerReference w:type="even" r:id="rId12"/>
      <w:headerReference w:type="default" r:id="rId13"/>
      <w:footerReference w:type="default" r:id="rId14"/>
      <w:headerReference w:type="first" r:id="rId15"/>
      <w:footerReference w:type="first" r:id="rId16"/>
      <w:pgSz w:w="12240" w:h="15840"/>
      <w:pgMar w:top="851" w:right="1467" w:bottom="1560"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DE5D6" w14:textId="77777777" w:rsidR="00DF05C1" w:rsidRDefault="00DF05C1" w:rsidP="00C928A3">
      <w:pPr>
        <w:spacing w:after="0" w:line="240" w:lineRule="auto"/>
      </w:pPr>
      <w:r>
        <w:separator/>
      </w:r>
    </w:p>
  </w:endnote>
  <w:endnote w:type="continuationSeparator" w:id="0">
    <w:p w14:paraId="086A8DD0" w14:textId="77777777" w:rsidR="00DF05C1" w:rsidRDefault="00DF05C1" w:rsidP="00C9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C5DB6" w14:textId="77777777" w:rsidR="006A3040" w:rsidRPr="000B69FA" w:rsidRDefault="00D5253C"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7D2C">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7D2C">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6860" w14:textId="77777777" w:rsidR="006A3040" w:rsidRPr="000B69FA" w:rsidRDefault="00D5253C"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7D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7D2C">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B3FF1" w14:textId="77777777" w:rsidR="00DF05C1" w:rsidRDefault="00DF05C1" w:rsidP="00C928A3">
      <w:pPr>
        <w:spacing w:after="0" w:line="240" w:lineRule="auto"/>
      </w:pPr>
      <w:r>
        <w:separator/>
      </w:r>
    </w:p>
  </w:footnote>
  <w:footnote w:type="continuationSeparator" w:id="0">
    <w:p w14:paraId="00F96DF9" w14:textId="77777777" w:rsidR="00DF05C1" w:rsidRDefault="00DF05C1" w:rsidP="00C928A3">
      <w:pPr>
        <w:spacing w:after="0" w:line="240" w:lineRule="auto"/>
      </w:pPr>
      <w:r>
        <w:continuationSeparator/>
      </w:r>
    </w:p>
  </w:footnote>
  <w:footnote w:id="1">
    <w:p w14:paraId="15F4F604" w14:textId="77777777" w:rsidR="00C928A3" w:rsidRPr="006928BF" w:rsidRDefault="00C928A3" w:rsidP="00C928A3">
      <w:pPr>
        <w:pStyle w:val="Piedepgina"/>
        <w:jc w:val="both"/>
        <w:rPr>
          <w:rFonts w:ascii="Palatino Linotype" w:hAnsi="Palatino Linotype"/>
          <w:sz w:val="18"/>
        </w:rPr>
      </w:pPr>
      <w:r>
        <w:rPr>
          <w:rStyle w:val="Refdenotaalpie"/>
        </w:rPr>
        <w:footnoteRef/>
      </w:r>
      <w:r>
        <w:t xml:space="preserve"> </w:t>
      </w:r>
      <w:r>
        <w:rPr>
          <w:rFonts w:ascii="Palatino Linotype" w:hAnsi="Palatino Linotype"/>
          <w:b/>
          <w:sz w:val="18"/>
        </w:rPr>
        <w:t>La Legitimación P</w:t>
      </w:r>
      <w:r w:rsidRPr="006928BF">
        <w:rPr>
          <w:rFonts w:ascii="Palatino Linotype" w:hAnsi="Palatino Linotype"/>
          <w:b/>
          <w:sz w:val="18"/>
        </w:rPr>
        <w:t>rocesal</w:t>
      </w:r>
      <w:r w:rsidRPr="006928BF">
        <w:rPr>
          <w:rFonts w:ascii="Palatino Linotype" w:hAnsi="Palatino Linotype"/>
          <w:sz w:val="18"/>
        </w:rPr>
        <w:t xml:space="preserve">,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sidRPr="006928BF">
          <w:rPr>
            <w:rStyle w:val="Hipervnculo"/>
            <w:rFonts w:ascii="Palatino Linotype" w:hAnsi="Palatino Linotype"/>
            <w:sz w:val="18"/>
          </w:rPr>
          <w:t>https://archivos.juridicas.unam.mx/www/bjv/libros/7/3496/18.pdf</w:t>
        </w:r>
      </w:hyperlink>
      <w:r w:rsidRPr="006928BF">
        <w:rPr>
          <w:rFonts w:ascii="Palatino Linotype" w:hAnsi="Palatino Linotype"/>
          <w:sz w:val="18"/>
        </w:rPr>
        <w:t xml:space="preserve"> </w:t>
      </w:r>
    </w:p>
    <w:p w14:paraId="718EC5E6" w14:textId="77777777" w:rsidR="00C928A3" w:rsidRPr="006928BF" w:rsidRDefault="00C928A3" w:rsidP="00C928A3">
      <w:pPr>
        <w:pStyle w:val="Textonotapie"/>
        <w:rPr>
          <w:rFonts w:ascii="Palatino Linotype" w:hAnsi="Palatino Linotype"/>
          <w:sz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FAE49" w14:textId="77777777" w:rsidR="003813AB" w:rsidRDefault="00417D2C">
    <w:pPr>
      <w:pStyle w:val="Encabezado"/>
    </w:pPr>
    <w:r>
      <w:rPr>
        <w:noProof/>
      </w:rPr>
      <w:pict w14:anchorId="20100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207844" o:spid="_x0000_s2050" type="#_x0000_t75" style="position:absolute;margin-left:0;margin-top:0;width:736.5pt;height:960pt;z-index:-251656192;mso-position-horizontal:center;mso-position-horizontal-relative:margin;mso-position-vertical:center;mso-position-vertical-relative:margin" o:allowincell="f">
          <v:imagedata r:id="rId1" o:title="hoja resoluciò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F70BF" w14:textId="77777777" w:rsidR="006A3040" w:rsidRPr="00F257E5" w:rsidRDefault="00417D2C">
    <w:pPr>
      <w:pStyle w:val="Encabezado"/>
      <w:rPr>
        <w:sz w:val="18"/>
      </w:rPr>
    </w:pPr>
    <w:r>
      <w:rPr>
        <w:noProof/>
        <w:sz w:val="18"/>
      </w:rPr>
      <w:pict w14:anchorId="23118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207845" o:spid="_x0000_s2051" type="#_x0000_t75" style="position:absolute;margin-left:-103.95pt;margin-top:-131.4pt;width:736.5pt;height:960pt;z-index:-251655168;mso-position-horizontal-relative:margin;mso-position-vertical-relative:margin" o:allowincell="f">
          <v:imagedata r:id="rId1" o:title="hoja resoluciòn"/>
          <w10:wrap anchorx="margin" anchory="margin"/>
        </v:shape>
      </w:pict>
    </w:r>
  </w:p>
  <w:tbl>
    <w:tblPr>
      <w:tblW w:w="10303" w:type="dxa"/>
      <w:tblInd w:w="-851" w:type="dxa"/>
      <w:tblCellMar>
        <w:left w:w="70" w:type="dxa"/>
        <w:right w:w="70" w:type="dxa"/>
      </w:tblCellMar>
      <w:tblLook w:val="04A0" w:firstRow="1" w:lastRow="0" w:firstColumn="1" w:lastColumn="0" w:noHBand="0" w:noVBand="1"/>
    </w:tblPr>
    <w:tblGrid>
      <w:gridCol w:w="5949"/>
      <w:gridCol w:w="4354"/>
    </w:tblGrid>
    <w:tr w:rsidR="006A3040" w14:paraId="0F67DF0B" w14:textId="77777777" w:rsidTr="006B7E69">
      <w:trPr>
        <w:trHeight w:val="314"/>
      </w:trPr>
      <w:tc>
        <w:tcPr>
          <w:tcW w:w="5949" w:type="dxa"/>
          <w:hideMark/>
        </w:tcPr>
        <w:p w14:paraId="13954D1F" w14:textId="77777777" w:rsidR="006A3040" w:rsidRDefault="00D5253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54" w:type="dxa"/>
          <w:hideMark/>
        </w:tcPr>
        <w:p w14:paraId="61BC49CB" w14:textId="15EB3A7E" w:rsidR="006A3040" w:rsidRPr="003416ED" w:rsidRDefault="00D5253C" w:rsidP="0038408C">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sidR="00D460E2">
            <w:rPr>
              <w:rFonts w:ascii="Palatino Linotype" w:hAnsi="Palatino Linotype" w:cs="Arial"/>
              <w:bCs/>
              <w:lang w:eastAsia="es-MX"/>
            </w:rPr>
            <w:t>5210</w:t>
          </w:r>
          <w:r w:rsidRPr="002A4020">
            <w:rPr>
              <w:rFonts w:ascii="Palatino Linotype" w:hAnsi="Palatino Linotype" w:cs="Arial"/>
              <w:bCs/>
              <w:lang w:eastAsia="es-MX"/>
            </w:rPr>
            <w:t>/INFOEM/IP/RR/2021</w:t>
          </w:r>
        </w:p>
      </w:tc>
    </w:tr>
    <w:tr w:rsidR="006A3040" w14:paraId="3F7CE7E3" w14:textId="77777777" w:rsidTr="006B7E69">
      <w:trPr>
        <w:trHeight w:val="335"/>
      </w:trPr>
      <w:tc>
        <w:tcPr>
          <w:tcW w:w="5949" w:type="dxa"/>
          <w:hideMark/>
        </w:tcPr>
        <w:p w14:paraId="1EE46ADC" w14:textId="77777777" w:rsidR="006A3040" w:rsidRDefault="00D5253C"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54" w:type="dxa"/>
          <w:hideMark/>
        </w:tcPr>
        <w:p w14:paraId="3BE446CD" w14:textId="062553C4" w:rsidR="006A3040" w:rsidRPr="00492E67" w:rsidRDefault="00D460E2"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 xml:space="preserve">Ayuntamiento de </w:t>
          </w:r>
          <w:r w:rsidR="001C1368">
            <w:rPr>
              <w:rFonts w:ascii="Palatino Linotype" w:hAnsi="Palatino Linotype" w:cs="Arial"/>
              <w:bCs/>
              <w:lang w:eastAsia="es-MX"/>
            </w:rPr>
            <w:t>Ixtlahuaca</w:t>
          </w:r>
        </w:p>
      </w:tc>
    </w:tr>
    <w:tr w:rsidR="006A3040" w14:paraId="0A9E9B10" w14:textId="77777777" w:rsidTr="006B7E69">
      <w:trPr>
        <w:trHeight w:val="474"/>
      </w:trPr>
      <w:tc>
        <w:tcPr>
          <w:tcW w:w="5949" w:type="dxa"/>
          <w:hideMark/>
        </w:tcPr>
        <w:p w14:paraId="35D8B8E5" w14:textId="77777777" w:rsidR="006A3040" w:rsidRDefault="00D5253C"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54" w:type="dxa"/>
          <w:hideMark/>
        </w:tcPr>
        <w:p w14:paraId="563A0354" w14:textId="77777777" w:rsidR="006A3040" w:rsidRPr="003416ED" w:rsidRDefault="00D5253C"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14:paraId="01AF7DB9" w14:textId="77777777" w:rsidR="006A3040" w:rsidRDefault="00417D2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666"/>
      <w:gridCol w:w="4399"/>
    </w:tblGrid>
    <w:tr w:rsidR="006A3040" w14:paraId="76D531E5" w14:textId="77777777" w:rsidTr="006B7E69">
      <w:trPr>
        <w:trHeight w:val="227"/>
      </w:trPr>
      <w:tc>
        <w:tcPr>
          <w:tcW w:w="5666" w:type="dxa"/>
          <w:hideMark/>
        </w:tcPr>
        <w:p w14:paraId="1CE14CF2" w14:textId="1B6AE36A" w:rsidR="006A3040" w:rsidRDefault="00D5253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9" w:type="dxa"/>
          <w:hideMark/>
        </w:tcPr>
        <w:p w14:paraId="0A519531" w14:textId="794B3DCA" w:rsidR="006A3040" w:rsidRPr="003416ED" w:rsidRDefault="00D5253C" w:rsidP="00F67907">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sidR="00D460E2">
            <w:rPr>
              <w:rFonts w:ascii="Palatino Linotype" w:hAnsi="Palatino Linotype" w:cs="Arial"/>
              <w:bCs/>
              <w:lang w:eastAsia="es-MX"/>
            </w:rPr>
            <w:t>5210</w:t>
          </w:r>
          <w:r w:rsidRPr="002A4020">
            <w:rPr>
              <w:rFonts w:ascii="Palatino Linotype" w:hAnsi="Palatino Linotype" w:cs="Arial"/>
              <w:bCs/>
              <w:lang w:eastAsia="es-MX"/>
            </w:rPr>
            <w:t>/INFOEM/IP/RR/2021</w:t>
          </w:r>
        </w:p>
      </w:tc>
    </w:tr>
    <w:tr w:rsidR="006A3040" w14:paraId="7CD1F023" w14:textId="77777777" w:rsidTr="006B7E69">
      <w:trPr>
        <w:trHeight w:val="196"/>
      </w:trPr>
      <w:tc>
        <w:tcPr>
          <w:tcW w:w="5666" w:type="dxa"/>
          <w:hideMark/>
        </w:tcPr>
        <w:p w14:paraId="6BE807C3" w14:textId="77777777" w:rsidR="006A3040" w:rsidRDefault="00D5253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9" w:type="dxa"/>
          <w:hideMark/>
        </w:tcPr>
        <w:p w14:paraId="3F7EC17F" w14:textId="4A74636E" w:rsidR="006A3040" w:rsidRPr="00D460E2" w:rsidRDefault="00F64008" w:rsidP="00D460E2">
          <w:pPr>
            <w:spacing w:after="0" w:line="276" w:lineRule="auto"/>
            <w:ind w:left="-486" w:right="77"/>
            <w:jc w:val="right"/>
            <w:rPr>
              <w:rFonts w:ascii="Palatino Linotype" w:hAnsi="Palatino Linotype"/>
            </w:rPr>
          </w:pPr>
          <w:proofErr w:type="spellStart"/>
          <w:r>
            <w:rPr>
              <w:rFonts w:ascii="Palatino Linotype" w:hAnsi="Palatino Linotype"/>
            </w:rPr>
            <w:t>xxxxxxxxxxxxxxxxxxxxxxxxxxxxxxx</w:t>
          </w:r>
          <w:proofErr w:type="spellEnd"/>
        </w:p>
      </w:tc>
    </w:tr>
    <w:tr w:rsidR="006A3040" w14:paraId="28827E56" w14:textId="77777777" w:rsidTr="006B7E69">
      <w:trPr>
        <w:trHeight w:val="242"/>
      </w:trPr>
      <w:tc>
        <w:tcPr>
          <w:tcW w:w="5666" w:type="dxa"/>
          <w:hideMark/>
        </w:tcPr>
        <w:p w14:paraId="1CF6681A" w14:textId="77777777" w:rsidR="006A3040" w:rsidRDefault="00D5253C"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9" w:type="dxa"/>
          <w:hideMark/>
        </w:tcPr>
        <w:p w14:paraId="34046AD0" w14:textId="76479A89" w:rsidR="006A3040" w:rsidRPr="00492E67" w:rsidRDefault="00D460E2"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 xml:space="preserve">Ayuntamiento de </w:t>
          </w:r>
          <w:r w:rsidR="001C1368">
            <w:rPr>
              <w:rFonts w:ascii="Palatino Linotype" w:hAnsi="Palatino Linotype" w:cs="Arial"/>
              <w:bCs/>
              <w:lang w:eastAsia="es-MX"/>
            </w:rPr>
            <w:t>Ixtlahuaca</w:t>
          </w:r>
        </w:p>
      </w:tc>
    </w:tr>
    <w:tr w:rsidR="006A3040" w14:paraId="79557013" w14:textId="77777777" w:rsidTr="006B7E69">
      <w:trPr>
        <w:trHeight w:val="393"/>
      </w:trPr>
      <w:tc>
        <w:tcPr>
          <w:tcW w:w="5666" w:type="dxa"/>
          <w:hideMark/>
        </w:tcPr>
        <w:p w14:paraId="31357BBD" w14:textId="77777777" w:rsidR="006A3040" w:rsidRDefault="00D5253C"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399" w:type="dxa"/>
          <w:hideMark/>
        </w:tcPr>
        <w:p w14:paraId="6BD8DAF9" w14:textId="77777777" w:rsidR="006A3040" w:rsidRPr="003416ED" w:rsidRDefault="00D5253C"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14:paraId="5DB97F36" w14:textId="77777777" w:rsidR="006A3040" w:rsidRPr="003416ED" w:rsidRDefault="00417D2C">
    <w:pPr>
      <w:pStyle w:val="Encabezado"/>
      <w:rPr>
        <w:sz w:val="12"/>
      </w:rPr>
    </w:pPr>
    <w:r>
      <w:rPr>
        <w:noProof/>
        <w:sz w:val="12"/>
      </w:rPr>
      <w:pict w14:anchorId="72F75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207843" o:spid="_x0000_s2049" type="#_x0000_t75" style="position:absolute;margin-left:-105.45pt;margin-top:-123.9pt;width:736.5pt;height:960pt;z-index:-251657216;mso-position-horizontal-relative:margin;mso-position-vertical-relative:margin" o:allowincell="f">
          <v:imagedata r:id="rId1" o:title="hoja resoluciò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D55D8"/>
    <w:multiLevelType w:val="hybridMultilevel"/>
    <w:tmpl w:val="FA681558"/>
    <w:lvl w:ilvl="0" w:tplc="6638FBAE">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32232B31"/>
    <w:multiLevelType w:val="hybridMultilevel"/>
    <w:tmpl w:val="5CAEE6C0"/>
    <w:lvl w:ilvl="0" w:tplc="ACB88CB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A3"/>
    <w:rsid w:val="000A2AB6"/>
    <w:rsid w:val="001C1368"/>
    <w:rsid w:val="00201815"/>
    <w:rsid w:val="00225BEA"/>
    <w:rsid w:val="00247A80"/>
    <w:rsid w:val="00252397"/>
    <w:rsid w:val="0027022B"/>
    <w:rsid w:val="0031199E"/>
    <w:rsid w:val="003650AA"/>
    <w:rsid w:val="00417D2C"/>
    <w:rsid w:val="004C0C9F"/>
    <w:rsid w:val="00623C9D"/>
    <w:rsid w:val="00646529"/>
    <w:rsid w:val="006B7E69"/>
    <w:rsid w:val="0078404B"/>
    <w:rsid w:val="007A1308"/>
    <w:rsid w:val="007C0B8C"/>
    <w:rsid w:val="00807679"/>
    <w:rsid w:val="009064EA"/>
    <w:rsid w:val="00952A2E"/>
    <w:rsid w:val="00964933"/>
    <w:rsid w:val="009822FC"/>
    <w:rsid w:val="00985F92"/>
    <w:rsid w:val="00A14436"/>
    <w:rsid w:val="00B02C38"/>
    <w:rsid w:val="00B8452C"/>
    <w:rsid w:val="00B8582B"/>
    <w:rsid w:val="00BB66C1"/>
    <w:rsid w:val="00C020EB"/>
    <w:rsid w:val="00C928A3"/>
    <w:rsid w:val="00D460E2"/>
    <w:rsid w:val="00D5253C"/>
    <w:rsid w:val="00DB3007"/>
    <w:rsid w:val="00DF05C1"/>
    <w:rsid w:val="00EC798D"/>
    <w:rsid w:val="00F31942"/>
    <w:rsid w:val="00F640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B50B8D"/>
  <w15:chartTrackingRefBased/>
  <w15:docId w15:val="{B88ABED6-8640-4472-A0DF-56388AD2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8A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28A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928A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928A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928A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928A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928A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928A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928A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928A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928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928A3"/>
    <w:rPr>
      <w:sz w:val="20"/>
      <w:szCs w:val="20"/>
    </w:rPr>
  </w:style>
  <w:style w:type="paragraph" w:styleId="Sinespaciado">
    <w:name w:val="No Spacing"/>
    <w:aliases w:val="Francesa,INAI"/>
    <w:link w:val="SinespaciadoCar"/>
    <w:uiPriority w:val="1"/>
    <w:qFormat/>
    <w:rsid w:val="00C928A3"/>
    <w:pPr>
      <w:spacing w:after="0" w:line="240" w:lineRule="auto"/>
    </w:pPr>
  </w:style>
  <w:style w:type="character" w:customStyle="1" w:styleId="SinespaciadoCar">
    <w:name w:val="Sin espaciado Car"/>
    <w:aliases w:val="Francesa Car,INAI Car"/>
    <w:link w:val="Sinespaciado"/>
    <w:uiPriority w:val="1"/>
    <w:locked/>
    <w:rsid w:val="00C928A3"/>
  </w:style>
  <w:style w:type="paragraph" w:styleId="Textoindependiente">
    <w:name w:val="Body Text"/>
    <w:basedOn w:val="Normal"/>
    <w:link w:val="TextoindependienteCar"/>
    <w:uiPriority w:val="99"/>
    <w:unhideWhenUsed/>
    <w:rsid w:val="00C928A3"/>
    <w:pPr>
      <w:spacing w:after="120"/>
    </w:pPr>
  </w:style>
  <w:style w:type="character" w:customStyle="1" w:styleId="TextoindependienteCar">
    <w:name w:val="Texto independiente Car"/>
    <w:basedOn w:val="Fuentedeprrafopredeter"/>
    <w:link w:val="Textoindependiente"/>
    <w:uiPriority w:val="99"/>
    <w:rsid w:val="00C92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54945">
      <w:bodyDiv w:val="1"/>
      <w:marLeft w:val="0"/>
      <w:marRight w:val="0"/>
      <w:marTop w:val="0"/>
      <w:marBottom w:val="0"/>
      <w:divBdr>
        <w:top w:val="none" w:sz="0" w:space="0" w:color="auto"/>
        <w:left w:val="none" w:sz="0" w:space="0" w:color="auto"/>
        <w:bottom w:val="none" w:sz="0" w:space="0" w:color="auto"/>
        <w:right w:val="none" w:sz="0" w:space="0" w:color="auto"/>
      </w:divBdr>
    </w:div>
    <w:div w:id="459418292">
      <w:bodyDiv w:val="1"/>
      <w:marLeft w:val="0"/>
      <w:marRight w:val="0"/>
      <w:marTop w:val="0"/>
      <w:marBottom w:val="0"/>
      <w:divBdr>
        <w:top w:val="none" w:sz="0" w:space="0" w:color="auto"/>
        <w:left w:val="none" w:sz="0" w:space="0" w:color="auto"/>
        <w:bottom w:val="none" w:sz="0" w:space="0" w:color="auto"/>
        <w:right w:val="none" w:sz="0" w:space="0" w:color="auto"/>
      </w:divBdr>
    </w:div>
    <w:div w:id="1182086814">
      <w:bodyDiv w:val="1"/>
      <w:marLeft w:val="0"/>
      <w:marRight w:val="0"/>
      <w:marTop w:val="0"/>
      <w:marBottom w:val="0"/>
      <w:divBdr>
        <w:top w:val="none" w:sz="0" w:space="0" w:color="auto"/>
        <w:left w:val="none" w:sz="0" w:space="0" w:color="auto"/>
        <w:bottom w:val="none" w:sz="0" w:space="0" w:color="auto"/>
        <w:right w:val="none" w:sz="0" w:space="0" w:color="auto"/>
      </w:divBdr>
    </w:div>
    <w:div w:id="1249921250">
      <w:bodyDiv w:val="1"/>
      <w:marLeft w:val="0"/>
      <w:marRight w:val="0"/>
      <w:marTop w:val="0"/>
      <w:marBottom w:val="0"/>
      <w:divBdr>
        <w:top w:val="none" w:sz="0" w:space="0" w:color="auto"/>
        <w:left w:val="none" w:sz="0" w:space="0" w:color="auto"/>
        <w:bottom w:val="none" w:sz="0" w:space="0" w:color="auto"/>
        <w:right w:val="none" w:sz="0" w:space="0" w:color="auto"/>
      </w:divBdr>
    </w:div>
    <w:div w:id="192985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4209</Words>
  <Characters>23150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USUARIO-INFOEM</cp:lastModifiedBy>
  <cp:revision>3</cp:revision>
  <dcterms:created xsi:type="dcterms:W3CDTF">2021-12-02T20:02:00Z</dcterms:created>
  <dcterms:modified xsi:type="dcterms:W3CDTF">2022-01-11T17:56:00Z</dcterms:modified>
</cp:coreProperties>
</file>