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6742EC5B"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37B44">
        <w:rPr>
          <w:rFonts w:ascii="Palatino Linotype" w:eastAsia="Times New Roman" w:hAnsi="Palatino Linotype" w:cs="Arial"/>
          <w:color w:val="000000"/>
          <w:sz w:val="24"/>
          <w:szCs w:val="24"/>
          <w:lang w:eastAsia="es-MX"/>
        </w:rPr>
        <w:t>veintisiete de octubre</w:t>
      </w:r>
      <w:r w:rsidR="009B3058">
        <w:rPr>
          <w:rFonts w:ascii="Palatino Linotype" w:eastAsia="Times New Roman" w:hAnsi="Palatino Linotype" w:cs="Arial"/>
          <w:color w:val="000000"/>
          <w:sz w:val="24"/>
          <w:szCs w:val="24"/>
          <w:lang w:eastAsia="es-MX"/>
        </w:rPr>
        <w:t xml:space="preserve"> de dos mil veintiuno. </w:t>
      </w:r>
    </w:p>
    <w:p w14:paraId="6E3D9252" w14:textId="6ECA8A18" w:rsidR="009B3058" w:rsidRPr="009B3058"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9B3058">
        <w:rPr>
          <w:rFonts w:ascii="Palatino Linotype" w:hAnsi="Palatino Linotype" w:cs="Arial"/>
          <w:b/>
          <w:bCs/>
          <w:sz w:val="24"/>
          <w:lang w:eastAsia="es-MX"/>
        </w:rPr>
        <w:t>3756</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21</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AA207C">
        <w:rPr>
          <w:rFonts w:ascii="Palatino Linotype" w:hAnsi="Palatino Linotype" w:cs="Arial"/>
          <w:sz w:val="24"/>
          <w:szCs w:val="24"/>
        </w:rPr>
        <w:t xml:space="preserve">el </w:t>
      </w:r>
      <w:r w:rsidR="009B3058">
        <w:rPr>
          <w:rFonts w:ascii="Palatino Linotype" w:hAnsi="Palatino Linotype" w:cs="Arial"/>
          <w:b/>
          <w:sz w:val="24"/>
          <w:szCs w:val="24"/>
        </w:rPr>
        <w:t xml:space="preserve">C. </w:t>
      </w:r>
      <w:proofErr w:type="spellStart"/>
      <w:r w:rsidR="00086082">
        <w:rPr>
          <w:rFonts w:ascii="Palatino Linotype" w:hAnsi="Palatino Linotype" w:cs="Arial"/>
          <w:b/>
          <w:sz w:val="24"/>
          <w:szCs w:val="24"/>
        </w:rPr>
        <w:t>xxxxxxxxxxxxxxx</w:t>
      </w:r>
      <w:proofErr w:type="spellEnd"/>
      <w:r w:rsidR="009B3058">
        <w:rPr>
          <w:rFonts w:ascii="Palatino Linotype" w:hAnsi="Palatino Linotype" w:cs="Arial"/>
          <w:b/>
          <w:sz w:val="24"/>
          <w:szCs w:val="24"/>
        </w:rPr>
        <w:t xml:space="preserve">, </w:t>
      </w:r>
      <w:r w:rsidR="009B3058">
        <w:rPr>
          <w:rFonts w:ascii="Palatino Linotype" w:hAnsi="Palatino Linotype" w:cs="Arial"/>
          <w:sz w:val="24"/>
          <w:szCs w:val="24"/>
        </w:rPr>
        <w:t xml:space="preserve">en lo subsecuente </w:t>
      </w:r>
      <w:r w:rsidR="009B3058">
        <w:rPr>
          <w:rFonts w:ascii="Palatino Linotype" w:hAnsi="Palatino Linotype" w:cs="Arial"/>
          <w:b/>
          <w:sz w:val="24"/>
          <w:szCs w:val="24"/>
        </w:rPr>
        <w:t xml:space="preserve">El Recurrente, </w:t>
      </w:r>
      <w:r w:rsidR="009B3058">
        <w:rPr>
          <w:rFonts w:ascii="Palatino Linotype" w:hAnsi="Palatino Linotype" w:cs="Arial"/>
          <w:sz w:val="24"/>
          <w:szCs w:val="24"/>
        </w:rPr>
        <w:t xml:space="preserve">en contra de la respuesta de </w:t>
      </w:r>
      <w:r w:rsidR="009B3058">
        <w:rPr>
          <w:rFonts w:ascii="Palatino Linotype" w:hAnsi="Palatino Linotype" w:cs="Arial"/>
          <w:b/>
          <w:sz w:val="24"/>
          <w:szCs w:val="24"/>
        </w:rPr>
        <w:t xml:space="preserve">Gubernatura, </w:t>
      </w:r>
      <w:r w:rsidR="009B3058">
        <w:rPr>
          <w:rFonts w:ascii="Palatino Linotype" w:hAnsi="Palatino Linotype" w:cs="Arial"/>
          <w:sz w:val="24"/>
          <w:szCs w:val="24"/>
        </w:rPr>
        <w:t xml:space="preserve">en lo subsecuente </w:t>
      </w:r>
      <w:r w:rsidR="009B3058">
        <w:rPr>
          <w:rFonts w:ascii="Palatino Linotype" w:hAnsi="Palatino Linotype" w:cs="Arial"/>
          <w:b/>
          <w:sz w:val="24"/>
          <w:szCs w:val="24"/>
        </w:rPr>
        <w:t xml:space="preserve">El Sujeto Obligado, </w:t>
      </w:r>
      <w:r w:rsidR="009B3058">
        <w:rPr>
          <w:rFonts w:ascii="Palatino Linotype" w:hAnsi="Palatino Linotype" w:cs="Arial"/>
          <w:sz w:val="24"/>
          <w:szCs w:val="24"/>
        </w:rPr>
        <w:t xml:space="preserve">se procede a dictar la presente resolución. </w:t>
      </w:r>
    </w:p>
    <w:p w14:paraId="242676C9" w14:textId="77777777" w:rsidR="009B3058" w:rsidRDefault="009B3058" w:rsidP="00844569">
      <w:pPr>
        <w:tabs>
          <w:tab w:val="left" w:pos="1701"/>
        </w:tabs>
        <w:spacing w:before="240" w:line="360" w:lineRule="auto"/>
        <w:jc w:val="both"/>
        <w:rPr>
          <w:rFonts w:ascii="Palatino Linotype" w:hAnsi="Palatino Linotype" w:cs="Arial"/>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C26FEBE" w14:textId="00C7185E" w:rsidR="009B3058"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9B3058">
        <w:rPr>
          <w:rFonts w:ascii="Palatino Linotype" w:hAnsi="Palatino Linotype" w:cs="Arial"/>
          <w:sz w:val="24"/>
        </w:rPr>
        <w:t xml:space="preserve">nueve de julio de dos mil veintiuno, </w:t>
      </w:r>
      <w:r w:rsidR="009B3058">
        <w:rPr>
          <w:rFonts w:ascii="Palatino Linotype" w:hAnsi="Palatino Linotype" w:cs="Arial"/>
          <w:b/>
          <w:sz w:val="24"/>
        </w:rPr>
        <w:t xml:space="preserve">El Recurrente, </w:t>
      </w:r>
      <w:r w:rsidR="009B3058">
        <w:rPr>
          <w:rFonts w:ascii="Palatino Linotype" w:hAnsi="Palatino Linotype" w:cs="Arial"/>
          <w:sz w:val="24"/>
        </w:rPr>
        <w:t>presentó a través del Sistema de Acceso a la Información Mexiquense (</w:t>
      </w:r>
      <w:r w:rsidR="009B3058">
        <w:rPr>
          <w:rFonts w:ascii="Palatino Linotype" w:hAnsi="Palatino Linotype" w:cs="Arial"/>
          <w:b/>
          <w:sz w:val="24"/>
        </w:rPr>
        <w:t>SAIMEX)</w:t>
      </w:r>
      <w:r w:rsidR="009B3058">
        <w:rPr>
          <w:rFonts w:ascii="Palatino Linotype" w:hAnsi="Palatino Linotype" w:cs="Arial"/>
          <w:sz w:val="24"/>
        </w:rPr>
        <w:t xml:space="preserve"> ante </w:t>
      </w:r>
      <w:r w:rsidR="009B3058">
        <w:rPr>
          <w:rFonts w:ascii="Palatino Linotype" w:hAnsi="Palatino Linotype" w:cs="Arial"/>
          <w:b/>
          <w:sz w:val="24"/>
        </w:rPr>
        <w:t>El Sujeto Obligado</w:t>
      </w:r>
      <w:r w:rsidR="009B3058">
        <w:rPr>
          <w:rFonts w:ascii="Palatino Linotype" w:hAnsi="Palatino Linotype" w:cs="Arial"/>
          <w:sz w:val="24"/>
        </w:rPr>
        <w:t xml:space="preserve">, solicitud de acceso a la información pública, registrada bajo el número de expediente </w:t>
      </w:r>
      <w:r w:rsidR="009B3058">
        <w:rPr>
          <w:rFonts w:ascii="Palatino Linotype" w:hAnsi="Palatino Linotype" w:cs="Arial"/>
          <w:b/>
          <w:sz w:val="24"/>
        </w:rPr>
        <w:t xml:space="preserve">00149/GUBERNA/IP/2021, </w:t>
      </w:r>
      <w:r w:rsidR="009B3058">
        <w:rPr>
          <w:rFonts w:ascii="Palatino Linotype" w:hAnsi="Palatino Linotype" w:cs="Arial"/>
          <w:sz w:val="24"/>
        </w:rPr>
        <w:t xml:space="preserve">mediante la cual solicitó información en el tenor siguiente: </w:t>
      </w:r>
    </w:p>
    <w:p w14:paraId="30387401" w14:textId="3C20C840" w:rsidR="009B3058" w:rsidRPr="009B3058" w:rsidRDefault="009B3058" w:rsidP="009B3058">
      <w:pPr>
        <w:pStyle w:val="Citas"/>
        <w:rPr>
          <w:b/>
          <w:sz w:val="24"/>
        </w:rPr>
      </w:pPr>
      <w:r>
        <w:t xml:space="preserve">“solicito los expedientes completos incluyendo oficio a la legislatura, en la cual la </w:t>
      </w:r>
      <w:proofErr w:type="spellStart"/>
      <w:r>
        <w:t>gobernatura</w:t>
      </w:r>
      <w:proofErr w:type="spellEnd"/>
      <w:r>
        <w:t xml:space="preserve"> propone a este poder los candidatos a ocupar los cargos de miembros del INFOEM, en </w:t>
      </w:r>
      <w:proofErr w:type="spellStart"/>
      <w:r>
        <w:t>especifico</w:t>
      </w:r>
      <w:proofErr w:type="spellEnd"/>
      <w:r>
        <w:t xml:space="preserve"> de los cinco que estuvieron o </w:t>
      </w:r>
      <w:proofErr w:type="spellStart"/>
      <w:r>
        <w:t>estan</w:t>
      </w:r>
      <w:proofErr w:type="spellEnd"/>
      <w:r>
        <w:t xml:space="preserve"> en funciones hasta junio del 2021, es de </w:t>
      </w:r>
      <w:proofErr w:type="spellStart"/>
      <w:r>
        <w:t>interes</w:t>
      </w:r>
      <w:proofErr w:type="spellEnd"/>
      <w:r>
        <w:t xml:space="preserve"> saber el expediente actual para la </w:t>
      </w:r>
      <w:proofErr w:type="spellStart"/>
      <w:r>
        <w:t>sustiticion</w:t>
      </w:r>
      <w:proofErr w:type="spellEnd"/>
      <w:r>
        <w:t xml:space="preserve"> del Comisionado Luna que acaba de renunciar al INFOEM para ir al CPC </w:t>
      </w:r>
      <w:proofErr w:type="spellStart"/>
      <w:r>
        <w:t>anticurrpcion</w:t>
      </w:r>
      <w:proofErr w:type="spellEnd"/>
      <w:r>
        <w:t xml:space="preserve"> del </w:t>
      </w:r>
      <w:proofErr w:type="spellStart"/>
      <w:r>
        <w:t>EStado</w:t>
      </w:r>
      <w:proofErr w:type="spellEnd"/>
      <w:r>
        <w:t xml:space="preserve"> y que la </w:t>
      </w:r>
      <w:proofErr w:type="spellStart"/>
      <w:r>
        <w:t>Gobernatura</w:t>
      </w:r>
      <w:proofErr w:type="spellEnd"/>
      <w:r>
        <w:t xml:space="preserve"> este proponiendo a uno o </w:t>
      </w:r>
      <w:proofErr w:type="spellStart"/>
      <w:r>
        <w:t>mas</w:t>
      </w:r>
      <w:proofErr w:type="spellEnd"/>
      <w:r>
        <w:t xml:space="preserve"> candidatos a este puesto ene l INFOEM.” </w:t>
      </w:r>
      <w:r>
        <w:rPr>
          <w:b/>
        </w:rPr>
        <w:t xml:space="preserve">[Sic] </w:t>
      </w:r>
    </w:p>
    <w:p w14:paraId="059B1A9B" w14:textId="273273DA"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AA207C">
        <w:rPr>
          <w:rFonts w:ascii="Palatino Linotype" w:eastAsia="Times New Roman" w:hAnsi="Palatino Linotype" w:cs="Times New Roman"/>
          <w:sz w:val="24"/>
          <w:szCs w:val="24"/>
          <w:lang w:val="es-ES_tradnl" w:eastAsia="es-ES"/>
        </w:rPr>
        <w:t xml:space="preserve">A través del SAIMEX. </w:t>
      </w:r>
    </w:p>
    <w:p w14:paraId="45FD11BE" w14:textId="77777777" w:rsidR="006323CA" w:rsidRDefault="006323CA"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1B7C3267" w14:textId="37E99483"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50AF23BA" w14:textId="478167C7" w:rsidR="009B3058" w:rsidRPr="009B3058"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9B3058">
        <w:rPr>
          <w:rFonts w:ascii="Palatino Linotype" w:hAnsi="Palatino Linotype" w:cs="Arial"/>
          <w:sz w:val="24"/>
          <w:szCs w:val="24"/>
        </w:rPr>
        <w:t xml:space="preserve">catorce de julio de dos mil veintiuno, </w:t>
      </w:r>
      <w:r w:rsidR="009B3058">
        <w:rPr>
          <w:rFonts w:ascii="Palatino Linotype" w:hAnsi="Palatino Linotype" w:cs="Arial"/>
          <w:b/>
          <w:sz w:val="24"/>
          <w:szCs w:val="24"/>
        </w:rPr>
        <w:t xml:space="preserve">El Sujeto Obligado </w:t>
      </w:r>
      <w:r w:rsidR="009B3058">
        <w:rPr>
          <w:rFonts w:ascii="Palatino Linotype" w:hAnsi="Palatino Linotype" w:cs="Arial"/>
          <w:sz w:val="24"/>
          <w:szCs w:val="24"/>
        </w:rPr>
        <w:t xml:space="preserve">dio respuesta a la solicitud de información </w:t>
      </w:r>
      <w:r w:rsidR="009B3058">
        <w:rPr>
          <w:rFonts w:ascii="Palatino Linotype" w:hAnsi="Palatino Linotype" w:cs="Arial"/>
          <w:b/>
          <w:sz w:val="24"/>
          <w:szCs w:val="24"/>
        </w:rPr>
        <w:t xml:space="preserve">00149/GUBERNA/IP/2021, </w:t>
      </w:r>
      <w:r w:rsidR="009B3058">
        <w:rPr>
          <w:rFonts w:ascii="Palatino Linotype" w:hAnsi="Palatino Linotype" w:cs="Arial"/>
          <w:sz w:val="24"/>
          <w:szCs w:val="24"/>
        </w:rPr>
        <w:t xml:space="preserve">resulta de nuestro interés lo siguiente: </w:t>
      </w:r>
    </w:p>
    <w:p w14:paraId="4B0CF768" w14:textId="2004ADA2" w:rsidR="009B3058" w:rsidRPr="009B3058" w:rsidRDefault="009B3058" w:rsidP="009B3058">
      <w:pPr>
        <w:pStyle w:val="Citas"/>
        <w:rPr>
          <w:b/>
          <w:sz w:val="24"/>
          <w:szCs w:val="24"/>
        </w:rPr>
      </w:pPr>
      <w:r>
        <w:t xml:space="preserve">“Se anexa documento.” </w:t>
      </w:r>
      <w:r>
        <w:rPr>
          <w:b/>
        </w:rPr>
        <w:t xml:space="preserve">[Sic] </w:t>
      </w:r>
    </w:p>
    <w:p w14:paraId="4B7C2DD8" w14:textId="4C648BC4" w:rsidR="009B3058" w:rsidRPr="009B3058" w:rsidRDefault="009B3058"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“0149 respuesta 2021.pdf”, </w:t>
      </w:r>
      <w:r>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57251823" w14:textId="77777777" w:rsidR="00AA207C" w:rsidRPr="00AA207C" w:rsidRDefault="00AA207C" w:rsidP="00045379">
      <w:pPr>
        <w:spacing w:before="240" w:line="360" w:lineRule="auto"/>
        <w:jc w:val="both"/>
        <w:rPr>
          <w:rFonts w:ascii="Palatino Linotype" w:hAnsi="Palatino Linotype" w:cs="Arial"/>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62EAE8FC" w14:textId="29ED451D" w:rsidR="009B3058" w:rsidRPr="009B3058"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AA207C">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EE2C8C">
        <w:rPr>
          <w:rFonts w:ascii="Palatino Linotype" w:hAnsi="Palatino Linotype" w:cs="Arial"/>
          <w:sz w:val="24"/>
          <w:szCs w:val="24"/>
        </w:rPr>
        <w:t xml:space="preserve"> </w:t>
      </w:r>
      <w:r w:rsidR="00E36431">
        <w:rPr>
          <w:rFonts w:ascii="Palatino Linotype" w:hAnsi="Palatino Linotype" w:cs="Arial"/>
          <w:sz w:val="24"/>
          <w:szCs w:val="24"/>
        </w:rPr>
        <w:t>dos de agosto</w:t>
      </w:r>
      <w:r w:rsidR="009B3058">
        <w:rPr>
          <w:rFonts w:ascii="Palatino Linotype" w:hAnsi="Palatino Linotype" w:cs="Arial"/>
          <w:sz w:val="24"/>
          <w:szCs w:val="24"/>
        </w:rPr>
        <w:t xml:space="preserve"> de dos mil veintiuno, el cual fue registrado en el expediente número </w:t>
      </w:r>
      <w:r w:rsidR="009B3058">
        <w:rPr>
          <w:rFonts w:ascii="Palatino Linotype" w:hAnsi="Palatino Linotype" w:cs="Arial"/>
          <w:b/>
          <w:sz w:val="24"/>
          <w:szCs w:val="24"/>
        </w:rPr>
        <w:t xml:space="preserve">03756/INFOEM/IP/RR/2021, </w:t>
      </w:r>
      <w:r w:rsidR="009B3058">
        <w:rPr>
          <w:rFonts w:ascii="Palatino Linotype" w:hAnsi="Palatino Linotype" w:cs="Arial"/>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69D05E88" w:rsidR="006168E4" w:rsidRPr="00AA207C" w:rsidRDefault="006168E4" w:rsidP="00AA207C">
      <w:pPr>
        <w:pStyle w:val="Citas"/>
        <w:rPr>
          <w:b/>
        </w:rPr>
      </w:pPr>
      <w:r w:rsidRPr="009B3058">
        <w:t>“</w:t>
      </w:r>
      <w:r w:rsidR="009B3058" w:rsidRPr="009B3058">
        <w:t xml:space="preserve">negativa de información o </w:t>
      </w:r>
      <w:proofErr w:type="spellStart"/>
      <w:r w:rsidR="009B3058" w:rsidRPr="009B3058">
        <w:t>busqueda</w:t>
      </w:r>
      <w:proofErr w:type="spellEnd"/>
      <w:r w:rsidR="009B3058" w:rsidRPr="009B3058">
        <w:t xml:space="preserve"> de información.</w:t>
      </w:r>
      <w:r w:rsidRPr="009B3058">
        <w:t>”</w:t>
      </w:r>
      <w:r w:rsidR="00454CE6" w:rsidRPr="00AA207C">
        <w:t xml:space="preserve"> </w:t>
      </w:r>
      <w:r w:rsidR="00AA207C">
        <w:rPr>
          <w:b/>
        </w:rPr>
        <w:t>[Sic]</w:t>
      </w:r>
    </w:p>
    <w:p w14:paraId="01878A36" w14:textId="77777777" w:rsidR="00DC168A" w:rsidRPr="000B426F" w:rsidRDefault="00DC168A" w:rsidP="00DC168A">
      <w:pPr>
        <w:jc w:val="both"/>
      </w:pP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17E1F550" w14:textId="74DEB289" w:rsidR="00DB5E40" w:rsidRDefault="00EE2C8C" w:rsidP="00AA207C">
      <w:pPr>
        <w:pStyle w:val="Citas"/>
        <w:rPr>
          <w:b/>
        </w:rPr>
      </w:pPr>
      <w:r w:rsidRPr="009B3058">
        <w:t>“</w:t>
      </w:r>
      <w:r w:rsidR="009B3058" w:rsidRPr="009B3058">
        <w:t xml:space="preserve">la Gubernatura participa en el proceso de selección de los miembros del INFOEM, de alguna forma antes de enviarnos a otro sujeto obligado debieron hacer la búsqueda de información y por su comité declarar la no existencia de información, o agotar el adecuado procedimiento, es obvio que no fue así, por lo que solicito que el INFOEM le pida a esta unidad de trasparencia agote el procedimiento y la declaración de inexistencia de información si fuera el caso. </w:t>
      </w:r>
      <w:proofErr w:type="gramStart"/>
      <w:r w:rsidR="009B3058" w:rsidRPr="009B3058">
        <w:t>también</w:t>
      </w:r>
      <w:proofErr w:type="gramEnd"/>
      <w:r w:rsidR="009B3058" w:rsidRPr="009B3058">
        <w:t xml:space="preserve"> nos canalizan </w:t>
      </w:r>
      <w:proofErr w:type="spellStart"/>
      <w:r w:rsidR="009B3058" w:rsidRPr="009B3058">
        <w:t>alas</w:t>
      </w:r>
      <w:proofErr w:type="spellEnd"/>
      <w:r w:rsidR="009B3058" w:rsidRPr="009B3058">
        <w:t xml:space="preserve"> unidades de los partidos políticos que no intervienen en este proceso de selección, este estudio es parte dela observancia que hacemos como </w:t>
      </w:r>
      <w:proofErr w:type="spellStart"/>
      <w:r w:rsidR="009B3058" w:rsidRPr="009B3058">
        <w:t>ONGs</w:t>
      </w:r>
      <w:proofErr w:type="spellEnd"/>
      <w:r w:rsidR="009B3058" w:rsidRPr="009B3058">
        <w:t xml:space="preserve"> de que quienes están en estos puestos cumplan con perfiles ciudadanos y no sean propuestos con sesgos políticos, de ahí que seamos muy exigentes en esta observancia, en especial que se inicia el proceso de renovación delos miembros actuales del instituto. </w:t>
      </w:r>
      <w:proofErr w:type="gramStart"/>
      <w:r w:rsidR="009B3058" w:rsidRPr="009B3058">
        <w:t>por</w:t>
      </w:r>
      <w:proofErr w:type="gramEnd"/>
      <w:r w:rsidR="009B3058" w:rsidRPr="009B3058">
        <w:t xml:space="preserve"> tal motivo declaramos nuestra inconformidad con esta observación, los mismo estamos ya haciendo con la legislatura para conocer la imparcialidad ene l proceso de selección de miembros del </w:t>
      </w:r>
      <w:proofErr w:type="spellStart"/>
      <w:r w:rsidR="009B3058" w:rsidRPr="009B3058">
        <w:t>infoem</w:t>
      </w:r>
      <w:proofErr w:type="spellEnd"/>
      <w:r w:rsidR="009B3058" w:rsidRPr="009B3058">
        <w:t>.</w:t>
      </w:r>
      <w:r w:rsidR="00AA207C" w:rsidRPr="009B3058">
        <w:t>”</w:t>
      </w:r>
      <w:r w:rsidR="00AA207C">
        <w:t xml:space="preserve"> </w:t>
      </w:r>
      <w:r w:rsidR="00AA207C">
        <w:rPr>
          <w:b/>
        </w:rPr>
        <w:t>[Sic]</w:t>
      </w:r>
    </w:p>
    <w:p w14:paraId="60FF8009" w14:textId="77777777" w:rsidR="00AA207C" w:rsidRPr="00AA207C" w:rsidRDefault="00AA207C" w:rsidP="00AA207C">
      <w:pPr>
        <w:pStyle w:val="Citas"/>
        <w:rPr>
          <w:b/>
        </w:rPr>
      </w:pPr>
    </w:p>
    <w:p w14:paraId="7E88DE81" w14:textId="5F87B745"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5A0381E9"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56647F">
        <w:rPr>
          <w:rFonts w:ascii="Palatino Linotype" w:hAnsi="Palatino Linotype" w:cs="Arial"/>
          <w:sz w:val="24"/>
          <w:szCs w:val="24"/>
        </w:rPr>
        <w:t>al Comisionado</w:t>
      </w:r>
      <w:r>
        <w:rPr>
          <w:rFonts w:ascii="Palatino Linotype" w:hAnsi="Palatino Linotype" w:cs="Arial"/>
          <w:sz w:val="24"/>
          <w:szCs w:val="24"/>
        </w:rPr>
        <w:t xml:space="preserve"> </w:t>
      </w:r>
      <w:r w:rsidR="0056647F">
        <w:rPr>
          <w:rFonts w:ascii="Palatino Linotype" w:hAnsi="Palatino Linotype" w:cs="Arial"/>
          <w:b/>
          <w:sz w:val="24"/>
          <w:szCs w:val="24"/>
        </w:rPr>
        <w:t>Luis Gustavo Parra Noriega</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A75001">
        <w:rPr>
          <w:rFonts w:ascii="Palatino Linotype" w:hAnsi="Palatino Linotype" w:cs="Arial"/>
          <w:sz w:val="24"/>
          <w:szCs w:val="24"/>
        </w:rPr>
        <w:t xml:space="preserve"> </w:t>
      </w:r>
      <w:r w:rsidR="0056647F">
        <w:rPr>
          <w:rFonts w:ascii="Palatino Linotype" w:hAnsi="Palatino Linotype" w:cs="Arial"/>
          <w:sz w:val="24"/>
          <w:szCs w:val="24"/>
        </w:rPr>
        <w:t xml:space="preserve">cuatro de agosto de dos mil veintiuno, </w:t>
      </w:r>
      <w:r>
        <w:rPr>
          <w:rFonts w:ascii="Palatino Linotype" w:hAnsi="Palatino Linotype" w:cs="Arial"/>
          <w:sz w:val="24"/>
          <w:szCs w:val="24"/>
        </w:rPr>
        <w:t>determinándose en él, un plazo de siete días para que las partes manifestaran lo que a su derecho corresponda en términos del numeral ya citado.</w:t>
      </w:r>
    </w:p>
    <w:p w14:paraId="4BCFD455" w14:textId="249654CB"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13F3AAB5" w14:textId="71C95CB0" w:rsidR="0056647F" w:rsidRDefault="00660C59" w:rsidP="00660C59">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w:t>
      </w:r>
      <w:r w:rsidR="00E94460">
        <w:rPr>
          <w:rFonts w:ascii="Palatino Linotype" w:hAnsi="Palatino Linotype" w:cs="Arial"/>
          <w:sz w:val="24"/>
          <w:szCs w:val="24"/>
        </w:rPr>
        <w:t xml:space="preserve">del recurso de revisión </w:t>
      </w:r>
      <w:r>
        <w:rPr>
          <w:rFonts w:ascii="Palatino Linotype" w:hAnsi="Palatino Linotype" w:cs="Arial"/>
          <w:sz w:val="24"/>
          <w:szCs w:val="24"/>
        </w:rPr>
        <w:t xml:space="preserve">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rindió su informe justificado en fecha</w:t>
      </w:r>
      <w:r w:rsidR="0056647F">
        <w:rPr>
          <w:rFonts w:ascii="Palatino Linotype" w:hAnsi="Palatino Linotype" w:cs="Arial"/>
          <w:sz w:val="24"/>
          <w:szCs w:val="24"/>
        </w:rPr>
        <w:t>s</w:t>
      </w:r>
      <w:r>
        <w:rPr>
          <w:rFonts w:ascii="Palatino Linotype" w:hAnsi="Palatino Linotype" w:cs="Arial"/>
          <w:sz w:val="24"/>
          <w:szCs w:val="24"/>
        </w:rPr>
        <w:t xml:space="preserve"> </w:t>
      </w:r>
      <w:r w:rsidR="0056647F">
        <w:rPr>
          <w:rFonts w:ascii="Palatino Linotype" w:hAnsi="Palatino Linotype" w:cs="Arial"/>
          <w:sz w:val="24"/>
          <w:szCs w:val="24"/>
        </w:rPr>
        <w:t xml:space="preserve">dieciséis de agosto y catorce de octubre de dos mil veintiuno, mismo que fue puesto a la vista del </w:t>
      </w:r>
      <w:r w:rsidR="0056647F">
        <w:rPr>
          <w:rFonts w:ascii="Palatino Linotype" w:hAnsi="Palatino Linotype" w:cs="Arial"/>
          <w:b/>
          <w:sz w:val="24"/>
          <w:szCs w:val="24"/>
        </w:rPr>
        <w:t xml:space="preserve">Recurrente, </w:t>
      </w:r>
      <w:r w:rsidR="0056647F">
        <w:rPr>
          <w:rFonts w:ascii="Palatino Linotype" w:hAnsi="Palatino Linotype" w:cs="Arial"/>
          <w:sz w:val="24"/>
          <w:szCs w:val="24"/>
        </w:rPr>
        <w:t xml:space="preserve">el treinta de septiembre y catorce de </w:t>
      </w:r>
      <w:r w:rsidR="001E4380">
        <w:rPr>
          <w:rFonts w:ascii="Palatino Linotype" w:hAnsi="Palatino Linotype" w:cs="Arial"/>
          <w:sz w:val="24"/>
          <w:szCs w:val="24"/>
        </w:rPr>
        <w:t xml:space="preserve">octubre de los corrientes, respectivamente. </w:t>
      </w:r>
    </w:p>
    <w:p w14:paraId="7593EE3D" w14:textId="190F666F" w:rsidR="0056647F" w:rsidRDefault="0056647F" w:rsidP="0056647F">
      <w:pPr>
        <w:spacing w:before="240" w:line="360" w:lineRule="auto"/>
        <w:jc w:val="both"/>
        <w:rPr>
          <w:rFonts w:ascii="Palatino Linotype" w:hAnsi="Palatino Linotype" w:cs="Arial"/>
          <w:sz w:val="24"/>
          <w:szCs w:val="24"/>
        </w:rPr>
      </w:pPr>
      <w:r>
        <w:rPr>
          <w:rFonts w:ascii="Palatino Linotype" w:hAnsi="Palatino Linotype" w:cs="Arial"/>
          <w:sz w:val="24"/>
          <w:szCs w:val="24"/>
        </w:rPr>
        <w:t>Adicionalmente</w:t>
      </w:r>
      <w:r w:rsidRPr="0053191B">
        <w:rPr>
          <w:rFonts w:ascii="Palatino Linotype" w:hAnsi="Palatino Linotype" w:cs="Arial"/>
          <w:sz w:val="24"/>
          <w:szCs w:val="24"/>
        </w:rPr>
        <w:t xml:space="preserve">, en fecha </w:t>
      </w:r>
      <w:r>
        <w:rPr>
          <w:rFonts w:ascii="Palatino Linotype" w:hAnsi="Palatino Linotype" w:cs="Arial"/>
          <w:b/>
          <w:bCs/>
          <w:sz w:val="24"/>
          <w:szCs w:val="24"/>
        </w:rPr>
        <w:t>catorce de septiembre de dos mil veintiuno</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se amplió plazo para dictar resolución, en términos del artículo 181 de la Ley de Transparencia y Acceso a la Información del Estado de México y Municipios.</w:t>
      </w:r>
      <w:r>
        <w:rPr>
          <w:rFonts w:ascii="Palatino Linotype" w:hAnsi="Palatino Linotype" w:cs="Arial"/>
          <w:sz w:val="24"/>
          <w:szCs w:val="24"/>
        </w:rPr>
        <w:t xml:space="preserve"> </w:t>
      </w:r>
    </w:p>
    <w:p w14:paraId="7ED96E96" w14:textId="77777777" w:rsidR="0056647F" w:rsidRDefault="0056647F" w:rsidP="0056647F">
      <w:pPr>
        <w:spacing w:before="240" w:line="360" w:lineRule="auto"/>
        <w:jc w:val="both"/>
        <w:rPr>
          <w:rFonts w:ascii="Palatino Linotype" w:hAnsi="Palatino Linotype" w:cs="Arial"/>
          <w:b/>
          <w:sz w:val="28"/>
        </w:rPr>
      </w:pPr>
    </w:p>
    <w:p w14:paraId="694D6642" w14:textId="076FB13F" w:rsidR="0056647F" w:rsidRDefault="0056647F" w:rsidP="0056647F">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Del returno del recurso de revisión 03756/INFOEM/IP/RR/2021</w:t>
      </w:r>
    </w:p>
    <w:p w14:paraId="62EF60BA" w14:textId="000D3A26" w:rsidR="0056647F" w:rsidRPr="0056647F" w:rsidRDefault="0056647F" w:rsidP="0056647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fecha trece de octubre de dos mil veintiuno por acuerdo del Pleno de este Órgano Garante, en la Trigésima Sexta Sesión Ordinaria fue returnado el recurso de revisión </w:t>
      </w:r>
      <w:r>
        <w:rPr>
          <w:rFonts w:ascii="Palatino Linotype" w:hAnsi="Palatino Linotype" w:cs="Arial"/>
          <w:b/>
          <w:sz w:val="24"/>
          <w:szCs w:val="24"/>
        </w:rPr>
        <w:t xml:space="preserve">03756/INFOEM/IP/RR/2021, </w:t>
      </w:r>
      <w:r>
        <w:rPr>
          <w:rFonts w:ascii="Palatino Linotype" w:hAnsi="Palatino Linotype" w:cs="Arial"/>
          <w:sz w:val="24"/>
          <w:szCs w:val="24"/>
        </w:rPr>
        <w:t xml:space="preserve">al Comisionado José Martínez Vilchis para su resolución y presentación al Pleno. </w:t>
      </w:r>
    </w:p>
    <w:p w14:paraId="167C7DF4" w14:textId="77777777" w:rsidR="0056647F" w:rsidRDefault="0056647F" w:rsidP="0056647F">
      <w:pPr>
        <w:spacing w:before="240" w:line="360" w:lineRule="auto"/>
        <w:rPr>
          <w:rFonts w:ascii="Palatino Linotype" w:hAnsi="Palatino Linotype" w:cs="Arial"/>
          <w:b/>
          <w:sz w:val="24"/>
        </w:rPr>
      </w:pPr>
    </w:p>
    <w:p w14:paraId="31A4EE6A" w14:textId="2FB6948F" w:rsidR="0056647F" w:rsidRDefault="0056647F" w:rsidP="0056647F">
      <w:pPr>
        <w:spacing w:before="240" w:line="360" w:lineRule="auto"/>
        <w:jc w:val="both"/>
        <w:rPr>
          <w:rFonts w:ascii="Palatino Linotype" w:hAnsi="Palatino Linotype" w:cs="Arial"/>
          <w:b/>
          <w:sz w:val="28"/>
          <w:szCs w:val="28"/>
        </w:rPr>
      </w:pPr>
      <w:r>
        <w:rPr>
          <w:rFonts w:ascii="Palatino Linotype" w:hAnsi="Palatino Linotype" w:cs="Arial"/>
          <w:b/>
          <w:sz w:val="28"/>
        </w:rPr>
        <w:t>SÉPTIMO</w:t>
      </w:r>
      <w:r w:rsidRPr="00B07D6D">
        <w:rPr>
          <w:rFonts w:ascii="Palatino Linotype" w:hAnsi="Palatino Linotype" w:cs="Arial"/>
          <w:b/>
          <w:sz w:val="24"/>
          <w:szCs w:val="24"/>
        </w:rPr>
        <w:t xml:space="preserve">. </w:t>
      </w:r>
      <w:r>
        <w:rPr>
          <w:rFonts w:ascii="Palatino Linotype" w:hAnsi="Palatino Linotype" w:cs="Arial"/>
          <w:b/>
          <w:sz w:val="28"/>
          <w:szCs w:val="28"/>
        </w:rPr>
        <w:t xml:space="preserve">Del cierre de instrucción </w:t>
      </w:r>
    </w:p>
    <w:p w14:paraId="3BAC6651" w14:textId="3D5A15A2" w:rsidR="001E4380" w:rsidRDefault="001E4380" w:rsidP="001E4380">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E36431">
        <w:rPr>
          <w:rFonts w:ascii="Palatino Linotype" w:hAnsi="Palatino Linotype" w:cs="Arial"/>
          <w:b/>
          <w:sz w:val="24"/>
          <w:szCs w:val="24"/>
        </w:rPr>
        <w:t>veintiuno</w:t>
      </w:r>
      <w:r>
        <w:rPr>
          <w:rFonts w:ascii="Palatino Linotype" w:hAnsi="Palatino Linotype" w:cs="Arial"/>
          <w:b/>
          <w:sz w:val="24"/>
          <w:szCs w:val="24"/>
        </w:rPr>
        <w:t xml:space="preserve"> de octubre </w:t>
      </w:r>
      <w:r w:rsidRPr="003D0B57">
        <w:rPr>
          <w:rFonts w:ascii="Palatino Linotype" w:hAnsi="Palatino Linotype" w:cs="Arial"/>
          <w:b/>
          <w:sz w:val="24"/>
          <w:szCs w:val="24"/>
        </w:rPr>
        <w:t>de los corrientes,</w:t>
      </w:r>
      <w:r w:rsidRPr="00D05C83">
        <w:rPr>
          <w:rFonts w:ascii="Palatino Linotype" w:hAnsi="Palatino Linotype" w:cs="Arial"/>
          <w:sz w:val="24"/>
          <w:szCs w:val="24"/>
        </w:rPr>
        <w:t xml:space="preserve"> en términos del artículo 185 Fracción VI de la Ley de Transparencia y </w:t>
      </w:r>
      <w:r w:rsidRPr="00D05C83">
        <w:rPr>
          <w:rFonts w:ascii="Palatino Linotype" w:hAnsi="Palatino Linotype" w:cs="Arial"/>
          <w:sz w:val="24"/>
          <w:szCs w:val="24"/>
        </w:rPr>
        <w:lastRenderedPageBreak/>
        <w:t>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5374B6F2" w14:textId="77777777" w:rsidR="001E4380" w:rsidRDefault="001E4380" w:rsidP="00844569">
      <w:pPr>
        <w:spacing w:before="240" w:line="360" w:lineRule="auto"/>
        <w:jc w:val="center"/>
        <w:rPr>
          <w:rFonts w:ascii="Palatino Linotype" w:hAnsi="Palatino Linotype" w:cs="Arial"/>
          <w:b/>
          <w:sz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984A53B" w14:textId="77777777" w:rsidR="008B2706" w:rsidRDefault="008B2706" w:rsidP="008B2706">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39DD43BB" w14:textId="77777777" w:rsidR="008B2706" w:rsidRPr="008F797B" w:rsidRDefault="008B2706" w:rsidP="0079735D">
      <w:pPr>
        <w:spacing w:before="24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DD0369C" w14:textId="77777777" w:rsidR="008B2706" w:rsidRDefault="008B2706"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6F0FF7F" w14:textId="77777777" w:rsidR="00E743B7" w:rsidRDefault="00E743B7" w:rsidP="00E743B7">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76869DD9" w14:textId="77777777" w:rsidR="00E743B7" w:rsidRDefault="00E743B7" w:rsidP="00E743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5176DB03" w14:textId="77777777" w:rsidR="00E743B7" w:rsidRDefault="00E743B7" w:rsidP="00E743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 xml:space="preserve">Estudio de causales </w:t>
      </w:r>
      <w:r w:rsidRPr="00FC0BF5">
        <w:rPr>
          <w:rFonts w:ascii="Palatino Linotype" w:hAnsi="Palatino Linotype" w:cs="Arial"/>
        </w:rPr>
        <w:lastRenderedPageBreak/>
        <w:t>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7BCE78B" w14:textId="77777777" w:rsidR="00E743B7" w:rsidRDefault="00E743B7" w:rsidP="00E743B7">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050B9717" w14:textId="77777777" w:rsidR="00E743B7" w:rsidRDefault="00E743B7" w:rsidP="00E743B7">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lastRenderedPageBreak/>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7F0F8785" w14:textId="4FDF1BD5" w:rsidR="00DB61E6" w:rsidRDefault="00E743B7" w:rsidP="00E743B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Una vez sentado lo anterior, es preciso señalar que </w:t>
      </w:r>
      <w:r w:rsidR="009C4AAE">
        <w:rPr>
          <w:rFonts w:ascii="Palatino Linotype" w:hAnsi="Palatino Linotype"/>
          <w:color w:val="000000"/>
          <w:sz w:val="24"/>
          <w:szCs w:val="24"/>
        </w:rPr>
        <w:t xml:space="preserve">mediante la solicitud de información </w:t>
      </w:r>
      <w:r w:rsidR="009C4AAE">
        <w:rPr>
          <w:rFonts w:ascii="Palatino Linotype" w:hAnsi="Palatino Linotype"/>
          <w:b/>
          <w:color w:val="000000"/>
          <w:sz w:val="24"/>
          <w:szCs w:val="24"/>
        </w:rPr>
        <w:t xml:space="preserve">00149/GUBERNA/IP/2021 </w:t>
      </w:r>
      <w:r w:rsidR="00DB61E6">
        <w:rPr>
          <w:rFonts w:ascii="Palatino Linotype" w:hAnsi="Palatino Linotype"/>
          <w:color w:val="000000"/>
          <w:sz w:val="24"/>
          <w:szCs w:val="24"/>
        </w:rPr>
        <w:t xml:space="preserve">fueron formulados </w:t>
      </w:r>
      <w:r w:rsidR="00DB61E6">
        <w:rPr>
          <w:rFonts w:ascii="Palatino Linotype" w:hAnsi="Palatino Linotype"/>
          <w:b/>
          <w:color w:val="000000"/>
          <w:sz w:val="24"/>
          <w:szCs w:val="24"/>
        </w:rPr>
        <w:t xml:space="preserve">2 –dos- </w:t>
      </w:r>
      <w:r w:rsidR="00DB61E6">
        <w:rPr>
          <w:rFonts w:ascii="Palatino Linotype" w:hAnsi="Palatino Linotype"/>
          <w:color w:val="000000"/>
          <w:sz w:val="24"/>
          <w:szCs w:val="24"/>
        </w:rPr>
        <w:t xml:space="preserve">requerimientos, señalando como temporalidad respecto del primero de ellos </w:t>
      </w:r>
      <w:r w:rsidR="00DB61E6">
        <w:rPr>
          <w:rFonts w:ascii="Palatino Linotype" w:hAnsi="Palatino Linotype"/>
          <w:i/>
          <w:color w:val="000000"/>
          <w:sz w:val="24"/>
          <w:szCs w:val="24"/>
        </w:rPr>
        <w:t xml:space="preserve">“de los cinco que estuvieron o están en funciones hasta junio de 2021”, </w:t>
      </w:r>
      <w:r w:rsidR="00DB61E6">
        <w:rPr>
          <w:rFonts w:ascii="Palatino Linotype" w:hAnsi="Palatino Linotype"/>
          <w:color w:val="000000"/>
          <w:sz w:val="24"/>
          <w:szCs w:val="24"/>
        </w:rPr>
        <w:t xml:space="preserve">debiendo de ser delimitado hasta el veintiuno de junio </w:t>
      </w:r>
      <w:r w:rsidR="009C4AAE">
        <w:rPr>
          <w:rFonts w:ascii="Palatino Linotype" w:hAnsi="Palatino Linotype"/>
          <w:color w:val="000000"/>
          <w:sz w:val="24"/>
          <w:szCs w:val="24"/>
        </w:rPr>
        <w:t>de dos mil veintiuno, al corresponder a la fecha en que el Mtro. José Guadalupe Luna Hern</w:t>
      </w:r>
      <w:r w:rsidR="0052093C">
        <w:rPr>
          <w:rFonts w:ascii="Palatino Linotype" w:hAnsi="Palatino Linotype"/>
          <w:color w:val="000000"/>
          <w:sz w:val="24"/>
          <w:szCs w:val="24"/>
        </w:rPr>
        <w:t>ández, presentó su renuncia como Comisionado del Órgano G</w:t>
      </w:r>
      <w:r w:rsidR="00A84760">
        <w:rPr>
          <w:rFonts w:ascii="Palatino Linotype" w:hAnsi="Palatino Linotype"/>
          <w:color w:val="000000"/>
          <w:sz w:val="24"/>
          <w:szCs w:val="24"/>
        </w:rPr>
        <w:t xml:space="preserve">arante local. </w:t>
      </w:r>
    </w:p>
    <w:p w14:paraId="312CDC6F" w14:textId="77777777" w:rsidR="0052093C" w:rsidRDefault="0052093C" w:rsidP="00E743B7">
      <w:pPr>
        <w:spacing w:after="0" w:line="360" w:lineRule="auto"/>
        <w:jc w:val="both"/>
        <w:rPr>
          <w:rFonts w:ascii="Palatino Linotype" w:hAnsi="Palatino Linotype"/>
          <w:color w:val="000000"/>
          <w:sz w:val="24"/>
          <w:szCs w:val="24"/>
        </w:rPr>
      </w:pPr>
    </w:p>
    <w:p w14:paraId="1C1BDDAE" w14:textId="77777777" w:rsidR="0052093C" w:rsidRPr="0052093C" w:rsidRDefault="00DB61E6" w:rsidP="00E743B7">
      <w:pPr>
        <w:spacing w:after="0" w:line="360" w:lineRule="auto"/>
        <w:jc w:val="both"/>
        <w:rPr>
          <w:rFonts w:ascii="Palatino Linotype" w:hAnsi="Palatino Linotype"/>
          <w:b/>
          <w:color w:val="000000"/>
          <w:sz w:val="24"/>
          <w:szCs w:val="24"/>
          <w:u w:val="single"/>
        </w:rPr>
      </w:pPr>
      <w:r>
        <w:rPr>
          <w:rFonts w:ascii="Palatino Linotype" w:hAnsi="Palatino Linotype"/>
          <w:color w:val="000000"/>
          <w:sz w:val="24"/>
          <w:szCs w:val="24"/>
        </w:rPr>
        <w:t>Robustece lo anterior el Decreto número 275 “Por el que se aprueba la renuncia del Maestro José Guadalupe Luna Hern</w:t>
      </w:r>
      <w:r w:rsidR="00636182">
        <w:rPr>
          <w:rFonts w:ascii="Palatino Linotype" w:hAnsi="Palatino Linotype"/>
          <w:color w:val="000000"/>
          <w:sz w:val="24"/>
          <w:szCs w:val="24"/>
        </w:rPr>
        <w:t xml:space="preserve">ández, al Cargo de Comisionado del Instituto de Transparencia, Acceso a la Información Pública y Protección de Datos Personales del Estado de México y Municipios, </w:t>
      </w:r>
      <w:r w:rsidR="00636182" w:rsidRPr="0052093C">
        <w:rPr>
          <w:rFonts w:ascii="Palatino Linotype" w:hAnsi="Palatino Linotype"/>
          <w:b/>
          <w:color w:val="000000"/>
          <w:sz w:val="24"/>
          <w:szCs w:val="24"/>
          <w:u w:val="single"/>
        </w:rPr>
        <w:t>con efectos a partir del día 21 de junio del año 2021</w:t>
      </w:r>
      <w:r w:rsidR="009C4AAE" w:rsidRPr="0052093C">
        <w:rPr>
          <w:rFonts w:ascii="Palatino Linotype" w:hAnsi="Palatino Linotype"/>
          <w:b/>
          <w:color w:val="000000"/>
          <w:sz w:val="24"/>
          <w:szCs w:val="24"/>
          <w:u w:val="single"/>
        </w:rPr>
        <w:t>”</w:t>
      </w:r>
      <w:r w:rsidR="0052093C" w:rsidRPr="0052093C">
        <w:rPr>
          <w:rFonts w:ascii="Palatino Linotype" w:hAnsi="Palatino Linotype"/>
          <w:b/>
          <w:color w:val="000000"/>
          <w:sz w:val="24"/>
          <w:szCs w:val="24"/>
          <w:u w:val="single"/>
        </w:rPr>
        <w:t xml:space="preserve"> </w:t>
      </w:r>
    </w:p>
    <w:p w14:paraId="7B5E0A8A" w14:textId="6D4ABA89" w:rsidR="0052093C" w:rsidRDefault="0052093C" w:rsidP="00E743B7">
      <w:pPr>
        <w:spacing w:after="0" w:line="360" w:lineRule="auto"/>
        <w:jc w:val="both"/>
        <w:rPr>
          <w:rFonts w:ascii="Palatino Linotype" w:hAnsi="Palatino Linotype"/>
          <w:color w:val="000000"/>
          <w:sz w:val="24"/>
          <w:szCs w:val="24"/>
        </w:rPr>
      </w:pPr>
      <w:proofErr w:type="gramStart"/>
      <w:r>
        <w:rPr>
          <w:rFonts w:ascii="Palatino Linotype" w:hAnsi="Palatino Linotype"/>
          <w:color w:val="000000"/>
          <w:sz w:val="24"/>
          <w:szCs w:val="24"/>
        </w:rPr>
        <w:t>publicado</w:t>
      </w:r>
      <w:proofErr w:type="gramEnd"/>
      <w:r>
        <w:rPr>
          <w:rFonts w:ascii="Palatino Linotype" w:hAnsi="Palatino Linotype"/>
          <w:color w:val="000000"/>
          <w:sz w:val="24"/>
          <w:szCs w:val="24"/>
        </w:rPr>
        <w:t xml:space="preserve"> en el </w:t>
      </w:r>
      <w:r w:rsidRPr="002C03CA">
        <w:rPr>
          <w:rFonts w:ascii="Palatino Linotype" w:hAnsi="Palatino Linotype" w:cs="Arial"/>
          <w:sz w:val="24"/>
          <w:szCs w:val="24"/>
        </w:rPr>
        <w:t>Periódico Oficial “Gaceta del Gobierno”</w:t>
      </w:r>
      <w:r>
        <w:rPr>
          <w:rFonts w:ascii="Palatino Linotype" w:hAnsi="Palatino Linotype" w:cs="Arial"/>
          <w:sz w:val="24"/>
          <w:szCs w:val="24"/>
        </w:rPr>
        <w:t xml:space="preserve"> y susceptible de ser consultado en la siguiente dirección electrónica: </w:t>
      </w:r>
    </w:p>
    <w:p w14:paraId="790686C5" w14:textId="28C065AA" w:rsidR="00636182" w:rsidRDefault="00086082" w:rsidP="00E743B7">
      <w:pPr>
        <w:spacing w:after="0" w:line="360" w:lineRule="auto"/>
        <w:jc w:val="both"/>
        <w:rPr>
          <w:rFonts w:ascii="Palatino Linotype" w:hAnsi="Palatino Linotype"/>
          <w:iCs/>
          <w:color w:val="000000"/>
          <w:sz w:val="24"/>
          <w:szCs w:val="24"/>
        </w:rPr>
      </w:pPr>
      <w:hyperlink r:id="rId8" w:history="1">
        <w:r w:rsidR="00636182" w:rsidRPr="00D662C8">
          <w:rPr>
            <w:rStyle w:val="Hipervnculo"/>
            <w:rFonts w:ascii="Palatino Linotype" w:hAnsi="Palatino Linotype"/>
            <w:iCs/>
            <w:sz w:val="24"/>
            <w:szCs w:val="24"/>
          </w:rPr>
          <w:t>https://legislacion.edomex.gob.mx/sites/legislacion.edomex.gob.mx/files/files/pdf/gct/2021/agosto/ago031/ago031a.pdf</w:t>
        </w:r>
      </w:hyperlink>
      <w:r w:rsidR="00636182">
        <w:rPr>
          <w:rFonts w:ascii="Palatino Linotype" w:hAnsi="Palatino Linotype"/>
          <w:iCs/>
          <w:color w:val="000000"/>
          <w:sz w:val="24"/>
          <w:szCs w:val="24"/>
        </w:rPr>
        <w:t xml:space="preserve"> </w:t>
      </w:r>
    </w:p>
    <w:p w14:paraId="78090186" w14:textId="77777777" w:rsidR="00636182" w:rsidRDefault="00636182" w:rsidP="00E743B7">
      <w:pPr>
        <w:spacing w:after="0" w:line="360" w:lineRule="auto"/>
        <w:jc w:val="both"/>
        <w:rPr>
          <w:rFonts w:ascii="Palatino Linotype" w:hAnsi="Palatino Linotype"/>
          <w:iCs/>
          <w:color w:val="000000"/>
          <w:sz w:val="24"/>
          <w:szCs w:val="24"/>
        </w:rPr>
      </w:pPr>
    </w:p>
    <w:p w14:paraId="7652A819" w14:textId="77777777" w:rsidR="0052093C" w:rsidRDefault="0052093C" w:rsidP="00E743B7">
      <w:pPr>
        <w:spacing w:after="0" w:line="360" w:lineRule="auto"/>
        <w:jc w:val="both"/>
        <w:rPr>
          <w:rFonts w:ascii="Palatino Linotype" w:hAnsi="Palatino Linotype"/>
          <w:iCs/>
          <w:color w:val="000000"/>
          <w:sz w:val="24"/>
          <w:szCs w:val="24"/>
        </w:rPr>
      </w:pPr>
      <w:r>
        <w:rPr>
          <w:rFonts w:ascii="Palatino Linotype" w:hAnsi="Palatino Linotype"/>
          <w:iCs/>
          <w:color w:val="000000"/>
          <w:sz w:val="24"/>
          <w:szCs w:val="24"/>
        </w:rPr>
        <w:t xml:space="preserve">Resulta de nuestro interés la siguiente imagen ilustrativa: </w:t>
      </w:r>
    </w:p>
    <w:p w14:paraId="0C8C588F" w14:textId="19F816FB" w:rsidR="00636182" w:rsidRDefault="0052093C" w:rsidP="00E743B7">
      <w:pPr>
        <w:spacing w:after="0" w:line="360" w:lineRule="auto"/>
        <w:jc w:val="both"/>
        <w:rPr>
          <w:rFonts w:ascii="Palatino Linotype" w:hAnsi="Palatino Linotype"/>
          <w:iCs/>
          <w:color w:val="000000"/>
          <w:sz w:val="24"/>
          <w:szCs w:val="24"/>
        </w:rPr>
      </w:pPr>
      <w:r>
        <w:rPr>
          <w:rFonts w:ascii="Palatino Linotype" w:hAnsi="Palatino Linotype"/>
          <w:i/>
          <w:iCs/>
          <w:noProof/>
          <w:color w:val="000000"/>
          <w:sz w:val="24"/>
          <w:szCs w:val="24"/>
          <w:lang w:eastAsia="es-MX"/>
        </w:rPr>
        <w:lastRenderedPageBreak/>
        <w:drawing>
          <wp:anchor distT="0" distB="0" distL="114300" distR="114300" simplePos="0" relativeHeight="251738102" behindDoc="0" locked="0" layoutInCell="1" allowOverlap="1" wp14:anchorId="6C717E82" wp14:editId="5D9654CD">
            <wp:simplePos x="0" y="0"/>
            <wp:positionH relativeFrom="column">
              <wp:posOffset>-93249</wp:posOffset>
            </wp:positionH>
            <wp:positionV relativeFrom="paragraph">
              <wp:posOffset>265834</wp:posOffset>
            </wp:positionV>
            <wp:extent cx="5753735" cy="3342005"/>
            <wp:effectExtent l="19050" t="19050" r="18415" b="10795"/>
            <wp:wrapThrough wrapText="bothSides">
              <wp:wrapPolygon edited="0">
                <wp:start x="-72" y="-123"/>
                <wp:lineTo x="-72" y="21547"/>
                <wp:lineTo x="21598" y="21547"/>
                <wp:lineTo x="21598" y="-123"/>
                <wp:lineTo x="-72" y="-123"/>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342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iCs/>
          <w:color w:val="000000"/>
          <w:sz w:val="24"/>
          <w:szCs w:val="24"/>
        </w:rPr>
        <w:t xml:space="preserve"> </w:t>
      </w:r>
    </w:p>
    <w:p w14:paraId="27D86E50" w14:textId="4815F9BE" w:rsidR="0052093C" w:rsidRPr="00DB61E6" w:rsidRDefault="0052093C" w:rsidP="0052093C">
      <w:pPr>
        <w:pStyle w:val="Citas"/>
      </w:pPr>
    </w:p>
    <w:p w14:paraId="4AAF076D" w14:textId="5ADA05D4" w:rsidR="00DB61E6" w:rsidRDefault="0052093C" w:rsidP="00E743B7">
      <w:pPr>
        <w:spacing w:after="0" w:line="360" w:lineRule="auto"/>
        <w:jc w:val="both"/>
        <w:rPr>
          <w:rFonts w:ascii="Palatino Linotype" w:hAnsi="Palatino Linotype"/>
          <w:iCs/>
          <w:color w:val="000000"/>
          <w:sz w:val="24"/>
          <w:szCs w:val="24"/>
        </w:rPr>
      </w:pPr>
      <w:r>
        <w:rPr>
          <w:rFonts w:ascii="Palatino Linotype" w:hAnsi="Palatino Linotype"/>
          <w:iCs/>
          <w:color w:val="000000"/>
          <w:sz w:val="24"/>
          <w:szCs w:val="24"/>
        </w:rPr>
        <w:t xml:space="preserve">Ahora bien, con relación al elemento temporal del segundo requerimiento, es menester señalar que el particular señaló </w:t>
      </w:r>
      <w:r>
        <w:rPr>
          <w:rFonts w:ascii="Palatino Linotype" w:hAnsi="Palatino Linotype"/>
          <w:i/>
          <w:iCs/>
          <w:color w:val="000000"/>
          <w:sz w:val="24"/>
          <w:szCs w:val="24"/>
        </w:rPr>
        <w:t xml:space="preserve">“el expediente actual”. </w:t>
      </w:r>
      <w:r>
        <w:rPr>
          <w:rFonts w:ascii="Palatino Linotype" w:hAnsi="Palatino Linotype"/>
          <w:iCs/>
          <w:color w:val="000000"/>
          <w:sz w:val="24"/>
          <w:szCs w:val="24"/>
        </w:rPr>
        <w:t xml:space="preserve">Luego entonces, </w:t>
      </w:r>
      <w:r w:rsidR="00221A17">
        <w:rPr>
          <w:rFonts w:ascii="Palatino Linotype" w:hAnsi="Palatino Linotype"/>
          <w:iCs/>
          <w:color w:val="000000"/>
          <w:sz w:val="24"/>
          <w:szCs w:val="24"/>
        </w:rPr>
        <w:t xml:space="preserve">resulta inconcuso que el particular alude a la fecha en que ejerció el derecho de acceso a la información pública, es decir, al nueve de julio de dos mil veintiuno. </w:t>
      </w:r>
    </w:p>
    <w:p w14:paraId="28B00DCC" w14:textId="5BAA2C56" w:rsidR="00E743B7" w:rsidRDefault="00221A17" w:rsidP="00E743B7">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iCs/>
          <w:color w:val="000000"/>
          <w:sz w:val="24"/>
          <w:szCs w:val="24"/>
        </w:rPr>
        <w:t>Dichas precisiones encuentra</w:t>
      </w:r>
      <w:r w:rsidR="008F61C7">
        <w:rPr>
          <w:rFonts w:ascii="Palatino Linotype" w:hAnsi="Palatino Linotype"/>
          <w:iCs/>
          <w:color w:val="000000"/>
          <w:sz w:val="24"/>
          <w:szCs w:val="24"/>
        </w:rPr>
        <w:t>n</w:t>
      </w:r>
      <w:r>
        <w:rPr>
          <w:rFonts w:ascii="Palatino Linotype" w:hAnsi="Palatino Linotype"/>
          <w:iCs/>
          <w:color w:val="000000"/>
          <w:sz w:val="24"/>
          <w:szCs w:val="24"/>
        </w:rPr>
        <w:t xml:space="preserve"> fundamento en los numerales </w:t>
      </w:r>
      <w:r w:rsidR="00E743B7">
        <w:rPr>
          <w:rFonts w:ascii="Palatino Linotype" w:eastAsia="Times New Roman" w:hAnsi="Palatino Linotype" w:cs="Times New Roman"/>
          <w:sz w:val="24"/>
          <w:szCs w:val="24"/>
          <w:lang w:eastAsia="es-ES"/>
        </w:rPr>
        <w:t xml:space="preserve">13 y 181 </w:t>
      </w:r>
      <w:proofErr w:type="gramStart"/>
      <w:r w:rsidR="00E743B7">
        <w:rPr>
          <w:rFonts w:ascii="Palatino Linotype" w:eastAsia="Times New Roman" w:hAnsi="Palatino Linotype" w:cs="Times New Roman"/>
          <w:sz w:val="24"/>
          <w:szCs w:val="24"/>
          <w:lang w:eastAsia="es-ES"/>
        </w:rPr>
        <w:t>cuarto párrafo</w:t>
      </w:r>
      <w:proofErr w:type="gramEnd"/>
      <w:r w:rsidR="00E743B7">
        <w:rPr>
          <w:rFonts w:ascii="Palatino Linotype" w:eastAsia="Times New Roman" w:hAnsi="Palatino Linotype" w:cs="Times New Roman"/>
          <w:sz w:val="24"/>
          <w:szCs w:val="24"/>
          <w:lang w:eastAsia="es-ES"/>
        </w:rPr>
        <w:t xml:space="preserve"> de la Ley en materia, normatividad cuyo contenido literal es el siguiente: </w:t>
      </w:r>
    </w:p>
    <w:p w14:paraId="050E06AE" w14:textId="77777777" w:rsidR="00E743B7" w:rsidRPr="00BC704A" w:rsidRDefault="00E743B7" w:rsidP="00E743B7">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06230433" w14:textId="77777777" w:rsidR="00E743B7" w:rsidRPr="00BC704A" w:rsidRDefault="00E743B7" w:rsidP="00E743B7">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0864DAD8" w14:textId="77777777" w:rsidR="00E743B7" w:rsidRDefault="00E743B7" w:rsidP="00E743B7">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5C765DAE" w14:textId="77777777" w:rsidR="00575651" w:rsidRPr="00BC704A" w:rsidRDefault="00575651" w:rsidP="00E743B7">
      <w:pPr>
        <w:tabs>
          <w:tab w:val="left" w:pos="709"/>
        </w:tabs>
        <w:spacing w:before="240" w:line="360" w:lineRule="auto"/>
        <w:ind w:left="851" w:right="851"/>
        <w:jc w:val="both"/>
        <w:rPr>
          <w:rFonts w:ascii="Palatino Linotype" w:hAnsi="Palatino Linotype"/>
          <w:b/>
          <w:i/>
        </w:rPr>
      </w:pPr>
    </w:p>
    <w:p w14:paraId="202C3A6E" w14:textId="77777777" w:rsidR="00E743B7" w:rsidRDefault="00E743B7" w:rsidP="00E743B7">
      <w:pPr>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De esta manera, al retomar y delimitar los requerimientos del ahora </w:t>
      </w:r>
      <w:r>
        <w:rPr>
          <w:rFonts w:ascii="Palatino Linotype" w:hAnsi="Palatino Linotype" w:cs="Arial"/>
          <w:b/>
          <w:sz w:val="24"/>
          <w:szCs w:val="24"/>
          <w:lang w:eastAsia="es-MX"/>
        </w:rPr>
        <w:t xml:space="preserve">Recurrente, </w:t>
      </w:r>
      <w:r>
        <w:rPr>
          <w:rFonts w:ascii="Palatino Linotype" w:hAnsi="Palatino Linotype" w:cs="Arial"/>
          <w:bCs/>
          <w:sz w:val="24"/>
          <w:szCs w:val="24"/>
          <w:lang w:eastAsia="es-MX"/>
        </w:rPr>
        <w:t xml:space="preserve">de forma objetiva se precisa que versan en conocer la siguiente información: </w:t>
      </w:r>
    </w:p>
    <w:p w14:paraId="40CED2BC" w14:textId="0DC022EF" w:rsidR="00E743B7" w:rsidRDefault="003C6183" w:rsidP="009D605B">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que integran los expedientes </w:t>
      </w:r>
      <w:r w:rsidR="00A84760">
        <w:rPr>
          <w:rFonts w:ascii="Palatino Linotype" w:hAnsi="Palatino Linotype" w:cs="Arial"/>
        </w:rPr>
        <w:t xml:space="preserve">(englobando el oficio de presentación) </w:t>
      </w:r>
      <w:r>
        <w:rPr>
          <w:rFonts w:ascii="Palatino Linotype" w:hAnsi="Palatino Linotype" w:cs="Arial"/>
        </w:rPr>
        <w:t>mediante los cuales el Gobernador en turno propuso a los candidatos que integraron el Pleno del Órgano G</w:t>
      </w:r>
      <w:r w:rsidR="00A84760">
        <w:rPr>
          <w:rFonts w:ascii="Palatino Linotype" w:hAnsi="Palatino Linotype" w:cs="Arial"/>
        </w:rPr>
        <w:t>arante local</w:t>
      </w:r>
      <w:r>
        <w:rPr>
          <w:rFonts w:ascii="Palatino Linotype" w:hAnsi="Palatino Linotype" w:cs="Arial"/>
        </w:rPr>
        <w:t xml:space="preserve"> hasta el veintiuno de junio de dos mil veintiuno. </w:t>
      </w:r>
    </w:p>
    <w:p w14:paraId="677E1DA5" w14:textId="7FDC345A" w:rsidR="00A84760" w:rsidRDefault="00A84760" w:rsidP="009D605B">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que integran los expedientes mediantes los cuales el Gobernador en turno propuso a los candidatos para la sustitución del Mtro. José Guadalupe Luna Hernández, como Comisionado del Órgano Garante local, al nueve de julio de dos mil veintiuno. </w:t>
      </w:r>
    </w:p>
    <w:p w14:paraId="3DD156DC" w14:textId="77777777" w:rsidR="00A84760" w:rsidRDefault="00A84760" w:rsidP="00A84760">
      <w:pPr>
        <w:autoSpaceDE w:val="0"/>
        <w:autoSpaceDN w:val="0"/>
        <w:adjustRightInd w:val="0"/>
        <w:spacing w:line="360" w:lineRule="auto"/>
        <w:jc w:val="both"/>
        <w:rPr>
          <w:rFonts w:ascii="Palatino Linotype" w:hAnsi="Palatino Linotype" w:cs="Arial"/>
        </w:rPr>
      </w:pPr>
    </w:p>
    <w:p w14:paraId="4F0DCCA8" w14:textId="77777777" w:rsidR="00A84760" w:rsidRDefault="00A84760" w:rsidP="00A84760">
      <w:pPr>
        <w:autoSpaceDE w:val="0"/>
        <w:autoSpaceDN w:val="0"/>
        <w:adjustRightInd w:val="0"/>
        <w:spacing w:line="360" w:lineRule="auto"/>
        <w:jc w:val="both"/>
        <w:rPr>
          <w:rFonts w:ascii="Palatino Linotype" w:hAnsi="Palatino Linotype" w:cs="Arial"/>
        </w:rPr>
      </w:pPr>
    </w:p>
    <w:p w14:paraId="061902B4" w14:textId="50A158FB" w:rsidR="00C5355F" w:rsidRDefault="009F09FA" w:rsidP="00C5355F">
      <w:pPr>
        <w:autoSpaceDE w:val="0"/>
        <w:autoSpaceDN w:val="0"/>
        <w:adjustRightInd w:val="0"/>
        <w:spacing w:line="360" w:lineRule="auto"/>
        <w:jc w:val="both"/>
        <w:rPr>
          <w:rFonts w:ascii="Palatino Linotype" w:hAnsi="Palatino Linotype" w:cs="Arial"/>
          <w:sz w:val="24"/>
          <w:szCs w:val="24"/>
        </w:rPr>
      </w:pPr>
      <w:r w:rsidRPr="00B209AD">
        <w:rPr>
          <w:rFonts w:ascii="Palatino Linotype" w:hAnsi="Palatino Linotype" w:cs="Arial"/>
          <w:sz w:val="24"/>
          <w:szCs w:val="24"/>
        </w:rPr>
        <w:t xml:space="preserve">Una vez precisado lo anterior y a efecto de realizar un análisis exhaustivo de la información requerida, </w:t>
      </w:r>
      <w:r w:rsidR="00593829">
        <w:rPr>
          <w:rFonts w:ascii="Palatino Linotype" w:hAnsi="Palatino Linotype" w:cs="Arial"/>
          <w:sz w:val="24"/>
          <w:szCs w:val="24"/>
        </w:rPr>
        <w:t xml:space="preserve">resulta oportuno desentrañar la naturaleza del Órgano Garante local, </w:t>
      </w:r>
      <w:r w:rsidR="00C5355F">
        <w:rPr>
          <w:rFonts w:ascii="Palatino Linotype" w:hAnsi="Palatino Linotype" w:cs="Arial"/>
          <w:sz w:val="24"/>
          <w:szCs w:val="24"/>
        </w:rPr>
        <w:t xml:space="preserve">destacando para tal efecto el contenido del numeral 29 de la Ley de Transparencia vigente, porción normativa que dispone a la literalidad lo siguiente: </w:t>
      </w:r>
    </w:p>
    <w:p w14:paraId="3906B02C" w14:textId="490F4B4F" w:rsidR="00C5355F" w:rsidRPr="00C5355F" w:rsidRDefault="00C5355F" w:rsidP="00C5355F">
      <w:pPr>
        <w:pStyle w:val="INFOEM"/>
        <w:rPr>
          <w:rFonts w:cs="Arial"/>
          <w:b/>
          <w:sz w:val="24"/>
          <w:szCs w:val="24"/>
        </w:rPr>
      </w:pPr>
      <w:r>
        <w:lastRenderedPageBreak/>
        <w:t xml:space="preserve">“Artículo 29. El Instituto es un órgano público estatal constitucionalmente autónomo, especializado, independiente, imparcial y colegiado dotado de personalidad jurídica y patrimonio propio, con plena autonomía técnica, de gestión, capacidad para decidir sobre el ejercicio de su presupuesto y determinar su organización interna, responsable de garantizar el ejercicio de los derechos de acceso a la información pública y la protección de datos personales en posesión de los sujetos obligados, conforme a los principios y bases establecidas en la Constitución Federal, Constitución Local, Ley General, así como, lo previsto en esta Ley y demás disposiciones jurídicas aplicables.” </w:t>
      </w:r>
      <w:r>
        <w:rPr>
          <w:b/>
        </w:rPr>
        <w:t xml:space="preserve">[Sic] </w:t>
      </w:r>
    </w:p>
    <w:p w14:paraId="58C067FE" w14:textId="77777777" w:rsidR="00593829" w:rsidRDefault="00593829" w:rsidP="00A84760">
      <w:pPr>
        <w:autoSpaceDE w:val="0"/>
        <w:autoSpaceDN w:val="0"/>
        <w:adjustRightInd w:val="0"/>
        <w:spacing w:line="360" w:lineRule="auto"/>
        <w:jc w:val="both"/>
        <w:rPr>
          <w:rFonts w:ascii="Palatino Linotype" w:hAnsi="Palatino Linotype" w:cs="Arial"/>
          <w:sz w:val="24"/>
          <w:szCs w:val="24"/>
        </w:rPr>
      </w:pPr>
    </w:p>
    <w:p w14:paraId="68625FD3" w14:textId="77777777" w:rsidR="00593829" w:rsidRDefault="00593829" w:rsidP="00A84760">
      <w:pPr>
        <w:autoSpaceDE w:val="0"/>
        <w:autoSpaceDN w:val="0"/>
        <w:adjustRightInd w:val="0"/>
        <w:spacing w:line="360" w:lineRule="auto"/>
        <w:jc w:val="both"/>
        <w:rPr>
          <w:rFonts w:ascii="Palatino Linotype" w:hAnsi="Palatino Linotype" w:cs="Arial"/>
          <w:sz w:val="24"/>
          <w:szCs w:val="24"/>
        </w:rPr>
      </w:pPr>
    </w:p>
    <w:p w14:paraId="2DC9F057" w14:textId="01229D19" w:rsidR="00270A06" w:rsidRDefault="008431BC" w:rsidP="00A84760">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47318" behindDoc="0" locked="0" layoutInCell="1" allowOverlap="1" wp14:anchorId="27F18141" wp14:editId="1D8D7583">
                <wp:simplePos x="0" y="0"/>
                <wp:positionH relativeFrom="column">
                  <wp:posOffset>-203211</wp:posOffset>
                </wp:positionH>
                <wp:positionV relativeFrom="paragraph">
                  <wp:posOffset>1284605</wp:posOffset>
                </wp:positionV>
                <wp:extent cx="6273383" cy="2923082"/>
                <wp:effectExtent l="0" t="0" r="32385" b="29845"/>
                <wp:wrapNone/>
                <wp:docPr id="1" name="Conector recto 1"/>
                <wp:cNvGraphicFramePr/>
                <a:graphic xmlns:a="http://schemas.openxmlformats.org/drawingml/2006/main">
                  <a:graphicData uri="http://schemas.microsoft.com/office/word/2010/wordprocessingShape">
                    <wps:wsp>
                      <wps:cNvCnPr/>
                      <wps:spPr>
                        <a:xfrm>
                          <a:off x="0" y="0"/>
                          <a:ext cx="6273383" cy="29230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97A1CE" id="Conector recto 1" o:spid="_x0000_s1026" style="position:absolute;z-index:251747318;visibility:visible;mso-wrap-style:square;mso-wrap-distance-left:9pt;mso-wrap-distance-top:0;mso-wrap-distance-right:9pt;mso-wrap-distance-bottom:0;mso-position-horizontal:absolute;mso-position-horizontal-relative:text;mso-position-vertical:absolute;mso-position-vertical-relative:text" from="-16pt,101.15pt" to="477.95pt,3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" strokecolor="#5b9bd5 [3204]" strokeweight=".5pt">
                <v:stroke joinstyle="miter"/>
              </v:line>
            </w:pict>
          </mc:Fallback>
        </mc:AlternateContent>
      </w:r>
      <w:r w:rsidR="00C5355F">
        <w:rPr>
          <w:rFonts w:ascii="Palatino Linotype" w:hAnsi="Palatino Linotype" w:cs="Arial"/>
          <w:sz w:val="24"/>
          <w:szCs w:val="24"/>
        </w:rPr>
        <w:t xml:space="preserve">De forma complementaria, </w:t>
      </w:r>
      <w:r w:rsidR="009F09FA" w:rsidRPr="00B209AD">
        <w:rPr>
          <w:rFonts w:ascii="Palatino Linotype" w:hAnsi="Palatino Linotype" w:cs="Arial"/>
          <w:sz w:val="24"/>
          <w:szCs w:val="24"/>
        </w:rPr>
        <w:t xml:space="preserve">resulta oportuno referir una exposición cronológica </w:t>
      </w:r>
      <w:r w:rsidR="00D57FF9" w:rsidRPr="00B209AD">
        <w:rPr>
          <w:rFonts w:ascii="Palatino Linotype" w:hAnsi="Palatino Linotype" w:cs="Arial"/>
          <w:sz w:val="24"/>
          <w:szCs w:val="24"/>
        </w:rPr>
        <w:t xml:space="preserve">de los nombramientos y autorizaciones de ampliación de plazo, respecto de los Comisionados integrantes del Pleno del Órgano Garante local vigente al veintiuno de junio de dos mil veintiuno, mismo que se sintetiza en los siguientes términos: </w:t>
      </w:r>
    </w:p>
    <w:p w14:paraId="79C41554" w14:textId="77777777" w:rsidR="008431BC" w:rsidRDefault="008431BC" w:rsidP="00A84760">
      <w:pPr>
        <w:autoSpaceDE w:val="0"/>
        <w:autoSpaceDN w:val="0"/>
        <w:adjustRightInd w:val="0"/>
        <w:spacing w:line="360" w:lineRule="auto"/>
        <w:jc w:val="both"/>
        <w:rPr>
          <w:rFonts w:ascii="Palatino Linotype" w:hAnsi="Palatino Linotype" w:cs="Arial"/>
          <w:sz w:val="24"/>
          <w:szCs w:val="24"/>
        </w:rPr>
      </w:pPr>
    </w:p>
    <w:p w14:paraId="2DC5527D" w14:textId="77777777" w:rsidR="008431BC" w:rsidRDefault="008431BC" w:rsidP="00A84760">
      <w:pPr>
        <w:autoSpaceDE w:val="0"/>
        <w:autoSpaceDN w:val="0"/>
        <w:adjustRightInd w:val="0"/>
        <w:spacing w:line="360" w:lineRule="auto"/>
        <w:jc w:val="both"/>
        <w:rPr>
          <w:rFonts w:ascii="Palatino Linotype" w:hAnsi="Palatino Linotype" w:cs="Arial"/>
          <w:sz w:val="24"/>
          <w:szCs w:val="24"/>
        </w:rPr>
      </w:pPr>
    </w:p>
    <w:p w14:paraId="05FA62B3" w14:textId="77777777" w:rsidR="008431BC" w:rsidRDefault="008431BC" w:rsidP="00A84760">
      <w:pPr>
        <w:autoSpaceDE w:val="0"/>
        <w:autoSpaceDN w:val="0"/>
        <w:adjustRightInd w:val="0"/>
        <w:spacing w:line="360" w:lineRule="auto"/>
        <w:jc w:val="both"/>
        <w:rPr>
          <w:rFonts w:ascii="Palatino Linotype" w:hAnsi="Palatino Linotype" w:cs="Arial"/>
          <w:sz w:val="24"/>
          <w:szCs w:val="24"/>
        </w:rPr>
      </w:pPr>
    </w:p>
    <w:p w14:paraId="5430EA4A" w14:textId="109686F5" w:rsidR="00B62BB1" w:rsidRPr="00B209AD" w:rsidRDefault="00B62BB1" w:rsidP="00A84760">
      <w:pPr>
        <w:autoSpaceDE w:val="0"/>
        <w:autoSpaceDN w:val="0"/>
        <w:adjustRightInd w:val="0"/>
        <w:spacing w:line="360" w:lineRule="auto"/>
        <w:jc w:val="both"/>
        <w:rPr>
          <w:rFonts w:ascii="Palatino Linotype" w:hAnsi="Palatino Linotype" w:cs="Arial"/>
          <w:sz w:val="24"/>
          <w:szCs w:val="24"/>
        </w:rPr>
      </w:pPr>
    </w:p>
    <w:p w14:paraId="6134B947" w14:textId="77777777" w:rsidR="00270A06" w:rsidRDefault="00270A06" w:rsidP="00A84760">
      <w:pPr>
        <w:autoSpaceDE w:val="0"/>
        <w:autoSpaceDN w:val="0"/>
        <w:adjustRightInd w:val="0"/>
        <w:spacing w:line="360" w:lineRule="auto"/>
        <w:jc w:val="both"/>
        <w:rPr>
          <w:rFonts w:ascii="Palatino Linotype" w:hAnsi="Palatino Linotype" w:cs="Arial"/>
        </w:rPr>
      </w:pPr>
    </w:p>
    <w:tbl>
      <w:tblPr>
        <w:tblStyle w:val="Tablaconcuadrcula"/>
        <w:tblW w:w="95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17"/>
        <w:gridCol w:w="3827"/>
        <w:gridCol w:w="3646"/>
      </w:tblGrid>
      <w:tr w:rsidR="00535624" w14:paraId="48B3059E" w14:textId="19C18B17" w:rsidTr="007610DF">
        <w:trPr>
          <w:trHeight w:val="1308"/>
        </w:trPr>
        <w:tc>
          <w:tcPr>
            <w:tcW w:w="2117" w:type="dxa"/>
            <w:tcBorders>
              <w:right w:val="single" w:sz="8" w:space="0" w:color="FFFFFF" w:themeColor="background1"/>
            </w:tcBorders>
            <w:shd w:val="clear" w:color="auto" w:fill="000000" w:themeFill="text1"/>
            <w:vAlign w:val="center"/>
          </w:tcPr>
          <w:p w14:paraId="35DA182A" w14:textId="761B9876" w:rsidR="00535624" w:rsidRPr="00663887" w:rsidRDefault="00535624" w:rsidP="00D57FF9">
            <w:pPr>
              <w:autoSpaceDE w:val="0"/>
              <w:autoSpaceDN w:val="0"/>
              <w:adjustRightInd w:val="0"/>
              <w:spacing w:line="360" w:lineRule="auto"/>
              <w:jc w:val="center"/>
              <w:rPr>
                <w:rFonts w:ascii="Palatino Linotype" w:hAnsi="Palatino Linotype" w:cs="Arial"/>
                <w:b/>
              </w:rPr>
            </w:pPr>
            <w:r w:rsidRPr="00663887">
              <w:rPr>
                <w:rFonts w:ascii="Palatino Linotype" w:hAnsi="Palatino Linotype" w:cs="Arial"/>
                <w:b/>
              </w:rPr>
              <w:lastRenderedPageBreak/>
              <w:t>Comisionado (a)</w:t>
            </w:r>
          </w:p>
        </w:tc>
        <w:tc>
          <w:tcPr>
            <w:tcW w:w="3827" w:type="dxa"/>
            <w:tcBorders>
              <w:left w:val="single" w:sz="8" w:space="0" w:color="FFFFFF" w:themeColor="background1"/>
              <w:right w:val="single" w:sz="8" w:space="0" w:color="FFFFFF" w:themeColor="background1"/>
            </w:tcBorders>
            <w:shd w:val="clear" w:color="auto" w:fill="000000" w:themeFill="text1"/>
            <w:vAlign w:val="center"/>
          </w:tcPr>
          <w:p w14:paraId="0ADDCA85" w14:textId="21D1C632" w:rsidR="00535624" w:rsidRPr="00663887" w:rsidRDefault="00535624" w:rsidP="00D57FF9">
            <w:pPr>
              <w:autoSpaceDE w:val="0"/>
              <w:autoSpaceDN w:val="0"/>
              <w:adjustRightInd w:val="0"/>
              <w:spacing w:line="360" w:lineRule="auto"/>
              <w:jc w:val="center"/>
              <w:rPr>
                <w:rFonts w:ascii="Palatino Linotype" w:hAnsi="Palatino Linotype" w:cs="Arial"/>
                <w:b/>
              </w:rPr>
            </w:pPr>
            <w:r w:rsidRPr="00663887">
              <w:rPr>
                <w:rFonts w:ascii="Palatino Linotype" w:hAnsi="Palatino Linotype" w:cs="Arial"/>
                <w:b/>
              </w:rPr>
              <w:t>Nombramiento</w:t>
            </w:r>
          </w:p>
        </w:tc>
        <w:tc>
          <w:tcPr>
            <w:tcW w:w="3646" w:type="dxa"/>
            <w:tcBorders>
              <w:left w:val="single" w:sz="8" w:space="0" w:color="FFFFFF" w:themeColor="background1"/>
            </w:tcBorders>
            <w:shd w:val="clear" w:color="auto" w:fill="000000" w:themeFill="text1"/>
            <w:vAlign w:val="center"/>
          </w:tcPr>
          <w:p w14:paraId="79AEF9D3" w14:textId="41A1A3DB" w:rsidR="00535624" w:rsidRPr="00663887" w:rsidRDefault="00535624" w:rsidP="00D57FF9">
            <w:pPr>
              <w:autoSpaceDE w:val="0"/>
              <w:autoSpaceDN w:val="0"/>
              <w:adjustRightInd w:val="0"/>
              <w:spacing w:line="360" w:lineRule="auto"/>
              <w:jc w:val="center"/>
              <w:rPr>
                <w:rFonts w:ascii="Palatino Linotype" w:hAnsi="Palatino Linotype" w:cs="Arial"/>
                <w:b/>
              </w:rPr>
            </w:pPr>
            <w:r w:rsidRPr="00663887">
              <w:rPr>
                <w:rFonts w:ascii="Palatino Linotype" w:hAnsi="Palatino Linotype" w:cs="Arial"/>
                <w:b/>
              </w:rPr>
              <w:t>Fecha de autorización de ampliación de plazo</w:t>
            </w:r>
          </w:p>
        </w:tc>
      </w:tr>
      <w:tr w:rsidR="00535624" w14:paraId="6119B50F" w14:textId="27F4E75A" w:rsidTr="007610DF">
        <w:trPr>
          <w:trHeight w:val="2188"/>
        </w:trPr>
        <w:tc>
          <w:tcPr>
            <w:tcW w:w="2117" w:type="dxa"/>
            <w:vAlign w:val="center"/>
          </w:tcPr>
          <w:p w14:paraId="36C8E8EC" w14:textId="55A070E7" w:rsidR="00535624" w:rsidRPr="00B209AD" w:rsidRDefault="00535624" w:rsidP="00535624">
            <w:pPr>
              <w:autoSpaceDE w:val="0"/>
              <w:autoSpaceDN w:val="0"/>
              <w:adjustRightInd w:val="0"/>
              <w:spacing w:line="360" w:lineRule="auto"/>
              <w:jc w:val="center"/>
              <w:rPr>
                <w:rFonts w:ascii="Palatino Linotype" w:hAnsi="Palatino Linotype" w:cs="Arial"/>
                <w:b/>
              </w:rPr>
            </w:pPr>
            <w:r w:rsidRPr="00B209AD">
              <w:rPr>
                <w:rFonts w:ascii="Palatino Linotype" w:hAnsi="Palatino Linotype" w:cs="Arial"/>
                <w:b/>
              </w:rPr>
              <w:t>Eva Abaid Yapur</w:t>
            </w:r>
          </w:p>
        </w:tc>
        <w:tc>
          <w:tcPr>
            <w:tcW w:w="3827" w:type="dxa"/>
          </w:tcPr>
          <w:p w14:paraId="4DB6B160" w14:textId="3883B31B" w:rsidR="00535624" w:rsidRDefault="00535624" w:rsidP="00A84760">
            <w:pPr>
              <w:autoSpaceDE w:val="0"/>
              <w:autoSpaceDN w:val="0"/>
              <w:adjustRightInd w:val="0"/>
              <w:spacing w:line="360" w:lineRule="auto"/>
              <w:jc w:val="both"/>
              <w:rPr>
                <w:rFonts w:ascii="Palatino Linotype" w:hAnsi="Palatino Linotype" w:cs="Arial"/>
              </w:rPr>
            </w:pPr>
            <w:r>
              <w:rPr>
                <w:rFonts w:ascii="Palatino Linotype" w:hAnsi="Palatino Linotype" w:cs="Arial"/>
              </w:rPr>
              <w:t>Decreto número sesenta y nueve</w:t>
            </w:r>
            <w:r w:rsidR="007610DF">
              <w:rPr>
                <w:rFonts w:ascii="Palatino Linotype" w:hAnsi="Palatino Linotype" w:cs="Arial"/>
              </w:rPr>
              <w:t>,</w:t>
            </w:r>
            <w:r>
              <w:rPr>
                <w:rFonts w:ascii="Palatino Linotype" w:hAnsi="Palatino Linotype" w:cs="Arial"/>
              </w:rPr>
              <w:t xml:space="preserve"> de fecha quince de marzo de 2013: </w:t>
            </w:r>
          </w:p>
          <w:p w14:paraId="71B7CAC0" w14:textId="7F878A81" w:rsidR="009A2421" w:rsidRDefault="009A2421" w:rsidP="00A84760">
            <w:pPr>
              <w:autoSpaceDE w:val="0"/>
              <w:autoSpaceDN w:val="0"/>
              <w:adjustRightInd w:val="0"/>
              <w:spacing w:line="360" w:lineRule="auto"/>
              <w:jc w:val="both"/>
              <w:rPr>
                <w:rFonts w:ascii="Palatino Linotype" w:hAnsi="Palatino Linotype" w:cs="Arial"/>
              </w:rPr>
            </w:pPr>
          </w:p>
          <w:p w14:paraId="1C419932" w14:textId="070BCCB7" w:rsidR="00535624" w:rsidRDefault="00E01437" w:rsidP="00A84760">
            <w:pPr>
              <w:autoSpaceDE w:val="0"/>
              <w:autoSpaceDN w:val="0"/>
              <w:adjustRightInd w:val="0"/>
              <w:spacing w:line="360" w:lineRule="auto"/>
              <w:jc w:val="both"/>
              <w:rPr>
                <w:rFonts w:ascii="Palatino Linotype" w:hAnsi="Palatino Linotype" w:cs="Arial"/>
              </w:rPr>
            </w:pPr>
            <w:r>
              <w:object w:dxaOrig="4320" w:dyaOrig="1159" w14:anchorId="0613D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15pt;height:97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697558392" r:id="rId11"/>
              </w:object>
            </w:r>
          </w:p>
          <w:p w14:paraId="32EA2149" w14:textId="7B8F6E60" w:rsidR="009A2421" w:rsidRDefault="009A2421" w:rsidP="00A84760">
            <w:pPr>
              <w:autoSpaceDE w:val="0"/>
              <w:autoSpaceDN w:val="0"/>
              <w:adjustRightInd w:val="0"/>
              <w:spacing w:line="360" w:lineRule="auto"/>
              <w:jc w:val="both"/>
              <w:rPr>
                <w:rFonts w:ascii="Palatino Linotype" w:hAnsi="Palatino Linotype" w:cs="Arial"/>
              </w:rPr>
            </w:pPr>
          </w:p>
          <w:p w14:paraId="1306FCDB" w14:textId="534C072B" w:rsidR="00535624" w:rsidRDefault="00535624" w:rsidP="00A84760">
            <w:pPr>
              <w:autoSpaceDE w:val="0"/>
              <w:autoSpaceDN w:val="0"/>
              <w:adjustRightInd w:val="0"/>
              <w:spacing w:line="360" w:lineRule="auto"/>
              <w:jc w:val="both"/>
              <w:rPr>
                <w:rFonts w:ascii="Palatino Linotype" w:hAnsi="Palatino Linotype" w:cs="Arial"/>
              </w:rPr>
            </w:pPr>
            <w:r>
              <w:rPr>
                <w:rFonts w:ascii="Palatino Linotype" w:hAnsi="Palatino Linotype" w:cs="Arial"/>
              </w:rPr>
              <w:t>Susceptible de ser consultado en la siguiente dirección electrónica:</w:t>
            </w:r>
          </w:p>
          <w:p w14:paraId="549C67BF" w14:textId="2E6ABF22" w:rsidR="00535624" w:rsidRPr="00535624" w:rsidRDefault="00086082" w:rsidP="00535624">
            <w:pPr>
              <w:autoSpaceDE w:val="0"/>
              <w:autoSpaceDN w:val="0"/>
              <w:adjustRightInd w:val="0"/>
              <w:spacing w:line="360" w:lineRule="auto"/>
              <w:jc w:val="both"/>
              <w:rPr>
                <w:rFonts w:ascii="Palatino Linotype" w:hAnsi="Palatino Linotype" w:cs="Arial"/>
              </w:rPr>
            </w:pPr>
            <w:hyperlink r:id="rId12" w:history="1">
              <w:r w:rsidR="00535624" w:rsidRPr="00D662C8">
                <w:rPr>
                  <w:rStyle w:val="Hipervnculo"/>
                  <w:rFonts w:ascii="Palatino Linotype" w:hAnsi="Palatino Linotype" w:cs="Arial"/>
                </w:rPr>
                <w:t>https://legislacion.edomex.gob.mx/sites/legislacion.edomex.gob.mx/files/files/vigentes/mar154.PDF</w:t>
              </w:r>
            </w:hyperlink>
            <w:r w:rsidR="00535624">
              <w:rPr>
                <w:rFonts w:ascii="Palatino Linotype" w:hAnsi="Palatino Linotype" w:cs="Arial"/>
              </w:rPr>
              <w:t xml:space="preserve"> </w:t>
            </w:r>
            <w:r w:rsidR="00535624">
              <w:t xml:space="preserve"> </w:t>
            </w:r>
          </w:p>
        </w:tc>
        <w:tc>
          <w:tcPr>
            <w:tcW w:w="3646" w:type="dxa"/>
          </w:tcPr>
          <w:p w14:paraId="4479C5EC" w14:textId="77777777" w:rsidR="00535624" w:rsidRDefault="007610DF" w:rsidP="007610DF">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Decreto número cuatrocientos cuarenta y cuatro, de fecha quince de junio de dos mil quince: </w:t>
            </w:r>
          </w:p>
          <w:p w14:paraId="4684BC1A" w14:textId="1D87ED94" w:rsidR="007610DF" w:rsidRDefault="007610DF" w:rsidP="007610DF">
            <w:pPr>
              <w:autoSpaceDE w:val="0"/>
              <w:autoSpaceDN w:val="0"/>
              <w:adjustRightInd w:val="0"/>
              <w:spacing w:line="360" w:lineRule="auto"/>
              <w:jc w:val="both"/>
              <w:rPr>
                <w:rFonts w:ascii="Palatino Linotype" w:hAnsi="Palatino Linotype" w:cs="Arial"/>
              </w:rPr>
            </w:pPr>
          </w:p>
          <w:p w14:paraId="05604425" w14:textId="32908DB5" w:rsidR="007610DF" w:rsidRDefault="00E01437" w:rsidP="007610DF">
            <w:pPr>
              <w:autoSpaceDE w:val="0"/>
              <w:autoSpaceDN w:val="0"/>
              <w:adjustRightInd w:val="0"/>
              <w:spacing w:line="360" w:lineRule="auto"/>
              <w:jc w:val="both"/>
            </w:pPr>
            <w:r>
              <w:object w:dxaOrig="4320" w:dyaOrig="2601" w14:anchorId="081EE001">
                <v:shape id="_x0000_i1026" type="#_x0000_t75" style="width:172.05pt;height:97.75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6" DrawAspect="Content" ObjectID="_1697558393" r:id="rId14"/>
              </w:object>
            </w:r>
          </w:p>
          <w:p w14:paraId="5A9B087B" w14:textId="607BECD1" w:rsidR="0075434D" w:rsidRDefault="007610DF" w:rsidP="007610DF">
            <w:pPr>
              <w:autoSpaceDE w:val="0"/>
              <w:autoSpaceDN w:val="0"/>
              <w:adjustRightInd w:val="0"/>
              <w:spacing w:line="360" w:lineRule="auto"/>
              <w:jc w:val="both"/>
              <w:rPr>
                <w:rFonts w:ascii="Palatino Linotype" w:hAnsi="Palatino Linotype"/>
              </w:rPr>
            </w:pPr>
            <w:r w:rsidRPr="007610DF">
              <w:rPr>
                <w:rFonts w:ascii="Palatino Linotype" w:hAnsi="Palatino Linotype"/>
              </w:rPr>
              <w:t xml:space="preserve">Susceptible de ser </w:t>
            </w:r>
            <w:r w:rsidR="0075434D">
              <w:rPr>
                <w:rFonts w:ascii="Palatino Linotype" w:hAnsi="Palatino Linotype"/>
              </w:rPr>
              <w:t xml:space="preserve">consultado en la siguiente dirección electrónica: </w:t>
            </w:r>
          </w:p>
          <w:p w14:paraId="0F44E534" w14:textId="4547384A" w:rsidR="0075434D" w:rsidRPr="007610DF" w:rsidRDefault="00086082" w:rsidP="007610DF">
            <w:pPr>
              <w:autoSpaceDE w:val="0"/>
              <w:autoSpaceDN w:val="0"/>
              <w:adjustRightInd w:val="0"/>
              <w:spacing w:line="360" w:lineRule="auto"/>
              <w:jc w:val="both"/>
              <w:rPr>
                <w:rFonts w:ascii="Palatino Linotype" w:hAnsi="Palatino Linotype" w:cs="Arial"/>
              </w:rPr>
            </w:pPr>
            <w:hyperlink r:id="rId15" w:history="1">
              <w:r w:rsidR="0075434D" w:rsidRPr="00D662C8">
                <w:rPr>
                  <w:rStyle w:val="Hipervnculo"/>
                  <w:rFonts w:ascii="Palatino Linotype" w:hAnsi="Palatino Linotype" w:cs="Arial"/>
                </w:rPr>
                <w:t>http://legislacion.edomex.gob.mx/sites/legislacion.edomex.gob.mx/files/files/pdf/gct/2015/jun156.pdf</w:t>
              </w:r>
            </w:hyperlink>
            <w:r w:rsidR="0075434D">
              <w:rPr>
                <w:rFonts w:ascii="Palatino Linotype" w:hAnsi="Palatino Linotype" w:cs="Arial"/>
              </w:rPr>
              <w:t xml:space="preserve"> </w:t>
            </w:r>
          </w:p>
        </w:tc>
      </w:tr>
      <w:tr w:rsidR="00535624" w14:paraId="43D0E846" w14:textId="62E65AF7" w:rsidTr="0075434D">
        <w:trPr>
          <w:trHeight w:val="869"/>
        </w:trPr>
        <w:tc>
          <w:tcPr>
            <w:tcW w:w="2117" w:type="dxa"/>
            <w:vAlign w:val="center"/>
          </w:tcPr>
          <w:p w14:paraId="1E5B3C7C" w14:textId="0EAAB8EB" w:rsidR="00535624" w:rsidRPr="00B209AD" w:rsidRDefault="00535624" w:rsidP="0075434D">
            <w:pPr>
              <w:autoSpaceDE w:val="0"/>
              <w:autoSpaceDN w:val="0"/>
              <w:adjustRightInd w:val="0"/>
              <w:spacing w:line="360" w:lineRule="auto"/>
              <w:jc w:val="center"/>
              <w:rPr>
                <w:rFonts w:ascii="Palatino Linotype" w:hAnsi="Palatino Linotype" w:cs="Arial"/>
                <w:b/>
              </w:rPr>
            </w:pPr>
            <w:r w:rsidRPr="00B209AD">
              <w:rPr>
                <w:rFonts w:ascii="Palatino Linotype" w:hAnsi="Palatino Linotype" w:cs="Arial"/>
                <w:b/>
              </w:rPr>
              <w:t>Zulema Martínez Sánchez</w:t>
            </w:r>
          </w:p>
        </w:tc>
        <w:tc>
          <w:tcPr>
            <w:tcW w:w="3827" w:type="dxa"/>
          </w:tcPr>
          <w:p w14:paraId="40114916" w14:textId="56E1EF3E" w:rsidR="0075434D" w:rsidRDefault="0075434D" w:rsidP="0075434D">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Decreto número doscientos ochenta y cinco, de fecha catorce de agosto de dos mil catorce: </w:t>
            </w:r>
          </w:p>
          <w:p w14:paraId="45B1EAF9" w14:textId="208379AD" w:rsidR="0075434D" w:rsidRDefault="0075434D" w:rsidP="0075434D">
            <w:pPr>
              <w:autoSpaceDE w:val="0"/>
              <w:autoSpaceDN w:val="0"/>
              <w:adjustRightInd w:val="0"/>
              <w:spacing w:line="360" w:lineRule="auto"/>
              <w:jc w:val="both"/>
            </w:pPr>
            <w:r>
              <w:object w:dxaOrig="16815" w:dyaOrig="5925" w14:anchorId="43DFFDD5">
                <v:shape id="_x0000_i1027" type="#_x0000_t75" style="width:179.6pt;height:99.3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7" DrawAspect="Content" ObjectID="_1697558394" r:id="rId17"/>
              </w:object>
            </w:r>
          </w:p>
          <w:p w14:paraId="379795C8" w14:textId="77777777" w:rsidR="0075434D" w:rsidRPr="0075434D" w:rsidRDefault="0075434D" w:rsidP="0075434D">
            <w:pPr>
              <w:autoSpaceDE w:val="0"/>
              <w:autoSpaceDN w:val="0"/>
              <w:adjustRightInd w:val="0"/>
              <w:spacing w:line="360" w:lineRule="auto"/>
              <w:jc w:val="both"/>
              <w:rPr>
                <w:rFonts w:ascii="Palatino Linotype" w:hAnsi="Palatino Linotype"/>
              </w:rPr>
            </w:pPr>
            <w:r w:rsidRPr="0075434D">
              <w:rPr>
                <w:rFonts w:ascii="Palatino Linotype" w:hAnsi="Palatino Linotype"/>
              </w:rPr>
              <w:t xml:space="preserve">Susceptible de ser consultado en la siguiente dirección electrónica: </w:t>
            </w:r>
          </w:p>
          <w:p w14:paraId="2D2C33EB" w14:textId="5C350507" w:rsidR="0075434D" w:rsidRDefault="00086082" w:rsidP="0075434D">
            <w:pPr>
              <w:autoSpaceDE w:val="0"/>
              <w:autoSpaceDN w:val="0"/>
              <w:adjustRightInd w:val="0"/>
              <w:spacing w:line="360" w:lineRule="auto"/>
              <w:jc w:val="both"/>
              <w:rPr>
                <w:rFonts w:ascii="Palatino Linotype" w:hAnsi="Palatino Linotype" w:cs="Arial"/>
              </w:rPr>
            </w:pPr>
            <w:hyperlink r:id="rId18" w:history="1">
              <w:r w:rsidR="0075434D" w:rsidRPr="00D662C8">
                <w:rPr>
                  <w:rStyle w:val="Hipervnculo"/>
                  <w:rFonts w:ascii="Palatino Linotype" w:hAnsi="Palatino Linotype" w:cs="Arial"/>
                </w:rPr>
                <w:t>http://legislacion.edomex.gob.mx/sites/legislacion.edomex.gob.mx/files/files/pdf/gct/2014/ago188.PDF</w:t>
              </w:r>
            </w:hyperlink>
            <w:r w:rsidR="0075434D">
              <w:rPr>
                <w:rFonts w:ascii="Palatino Linotype" w:hAnsi="Palatino Linotype" w:cs="Arial"/>
              </w:rPr>
              <w:t xml:space="preserve"> </w:t>
            </w:r>
          </w:p>
        </w:tc>
        <w:tc>
          <w:tcPr>
            <w:tcW w:w="3646" w:type="dxa"/>
          </w:tcPr>
          <w:p w14:paraId="16D05AFA" w14:textId="77777777" w:rsidR="0075434D" w:rsidRDefault="0075434D" w:rsidP="00A84760">
            <w:p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Decreto número cuatrocientos cuarenta y tres, de fecha quince de junio de dos mil quince: </w:t>
            </w:r>
          </w:p>
          <w:p w14:paraId="50E69DA9" w14:textId="6390CCB2" w:rsidR="0075434D" w:rsidRDefault="0075434D" w:rsidP="00A84760">
            <w:pPr>
              <w:autoSpaceDE w:val="0"/>
              <w:autoSpaceDN w:val="0"/>
              <w:adjustRightInd w:val="0"/>
              <w:spacing w:line="360" w:lineRule="auto"/>
              <w:jc w:val="both"/>
              <w:rPr>
                <w:rFonts w:ascii="Palatino Linotype" w:hAnsi="Palatino Linotype" w:cs="Arial"/>
              </w:rPr>
            </w:pPr>
          </w:p>
          <w:p w14:paraId="13D0942B" w14:textId="3458F5D0" w:rsidR="0075434D" w:rsidRDefault="0075434D" w:rsidP="00A84760">
            <w:pPr>
              <w:autoSpaceDE w:val="0"/>
              <w:autoSpaceDN w:val="0"/>
              <w:adjustRightInd w:val="0"/>
              <w:spacing w:line="360" w:lineRule="auto"/>
              <w:jc w:val="both"/>
              <w:rPr>
                <w:rFonts w:ascii="Palatino Linotype" w:hAnsi="Palatino Linotype" w:cs="Arial"/>
              </w:rPr>
            </w:pPr>
            <w:r>
              <w:object w:dxaOrig="17670" w:dyaOrig="9060" w14:anchorId="31EB6319">
                <v:shape id="_x0000_i1028" type="#_x0000_t75" style="width:171.3pt;height:98.55pt"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8" DrawAspect="Content" ObjectID="_1697558395" r:id="rId20"/>
              </w:object>
            </w:r>
            <w:r>
              <w:rPr>
                <w:rFonts w:ascii="Palatino Linotype" w:hAnsi="Palatino Linotype" w:cs="Arial"/>
              </w:rPr>
              <w:t xml:space="preserve"> </w:t>
            </w:r>
          </w:p>
          <w:p w14:paraId="2683D228" w14:textId="77777777" w:rsidR="00535624" w:rsidRDefault="0075434D" w:rsidP="0075434D">
            <w:pPr>
              <w:tabs>
                <w:tab w:val="left" w:pos="1192"/>
              </w:tabs>
              <w:rPr>
                <w:rFonts w:ascii="Palatino Linotype" w:hAnsi="Palatino Linotype" w:cs="Arial"/>
              </w:rPr>
            </w:pPr>
            <w:r>
              <w:rPr>
                <w:rFonts w:ascii="Palatino Linotype" w:hAnsi="Palatino Linotype" w:cs="Arial"/>
              </w:rPr>
              <w:tab/>
            </w:r>
          </w:p>
          <w:p w14:paraId="1A91744F" w14:textId="77777777" w:rsidR="0075434D" w:rsidRDefault="0075434D" w:rsidP="0075434D">
            <w:pPr>
              <w:tabs>
                <w:tab w:val="left" w:pos="1192"/>
              </w:tabs>
              <w:spacing w:line="360" w:lineRule="auto"/>
              <w:rPr>
                <w:rFonts w:ascii="Palatino Linotype" w:hAnsi="Palatino Linotype" w:cs="Arial"/>
              </w:rPr>
            </w:pPr>
            <w:r>
              <w:rPr>
                <w:rFonts w:ascii="Palatino Linotype" w:hAnsi="Palatino Linotype" w:cs="Arial"/>
              </w:rPr>
              <w:t xml:space="preserve">Susceptible de ser consultado en la siguiente dirección electrónica: </w:t>
            </w:r>
          </w:p>
          <w:p w14:paraId="4687B8EE" w14:textId="30B0EFFA" w:rsidR="0075434D" w:rsidRDefault="00086082" w:rsidP="0075434D">
            <w:pPr>
              <w:tabs>
                <w:tab w:val="left" w:pos="1192"/>
              </w:tabs>
              <w:spacing w:line="360" w:lineRule="auto"/>
              <w:rPr>
                <w:rFonts w:ascii="Palatino Linotype" w:hAnsi="Palatino Linotype" w:cs="Arial"/>
              </w:rPr>
            </w:pPr>
            <w:hyperlink r:id="rId21" w:history="1">
              <w:r w:rsidR="0075434D" w:rsidRPr="00D662C8">
                <w:rPr>
                  <w:rStyle w:val="Hipervnculo"/>
                  <w:rFonts w:ascii="Palatino Linotype" w:hAnsi="Palatino Linotype" w:cs="Arial"/>
                </w:rPr>
                <w:t>http://legislacion.edomex.gob.mx/sites/legislacion.edomex.gob.mx/files/files/pdf/gct/2015/jun155.pdf</w:t>
              </w:r>
            </w:hyperlink>
            <w:r w:rsidR="0075434D">
              <w:rPr>
                <w:rFonts w:ascii="Palatino Linotype" w:hAnsi="Palatino Linotype" w:cs="Arial"/>
              </w:rPr>
              <w:t xml:space="preserve"> </w:t>
            </w:r>
          </w:p>
          <w:p w14:paraId="235C5879" w14:textId="5D8D8E1A" w:rsidR="0075434D" w:rsidRPr="0075434D" w:rsidRDefault="0075434D" w:rsidP="0075434D">
            <w:pPr>
              <w:tabs>
                <w:tab w:val="left" w:pos="1192"/>
              </w:tabs>
              <w:rPr>
                <w:rFonts w:ascii="Palatino Linotype" w:hAnsi="Palatino Linotype" w:cs="Arial"/>
              </w:rPr>
            </w:pPr>
          </w:p>
        </w:tc>
      </w:tr>
      <w:tr w:rsidR="00535624" w14:paraId="3921E582" w14:textId="44AC740D" w:rsidTr="00E01437">
        <w:trPr>
          <w:trHeight w:val="439"/>
        </w:trPr>
        <w:tc>
          <w:tcPr>
            <w:tcW w:w="2117" w:type="dxa"/>
            <w:vAlign w:val="center"/>
          </w:tcPr>
          <w:p w14:paraId="4A626A20" w14:textId="58A0AF10" w:rsidR="00535624" w:rsidRPr="00B209AD" w:rsidRDefault="00535624" w:rsidP="00E01437">
            <w:pPr>
              <w:autoSpaceDE w:val="0"/>
              <w:autoSpaceDN w:val="0"/>
              <w:adjustRightInd w:val="0"/>
              <w:spacing w:line="360" w:lineRule="auto"/>
              <w:jc w:val="center"/>
              <w:rPr>
                <w:rFonts w:ascii="Palatino Linotype" w:hAnsi="Palatino Linotype" w:cs="Arial"/>
                <w:b/>
              </w:rPr>
            </w:pPr>
            <w:r w:rsidRPr="00B209AD">
              <w:rPr>
                <w:rFonts w:ascii="Palatino Linotype" w:hAnsi="Palatino Linotype" w:cs="Arial"/>
                <w:b/>
              </w:rPr>
              <w:lastRenderedPageBreak/>
              <w:t>Javier Martínez Cruz</w:t>
            </w:r>
          </w:p>
        </w:tc>
        <w:tc>
          <w:tcPr>
            <w:tcW w:w="3827" w:type="dxa"/>
          </w:tcPr>
          <w:p w14:paraId="1E8D180E" w14:textId="34AF2167" w:rsidR="00E01437" w:rsidRDefault="00E01437" w:rsidP="00E01437">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Decreto número doscientos ochenta y cinco, de fecha catorce de agosto de dos mil catorce: </w:t>
            </w:r>
          </w:p>
          <w:p w14:paraId="42FECFDD" w14:textId="77777777" w:rsidR="00E01437" w:rsidRDefault="00E01437" w:rsidP="00E01437">
            <w:pPr>
              <w:autoSpaceDE w:val="0"/>
              <w:autoSpaceDN w:val="0"/>
              <w:adjustRightInd w:val="0"/>
              <w:spacing w:line="360" w:lineRule="auto"/>
              <w:jc w:val="both"/>
              <w:rPr>
                <w:rFonts w:ascii="Palatino Linotype" w:hAnsi="Palatino Linotype" w:cs="Arial"/>
              </w:rPr>
            </w:pPr>
          </w:p>
          <w:p w14:paraId="6F492220" w14:textId="27FB2ACB" w:rsidR="00E01437" w:rsidRDefault="00E01437" w:rsidP="00E01437">
            <w:pPr>
              <w:autoSpaceDE w:val="0"/>
              <w:autoSpaceDN w:val="0"/>
              <w:adjustRightInd w:val="0"/>
              <w:spacing w:line="360" w:lineRule="auto"/>
              <w:jc w:val="both"/>
              <w:rPr>
                <w:rFonts w:ascii="Palatino Linotype" w:hAnsi="Palatino Linotype" w:cs="Arial"/>
              </w:rPr>
            </w:pPr>
            <w:r>
              <w:object w:dxaOrig="17520" w:dyaOrig="6045" w14:anchorId="67A117FB">
                <v:shape id="_x0000_i1029" type="#_x0000_t75" style="width:180.4pt;height:100.05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9" DrawAspect="Content" ObjectID="_1697558396" r:id="rId23"/>
              </w:object>
            </w:r>
          </w:p>
          <w:p w14:paraId="38D7F7D6" w14:textId="77777777" w:rsidR="00E01437" w:rsidRPr="0075434D" w:rsidRDefault="00E01437" w:rsidP="00E01437">
            <w:pPr>
              <w:autoSpaceDE w:val="0"/>
              <w:autoSpaceDN w:val="0"/>
              <w:adjustRightInd w:val="0"/>
              <w:spacing w:line="360" w:lineRule="auto"/>
              <w:jc w:val="both"/>
              <w:rPr>
                <w:rFonts w:ascii="Palatino Linotype" w:hAnsi="Palatino Linotype"/>
              </w:rPr>
            </w:pPr>
            <w:r w:rsidRPr="0075434D">
              <w:rPr>
                <w:rFonts w:ascii="Palatino Linotype" w:hAnsi="Palatino Linotype"/>
              </w:rPr>
              <w:t xml:space="preserve">Susceptible de ser consultado en la siguiente dirección electrónica: </w:t>
            </w:r>
          </w:p>
          <w:p w14:paraId="770C7957" w14:textId="504B9858" w:rsidR="00E01437" w:rsidRDefault="00086082" w:rsidP="00E01437">
            <w:pPr>
              <w:autoSpaceDE w:val="0"/>
              <w:autoSpaceDN w:val="0"/>
              <w:adjustRightInd w:val="0"/>
              <w:spacing w:line="360" w:lineRule="auto"/>
              <w:jc w:val="both"/>
              <w:rPr>
                <w:rFonts w:ascii="Palatino Linotype" w:hAnsi="Palatino Linotype" w:cs="Arial"/>
              </w:rPr>
            </w:pPr>
            <w:hyperlink r:id="rId24" w:history="1">
              <w:r w:rsidR="00E01437" w:rsidRPr="00D662C8">
                <w:rPr>
                  <w:rStyle w:val="Hipervnculo"/>
                  <w:rFonts w:ascii="Palatino Linotype" w:hAnsi="Palatino Linotype" w:cs="Arial"/>
                </w:rPr>
                <w:t>http://legislacion.edomex.gob.mx/sites/legislacion.edomex.gob.mx/files/files/pdf/gct/2014/ago188.PDF</w:t>
              </w:r>
            </w:hyperlink>
          </w:p>
          <w:p w14:paraId="3C8E1D0D" w14:textId="77777777" w:rsidR="00E01437" w:rsidRDefault="00E01437" w:rsidP="00A84760">
            <w:pPr>
              <w:autoSpaceDE w:val="0"/>
              <w:autoSpaceDN w:val="0"/>
              <w:adjustRightInd w:val="0"/>
              <w:spacing w:line="360" w:lineRule="auto"/>
              <w:jc w:val="both"/>
              <w:rPr>
                <w:rFonts w:ascii="Palatino Linotype" w:hAnsi="Palatino Linotype" w:cs="Arial"/>
              </w:rPr>
            </w:pPr>
          </w:p>
        </w:tc>
        <w:tc>
          <w:tcPr>
            <w:tcW w:w="3646" w:type="dxa"/>
          </w:tcPr>
          <w:p w14:paraId="077F3C2F" w14:textId="77777777" w:rsidR="00535624" w:rsidRDefault="00123D08" w:rsidP="00A84760">
            <w:p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Decreto número </w:t>
            </w:r>
            <w:r w:rsidR="00663887">
              <w:rPr>
                <w:rFonts w:ascii="Palatino Linotype" w:hAnsi="Palatino Linotype" w:cs="Arial"/>
              </w:rPr>
              <w:t xml:space="preserve">cuatrocientos cuarenta y uno, de fecha quince de junio de dos mil quince: </w:t>
            </w:r>
          </w:p>
          <w:p w14:paraId="57604470" w14:textId="77777777" w:rsidR="00663887" w:rsidRDefault="00663887" w:rsidP="00A84760">
            <w:pPr>
              <w:autoSpaceDE w:val="0"/>
              <w:autoSpaceDN w:val="0"/>
              <w:adjustRightInd w:val="0"/>
              <w:spacing w:line="360" w:lineRule="auto"/>
              <w:jc w:val="both"/>
              <w:rPr>
                <w:rFonts w:ascii="Palatino Linotype" w:hAnsi="Palatino Linotype" w:cs="Arial"/>
              </w:rPr>
            </w:pPr>
          </w:p>
          <w:p w14:paraId="5FEC74B9" w14:textId="77777777" w:rsidR="00663887" w:rsidRDefault="00663887" w:rsidP="00A84760">
            <w:pPr>
              <w:autoSpaceDE w:val="0"/>
              <w:autoSpaceDN w:val="0"/>
              <w:adjustRightInd w:val="0"/>
              <w:spacing w:line="360" w:lineRule="auto"/>
              <w:jc w:val="both"/>
            </w:pPr>
            <w:r>
              <w:object w:dxaOrig="16830" w:dyaOrig="8805" w14:anchorId="76E1C0B7">
                <v:shape id="_x0000_i1030" type="#_x0000_t75" style="width:170.55pt;height:97pt" o:ole="" o:bordertopcolor="this" o:borderleftcolor="this" o:borderbottomcolor="this" o:borderrightcolor="this">
                  <v:imagedata r:id="rId25" o:title=""/>
                  <w10:bordertop type="single" width="8"/>
                  <w10:borderleft type="single" width="8"/>
                  <w10:borderbottom type="single" width="8"/>
                  <w10:borderright type="single" width="8"/>
                </v:shape>
                <o:OLEObject Type="Embed" ProgID="PBrush" ShapeID="_x0000_i1030" DrawAspect="Content" ObjectID="_1697558397" r:id="rId26"/>
              </w:object>
            </w:r>
          </w:p>
          <w:p w14:paraId="0D46B9F9" w14:textId="77777777" w:rsidR="00663887" w:rsidRDefault="00663887" w:rsidP="00A84760">
            <w:pPr>
              <w:autoSpaceDE w:val="0"/>
              <w:autoSpaceDN w:val="0"/>
              <w:adjustRightInd w:val="0"/>
              <w:spacing w:line="360" w:lineRule="auto"/>
              <w:jc w:val="both"/>
            </w:pPr>
          </w:p>
          <w:p w14:paraId="317CCC27" w14:textId="77777777" w:rsidR="00663887" w:rsidRDefault="00663887" w:rsidP="00A84760">
            <w:pPr>
              <w:autoSpaceDE w:val="0"/>
              <w:autoSpaceDN w:val="0"/>
              <w:adjustRightInd w:val="0"/>
              <w:spacing w:line="360" w:lineRule="auto"/>
              <w:jc w:val="both"/>
              <w:rPr>
                <w:rFonts w:ascii="Palatino Linotype" w:hAnsi="Palatino Linotype"/>
              </w:rPr>
            </w:pPr>
            <w:r w:rsidRPr="00663887">
              <w:rPr>
                <w:rFonts w:ascii="Palatino Linotype" w:hAnsi="Palatino Linotype"/>
              </w:rPr>
              <w:t xml:space="preserve">Susceptible de ser consultado en la siguiente dirección electrónica: </w:t>
            </w:r>
          </w:p>
          <w:p w14:paraId="55B1E9DC" w14:textId="62807980" w:rsidR="00663887" w:rsidRPr="00663887" w:rsidRDefault="00086082" w:rsidP="00A84760">
            <w:pPr>
              <w:autoSpaceDE w:val="0"/>
              <w:autoSpaceDN w:val="0"/>
              <w:adjustRightInd w:val="0"/>
              <w:spacing w:line="360" w:lineRule="auto"/>
              <w:jc w:val="both"/>
              <w:rPr>
                <w:rFonts w:ascii="Palatino Linotype" w:hAnsi="Palatino Linotype"/>
              </w:rPr>
            </w:pPr>
            <w:hyperlink r:id="rId27" w:history="1">
              <w:r w:rsidR="00663887" w:rsidRPr="00D662C8">
                <w:rPr>
                  <w:rStyle w:val="Hipervnculo"/>
                  <w:rFonts w:ascii="Palatino Linotype" w:hAnsi="Palatino Linotype"/>
                </w:rPr>
                <w:t>http://legislacion.edomex.gob.mx/sites/legislacion.edomex.gob.mx/files/files/pdf/gct/2015/jun153.pdf</w:t>
              </w:r>
            </w:hyperlink>
            <w:r w:rsidR="00663887">
              <w:rPr>
                <w:rFonts w:ascii="Palatino Linotype" w:hAnsi="Palatino Linotype"/>
              </w:rPr>
              <w:t xml:space="preserve"> </w:t>
            </w:r>
          </w:p>
          <w:p w14:paraId="32FD43E1" w14:textId="5E7E61DA" w:rsidR="00663887" w:rsidRPr="00663887" w:rsidRDefault="00663887" w:rsidP="00A84760">
            <w:pPr>
              <w:autoSpaceDE w:val="0"/>
              <w:autoSpaceDN w:val="0"/>
              <w:adjustRightInd w:val="0"/>
              <w:spacing w:line="360" w:lineRule="auto"/>
              <w:jc w:val="both"/>
              <w:rPr>
                <w:rFonts w:ascii="Palatino Linotype" w:hAnsi="Palatino Linotype" w:cs="Arial"/>
                <w:sz w:val="24"/>
                <w:szCs w:val="24"/>
              </w:rPr>
            </w:pPr>
          </w:p>
        </w:tc>
      </w:tr>
      <w:tr w:rsidR="00535624" w14:paraId="7C478BE6" w14:textId="69546750" w:rsidTr="00987879">
        <w:trPr>
          <w:trHeight w:val="869"/>
        </w:trPr>
        <w:tc>
          <w:tcPr>
            <w:tcW w:w="2117" w:type="dxa"/>
            <w:vAlign w:val="center"/>
          </w:tcPr>
          <w:p w14:paraId="16543D7A" w14:textId="1BB0B37C" w:rsidR="00535624" w:rsidRPr="00B209AD" w:rsidRDefault="00535624" w:rsidP="007B5BA4">
            <w:pPr>
              <w:autoSpaceDE w:val="0"/>
              <w:autoSpaceDN w:val="0"/>
              <w:adjustRightInd w:val="0"/>
              <w:spacing w:line="360" w:lineRule="auto"/>
              <w:jc w:val="center"/>
              <w:rPr>
                <w:rFonts w:ascii="Palatino Linotype" w:hAnsi="Palatino Linotype" w:cs="Arial"/>
                <w:b/>
              </w:rPr>
            </w:pPr>
            <w:r w:rsidRPr="00B209AD">
              <w:rPr>
                <w:rFonts w:ascii="Palatino Linotype" w:hAnsi="Palatino Linotype" w:cs="Arial"/>
                <w:b/>
              </w:rPr>
              <w:lastRenderedPageBreak/>
              <w:t>José Guadalupe Hernández</w:t>
            </w:r>
          </w:p>
        </w:tc>
        <w:tc>
          <w:tcPr>
            <w:tcW w:w="3827" w:type="dxa"/>
          </w:tcPr>
          <w:p w14:paraId="261FB57D" w14:textId="77777777" w:rsidR="00535624" w:rsidRDefault="007B5BA4" w:rsidP="00A84760">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Decreto número cuatrocientos cincuenta y ocho, de fecha seis de julio de dos mil quince: </w:t>
            </w:r>
          </w:p>
          <w:p w14:paraId="079E2DA7" w14:textId="77777777" w:rsidR="007B5BA4" w:rsidRDefault="007B5BA4" w:rsidP="00A84760">
            <w:pPr>
              <w:autoSpaceDE w:val="0"/>
              <w:autoSpaceDN w:val="0"/>
              <w:adjustRightInd w:val="0"/>
              <w:spacing w:line="360" w:lineRule="auto"/>
              <w:jc w:val="both"/>
              <w:rPr>
                <w:rFonts w:ascii="Palatino Linotype" w:hAnsi="Palatino Linotype" w:cs="Arial"/>
              </w:rPr>
            </w:pPr>
          </w:p>
          <w:p w14:paraId="7BB0BB8C" w14:textId="7457338B" w:rsidR="007B5BA4" w:rsidRDefault="007B5BA4" w:rsidP="00A84760">
            <w:pPr>
              <w:autoSpaceDE w:val="0"/>
              <w:autoSpaceDN w:val="0"/>
              <w:adjustRightInd w:val="0"/>
              <w:spacing w:line="360" w:lineRule="auto"/>
              <w:jc w:val="both"/>
            </w:pPr>
            <w:r>
              <w:object w:dxaOrig="13635" w:dyaOrig="6675" w14:anchorId="55B9E459">
                <v:shape id="_x0000_i1031" type="#_x0000_t75" style="width:179.6pt;height:99.3pt"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Brush" ShapeID="_x0000_i1031" DrawAspect="Content" ObjectID="_1697558398" r:id="rId29"/>
              </w:object>
            </w:r>
          </w:p>
          <w:p w14:paraId="28DD889B" w14:textId="4617E8DD" w:rsidR="007B5BA4" w:rsidRDefault="007B5BA4" w:rsidP="00A84760">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Susceptible de ser consultado en la siguiente dirección electrónica: </w:t>
            </w:r>
          </w:p>
          <w:p w14:paraId="7B9F82FD" w14:textId="77777777" w:rsidR="007B5BA4" w:rsidRDefault="00086082" w:rsidP="00A84760">
            <w:pPr>
              <w:autoSpaceDE w:val="0"/>
              <w:autoSpaceDN w:val="0"/>
              <w:adjustRightInd w:val="0"/>
              <w:spacing w:line="360" w:lineRule="auto"/>
              <w:jc w:val="both"/>
              <w:rPr>
                <w:rStyle w:val="Hipervnculo"/>
                <w:rFonts w:ascii="Palatino Linotype" w:hAnsi="Palatino Linotype"/>
              </w:rPr>
            </w:pPr>
            <w:hyperlink r:id="rId30" w:history="1">
              <w:r w:rsidR="007B5BA4" w:rsidRPr="00E37169">
                <w:rPr>
                  <w:rStyle w:val="Hipervnculo"/>
                  <w:rFonts w:ascii="Palatino Linotype" w:hAnsi="Palatino Linotype"/>
                </w:rPr>
                <w:t>https://legislacion.edomex.gob.mx/sites/legislacion.edomex.gob.mx/files/files/pdf/gct/2015/jul063.pdf</w:t>
              </w:r>
            </w:hyperlink>
          </w:p>
          <w:p w14:paraId="38C71EBA" w14:textId="6BE841B6" w:rsidR="004A761F" w:rsidRDefault="004A761F" w:rsidP="00A84760">
            <w:pPr>
              <w:autoSpaceDE w:val="0"/>
              <w:autoSpaceDN w:val="0"/>
              <w:adjustRightInd w:val="0"/>
              <w:spacing w:line="360" w:lineRule="auto"/>
              <w:jc w:val="both"/>
              <w:rPr>
                <w:rFonts w:ascii="Palatino Linotype" w:hAnsi="Palatino Linotype" w:cs="Arial"/>
              </w:rPr>
            </w:pPr>
          </w:p>
        </w:tc>
        <w:tc>
          <w:tcPr>
            <w:tcW w:w="3646" w:type="dxa"/>
            <w:vAlign w:val="center"/>
          </w:tcPr>
          <w:p w14:paraId="49F2A242" w14:textId="38AF2B68" w:rsidR="00535624" w:rsidRPr="00B62BB1" w:rsidRDefault="00B62BB1" w:rsidP="00987879">
            <w:pPr>
              <w:autoSpaceDE w:val="0"/>
              <w:autoSpaceDN w:val="0"/>
              <w:adjustRightInd w:val="0"/>
              <w:spacing w:line="360" w:lineRule="auto"/>
              <w:jc w:val="center"/>
              <w:rPr>
                <w:rFonts w:ascii="Palatino Linotype" w:hAnsi="Palatino Linotype" w:cs="Arial"/>
              </w:rPr>
            </w:pPr>
            <w:r w:rsidRPr="00B62BB1">
              <w:rPr>
                <w:rFonts w:ascii="Palatino Linotype" w:hAnsi="Palatino Linotype" w:cs="Arial"/>
              </w:rPr>
              <w:t>Sin resultados en el Periódico Oficial “Gaceta del Gobierno”</w:t>
            </w:r>
          </w:p>
        </w:tc>
      </w:tr>
      <w:tr w:rsidR="00535624" w14:paraId="2ED2FCAF" w14:textId="017C733F" w:rsidTr="00B209AD">
        <w:trPr>
          <w:trHeight w:val="878"/>
        </w:trPr>
        <w:tc>
          <w:tcPr>
            <w:tcW w:w="2117" w:type="dxa"/>
            <w:vAlign w:val="center"/>
          </w:tcPr>
          <w:p w14:paraId="2FDCFD8C" w14:textId="17523C17" w:rsidR="00535624" w:rsidRPr="00B209AD" w:rsidRDefault="00535624" w:rsidP="00B209AD">
            <w:pPr>
              <w:autoSpaceDE w:val="0"/>
              <w:autoSpaceDN w:val="0"/>
              <w:adjustRightInd w:val="0"/>
              <w:spacing w:line="360" w:lineRule="auto"/>
              <w:jc w:val="center"/>
              <w:rPr>
                <w:rFonts w:ascii="Palatino Linotype" w:hAnsi="Palatino Linotype" w:cs="Arial"/>
                <w:b/>
              </w:rPr>
            </w:pPr>
            <w:r w:rsidRPr="00B209AD">
              <w:rPr>
                <w:rFonts w:ascii="Palatino Linotype" w:hAnsi="Palatino Linotype" w:cs="Arial"/>
                <w:b/>
              </w:rPr>
              <w:t>Luis Gustavo Parra Noriega</w:t>
            </w:r>
          </w:p>
        </w:tc>
        <w:tc>
          <w:tcPr>
            <w:tcW w:w="3827" w:type="dxa"/>
          </w:tcPr>
          <w:p w14:paraId="0B6C3C91" w14:textId="77777777" w:rsidR="00535624" w:rsidRDefault="00987879" w:rsidP="00A84760">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Decreto número </w:t>
            </w:r>
            <w:r w:rsidR="004A761F">
              <w:rPr>
                <w:rFonts w:ascii="Palatino Linotype" w:hAnsi="Palatino Linotype" w:cs="Arial"/>
              </w:rPr>
              <w:t xml:space="preserve">trescientos treinta y cuatro, de fecha treinta y uno de agosto de dos mil dieciocho: </w:t>
            </w:r>
          </w:p>
          <w:p w14:paraId="31711AD3" w14:textId="77777777" w:rsidR="004A761F" w:rsidRDefault="004A761F" w:rsidP="00A84760">
            <w:pPr>
              <w:autoSpaceDE w:val="0"/>
              <w:autoSpaceDN w:val="0"/>
              <w:adjustRightInd w:val="0"/>
              <w:spacing w:line="360" w:lineRule="auto"/>
              <w:jc w:val="both"/>
              <w:rPr>
                <w:rFonts w:ascii="Palatino Linotype" w:hAnsi="Palatino Linotype" w:cs="Arial"/>
              </w:rPr>
            </w:pPr>
          </w:p>
          <w:p w14:paraId="5B1ECE51" w14:textId="3A00CA16" w:rsidR="004A761F" w:rsidRDefault="004A761F" w:rsidP="00A84760">
            <w:pPr>
              <w:autoSpaceDE w:val="0"/>
              <w:autoSpaceDN w:val="0"/>
              <w:adjustRightInd w:val="0"/>
              <w:spacing w:line="360" w:lineRule="auto"/>
              <w:jc w:val="both"/>
              <w:rPr>
                <w:rFonts w:ascii="Palatino Linotype" w:hAnsi="Palatino Linotype" w:cs="Arial"/>
              </w:rPr>
            </w:pPr>
            <w:r>
              <w:object w:dxaOrig="16800" w:dyaOrig="6000" w14:anchorId="51B5E98E">
                <v:shape id="_x0000_i1032" type="#_x0000_t75" style="width:179.6pt;height:97pt" o:ole="" o:bordertopcolor="this" o:borderleftcolor="this" o:borderbottomcolor="this" o:borderrightcolor="this">
                  <v:imagedata r:id="rId31" o:title=""/>
                  <w10:bordertop type="single" width="8"/>
                  <w10:borderleft type="single" width="8"/>
                  <w10:borderbottom type="single" width="8"/>
                  <w10:borderright type="single" width="8"/>
                </v:shape>
                <o:OLEObject Type="Embed" ProgID="PBrush" ShapeID="_x0000_i1032" DrawAspect="Content" ObjectID="_1697558399" r:id="rId32"/>
              </w:object>
            </w:r>
            <w:r>
              <w:rPr>
                <w:noProof/>
                <w:lang w:eastAsia="es-MX"/>
              </w:rPr>
              <w:t xml:space="preserve"> </w:t>
            </w:r>
          </w:p>
          <w:p w14:paraId="37DC3415" w14:textId="77777777" w:rsidR="004A761F" w:rsidRDefault="004A761F" w:rsidP="00A84760">
            <w:pPr>
              <w:autoSpaceDE w:val="0"/>
              <w:autoSpaceDN w:val="0"/>
              <w:adjustRightInd w:val="0"/>
              <w:spacing w:line="360" w:lineRule="auto"/>
              <w:jc w:val="both"/>
              <w:rPr>
                <w:rFonts w:ascii="Palatino Linotype" w:hAnsi="Palatino Linotype" w:cs="Arial"/>
              </w:rPr>
            </w:pPr>
          </w:p>
          <w:p w14:paraId="4B5570C1" w14:textId="0A46436F" w:rsidR="004A761F" w:rsidRDefault="004A761F" w:rsidP="00A84760">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Susceptible de ser consultado en la siguiente dirección electrónica: </w:t>
            </w:r>
          </w:p>
          <w:p w14:paraId="4495BDA9" w14:textId="703385A1" w:rsidR="004A761F" w:rsidRDefault="00086082" w:rsidP="00A84760">
            <w:pPr>
              <w:autoSpaceDE w:val="0"/>
              <w:autoSpaceDN w:val="0"/>
              <w:adjustRightInd w:val="0"/>
              <w:spacing w:line="360" w:lineRule="auto"/>
              <w:jc w:val="both"/>
              <w:rPr>
                <w:rFonts w:ascii="Palatino Linotype" w:hAnsi="Palatino Linotype" w:cs="Arial"/>
              </w:rPr>
            </w:pPr>
            <w:hyperlink r:id="rId33" w:history="1">
              <w:r w:rsidR="004A761F" w:rsidRPr="00D662C8">
                <w:rPr>
                  <w:rStyle w:val="Hipervnculo"/>
                  <w:rFonts w:ascii="Palatino Linotype" w:hAnsi="Palatino Linotype" w:cs="Arial"/>
                </w:rPr>
                <w:t>http://legislacion.edomex.gob.mx/sites/legislacion.edomex.gob.mx/files/files/pdf/gct/2018/ago319.pdf</w:t>
              </w:r>
            </w:hyperlink>
            <w:r w:rsidR="004A761F">
              <w:rPr>
                <w:rFonts w:ascii="Palatino Linotype" w:hAnsi="Palatino Linotype" w:cs="Arial"/>
              </w:rPr>
              <w:t xml:space="preserve"> </w:t>
            </w:r>
          </w:p>
          <w:p w14:paraId="4BF7BF92" w14:textId="59CC3DD0" w:rsidR="004A761F" w:rsidRDefault="004A761F" w:rsidP="00A84760">
            <w:pPr>
              <w:autoSpaceDE w:val="0"/>
              <w:autoSpaceDN w:val="0"/>
              <w:adjustRightInd w:val="0"/>
              <w:spacing w:line="360" w:lineRule="auto"/>
              <w:jc w:val="both"/>
              <w:rPr>
                <w:rFonts w:ascii="Palatino Linotype" w:hAnsi="Palatino Linotype" w:cs="Arial"/>
              </w:rPr>
            </w:pPr>
          </w:p>
        </w:tc>
        <w:tc>
          <w:tcPr>
            <w:tcW w:w="3646" w:type="dxa"/>
            <w:vAlign w:val="center"/>
          </w:tcPr>
          <w:p w14:paraId="7A7D2A76" w14:textId="7F4B965F" w:rsidR="00535624" w:rsidRDefault="00B62BB1" w:rsidP="004A761F">
            <w:pPr>
              <w:autoSpaceDE w:val="0"/>
              <w:autoSpaceDN w:val="0"/>
              <w:adjustRightInd w:val="0"/>
              <w:spacing w:line="360" w:lineRule="auto"/>
              <w:jc w:val="center"/>
              <w:rPr>
                <w:rFonts w:ascii="Palatino Linotype" w:hAnsi="Palatino Linotype" w:cs="Arial"/>
              </w:rPr>
            </w:pPr>
            <w:r w:rsidRPr="00B62BB1">
              <w:rPr>
                <w:rFonts w:ascii="Palatino Linotype" w:hAnsi="Palatino Linotype" w:cs="Arial"/>
              </w:rPr>
              <w:lastRenderedPageBreak/>
              <w:t>Sin resultados en el Periódico Oficial “Gaceta del Gobierno</w:t>
            </w:r>
          </w:p>
        </w:tc>
      </w:tr>
    </w:tbl>
    <w:p w14:paraId="0C9061B6" w14:textId="3F99C90C" w:rsidR="009F09FA" w:rsidRDefault="009F09FA" w:rsidP="00A84760">
      <w:pPr>
        <w:autoSpaceDE w:val="0"/>
        <w:autoSpaceDN w:val="0"/>
        <w:adjustRightInd w:val="0"/>
        <w:spacing w:line="360" w:lineRule="auto"/>
        <w:jc w:val="both"/>
        <w:rPr>
          <w:rFonts w:ascii="Palatino Linotype" w:hAnsi="Palatino Linotype" w:cs="Arial"/>
        </w:rPr>
      </w:pPr>
    </w:p>
    <w:p w14:paraId="3553F9E5" w14:textId="7E90BB94" w:rsidR="00B209AD" w:rsidRDefault="00ED1D32" w:rsidP="00A84760">
      <w:pPr>
        <w:autoSpaceDE w:val="0"/>
        <w:autoSpaceDN w:val="0"/>
        <w:adjustRightInd w:val="0"/>
        <w:spacing w:line="360" w:lineRule="auto"/>
        <w:jc w:val="both"/>
        <w:rPr>
          <w:rFonts w:ascii="Palatino Linotype" w:hAnsi="Palatino Linotype" w:cs="Arial"/>
          <w:sz w:val="24"/>
          <w:szCs w:val="24"/>
        </w:rPr>
      </w:pPr>
      <w:r w:rsidRPr="00ED1D32">
        <w:rPr>
          <w:rFonts w:ascii="Palatino Linotype" w:hAnsi="Palatino Linotype" w:cs="Arial"/>
          <w:sz w:val="24"/>
          <w:szCs w:val="24"/>
        </w:rPr>
        <w:t>Luego entonces</w:t>
      </w:r>
      <w:r w:rsidR="004A761F" w:rsidRPr="00ED1D32">
        <w:rPr>
          <w:rFonts w:ascii="Palatino Linotype" w:hAnsi="Palatino Linotype" w:cs="Arial"/>
          <w:sz w:val="24"/>
          <w:szCs w:val="24"/>
        </w:rPr>
        <w:t xml:space="preserve">, en el caso en </w:t>
      </w:r>
      <w:r w:rsidR="00454CE5" w:rsidRPr="00ED1D32">
        <w:rPr>
          <w:rFonts w:ascii="Palatino Linotype" w:hAnsi="Palatino Linotype" w:cs="Arial"/>
          <w:sz w:val="24"/>
          <w:szCs w:val="24"/>
        </w:rPr>
        <w:t>concreto</w:t>
      </w:r>
      <w:r w:rsidR="004A761F" w:rsidRPr="00ED1D32">
        <w:rPr>
          <w:rFonts w:ascii="Palatino Linotype" w:hAnsi="Palatino Linotype" w:cs="Arial"/>
          <w:sz w:val="24"/>
          <w:szCs w:val="24"/>
        </w:rPr>
        <w:t xml:space="preserve"> la fecha del nombramiento de los comisionados y comisionadas cobra particular relevancia, ya que el procedimiento para su </w:t>
      </w:r>
      <w:r w:rsidR="007C3526">
        <w:rPr>
          <w:rFonts w:ascii="Palatino Linotype" w:hAnsi="Palatino Linotype" w:cs="Arial"/>
          <w:sz w:val="24"/>
          <w:szCs w:val="24"/>
        </w:rPr>
        <w:t>nombramiento</w:t>
      </w:r>
      <w:r w:rsidR="004A761F" w:rsidRPr="00ED1D32">
        <w:rPr>
          <w:rFonts w:ascii="Palatino Linotype" w:hAnsi="Palatino Linotype" w:cs="Arial"/>
          <w:sz w:val="24"/>
          <w:szCs w:val="24"/>
        </w:rPr>
        <w:t xml:space="preserve"> debió de atender a la </w:t>
      </w:r>
      <w:r w:rsidR="00B209AD">
        <w:rPr>
          <w:rFonts w:ascii="Palatino Linotype" w:hAnsi="Palatino Linotype" w:cs="Arial"/>
          <w:sz w:val="24"/>
          <w:szCs w:val="24"/>
        </w:rPr>
        <w:t xml:space="preserve">normatividad vigente al momento de su designación. </w:t>
      </w:r>
      <w:r>
        <w:rPr>
          <w:rFonts w:ascii="Palatino Linotype" w:hAnsi="Palatino Linotype" w:cs="Arial"/>
          <w:sz w:val="24"/>
          <w:szCs w:val="24"/>
        </w:rPr>
        <w:t xml:space="preserve">En virtud de lo anterior, </w:t>
      </w:r>
      <w:r w:rsidR="00B209AD">
        <w:rPr>
          <w:rFonts w:ascii="Palatino Linotype" w:hAnsi="Palatino Linotype" w:cs="Arial"/>
          <w:sz w:val="24"/>
          <w:szCs w:val="24"/>
        </w:rPr>
        <w:t xml:space="preserve">resulta oportuno delimitar las fronteras conceptuales y alcances de los ámbitos </w:t>
      </w:r>
      <w:r w:rsidR="00470241">
        <w:rPr>
          <w:rFonts w:ascii="Palatino Linotype" w:hAnsi="Palatino Linotype" w:cs="Arial"/>
          <w:sz w:val="24"/>
          <w:szCs w:val="24"/>
        </w:rPr>
        <w:t>de validez de las normas jurídicas.</w:t>
      </w:r>
    </w:p>
    <w:p w14:paraId="5B214482" w14:textId="77777777" w:rsidR="00B209AD" w:rsidRDefault="00B209AD" w:rsidP="00A84760">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Para tal efecto, es necesario partir </w:t>
      </w:r>
      <w:r w:rsidR="00ED1D32">
        <w:rPr>
          <w:rFonts w:ascii="Palatino Linotype" w:hAnsi="Palatino Linotype" w:cs="Arial"/>
          <w:sz w:val="24"/>
          <w:szCs w:val="24"/>
        </w:rPr>
        <w:t>desde una perspectiva etimológica</w:t>
      </w:r>
      <w:r>
        <w:rPr>
          <w:rFonts w:ascii="Palatino Linotype" w:hAnsi="Palatino Linotype" w:cs="Arial"/>
          <w:sz w:val="24"/>
          <w:szCs w:val="24"/>
        </w:rPr>
        <w:t>, destacando que</w:t>
      </w:r>
      <w:r w:rsidR="00ED1D32">
        <w:rPr>
          <w:rFonts w:ascii="Palatino Linotype" w:hAnsi="Palatino Linotype" w:cs="Arial"/>
          <w:sz w:val="24"/>
          <w:szCs w:val="24"/>
        </w:rPr>
        <w:t xml:space="preserve"> la palabra </w:t>
      </w:r>
      <w:r w:rsidR="00ED1D32" w:rsidRPr="00ED1D32">
        <w:rPr>
          <w:rFonts w:ascii="Palatino Linotype" w:hAnsi="Palatino Linotype" w:cs="Arial"/>
          <w:b/>
          <w:sz w:val="24"/>
          <w:szCs w:val="24"/>
        </w:rPr>
        <w:t>validez</w:t>
      </w:r>
      <w:r w:rsidR="00ED1D32">
        <w:rPr>
          <w:rFonts w:ascii="Palatino Linotype" w:hAnsi="Palatino Linotype" w:cs="Arial"/>
          <w:sz w:val="24"/>
          <w:szCs w:val="24"/>
        </w:rPr>
        <w:t xml:space="preserve"> proviene del latín </w:t>
      </w:r>
      <w:proofErr w:type="spellStart"/>
      <w:r w:rsidR="00ED1D32" w:rsidRPr="00ED1D32">
        <w:rPr>
          <w:rFonts w:ascii="Palatino Linotype" w:hAnsi="Palatino Linotype" w:cs="Arial"/>
          <w:b/>
          <w:i/>
          <w:sz w:val="24"/>
          <w:szCs w:val="24"/>
        </w:rPr>
        <w:t>v</w:t>
      </w:r>
      <w:r w:rsidR="00ED1D32">
        <w:rPr>
          <w:rFonts w:ascii="Palatino Linotype" w:hAnsi="Palatino Linotype" w:cs="Arial"/>
          <w:b/>
          <w:i/>
          <w:sz w:val="24"/>
          <w:szCs w:val="24"/>
        </w:rPr>
        <w:t>alidus</w:t>
      </w:r>
      <w:proofErr w:type="spellEnd"/>
      <w:r w:rsidR="00ED1D32">
        <w:rPr>
          <w:rFonts w:ascii="Palatino Linotype" w:hAnsi="Palatino Linotype" w:cs="Arial"/>
          <w:b/>
          <w:i/>
          <w:sz w:val="24"/>
          <w:szCs w:val="24"/>
        </w:rPr>
        <w:t xml:space="preserve"> </w:t>
      </w:r>
      <w:r w:rsidR="00ED1D32">
        <w:rPr>
          <w:rFonts w:ascii="Palatino Linotype" w:hAnsi="Palatino Linotype" w:cs="Arial"/>
          <w:sz w:val="24"/>
          <w:szCs w:val="24"/>
        </w:rPr>
        <w:t xml:space="preserve">(fuerte, sólido, resistente y firme) y el sufijo </w:t>
      </w:r>
      <w:proofErr w:type="spellStart"/>
      <w:r w:rsidR="00ED1D32">
        <w:rPr>
          <w:rFonts w:ascii="Palatino Linotype" w:hAnsi="Palatino Linotype" w:cs="Arial"/>
          <w:b/>
          <w:i/>
          <w:sz w:val="24"/>
          <w:szCs w:val="24"/>
        </w:rPr>
        <w:t>ez</w:t>
      </w:r>
      <w:proofErr w:type="spellEnd"/>
      <w:r w:rsidR="00ED1D32">
        <w:rPr>
          <w:rFonts w:ascii="Palatino Linotype" w:hAnsi="Palatino Linotype" w:cs="Arial"/>
          <w:b/>
          <w:i/>
          <w:sz w:val="24"/>
          <w:szCs w:val="24"/>
        </w:rPr>
        <w:t xml:space="preserve"> </w:t>
      </w:r>
      <w:r w:rsidR="00ED1D32">
        <w:rPr>
          <w:rFonts w:ascii="Palatino Linotype" w:hAnsi="Palatino Linotype" w:cs="Arial"/>
          <w:sz w:val="24"/>
          <w:szCs w:val="24"/>
        </w:rPr>
        <w:t xml:space="preserve">(abstractos de cualidad). </w:t>
      </w:r>
    </w:p>
    <w:p w14:paraId="3B1BBF02" w14:textId="0410A11F" w:rsidR="00ED1D32" w:rsidRPr="00ED1D32" w:rsidRDefault="00B209AD" w:rsidP="00A84760">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Por su parte</w:t>
      </w:r>
      <w:r w:rsidR="00ED1D32">
        <w:rPr>
          <w:rFonts w:ascii="Palatino Linotype" w:hAnsi="Palatino Linotype" w:cs="Arial"/>
          <w:sz w:val="24"/>
          <w:szCs w:val="24"/>
        </w:rPr>
        <w:t xml:space="preserve">, la Real Academia Española define </w:t>
      </w:r>
      <w:r>
        <w:rPr>
          <w:rFonts w:ascii="Palatino Linotype" w:hAnsi="Palatino Linotype" w:cs="Arial"/>
          <w:sz w:val="24"/>
          <w:szCs w:val="24"/>
        </w:rPr>
        <w:t xml:space="preserve">la palabra </w:t>
      </w:r>
      <w:r>
        <w:rPr>
          <w:rFonts w:ascii="Palatino Linotype" w:hAnsi="Palatino Linotype" w:cs="Arial"/>
          <w:b/>
          <w:sz w:val="24"/>
          <w:szCs w:val="24"/>
        </w:rPr>
        <w:t xml:space="preserve">validez </w:t>
      </w:r>
      <w:r>
        <w:rPr>
          <w:rFonts w:ascii="Palatino Linotype" w:hAnsi="Palatino Linotype" w:cs="Arial"/>
          <w:sz w:val="24"/>
          <w:szCs w:val="24"/>
        </w:rPr>
        <w:t>en los siguientes términos:</w:t>
      </w:r>
      <w:r w:rsidR="00ED1D32">
        <w:rPr>
          <w:rFonts w:ascii="Palatino Linotype" w:hAnsi="Palatino Linotype" w:cs="Arial"/>
          <w:sz w:val="24"/>
          <w:szCs w:val="24"/>
        </w:rPr>
        <w:t xml:space="preserve"> </w:t>
      </w:r>
    </w:p>
    <w:p w14:paraId="5F4C87AC" w14:textId="2B3800D5" w:rsidR="00ED1D32" w:rsidRDefault="00ED1D32" w:rsidP="00ED1D32">
      <w:pPr>
        <w:pStyle w:val="Citas"/>
      </w:pPr>
      <w:r w:rsidRPr="007D545A">
        <w:t xml:space="preserve">“1. </w:t>
      </w:r>
      <w:r>
        <w:t xml:space="preserve">Firme, subsistente y que vale o debe valer legalmente. </w:t>
      </w:r>
    </w:p>
    <w:p w14:paraId="3A60B622" w14:textId="251B1D79" w:rsidR="00ED1D32" w:rsidRDefault="00ED1D32" w:rsidP="00ED1D32">
      <w:pPr>
        <w:pStyle w:val="Citas"/>
      </w:pPr>
      <w:r>
        <w:lastRenderedPageBreak/>
        <w:t>2. Aceptable.</w:t>
      </w:r>
    </w:p>
    <w:p w14:paraId="1EC6B191" w14:textId="5DD73BB9" w:rsidR="00ED1D32" w:rsidRDefault="00ED1D32" w:rsidP="00ED1D32">
      <w:pPr>
        <w:pStyle w:val="Citas"/>
      </w:pPr>
      <w:r>
        <w:t>3. Dicho de una persona anciana: Que puede valerse por sí misma.</w:t>
      </w:r>
    </w:p>
    <w:p w14:paraId="1C4668B3" w14:textId="4E1FE39A" w:rsidR="00ED1D32" w:rsidRDefault="00ED1D32" w:rsidP="00ED1D32">
      <w:pPr>
        <w:pStyle w:val="Citas"/>
        <w:rPr>
          <w:b/>
        </w:rPr>
      </w:pPr>
      <w:r>
        <w:t xml:space="preserve">4. Robusto, fuerte o esforzado” </w:t>
      </w:r>
      <w:r>
        <w:rPr>
          <w:b/>
        </w:rPr>
        <w:t xml:space="preserve">[Sic] </w:t>
      </w:r>
    </w:p>
    <w:p w14:paraId="0D01D3A5" w14:textId="77777777" w:rsidR="00B209AD" w:rsidRPr="00ED1D32" w:rsidRDefault="00B209AD" w:rsidP="00ED1D32">
      <w:pPr>
        <w:pStyle w:val="Citas"/>
        <w:rPr>
          <w:b/>
        </w:rPr>
      </w:pPr>
    </w:p>
    <w:p w14:paraId="6D8D01F9" w14:textId="37D84B87" w:rsidR="00E34C64" w:rsidRPr="00995FAD" w:rsidRDefault="00470241" w:rsidP="00E34C6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Asimismo</w:t>
      </w:r>
      <w:r w:rsidR="00E34C64" w:rsidRPr="00995FAD">
        <w:rPr>
          <w:rFonts w:ascii="Palatino Linotype" w:hAnsi="Palatino Linotype" w:cs="Arial"/>
        </w:rPr>
        <w:t xml:space="preserve">, Rafael de Pina (2013) en su obra </w:t>
      </w:r>
      <w:r w:rsidR="00E34C64" w:rsidRPr="00995FAD">
        <w:rPr>
          <w:rFonts w:ascii="Palatino Linotype" w:hAnsi="Palatino Linotype" w:cs="Arial"/>
          <w:i/>
        </w:rPr>
        <w:t xml:space="preserve">“Diccionario de Derecho” </w:t>
      </w:r>
      <w:r w:rsidR="00E34C64" w:rsidRPr="00995FAD">
        <w:rPr>
          <w:rFonts w:ascii="Palatino Linotype" w:hAnsi="Palatino Linotype" w:cs="Arial"/>
        </w:rPr>
        <w:t xml:space="preserve">delimita </w:t>
      </w:r>
      <w:r w:rsidR="00B209AD">
        <w:rPr>
          <w:rFonts w:ascii="Palatino Linotype" w:hAnsi="Palatino Linotype" w:cs="Arial"/>
        </w:rPr>
        <w:t>los alcances</w:t>
      </w:r>
      <w:r w:rsidR="00E34C64" w:rsidRPr="00995FAD">
        <w:rPr>
          <w:rFonts w:ascii="Palatino Linotype" w:hAnsi="Palatino Linotype" w:cs="Arial"/>
        </w:rPr>
        <w:t xml:space="preserve"> </w:t>
      </w:r>
      <w:r w:rsidR="00B209AD">
        <w:rPr>
          <w:rFonts w:ascii="Palatino Linotype" w:hAnsi="Palatino Linotype" w:cs="Arial"/>
        </w:rPr>
        <w:t xml:space="preserve">jurídicos </w:t>
      </w:r>
      <w:r w:rsidR="00E34C64" w:rsidRPr="00995FAD">
        <w:rPr>
          <w:rFonts w:ascii="Palatino Linotype" w:hAnsi="Palatino Linotype" w:cs="Arial"/>
        </w:rPr>
        <w:t xml:space="preserve">de la palabra </w:t>
      </w:r>
      <w:r w:rsidR="00E34C64" w:rsidRPr="00995FAD">
        <w:rPr>
          <w:rFonts w:ascii="Palatino Linotype" w:hAnsi="Palatino Linotype" w:cs="Arial"/>
          <w:b/>
          <w:i/>
        </w:rPr>
        <w:t xml:space="preserve">validez </w:t>
      </w:r>
      <w:r w:rsidR="00B209AD">
        <w:rPr>
          <w:rFonts w:ascii="Palatino Linotype" w:hAnsi="Palatino Linotype" w:cs="Arial"/>
        </w:rPr>
        <w:t>al definirla como la:</w:t>
      </w:r>
      <w:r w:rsidR="00E34C64" w:rsidRPr="00995FAD">
        <w:rPr>
          <w:rFonts w:ascii="Palatino Linotype" w:hAnsi="Palatino Linotype" w:cs="Arial"/>
        </w:rPr>
        <w:t xml:space="preserve"> </w:t>
      </w:r>
    </w:p>
    <w:p w14:paraId="41E10F6B" w14:textId="1A861141" w:rsidR="004A761F" w:rsidRPr="00E34C64" w:rsidRDefault="00E34C64" w:rsidP="00E34C64">
      <w:pPr>
        <w:pStyle w:val="Citas"/>
        <w:rPr>
          <w:b/>
        </w:rPr>
      </w:pPr>
      <w:r>
        <w:t xml:space="preserve">“Calidad del acto jurídico que no se halla afectado por vicio alguno y que, por lo tanto, es idóneo para surtir sus efectos característicos” </w:t>
      </w:r>
      <w:r>
        <w:rPr>
          <w:b/>
        </w:rPr>
        <w:t>[Sic]</w:t>
      </w:r>
    </w:p>
    <w:p w14:paraId="721957BB" w14:textId="77777777" w:rsidR="004A761F" w:rsidRDefault="004A761F" w:rsidP="00A84760">
      <w:pPr>
        <w:autoSpaceDE w:val="0"/>
        <w:autoSpaceDN w:val="0"/>
        <w:adjustRightInd w:val="0"/>
        <w:spacing w:line="360" w:lineRule="auto"/>
        <w:jc w:val="both"/>
        <w:rPr>
          <w:rFonts w:ascii="Palatino Linotype" w:hAnsi="Palatino Linotype" w:cs="Arial"/>
        </w:rPr>
      </w:pPr>
    </w:p>
    <w:p w14:paraId="54308650" w14:textId="3D434819" w:rsidR="00E34C64" w:rsidRPr="00995FAD" w:rsidRDefault="00995FAD" w:rsidP="00A84760">
      <w:pPr>
        <w:autoSpaceDE w:val="0"/>
        <w:autoSpaceDN w:val="0"/>
        <w:adjustRightInd w:val="0"/>
        <w:spacing w:line="360" w:lineRule="auto"/>
        <w:jc w:val="both"/>
        <w:rPr>
          <w:rFonts w:ascii="Palatino Linotype" w:hAnsi="Palatino Linotype" w:cs="Arial"/>
          <w:sz w:val="24"/>
          <w:szCs w:val="24"/>
        </w:rPr>
      </w:pPr>
      <w:r w:rsidRPr="00995FAD">
        <w:rPr>
          <w:rFonts w:ascii="Palatino Linotype" w:hAnsi="Palatino Linotype" w:cs="Arial"/>
          <w:sz w:val="24"/>
          <w:szCs w:val="24"/>
        </w:rPr>
        <w:t>De esta manera</w:t>
      </w:r>
      <w:r w:rsidR="00E34C64" w:rsidRPr="00995FAD">
        <w:rPr>
          <w:rFonts w:ascii="Palatino Linotype" w:hAnsi="Palatino Linotype" w:cs="Arial"/>
          <w:sz w:val="24"/>
          <w:szCs w:val="24"/>
        </w:rPr>
        <w:t xml:space="preserve">, es menester señalar que </w:t>
      </w:r>
      <w:r w:rsidR="00470241">
        <w:rPr>
          <w:rFonts w:ascii="Palatino Linotype" w:hAnsi="Palatino Linotype" w:cs="Arial"/>
          <w:sz w:val="24"/>
          <w:szCs w:val="24"/>
        </w:rPr>
        <w:t>acorde con</w:t>
      </w:r>
      <w:r w:rsidR="00E34C64" w:rsidRPr="00995FAD">
        <w:rPr>
          <w:rFonts w:ascii="Palatino Linotype" w:hAnsi="Palatino Linotype" w:cs="Arial"/>
          <w:sz w:val="24"/>
          <w:szCs w:val="24"/>
        </w:rPr>
        <w:t xml:space="preserve"> </w:t>
      </w:r>
      <w:r w:rsidR="00B209AD">
        <w:rPr>
          <w:rFonts w:ascii="Palatino Linotype" w:hAnsi="Palatino Linotype" w:cs="Arial"/>
          <w:sz w:val="24"/>
          <w:szCs w:val="24"/>
        </w:rPr>
        <w:t xml:space="preserve">la corriente doctrinal de </w:t>
      </w:r>
      <w:r w:rsidR="00E34C64" w:rsidRPr="00995FAD">
        <w:rPr>
          <w:rFonts w:ascii="Palatino Linotype" w:hAnsi="Palatino Linotype" w:cs="Arial"/>
          <w:sz w:val="24"/>
          <w:szCs w:val="24"/>
        </w:rPr>
        <w:t xml:space="preserve">Hans Kelsen (1943) en su obra </w:t>
      </w:r>
      <w:r w:rsidR="00E34C64" w:rsidRPr="00995FAD">
        <w:rPr>
          <w:rFonts w:ascii="Palatino Linotype" w:hAnsi="Palatino Linotype" w:cs="Arial"/>
          <w:i/>
          <w:sz w:val="24"/>
          <w:szCs w:val="24"/>
        </w:rPr>
        <w:t xml:space="preserve">“El Contrato y el Tratado” </w:t>
      </w:r>
      <w:r w:rsidR="00E34C64" w:rsidRPr="00995FAD">
        <w:rPr>
          <w:rFonts w:ascii="Palatino Linotype" w:hAnsi="Palatino Linotype" w:cs="Arial"/>
          <w:sz w:val="24"/>
          <w:szCs w:val="24"/>
        </w:rPr>
        <w:t xml:space="preserve">los ámbitos de validez de las normas deben de ser considerados desde cuatro puntos de vista: </w:t>
      </w:r>
    </w:p>
    <w:p w14:paraId="7C63F748" w14:textId="3A5CE8F0" w:rsidR="00E34C64" w:rsidRDefault="00E34C64" w:rsidP="009D605B">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Ámbito de validez espacial: Es la porción del espacio e</w:t>
      </w:r>
      <w:r w:rsidR="00995FAD">
        <w:rPr>
          <w:rFonts w:ascii="Palatino Linotype" w:hAnsi="Palatino Linotype" w:cs="Arial"/>
        </w:rPr>
        <w:t xml:space="preserve">n que un precepto es aplicable. </w:t>
      </w:r>
    </w:p>
    <w:p w14:paraId="0D757052" w14:textId="57E0D816" w:rsidR="00E34C64" w:rsidRDefault="00E34C64" w:rsidP="009D605B">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Ámbito de validez material: Alude a la materia que la norma regula. </w:t>
      </w:r>
    </w:p>
    <w:p w14:paraId="373DE3E2" w14:textId="7382743E" w:rsidR="00E34C64" w:rsidRDefault="00E34C64" w:rsidP="009D605B">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Ámbito de validez personal: Se refiere al sujeto o sujetos a quienes la norma obliga. </w:t>
      </w:r>
    </w:p>
    <w:p w14:paraId="78FDB330" w14:textId="33398E64" w:rsidR="00E34C64" w:rsidRPr="00995FAD" w:rsidRDefault="00E34C64" w:rsidP="009D605B">
      <w:pPr>
        <w:pStyle w:val="Prrafodelista"/>
        <w:numPr>
          <w:ilvl w:val="0"/>
          <w:numId w:val="3"/>
        </w:numPr>
        <w:autoSpaceDE w:val="0"/>
        <w:autoSpaceDN w:val="0"/>
        <w:adjustRightInd w:val="0"/>
        <w:spacing w:line="360" w:lineRule="auto"/>
        <w:jc w:val="both"/>
        <w:rPr>
          <w:rFonts w:ascii="Palatino Linotype" w:hAnsi="Palatino Linotype" w:cs="Arial"/>
          <w:b/>
          <w:u w:val="single"/>
        </w:rPr>
      </w:pPr>
      <w:r w:rsidRPr="00995FAD">
        <w:rPr>
          <w:rFonts w:ascii="Palatino Linotype" w:hAnsi="Palatino Linotype" w:cs="Arial"/>
          <w:b/>
          <w:u w:val="single"/>
        </w:rPr>
        <w:t xml:space="preserve">Ámbito de validez temporal: Está constituido por el lapso durante el cual </w:t>
      </w:r>
      <w:r w:rsidR="00995FAD" w:rsidRPr="00995FAD">
        <w:rPr>
          <w:rFonts w:ascii="Palatino Linotype" w:hAnsi="Palatino Linotype" w:cs="Arial"/>
          <w:b/>
          <w:u w:val="single"/>
        </w:rPr>
        <w:t xml:space="preserve">la norma conserva su vigencia. </w:t>
      </w:r>
      <w:r w:rsidRPr="00995FAD">
        <w:rPr>
          <w:rFonts w:ascii="Palatino Linotype" w:hAnsi="Palatino Linotype" w:cs="Arial"/>
          <w:b/>
          <w:u w:val="single"/>
        </w:rPr>
        <w:t xml:space="preserve"> </w:t>
      </w:r>
    </w:p>
    <w:p w14:paraId="504EA3AC" w14:textId="77777777" w:rsidR="00B209AD" w:rsidRDefault="00B209AD" w:rsidP="00A84760">
      <w:pPr>
        <w:autoSpaceDE w:val="0"/>
        <w:autoSpaceDN w:val="0"/>
        <w:adjustRightInd w:val="0"/>
        <w:spacing w:line="360" w:lineRule="auto"/>
        <w:jc w:val="both"/>
        <w:rPr>
          <w:rFonts w:ascii="Palatino Linotype" w:hAnsi="Palatino Linotype" w:cs="Arial"/>
          <w:sz w:val="24"/>
          <w:szCs w:val="24"/>
        </w:rPr>
      </w:pPr>
    </w:p>
    <w:p w14:paraId="2C167A29" w14:textId="47876959" w:rsidR="00074D57" w:rsidRDefault="00995FAD" w:rsidP="00A84760">
      <w:pPr>
        <w:autoSpaceDE w:val="0"/>
        <w:autoSpaceDN w:val="0"/>
        <w:adjustRightInd w:val="0"/>
        <w:spacing w:line="360" w:lineRule="auto"/>
        <w:jc w:val="both"/>
        <w:rPr>
          <w:rFonts w:ascii="Palatino Linotype" w:hAnsi="Palatino Linotype" w:cs="Arial"/>
          <w:sz w:val="24"/>
          <w:szCs w:val="24"/>
        </w:rPr>
      </w:pPr>
      <w:r w:rsidRPr="00995FAD">
        <w:rPr>
          <w:rFonts w:ascii="Palatino Linotype" w:hAnsi="Palatino Linotype" w:cs="Arial"/>
          <w:sz w:val="24"/>
          <w:szCs w:val="24"/>
        </w:rPr>
        <w:lastRenderedPageBreak/>
        <w:t xml:space="preserve">Una vez sentado lo anterior, con relación al </w:t>
      </w:r>
      <w:r>
        <w:rPr>
          <w:rFonts w:ascii="Palatino Linotype" w:hAnsi="Palatino Linotype" w:cs="Arial"/>
          <w:sz w:val="24"/>
          <w:szCs w:val="24"/>
        </w:rPr>
        <w:t xml:space="preserve">ámbito de validez temporal de la norma, es óbice destacar que </w:t>
      </w:r>
      <w:r w:rsidR="00074D57">
        <w:rPr>
          <w:rFonts w:ascii="Palatino Linotype" w:hAnsi="Palatino Linotype" w:cs="Arial"/>
          <w:sz w:val="24"/>
          <w:szCs w:val="24"/>
        </w:rPr>
        <w:t>los nombramientos de los Comisionados Eva Abaid Yapur, Zulema Martínez Sánchez</w:t>
      </w:r>
      <w:r w:rsidR="002B10D6">
        <w:rPr>
          <w:rFonts w:ascii="Palatino Linotype" w:hAnsi="Palatino Linotype" w:cs="Arial"/>
          <w:sz w:val="24"/>
          <w:szCs w:val="24"/>
        </w:rPr>
        <w:t xml:space="preserve"> y</w:t>
      </w:r>
      <w:r w:rsidR="00346D98">
        <w:rPr>
          <w:rFonts w:ascii="Palatino Linotype" w:hAnsi="Palatino Linotype" w:cs="Arial"/>
          <w:sz w:val="24"/>
          <w:szCs w:val="24"/>
        </w:rPr>
        <w:t xml:space="preserve"> Javier Martínez Cruz</w:t>
      </w:r>
      <w:r w:rsidR="00074D57">
        <w:rPr>
          <w:rFonts w:ascii="Palatino Linotype" w:hAnsi="Palatino Linotype" w:cs="Arial"/>
          <w:sz w:val="24"/>
          <w:szCs w:val="24"/>
        </w:rPr>
        <w:t xml:space="preserve"> debieron de atender lo dispuesto por </w:t>
      </w:r>
      <w:r w:rsidR="00346D98">
        <w:rPr>
          <w:rFonts w:ascii="Palatino Linotype" w:hAnsi="Palatino Linotype" w:cs="Arial"/>
          <w:sz w:val="24"/>
          <w:szCs w:val="24"/>
        </w:rPr>
        <w:t xml:space="preserve">el artículo 61 </w:t>
      </w:r>
      <w:r w:rsidR="00074D57">
        <w:rPr>
          <w:rFonts w:ascii="Palatino Linotype" w:hAnsi="Palatino Linotype" w:cs="Arial"/>
          <w:sz w:val="24"/>
          <w:szCs w:val="24"/>
        </w:rPr>
        <w:t>la Ley de Transparencia y Acceso a la Información Pública del Estado de México y Municipios, que se encontró vigente desde el uno de mayo de dos mil cuatro hasta el cuatro de mayo de dos mil dieciséis</w:t>
      </w:r>
      <w:r w:rsidR="00346D98">
        <w:rPr>
          <w:rFonts w:ascii="Palatino Linotype" w:hAnsi="Palatino Linotype" w:cs="Arial"/>
          <w:sz w:val="24"/>
          <w:szCs w:val="24"/>
        </w:rPr>
        <w:t xml:space="preserve">, </w:t>
      </w:r>
      <w:r w:rsidR="00C20935" w:rsidRPr="00C20935">
        <w:rPr>
          <w:rFonts w:ascii="Palatino Linotype" w:hAnsi="Palatino Linotype" w:cs="Arial"/>
          <w:b/>
          <w:sz w:val="24"/>
          <w:szCs w:val="24"/>
        </w:rPr>
        <w:t>-hoy abrogada-</w:t>
      </w:r>
      <w:r w:rsidR="00346D98">
        <w:rPr>
          <w:rFonts w:ascii="Palatino Linotype" w:hAnsi="Palatino Linotype" w:cs="Arial"/>
          <w:sz w:val="24"/>
          <w:szCs w:val="24"/>
        </w:rPr>
        <w:t xml:space="preserve"> porci</w:t>
      </w:r>
      <w:r w:rsidR="00C20935">
        <w:rPr>
          <w:rFonts w:ascii="Palatino Linotype" w:hAnsi="Palatino Linotype" w:cs="Arial"/>
          <w:sz w:val="24"/>
          <w:szCs w:val="24"/>
        </w:rPr>
        <w:t>ón normativa</w:t>
      </w:r>
      <w:r w:rsidR="00346D98">
        <w:rPr>
          <w:rFonts w:ascii="Palatino Linotype" w:hAnsi="Palatino Linotype" w:cs="Arial"/>
          <w:sz w:val="24"/>
          <w:szCs w:val="24"/>
        </w:rPr>
        <w:t xml:space="preserve"> en cita cuyo contenido literal </w:t>
      </w:r>
      <w:r w:rsidR="00C20935">
        <w:rPr>
          <w:rFonts w:ascii="Palatino Linotype" w:hAnsi="Palatino Linotype" w:cs="Arial"/>
          <w:sz w:val="24"/>
          <w:szCs w:val="24"/>
        </w:rPr>
        <w:t>fue</w:t>
      </w:r>
      <w:r w:rsidR="00346D98">
        <w:rPr>
          <w:rFonts w:ascii="Palatino Linotype" w:hAnsi="Palatino Linotype" w:cs="Arial"/>
          <w:sz w:val="24"/>
          <w:szCs w:val="24"/>
        </w:rPr>
        <w:t xml:space="preserve"> el siguiente: </w:t>
      </w:r>
    </w:p>
    <w:p w14:paraId="422E4541" w14:textId="4590AC60" w:rsidR="00346D98" w:rsidRDefault="00346D98" w:rsidP="00346D98">
      <w:pPr>
        <w:pStyle w:val="Citas"/>
      </w:pPr>
      <w:r>
        <w:t xml:space="preserve">“Artículo 61.- La dirección y administración del Instituto estará a cargo de un Pleno y su Presidente, quien tendrá la representación legal del Órgano, así como las facultades que le confiera el Pleno en el Reglamento Interior. </w:t>
      </w:r>
    </w:p>
    <w:p w14:paraId="49F163F9" w14:textId="0423A29D" w:rsidR="00346D98" w:rsidRPr="00346D98" w:rsidRDefault="00346D98" w:rsidP="00346D98">
      <w:pPr>
        <w:pStyle w:val="Citas"/>
        <w:rPr>
          <w:b/>
          <w:u w:val="single"/>
        </w:rPr>
      </w:pPr>
      <w:r w:rsidRPr="00346D98">
        <w:rPr>
          <w:b/>
          <w:u w:val="single"/>
        </w:rPr>
        <w:t>El Pleno estará integrado por cinco Comisionados, los cuales serán propuestos por el Gobernador del Estado y aprobados por la Legislatura. La designación de uno de estos Comisionados como Presidente, recaerá en la propia Legislatura</w:t>
      </w:r>
    </w:p>
    <w:p w14:paraId="662205E6" w14:textId="2D1A5FA7" w:rsidR="00346D98" w:rsidRDefault="00346D98" w:rsidP="00346D98">
      <w:pPr>
        <w:pStyle w:val="Citas"/>
        <w:rPr>
          <w:b/>
        </w:rPr>
      </w:pPr>
      <w:r>
        <w:t>Las decisiones de los Comisionados se harán constar en actas en las que sólo se asentarán los asuntos a tratar y los acuerdos tomados.”</w:t>
      </w:r>
      <w:r>
        <w:rPr>
          <w:b/>
        </w:rPr>
        <w:t>[Sic]</w:t>
      </w:r>
    </w:p>
    <w:p w14:paraId="5A1CC258" w14:textId="77777777" w:rsidR="00346D98" w:rsidRDefault="00346D98" w:rsidP="00346D98">
      <w:pPr>
        <w:pStyle w:val="Citas"/>
        <w:ind w:left="0"/>
        <w:rPr>
          <w:b/>
          <w:sz w:val="24"/>
          <w:szCs w:val="24"/>
        </w:rPr>
      </w:pPr>
    </w:p>
    <w:p w14:paraId="43012702" w14:textId="77777777" w:rsidR="00B62417" w:rsidRDefault="00346D98" w:rsidP="004570CC">
      <w:pPr>
        <w:pStyle w:val="Citas"/>
        <w:ind w:left="0" w:right="141"/>
        <w:rPr>
          <w:i w:val="0"/>
          <w:sz w:val="24"/>
          <w:szCs w:val="24"/>
        </w:rPr>
      </w:pPr>
      <w:r>
        <w:rPr>
          <w:i w:val="0"/>
          <w:sz w:val="24"/>
          <w:szCs w:val="24"/>
        </w:rPr>
        <w:t xml:space="preserve">Es decir, </w:t>
      </w:r>
      <w:r w:rsidR="00747AF3">
        <w:rPr>
          <w:i w:val="0"/>
          <w:sz w:val="24"/>
          <w:szCs w:val="24"/>
        </w:rPr>
        <w:t xml:space="preserve">desde un punto de vista constitucional, </w:t>
      </w:r>
      <w:r w:rsidR="00B62417">
        <w:rPr>
          <w:i w:val="0"/>
          <w:sz w:val="24"/>
          <w:szCs w:val="24"/>
        </w:rPr>
        <w:t>las facultades de los poderes y entes públicos reciben el carácter de:</w:t>
      </w:r>
    </w:p>
    <w:p w14:paraId="0E8F008C" w14:textId="448CDCCF" w:rsidR="00B62417" w:rsidRDefault="00B62417" w:rsidP="009D605B">
      <w:pPr>
        <w:pStyle w:val="Citas"/>
        <w:numPr>
          <w:ilvl w:val="0"/>
          <w:numId w:val="4"/>
        </w:numPr>
        <w:ind w:right="141"/>
        <w:rPr>
          <w:i w:val="0"/>
          <w:sz w:val="24"/>
          <w:szCs w:val="24"/>
        </w:rPr>
      </w:pPr>
      <w:r>
        <w:rPr>
          <w:i w:val="0"/>
          <w:sz w:val="24"/>
          <w:szCs w:val="24"/>
        </w:rPr>
        <w:t xml:space="preserve">Prohibitivas: Contravienen las facultades </w:t>
      </w:r>
      <w:r w:rsidR="008A1C16">
        <w:rPr>
          <w:i w:val="0"/>
          <w:sz w:val="24"/>
          <w:szCs w:val="24"/>
        </w:rPr>
        <w:t xml:space="preserve">de </w:t>
      </w:r>
      <w:r>
        <w:rPr>
          <w:i w:val="0"/>
          <w:sz w:val="24"/>
          <w:szCs w:val="24"/>
        </w:rPr>
        <w:t>las entidad</w:t>
      </w:r>
      <w:r w:rsidR="008A1C16">
        <w:rPr>
          <w:i w:val="0"/>
          <w:sz w:val="24"/>
          <w:szCs w:val="24"/>
        </w:rPr>
        <w:t xml:space="preserve">es federativas o entes públicos (no hacer). </w:t>
      </w:r>
    </w:p>
    <w:p w14:paraId="044310F4" w14:textId="120ED6F9" w:rsidR="00B62417" w:rsidRDefault="00B62417" w:rsidP="009D605B">
      <w:pPr>
        <w:pStyle w:val="Citas"/>
        <w:numPr>
          <w:ilvl w:val="0"/>
          <w:numId w:val="4"/>
        </w:numPr>
        <w:ind w:right="141"/>
        <w:rPr>
          <w:i w:val="0"/>
          <w:sz w:val="24"/>
          <w:szCs w:val="24"/>
        </w:rPr>
      </w:pPr>
      <w:r>
        <w:rPr>
          <w:i w:val="0"/>
          <w:sz w:val="24"/>
          <w:szCs w:val="24"/>
        </w:rPr>
        <w:lastRenderedPageBreak/>
        <w:t xml:space="preserve"> Permisivas: Reservadas a las entidades federativas bajo la autorización del Congreso federal o local. </w:t>
      </w:r>
    </w:p>
    <w:p w14:paraId="77302CA4" w14:textId="69182BDB" w:rsidR="00B62417" w:rsidRDefault="00B62417" w:rsidP="009D605B">
      <w:pPr>
        <w:pStyle w:val="Citas"/>
        <w:numPr>
          <w:ilvl w:val="0"/>
          <w:numId w:val="4"/>
        </w:numPr>
        <w:ind w:right="141"/>
        <w:rPr>
          <w:i w:val="0"/>
          <w:sz w:val="24"/>
          <w:szCs w:val="24"/>
        </w:rPr>
      </w:pPr>
      <w:r>
        <w:rPr>
          <w:i w:val="0"/>
          <w:sz w:val="24"/>
          <w:szCs w:val="24"/>
        </w:rPr>
        <w:t xml:space="preserve"> Residuales: </w:t>
      </w:r>
      <w:r w:rsidR="00186610">
        <w:rPr>
          <w:i w:val="0"/>
          <w:sz w:val="24"/>
          <w:szCs w:val="24"/>
        </w:rPr>
        <w:t>Aquellas que no se encuentran reservadas a ningún funcionario federal y en consecuencia corresponden a los poderes estatales.</w:t>
      </w:r>
    </w:p>
    <w:p w14:paraId="6784A943" w14:textId="5250E010" w:rsidR="00B62417" w:rsidRDefault="00B62417" w:rsidP="009D605B">
      <w:pPr>
        <w:pStyle w:val="Citas"/>
        <w:numPr>
          <w:ilvl w:val="0"/>
          <w:numId w:val="4"/>
        </w:numPr>
        <w:ind w:right="141"/>
        <w:rPr>
          <w:i w:val="0"/>
          <w:sz w:val="24"/>
          <w:szCs w:val="24"/>
        </w:rPr>
      </w:pPr>
      <w:r>
        <w:rPr>
          <w:i w:val="0"/>
          <w:sz w:val="24"/>
          <w:szCs w:val="24"/>
        </w:rPr>
        <w:t xml:space="preserve">Originarias: </w:t>
      </w:r>
      <w:r w:rsidR="00186610">
        <w:rPr>
          <w:i w:val="0"/>
          <w:sz w:val="24"/>
          <w:szCs w:val="24"/>
        </w:rPr>
        <w:t>Imposiciones directas de la Constitución federal a los poderes estatales, respecto de determinadas materias.</w:t>
      </w:r>
    </w:p>
    <w:p w14:paraId="578CEDC9" w14:textId="6AFFD2FA" w:rsidR="006B5338" w:rsidRPr="007144CD" w:rsidRDefault="00B62417" w:rsidP="009D605B">
      <w:pPr>
        <w:pStyle w:val="Citas"/>
        <w:numPr>
          <w:ilvl w:val="0"/>
          <w:numId w:val="4"/>
        </w:numPr>
        <w:ind w:right="141"/>
        <w:rPr>
          <w:b/>
          <w:i w:val="0"/>
          <w:sz w:val="24"/>
          <w:szCs w:val="24"/>
          <w:u w:val="single"/>
        </w:rPr>
      </w:pPr>
      <w:r w:rsidRPr="007144CD">
        <w:rPr>
          <w:b/>
          <w:i w:val="0"/>
          <w:sz w:val="24"/>
          <w:szCs w:val="24"/>
          <w:u w:val="single"/>
        </w:rPr>
        <w:t>C</w:t>
      </w:r>
      <w:r w:rsidR="00186610" w:rsidRPr="007144CD">
        <w:rPr>
          <w:b/>
          <w:i w:val="0"/>
          <w:sz w:val="24"/>
          <w:szCs w:val="24"/>
          <w:u w:val="single"/>
        </w:rPr>
        <w:t xml:space="preserve">oncurrentes: Distribución de competencias entre niveles de gobierno o entre dos o más poderes </w:t>
      </w:r>
      <w:r w:rsidR="008A1C16">
        <w:rPr>
          <w:b/>
          <w:i w:val="0"/>
          <w:sz w:val="24"/>
          <w:szCs w:val="24"/>
          <w:u w:val="single"/>
        </w:rPr>
        <w:t>d</w:t>
      </w:r>
      <w:r w:rsidR="00186610" w:rsidRPr="007144CD">
        <w:rPr>
          <w:b/>
          <w:i w:val="0"/>
          <w:sz w:val="24"/>
          <w:szCs w:val="24"/>
          <w:u w:val="single"/>
        </w:rPr>
        <w:t xml:space="preserve">el mismo nivel de gobierno. </w:t>
      </w:r>
    </w:p>
    <w:p w14:paraId="7AAB4361" w14:textId="77777777" w:rsidR="006B5338" w:rsidRDefault="006B5338" w:rsidP="004570CC">
      <w:pPr>
        <w:pStyle w:val="Citas"/>
        <w:ind w:left="0" w:right="141"/>
        <w:rPr>
          <w:i w:val="0"/>
          <w:sz w:val="24"/>
          <w:szCs w:val="24"/>
        </w:rPr>
      </w:pPr>
    </w:p>
    <w:p w14:paraId="1A023931" w14:textId="77777777" w:rsidR="007144CD" w:rsidRDefault="00186610" w:rsidP="00186610">
      <w:pPr>
        <w:pStyle w:val="Citas"/>
        <w:ind w:left="0" w:right="0"/>
        <w:rPr>
          <w:bCs/>
          <w:i w:val="0"/>
          <w:sz w:val="24"/>
          <w:szCs w:val="24"/>
        </w:rPr>
      </w:pPr>
      <w:r w:rsidRPr="00186610">
        <w:rPr>
          <w:i w:val="0"/>
          <w:sz w:val="24"/>
          <w:szCs w:val="24"/>
        </w:rPr>
        <w:t xml:space="preserve">De lo expuesto con anterioridad, se desprende que </w:t>
      </w:r>
      <w:r>
        <w:rPr>
          <w:bCs/>
          <w:i w:val="0"/>
          <w:sz w:val="24"/>
          <w:szCs w:val="24"/>
        </w:rPr>
        <w:t xml:space="preserve">el nombramiento de los Comisionados </w:t>
      </w:r>
      <w:r w:rsidR="002B10D6">
        <w:rPr>
          <w:bCs/>
          <w:i w:val="0"/>
          <w:sz w:val="24"/>
          <w:szCs w:val="24"/>
        </w:rPr>
        <w:t xml:space="preserve">Eva Abaid Yapur, Zulema Martínez Sánchez y Javier Martínez Cruz </w:t>
      </w:r>
      <w:r>
        <w:rPr>
          <w:bCs/>
          <w:i w:val="0"/>
          <w:sz w:val="24"/>
          <w:szCs w:val="24"/>
        </w:rPr>
        <w:t xml:space="preserve">que integraron el Pleno del Órgano garante local </w:t>
      </w:r>
      <w:r w:rsidR="00F94207">
        <w:rPr>
          <w:bCs/>
          <w:i w:val="0"/>
          <w:sz w:val="24"/>
          <w:szCs w:val="24"/>
        </w:rPr>
        <w:t>estribó</w:t>
      </w:r>
      <w:r>
        <w:rPr>
          <w:bCs/>
          <w:i w:val="0"/>
          <w:sz w:val="24"/>
          <w:szCs w:val="24"/>
        </w:rPr>
        <w:t xml:space="preserve"> en una concurrencia de facultades entre el Poder Ejecutivo y el Poder Legislativo, el primero de ellos en carácter de proponente y el segundo en carácter de </w:t>
      </w:r>
      <w:r w:rsidR="002B10D6">
        <w:rPr>
          <w:bCs/>
          <w:i w:val="0"/>
          <w:sz w:val="24"/>
          <w:szCs w:val="24"/>
        </w:rPr>
        <w:t xml:space="preserve">aprobador. </w:t>
      </w:r>
    </w:p>
    <w:p w14:paraId="1BCA055C" w14:textId="01C9B5FC" w:rsidR="00186610" w:rsidRPr="008A1C16" w:rsidRDefault="002B10D6" w:rsidP="00186610">
      <w:pPr>
        <w:pStyle w:val="Citas"/>
        <w:ind w:left="0" w:right="0"/>
        <w:rPr>
          <w:b/>
          <w:bCs/>
          <w:i w:val="0"/>
          <w:sz w:val="24"/>
          <w:szCs w:val="24"/>
          <w:u w:val="single"/>
        </w:rPr>
      </w:pPr>
      <w:r w:rsidRPr="008A1C16">
        <w:rPr>
          <w:b/>
          <w:bCs/>
          <w:i w:val="0"/>
          <w:sz w:val="24"/>
          <w:szCs w:val="24"/>
          <w:u w:val="single"/>
        </w:rPr>
        <w:t>Asimismo, no resulta desapercibido para esta Ponencia Resolutora que el nombramiento de los Comisionados en cita no redunda en un procedimiento especifico o detallado, a contrario sensu, la norma aplicable conforme al ámbit</w:t>
      </w:r>
      <w:r w:rsidR="00F94207" w:rsidRPr="008A1C16">
        <w:rPr>
          <w:b/>
          <w:bCs/>
          <w:i w:val="0"/>
          <w:sz w:val="24"/>
          <w:szCs w:val="24"/>
          <w:u w:val="single"/>
        </w:rPr>
        <w:t>o de validez temporal se limitab</w:t>
      </w:r>
      <w:r w:rsidRPr="008A1C16">
        <w:rPr>
          <w:b/>
          <w:bCs/>
          <w:i w:val="0"/>
          <w:sz w:val="24"/>
          <w:szCs w:val="24"/>
          <w:u w:val="single"/>
        </w:rPr>
        <w:t xml:space="preserve">a a pronunciar directrices </w:t>
      </w:r>
      <w:r w:rsidR="007144CD" w:rsidRPr="008A1C16">
        <w:rPr>
          <w:b/>
          <w:bCs/>
          <w:i w:val="0"/>
          <w:sz w:val="24"/>
          <w:szCs w:val="24"/>
          <w:u w:val="single"/>
        </w:rPr>
        <w:t xml:space="preserve">meramente </w:t>
      </w:r>
      <w:r w:rsidRPr="008A1C16">
        <w:rPr>
          <w:b/>
          <w:bCs/>
          <w:i w:val="0"/>
          <w:sz w:val="24"/>
          <w:szCs w:val="24"/>
          <w:u w:val="single"/>
        </w:rPr>
        <w:t xml:space="preserve">generales. </w:t>
      </w:r>
    </w:p>
    <w:p w14:paraId="1EB57969" w14:textId="3120C9F9" w:rsidR="00F94207" w:rsidRDefault="00F94207" w:rsidP="00F94207">
      <w:pPr>
        <w:pStyle w:val="Citas"/>
        <w:ind w:left="0" w:right="0"/>
        <w:rPr>
          <w:i w:val="0"/>
          <w:sz w:val="24"/>
          <w:szCs w:val="24"/>
        </w:rPr>
      </w:pPr>
      <w:r>
        <w:rPr>
          <w:bCs/>
          <w:i w:val="0"/>
          <w:sz w:val="24"/>
          <w:szCs w:val="24"/>
        </w:rPr>
        <w:t>Tratamiento</w:t>
      </w:r>
      <w:r w:rsidR="002B10D6">
        <w:rPr>
          <w:bCs/>
          <w:i w:val="0"/>
          <w:sz w:val="24"/>
          <w:szCs w:val="24"/>
        </w:rPr>
        <w:t xml:space="preserve"> particular recibe el nombramiento del Mtro. José Guadalupe Luna Hernández</w:t>
      </w:r>
      <w:r>
        <w:rPr>
          <w:bCs/>
          <w:i w:val="0"/>
          <w:sz w:val="24"/>
          <w:szCs w:val="24"/>
        </w:rPr>
        <w:t xml:space="preserve"> como Comisionado del Órgano Garante local</w:t>
      </w:r>
      <w:r w:rsidR="002B10D6">
        <w:rPr>
          <w:bCs/>
          <w:i w:val="0"/>
          <w:sz w:val="24"/>
          <w:szCs w:val="24"/>
        </w:rPr>
        <w:t xml:space="preserve">, si bien es cierto que </w:t>
      </w:r>
      <w:r>
        <w:rPr>
          <w:bCs/>
          <w:i w:val="0"/>
          <w:sz w:val="24"/>
          <w:szCs w:val="24"/>
        </w:rPr>
        <w:t xml:space="preserve">el ámbito de validez temporal de la norma nos indica que resultaba aplicable la </w:t>
      </w:r>
      <w:r w:rsidRPr="00F94207">
        <w:rPr>
          <w:i w:val="0"/>
          <w:sz w:val="24"/>
          <w:szCs w:val="24"/>
        </w:rPr>
        <w:t xml:space="preserve">Ley de </w:t>
      </w:r>
      <w:r w:rsidRPr="00F94207">
        <w:rPr>
          <w:i w:val="0"/>
          <w:sz w:val="24"/>
          <w:szCs w:val="24"/>
        </w:rPr>
        <w:lastRenderedPageBreak/>
        <w:t xml:space="preserve">Transparencia y Acceso a la Información Pública del Estado de México y Municipios, que se encontró vigente desde el uno de mayo de dos mil cuatro hasta el cuatro de mayo de dos mil dieciséis, </w:t>
      </w:r>
      <w:r w:rsidRPr="00F94207">
        <w:rPr>
          <w:b/>
          <w:i w:val="0"/>
          <w:sz w:val="24"/>
          <w:szCs w:val="24"/>
        </w:rPr>
        <w:t>-hoy abrogada-</w:t>
      </w:r>
      <w:r>
        <w:rPr>
          <w:b/>
          <w:i w:val="0"/>
          <w:sz w:val="24"/>
          <w:szCs w:val="24"/>
        </w:rPr>
        <w:t xml:space="preserve">. </w:t>
      </w:r>
      <w:r>
        <w:rPr>
          <w:i w:val="0"/>
          <w:sz w:val="24"/>
          <w:szCs w:val="24"/>
        </w:rPr>
        <w:t xml:space="preserve">Lo cierto también es que dicho nombramiento se rigió bajo directrices de carácter específico </w:t>
      </w:r>
      <w:r w:rsidR="007144CD">
        <w:rPr>
          <w:i w:val="0"/>
          <w:sz w:val="24"/>
          <w:szCs w:val="24"/>
        </w:rPr>
        <w:t xml:space="preserve">o particulares </w:t>
      </w:r>
      <w:r>
        <w:rPr>
          <w:i w:val="0"/>
          <w:sz w:val="24"/>
          <w:szCs w:val="24"/>
        </w:rPr>
        <w:t xml:space="preserve">publicadas en el </w:t>
      </w:r>
      <w:r w:rsidRPr="00F94207">
        <w:rPr>
          <w:i w:val="0"/>
          <w:sz w:val="24"/>
          <w:szCs w:val="24"/>
        </w:rPr>
        <w:t>Periódico Oficial “Gaceta del Gobierno”</w:t>
      </w:r>
      <w:r>
        <w:rPr>
          <w:i w:val="0"/>
          <w:sz w:val="24"/>
          <w:szCs w:val="24"/>
        </w:rPr>
        <w:t>, siendo</w:t>
      </w:r>
      <w:r w:rsidRPr="00F94207">
        <w:rPr>
          <w:i w:val="0"/>
          <w:sz w:val="24"/>
          <w:szCs w:val="24"/>
        </w:rPr>
        <w:t xml:space="preserve"> susceptible</w:t>
      </w:r>
      <w:r>
        <w:rPr>
          <w:i w:val="0"/>
          <w:sz w:val="24"/>
          <w:szCs w:val="24"/>
        </w:rPr>
        <w:t>s de ser consultadas</w:t>
      </w:r>
      <w:r w:rsidRPr="00F94207">
        <w:rPr>
          <w:i w:val="0"/>
          <w:sz w:val="24"/>
          <w:szCs w:val="24"/>
        </w:rPr>
        <w:t xml:space="preserve"> en la siguiente dirección electrónica: </w:t>
      </w:r>
    </w:p>
    <w:p w14:paraId="0F55E4CD" w14:textId="15F53877" w:rsidR="00F94207" w:rsidRPr="00F94207" w:rsidRDefault="00086082" w:rsidP="00F94207">
      <w:pPr>
        <w:pStyle w:val="Citas"/>
        <w:ind w:left="0" w:right="0"/>
        <w:rPr>
          <w:i w:val="0"/>
          <w:color w:val="000000"/>
          <w:sz w:val="24"/>
          <w:szCs w:val="24"/>
        </w:rPr>
      </w:pPr>
      <w:hyperlink r:id="rId34" w:history="1">
        <w:r w:rsidR="00F94207" w:rsidRPr="00124FB1">
          <w:rPr>
            <w:rStyle w:val="Hipervnculo"/>
            <w:i w:val="0"/>
            <w:sz w:val="24"/>
            <w:szCs w:val="24"/>
          </w:rPr>
          <w:t>https://legislacion.edomex.gob.mx/sites/legislacion.edomex.gob.mx/files/files/pdf/gct/2015/jun186.pdf</w:t>
        </w:r>
      </w:hyperlink>
      <w:r w:rsidR="00F94207">
        <w:rPr>
          <w:i w:val="0"/>
          <w:color w:val="000000"/>
          <w:sz w:val="24"/>
          <w:szCs w:val="24"/>
        </w:rPr>
        <w:t xml:space="preserve"> </w:t>
      </w:r>
    </w:p>
    <w:p w14:paraId="3B8559AE" w14:textId="7B83F3E2" w:rsidR="002B10D6" w:rsidRDefault="008A1C16" w:rsidP="00186610">
      <w:pPr>
        <w:pStyle w:val="Citas"/>
        <w:ind w:left="0" w:right="0"/>
        <w:rPr>
          <w:bCs/>
          <w:i w:val="0"/>
          <w:sz w:val="24"/>
          <w:szCs w:val="24"/>
        </w:rPr>
      </w:pPr>
      <w:r>
        <w:rPr>
          <w:bCs/>
          <w:i w:val="0"/>
          <w:noProof/>
          <w:sz w:val="24"/>
          <w:szCs w:val="24"/>
          <w:lang w:eastAsia="es-MX"/>
        </w:rPr>
        <mc:AlternateContent>
          <mc:Choice Requires="wps">
            <w:drawing>
              <wp:anchor distT="0" distB="0" distL="114300" distR="114300" simplePos="0" relativeHeight="251739126" behindDoc="0" locked="0" layoutInCell="1" allowOverlap="1" wp14:anchorId="55F074F0" wp14:editId="07233E43">
                <wp:simplePos x="0" y="0"/>
                <wp:positionH relativeFrom="column">
                  <wp:posOffset>-348615</wp:posOffset>
                </wp:positionH>
                <wp:positionV relativeFrom="paragraph">
                  <wp:posOffset>522529</wp:posOffset>
                </wp:positionV>
                <wp:extent cx="6600673" cy="4518584"/>
                <wp:effectExtent l="0" t="0" r="29210" b="34925"/>
                <wp:wrapNone/>
                <wp:docPr id="7" name="Conector recto 7"/>
                <wp:cNvGraphicFramePr/>
                <a:graphic xmlns:a="http://schemas.openxmlformats.org/drawingml/2006/main">
                  <a:graphicData uri="http://schemas.microsoft.com/office/word/2010/wordprocessingShape">
                    <wps:wsp>
                      <wps:cNvCnPr/>
                      <wps:spPr>
                        <a:xfrm>
                          <a:off x="0" y="0"/>
                          <a:ext cx="6600673" cy="45185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B9FE3" id="Conector recto 7" o:spid="_x0000_s1026" style="position:absolute;z-index:251739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41.15pt" to="492.3pt,3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" strokecolor="#5b9bd5 [3204]" strokeweight=".5pt">
                <v:stroke joinstyle="miter"/>
              </v:line>
            </w:pict>
          </mc:Fallback>
        </mc:AlternateContent>
      </w:r>
      <w:r w:rsidR="00F94207">
        <w:rPr>
          <w:bCs/>
          <w:i w:val="0"/>
          <w:sz w:val="24"/>
          <w:szCs w:val="24"/>
        </w:rPr>
        <w:t xml:space="preserve">Sirven de sustento las siguientes imágenes ilustrativas: </w:t>
      </w:r>
    </w:p>
    <w:p w14:paraId="530066C7" w14:textId="77777777" w:rsidR="00F94207" w:rsidRDefault="00F94207" w:rsidP="00186610">
      <w:pPr>
        <w:pStyle w:val="Citas"/>
        <w:ind w:left="0" w:right="0"/>
        <w:rPr>
          <w:bCs/>
          <w:i w:val="0"/>
          <w:sz w:val="24"/>
          <w:szCs w:val="24"/>
        </w:rPr>
      </w:pPr>
    </w:p>
    <w:p w14:paraId="637E5091" w14:textId="77777777" w:rsidR="00F94207" w:rsidRDefault="00F94207" w:rsidP="00186610">
      <w:pPr>
        <w:pStyle w:val="Citas"/>
        <w:ind w:left="0" w:right="0"/>
        <w:rPr>
          <w:bCs/>
          <w:i w:val="0"/>
          <w:sz w:val="24"/>
          <w:szCs w:val="24"/>
        </w:rPr>
      </w:pPr>
    </w:p>
    <w:p w14:paraId="7FE5C6D4" w14:textId="77777777" w:rsidR="00F94207" w:rsidRDefault="00F94207" w:rsidP="00186610">
      <w:pPr>
        <w:pStyle w:val="Citas"/>
        <w:ind w:left="0" w:right="0"/>
        <w:rPr>
          <w:bCs/>
          <w:i w:val="0"/>
          <w:sz w:val="24"/>
          <w:szCs w:val="24"/>
        </w:rPr>
      </w:pPr>
    </w:p>
    <w:p w14:paraId="2D09B265" w14:textId="77777777" w:rsidR="00F94207" w:rsidRDefault="00F94207" w:rsidP="00186610">
      <w:pPr>
        <w:pStyle w:val="Citas"/>
        <w:ind w:left="0" w:right="0"/>
        <w:rPr>
          <w:bCs/>
          <w:i w:val="0"/>
          <w:sz w:val="24"/>
          <w:szCs w:val="24"/>
        </w:rPr>
      </w:pPr>
    </w:p>
    <w:p w14:paraId="680D9E70" w14:textId="77777777" w:rsidR="00F94207" w:rsidRDefault="00F94207" w:rsidP="00186610">
      <w:pPr>
        <w:pStyle w:val="Citas"/>
        <w:ind w:left="0" w:right="0"/>
        <w:rPr>
          <w:bCs/>
          <w:i w:val="0"/>
          <w:sz w:val="24"/>
          <w:szCs w:val="24"/>
        </w:rPr>
      </w:pPr>
    </w:p>
    <w:p w14:paraId="6D840F0B" w14:textId="77777777" w:rsidR="00F94207" w:rsidRDefault="00F94207" w:rsidP="00186610">
      <w:pPr>
        <w:pStyle w:val="Citas"/>
        <w:ind w:left="0" w:right="0"/>
        <w:rPr>
          <w:bCs/>
          <w:i w:val="0"/>
          <w:sz w:val="24"/>
          <w:szCs w:val="24"/>
        </w:rPr>
      </w:pPr>
    </w:p>
    <w:p w14:paraId="7E420976" w14:textId="77777777" w:rsidR="00F94207" w:rsidRDefault="00F94207" w:rsidP="00186610">
      <w:pPr>
        <w:pStyle w:val="Citas"/>
        <w:ind w:left="0" w:right="0"/>
        <w:rPr>
          <w:bCs/>
          <w:i w:val="0"/>
          <w:sz w:val="24"/>
          <w:szCs w:val="24"/>
        </w:rPr>
      </w:pPr>
    </w:p>
    <w:p w14:paraId="4671E66F" w14:textId="77777777" w:rsidR="00F94207" w:rsidRDefault="00F94207" w:rsidP="00186610">
      <w:pPr>
        <w:pStyle w:val="Citas"/>
        <w:ind w:left="0" w:right="0"/>
        <w:rPr>
          <w:bCs/>
          <w:i w:val="0"/>
          <w:sz w:val="24"/>
          <w:szCs w:val="24"/>
        </w:rPr>
      </w:pPr>
    </w:p>
    <w:p w14:paraId="0685B25B" w14:textId="7E3DF4E9" w:rsidR="00F94207" w:rsidRDefault="00F94207" w:rsidP="00186610">
      <w:pPr>
        <w:pStyle w:val="Citas"/>
        <w:ind w:left="0" w:right="0"/>
        <w:rPr>
          <w:bCs/>
          <w:i w:val="0"/>
          <w:sz w:val="24"/>
          <w:szCs w:val="24"/>
        </w:rPr>
      </w:pPr>
    </w:p>
    <w:p w14:paraId="303C6C78" w14:textId="1C04BCEC" w:rsidR="00186610" w:rsidRDefault="00F94207" w:rsidP="004570CC">
      <w:pPr>
        <w:pStyle w:val="Citas"/>
        <w:ind w:left="0" w:right="141"/>
        <w:rPr>
          <w:i w:val="0"/>
          <w:sz w:val="24"/>
          <w:szCs w:val="24"/>
        </w:rPr>
      </w:pPr>
      <w:r>
        <w:rPr>
          <w:i w:val="0"/>
          <w:noProof/>
          <w:sz w:val="24"/>
          <w:szCs w:val="24"/>
          <w:lang w:eastAsia="es-MX"/>
        </w:rPr>
        <w:lastRenderedPageBreak/>
        <w:drawing>
          <wp:anchor distT="0" distB="0" distL="114300" distR="114300" simplePos="0" relativeHeight="251740150" behindDoc="0" locked="0" layoutInCell="1" allowOverlap="1" wp14:anchorId="6468760F" wp14:editId="7CD06719">
            <wp:simplePos x="0" y="0"/>
            <wp:positionH relativeFrom="column">
              <wp:posOffset>24130</wp:posOffset>
            </wp:positionH>
            <wp:positionV relativeFrom="paragraph">
              <wp:posOffset>19050</wp:posOffset>
            </wp:positionV>
            <wp:extent cx="5759450" cy="7486015"/>
            <wp:effectExtent l="19050" t="19050" r="12700" b="19685"/>
            <wp:wrapThrough wrapText="bothSides">
              <wp:wrapPolygon edited="0">
                <wp:start x="-71" y="-55"/>
                <wp:lineTo x="-71" y="21602"/>
                <wp:lineTo x="21576" y="21602"/>
                <wp:lineTo x="21576" y="-55"/>
                <wp:lineTo x="-71" y="-55"/>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486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EAC176" w14:textId="1B4FC6F2" w:rsidR="00F94207" w:rsidRDefault="000C4119" w:rsidP="004570CC">
      <w:pPr>
        <w:pStyle w:val="Citas"/>
        <w:ind w:left="0" w:right="141"/>
        <w:rPr>
          <w:i w:val="0"/>
          <w:sz w:val="24"/>
          <w:szCs w:val="24"/>
        </w:rPr>
      </w:pPr>
      <w:r>
        <w:rPr>
          <w:i w:val="0"/>
          <w:noProof/>
          <w:sz w:val="24"/>
          <w:szCs w:val="24"/>
          <w:lang w:eastAsia="es-MX"/>
        </w:rPr>
        <w:lastRenderedPageBreak/>
        <w:drawing>
          <wp:inline distT="0" distB="0" distL="0" distR="0" wp14:anchorId="7F022684" wp14:editId="5E90047C">
            <wp:extent cx="5759450" cy="7469505"/>
            <wp:effectExtent l="19050" t="19050" r="12700"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469505"/>
                    </a:xfrm>
                    <a:prstGeom prst="rect">
                      <a:avLst/>
                    </a:prstGeom>
                    <a:noFill/>
                    <a:ln>
                      <a:solidFill>
                        <a:schemeClr val="tx1"/>
                      </a:solidFill>
                    </a:ln>
                  </pic:spPr>
                </pic:pic>
              </a:graphicData>
            </a:graphic>
          </wp:inline>
        </w:drawing>
      </w:r>
    </w:p>
    <w:p w14:paraId="630CB8BC" w14:textId="62A14628" w:rsidR="00F94207" w:rsidRDefault="000C4119" w:rsidP="004570CC">
      <w:pPr>
        <w:pStyle w:val="Citas"/>
        <w:ind w:left="0" w:right="141"/>
        <w:rPr>
          <w:i w:val="0"/>
          <w:sz w:val="24"/>
          <w:szCs w:val="24"/>
        </w:rPr>
      </w:pPr>
      <w:r>
        <w:rPr>
          <w:i w:val="0"/>
          <w:sz w:val="24"/>
          <w:szCs w:val="24"/>
        </w:rPr>
        <w:lastRenderedPageBreak/>
        <w:t xml:space="preserve">Con base en las imágenes ilustrativas previamente referidas resulta inconcuso que el nombramiento del Mtro. José Guadalupe Luna Hernández como Comisionado del Órgano Garante local, fue encomendado a la Junta de Coordinación Política, órgano de carácter legislativo que inició y desarrollo el procedimiento consistente en </w:t>
      </w:r>
      <w:r>
        <w:rPr>
          <w:b/>
          <w:i w:val="0"/>
          <w:sz w:val="24"/>
          <w:szCs w:val="24"/>
        </w:rPr>
        <w:t xml:space="preserve">10 –diez- </w:t>
      </w:r>
      <w:r>
        <w:rPr>
          <w:i w:val="0"/>
          <w:sz w:val="24"/>
          <w:szCs w:val="24"/>
        </w:rPr>
        <w:t xml:space="preserve">puntos medulares. </w:t>
      </w:r>
    </w:p>
    <w:p w14:paraId="52914263" w14:textId="72121B4A" w:rsidR="001E02E3" w:rsidRDefault="00EB01A4" w:rsidP="004570CC">
      <w:pPr>
        <w:pStyle w:val="Citas"/>
        <w:ind w:left="0" w:right="141"/>
        <w:rPr>
          <w:b/>
          <w:i w:val="0"/>
          <w:sz w:val="24"/>
          <w:szCs w:val="24"/>
          <w:u w:val="single"/>
        </w:rPr>
      </w:pPr>
      <w:r>
        <w:rPr>
          <w:i w:val="0"/>
          <w:sz w:val="24"/>
          <w:szCs w:val="24"/>
        </w:rPr>
        <w:t xml:space="preserve">Ahora bien, con relación al nombramiento del Mtro. Luis Gustavo Parra Noriega como Comisionado del Órgano Garante Local y </w:t>
      </w:r>
      <w:r w:rsidR="001E02E3">
        <w:rPr>
          <w:i w:val="0"/>
          <w:sz w:val="24"/>
          <w:szCs w:val="24"/>
        </w:rPr>
        <w:t>la</w:t>
      </w:r>
      <w:r>
        <w:rPr>
          <w:i w:val="0"/>
          <w:sz w:val="24"/>
          <w:szCs w:val="24"/>
        </w:rPr>
        <w:t xml:space="preserve"> sustitución del Mtro. José Guadalupe Luna Hernández, en estricta observancia al ámbito de validez temporal, se destaca </w:t>
      </w:r>
      <w:r w:rsidR="001E02E3">
        <w:rPr>
          <w:i w:val="0"/>
          <w:sz w:val="24"/>
          <w:szCs w:val="24"/>
        </w:rPr>
        <w:t xml:space="preserve">que dichos procedimientos se rigieron por </w:t>
      </w:r>
      <w:r w:rsidR="008A1C16">
        <w:rPr>
          <w:i w:val="0"/>
          <w:sz w:val="24"/>
          <w:szCs w:val="24"/>
        </w:rPr>
        <w:t xml:space="preserve">lo dispuesto en </w:t>
      </w:r>
      <w:r w:rsidR="001E02E3">
        <w:rPr>
          <w:i w:val="0"/>
          <w:sz w:val="24"/>
          <w:szCs w:val="24"/>
        </w:rPr>
        <w:t xml:space="preserve">el artículo 30 de la </w:t>
      </w:r>
      <w:r w:rsidR="001E02E3" w:rsidRPr="001E02E3">
        <w:rPr>
          <w:i w:val="0"/>
          <w:sz w:val="24"/>
          <w:szCs w:val="24"/>
        </w:rPr>
        <w:t xml:space="preserve">Ley de Transparencia y Acceso a la Información Pública del Estado de México y Municipios, </w:t>
      </w:r>
      <w:r w:rsidR="001E02E3" w:rsidRPr="001E02E3">
        <w:rPr>
          <w:b/>
          <w:i w:val="0"/>
          <w:sz w:val="24"/>
          <w:szCs w:val="24"/>
          <w:u w:val="single"/>
        </w:rPr>
        <w:t xml:space="preserve">vigente desde el cuatro de mayo de dos mil dieciséis y que actualmente </w:t>
      </w:r>
      <w:r w:rsidR="008A1C16">
        <w:rPr>
          <w:b/>
          <w:i w:val="0"/>
          <w:sz w:val="24"/>
          <w:szCs w:val="24"/>
          <w:u w:val="single"/>
        </w:rPr>
        <w:t>impera en</w:t>
      </w:r>
      <w:r w:rsidR="001E02E3" w:rsidRPr="001E02E3">
        <w:rPr>
          <w:b/>
          <w:i w:val="0"/>
          <w:sz w:val="24"/>
          <w:szCs w:val="24"/>
          <w:u w:val="single"/>
        </w:rPr>
        <w:t xml:space="preserve"> la materia.</w:t>
      </w:r>
      <w:r w:rsidR="001E02E3">
        <w:rPr>
          <w:b/>
          <w:i w:val="0"/>
          <w:sz w:val="24"/>
          <w:szCs w:val="24"/>
          <w:u w:val="single"/>
        </w:rPr>
        <w:t xml:space="preserve">  </w:t>
      </w:r>
    </w:p>
    <w:p w14:paraId="6CA07479" w14:textId="29ACBA24" w:rsidR="000C4119" w:rsidRDefault="001E02E3" w:rsidP="004570CC">
      <w:pPr>
        <w:pStyle w:val="Citas"/>
        <w:ind w:left="0" w:right="141"/>
        <w:rPr>
          <w:i w:val="0"/>
          <w:sz w:val="24"/>
          <w:szCs w:val="24"/>
        </w:rPr>
      </w:pPr>
      <w:r>
        <w:rPr>
          <w:i w:val="0"/>
          <w:sz w:val="24"/>
          <w:szCs w:val="24"/>
        </w:rPr>
        <w:t xml:space="preserve">Porción normativa en cita que dispone a la literalidad lo siguiente: </w:t>
      </w:r>
    </w:p>
    <w:p w14:paraId="4C20586E" w14:textId="77777777" w:rsidR="001E02E3" w:rsidRPr="001E02E3" w:rsidRDefault="001E02E3" w:rsidP="001E02E3">
      <w:pPr>
        <w:pStyle w:val="Citas"/>
        <w:rPr>
          <w:b/>
          <w:u w:val="single"/>
        </w:rPr>
      </w:pPr>
      <w:r w:rsidRPr="001E02E3">
        <w:rPr>
          <w:b/>
          <w:u w:val="single"/>
        </w:rPr>
        <w:t xml:space="preserve">“Artículo 30. El Instituto se integra por cinco Comisionados. Para su nombramiento, la Legislatura, previa realización de una consulta a la sociedad, a propuesta de los grupos parlamentarios, con el voto de las dos terceras partes de los miembros presentes, nombrará a la Comisionada o Comisionado que deba cubrir la vacante. </w:t>
      </w:r>
    </w:p>
    <w:p w14:paraId="20668546" w14:textId="77777777" w:rsidR="001E02E3" w:rsidRDefault="001E02E3" w:rsidP="001E02E3">
      <w:pPr>
        <w:pStyle w:val="Citas"/>
      </w:pPr>
      <w:r w:rsidRPr="001E02E3">
        <w:t xml:space="preserve">La Legislatura procurará en su conformación privilegiar la experiencia en materia de acceso a la información pública y protección de datos personales, así como la equidad de género. La duración del cargo será de siete años y se realizará de manera escalonada para garantizar el principio de autonomía. </w:t>
      </w:r>
    </w:p>
    <w:p w14:paraId="406B4772" w14:textId="77777777" w:rsidR="001E02E3" w:rsidRDefault="001E02E3" w:rsidP="001E02E3">
      <w:pPr>
        <w:pStyle w:val="Citas"/>
      </w:pPr>
      <w:r w:rsidRPr="001E02E3">
        <w:lastRenderedPageBreak/>
        <w:t xml:space="preserve">El nombramiento podrá ser objetado por el Gobernador en un plazo de diez días hábiles. Si el Gobernador no objetara el nombramiento dentro de este plazo, ocupará el cargo la persona nombrada por la Legislatura. </w:t>
      </w:r>
    </w:p>
    <w:p w14:paraId="21839F19" w14:textId="105FDBCD" w:rsidR="001E02E3" w:rsidRPr="001E02E3" w:rsidRDefault="001E02E3" w:rsidP="001E02E3">
      <w:pPr>
        <w:pStyle w:val="Citas"/>
        <w:rPr>
          <w:b/>
        </w:rPr>
      </w:pPr>
      <w:r w:rsidRPr="001E02E3">
        <w:t>En caso de que el Gobernador objetara el nombramiento, la Legislatura hará un nuevo nombramiento, en los términos del párrafo anterior, pero con una votación de las tres quintas partes de los miembros presentes. Si este segundo nombramiento fuera objetado, la Legislatura, en los términos del párrafo anterior, con la votación de las tres quintas partes de los miembros presentes, designará a la Comisionada o Comisionado que ocupará la vacante.</w:t>
      </w:r>
      <w:r>
        <w:t xml:space="preserve">” </w:t>
      </w:r>
      <w:r>
        <w:rPr>
          <w:b/>
        </w:rPr>
        <w:t xml:space="preserve">[Sic] </w:t>
      </w:r>
    </w:p>
    <w:p w14:paraId="5D67345B" w14:textId="77777777" w:rsidR="006310D6" w:rsidRPr="006310D6" w:rsidRDefault="006310D6" w:rsidP="006310D6">
      <w:pPr>
        <w:spacing w:line="360" w:lineRule="auto"/>
        <w:contextualSpacing/>
        <w:jc w:val="both"/>
        <w:rPr>
          <w:rFonts w:ascii="Palatino Linotype" w:hAnsi="Palatino Linotype" w:cs="Tahoma"/>
          <w:sz w:val="24"/>
          <w:szCs w:val="24"/>
          <w:highlight w:val="yellow"/>
        </w:rPr>
      </w:pPr>
    </w:p>
    <w:p w14:paraId="412256C2" w14:textId="77777777" w:rsidR="006310D6" w:rsidRPr="006310D6" w:rsidRDefault="006310D6" w:rsidP="006310D6">
      <w:pPr>
        <w:spacing w:line="360" w:lineRule="auto"/>
        <w:contextualSpacing/>
        <w:jc w:val="both"/>
        <w:rPr>
          <w:rFonts w:ascii="Palatino Linotype" w:hAnsi="Palatino Linotype" w:cs="Tahoma"/>
          <w:sz w:val="24"/>
          <w:szCs w:val="24"/>
        </w:rPr>
      </w:pPr>
      <w:r w:rsidRPr="006310D6">
        <w:rPr>
          <w:rFonts w:ascii="Palatino Linotype" w:hAnsi="Palatino Linotype" w:cs="Tahoma"/>
          <w:sz w:val="24"/>
          <w:szCs w:val="24"/>
        </w:rPr>
        <w:t>De lo anterior, es posible advertir que el actual procedimiento para la elección de los Comisionados y Comisionadas que integran el Instituto de Transparencia, Acceso a la Información Pública y Protección de Datos Personales del Estado de México y Municipios, es organizado y desarrollado por la Legislatura del Estado.</w:t>
      </w:r>
    </w:p>
    <w:p w14:paraId="12398EDB" w14:textId="77777777" w:rsidR="006310D6" w:rsidRPr="006310D6" w:rsidRDefault="006310D6" w:rsidP="006310D6">
      <w:pPr>
        <w:spacing w:line="360" w:lineRule="auto"/>
        <w:contextualSpacing/>
        <w:jc w:val="both"/>
        <w:rPr>
          <w:rFonts w:ascii="Palatino Linotype" w:hAnsi="Palatino Linotype" w:cs="Tahoma"/>
          <w:sz w:val="24"/>
          <w:szCs w:val="24"/>
        </w:rPr>
      </w:pPr>
    </w:p>
    <w:p w14:paraId="365D00D2" w14:textId="5286A375" w:rsidR="006310D6" w:rsidRPr="006310D6" w:rsidRDefault="006310D6" w:rsidP="006310D6">
      <w:pPr>
        <w:spacing w:line="360" w:lineRule="auto"/>
        <w:contextualSpacing/>
        <w:jc w:val="both"/>
        <w:rPr>
          <w:rFonts w:ascii="Palatino Linotype" w:hAnsi="Palatino Linotype" w:cs="Tahoma"/>
          <w:sz w:val="24"/>
          <w:szCs w:val="24"/>
        </w:rPr>
      </w:pPr>
      <w:r w:rsidRPr="006310D6">
        <w:rPr>
          <w:rFonts w:ascii="Palatino Linotype" w:hAnsi="Palatino Linotype" w:cs="Tahoma"/>
          <w:sz w:val="24"/>
          <w:szCs w:val="24"/>
        </w:rPr>
        <w:t xml:space="preserve">Ahora bien, resulta destacable que dentro del artículo 30 de la </w:t>
      </w:r>
      <w:r w:rsidRPr="006310D6">
        <w:rPr>
          <w:rFonts w:ascii="Palatino Linotype" w:eastAsia="Calibri" w:hAnsi="Palatino Linotype" w:cs="Tahoma"/>
          <w:bCs/>
          <w:sz w:val="24"/>
          <w:szCs w:val="24"/>
        </w:rPr>
        <w:t>Ley de Transparencia y Acceso a la Información Pública del Estado de México y Municipios vigente,</w:t>
      </w:r>
      <w:r w:rsidRPr="006310D6">
        <w:rPr>
          <w:rFonts w:ascii="Palatino Linotype" w:hAnsi="Palatino Linotype" w:cs="Tahoma"/>
          <w:sz w:val="24"/>
          <w:szCs w:val="24"/>
        </w:rPr>
        <w:t xml:space="preserve"> previamente citado, prevé que la única participación del Gobernador en el procedimiento de elección de Comisionados y Comisionadas tiene lugar, en caso de objetar el nombramiento. </w:t>
      </w:r>
    </w:p>
    <w:p w14:paraId="16C96730" w14:textId="7F2AA288" w:rsidR="00DD4CDA" w:rsidRDefault="00DD4CDA" w:rsidP="004570CC">
      <w:pPr>
        <w:pStyle w:val="Citas"/>
        <w:ind w:left="0" w:right="141"/>
        <w:rPr>
          <w:b/>
          <w:bCs/>
          <w:i w:val="0"/>
          <w:sz w:val="24"/>
          <w:szCs w:val="24"/>
        </w:rPr>
      </w:pPr>
      <w:r w:rsidRPr="00DD4CDA">
        <w:rPr>
          <w:bCs/>
          <w:i w:val="0"/>
          <w:sz w:val="24"/>
          <w:szCs w:val="24"/>
        </w:rPr>
        <w:t>Con base en lo anteriormente expuesto, s</w:t>
      </w:r>
      <w:r w:rsidR="007642FB">
        <w:rPr>
          <w:bCs/>
          <w:i w:val="0"/>
          <w:sz w:val="24"/>
          <w:szCs w:val="24"/>
        </w:rPr>
        <w:t xml:space="preserve">e arriba a la premisa de que la siguiente información no es generada, poseída o administrada por </w:t>
      </w:r>
      <w:r w:rsidR="007642FB">
        <w:rPr>
          <w:b/>
          <w:bCs/>
          <w:i w:val="0"/>
          <w:sz w:val="24"/>
          <w:szCs w:val="24"/>
        </w:rPr>
        <w:t xml:space="preserve">El Sujeto Obligado: </w:t>
      </w:r>
    </w:p>
    <w:p w14:paraId="4FB8A752" w14:textId="24B7634A" w:rsidR="007144CD" w:rsidRDefault="007642FB" w:rsidP="009D60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 o los documentos que integran los expedientes </w:t>
      </w:r>
      <w:r w:rsidR="00EC334E">
        <w:rPr>
          <w:rFonts w:ascii="Palatino Linotype" w:hAnsi="Palatino Linotype" w:cs="Arial"/>
        </w:rPr>
        <w:t xml:space="preserve">vinculados con los nombramientos del Mtro. José Guadalupe Luna Hernández y Luis Gustavo Parra Noriega, como comisionados del órgano garante local. </w:t>
      </w:r>
    </w:p>
    <w:p w14:paraId="5FD3E922" w14:textId="02842DE7" w:rsidR="00DD4CDA" w:rsidRPr="00134921" w:rsidRDefault="00EC334E" w:rsidP="009D605B">
      <w:pPr>
        <w:pStyle w:val="Prrafodelista"/>
        <w:numPr>
          <w:ilvl w:val="0"/>
          <w:numId w:val="5"/>
        </w:numPr>
        <w:autoSpaceDE w:val="0"/>
        <w:autoSpaceDN w:val="0"/>
        <w:adjustRightInd w:val="0"/>
        <w:spacing w:line="360" w:lineRule="auto"/>
        <w:ind w:right="141"/>
        <w:jc w:val="both"/>
      </w:pPr>
      <w:r w:rsidRPr="00EC334E">
        <w:rPr>
          <w:rFonts w:ascii="Palatino Linotype" w:hAnsi="Palatino Linotype" w:cs="Arial"/>
        </w:rPr>
        <w:t xml:space="preserve">El o los documentos que integran los expedientes vinculados con los candidatos para la sustitución del </w:t>
      </w:r>
      <w:r w:rsidR="007642FB" w:rsidRPr="00EC334E">
        <w:rPr>
          <w:rFonts w:ascii="Palatino Linotype" w:hAnsi="Palatino Linotype" w:cs="Arial"/>
        </w:rPr>
        <w:t>Mtro. José Guadalupe Luna Hernández, como Comisionado del Órgano Garante local</w:t>
      </w:r>
      <w:r w:rsidR="00134921" w:rsidRPr="00EC334E">
        <w:rPr>
          <w:rFonts w:ascii="Palatino Linotype" w:hAnsi="Palatino Linotype" w:cs="Arial"/>
        </w:rPr>
        <w:t xml:space="preserve">. </w:t>
      </w:r>
    </w:p>
    <w:p w14:paraId="4E76EA7B" w14:textId="77777777" w:rsidR="00134921" w:rsidRDefault="00134921" w:rsidP="00134921">
      <w:pPr>
        <w:autoSpaceDE w:val="0"/>
        <w:autoSpaceDN w:val="0"/>
        <w:adjustRightInd w:val="0"/>
        <w:spacing w:line="360" w:lineRule="auto"/>
        <w:ind w:right="141"/>
        <w:jc w:val="both"/>
      </w:pPr>
    </w:p>
    <w:p w14:paraId="330ED599" w14:textId="77777777" w:rsidR="00134921" w:rsidRDefault="00134921" w:rsidP="00134921">
      <w:pPr>
        <w:autoSpaceDE w:val="0"/>
        <w:autoSpaceDN w:val="0"/>
        <w:adjustRightInd w:val="0"/>
        <w:spacing w:line="360" w:lineRule="auto"/>
        <w:ind w:right="141"/>
        <w:jc w:val="both"/>
        <w:rPr>
          <w:rFonts w:ascii="Palatino Linotype" w:hAnsi="Palatino Linotype" w:cs="Arial"/>
          <w:bCs/>
          <w:sz w:val="24"/>
          <w:szCs w:val="24"/>
          <w:lang w:val="es-ES"/>
        </w:rPr>
      </w:pPr>
      <w:r>
        <w:rPr>
          <w:rFonts w:ascii="Palatino Linotype" w:hAnsi="Palatino Linotype"/>
          <w:bCs/>
          <w:sz w:val="24"/>
          <w:szCs w:val="24"/>
        </w:rPr>
        <w:t xml:space="preserve">En este tenor, </w:t>
      </w:r>
      <w:r>
        <w:rPr>
          <w:rFonts w:ascii="Palatino Linotype" w:hAnsi="Palatino Linotype"/>
          <w:sz w:val="24"/>
          <w:szCs w:val="24"/>
        </w:rPr>
        <w:t xml:space="preserve">no resulta desapercibido para este Órgano Resolutor que el veintisiete de noviembre de dos mil diecisiete fue publicado en el </w:t>
      </w:r>
      <w:r w:rsidRPr="00B272A6">
        <w:rPr>
          <w:rFonts w:ascii="Palatino Linotype" w:hAnsi="Palatino Linotype" w:cs="Arial"/>
          <w:bCs/>
          <w:sz w:val="24"/>
          <w:szCs w:val="24"/>
          <w:lang w:val="es-ES"/>
        </w:rPr>
        <w:t>Periódico Oficial del Gobierno del Estado Libre y Soberano de México “Gaceta del Gobierno”</w:t>
      </w:r>
      <w:r>
        <w:rPr>
          <w:rFonts w:ascii="Palatino Linotype" w:hAnsi="Palatino Linotype" w:cs="Arial"/>
          <w:bCs/>
          <w:sz w:val="24"/>
          <w:szCs w:val="24"/>
          <w:lang w:val="es-ES"/>
        </w:rPr>
        <w:t xml:space="preserve"> 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mismo que puede ser consultado en la siguiente liga electrónica: </w:t>
      </w:r>
    </w:p>
    <w:p w14:paraId="68EC4ED7" w14:textId="5B2520ED" w:rsidR="00134921" w:rsidRDefault="00086082" w:rsidP="00134921">
      <w:pPr>
        <w:autoSpaceDE w:val="0"/>
        <w:autoSpaceDN w:val="0"/>
        <w:adjustRightInd w:val="0"/>
        <w:spacing w:line="360" w:lineRule="auto"/>
        <w:ind w:right="141"/>
        <w:jc w:val="both"/>
      </w:pPr>
      <w:hyperlink r:id="rId37" w:history="1">
        <w:r w:rsidR="00134921" w:rsidRPr="00074433">
          <w:rPr>
            <w:rStyle w:val="Hipervnculo"/>
            <w:rFonts w:ascii="Palatino Linotype" w:hAnsi="Palatino Linotype"/>
            <w:sz w:val="24"/>
            <w:szCs w:val="24"/>
          </w:rPr>
          <w:t>https://www.infoem.org.mx/doc/normatividad/A_Acuerdo_mediante_el_cual_el_Pleno_del_INFOEM_modifica_el_Padron_de_Sujetos_Obligados_en_materia_de_Transparencia_y.pdf</w:t>
        </w:r>
      </w:hyperlink>
    </w:p>
    <w:p w14:paraId="7A180193" w14:textId="77777777" w:rsidR="00F94207" w:rsidRDefault="00F94207" w:rsidP="004570CC">
      <w:pPr>
        <w:pStyle w:val="Citas"/>
        <w:ind w:left="0" w:right="141"/>
        <w:rPr>
          <w:i w:val="0"/>
          <w:sz w:val="24"/>
          <w:szCs w:val="24"/>
        </w:rPr>
      </w:pPr>
    </w:p>
    <w:p w14:paraId="3A6D15D7" w14:textId="5855E3CB" w:rsidR="00134921" w:rsidRDefault="00134921" w:rsidP="004570CC">
      <w:pPr>
        <w:pStyle w:val="Citas"/>
        <w:ind w:left="0" w:right="141"/>
        <w:rPr>
          <w:i w:val="0"/>
          <w:sz w:val="24"/>
          <w:szCs w:val="24"/>
        </w:rPr>
      </w:pPr>
      <w:r>
        <w:rPr>
          <w:i w:val="0"/>
          <w:sz w:val="24"/>
          <w:szCs w:val="24"/>
        </w:rPr>
        <w:t xml:space="preserve">Resulta de nuestro interés la siguiente imagen ilustrativa: </w:t>
      </w:r>
    </w:p>
    <w:p w14:paraId="3F4CAB59" w14:textId="5F511A62" w:rsidR="00134921" w:rsidRDefault="006310D6" w:rsidP="004570CC">
      <w:pPr>
        <w:pStyle w:val="Citas"/>
        <w:ind w:left="0" w:right="141"/>
        <w:rPr>
          <w:i w:val="0"/>
          <w:sz w:val="24"/>
          <w:szCs w:val="24"/>
        </w:rPr>
      </w:pPr>
      <w:r>
        <w:rPr>
          <w:i w:val="0"/>
          <w:noProof/>
          <w:sz w:val="24"/>
          <w:szCs w:val="24"/>
          <w:lang w:eastAsia="es-MX"/>
        </w:rPr>
        <mc:AlternateContent>
          <mc:Choice Requires="wps">
            <w:drawing>
              <wp:anchor distT="0" distB="0" distL="114300" distR="114300" simplePos="0" relativeHeight="251745270" behindDoc="0" locked="0" layoutInCell="1" allowOverlap="1" wp14:anchorId="456E0781" wp14:editId="79107F5B">
                <wp:simplePos x="0" y="0"/>
                <wp:positionH relativeFrom="column">
                  <wp:posOffset>-118111</wp:posOffset>
                </wp:positionH>
                <wp:positionV relativeFrom="paragraph">
                  <wp:posOffset>140335</wp:posOffset>
                </wp:positionV>
                <wp:extent cx="6257925" cy="809625"/>
                <wp:effectExtent l="0" t="0" r="28575" b="28575"/>
                <wp:wrapNone/>
                <wp:docPr id="28" name="Conector recto 28"/>
                <wp:cNvGraphicFramePr/>
                <a:graphic xmlns:a="http://schemas.openxmlformats.org/drawingml/2006/main">
                  <a:graphicData uri="http://schemas.microsoft.com/office/word/2010/wordprocessingShape">
                    <wps:wsp>
                      <wps:cNvCnPr/>
                      <wps:spPr>
                        <a:xfrm>
                          <a:off x="0" y="0"/>
                          <a:ext cx="6257925"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30E54" id="Conector recto 28" o:spid="_x0000_s1026" style="position:absolute;z-index:251745270;visibility:visible;mso-wrap-style:square;mso-wrap-distance-left:9pt;mso-wrap-distance-top:0;mso-wrap-distance-right:9pt;mso-wrap-distance-bottom:0;mso-position-horizontal:absolute;mso-position-horizontal-relative:text;mso-position-vertical:absolute;mso-position-vertical-relative:text" from="-9.3pt,11.05pt" to="483.4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" strokecolor="#5b9bd5 [3204]" strokeweight=".5pt">
                <v:stroke joinstyle="miter"/>
              </v:line>
            </w:pict>
          </mc:Fallback>
        </mc:AlternateContent>
      </w:r>
    </w:p>
    <w:p w14:paraId="7B5645F4" w14:textId="77777777" w:rsidR="00134921" w:rsidRDefault="00134921" w:rsidP="004570CC">
      <w:pPr>
        <w:pStyle w:val="Citas"/>
        <w:ind w:left="0" w:right="141"/>
        <w:rPr>
          <w:i w:val="0"/>
          <w:sz w:val="24"/>
          <w:szCs w:val="24"/>
        </w:rPr>
      </w:pPr>
    </w:p>
    <w:p w14:paraId="64C2AD54" w14:textId="127D6410" w:rsidR="00134921" w:rsidRDefault="00134921" w:rsidP="004570CC">
      <w:pPr>
        <w:pStyle w:val="Citas"/>
        <w:ind w:left="0" w:right="141"/>
        <w:rPr>
          <w:i w:val="0"/>
          <w:sz w:val="24"/>
          <w:szCs w:val="24"/>
        </w:rPr>
      </w:pPr>
      <w:r>
        <w:rPr>
          <w:i w:val="0"/>
          <w:noProof/>
          <w:sz w:val="24"/>
          <w:szCs w:val="24"/>
          <w:lang w:eastAsia="es-MX"/>
        </w:rPr>
        <w:lastRenderedPageBreak/>
        <w:drawing>
          <wp:anchor distT="0" distB="0" distL="114300" distR="114300" simplePos="0" relativeHeight="251742198" behindDoc="0" locked="0" layoutInCell="1" allowOverlap="1" wp14:anchorId="3A8C8288" wp14:editId="0A333168">
            <wp:simplePos x="0" y="0"/>
            <wp:positionH relativeFrom="column">
              <wp:posOffset>-32385</wp:posOffset>
            </wp:positionH>
            <wp:positionV relativeFrom="paragraph">
              <wp:posOffset>19050</wp:posOffset>
            </wp:positionV>
            <wp:extent cx="5756910" cy="7486015"/>
            <wp:effectExtent l="19050" t="19050" r="15240" b="19685"/>
            <wp:wrapThrough wrapText="bothSides">
              <wp:wrapPolygon edited="0">
                <wp:start x="-71" y="-55"/>
                <wp:lineTo x="-71" y="21602"/>
                <wp:lineTo x="21586" y="21602"/>
                <wp:lineTo x="21586" y="-55"/>
                <wp:lineTo x="-71" y="-55"/>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7486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DE1EEB0" w14:textId="7B157186" w:rsidR="00134921" w:rsidRDefault="00134921" w:rsidP="00134921">
      <w:pPr>
        <w:autoSpaceDE w:val="0"/>
        <w:autoSpaceDN w:val="0"/>
        <w:adjustRightInd w:val="0"/>
        <w:spacing w:before="240" w:line="360" w:lineRule="auto"/>
        <w:jc w:val="both"/>
        <w:rPr>
          <w:rFonts w:ascii="Palatino Linotype" w:hAnsi="Palatino Linotype" w:cs="Arial"/>
          <w:bCs/>
          <w:sz w:val="24"/>
          <w:szCs w:val="24"/>
          <w:lang w:val="es-ES"/>
        </w:rPr>
      </w:pPr>
      <w:r>
        <w:rPr>
          <w:rFonts w:ascii="Palatino Linotype" w:hAnsi="Palatino Linotype" w:cs="Arial"/>
          <w:bCs/>
          <w:sz w:val="24"/>
          <w:szCs w:val="24"/>
          <w:lang w:val="es-ES"/>
        </w:rPr>
        <w:lastRenderedPageBreak/>
        <w:t>De ahí que deba arribarse a la conclusión de que la Gubernatura y el Poder Legislativo, fungen como sujetos obligados diversos</w:t>
      </w:r>
      <w:r w:rsidR="006310D6">
        <w:rPr>
          <w:rFonts w:ascii="Palatino Linotype" w:hAnsi="Palatino Linotype" w:cs="Arial"/>
          <w:bCs/>
          <w:sz w:val="24"/>
          <w:szCs w:val="24"/>
          <w:lang w:val="es-ES"/>
        </w:rPr>
        <w:t xml:space="preserve"> para efectos de transparencia, es decir, </w:t>
      </w:r>
      <w:r w:rsidR="006310D6">
        <w:rPr>
          <w:rFonts w:ascii="Palatino Linotype" w:hAnsi="Palatino Linotype" w:cs="Arial"/>
          <w:b/>
          <w:bCs/>
          <w:sz w:val="24"/>
          <w:szCs w:val="24"/>
          <w:lang w:val="es-ES"/>
        </w:rPr>
        <w:t xml:space="preserve">El Sujeto Obligado </w:t>
      </w:r>
      <w:r w:rsidR="006310D6">
        <w:rPr>
          <w:rFonts w:ascii="Palatino Linotype" w:hAnsi="Palatino Linotype" w:cs="Arial"/>
          <w:bCs/>
          <w:sz w:val="24"/>
          <w:szCs w:val="24"/>
          <w:lang w:val="es-ES"/>
        </w:rPr>
        <w:t xml:space="preserve">resulta parcialmente incompetente para atender los requerimientos formulados por el particular. </w:t>
      </w:r>
    </w:p>
    <w:p w14:paraId="39FDE64C" w14:textId="2B334A24" w:rsidR="002C00DC" w:rsidRDefault="002C00DC" w:rsidP="00134921">
      <w:pPr>
        <w:autoSpaceDE w:val="0"/>
        <w:autoSpaceDN w:val="0"/>
        <w:adjustRightInd w:val="0"/>
        <w:spacing w:before="240" w:line="360" w:lineRule="auto"/>
        <w:jc w:val="both"/>
        <w:rPr>
          <w:rFonts w:ascii="Palatino Linotype" w:hAnsi="Palatino Linotype" w:cs="Arial"/>
          <w:bCs/>
          <w:sz w:val="24"/>
          <w:szCs w:val="24"/>
          <w:lang w:val="es-ES"/>
        </w:rPr>
      </w:pPr>
      <w:r>
        <w:rPr>
          <w:rFonts w:ascii="Palatino Linotype" w:hAnsi="Palatino Linotype" w:cs="Arial"/>
          <w:bCs/>
          <w:sz w:val="24"/>
          <w:szCs w:val="24"/>
          <w:lang w:val="es-ES"/>
        </w:rPr>
        <w:t xml:space="preserve">Ahora bien, desde una perspectiva etimológica, se destaca que la palabra </w:t>
      </w:r>
      <w:r>
        <w:rPr>
          <w:rFonts w:ascii="Palatino Linotype" w:hAnsi="Palatino Linotype" w:cs="Arial"/>
          <w:b/>
          <w:bCs/>
          <w:sz w:val="24"/>
          <w:szCs w:val="24"/>
          <w:lang w:val="es-ES"/>
        </w:rPr>
        <w:t xml:space="preserve">incompetencia </w:t>
      </w:r>
      <w:r>
        <w:rPr>
          <w:rFonts w:ascii="Palatino Linotype" w:hAnsi="Palatino Linotype" w:cs="Arial"/>
          <w:bCs/>
          <w:sz w:val="24"/>
          <w:szCs w:val="24"/>
          <w:lang w:val="es-ES"/>
        </w:rPr>
        <w:t xml:space="preserve">proviene del latín </w:t>
      </w:r>
      <w:proofErr w:type="spellStart"/>
      <w:r>
        <w:rPr>
          <w:rFonts w:ascii="Palatino Linotype" w:hAnsi="Palatino Linotype" w:cs="Arial"/>
          <w:b/>
          <w:bCs/>
          <w:i/>
          <w:sz w:val="24"/>
          <w:szCs w:val="24"/>
          <w:lang w:val="es-ES"/>
        </w:rPr>
        <w:t>incompetentia</w:t>
      </w:r>
      <w:proofErr w:type="spellEnd"/>
      <w:r>
        <w:rPr>
          <w:rFonts w:ascii="Palatino Linotype" w:hAnsi="Palatino Linotype" w:cs="Arial"/>
          <w:b/>
          <w:bCs/>
          <w:i/>
          <w:sz w:val="24"/>
          <w:szCs w:val="24"/>
          <w:lang w:val="es-ES"/>
        </w:rPr>
        <w:t xml:space="preserve"> </w:t>
      </w:r>
      <w:r>
        <w:rPr>
          <w:rFonts w:ascii="Palatino Linotype" w:hAnsi="Palatino Linotype" w:cs="Arial"/>
          <w:bCs/>
          <w:sz w:val="24"/>
          <w:szCs w:val="24"/>
          <w:lang w:val="es-ES"/>
        </w:rPr>
        <w:t xml:space="preserve">(cualidad del que no lo busca o no lo sigue completamente), sus componentes léxicos son </w:t>
      </w:r>
      <w:r>
        <w:rPr>
          <w:rFonts w:ascii="Palatino Linotype" w:hAnsi="Palatino Linotype" w:cs="Arial"/>
          <w:b/>
          <w:bCs/>
          <w:i/>
          <w:sz w:val="24"/>
          <w:szCs w:val="24"/>
          <w:lang w:val="es-ES"/>
        </w:rPr>
        <w:t xml:space="preserve">in </w:t>
      </w:r>
      <w:r>
        <w:rPr>
          <w:rFonts w:ascii="Palatino Linotype" w:hAnsi="Palatino Linotype" w:cs="Arial"/>
          <w:bCs/>
          <w:sz w:val="24"/>
          <w:szCs w:val="24"/>
          <w:lang w:val="es-ES"/>
        </w:rPr>
        <w:t xml:space="preserve">(no), </w:t>
      </w:r>
      <w:r>
        <w:rPr>
          <w:rFonts w:ascii="Palatino Linotype" w:hAnsi="Palatino Linotype" w:cs="Arial"/>
          <w:b/>
          <w:bCs/>
          <w:i/>
          <w:sz w:val="24"/>
          <w:szCs w:val="24"/>
          <w:lang w:val="es-ES"/>
        </w:rPr>
        <w:t xml:space="preserve">con </w:t>
      </w:r>
      <w:r>
        <w:rPr>
          <w:rFonts w:ascii="Palatino Linotype" w:hAnsi="Palatino Linotype" w:cs="Arial"/>
          <w:bCs/>
          <w:sz w:val="24"/>
          <w:szCs w:val="24"/>
          <w:lang w:val="es-ES"/>
        </w:rPr>
        <w:t xml:space="preserve">(junto, todo), </w:t>
      </w:r>
      <w:proofErr w:type="spellStart"/>
      <w:r>
        <w:rPr>
          <w:rFonts w:ascii="Palatino Linotype" w:hAnsi="Palatino Linotype" w:cs="Arial"/>
          <w:b/>
          <w:bCs/>
          <w:i/>
          <w:sz w:val="24"/>
          <w:szCs w:val="24"/>
          <w:lang w:val="es-ES"/>
        </w:rPr>
        <w:t>petere</w:t>
      </w:r>
      <w:proofErr w:type="spellEnd"/>
      <w:r>
        <w:rPr>
          <w:rFonts w:ascii="Palatino Linotype" w:hAnsi="Palatino Linotype" w:cs="Arial"/>
          <w:b/>
          <w:bCs/>
          <w:i/>
          <w:sz w:val="24"/>
          <w:szCs w:val="24"/>
          <w:lang w:val="es-ES"/>
        </w:rPr>
        <w:t xml:space="preserve"> </w:t>
      </w:r>
      <w:r>
        <w:rPr>
          <w:rFonts w:ascii="Palatino Linotype" w:hAnsi="Palatino Linotype" w:cs="Arial"/>
          <w:bCs/>
          <w:sz w:val="24"/>
          <w:szCs w:val="24"/>
          <w:lang w:val="es-ES"/>
        </w:rPr>
        <w:t xml:space="preserve">(dirigirse a, buscar, atacar, pedir), más el sufijo </w:t>
      </w:r>
      <w:proofErr w:type="spellStart"/>
      <w:r>
        <w:rPr>
          <w:rFonts w:ascii="Palatino Linotype" w:hAnsi="Palatino Linotype" w:cs="Arial"/>
          <w:b/>
          <w:bCs/>
          <w:i/>
          <w:sz w:val="24"/>
          <w:szCs w:val="24"/>
          <w:lang w:val="es-ES"/>
        </w:rPr>
        <w:t>encia</w:t>
      </w:r>
      <w:proofErr w:type="spellEnd"/>
      <w:r>
        <w:rPr>
          <w:rFonts w:ascii="Palatino Linotype" w:hAnsi="Palatino Linotype" w:cs="Arial"/>
          <w:b/>
          <w:bCs/>
          <w:i/>
          <w:sz w:val="24"/>
          <w:szCs w:val="24"/>
          <w:lang w:val="es-ES"/>
        </w:rPr>
        <w:t xml:space="preserve"> </w:t>
      </w:r>
      <w:r>
        <w:rPr>
          <w:rFonts w:ascii="Palatino Linotype" w:hAnsi="Palatino Linotype" w:cs="Arial"/>
          <w:bCs/>
          <w:sz w:val="24"/>
          <w:szCs w:val="24"/>
          <w:lang w:val="es-ES"/>
        </w:rPr>
        <w:t>(cualidad de un agente)</w:t>
      </w:r>
    </w:p>
    <w:p w14:paraId="0590E91A" w14:textId="27052818" w:rsidR="00F1025E" w:rsidRDefault="00F1025E" w:rsidP="00134921">
      <w:pPr>
        <w:autoSpaceDE w:val="0"/>
        <w:autoSpaceDN w:val="0"/>
        <w:adjustRightInd w:val="0"/>
        <w:spacing w:before="240" w:line="360" w:lineRule="auto"/>
        <w:jc w:val="both"/>
        <w:rPr>
          <w:rFonts w:ascii="Palatino Linotype" w:hAnsi="Palatino Linotype" w:cs="Arial"/>
          <w:bCs/>
          <w:sz w:val="24"/>
          <w:szCs w:val="24"/>
          <w:lang w:val="es-ES"/>
        </w:rPr>
      </w:pPr>
      <w:r>
        <w:rPr>
          <w:rFonts w:ascii="Palatino Linotype" w:hAnsi="Palatino Linotype" w:cs="Arial"/>
          <w:bCs/>
          <w:sz w:val="24"/>
          <w:szCs w:val="24"/>
          <w:lang w:val="es-ES"/>
        </w:rPr>
        <w:t xml:space="preserve">Por su parte, la Real Academia Española define la palabra </w:t>
      </w:r>
      <w:r>
        <w:rPr>
          <w:rFonts w:ascii="Palatino Linotype" w:hAnsi="Palatino Linotype" w:cs="Arial"/>
          <w:b/>
          <w:bCs/>
          <w:sz w:val="24"/>
          <w:szCs w:val="24"/>
          <w:lang w:val="es-ES"/>
        </w:rPr>
        <w:t xml:space="preserve">incompetencia </w:t>
      </w:r>
      <w:r>
        <w:rPr>
          <w:rFonts w:ascii="Palatino Linotype" w:hAnsi="Palatino Linotype" w:cs="Arial"/>
          <w:bCs/>
          <w:sz w:val="24"/>
          <w:szCs w:val="24"/>
          <w:lang w:val="es-ES"/>
        </w:rPr>
        <w:t xml:space="preserve">en los siguientes términos: </w:t>
      </w:r>
    </w:p>
    <w:p w14:paraId="53825F70" w14:textId="297EE924" w:rsidR="002C00DC" w:rsidRPr="00F1025E" w:rsidRDefault="00F1025E" w:rsidP="00F1025E">
      <w:pPr>
        <w:pStyle w:val="Citas"/>
        <w:rPr>
          <w:b/>
        </w:rPr>
      </w:pPr>
      <w:r w:rsidRPr="007D545A">
        <w:t xml:space="preserve"> </w:t>
      </w:r>
      <w:r w:rsidR="002C00DC" w:rsidRPr="007D545A">
        <w:t xml:space="preserve">“1. </w:t>
      </w:r>
      <w:r>
        <w:t xml:space="preserve">Falta de competencia o de jurisdicción” </w:t>
      </w:r>
      <w:r>
        <w:rPr>
          <w:b/>
        </w:rPr>
        <w:t xml:space="preserve">[Sic] </w:t>
      </w:r>
    </w:p>
    <w:p w14:paraId="4B941C4F" w14:textId="77777777" w:rsidR="002C00DC" w:rsidRPr="00ED1D32" w:rsidRDefault="002C00DC" w:rsidP="002C00DC">
      <w:pPr>
        <w:pStyle w:val="Citas"/>
        <w:rPr>
          <w:b/>
        </w:rPr>
      </w:pPr>
    </w:p>
    <w:p w14:paraId="0C0EEDA0" w14:textId="00F8D2B3" w:rsidR="002C00DC" w:rsidRPr="00995FAD" w:rsidRDefault="002C00DC" w:rsidP="002C00D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Asimismo</w:t>
      </w:r>
      <w:r w:rsidRPr="00995FAD">
        <w:rPr>
          <w:rFonts w:ascii="Palatino Linotype" w:hAnsi="Palatino Linotype" w:cs="Arial"/>
        </w:rPr>
        <w:t xml:space="preserve">, Rafael de Pina (2013) en su obra </w:t>
      </w:r>
      <w:r w:rsidRPr="00995FAD">
        <w:rPr>
          <w:rFonts w:ascii="Palatino Linotype" w:hAnsi="Palatino Linotype" w:cs="Arial"/>
          <w:i/>
        </w:rPr>
        <w:t xml:space="preserve">“Diccionario de Derecho” </w:t>
      </w:r>
      <w:r w:rsidRPr="00995FAD">
        <w:rPr>
          <w:rFonts w:ascii="Palatino Linotype" w:hAnsi="Palatino Linotype" w:cs="Arial"/>
        </w:rPr>
        <w:t xml:space="preserve">delimita </w:t>
      </w:r>
      <w:r>
        <w:rPr>
          <w:rFonts w:ascii="Palatino Linotype" w:hAnsi="Palatino Linotype" w:cs="Arial"/>
        </w:rPr>
        <w:t>los alcances</w:t>
      </w:r>
      <w:r w:rsidRPr="00995FAD">
        <w:rPr>
          <w:rFonts w:ascii="Palatino Linotype" w:hAnsi="Palatino Linotype" w:cs="Arial"/>
        </w:rPr>
        <w:t xml:space="preserve"> </w:t>
      </w:r>
      <w:r>
        <w:rPr>
          <w:rFonts w:ascii="Palatino Linotype" w:hAnsi="Palatino Linotype" w:cs="Arial"/>
        </w:rPr>
        <w:t xml:space="preserve">jurídicos </w:t>
      </w:r>
      <w:r w:rsidRPr="00995FAD">
        <w:rPr>
          <w:rFonts w:ascii="Palatino Linotype" w:hAnsi="Palatino Linotype" w:cs="Arial"/>
        </w:rPr>
        <w:t>de la</w:t>
      </w:r>
      <w:r w:rsidR="00F1025E">
        <w:rPr>
          <w:rFonts w:ascii="Palatino Linotype" w:hAnsi="Palatino Linotype" w:cs="Arial"/>
        </w:rPr>
        <w:t>s</w:t>
      </w:r>
      <w:r w:rsidRPr="00995FAD">
        <w:rPr>
          <w:rFonts w:ascii="Palatino Linotype" w:hAnsi="Palatino Linotype" w:cs="Arial"/>
        </w:rPr>
        <w:t xml:space="preserve"> palabra</w:t>
      </w:r>
      <w:r w:rsidR="00F1025E">
        <w:rPr>
          <w:rFonts w:ascii="Palatino Linotype" w:hAnsi="Palatino Linotype" w:cs="Arial"/>
        </w:rPr>
        <w:t xml:space="preserve">s </w:t>
      </w:r>
      <w:r w:rsidR="00F1025E">
        <w:rPr>
          <w:rFonts w:ascii="Palatino Linotype" w:hAnsi="Palatino Linotype" w:cs="Arial"/>
          <w:b/>
          <w:i/>
        </w:rPr>
        <w:t xml:space="preserve">competencia </w:t>
      </w:r>
      <w:r w:rsidR="00F1025E">
        <w:rPr>
          <w:rFonts w:ascii="Palatino Linotype" w:hAnsi="Palatino Linotype" w:cs="Arial"/>
        </w:rPr>
        <w:t xml:space="preserve">e </w:t>
      </w:r>
      <w:r w:rsidRPr="00995FAD">
        <w:rPr>
          <w:rFonts w:ascii="Palatino Linotype" w:hAnsi="Palatino Linotype" w:cs="Arial"/>
        </w:rPr>
        <w:t xml:space="preserve"> </w:t>
      </w:r>
      <w:r w:rsidR="00F1025E">
        <w:rPr>
          <w:rFonts w:ascii="Palatino Linotype" w:hAnsi="Palatino Linotype" w:cs="Arial"/>
          <w:b/>
          <w:i/>
        </w:rPr>
        <w:t>incompetencia</w:t>
      </w:r>
      <w:r w:rsidRPr="00995FAD">
        <w:rPr>
          <w:rFonts w:ascii="Palatino Linotype" w:hAnsi="Palatino Linotype" w:cs="Arial"/>
          <w:b/>
          <w:i/>
        </w:rPr>
        <w:t xml:space="preserve"> </w:t>
      </w:r>
      <w:r w:rsidR="00F1025E">
        <w:rPr>
          <w:rFonts w:ascii="Palatino Linotype" w:hAnsi="Palatino Linotype" w:cs="Arial"/>
        </w:rPr>
        <w:t>al definirlas como:</w:t>
      </w:r>
    </w:p>
    <w:p w14:paraId="1D57BB74" w14:textId="31949F66" w:rsidR="00F1025E" w:rsidRDefault="002C00DC" w:rsidP="002C00DC">
      <w:pPr>
        <w:pStyle w:val="Citas"/>
      </w:pPr>
      <w:r>
        <w:t>“</w:t>
      </w:r>
      <w:r w:rsidR="00F1025E">
        <w:rPr>
          <w:b/>
        </w:rPr>
        <w:t xml:space="preserve">Competencia. </w:t>
      </w:r>
      <w:r w:rsidR="00F1025E">
        <w:t xml:space="preserve">Potestad de un órgano de jurisdicción para ejercerla en un caso concreto. </w:t>
      </w:r>
    </w:p>
    <w:p w14:paraId="6AF419F4" w14:textId="32DA7B64" w:rsidR="00F1025E" w:rsidRDefault="00F1025E" w:rsidP="002C00DC">
      <w:pPr>
        <w:pStyle w:val="Citas"/>
      </w:pPr>
      <w:r>
        <w:t>(…)</w:t>
      </w:r>
    </w:p>
    <w:p w14:paraId="02BC6FF7" w14:textId="7459BBFB" w:rsidR="00F1025E" w:rsidRPr="00F1025E" w:rsidRDefault="00F1025E" w:rsidP="002C00DC">
      <w:pPr>
        <w:pStyle w:val="Citas"/>
      </w:pPr>
      <w:r>
        <w:t xml:space="preserve">Idoneidad reconocida a un órgano de autoridad para dar vida a determinados actos jurídicos. </w:t>
      </w:r>
    </w:p>
    <w:p w14:paraId="4106E8B9" w14:textId="77777777" w:rsidR="00F1025E" w:rsidRDefault="00F1025E" w:rsidP="002C00DC">
      <w:pPr>
        <w:pStyle w:val="Citas"/>
      </w:pPr>
    </w:p>
    <w:p w14:paraId="33BECE52" w14:textId="49BF0A9C" w:rsidR="002C00DC" w:rsidRDefault="00F1025E" w:rsidP="002C00DC">
      <w:pPr>
        <w:pStyle w:val="Citas"/>
      </w:pPr>
      <w:r>
        <w:rPr>
          <w:b/>
        </w:rPr>
        <w:lastRenderedPageBreak/>
        <w:t xml:space="preserve">Incompetencia. </w:t>
      </w:r>
      <w:r>
        <w:t xml:space="preserve">Falta de competencia de un juez para entender en un asunto determinado. </w:t>
      </w:r>
    </w:p>
    <w:p w14:paraId="2E022FAA" w14:textId="57A724B4" w:rsidR="00F1025E" w:rsidRDefault="00F1025E" w:rsidP="002C00DC">
      <w:pPr>
        <w:pStyle w:val="Citas"/>
      </w:pPr>
      <w:r>
        <w:t>(…)</w:t>
      </w:r>
    </w:p>
    <w:p w14:paraId="4237FB76" w14:textId="05E9BE9B" w:rsidR="00F1025E" w:rsidRPr="00F1025E" w:rsidRDefault="00F1025E" w:rsidP="002C00DC">
      <w:pPr>
        <w:pStyle w:val="Citas"/>
        <w:rPr>
          <w:b/>
        </w:rPr>
      </w:pPr>
      <w:r>
        <w:t xml:space="preserve">La incompetencia del juez existe siempre que un órgano jurisdiccional pretende conocer de una cuestión que no le está reservada (incompetencia objetiva) y siempre que, no obstante ser de aquellas que lo están, el titular del órgano jurisdiccional se encuentra incurso en cualquiera de los impedimentos que dan motivo a la recusación (incompetencia subjetiva)” </w:t>
      </w:r>
      <w:r>
        <w:rPr>
          <w:b/>
        </w:rPr>
        <w:t xml:space="preserve">[Sic] </w:t>
      </w:r>
    </w:p>
    <w:p w14:paraId="18BF39B4" w14:textId="77777777" w:rsidR="006310D6" w:rsidRDefault="006310D6" w:rsidP="00134921">
      <w:pPr>
        <w:autoSpaceDE w:val="0"/>
        <w:autoSpaceDN w:val="0"/>
        <w:adjustRightInd w:val="0"/>
        <w:spacing w:before="240" w:line="360" w:lineRule="auto"/>
        <w:jc w:val="both"/>
        <w:rPr>
          <w:rFonts w:ascii="Palatino Linotype" w:hAnsi="Palatino Linotype" w:cs="Arial"/>
          <w:bCs/>
          <w:sz w:val="24"/>
          <w:szCs w:val="24"/>
          <w:lang w:val="es-ES"/>
        </w:rPr>
      </w:pPr>
    </w:p>
    <w:p w14:paraId="00B1184C" w14:textId="0F75B6C0" w:rsidR="006310D6" w:rsidRDefault="00AD17B5" w:rsidP="00134921">
      <w:pPr>
        <w:autoSpaceDE w:val="0"/>
        <w:autoSpaceDN w:val="0"/>
        <w:adjustRightInd w:val="0"/>
        <w:spacing w:before="240" w:line="360" w:lineRule="auto"/>
        <w:jc w:val="both"/>
        <w:rPr>
          <w:rFonts w:ascii="Palatino Linotype" w:hAnsi="Palatino Linotype" w:cs="Arial"/>
          <w:bCs/>
          <w:sz w:val="24"/>
          <w:szCs w:val="24"/>
          <w:lang w:val="es-ES"/>
        </w:rPr>
      </w:pPr>
      <w:r>
        <w:rPr>
          <w:rFonts w:ascii="Palatino Linotype" w:hAnsi="Palatino Linotype" w:cs="Arial"/>
          <w:bCs/>
          <w:sz w:val="24"/>
          <w:szCs w:val="24"/>
          <w:lang w:val="es-ES"/>
        </w:rPr>
        <w:t>Asimismo</w:t>
      </w:r>
      <w:r w:rsidR="00D84521">
        <w:rPr>
          <w:rFonts w:ascii="Palatino Linotype" w:hAnsi="Palatino Linotype" w:cs="Arial"/>
          <w:bCs/>
          <w:sz w:val="24"/>
          <w:szCs w:val="24"/>
          <w:lang w:val="es-ES"/>
        </w:rPr>
        <w:t xml:space="preserve">, resulta oportuno traer a colación el numeral </w:t>
      </w:r>
      <w:r>
        <w:rPr>
          <w:rFonts w:ascii="Palatino Linotype" w:hAnsi="Palatino Linotype" w:cs="Arial"/>
          <w:bCs/>
          <w:sz w:val="24"/>
          <w:szCs w:val="24"/>
          <w:lang w:val="es-ES"/>
        </w:rPr>
        <w:t xml:space="preserve">167 de la Ley de Transparencia vigente, cuyo contenido literal es el siguiente: </w:t>
      </w:r>
    </w:p>
    <w:p w14:paraId="402F02F4" w14:textId="56C13795" w:rsidR="00AD17B5" w:rsidRPr="00AD17B5" w:rsidRDefault="00AD17B5" w:rsidP="00AD17B5">
      <w:pPr>
        <w:pStyle w:val="Citas"/>
        <w:rPr>
          <w:b/>
          <w:u w:val="single"/>
        </w:rPr>
      </w:pPr>
      <w:r w:rsidRPr="00AD17B5">
        <w:rPr>
          <w:b/>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68BB79A8" w14:textId="77777777" w:rsidR="00AD17B5" w:rsidRDefault="00AD17B5" w:rsidP="00AD17B5">
      <w:pPr>
        <w:pStyle w:val="Citas"/>
      </w:pPr>
      <w: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70CAC259" w14:textId="02E57412" w:rsidR="00AD17B5" w:rsidRPr="00AD17B5" w:rsidRDefault="00AD17B5" w:rsidP="00AD17B5">
      <w:pPr>
        <w:pStyle w:val="Citas"/>
        <w:rPr>
          <w:b/>
          <w:bCs/>
          <w:sz w:val="24"/>
          <w:szCs w:val="24"/>
          <w:lang w:val="es-ES"/>
        </w:rPr>
      </w:pPr>
      <w:r>
        <w:lastRenderedPageBreak/>
        <w:t xml:space="preserve">Si transcurrido el plazo señalado en el primer párrafo de este artículo, el sujeto obligado no declina la competencia en los términos establecidos, podrá canalizar la solicitud ante el sujeto obligado competente.” </w:t>
      </w:r>
      <w:r>
        <w:rPr>
          <w:b/>
        </w:rPr>
        <w:t xml:space="preserve">[Sic] </w:t>
      </w:r>
    </w:p>
    <w:p w14:paraId="59D7959E" w14:textId="77777777" w:rsidR="00AD17B5" w:rsidRDefault="00AD17B5" w:rsidP="00134921">
      <w:pPr>
        <w:autoSpaceDE w:val="0"/>
        <w:autoSpaceDN w:val="0"/>
        <w:adjustRightInd w:val="0"/>
        <w:spacing w:before="240" w:line="360" w:lineRule="auto"/>
        <w:jc w:val="both"/>
        <w:rPr>
          <w:rFonts w:ascii="Palatino Linotype" w:hAnsi="Palatino Linotype" w:cs="Arial"/>
          <w:bCs/>
          <w:sz w:val="24"/>
          <w:szCs w:val="24"/>
          <w:lang w:val="es-ES"/>
        </w:rPr>
      </w:pPr>
    </w:p>
    <w:p w14:paraId="31F09CD9" w14:textId="66621DC7" w:rsidR="00AD17B5" w:rsidRPr="00AD17B5" w:rsidRDefault="00374703" w:rsidP="00134921">
      <w:pPr>
        <w:autoSpaceDE w:val="0"/>
        <w:autoSpaceDN w:val="0"/>
        <w:adjustRightInd w:val="0"/>
        <w:spacing w:before="240" w:line="360" w:lineRule="auto"/>
        <w:jc w:val="both"/>
        <w:rPr>
          <w:rFonts w:ascii="Palatino Linotype" w:hAnsi="Palatino Linotype" w:cs="Arial"/>
          <w:bCs/>
          <w:sz w:val="24"/>
          <w:szCs w:val="24"/>
          <w:lang w:val="es-ES"/>
        </w:rPr>
      </w:pPr>
      <w:r>
        <w:rPr>
          <w:rFonts w:ascii="Palatino Linotype" w:hAnsi="Palatino Linotype" w:cs="Arial"/>
          <w:bCs/>
          <w:sz w:val="24"/>
          <w:szCs w:val="24"/>
          <w:lang w:val="es-ES"/>
        </w:rPr>
        <w:t>Por otra parte</w:t>
      </w:r>
      <w:r w:rsidR="00AD17B5" w:rsidRPr="00AD17B5">
        <w:rPr>
          <w:rFonts w:ascii="Palatino Linotype" w:hAnsi="Palatino Linotype" w:cs="Arial"/>
          <w:bCs/>
          <w:sz w:val="24"/>
          <w:szCs w:val="24"/>
          <w:lang w:val="es-ES"/>
        </w:rPr>
        <w:t xml:space="preserve">, con relación a la incompetencia, </w:t>
      </w:r>
      <w:r>
        <w:rPr>
          <w:rFonts w:ascii="Palatino Linotype" w:hAnsi="Palatino Linotype" w:cs="Arial"/>
          <w:bCs/>
          <w:sz w:val="24"/>
          <w:szCs w:val="24"/>
          <w:lang w:val="es-ES"/>
        </w:rPr>
        <w:t>se complementan sus fronteras conceptuales mediante</w:t>
      </w:r>
      <w:r w:rsidR="00AD17B5" w:rsidRPr="00AD17B5">
        <w:rPr>
          <w:rFonts w:ascii="Palatino Linotype" w:hAnsi="Palatino Linotype" w:cs="Arial"/>
          <w:bCs/>
          <w:sz w:val="24"/>
          <w:szCs w:val="24"/>
          <w:lang w:val="es-ES"/>
        </w:rPr>
        <w:t xml:space="preserve"> el </w:t>
      </w:r>
      <w:r w:rsidR="00AD17B5" w:rsidRPr="00AD17B5">
        <w:rPr>
          <w:rFonts w:ascii="Palatino Linotype" w:hAnsi="Palatino Linotype" w:cs="Tahoma"/>
          <w:sz w:val="24"/>
          <w:szCs w:val="24"/>
          <w:lang w:val="es-ES"/>
        </w:rPr>
        <w:t xml:space="preserve">Criterio 13/17, </w:t>
      </w:r>
      <w:r w:rsidR="00AD17B5" w:rsidRPr="00AD17B5">
        <w:rPr>
          <w:rFonts w:ascii="Palatino Linotype" w:hAnsi="Palatino Linotype" w:cs="Tahoma"/>
          <w:sz w:val="24"/>
          <w:szCs w:val="24"/>
        </w:rPr>
        <w:t xml:space="preserve">emitido por el Instituto Nacional de Transparencia, Acceso a la Información y Protección de Datos Personales, que dispone a la literalidad lo siguiente: </w:t>
      </w:r>
    </w:p>
    <w:p w14:paraId="4C0D421B" w14:textId="41C57EA6" w:rsidR="00AD17B5" w:rsidRPr="00AD17B5" w:rsidRDefault="00AD17B5" w:rsidP="00AD17B5">
      <w:pPr>
        <w:pStyle w:val="INFOEM"/>
        <w:jc w:val="center"/>
        <w:rPr>
          <w:b/>
        </w:rPr>
      </w:pPr>
      <w:r>
        <w:rPr>
          <w:b/>
        </w:rPr>
        <w:t>“</w:t>
      </w:r>
      <w:r w:rsidRPr="00AD17B5">
        <w:rPr>
          <w:b/>
        </w:rPr>
        <w:t>INCOMPETENCIA.</w:t>
      </w:r>
    </w:p>
    <w:p w14:paraId="76BDF40A" w14:textId="33ADEDE3" w:rsidR="00AD17B5" w:rsidRDefault="00AD17B5" w:rsidP="00AD17B5">
      <w:pPr>
        <w:pStyle w:val="INFOEM"/>
      </w:pPr>
      <w: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09CEEA07" w14:textId="77777777" w:rsidR="00AD17B5" w:rsidRDefault="00AD17B5" w:rsidP="00AD17B5">
      <w:pPr>
        <w:pStyle w:val="INFOEM"/>
      </w:pPr>
      <w:r>
        <w:t>Resoluciones:</w:t>
      </w:r>
    </w:p>
    <w:p w14:paraId="50547761" w14:textId="77777777" w:rsidR="00AD17B5" w:rsidRDefault="00AD17B5" w:rsidP="00AD17B5">
      <w:pPr>
        <w:pStyle w:val="INFOEM"/>
      </w:pPr>
      <w:r>
        <w:t xml:space="preserve"> RRA 4437/16. Secretaría de Hacienda y Crédito Público. 25 de enero de 2017. Por unanimidad. Comisionada Ponente Ximena Puente de la Mora. </w:t>
      </w:r>
    </w:p>
    <w:p w14:paraId="3A1B1005" w14:textId="77777777" w:rsidR="00AD17B5" w:rsidRDefault="00AD17B5" w:rsidP="00AD17B5">
      <w:pPr>
        <w:pStyle w:val="INFOEM"/>
      </w:pPr>
      <w:r>
        <w:t xml:space="preserve">RRA 4401/16. Secretaría de Medio Ambiente y Recursos Naturales. 01 de febrero de 2017. Por unanimidad. Comisionado Ponente </w:t>
      </w:r>
      <w:proofErr w:type="spellStart"/>
      <w:r>
        <w:t>Rosendoevgueni</w:t>
      </w:r>
      <w:proofErr w:type="spellEnd"/>
      <w:r>
        <w:t xml:space="preserve"> Monterrey </w:t>
      </w:r>
      <w:proofErr w:type="spellStart"/>
      <w:r>
        <w:t>Chepov</w:t>
      </w:r>
      <w:proofErr w:type="spellEnd"/>
      <w:r>
        <w:t xml:space="preserve">. </w:t>
      </w:r>
    </w:p>
    <w:p w14:paraId="328BE7DF" w14:textId="4F9FD544" w:rsidR="00AD17B5" w:rsidRPr="00AD17B5" w:rsidRDefault="00AD17B5" w:rsidP="00AD17B5">
      <w:pPr>
        <w:pStyle w:val="INFOEM"/>
        <w:rPr>
          <w:rFonts w:cs="Arial"/>
          <w:b/>
          <w:bCs/>
          <w:sz w:val="24"/>
          <w:szCs w:val="24"/>
          <w:lang w:val="es-ES"/>
        </w:rPr>
      </w:pPr>
      <w:r>
        <w:t xml:space="preserve">RRA 0539/17. Secretaría de Economía. 01 de marzo de 2017. Por unanimidad. Comisionado Ponente Joel Salas Suárez” </w:t>
      </w:r>
      <w:r>
        <w:rPr>
          <w:b/>
        </w:rPr>
        <w:t xml:space="preserve">[Sic] </w:t>
      </w:r>
    </w:p>
    <w:p w14:paraId="70482136" w14:textId="77777777" w:rsidR="00AD17B5" w:rsidRDefault="00AD17B5" w:rsidP="00134921">
      <w:pPr>
        <w:autoSpaceDE w:val="0"/>
        <w:autoSpaceDN w:val="0"/>
        <w:adjustRightInd w:val="0"/>
        <w:spacing w:before="240" w:line="360" w:lineRule="auto"/>
        <w:jc w:val="both"/>
        <w:rPr>
          <w:rFonts w:ascii="Palatino Linotype" w:hAnsi="Palatino Linotype" w:cs="Arial"/>
          <w:bCs/>
          <w:sz w:val="24"/>
          <w:szCs w:val="24"/>
          <w:lang w:val="es-ES"/>
        </w:rPr>
      </w:pPr>
    </w:p>
    <w:p w14:paraId="18CBB824" w14:textId="77777777" w:rsidR="00AD17B5" w:rsidRPr="005833EE" w:rsidRDefault="00AD17B5" w:rsidP="00AD17B5">
      <w:pPr>
        <w:spacing w:line="360" w:lineRule="auto"/>
        <w:jc w:val="both"/>
        <w:rPr>
          <w:rFonts w:ascii="Palatino Linotype" w:hAnsi="Palatino Linotype" w:cs="Tahoma"/>
          <w:sz w:val="24"/>
          <w:szCs w:val="24"/>
          <w:lang w:val="es-ES_tradnl"/>
        </w:rPr>
      </w:pPr>
      <w:r w:rsidRPr="005833EE">
        <w:rPr>
          <w:rFonts w:ascii="Palatino Linotype" w:hAnsi="Palatino Linotype" w:cs="Tahoma"/>
          <w:sz w:val="24"/>
          <w:szCs w:val="24"/>
          <w:lang w:val="es-ES_tradnl"/>
        </w:rPr>
        <w:lastRenderedPageBreak/>
        <w:t xml:space="preserve">En tal virtud, la </w:t>
      </w:r>
      <w:r w:rsidRPr="005833EE">
        <w:rPr>
          <w:rFonts w:ascii="Palatino Linotype" w:hAnsi="Palatino Linotype" w:cs="Tahoma"/>
          <w:b/>
          <w:sz w:val="24"/>
          <w:szCs w:val="24"/>
          <w:lang w:val="es-ES_tradnl"/>
        </w:rPr>
        <w:t xml:space="preserve">incompetencia </w:t>
      </w:r>
      <w:r w:rsidRPr="005833EE">
        <w:rPr>
          <w:rFonts w:ascii="Palatino Linotype" w:hAnsi="Palatino Linotype" w:cs="Tahoma"/>
          <w:sz w:val="24"/>
          <w:szCs w:val="24"/>
          <w:lang w:val="es-ES_tradnl"/>
        </w:rPr>
        <w:t>implica que de conformidad con las atribuciones conferidas al sujeto obligado, no habría razón por la cual éste deba contar con la información solicitada, en cuyo caso, tendría que orientar al particular para que acuda a la instancia competente.</w:t>
      </w:r>
    </w:p>
    <w:p w14:paraId="7B928C42" w14:textId="77777777" w:rsidR="005833EE" w:rsidRPr="005833EE" w:rsidRDefault="005833EE" w:rsidP="005833EE">
      <w:pPr>
        <w:spacing w:line="360" w:lineRule="auto"/>
        <w:jc w:val="both"/>
        <w:rPr>
          <w:rFonts w:ascii="Palatino Linotype" w:hAnsi="Palatino Linotype" w:cs="Tahoma"/>
          <w:sz w:val="24"/>
          <w:szCs w:val="24"/>
        </w:rPr>
      </w:pPr>
      <w:r w:rsidRPr="005833EE">
        <w:rPr>
          <w:rFonts w:ascii="Palatino Linotype" w:hAnsi="Palatino Linotype" w:cs="Tahoma"/>
          <w:sz w:val="24"/>
          <w:szCs w:val="24"/>
          <w:lang w:val="es-ES_tradnl"/>
        </w:rPr>
        <w:t xml:space="preserve">Finalmente, con relación a la incompetencia se destaca que el particular </w:t>
      </w:r>
      <w:r w:rsidRPr="005833EE">
        <w:rPr>
          <w:rFonts w:ascii="Palatino Linotype" w:hAnsi="Palatino Linotype" w:cs="Tahoma"/>
          <w:sz w:val="24"/>
          <w:szCs w:val="24"/>
        </w:rPr>
        <w:t xml:space="preserve">puede acceder a la convocatoria para la elección de los Comisionados y Comisionadas que actualmente integran el Pleno de este Instituto, visible en el enlace: </w:t>
      </w:r>
    </w:p>
    <w:p w14:paraId="0329FC27" w14:textId="77777777" w:rsidR="005833EE" w:rsidRPr="005833EE" w:rsidRDefault="00086082" w:rsidP="005833EE">
      <w:pPr>
        <w:spacing w:line="360" w:lineRule="auto"/>
        <w:jc w:val="both"/>
        <w:rPr>
          <w:rFonts w:ascii="Palatino Linotype" w:hAnsi="Palatino Linotype" w:cs="Tahoma"/>
          <w:sz w:val="24"/>
          <w:szCs w:val="24"/>
        </w:rPr>
      </w:pPr>
      <w:hyperlink r:id="rId39" w:history="1">
        <w:r w:rsidR="005833EE" w:rsidRPr="005833EE">
          <w:rPr>
            <w:rStyle w:val="Hipervnculo"/>
            <w:rFonts w:ascii="Palatino Linotype" w:hAnsi="Palatino Linotype" w:cs="Tahoma"/>
            <w:sz w:val="24"/>
            <w:szCs w:val="24"/>
          </w:rPr>
          <w:t>https://legislacion.edomex.gob.mx/sites/legislacion.edomex.gob.mx/files/files/pdf/gct/2021/julio/jul282/jul282b.pdf</w:t>
        </w:r>
      </w:hyperlink>
      <w:r w:rsidR="005833EE" w:rsidRPr="005833EE">
        <w:rPr>
          <w:rFonts w:ascii="Palatino Linotype" w:hAnsi="Palatino Linotype" w:cs="Tahoma"/>
          <w:sz w:val="24"/>
          <w:szCs w:val="24"/>
        </w:rPr>
        <w:t xml:space="preserve"> </w:t>
      </w:r>
    </w:p>
    <w:p w14:paraId="2A7218C9" w14:textId="322706C0" w:rsidR="005833EE" w:rsidRPr="005833EE" w:rsidRDefault="005833EE" w:rsidP="005833EE">
      <w:pPr>
        <w:spacing w:line="360" w:lineRule="auto"/>
        <w:jc w:val="both"/>
        <w:rPr>
          <w:rFonts w:ascii="Palatino Linotype" w:hAnsi="Palatino Linotype" w:cs="Tahoma"/>
          <w:sz w:val="24"/>
          <w:szCs w:val="24"/>
        </w:rPr>
      </w:pPr>
      <w:r w:rsidRPr="005833EE">
        <w:rPr>
          <w:rFonts w:ascii="Palatino Linotype" w:hAnsi="Palatino Linotype" w:cs="Tahoma"/>
          <w:sz w:val="24"/>
          <w:szCs w:val="24"/>
        </w:rPr>
        <w:t xml:space="preserve">Convocatoria que conforme a la normatividad aplicable no prevé la participación del Titular del Poder Ejecutivo del Estado de México. </w:t>
      </w:r>
    </w:p>
    <w:p w14:paraId="31F38BD8" w14:textId="1CE0C2A9" w:rsidR="007144CD" w:rsidRDefault="007144CD" w:rsidP="00134921">
      <w:pPr>
        <w:autoSpaceDE w:val="0"/>
        <w:autoSpaceDN w:val="0"/>
        <w:adjustRightInd w:val="0"/>
        <w:spacing w:before="240" w:line="360" w:lineRule="auto"/>
        <w:jc w:val="both"/>
        <w:rPr>
          <w:rFonts w:ascii="Palatino Linotype" w:hAnsi="Palatino Linotype" w:cs="Arial"/>
          <w:bCs/>
          <w:sz w:val="24"/>
          <w:szCs w:val="24"/>
          <w:lang w:val="es-ES"/>
        </w:rPr>
      </w:pPr>
      <w:r>
        <w:rPr>
          <w:rFonts w:ascii="Palatino Linotype" w:hAnsi="Palatino Linotype" w:cs="Arial"/>
          <w:bCs/>
          <w:sz w:val="24"/>
          <w:szCs w:val="24"/>
          <w:lang w:val="es-ES"/>
        </w:rPr>
        <w:t xml:space="preserve">Una vez sentado lo anterior, </w:t>
      </w:r>
      <w:r w:rsidR="00EC5FE4">
        <w:rPr>
          <w:rFonts w:ascii="Palatino Linotype" w:hAnsi="Palatino Linotype" w:cs="Arial"/>
          <w:bCs/>
          <w:sz w:val="24"/>
          <w:szCs w:val="24"/>
          <w:lang w:val="es-ES"/>
        </w:rPr>
        <w:t xml:space="preserve">como se mencionó en el antecedente segundo, </w:t>
      </w:r>
      <w:r w:rsidR="00EC5FE4">
        <w:rPr>
          <w:rFonts w:ascii="Palatino Linotype" w:hAnsi="Palatino Linotype" w:cs="Arial"/>
          <w:b/>
          <w:bCs/>
          <w:sz w:val="24"/>
          <w:szCs w:val="24"/>
          <w:lang w:val="es-ES"/>
        </w:rPr>
        <w:t xml:space="preserve">El Sujeto Obligado </w:t>
      </w:r>
      <w:r w:rsidR="00EC5FE4">
        <w:rPr>
          <w:rFonts w:ascii="Palatino Linotype" w:hAnsi="Palatino Linotype" w:cs="Arial"/>
          <w:bCs/>
          <w:sz w:val="24"/>
          <w:szCs w:val="24"/>
          <w:lang w:val="es-ES"/>
        </w:rPr>
        <w:t xml:space="preserve">en fecha catorce de julio de dos mil veintiuno, rindió su respuesta a la solicitud de información formulada por el particular, adjuntando para tal efecto lo siguiente: </w:t>
      </w:r>
    </w:p>
    <w:p w14:paraId="75988B5B" w14:textId="204F1141" w:rsidR="00EC5FE4" w:rsidRPr="00EC5FE4" w:rsidRDefault="00EC5FE4" w:rsidP="009D605B">
      <w:pPr>
        <w:pStyle w:val="Prrafodelista"/>
        <w:numPr>
          <w:ilvl w:val="0"/>
          <w:numId w:val="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 xml:space="preserve">“0149 respuesta 2021.pdf”: </w:t>
      </w:r>
      <w:r>
        <w:rPr>
          <w:rFonts w:ascii="Palatino Linotype" w:hAnsi="Palatino Linotype" w:cs="Arial"/>
          <w:bCs/>
        </w:rPr>
        <w:t xml:space="preserve">Oficio </w:t>
      </w:r>
      <w:r>
        <w:rPr>
          <w:rFonts w:ascii="Palatino Linotype" w:hAnsi="Palatino Linotype" w:cs="Arial"/>
          <w:b/>
          <w:bCs/>
        </w:rPr>
        <w:t xml:space="preserve">UTG/00174/2021 </w:t>
      </w:r>
      <w:r>
        <w:rPr>
          <w:rFonts w:ascii="Palatino Linotype" w:hAnsi="Palatino Linotype" w:cs="Arial"/>
          <w:bCs/>
        </w:rPr>
        <w:t xml:space="preserve">signado por el Titular de la Unidad de Transparencia de la Gubernatura del Estado de México y dirigido al solicitante, en lo medular invoca el contenido del numeral 30 de la Ley de Transparencia local vigente, </w:t>
      </w:r>
      <w:r w:rsidRPr="007C0E89">
        <w:rPr>
          <w:rFonts w:ascii="Palatino Linotype" w:hAnsi="Palatino Linotype" w:cs="Arial"/>
          <w:b/>
          <w:bCs/>
          <w:u w:val="single"/>
        </w:rPr>
        <w:t>declinando competencia</w:t>
      </w:r>
      <w:r>
        <w:rPr>
          <w:rFonts w:ascii="Palatino Linotype" w:hAnsi="Palatino Linotype" w:cs="Arial"/>
          <w:bCs/>
        </w:rPr>
        <w:t xml:space="preserve"> y orientando al particular a efecto de formular su solicitud de información ante el Poder Legislativo y ante los Partidos Políticos Registrados ante el Instituto Nacional Electoral; de fecha catorce de julio de dos mil veintiuno. </w:t>
      </w:r>
    </w:p>
    <w:p w14:paraId="4BF407F6" w14:textId="77777777" w:rsidR="003C0EFA" w:rsidRDefault="007C0E89" w:rsidP="00EC5FE4">
      <w:pPr>
        <w:autoSpaceDE w:val="0"/>
        <w:autoSpaceDN w:val="0"/>
        <w:adjustRightInd w:val="0"/>
        <w:spacing w:before="240" w:line="360" w:lineRule="auto"/>
        <w:jc w:val="both"/>
        <w:rPr>
          <w:rFonts w:ascii="Palatino Linotype" w:hAnsi="Palatino Linotype" w:cs="Tahoma"/>
          <w:b/>
          <w:sz w:val="24"/>
          <w:szCs w:val="24"/>
          <w:lang w:val="es-ES_tradnl"/>
        </w:rPr>
      </w:pPr>
      <w:r w:rsidRPr="007C0E89">
        <w:rPr>
          <w:rFonts w:ascii="Palatino Linotype" w:hAnsi="Palatino Linotype" w:cs="Arial"/>
          <w:bCs/>
          <w:sz w:val="24"/>
          <w:szCs w:val="24"/>
        </w:rPr>
        <w:lastRenderedPageBreak/>
        <w:t xml:space="preserve">Luego entonces no resulta desapercibido para esta Ponencia Resolutora que la respuesta primigenia </w:t>
      </w:r>
      <w:r w:rsidRPr="007C0E89">
        <w:rPr>
          <w:rFonts w:ascii="Palatino Linotype" w:hAnsi="Palatino Linotype" w:cs="Arial"/>
          <w:b/>
          <w:bCs/>
          <w:sz w:val="24"/>
          <w:szCs w:val="24"/>
        </w:rPr>
        <w:t xml:space="preserve">El Sujeto Obligado </w:t>
      </w:r>
      <w:r w:rsidRPr="007C0E89">
        <w:rPr>
          <w:rFonts w:ascii="Palatino Linotype" w:hAnsi="Palatino Linotype" w:cs="Arial"/>
          <w:bCs/>
          <w:sz w:val="24"/>
          <w:szCs w:val="24"/>
        </w:rPr>
        <w:t xml:space="preserve">se encuentra encauzada a declinar competencia, pronunciamiento emitido dentro del término previsto en el numeral 167 de la </w:t>
      </w:r>
      <w:r w:rsidRPr="007C0E89">
        <w:rPr>
          <w:rFonts w:ascii="Palatino Linotype" w:eastAsia="Calibri" w:hAnsi="Palatino Linotype" w:cs="Tahoma"/>
          <w:bCs/>
          <w:sz w:val="24"/>
          <w:szCs w:val="24"/>
          <w:lang w:val="es-ES_tradnl"/>
        </w:rPr>
        <w:t xml:space="preserve">Ley de Transparencia y Acceso a la Información Pública del Estado de México y Municipios; pues la </w:t>
      </w:r>
      <w:r w:rsidRPr="007C0E89">
        <w:rPr>
          <w:rFonts w:ascii="Palatino Linotype" w:hAnsi="Palatino Linotype" w:cs="Tahoma"/>
          <w:sz w:val="24"/>
          <w:szCs w:val="24"/>
          <w:lang w:val="es-ES_tradnl"/>
        </w:rPr>
        <w:t>solicitud de información ingreso al Sistema de Acceso a la Información Mexiquense (SAIMEX) en fecha nueve de julio de dos mil veintiuno y la respuesta fue entregada el catorce de julio de dos mil veintiuno</w:t>
      </w:r>
      <w:r>
        <w:rPr>
          <w:rFonts w:ascii="Palatino Linotype" w:hAnsi="Palatino Linotype" w:cs="Tahoma"/>
          <w:sz w:val="24"/>
          <w:szCs w:val="24"/>
          <w:lang w:val="es-ES_tradnl"/>
        </w:rPr>
        <w:t xml:space="preserve"> </w:t>
      </w:r>
      <w:r>
        <w:rPr>
          <w:rFonts w:ascii="Palatino Linotype" w:hAnsi="Palatino Linotype" w:cs="Tahoma"/>
          <w:b/>
          <w:sz w:val="24"/>
          <w:szCs w:val="24"/>
          <w:lang w:val="es-ES_tradnl"/>
        </w:rPr>
        <w:t xml:space="preserve">(al tercer día hábil). </w:t>
      </w:r>
    </w:p>
    <w:p w14:paraId="00FF711B" w14:textId="1E84DAF5" w:rsidR="007C0E89" w:rsidRDefault="003C0EFA" w:rsidP="00EC5FE4">
      <w:pPr>
        <w:autoSpaceDE w:val="0"/>
        <w:autoSpaceDN w:val="0"/>
        <w:adjustRightInd w:val="0"/>
        <w:spacing w:before="240" w:line="360" w:lineRule="auto"/>
        <w:jc w:val="both"/>
        <w:rPr>
          <w:rFonts w:ascii="Palatino Linotype" w:hAnsi="Palatino Linotype" w:cs="Tahoma"/>
          <w:b/>
          <w:sz w:val="24"/>
          <w:szCs w:val="24"/>
          <w:lang w:val="es-ES_tradnl"/>
        </w:rPr>
      </w:pPr>
      <w:r>
        <w:rPr>
          <w:rFonts w:ascii="Palatino Linotype" w:hAnsi="Palatino Linotype" w:cs="Tahoma"/>
          <w:sz w:val="24"/>
          <w:szCs w:val="24"/>
          <w:lang w:val="es-ES_tradnl"/>
        </w:rPr>
        <w:t xml:space="preserve">Sirve de sustento la siguiente imagen ilustrativa correspondiente al expediente electrónico de la solicitud de información </w:t>
      </w:r>
      <w:r w:rsidRPr="003C0EFA">
        <w:rPr>
          <w:rFonts w:ascii="Palatino Linotype" w:hAnsi="Palatino Linotype" w:cs="Tahoma"/>
          <w:b/>
          <w:sz w:val="24"/>
          <w:szCs w:val="24"/>
          <w:lang w:val="es-ES_tradnl"/>
        </w:rPr>
        <w:t>00149/GUBERNA/IP/2021</w:t>
      </w:r>
      <w:r>
        <w:rPr>
          <w:rFonts w:ascii="Palatino Linotype" w:hAnsi="Palatino Linotype" w:cs="Tahoma"/>
          <w:b/>
          <w:sz w:val="24"/>
          <w:szCs w:val="24"/>
          <w:lang w:val="es-ES_tradnl"/>
        </w:rPr>
        <w:t>:</w:t>
      </w:r>
    </w:p>
    <w:p w14:paraId="46825C9F" w14:textId="70F99FA6" w:rsidR="003C0EFA" w:rsidRDefault="00086082" w:rsidP="00EC5FE4">
      <w:pPr>
        <w:autoSpaceDE w:val="0"/>
        <w:autoSpaceDN w:val="0"/>
        <w:adjustRightInd w:val="0"/>
        <w:spacing w:before="240" w:line="360" w:lineRule="auto"/>
        <w:jc w:val="both"/>
        <w:rPr>
          <w:rFonts w:ascii="Palatino Linotype" w:hAnsi="Palatino Linotype" w:cs="Tahoma"/>
          <w:b/>
          <w:sz w:val="24"/>
          <w:szCs w:val="24"/>
          <w:lang w:val="es-ES_tradnl"/>
        </w:rPr>
      </w:pPr>
      <w:r>
        <w:rPr>
          <w:rFonts w:ascii="Palatino Linotype" w:hAnsi="Palatino Linotype" w:cs="Tahoma"/>
          <w:b/>
          <w:noProof/>
          <w:sz w:val="24"/>
          <w:szCs w:val="24"/>
          <w:lang w:eastAsia="es-MX"/>
        </w:rPr>
        <w:drawing>
          <wp:inline distT="0" distB="0" distL="0" distR="0" wp14:anchorId="2C317F39" wp14:editId="73F0EF1F">
            <wp:extent cx="5649443" cy="3532471"/>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2526" cy="3540651"/>
                    </a:xfrm>
                    <a:prstGeom prst="rect">
                      <a:avLst/>
                    </a:prstGeom>
                    <a:noFill/>
                    <a:ln>
                      <a:noFill/>
                    </a:ln>
                  </pic:spPr>
                </pic:pic>
              </a:graphicData>
            </a:graphic>
          </wp:inline>
        </w:drawing>
      </w:r>
    </w:p>
    <w:p w14:paraId="671DEB6B" w14:textId="77777777" w:rsidR="00086082" w:rsidRDefault="00086082" w:rsidP="00EC5FE4">
      <w:pPr>
        <w:autoSpaceDE w:val="0"/>
        <w:autoSpaceDN w:val="0"/>
        <w:adjustRightInd w:val="0"/>
        <w:spacing w:before="240" w:line="360" w:lineRule="auto"/>
        <w:jc w:val="both"/>
        <w:rPr>
          <w:rFonts w:ascii="Palatino Linotype" w:hAnsi="Palatino Linotype" w:cs="Tahoma"/>
          <w:b/>
          <w:sz w:val="24"/>
          <w:szCs w:val="24"/>
          <w:lang w:val="es-ES_tradnl"/>
        </w:rPr>
      </w:pPr>
    </w:p>
    <w:p w14:paraId="1AE8291D" w14:textId="0539C0C4" w:rsidR="00EC5FE4" w:rsidRPr="00443596" w:rsidRDefault="003C0EFA" w:rsidP="00EC5FE4">
      <w:pPr>
        <w:autoSpaceDE w:val="0"/>
        <w:autoSpaceDN w:val="0"/>
        <w:adjustRightInd w:val="0"/>
        <w:spacing w:before="240" w:line="360" w:lineRule="auto"/>
        <w:jc w:val="both"/>
        <w:rPr>
          <w:rFonts w:ascii="Palatino Linotype" w:hAnsi="Palatino Linotype" w:cs="Arial"/>
          <w:bCs/>
          <w:sz w:val="24"/>
          <w:szCs w:val="24"/>
        </w:rPr>
      </w:pPr>
      <w:r>
        <w:rPr>
          <w:rFonts w:ascii="Palatino Linotype" w:hAnsi="Palatino Linotype" w:cs="Arial"/>
          <w:bCs/>
          <w:sz w:val="24"/>
          <w:szCs w:val="24"/>
        </w:rPr>
        <w:lastRenderedPageBreak/>
        <w:t>Luego entonces se advierte que</w:t>
      </w:r>
      <w:r w:rsidR="00B85C41" w:rsidRPr="00443596">
        <w:rPr>
          <w:rFonts w:ascii="Palatino Linotype" w:hAnsi="Palatino Linotype" w:cs="Arial"/>
          <w:bCs/>
          <w:sz w:val="24"/>
          <w:szCs w:val="24"/>
        </w:rPr>
        <w:t xml:space="preserve"> la respuesta primigenia del </w:t>
      </w:r>
      <w:r w:rsidR="00B85C41" w:rsidRPr="00443596">
        <w:rPr>
          <w:rFonts w:ascii="Palatino Linotype" w:hAnsi="Palatino Linotype" w:cs="Arial"/>
          <w:b/>
          <w:bCs/>
          <w:sz w:val="24"/>
          <w:szCs w:val="24"/>
        </w:rPr>
        <w:t>Sujeto Obliga</w:t>
      </w:r>
      <w:bookmarkStart w:id="0" w:name="_GoBack"/>
      <w:bookmarkEnd w:id="0"/>
      <w:r w:rsidR="00B85C41" w:rsidRPr="00443596">
        <w:rPr>
          <w:rFonts w:ascii="Palatino Linotype" w:hAnsi="Palatino Linotype" w:cs="Arial"/>
          <w:b/>
          <w:bCs/>
          <w:sz w:val="24"/>
          <w:szCs w:val="24"/>
        </w:rPr>
        <w:t xml:space="preserve">do </w:t>
      </w:r>
      <w:r w:rsidR="00B85C41" w:rsidRPr="00443596">
        <w:rPr>
          <w:rFonts w:ascii="Palatino Linotype" w:hAnsi="Palatino Linotype" w:cs="Arial"/>
          <w:bCs/>
          <w:sz w:val="24"/>
          <w:szCs w:val="24"/>
        </w:rPr>
        <w:t xml:space="preserve">es susceptible de colmar parcialmente la solicitud de información </w:t>
      </w:r>
      <w:r w:rsidR="00B85C41" w:rsidRPr="00443596">
        <w:rPr>
          <w:rFonts w:ascii="Palatino Linotype" w:hAnsi="Palatino Linotype" w:cs="Arial"/>
          <w:b/>
          <w:bCs/>
          <w:sz w:val="24"/>
          <w:szCs w:val="24"/>
        </w:rPr>
        <w:t xml:space="preserve">00149/GUBERNA/IP/2021, </w:t>
      </w:r>
      <w:r w:rsidR="00B85C41" w:rsidRPr="00443596">
        <w:rPr>
          <w:rFonts w:ascii="Palatino Linotype" w:hAnsi="Palatino Linotype" w:cs="Arial"/>
          <w:bCs/>
          <w:sz w:val="24"/>
          <w:szCs w:val="24"/>
        </w:rPr>
        <w:t xml:space="preserve">únicamente por cuanto hace a la información requerida respecto del </w:t>
      </w:r>
      <w:proofErr w:type="spellStart"/>
      <w:r w:rsidR="00B85C41" w:rsidRPr="00443596">
        <w:rPr>
          <w:rFonts w:ascii="Palatino Linotype" w:hAnsi="Palatino Linotype" w:cs="Arial"/>
          <w:bCs/>
          <w:sz w:val="24"/>
          <w:szCs w:val="24"/>
        </w:rPr>
        <w:t>Mtro</w:t>
      </w:r>
      <w:proofErr w:type="spellEnd"/>
      <w:r w:rsidR="00B85C41" w:rsidRPr="00443596">
        <w:rPr>
          <w:rFonts w:ascii="Palatino Linotype" w:hAnsi="Palatino Linotype" w:cs="Arial"/>
          <w:bCs/>
          <w:sz w:val="24"/>
          <w:szCs w:val="24"/>
        </w:rPr>
        <w:t xml:space="preserve"> José Guadalupe Luna Hernández (nombramiento y sustitución) y el Mtro. Luis Gustavo Parra Noriega (nombramiento). </w:t>
      </w:r>
    </w:p>
    <w:p w14:paraId="7093FE7B" w14:textId="0F1A4FB7" w:rsidR="00B85C41" w:rsidRDefault="00443596" w:rsidP="00EC5FE4">
      <w:pPr>
        <w:autoSpaceDE w:val="0"/>
        <w:autoSpaceDN w:val="0"/>
        <w:adjustRightInd w:val="0"/>
        <w:spacing w:before="240" w:line="360" w:lineRule="auto"/>
        <w:jc w:val="both"/>
        <w:rPr>
          <w:rFonts w:ascii="Palatino Linotype" w:hAnsi="Palatino Linotype" w:cs="Arial"/>
          <w:bCs/>
          <w:sz w:val="24"/>
          <w:szCs w:val="24"/>
        </w:rPr>
      </w:pPr>
      <w:r w:rsidRPr="00443596">
        <w:rPr>
          <w:rFonts w:ascii="Palatino Linotype" w:hAnsi="Palatino Linotype" w:cs="Arial"/>
          <w:bCs/>
          <w:sz w:val="24"/>
          <w:szCs w:val="24"/>
        </w:rPr>
        <w:t xml:space="preserve">Inconforme con la respuesta rendida por </w:t>
      </w:r>
      <w:r w:rsidRPr="00443596">
        <w:rPr>
          <w:rFonts w:ascii="Palatino Linotype" w:hAnsi="Palatino Linotype" w:cs="Arial"/>
          <w:b/>
          <w:bCs/>
          <w:sz w:val="24"/>
          <w:szCs w:val="24"/>
        </w:rPr>
        <w:t xml:space="preserve">El Sujeto Obligado, El Recurrente </w:t>
      </w:r>
      <w:r>
        <w:rPr>
          <w:rFonts w:ascii="Palatino Linotype" w:hAnsi="Palatino Linotype" w:cs="Arial"/>
          <w:bCs/>
          <w:sz w:val="24"/>
          <w:szCs w:val="24"/>
        </w:rPr>
        <w:t xml:space="preserve">interpuso recurso de revisión en fecha </w:t>
      </w:r>
      <w:r w:rsidR="008431BC">
        <w:rPr>
          <w:rFonts w:ascii="Palatino Linotype" w:hAnsi="Palatino Linotype" w:cs="Arial"/>
          <w:bCs/>
          <w:sz w:val="24"/>
          <w:szCs w:val="24"/>
        </w:rPr>
        <w:t>dos</w:t>
      </w:r>
      <w:r>
        <w:rPr>
          <w:rFonts w:ascii="Palatino Linotype" w:hAnsi="Palatino Linotype" w:cs="Arial"/>
          <w:bCs/>
          <w:sz w:val="24"/>
          <w:szCs w:val="24"/>
        </w:rPr>
        <w:t xml:space="preserve"> de agosto, admitiéndose el </w:t>
      </w:r>
      <w:r w:rsidR="008431BC">
        <w:rPr>
          <w:rFonts w:ascii="Palatino Linotype" w:hAnsi="Palatino Linotype" w:cs="Arial"/>
          <w:bCs/>
          <w:sz w:val="24"/>
          <w:szCs w:val="24"/>
        </w:rPr>
        <w:t>cuatro de agosto</w:t>
      </w:r>
      <w:r>
        <w:rPr>
          <w:rFonts w:ascii="Palatino Linotype" w:hAnsi="Palatino Linotype" w:cs="Arial"/>
          <w:bCs/>
          <w:sz w:val="24"/>
          <w:szCs w:val="24"/>
        </w:rPr>
        <w:t xml:space="preserve">, ambos de dos mil veintiuno. Señalando como razones o motivos de inconformidad: </w:t>
      </w:r>
    </w:p>
    <w:p w14:paraId="544B2FF6" w14:textId="286424A3" w:rsidR="00443596" w:rsidRPr="00443596" w:rsidRDefault="00443596" w:rsidP="00443596">
      <w:pPr>
        <w:pStyle w:val="INFOEM"/>
        <w:rPr>
          <w:rFonts w:cs="Arial"/>
          <w:b/>
          <w:bCs/>
          <w:sz w:val="24"/>
          <w:szCs w:val="24"/>
        </w:rPr>
      </w:pPr>
      <w:r>
        <w:t xml:space="preserve">“la Gubernatura participa en el proceso de selección de los miembros del INFOEM, de alguna forma antes de enviarnos a otro sujeto obligado debieron hacer la búsqueda de información y por su comité declarar la no existencia de información, o agotar el adecuado procedimiento, es obvio que no fue así, por lo que solicito que el INFOEM le pida a esta unidad de trasparencia agote el procedimiento y la declaración de inexistencia de información si fuera el caso. </w:t>
      </w:r>
      <w:proofErr w:type="gramStart"/>
      <w:r>
        <w:t>también</w:t>
      </w:r>
      <w:proofErr w:type="gramEnd"/>
      <w:r>
        <w:t xml:space="preserve"> nos canalizan </w:t>
      </w:r>
      <w:proofErr w:type="spellStart"/>
      <w:r>
        <w:t>alas</w:t>
      </w:r>
      <w:proofErr w:type="spellEnd"/>
      <w:r>
        <w:t xml:space="preserve"> unidades de los partidos políticos que no intervienen en este proceso de selección, este estudio es parte dela observancia que hacemos como </w:t>
      </w:r>
      <w:proofErr w:type="spellStart"/>
      <w:r>
        <w:t>ONGs</w:t>
      </w:r>
      <w:proofErr w:type="spellEnd"/>
      <w:r>
        <w:t xml:space="preserve"> de que quienes están en estos puestos cumplan con perfiles ciudadanos y no sean propuestos con sesgos políticos, de ahí que seamos muy exigentes en esta observancia, en especial que se inicia el proceso de renovación delos miembros actuales del instituto. </w:t>
      </w:r>
      <w:proofErr w:type="gramStart"/>
      <w:r>
        <w:t>por</w:t>
      </w:r>
      <w:proofErr w:type="gramEnd"/>
      <w:r>
        <w:t xml:space="preserve"> tal motivo declaramos nuestra inconformidad con esta observación, los mismo estamos ya haciendo con la legislatura para conocer la imparcialidad ene l proceso de selección de miembros del </w:t>
      </w:r>
      <w:proofErr w:type="spellStart"/>
      <w:r>
        <w:t>infoem</w:t>
      </w:r>
      <w:proofErr w:type="spellEnd"/>
      <w:r>
        <w:t xml:space="preserve">.” </w:t>
      </w:r>
      <w:r>
        <w:rPr>
          <w:b/>
        </w:rPr>
        <w:t xml:space="preserve">[Sic] </w:t>
      </w:r>
    </w:p>
    <w:p w14:paraId="2FA84AA7" w14:textId="77777777" w:rsidR="00134921" w:rsidRDefault="00134921" w:rsidP="00134921">
      <w:pPr>
        <w:autoSpaceDE w:val="0"/>
        <w:autoSpaceDN w:val="0"/>
        <w:adjustRightInd w:val="0"/>
        <w:spacing w:before="240" w:line="360" w:lineRule="auto"/>
        <w:jc w:val="both"/>
        <w:rPr>
          <w:rFonts w:ascii="Palatino Linotype" w:hAnsi="Palatino Linotype" w:cs="Arial"/>
          <w:bCs/>
          <w:sz w:val="24"/>
          <w:szCs w:val="24"/>
          <w:lang w:val="es-ES"/>
        </w:rPr>
      </w:pPr>
    </w:p>
    <w:p w14:paraId="2827D608" w14:textId="7576D41C" w:rsidR="00443596" w:rsidRDefault="00443596" w:rsidP="00443596">
      <w:pPr>
        <w:pStyle w:val="Citas"/>
        <w:ind w:left="0" w:right="0"/>
        <w:rPr>
          <w:i w:val="0"/>
          <w:sz w:val="24"/>
          <w:szCs w:val="24"/>
        </w:rPr>
      </w:pPr>
      <w:r w:rsidRPr="00B82A24">
        <w:rPr>
          <w:i w:val="0"/>
          <w:sz w:val="24"/>
          <w:szCs w:val="24"/>
        </w:rPr>
        <w:lastRenderedPageBreak/>
        <w:t>Es decir, los motivos de</w:t>
      </w:r>
      <w:r w:rsidR="00A35E05">
        <w:rPr>
          <w:i w:val="0"/>
          <w:sz w:val="24"/>
          <w:szCs w:val="24"/>
        </w:rPr>
        <w:t xml:space="preserve"> inconformidad esgrimidos por el</w:t>
      </w:r>
      <w:r w:rsidRPr="00B82A24">
        <w:rPr>
          <w:i w:val="0"/>
          <w:sz w:val="24"/>
          <w:szCs w:val="24"/>
        </w:rPr>
        <w:t xml:space="preserve"> particular se encuentran encauzados a resaltar</w:t>
      </w:r>
      <w:r>
        <w:rPr>
          <w:i w:val="0"/>
          <w:sz w:val="24"/>
          <w:szCs w:val="24"/>
        </w:rPr>
        <w:t xml:space="preserve"> la actualización de la causal de procedencia inmersa en el numeral 179, fracción IV de la Ley de Transparencia y Acceso a la Información Pública del Estado de México y Municipios, porción normativa que dispone a la literalidad lo siguiente: </w:t>
      </w:r>
    </w:p>
    <w:p w14:paraId="5841EB8C" w14:textId="4E4C3C3A" w:rsidR="00443596" w:rsidRPr="00443596" w:rsidRDefault="00443596" w:rsidP="00443596">
      <w:pPr>
        <w:pStyle w:val="Citas"/>
      </w:pPr>
      <w:r>
        <w:t>“</w:t>
      </w:r>
      <w:r w:rsidRPr="00443596">
        <w:t>Artículo 179. El recurso de revisión es un medio de protección que la Ley otorga a los particulares, para hacer valer su derecho de acceso a la información pública, y procederá en contra de las siguientes causas:</w:t>
      </w:r>
    </w:p>
    <w:p w14:paraId="1C52F5A2" w14:textId="1545EDCA" w:rsidR="00443596" w:rsidRPr="00443596" w:rsidRDefault="00443596" w:rsidP="00443596">
      <w:pPr>
        <w:pStyle w:val="Citas"/>
      </w:pPr>
      <w:r w:rsidRPr="00443596">
        <w:t>(…)</w:t>
      </w:r>
    </w:p>
    <w:p w14:paraId="1BE9DA3F" w14:textId="38094FAA" w:rsidR="00443596" w:rsidRPr="00443596" w:rsidRDefault="00443596" w:rsidP="00443596">
      <w:pPr>
        <w:pStyle w:val="Citas"/>
        <w:rPr>
          <w:b/>
          <w:u w:val="single"/>
        </w:rPr>
      </w:pPr>
      <w:r w:rsidRPr="00443596">
        <w:rPr>
          <w:b/>
          <w:u w:val="single"/>
        </w:rPr>
        <w:t>IV. La declaración de incompetencia por el sujeto obligado;</w:t>
      </w:r>
    </w:p>
    <w:p w14:paraId="5DAF521D" w14:textId="7AABF500" w:rsidR="00443596" w:rsidRPr="00443596" w:rsidRDefault="00443596" w:rsidP="00443596">
      <w:pPr>
        <w:pStyle w:val="Citas"/>
        <w:rPr>
          <w:b/>
        </w:rPr>
      </w:pPr>
      <w:r>
        <w:t xml:space="preserve">(…)” </w:t>
      </w:r>
      <w:r>
        <w:rPr>
          <w:b/>
        </w:rPr>
        <w:t xml:space="preserve">[Sic] </w:t>
      </w:r>
    </w:p>
    <w:p w14:paraId="7D5EA584" w14:textId="401369FA" w:rsidR="00443596" w:rsidRDefault="00443596" w:rsidP="00443596">
      <w:pPr>
        <w:pStyle w:val="Citas"/>
        <w:rPr>
          <w:b/>
        </w:rPr>
      </w:pPr>
    </w:p>
    <w:p w14:paraId="31606790" w14:textId="1B01A078" w:rsidR="00443596" w:rsidRDefault="00443596" w:rsidP="00134921">
      <w:pPr>
        <w:autoSpaceDE w:val="0"/>
        <w:autoSpaceDN w:val="0"/>
        <w:adjustRightInd w:val="0"/>
        <w:spacing w:before="240" w:line="360" w:lineRule="auto"/>
        <w:jc w:val="both"/>
        <w:rPr>
          <w:rFonts w:ascii="Palatino Linotype" w:hAnsi="Palatino Linotype" w:cs="Arial"/>
          <w:bCs/>
          <w:sz w:val="24"/>
          <w:szCs w:val="24"/>
          <w:lang w:val="es-ES"/>
        </w:rPr>
      </w:pPr>
      <w:r>
        <w:rPr>
          <w:rFonts w:ascii="Palatino Linotype" w:hAnsi="Palatino Linotype" w:cs="Arial"/>
          <w:bCs/>
          <w:sz w:val="24"/>
          <w:szCs w:val="24"/>
          <w:lang w:val="es-ES"/>
        </w:rPr>
        <w:t xml:space="preserve">De manera adicional, como fue mencionado en el antecedente quinto, en fechas dieciséis de agosto y catorce de octubre de dos mil veintiuno, </w:t>
      </w:r>
      <w:r>
        <w:rPr>
          <w:rFonts w:ascii="Palatino Linotype" w:hAnsi="Palatino Linotype" w:cs="Arial"/>
          <w:b/>
          <w:bCs/>
          <w:sz w:val="24"/>
          <w:szCs w:val="24"/>
          <w:lang w:val="es-ES"/>
        </w:rPr>
        <w:t xml:space="preserve">El Sujeto Obligado </w:t>
      </w:r>
      <w:r>
        <w:rPr>
          <w:rFonts w:ascii="Palatino Linotype" w:hAnsi="Palatino Linotype" w:cs="Arial"/>
          <w:bCs/>
          <w:sz w:val="24"/>
          <w:szCs w:val="24"/>
          <w:lang w:val="es-ES"/>
        </w:rPr>
        <w:t xml:space="preserve">rindió su informe justificado, adjuntando para tal efecto lo siguiente: </w:t>
      </w:r>
    </w:p>
    <w:p w14:paraId="2875E1CE" w14:textId="1EB909A1" w:rsidR="00443596" w:rsidRDefault="00443596" w:rsidP="009D605B">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w:t>
      </w:r>
      <w:r w:rsidR="00B63FE9">
        <w:rPr>
          <w:rFonts w:ascii="Palatino Linotype" w:hAnsi="Palatino Linotype" w:cs="Arial"/>
          <w:b/>
          <w:bCs/>
        </w:rPr>
        <w:t xml:space="preserve">0149 informe de justificación.PDF”: </w:t>
      </w:r>
      <w:r w:rsidR="00B63FE9">
        <w:rPr>
          <w:rFonts w:ascii="Palatino Linotype" w:hAnsi="Palatino Linotype" w:cs="Arial"/>
          <w:bCs/>
        </w:rPr>
        <w:t xml:space="preserve">Oficio </w:t>
      </w:r>
      <w:r w:rsidR="00B63FE9">
        <w:rPr>
          <w:rFonts w:ascii="Palatino Linotype" w:hAnsi="Palatino Linotype" w:cs="Arial"/>
          <w:b/>
          <w:bCs/>
        </w:rPr>
        <w:t xml:space="preserve">UTG/00198/2021 </w:t>
      </w:r>
      <w:r w:rsidR="00B63FE9">
        <w:rPr>
          <w:rFonts w:ascii="Palatino Linotype" w:hAnsi="Palatino Linotype" w:cs="Arial"/>
          <w:bCs/>
        </w:rPr>
        <w:t xml:space="preserve">signado por el Titular de la Unidad de Transparencia y dirigido al Comisionado Ponente, en lo medular </w:t>
      </w:r>
      <w:r w:rsidR="00B63FE9" w:rsidRPr="00B63FE9">
        <w:rPr>
          <w:rFonts w:ascii="Palatino Linotype" w:hAnsi="Palatino Linotype" w:cs="Arial"/>
          <w:b/>
          <w:bCs/>
          <w:u w:val="single"/>
        </w:rPr>
        <w:t>confirma la respuesta primigenia,</w:t>
      </w:r>
      <w:r w:rsidR="00B63FE9">
        <w:rPr>
          <w:rFonts w:ascii="Palatino Linotype" w:hAnsi="Palatino Linotype" w:cs="Arial"/>
          <w:bCs/>
        </w:rPr>
        <w:t xml:space="preserve"> destacando que la información requerida no obra en sus archivos, declinando competencia a favor del Poder Legislativo, así como a favor de los Grupos Parlamentarios registrados en términos de la normatividad aplicable; de fecha dieciséis de agosto del presente. </w:t>
      </w:r>
    </w:p>
    <w:p w14:paraId="427F83EB" w14:textId="12E8BDC2" w:rsidR="00B36895" w:rsidRPr="00B36895" w:rsidRDefault="00B63FE9" w:rsidP="009D605B">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lastRenderedPageBreak/>
        <w:t xml:space="preserve">“alcance al informe de justificación 0149.PDF”: </w:t>
      </w:r>
      <w:r w:rsidR="00B36895">
        <w:rPr>
          <w:rFonts w:ascii="Palatino Linotype" w:hAnsi="Palatino Linotype" w:cs="Arial"/>
          <w:bCs/>
        </w:rPr>
        <w:t xml:space="preserve">Oficio </w:t>
      </w:r>
      <w:r w:rsidR="00B36895">
        <w:rPr>
          <w:rFonts w:ascii="Palatino Linotype" w:hAnsi="Palatino Linotype" w:cs="Arial"/>
          <w:b/>
          <w:bCs/>
        </w:rPr>
        <w:t xml:space="preserve">UTG/0266/2021 </w:t>
      </w:r>
      <w:r w:rsidR="00B36895">
        <w:rPr>
          <w:rFonts w:ascii="Palatino Linotype" w:hAnsi="Palatino Linotype" w:cs="Arial"/>
          <w:bCs/>
        </w:rPr>
        <w:t xml:space="preserve">signado por el Titular de la Unidad de Transparencia de Gubernatura  y dirigido al Órgano garante, de fecha catorce de octubre de dos mil veintiuno, soporte documental que destaca las siguientes ideas medulares: </w:t>
      </w:r>
    </w:p>
    <w:p w14:paraId="05C47D31" w14:textId="3079E08C" w:rsidR="00B36895" w:rsidRPr="00B36895" w:rsidRDefault="00B36895" w:rsidP="00374703">
      <w:pPr>
        <w:pStyle w:val="Prrafodelista"/>
        <w:numPr>
          <w:ilvl w:val="0"/>
          <w:numId w:val="8"/>
        </w:numPr>
        <w:autoSpaceDE w:val="0"/>
        <w:autoSpaceDN w:val="0"/>
        <w:adjustRightInd w:val="0"/>
        <w:spacing w:before="240" w:line="360" w:lineRule="auto"/>
        <w:ind w:left="993" w:hanging="371"/>
        <w:jc w:val="both"/>
        <w:rPr>
          <w:rFonts w:ascii="Palatino Linotype" w:hAnsi="Palatino Linotype" w:cs="Arial"/>
          <w:b/>
          <w:bCs/>
        </w:rPr>
      </w:pPr>
      <w:r>
        <w:rPr>
          <w:rFonts w:ascii="Palatino Linotype" w:hAnsi="Palatino Linotype" w:cs="Arial"/>
          <w:bCs/>
        </w:rPr>
        <w:t xml:space="preserve">Que la designación en términos del numeral 61 de la Ley de Transparencia abrogada resulta aplicable para tres comisionados </w:t>
      </w:r>
      <w:r w:rsidRPr="00B36895">
        <w:rPr>
          <w:rFonts w:ascii="Palatino Linotype" w:hAnsi="Palatino Linotype" w:cs="Arial"/>
          <w:b/>
          <w:bCs/>
        </w:rPr>
        <w:t>-Eva Abaid Yapur, Zulema Martínez Sánchez y Javier Martínez Cruz-</w:t>
      </w:r>
      <w:r>
        <w:rPr>
          <w:rFonts w:ascii="Palatino Linotype" w:hAnsi="Palatino Linotype" w:cs="Arial"/>
          <w:bCs/>
        </w:rPr>
        <w:t xml:space="preserve"> de los cinco involucrados en la solicitud. </w:t>
      </w:r>
    </w:p>
    <w:p w14:paraId="5F72D38F" w14:textId="2C57B2ED" w:rsidR="00B36895" w:rsidRPr="00B36895" w:rsidRDefault="00B36895" w:rsidP="00374703">
      <w:pPr>
        <w:pStyle w:val="Prrafodelista"/>
        <w:numPr>
          <w:ilvl w:val="0"/>
          <w:numId w:val="8"/>
        </w:numPr>
        <w:autoSpaceDE w:val="0"/>
        <w:autoSpaceDN w:val="0"/>
        <w:adjustRightInd w:val="0"/>
        <w:spacing w:before="240" w:line="360" w:lineRule="auto"/>
        <w:ind w:left="993" w:hanging="371"/>
        <w:jc w:val="both"/>
        <w:rPr>
          <w:rFonts w:ascii="Palatino Linotype" w:hAnsi="Palatino Linotype" w:cs="Arial"/>
          <w:b/>
          <w:bCs/>
        </w:rPr>
      </w:pPr>
      <w:r w:rsidRPr="00B36895">
        <w:rPr>
          <w:rFonts w:ascii="Palatino Linotype" w:hAnsi="Palatino Linotype" w:cs="Arial"/>
          <w:bCs/>
        </w:rPr>
        <w:t xml:space="preserve">Que derivado de una búsqueda exhaustiva y razonable en los archivos del </w:t>
      </w:r>
      <w:r w:rsidRPr="00B36895">
        <w:rPr>
          <w:rFonts w:ascii="Palatino Linotype" w:hAnsi="Palatino Linotype" w:cs="Arial"/>
          <w:b/>
          <w:bCs/>
        </w:rPr>
        <w:t xml:space="preserve">Sujeto Obligado, </w:t>
      </w:r>
      <w:r w:rsidRPr="00B36895">
        <w:rPr>
          <w:rFonts w:ascii="Palatino Linotype" w:hAnsi="Palatino Linotype" w:cs="Arial"/>
          <w:bCs/>
        </w:rPr>
        <w:t xml:space="preserve">la única información localizada en la consistente en ejemplares del  </w:t>
      </w:r>
      <w:r w:rsidRPr="00B36895">
        <w:rPr>
          <w:rFonts w:ascii="Palatino Linotype" w:hAnsi="Palatino Linotype" w:cs="Arial"/>
        </w:rPr>
        <w:t>Periódico Oficial “Gaceta del Gobierno”</w:t>
      </w:r>
      <w:r>
        <w:rPr>
          <w:rFonts w:ascii="Palatino Linotype" w:hAnsi="Palatino Linotype" w:cs="Arial"/>
        </w:rPr>
        <w:t xml:space="preserve">, de fechas quince de marzo de dos mil trece, dieciocho de agosto de dos mil catorce y dieciocho de junio de dos mil quince, mismas que se adjuntan. </w:t>
      </w:r>
    </w:p>
    <w:p w14:paraId="0C8CE4A1" w14:textId="7DF99710" w:rsidR="00B36895" w:rsidRPr="00B36895" w:rsidRDefault="00B36895" w:rsidP="00374703">
      <w:pPr>
        <w:pStyle w:val="Prrafodelista"/>
        <w:numPr>
          <w:ilvl w:val="0"/>
          <w:numId w:val="8"/>
        </w:numPr>
        <w:autoSpaceDE w:val="0"/>
        <w:autoSpaceDN w:val="0"/>
        <w:adjustRightInd w:val="0"/>
        <w:spacing w:before="240" w:line="360" w:lineRule="auto"/>
        <w:ind w:left="993" w:hanging="371"/>
        <w:jc w:val="both"/>
        <w:rPr>
          <w:rFonts w:ascii="Palatino Linotype" w:hAnsi="Palatino Linotype" w:cs="Arial"/>
          <w:b/>
          <w:bCs/>
        </w:rPr>
      </w:pPr>
      <w:r>
        <w:rPr>
          <w:rFonts w:ascii="Palatino Linotype" w:hAnsi="Palatino Linotype" w:cs="Arial"/>
        </w:rPr>
        <w:t xml:space="preserve">Que la Ley de Transparencia abrogada no establecía un procedimiento específico </w:t>
      </w:r>
      <w:r w:rsidR="00F27FE8">
        <w:rPr>
          <w:rFonts w:ascii="Palatino Linotype" w:hAnsi="Palatino Linotype" w:cs="Arial"/>
        </w:rPr>
        <w:t xml:space="preserve">o detallado </w:t>
      </w:r>
      <w:r>
        <w:rPr>
          <w:rFonts w:ascii="Palatino Linotype" w:hAnsi="Palatino Linotype" w:cs="Arial"/>
        </w:rPr>
        <w:t>para el nombramiento de los  Comisio</w:t>
      </w:r>
      <w:r w:rsidR="00F27FE8">
        <w:rPr>
          <w:rFonts w:ascii="Palatino Linotype" w:hAnsi="Palatino Linotype" w:cs="Arial"/>
        </w:rPr>
        <w:t xml:space="preserve">nados del Órgano Garante local, a contrario sensu, la norma aplicable conforme al ámbito de validez temporal se limitaba a pronunciar directrices meramente generales. </w:t>
      </w:r>
    </w:p>
    <w:p w14:paraId="01742ADF" w14:textId="08431104" w:rsidR="00B36895" w:rsidRPr="00671AB3" w:rsidRDefault="00B36895" w:rsidP="00374703">
      <w:pPr>
        <w:pStyle w:val="Prrafodelista"/>
        <w:numPr>
          <w:ilvl w:val="0"/>
          <w:numId w:val="8"/>
        </w:numPr>
        <w:autoSpaceDE w:val="0"/>
        <w:autoSpaceDN w:val="0"/>
        <w:adjustRightInd w:val="0"/>
        <w:spacing w:before="240" w:line="360" w:lineRule="auto"/>
        <w:ind w:left="993" w:hanging="371"/>
        <w:jc w:val="both"/>
        <w:rPr>
          <w:rFonts w:ascii="Palatino Linotype" w:hAnsi="Palatino Linotype" w:cs="Arial"/>
          <w:b/>
          <w:bCs/>
        </w:rPr>
      </w:pPr>
      <w:r>
        <w:rPr>
          <w:rFonts w:ascii="Palatino Linotype" w:hAnsi="Palatino Linotype" w:cs="Arial"/>
        </w:rPr>
        <w:t>Que con relaci</w:t>
      </w:r>
      <w:r w:rsidR="00671AB3">
        <w:rPr>
          <w:rFonts w:ascii="Palatino Linotype" w:hAnsi="Palatino Linotype" w:cs="Arial"/>
        </w:rPr>
        <w:t>ón a los</w:t>
      </w:r>
      <w:r>
        <w:rPr>
          <w:rFonts w:ascii="Palatino Linotype" w:hAnsi="Palatino Linotype" w:cs="Arial"/>
        </w:rPr>
        <w:t xml:space="preserve"> Comisionados más </w:t>
      </w:r>
      <w:r w:rsidRPr="0083303C">
        <w:rPr>
          <w:rFonts w:ascii="Palatino Linotype" w:hAnsi="Palatino Linotype" w:cs="Arial"/>
        </w:rPr>
        <w:t>recientes</w:t>
      </w:r>
      <w:r w:rsidR="00671AB3" w:rsidRPr="0083303C">
        <w:rPr>
          <w:rFonts w:ascii="Palatino Linotype" w:hAnsi="Palatino Linotype" w:cs="Arial"/>
        </w:rPr>
        <w:t>,</w:t>
      </w:r>
      <w:r w:rsidR="00671AB3">
        <w:rPr>
          <w:rFonts w:ascii="Palatino Linotype" w:hAnsi="Palatino Linotype" w:cs="Arial"/>
          <w:b/>
        </w:rPr>
        <w:t xml:space="preserve"> </w:t>
      </w:r>
      <w:r w:rsidR="00671AB3">
        <w:rPr>
          <w:rFonts w:ascii="Palatino Linotype" w:hAnsi="Palatino Linotype" w:cs="Arial"/>
        </w:rPr>
        <w:t xml:space="preserve">el procedimiento </w:t>
      </w:r>
      <w:r w:rsidR="0083303C">
        <w:rPr>
          <w:rFonts w:ascii="Palatino Linotype" w:hAnsi="Palatino Linotype" w:cs="Arial"/>
        </w:rPr>
        <w:t xml:space="preserve">de designación </w:t>
      </w:r>
      <w:r w:rsidR="00671AB3">
        <w:rPr>
          <w:rFonts w:ascii="Palatino Linotype" w:hAnsi="Palatino Linotype" w:cs="Arial"/>
        </w:rPr>
        <w:t xml:space="preserve">se encuentra inmerso en el artículo 30 de la Ley de Transparencia vigente, ratificando la declinación de competencia a favor del Poder Legislativo.  </w:t>
      </w:r>
    </w:p>
    <w:p w14:paraId="1933001D" w14:textId="7A992AF8" w:rsidR="00B63FE9" w:rsidRDefault="00B63FE9" w:rsidP="009D605B">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lastRenderedPageBreak/>
        <w:t>“Gaceta 15 marzo 2013.PDF”:</w:t>
      </w:r>
      <w:r w:rsidR="00671AB3">
        <w:rPr>
          <w:rFonts w:ascii="Palatino Linotype" w:hAnsi="Palatino Linotype" w:cs="Arial"/>
          <w:b/>
          <w:bCs/>
        </w:rPr>
        <w:t xml:space="preserve"> </w:t>
      </w:r>
      <w:r w:rsidR="00671AB3" w:rsidRPr="00B36895">
        <w:rPr>
          <w:rFonts w:ascii="Palatino Linotype" w:hAnsi="Palatino Linotype" w:cs="Arial"/>
        </w:rPr>
        <w:t>Periódico Oficial “Gaceta del Gobierno”</w:t>
      </w:r>
      <w:r w:rsidR="00671AB3">
        <w:rPr>
          <w:rFonts w:ascii="Palatino Linotype" w:hAnsi="Palatino Linotype" w:cs="Arial"/>
        </w:rPr>
        <w:t xml:space="preserve"> de fecha quince de marzo de dos mil trece, de la lectura integral del sumario se advierte el Decreto 69 mediante el cual se aprueba el nombramiento de la Mtra. Eva Abaid Yapur como Comisionada del Órgano Garante local. </w:t>
      </w:r>
    </w:p>
    <w:p w14:paraId="6867EA3E" w14:textId="4EBFBDA9" w:rsidR="00B63FE9" w:rsidRDefault="00B63FE9" w:rsidP="009D605B">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“Gaceta 18 agosto 2014.PDF”:</w:t>
      </w:r>
      <w:r w:rsidR="00671AB3">
        <w:rPr>
          <w:rFonts w:ascii="Palatino Linotype" w:hAnsi="Palatino Linotype" w:cs="Arial"/>
          <w:b/>
          <w:bCs/>
        </w:rPr>
        <w:t xml:space="preserve"> </w:t>
      </w:r>
      <w:r w:rsidR="00671AB3" w:rsidRPr="00B36895">
        <w:rPr>
          <w:rFonts w:ascii="Palatino Linotype" w:hAnsi="Palatino Linotype" w:cs="Arial"/>
        </w:rPr>
        <w:t>Periódico Oficial “Gaceta del Gobierno”</w:t>
      </w:r>
      <w:r w:rsidR="00671AB3">
        <w:rPr>
          <w:rFonts w:ascii="Palatino Linotype" w:hAnsi="Palatino Linotype" w:cs="Arial"/>
        </w:rPr>
        <w:t xml:space="preserve"> de fecha dieciocho de agosto de dos mil catorce, de la lectura integral del sumario se advierte el Decreto 285 mediante el cual se aprueba el nombramiento de la Mtra. Zulema Martínez Sánchez y del Lic. Javier Martínez Cruz como Comisionados del Órgano Garante local. </w:t>
      </w:r>
    </w:p>
    <w:p w14:paraId="3655307F" w14:textId="130FF3B9" w:rsidR="00B63FE9" w:rsidRPr="00443596" w:rsidRDefault="00B63FE9" w:rsidP="009D605B">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 xml:space="preserve">“Gaceta 18 de junio 2015.pdf”: </w:t>
      </w:r>
      <w:r w:rsidR="00671AB3" w:rsidRPr="00B36895">
        <w:rPr>
          <w:rFonts w:ascii="Palatino Linotype" w:hAnsi="Palatino Linotype" w:cs="Arial"/>
        </w:rPr>
        <w:t>Periódico Oficial “Gaceta del Gobierno”</w:t>
      </w:r>
      <w:r w:rsidR="00671AB3">
        <w:rPr>
          <w:rFonts w:ascii="Palatino Linotype" w:hAnsi="Palatino Linotype" w:cs="Arial"/>
        </w:rPr>
        <w:t xml:space="preserve"> de fecha dieciocho de junio de dos mil quince, de la lectura integral del sumario se advierte la publicación del Procedimiento para nombrar comisionada o comisionado del Instituto de Transparencia, Acceso a la Información Pública y Protección de Datos Personales del Estado de México y Municipios, soporte documental encauzado a sustentar la incompetencia respecto del nombramiento del Mtro. José Guadalupe Luna Hernández y el Mtro. Luis Gustavo Parra Noriega como Comisionados del Órgano Garante local. </w:t>
      </w:r>
    </w:p>
    <w:p w14:paraId="2B9349D9" w14:textId="77777777" w:rsidR="00736D41" w:rsidRDefault="00736D41" w:rsidP="0085196B">
      <w:pPr>
        <w:tabs>
          <w:tab w:val="left" w:pos="709"/>
        </w:tabs>
        <w:spacing w:before="240" w:line="360" w:lineRule="auto"/>
        <w:ind w:right="51"/>
        <w:jc w:val="both"/>
        <w:rPr>
          <w:rFonts w:ascii="Palatino Linotype" w:hAnsi="Palatino Linotype"/>
          <w:sz w:val="24"/>
          <w:szCs w:val="24"/>
        </w:rPr>
      </w:pPr>
    </w:p>
    <w:p w14:paraId="4BE1931B" w14:textId="77777777" w:rsidR="00E87947" w:rsidRPr="00E87947" w:rsidRDefault="00040386" w:rsidP="00E87947">
      <w:pPr>
        <w:spacing w:before="100" w:beforeAutospacing="1" w:after="100" w:afterAutospacing="1" w:line="360" w:lineRule="auto"/>
        <w:jc w:val="both"/>
        <w:rPr>
          <w:rFonts w:ascii="Palatino Linotype" w:hAnsi="Palatino Linotype"/>
          <w:sz w:val="24"/>
          <w:szCs w:val="24"/>
        </w:rPr>
      </w:pPr>
      <w:r w:rsidRPr="00E87947">
        <w:rPr>
          <w:rFonts w:ascii="Palatino Linotype" w:hAnsi="Palatino Linotype"/>
          <w:sz w:val="24"/>
          <w:szCs w:val="24"/>
        </w:rPr>
        <w:t xml:space="preserve">En atención a lo referido previamente, se desprende que </w:t>
      </w:r>
      <w:r w:rsidRPr="00E87947">
        <w:rPr>
          <w:rFonts w:ascii="Palatino Linotype" w:hAnsi="Palatino Linotype"/>
          <w:b/>
          <w:sz w:val="24"/>
          <w:szCs w:val="24"/>
        </w:rPr>
        <w:t xml:space="preserve">El Sujeto Obligado </w:t>
      </w:r>
      <w:r w:rsidRPr="00E87947">
        <w:rPr>
          <w:rFonts w:ascii="Palatino Linotype" w:hAnsi="Palatino Linotype"/>
          <w:sz w:val="24"/>
          <w:szCs w:val="24"/>
        </w:rPr>
        <w:t>realizó una búsqueda exhaustiva y razonable en sus archivos, remitiendo la informaci</w:t>
      </w:r>
      <w:r w:rsidR="00E87947" w:rsidRPr="00E87947">
        <w:rPr>
          <w:rFonts w:ascii="Palatino Linotype" w:hAnsi="Palatino Linotype"/>
          <w:sz w:val="24"/>
          <w:szCs w:val="24"/>
        </w:rPr>
        <w:t xml:space="preserve">ón disponible, destacando que este Instituto no está facultado para manifestarse sobre la veracidad de la información proporcionada, pues este Órgano Garante, conforme al </w:t>
      </w:r>
      <w:r w:rsidR="00E87947" w:rsidRPr="00E87947">
        <w:rPr>
          <w:rFonts w:ascii="Palatino Linotype" w:hAnsi="Palatino Linotype"/>
          <w:sz w:val="24"/>
          <w:szCs w:val="24"/>
        </w:rPr>
        <w:lastRenderedPageBreak/>
        <w:t>artículo 36 de la Ley de la Materia, no se encuentra facultado para pronunciarse acerca de la autenticidad de dicho pronunciamiento.</w:t>
      </w:r>
    </w:p>
    <w:p w14:paraId="2788D138" w14:textId="27D56095" w:rsidR="00E87947" w:rsidRPr="00E87947" w:rsidRDefault="00E87947" w:rsidP="00E87947">
      <w:pPr>
        <w:tabs>
          <w:tab w:val="left" w:pos="709"/>
        </w:tabs>
        <w:spacing w:before="240" w:line="360" w:lineRule="auto"/>
        <w:ind w:right="51"/>
        <w:jc w:val="both"/>
        <w:rPr>
          <w:rFonts w:ascii="Palatino Linotype" w:hAnsi="Palatino Linotype" w:cs="Arial"/>
          <w:sz w:val="24"/>
          <w:szCs w:val="24"/>
        </w:rPr>
      </w:pPr>
      <w:r w:rsidRPr="00E87947">
        <w:rPr>
          <w:rFonts w:ascii="Palatino Linotype" w:hAnsi="Palatino Linotype" w:cs="Arial"/>
          <w:sz w:val="24"/>
          <w:szCs w:val="24"/>
        </w:rPr>
        <w:t>Sirve de sustento a lo anterior, el criterio 31/10 emitido por el entonces Instituto Federal de Acceso a la Información y Protección de Datos, ahora Instituto Nacional de Transparencia, Acceso a la Información y Protección de Datos Personales (INAI), el cual refiere:</w:t>
      </w:r>
    </w:p>
    <w:p w14:paraId="11A5E5E5" w14:textId="3A41CCE5" w:rsidR="00E87947" w:rsidRPr="00E87947" w:rsidRDefault="00E87947" w:rsidP="00E87947">
      <w:pPr>
        <w:pStyle w:val="INFOEM"/>
        <w:rPr>
          <w:b/>
          <w:spacing w:val="15"/>
        </w:rPr>
      </w:pPr>
      <w:r w:rsidRPr="00E87947">
        <w:rPr>
          <w:b/>
        </w:rPr>
        <w:t>“EL</w:t>
      </w:r>
      <w:r w:rsidRPr="00E87947">
        <w:rPr>
          <w:b/>
          <w:spacing w:val="7"/>
        </w:rPr>
        <w:t xml:space="preserve"> </w:t>
      </w:r>
      <w:r w:rsidRPr="00E87947">
        <w:rPr>
          <w:b/>
        </w:rPr>
        <w:t>IN</w:t>
      </w:r>
      <w:r w:rsidRPr="00E87947">
        <w:rPr>
          <w:b/>
          <w:spacing w:val="1"/>
        </w:rPr>
        <w:t>S</w:t>
      </w:r>
      <w:r w:rsidRPr="00E87947">
        <w:rPr>
          <w:b/>
        </w:rPr>
        <w:t>TI</w:t>
      </w:r>
      <w:r w:rsidRPr="00E87947">
        <w:rPr>
          <w:b/>
          <w:spacing w:val="-1"/>
        </w:rPr>
        <w:t>T</w:t>
      </w:r>
      <w:r w:rsidRPr="00E87947">
        <w:rPr>
          <w:b/>
        </w:rPr>
        <w:t>U</w:t>
      </w:r>
      <w:r w:rsidRPr="00E87947">
        <w:rPr>
          <w:b/>
          <w:spacing w:val="-1"/>
        </w:rPr>
        <w:t>T</w:t>
      </w:r>
      <w:r w:rsidRPr="00E87947">
        <w:rPr>
          <w:b/>
        </w:rPr>
        <w:t>O</w:t>
      </w:r>
      <w:r w:rsidRPr="00E87947">
        <w:rPr>
          <w:b/>
          <w:spacing w:val="6"/>
        </w:rPr>
        <w:t xml:space="preserve"> </w:t>
      </w:r>
      <w:r w:rsidRPr="00E87947">
        <w:rPr>
          <w:b/>
        </w:rPr>
        <w:t>FEDER</w:t>
      </w:r>
      <w:r w:rsidRPr="00E87947">
        <w:rPr>
          <w:b/>
          <w:spacing w:val="1"/>
        </w:rPr>
        <w:t>A</w:t>
      </w:r>
      <w:r w:rsidRPr="00E87947">
        <w:rPr>
          <w:b/>
        </w:rPr>
        <w:t>L</w:t>
      </w:r>
      <w:r w:rsidRPr="00E87947">
        <w:rPr>
          <w:b/>
          <w:spacing w:val="5"/>
        </w:rPr>
        <w:t xml:space="preserve"> </w:t>
      </w:r>
      <w:r w:rsidRPr="00E87947">
        <w:rPr>
          <w:b/>
        </w:rPr>
        <w:t>DE</w:t>
      </w:r>
      <w:r w:rsidRPr="00E87947">
        <w:rPr>
          <w:b/>
          <w:spacing w:val="9"/>
        </w:rPr>
        <w:t xml:space="preserve"> </w:t>
      </w:r>
      <w:r w:rsidRPr="00E87947">
        <w:rPr>
          <w:b/>
          <w:spacing w:val="-5"/>
        </w:rPr>
        <w:t>A</w:t>
      </w:r>
      <w:r w:rsidRPr="00E87947">
        <w:rPr>
          <w:b/>
          <w:spacing w:val="1"/>
        </w:rPr>
        <w:t>CCES</w:t>
      </w:r>
      <w:r w:rsidRPr="00E87947">
        <w:rPr>
          <w:b/>
        </w:rPr>
        <w:t>O</w:t>
      </w:r>
      <w:r w:rsidRPr="00E87947">
        <w:rPr>
          <w:b/>
          <w:spacing w:val="6"/>
        </w:rPr>
        <w:t xml:space="preserve"> </w:t>
      </w:r>
      <w:r w:rsidRPr="00E87947">
        <w:rPr>
          <w:b/>
        </w:rPr>
        <w:t>A</w:t>
      </w:r>
      <w:r w:rsidRPr="00E87947">
        <w:rPr>
          <w:b/>
          <w:spacing w:val="7"/>
        </w:rPr>
        <w:t xml:space="preserve"> </w:t>
      </w:r>
      <w:r w:rsidRPr="00E87947">
        <w:rPr>
          <w:b/>
        </w:rPr>
        <w:t>LA</w:t>
      </w:r>
      <w:r w:rsidRPr="00E87947">
        <w:rPr>
          <w:b/>
          <w:spacing w:val="8"/>
        </w:rPr>
        <w:t xml:space="preserve"> </w:t>
      </w:r>
      <w:r w:rsidRPr="00E87947">
        <w:rPr>
          <w:b/>
        </w:rPr>
        <w:t>INFO</w:t>
      </w:r>
      <w:r w:rsidRPr="00E87947">
        <w:rPr>
          <w:b/>
          <w:spacing w:val="-3"/>
        </w:rPr>
        <w:t>R</w:t>
      </w:r>
      <w:r w:rsidRPr="00E87947">
        <w:rPr>
          <w:b/>
        </w:rPr>
        <w:t>M</w:t>
      </w:r>
      <w:r w:rsidRPr="00E87947">
        <w:rPr>
          <w:b/>
          <w:spacing w:val="1"/>
        </w:rPr>
        <w:t>AC</w:t>
      </w:r>
      <w:r w:rsidRPr="00E87947">
        <w:rPr>
          <w:b/>
        </w:rPr>
        <w:t>IÓN</w:t>
      </w:r>
      <w:r w:rsidRPr="00E87947">
        <w:rPr>
          <w:b/>
          <w:spacing w:val="9"/>
        </w:rPr>
        <w:t xml:space="preserve"> </w:t>
      </w:r>
      <w:r w:rsidRPr="00E87947">
        <w:rPr>
          <w:b/>
        </w:rPr>
        <w:t>Y PROTE</w:t>
      </w:r>
      <w:r w:rsidRPr="00E87947">
        <w:rPr>
          <w:b/>
          <w:spacing w:val="1"/>
        </w:rPr>
        <w:t>CC</w:t>
      </w:r>
      <w:r w:rsidRPr="00E87947">
        <w:rPr>
          <w:b/>
        </w:rPr>
        <w:t>IÓN</w:t>
      </w:r>
      <w:r w:rsidRPr="00E87947">
        <w:rPr>
          <w:b/>
          <w:spacing w:val="7"/>
        </w:rPr>
        <w:t xml:space="preserve"> </w:t>
      </w:r>
      <w:r w:rsidRPr="00E87947">
        <w:rPr>
          <w:b/>
        </w:rPr>
        <w:t>DE</w:t>
      </w:r>
      <w:r w:rsidRPr="00E87947">
        <w:rPr>
          <w:b/>
          <w:spacing w:val="7"/>
        </w:rPr>
        <w:t xml:space="preserve"> </w:t>
      </w:r>
      <w:r w:rsidRPr="00E87947">
        <w:rPr>
          <w:b/>
        </w:rPr>
        <w:t>DATOS</w:t>
      </w:r>
      <w:r w:rsidRPr="00E87947">
        <w:rPr>
          <w:b/>
          <w:spacing w:val="7"/>
        </w:rPr>
        <w:t xml:space="preserve"> </w:t>
      </w:r>
      <w:r w:rsidRPr="00E87947">
        <w:rPr>
          <w:b/>
        </w:rPr>
        <w:t xml:space="preserve">NO </w:t>
      </w:r>
      <w:r w:rsidRPr="00E87947">
        <w:rPr>
          <w:b/>
          <w:spacing w:val="1"/>
        </w:rPr>
        <w:t>C</w:t>
      </w:r>
      <w:r w:rsidRPr="00E87947">
        <w:rPr>
          <w:b/>
        </w:rPr>
        <w:t>UEN</w:t>
      </w:r>
      <w:r w:rsidRPr="00E87947">
        <w:rPr>
          <w:b/>
          <w:spacing w:val="-1"/>
        </w:rPr>
        <w:t>T</w:t>
      </w:r>
      <w:r w:rsidRPr="00E87947">
        <w:rPr>
          <w:b/>
        </w:rPr>
        <w:t>A</w:t>
      </w:r>
      <w:r w:rsidRPr="00E87947">
        <w:rPr>
          <w:b/>
          <w:spacing w:val="1"/>
        </w:rPr>
        <w:t xml:space="preserve"> C</w:t>
      </w:r>
      <w:r w:rsidRPr="00E87947">
        <w:rPr>
          <w:b/>
        </w:rPr>
        <w:t>ON F</w:t>
      </w:r>
      <w:r w:rsidRPr="00E87947">
        <w:rPr>
          <w:b/>
          <w:spacing w:val="-2"/>
        </w:rPr>
        <w:t>A</w:t>
      </w:r>
      <w:r w:rsidRPr="00E87947">
        <w:rPr>
          <w:b/>
          <w:spacing w:val="1"/>
        </w:rPr>
        <w:t>C</w:t>
      </w:r>
      <w:r w:rsidRPr="00E87947">
        <w:rPr>
          <w:b/>
        </w:rPr>
        <w:t>ULTA</w:t>
      </w:r>
      <w:r w:rsidRPr="00E87947">
        <w:rPr>
          <w:b/>
          <w:spacing w:val="-2"/>
        </w:rPr>
        <w:t>D</w:t>
      </w:r>
      <w:r w:rsidRPr="00E87947">
        <w:rPr>
          <w:b/>
          <w:spacing w:val="1"/>
        </w:rPr>
        <w:t>E</w:t>
      </w:r>
      <w:r w:rsidRPr="00E87947">
        <w:rPr>
          <w:b/>
        </w:rPr>
        <w:t>S</w:t>
      </w:r>
      <w:r w:rsidRPr="00E87947">
        <w:rPr>
          <w:b/>
          <w:spacing w:val="1"/>
        </w:rPr>
        <w:t xml:space="preserve"> </w:t>
      </w:r>
      <w:r w:rsidRPr="00E87947">
        <w:rPr>
          <w:b/>
        </w:rPr>
        <w:t>PA</w:t>
      </w:r>
      <w:r w:rsidRPr="00E87947">
        <w:rPr>
          <w:b/>
          <w:spacing w:val="-2"/>
        </w:rPr>
        <w:t>R</w:t>
      </w:r>
      <w:r w:rsidRPr="00E87947">
        <w:rPr>
          <w:b/>
        </w:rPr>
        <w:t>A</w:t>
      </w:r>
      <w:r w:rsidRPr="00E87947">
        <w:rPr>
          <w:b/>
          <w:spacing w:val="1"/>
        </w:rPr>
        <w:t xml:space="preserve"> </w:t>
      </w:r>
      <w:r w:rsidRPr="00E87947">
        <w:rPr>
          <w:b/>
        </w:rPr>
        <w:t>PRON</w:t>
      </w:r>
      <w:r w:rsidRPr="00E87947">
        <w:rPr>
          <w:b/>
          <w:spacing w:val="-1"/>
        </w:rPr>
        <w:t>U</w:t>
      </w:r>
      <w:r w:rsidRPr="00E87947">
        <w:rPr>
          <w:b/>
        </w:rPr>
        <w:t>NCI</w:t>
      </w:r>
      <w:r w:rsidRPr="00E87947">
        <w:rPr>
          <w:b/>
          <w:spacing w:val="1"/>
        </w:rPr>
        <w:t>A</w:t>
      </w:r>
      <w:r w:rsidRPr="00E87947">
        <w:rPr>
          <w:b/>
          <w:spacing w:val="-2"/>
        </w:rPr>
        <w:t>R</w:t>
      </w:r>
      <w:r w:rsidRPr="00E87947">
        <w:rPr>
          <w:b/>
          <w:spacing w:val="-1"/>
        </w:rPr>
        <w:t>S</w:t>
      </w:r>
      <w:r w:rsidRPr="00E87947">
        <w:rPr>
          <w:b/>
        </w:rPr>
        <w:t>E</w:t>
      </w:r>
      <w:r w:rsidRPr="00E87947">
        <w:rPr>
          <w:b/>
          <w:spacing w:val="1"/>
        </w:rPr>
        <w:t xml:space="preserve"> </w:t>
      </w:r>
      <w:r w:rsidRPr="00E87947">
        <w:rPr>
          <w:b/>
        </w:rPr>
        <w:t>R</w:t>
      </w:r>
      <w:r w:rsidRPr="00E87947">
        <w:rPr>
          <w:b/>
          <w:spacing w:val="1"/>
        </w:rPr>
        <w:t>ES</w:t>
      </w:r>
      <w:r w:rsidRPr="00E87947">
        <w:rPr>
          <w:b/>
          <w:spacing w:val="-3"/>
        </w:rPr>
        <w:t>P</w:t>
      </w:r>
      <w:r w:rsidRPr="00E87947">
        <w:rPr>
          <w:b/>
          <w:spacing w:val="1"/>
        </w:rPr>
        <w:t>EC</w:t>
      </w:r>
      <w:r w:rsidRPr="00E87947">
        <w:rPr>
          <w:b/>
        </w:rPr>
        <w:t>TO DE</w:t>
      </w:r>
      <w:r w:rsidRPr="00E87947">
        <w:rPr>
          <w:b/>
          <w:spacing w:val="1"/>
        </w:rPr>
        <w:t xml:space="preserve"> </w:t>
      </w:r>
      <w:r w:rsidRPr="00E87947">
        <w:rPr>
          <w:b/>
          <w:spacing w:val="-2"/>
        </w:rPr>
        <w:t>L</w:t>
      </w:r>
      <w:r w:rsidRPr="00E87947">
        <w:rPr>
          <w:b/>
        </w:rPr>
        <w:t>A</w:t>
      </w:r>
      <w:r w:rsidRPr="00E87947">
        <w:rPr>
          <w:b/>
          <w:spacing w:val="1"/>
        </w:rPr>
        <w:t xml:space="preserve"> </w:t>
      </w:r>
      <w:r w:rsidRPr="00E87947">
        <w:rPr>
          <w:b/>
          <w:spacing w:val="-4"/>
        </w:rPr>
        <w:t>V</w:t>
      </w:r>
      <w:r w:rsidRPr="00E87947">
        <w:rPr>
          <w:b/>
          <w:spacing w:val="1"/>
        </w:rPr>
        <w:t>E</w:t>
      </w:r>
      <w:r w:rsidRPr="00E87947">
        <w:rPr>
          <w:b/>
        </w:rPr>
        <w:t>R</w:t>
      </w:r>
      <w:r w:rsidRPr="00E87947">
        <w:rPr>
          <w:b/>
          <w:spacing w:val="1"/>
        </w:rPr>
        <w:t>AC</w:t>
      </w:r>
      <w:r w:rsidRPr="00E87947">
        <w:rPr>
          <w:b/>
        </w:rPr>
        <w:t>ID</w:t>
      </w:r>
      <w:r w:rsidRPr="00E87947">
        <w:rPr>
          <w:b/>
          <w:spacing w:val="1"/>
        </w:rPr>
        <w:t>A</w:t>
      </w:r>
      <w:r w:rsidRPr="00E87947">
        <w:rPr>
          <w:b/>
        </w:rPr>
        <w:t>D</w:t>
      </w:r>
      <w:r w:rsidRPr="00E87947">
        <w:rPr>
          <w:b/>
          <w:spacing w:val="1"/>
        </w:rPr>
        <w:t xml:space="preserve"> </w:t>
      </w:r>
      <w:r w:rsidRPr="00E87947">
        <w:rPr>
          <w:b/>
          <w:spacing w:val="-3"/>
        </w:rPr>
        <w:t>D</w:t>
      </w:r>
      <w:r w:rsidRPr="00E87947">
        <w:rPr>
          <w:b/>
        </w:rPr>
        <w:t>E</w:t>
      </w:r>
      <w:r w:rsidRPr="00E87947">
        <w:rPr>
          <w:b/>
          <w:spacing w:val="1"/>
        </w:rPr>
        <w:t xml:space="preserve"> </w:t>
      </w:r>
      <w:r w:rsidRPr="00E87947">
        <w:rPr>
          <w:b/>
        </w:rPr>
        <w:t>LOS DOCUM</w:t>
      </w:r>
      <w:r w:rsidRPr="00E87947">
        <w:rPr>
          <w:b/>
          <w:spacing w:val="1"/>
        </w:rPr>
        <w:t>E</w:t>
      </w:r>
      <w:r w:rsidRPr="00E87947">
        <w:rPr>
          <w:b/>
        </w:rPr>
        <w:t>N</w:t>
      </w:r>
      <w:r w:rsidRPr="00E87947">
        <w:rPr>
          <w:b/>
          <w:spacing w:val="-1"/>
        </w:rPr>
        <w:t>T</w:t>
      </w:r>
      <w:r w:rsidRPr="00E87947">
        <w:rPr>
          <w:b/>
        </w:rPr>
        <w:t>OS</w:t>
      </w:r>
      <w:r w:rsidRPr="00E87947">
        <w:rPr>
          <w:b/>
          <w:spacing w:val="11"/>
        </w:rPr>
        <w:t xml:space="preserve"> </w:t>
      </w:r>
      <w:r w:rsidRPr="00E87947">
        <w:rPr>
          <w:b/>
        </w:rPr>
        <w:t>PROP</w:t>
      </w:r>
      <w:r w:rsidRPr="00E87947">
        <w:rPr>
          <w:b/>
          <w:spacing w:val="-1"/>
        </w:rPr>
        <w:t>O</w:t>
      </w:r>
      <w:r w:rsidRPr="00E87947">
        <w:rPr>
          <w:b/>
        </w:rPr>
        <w:t>R</w:t>
      </w:r>
      <w:r w:rsidRPr="00E87947">
        <w:rPr>
          <w:b/>
          <w:spacing w:val="-1"/>
        </w:rPr>
        <w:t>C</w:t>
      </w:r>
      <w:r w:rsidRPr="00E87947">
        <w:rPr>
          <w:b/>
        </w:rPr>
        <w:t>ION</w:t>
      </w:r>
      <w:r w:rsidRPr="00E87947">
        <w:rPr>
          <w:b/>
          <w:spacing w:val="1"/>
        </w:rPr>
        <w:t>A</w:t>
      </w:r>
      <w:r w:rsidRPr="00E87947">
        <w:rPr>
          <w:b/>
        </w:rPr>
        <w:t>DOS</w:t>
      </w:r>
      <w:r w:rsidRPr="00E87947">
        <w:rPr>
          <w:b/>
          <w:spacing w:val="11"/>
        </w:rPr>
        <w:t xml:space="preserve"> </w:t>
      </w:r>
      <w:r w:rsidRPr="00E87947">
        <w:rPr>
          <w:b/>
        </w:rPr>
        <w:t>POR</w:t>
      </w:r>
      <w:r w:rsidRPr="00E87947">
        <w:rPr>
          <w:b/>
          <w:spacing w:val="10"/>
        </w:rPr>
        <w:t xml:space="preserve"> </w:t>
      </w:r>
      <w:r w:rsidRPr="00E87947">
        <w:rPr>
          <w:b/>
        </w:rPr>
        <w:t>L</w:t>
      </w:r>
      <w:r w:rsidRPr="00E87947">
        <w:rPr>
          <w:b/>
          <w:spacing w:val="-2"/>
        </w:rPr>
        <w:t>O</w:t>
      </w:r>
      <w:r w:rsidRPr="00E87947">
        <w:rPr>
          <w:b/>
        </w:rPr>
        <w:t>S</w:t>
      </w:r>
      <w:r w:rsidRPr="00E87947">
        <w:rPr>
          <w:b/>
          <w:spacing w:val="11"/>
        </w:rPr>
        <w:t xml:space="preserve"> </w:t>
      </w:r>
      <w:r w:rsidRPr="00E87947">
        <w:rPr>
          <w:b/>
          <w:spacing w:val="1"/>
        </w:rPr>
        <w:t>S</w:t>
      </w:r>
      <w:r w:rsidRPr="00E87947">
        <w:rPr>
          <w:b/>
        </w:rPr>
        <w:t>U</w:t>
      </w:r>
      <w:r w:rsidRPr="00E87947">
        <w:rPr>
          <w:b/>
          <w:spacing w:val="-2"/>
        </w:rPr>
        <w:t>J</w:t>
      </w:r>
      <w:r w:rsidRPr="00E87947">
        <w:rPr>
          <w:b/>
          <w:spacing w:val="1"/>
        </w:rPr>
        <w:t>E</w:t>
      </w:r>
      <w:r w:rsidRPr="00E87947">
        <w:rPr>
          <w:b/>
          <w:spacing w:val="-3"/>
        </w:rPr>
        <w:t>T</w:t>
      </w:r>
      <w:r w:rsidRPr="00E87947">
        <w:rPr>
          <w:b/>
        </w:rPr>
        <w:t>OS</w:t>
      </w:r>
      <w:r w:rsidRPr="00E87947">
        <w:rPr>
          <w:b/>
          <w:spacing w:val="11"/>
        </w:rPr>
        <w:t xml:space="preserve"> </w:t>
      </w:r>
      <w:r w:rsidRPr="00E87947">
        <w:rPr>
          <w:b/>
        </w:rPr>
        <w:t>OBLIG</w:t>
      </w:r>
      <w:r w:rsidRPr="00E87947">
        <w:rPr>
          <w:b/>
          <w:spacing w:val="1"/>
        </w:rPr>
        <w:t>A</w:t>
      </w:r>
      <w:r w:rsidRPr="00E87947">
        <w:rPr>
          <w:b/>
        </w:rPr>
        <w:t>DO</w:t>
      </w:r>
      <w:r w:rsidRPr="00E87947">
        <w:rPr>
          <w:b/>
          <w:spacing w:val="-2"/>
        </w:rPr>
        <w:t>S</w:t>
      </w:r>
      <w:r w:rsidRPr="00E87947">
        <w:rPr>
          <w:b/>
        </w:rPr>
        <w:t>.</w:t>
      </w:r>
      <w:r w:rsidRPr="00E87947">
        <w:rPr>
          <w:b/>
          <w:spacing w:val="15"/>
        </w:rPr>
        <w:t xml:space="preserve"> </w:t>
      </w:r>
    </w:p>
    <w:p w14:paraId="21FD4D88" w14:textId="2471457B" w:rsidR="00E87947" w:rsidRDefault="00E87947" w:rsidP="00E87947">
      <w:pPr>
        <w:pStyle w:val="INFOEM"/>
      </w:pPr>
      <w:r>
        <w:t xml:space="preserve">El </w:t>
      </w:r>
      <w:r>
        <w:rPr>
          <w:spacing w:val="-2"/>
        </w:rPr>
        <w:t>I</w:t>
      </w:r>
      <w:r>
        <w:rPr>
          <w:spacing w:val="1"/>
        </w:rPr>
        <w:t>n</w:t>
      </w:r>
      <w:r>
        <w:t>sti</w:t>
      </w:r>
      <w:r>
        <w:rPr>
          <w:spacing w:val="-2"/>
        </w:rPr>
        <w:t>t</w:t>
      </w:r>
      <w:r>
        <w:rPr>
          <w:spacing w:val="1"/>
        </w:rPr>
        <w:t>u</w:t>
      </w:r>
      <w:r>
        <w:t>to</w:t>
      </w:r>
      <w:r>
        <w:rPr>
          <w:spacing w:val="2"/>
        </w:rPr>
        <w:t xml:space="preserve"> </w:t>
      </w:r>
      <w:r>
        <w:t>F</w:t>
      </w:r>
      <w:r>
        <w:rPr>
          <w:spacing w:val="-2"/>
        </w:rPr>
        <w:t>e</w:t>
      </w:r>
      <w:r>
        <w:rPr>
          <w:spacing w:val="1"/>
        </w:rPr>
        <w:t>de</w:t>
      </w:r>
      <w:r>
        <w:t>ral</w:t>
      </w:r>
      <w:r>
        <w:rPr>
          <w:spacing w:val="1"/>
        </w:rPr>
        <w:t xml:space="preserve"> </w:t>
      </w:r>
      <w:r>
        <w:rPr>
          <w:spacing w:val="-1"/>
        </w:rPr>
        <w:t>d</w:t>
      </w:r>
      <w:r>
        <w:t>e Acc</w:t>
      </w:r>
      <w:r>
        <w:rPr>
          <w:spacing w:val="1"/>
        </w:rPr>
        <w:t>e</w:t>
      </w:r>
      <w:r>
        <w:t>so</w:t>
      </w:r>
      <w:r>
        <w:rPr>
          <w:spacing w:val="3"/>
        </w:rPr>
        <w:t xml:space="preserve"> </w:t>
      </w:r>
      <w:r>
        <w:t>a</w:t>
      </w:r>
      <w:r>
        <w:rPr>
          <w:spacing w:val="3"/>
        </w:rPr>
        <w:t xml:space="preserve"> </w:t>
      </w:r>
      <w:r>
        <w:t>la</w:t>
      </w:r>
      <w:r>
        <w:rPr>
          <w:spacing w:val="3"/>
        </w:rPr>
        <w:t xml:space="preserve"> </w:t>
      </w:r>
      <w:r>
        <w:rPr>
          <w:spacing w:val="-2"/>
        </w:rPr>
        <w:t>I</w:t>
      </w:r>
      <w:r>
        <w:rPr>
          <w:spacing w:val="-1"/>
        </w:rPr>
        <w:t>n</w:t>
      </w:r>
      <w:r>
        <w:rPr>
          <w:spacing w:val="3"/>
        </w:rPr>
        <w:t>f</w:t>
      </w:r>
      <w:r>
        <w:rPr>
          <w:spacing w:val="1"/>
        </w:rPr>
        <w:t>o</w:t>
      </w:r>
      <w:r>
        <w:rPr>
          <w:spacing w:val="-3"/>
        </w:rPr>
        <w:t>r</w:t>
      </w:r>
      <w:r>
        <w:rPr>
          <w:spacing w:val="1"/>
        </w:rPr>
        <w:t>ma</w:t>
      </w:r>
      <w:r>
        <w:t>c</w:t>
      </w:r>
      <w:r>
        <w:rPr>
          <w:spacing w:val="-3"/>
        </w:rPr>
        <w:t>i</w:t>
      </w:r>
      <w:r>
        <w:rPr>
          <w:spacing w:val="1"/>
        </w:rPr>
        <w:t>ó</w:t>
      </w:r>
      <w:r>
        <w:t>n</w:t>
      </w:r>
      <w:r>
        <w:rPr>
          <w:spacing w:val="3"/>
        </w:rPr>
        <w:t xml:space="preserve"> </w:t>
      </w:r>
      <w:r>
        <w:t>y</w:t>
      </w:r>
      <w:r>
        <w:rPr>
          <w:spacing w:val="4"/>
        </w:rPr>
        <w:t xml:space="preserve"> </w:t>
      </w:r>
      <w:r>
        <w:t>Prot</w:t>
      </w:r>
      <w:r>
        <w:rPr>
          <w:spacing w:val="1"/>
        </w:rPr>
        <w:t>e</w:t>
      </w:r>
      <w:r>
        <w:t>cción</w:t>
      </w:r>
      <w:r>
        <w:rPr>
          <w:spacing w:val="4"/>
        </w:rPr>
        <w:t xml:space="preserve"> </w:t>
      </w:r>
      <w:r>
        <w:rPr>
          <w:spacing w:val="1"/>
        </w:rPr>
        <w:t>d</w:t>
      </w:r>
      <w:r>
        <w:t>e</w:t>
      </w:r>
      <w:r>
        <w:rPr>
          <w:spacing w:val="3"/>
        </w:rPr>
        <w:t xml:space="preserve"> </w:t>
      </w:r>
      <w:r>
        <w:t>D</w:t>
      </w:r>
      <w:r>
        <w:rPr>
          <w:spacing w:val="-2"/>
        </w:rPr>
        <w:t>a</w:t>
      </w:r>
      <w:r>
        <w:t>t</w:t>
      </w:r>
      <w:r>
        <w:rPr>
          <w:spacing w:val="1"/>
        </w:rPr>
        <w:t>o</w:t>
      </w:r>
      <w:r>
        <w:t>s</w:t>
      </w:r>
      <w:r>
        <w:rPr>
          <w:spacing w:val="2"/>
        </w:rPr>
        <w:t xml:space="preserve"> </w:t>
      </w:r>
      <w:r>
        <w:rPr>
          <w:spacing w:val="1"/>
        </w:rPr>
        <w:t>e</w:t>
      </w:r>
      <w:r>
        <w:t>s</w:t>
      </w:r>
      <w:r>
        <w:rPr>
          <w:spacing w:val="2"/>
        </w:rPr>
        <w:t xml:space="preserve"> </w:t>
      </w:r>
      <w:r>
        <w:rPr>
          <w:spacing w:val="1"/>
        </w:rPr>
        <w:t>u</w:t>
      </w:r>
      <w:r>
        <w:t>n</w:t>
      </w:r>
      <w:r>
        <w:rPr>
          <w:spacing w:val="1"/>
        </w:rPr>
        <w:t xml:space="preserve"> ó</w:t>
      </w:r>
      <w:r>
        <w:t>r</w:t>
      </w:r>
      <w:r>
        <w:rPr>
          <w:spacing w:val="-2"/>
        </w:rPr>
        <w:t>g</w:t>
      </w:r>
      <w:r>
        <w:rPr>
          <w:spacing w:val="1"/>
        </w:rPr>
        <w:t>an</w:t>
      </w:r>
      <w:r>
        <w:t>o</w:t>
      </w:r>
      <w:r>
        <w:rPr>
          <w:spacing w:val="3"/>
        </w:rPr>
        <w:t xml:space="preserve"> </w:t>
      </w:r>
      <w:r>
        <w:rPr>
          <w:spacing w:val="1"/>
        </w:rPr>
        <w:t>d</w:t>
      </w:r>
      <w:r>
        <w:t>e</w:t>
      </w:r>
      <w:r>
        <w:rPr>
          <w:spacing w:val="3"/>
        </w:rPr>
        <w:t xml:space="preserve"> </w:t>
      </w:r>
      <w:r>
        <w:t>la A</w:t>
      </w:r>
      <w:r>
        <w:rPr>
          <w:spacing w:val="1"/>
        </w:rPr>
        <w:t>dm</w:t>
      </w:r>
      <w:r>
        <w:t>inistrac</w:t>
      </w:r>
      <w:r>
        <w:rPr>
          <w:spacing w:val="-2"/>
        </w:rPr>
        <w:t>i</w:t>
      </w:r>
      <w:r>
        <w:rPr>
          <w:spacing w:val="-1"/>
        </w:rPr>
        <w:t>ó</w:t>
      </w:r>
      <w:r>
        <w:t>n P</w:t>
      </w:r>
      <w:r>
        <w:rPr>
          <w:spacing w:val="1"/>
        </w:rPr>
        <w:t>úb</w:t>
      </w:r>
      <w:r>
        <w:t>l</w:t>
      </w:r>
      <w:r>
        <w:rPr>
          <w:spacing w:val="-1"/>
        </w:rPr>
        <w:t>i</w:t>
      </w:r>
      <w:r>
        <w:t>ca</w:t>
      </w:r>
      <w:r>
        <w:rPr>
          <w:spacing w:val="1"/>
        </w:rPr>
        <w:t xml:space="preserve"> </w:t>
      </w:r>
      <w:r>
        <w:t>F</w:t>
      </w:r>
      <w:r>
        <w:rPr>
          <w:spacing w:val="-1"/>
        </w:rPr>
        <w:t>e</w:t>
      </w:r>
      <w:r>
        <w:rPr>
          <w:spacing w:val="1"/>
        </w:rPr>
        <w:t>de</w:t>
      </w:r>
      <w:r>
        <w:t>ral c</w:t>
      </w:r>
      <w:r>
        <w:rPr>
          <w:spacing w:val="1"/>
        </w:rPr>
        <w:t>o</w:t>
      </w:r>
      <w:r>
        <w:t>n</w:t>
      </w:r>
      <w:r>
        <w:rPr>
          <w:spacing w:val="-1"/>
        </w:rPr>
        <w:t xml:space="preserve"> a</w:t>
      </w:r>
      <w:r>
        <w:rPr>
          <w:spacing w:val="1"/>
        </w:rPr>
        <w:t>u</w:t>
      </w:r>
      <w:r>
        <w:t>t</w:t>
      </w:r>
      <w:r>
        <w:rPr>
          <w:spacing w:val="1"/>
        </w:rPr>
        <w:t>o</w:t>
      </w:r>
      <w:r>
        <w:rPr>
          <w:spacing w:val="-1"/>
        </w:rPr>
        <w:t>n</w:t>
      </w:r>
      <w:r>
        <w:rPr>
          <w:spacing w:val="1"/>
        </w:rPr>
        <w:t>om</w:t>
      </w:r>
      <w:r>
        <w:rPr>
          <w:spacing w:val="-2"/>
        </w:rPr>
        <w:t>í</w:t>
      </w:r>
      <w:r>
        <w:t>a</w:t>
      </w:r>
      <w:r>
        <w:rPr>
          <w:spacing w:val="1"/>
        </w:rPr>
        <w:t xml:space="preserve"> </w:t>
      </w:r>
      <w:r>
        <w:rPr>
          <w:spacing w:val="-1"/>
        </w:rPr>
        <w:t>o</w:t>
      </w:r>
      <w:r>
        <w:rPr>
          <w:spacing w:val="1"/>
        </w:rPr>
        <w:t>pe</w:t>
      </w:r>
      <w:r>
        <w:t>rati</w:t>
      </w:r>
      <w:r>
        <w:rPr>
          <w:spacing w:val="-2"/>
        </w:rPr>
        <w:t>v</w:t>
      </w:r>
      <w:r>
        <w:rPr>
          <w:spacing w:val="1"/>
        </w:rPr>
        <w:t>a</w:t>
      </w:r>
      <w:r>
        <w:t>,</w:t>
      </w:r>
      <w:r>
        <w:rPr>
          <w:spacing w:val="1"/>
        </w:rPr>
        <w:t xml:space="preserve"> p</w:t>
      </w:r>
      <w:r>
        <w:rPr>
          <w:spacing w:val="-3"/>
        </w:rPr>
        <w:t>r</w:t>
      </w:r>
      <w:r>
        <w:rPr>
          <w:spacing w:val="1"/>
        </w:rPr>
        <w:t>e</w:t>
      </w:r>
      <w:r>
        <w:t>s</w:t>
      </w:r>
      <w:r>
        <w:rPr>
          <w:spacing w:val="1"/>
        </w:rPr>
        <w:t>u</w:t>
      </w:r>
      <w:r>
        <w:rPr>
          <w:spacing w:val="-1"/>
        </w:rPr>
        <w:t>p</w:t>
      </w:r>
      <w:r>
        <w:rPr>
          <w:spacing w:val="1"/>
        </w:rPr>
        <w:t>ue</w:t>
      </w:r>
      <w:r>
        <w:t>st</w:t>
      </w:r>
      <w:r>
        <w:rPr>
          <w:spacing w:val="1"/>
        </w:rPr>
        <w:t>a</w:t>
      </w:r>
      <w:r>
        <w:t>r</w:t>
      </w:r>
      <w:r>
        <w:rPr>
          <w:spacing w:val="-1"/>
        </w:rPr>
        <w:t>i</w:t>
      </w:r>
      <w:r>
        <w:t>a</w:t>
      </w:r>
      <w:r>
        <w:rPr>
          <w:spacing w:val="1"/>
        </w:rPr>
        <w:t xml:space="preserve"> </w:t>
      </w:r>
      <w:r>
        <w:t>y</w:t>
      </w:r>
      <w:r>
        <w:rPr>
          <w:spacing w:val="-2"/>
        </w:rPr>
        <w:t xml:space="preserve"> </w:t>
      </w:r>
      <w:r>
        <w:rPr>
          <w:spacing w:val="1"/>
        </w:rPr>
        <w:t>d</w:t>
      </w:r>
      <w:r>
        <w:t>e</w:t>
      </w:r>
      <w:r>
        <w:rPr>
          <w:spacing w:val="1"/>
        </w:rPr>
        <w:t xml:space="preserve"> de</w:t>
      </w:r>
      <w:r>
        <w:t>c</w:t>
      </w:r>
      <w:r>
        <w:rPr>
          <w:spacing w:val="-3"/>
        </w:rPr>
        <w:t>i</w:t>
      </w:r>
      <w:r>
        <w:t>sió</w:t>
      </w:r>
      <w:r>
        <w:rPr>
          <w:spacing w:val="1"/>
        </w:rPr>
        <w:t>n</w:t>
      </w:r>
      <w:r>
        <w:t>,</w:t>
      </w:r>
      <w:r>
        <w:rPr>
          <w:spacing w:val="1"/>
        </w:rPr>
        <w:t xml:space="preserve"> en</w:t>
      </w:r>
      <w:r>
        <w:rPr>
          <w:spacing w:val="-2"/>
        </w:rPr>
        <w:t>c</w:t>
      </w:r>
      <w:r>
        <w:rPr>
          <w:spacing w:val="1"/>
        </w:rPr>
        <w:t>a</w:t>
      </w:r>
      <w:r>
        <w:t>r</w:t>
      </w:r>
      <w:r>
        <w:rPr>
          <w:spacing w:val="-2"/>
        </w:rPr>
        <w:t>g</w:t>
      </w:r>
      <w:r>
        <w:rPr>
          <w:spacing w:val="1"/>
        </w:rPr>
        <w:t>ad</w:t>
      </w:r>
      <w:r>
        <w:t xml:space="preserve">o </w:t>
      </w:r>
      <w:r>
        <w:rPr>
          <w:spacing w:val="1"/>
        </w:rPr>
        <w:t>d</w:t>
      </w:r>
      <w:r>
        <w:t>e</w:t>
      </w:r>
      <w:r>
        <w:rPr>
          <w:spacing w:val="1"/>
        </w:rPr>
        <w:t xml:space="preserve"> p</w:t>
      </w:r>
      <w:r>
        <w:t>romo</w:t>
      </w:r>
      <w:r>
        <w:rPr>
          <w:spacing w:val="-2"/>
        </w:rPr>
        <w:t>v</w:t>
      </w:r>
      <w:r>
        <w:rPr>
          <w:spacing w:val="1"/>
        </w:rPr>
        <w:t>e</w:t>
      </w:r>
      <w:r>
        <w:t>r</w:t>
      </w:r>
      <w:r>
        <w:rPr>
          <w:spacing w:val="2"/>
        </w:rPr>
        <w:t xml:space="preserve"> </w:t>
      </w:r>
      <w:r>
        <w:t xml:space="preserve">y </w:t>
      </w:r>
      <w:r>
        <w:rPr>
          <w:spacing w:val="1"/>
        </w:rPr>
        <w:t>d</w:t>
      </w:r>
      <w:r>
        <w:t>if</w:t>
      </w:r>
      <w:r>
        <w:rPr>
          <w:spacing w:val="1"/>
        </w:rPr>
        <w:t>und</w:t>
      </w:r>
      <w:r>
        <w:t>ir</w:t>
      </w:r>
      <w:r>
        <w:rPr>
          <w:spacing w:val="-1"/>
        </w:rPr>
        <w:t xml:space="preserve"> </w:t>
      </w:r>
      <w:r>
        <w:rPr>
          <w:spacing w:val="1"/>
        </w:rPr>
        <w:t>e</w:t>
      </w:r>
      <w:r>
        <w:t xml:space="preserve">l </w:t>
      </w:r>
      <w:r>
        <w:rPr>
          <w:spacing w:val="1"/>
        </w:rPr>
        <w:t>e</w:t>
      </w:r>
      <w:r>
        <w:t>jerc</w:t>
      </w:r>
      <w:r>
        <w:rPr>
          <w:spacing w:val="-1"/>
        </w:rPr>
        <w:t>i</w:t>
      </w:r>
      <w:r>
        <w:t>cio</w:t>
      </w:r>
      <w:r>
        <w:rPr>
          <w:spacing w:val="3"/>
        </w:rPr>
        <w:t xml:space="preserve"> </w:t>
      </w:r>
      <w:r>
        <w:rPr>
          <w:spacing w:val="-1"/>
        </w:rPr>
        <w:t>d</w:t>
      </w:r>
      <w:r>
        <w:rPr>
          <w:spacing w:val="1"/>
        </w:rPr>
        <w:t>e</w:t>
      </w:r>
      <w:r>
        <w:t>l</w:t>
      </w:r>
      <w:r>
        <w:rPr>
          <w:spacing w:val="2"/>
        </w:rPr>
        <w:t xml:space="preserve"> </w:t>
      </w:r>
      <w:r>
        <w:rPr>
          <w:spacing w:val="-1"/>
        </w:rPr>
        <w:t>d</w:t>
      </w:r>
      <w:r>
        <w:rPr>
          <w:spacing w:val="1"/>
        </w:rPr>
        <w:t>e</w:t>
      </w:r>
      <w:r>
        <w:t>rec</w:t>
      </w:r>
      <w:r>
        <w:rPr>
          <w:spacing w:val="-1"/>
        </w:rPr>
        <w:t>h</w:t>
      </w:r>
      <w:r>
        <w:t>o</w:t>
      </w:r>
      <w:r>
        <w:rPr>
          <w:spacing w:val="4"/>
        </w:rPr>
        <w:t xml:space="preserve"> </w:t>
      </w:r>
      <w:r>
        <w:rPr>
          <w:spacing w:val="-1"/>
        </w:rPr>
        <w:t>d</w:t>
      </w:r>
      <w:r>
        <w:t>e</w:t>
      </w:r>
      <w:r>
        <w:rPr>
          <w:spacing w:val="1"/>
        </w:rPr>
        <w:t xml:space="preserve"> a</w:t>
      </w:r>
      <w:r>
        <w:t>cc</w:t>
      </w:r>
      <w:r>
        <w:rPr>
          <w:spacing w:val="1"/>
        </w:rPr>
        <w:t>e</w:t>
      </w:r>
      <w:r>
        <w:t>so</w:t>
      </w:r>
      <w:r>
        <w:rPr>
          <w:spacing w:val="1"/>
        </w:rPr>
        <w:t xml:space="preserve"> </w:t>
      </w:r>
      <w:r>
        <w:t>a</w:t>
      </w:r>
      <w:r>
        <w:rPr>
          <w:spacing w:val="1"/>
        </w:rPr>
        <w:t xml:space="preserve"> </w:t>
      </w:r>
      <w:r>
        <w:t>la</w:t>
      </w:r>
      <w:r>
        <w:rPr>
          <w:spacing w:val="3"/>
        </w:rPr>
        <w:t xml:space="preserve"> </w:t>
      </w:r>
      <w:r>
        <w:t>i</w:t>
      </w:r>
      <w:r>
        <w:rPr>
          <w:spacing w:val="-2"/>
        </w:rPr>
        <w:t>n</w:t>
      </w:r>
      <w:r>
        <w:t>f</w:t>
      </w:r>
      <w:r>
        <w:rPr>
          <w:spacing w:val="1"/>
        </w:rPr>
        <w:t>o</w:t>
      </w:r>
      <w:r>
        <w:rPr>
          <w:spacing w:val="-3"/>
        </w:rPr>
        <w:t>r</w:t>
      </w:r>
      <w:r>
        <w:rPr>
          <w:spacing w:val="1"/>
        </w:rPr>
        <w:t>ma</w:t>
      </w:r>
      <w:r>
        <w:t>ci</w:t>
      </w:r>
      <w:r>
        <w:rPr>
          <w:spacing w:val="-2"/>
        </w:rPr>
        <w:t>ó</w:t>
      </w:r>
      <w:r>
        <w:rPr>
          <w:spacing w:val="1"/>
        </w:rPr>
        <w:t>n</w:t>
      </w:r>
      <w:r>
        <w:t>;</w:t>
      </w:r>
      <w:r>
        <w:rPr>
          <w:spacing w:val="3"/>
        </w:rPr>
        <w:t xml:space="preserve"> </w:t>
      </w:r>
      <w:r>
        <w:t>re</w:t>
      </w:r>
      <w:r>
        <w:rPr>
          <w:spacing w:val="-2"/>
        </w:rPr>
        <w:t>s</w:t>
      </w:r>
      <w:r>
        <w:rPr>
          <w:spacing w:val="1"/>
        </w:rPr>
        <w:t>o</w:t>
      </w:r>
      <w:r>
        <w:t>l</w:t>
      </w:r>
      <w:r>
        <w:rPr>
          <w:spacing w:val="-3"/>
        </w:rPr>
        <w:t>v</w:t>
      </w:r>
      <w:r>
        <w:rPr>
          <w:spacing w:val="1"/>
        </w:rPr>
        <w:t>e</w:t>
      </w:r>
      <w:r>
        <w:t>r s</w:t>
      </w:r>
      <w:r>
        <w:rPr>
          <w:spacing w:val="1"/>
        </w:rPr>
        <w:t>ob</w:t>
      </w:r>
      <w:r>
        <w:t>re</w:t>
      </w:r>
      <w:r>
        <w:rPr>
          <w:spacing w:val="46"/>
        </w:rPr>
        <w:t xml:space="preserve"> </w:t>
      </w:r>
      <w:r>
        <w:t>la</w:t>
      </w:r>
      <w:r>
        <w:rPr>
          <w:spacing w:val="46"/>
        </w:rPr>
        <w:t xml:space="preserve"> </w:t>
      </w:r>
      <w:r>
        <w:rPr>
          <w:spacing w:val="1"/>
        </w:rPr>
        <w:t>ne</w:t>
      </w:r>
      <w:r>
        <w:rPr>
          <w:spacing w:val="-1"/>
        </w:rPr>
        <w:t>g</w:t>
      </w:r>
      <w:r>
        <w:rPr>
          <w:spacing w:val="1"/>
        </w:rPr>
        <w:t>a</w:t>
      </w:r>
      <w:r>
        <w:t>ti</w:t>
      </w:r>
      <w:r>
        <w:rPr>
          <w:spacing w:val="-2"/>
        </w:rPr>
        <w:t>v</w:t>
      </w:r>
      <w:r>
        <w:t>a</w:t>
      </w:r>
      <w:r>
        <w:rPr>
          <w:spacing w:val="49"/>
        </w:rPr>
        <w:t xml:space="preserve"> </w:t>
      </w:r>
      <w:r>
        <w:rPr>
          <w:spacing w:val="-1"/>
        </w:rPr>
        <w:t>d</w:t>
      </w:r>
      <w:r>
        <w:t>e</w:t>
      </w:r>
      <w:r>
        <w:rPr>
          <w:spacing w:val="46"/>
        </w:rPr>
        <w:t xml:space="preserve"> </w:t>
      </w:r>
      <w:r>
        <w:t>las</w:t>
      </w:r>
      <w:r>
        <w:rPr>
          <w:spacing w:val="48"/>
        </w:rPr>
        <w:t xml:space="preserve"> </w:t>
      </w:r>
      <w:r>
        <w:t>s</w:t>
      </w:r>
      <w:r>
        <w:rPr>
          <w:spacing w:val="1"/>
        </w:rPr>
        <w:t>o</w:t>
      </w:r>
      <w:r>
        <w:t>l</w:t>
      </w:r>
      <w:r>
        <w:rPr>
          <w:spacing w:val="-1"/>
        </w:rPr>
        <w:t>i</w:t>
      </w:r>
      <w:r>
        <w:t>cit</w:t>
      </w:r>
      <w:r>
        <w:rPr>
          <w:spacing w:val="-1"/>
        </w:rPr>
        <w:t>u</w:t>
      </w:r>
      <w:r>
        <w:rPr>
          <w:spacing w:val="1"/>
        </w:rPr>
        <w:t>de</w:t>
      </w:r>
      <w:r>
        <w:t>s</w:t>
      </w:r>
      <w:r>
        <w:rPr>
          <w:spacing w:val="50"/>
        </w:rPr>
        <w:t xml:space="preserve"> </w:t>
      </w:r>
      <w:r>
        <w:rPr>
          <w:spacing w:val="1"/>
        </w:rPr>
        <w:t>d</w:t>
      </w:r>
      <w:r>
        <w:t>e</w:t>
      </w:r>
      <w:r>
        <w:rPr>
          <w:spacing w:val="47"/>
        </w:rPr>
        <w:t xml:space="preserve"> </w:t>
      </w:r>
      <w:r>
        <w:rPr>
          <w:spacing w:val="1"/>
        </w:rPr>
        <w:t>a</w:t>
      </w:r>
      <w:r>
        <w:t>c</w:t>
      </w:r>
      <w:r>
        <w:rPr>
          <w:spacing w:val="-2"/>
        </w:rPr>
        <w:t>c</w:t>
      </w:r>
      <w:r>
        <w:rPr>
          <w:spacing w:val="1"/>
        </w:rPr>
        <w:t>e</w:t>
      </w:r>
      <w:r>
        <w:t>so</w:t>
      </w:r>
      <w:r>
        <w:rPr>
          <w:spacing w:val="46"/>
        </w:rPr>
        <w:t xml:space="preserve"> </w:t>
      </w:r>
      <w:r>
        <w:t>a</w:t>
      </w:r>
      <w:r>
        <w:rPr>
          <w:spacing w:val="47"/>
        </w:rPr>
        <w:t xml:space="preserve"> </w:t>
      </w:r>
      <w:r>
        <w:t>la</w:t>
      </w:r>
      <w:r>
        <w:rPr>
          <w:spacing w:val="48"/>
        </w:rPr>
        <w:t xml:space="preserve"> </w:t>
      </w:r>
      <w:r>
        <w:rPr>
          <w:spacing w:val="-3"/>
        </w:rPr>
        <w:t>i</w:t>
      </w:r>
      <w:r>
        <w:rPr>
          <w:spacing w:val="-1"/>
        </w:rPr>
        <w:t>n</w:t>
      </w:r>
      <w:r>
        <w:rPr>
          <w:spacing w:val="3"/>
        </w:rPr>
        <w:t>f</w:t>
      </w:r>
      <w:r>
        <w:rPr>
          <w:spacing w:val="1"/>
        </w:rPr>
        <w:t>o</w:t>
      </w:r>
      <w:r>
        <w:rPr>
          <w:spacing w:val="-3"/>
        </w:rPr>
        <w:t>r</w:t>
      </w:r>
      <w:r>
        <w:rPr>
          <w:spacing w:val="1"/>
        </w:rPr>
        <w:t>ma</w:t>
      </w:r>
      <w:r>
        <w:t>ció</w:t>
      </w:r>
      <w:r>
        <w:rPr>
          <w:spacing w:val="-1"/>
        </w:rPr>
        <w:t>n</w:t>
      </w:r>
      <w:r>
        <w:t>;</w:t>
      </w:r>
      <w:r>
        <w:rPr>
          <w:spacing w:val="46"/>
        </w:rPr>
        <w:t xml:space="preserve"> </w:t>
      </w:r>
      <w:r>
        <w:t>y</w:t>
      </w:r>
      <w:r>
        <w:rPr>
          <w:spacing w:val="46"/>
        </w:rPr>
        <w:t xml:space="preserve"> </w:t>
      </w:r>
      <w:r>
        <w:rPr>
          <w:spacing w:val="1"/>
        </w:rPr>
        <w:t>p</w:t>
      </w:r>
      <w:r>
        <w:t>rot</w:t>
      </w:r>
      <w:r>
        <w:rPr>
          <w:spacing w:val="1"/>
        </w:rPr>
        <w:t>e</w:t>
      </w:r>
      <w:r>
        <w:rPr>
          <w:spacing w:val="-1"/>
        </w:rPr>
        <w:t>g</w:t>
      </w:r>
      <w:r>
        <w:rPr>
          <w:spacing w:val="1"/>
        </w:rPr>
        <w:t>e</w:t>
      </w:r>
      <w:r>
        <w:t>r</w:t>
      </w:r>
      <w:r>
        <w:rPr>
          <w:spacing w:val="45"/>
        </w:rPr>
        <w:t xml:space="preserve"> </w:t>
      </w:r>
      <w:r>
        <w:t>l</w:t>
      </w:r>
      <w:r>
        <w:rPr>
          <w:spacing w:val="-2"/>
        </w:rPr>
        <w:t>o</w:t>
      </w:r>
      <w:r>
        <w:t xml:space="preserve">s </w:t>
      </w:r>
      <w:r>
        <w:rPr>
          <w:spacing w:val="1"/>
        </w:rPr>
        <w:t>da</w:t>
      </w:r>
      <w:r>
        <w:t>t</w:t>
      </w:r>
      <w:r>
        <w:rPr>
          <w:spacing w:val="1"/>
        </w:rPr>
        <w:t>o</w:t>
      </w:r>
      <w:r>
        <w:t xml:space="preserve">s </w:t>
      </w:r>
      <w:r>
        <w:rPr>
          <w:spacing w:val="-1"/>
        </w:rPr>
        <w:t>p</w:t>
      </w:r>
      <w:r>
        <w:rPr>
          <w:spacing w:val="1"/>
        </w:rPr>
        <w:t>e</w:t>
      </w:r>
      <w:r>
        <w:t>rso</w:t>
      </w:r>
      <w:r>
        <w:rPr>
          <w:spacing w:val="1"/>
        </w:rPr>
        <w:t>na</w:t>
      </w:r>
      <w:r>
        <w:rPr>
          <w:spacing w:val="-3"/>
        </w:rPr>
        <w:t>l</w:t>
      </w:r>
      <w:r>
        <w:rPr>
          <w:spacing w:val="1"/>
        </w:rPr>
        <w:t>e</w:t>
      </w:r>
      <w:r>
        <w:t>s</w:t>
      </w:r>
      <w:r>
        <w:rPr>
          <w:spacing w:val="3"/>
        </w:rPr>
        <w:t xml:space="preserve"> </w:t>
      </w:r>
      <w:r>
        <w:rPr>
          <w:spacing w:val="-1"/>
        </w:rPr>
        <w:t>e</w:t>
      </w:r>
      <w:r>
        <w:t>n</w:t>
      </w:r>
      <w:r>
        <w:rPr>
          <w:spacing w:val="1"/>
        </w:rPr>
        <w:t xml:space="preserve"> </w:t>
      </w:r>
      <w:r>
        <w:rPr>
          <w:spacing w:val="-1"/>
        </w:rPr>
        <w:t>p</w:t>
      </w:r>
      <w:r>
        <w:rPr>
          <w:spacing w:val="1"/>
        </w:rPr>
        <w:t>ode</w:t>
      </w:r>
      <w:r>
        <w:t>r de</w:t>
      </w:r>
      <w:r>
        <w:rPr>
          <w:spacing w:val="1"/>
        </w:rPr>
        <w:t xml:space="preserve"> </w:t>
      </w:r>
      <w:r>
        <w:t>las</w:t>
      </w:r>
      <w:r>
        <w:rPr>
          <w:spacing w:val="1"/>
        </w:rPr>
        <w:t xml:space="preserve"> de</w:t>
      </w:r>
      <w:r>
        <w:rPr>
          <w:spacing w:val="-1"/>
        </w:rPr>
        <w:t>p</w:t>
      </w:r>
      <w:r>
        <w:rPr>
          <w:spacing w:val="1"/>
        </w:rPr>
        <w:t>e</w:t>
      </w:r>
      <w:r>
        <w:rPr>
          <w:spacing w:val="-1"/>
        </w:rPr>
        <w:t>n</w:t>
      </w:r>
      <w:r>
        <w:rPr>
          <w:spacing w:val="1"/>
        </w:rPr>
        <w:t>den</w:t>
      </w:r>
      <w:r>
        <w:rPr>
          <w:spacing w:val="-2"/>
        </w:rPr>
        <w:t>c</w:t>
      </w:r>
      <w:r>
        <w:t>ias</w:t>
      </w:r>
      <w:r>
        <w:rPr>
          <w:spacing w:val="3"/>
        </w:rPr>
        <w:t xml:space="preserve"> </w:t>
      </w:r>
      <w:r>
        <w:t xml:space="preserve">y </w:t>
      </w:r>
      <w:r>
        <w:rPr>
          <w:spacing w:val="1"/>
        </w:rPr>
        <w:t>en</w:t>
      </w:r>
      <w:r>
        <w:t>ti</w:t>
      </w:r>
      <w:r>
        <w:rPr>
          <w:spacing w:val="-1"/>
        </w:rPr>
        <w:t>d</w:t>
      </w:r>
      <w:r>
        <w:rPr>
          <w:spacing w:val="1"/>
        </w:rPr>
        <w:t>ade</w:t>
      </w:r>
      <w:r>
        <w:rPr>
          <w:spacing w:val="-2"/>
        </w:rPr>
        <w:t>s</w:t>
      </w:r>
      <w:r>
        <w:t>.</w:t>
      </w:r>
      <w:r>
        <w:rPr>
          <w:spacing w:val="3"/>
        </w:rPr>
        <w:t xml:space="preserve"> </w:t>
      </w:r>
      <w:r>
        <w:t>S</w:t>
      </w:r>
      <w:r>
        <w:rPr>
          <w:spacing w:val="-3"/>
        </w:rPr>
        <w:t>i</w:t>
      </w:r>
      <w:r>
        <w:t>n</w:t>
      </w:r>
      <w:r>
        <w:rPr>
          <w:spacing w:val="4"/>
        </w:rPr>
        <w:t xml:space="preserve"> </w:t>
      </w:r>
      <w:r>
        <w:rPr>
          <w:spacing w:val="-1"/>
        </w:rPr>
        <w:t>e</w:t>
      </w:r>
      <w:r>
        <w:rPr>
          <w:spacing w:val="1"/>
        </w:rPr>
        <w:t>mba</w:t>
      </w:r>
      <w:r>
        <w:t>r</w:t>
      </w:r>
      <w:r>
        <w:rPr>
          <w:spacing w:val="-2"/>
        </w:rPr>
        <w:t>g</w:t>
      </w:r>
      <w:r>
        <w:rPr>
          <w:spacing w:val="1"/>
        </w:rPr>
        <w:t>o</w:t>
      </w:r>
      <w:r>
        <w:t>,</w:t>
      </w:r>
      <w:r>
        <w:rPr>
          <w:spacing w:val="1"/>
        </w:rPr>
        <w:t xml:space="preserve"> n</w:t>
      </w:r>
      <w:r>
        <w:t>o</w:t>
      </w:r>
      <w:r>
        <w:rPr>
          <w:spacing w:val="1"/>
        </w:rPr>
        <w:t xml:space="preserve"> e</w:t>
      </w:r>
      <w:r>
        <w:rPr>
          <w:spacing w:val="-2"/>
        </w:rPr>
        <w:t>st</w:t>
      </w:r>
      <w:r>
        <w:t>á f</w:t>
      </w:r>
      <w:r>
        <w:rPr>
          <w:spacing w:val="1"/>
        </w:rPr>
        <w:t>a</w:t>
      </w:r>
      <w:r>
        <w:t>c</w:t>
      </w:r>
      <w:r>
        <w:rPr>
          <w:spacing w:val="1"/>
        </w:rPr>
        <w:t>u</w:t>
      </w:r>
      <w:r>
        <w:t>lt</w:t>
      </w:r>
      <w:r>
        <w:rPr>
          <w:spacing w:val="-1"/>
        </w:rPr>
        <w:t>a</w:t>
      </w:r>
      <w:r>
        <w:rPr>
          <w:spacing w:val="1"/>
        </w:rPr>
        <w:t>d</w:t>
      </w:r>
      <w:r>
        <w:t>o</w:t>
      </w:r>
      <w:r>
        <w:rPr>
          <w:spacing w:val="37"/>
        </w:rPr>
        <w:t xml:space="preserve"> </w:t>
      </w:r>
      <w:r>
        <w:rPr>
          <w:spacing w:val="1"/>
        </w:rPr>
        <w:t>pa</w:t>
      </w:r>
      <w:r>
        <w:t>ra</w:t>
      </w:r>
      <w:r>
        <w:rPr>
          <w:spacing w:val="36"/>
        </w:rPr>
        <w:t xml:space="preserve"> </w:t>
      </w:r>
      <w:r>
        <w:rPr>
          <w:spacing w:val="1"/>
        </w:rPr>
        <w:t>p</w:t>
      </w:r>
      <w:r>
        <w:t>r</w:t>
      </w:r>
      <w:r>
        <w:rPr>
          <w:spacing w:val="-2"/>
        </w:rPr>
        <w:t>o</w:t>
      </w:r>
      <w:r>
        <w:rPr>
          <w:spacing w:val="1"/>
        </w:rPr>
        <w:t>nu</w:t>
      </w:r>
      <w:r>
        <w:rPr>
          <w:spacing w:val="-1"/>
        </w:rPr>
        <w:t>n</w:t>
      </w:r>
      <w:r>
        <w:t>ciarse</w:t>
      </w:r>
      <w:r>
        <w:rPr>
          <w:spacing w:val="39"/>
        </w:rPr>
        <w:t xml:space="preserve"> </w:t>
      </w:r>
      <w:r>
        <w:t>s</w:t>
      </w:r>
      <w:r>
        <w:rPr>
          <w:spacing w:val="1"/>
        </w:rPr>
        <w:t>ob</w:t>
      </w:r>
      <w:r>
        <w:t>re</w:t>
      </w:r>
      <w:r>
        <w:rPr>
          <w:spacing w:val="36"/>
        </w:rPr>
        <w:t xml:space="preserve"> </w:t>
      </w:r>
      <w:r>
        <w:t>la</w:t>
      </w:r>
      <w:r>
        <w:rPr>
          <w:spacing w:val="39"/>
        </w:rPr>
        <w:t xml:space="preserve"> </w:t>
      </w:r>
      <w:r>
        <w:rPr>
          <w:spacing w:val="-2"/>
        </w:rPr>
        <w:t>v</w:t>
      </w:r>
      <w:r>
        <w:rPr>
          <w:spacing w:val="1"/>
        </w:rPr>
        <w:t>e</w:t>
      </w:r>
      <w:r>
        <w:t>rac</w:t>
      </w:r>
      <w:r>
        <w:rPr>
          <w:spacing w:val="-3"/>
        </w:rPr>
        <w:t>i</w:t>
      </w:r>
      <w:r>
        <w:rPr>
          <w:spacing w:val="1"/>
        </w:rPr>
        <w:t>da</w:t>
      </w:r>
      <w:r>
        <w:t>d</w:t>
      </w:r>
      <w:r>
        <w:rPr>
          <w:spacing w:val="37"/>
        </w:rPr>
        <w:t xml:space="preserve"> </w:t>
      </w:r>
      <w:r>
        <w:rPr>
          <w:spacing w:val="1"/>
        </w:rPr>
        <w:t>d</w:t>
      </w:r>
      <w:r>
        <w:t>e</w:t>
      </w:r>
      <w:r>
        <w:rPr>
          <w:spacing w:val="37"/>
        </w:rPr>
        <w:t xml:space="preserve"> </w:t>
      </w:r>
      <w:r>
        <w:t>la</w:t>
      </w:r>
      <w:r>
        <w:rPr>
          <w:spacing w:val="39"/>
        </w:rPr>
        <w:t xml:space="preserve"> </w:t>
      </w:r>
      <w:r>
        <w:t>i</w:t>
      </w:r>
      <w:r>
        <w:rPr>
          <w:spacing w:val="-2"/>
        </w:rPr>
        <w:t>n</w:t>
      </w:r>
      <w:r>
        <w:t>f</w:t>
      </w:r>
      <w:r>
        <w:rPr>
          <w:spacing w:val="1"/>
        </w:rPr>
        <w:t>o</w:t>
      </w:r>
      <w:r>
        <w:t>r</w:t>
      </w:r>
      <w:r>
        <w:rPr>
          <w:spacing w:val="-1"/>
        </w:rPr>
        <w:t>m</w:t>
      </w:r>
      <w:r>
        <w:rPr>
          <w:spacing w:val="1"/>
        </w:rPr>
        <w:t>a</w:t>
      </w:r>
      <w:r>
        <w:t>ción</w:t>
      </w:r>
      <w:r>
        <w:rPr>
          <w:spacing w:val="37"/>
        </w:rPr>
        <w:t xml:space="preserve"> </w:t>
      </w:r>
      <w:r>
        <w:rPr>
          <w:spacing w:val="1"/>
        </w:rPr>
        <w:t>p</w:t>
      </w:r>
      <w:r>
        <w:t>ro</w:t>
      </w:r>
      <w:r>
        <w:rPr>
          <w:spacing w:val="-1"/>
        </w:rPr>
        <w:t>p</w:t>
      </w:r>
      <w:r>
        <w:rPr>
          <w:spacing w:val="1"/>
        </w:rPr>
        <w:t>o</w:t>
      </w:r>
      <w:r>
        <w:t>rc</w:t>
      </w:r>
      <w:r>
        <w:rPr>
          <w:spacing w:val="-1"/>
        </w:rPr>
        <w:t>i</w:t>
      </w:r>
      <w:r>
        <w:rPr>
          <w:spacing w:val="1"/>
        </w:rPr>
        <w:t>on</w:t>
      </w:r>
      <w:r>
        <w:rPr>
          <w:spacing w:val="-1"/>
        </w:rPr>
        <w:t>ad</w:t>
      </w:r>
      <w:r>
        <w:t xml:space="preserve">a </w:t>
      </w:r>
      <w:r>
        <w:rPr>
          <w:spacing w:val="1"/>
        </w:rPr>
        <w:t>po</w:t>
      </w:r>
      <w:r>
        <w:t xml:space="preserve">r </w:t>
      </w:r>
      <w:r>
        <w:rPr>
          <w:spacing w:val="2"/>
        </w:rPr>
        <w:t xml:space="preserve"> </w:t>
      </w:r>
      <w:r>
        <w:t xml:space="preserve">las </w:t>
      </w:r>
      <w:r>
        <w:rPr>
          <w:spacing w:val="1"/>
        </w:rPr>
        <w:t xml:space="preserve"> a</w:t>
      </w:r>
      <w:r>
        <w:rPr>
          <w:spacing w:val="-1"/>
        </w:rPr>
        <w:t>u</w:t>
      </w:r>
      <w:r>
        <w:t>t</w:t>
      </w:r>
      <w:r>
        <w:rPr>
          <w:spacing w:val="1"/>
        </w:rPr>
        <w:t>o</w:t>
      </w:r>
      <w:r>
        <w:t>r</w:t>
      </w:r>
      <w:r>
        <w:rPr>
          <w:spacing w:val="-1"/>
        </w:rPr>
        <w:t>i</w:t>
      </w:r>
      <w:r>
        <w:rPr>
          <w:spacing w:val="1"/>
        </w:rPr>
        <w:t>d</w:t>
      </w:r>
      <w:r>
        <w:rPr>
          <w:spacing w:val="-1"/>
        </w:rPr>
        <w:t>a</w:t>
      </w:r>
      <w:r>
        <w:rPr>
          <w:spacing w:val="1"/>
        </w:rPr>
        <w:t>de</w:t>
      </w:r>
      <w:r>
        <w:t xml:space="preserve">s  </w:t>
      </w:r>
      <w:r>
        <w:rPr>
          <w:spacing w:val="1"/>
        </w:rPr>
        <w:t>e</w:t>
      </w:r>
      <w:r>
        <w:t xml:space="preserve">n </w:t>
      </w:r>
      <w:r>
        <w:rPr>
          <w:spacing w:val="3"/>
        </w:rPr>
        <w:t xml:space="preserve"> </w:t>
      </w:r>
      <w:r>
        <w:t>re</w:t>
      </w:r>
      <w:r>
        <w:rPr>
          <w:spacing w:val="-2"/>
        </w:rPr>
        <w:t>s</w:t>
      </w:r>
      <w:r>
        <w:rPr>
          <w:spacing w:val="1"/>
        </w:rPr>
        <w:t>pue</w:t>
      </w:r>
      <w:r>
        <w:rPr>
          <w:spacing w:val="-2"/>
        </w:rPr>
        <w:t>s</w:t>
      </w:r>
      <w:r>
        <w:t xml:space="preserve">ta </w:t>
      </w:r>
      <w:r>
        <w:rPr>
          <w:spacing w:val="1"/>
        </w:rPr>
        <w:t xml:space="preserve"> </w:t>
      </w:r>
      <w:r>
        <w:t xml:space="preserve">a </w:t>
      </w:r>
      <w:r>
        <w:rPr>
          <w:spacing w:val="3"/>
        </w:rPr>
        <w:t xml:space="preserve"> </w:t>
      </w:r>
      <w:r>
        <w:rPr>
          <w:spacing w:val="-3"/>
        </w:rPr>
        <w:t>l</w:t>
      </w:r>
      <w:r>
        <w:rPr>
          <w:spacing w:val="1"/>
        </w:rPr>
        <w:t>a</w:t>
      </w:r>
      <w:r>
        <w:t>s  s</w:t>
      </w:r>
      <w:r>
        <w:rPr>
          <w:spacing w:val="1"/>
        </w:rPr>
        <w:t>o</w:t>
      </w:r>
      <w:r>
        <w:t>l</w:t>
      </w:r>
      <w:r>
        <w:rPr>
          <w:spacing w:val="-1"/>
        </w:rPr>
        <w:t>i</w:t>
      </w:r>
      <w:r>
        <w:t>cit</w:t>
      </w:r>
      <w:r>
        <w:rPr>
          <w:spacing w:val="1"/>
        </w:rPr>
        <w:t>ude</w:t>
      </w:r>
      <w:r>
        <w:t xml:space="preserve">s  </w:t>
      </w:r>
      <w:r>
        <w:rPr>
          <w:spacing w:val="1"/>
        </w:rPr>
        <w:t>d</w:t>
      </w:r>
      <w:r>
        <w:t xml:space="preserve">e </w:t>
      </w:r>
      <w:r>
        <w:rPr>
          <w:spacing w:val="9"/>
        </w:rPr>
        <w:t xml:space="preserve"> </w:t>
      </w:r>
      <w:r>
        <w:t>i</w:t>
      </w:r>
      <w:r>
        <w:rPr>
          <w:spacing w:val="-2"/>
        </w:rPr>
        <w:t>n</w:t>
      </w:r>
      <w:r>
        <w:t>f</w:t>
      </w:r>
      <w:r>
        <w:rPr>
          <w:spacing w:val="1"/>
        </w:rPr>
        <w:t>o</w:t>
      </w:r>
      <w:r>
        <w:t>r</w:t>
      </w:r>
      <w:r>
        <w:rPr>
          <w:spacing w:val="-1"/>
        </w:rPr>
        <w:t>m</w:t>
      </w:r>
      <w:r>
        <w:rPr>
          <w:spacing w:val="1"/>
        </w:rPr>
        <w:t>a</w:t>
      </w:r>
      <w:r>
        <w:t xml:space="preserve">ción </w:t>
      </w:r>
      <w:r>
        <w:rPr>
          <w:spacing w:val="3"/>
        </w:rPr>
        <w:t xml:space="preserve"> </w:t>
      </w:r>
      <w:r>
        <w:rPr>
          <w:spacing w:val="-1"/>
        </w:rPr>
        <w:t>qu</w:t>
      </w:r>
      <w:r>
        <w:t xml:space="preserve">e </w:t>
      </w:r>
      <w:r>
        <w:rPr>
          <w:spacing w:val="3"/>
        </w:rPr>
        <w:t xml:space="preserve"> </w:t>
      </w:r>
      <w:r>
        <w:t>l</w:t>
      </w:r>
      <w:r>
        <w:rPr>
          <w:spacing w:val="-2"/>
        </w:rPr>
        <w:t>e</w:t>
      </w:r>
      <w:r>
        <w:t xml:space="preserve">s </w:t>
      </w:r>
      <w:r>
        <w:rPr>
          <w:spacing w:val="1"/>
        </w:rPr>
        <w:t>p</w:t>
      </w:r>
      <w:r>
        <w:t>res</w:t>
      </w:r>
      <w:r>
        <w:rPr>
          <w:spacing w:val="1"/>
        </w:rPr>
        <w:t>en</w:t>
      </w:r>
      <w:r>
        <w:rPr>
          <w:spacing w:val="-2"/>
        </w:rPr>
        <w:t>t</w:t>
      </w:r>
      <w:r>
        <w:rPr>
          <w:spacing w:val="1"/>
        </w:rPr>
        <w:t>a</w:t>
      </w:r>
      <w:r>
        <w:t>n</w:t>
      </w:r>
      <w:r>
        <w:rPr>
          <w:spacing w:val="3"/>
        </w:rPr>
        <w:t xml:space="preserve"> </w:t>
      </w:r>
      <w:r>
        <w:t>los</w:t>
      </w:r>
      <w:r>
        <w:rPr>
          <w:spacing w:val="3"/>
        </w:rPr>
        <w:t xml:space="preserve"> </w:t>
      </w:r>
      <w:r>
        <w:rPr>
          <w:spacing w:val="-1"/>
        </w:rPr>
        <w:t>p</w:t>
      </w:r>
      <w:r>
        <w:rPr>
          <w:spacing w:val="1"/>
        </w:rPr>
        <w:t>a</w:t>
      </w:r>
      <w:r>
        <w:t>rt</w:t>
      </w:r>
      <w:r>
        <w:rPr>
          <w:spacing w:val="-1"/>
        </w:rPr>
        <w:t>i</w:t>
      </w:r>
      <w:r>
        <w:t>c</w:t>
      </w:r>
      <w:r>
        <w:rPr>
          <w:spacing w:val="1"/>
        </w:rPr>
        <w:t>u</w:t>
      </w:r>
      <w:r>
        <w:rPr>
          <w:spacing w:val="-3"/>
        </w:rPr>
        <w:t>l</w:t>
      </w:r>
      <w:r>
        <w:rPr>
          <w:spacing w:val="1"/>
        </w:rPr>
        <w:t>a</w:t>
      </w:r>
      <w:r>
        <w:t>res,</w:t>
      </w:r>
      <w:r>
        <w:rPr>
          <w:spacing w:val="3"/>
        </w:rPr>
        <w:t xml:space="preserve"> </w:t>
      </w:r>
      <w:r>
        <w:rPr>
          <w:spacing w:val="1"/>
        </w:rPr>
        <w:t>e</w:t>
      </w:r>
      <w:r>
        <w:t>n</w:t>
      </w:r>
      <w:r>
        <w:rPr>
          <w:spacing w:val="3"/>
        </w:rPr>
        <w:t xml:space="preserve"> </w:t>
      </w:r>
      <w:r>
        <w:rPr>
          <w:spacing w:val="-2"/>
        </w:rPr>
        <w:t>v</w:t>
      </w:r>
      <w:r>
        <w:t>i</w:t>
      </w:r>
      <w:r>
        <w:rPr>
          <w:spacing w:val="-1"/>
        </w:rPr>
        <w:t>r</w:t>
      </w:r>
      <w:r>
        <w:t>t</w:t>
      </w:r>
      <w:r>
        <w:rPr>
          <w:spacing w:val="1"/>
        </w:rPr>
        <w:t>u</w:t>
      </w:r>
      <w:r>
        <w:t>d</w:t>
      </w:r>
      <w:r>
        <w:rPr>
          <w:spacing w:val="3"/>
        </w:rPr>
        <w:t xml:space="preserve"> </w:t>
      </w:r>
      <w:r>
        <w:rPr>
          <w:spacing w:val="1"/>
        </w:rPr>
        <w:t>d</w:t>
      </w:r>
      <w:r>
        <w:t>e</w:t>
      </w:r>
      <w:r>
        <w:rPr>
          <w:spacing w:val="3"/>
        </w:rPr>
        <w:t xml:space="preserve"> </w:t>
      </w:r>
      <w:r>
        <w:rPr>
          <w:spacing w:val="-1"/>
        </w:rPr>
        <w:t>qu</w:t>
      </w:r>
      <w:r>
        <w:t>e</w:t>
      </w:r>
      <w:r>
        <w:rPr>
          <w:spacing w:val="3"/>
        </w:rPr>
        <w:t xml:space="preserve"> </w:t>
      </w:r>
      <w:r>
        <w:rPr>
          <w:spacing w:val="1"/>
        </w:rPr>
        <w:t>e</w:t>
      </w:r>
      <w:r>
        <w:t>n</w:t>
      </w:r>
      <w:r>
        <w:rPr>
          <w:spacing w:val="3"/>
        </w:rPr>
        <w:t xml:space="preserve"> </w:t>
      </w:r>
      <w:r>
        <w:t>los</w:t>
      </w:r>
      <w:r>
        <w:rPr>
          <w:spacing w:val="3"/>
        </w:rPr>
        <w:t xml:space="preserve"> </w:t>
      </w:r>
      <w:r>
        <w:rPr>
          <w:spacing w:val="1"/>
        </w:rPr>
        <w:t>a</w:t>
      </w:r>
      <w:r>
        <w:t>rt</w:t>
      </w:r>
      <w:r>
        <w:rPr>
          <w:spacing w:val="-2"/>
        </w:rPr>
        <w:t>í</w:t>
      </w:r>
      <w:r>
        <w:t>c</w:t>
      </w:r>
      <w:r>
        <w:rPr>
          <w:spacing w:val="1"/>
        </w:rPr>
        <w:t>u</w:t>
      </w:r>
      <w:r>
        <w:t>los</w:t>
      </w:r>
      <w:r>
        <w:rPr>
          <w:spacing w:val="3"/>
        </w:rPr>
        <w:t xml:space="preserve"> </w:t>
      </w:r>
      <w:r>
        <w:rPr>
          <w:spacing w:val="1"/>
        </w:rPr>
        <w:t>4</w:t>
      </w:r>
      <w:r>
        <w:t xml:space="preserve">9 y </w:t>
      </w:r>
      <w:r>
        <w:rPr>
          <w:spacing w:val="1"/>
        </w:rPr>
        <w:t>5</w:t>
      </w:r>
      <w:r>
        <w:t>0</w:t>
      </w:r>
      <w:r>
        <w:rPr>
          <w:spacing w:val="3"/>
        </w:rPr>
        <w:t xml:space="preserve"> </w:t>
      </w:r>
      <w:r>
        <w:rPr>
          <w:spacing w:val="1"/>
        </w:rPr>
        <w:t>d</w:t>
      </w:r>
      <w:r>
        <w:t>e</w:t>
      </w:r>
      <w:r>
        <w:rPr>
          <w:spacing w:val="3"/>
        </w:rPr>
        <w:t xml:space="preserve"> </w:t>
      </w:r>
      <w:r>
        <w:t>la</w:t>
      </w:r>
      <w:r>
        <w:rPr>
          <w:spacing w:val="3"/>
        </w:rPr>
        <w:t xml:space="preserve"> </w:t>
      </w:r>
      <w:r>
        <w:rPr>
          <w:spacing w:val="1"/>
        </w:rPr>
        <w:t>Le</w:t>
      </w:r>
      <w:r>
        <w:t>y Fe</w:t>
      </w:r>
      <w:r>
        <w:rPr>
          <w:spacing w:val="1"/>
        </w:rPr>
        <w:t>de</w:t>
      </w:r>
      <w:r>
        <w:t xml:space="preserve">ral </w:t>
      </w:r>
      <w:r>
        <w:rPr>
          <w:spacing w:val="1"/>
        </w:rPr>
        <w:t>d</w:t>
      </w:r>
      <w:r>
        <w:t>e</w:t>
      </w:r>
      <w:r>
        <w:rPr>
          <w:spacing w:val="1"/>
        </w:rPr>
        <w:t xml:space="preserve"> </w:t>
      </w:r>
      <w:r>
        <w:rPr>
          <w:spacing w:val="2"/>
        </w:rPr>
        <w:t>T</w:t>
      </w:r>
      <w:r>
        <w:t>r</w:t>
      </w:r>
      <w:r>
        <w:rPr>
          <w:spacing w:val="-2"/>
        </w:rPr>
        <w:t>a</w:t>
      </w:r>
      <w:r>
        <w:rPr>
          <w:spacing w:val="1"/>
        </w:rPr>
        <w:t>n</w:t>
      </w:r>
      <w:r>
        <w:t>s</w:t>
      </w:r>
      <w:r>
        <w:rPr>
          <w:spacing w:val="-1"/>
        </w:rPr>
        <w:t>p</w:t>
      </w:r>
      <w:r>
        <w:rPr>
          <w:spacing w:val="1"/>
        </w:rPr>
        <w:t>a</w:t>
      </w:r>
      <w:r>
        <w:t>re</w:t>
      </w:r>
      <w:r>
        <w:rPr>
          <w:spacing w:val="-1"/>
        </w:rPr>
        <w:t>n</w:t>
      </w:r>
      <w:r>
        <w:t>cia</w:t>
      </w:r>
      <w:r>
        <w:rPr>
          <w:spacing w:val="3"/>
        </w:rPr>
        <w:t xml:space="preserve"> </w:t>
      </w:r>
      <w:r>
        <w:t>y Acc</w:t>
      </w:r>
      <w:r>
        <w:rPr>
          <w:spacing w:val="1"/>
        </w:rPr>
        <w:t>e</w:t>
      </w:r>
      <w:r>
        <w:t>so</w:t>
      </w:r>
      <w:r>
        <w:rPr>
          <w:spacing w:val="1"/>
        </w:rPr>
        <w:t xml:space="preserve"> </w:t>
      </w:r>
      <w:r>
        <w:t>a</w:t>
      </w:r>
      <w:r>
        <w:rPr>
          <w:spacing w:val="3"/>
        </w:rPr>
        <w:t xml:space="preserve"> </w:t>
      </w:r>
      <w:r>
        <w:t>la I</w:t>
      </w:r>
      <w:r>
        <w:rPr>
          <w:spacing w:val="-1"/>
        </w:rPr>
        <w:t>n</w:t>
      </w:r>
      <w:r>
        <w:t>f</w:t>
      </w:r>
      <w:r>
        <w:rPr>
          <w:spacing w:val="1"/>
        </w:rPr>
        <w:t>o</w:t>
      </w:r>
      <w:r>
        <w:t>r</w:t>
      </w:r>
      <w:r>
        <w:rPr>
          <w:spacing w:val="1"/>
        </w:rPr>
        <w:t>ma</w:t>
      </w:r>
      <w:r>
        <w:t>ci</w:t>
      </w:r>
      <w:r>
        <w:rPr>
          <w:spacing w:val="-2"/>
        </w:rPr>
        <w:t>ó</w:t>
      </w:r>
      <w:r>
        <w:t>n</w:t>
      </w:r>
      <w:r>
        <w:rPr>
          <w:spacing w:val="3"/>
        </w:rPr>
        <w:t xml:space="preserve"> </w:t>
      </w:r>
      <w:r>
        <w:rPr>
          <w:spacing w:val="-2"/>
        </w:rPr>
        <w:t>P</w:t>
      </w:r>
      <w:r>
        <w:rPr>
          <w:spacing w:val="1"/>
        </w:rPr>
        <w:t>úb</w:t>
      </w:r>
      <w:r>
        <w:t>l</w:t>
      </w:r>
      <w:r>
        <w:rPr>
          <w:spacing w:val="-1"/>
        </w:rPr>
        <w:t>i</w:t>
      </w:r>
      <w:r>
        <w:t>ca</w:t>
      </w:r>
      <w:r>
        <w:rPr>
          <w:spacing w:val="1"/>
        </w:rPr>
        <w:t xml:space="preserve"> </w:t>
      </w:r>
      <w:r>
        <w:t>G</w:t>
      </w:r>
      <w:r>
        <w:rPr>
          <w:spacing w:val="1"/>
        </w:rPr>
        <w:t>u</w:t>
      </w:r>
      <w:r>
        <w:rPr>
          <w:spacing w:val="-1"/>
        </w:rPr>
        <w:t>b</w:t>
      </w:r>
      <w:r>
        <w:rPr>
          <w:spacing w:val="1"/>
        </w:rPr>
        <w:t>e</w:t>
      </w:r>
      <w:r>
        <w:t>rn</w:t>
      </w:r>
      <w:r>
        <w:rPr>
          <w:spacing w:val="1"/>
        </w:rPr>
        <w:t>a</w:t>
      </w:r>
      <w:r>
        <w:rPr>
          <w:spacing w:val="-1"/>
        </w:rPr>
        <w:t>m</w:t>
      </w:r>
      <w:r>
        <w:rPr>
          <w:spacing w:val="1"/>
        </w:rPr>
        <w:t>en</w:t>
      </w:r>
      <w:r>
        <w:rPr>
          <w:spacing w:val="-2"/>
        </w:rPr>
        <w:t>t</w:t>
      </w:r>
      <w:r>
        <w:rPr>
          <w:spacing w:val="1"/>
        </w:rPr>
        <w:t>a</w:t>
      </w:r>
      <w:r>
        <w:t>l</w:t>
      </w:r>
      <w:r>
        <w:rPr>
          <w:spacing w:val="2"/>
        </w:rPr>
        <w:t xml:space="preserve"> </w:t>
      </w:r>
      <w:r>
        <w:rPr>
          <w:spacing w:val="-1"/>
        </w:rPr>
        <w:t>n</w:t>
      </w:r>
      <w:r>
        <w:t>o</w:t>
      </w:r>
      <w:r>
        <w:rPr>
          <w:spacing w:val="1"/>
        </w:rPr>
        <w:t xml:space="preserve"> </w:t>
      </w:r>
      <w:r>
        <w:rPr>
          <w:spacing w:val="-2"/>
        </w:rPr>
        <w:t>s</w:t>
      </w:r>
      <w:r>
        <w:t xml:space="preserve">e </w:t>
      </w:r>
      <w:r>
        <w:rPr>
          <w:spacing w:val="1"/>
        </w:rPr>
        <w:t>p</w:t>
      </w:r>
      <w:r>
        <w:t>re</w:t>
      </w:r>
      <w:r>
        <w:rPr>
          <w:spacing w:val="-2"/>
        </w:rPr>
        <w:t>v</w:t>
      </w:r>
      <w:r>
        <w:t>é</w:t>
      </w:r>
      <w:r>
        <w:rPr>
          <w:spacing w:val="4"/>
        </w:rPr>
        <w:t xml:space="preserve"> </w:t>
      </w:r>
      <w:r>
        <w:rPr>
          <w:spacing w:val="1"/>
        </w:rPr>
        <w:t>u</w:t>
      </w:r>
      <w:r>
        <w:rPr>
          <w:spacing w:val="-1"/>
        </w:rPr>
        <w:t>n</w:t>
      </w:r>
      <w:r>
        <w:t>a</w:t>
      </w:r>
      <w:r>
        <w:rPr>
          <w:spacing w:val="4"/>
        </w:rPr>
        <w:t xml:space="preserve"> </w:t>
      </w:r>
      <w:r>
        <w:t>c</w:t>
      </w:r>
      <w:r>
        <w:rPr>
          <w:spacing w:val="-1"/>
        </w:rPr>
        <w:t>a</w:t>
      </w:r>
      <w:r>
        <w:rPr>
          <w:spacing w:val="1"/>
        </w:rPr>
        <w:t>u</w:t>
      </w:r>
      <w:r>
        <w:t>s</w:t>
      </w:r>
      <w:r>
        <w:rPr>
          <w:spacing w:val="1"/>
        </w:rPr>
        <w:t>a</w:t>
      </w:r>
      <w:r>
        <w:t xml:space="preserve">l </w:t>
      </w:r>
      <w:r>
        <w:rPr>
          <w:spacing w:val="-1"/>
        </w:rPr>
        <w:t>q</w:t>
      </w:r>
      <w:r>
        <w:rPr>
          <w:spacing w:val="1"/>
        </w:rPr>
        <w:t>u</w:t>
      </w:r>
      <w:r>
        <w:t>e</w:t>
      </w:r>
      <w:r>
        <w:rPr>
          <w:spacing w:val="2"/>
        </w:rPr>
        <w:t xml:space="preserve"> </w:t>
      </w:r>
      <w:r>
        <w:rPr>
          <w:spacing w:val="1"/>
        </w:rPr>
        <w:t>pe</w:t>
      </w:r>
      <w:r>
        <w:rPr>
          <w:spacing w:val="-3"/>
        </w:rPr>
        <w:t>r</w:t>
      </w:r>
      <w:r>
        <w:rPr>
          <w:spacing w:val="1"/>
        </w:rPr>
        <w:t>m</w:t>
      </w:r>
      <w:r>
        <w:t>ita</w:t>
      </w:r>
      <w:r>
        <w:rPr>
          <w:spacing w:val="2"/>
        </w:rPr>
        <w:t xml:space="preserve"> </w:t>
      </w:r>
      <w:r>
        <w:rPr>
          <w:spacing w:val="1"/>
        </w:rPr>
        <w:t>a</w:t>
      </w:r>
      <w:r>
        <w:t>l I</w:t>
      </w:r>
      <w:r>
        <w:rPr>
          <w:spacing w:val="1"/>
        </w:rPr>
        <w:t>n</w:t>
      </w:r>
      <w:r>
        <w:t>sti</w:t>
      </w:r>
      <w:r>
        <w:rPr>
          <w:spacing w:val="-2"/>
        </w:rPr>
        <w:t>t</w:t>
      </w:r>
      <w:r>
        <w:rPr>
          <w:spacing w:val="1"/>
        </w:rPr>
        <w:t>u</w:t>
      </w:r>
      <w:r>
        <w:t>to</w:t>
      </w:r>
      <w:r>
        <w:rPr>
          <w:spacing w:val="2"/>
        </w:rPr>
        <w:t xml:space="preserve"> </w:t>
      </w:r>
      <w:r>
        <w:rPr>
          <w:spacing w:val="-3"/>
        </w:rPr>
        <w:t>F</w:t>
      </w:r>
      <w:r>
        <w:rPr>
          <w:spacing w:val="1"/>
        </w:rPr>
        <w:t>ede</w:t>
      </w:r>
      <w:r>
        <w:t>ral</w:t>
      </w:r>
      <w:r>
        <w:rPr>
          <w:spacing w:val="1"/>
        </w:rPr>
        <w:t xml:space="preserve"> d</w:t>
      </w:r>
      <w:r>
        <w:t>e</w:t>
      </w:r>
      <w:r>
        <w:rPr>
          <w:spacing w:val="2"/>
        </w:rPr>
        <w:t xml:space="preserve"> </w:t>
      </w:r>
      <w:r>
        <w:t>Ac</w:t>
      </w:r>
      <w:r>
        <w:rPr>
          <w:spacing w:val="-2"/>
        </w:rPr>
        <w:t>c</w:t>
      </w:r>
      <w:r>
        <w:rPr>
          <w:spacing w:val="1"/>
        </w:rPr>
        <w:t>e</w:t>
      </w:r>
      <w:r>
        <w:t>so</w:t>
      </w:r>
      <w:r>
        <w:rPr>
          <w:spacing w:val="2"/>
        </w:rPr>
        <w:t xml:space="preserve"> </w:t>
      </w:r>
      <w:r>
        <w:t>a</w:t>
      </w:r>
      <w:r>
        <w:rPr>
          <w:spacing w:val="4"/>
        </w:rPr>
        <w:t xml:space="preserve"> </w:t>
      </w:r>
      <w:r>
        <w:rPr>
          <w:spacing w:val="-3"/>
        </w:rPr>
        <w:t>l</w:t>
      </w:r>
      <w:r>
        <w:t>a</w:t>
      </w:r>
      <w:r>
        <w:rPr>
          <w:spacing w:val="4"/>
        </w:rPr>
        <w:t xml:space="preserve"> </w:t>
      </w:r>
      <w:r>
        <w:rPr>
          <w:spacing w:val="-2"/>
        </w:rPr>
        <w:t>I</w:t>
      </w:r>
      <w:r>
        <w:rPr>
          <w:spacing w:val="-1"/>
        </w:rPr>
        <w:t>n</w:t>
      </w:r>
      <w:r>
        <w:rPr>
          <w:spacing w:val="3"/>
        </w:rPr>
        <w:t>f</w:t>
      </w:r>
      <w:r>
        <w:rPr>
          <w:spacing w:val="1"/>
        </w:rPr>
        <w:t>o</w:t>
      </w:r>
      <w:r>
        <w:rPr>
          <w:spacing w:val="-3"/>
        </w:rPr>
        <w:t>r</w:t>
      </w:r>
      <w:r>
        <w:rPr>
          <w:spacing w:val="1"/>
        </w:rPr>
        <w:t>ma</w:t>
      </w:r>
      <w:r>
        <w:t>ción</w:t>
      </w:r>
      <w:r>
        <w:rPr>
          <w:spacing w:val="13"/>
        </w:rPr>
        <w:t xml:space="preserve"> </w:t>
      </w:r>
      <w:r>
        <w:t>y Prot</w:t>
      </w:r>
      <w:r>
        <w:rPr>
          <w:spacing w:val="1"/>
        </w:rPr>
        <w:t>e</w:t>
      </w:r>
      <w:r>
        <w:t>cci</w:t>
      </w:r>
      <w:r>
        <w:rPr>
          <w:spacing w:val="-2"/>
        </w:rPr>
        <w:t>ó</w:t>
      </w:r>
      <w:r>
        <w:t>n</w:t>
      </w:r>
      <w:r>
        <w:rPr>
          <w:spacing w:val="1"/>
        </w:rPr>
        <w:t xml:space="preserve"> d</w:t>
      </w:r>
      <w:r>
        <w:t>e</w:t>
      </w:r>
      <w:r>
        <w:rPr>
          <w:spacing w:val="-1"/>
        </w:rPr>
        <w:t xml:space="preserve"> </w:t>
      </w:r>
      <w:r>
        <w:t>D</w:t>
      </w:r>
      <w:r>
        <w:rPr>
          <w:spacing w:val="1"/>
        </w:rPr>
        <w:t>a</w:t>
      </w:r>
      <w:r>
        <w:t>t</w:t>
      </w:r>
      <w:r>
        <w:rPr>
          <w:spacing w:val="1"/>
        </w:rPr>
        <w:t>o</w:t>
      </w:r>
      <w:r>
        <w:t>s</w:t>
      </w:r>
      <w:r>
        <w:rPr>
          <w:spacing w:val="-2"/>
        </w:rPr>
        <w:t xml:space="preserve"> c</w:t>
      </w:r>
      <w:r>
        <w:rPr>
          <w:spacing w:val="1"/>
        </w:rPr>
        <w:t>ono</w:t>
      </w:r>
      <w:r>
        <w:rPr>
          <w:spacing w:val="-2"/>
        </w:rPr>
        <w:t>c</w:t>
      </w:r>
      <w:r>
        <w:rPr>
          <w:spacing w:val="1"/>
        </w:rPr>
        <w:t>e</w:t>
      </w:r>
      <w:r>
        <w:t xml:space="preserve">r, </w:t>
      </w:r>
      <w:r>
        <w:rPr>
          <w:spacing w:val="-2"/>
        </w:rPr>
        <w:t>ví</w:t>
      </w:r>
      <w:r>
        <w:t>a</w:t>
      </w:r>
      <w:r>
        <w:rPr>
          <w:spacing w:val="1"/>
        </w:rPr>
        <w:t xml:space="preserve"> </w:t>
      </w:r>
      <w:r>
        <w:t>rec</w:t>
      </w:r>
      <w:r>
        <w:rPr>
          <w:spacing w:val="1"/>
        </w:rPr>
        <w:t>u</w:t>
      </w:r>
      <w:r>
        <w:t>rso</w:t>
      </w:r>
      <w:r>
        <w:rPr>
          <w:spacing w:val="1"/>
        </w:rPr>
        <w:t xml:space="preserve"> </w:t>
      </w:r>
      <w:r>
        <w:t>revis</w:t>
      </w:r>
      <w:r>
        <w:rPr>
          <w:spacing w:val="-1"/>
        </w:rPr>
        <w:t>i</w:t>
      </w:r>
      <w:r>
        <w:rPr>
          <w:spacing w:val="1"/>
        </w:rPr>
        <w:t>ón</w:t>
      </w:r>
      <w:r>
        <w:t>,</w:t>
      </w:r>
      <w:r>
        <w:rPr>
          <w:spacing w:val="1"/>
        </w:rPr>
        <w:t xml:space="preserve"> a</w:t>
      </w:r>
      <w:r>
        <w:t>l re</w:t>
      </w:r>
      <w:r>
        <w:rPr>
          <w:spacing w:val="-2"/>
        </w:rPr>
        <w:t>s</w:t>
      </w:r>
      <w:r>
        <w:rPr>
          <w:spacing w:val="1"/>
        </w:rPr>
        <w:t>pe</w:t>
      </w:r>
      <w:r>
        <w:t>c</w:t>
      </w:r>
      <w:r>
        <w:rPr>
          <w:spacing w:val="-2"/>
        </w:rPr>
        <w:t>t</w:t>
      </w:r>
      <w:r>
        <w:rPr>
          <w:spacing w:val="1"/>
        </w:rPr>
        <w:t>o</w:t>
      </w:r>
      <w:r>
        <w:t>.</w:t>
      </w:r>
    </w:p>
    <w:p w14:paraId="0710044F" w14:textId="77777777" w:rsidR="00E87947" w:rsidRDefault="00E87947" w:rsidP="00E87947">
      <w:pPr>
        <w:pStyle w:val="INFOEM"/>
      </w:pPr>
      <w:r>
        <w:t>E</w:t>
      </w:r>
      <w:r>
        <w:rPr>
          <w:spacing w:val="1"/>
        </w:rPr>
        <w:t>x</w:t>
      </w:r>
      <w:r>
        <w:t>pedi</w:t>
      </w:r>
      <w:r>
        <w:rPr>
          <w:spacing w:val="1"/>
        </w:rPr>
        <w:t>e</w:t>
      </w:r>
      <w:r>
        <w:t>n</w:t>
      </w:r>
      <w:r>
        <w:rPr>
          <w:spacing w:val="-1"/>
        </w:rPr>
        <w:t>tes</w:t>
      </w:r>
      <w:r>
        <w:t>:</w:t>
      </w:r>
    </w:p>
    <w:p w14:paraId="531A4A7E" w14:textId="77777777" w:rsidR="00E87947" w:rsidRDefault="00E87947" w:rsidP="00E87947">
      <w:pPr>
        <w:pStyle w:val="INFOEM"/>
      </w:pPr>
      <w:r>
        <w:rPr>
          <w:spacing w:val="1"/>
        </w:rPr>
        <w:t>24</w:t>
      </w:r>
      <w:r>
        <w:rPr>
          <w:spacing w:val="-1"/>
        </w:rPr>
        <w:t>4</w:t>
      </w:r>
      <w:r>
        <w:rPr>
          <w:spacing w:val="1"/>
        </w:rPr>
        <w:t>0</w:t>
      </w:r>
      <w:r>
        <w:t>/</w:t>
      </w:r>
      <w:r>
        <w:rPr>
          <w:spacing w:val="1"/>
        </w:rPr>
        <w:t>0</w:t>
      </w:r>
      <w:r>
        <w:t xml:space="preserve">7      </w:t>
      </w:r>
      <w:r>
        <w:rPr>
          <w:spacing w:val="64"/>
        </w:rPr>
        <w:t xml:space="preserve"> </w:t>
      </w:r>
      <w:r>
        <w:t>Co</w:t>
      </w:r>
      <w:r>
        <w:rPr>
          <w:spacing w:val="2"/>
        </w:rPr>
        <w:t>m</w:t>
      </w:r>
      <w:r>
        <w:t>is</w:t>
      </w:r>
      <w:r>
        <w:rPr>
          <w:spacing w:val="-1"/>
        </w:rPr>
        <w:t>i</w:t>
      </w:r>
      <w:r>
        <w:rPr>
          <w:spacing w:val="1"/>
        </w:rPr>
        <w:t>ó</w:t>
      </w:r>
      <w:r>
        <w:t>n</w:t>
      </w:r>
      <w:r>
        <w:rPr>
          <w:spacing w:val="1"/>
        </w:rPr>
        <w:t xml:space="preserve"> </w:t>
      </w:r>
      <w:r>
        <w:rPr>
          <w:spacing w:val="-2"/>
        </w:rPr>
        <w:t>F</w:t>
      </w:r>
      <w:r>
        <w:rPr>
          <w:spacing w:val="1"/>
        </w:rPr>
        <w:t>ede</w:t>
      </w:r>
      <w:r>
        <w:rPr>
          <w:spacing w:val="-3"/>
        </w:rPr>
        <w:t>r</w:t>
      </w:r>
      <w:r>
        <w:rPr>
          <w:spacing w:val="1"/>
        </w:rPr>
        <w:t>a</w:t>
      </w:r>
      <w:r>
        <w:t xml:space="preserve">l </w:t>
      </w:r>
      <w:r>
        <w:rPr>
          <w:spacing w:val="1"/>
        </w:rPr>
        <w:t>d</w:t>
      </w:r>
      <w:r>
        <w:t>e</w:t>
      </w:r>
      <w:r>
        <w:rPr>
          <w:spacing w:val="-1"/>
        </w:rPr>
        <w:t xml:space="preserve"> </w:t>
      </w:r>
      <w:r>
        <w:rPr>
          <w:spacing w:val="-2"/>
        </w:rPr>
        <w:t>E</w:t>
      </w:r>
      <w:r>
        <w:t>lec</w:t>
      </w:r>
      <w:r>
        <w:rPr>
          <w:spacing w:val="1"/>
        </w:rPr>
        <w:t>t</w:t>
      </w:r>
      <w:r>
        <w:t>r</w:t>
      </w:r>
      <w:r>
        <w:rPr>
          <w:spacing w:val="-1"/>
        </w:rPr>
        <w:t>i</w:t>
      </w:r>
      <w:r>
        <w:t>cid</w:t>
      </w:r>
      <w:r>
        <w:rPr>
          <w:spacing w:val="1"/>
        </w:rPr>
        <w:t>a</w:t>
      </w:r>
      <w:r>
        <w:t>d</w:t>
      </w:r>
      <w:r>
        <w:rPr>
          <w:spacing w:val="5"/>
        </w:rPr>
        <w:t xml:space="preserve"> </w:t>
      </w:r>
      <w:r>
        <w:t>- Al</w:t>
      </w:r>
      <w:r>
        <w:rPr>
          <w:spacing w:val="-2"/>
        </w:rPr>
        <w:t>o</w:t>
      </w:r>
      <w:r>
        <w:rPr>
          <w:spacing w:val="1"/>
        </w:rPr>
        <w:t>n</w:t>
      </w:r>
      <w:r>
        <w:t>so</w:t>
      </w:r>
      <w:r>
        <w:rPr>
          <w:spacing w:val="-1"/>
        </w:rPr>
        <w:t xml:space="preserve"> </w:t>
      </w:r>
      <w:r>
        <w:rPr>
          <w:spacing w:val="1"/>
        </w:rPr>
        <w:t>Lu</w:t>
      </w:r>
      <w:r>
        <w:rPr>
          <w:spacing w:val="-3"/>
        </w:rPr>
        <w:t>j</w:t>
      </w:r>
      <w:r>
        <w:rPr>
          <w:spacing w:val="1"/>
        </w:rPr>
        <w:t>amb</w:t>
      </w:r>
      <w:r>
        <w:rPr>
          <w:spacing w:val="-3"/>
        </w:rPr>
        <w:t>i</w:t>
      </w:r>
      <w:r>
        <w:t>o</w:t>
      </w:r>
      <w:r>
        <w:rPr>
          <w:spacing w:val="1"/>
        </w:rPr>
        <w:t xml:space="preserve"> I</w:t>
      </w:r>
      <w:r>
        <w:t>ra</w:t>
      </w:r>
      <w:r>
        <w:rPr>
          <w:spacing w:val="-2"/>
        </w:rPr>
        <w:t>z</w:t>
      </w:r>
      <w:r>
        <w:rPr>
          <w:spacing w:val="1"/>
        </w:rPr>
        <w:t>ába</w:t>
      </w:r>
      <w:r>
        <w:t>l</w:t>
      </w:r>
    </w:p>
    <w:p w14:paraId="2DD88ED2" w14:textId="6B11E79B" w:rsidR="00E87947" w:rsidRDefault="00E87947" w:rsidP="00E87947">
      <w:pPr>
        <w:pStyle w:val="INFOEM"/>
      </w:pPr>
      <w:r>
        <w:rPr>
          <w:spacing w:val="1"/>
        </w:rPr>
        <w:lastRenderedPageBreak/>
        <w:t>01</w:t>
      </w:r>
      <w:r>
        <w:rPr>
          <w:spacing w:val="-1"/>
        </w:rPr>
        <w:t>1</w:t>
      </w:r>
      <w:r>
        <w:rPr>
          <w:spacing w:val="1"/>
        </w:rPr>
        <w:t>3</w:t>
      </w:r>
      <w:r>
        <w:t>/</w:t>
      </w:r>
      <w:r>
        <w:rPr>
          <w:spacing w:val="1"/>
        </w:rPr>
        <w:t>0</w:t>
      </w:r>
      <w:r>
        <w:t xml:space="preserve">9      </w:t>
      </w:r>
      <w:r>
        <w:rPr>
          <w:spacing w:val="64"/>
        </w:rPr>
        <w:t xml:space="preserve"> </w:t>
      </w:r>
      <w:r>
        <w:t>I</w:t>
      </w:r>
      <w:r>
        <w:rPr>
          <w:spacing w:val="1"/>
        </w:rPr>
        <w:t>n</w:t>
      </w:r>
      <w:r>
        <w:t>stit</w:t>
      </w:r>
      <w:r>
        <w:rPr>
          <w:spacing w:val="1"/>
        </w:rPr>
        <w:t>u</w:t>
      </w:r>
      <w:r>
        <w:rPr>
          <w:spacing w:val="-2"/>
        </w:rPr>
        <w:t>t</w:t>
      </w:r>
      <w:r>
        <w:t>o</w:t>
      </w:r>
      <w:r>
        <w:rPr>
          <w:spacing w:val="37"/>
        </w:rPr>
        <w:t xml:space="preserve"> </w:t>
      </w:r>
      <w:r>
        <w:rPr>
          <w:spacing w:val="-1"/>
        </w:rPr>
        <w:t>d</w:t>
      </w:r>
      <w:r>
        <w:t>e</w:t>
      </w:r>
      <w:r>
        <w:rPr>
          <w:spacing w:val="37"/>
        </w:rPr>
        <w:t xml:space="preserve"> </w:t>
      </w:r>
      <w:r>
        <w:t>S</w:t>
      </w:r>
      <w:r>
        <w:rPr>
          <w:spacing w:val="1"/>
        </w:rPr>
        <w:t>e</w:t>
      </w:r>
      <w:r>
        <w:rPr>
          <w:spacing w:val="-1"/>
        </w:rPr>
        <w:t>g</w:t>
      </w:r>
      <w:r>
        <w:rPr>
          <w:spacing w:val="1"/>
        </w:rPr>
        <w:t>u</w:t>
      </w:r>
      <w:r>
        <w:t>r</w:t>
      </w:r>
      <w:r>
        <w:rPr>
          <w:spacing w:val="-1"/>
        </w:rPr>
        <w:t>i</w:t>
      </w:r>
      <w:r>
        <w:rPr>
          <w:spacing w:val="1"/>
        </w:rPr>
        <w:t>d</w:t>
      </w:r>
      <w:r>
        <w:rPr>
          <w:spacing w:val="-1"/>
        </w:rPr>
        <w:t>a</w:t>
      </w:r>
      <w:r>
        <w:t>d</w:t>
      </w:r>
      <w:r>
        <w:rPr>
          <w:spacing w:val="35"/>
        </w:rPr>
        <w:t xml:space="preserve"> </w:t>
      </w:r>
      <w:r>
        <w:t>y</w:t>
      </w:r>
      <w:r>
        <w:rPr>
          <w:spacing w:val="34"/>
        </w:rPr>
        <w:t xml:space="preserve"> </w:t>
      </w:r>
      <w:r>
        <w:t>S</w:t>
      </w:r>
      <w:r>
        <w:rPr>
          <w:spacing w:val="1"/>
        </w:rPr>
        <w:t>er</w:t>
      </w:r>
      <w:r>
        <w:rPr>
          <w:spacing w:val="-2"/>
        </w:rPr>
        <w:t>v</w:t>
      </w:r>
      <w:r>
        <w:t>ic</w:t>
      </w:r>
      <w:r>
        <w:rPr>
          <w:spacing w:val="-1"/>
        </w:rPr>
        <w:t>i</w:t>
      </w:r>
      <w:r>
        <w:rPr>
          <w:spacing w:val="1"/>
        </w:rPr>
        <w:t>o</w:t>
      </w:r>
      <w:r>
        <w:t>s</w:t>
      </w:r>
      <w:r>
        <w:rPr>
          <w:spacing w:val="36"/>
        </w:rPr>
        <w:t xml:space="preserve"> </w:t>
      </w:r>
      <w:r>
        <w:t>S</w:t>
      </w:r>
      <w:r>
        <w:rPr>
          <w:spacing w:val="1"/>
        </w:rPr>
        <w:t>o</w:t>
      </w:r>
      <w:r>
        <w:t>cial</w:t>
      </w:r>
      <w:r>
        <w:rPr>
          <w:spacing w:val="1"/>
        </w:rPr>
        <w:t>e</w:t>
      </w:r>
      <w:r>
        <w:t>s</w:t>
      </w:r>
      <w:r>
        <w:rPr>
          <w:spacing w:val="36"/>
        </w:rPr>
        <w:t xml:space="preserve"> </w:t>
      </w:r>
      <w:r>
        <w:rPr>
          <w:spacing w:val="1"/>
        </w:rPr>
        <w:t>d</w:t>
      </w:r>
      <w:r>
        <w:t>e</w:t>
      </w:r>
      <w:r>
        <w:rPr>
          <w:spacing w:val="37"/>
        </w:rPr>
        <w:t xml:space="preserve"> </w:t>
      </w:r>
      <w:r>
        <w:t>los</w:t>
      </w:r>
      <w:r>
        <w:rPr>
          <w:spacing w:val="34"/>
        </w:rPr>
        <w:t xml:space="preserve"> </w:t>
      </w:r>
      <w:r>
        <w:rPr>
          <w:spacing w:val="2"/>
        </w:rPr>
        <w:t>T</w:t>
      </w:r>
      <w:r>
        <w:t>ra</w:t>
      </w:r>
      <w:r>
        <w:rPr>
          <w:spacing w:val="-1"/>
        </w:rPr>
        <w:t>b</w:t>
      </w:r>
      <w:r>
        <w:rPr>
          <w:spacing w:val="1"/>
        </w:rPr>
        <w:t>a</w:t>
      </w:r>
      <w:r>
        <w:t>ja</w:t>
      </w:r>
      <w:r>
        <w:rPr>
          <w:spacing w:val="-1"/>
        </w:rPr>
        <w:t>d</w:t>
      </w:r>
      <w:r>
        <w:rPr>
          <w:spacing w:val="1"/>
        </w:rPr>
        <w:t>o</w:t>
      </w:r>
      <w:r>
        <w:t>res</w:t>
      </w:r>
      <w:r>
        <w:rPr>
          <w:spacing w:val="36"/>
        </w:rPr>
        <w:t xml:space="preserve"> </w:t>
      </w:r>
      <w:r>
        <w:rPr>
          <w:spacing w:val="-1"/>
        </w:rPr>
        <w:t>d</w:t>
      </w:r>
      <w:r>
        <w:rPr>
          <w:spacing w:val="1"/>
        </w:rPr>
        <w:t>e</w:t>
      </w:r>
      <w:r>
        <w:t>l</w:t>
      </w:r>
      <w:r w:rsidR="00374703">
        <w:t xml:space="preserve"> </w:t>
      </w:r>
      <w:r>
        <w:t>Est</w:t>
      </w:r>
      <w:r>
        <w:rPr>
          <w:spacing w:val="1"/>
        </w:rPr>
        <w:t>a</w:t>
      </w:r>
      <w:r>
        <w:rPr>
          <w:spacing w:val="-1"/>
        </w:rPr>
        <w:t>d</w:t>
      </w:r>
      <w:r>
        <w:t>o</w:t>
      </w:r>
      <w:r>
        <w:rPr>
          <w:spacing w:val="3"/>
        </w:rPr>
        <w:t xml:space="preserve"> </w:t>
      </w:r>
      <w:r>
        <w:t>–</w:t>
      </w:r>
      <w:r>
        <w:rPr>
          <w:spacing w:val="-1"/>
        </w:rPr>
        <w:t xml:space="preserve"> </w:t>
      </w:r>
      <w:r>
        <w:t>Alo</w:t>
      </w:r>
      <w:r>
        <w:rPr>
          <w:spacing w:val="1"/>
        </w:rPr>
        <w:t>n</w:t>
      </w:r>
      <w:r>
        <w:rPr>
          <w:spacing w:val="-2"/>
        </w:rPr>
        <w:t>s</w:t>
      </w:r>
      <w:r>
        <w:t>o</w:t>
      </w:r>
      <w:r>
        <w:rPr>
          <w:spacing w:val="1"/>
        </w:rPr>
        <w:t xml:space="preserve"> </w:t>
      </w:r>
      <w:r>
        <w:rPr>
          <w:spacing w:val="-1"/>
        </w:rPr>
        <w:t>L</w:t>
      </w:r>
      <w:r>
        <w:rPr>
          <w:spacing w:val="1"/>
        </w:rPr>
        <w:t>u</w:t>
      </w:r>
      <w:r>
        <w:t>j</w:t>
      </w:r>
      <w:r>
        <w:rPr>
          <w:spacing w:val="-2"/>
        </w:rPr>
        <w:t>a</w:t>
      </w:r>
      <w:r>
        <w:rPr>
          <w:spacing w:val="1"/>
        </w:rPr>
        <w:t>mb</w:t>
      </w:r>
      <w:r>
        <w:t>io</w:t>
      </w:r>
      <w:r>
        <w:rPr>
          <w:spacing w:val="-1"/>
        </w:rPr>
        <w:t xml:space="preserve"> </w:t>
      </w:r>
      <w:r>
        <w:t>Ira</w:t>
      </w:r>
      <w:r>
        <w:rPr>
          <w:spacing w:val="-1"/>
        </w:rPr>
        <w:t>z</w:t>
      </w:r>
      <w:r>
        <w:rPr>
          <w:spacing w:val="1"/>
        </w:rPr>
        <w:t>ábal</w:t>
      </w:r>
    </w:p>
    <w:p w14:paraId="15E9B1AB" w14:textId="574B08E6" w:rsidR="00E87947" w:rsidRDefault="00E87947" w:rsidP="00E87947">
      <w:pPr>
        <w:pStyle w:val="INFOEM"/>
      </w:pPr>
      <w:r>
        <w:rPr>
          <w:spacing w:val="1"/>
        </w:rPr>
        <w:t>16</w:t>
      </w:r>
      <w:r>
        <w:rPr>
          <w:spacing w:val="-1"/>
        </w:rPr>
        <w:t>2</w:t>
      </w:r>
      <w:r>
        <w:rPr>
          <w:spacing w:val="1"/>
        </w:rPr>
        <w:t>4</w:t>
      </w:r>
      <w:r>
        <w:t>/</w:t>
      </w:r>
      <w:r>
        <w:rPr>
          <w:spacing w:val="1"/>
        </w:rPr>
        <w:t>0</w:t>
      </w:r>
      <w:r>
        <w:t xml:space="preserve">9      </w:t>
      </w:r>
      <w:r>
        <w:rPr>
          <w:spacing w:val="64"/>
        </w:rPr>
        <w:t xml:space="preserve"> </w:t>
      </w:r>
      <w:r>
        <w:t>I</w:t>
      </w:r>
      <w:r>
        <w:rPr>
          <w:spacing w:val="1"/>
        </w:rPr>
        <w:t>n</w:t>
      </w:r>
      <w:r>
        <w:t>stit</w:t>
      </w:r>
      <w:r>
        <w:rPr>
          <w:spacing w:val="1"/>
        </w:rPr>
        <w:t>u</w:t>
      </w:r>
      <w:r>
        <w:rPr>
          <w:spacing w:val="-2"/>
        </w:rPr>
        <w:t>t</w:t>
      </w:r>
      <w:r>
        <w:t>o</w:t>
      </w:r>
      <w:r>
        <w:rPr>
          <w:spacing w:val="37"/>
        </w:rPr>
        <w:t xml:space="preserve"> </w:t>
      </w:r>
      <w:r>
        <w:t>Naci</w:t>
      </w:r>
      <w:r>
        <w:rPr>
          <w:spacing w:val="1"/>
        </w:rPr>
        <w:t>o</w:t>
      </w:r>
      <w:r>
        <w:rPr>
          <w:spacing w:val="-1"/>
        </w:rPr>
        <w:t>n</w:t>
      </w:r>
      <w:r>
        <w:rPr>
          <w:spacing w:val="1"/>
        </w:rPr>
        <w:t>a</w:t>
      </w:r>
      <w:r>
        <w:t>l</w:t>
      </w:r>
      <w:r>
        <w:rPr>
          <w:spacing w:val="35"/>
        </w:rPr>
        <w:t xml:space="preserve"> </w:t>
      </w:r>
      <w:r>
        <w:rPr>
          <w:spacing w:val="1"/>
        </w:rPr>
        <w:t>pa</w:t>
      </w:r>
      <w:r>
        <w:rPr>
          <w:spacing w:val="-3"/>
        </w:rPr>
        <w:t>r</w:t>
      </w:r>
      <w:r>
        <w:t>a</w:t>
      </w:r>
      <w:r>
        <w:rPr>
          <w:spacing w:val="37"/>
        </w:rPr>
        <w:t xml:space="preserve"> </w:t>
      </w:r>
      <w:r>
        <w:t>la</w:t>
      </w:r>
      <w:r>
        <w:rPr>
          <w:spacing w:val="36"/>
        </w:rPr>
        <w:t xml:space="preserve"> </w:t>
      </w:r>
      <w:r>
        <w:t>E</w:t>
      </w:r>
      <w:r>
        <w:rPr>
          <w:spacing w:val="1"/>
        </w:rPr>
        <w:t>du</w:t>
      </w:r>
      <w:r>
        <w:rPr>
          <w:spacing w:val="-2"/>
        </w:rPr>
        <w:t>c</w:t>
      </w:r>
      <w:r>
        <w:rPr>
          <w:spacing w:val="1"/>
        </w:rPr>
        <w:t>a</w:t>
      </w:r>
      <w:r>
        <w:t>ción</w:t>
      </w:r>
      <w:r>
        <w:rPr>
          <w:spacing w:val="35"/>
        </w:rPr>
        <w:t xml:space="preserve"> </w:t>
      </w:r>
      <w:r>
        <w:rPr>
          <w:spacing w:val="1"/>
        </w:rPr>
        <w:t>d</w:t>
      </w:r>
      <w:r>
        <w:t>e</w:t>
      </w:r>
      <w:r>
        <w:rPr>
          <w:spacing w:val="37"/>
        </w:rPr>
        <w:t xml:space="preserve"> </w:t>
      </w:r>
      <w:r>
        <w:t>los</w:t>
      </w:r>
      <w:r>
        <w:rPr>
          <w:spacing w:val="34"/>
        </w:rPr>
        <w:t xml:space="preserve"> </w:t>
      </w:r>
      <w:r>
        <w:t>A</w:t>
      </w:r>
      <w:r>
        <w:rPr>
          <w:spacing w:val="1"/>
        </w:rPr>
        <w:t>du</w:t>
      </w:r>
      <w:r>
        <w:t>lt</w:t>
      </w:r>
      <w:r>
        <w:rPr>
          <w:spacing w:val="1"/>
        </w:rPr>
        <w:t>o</w:t>
      </w:r>
      <w:r>
        <w:t>s</w:t>
      </w:r>
      <w:r>
        <w:rPr>
          <w:spacing w:val="43"/>
        </w:rPr>
        <w:t xml:space="preserve"> </w:t>
      </w:r>
      <w:r>
        <w:rPr>
          <w:rFonts w:ascii="Calibri" w:eastAsia="Calibri" w:hAnsi="Calibri" w:cs="Calibri"/>
          <w:color w:val="275027"/>
          <w:sz w:val="18"/>
          <w:szCs w:val="18"/>
        </w:rPr>
        <w:t xml:space="preserve">- </w:t>
      </w:r>
      <w:r>
        <w:rPr>
          <w:rFonts w:ascii="Calibri" w:eastAsia="Calibri" w:hAnsi="Calibri" w:cs="Calibri"/>
          <w:color w:val="275027"/>
          <w:spacing w:val="23"/>
          <w:sz w:val="18"/>
          <w:szCs w:val="18"/>
        </w:rPr>
        <w:t xml:space="preserve"> </w:t>
      </w:r>
      <w:r>
        <w:rPr>
          <w:color w:val="000000"/>
          <w:spacing w:val="-1"/>
        </w:rPr>
        <w:t>M</w:t>
      </w:r>
      <w:r>
        <w:rPr>
          <w:color w:val="000000"/>
          <w:spacing w:val="1"/>
        </w:rPr>
        <w:t>a</w:t>
      </w:r>
      <w:r>
        <w:rPr>
          <w:color w:val="000000"/>
        </w:rPr>
        <w:t>r</w:t>
      </w:r>
      <w:r>
        <w:rPr>
          <w:color w:val="000000"/>
          <w:spacing w:val="-3"/>
        </w:rPr>
        <w:t>í</w:t>
      </w:r>
      <w:r>
        <w:rPr>
          <w:color w:val="000000"/>
        </w:rPr>
        <w:t>a</w:t>
      </w:r>
      <w:r>
        <w:rPr>
          <w:color w:val="000000"/>
          <w:spacing w:val="37"/>
        </w:rPr>
        <w:t xml:space="preserve"> </w:t>
      </w:r>
      <w:proofErr w:type="spellStart"/>
      <w:r>
        <w:rPr>
          <w:color w:val="000000"/>
          <w:spacing w:val="-1"/>
        </w:rPr>
        <w:t>M</w:t>
      </w:r>
      <w:r>
        <w:rPr>
          <w:color w:val="000000"/>
          <w:spacing w:val="1"/>
        </w:rPr>
        <w:t>a</w:t>
      </w:r>
      <w:r>
        <w:rPr>
          <w:color w:val="000000"/>
        </w:rPr>
        <w:t>rván</w:t>
      </w:r>
      <w:proofErr w:type="spellEnd"/>
      <w:r w:rsidR="00374703">
        <w:rPr>
          <w:color w:val="000000"/>
        </w:rPr>
        <w:t xml:space="preserve"> </w:t>
      </w:r>
      <w:r>
        <w:rPr>
          <w:spacing w:val="1"/>
        </w:rPr>
        <w:t>La</w:t>
      </w:r>
      <w:r>
        <w:rPr>
          <w:spacing w:val="-1"/>
        </w:rPr>
        <w:t>b</w:t>
      </w:r>
      <w:r>
        <w:rPr>
          <w:spacing w:val="1"/>
        </w:rPr>
        <w:t>o</w:t>
      </w:r>
      <w:r>
        <w:t xml:space="preserve">rde </w:t>
      </w:r>
    </w:p>
    <w:p w14:paraId="74BB918B" w14:textId="77777777" w:rsidR="00E87947" w:rsidRDefault="00E87947" w:rsidP="00E87947">
      <w:pPr>
        <w:pStyle w:val="INFOEM"/>
      </w:pPr>
      <w:r>
        <w:rPr>
          <w:spacing w:val="1"/>
        </w:rPr>
        <w:t>23</w:t>
      </w:r>
      <w:r>
        <w:rPr>
          <w:spacing w:val="-1"/>
        </w:rPr>
        <w:t>9</w:t>
      </w:r>
      <w:r>
        <w:rPr>
          <w:spacing w:val="1"/>
        </w:rPr>
        <w:t>5</w:t>
      </w:r>
      <w:r>
        <w:t>/</w:t>
      </w:r>
      <w:r>
        <w:rPr>
          <w:spacing w:val="1"/>
        </w:rPr>
        <w:t>0</w:t>
      </w:r>
      <w:r>
        <w:t xml:space="preserve">9      </w:t>
      </w:r>
      <w:r>
        <w:rPr>
          <w:spacing w:val="64"/>
        </w:rPr>
        <w:t xml:space="preserve"> </w:t>
      </w:r>
      <w:r>
        <w:t>S</w:t>
      </w:r>
      <w:r>
        <w:rPr>
          <w:spacing w:val="1"/>
        </w:rPr>
        <w:t>e</w:t>
      </w:r>
      <w:r>
        <w:t>cret</w:t>
      </w:r>
      <w:r>
        <w:rPr>
          <w:spacing w:val="1"/>
        </w:rPr>
        <w:t>a</w:t>
      </w:r>
      <w:r>
        <w:t>r</w:t>
      </w:r>
      <w:r>
        <w:rPr>
          <w:spacing w:val="-3"/>
        </w:rPr>
        <w:t>í</w:t>
      </w:r>
      <w:r>
        <w:t>a</w:t>
      </w:r>
      <w:r>
        <w:rPr>
          <w:spacing w:val="1"/>
        </w:rPr>
        <w:t xml:space="preserve"> </w:t>
      </w:r>
      <w:r>
        <w:rPr>
          <w:spacing w:val="-1"/>
        </w:rPr>
        <w:t>d</w:t>
      </w:r>
      <w:r>
        <w:t>e</w:t>
      </w:r>
      <w:r>
        <w:rPr>
          <w:spacing w:val="1"/>
        </w:rPr>
        <w:t xml:space="preserve"> E</w:t>
      </w:r>
      <w:r>
        <w:t>c</w:t>
      </w:r>
      <w:r>
        <w:rPr>
          <w:spacing w:val="-1"/>
        </w:rPr>
        <w:t>o</w:t>
      </w:r>
      <w:r>
        <w:rPr>
          <w:spacing w:val="1"/>
        </w:rPr>
        <w:t>n</w:t>
      </w:r>
      <w:r>
        <w:rPr>
          <w:spacing w:val="-1"/>
        </w:rPr>
        <w:t>o</w:t>
      </w:r>
      <w:r>
        <w:rPr>
          <w:spacing w:val="1"/>
        </w:rPr>
        <w:t>m</w:t>
      </w:r>
      <w:r>
        <w:rPr>
          <w:spacing w:val="-2"/>
        </w:rPr>
        <w:t>í</w:t>
      </w:r>
      <w:r>
        <w:t>a</w:t>
      </w:r>
      <w:r>
        <w:rPr>
          <w:spacing w:val="4"/>
        </w:rPr>
        <w:t xml:space="preserve"> </w:t>
      </w:r>
      <w:r>
        <w:t xml:space="preserve">- </w:t>
      </w:r>
      <w:r>
        <w:rPr>
          <w:spacing w:val="-1"/>
        </w:rPr>
        <w:t>M</w:t>
      </w:r>
      <w:r>
        <w:rPr>
          <w:spacing w:val="1"/>
        </w:rPr>
        <w:t>a</w:t>
      </w:r>
      <w:r>
        <w:t>r</w:t>
      </w:r>
      <w:r>
        <w:rPr>
          <w:spacing w:val="-3"/>
        </w:rPr>
        <w:t>í</w:t>
      </w:r>
      <w:r>
        <w:t>a</w:t>
      </w:r>
      <w:r>
        <w:rPr>
          <w:spacing w:val="1"/>
        </w:rPr>
        <w:t xml:space="preserve"> </w:t>
      </w:r>
      <w:proofErr w:type="spellStart"/>
      <w:r>
        <w:t>Mar</w:t>
      </w:r>
      <w:r>
        <w:rPr>
          <w:spacing w:val="-3"/>
        </w:rPr>
        <w:t>v</w:t>
      </w:r>
      <w:r>
        <w:rPr>
          <w:spacing w:val="1"/>
        </w:rPr>
        <w:t>á</w:t>
      </w:r>
      <w:r>
        <w:t>n</w:t>
      </w:r>
      <w:proofErr w:type="spellEnd"/>
      <w:r>
        <w:rPr>
          <w:spacing w:val="1"/>
        </w:rPr>
        <w:t xml:space="preserve"> Lab</w:t>
      </w:r>
      <w:r>
        <w:rPr>
          <w:spacing w:val="-1"/>
        </w:rPr>
        <w:t>o</w:t>
      </w:r>
      <w:r>
        <w:t>rde</w:t>
      </w:r>
    </w:p>
    <w:p w14:paraId="3FE6EB94" w14:textId="7939E770" w:rsidR="00E87947" w:rsidRPr="00E87947" w:rsidRDefault="00E87947" w:rsidP="00E87947">
      <w:pPr>
        <w:pStyle w:val="INFOEM"/>
        <w:rPr>
          <w:b/>
        </w:rPr>
      </w:pPr>
      <w:r>
        <w:rPr>
          <w:spacing w:val="1"/>
        </w:rPr>
        <w:t>08</w:t>
      </w:r>
      <w:r>
        <w:rPr>
          <w:spacing w:val="-1"/>
        </w:rPr>
        <w:t>3</w:t>
      </w:r>
      <w:r>
        <w:rPr>
          <w:spacing w:val="1"/>
        </w:rPr>
        <w:t>7</w:t>
      </w:r>
      <w:r>
        <w:t>/</w:t>
      </w:r>
      <w:r>
        <w:rPr>
          <w:spacing w:val="1"/>
        </w:rPr>
        <w:t>1</w:t>
      </w:r>
      <w:r>
        <w:t xml:space="preserve">0      </w:t>
      </w:r>
      <w:r>
        <w:rPr>
          <w:spacing w:val="64"/>
        </w:rPr>
        <w:t xml:space="preserve"> </w:t>
      </w:r>
      <w:r>
        <w:t>A</w:t>
      </w:r>
      <w:r>
        <w:rPr>
          <w:spacing w:val="1"/>
        </w:rPr>
        <w:t>dm</w:t>
      </w:r>
      <w:r>
        <w:rPr>
          <w:spacing w:val="-3"/>
        </w:rPr>
        <w:t>i</w:t>
      </w:r>
      <w:r>
        <w:rPr>
          <w:spacing w:val="1"/>
        </w:rPr>
        <w:t>n</w:t>
      </w:r>
      <w:r>
        <w:t>istración</w:t>
      </w:r>
      <w:r>
        <w:rPr>
          <w:spacing w:val="30"/>
        </w:rPr>
        <w:t xml:space="preserve"> </w:t>
      </w:r>
      <w:r>
        <w:rPr>
          <w:spacing w:val="-2"/>
        </w:rPr>
        <w:t>P</w:t>
      </w:r>
      <w:r>
        <w:rPr>
          <w:spacing w:val="1"/>
        </w:rPr>
        <w:t>o</w:t>
      </w:r>
      <w:r>
        <w:t>rt</w:t>
      </w:r>
      <w:r>
        <w:rPr>
          <w:spacing w:val="-2"/>
        </w:rPr>
        <w:t>u</w:t>
      </w:r>
      <w:r>
        <w:rPr>
          <w:spacing w:val="-1"/>
        </w:rPr>
        <w:t>a</w:t>
      </w:r>
      <w:r>
        <w:t>r</w:t>
      </w:r>
      <w:r>
        <w:rPr>
          <w:spacing w:val="-1"/>
        </w:rPr>
        <w:t>i</w:t>
      </w:r>
      <w:r>
        <w:t>a</w:t>
      </w:r>
      <w:r>
        <w:rPr>
          <w:spacing w:val="30"/>
        </w:rPr>
        <w:t xml:space="preserve"> </w:t>
      </w:r>
      <w:r>
        <w:t>I</w:t>
      </w:r>
      <w:r>
        <w:rPr>
          <w:spacing w:val="1"/>
        </w:rPr>
        <w:t>n</w:t>
      </w:r>
      <w:r>
        <w:t>t</w:t>
      </w:r>
      <w:r>
        <w:rPr>
          <w:spacing w:val="1"/>
        </w:rPr>
        <w:t>e</w:t>
      </w:r>
      <w:r>
        <w:rPr>
          <w:spacing w:val="-1"/>
        </w:rPr>
        <w:t>g</w:t>
      </w:r>
      <w:r>
        <w:t>ral</w:t>
      </w:r>
      <w:r>
        <w:rPr>
          <w:spacing w:val="29"/>
        </w:rPr>
        <w:t xml:space="preserve"> </w:t>
      </w:r>
      <w:r>
        <w:rPr>
          <w:spacing w:val="1"/>
        </w:rPr>
        <w:t>d</w:t>
      </w:r>
      <w:r>
        <w:t>e</w:t>
      </w:r>
      <w:r>
        <w:rPr>
          <w:spacing w:val="30"/>
        </w:rPr>
        <w:t xml:space="preserve"> </w:t>
      </w:r>
      <w:r>
        <w:rPr>
          <w:spacing w:val="-2"/>
        </w:rPr>
        <w:t>V</w:t>
      </w:r>
      <w:r>
        <w:rPr>
          <w:spacing w:val="1"/>
        </w:rPr>
        <w:t>e</w:t>
      </w:r>
      <w:r>
        <w:t>rac</w:t>
      </w:r>
      <w:r>
        <w:rPr>
          <w:spacing w:val="-3"/>
        </w:rPr>
        <w:t>r</w:t>
      </w:r>
      <w:r>
        <w:rPr>
          <w:spacing w:val="1"/>
        </w:rPr>
        <w:t>u</w:t>
      </w:r>
      <w:r>
        <w:rPr>
          <w:spacing w:val="-2"/>
        </w:rPr>
        <w:t>z</w:t>
      </w:r>
      <w:r>
        <w:t>,</w:t>
      </w:r>
      <w:r>
        <w:rPr>
          <w:spacing w:val="30"/>
        </w:rPr>
        <w:t xml:space="preserve"> </w:t>
      </w:r>
      <w:r>
        <w:t>S.</w:t>
      </w:r>
      <w:r>
        <w:rPr>
          <w:spacing w:val="1"/>
        </w:rPr>
        <w:t>A</w:t>
      </w:r>
      <w:r>
        <w:t>.</w:t>
      </w:r>
      <w:r>
        <w:rPr>
          <w:spacing w:val="30"/>
        </w:rPr>
        <w:t xml:space="preserve"> </w:t>
      </w:r>
      <w:r>
        <w:rPr>
          <w:spacing w:val="1"/>
        </w:rPr>
        <w:t>d</w:t>
      </w:r>
      <w:r>
        <w:t>e</w:t>
      </w:r>
      <w:r>
        <w:rPr>
          <w:spacing w:val="30"/>
        </w:rPr>
        <w:t xml:space="preserve"> </w:t>
      </w:r>
      <w:r>
        <w:t>C</w:t>
      </w:r>
      <w:r>
        <w:rPr>
          <w:spacing w:val="-2"/>
        </w:rPr>
        <w:t>.</w:t>
      </w:r>
      <w:r>
        <w:t>V.</w:t>
      </w:r>
      <w:r>
        <w:rPr>
          <w:spacing w:val="37"/>
        </w:rPr>
        <w:t xml:space="preserve"> </w:t>
      </w:r>
      <w:r>
        <w:t>–</w:t>
      </w:r>
      <w:r>
        <w:rPr>
          <w:spacing w:val="30"/>
        </w:rPr>
        <w:t xml:space="preserve"> </w:t>
      </w:r>
      <w:r w:rsidR="00374703">
        <w:rPr>
          <w:spacing w:val="30"/>
        </w:rPr>
        <w:t>M</w:t>
      </w:r>
      <w:r>
        <w:rPr>
          <w:spacing w:val="-1"/>
        </w:rPr>
        <w:t>a</w:t>
      </w:r>
      <w:r>
        <w:t>r</w:t>
      </w:r>
      <w:r>
        <w:rPr>
          <w:spacing w:val="-3"/>
        </w:rPr>
        <w:t>í</w:t>
      </w:r>
      <w:r>
        <w:t xml:space="preserve">a </w:t>
      </w:r>
      <w:proofErr w:type="spellStart"/>
      <w:r>
        <w:rPr>
          <w:spacing w:val="-1"/>
        </w:rPr>
        <w:t>M</w:t>
      </w:r>
      <w:r>
        <w:rPr>
          <w:spacing w:val="1"/>
        </w:rPr>
        <w:t>a</w:t>
      </w:r>
      <w:r>
        <w:t>r</w:t>
      </w:r>
      <w:r>
        <w:rPr>
          <w:spacing w:val="-3"/>
        </w:rPr>
        <w:t>v</w:t>
      </w:r>
      <w:r>
        <w:rPr>
          <w:spacing w:val="1"/>
        </w:rPr>
        <w:t>á</w:t>
      </w:r>
      <w:r>
        <w:t>n</w:t>
      </w:r>
      <w:proofErr w:type="spellEnd"/>
      <w:r>
        <w:rPr>
          <w:spacing w:val="1"/>
        </w:rPr>
        <w:t xml:space="preserve"> Labo</w:t>
      </w:r>
      <w:r>
        <w:t>r</w:t>
      </w:r>
      <w:r>
        <w:rPr>
          <w:spacing w:val="-2"/>
        </w:rPr>
        <w:t xml:space="preserve">de” </w:t>
      </w:r>
      <w:r>
        <w:rPr>
          <w:b/>
          <w:spacing w:val="-2"/>
        </w:rPr>
        <w:t xml:space="preserve">[Sic] </w:t>
      </w:r>
    </w:p>
    <w:p w14:paraId="37A29182" w14:textId="77777777" w:rsidR="00AD17B5" w:rsidRDefault="00AD17B5" w:rsidP="00C93858">
      <w:pPr>
        <w:spacing w:line="360" w:lineRule="auto"/>
        <w:contextualSpacing/>
        <w:jc w:val="both"/>
        <w:rPr>
          <w:rFonts w:ascii="Palatino Linotype" w:hAnsi="Palatino Linotype"/>
          <w:sz w:val="24"/>
          <w:szCs w:val="24"/>
        </w:rPr>
      </w:pPr>
    </w:p>
    <w:p w14:paraId="57154C76" w14:textId="77777777" w:rsidR="00C93858" w:rsidRPr="001C0BAD" w:rsidRDefault="00E87947" w:rsidP="00C93858">
      <w:pPr>
        <w:spacing w:line="360" w:lineRule="auto"/>
        <w:contextualSpacing/>
        <w:jc w:val="both"/>
        <w:rPr>
          <w:rFonts w:ascii="Palatino Linotype" w:hAnsi="Palatino Linotype" w:cs="Arial"/>
          <w:sz w:val="24"/>
          <w:szCs w:val="24"/>
        </w:rPr>
      </w:pPr>
      <w:r>
        <w:rPr>
          <w:rFonts w:ascii="Palatino Linotype" w:hAnsi="Palatino Linotype"/>
          <w:sz w:val="24"/>
          <w:szCs w:val="24"/>
        </w:rPr>
        <w:t xml:space="preserve">Así esta Ponencia Resolutora arriba a la conclusión de que </w:t>
      </w:r>
      <w:r w:rsidR="00C93858">
        <w:rPr>
          <w:rFonts w:ascii="Palatino Linotype" w:hAnsi="Palatino Linotype"/>
          <w:sz w:val="24"/>
          <w:szCs w:val="24"/>
        </w:rPr>
        <w:t xml:space="preserve">el informe justificado del </w:t>
      </w:r>
      <w:r w:rsidR="00C93858">
        <w:rPr>
          <w:rFonts w:ascii="Palatino Linotype" w:hAnsi="Palatino Linotype"/>
          <w:b/>
          <w:sz w:val="24"/>
          <w:szCs w:val="24"/>
        </w:rPr>
        <w:t xml:space="preserve">Sujeto Obligado </w:t>
      </w:r>
      <w:r w:rsidR="00C93858">
        <w:rPr>
          <w:rFonts w:ascii="Palatino Linotype" w:hAnsi="Palatino Linotype"/>
          <w:sz w:val="24"/>
          <w:szCs w:val="24"/>
        </w:rPr>
        <w:t xml:space="preserve">se encuentra dotado de los </w:t>
      </w:r>
      <w:r w:rsidR="00C93858" w:rsidRPr="001C0BAD">
        <w:rPr>
          <w:rFonts w:ascii="Palatino Linotype" w:hAnsi="Palatino Linotype" w:cs="Arial"/>
          <w:sz w:val="24"/>
          <w:szCs w:val="24"/>
        </w:rPr>
        <w:t xml:space="preserve">principios de congruencia y exhaustividad, los cuales a toda luz garantizan el derecho de acceso a la información pública. Robustece lo anterior el criterio </w:t>
      </w:r>
      <w:r w:rsidR="00C93858" w:rsidRPr="001C0BAD">
        <w:rPr>
          <w:rFonts w:ascii="Palatino Linotype" w:hAnsi="Palatino Linotype" w:cs="Arial"/>
          <w:b/>
          <w:sz w:val="24"/>
          <w:szCs w:val="24"/>
        </w:rPr>
        <w:t xml:space="preserve">02/17 </w:t>
      </w:r>
      <w:r w:rsidR="00C93858" w:rsidRPr="001C0BAD">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67231F02" w14:textId="77777777" w:rsidR="00C93858" w:rsidRDefault="00C93858" w:rsidP="00C93858">
      <w:pPr>
        <w:spacing w:before="240" w:line="360" w:lineRule="auto"/>
        <w:ind w:left="851" w:right="851"/>
        <w:jc w:val="both"/>
        <w:rPr>
          <w:rFonts w:ascii="Palatino Linotype" w:hAnsi="Palatino Linotype" w:cs="Arial"/>
          <w:b/>
          <w:i/>
        </w:rPr>
      </w:pPr>
      <w:r>
        <w:rPr>
          <w:rFonts w:ascii="Palatino Linotype" w:hAnsi="Palatino Linotype" w:cs="Arial"/>
          <w:b/>
          <w:i/>
        </w:rPr>
        <w:t>“</w:t>
      </w:r>
      <w:r w:rsidRPr="004C5D8A">
        <w:rPr>
          <w:rFonts w:ascii="Palatino Linotype" w:hAnsi="Palatino Linotype" w:cs="Arial"/>
          <w:b/>
          <w:i/>
        </w:rPr>
        <w:t xml:space="preserve">CONGRUENCIA Y EXHAUSTIVIDAD. SUS ALCANCES PARA GARANTIZAR EL DERECHO DE ACCESO A LA INFORMACIÓN. </w:t>
      </w:r>
    </w:p>
    <w:p w14:paraId="49698F41" w14:textId="77777777" w:rsidR="00C93858" w:rsidRDefault="00C93858" w:rsidP="00C93858">
      <w:pPr>
        <w:spacing w:before="240" w:line="360" w:lineRule="auto"/>
        <w:ind w:left="851" w:right="851"/>
        <w:jc w:val="both"/>
        <w:rPr>
          <w:rFonts w:ascii="Palatino Linotype" w:hAnsi="Palatino Linotype" w:cs="Arial"/>
          <w:i/>
        </w:rPr>
      </w:pPr>
      <w:r w:rsidRPr="004C5D8A">
        <w:rPr>
          <w:rFonts w:ascii="Palatino Linotype" w:hAnsi="Palatino Linotype" w:cs="Arial"/>
          <w:i/>
        </w:rPr>
        <w:t xml:space="preserve">De conformidad con el artículo </w:t>
      </w:r>
      <w:r w:rsidRPr="004C5D8A">
        <w:rPr>
          <w:rFonts w:ascii="Palatino Linotype" w:hAnsi="Palatino Linotype"/>
          <w:i/>
          <w:lang w:val="es-ES_tradnl"/>
        </w:rPr>
        <w:t>3 de la Ley Federal de Procedimiento Administrativo</w:t>
      </w:r>
      <w:r w:rsidRPr="004C5D8A">
        <w:rPr>
          <w:rFonts w:ascii="Palatino Linotype" w:hAnsi="Palatino Linotype" w:cs="Arial"/>
          <w:i/>
        </w:rPr>
        <w:t>, de aplicación supletoria a la Ley Federal de Transparencia y Acceso a la Información Pública, en términos de su artículo 7</w:t>
      </w:r>
      <w:r w:rsidRPr="0012591D">
        <w:rPr>
          <w:rFonts w:ascii="Palatino Linotype" w:hAnsi="Palatino Linotype" w:cs="Arial"/>
          <w:b/>
          <w:i/>
          <w:u w:val="single"/>
        </w:rPr>
        <w:t>; todo acto administrativo debe cumplir con los principios de congruencia y exhaustividad.</w:t>
      </w:r>
      <w:r w:rsidRPr="004C5D8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w:t>
      </w:r>
      <w:r w:rsidRPr="004C5D8A">
        <w:rPr>
          <w:rFonts w:ascii="Palatino Linotype" w:hAnsi="Palatino Linotype" w:cs="Arial"/>
          <w:i/>
        </w:rPr>
        <w:lastRenderedPageBreak/>
        <w:t>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1A9904B" w14:textId="77777777" w:rsidR="00C93858" w:rsidRDefault="00C93858" w:rsidP="00C93858">
      <w:pPr>
        <w:spacing w:before="240" w:line="360" w:lineRule="auto"/>
        <w:ind w:left="851" w:right="851"/>
        <w:jc w:val="both"/>
        <w:rPr>
          <w:rFonts w:ascii="Palatino Linotype" w:hAnsi="Palatino Linotype" w:cs="Arial"/>
          <w:i/>
        </w:rPr>
      </w:pPr>
      <w:r>
        <w:rPr>
          <w:rFonts w:ascii="Palatino Linotype" w:hAnsi="Palatino Linotype" w:cs="Arial"/>
          <w:i/>
        </w:rPr>
        <w:t xml:space="preserve">Expedientes: RRA 0003/16 Comisión Nacional de las Zonas Áridas. 29 de junio de 2016. Por unanimidad. Comisionado Ponente Oscar Mauricio Guerra Ford. </w:t>
      </w:r>
    </w:p>
    <w:p w14:paraId="11118BBA" w14:textId="77777777" w:rsidR="00C93858" w:rsidRDefault="00C93858" w:rsidP="00C93858">
      <w:pPr>
        <w:spacing w:before="240" w:line="360" w:lineRule="auto"/>
        <w:ind w:left="851" w:right="851"/>
        <w:jc w:val="both"/>
        <w:rPr>
          <w:rFonts w:ascii="Palatino Linotype" w:hAnsi="Palatino Linotype" w:cs="Arial"/>
          <w:i/>
        </w:rPr>
      </w:pPr>
      <w:r>
        <w:rPr>
          <w:rFonts w:ascii="Palatino Linotype" w:hAnsi="Palatino Linotype" w:cs="Arial"/>
          <w:i/>
        </w:rPr>
        <w:t xml:space="preserve">RRA 0100/16. Sindicato Nacional de Trabajadores de la Educación. 13 de julio de 2016. Por unanimidad. Comisionada Ponente Areli Cano Guadiana. </w:t>
      </w:r>
    </w:p>
    <w:p w14:paraId="692A296C" w14:textId="77777777" w:rsidR="00C93858" w:rsidRDefault="00C93858" w:rsidP="00C93858">
      <w:pPr>
        <w:spacing w:before="240" w:line="360" w:lineRule="auto"/>
        <w:ind w:left="851" w:right="851"/>
        <w:jc w:val="both"/>
        <w:rPr>
          <w:rFonts w:ascii="Palatino Linotype" w:eastAsia="Times New Roman" w:hAnsi="Palatino Linotype" w:cs="Times New Roman"/>
          <w:b/>
          <w:sz w:val="24"/>
          <w:szCs w:val="24"/>
          <w:lang w:val="es-ES_tradnl" w:eastAsia="es-ES"/>
        </w:rPr>
      </w:pPr>
      <w:r>
        <w:rPr>
          <w:rFonts w:ascii="Palatino Linotype" w:hAnsi="Palatino Linotype" w:cs="Arial"/>
          <w:i/>
        </w:rPr>
        <w:t xml:space="preserve">RRA 1419/16 Secretaría de Educación Pública. 14 de septiembre de 2016. Por unanimidad. Comisionado Ponente </w:t>
      </w:r>
      <w:proofErr w:type="spellStart"/>
      <w:r>
        <w:rPr>
          <w:rFonts w:ascii="Palatino Linotype" w:hAnsi="Palatino Linotype" w:cs="Arial"/>
          <w:i/>
        </w:rPr>
        <w:t>Rosendoevgueni</w:t>
      </w:r>
      <w:proofErr w:type="spellEnd"/>
      <w:r>
        <w:rPr>
          <w:rFonts w:ascii="Palatino Linotype" w:hAnsi="Palatino Linotype" w:cs="Arial"/>
          <w:i/>
        </w:rPr>
        <w:t xml:space="preserve"> Monterrey </w:t>
      </w:r>
      <w:proofErr w:type="spellStart"/>
      <w:r>
        <w:rPr>
          <w:rFonts w:ascii="Palatino Linotype" w:hAnsi="Palatino Linotype" w:cs="Arial"/>
          <w:i/>
        </w:rPr>
        <w:t>Chepov</w:t>
      </w:r>
      <w:proofErr w:type="spellEnd"/>
      <w:r>
        <w:rPr>
          <w:rFonts w:ascii="Palatino Linotype" w:hAnsi="Palatino Linotype" w:cs="Arial"/>
          <w:i/>
        </w:rPr>
        <w:t xml:space="preserve">.” </w:t>
      </w:r>
      <w:r w:rsidRPr="002D7F26">
        <w:rPr>
          <w:rFonts w:ascii="Palatino Linotype" w:eastAsia="Times New Roman" w:hAnsi="Palatino Linotype" w:cs="Times New Roman"/>
          <w:b/>
          <w:i/>
          <w:sz w:val="24"/>
          <w:szCs w:val="24"/>
          <w:lang w:val="es-ES_tradnl" w:eastAsia="es-ES"/>
        </w:rPr>
        <w:t>[Sic]</w:t>
      </w:r>
    </w:p>
    <w:p w14:paraId="14BE3B7E" w14:textId="0ADE60FE" w:rsidR="00E87947" w:rsidRDefault="00E87947" w:rsidP="0085196B">
      <w:pPr>
        <w:tabs>
          <w:tab w:val="left" w:pos="709"/>
        </w:tabs>
        <w:spacing w:before="240" w:line="360" w:lineRule="auto"/>
        <w:ind w:right="51"/>
        <w:jc w:val="both"/>
        <w:rPr>
          <w:rFonts w:ascii="Palatino Linotype" w:hAnsi="Palatino Linotype"/>
          <w:sz w:val="24"/>
          <w:szCs w:val="24"/>
        </w:rPr>
      </w:pPr>
    </w:p>
    <w:p w14:paraId="579515A6" w14:textId="77777777" w:rsidR="00B37B44" w:rsidRPr="00E5738E" w:rsidRDefault="00B37B44" w:rsidP="00B37B44">
      <w:pPr>
        <w:tabs>
          <w:tab w:val="left" w:pos="709"/>
        </w:tabs>
        <w:spacing w:before="240" w:line="360" w:lineRule="auto"/>
        <w:ind w:right="51"/>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0D6C6171" w14:textId="77777777" w:rsidR="00B37B44" w:rsidRPr="00E5738E" w:rsidRDefault="00B37B44" w:rsidP="00B37B44">
      <w:pPr>
        <w:spacing w:line="360" w:lineRule="auto"/>
        <w:jc w:val="both"/>
        <w:rPr>
          <w:rFonts w:ascii="Palatino Linotype" w:hAnsi="Palatino Linotype" w:cs="Arial"/>
          <w:sz w:val="24"/>
          <w:szCs w:val="24"/>
        </w:rPr>
      </w:pPr>
      <w:r w:rsidRPr="00E5738E">
        <w:rPr>
          <w:rFonts w:ascii="Palatino Linotype" w:hAnsi="Palatino Linotype" w:cs="Arial"/>
          <w:sz w:val="24"/>
          <w:szCs w:val="24"/>
        </w:rPr>
        <w:t xml:space="preserve">Por otra parte, la doctrina del sobreseimiento provoca que un procedimiento se suspenda o se resuelva en definitiva sin que se entre al estudio de los agravios o motivos de inconformidad. Este mismo criterio es compartido por el más alto tribunal </w:t>
      </w:r>
      <w:r w:rsidRPr="00E5738E">
        <w:rPr>
          <w:rFonts w:ascii="Palatino Linotype" w:hAnsi="Palatino Linotype" w:cs="Arial"/>
          <w:sz w:val="24"/>
          <w:szCs w:val="24"/>
        </w:rPr>
        <w:lastRenderedPageBreak/>
        <w:t>del país en múltiples jurisprudencias, por lo que a continuación se agrega una de ellas que sirve como orientador en esta resolución:</w:t>
      </w:r>
    </w:p>
    <w:p w14:paraId="11E2E141" w14:textId="77777777" w:rsidR="00B37B44" w:rsidRPr="0004467E" w:rsidRDefault="00B37B44" w:rsidP="00B37B44">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47E82CBD" w14:textId="77777777" w:rsidR="00B37B44" w:rsidRPr="0004467E" w:rsidRDefault="00B37B44" w:rsidP="00B37B44">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31093C5B" w14:textId="77777777" w:rsidR="00B37B44" w:rsidRPr="0004467E" w:rsidRDefault="00B37B44" w:rsidP="00B37B44">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4A5D45E6" w14:textId="77777777" w:rsidR="00B37B44" w:rsidRPr="0004467E" w:rsidRDefault="00B37B44" w:rsidP="00B37B44">
      <w:pPr>
        <w:spacing w:line="360" w:lineRule="auto"/>
        <w:ind w:left="851" w:right="851"/>
        <w:jc w:val="both"/>
        <w:rPr>
          <w:rFonts w:ascii="Palatino Linotype" w:hAnsi="Palatino Linotype" w:cs="Arial"/>
          <w:i/>
        </w:rPr>
      </w:pPr>
      <w:r w:rsidRPr="0004467E">
        <w:rPr>
          <w:rFonts w:ascii="Palatino Linotype" w:hAnsi="Palatino Linotype" w:cs="Arial"/>
          <w:i/>
        </w:rPr>
        <w:t xml:space="preserve">Amparo directo 699/2008. Mariana Leticia González </w:t>
      </w:r>
      <w:proofErr w:type="spellStart"/>
      <w:r w:rsidRPr="0004467E">
        <w:rPr>
          <w:rFonts w:ascii="Palatino Linotype" w:hAnsi="Palatino Linotype" w:cs="Arial"/>
          <w:i/>
        </w:rPr>
        <w:t>Steele</w:t>
      </w:r>
      <w:proofErr w:type="spellEnd"/>
      <w:r w:rsidRPr="0004467E">
        <w:rPr>
          <w:rFonts w:ascii="Palatino Linotype" w:hAnsi="Palatino Linotype" w:cs="Arial"/>
          <w:i/>
        </w:rPr>
        <w:t>.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774F7666" w14:textId="77777777" w:rsidR="00B37B44" w:rsidRPr="0004467E" w:rsidRDefault="00B37B44" w:rsidP="00B37B44">
      <w:pPr>
        <w:ind w:right="141"/>
        <w:jc w:val="both"/>
        <w:rPr>
          <w:rFonts w:ascii="Palatino Linotype" w:hAnsi="Palatino Linotype" w:cs="Arial"/>
        </w:rPr>
      </w:pPr>
    </w:p>
    <w:p w14:paraId="3E7E0BD5" w14:textId="77777777" w:rsidR="00B37B44" w:rsidRPr="0004467E" w:rsidRDefault="00B37B44" w:rsidP="00B37B44">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w:t>
      </w:r>
      <w:r w:rsidRPr="0004467E">
        <w:rPr>
          <w:rFonts w:ascii="Palatino Linotype" w:hAnsi="Palatino Linotype" w:cs="Arial"/>
          <w:b/>
          <w:sz w:val="24"/>
          <w:szCs w:val="24"/>
        </w:rPr>
        <w:lastRenderedPageBreak/>
        <w:t xml:space="preserve">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0498D010" w14:textId="77777777" w:rsidR="00B37B44" w:rsidRPr="0004467E" w:rsidRDefault="00B37B44" w:rsidP="00B37B44">
      <w:pPr>
        <w:spacing w:line="360" w:lineRule="auto"/>
        <w:jc w:val="both"/>
        <w:rPr>
          <w:rFonts w:ascii="Palatino Linotype" w:hAnsi="Palatino Linotype" w:cs="Arial"/>
          <w:b/>
          <w:sz w:val="24"/>
          <w:szCs w:val="24"/>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75729594" w14:textId="77777777" w:rsidR="00B37B44" w:rsidRPr="009D68FF" w:rsidRDefault="00B37B44" w:rsidP="009D605B">
      <w:pPr>
        <w:pStyle w:val="Prrafodelista"/>
        <w:numPr>
          <w:ilvl w:val="0"/>
          <w:numId w:val="1"/>
        </w:numPr>
        <w:spacing w:line="360" w:lineRule="auto"/>
        <w:ind w:right="851"/>
        <w:jc w:val="both"/>
        <w:rPr>
          <w:rFonts w:ascii="Palatino Linotype" w:hAnsi="Palatino Linotype" w:cs="Arial"/>
          <w:b/>
        </w:rPr>
      </w:pPr>
      <w:r w:rsidRPr="0004467E">
        <w:rPr>
          <w:rFonts w:ascii="Palatino Linotype" w:hAnsi="Palatino Linotype" w:cs="Arial"/>
          <w:b/>
        </w:rPr>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47E14F91" w14:textId="77777777" w:rsidR="00B37B44" w:rsidRPr="00E5738E" w:rsidRDefault="00B37B44" w:rsidP="00B37B44">
      <w:pPr>
        <w:pStyle w:val="Prrafodelista"/>
        <w:spacing w:line="360" w:lineRule="auto"/>
        <w:ind w:left="720" w:right="851"/>
        <w:jc w:val="both"/>
        <w:rPr>
          <w:rFonts w:ascii="Palatino Linotype" w:hAnsi="Palatino Linotype" w:cs="Arial"/>
          <w:b/>
        </w:rPr>
      </w:pPr>
    </w:p>
    <w:p w14:paraId="29B650CF" w14:textId="77777777" w:rsidR="00B37B44" w:rsidRPr="0004467E" w:rsidRDefault="00B37B44" w:rsidP="00B37B44">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ya sea porque se hizo la entrega de la información solicitada o porque se completó la misma.</w:t>
      </w:r>
      <w:r w:rsidRPr="0004467E">
        <w:rPr>
          <w:rFonts w:ascii="Palatino Linotype" w:hAnsi="Palatino Linotype" w:cs="Arial"/>
          <w:sz w:val="24"/>
          <w:szCs w:val="24"/>
          <w:u w:val="single"/>
        </w:rPr>
        <w:t xml:space="preserve"> </w:t>
      </w:r>
    </w:p>
    <w:p w14:paraId="5246D496" w14:textId="77777777" w:rsidR="00B37B44" w:rsidRPr="0004467E" w:rsidRDefault="00B37B44" w:rsidP="00B37B44">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025671F6" w14:textId="77777777" w:rsidR="00B37B44" w:rsidRPr="0004467E" w:rsidRDefault="00B37B44" w:rsidP="00B37B44">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w:t>
      </w:r>
      <w:r w:rsidRPr="0004467E">
        <w:rPr>
          <w:rFonts w:ascii="Palatino Linotype" w:hAnsi="Palatino Linotype" w:cs="Arial"/>
          <w:sz w:val="24"/>
          <w:szCs w:val="24"/>
        </w:rPr>
        <w:lastRenderedPageBreak/>
        <w:t xml:space="preserve">haya interpuesto queda sin materia lo que imposibilita el estudio de fondo de la </w:t>
      </w:r>
      <w:proofErr w:type="spellStart"/>
      <w:r w:rsidRPr="0004467E">
        <w:rPr>
          <w:rFonts w:ascii="Palatino Linotype" w:hAnsi="Palatino Linotype" w:cs="Arial"/>
          <w:b/>
          <w:i/>
          <w:sz w:val="24"/>
          <w:szCs w:val="24"/>
        </w:rPr>
        <w:t>litis</w:t>
      </w:r>
      <w:proofErr w:type="spellEnd"/>
      <w:r w:rsidRPr="0004467E">
        <w:rPr>
          <w:rFonts w:ascii="Palatino Linotype" w:hAnsi="Palatino Linotype" w:cs="Arial"/>
          <w:b/>
          <w:i/>
          <w:sz w:val="24"/>
          <w:szCs w:val="24"/>
        </w:rPr>
        <w:t xml:space="preserve"> </w:t>
      </w:r>
      <w:r w:rsidRPr="0004467E">
        <w:rPr>
          <w:rFonts w:ascii="Palatino Linotype" w:hAnsi="Palatino Linotype" w:cs="Arial"/>
          <w:sz w:val="24"/>
          <w:szCs w:val="24"/>
        </w:rPr>
        <w:t xml:space="preserve">planteada, debido a que la afectación en su esfera de derechos fue restituida por la propia autoridad que emitió el acto de impugnación. </w:t>
      </w:r>
    </w:p>
    <w:p w14:paraId="495E9A52" w14:textId="77777777" w:rsidR="00B37B44" w:rsidRDefault="00B37B44" w:rsidP="00B37B44">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4D531F39" w14:textId="0D48163F" w:rsidR="00B37B44" w:rsidRPr="00717553" w:rsidRDefault="00B37B44" w:rsidP="00B37B44">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El</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2E3488">
        <w:rPr>
          <w:rFonts w:ascii="Palatino Linotype" w:hAnsi="Palatino Linotype" w:cs="Arial"/>
          <w:sz w:val="24"/>
          <w:szCs w:val="24"/>
        </w:rPr>
        <w:t xml:space="preserve">el recurso de revisión </w:t>
      </w:r>
      <w:r w:rsidRPr="002E3488">
        <w:rPr>
          <w:rFonts w:ascii="Palatino Linotype" w:hAnsi="Palatino Linotype" w:cs="Arial"/>
          <w:b/>
          <w:sz w:val="24"/>
          <w:szCs w:val="24"/>
          <w:lang w:val="es-ES_tradnl"/>
        </w:rPr>
        <w:t>0</w:t>
      </w:r>
      <w:r>
        <w:rPr>
          <w:rFonts w:ascii="Palatino Linotype" w:hAnsi="Palatino Linotype" w:cs="Arial"/>
          <w:b/>
          <w:sz w:val="24"/>
          <w:szCs w:val="24"/>
          <w:lang w:val="es-ES_tradnl"/>
        </w:rPr>
        <w:t>3756</w:t>
      </w:r>
      <w:r w:rsidRPr="002E3488">
        <w:rPr>
          <w:rFonts w:ascii="Palatino Linotype" w:hAnsi="Palatino Linotype" w:cs="Arial"/>
          <w:b/>
          <w:sz w:val="24"/>
          <w:szCs w:val="24"/>
          <w:lang w:val="es-ES_tradnl"/>
        </w:rPr>
        <w:t>/INFOEM/IP/RR/20</w:t>
      </w:r>
      <w:r>
        <w:rPr>
          <w:rFonts w:ascii="Palatino Linotype" w:hAnsi="Palatino Linotype" w:cs="Arial"/>
          <w:b/>
          <w:sz w:val="24"/>
          <w:szCs w:val="24"/>
          <w:lang w:val="es-ES_tradnl"/>
        </w:rPr>
        <w:t>21</w:t>
      </w:r>
      <w:r w:rsidRPr="002E3488">
        <w:rPr>
          <w:rFonts w:ascii="Palatino Linotype" w:hAnsi="Palatino Linotype" w:cs="Arial"/>
          <w:b/>
          <w:sz w:val="24"/>
          <w:szCs w:val="24"/>
          <w:lang w:val="es-ES_tradnl"/>
        </w:rPr>
        <w:t xml:space="preserve">, </w:t>
      </w:r>
      <w:r w:rsidRPr="002E3488">
        <w:rPr>
          <w:rFonts w:ascii="Palatino Linotype" w:hAnsi="Palatino Linotype" w:cs="Arial"/>
          <w:sz w:val="24"/>
          <w:szCs w:val="24"/>
          <w:lang w:val="es-ES_tradnl"/>
        </w:rPr>
        <w:t>que ha sido materia del presente fallo.</w:t>
      </w:r>
      <w:r>
        <w:rPr>
          <w:rFonts w:ascii="Palatino Linotype" w:hAnsi="Palatino Linotype" w:cs="Arial"/>
          <w:sz w:val="24"/>
          <w:szCs w:val="24"/>
          <w:lang w:val="es-ES_tradnl"/>
        </w:rPr>
        <w:t xml:space="preserve"> </w:t>
      </w:r>
    </w:p>
    <w:p w14:paraId="319AF15D" w14:textId="263F3456" w:rsidR="00B37B44" w:rsidRDefault="00B37B44" w:rsidP="00374703">
      <w:pPr>
        <w:tabs>
          <w:tab w:val="left" w:pos="709"/>
        </w:tabs>
        <w:spacing w:before="240" w:line="360" w:lineRule="auto"/>
        <w:ind w:right="51"/>
        <w:jc w:val="both"/>
        <w:rPr>
          <w:rFonts w:ascii="Palatino Linotype" w:eastAsia="Times New Roman" w:hAnsi="Palatino Linotype"/>
          <w:b/>
          <w:bCs/>
          <w:spacing w:val="60"/>
          <w:sz w:val="28"/>
          <w:lang w:val="es-ES_tradnl"/>
        </w:rPr>
      </w:pPr>
      <w:r w:rsidRPr="00523CF0">
        <w:rPr>
          <w:rFonts w:ascii="Palatino Linotype" w:hAnsi="Palatino Linotype"/>
          <w:sz w:val="24"/>
          <w:szCs w:val="24"/>
        </w:rPr>
        <w:t>Por lo antes expuesto y fundado es de resolverse y;</w:t>
      </w:r>
    </w:p>
    <w:p w14:paraId="6E29F249" w14:textId="77777777" w:rsidR="005833EE" w:rsidRDefault="005833EE" w:rsidP="00B37B44">
      <w:pPr>
        <w:spacing w:before="240" w:line="360" w:lineRule="auto"/>
        <w:jc w:val="center"/>
        <w:rPr>
          <w:rFonts w:ascii="Palatino Linotype" w:eastAsia="Times New Roman" w:hAnsi="Palatino Linotype"/>
          <w:b/>
          <w:bCs/>
          <w:spacing w:val="60"/>
          <w:sz w:val="28"/>
          <w:lang w:val="es-ES_tradnl"/>
        </w:rPr>
      </w:pPr>
    </w:p>
    <w:p w14:paraId="202A4505" w14:textId="77777777" w:rsidR="00B37B44" w:rsidRPr="00523CF0" w:rsidRDefault="00B37B44" w:rsidP="00B37B44">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t>SE    RESUELVE</w:t>
      </w:r>
    </w:p>
    <w:p w14:paraId="10A68831" w14:textId="4D0FC78A" w:rsidR="00B37B44" w:rsidRPr="00717553" w:rsidRDefault="00B37B44" w:rsidP="00B37B44">
      <w:pPr>
        <w:spacing w:before="240" w:line="360" w:lineRule="auto"/>
        <w:jc w:val="both"/>
        <w:rPr>
          <w:rFonts w:ascii="Palatino Linotype" w:hAnsi="Palatino Linotype" w:cs="Arial"/>
          <w:sz w:val="24"/>
          <w:szCs w:val="24"/>
          <w:lang w:val="es-ES_tradnl"/>
        </w:rPr>
      </w:pPr>
      <w:r w:rsidRPr="00AF55AC">
        <w:rPr>
          <w:rFonts w:ascii="Palatino Linotype" w:hAnsi="Palatino Linotype" w:cs="Arial"/>
          <w:b/>
          <w:sz w:val="28"/>
          <w:szCs w:val="28"/>
          <w:lang w:val="es-ES_tradnl"/>
        </w:rPr>
        <w:t>PRIMERO.</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 xml:space="preserve">SOBRESEE </w:t>
      </w:r>
      <w:r w:rsidRPr="00AF55AC">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03756</w:t>
      </w:r>
      <w:r w:rsidRPr="00AF55AC">
        <w:rPr>
          <w:rFonts w:ascii="Palatino Linotype" w:hAnsi="Palatino Linotype" w:cs="Arial"/>
          <w:b/>
          <w:sz w:val="24"/>
          <w:szCs w:val="24"/>
          <w:lang w:val="es-ES_tradnl"/>
        </w:rPr>
        <w:t>/INFOEM/IP/RR/20</w:t>
      </w:r>
      <w:r>
        <w:rPr>
          <w:rFonts w:ascii="Palatino Linotype" w:hAnsi="Palatino Linotype" w:cs="Arial"/>
          <w:b/>
          <w:sz w:val="24"/>
          <w:szCs w:val="24"/>
          <w:lang w:val="es-ES_tradnl"/>
        </w:rPr>
        <w:t>21</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Pr>
          <w:rFonts w:ascii="Palatino Linotype" w:hAnsi="Palatino Linotype" w:cs="Arial"/>
          <w:b/>
          <w:sz w:val="24"/>
          <w:szCs w:val="24"/>
          <w:lang w:val="es-ES_tradnl"/>
        </w:rPr>
        <w:t>TERCERO</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14:paraId="5FC37C31" w14:textId="77777777" w:rsidR="00B37B44" w:rsidRDefault="00B37B44" w:rsidP="00B37B44">
      <w:pPr>
        <w:spacing w:before="240" w:line="360" w:lineRule="auto"/>
        <w:jc w:val="both"/>
        <w:rPr>
          <w:rFonts w:ascii="Palatino Linotype" w:hAnsi="Palatino Linotype" w:cs="Arial"/>
          <w:sz w:val="24"/>
          <w:szCs w:val="24"/>
          <w:lang w:val="es-ES_tradnl"/>
        </w:rPr>
      </w:pPr>
    </w:p>
    <w:p w14:paraId="179A8A3C" w14:textId="77777777" w:rsidR="00B37B44" w:rsidRPr="006629BD" w:rsidRDefault="00B37B44" w:rsidP="00B37B44">
      <w:pPr>
        <w:pStyle w:val="Sinespaciado"/>
        <w:spacing w:line="360" w:lineRule="auto"/>
        <w:jc w:val="both"/>
        <w:rPr>
          <w:rFonts w:ascii="Palatino Linotype" w:hAnsi="Palatino Linotype" w:cs="Arial"/>
          <w:b/>
        </w:rPr>
      </w:pPr>
      <w:r w:rsidRPr="006B1FF9">
        <w:rPr>
          <w:rFonts w:ascii="Palatino Linotype" w:hAnsi="Palatino Linotype" w:cs="Arial"/>
          <w:b/>
          <w:sz w:val="28"/>
          <w:szCs w:val="28"/>
        </w:rPr>
        <w:lastRenderedPageBreak/>
        <w:t>SEGUNDO.</w:t>
      </w:r>
      <w:r w:rsidRPr="004431CC">
        <w:rPr>
          <w:rFonts w:ascii="Palatino Linotype" w:hAnsi="Palatino Linotype" w:cs="Arial"/>
        </w:rPr>
        <w:t xml:space="preserve"> </w:t>
      </w:r>
      <w:r w:rsidRPr="00B37B44">
        <w:rPr>
          <w:rFonts w:ascii="Palatino Linotype" w:hAnsi="Palatino Linotype"/>
          <w:b/>
        </w:rPr>
        <w:t>NOTIFÍQUESE vía</w:t>
      </w:r>
      <w:r>
        <w:rPr>
          <w:rFonts w:ascii="Palatino Linotype" w:hAnsi="Palatino Linotype"/>
          <w:b/>
          <w:shd w:val="clear" w:color="auto" w:fill="FFFFFF"/>
        </w:rPr>
        <w:t xml:space="preserve"> </w:t>
      </w:r>
      <w:r>
        <w:rPr>
          <w:rFonts w:ascii="Palatino Linotype" w:hAnsi="Palatino Linotype" w:cs="Arial"/>
        </w:rPr>
        <w:t xml:space="preserve">Sistema de Acceso a la Información Mexiquense </w:t>
      </w:r>
      <w:r>
        <w:rPr>
          <w:rFonts w:ascii="Palatino Linotype" w:hAnsi="Palatino Linotype" w:cs="Arial"/>
          <w:b/>
        </w:rPr>
        <w:t>(SAIMEX)</w:t>
      </w:r>
      <w:r>
        <w:rPr>
          <w:rFonts w:ascii="Palatino Linotype" w:hAnsi="Palatino Linotype"/>
          <w:b/>
          <w:shd w:val="clear" w:color="auto" w:fill="FFFFFF"/>
        </w:rPr>
        <w:t xml:space="preserve"> </w:t>
      </w:r>
      <w:r w:rsidRPr="00B37B44">
        <w:rPr>
          <w:rFonts w:ascii="Palatino Linotype" w:hAnsi="Palatino Linotype"/>
        </w:rPr>
        <w:t>la presente resolución</w:t>
      </w:r>
      <w:r>
        <w:rPr>
          <w:rFonts w:ascii="Palatino Linotype" w:hAnsi="Palatino Linotype"/>
          <w:b/>
          <w:shd w:val="clear" w:color="auto" w:fill="FFFFFF"/>
        </w:rPr>
        <w:t xml:space="preserve"> </w:t>
      </w:r>
      <w:r>
        <w:rPr>
          <w:rFonts w:ascii="Palatino Linotype" w:hAnsi="Palatino Linotype"/>
          <w:shd w:val="clear" w:color="auto" w:fill="FFFFFF"/>
        </w:rPr>
        <w:t>al</w:t>
      </w:r>
      <w:r w:rsidRPr="00F55762">
        <w:rPr>
          <w:rFonts w:ascii="Palatino Linotype" w:hAnsi="Palatino Linotype"/>
          <w:shd w:val="clear" w:color="auto" w:fill="FFFFFF"/>
        </w:rPr>
        <w:t xml:space="preserve"> Titular de la Unidad de Transparencia del</w:t>
      </w:r>
      <w:r w:rsidRPr="00F55762">
        <w:rPr>
          <w:rStyle w:val="apple-converted-space"/>
          <w:rFonts w:ascii="Palatino Linotype" w:hAnsi="Palatino Linotype"/>
          <w:shd w:val="clear" w:color="auto" w:fill="FFFFFF"/>
        </w:rPr>
        <w:t> </w:t>
      </w:r>
      <w:r w:rsidRPr="00B37B44">
        <w:rPr>
          <w:rFonts w:ascii="Palatino Linotype" w:hAnsi="Palatino Linotype"/>
          <w:b/>
        </w:rPr>
        <w:t>SUJETO OBLIGADO</w:t>
      </w:r>
      <w:r w:rsidRPr="00B37B44">
        <w:rPr>
          <w:rFonts w:ascii="Palatino Linotype" w:hAnsi="Palatino Linotype"/>
        </w:rPr>
        <w:t>.</w:t>
      </w:r>
    </w:p>
    <w:p w14:paraId="1EB5ED6D" w14:textId="77777777" w:rsidR="00B37B44" w:rsidRPr="004431CC" w:rsidRDefault="00B37B44" w:rsidP="00B37B44">
      <w:pPr>
        <w:pStyle w:val="Sinespaciado"/>
        <w:spacing w:line="360" w:lineRule="auto"/>
        <w:jc w:val="both"/>
        <w:rPr>
          <w:rFonts w:ascii="Palatino Linotype" w:hAnsi="Palatino Linotype" w:cs="Arial"/>
        </w:rPr>
      </w:pPr>
    </w:p>
    <w:p w14:paraId="14A03E55" w14:textId="77777777" w:rsidR="00B37B44" w:rsidRPr="00374703" w:rsidRDefault="00B37B44" w:rsidP="00B37B44">
      <w:pPr>
        <w:spacing w:before="240" w:after="240" w:line="360" w:lineRule="auto"/>
        <w:jc w:val="both"/>
        <w:rPr>
          <w:rFonts w:ascii="Palatino Linotype" w:hAnsi="Palatino Linotype" w:cs="Arial"/>
          <w:sz w:val="24"/>
          <w:szCs w:val="24"/>
          <w:lang w:val="es-ES_tradnl"/>
        </w:rPr>
      </w:pPr>
      <w:r w:rsidRPr="007C282C">
        <w:rPr>
          <w:rFonts w:ascii="Palatino Linotype" w:hAnsi="Palatino Linotype" w:cs="Arial"/>
          <w:b/>
          <w:sz w:val="28"/>
          <w:szCs w:val="28"/>
          <w:lang w:val="es-ES_tradnl"/>
        </w:rPr>
        <w:t>TERCERO.</w:t>
      </w:r>
      <w:r w:rsidRPr="00374703">
        <w:rPr>
          <w:rFonts w:ascii="Palatino Linotype" w:hAnsi="Palatino Linotype" w:cs="Arial"/>
          <w:b/>
          <w:sz w:val="24"/>
          <w:szCs w:val="24"/>
          <w:lang w:val="es-ES_tradnl"/>
        </w:rPr>
        <w:t xml:space="preserve"> NOTIFÍQUESE</w:t>
      </w:r>
      <w:r w:rsidRPr="00374703">
        <w:rPr>
          <w:rFonts w:ascii="Palatino Linotype" w:hAnsi="Palatino Linotype" w:cs="Arial"/>
          <w:sz w:val="24"/>
          <w:szCs w:val="24"/>
          <w:lang w:val="es-ES_tradnl"/>
        </w:rPr>
        <w:t xml:space="preserve"> al </w:t>
      </w:r>
      <w:r w:rsidRPr="00374703">
        <w:rPr>
          <w:rFonts w:ascii="Palatino Linotype" w:hAnsi="Palatino Linotype" w:cs="Arial"/>
          <w:b/>
          <w:sz w:val="24"/>
          <w:szCs w:val="24"/>
          <w:lang w:val="es-ES_tradnl"/>
        </w:rPr>
        <w:t>RECURRENTE</w:t>
      </w:r>
      <w:r w:rsidRPr="00374703">
        <w:rPr>
          <w:rFonts w:ascii="Palatino Linotype" w:hAnsi="Palatino Linotype" w:cs="Arial"/>
          <w:sz w:val="24"/>
          <w:szCs w:val="24"/>
          <w:lang w:val="es-ES_tradnl"/>
        </w:rPr>
        <w:t xml:space="preserve"> la presente resolución vía </w:t>
      </w:r>
      <w:r w:rsidRPr="00374703">
        <w:rPr>
          <w:rFonts w:ascii="Palatino Linotype" w:hAnsi="Palatino Linotype" w:cs="Arial"/>
          <w:sz w:val="24"/>
          <w:szCs w:val="24"/>
        </w:rPr>
        <w:t xml:space="preserve">Sistema de Acceso a la Información Mexiquense </w:t>
      </w:r>
      <w:r w:rsidRPr="00374703">
        <w:rPr>
          <w:rFonts w:ascii="Palatino Linotype" w:hAnsi="Palatino Linotype" w:cs="Arial"/>
          <w:b/>
          <w:sz w:val="24"/>
          <w:szCs w:val="24"/>
        </w:rPr>
        <w:t>(SAIMEX)</w:t>
      </w:r>
      <w:r w:rsidRPr="00374703">
        <w:rPr>
          <w:rFonts w:ascii="Palatino Linotype" w:hAnsi="Palatino Linotype" w:cs="Arial"/>
          <w:sz w:val="24"/>
          <w:szCs w:val="24"/>
          <w:lang w:val="es-ES_tradnl"/>
        </w:rPr>
        <w:t>,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446228F8" w14:textId="215CDF42" w:rsidR="00B37B44" w:rsidRDefault="00B37B44" w:rsidP="00B37B44">
      <w:pPr>
        <w:pStyle w:val="Prrafodelista"/>
        <w:widowControl w:val="0"/>
        <w:autoSpaceDE w:val="0"/>
        <w:autoSpaceDN w:val="0"/>
        <w:adjustRightInd w:val="0"/>
        <w:spacing w:before="240" w:after="240" w:line="360" w:lineRule="auto"/>
        <w:ind w:left="0" w:right="49"/>
        <w:jc w:val="both"/>
        <w:rPr>
          <w:rFonts w:ascii="Palatino Linotype" w:hAnsi="Palatino Linotype" w:cs="Tahoma"/>
        </w:rPr>
      </w:pPr>
    </w:p>
    <w:p w14:paraId="55BA4CE1" w14:textId="25025E65" w:rsidR="00B37B44" w:rsidRDefault="00B37B44" w:rsidP="00B37B44">
      <w:pPr>
        <w:pStyle w:val="Prrafodelista"/>
        <w:autoSpaceDE w:val="0"/>
        <w:autoSpaceDN w:val="0"/>
        <w:adjustRightInd w:val="0"/>
        <w:spacing w:before="240" w:after="160" w:line="360" w:lineRule="auto"/>
        <w:ind w:left="0"/>
        <w:jc w:val="both"/>
        <w:rPr>
          <w:rFonts w:ascii="Palatino Linotype" w:hAnsi="Palatino Linotype" w:cs="Arial"/>
        </w:rPr>
      </w:pPr>
      <w:r w:rsidRPr="00C91103">
        <w:rPr>
          <w:rFonts w:ascii="Palatino Linotype" w:hAnsi="Palatino Linotype" w:cs="Arial"/>
        </w:rPr>
        <w:t xml:space="preserve">ASÍ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MEJÍA AYALA, SHARON CRISTINA MORALES MARTÍNEZ, LUIS GUSTAVO PARRA NORIEGA Y GUADALUPE RAMÍREZ PEÑA; EN</w:t>
      </w:r>
      <w:r w:rsidRPr="00272CE0">
        <w:rPr>
          <w:rFonts w:ascii="Palatino Linotype" w:hAnsi="Palatino Linotype" w:cs="Arial"/>
        </w:rPr>
        <w:t xml:space="preserve"> LA </w:t>
      </w:r>
      <w:r>
        <w:rPr>
          <w:rFonts w:ascii="Palatino Linotype" w:hAnsi="Palatino Linotype" w:cs="Arial"/>
        </w:rPr>
        <w:t xml:space="preserve">TRIGÉSIMA OCTAVA SESIÓN ORDINARIA CELEBRADA EL VEINTISIETE DE OCTUBRE DE DOS MIL VEINTIUNO, ANTE EL SECRETARIO TÉCNICO DEL PLENO, ALEXIS TAPIA RAMÍREZ. </w:t>
      </w:r>
    </w:p>
    <w:p w14:paraId="67242D80" w14:textId="6725BA83" w:rsidR="00B37B44" w:rsidRPr="00280B8B" w:rsidRDefault="00B37B44" w:rsidP="00B37B44">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1F27890" w14:textId="1FC401A5" w:rsidR="00B37B44" w:rsidRDefault="00B37B44" w:rsidP="00B37B44">
      <w:pPr>
        <w:spacing w:after="0" w:line="360" w:lineRule="auto"/>
        <w:jc w:val="both"/>
        <w:rPr>
          <w:rFonts w:ascii="Palatino Linotype" w:hAnsi="Palatino Linotype" w:cs="Arial"/>
          <w:sz w:val="16"/>
          <w:szCs w:val="16"/>
          <w:lang w:val="es-ES"/>
        </w:rPr>
      </w:pPr>
    </w:p>
    <w:p w14:paraId="7E08302F" w14:textId="15E7185E" w:rsidR="00B37B44" w:rsidRDefault="00B37B44" w:rsidP="00B37B44">
      <w:pPr>
        <w:spacing w:after="0" w:line="360" w:lineRule="auto"/>
        <w:jc w:val="both"/>
        <w:rPr>
          <w:rFonts w:ascii="Palatino Linotype" w:hAnsi="Palatino Linotype" w:cs="Arial"/>
          <w:sz w:val="16"/>
          <w:szCs w:val="16"/>
          <w:lang w:val="es-ES"/>
        </w:rPr>
      </w:pPr>
    </w:p>
    <w:p w14:paraId="17B8D564" w14:textId="77777777" w:rsidR="00B37B44" w:rsidRDefault="00B37B44" w:rsidP="00B37B44">
      <w:pPr>
        <w:spacing w:line="360" w:lineRule="auto"/>
        <w:jc w:val="both"/>
        <w:rPr>
          <w:rFonts w:ascii="Palatino Linotype" w:hAnsi="Palatino Linotype" w:cs="Arial"/>
          <w:sz w:val="24"/>
          <w:szCs w:val="24"/>
        </w:rPr>
      </w:pPr>
    </w:p>
    <w:p w14:paraId="28DF15E7" w14:textId="77777777" w:rsidR="00B37B44" w:rsidRDefault="00B37B44" w:rsidP="00B37B44">
      <w:pPr>
        <w:spacing w:line="360" w:lineRule="auto"/>
        <w:jc w:val="both"/>
        <w:rPr>
          <w:rFonts w:ascii="Palatino Linotype" w:hAnsi="Palatino Linotype" w:cs="Arial"/>
          <w:sz w:val="24"/>
          <w:szCs w:val="24"/>
        </w:rPr>
      </w:pPr>
    </w:p>
    <w:p w14:paraId="1157F7B7" w14:textId="77777777" w:rsidR="00B37B44" w:rsidRDefault="00B37B44" w:rsidP="00B37B44">
      <w:pPr>
        <w:spacing w:line="360" w:lineRule="auto"/>
        <w:jc w:val="both"/>
        <w:rPr>
          <w:rFonts w:ascii="Palatino Linotype" w:hAnsi="Palatino Linotype" w:cs="Arial"/>
          <w:sz w:val="24"/>
          <w:szCs w:val="24"/>
        </w:rPr>
      </w:pPr>
    </w:p>
    <w:p w14:paraId="76C6F52E" w14:textId="77777777" w:rsidR="00B37B44" w:rsidRDefault="00B37B44" w:rsidP="00B37B44">
      <w:pPr>
        <w:spacing w:line="360" w:lineRule="auto"/>
        <w:jc w:val="both"/>
        <w:rPr>
          <w:rFonts w:ascii="Palatino Linotype" w:hAnsi="Palatino Linotype" w:cs="Arial"/>
          <w:sz w:val="24"/>
          <w:szCs w:val="24"/>
        </w:rPr>
      </w:pPr>
    </w:p>
    <w:p w14:paraId="49B8CD69" w14:textId="77777777" w:rsidR="00B37B44" w:rsidRDefault="00B37B44" w:rsidP="00B37B44">
      <w:pPr>
        <w:spacing w:line="360" w:lineRule="auto"/>
        <w:jc w:val="both"/>
        <w:rPr>
          <w:rFonts w:ascii="Palatino Linotype" w:hAnsi="Palatino Linotype" w:cs="Arial"/>
          <w:sz w:val="24"/>
          <w:szCs w:val="24"/>
        </w:rPr>
      </w:pPr>
    </w:p>
    <w:p w14:paraId="51AD1DF8" w14:textId="77777777" w:rsidR="00B37B44" w:rsidRDefault="00B37B44" w:rsidP="00B37B44">
      <w:pPr>
        <w:spacing w:line="360" w:lineRule="auto"/>
        <w:jc w:val="both"/>
        <w:rPr>
          <w:rFonts w:ascii="Palatino Linotype" w:hAnsi="Palatino Linotype" w:cs="Arial"/>
          <w:sz w:val="24"/>
          <w:szCs w:val="24"/>
        </w:rPr>
      </w:pPr>
    </w:p>
    <w:p w14:paraId="7963915A" w14:textId="77777777" w:rsidR="00B37B44" w:rsidRDefault="00B37B44" w:rsidP="00B37B44">
      <w:pPr>
        <w:spacing w:line="360" w:lineRule="auto"/>
        <w:jc w:val="both"/>
        <w:rPr>
          <w:rFonts w:ascii="Palatino Linotype" w:hAnsi="Palatino Linotype" w:cs="Arial"/>
          <w:sz w:val="24"/>
          <w:szCs w:val="24"/>
        </w:rPr>
      </w:pPr>
    </w:p>
    <w:p w14:paraId="7BCC16DD" w14:textId="77777777" w:rsidR="00B37B44" w:rsidRDefault="00B37B44" w:rsidP="00B37B44">
      <w:pPr>
        <w:spacing w:line="360" w:lineRule="auto"/>
        <w:jc w:val="both"/>
        <w:rPr>
          <w:rFonts w:ascii="Palatino Linotype" w:hAnsi="Palatino Linotype" w:cs="Arial"/>
          <w:sz w:val="24"/>
          <w:szCs w:val="24"/>
        </w:rPr>
      </w:pPr>
    </w:p>
    <w:p w14:paraId="1183FFAF" w14:textId="77777777" w:rsidR="00C93858" w:rsidRDefault="00C93858" w:rsidP="0085196B">
      <w:pPr>
        <w:tabs>
          <w:tab w:val="left" w:pos="709"/>
        </w:tabs>
        <w:spacing w:before="240" w:line="360" w:lineRule="auto"/>
        <w:ind w:right="51"/>
        <w:jc w:val="both"/>
        <w:rPr>
          <w:rFonts w:ascii="Palatino Linotype" w:hAnsi="Palatino Linotype"/>
          <w:sz w:val="24"/>
          <w:szCs w:val="24"/>
        </w:rPr>
      </w:pPr>
    </w:p>
    <w:p w14:paraId="2A65896E" w14:textId="77777777" w:rsidR="005833EE" w:rsidRDefault="005833EE" w:rsidP="0085196B">
      <w:pPr>
        <w:tabs>
          <w:tab w:val="left" w:pos="709"/>
        </w:tabs>
        <w:spacing w:before="240" w:line="360" w:lineRule="auto"/>
        <w:ind w:right="51"/>
        <w:jc w:val="both"/>
        <w:rPr>
          <w:rFonts w:ascii="Palatino Linotype" w:hAnsi="Palatino Linotype"/>
          <w:sz w:val="24"/>
          <w:szCs w:val="24"/>
        </w:rPr>
      </w:pPr>
    </w:p>
    <w:p w14:paraId="1456017A" w14:textId="77777777" w:rsidR="005833EE" w:rsidRDefault="005833EE" w:rsidP="0085196B">
      <w:pPr>
        <w:tabs>
          <w:tab w:val="left" w:pos="709"/>
        </w:tabs>
        <w:spacing w:before="240" w:line="360" w:lineRule="auto"/>
        <w:ind w:right="51"/>
        <w:jc w:val="both"/>
        <w:rPr>
          <w:rFonts w:ascii="Palatino Linotype" w:hAnsi="Palatino Linotype"/>
          <w:sz w:val="24"/>
          <w:szCs w:val="24"/>
        </w:rPr>
      </w:pPr>
    </w:p>
    <w:p w14:paraId="428367DB" w14:textId="77777777" w:rsidR="005833EE" w:rsidRDefault="005833EE" w:rsidP="0085196B">
      <w:pPr>
        <w:tabs>
          <w:tab w:val="left" w:pos="709"/>
        </w:tabs>
        <w:spacing w:before="240" w:line="360" w:lineRule="auto"/>
        <w:ind w:right="51"/>
        <w:jc w:val="both"/>
        <w:rPr>
          <w:rFonts w:ascii="Palatino Linotype" w:hAnsi="Palatino Linotype"/>
          <w:sz w:val="24"/>
          <w:szCs w:val="24"/>
        </w:rPr>
      </w:pPr>
    </w:p>
    <w:p w14:paraId="463421C9" w14:textId="77777777" w:rsidR="005833EE" w:rsidRDefault="005833EE" w:rsidP="0085196B">
      <w:pPr>
        <w:tabs>
          <w:tab w:val="left" w:pos="709"/>
        </w:tabs>
        <w:spacing w:before="240" w:line="360" w:lineRule="auto"/>
        <w:ind w:right="51"/>
        <w:jc w:val="both"/>
        <w:rPr>
          <w:rFonts w:ascii="Palatino Linotype" w:hAnsi="Palatino Linotype"/>
          <w:sz w:val="24"/>
          <w:szCs w:val="24"/>
        </w:rPr>
      </w:pPr>
    </w:p>
    <w:p w14:paraId="59010511" w14:textId="77777777" w:rsidR="005833EE" w:rsidRPr="00C93858" w:rsidRDefault="005833EE" w:rsidP="0085196B">
      <w:pPr>
        <w:tabs>
          <w:tab w:val="left" w:pos="709"/>
        </w:tabs>
        <w:spacing w:before="240" w:line="360" w:lineRule="auto"/>
        <w:ind w:right="51"/>
        <w:jc w:val="both"/>
        <w:rPr>
          <w:rFonts w:ascii="Palatino Linotype" w:hAnsi="Palatino Linotype"/>
          <w:sz w:val="24"/>
          <w:szCs w:val="24"/>
        </w:rPr>
      </w:pPr>
    </w:p>
    <w:p w14:paraId="3E379288" w14:textId="77777777" w:rsidR="00E87947" w:rsidRDefault="00E87947" w:rsidP="0085196B">
      <w:pPr>
        <w:tabs>
          <w:tab w:val="left" w:pos="709"/>
        </w:tabs>
        <w:spacing w:before="240" w:line="360" w:lineRule="auto"/>
        <w:ind w:right="51"/>
        <w:jc w:val="both"/>
        <w:rPr>
          <w:rFonts w:ascii="Palatino Linotype" w:hAnsi="Palatino Linotype"/>
          <w:sz w:val="24"/>
          <w:szCs w:val="24"/>
        </w:rPr>
      </w:pPr>
    </w:p>
    <w:p w14:paraId="318D481F" w14:textId="77777777" w:rsidR="00E87947" w:rsidRDefault="00E87947" w:rsidP="0085196B">
      <w:pPr>
        <w:tabs>
          <w:tab w:val="left" w:pos="709"/>
        </w:tabs>
        <w:spacing w:before="240" w:line="360" w:lineRule="auto"/>
        <w:ind w:right="51"/>
        <w:jc w:val="both"/>
        <w:rPr>
          <w:rFonts w:ascii="Palatino Linotype" w:hAnsi="Palatino Linotype"/>
          <w:sz w:val="24"/>
          <w:szCs w:val="24"/>
        </w:rPr>
      </w:pPr>
    </w:p>
    <w:p w14:paraId="1414A9CD" w14:textId="77777777" w:rsidR="00E87947" w:rsidRDefault="00E87947" w:rsidP="0085196B">
      <w:pPr>
        <w:tabs>
          <w:tab w:val="left" w:pos="709"/>
        </w:tabs>
        <w:spacing w:before="240" w:line="360" w:lineRule="auto"/>
        <w:ind w:right="51"/>
        <w:jc w:val="both"/>
        <w:rPr>
          <w:rFonts w:ascii="Palatino Linotype" w:hAnsi="Palatino Linotype"/>
          <w:sz w:val="24"/>
          <w:szCs w:val="24"/>
        </w:rPr>
      </w:pPr>
    </w:p>
    <w:sectPr w:rsidR="00E87947" w:rsidSect="00FB4AAD">
      <w:headerReference w:type="default" r:id="rId41"/>
      <w:footerReference w:type="default" r:id="rId42"/>
      <w:headerReference w:type="first" r:id="rId43"/>
      <w:footerReference w:type="first" r:id="rId4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218A2" w14:textId="77777777" w:rsidR="00B905EE" w:rsidRDefault="00B905EE" w:rsidP="006168E4">
      <w:pPr>
        <w:spacing w:after="0" w:line="240" w:lineRule="auto"/>
      </w:pPr>
      <w:r>
        <w:separator/>
      </w:r>
    </w:p>
  </w:endnote>
  <w:endnote w:type="continuationSeparator" w:id="0">
    <w:p w14:paraId="69A88320" w14:textId="77777777" w:rsidR="00B905EE" w:rsidRDefault="00B905E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671AB3" w:rsidRPr="000B69FA" w:rsidRDefault="00671AB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6082">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6082">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671AB3" w:rsidRPr="000B69FA" w:rsidRDefault="00671AB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608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6082">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D4E1E" w14:textId="77777777" w:rsidR="00B905EE" w:rsidRDefault="00B905EE" w:rsidP="006168E4">
      <w:pPr>
        <w:spacing w:after="0" w:line="240" w:lineRule="auto"/>
      </w:pPr>
      <w:r>
        <w:separator/>
      </w:r>
    </w:p>
  </w:footnote>
  <w:footnote w:type="continuationSeparator" w:id="0">
    <w:p w14:paraId="456C3D4E" w14:textId="77777777" w:rsidR="00B905EE" w:rsidRDefault="00B905EE" w:rsidP="006168E4">
      <w:pPr>
        <w:spacing w:after="0" w:line="240" w:lineRule="auto"/>
      </w:pPr>
      <w:r>
        <w:continuationSeparator/>
      </w:r>
    </w:p>
  </w:footnote>
  <w:footnote w:id="1">
    <w:p w14:paraId="5BCA5D02" w14:textId="77777777" w:rsidR="00671AB3" w:rsidRPr="00911081" w:rsidRDefault="00671AB3" w:rsidP="00E743B7">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5F07C4" w14:textId="77777777" w:rsidR="00671AB3" w:rsidRPr="00911081" w:rsidRDefault="00671AB3" w:rsidP="00E743B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671AB3" w:rsidRDefault="00671AB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671AB3" w14:paraId="46A8AAF9" w14:textId="77777777" w:rsidTr="006F6A3D">
      <w:trPr>
        <w:trHeight w:val="227"/>
      </w:trPr>
      <w:tc>
        <w:tcPr>
          <w:tcW w:w="5529" w:type="dxa"/>
          <w:hideMark/>
        </w:tcPr>
        <w:p w14:paraId="26B5EE34" w14:textId="3BF445B5" w:rsidR="00671AB3" w:rsidRDefault="00671AB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7A7DD7B5" w:rsidR="00671AB3" w:rsidRPr="00B4142F" w:rsidRDefault="00671AB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03756/INFOEM/IP/RR/2021</w:t>
          </w:r>
        </w:p>
      </w:tc>
    </w:tr>
    <w:tr w:rsidR="00671AB3" w14:paraId="0E72512B" w14:textId="77777777" w:rsidTr="006F6A3D">
      <w:trPr>
        <w:trHeight w:val="242"/>
      </w:trPr>
      <w:tc>
        <w:tcPr>
          <w:tcW w:w="5529" w:type="dxa"/>
          <w:hideMark/>
        </w:tcPr>
        <w:p w14:paraId="4FB3E0E8" w14:textId="77777777" w:rsidR="00671AB3" w:rsidRDefault="00671AB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22567B78" w:rsidR="00671AB3" w:rsidRPr="00F06FED" w:rsidRDefault="00671AB3" w:rsidP="006323CA">
          <w:pPr>
            <w:spacing w:after="120" w:line="256" w:lineRule="auto"/>
            <w:ind w:left="639" w:right="214"/>
            <w:jc w:val="both"/>
            <w:rPr>
              <w:rFonts w:ascii="Palatino Linotype" w:hAnsi="Palatino Linotype" w:cs="Arial"/>
            </w:rPr>
          </w:pPr>
          <w:r>
            <w:rPr>
              <w:rFonts w:ascii="Palatino Linotype" w:hAnsi="Palatino Linotype" w:cs="Arial"/>
              <w:szCs w:val="20"/>
            </w:rPr>
            <w:t>Gubernatura</w:t>
          </w:r>
        </w:p>
      </w:tc>
    </w:tr>
    <w:tr w:rsidR="00671AB3" w14:paraId="3365CD96" w14:textId="77777777" w:rsidTr="006F6A3D">
      <w:trPr>
        <w:trHeight w:val="342"/>
      </w:trPr>
      <w:tc>
        <w:tcPr>
          <w:tcW w:w="5529" w:type="dxa"/>
          <w:hideMark/>
        </w:tcPr>
        <w:p w14:paraId="52A09A43" w14:textId="77777777" w:rsidR="00671AB3" w:rsidRDefault="00671AB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BDADD81" w:rsidR="00671AB3" w:rsidRDefault="00671AB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671AB3" w:rsidRDefault="00671A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71AB3" w14:paraId="02D9F2E3" w14:textId="77777777" w:rsidTr="006F6A3D">
      <w:trPr>
        <w:trHeight w:val="227"/>
      </w:trPr>
      <w:tc>
        <w:tcPr>
          <w:tcW w:w="5529" w:type="dxa"/>
          <w:hideMark/>
        </w:tcPr>
        <w:p w14:paraId="3EA02FD0" w14:textId="3139CF90" w:rsidR="00671AB3" w:rsidRDefault="00671AB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285B1EB" w:rsidR="00671AB3" w:rsidRPr="00B4142F" w:rsidRDefault="00671AB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03756/INFOEM/IP/RR/2021</w:t>
          </w:r>
        </w:p>
      </w:tc>
    </w:tr>
    <w:tr w:rsidR="00671AB3" w14:paraId="5AC92493" w14:textId="77777777" w:rsidTr="006F6A3D">
      <w:trPr>
        <w:trHeight w:val="196"/>
      </w:trPr>
      <w:tc>
        <w:tcPr>
          <w:tcW w:w="5529" w:type="dxa"/>
          <w:hideMark/>
        </w:tcPr>
        <w:p w14:paraId="7E479B7E" w14:textId="77777777" w:rsidR="00671AB3" w:rsidRDefault="00671AB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4F14ADF8" w:rsidR="00671AB3" w:rsidRPr="00F06FED" w:rsidRDefault="00086082"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w:t>
          </w:r>
          <w:proofErr w:type="spellEnd"/>
          <w:r w:rsidR="00671AB3">
            <w:rPr>
              <w:rFonts w:ascii="Palatino Linotype" w:hAnsi="Palatino Linotype" w:cs="Arial"/>
            </w:rPr>
            <w:t xml:space="preserve">     </w:t>
          </w:r>
        </w:p>
      </w:tc>
    </w:tr>
    <w:tr w:rsidR="00671AB3" w14:paraId="48DDE1B1" w14:textId="77777777" w:rsidTr="006F6A3D">
      <w:trPr>
        <w:trHeight w:val="242"/>
      </w:trPr>
      <w:tc>
        <w:tcPr>
          <w:tcW w:w="5529" w:type="dxa"/>
          <w:hideMark/>
        </w:tcPr>
        <w:p w14:paraId="718D1409" w14:textId="77777777" w:rsidR="00671AB3" w:rsidRDefault="00671AB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7342BF8B" w:rsidR="00671AB3" w:rsidRDefault="00671AB3" w:rsidP="006323CA">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Gubernatura </w:t>
          </w:r>
        </w:p>
      </w:tc>
    </w:tr>
    <w:tr w:rsidR="00671AB3" w14:paraId="2E924228" w14:textId="77777777" w:rsidTr="006F6A3D">
      <w:trPr>
        <w:trHeight w:val="342"/>
      </w:trPr>
      <w:tc>
        <w:tcPr>
          <w:tcW w:w="5529" w:type="dxa"/>
          <w:hideMark/>
        </w:tcPr>
        <w:p w14:paraId="03281906" w14:textId="77777777" w:rsidR="00671AB3" w:rsidRDefault="00671AB3"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395474E1" w:rsidR="00671AB3" w:rsidRDefault="00671AB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3C00C928" w14:textId="0FC045F3" w:rsidR="00671AB3" w:rsidRDefault="00671AB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60F6F"/>
    <w:multiLevelType w:val="hybridMultilevel"/>
    <w:tmpl w:val="120CBE4E"/>
    <w:lvl w:ilvl="0" w:tplc="06D697EE">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95A7B3A"/>
    <w:multiLevelType w:val="hybridMultilevel"/>
    <w:tmpl w:val="8A1E2166"/>
    <w:lvl w:ilvl="0" w:tplc="080A0013">
      <w:start w:val="1"/>
      <w:numFmt w:val="upperRoman"/>
      <w:lvlText w:val="%1."/>
      <w:lvlJc w:val="right"/>
      <w:pPr>
        <w:ind w:left="776" w:hanging="360"/>
      </w:pPr>
    </w:lvl>
    <w:lvl w:ilvl="1" w:tplc="080A0019" w:tentative="1">
      <w:start w:val="1"/>
      <w:numFmt w:val="lowerLetter"/>
      <w:lvlText w:val="%2."/>
      <w:lvlJc w:val="left"/>
      <w:pPr>
        <w:ind w:left="1496" w:hanging="360"/>
      </w:pPr>
    </w:lvl>
    <w:lvl w:ilvl="2" w:tplc="080A001B" w:tentative="1">
      <w:start w:val="1"/>
      <w:numFmt w:val="lowerRoman"/>
      <w:lvlText w:val="%3."/>
      <w:lvlJc w:val="right"/>
      <w:pPr>
        <w:ind w:left="2216" w:hanging="180"/>
      </w:pPr>
    </w:lvl>
    <w:lvl w:ilvl="3" w:tplc="080A000F" w:tentative="1">
      <w:start w:val="1"/>
      <w:numFmt w:val="decimal"/>
      <w:lvlText w:val="%4."/>
      <w:lvlJc w:val="left"/>
      <w:pPr>
        <w:ind w:left="2936" w:hanging="360"/>
      </w:pPr>
    </w:lvl>
    <w:lvl w:ilvl="4" w:tplc="080A0019" w:tentative="1">
      <w:start w:val="1"/>
      <w:numFmt w:val="lowerLetter"/>
      <w:lvlText w:val="%5."/>
      <w:lvlJc w:val="left"/>
      <w:pPr>
        <w:ind w:left="3656" w:hanging="360"/>
      </w:pPr>
    </w:lvl>
    <w:lvl w:ilvl="5" w:tplc="080A001B" w:tentative="1">
      <w:start w:val="1"/>
      <w:numFmt w:val="lowerRoman"/>
      <w:lvlText w:val="%6."/>
      <w:lvlJc w:val="right"/>
      <w:pPr>
        <w:ind w:left="4376" w:hanging="180"/>
      </w:pPr>
    </w:lvl>
    <w:lvl w:ilvl="6" w:tplc="080A000F" w:tentative="1">
      <w:start w:val="1"/>
      <w:numFmt w:val="decimal"/>
      <w:lvlText w:val="%7."/>
      <w:lvlJc w:val="left"/>
      <w:pPr>
        <w:ind w:left="5096" w:hanging="360"/>
      </w:pPr>
    </w:lvl>
    <w:lvl w:ilvl="7" w:tplc="080A0019" w:tentative="1">
      <w:start w:val="1"/>
      <w:numFmt w:val="lowerLetter"/>
      <w:lvlText w:val="%8."/>
      <w:lvlJc w:val="left"/>
      <w:pPr>
        <w:ind w:left="5816" w:hanging="360"/>
      </w:pPr>
    </w:lvl>
    <w:lvl w:ilvl="8" w:tplc="080A001B" w:tentative="1">
      <w:start w:val="1"/>
      <w:numFmt w:val="lowerRoman"/>
      <w:lvlText w:val="%9."/>
      <w:lvlJc w:val="right"/>
      <w:pPr>
        <w:ind w:left="6536" w:hanging="180"/>
      </w:pPr>
    </w:lvl>
  </w:abstractNum>
  <w:abstractNum w:abstractNumId="2">
    <w:nsid w:val="1BD565FA"/>
    <w:multiLevelType w:val="hybridMultilevel"/>
    <w:tmpl w:val="E6389B9E"/>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130755E"/>
    <w:multiLevelType w:val="hybridMultilevel"/>
    <w:tmpl w:val="E5B84A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35E09CF"/>
    <w:multiLevelType w:val="hybridMultilevel"/>
    <w:tmpl w:val="0F72DE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A96762F"/>
    <w:multiLevelType w:val="hybridMultilevel"/>
    <w:tmpl w:val="39107B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D8B182E"/>
    <w:multiLevelType w:val="hybridMultilevel"/>
    <w:tmpl w:val="39D27B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2"/>
  </w:num>
  <w:num w:numId="6">
    <w:abstractNumId w:val="7"/>
  </w:num>
  <w:num w:numId="7">
    <w:abstractNumId w:val="6"/>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22EAF"/>
    <w:rsid w:val="00023875"/>
    <w:rsid w:val="000306A7"/>
    <w:rsid w:val="00031605"/>
    <w:rsid w:val="00032CE7"/>
    <w:rsid w:val="00040386"/>
    <w:rsid w:val="0004190A"/>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74D57"/>
    <w:rsid w:val="00086082"/>
    <w:rsid w:val="00090745"/>
    <w:rsid w:val="00091552"/>
    <w:rsid w:val="00091C3A"/>
    <w:rsid w:val="00092586"/>
    <w:rsid w:val="00094155"/>
    <w:rsid w:val="00094C05"/>
    <w:rsid w:val="000A03E0"/>
    <w:rsid w:val="000A04D9"/>
    <w:rsid w:val="000A3486"/>
    <w:rsid w:val="000A378C"/>
    <w:rsid w:val="000A79DA"/>
    <w:rsid w:val="000B3E98"/>
    <w:rsid w:val="000B426F"/>
    <w:rsid w:val="000B4B51"/>
    <w:rsid w:val="000B6D7D"/>
    <w:rsid w:val="000B7158"/>
    <w:rsid w:val="000C06C3"/>
    <w:rsid w:val="000C0F57"/>
    <w:rsid w:val="000C4119"/>
    <w:rsid w:val="000C51A0"/>
    <w:rsid w:val="000C5B8B"/>
    <w:rsid w:val="000D1B34"/>
    <w:rsid w:val="000D1B55"/>
    <w:rsid w:val="000D3C75"/>
    <w:rsid w:val="000D6422"/>
    <w:rsid w:val="000E0F23"/>
    <w:rsid w:val="000E2252"/>
    <w:rsid w:val="000E365E"/>
    <w:rsid w:val="000E686B"/>
    <w:rsid w:val="000F1FAB"/>
    <w:rsid w:val="000F4793"/>
    <w:rsid w:val="00105C41"/>
    <w:rsid w:val="00111DCD"/>
    <w:rsid w:val="00114CF9"/>
    <w:rsid w:val="00115F16"/>
    <w:rsid w:val="00121ED7"/>
    <w:rsid w:val="00123D08"/>
    <w:rsid w:val="00124855"/>
    <w:rsid w:val="001254F5"/>
    <w:rsid w:val="00134921"/>
    <w:rsid w:val="00136FAD"/>
    <w:rsid w:val="00144737"/>
    <w:rsid w:val="00146C08"/>
    <w:rsid w:val="00146F0A"/>
    <w:rsid w:val="00152C2B"/>
    <w:rsid w:val="00156EC9"/>
    <w:rsid w:val="001611CC"/>
    <w:rsid w:val="001612E6"/>
    <w:rsid w:val="00161D54"/>
    <w:rsid w:val="00162A4D"/>
    <w:rsid w:val="001649A0"/>
    <w:rsid w:val="001678DF"/>
    <w:rsid w:val="00172C77"/>
    <w:rsid w:val="00172CEE"/>
    <w:rsid w:val="00173E45"/>
    <w:rsid w:val="00175897"/>
    <w:rsid w:val="00180B9F"/>
    <w:rsid w:val="00181CC5"/>
    <w:rsid w:val="00182911"/>
    <w:rsid w:val="00186610"/>
    <w:rsid w:val="00193784"/>
    <w:rsid w:val="0019396C"/>
    <w:rsid w:val="001957D7"/>
    <w:rsid w:val="001A02EC"/>
    <w:rsid w:val="001A1D9B"/>
    <w:rsid w:val="001A1FF5"/>
    <w:rsid w:val="001A318E"/>
    <w:rsid w:val="001A577E"/>
    <w:rsid w:val="001A7C9B"/>
    <w:rsid w:val="001B05B9"/>
    <w:rsid w:val="001B7B88"/>
    <w:rsid w:val="001C01B7"/>
    <w:rsid w:val="001C1363"/>
    <w:rsid w:val="001C2D1E"/>
    <w:rsid w:val="001C3E7E"/>
    <w:rsid w:val="001C7319"/>
    <w:rsid w:val="001C7D87"/>
    <w:rsid w:val="001D3DE9"/>
    <w:rsid w:val="001D3E87"/>
    <w:rsid w:val="001D4669"/>
    <w:rsid w:val="001D7575"/>
    <w:rsid w:val="001E02E3"/>
    <w:rsid w:val="001E4380"/>
    <w:rsid w:val="001F3F3C"/>
    <w:rsid w:val="0021296D"/>
    <w:rsid w:val="00212CB5"/>
    <w:rsid w:val="0021501E"/>
    <w:rsid w:val="00215A83"/>
    <w:rsid w:val="00216ABF"/>
    <w:rsid w:val="00217852"/>
    <w:rsid w:val="002205C0"/>
    <w:rsid w:val="00221A17"/>
    <w:rsid w:val="00231D77"/>
    <w:rsid w:val="002324F1"/>
    <w:rsid w:val="0023373D"/>
    <w:rsid w:val="0023423C"/>
    <w:rsid w:val="002343E0"/>
    <w:rsid w:val="0024638F"/>
    <w:rsid w:val="00246807"/>
    <w:rsid w:val="00247D10"/>
    <w:rsid w:val="00250470"/>
    <w:rsid w:val="00252985"/>
    <w:rsid w:val="002577FE"/>
    <w:rsid w:val="00266E00"/>
    <w:rsid w:val="002674C9"/>
    <w:rsid w:val="00270A06"/>
    <w:rsid w:val="00271EED"/>
    <w:rsid w:val="00273D0E"/>
    <w:rsid w:val="0028788A"/>
    <w:rsid w:val="002942AD"/>
    <w:rsid w:val="00297140"/>
    <w:rsid w:val="00297368"/>
    <w:rsid w:val="002A0104"/>
    <w:rsid w:val="002A2034"/>
    <w:rsid w:val="002A24F4"/>
    <w:rsid w:val="002A38BF"/>
    <w:rsid w:val="002A597E"/>
    <w:rsid w:val="002B10D6"/>
    <w:rsid w:val="002B1C1D"/>
    <w:rsid w:val="002B5069"/>
    <w:rsid w:val="002B5DBD"/>
    <w:rsid w:val="002B70DD"/>
    <w:rsid w:val="002C00DC"/>
    <w:rsid w:val="002C51F7"/>
    <w:rsid w:val="002C72D2"/>
    <w:rsid w:val="002D29D7"/>
    <w:rsid w:val="002D64A8"/>
    <w:rsid w:val="002D662C"/>
    <w:rsid w:val="002E0A1A"/>
    <w:rsid w:val="002E2D7B"/>
    <w:rsid w:val="002E3488"/>
    <w:rsid w:val="002E5721"/>
    <w:rsid w:val="002E5E6A"/>
    <w:rsid w:val="002F0D76"/>
    <w:rsid w:val="002F37BE"/>
    <w:rsid w:val="002F5BA9"/>
    <w:rsid w:val="00300D0B"/>
    <w:rsid w:val="0030471E"/>
    <w:rsid w:val="00306096"/>
    <w:rsid w:val="00306848"/>
    <w:rsid w:val="00311566"/>
    <w:rsid w:val="0031645D"/>
    <w:rsid w:val="00320A67"/>
    <w:rsid w:val="0032220E"/>
    <w:rsid w:val="003266DA"/>
    <w:rsid w:val="003272FB"/>
    <w:rsid w:val="00330F3C"/>
    <w:rsid w:val="00346D98"/>
    <w:rsid w:val="003507D3"/>
    <w:rsid w:val="00352EC8"/>
    <w:rsid w:val="00356E3E"/>
    <w:rsid w:val="00357457"/>
    <w:rsid w:val="00361B9C"/>
    <w:rsid w:val="0036339F"/>
    <w:rsid w:val="00364209"/>
    <w:rsid w:val="00365DA0"/>
    <w:rsid w:val="003733F5"/>
    <w:rsid w:val="00374703"/>
    <w:rsid w:val="00375BBA"/>
    <w:rsid w:val="00376CEC"/>
    <w:rsid w:val="00380010"/>
    <w:rsid w:val="00380758"/>
    <w:rsid w:val="003812E0"/>
    <w:rsid w:val="00383E35"/>
    <w:rsid w:val="0038421B"/>
    <w:rsid w:val="003869DF"/>
    <w:rsid w:val="00394A1E"/>
    <w:rsid w:val="00397C0C"/>
    <w:rsid w:val="003A61F9"/>
    <w:rsid w:val="003B1E88"/>
    <w:rsid w:val="003B4030"/>
    <w:rsid w:val="003B5FD0"/>
    <w:rsid w:val="003C0EFA"/>
    <w:rsid w:val="003C4F65"/>
    <w:rsid w:val="003C5DEB"/>
    <w:rsid w:val="003C6183"/>
    <w:rsid w:val="003D78A3"/>
    <w:rsid w:val="003E05A5"/>
    <w:rsid w:val="003E128A"/>
    <w:rsid w:val="003E16E1"/>
    <w:rsid w:val="003F3A54"/>
    <w:rsid w:val="003F479A"/>
    <w:rsid w:val="004012CF"/>
    <w:rsid w:val="00402FF3"/>
    <w:rsid w:val="004069EB"/>
    <w:rsid w:val="004071A7"/>
    <w:rsid w:val="00412901"/>
    <w:rsid w:val="00417E4F"/>
    <w:rsid w:val="00423213"/>
    <w:rsid w:val="00423ECD"/>
    <w:rsid w:val="0042416D"/>
    <w:rsid w:val="00426B98"/>
    <w:rsid w:val="0042798A"/>
    <w:rsid w:val="00433D7C"/>
    <w:rsid w:val="00442C1A"/>
    <w:rsid w:val="00443596"/>
    <w:rsid w:val="004469CB"/>
    <w:rsid w:val="004516EB"/>
    <w:rsid w:val="004529B6"/>
    <w:rsid w:val="00453DBD"/>
    <w:rsid w:val="00454B94"/>
    <w:rsid w:val="00454CE5"/>
    <w:rsid w:val="00454CE6"/>
    <w:rsid w:val="00455C30"/>
    <w:rsid w:val="004570CC"/>
    <w:rsid w:val="00462881"/>
    <w:rsid w:val="004639CF"/>
    <w:rsid w:val="00470241"/>
    <w:rsid w:val="00472678"/>
    <w:rsid w:val="00473342"/>
    <w:rsid w:val="00475F48"/>
    <w:rsid w:val="00477CC2"/>
    <w:rsid w:val="0048180A"/>
    <w:rsid w:val="00481C7A"/>
    <w:rsid w:val="004855D1"/>
    <w:rsid w:val="004857CF"/>
    <w:rsid w:val="0049054A"/>
    <w:rsid w:val="004906C8"/>
    <w:rsid w:val="004967E2"/>
    <w:rsid w:val="004A290F"/>
    <w:rsid w:val="004A5FFD"/>
    <w:rsid w:val="004A761F"/>
    <w:rsid w:val="004A7CE2"/>
    <w:rsid w:val="004B15D1"/>
    <w:rsid w:val="004B38AC"/>
    <w:rsid w:val="004C5EDC"/>
    <w:rsid w:val="004D08EB"/>
    <w:rsid w:val="004D0C64"/>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93C"/>
    <w:rsid w:val="005211D9"/>
    <w:rsid w:val="00521E57"/>
    <w:rsid w:val="00522FD2"/>
    <w:rsid w:val="005305EA"/>
    <w:rsid w:val="00530F74"/>
    <w:rsid w:val="00531170"/>
    <w:rsid w:val="00535624"/>
    <w:rsid w:val="00535F50"/>
    <w:rsid w:val="005371E7"/>
    <w:rsid w:val="00540538"/>
    <w:rsid w:val="00540ACB"/>
    <w:rsid w:val="00545E93"/>
    <w:rsid w:val="00547D93"/>
    <w:rsid w:val="005520FE"/>
    <w:rsid w:val="00556513"/>
    <w:rsid w:val="005575CB"/>
    <w:rsid w:val="0056015B"/>
    <w:rsid w:val="00562653"/>
    <w:rsid w:val="0056647F"/>
    <w:rsid w:val="00567998"/>
    <w:rsid w:val="00572979"/>
    <w:rsid w:val="005733EB"/>
    <w:rsid w:val="00575651"/>
    <w:rsid w:val="005759BB"/>
    <w:rsid w:val="005803A1"/>
    <w:rsid w:val="00580802"/>
    <w:rsid w:val="00581A22"/>
    <w:rsid w:val="00582A33"/>
    <w:rsid w:val="005833EE"/>
    <w:rsid w:val="0058671A"/>
    <w:rsid w:val="00593829"/>
    <w:rsid w:val="00593E91"/>
    <w:rsid w:val="005A0B49"/>
    <w:rsid w:val="005A6D57"/>
    <w:rsid w:val="005B36D5"/>
    <w:rsid w:val="005B5B70"/>
    <w:rsid w:val="005B5F05"/>
    <w:rsid w:val="005B60F0"/>
    <w:rsid w:val="005C04BB"/>
    <w:rsid w:val="005C123F"/>
    <w:rsid w:val="005C6605"/>
    <w:rsid w:val="005C6982"/>
    <w:rsid w:val="005D15A3"/>
    <w:rsid w:val="005D1602"/>
    <w:rsid w:val="005D2B59"/>
    <w:rsid w:val="005D362F"/>
    <w:rsid w:val="005D370F"/>
    <w:rsid w:val="005E48E4"/>
    <w:rsid w:val="005E4D7C"/>
    <w:rsid w:val="005F048E"/>
    <w:rsid w:val="005F4734"/>
    <w:rsid w:val="005F57F0"/>
    <w:rsid w:val="0061042F"/>
    <w:rsid w:val="00610C37"/>
    <w:rsid w:val="006114BA"/>
    <w:rsid w:val="00614DE1"/>
    <w:rsid w:val="006168E4"/>
    <w:rsid w:val="00626A70"/>
    <w:rsid w:val="006310D6"/>
    <w:rsid w:val="006323CA"/>
    <w:rsid w:val="00633DE8"/>
    <w:rsid w:val="00636182"/>
    <w:rsid w:val="00636327"/>
    <w:rsid w:val="006369B4"/>
    <w:rsid w:val="00637512"/>
    <w:rsid w:val="00640EE4"/>
    <w:rsid w:val="006466F5"/>
    <w:rsid w:val="0064761A"/>
    <w:rsid w:val="00650C5E"/>
    <w:rsid w:val="00650FB4"/>
    <w:rsid w:val="00652A6B"/>
    <w:rsid w:val="00657DAD"/>
    <w:rsid w:val="00660C59"/>
    <w:rsid w:val="00661753"/>
    <w:rsid w:val="00663887"/>
    <w:rsid w:val="00667DD9"/>
    <w:rsid w:val="00671AB3"/>
    <w:rsid w:val="00677379"/>
    <w:rsid w:val="006848B7"/>
    <w:rsid w:val="00686FD5"/>
    <w:rsid w:val="00697278"/>
    <w:rsid w:val="006A04CA"/>
    <w:rsid w:val="006A2BEC"/>
    <w:rsid w:val="006B1953"/>
    <w:rsid w:val="006B1BF1"/>
    <w:rsid w:val="006B26E3"/>
    <w:rsid w:val="006B34A6"/>
    <w:rsid w:val="006B4B63"/>
    <w:rsid w:val="006B5338"/>
    <w:rsid w:val="006B5DDC"/>
    <w:rsid w:val="006B68FC"/>
    <w:rsid w:val="006B7444"/>
    <w:rsid w:val="006C698B"/>
    <w:rsid w:val="006D23FC"/>
    <w:rsid w:val="006E5968"/>
    <w:rsid w:val="006F3C14"/>
    <w:rsid w:val="006F6A3D"/>
    <w:rsid w:val="00701033"/>
    <w:rsid w:val="00701B61"/>
    <w:rsid w:val="007144CD"/>
    <w:rsid w:val="007164CD"/>
    <w:rsid w:val="007172F5"/>
    <w:rsid w:val="00717E41"/>
    <w:rsid w:val="0072689F"/>
    <w:rsid w:val="00736D41"/>
    <w:rsid w:val="00741327"/>
    <w:rsid w:val="00742EAF"/>
    <w:rsid w:val="00744EEF"/>
    <w:rsid w:val="007456B7"/>
    <w:rsid w:val="00747AF3"/>
    <w:rsid w:val="0075434D"/>
    <w:rsid w:val="00754CAE"/>
    <w:rsid w:val="007568AD"/>
    <w:rsid w:val="007610DF"/>
    <w:rsid w:val="00763C1A"/>
    <w:rsid w:val="007642FB"/>
    <w:rsid w:val="00770CD1"/>
    <w:rsid w:val="00770FCE"/>
    <w:rsid w:val="00771AC2"/>
    <w:rsid w:val="00772E31"/>
    <w:rsid w:val="007748C4"/>
    <w:rsid w:val="00774A9C"/>
    <w:rsid w:val="00780B57"/>
    <w:rsid w:val="00781530"/>
    <w:rsid w:val="007830E9"/>
    <w:rsid w:val="00783A07"/>
    <w:rsid w:val="007851D5"/>
    <w:rsid w:val="0079486A"/>
    <w:rsid w:val="00794F80"/>
    <w:rsid w:val="0079735D"/>
    <w:rsid w:val="007A1C9E"/>
    <w:rsid w:val="007A3206"/>
    <w:rsid w:val="007A4692"/>
    <w:rsid w:val="007B2303"/>
    <w:rsid w:val="007B2C77"/>
    <w:rsid w:val="007B403C"/>
    <w:rsid w:val="007B5BA4"/>
    <w:rsid w:val="007B68F7"/>
    <w:rsid w:val="007C030F"/>
    <w:rsid w:val="007C0E89"/>
    <w:rsid w:val="007C282C"/>
    <w:rsid w:val="007C3526"/>
    <w:rsid w:val="007C4168"/>
    <w:rsid w:val="007C45D8"/>
    <w:rsid w:val="007D1A27"/>
    <w:rsid w:val="007D1B24"/>
    <w:rsid w:val="007D1F15"/>
    <w:rsid w:val="007D25B1"/>
    <w:rsid w:val="007D2878"/>
    <w:rsid w:val="007D3203"/>
    <w:rsid w:val="007D4303"/>
    <w:rsid w:val="007D7CB3"/>
    <w:rsid w:val="007E6161"/>
    <w:rsid w:val="007E7BAB"/>
    <w:rsid w:val="007E7DCE"/>
    <w:rsid w:val="007F20AC"/>
    <w:rsid w:val="007F53A0"/>
    <w:rsid w:val="007F7A92"/>
    <w:rsid w:val="008024BA"/>
    <w:rsid w:val="00802C56"/>
    <w:rsid w:val="00811205"/>
    <w:rsid w:val="00812C48"/>
    <w:rsid w:val="008146F9"/>
    <w:rsid w:val="00822215"/>
    <w:rsid w:val="00824DCD"/>
    <w:rsid w:val="00833011"/>
    <w:rsid w:val="0083303C"/>
    <w:rsid w:val="008431BC"/>
    <w:rsid w:val="00843314"/>
    <w:rsid w:val="00844569"/>
    <w:rsid w:val="00847D23"/>
    <w:rsid w:val="0085196B"/>
    <w:rsid w:val="00853BED"/>
    <w:rsid w:val="00863327"/>
    <w:rsid w:val="00870F44"/>
    <w:rsid w:val="00871DC1"/>
    <w:rsid w:val="008724F6"/>
    <w:rsid w:val="00884054"/>
    <w:rsid w:val="008936E7"/>
    <w:rsid w:val="00895089"/>
    <w:rsid w:val="008951ED"/>
    <w:rsid w:val="008A1C16"/>
    <w:rsid w:val="008A68CA"/>
    <w:rsid w:val="008A75BE"/>
    <w:rsid w:val="008B0679"/>
    <w:rsid w:val="008B2706"/>
    <w:rsid w:val="008B42B1"/>
    <w:rsid w:val="008B5224"/>
    <w:rsid w:val="008B7382"/>
    <w:rsid w:val="008C0375"/>
    <w:rsid w:val="008C32A8"/>
    <w:rsid w:val="008C55A3"/>
    <w:rsid w:val="008C5A03"/>
    <w:rsid w:val="008C5E94"/>
    <w:rsid w:val="008D4154"/>
    <w:rsid w:val="008D4EB7"/>
    <w:rsid w:val="008D6D04"/>
    <w:rsid w:val="008E3791"/>
    <w:rsid w:val="008E6375"/>
    <w:rsid w:val="008F0117"/>
    <w:rsid w:val="008F4C65"/>
    <w:rsid w:val="008F61C7"/>
    <w:rsid w:val="00905422"/>
    <w:rsid w:val="00913133"/>
    <w:rsid w:val="00920128"/>
    <w:rsid w:val="00921DB9"/>
    <w:rsid w:val="0092403D"/>
    <w:rsid w:val="009268BB"/>
    <w:rsid w:val="00926D4D"/>
    <w:rsid w:val="00935D2F"/>
    <w:rsid w:val="00940116"/>
    <w:rsid w:val="009402DB"/>
    <w:rsid w:val="009449B8"/>
    <w:rsid w:val="00944DC9"/>
    <w:rsid w:val="00945479"/>
    <w:rsid w:val="00946380"/>
    <w:rsid w:val="009464B0"/>
    <w:rsid w:val="009517DA"/>
    <w:rsid w:val="009611E0"/>
    <w:rsid w:val="00961369"/>
    <w:rsid w:val="00965B02"/>
    <w:rsid w:val="00965FEE"/>
    <w:rsid w:val="0096643B"/>
    <w:rsid w:val="009706B5"/>
    <w:rsid w:val="00972BDF"/>
    <w:rsid w:val="0098182D"/>
    <w:rsid w:val="009855C7"/>
    <w:rsid w:val="00987879"/>
    <w:rsid w:val="00990C92"/>
    <w:rsid w:val="00991F20"/>
    <w:rsid w:val="00995FAD"/>
    <w:rsid w:val="00997E87"/>
    <w:rsid w:val="009A0AF8"/>
    <w:rsid w:val="009A1139"/>
    <w:rsid w:val="009A2421"/>
    <w:rsid w:val="009A49FE"/>
    <w:rsid w:val="009A686F"/>
    <w:rsid w:val="009A77EC"/>
    <w:rsid w:val="009B3058"/>
    <w:rsid w:val="009B33A8"/>
    <w:rsid w:val="009B3487"/>
    <w:rsid w:val="009B7C61"/>
    <w:rsid w:val="009C2422"/>
    <w:rsid w:val="009C2AE5"/>
    <w:rsid w:val="009C3793"/>
    <w:rsid w:val="009C4AAE"/>
    <w:rsid w:val="009C5DB9"/>
    <w:rsid w:val="009C7074"/>
    <w:rsid w:val="009D25FE"/>
    <w:rsid w:val="009D605B"/>
    <w:rsid w:val="009E0867"/>
    <w:rsid w:val="009E1411"/>
    <w:rsid w:val="009E45A0"/>
    <w:rsid w:val="009E52F2"/>
    <w:rsid w:val="009F0515"/>
    <w:rsid w:val="009F09FA"/>
    <w:rsid w:val="009F1A4C"/>
    <w:rsid w:val="009F3C1F"/>
    <w:rsid w:val="009F614E"/>
    <w:rsid w:val="009F6571"/>
    <w:rsid w:val="009F762B"/>
    <w:rsid w:val="00A02047"/>
    <w:rsid w:val="00A036BE"/>
    <w:rsid w:val="00A12205"/>
    <w:rsid w:val="00A155B9"/>
    <w:rsid w:val="00A214B4"/>
    <w:rsid w:val="00A32D63"/>
    <w:rsid w:val="00A345F6"/>
    <w:rsid w:val="00A34DDD"/>
    <w:rsid w:val="00A35E05"/>
    <w:rsid w:val="00A4436A"/>
    <w:rsid w:val="00A453DC"/>
    <w:rsid w:val="00A45721"/>
    <w:rsid w:val="00A47E87"/>
    <w:rsid w:val="00A516E8"/>
    <w:rsid w:val="00A520C9"/>
    <w:rsid w:val="00A525D9"/>
    <w:rsid w:val="00A55CFC"/>
    <w:rsid w:val="00A565E7"/>
    <w:rsid w:val="00A625E2"/>
    <w:rsid w:val="00A63D31"/>
    <w:rsid w:val="00A67B13"/>
    <w:rsid w:val="00A71080"/>
    <w:rsid w:val="00A72465"/>
    <w:rsid w:val="00A72DCB"/>
    <w:rsid w:val="00A75001"/>
    <w:rsid w:val="00A80C92"/>
    <w:rsid w:val="00A82461"/>
    <w:rsid w:val="00A83323"/>
    <w:rsid w:val="00A84760"/>
    <w:rsid w:val="00A85006"/>
    <w:rsid w:val="00A851D8"/>
    <w:rsid w:val="00A90295"/>
    <w:rsid w:val="00A9227B"/>
    <w:rsid w:val="00A93540"/>
    <w:rsid w:val="00A953BA"/>
    <w:rsid w:val="00AA1A2C"/>
    <w:rsid w:val="00AA207C"/>
    <w:rsid w:val="00AA5D62"/>
    <w:rsid w:val="00AB3710"/>
    <w:rsid w:val="00AB4B0F"/>
    <w:rsid w:val="00AB6C3B"/>
    <w:rsid w:val="00AC1971"/>
    <w:rsid w:val="00AD15A7"/>
    <w:rsid w:val="00AD17B5"/>
    <w:rsid w:val="00AD6BEE"/>
    <w:rsid w:val="00AD71A2"/>
    <w:rsid w:val="00AE008F"/>
    <w:rsid w:val="00AE1EF2"/>
    <w:rsid w:val="00AF1248"/>
    <w:rsid w:val="00AF55AC"/>
    <w:rsid w:val="00B07D6D"/>
    <w:rsid w:val="00B1003A"/>
    <w:rsid w:val="00B11E08"/>
    <w:rsid w:val="00B12E48"/>
    <w:rsid w:val="00B13940"/>
    <w:rsid w:val="00B13C33"/>
    <w:rsid w:val="00B209AD"/>
    <w:rsid w:val="00B26C37"/>
    <w:rsid w:val="00B32CD3"/>
    <w:rsid w:val="00B35A93"/>
    <w:rsid w:val="00B3635B"/>
    <w:rsid w:val="00B3672D"/>
    <w:rsid w:val="00B36895"/>
    <w:rsid w:val="00B36D2B"/>
    <w:rsid w:val="00B37B44"/>
    <w:rsid w:val="00B47192"/>
    <w:rsid w:val="00B4745C"/>
    <w:rsid w:val="00B477AC"/>
    <w:rsid w:val="00B604C8"/>
    <w:rsid w:val="00B61D75"/>
    <w:rsid w:val="00B62417"/>
    <w:rsid w:val="00B62BB1"/>
    <w:rsid w:val="00B62F0D"/>
    <w:rsid w:val="00B63FE9"/>
    <w:rsid w:val="00B7258D"/>
    <w:rsid w:val="00B72B0F"/>
    <w:rsid w:val="00B741B2"/>
    <w:rsid w:val="00B75A86"/>
    <w:rsid w:val="00B80028"/>
    <w:rsid w:val="00B833EA"/>
    <w:rsid w:val="00B85271"/>
    <w:rsid w:val="00B85C41"/>
    <w:rsid w:val="00B905EE"/>
    <w:rsid w:val="00B9223B"/>
    <w:rsid w:val="00B97604"/>
    <w:rsid w:val="00BA11EC"/>
    <w:rsid w:val="00BA4D1F"/>
    <w:rsid w:val="00BA7AD1"/>
    <w:rsid w:val="00BB04EC"/>
    <w:rsid w:val="00BB2250"/>
    <w:rsid w:val="00BB4A68"/>
    <w:rsid w:val="00BC0FDD"/>
    <w:rsid w:val="00BC14E6"/>
    <w:rsid w:val="00BC22E0"/>
    <w:rsid w:val="00BD30FE"/>
    <w:rsid w:val="00BD65B1"/>
    <w:rsid w:val="00BE21EF"/>
    <w:rsid w:val="00BE28ED"/>
    <w:rsid w:val="00BE3E18"/>
    <w:rsid w:val="00BE688D"/>
    <w:rsid w:val="00BE7C9B"/>
    <w:rsid w:val="00BF01A7"/>
    <w:rsid w:val="00BF1ECA"/>
    <w:rsid w:val="00C0147E"/>
    <w:rsid w:val="00C03F20"/>
    <w:rsid w:val="00C04FE4"/>
    <w:rsid w:val="00C20935"/>
    <w:rsid w:val="00C21756"/>
    <w:rsid w:val="00C25084"/>
    <w:rsid w:val="00C30A4F"/>
    <w:rsid w:val="00C41665"/>
    <w:rsid w:val="00C429E1"/>
    <w:rsid w:val="00C5269D"/>
    <w:rsid w:val="00C5355F"/>
    <w:rsid w:val="00C70B66"/>
    <w:rsid w:val="00C71CD1"/>
    <w:rsid w:val="00C73143"/>
    <w:rsid w:val="00C77685"/>
    <w:rsid w:val="00C77815"/>
    <w:rsid w:val="00C80100"/>
    <w:rsid w:val="00C8239D"/>
    <w:rsid w:val="00C85378"/>
    <w:rsid w:val="00C9297C"/>
    <w:rsid w:val="00C93858"/>
    <w:rsid w:val="00CA2743"/>
    <w:rsid w:val="00CA621B"/>
    <w:rsid w:val="00CA6FDA"/>
    <w:rsid w:val="00CB0AFB"/>
    <w:rsid w:val="00CB266D"/>
    <w:rsid w:val="00CB3B6F"/>
    <w:rsid w:val="00CC0C5F"/>
    <w:rsid w:val="00CC14B6"/>
    <w:rsid w:val="00CC2F3D"/>
    <w:rsid w:val="00CC5144"/>
    <w:rsid w:val="00CC5FF3"/>
    <w:rsid w:val="00CD422C"/>
    <w:rsid w:val="00CE2ADF"/>
    <w:rsid w:val="00CE3713"/>
    <w:rsid w:val="00CF0807"/>
    <w:rsid w:val="00CF1976"/>
    <w:rsid w:val="00CF1D7D"/>
    <w:rsid w:val="00CF45D3"/>
    <w:rsid w:val="00CF6B6C"/>
    <w:rsid w:val="00D01197"/>
    <w:rsid w:val="00D042BB"/>
    <w:rsid w:val="00D058B0"/>
    <w:rsid w:val="00D05C8E"/>
    <w:rsid w:val="00D06CA0"/>
    <w:rsid w:val="00D11F7D"/>
    <w:rsid w:val="00D11FC3"/>
    <w:rsid w:val="00D13098"/>
    <w:rsid w:val="00D17789"/>
    <w:rsid w:val="00D1789C"/>
    <w:rsid w:val="00D17B5C"/>
    <w:rsid w:val="00D21565"/>
    <w:rsid w:val="00D226BE"/>
    <w:rsid w:val="00D25860"/>
    <w:rsid w:val="00D2737E"/>
    <w:rsid w:val="00D274A9"/>
    <w:rsid w:val="00D32347"/>
    <w:rsid w:val="00D32644"/>
    <w:rsid w:val="00D33229"/>
    <w:rsid w:val="00D33619"/>
    <w:rsid w:val="00D52AC7"/>
    <w:rsid w:val="00D53772"/>
    <w:rsid w:val="00D54CA9"/>
    <w:rsid w:val="00D556EC"/>
    <w:rsid w:val="00D56D67"/>
    <w:rsid w:val="00D57FF9"/>
    <w:rsid w:val="00D6340F"/>
    <w:rsid w:val="00D72D16"/>
    <w:rsid w:val="00D74213"/>
    <w:rsid w:val="00D8049E"/>
    <w:rsid w:val="00D804D4"/>
    <w:rsid w:val="00D81914"/>
    <w:rsid w:val="00D8195B"/>
    <w:rsid w:val="00D84521"/>
    <w:rsid w:val="00D8561C"/>
    <w:rsid w:val="00D8619F"/>
    <w:rsid w:val="00D86764"/>
    <w:rsid w:val="00D924C9"/>
    <w:rsid w:val="00D957E3"/>
    <w:rsid w:val="00D970E2"/>
    <w:rsid w:val="00DA5ABC"/>
    <w:rsid w:val="00DB5528"/>
    <w:rsid w:val="00DB5C0A"/>
    <w:rsid w:val="00DB5E40"/>
    <w:rsid w:val="00DB61E6"/>
    <w:rsid w:val="00DC0C93"/>
    <w:rsid w:val="00DC0E09"/>
    <w:rsid w:val="00DC168A"/>
    <w:rsid w:val="00DD13E2"/>
    <w:rsid w:val="00DD4CDA"/>
    <w:rsid w:val="00DE153B"/>
    <w:rsid w:val="00DE3B70"/>
    <w:rsid w:val="00DF003C"/>
    <w:rsid w:val="00DF4501"/>
    <w:rsid w:val="00DF723C"/>
    <w:rsid w:val="00DF783E"/>
    <w:rsid w:val="00DF78AE"/>
    <w:rsid w:val="00E01437"/>
    <w:rsid w:val="00E029A8"/>
    <w:rsid w:val="00E117EC"/>
    <w:rsid w:val="00E11E2E"/>
    <w:rsid w:val="00E1396C"/>
    <w:rsid w:val="00E24CF4"/>
    <w:rsid w:val="00E27279"/>
    <w:rsid w:val="00E31699"/>
    <w:rsid w:val="00E32707"/>
    <w:rsid w:val="00E34C64"/>
    <w:rsid w:val="00E36431"/>
    <w:rsid w:val="00E371EC"/>
    <w:rsid w:val="00E458BB"/>
    <w:rsid w:val="00E6063A"/>
    <w:rsid w:val="00E62A59"/>
    <w:rsid w:val="00E64A3C"/>
    <w:rsid w:val="00E72AE3"/>
    <w:rsid w:val="00E73B0B"/>
    <w:rsid w:val="00E73B51"/>
    <w:rsid w:val="00E743B7"/>
    <w:rsid w:val="00E76D3D"/>
    <w:rsid w:val="00E81B17"/>
    <w:rsid w:val="00E83125"/>
    <w:rsid w:val="00E83F26"/>
    <w:rsid w:val="00E86A13"/>
    <w:rsid w:val="00E86CA7"/>
    <w:rsid w:val="00E87947"/>
    <w:rsid w:val="00E94460"/>
    <w:rsid w:val="00EA1F89"/>
    <w:rsid w:val="00EA5BCC"/>
    <w:rsid w:val="00EB01A4"/>
    <w:rsid w:val="00EB117B"/>
    <w:rsid w:val="00EB15E0"/>
    <w:rsid w:val="00EB39C0"/>
    <w:rsid w:val="00EB40D6"/>
    <w:rsid w:val="00EB5F75"/>
    <w:rsid w:val="00EB79CD"/>
    <w:rsid w:val="00EB7F18"/>
    <w:rsid w:val="00EC305D"/>
    <w:rsid w:val="00EC334E"/>
    <w:rsid w:val="00EC3BF2"/>
    <w:rsid w:val="00EC3C36"/>
    <w:rsid w:val="00EC5FE4"/>
    <w:rsid w:val="00ED1D32"/>
    <w:rsid w:val="00ED6131"/>
    <w:rsid w:val="00ED6C69"/>
    <w:rsid w:val="00EE0578"/>
    <w:rsid w:val="00EE0F2E"/>
    <w:rsid w:val="00EE1454"/>
    <w:rsid w:val="00EE2A41"/>
    <w:rsid w:val="00EE2C8C"/>
    <w:rsid w:val="00EE3054"/>
    <w:rsid w:val="00EE575D"/>
    <w:rsid w:val="00EE5F8D"/>
    <w:rsid w:val="00EF09FB"/>
    <w:rsid w:val="00EF5956"/>
    <w:rsid w:val="00F008A1"/>
    <w:rsid w:val="00F02923"/>
    <w:rsid w:val="00F02B2C"/>
    <w:rsid w:val="00F0351B"/>
    <w:rsid w:val="00F04E34"/>
    <w:rsid w:val="00F06472"/>
    <w:rsid w:val="00F06F04"/>
    <w:rsid w:val="00F0721E"/>
    <w:rsid w:val="00F0754E"/>
    <w:rsid w:val="00F1025E"/>
    <w:rsid w:val="00F110DB"/>
    <w:rsid w:val="00F13693"/>
    <w:rsid w:val="00F16026"/>
    <w:rsid w:val="00F22566"/>
    <w:rsid w:val="00F22963"/>
    <w:rsid w:val="00F25D50"/>
    <w:rsid w:val="00F2654F"/>
    <w:rsid w:val="00F27FE8"/>
    <w:rsid w:val="00F37993"/>
    <w:rsid w:val="00F403EA"/>
    <w:rsid w:val="00F42753"/>
    <w:rsid w:val="00F47DEC"/>
    <w:rsid w:val="00F510DB"/>
    <w:rsid w:val="00F54525"/>
    <w:rsid w:val="00F56B30"/>
    <w:rsid w:val="00F57163"/>
    <w:rsid w:val="00F64643"/>
    <w:rsid w:val="00F727B0"/>
    <w:rsid w:val="00F72B5D"/>
    <w:rsid w:val="00F750BE"/>
    <w:rsid w:val="00F84FFF"/>
    <w:rsid w:val="00F90E93"/>
    <w:rsid w:val="00F91F36"/>
    <w:rsid w:val="00F94207"/>
    <w:rsid w:val="00F94BD5"/>
    <w:rsid w:val="00F97F52"/>
    <w:rsid w:val="00FA2545"/>
    <w:rsid w:val="00FA5036"/>
    <w:rsid w:val="00FB2CFE"/>
    <w:rsid w:val="00FB4AAD"/>
    <w:rsid w:val="00FB4E3D"/>
    <w:rsid w:val="00FB5348"/>
    <w:rsid w:val="00FB5F2A"/>
    <w:rsid w:val="00FC02ED"/>
    <w:rsid w:val="00FC4E89"/>
    <w:rsid w:val="00FC4F9B"/>
    <w:rsid w:val="00FC59F0"/>
    <w:rsid w:val="00FD2899"/>
    <w:rsid w:val="00FD4599"/>
    <w:rsid w:val="00FD4784"/>
    <w:rsid w:val="00FD65FE"/>
    <w:rsid w:val="00FD68C0"/>
    <w:rsid w:val="00FD6B1B"/>
    <w:rsid w:val="00FE3D5E"/>
    <w:rsid w:val="00FE4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
    <w:name w:val="Unresolved Mention"/>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legislacion.edomex.gob.mx/sites/legislacion.edomex.gob.mx/files/files/pdf/gct/2014/ago188.PDF" TargetMode="External"/><Relationship Id="rId26" Type="http://schemas.openxmlformats.org/officeDocument/2006/relationships/oleObject" Target="embeddings/oleObject6.bin"/><Relationship Id="rId39" Type="http://schemas.openxmlformats.org/officeDocument/2006/relationships/hyperlink" Target="https://legislacion.edomex.gob.mx/sites/legislacion.edomex.gob.mx/files/files/pdf/gct/2021/julio/jul282/jul282b.pdf" TargetMode="External"/><Relationship Id="rId21" Type="http://schemas.openxmlformats.org/officeDocument/2006/relationships/hyperlink" Target="http://legislacion.edomex.gob.mx/sites/legislacion.edomex.gob.mx/files/files/pdf/gct/2015/jun155.pdf" TargetMode="External"/><Relationship Id="rId34" Type="http://schemas.openxmlformats.org/officeDocument/2006/relationships/hyperlink" Target="https://legislacion.edomex.gob.mx/sites/legislacion.edomex.gob.mx/files/files/pdf/gct/2015/jun186.pdf"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legislacion.edomex.gob.mx/sites/legislacion.edomex.gob.mx/files/files/pdf/gct/2014/ago188.PDF" TargetMode="External"/><Relationship Id="rId32" Type="http://schemas.openxmlformats.org/officeDocument/2006/relationships/oleObject" Target="embeddings/oleObject8.bin"/><Relationship Id="rId37" Type="http://schemas.openxmlformats.org/officeDocument/2006/relationships/hyperlink" Target="https://www.infoem.org.mx/doc/normatividad/A_Acuerdo_mediante_el_cual_el_Pleno_del_INFOEM_modifica_el_Padron_de_Sujetos_Obligados_en_materia_de_Transparencia_y.pdf" TargetMode="Externa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egislacion.edomex.gob.mx/sites/legislacion.edomex.gob.mx/files/files/pdf/gct/2015/jun156.pdf" TargetMode="External"/><Relationship Id="rId23" Type="http://schemas.openxmlformats.org/officeDocument/2006/relationships/oleObject" Target="embeddings/oleObject5.bin"/><Relationship Id="rId28" Type="http://schemas.openxmlformats.org/officeDocument/2006/relationships/image" Target="media/image8.png"/><Relationship Id="rId36"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6.png"/><Relationship Id="rId27" Type="http://schemas.openxmlformats.org/officeDocument/2006/relationships/hyperlink" Target="http://legislacion.edomex.gob.mx/sites/legislacion.edomex.gob.mx/files/files/pdf/gct/2015/jun153.pdf" TargetMode="External"/><Relationship Id="rId30" Type="http://schemas.openxmlformats.org/officeDocument/2006/relationships/hyperlink" Target="https://legislacion.edomex.gob.mx/sites/legislacion.edomex.gob.mx/files/files/pdf/gct/2015/jul063.pdf" TargetMode="External"/><Relationship Id="rId35" Type="http://schemas.openxmlformats.org/officeDocument/2006/relationships/image" Target="media/image10.png"/><Relationship Id="rId43" Type="http://schemas.openxmlformats.org/officeDocument/2006/relationships/header" Target="header2.xml"/><Relationship Id="rId8" Type="http://schemas.openxmlformats.org/officeDocument/2006/relationships/hyperlink" Target="https://legislacion.edomex.gob.mx/sites/legislacion.edomex.gob.mx/files/files/pdf/gct/2021/agosto/ago031/ago031a.pdf" TargetMode="External"/><Relationship Id="rId3" Type="http://schemas.openxmlformats.org/officeDocument/2006/relationships/styles" Target="styles.xml"/><Relationship Id="rId12" Type="http://schemas.openxmlformats.org/officeDocument/2006/relationships/hyperlink" Target="https://legislacion.edomex.gob.mx/sites/legislacion.edomex.gob.mx/files/files/vigentes/mar154.PDF" TargetMode="External"/><Relationship Id="rId17" Type="http://schemas.openxmlformats.org/officeDocument/2006/relationships/oleObject" Target="embeddings/oleObject3.bin"/><Relationship Id="rId25" Type="http://schemas.openxmlformats.org/officeDocument/2006/relationships/image" Target="media/image7.png"/><Relationship Id="rId33" Type="http://schemas.openxmlformats.org/officeDocument/2006/relationships/hyperlink" Target="http://legislacion.edomex.gob.mx/sites/legislacion.edomex.gob.mx/files/files/pdf/gct/2018/ago319.pdf" TargetMode="Externa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B0FAA-6F76-4A8C-B274-B6E9478C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1278</TotalTime>
  <Pages>42</Pages>
  <Words>7614</Words>
  <Characters>41878</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64</cp:revision>
  <cp:lastPrinted>2020-01-30T23:10:00Z</cp:lastPrinted>
  <dcterms:created xsi:type="dcterms:W3CDTF">2021-10-18T16:21:00Z</dcterms:created>
  <dcterms:modified xsi:type="dcterms:W3CDTF">2021-11-05T01:11:00Z</dcterms:modified>
</cp:coreProperties>
</file>