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Resolución del Pleno del Instituto de Transparencia, Acceso a la Información Pública y Protección de Datos Personales del Estado de México y Municipios, con domicilio en Metepec, Estado de México, del veintidós</w:t>
      </w:r>
      <w:r w:rsidDel="00000000" w:rsidR="00000000" w:rsidRPr="00000000">
        <w:rPr>
          <w:rFonts w:ascii="Palatino Linotype" w:cs="Palatino Linotype" w:eastAsia="Palatino Linotype" w:hAnsi="Palatino Linotype"/>
          <w:b w:val="1"/>
          <w:rtl w:val="0"/>
        </w:rPr>
        <w:t xml:space="preserve"> de septiembre del dos mil veintiuno</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rPr>
      </w:pPr>
      <w:bookmarkStart w:colFirst="0" w:colLast="0" w:name="_heading=h.gjdgxs" w:id="0"/>
      <w:bookmarkEnd w:id="0"/>
      <w:r w:rsidDel="00000000" w:rsidR="00000000" w:rsidRPr="00000000">
        <w:rPr>
          <w:rFonts w:ascii="Palatino Linotype" w:cs="Palatino Linotype" w:eastAsia="Palatino Linotype" w:hAnsi="Palatino Linotype"/>
          <w:b w:val="1"/>
          <w:rtl w:val="0"/>
        </w:rPr>
        <w:t xml:space="preserve">Visto</w:t>
      </w:r>
      <w:r w:rsidDel="00000000" w:rsidR="00000000" w:rsidRPr="00000000">
        <w:rPr>
          <w:rFonts w:ascii="Palatino Linotype" w:cs="Palatino Linotype" w:eastAsia="Palatino Linotype" w:hAnsi="Palatino Linotype"/>
          <w:rtl w:val="0"/>
        </w:rPr>
        <w:t xml:space="preserve"> el expediente relativo al recurso de revisión </w:t>
      </w:r>
      <w:r w:rsidDel="00000000" w:rsidR="00000000" w:rsidRPr="00000000">
        <w:rPr>
          <w:rFonts w:ascii="Palatino Linotype" w:cs="Palatino Linotype" w:eastAsia="Palatino Linotype" w:hAnsi="Palatino Linotype"/>
          <w:b w:val="1"/>
          <w:sz w:val="22"/>
          <w:szCs w:val="22"/>
          <w:rtl w:val="0"/>
        </w:rPr>
        <w:t xml:space="preserve">03529/INFOEM/IP/RR/2021</w:t>
      </w:r>
      <w:r w:rsidDel="00000000" w:rsidR="00000000" w:rsidRPr="00000000">
        <w:rPr>
          <w:rFonts w:ascii="Palatino Linotype" w:cs="Palatino Linotype" w:eastAsia="Palatino Linotype" w:hAnsi="Palatino Linotype"/>
          <w:rtl w:val="0"/>
        </w:rPr>
        <w:t xml:space="preserve">, interpuesto por </w:t>
      </w:r>
      <w:r w:rsidDel="00000000" w:rsidR="00000000" w:rsidRPr="00000000">
        <w:rPr>
          <w:rFonts w:ascii="Palatino Linotype" w:cs="Palatino Linotype" w:eastAsia="Palatino Linotype" w:hAnsi="Palatino Linotype"/>
          <w:b w:val="1"/>
          <w:sz w:val="22"/>
          <w:szCs w:val="22"/>
          <w:rtl w:val="0"/>
        </w:rPr>
        <w:t xml:space="preserve">XXXXXXXXXXXXXXXXXXX</w:t>
      </w:r>
      <w:r w:rsidDel="00000000" w:rsidR="00000000" w:rsidRPr="00000000">
        <w:rPr>
          <w:rFonts w:ascii="Palatino Linotype" w:cs="Palatino Linotype" w:eastAsia="Palatino Linotype" w:hAnsi="Palatino Linotype"/>
          <w:b w:val="1"/>
          <w:rtl w:val="0"/>
        </w:rPr>
        <w:t xml:space="preserve">,</w:t>
      </w:r>
      <w:r w:rsidDel="00000000" w:rsidR="00000000" w:rsidRPr="00000000">
        <w:rPr>
          <w:rFonts w:ascii="Palatino Linotype" w:cs="Palatino Linotype" w:eastAsia="Palatino Linotype" w:hAnsi="Palatino Linotype"/>
          <w:rtl w:val="0"/>
        </w:rPr>
        <w:t xml:space="preserve"> a quien en lo sucesivo se le denominará </w:t>
      </w:r>
      <w:r w:rsidDel="00000000" w:rsidR="00000000" w:rsidRPr="00000000">
        <w:rPr>
          <w:rFonts w:ascii="Palatino Linotype" w:cs="Palatino Linotype" w:eastAsia="Palatino Linotype" w:hAnsi="Palatino Linotype"/>
          <w:b w:val="1"/>
          <w:rtl w:val="0"/>
        </w:rPr>
        <w:t xml:space="preserve">la parte</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rtl w:val="0"/>
        </w:rPr>
        <w:t xml:space="preserve">en contra de la respuesta a su solicitud de información con número de folio</w:t>
      </w:r>
      <w:r w:rsidDel="00000000" w:rsidR="00000000" w:rsidRPr="00000000">
        <w:rPr>
          <w:rFonts w:ascii="Verdana" w:cs="Verdana" w:eastAsia="Verdana" w:hAnsi="Verdana"/>
          <w:b w:val="1"/>
          <w:color w:val="ff0000"/>
          <w:rtl w:val="0"/>
        </w:rPr>
        <w:t xml:space="preserve"> </w:t>
      </w:r>
      <w:r w:rsidDel="00000000" w:rsidR="00000000" w:rsidRPr="00000000">
        <w:rPr>
          <w:rFonts w:ascii="Palatino Linotype" w:cs="Palatino Linotype" w:eastAsia="Palatino Linotype" w:hAnsi="Palatino Linotype"/>
          <w:b w:val="1"/>
          <w:sz w:val="22"/>
          <w:szCs w:val="22"/>
          <w:rtl w:val="0"/>
        </w:rPr>
        <w:t xml:space="preserve">00140/ATLACOM/IP/2021</w:t>
      </w:r>
      <w:r w:rsidDel="00000000" w:rsidR="00000000" w:rsidRPr="00000000">
        <w:rPr>
          <w:rFonts w:ascii="Palatino Linotype" w:cs="Palatino Linotype" w:eastAsia="Palatino Linotype" w:hAnsi="Palatino Linotype"/>
          <w:b w:val="1"/>
          <w:rtl w:val="0"/>
        </w:rPr>
        <w:t xml:space="preserve">,</w:t>
      </w:r>
      <w:r w:rsidDel="00000000" w:rsidR="00000000" w:rsidRPr="00000000">
        <w:rPr>
          <w:rFonts w:ascii="Palatino Linotype" w:cs="Palatino Linotype" w:eastAsia="Palatino Linotype" w:hAnsi="Palatino Linotype"/>
          <w:rtl w:val="0"/>
        </w:rPr>
        <w:t xml:space="preserve"> otorgada por el </w:t>
      </w:r>
      <w:r w:rsidDel="00000000" w:rsidR="00000000" w:rsidRPr="00000000">
        <w:rPr>
          <w:rFonts w:ascii="Palatino Linotype" w:cs="Palatino Linotype" w:eastAsia="Palatino Linotype" w:hAnsi="Palatino Linotype"/>
          <w:b w:val="1"/>
          <w:rtl w:val="0"/>
        </w:rPr>
        <w:t xml:space="preserve">Ayuntamiento de Atlacomulco</w:t>
      </w:r>
      <w:r w:rsidDel="00000000" w:rsidR="00000000" w:rsidRPr="00000000">
        <w:rPr>
          <w:rFonts w:ascii="Palatino Linotype" w:cs="Palatino Linotype" w:eastAsia="Palatino Linotype" w:hAnsi="Palatino Linotype"/>
          <w:rtl w:val="0"/>
        </w:rPr>
        <w:t xml:space="preserve">, en lo sucesivo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se procede a dictar la presente resolución, con base en lo siguiente. </w:t>
      </w:r>
    </w:p>
    <w:p w:rsidR="00000000" w:rsidDel="00000000" w:rsidP="00000000" w:rsidRDefault="00000000" w:rsidRPr="00000000" w14:paraId="00000003">
      <w:pPr>
        <w:pStyle w:val="Heading2"/>
        <w:jc w:val="center"/>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I. A N T E C E D E N T E 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 Solicitud de acceso a la información.</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rtl w:val="0"/>
        </w:rPr>
        <w:t xml:space="preserve">Con fecha </w:t>
      </w:r>
      <w:r w:rsidDel="00000000" w:rsidR="00000000" w:rsidRPr="00000000">
        <w:rPr>
          <w:rFonts w:ascii="Palatino Linotype" w:cs="Palatino Linotype" w:eastAsia="Palatino Linotype" w:hAnsi="Palatino Linotype"/>
          <w:b w:val="1"/>
          <w:rtl w:val="0"/>
        </w:rPr>
        <w:t xml:space="preserve">uno de junio del dos mil veintiuno,</w:t>
      </w:r>
      <w:r w:rsidDel="00000000" w:rsidR="00000000" w:rsidRPr="00000000">
        <w:rPr>
          <w:rFonts w:ascii="Palatino Linotype" w:cs="Palatino Linotype" w:eastAsia="Palatino Linotype" w:hAnsi="Palatino Linotype"/>
          <w:rtl w:val="0"/>
        </w:rPr>
        <w:t xml:space="preserve"> la ahora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formuló solicitud de acceso a la información pública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 través del Sistema de Acceso a la Información Mexiquense, en adelante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requiriendo lo siguiente:</w:t>
      </w:r>
      <w:r w:rsidDel="00000000" w:rsidR="00000000" w:rsidRPr="00000000">
        <w:rPr>
          <w:rtl w:val="0"/>
        </w:rPr>
      </w:r>
    </w:p>
    <w:p w:rsidR="00000000" w:rsidDel="00000000" w:rsidP="00000000" w:rsidRDefault="00000000" w:rsidRPr="00000000" w14:paraId="00000005">
      <w:pPr>
        <w:spacing w:after="0" w:before="24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“Buenas Tardes! Quisiera sé me proporcionen los permisos o renuncias de las personas que a continuación se enlistan ya que deberían por ley tenerlas derivado a que se encuentran actualmente trabajando con los candidatos a Presidentes Municipales o Diputados (los permisos o renuncias o documentos que acrediten que no están percibiendo dinero por parte del Ayuntamiento o bien que tiene un permiso que les permita hacer estas actividades), de igual manera quisiera el documento en donde la TESORERÍA o el area correspondiente informa que se ha dado de baja o qué no se le estará pagando durante el tiempo de permiso o en su caso de la baja que se realiza en nómina. En caso de no tener los documentos de los siguientes a mencionar solicito que se realice el procedimiento correspondiente para que sea despedido o se realice el precedimiento ante la CONTRALORIA (los permisos deberán ser del período de Abril a junio 2021): - Cristián Álvarez Velasco - Juan Manuel Núñez Pastor - Ángel Vallejo -Juan Gregorio Padilla - Yazmín Mendoza Colin - Ferdinando Escamilla Becerril - Mario Yañez Mena - David Alejandro Castro García - Sebastian Montiel Cardenaz - Laura Felix la Segunda Regidora - Erick Esquivel Enríquez - Rodolfo Gómez -Elias de la Cruz Personas quienes laboran o laboraban (según los documentos que comprueben los contrario) dentro del Ayuntamiento y quienes están realizando acciones partidistas en comunidades y colonias, dentro de su horario laboral (9:00am a 16:00pm), de no cumplir con la información solicitada y en virtud de que se cuenta con evidencia (fotografías y videos) de los antes mencionados realizando estas actividades con los diferentes candidatos se procederá a levantar un acta general por aceptar estas actividades, encubrirlas y peor aún no realizar los actos que por ley están obligados como Ayuntamiento. Se solicita esta información a más tardar en día 05 de junio del 2021.” (Sic)</w:t>
      </w:r>
    </w:p>
    <w:p w:rsidR="00000000" w:rsidDel="00000000" w:rsidP="00000000" w:rsidRDefault="00000000" w:rsidRPr="00000000" w14:paraId="00000006">
      <w:pPr>
        <w:spacing w:after="24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7">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Modalidad de entrega de la información</w:t>
      </w:r>
      <w:r w:rsidDel="00000000" w:rsidR="00000000" w:rsidRPr="00000000">
        <w:rPr>
          <w:rFonts w:ascii="Palatino Linotype" w:cs="Palatino Linotype" w:eastAsia="Palatino Linotype" w:hAnsi="Palatino Linotype"/>
          <w:rtl w:val="0"/>
        </w:rPr>
        <w:t xml:space="preserve">: vía </w:t>
      </w:r>
      <w:r w:rsidDel="00000000" w:rsidR="00000000" w:rsidRPr="00000000">
        <w:rPr>
          <w:rFonts w:ascii="Palatino Linotype" w:cs="Palatino Linotype" w:eastAsia="Palatino Linotype" w:hAnsi="Palatino Linotype"/>
          <w:b w:val="1"/>
          <w:rtl w:val="0"/>
        </w:rPr>
        <w:t xml:space="preserve">SAIMEX.</w:t>
      </w:r>
    </w:p>
    <w:p w:rsidR="00000000" w:rsidDel="00000000" w:rsidP="00000000" w:rsidRDefault="00000000" w:rsidRPr="00000000" w14:paraId="0000000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2. Respuesta. </w:t>
      </w:r>
      <w:r w:rsidDel="00000000" w:rsidR="00000000" w:rsidRPr="00000000">
        <w:rPr>
          <w:rFonts w:ascii="Palatino Linotype" w:cs="Palatino Linotype" w:eastAsia="Palatino Linotype" w:hAnsi="Palatino Linotype"/>
          <w:rtl w:val="0"/>
        </w:rPr>
        <w:t xml:space="preserve">Con fecha </w:t>
      </w:r>
      <w:r w:rsidDel="00000000" w:rsidR="00000000" w:rsidRPr="00000000">
        <w:rPr>
          <w:rFonts w:ascii="Palatino Linotype" w:cs="Palatino Linotype" w:eastAsia="Palatino Linotype" w:hAnsi="Palatino Linotype"/>
          <w:b w:val="1"/>
          <w:rtl w:val="0"/>
        </w:rPr>
        <w:t xml:space="preserve">veintidós de junio del dos mil veintiuno</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otorgó, a través del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respuesta a la solicitud de acceso a la información de la siguiente manera:</w:t>
      </w:r>
    </w:p>
    <w:p w:rsidR="00000000" w:rsidDel="00000000" w:rsidP="00000000" w:rsidRDefault="00000000" w:rsidRPr="00000000" w14:paraId="00000009">
      <w:pPr>
        <w:spacing w:after="0" w:before="24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respuesta a la solicitud recibida, nos permitimos hacer de su conocimiento que con fundamento en el artículo 53, Fracciones: II, V y VI de la Ley de Transparencia y Acceso a la Información Pública del Estado de México y Municipios, le contestamos que:”. (Sic)</w:t>
      </w:r>
    </w:p>
    <w:p w:rsidR="00000000" w:rsidDel="00000000" w:rsidP="00000000" w:rsidRDefault="00000000" w:rsidRPr="00000000" w14:paraId="0000000A">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0B">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(Énfasis añadido)</w:t>
      </w:r>
    </w:p>
    <w:p w:rsidR="00000000" w:rsidDel="00000000" w:rsidP="00000000" w:rsidRDefault="00000000" w:rsidRPr="00000000" w14:paraId="0000000C">
      <w:pPr>
        <w:spacing w:after="0" w:before="0" w:lineRule="auto"/>
        <w:ind w:left="851" w:right="902"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D">
      <w:pPr>
        <w:spacing w:after="240" w:before="0" w:lineRule="auto"/>
        <w:ind w:left="851" w:right="90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 Adjunto a su respuesta el SUJETO OBLIGADO proporcionó los archivos digitales siguientes: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1571" w:right="902" w:hanging="36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OFICIO.pdf: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Oficio ADMON/RH/0614/06/21 de fecha veintidós de julio de 2021, suscrito por el Director de Administración, a través del cual refiere que se anexan copias de los oficios en versión pública de los servidores públicos que solicitaron permiso sin goce de sueldo para participar en campaña de algún partido político.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71" w:right="902" w:firstLine="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1571" w:right="902" w:hanging="36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PERMISOS DE CAMPAÑA_Censurado.pdf: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documental consistente en siete hojas en las que se incluyen: a) escritos de licencias laborales sin goce de sueldo de los servidores públicos Rogelio Aparicio Suarez, Raul Absalon Paez Valencia y Yazmin Mendoza Colin;  b) autorizaciones por parte del presidente municipal a los anteriores escritos a través de los oficios PM/RH/0389/04/21, PM/RH/0445/04/21, y PM/RH/0406/04/21; c) oficio ADMON/RH/0431/05/21  de fecha once  de mayo de la presente anualidad dirigido al Tesorero Municipal a través del cual el Titular de la Dirección de Administración solicita se realicen los movimientos necesarios a fin de ajustar sin goce de sueldo del personal antes referido.</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spacing w:after="240" w:before="240" w:lineRule="auto"/>
        <w:ind w:right="902"/>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1571" w:right="902" w:hanging="36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CUADRO DE CLASIFICACION.pdf: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documental en la que se incluye el Cuadro de clasificación correspondiente a la versión publica que realizó el SUJETO OBLIGADO sobre los documentos entregado al particular en respuesta.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71" w:right="902" w:hanging="36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Acta02ord.pdf: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documental en el que se incluye el acta número AA/CT/2ord/2021 correspondiente a la Segunda Sesión Ordinaria del Comité de Transparencia del Ayuntamiento de Atlacomulco, misma que en el punto dos del orden del día refiere a  la presentación, discusión y en su caso aprobación de la propuesta de clasificación de información como confidencial en términos del  132, fracción I, y 143 fracción I de la Ley de Transparencia, Acceso a la Información Pública  del Estado de México y Municipios, a efectos de emitir la versión pública de los documentos denominados “</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Licencia Laboral sin goce de sueldo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571" w:right="902" w:firstLine="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spacing w:after="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3. Recurso de revisión.</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rtl w:val="0"/>
        </w:rPr>
        <w:t xml:space="preserve">Inconforme con la respuesta recibida, el Recurrente interpuso en fecha </w:t>
      </w:r>
      <w:r w:rsidDel="00000000" w:rsidR="00000000" w:rsidRPr="00000000">
        <w:rPr>
          <w:rFonts w:ascii="Palatino Linotype" w:cs="Palatino Linotype" w:eastAsia="Palatino Linotype" w:hAnsi="Palatino Linotype"/>
          <w:b w:val="1"/>
          <w:rtl w:val="0"/>
        </w:rPr>
        <w:t xml:space="preserve">veintisiete de junio del año dos mil veintiuno</w:t>
      </w:r>
      <w:r w:rsidDel="00000000" w:rsidR="00000000" w:rsidRPr="00000000">
        <w:rPr>
          <w:rFonts w:ascii="Palatino Linotype" w:cs="Palatino Linotype" w:eastAsia="Palatino Linotype" w:hAnsi="Palatino Linotype"/>
          <w:rtl w:val="0"/>
        </w:rPr>
        <w:t xml:space="preserve">, el presente medio de impugnación expresando las siguientes manifestaciones:</w:t>
      </w:r>
    </w:p>
    <w:p w:rsidR="00000000" w:rsidDel="00000000" w:rsidP="00000000" w:rsidRDefault="00000000" w:rsidRPr="00000000" w14:paraId="00000018">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9">
      <w:pPr>
        <w:spacing w:after="0" w:before="0" w:line="360" w:lineRule="auto"/>
        <w:ind w:left="567"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 Acto impugnado.</w:t>
      </w:r>
    </w:p>
    <w:p w:rsidR="00000000" w:rsidDel="00000000" w:rsidP="00000000" w:rsidRDefault="00000000" w:rsidRPr="00000000" w14:paraId="0000001A">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“Del listado de personal que coloque en mi solicitud sólo presentaron los documentos de 3 de ellos, no estoy solicitando información confidencial si no únicamente sus permisos o bajas.”</w:t>
      </w:r>
    </w:p>
    <w:p w:rsidR="00000000" w:rsidDel="00000000" w:rsidP="00000000" w:rsidRDefault="00000000" w:rsidRPr="00000000" w14:paraId="0000001B">
      <w:pPr>
        <w:spacing w:after="240" w:before="0" w:line="360" w:lineRule="auto"/>
        <w:ind w:left="567"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b) Razones o motivos de inconformidad.</w:t>
      </w:r>
    </w:p>
    <w:p w:rsidR="00000000" w:rsidDel="00000000" w:rsidP="00000000" w:rsidRDefault="00000000" w:rsidRPr="00000000" w14:paraId="0000001C">
      <w:pPr>
        <w:spacing w:after="240" w:before="240" w:line="360" w:lineRule="auto"/>
        <w:ind w:left="567"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i w:val="1"/>
          <w:sz w:val="22"/>
          <w:szCs w:val="22"/>
          <w:rtl w:val="0"/>
        </w:rPr>
        <w:t xml:space="preserve">“La información está incompleta de no tener los permisos informar el por qué no se ha realizado nada al respecto con ese personal” (Sic)</w:t>
      </w:r>
      <w:r w:rsidDel="00000000" w:rsidR="00000000" w:rsidRPr="00000000">
        <w:rPr>
          <w:rtl w:val="0"/>
        </w:rPr>
      </w:r>
    </w:p>
    <w:p w:rsidR="00000000" w:rsidDel="00000000" w:rsidP="00000000" w:rsidRDefault="00000000" w:rsidRPr="00000000" w14:paraId="0000001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4. Turno. </w:t>
      </w:r>
      <w:r w:rsidDel="00000000" w:rsidR="00000000" w:rsidRPr="00000000">
        <w:rPr>
          <w:rFonts w:ascii="Palatino Linotype" w:cs="Palatino Linotype" w:eastAsia="Palatino Linotype" w:hAnsi="Palatino Linotype"/>
          <w:rtl w:val="0"/>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al  </w:t>
      </w:r>
      <w:r w:rsidDel="00000000" w:rsidR="00000000" w:rsidRPr="00000000">
        <w:rPr>
          <w:rFonts w:ascii="Palatino Linotype" w:cs="Palatino Linotype" w:eastAsia="Palatino Linotype" w:hAnsi="Palatino Linotype"/>
          <w:b w:val="1"/>
          <w:rtl w:val="0"/>
        </w:rPr>
        <w:t xml:space="preserve">Comisionado</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Javier M</w:t>
      </w:r>
      <w:r w:rsidDel="00000000" w:rsidR="00000000" w:rsidRPr="00000000">
        <w:rPr>
          <w:rFonts w:ascii="Palatino Linotype" w:cs="Palatino Linotype" w:eastAsia="Palatino Linotype" w:hAnsi="Palatino Linotype"/>
          <w:rtl w:val="0"/>
        </w:rPr>
        <w:t xml:space="preserve">artínez Cruz a su análisis, estudio, elaboración del proyecto y presentación ante el Pleno de este Instituto.</w:t>
      </w:r>
    </w:p>
    <w:p w:rsidR="00000000" w:rsidDel="00000000" w:rsidP="00000000" w:rsidRDefault="00000000" w:rsidRPr="00000000" w14:paraId="0000001E">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veintitrés de agosto de dos mil veintiuno, en la Segunda Sesión Extraordinaria</w:t>
      </w:r>
      <w:r w:rsidDel="00000000" w:rsidR="00000000" w:rsidRPr="00000000">
        <w:rPr>
          <w:rFonts w:ascii="Palatino Linotype" w:cs="Palatino Linotype" w:eastAsia="Palatino Linotype" w:hAnsi="Palatino Linotype"/>
          <w:rtl w:val="0"/>
        </w:rPr>
        <w:t xml:space="preserve">, el Pleno del Instituto aprobó el returno del recurso de revisión indicado al rubro a la Ponencia de la </w:t>
      </w:r>
      <w:r w:rsidDel="00000000" w:rsidR="00000000" w:rsidRPr="00000000">
        <w:rPr>
          <w:rFonts w:ascii="Palatino Linotype" w:cs="Palatino Linotype" w:eastAsia="Palatino Linotype" w:hAnsi="Palatino Linotype"/>
          <w:b w:val="1"/>
          <w:rtl w:val="0"/>
        </w:rPr>
        <w:t xml:space="preserve">Comisionada Guadalupe Ramírez Peña</w:t>
      </w:r>
      <w:r w:rsidDel="00000000" w:rsidR="00000000" w:rsidRPr="00000000">
        <w:rPr>
          <w:rFonts w:ascii="Palatino Linotype" w:cs="Palatino Linotype" w:eastAsia="Palatino Linotype" w:hAnsi="Palatino Linotype"/>
          <w:rtl w:val="0"/>
        </w:rPr>
        <w:t xml:space="preserve"> para su estudio y resolución.</w:t>
      </w:r>
    </w:p>
    <w:p w:rsidR="00000000" w:rsidDel="00000000" w:rsidP="00000000" w:rsidRDefault="00000000" w:rsidRPr="00000000" w14:paraId="0000001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5. Admisión. </w:t>
      </w:r>
      <w:r w:rsidDel="00000000" w:rsidR="00000000" w:rsidRPr="00000000">
        <w:rPr>
          <w:rFonts w:ascii="Palatino Linotype" w:cs="Palatino Linotype" w:eastAsia="Palatino Linotype" w:hAnsi="Palatino Linotype"/>
          <w:rtl w:val="0"/>
        </w:rPr>
        <w:t xml:space="preserve">Mediante auto de fecha </w:t>
      </w:r>
      <w:r w:rsidDel="00000000" w:rsidR="00000000" w:rsidRPr="00000000">
        <w:rPr>
          <w:rFonts w:ascii="Palatino Linotype" w:cs="Palatino Linotype" w:eastAsia="Palatino Linotype" w:hAnsi="Palatino Linotype"/>
          <w:b w:val="1"/>
          <w:rtl w:val="0"/>
        </w:rPr>
        <w:t xml:space="preserve">uno de julio del dos mil veintiuno</w:t>
      </w:r>
      <w:r w:rsidDel="00000000" w:rsidR="00000000" w:rsidRPr="00000000">
        <w:rPr>
          <w:rFonts w:ascii="Palatino Linotype" w:cs="Palatino Linotype" w:eastAsia="Palatino Linotype" w:hAnsi="Palatino Linotype"/>
          <w:rtl w:val="0"/>
        </w:rPr>
        <w:t xml:space="preserve">, este Órgano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09"/>
        </w:tabs>
        <w:spacing w:after="240" w:before="12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6. Manifestaciones.</w:t>
      </w: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las constancias que integran el expediente en que se actúan se advierte que la parte recurrente  fue omisa en presentar alegatos o cualquier manifestación que a su derecho convenga, por lo tanto, se tiene por precluido su derecho para tal efecto.</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09"/>
        </w:tabs>
        <w:spacing w:after="240" w:before="12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otro lado, el SUJETO OBLIGADO en fecha ocho de julio de la presente anualidad adjuntó la documental denominada “IJ 3529-140.pdf” de cuyo contenido esta Autoridad advierte que mantiene firme su respuesta inicial entregada, razón por la cual no fue necesario ponerla a la vista del particular.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09"/>
        </w:tabs>
        <w:spacing w:after="240" w:before="12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inline distB="0" distT="0" distL="0" distR="0">
            <wp:extent cx="5427448" cy="6854383"/>
            <wp:effectExtent b="0" l="0" r="0" t="0"/>
            <wp:docPr id="1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427448" cy="6854383"/>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09"/>
        </w:tabs>
        <w:spacing w:after="240" w:before="12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widowControl w:val="0"/>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7. Ampliación del plazo para emitir la resolución. </w:t>
      </w:r>
      <w:r w:rsidDel="00000000" w:rsidR="00000000" w:rsidRPr="00000000">
        <w:rPr>
          <w:rFonts w:ascii="Palatino Linotype" w:cs="Palatino Linotype" w:eastAsia="Palatino Linotype" w:hAnsi="Palatino Linotype"/>
          <w:rtl w:val="0"/>
        </w:rPr>
        <w:t xml:space="preserve">Este Instituto con fundamento en el artículo 181, párrafo tercero, de la Ley de Transparencia y Acceso a la Información Pública del Estado de México y Municipios, determinó mediante el acuerdo de fecha </w:t>
      </w:r>
      <w:r w:rsidDel="00000000" w:rsidR="00000000" w:rsidRPr="00000000">
        <w:rPr>
          <w:rFonts w:ascii="Palatino Linotype" w:cs="Palatino Linotype" w:eastAsia="Palatino Linotype" w:hAnsi="Palatino Linotype"/>
          <w:b w:val="1"/>
          <w:rtl w:val="0"/>
        </w:rPr>
        <w:t xml:space="preserve">doce de septiembre de esta anualidad</w:t>
      </w:r>
      <w:r w:rsidDel="00000000" w:rsidR="00000000" w:rsidRPr="00000000">
        <w:rPr>
          <w:rFonts w:ascii="Palatino Linotype" w:cs="Palatino Linotype" w:eastAsia="Palatino Linotype" w:hAnsi="Palatino Linotype"/>
          <w:rtl w:val="0"/>
        </w:rPr>
        <w:t xml:space="preserve">, ampliar por quince días hábiles adicionales el plazo para emitir la presente resolución respecto al recurso de revisión materia de la presente, esto con la finalidad de realizar un mejor estudio del asunto.</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09"/>
        </w:tabs>
        <w:spacing w:after="240" w:before="120" w:line="360" w:lineRule="auto"/>
        <w:ind w:left="0" w:right="0" w:firstLine="0"/>
        <w:jc w:val="both"/>
        <w:rPr>
          <w:rFonts w:ascii="Palatino Linotype" w:cs="Palatino Linotype" w:eastAsia="Palatino Linotype" w:hAnsi="Palatino Linotype"/>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spacing w:line="360" w:lineRule="auto"/>
        <w:jc w:val="both"/>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rtl w:val="0"/>
        </w:rPr>
        <w:t xml:space="preserve">8. Cierre de Instrucción. </w:t>
      </w:r>
      <w:r w:rsidDel="00000000" w:rsidR="00000000" w:rsidRPr="00000000">
        <w:rPr>
          <w:rFonts w:ascii="Palatino Linotype" w:cs="Palatino Linotype" w:eastAsia="Palatino Linotype" w:hAnsi="Palatino Linotype"/>
          <w:rtl w:val="0"/>
        </w:rPr>
        <w:t xml:space="preserve">En fecha diecisiete de septiembre del año dos mil veintiuno,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sidDel="00000000" w:rsidR="00000000" w:rsidRPr="00000000">
        <w:rPr>
          <w:rFonts w:ascii="Palatino Linotype" w:cs="Palatino Linotype" w:eastAsia="Palatino Linotype" w:hAnsi="Palatino Linotype"/>
          <w:b w:val="1"/>
          <w:sz w:val="28"/>
          <w:szCs w:val="28"/>
          <w:rtl w:val="0"/>
        </w:rPr>
        <w:t xml:space="preserve"> </w:t>
      </w:r>
    </w:p>
    <w:p w:rsidR="00000000" w:rsidDel="00000000" w:rsidP="00000000" w:rsidRDefault="00000000" w:rsidRPr="00000000" w14:paraId="00000027">
      <w:pPr>
        <w:pStyle w:val="Heading2"/>
        <w:jc w:val="center"/>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II. C O N S I D E R A N D O S:</w:t>
      </w:r>
    </w:p>
    <w:p w:rsidR="00000000" w:rsidDel="00000000" w:rsidP="00000000" w:rsidRDefault="00000000" w:rsidRPr="00000000" w14:paraId="00000028">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PRIMERO. Competencia</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highlight w:val="white"/>
          <w:rtl w:val="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fracción IV y V de la Constitución Política del Estado Libre y Soberano de México; 1, 2, fracción II; 13,  29, 36, fracciones I y II; 176, 178, 179, 181 párrafo 3 y 185 de la Ley Transparencia y Acceso a la Información Pública del Estado de México y Municipios; </w:t>
      </w:r>
      <w:r w:rsidDel="00000000" w:rsidR="00000000" w:rsidRPr="00000000">
        <w:rPr>
          <w:rFonts w:ascii="Palatino Linotype" w:cs="Palatino Linotype" w:eastAsia="Palatino Linotype" w:hAnsi="Palatino Linotype"/>
          <w:rtl w:val="0"/>
        </w:rPr>
        <w:t xml:space="preserve">9 fracciones I, XXIV y 11 </w:t>
      </w:r>
      <w:r w:rsidDel="00000000" w:rsidR="00000000" w:rsidRPr="00000000">
        <w:rPr>
          <w:rFonts w:ascii="Palatino Linotype" w:cs="Palatino Linotype" w:eastAsia="Palatino Linotype" w:hAnsi="Palatino Linotype"/>
          <w:highlight w:val="white"/>
          <w:rtl w:val="0"/>
        </w:rPr>
        <w:t xml:space="preserve">del Reglamento Interior del Instituto de Transparencia, Acceso a la Información Pública y Protección de Datos Personales del Estado de México y Municipios.</w:t>
      </w:r>
      <w:r w:rsidDel="00000000" w:rsidR="00000000" w:rsidRPr="00000000">
        <w:rPr>
          <w:rtl w:val="0"/>
        </w:rPr>
      </w:r>
    </w:p>
    <w:p w:rsidR="00000000" w:rsidDel="00000000" w:rsidP="00000000" w:rsidRDefault="00000000" w:rsidRPr="00000000" w14:paraId="0000002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 Oportunidad y Procedibilidad del Recurso de Revisión.</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rtl w:val="0"/>
        </w:rPr>
        <w:t xml:space="preserve">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 </w:t>
      </w:r>
    </w:p>
    <w:p w:rsidR="00000000" w:rsidDel="00000000" w:rsidP="00000000" w:rsidRDefault="00000000" w:rsidRPr="00000000" w14:paraId="0000002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sentido, 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360" w:lineRule="auto"/>
        <w:ind w:right="-147"/>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360" w:lineRule="auto"/>
        <w:ind w:right="-147"/>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rtl w:val="0"/>
        </w:rPr>
        <w:t xml:space="preserve">Ahora bien, resulta procedente la interposición del recurso, según lo aducido por el recurrente en sus razones o </w:t>
      </w:r>
      <w:r w:rsidDel="00000000" w:rsidR="00000000" w:rsidRPr="00000000">
        <w:rPr>
          <w:rFonts w:ascii="Palatino Linotype" w:cs="Palatino Linotype" w:eastAsia="Palatino Linotype" w:hAnsi="Palatino Linotype"/>
          <w:color w:val="000000"/>
          <w:rtl w:val="0"/>
        </w:rPr>
        <w:t xml:space="preserve">motivos de inconformidad, de acuerdo al artículo 179, fracción I de la Ley de Transparencia y Acceso a la Información Pública del Estado de México y Municipios; que a la letra dice:</w:t>
      </w:r>
    </w:p>
    <w:p w:rsidR="00000000" w:rsidDel="00000000" w:rsidP="00000000" w:rsidRDefault="00000000" w:rsidRPr="00000000" w14:paraId="0000002D">
      <w:pPr>
        <w:spacing w:after="120" w:lineRule="auto"/>
        <w:ind w:left="851" w:right="902" w:firstLine="0"/>
        <w:jc w:val="both"/>
        <w:rPr>
          <w:rFonts w:ascii="Palatino Linotype" w:cs="Palatino Linotype" w:eastAsia="Palatino Linotype" w:hAnsi="Palatino Linotype"/>
          <w:b w:val="1"/>
          <w:i w:val="1"/>
          <w:sz w:val="20"/>
          <w:szCs w:val="20"/>
        </w:rPr>
      </w:pPr>
      <w:r w:rsidDel="00000000" w:rsidR="00000000" w:rsidRPr="00000000">
        <w:rPr>
          <w:rtl w:val="0"/>
        </w:rPr>
      </w:r>
    </w:p>
    <w:p w:rsidR="00000000" w:rsidDel="00000000" w:rsidP="00000000" w:rsidRDefault="00000000" w:rsidRPr="00000000" w14:paraId="0000002E">
      <w:pPr>
        <w:spacing w:after="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 “Artículo 176. </w:t>
      </w:r>
      <w:r w:rsidDel="00000000" w:rsidR="00000000" w:rsidRPr="00000000">
        <w:rPr>
          <w:rFonts w:ascii="Palatino Linotype" w:cs="Palatino Linotype" w:eastAsia="Palatino Linotype" w:hAnsi="Palatino Linotype"/>
          <w:i w:val="1"/>
          <w:sz w:val="22"/>
          <w:szCs w:val="22"/>
          <w:rtl w:val="0"/>
        </w:rPr>
        <w:t xml:space="preserve">El recurso de revisión es la garantía secundaria mediante la cual se pretende reparar cualquier posible afectación al derecho de acceso a la información pública en términos del presente y siguiente Capítulo.</w:t>
      </w:r>
    </w:p>
    <w:p w:rsidR="00000000" w:rsidDel="00000000" w:rsidP="00000000" w:rsidRDefault="00000000" w:rsidRPr="00000000" w14:paraId="0000002F">
      <w:pPr>
        <w:spacing w:after="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179</w:t>
      </w:r>
      <w:r w:rsidDel="00000000" w:rsidR="00000000" w:rsidRPr="00000000">
        <w:rPr>
          <w:rFonts w:ascii="Palatino Linotype" w:cs="Palatino Linotype" w:eastAsia="Palatino Linotype" w:hAnsi="Palatino Linotype"/>
          <w:b w:val="1"/>
          <w:sz w:val="22"/>
          <w:szCs w:val="22"/>
          <w:rtl w:val="0"/>
        </w:rPr>
        <w:t xml:space="preserve">.-</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i w:val="1"/>
          <w:sz w:val="22"/>
          <w:szCs w:val="22"/>
          <w:rtl w:val="0"/>
        </w:rPr>
        <w:t xml:space="preserve">El recurso de revisión es un medio de protección que la Ley otorga a los particulares, para hacer valer su derecho de acceso a la información pública, y procederá en contra de las siguientes causas:</w:t>
      </w:r>
    </w:p>
    <w:p w:rsidR="00000000" w:rsidDel="00000000" w:rsidP="00000000" w:rsidRDefault="00000000" w:rsidRPr="00000000" w14:paraId="00000030">
      <w:pPr>
        <w:spacing w:after="120" w:lineRule="auto"/>
        <w:ind w:left="851" w:right="90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w:t>
      </w:r>
    </w:p>
    <w:p w:rsidR="00000000" w:rsidDel="00000000" w:rsidP="00000000" w:rsidRDefault="00000000" w:rsidRPr="00000000" w14:paraId="00000031">
      <w:pPr>
        <w:spacing w:after="12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993" w:right="902"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V. La entrega de información incompleta;</w:t>
      </w:r>
    </w:p>
    <w:p w:rsidR="00000000" w:rsidDel="00000000" w:rsidP="00000000" w:rsidRDefault="00000000" w:rsidRPr="00000000" w14:paraId="00000033">
      <w:pPr>
        <w:spacing w:after="120" w:lineRule="auto"/>
        <w:ind w:right="902"/>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 (Sic)</w:t>
      </w:r>
      <w:r w:rsidDel="00000000" w:rsidR="00000000" w:rsidRPr="00000000">
        <w:rPr>
          <w:rFonts w:ascii="Palatino Linotype" w:cs="Palatino Linotype" w:eastAsia="Palatino Linotype" w:hAnsi="Palatino Linotype"/>
          <w:b w:val="1"/>
          <w:i w:val="1"/>
          <w:sz w:val="22"/>
          <w:szCs w:val="22"/>
          <w:rtl w:val="0"/>
        </w:rPr>
        <w:t xml:space="preserve">              </w:t>
      </w:r>
      <w:r w:rsidDel="00000000" w:rsidR="00000000" w:rsidRPr="00000000">
        <w:rPr>
          <w:rtl w:val="0"/>
        </w:rPr>
      </w:r>
    </w:p>
    <w:p w:rsidR="00000000" w:rsidDel="00000000" w:rsidP="00000000" w:rsidRDefault="00000000" w:rsidRPr="00000000" w14:paraId="0000003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rsidR="00000000" w:rsidDel="00000000" w:rsidP="00000000" w:rsidRDefault="00000000" w:rsidRPr="00000000" w14:paraId="00000035">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Tercero. Materia de la revisión. </w:t>
      </w:r>
      <w:r w:rsidDel="00000000" w:rsidR="00000000" w:rsidRPr="00000000">
        <w:rPr>
          <w:rFonts w:ascii="Palatino Linotype" w:cs="Palatino Linotype" w:eastAsia="Palatino Linotype" w:hAnsi="Palatino Linotype"/>
          <w:rtl w:val="0"/>
        </w:rPr>
        <w:t xml:space="preserve">De la revisión a las constancias y documentos que obran en el expediente electrónico se advierte, que el tema sobre el que este Órgano Garante de Transparencia y Acceso a la Información se pronunciará será: </w:t>
      </w:r>
      <w:r w:rsidDel="00000000" w:rsidR="00000000" w:rsidRPr="00000000">
        <w:rPr>
          <w:rFonts w:ascii="Palatino Linotype" w:cs="Palatino Linotype" w:eastAsia="Palatino Linotype" w:hAnsi="Palatino Linotype"/>
          <w:b w:val="1"/>
          <w:rtl w:val="0"/>
        </w:rPr>
        <w:t xml:space="preserve">verificar si la respuesta otorgada por el Sujeto Obligado es adecuada y suficiente para satisfacer el derecho de acceso a la información pública </w:t>
      </w:r>
      <w:r w:rsidDel="00000000" w:rsidR="00000000" w:rsidRPr="00000000">
        <w:rPr>
          <w:rFonts w:ascii="Palatino Linotype" w:cs="Palatino Linotype" w:eastAsia="Palatino Linotype" w:hAnsi="Palatino Linotype"/>
          <w:rtl w:val="0"/>
        </w:rPr>
        <w:t xml:space="preserve">de la parte Recurrente, o en su defecto, en caso de ser procedente, ordenar la entrega de información oportuna.</w:t>
      </w:r>
    </w:p>
    <w:p w:rsidR="00000000" w:rsidDel="00000000" w:rsidP="00000000" w:rsidRDefault="00000000" w:rsidRPr="00000000" w14:paraId="00000036">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Cuarto. Estudio del asunto. </w:t>
      </w:r>
    </w:p>
    <w:p w:rsidR="00000000" w:rsidDel="00000000" w:rsidP="00000000" w:rsidRDefault="00000000" w:rsidRPr="00000000" w14:paraId="00000037">
      <w:pPr>
        <w:tabs>
          <w:tab w:val="left" w:pos="4962"/>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pertinente señalar que el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solicitó al </w:t>
      </w:r>
      <w:r w:rsidDel="00000000" w:rsidR="00000000" w:rsidRPr="00000000">
        <w:rPr>
          <w:rFonts w:ascii="Palatino Linotype" w:cs="Palatino Linotype" w:eastAsia="Palatino Linotype" w:hAnsi="Palatino Linotype"/>
          <w:b w:val="1"/>
          <w:rtl w:val="0"/>
        </w:rPr>
        <w:t xml:space="preserve">Ayuntamiento de Atlacomulco como Sujeto Obligado los requerimientos señalados en la solicitud de información, </w:t>
      </w:r>
      <w:r w:rsidDel="00000000" w:rsidR="00000000" w:rsidRPr="00000000">
        <w:rPr>
          <w:rFonts w:ascii="Palatino Linotype" w:cs="Palatino Linotype" w:eastAsia="Palatino Linotype" w:hAnsi="Palatino Linotype"/>
          <w:rtl w:val="0"/>
        </w:rPr>
        <w:t xml:space="preserve">adjuntando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la siguiente información que guarda relación con los requerimientos. </w:t>
      </w:r>
    </w:p>
    <w:p w:rsidR="00000000" w:rsidDel="00000000" w:rsidP="00000000" w:rsidRDefault="00000000" w:rsidRPr="00000000" w14:paraId="00000038">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9">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se desprende de las documentales que obran en el expediente de referencia, materia de la presente resolución, consistentes en: la solicitud de acceso a la información, la respuesta proporcionada por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el escrito recursal; instrumentales que se toman en cuenta a efecto de resolver el presente medio de impugnación, conforme a lo dispuesto por el artículo 185, fracción IV, de la Ley de Transparencia y Acceso a la Información Pública del Estado de México y Municipios, la cual se simplifica en la siguiente tabla:</w:t>
      </w:r>
    </w:p>
    <w:p w:rsidR="00000000" w:rsidDel="00000000" w:rsidP="00000000" w:rsidRDefault="00000000" w:rsidRPr="00000000" w14:paraId="0000003A">
      <w:pPr>
        <w:spacing w:line="360" w:lineRule="auto"/>
        <w:jc w:val="both"/>
        <w:rPr>
          <w:rFonts w:ascii="Palatino Linotype" w:cs="Palatino Linotype" w:eastAsia="Palatino Linotype" w:hAnsi="Palatino Linotype"/>
        </w:rPr>
      </w:pPr>
      <w:r w:rsidDel="00000000" w:rsidR="00000000" w:rsidRPr="00000000">
        <w:rPr>
          <w:rtl w:val="0"/>
        </w:rPr>
      </w:r>
    </w:p>
    <w:tbl>
      <w:tblPr>
        <w:tblStyle w:val="Table1"/>
        <w:tblW w:w="9351.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3260"/>
        <w:gridCol w:w="2552"/>
        <w:gridCol w:w="992"/>
        <w:tblGridChange w:id="0">
          <w:tblGrid>
            <w:gridCol w:w="2547"/>
            <w:gridCol w:w="3260"/>
            <w:gridCol w:w="2552"/>
            <w:gridCol w:w="992"/>
          </w:tblGrid>
        </w:tblGridChange>
      </w:tblGrid>
      <w:tr>
        <w:trPr>
          <w:cantSplit w:val="0"/>
          <w:tblHeader w:val="0"/>
        </w:trPr>
        <w:tc>
          <w:tcPr>
            <w:shd w:fill="bfbfbf" w:val="clear"/>
          </w:tcPr>
          <w:p w:rsidR="00000000" w:rsidDel="00000000" w:rsidP="00000000" w:rsidRDefault="00000000" w:rsidRPr="00000000" w14:paraId="0000003B">
            <w:pPr>
              <w:ind w:right="49"/>
              <w:jc w:val="center"/>
              <w:rPr>
                <w:rFonts w:ascii="Palatino Linotype" w:cs="Palatino Linotype" w:eastAsia="Palatino Linotype" w:hAnsi="Palatino Linotype"/>
                <w:b w:val="1"/>
                <w:sz w:val="18"/>
                <w:szCs w:val="18"/>
              </w:rPr>
            </w:pPr>
            <w:r w:rsidDel="00000000" w:rsidR="00000000" w:rsidRPr="00000000">
              <w:rPr>
                <w:rFonts w:ascii="Palatino Linotype" w:cs="Palatino Linotype" w:eastAsia="Palatino Linotype" w:hAnsi="Palatino Linotype"/>
                <w:b w:val="1"/>
                <w:sz w:val="18"/>
                <w:szCs w:val="18"/>
                <w:rtl w:val="0"/>
              </w:rPr>
              <w:t xml:space="preserve">Solicitud</w:t>
            </w:r>
          </w:p>
        </w:tc>
        <w:tc>
          <w:tcPr>
            <w:shd w:fill="bfbfbf" w:val="clear"/>
          </w:tcPr>
          <w:p w:rsidR="00000000" w:rsidDel="00000000" w:rsidP="00000000" w:rsidRDefault="00000000" w:rsidRPr="00000000" w14:paraId="0000003C">
            <w:pPr>
              <w:ind w:right="49"/>
              <w:jc w:val="center"/>
              <w:rPr>
                <w:rFonts w:ascii="Palatino Linotype" w:cs="Palatino Linotype" w:eastAsia="Palatino Linotype" w:hAnsi="Palatino Linotype"/>
                <w:b w:val="1"/>
                <w:sz w:val="18"/>
                <w:szCs w:val="18"/>
              </w:rPr>
            </w:pPr>
            <w:r w:rsidDel="00000000" w:rsidR="00000000" w:rsidRPr="00000000">
              <w:rPr>
                <w:rFonts w:ascii="Palatino Linotype" w:cs="Palatino Linotype" w:eastAsia="Palatino Linotype" w:hAnsi="Palatino Linotype"/>
                <w:b w:val="1"/>
                <w:sz w:val="18"/>
                <w:szCs w:val="18"/>
                <w:rtl w:val="0"/>
              </w:rPr>
              <w:t xml:space="preserve">Respuesta</w:t>
            </w:r>
          </w:p>
        </w:tc>
        <w:tc>
          <w:tcPr>
            <w:shd w:fill="bfbfbf" w:val="clear"/>
          </w:tcPr>
          <w:p w:rsidR="00000000" w:rsidDel="00000000" w:rsidP="00000000" w:rsidRDefault="00000000" w:rsidRPr="00000000" w14:paraId="0000003D">
            <w:pPr>
              <w:ind w:right="49"/>
              <w:jc w:val="center"/>
              <w:rPr>
                <w:rFonts w:ascii="Palatino Linotype" w:cs="Palatino Linotype" w:eastAsia="Palatino Linotype" w:hAnsi="Palatino Linotype"/>
                <w:b w:val="1"/>
                <w:sz w:val="18"/>
                <w:szCs w:val="18"/>
              </w:rPr>
            </w:pPr>
            <w:r w:rsidDel="00000000" w:rsidR="00000000" w:rsidRPr="00000000">
              <w:rPr>
                <w:rFonts w:ascii="Palatino Linotype" w:cs="Palatino Linotype" w:eastAsia="Palatino Linotype" w:hAnsi="Palatino Linotype"/>
                <w:b w:val="1"/>
                <w:sz w:val="18"/>
                <w:szCs w:val="18"/>
                <w:rtl w:val="0"/>
              </w:rPr>
              <w:t xml:space="preserve">Motivos de inconformidad </w:t>
            </w:r>
          </w:p>
        </w:tc>
        <w:tc>
          <w:tcPr>
            <w:shd w:fill="bfbfbf" w:val="clear"/>
          </w:tcPr>
          <w:p w:rsidR="00000000" w:rsidDel="00000000" w:rsidP="00000000" w:rsidRDefault="00000000" w:rsidRPr="00000000" w14:paraId="0000003E">
            <w:pPr>
              <w:ind w:right="49"/>
              <w:jc w:val="center"/>
              <w:rPr>
                <w:rFonts w:ascii="Palatino Linotype" w:cs="Palatino Linotype" w:eastAsia="Palatino Linotype" w:hAnsi="Palatino Linotype"/>
                <w:b w:val="1"/>
                <w:sz w:val="18"/>
                <w:szCs w:val="18"/>
              </w:rPr>
            </w:pPr>
            <w:r w:rsidDel="00000000" w:rsidR="00000000" w:rsidRPr="00000000">
              <w:rPr>
                <w:rFonts w:ascii="Palatino Linotype" w:cs="Palatino Linotype" w:eastAsia="Palatino Linotype" w:hAnsi="Palatino Linotype"/>
                <w:b w:val="1"/>
                <w:sz w:val="18"/>
                <w:szCs w:val="18"/>
                <w:rtl w:val="0"/>
              </w:rPr>
              <w:t xml:space="preserve">Colma /observaciones</w:t>
            </w:r>
          </w:p>
        </w:tc>
      </w:tr>
      <w:tr>
        <w:trPr>
          <w:cantSplit w:val="0"/>
          <w:trHeight w:val="1686" w:hRule="atLeast"/>
          <w:tblHeader w:val="0"/>
        </w:trPr>
        <w:tc>
          <w:tcPr/>
          <w:p w:rsidR="00000000" w:rsidDel="00000000" w:rsidP="00000000" w:rsidRDefault="00000000" w:rsidRPr="00000000" w14:paraId="0000003F">
            <w:pPr>
              <w:jc w:val="both"/>
              <w:rPr>
                <w:rFonts w:ascii="Palatino Linotype" w:cs="Palatino Linotype" w:eastAsia="Palatino Linotype" w:hAnsi="Palatino Linotype"/>
                <w:i w:val="1"/>
                <w:sz w:val="16"/>
                <w:szCs w:val="16"/>
              </w:rPr>
            </w:pPr>
            <w:r w:rsidDel="00000000" w:rsidR="00000000" w:rsidRPr="00000000">
              <w:rPr>
                <w:rtl w:val="0"/>
              </w:rPr>
            </w:r>
          </w:p>
          <w:p w:rsidR="00000000" w:rsidDel="00000000" w:rsidP="00000000" w:rsidRDefault="00000000" w:rsidRPr="00000000" w14:paraId="00000040">
            <w:pPr>
              <w:jc w:val="both"/>
              <w:rPr>
                <w:rFonts w:ascii="Palatino Linotype" w:cs="Palatino Linotype" w:eastAsia="Palatino Linotype" w:hAnsi="Palatino Linotype"/>
                <w:sz w:val="16"/>
                <w:szCs w:val="16"/>
              </w:rPr>
            </w:pPr>
            <w:r w:rsidDel="00000000" w:rsidR="00000000" w:rsidRPr="00000000">
              <w:rPr>
                <w:rFonts w:ascii="Palatino Linotype" w:cs="Palatino Linotype" w:eastAsia="Palatino Linotype" w:hAnsi="Palatino Linotype"/>
                <w:sz w:val="16"/>
                <w:szCs w:val="16"/>
                <w:rtl w:val="0"/>
              </w:rPr>
              <w:t xml:space="preserve">1.- Los permisos o renuncias, así como el documento en donde la Tesorería o el área correspondiente informa que se ha dado de baja o qué no se le estará pagando durante el tiempo de permiso o en su caso de la baja que se realiza en nómina. (los permisos del período de abril a junio 2021):</w:t>
            </w:r>
          </w:p>
          <w:p w:rsidR="00000000" w:rsidDel="00000000" w:rsidP="00000000" w:rsidRDefault="00000000" w:rsidRPr="00000000" w14:paraId="00000041">
            <w:pPr>
              <w:jc w:val="both"/>
              <w:rPr>
                <w:rFonts w:ascii="Palatino Linotype" w:cs="Palatino Linotype" w:eastAsia="Palatino Linotype" w:hAnsi="Palatino Linotype"/>
                <w:sz w:val="16"/>
                <w:szCs w:val="16"/>
              </w:rPr>
            </w:pPr>
            <w:r w:rsidDel="00000000" w:rsidR="00000000" w:rsidRPr="00000000">
              <w:rPr>
                <w:rtl w:val="0"/>
              </w:rPr>
            </w:r>
          </w:p>
          <w:p w:rsidR="00000000" w:rsidDel="00000000" w:rsidP="00000000" w:rsidRDefault="00000000" w:rsidRPr="00000000" w14:paraId="00000042">
            <w:pPr>
              <w:rPr>
                <w:rFonts w:ascii="Palatino Linotype" w:cs="Palatino Linotype" w:eastAsia="Palatino Linotype" w:hAnsi="Palatino Linotype"/>
                <w:sz w:val="16"/>
                <w:szCs w:val="16"/>
              </w:rPr>
            </w:pPr>
            <w:r w:rsidDel="00000000" w:rsidR="00000000" w:rsidRPr="00000000">
              <w:rPr>
                <w:rFonts w:ascii="Palatino Linotype" w:cs="Palatino Linotype" w:eastAsia="Palatino Linotype" w:hAnsi="Palatino Linotype"/>
                <w:sz w:val="16"/>
                <w:szCs w:val="16"/>
                <w:rtl w:val="0"/>
              </w:rPr>
              <w:t xml:space="preserve">-Cristián Álvarez Velasco</w:t>
            </w:r>
          </w:p>
          <w:p w:rsidR="00000000" w:rsidDel="00000000" w:rsidP="00000000" w:rsidRDefault="00000000" w:rsidRPr="00000000" w14:paraId="00000043">
            <w:pPr>
              <w:rPr>
                <w:rFonts w:ascii="Palatino Linotype" w:cs="Palatino Linotype" w:eastAsia="Palatino Linotype" w:hAnsi="Palatino Linotype"/>
                <w:sz w:val="16"/>
                <w:szCs w:val="16"/>
              </w:rPr>
            </w:pPr>
            <w:r w:rsidDel="00000000" w:rsidR="00000000" w:rsidRPr="00000000">
              <w:rPr>
                <w:rFonts w:ascii="Palatino Linotype" w:cs="Palatino Linotype" w:eastAsia="Palatino Linotype" w:hAnsi="Palatino Linotype"/>
                <w:sz w:val="16"/>
                <w:szCs w:val="16"/>
                <w:rtl w:val="0"/>
              </w:rPr>
              <w:t xml:space="preserve">- Juan Manuel Núñez Pastor</w:t>
            </w:r>
          </w:p>
          <w:p w:rsidR="00000000" w:rsidDel="00000000" w:rsidP="00000000" w:rsidRDefault="00000000" w:rsidRPr="00000000" w14:paraId="00000044">
            <w:pPr>
              <w:rPr>
                <w:rFonts w:ascii="Palatino Linotype" w:cs="Palatino Linotype" w:eastAsia="Palatino Linotype" w:hAnsi="Palatino Linotype"/>
                <w:sz w:val="16"/>
                <w:szCs w:val="16"/>
              </w:rPr>
            </w:pPr>
            <w:r w:rsidDel="00000000" w:rsidR="00000000" w:rsidRPr="00000000">
              <w:rPr>
                <w:rFonts w:ascii="Palatino Linotype" w:cs="Palatino Linotype" w:eastAsia="Palatino Linotype" w:hAnsi="Palatino Linotype"/>
                <w:sz w:val="16"/>
                <w:szCs w:val="16"/>
                <w:rtl w:val="0"/>
              </w:rPr>
              <w:t xml:space="preserve">- Ángel Vallejo</w:t>
            </w:r>
          </w:p>
          <w:p w:rsidR="00000000" w:rsidDel="00000000" w:rsidP="00000000" w:rsidRDefault="00000000" w:rsidRPr="00000000" w14:paraId="00000045">
            <w:pPr>
              <w:rPr>
                <w:rFonts w:ascii="Palatino Linotype" w:cs="Palatino Linotype" w:eastAsia="Palatino Linotype" w:hAnsi="Palatino Linotype"/>
                <w:sz w:val="16"/>
                <w:szCs w:val="16"/>
              </w:rPr>
            </w:pPr>
            <w:r w:rsidDel="00000000" w:rsidR="00000000" w:rsidRPr="00000000">
              <w:rPr>
                <w:rFonts w:ascii="Palatino Linotype" w:cs="Palatino Linotype" w:eastAsia="Palatino Linotype" w:hAnsi="Palatino Linotype"/>
                <w:sz w:val="16"/>
                <w:szCs w:val="16"/>
                <w:rtl w:val="0"/>
              </w:rPr>
              <w:t xml:space="preserve">-Juan Gregorio Padilla</w:t>
            </w:r>
          </w:p>
          <w:p w:rsidR="00000000" w:rsidDel="00000000" w:rsidP="00000000" w:rsidRDefault="00000000" w:rsidRPr="00000000" w14:paraId="00000046">
            <w:pPr>
              <w:rPr>
                <w:rFonts w:ascii="Palatino Linotype" w:cs="Palatino Linotype" w:eastAsia="Palatino Linotype" w:hAnsi="Palatino Linotype"/>
                <w:sz w:val="16"/>
                <w:szCs w:val="16"/>
              </w:rPr>
            </w:pPr>
            <w:r w:rsidDel="00000000" w:rsidR="00000000" w:rsidRPr="00000000">
              <w:rPr>
                <w:rFonts w:ascii="Palatino Linotype" w:cs="Palatino Linotype" w:eastAsia="Palatino Linotype" w:hAnsi="Palatino Linotype"/>
                <w:sz w:val="16"/>
                <w:szCs w:val="16"/>
                <w:rtl w:val="0"/>
              </w:rPr>
              <w:t xml:space="preserve">- Yazmín Mendoza Colin</w:t>
            </w:r>
          </w:p>
          <w:p w:rsidR="00000000" w:rsidDel="00000000" w:rsidP="00000000" w:rsidRDefault="00000000" w:rsidRPr="00000000" w14:paraId="00000047">
            <w:pPr>
              <w:rPr>
                <w:rFonts w:ascii="Palatino Linotype" w:cs="Palatino Linotype" w:eastAsia="Palatino Linotype" w:hAnsi="Palatino Linotype"/>
                <w:sz w:val="16"/>
                <w:szCs w:val="16"/>
              </w:rPr>
            </w:pPr>
            <w:r w:rsidDel="00000000" w:rsidR="00000000" w:rsidRPr="00000000">
              <w:rPr>
                <w:rFonts w:ascii="Palatino Linotype" w:cs="Palatino Linotype" w:eastAsia="Palatino Linotype" w:hAnsi="Palatino Linotype"/>
                <w:sz w:val="16"/>
                <w:szCs w:val="16"/>
                <w:rtl w:val="0"/>
              </w:rPr>
              <w:t xml:space="preserve">- Ferdinando Escamilla Becerril</w:t>
            </w:r>
          </w:p>
          <w:p w:rsidR="00000000" w:rsidDel="00000000" w:rsidP="00000000" w:rsidRDefault="00000000" w:rsidRPr="00000000" w14:paraId="00000048">
            <w:pPr>
              <w:rPr>
                <w:rFonts w:ascii="Palatino Linotype" w:cs="Palatino Linotype" w:eastAsia="Palatino Linotype" w:hAnsi="Palatino Linotype"/>
                <w:sz w:val="16"/>
                <w:szCs w:val="16"/>
              </w:rPr>
            </w:pPr>
            <w:r w:rsidDel="00000000" w:rsidR="00000000" w:rsidRPr="00000000">
              <w:rPr>
                <w:rFonts w:ascii="Palatino Linotype" w:cs="Palatino Linotype" w:eastAsia="Palatino Linotype" w:hAnsi="Palatino Linotype"/>
                <w:sz w:val="16"/>
                <w:szCs w:val="16"/>
                <w:rtl w:val="0"/>
              </w:rPr>
              <w:t xml:space="preserve">- Mario Yañez Mena</w:t>
            </w:r>
          </w:p>
          <w:p w:rsidR="00000000" w:rsidDel="00000000" w:rsidP="00000000" w:rsidRDefault="00000000" w:rsidRPr="00000000" w14:paraId="00000049">
            <w:pPr>
              <w:rPr>
                <w:rFonts w:ascii="Palatino Linotype" w:cs="Palatino Linotype" w:eastAsia="Palatino Linotype" w:hAnsi="Palatino Linotype"/>
                <w:sz w:val="16"/>
                <w:szCs w:val="16"/>
              </w:rPr>
            </w:pPr>
            <w:r w:rsidDel="00000000" w:rsidR="00000000" w:rsidRPr="00000000">
              <w:rPr>
                <w:rFonts w:ascii="Palatino Linotype" w:cs="Palatino Linotype" w:eastAsia="Palatino Linotype" w:hAnsi="Palatino Linotype"/>
                <w:sz w:val="16"/>
                <w:szCs w:val="16"/>
                <w:rtl w:val="0"/>
              </w:rPr>
              <w:t xml:space="preserve">- David Alejandro Castro García</w:t>
            </w:r>
          </w:p>
          <w:p w:rsidR="00000000" w:rsidDel="00000000" w:rsidP="00000000" w:rsidRDefault="00000000" w:rsidRPr="00000000" w14:paraId="0000004A">
            <w:pPr>
              <w:rPr>
                <w:rFonts w:ascii="Palatino Linotype" w:cs="Palatino Linotype" w:eastAsia="Palatino Linotype" w:hAnsi="Palatino Linotype"/>
                <w:sz w:val="16"/>
                <w:szCs w:val="16"/>
              </w:rPr>
            </w:pPr>
            <w:r w:rsidDel="00000000" w:rsidR="00000000" w:rsidRPr="00000000">
              <w:rPr>
                <w:rFonts w:ascii="Palatino Linotype" w:cs="Palatino Linotype" w:eastAsia="Palatino Linotype" w:hAnsi="Palatino Linotype"/>
                <w:sz w:val="16"/>
                <w:szCs w:val="16"/>
                <w:rtl w:val="0"/>
              </w:rPr>
              <w:t xml:space="preserve">- Sebastian Montiel Cardenaz</w:t>
            </w:r>
          </w:p>
          <w:p w:rsidR="00000000" w:rsidDel="00000000" w:rsidP="00000000" w:rsidRDefault="00000000" w:rsidRPr="00000000" w14:paraId="0000004B">
            <w:pPr>
              <w:rPr>
                <w:rFonts w:ascii="Palatino Linotype" w:cs="Palatino Linotype" w:eastAsia="Palatino Linotype" w:hAnsi="Palatino Linotype"/>
                <w:sz w:val="16"/>
                <w:szCs w:val="16"/>
              </w:rPr>
            </w:pPr>
            <w:r w:rsidDel="00000000" w:rsidR="00000000" w:rsidRPr="00000000">
              <w:rPr>
                <w:rFonts w:ascii="Palatino Linotype" w:cs="Palatino Linotype" w:eastAsia="Palatino Linotype" w:hAnsi="Palatino Linotype"/>
                <w:sz w:val="16"/>
                <w:szCs w:val="16"/>
                <w:rtl w:val="0"/>
              </w:rPr>
              <w:t xml:space="preserve">- Laura Felix</w:t>
            </w:r>
          </w:p>
          <w:p w:rsidR="00000000" w:rsidDel="00000000" w:rsidP="00000000" w:rsidRDefault="00000000" w:rsidRPr="00000000" w14:paraId="0000004C">
            <w:pPr>
              <w:rPr>
                <w:rFonts w:ascii="Palatino Linotype" w:cs="Palatino Linotype" w:eastAsia="Palatino Linotype" w:hAnsi="Palatino Linotype"/>
                <w:sz w:val="16"/>
                <w:szCs w:val="16"/>
              </w:rPr>
            </w:pPr>
            <w:r w:rsidDel="00000000" w:rsidR="00000000" w:rsidRPr="00000000">
              <w:rPr>
                <w:rFonts w:ascii="Palatino Linotype" w:cs="Palatino Linotype" w:eastAsia="Palatino Linotype" w:hAnsi="Palatino Linotype"/>
                <w:sz w:val="16"/>
                <w:szCs w:val="16"/>
                <w:rtl w:val="0"/>
              </w:rPr>
              <w:t xml:space="preserve">- Erick Esquivel Enríquez</w:t>
            </w:r>
          </w:p>
          <w:p w:rsidR="00000000" w:rsidDel="00000000" w:rsidP="00000000" w:rsidRDefault="00000000" w:rsidRPr="00000000" w14:paraId="0000004D">
            <w:pPr>
              <w:rPr>
                <w:rFonts w:ascii="Palatino Linotype" w:cs="Palatino Linotype" w:eastAsia="Palatino Linotype" w:hAnsi="Palatino Linotype"/>
                <w:sz w:val="16"/>
                <w:szCs w:val="16"/>
              </w:rPr>
            </w:pPr>
            <w:r w:rsidDel="00000000" w:rsidR="00000000" w:rsidRPr="00000000">
              <w:rPr>
                <w:rFonts w:ascii="Palatino Linotype" w:cs="Palatino Linotype" w:eastAsia="Palatino Linotype" w:hAnsi="Palatino Linotype"/>
                <w:sz w:val="16"/>
                <w:szCs w:val="16"/>
                <w:rtl w:val="0"/>
              </w:rPr>
              <w:t xml:space="preserve">- Rodolfo Gómez</w:t>
            </w:r>
          </w:p>
          <w:p w:rsidR="00000000" w:rsidDel="00000000" w:rsidP="00000000" w:rsidRDefault="00000000" w:rsidRPr="00000000" w14:paraId="0000004E">
            <w:pPr>
              <w:rPr>
                <w:rFonts w:ascii="Palatino Linotype" w:cs="Palatino Linotype" w:eastAsia="Palatino Linotype" w:hAnsi="Palatino Linotype"/>
                <w:sz w:val="16"/>
                <w:szCs w:val="16"/>
              </w:rPr>
            </w:pPr>
            <w:r w:rsidDel="00000000" w:rsidR="00000000" w:rsidRPr="00000000">
              <w:rPr>
                <w:rFonts w:ascii="Palatino Linotype" w:cs="Palatino Linotype" w:eastAsia="Palatino Linotype" w:hAnsi="Palatino Linotype"/>
                <w:sz w:val="16"/>
                <w:szCs w:val="16"/>
                <w:rtl w:val="0"/>
              </w:rPr>
              <w:t xml:space="preserve">-Elias de la Cruz</w:t>
            </w:r>
          </w:p>
          <w:p w:rsidR="00000000" w:rsidDel="00000000" w:rsidP="00000000" w:rsidRDefault="00000000" w:rsidRPr="00000000" w14:paraId="0000004F">
            <w:pPr>
              <w:jc w:val="both"/>
              <w:rPr>
                <w:rFonts w:ascii="Palatino Linotype" w:cs="Palatino Linotype" w:eastAsia="Palatino Linotype" w:hAnsi="Palatino Linotype"/>
                <w:sz w:val="16"/>
                <w:szCs w:val="16"/>
              </w:rPr>
            </w:pPr>
            <w:r w:rsidDel="00000000" w:rsidR="00000000" w:rsidRPr="00000000">
              <w:rPr>
                <w:rtl w:val="0"/>
              </w:rPr>
            </w:r>
          </w:p>
        </w:tc>
        <w:tc>
          <w:tcPr/>
          <w:p w:rsidR="00000000" w:rsidDel="00000000" w:rsidP="00000000" w:rsidRDefault="00000000" w:rsidRPr="00000000" w14:paraId="00000050">
            <w:pPr>
              <w:jc w:val="both"/>
              <w:rPr>
                <w:rFonts w:ascii="Palatino Linotype" w:cs="Palatino Linotype" w:eastAsia="Palatino Linotype" w:hAnsi="Palatino Linotype"/>
                <w:i w:val="1"/>
                <w:sz w:val="18"/>
                <w:szCs w:val="18"/>
              </w:rPr>
            </w:pPr>
            <w:r w:rsidDel="00000000" w:rsidR="00000000" w:rsidRPr="00000000">
              <w:rPr>
                <w:rtl w:val="0"/>
              </w:rPr>
            </w:r>
          </w:p>
          <w:p w:rsidR="00000000" w:rsidDel="00000000" w:rsidP="00000000" w:rsidRDefault="00000000" w:rsidRPr="00000000" w14:paraId="00000051">
            <w:pPr>
              <w:jc w:val="both"/>
              <w:rPr>
                <w:rFonts w:ascii="Palatino Linotype" w:cs="Palatino Linotype" w:eastAsia="Palatino Linotype" w:hAnsi="Palatino Linotype"/>
                <w:sz w:val="18"/>
                <w:szCs w:val="18"/>
              </w:rPr>
            </w:pPr>
            <w:r w:rsidDel="00000000" w:rsidR="00000000" w:rsidRPr="00000000">
              <w:rPr>
                <w:rFonts w:ascii="Palatino Linotype" w:cs="Palatino Linotype" w:eastAsia="Palatino Linotype" w:hAnsi="Palatino Linotype"/>
                <w:sz w:val="18"/>
                <w:szCs w:val="18"/>
                <w:rtl w:val="0"/>
              </w:rPr>
              <w:t xml:space="preserve">Oficio ADMON/RH/0614/06/21 de fecha veintidós de julio de 2021, suscrito por el Director de Administración, a través del cual refiere que se anexan copias de los escritos en versión pública de los servidores públicos que solicitaron permiso sin goce de sueldo para participar en campaña de algún partido político.  </w:t>
            </w:r>
          </w:p>
          <w:p w:rsidR="00000000" w:rsidDel="00000000" w:rsidP="00000000" w:rsidRDefault="00000000" w:rsidRPr="00000000" w14:paraId="00000052">
            <w:pPr>
              <w:jc w:val="both"/>
              <w:rPr>
                <w:rFonts w:ascii="Palatino Linotype" w:cs="Palatino Linotype" w:eastAsia="Palatino Linotype" w:hAnsi="Palatino Linotype"/>
                <w:sz w:val="18"/>
                <w:szCs w:val="18"/>
              </w:rPr>
            </w:pPr>
            <w:r w:rsidDel="00000000" w:rsidR="00000000" w:rsidRPr="00000000">
              <w:rPr>
                <w:rtl w:val="0"/>
              </w:rPr>
            </w:r>
          </w:p>
          <w:p w:rsidR="00000000" w:rsidDel="00000000" w:rsidP="00000000" w:rsidRDefault="00000000" w:rsidRPr="00000000" w14:paraId="00000053">
            <w:pPr>
              <w:jc w:val="both"/>
              <w:rPr>
                <w:rFonts w:ascii="Palatino Linotype" w:cs="Palatino Linotype" w:eastAsia="Palatino Linotype" w:hAnsi="Palatino Linotype"/>
                <w:sz w:val="18"/>
                <w:szCs w:val="18"/>
              </w:rPr>
            </w:pPr>
            <w:r w:rsidDel="00000000" w:rsidR="00000000" w:rsidRPr="00000000">
              <w:rPr>
                <w:rFonts w:ascii="Palatino Linotype" w:cs="Palatino Linotype" w:eastAsia="Palatino Linotype" w:hAnsi="Palatino Linotype"/>
                <w:sz w:val="18"/>
                <w:szCs w:val="18"/>
                <w:rtl w:val="0"/>
              </w:rPr>
              <w:t xml:space="preserve">a) Escritos de licencias laborales sin goce de sueldo de los servidores públicos:</w:t>
            </w:r>
          </w:p>
          <w:p w:rsidR="00000000" w:rsidDel="00000000" w:rsidP="00000000" w:rsidRDefault="00000000" w:rsidRPr="00000000" w14:paraId="00000054">
            <w:pPr>
              <w:ind w:left="181" w:firstLine="0"/>
              <w:jc w:val="both"/>
              <w:rPr>
                <w:rFonts w:ascii="Palatino Linotype" w:cs="Palatino Linotype" w:eastAsia="Palatino Linotype" w:hAnsi="Palatino Linotype"/>
                <w:sz w:val="18"/>
                <w:szCs w:val="18"/>
              </w:rPr>
            </w:pPr>
            <w:r w:rsidDel="00000000" w:rsidR="00000000" w:rsidRPr="00000000">
              <w:rPr>
                <w:rFonts w:ascii="Palatino Linotype" w:cs="Palatino Linotype" w:eastAsia="Palatino Linotype" w:hAnsi="Palatino Linotype"/>
                <w:sz w:val="18"/>
                <w:szCs w:val="18"/>
                <w:rtl w:val="0"/>
              </w:rPr>
              <w:t xml:space="preserve"> - Rogelio Aparicio Suarez, </w:t>
            </w:r>
          </w:p>
          <w:p w:rsidR="00000000" w:rsidDel="00000000" w:rsidP="00000000" w:rsidRDefault="00000000" w:rsidRPr="00000000" w14:paraId="00000055">
            <w:pPr>
              <w:ind w:left="181" w:firstLine="0"/>
              <w:jc w:val="both"/>
              <w:rPr>
                <w:rFonts w:ascii="Palatino Linotype" w:cs="Palatino Linotype" w:eastAsia="Palatino Linotype" w:hAnsi="Palatino Linotype"/>
                <w:sz w:val="18"/>
                <w:szCs w:val="18"/>
              </w:rPr>
            </w:pPr>
            <w:r w:rsidDel="00000000" w:rsidR="00000000" w:rsidRPr="00000000">
              <w:rPr>
                <w:rFonts w:ascii="Palatino Linotype" w:cs="Palatino Linotype" w:eastAsia="Palatino Linotype" w:hAnsi="Palatino Linotype"/>
                <w:sz w:val="18"/>
                <w:szCs w:val="18"/>
                <w:rtl w:val="0"/>
              </w:rPr>
              <w:t xml:space="preserve">- Raul Absalon Paez Valencia, y </w:t>
            </w:r>
          </w:p>
          <w:p w:rsidR="00000000" w:rsidDel="00000000" w:rsidP="00000000" w:rsidRDefault="00000000" w:rsidRPr="00000000" w14:paraId="00000056">
            <w:pPr>
              <w:ind w:left="181" w:firstLine="0"/>
              <w:jc w:val="both"/>
              <w:rPr>
                <w:rFonts w:ascii="Palatino Linotype" w:cs="Palatino Linotype" w:eastAsia="Palatino Linotype" w:hAnsi="Palatino Linotype"/>
                <w:sz w:val="18"/>
                <w:szCs w:val="18"/>
              </w:rPr>
            </w:pPr>
            <w:r w:rsidDel="00000000" w:rsidR="00000000" w:rsidRPr="00000000">
              <w:rPr>
                <w:rFonts w:ascii="Palatino Linotype" w:cs="Palatino Linotype" w:eastAsia="Palatino Linotype" w:hAnsi="Palatino Linotype"/>
                <w:sz w:val="18"/>
                <w:szCs w:val="18"/>
                <w:rtl w:val="0"/>
              </w:rPr>
              <w:t xml:space="preserve">-Yazmin Mendoza Colin; </w:t>
            </w:r>
          </w:p>
          <w:p w:rsidR="00000000" w:rsidDel="00000000" w:rsidP="00000000" w:rsidRDefault="00000000" w:rsidRPr="00000000" w14:paraId="00000057">
            <w:pPr>
              <w:jc w:val="both"/>
              <w:rPr>
                <w:rFonts w:ascii="Palatino Linotype" w:cs="Palatino Linotype" w:eastAsia="Palatino Linotype" w:hAnsi="Palatino Linotype"/>
                <w:sz w:val="18"/>
                <w:szCs w:val="18"/>
              </w:rPr>
            </w:pPr>
            <w:r w:rsidDel="00000000" w:rsidR="00000000" w:rsidRPr="00000000">
              <w:rPr>
                <w:rtl w:val="0"/>
              </w:rPr>
            </w:r>
          </w:p>
          <w:p w:rsidR="00000000" w:rsidDel="00000000" w:rsidP="00000000" w:rsidRDefault="00000000" w:rsidRPr="00000000" w14:paraId="00000058">
            <w:pPr>
              <w:jc w:val="both"/>
              <w:rPr>
                <w:rFonts w:ascii="Palatino Linotype" w:cs="Palatino Linotype" w:eastAsia="Palatino Linotype" w:hAnsi="Palatino Linotype"/>
                <w:sz w:val="18"/>
                <w:szCs w:val="18"/>
              </w:rPr>
            </w:pPr>
            <w:r w:rsidDel="00000000" w:rsidR="00000000" w:rsidRPr="00000000">
              <w:rPr>
                <w:rFonts w:ascii="Palatino Linotype" w:cs="Palatino Linotype" w:eastAsia="Palatino Linotype" w:hAnsi="Palatino Linotype"/>
                <w:sz w:val="18"/>
                <w:szCs w:val="18"/>
                <w:rtl w:val="0"/>
              </w:rPr>
              <w:t xml:space="preserve"> b) Autorizaciones por parte del presidente municipal a los anteriores escritos a través de los oficios </w:t>
            </w:r>
          </w:p>
          <w:p w:rsidR="00000000" w:rsidDel="00000000" w:rsidP="00000000" w:rsidRDefault="00000000" w:rsidRPr="00000000" w14:paraId="00000059">
            <w:pPr>
              <w:jc w:val="both"/>
              <w:rPr>
                <w:rFonts w:ascii="Palatino Linotype" w:cs="Palatino Linotype" w:eastAsia="Palatino Linotype" w:hAnsi="Palatino Linotype"/>
                <w:sz w:val="18"/>
                <w:szCs w:val="18"/>
              </w:rPr>
            </w:pPr>
            <w:r w:rsidDel="00000000" w:rsidR="00000000" w:rsidRPr="00000000">
              <w:rPr>
                <w:rtl w:val="0"/>
              </w:rPr>
            </w:r>
          </w:p>
          <w:p w:rsidR="00000000" w:rsidDel="00000000" w:rsidP="00000000" w:rsidRDefault="00000000" w:rsidRPr="00000000" w14:paraId="0000005A">
            <w:pPr>
              <w:ind w:left="708" w:firstLine="0"/>
              <w:rPr>
                <w:rFonts w:ascii="Palatino Linotype" w:cs="Palatino Linotype" w:eastAsia="Palatino Linotype" w:hAnsi="Palatino Linotype"/>
                <w:sz w:val="18"/>
                <w:szCs w:val="18"/>
              </w:rPr>
            </w:pPr>
            <w:r w:rsidDel="00000000" w:rsidR="00000000" w:rsidRPr="00000000">
              <w:rPr>
                <w:rFonts w:ascii="Palatino Linotype" w:cs="Palatino Linotype" w:eastAsia="Palatino Linotype" w:hAnsi="Palatino Linotype"/>
                <w:sz w:val="18"/>
                <w:szCs w:val="18"/>
                <w:rtl w:val="0"/>
              </w:rPr>
              <w:t xml:space="preserve">PM/RH/0389/04/21, PM/RH/0445/04/21, y PM/RH/0406/04/21;</w:t>
            </w:r>
          </w:p>
          <w:p w:rsidR="00000000" w:rsidDel="00000000" w:rsidP="00000000" w:rsidRDefault="00000000" w:rsidRPr="00000000" w14:paraId="0000005B">
            <w:pPr>
              <w:jc w:val="both"/>
              <w:rPr>
                <w:rFonts w:ascii="Palatino Linotype" w:cs="Palatino Linotype" w:eastAsia="Palatino Linotype" w:hAnsi="Palatino Linotype"/>
                <w:sz w:val="18"/>
                <w:szCs w:val="18"/>
              </w:rPr>
            </w:pPr>
            <w:r w:rsidDel="00000000" w:rsidR="00000000" w:rsidRPr="00000000">
              <w:rPr>
                <w:rtl w:val="0"/>
              </w:rPr>
            </w:r>
          </w:p>
          <w:p w:rsidR="00000000" w:rsidDel="00000000" w:rsidP="00000000" w:rsidRDefault="00000000" w:rsidRPr="00000000" w14:paraId="0000005C">
            <w:pPr>
              <w:jc w:val="both"/>
              <w:rPr>
                <w:rFonts w:ascii="Palatino Linotype" w:cs="Palatino Linotype" w:eastAsia="Palatino Linotype" w:hAnsi="Palatino Linotype"/>
                <w:sz w:val="18"/>
                <w:szCs w:val="18"/>
              </w:rPr>
            </w:pPr>
            <w:r w:rsidDel="00000000" w:rsidR="00000000" w:rsidRPr="00000000">
              <w:rPr>
                <w:rFonts w:ascii="Palatino Linotype" w:cs="Palatino Linotype" w:eastAsia="Palatino Linotype" w:hAnsi="Palatino Linotype"/>
                <w:sz w:val="18"/>
                <w:szCs w:val="18"/>
                <w:rtl w:val="0"/>
              </w:rPr>
              <w:t xml:space="preserve">c) Oficio ADMON/RH/0431/05/21  de fecha once  de mayo de la presente anualidad dirigido al Tesorero Municipal a través del cual el Titular de la Dirección de Administración, solicita se realicen los movimientos necesarios a fin de ajustar sin goce de sueldo del personal antes referido. </w:t>
            </w:r>
          </w:p>
          <w:p w:rsidR="00000000" w:rsidDel="00000000" w:rsidP="00000000" w:rsidRDefault="00000000" w:rsidRPr="00000000" w14:paraId="0000005D">
            <w:pPr>
              <w:jc w:val="both"/>
              <w:rPr>
                <w:rFonts w:ascii="Palatino Linotype" w:cs="Palatino Linotype" w:eastAsia="Palatino Linotype" w:hAnsi="Palatino Linotype"/>
                <w:sz w:val="18"/>
                <w:szCs w:val="18"/>
              </w:rPr>
            </w:pPr>
            <w:r w:rsidDel="00000000" w:rsidR="00000000" w:rsidRPr="00000000">
              <w:rPr>
                <w:rtl w:val="0"/>
              </w:rPr>
            </w:r>
          </w:p>
        </w:tc>
        <w:tc>
          <w:tcPr/>
          <w:p w:rsidR="00000000" w:rsidDel="00000000" w:rsidP="00000000" w:rsidRDefault="00000000" w:rsidRPr="00000000" w14:paraId="0000005E">
            <w:pPr>
              <w:jc w:val="both"/>
              <w:rPr>
                <w:rFonts w:ascii="Palatino Linotype" w:cs="Palatino Linotype" w:eastAsia="Palatino Linotype" w:hAnsi="Palatino Linotype"/>
                <w:sz w:val="18"/>
                <w:szCs w:val="18"/>
              </w:rPr>
            </w:pPr>
            <w:r w:rsidDel="00000000" w:rsidR="00000000" w:rsidRPr="00000000">
              <w:rPr>
                <w:rtl w:val="0"/>
              </w:rPr>
            </w:r>
          </w:p>
          <w:p w:rsidR="00000000" w:rsidDel="00000000" w:rsidP="00000000" w:rsidRDefault="00000000" w:rsidRPr="00000000" w14:paraId="0000005F">
            <w:pPr>
              <w:jc w:val="both"/>
              <w:rPr>
                <w:rFonts w:ascii="Palatino Linotype" w:cs="Palatino Linotype" w:eastAsia="Palatino Linotype" w:hAnsi="Palatino Linotype"/>
                <w:sz w:val="18"/>
                <w:szCs w:val="18"/>
              </w:rPr>
            </w:pPr>
            <w:r w:rsidDel="00000000" w:rsidR="00000000" w:rsidRPr="00000000">
              <w:rPr>
                <w:rFonts w:ascii="Palatino Linotype" w:cs="Palatino Linotype" w:eastAsia="Palatino Linotype" w:hAnsi="Palatino Linotype"/>
                <w:sz w:val="18"/>
                <w:szCs w:val="18"/>
                <w:rtl w:val="0"/>
              </w:rPr>
              <w:t xml:space="preserve">Que sólo se presentaron los documentos de 3 de ellos, no estoy </w:t>
            </w:r>
            <w:r w:rsidDel="00000000" w:rsidR="00000000" w:rsidRPr="00000000">
              <w:rPr>
                <w:rFonts w:ascii="Palatino Linotype" w:cs="Palatino Linotype" w:eastAsia="Palatino Linotype" w:hAnsi="Palatino Linotype"/>
                <w:b w:val="1"/>
                <w:sz w:val="18"/>
                <w:szCs w:val="18"/>
                <w:rtl w:val="0"/>
              </w:rPr>
              <w:t xml:space="preserve">solicitando información confidencial si no únicamente sus permisos o bajas</w:t>
            </w:r>
            <w:r w:rsidDel="00000000" w:rsidR="00000000" w:rsidRPr="00000000">
              <w:rPr>
                <w:rFonts w:ascii="Palatino Linotype" w:cs="Palatino Linotype" w:eastAsia="Palatino Linotype" w:hAnsi="Palatino Linotype"/>
                <w:sz w:val="18"/>
                <w:szCs w:val="18"/>
                <w:rtl w:val="0"/>
              </w:rPr>
              <w:t xml:space="preserve">.</w:t>
            </w:r>
          </w:p>
          <w:p w:rsidR="00000000" w:rsidDel="00000000" w:rsidP="00000000" w:rsidRDefault="00000000" w:rsidRPr="00000000" w14:paraId="00000060">
            <w:pPr>
              <w:jc w:val="both"/>
              <w:rPr>
                <w:rFonts w:ascii="Palatino Linotype" w:cs="Palatino Linotype" w:eastAsia="Palatino Linotype" w:hAnsi="Palatino Linotype"/>
                <w:sz w:val="18"/>
                <w:szCs w:val="18"/>
              </w:rPr>
            </w:pPr>
            <w:r w:rsidDel="00000000" w:rsidR="00000000" w:rsidRPr="00000000">
              <w:rPr>
                <w:rtl w:val="0"/>
              </w:rPr>
            </w:r>
          </w:p>
          <w:p w:rsidR="00000000" w:rsidDel="00000000" w:rsidP="00000000" w:rsidRDefault="00000000" w:rsidRPr="00000000" w14:paraId="00000061">
            <w:pPr>
              <w:jc w:val="both"/>
              <w:rPr>
                <w:rFonts w:ascii="Palatino Linotype" w:cs="Palatino Linotype" w:eastAsia="Palatino Linotype" w:hAnsi="Palatino Linotype"/>
                <w:sz w:val="18"/>
                <w:szCs w:val="18"/>
              </w:rPr>
            </w:pPr>
            <w:r w:rsidDel="00000000" w:rsidR="00000000" w:rsidRPr="00000000">
              <w:rPr>
                <w:rFonts w:ascii="Palatino Linotype" w:cs="Palatino Linotype" w:eastAsia="Palatino Linotype" w:hAnsi="Palatino Linotype"/>
                <w:sz w:val="18"/>
                <w:szCs w:val="18"/>
                <w:rtl w:val="0"/>
              </w:rPr>
              <w:t xml:space="preserve">Solicita se le informe que de no tener los permisos, informar el por qué no se ha realizado nada al respecto con ese personal. </w:t>
            </w:r>
          </w:p>
          <w:p w:rsidR="00000000" w:rsidDel="00000000" w:rsidP="00000000" w:rsidRDefault="00000000" w:rsidRPr="00000000" w14:paraId="00000062">
            <w:pPr>
              <w:jc w:val="both"/>
              <w:rPr>
                <w:rFonts w:ascii="Palatino Linotype" w:cs="Palatino Linotype" w:eastAsia="Palatino Linotype" w:hAnsi="Palatino Linotype"/>
                <w:sz w:val="18"/>
                <w:szCs w:val="18"/>
              </w:rPr>
            </w:pPr>
            <w:r w:rsidDel="00000000" w:rsidR="00000000" w:rsidRPr="00000000">
              <w:rPr>
                <w:rtl w:val="0"/>
              </w:rPr>
            </w:r>
          </w:p>
          <w:p w:rsidR="00000000" w:rsidDel="00000000" w:rsidP="00000000" w:rsidRDefault="00000000" w:rsidRPr="00000000" w14:paraId="00000063">
            <w:pPr>
              <w:jc w:val="both"/>
              <w:rPr>
                <w:rFonts w:ascii="Palatino Linotype" w:cs="Palatino Linotype" w:eastAsia="Palatino Linotype" w:hAnsi="Palatino Linotype"/>
                <w:sz w:val="18"/>
                <w:szCs w:val="18"/>
              </w:rPr>
            </w:pPr>
            <w:r w:rsidDel="00000000" w:rsidR="00000000" w:rsidRPr="00000000">
              <w:rPr>
                <w:rFonts w:ascii="Verdana" w:cs="Verdana" w:eastAsia="Verdana" w:hAnsi="Verdana"/>
                <w:color w:val="000000"/>
                <w:sz w:val="14"/>
                <w:szCs w:val="14"/>
                <w:rtl w:val="0"/>
              </w:rPr>
              <w:t xml:space="preserve">.</w:t>
            </w:r>
            <w:r w:rsidDel="00000000" w:rsidR="00000000" w:rsidRPr="00000000">
              <w:rPr>
                <w:rtl w:val="0"/>
              </w:rPr>
            </w:r>
          </w:p>
        </w:tc>
        <w:tc>
          <w:tcPr/>
          <w:p w:rsidR="00000000" w:rsidDel="00000000" w:rsidP="00000000" w:rsidRDefault="00000000" w:rsidRPr="00000000" w14:paraId="00000064">
            <w:pPr>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Parcial </w:t>
            </w:r>
          </w:p>
        </w:tc>
      </w:tr>
    </w:tbl>
    <w:p w:rsidR="00000000" w:rsidDel="00000000" w:rsidP="00000000" w:rsidRDefault="00000000" w:rsidRPr="00000000" w14:paraId="00000065">
      <w:pPr>
        <w:tabs>
          <w:tab w:val="left" w:pos="4962"/>
        </w:tabs>
        <w:spacing w:line="360" w:lineRule="auto"/>
        <w:jc w:val="both"/>
        <w:rPr>
          <w:rFonts w:ascii="Palatino Linotype" w:cs="Palatino Linotype" w:eastAsia="Palatino Linotype" w:hAnsi="Palatino Linotype"/>
          <w:color w:val="ff0000"/>
        </w:rPr>
      </w:pPr>
      <w:r w:rsidDel="00000000" w:rsidR="00000000" w:rsidRPr="00000000">
        <w:rPr>
          <w:rtl w:val="0"/>
        </w:rPr>
      </w:r>
    </w:p>
    <w:p w:rsidR="00000000" w:rsidDel="00000000" w:rsidP="00000000" w:rsidRDefault="00000000" w:rsidRPr="00000000" w14:paraId="00000066">
      <w:pPr>
        <w:spacing w:line="360" w:lineRule="auto"/>
        <w:ind w:right="-93"/>
        <w:jc w:val="both"/>
        <w:rPr>
          <w:rFonts w:ascii="Palatino Linotype" w:cs="Palatino Linotype" w:eastAsia="Palatino Linotype" w:hAnsi="Palatino Linotype"/>
          <w:b w:val="1"/>
          <w:color w:val="ff0000"/>
        </w:rPr>
      </w:pPr>
      <w:r w:rsidDel="00000000" w:rsidR="00000000" w:rsidRPr="00000000">
        <w:rPr>
          <w:rtl w:val="0"/>
        </w:rPr>
      </w:r>
    </w:p>
    <w:p w:rsidR="00000000" w:rsidDel="00000000" w:rsidP="00000000" w:rsidRDefault="00000000" w:rsidRPr="00000000" w14:paraId="00000067">
      <w:pPr>
        <w:spacing w:line="360" w:lineRule="auto"/>
        <w:ind w:right="-93"/>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Agotado lo anterior, tenemos</w:t>
      </w:r>
      <w:r w:rsidDel="00000000" w:rsidR="00000000" w:rsidRPr="00000000">
        <w:rPr>
          <w:rFonts w:ascii="Palatino Linotype" w:cs="Palatino Linotype" w:eastAsia="Palatino Linotype" w:hAnsi="Palatino Linotype"/>
          <w:rtl w:val="0"/>
        </w:rPr>
        <w:t xml:space="preserve"> que  el artículo 6°, Apartado A), fracción I de la Constitución Política de los Estados Unidos Mexicanos, establece que toda la información en posesión de cualquier autoridad es pública y sólo podrá ser reservada temporalmente por razones de interés público. </w:t>
      </w:r>
      <w:r w:rsidDel="00000000" w:rsidR="00000000" w:rsidRPr="00000000">
        <w:rPr>
          <w:rtl w:val="0"/>
        </w:rPr>
      </w:r>
    </w:p>
    <w:p w:rsidR="00000000" w:rsidDel="00000000" w:rsidP="00000000" w:rsidRDefault="00000000" w:rsidRPr="00000000" w14:paraId="00000068">
      <w:pPr>
        <w:spacing w:line="360" w:lineRule="auto"/>
        <w:jc w:val="both"/>
        <w:rPr>
          <w:rFonts w:ascii="Palatino Linotype" w:cs="Palatino Linotype" w:eastAsia="Palatino Linotype" w:hAnsi="Palatino Linotype"/>
          <w:color w:val="ff0000"/>
        </w:rPr>
      </w:pPr>
      <w:r w:rsidDel="00000000" w:rsidR="00000000" w:rsidRPr="00000000">
        <w:rPr>
          <w:rtl w:val="0"/>
        </w:rPr>
      </w:r>
    </w:p>
    <w:p w:rsidR="00000000" w:rsidDel="00000000" w:rsidP="00000000" w:rsidRDefault="00000000" w:rsidRPr="00000000" w14:paraId="00000069">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000000" w:rsidDel="00000000" w:rsidP="00000000" w:rsidRDefault="00000000" w:rsidRPr="00000000" w14:paraId="0000006A">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B">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su parte, la Ley de Transparencia y Acceso a la Información Pública del Estado de México y Municipios (Reglamentaria del artículo 5° de la Constitución Local), establece lo siguiente:</w:t>
      </w:r>
    </w:p>
    <w:p w:rsidR="00000000" w:rsidDel="00000000" w:rsidP="00000000" w:rsidRDefault="00000000" w:rsidRPr="00000000" w14:paraId="0000006C">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 artículo 12, que, quienes generen, recopilen, administren, manejen, procesen, archiven o conserven información pública serán responsables de la misma.</w:t>
      </w:r>
    </w:p>
    <w:p w:rsidR="00000000" w:rsidDel="00000000" w:rsidP="00000000" w:rsidRDefault="00000000" w:rsidRPr="00000000" w14:paraId="0000006E">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 artículo 18, que, los Sujetos Obligados deberán documentar todo acto que derive del ejercicio de sus facultades, competencias o funciones, considerando desde su origen la eventual publicidad y reutilización de la información que generen.</w:t>
      </w:r>
    </w:p>
    <w:p w:rsidR="00000000" w:rsidDel="00000000" w:rsidP="00000000" w:rsidRDefault="00000000" w:rsidRPr="00000000" w14:paraId="00000070">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00000" w:rsidDel="00000000" w:rsidP="00000000" w:rsidRDefault="00000000" w:rsidRPr="00000000" w14:paraId="00000072">
      <w:pPr>
        <w:spacing w:line="360" w:lineRule="auto"/>
        <w:ind w:right="-93"/>
        <w:jc w:val="both"/>
        <w:rPr>
          <w:rFonts w:ascii="Palatino Linotype" w:cs="Palatino Linotype" w:eastAsia="Palatino Linotype" w:hAnsi="Palatino Linotype"/>
          <w:color w:val="ff0000"/>
        </w:rPr>
      </w:pPr>
      <w:r w:rsidDel="00000000" w:rsidR="00000000" w:rsidRPr="00000000">
        <w:rPr>
          <w:rtl w:val="0"/>
        </w:rPr>
      </w:r>
    </w:p>
    <w:p w:rsidR="00000000" w:rsidDel="00000000" w:rsidP="00000000" w:rsidRDefault="00000000" w:rsidRPr="00000000" w14:paraId="00000073">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000000" w:rsidDel="00000000" w:rsidP="00000000" w:rsidRDefault="00000000" w:rsidRPr="00000000" w14:paraId="00000074">
      <w:pPr>
        <w:ind w:left="851" w:right="899"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75">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3. </w:t>
      </w:r>
      <w:r w:rsidDel="00000000" w:rsidR="00000000" w:rsidRPr="00000000">
        <w:rPr>
          <w:rFonts w:ascii="Palatino Linotype" w:cs="Palatino Linotype" w:eastAsia="Palatino Linotype" w:hAnsi="Palatino Linotype"/>
          <w:i w:val="1"/>
          <w:sz w:val="22"/>
          <w:szCs w:val="22"/>
          <w:rtl w:val="0"/>
        </w:rPr>
        <w:t xml:space="preserve">Para los efectos de la presente Ley se entenderá por:</w:t>
      </w:r>
    </w:p>
    <w:p w:rsidR="00000000" w:rsidDel="00000000" w:rsidP="00000000" w:rsidRDefault="00000000" w:rsidRPr="00000000" w14:paraId="00000076">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77">
      <w:pPr>
        <w:ind w:left="851" w:right="899"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b w:val="1"/>
          <w:i w:val="1"/>
          <w:color w:val="000000"/>
          <w:sz w:val="22"/>
          <w:szCs w:val="22"/>
          <w:rtl w:val="0"/>
        </w:rPr>
        <w:t xml:space="preserve">XI. Documento:</w:t>
      </w:r>
      <w:r w:rsidDel="00000000" w:rsidR="00000000" w:rsidRPr="00000000">
        <w:rPr>
          <w:rFonts w:ascii="Palatino Linotype" w:cs="Palatino Linotype" w:eastAsia="Palatino Linotype" w:hAnsi="Palatino Linotype"/>
          <w:i w:val="1"/>
          <w:color w:val="000000"/>
          <w:sz w:val="22"/>
          <w:szCs w:val="22"/>
          <w:rtl w:val="0"/>
        </w:rPr>
        <w:t xml:space="preserve"> Los expedientes, reportes, estudios, actas</w:t>
      </w:r>
      <w:r w:rsidDel="00000000" w:rsidR="00000000" w:rsidRPr="00000000">
        <w:rPr>
          <w:rFonts w:ascii="Palatino Linotype" w:cs="Palatino Linotype" w:eastAsia="Palatino Linotype" w:hAnsi="Palatino Linotype"/>
          <w:b w:val="1"/>
          <w:i w:val="1"/>
          <w:color w:val="000000"/>
          <w:sz w:val="22"/>
          <w:szCs w:val="22"/>
          <w:rtl w:val="0"/>
        </w:rPr>
        <w:t xml:space="preserve">,</w:t>
      </w:r>
      <w:r w:rsidDel="00000000" w:rsidR="00000000" w:rsidRPr="00000000">
        <w:rPr>
          <w:rFonts w:ascii="Palatino Linotype" w:cs="Palatino Linotype" w:eastAsia="Palatino Linotype" w:hAnsi="Palatino Linotype"/>
          <w:i w:val="1"/>
          <w:color w:val="000000"/>
          <w:sz w:val="22"/>
          <w:szCs w:val="22"/>
          <w:rtl w:val="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000000" w:rsidDel="00000000" w:rsidP="00000000" w:rsidRDefault="00000000" w:rsidRPr="00000000" w14:paraId="00000078">
      <w:pPr>
        <w:ind w:left="851" w:right="899"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9">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000000" w:rsidDel="00000000" w:rsidP="00000000" w:rsidRDefault="00000000" w:rsidRPr="00000000" w14:paraId="0000007A">
      <w:pPr>
        <w:ind w:right="89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B">
      <w:pPr>
        <w:ind w:left="851" w:right="899"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CRITERIO 0002-11</w:t>
      </w:r>
    </w:p>
    <w:p w:rsidR="00000000" w:rsidDel="00000000" w:rsidP="00000000" w:rsidRDefault="00000000" w:rsidRPr="00000000" w14:paraId="0000007C">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INFORMACIÓN PÚBLICA, CONCEPTO DE, EN MATERIA DE TRANSPARENCIA. INTERPRETACIÓN SISTEMÁTICA DE LOS ARTÍCULOS 2°, FRACCIÓN V, XV, Y XVI, 3°, 4°, 11 Y 41.</w:t>
      </w:r>
      <w:r w:rsidDel="00000000" w:rsidR="00000000" w:rsidRPr="00000000">
        <w:rPr>
          <w:rFonts w:ascii="Palatino Linotype" w:cs="Palatino Linotype" w:eastAsia="Palatino Linotype" w:hAnsi="Palatino Linotype"/>
          <w:i w:val="1"/>
          <w:sz w:val="22"/>
          <w:szCs w:val="22"/>
          <w:rtl w:val="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00000" w:rsidDel="00000000" w:rsidP="00000000" w:rsidRDefault="00000000" w:rsidRPr="00000000" w14:paraId="0000007D">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consecuencia el acceso a la información se refiere a que se cumplan cualquiera de los siguientes tres supuestos:</w:t>
      </w:r>
    </w:p>
    <w:p w:rsidR="00000000" w:rsidDel="00000000" w:rsidP="00000000" w:rsidRDefault="00000000" w:rsidRPr="00000000" w14:paraId="0000007E">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1) </w:t>
      </w:r>
      <w:r w:rsidDel="00000000" w:rsidR="00000000" w:rsidRPr="00000000">
        <w:rPr>
          <w:rFonts w:ascii="Palatino Linotype" w:cs="Palatino Linotype" w:eastAsia="Palatino Linotype" w:hAnsi="Palatino Linotype"/>
          <w:b w:val="1"/>
          <w:i w:val="1"/>
          <w:sz w:val="22"/>
          <w:szCs w:val="22"/>
          <w:rtl w:val="0"/>
        </w:rPr>
        <w:t xml:space="preserve">Que se trate de información registrada en cualquier soporte documental, que en ejercicio de las atribuciones conferidas, sea generada por los Sujetos Obligados;</w:t>
      </w:r>
      <w:r w:rsidDel="00000000" w:rsidR="00000000" w:rsidRPr="00000000">
        <w:rPr>
          <w:rtl w:val="0"/>
        </w:rPr>
      </w:r>
    </w:p>
    <w:p w:rsidR="00000000" w:rsidDel="00000000" w:rsidP="00000000" w:rsidRDefault="00000000" w:rsidRPr="00000000" w14:paraId="0000007F">
      <w:pPr>
        <w:ind w:left="851" w:right="899"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2) Que se trate de información registrada en cualquier soporte documental, que en ejercicio de las atribuciones conferidas, sea administrada por los Sujetos Obligados, y</w:t>
      </w:r>
    </w:p>
    <w:p w:rsidR="00000000" w:rsidDel="00000000" w:rsidP="00000000" w:rsidRDefault="00000000" w:rsidRPr="00000000" w14:paraId="00000080">
      <w:pPr>
        <w:ind w:left="851" w:right="899"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3) Que se trate de información registrada en cualquier soporte documental, que en ejercicio de las atribuciones conferidas, se encuentre en posesión de los Sujetos Obligados.”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2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spacing w:after="36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83">
      <w:pPr>
        <w:spacing w:after="36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84">
      <w:pPr>
        <w:spacing w:after="36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85">
      <w:pPr>
        <w:spacing w:after="36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Bajo ese contexto, esta Autoridad analizó la totalidad de constancias que integran el expediente electrónico de actuación y advirtió en primer lugar que la parte recurrente, previo trámite del procedimiento de acceso a la información, se duele medularmente de que el SUJETO OBLIGADO no le entregó los permisos o bajas de  diez servidores públicos listados en la solicitud de información, pues únicamente refiere que le proporcionaron la información de tres de los trece que integran la lista; esto es, el solicitante se encuentra conforme con las documentales entregadas que corresponde a los servidores públicos: Rogelio Aparicio Suarez, Raul Absalon Paez Valencia, y Yazmin Mendoza Colin, quedando firmes los requerimientos en los cuales no se vertió argumento de inconformidad.</w:t>
      </w:r>
    </w:p>
    <w:p w:rsidR="00000000" w:rsidDel="00000000" w:rsidP="00000000" w:rsidRDefault="00000000" w:rsidRPr="00000000" w14:paraId="00000086">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es así, debido a que cuando el recurrente impugna la respuesta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y éste no expresa Razón o Motivo de Inconformidad en contra de todos los rubros solicitados, dichos rubros deben declararse atendidos, pues se entiende que el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000000" w:rsidDel="00000000" w:rsidP="00000000" w:rsidRDefault="00000000" w:rsidRPr="00000000" w14:paraId="00000087">
      <w:pPr>
        <w:spacing w:after="240" w:before="240" w:lineRule="auto"/>
        <w:ind w:left="993" w:right="132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i w:val="1"/>
          <w:sz w:val="22"/>
          <w:szCs w:val="22"/>
          <w:rtl w:val="0"/>
        </w:rPr>
        <w:t xml:space="preserve">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correspondiente.”(Sic)</w:t>
      </w:r>
    </w:p>
    <w:p w:rsidR="00000000" w:rsidDel="00000000" w:rsidP="00000000" w:rsidRDefault="00000000" w:rsidRPr="00000000" w14:paraId="00000088">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Consecuentemente, la parte de la solicitud que no fue impugnada debe declararse consentida por el recurrente, toda vez que no se realizaron manifestaciones de inconformidad, por lo que no pueden producirse efectos jurídicos tendentes a revocar, confirmar o modificar el acto reclamado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000000" w:rsidDel="00000000" w:rsidP="00000000" w:rsidRDefault="00000000" w:rsidRPr="00000000" w14:paraId="00000089">
      <w:pPr>
        <w:spacing w:after="240" w:before="240" w:lineRule="auto"/>
        <w:ind w:left="993" w:right="132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eficaz.”(Sic)</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2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2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Ahora bien, en lo tocante al motivo de inconformidad en donde el particular se siente ofendido, refirió “…</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presentaron los documentos de 3 de ellos, no estoy solicitando información confidencial si no </w:t>
      </w:r>
      <w:r w:rsidDel="00000000" w:rsidR="00000000" w:rsidRPr="00000000">
        <w:rPr>
          <w:rFonts w:ascii="Palatino Linotype" w:cs="Palatino Linotype" w:eastAsia="Palatino Linotype" w:hAnsi="Palatino Linotype"/>
          <w:b w:val="1"/>
          <w:i w:val="1"/>
          <w:smallCaps w:val="0"/>
          <w:strike w:val="0"/>
          <w:color w:val="000000"/>
          <w:sz w:val="24"/>
          <w:szCs w:val="24"/>
          <w:u w:val="single"/>
          <w:shd w:fill="auto" w:val="clear"/>
          <w:vertAlign w:val="baseline"/>
          <w:rtl w:val="0"/>
        </w:rPr>
        <w:t xml:space="preserve">únicamente sus permisos o bajas</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2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la revisión a la solicitud de información, en contraste con las documentales que entrega el SUEJETO OBLIGADO esta Autoridad observa que en efecto, el particular solicito información relacionada con doce servidores públicos, siendo que  únicamente le fueron entregado lo que corresponde a los servidores públicos: Rogelio Aparicio Suarez,  Raul Absalon Paez Valencia, y Yazmin Mendoza Colin, siendo omiso en emitir pronunciamiento respecto de los servidores públicos faltantes señalados en el listado de solicitud de información. </w:t>
      </w:r>
    </w:p>
    <w:p w:rsidR="00000000" w:rsidDel="00000000" w:rsidP="00000000" w:rsidRDefault="00000000" w:rsidRPr="00000000" w14:paraId="0000008D">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y tomando en consideración el motivo de inconformidad planteado por </w:t>
      </w:r>
      <w:r w:rsidDel="00000000" w:rsidR="00000000" w:rsidRPr="00000000">
        <w:rPr>
          <w:rFonts w:ascii="Palatino Linotype" w:cs="Palatino Linotype" w:eastAsia="Palatino Linotype" w:hAnsi="Palatino Linotype"/>
          <w:b w:val="1"/>
          <w:rtl w:val="0"/>
        </w:rPr>
        <w:t xml:space="preserve">LA RECURRENTE </w:t>
      </w:r>
      <w:r w:rsidDel="00000000" w:rsidR="00000000" w:rsidRPr="00000000">
        <w:rPr>
          <w:rFonts w:ascii="Palatino Linotype" w:cs="Palatino Linotype" w:eastAsia="Palatino Linotype" w:hAnsi="Palatino Linotype"/>
          <w:rtl w:val="0"/>
        </w:rPr>
        <w:t xml:space="preserve">resulta conveniente citar el contenido del artículo 95 de la Ley Orgánica Municipal del Estado de México, que señala:</w:t>
      </w:r>
    </w:p>
    <w:p w:rsidR="00000000" w:rsidDel="00000000" w:rsidP="00000000" w:rsidRDefault="00000000" w:rsidRPr="00000000" w14:paraId="0000008E">
      <w:pPr>
        <w:ind w:left="708" w:right="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Artículo 95.- Son atribuciones del tesorero municipal:</w:t>
      </w:r>
    </w:p>
    <w:p w:rsidR="00000000" w:rsidDel="00000000" w:rsidP="00000000" w:rsidRDefault="00000000" w:rsidRPr="00000000" w14:paraId="0000008F">
      <w:pPr>
        <w:ind w:left="708" w:right="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 Administrar la hacienda pública municipal, de conformidad con las disposiciones legales aplicables;</w:t>
      </w:r>
    </w:p>
    <w:p w:rsidR="00000000" w:rsidDel="00000000" w:rsidP="00000000" w:rsidRDefault="00000000" w:rsidRPr="00000000" w14:paraId="00000090">
      <w:pPr>
        <w:ind w:left="708" w:right="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000000" w:rsidDel="00000000" w:rsidP="00000000" w:rsidRDefault="00000000" w:rsidRPr="00000000" w14:paraId="00000091">
      <w:pPr>
        <w:ind w:left="708" w:right="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III. Imponer las sanciones administrativas que procedan por infracciones a las disposiciones fiscales;</w:t>
      </w:r>
    </w:p>
    <w:p w:rsidR="00000000" w:rsidDel="00000000" w:rsidP="00000000" w:rsidRDefault="00000000" w:rsidRPr="00000000" w14:paraId="00000092">
      <w:pPr>
        <w:ind w:left="708" w:right="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93">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para el logro de sus fines, los Órganos de la Administración Pública Municipal, deberán conducir sus actividades de manera planeada, programada y con base en la legislación correspondiente, para tales efectos de acuerdo con el Manual de Organización municipal,  la administración municipal cuenta entre otras dependencias, con la Dirección de Administración la cual tiene entre sus funciones: </w:t>
      </w:r>
    </w:p>
    <w:p w:rsidR="00000000" w:rsidDel="00000000" w:rsidP="00000000" w:rsidRDefault="00000000" w:rsidRPr="00000000" w14:paraId="00000094">
      <w:pPr>
        <w:spacing w:after="240" w:before="240" w:lineRule="auto"/>
        <w:ind w:left="708" w:right="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Articulo 3.26.- el titular de la dirección de administración tiene las siguientes atribuciones:</w:t>
      </w:r>
    </w:p>
    <w:p w:rsidR="00000000" w:rsidDel="00000000" w:rsidP="00000000" w:rsidRDefault="00000000" w:rsidRPr="00000000" w14:paraId="00000095">
      <w:pPr>
        <w:spacing w:after="240" w:before="240" w:lineRule="auto"/>
        <w:ind w:left="708" w:right="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96">
      <w:pPr>
        <w:spacing w:after="240" w:before="240" w:lineRule="auto"/>
        <w:ind w:left="708" w:right="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X. Registrar las altas, bajas, cambios, permisos y licencias por incapacidad , entre otras, del personal y su correcta aplicación en el archivo de expedientes;</w:t>
      </w:r>
    </w:p>
    <w:p w:rsidR="00000000" w:rsidDel="00000000" w:rsidP="00000000" w:rsidRDefault="00000000" w:rsidRPr="00000000" w14:paraId="00000097">
      <w:pPr>
        <w:spacing w:after="240" w:before="240" w:lineRule="auto"/>
        <w:ind w:left="708" w:right="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9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 anterior se advierte que, a la Dirección de Administración le compete el despacho, de entre otros asuntos la de registrar las altas, bajas, cambios, permisos y licencias por incapacidad, entre otras, del personal y su correcta aplicación en el archivo de expedientes dentro de la administración municipal. </w:t>
      </w:r>
    </w:p>
    <w:p w:rsidR="00000000" w:rsidDel="00000000" w:rsidP="00000000" w:rsidRDefault="00000000" w:rsidRPr="00000000" w14:paraId="00000099">
      <w:pPr>
        <w:tabs>
          <w:tab w:val="left" w:pos="709"/>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Debe precisarse que, de acuerdo a la Ley del Trabajo de los Servidores Públicos del Estado y Municipios, efectivamente existen licencias o permisos con o sin goce de sueldo, de acuerdo al siguiente fundamento de derecho:</w:t>
      </w:r>
    </w:p>
    <w:p w:rsidR="00000000" w:rsidDel="00000000" w:rsidP="00000000" w:rsidRDefault="00000000" w:rsidRPr="00000000" w14:paraId="0000009A">
      <w:pPr>
        <w:ind w:left="708" w:right="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ARTÍCULO 56. Las condiciones generales de trabajo, establecerán como mínimo:</w:t>
      </w:r>
    </w:p>
    <w:p w:rsidR="00000000" w:rsidDel="00000000" w:rsidP="00000000" w:rsidRDefault="00000000" w:rsidRPr="00000000" w14:paraId="0000009B">
      <w:pPr>
        <w:ind w:left="708" w:right="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9C">
      <w:pPr>
        <w:ind w:left="708" w:right="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IV. Regímenes de licencias, descansos y vacaciones;</w:t>
      </w:r>
    </w:p>
    <w:p w:rsidR="00000000" w:rsidDel="00000000" w:rsidP="00000000" w:rsidRDefault="00000000" w:rsidRPr="00000000" w14:paraId="0000009D">
      <w:pPr>
        <w:ind w:left="708" w:right="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9E">
      <w:pPr>
        <w:ind w:left="708" w:right="51"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9F">
      <w:pPr>
        <w:ind w:left="708" w:right="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ARTÍCULO 65.- Las servidoras públicas embarazadas disfrutarán para el parto, de una licencia con goce de sueldo íntegro por un periodo de noventa días naturales y de un período de lactancia, que no excederá de nueve meses, en el cual, tendrán dos descansos extraordinarios por día, de media hora cada uno, para alimentar a sus hijos, o el tiempo equivalente que la servidora pública convenga con la persona titular de la institución pública o dependencia o su representante.</w:t>
      </w:r>
    </w:p>
    <w:p w:rsidR="00000000" w:rsidDel="00000000" w:rsidP="00000000" w:rsidRDefault="00000000" w:rsidRPr="00000000" w14:paraId="000000A0">
      <w:pPr>
        <w:ind w:left="708" w:right="51"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A1">
      <w:pPr>
        <w:ind w:left="708" w:right="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En caso de adopción las personas servidoras públicas gozarán de una licencia con goce de sueldo íntegro por un periodo de cuarenta y cinco días naturales, contados a partir de que se otorgue legalmente la adopción. </w:t>
      </w:r>
    </w:p>
    <w:p w:rsidR="00000000" w:rsidDel="00000000" w:rsidP="00000000" w:rsidRDefault="00000000" w:rsidRPr="00000000" w14:paraId="000000A2">
      <w:pPr>
        <w:ind w:left="708" w:right="51"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A3">
      <w:pPr>
        <w:ind w:left="708" w:right="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Los servidores públicos tendrán una licencia de paternidad, con goce de sueldo íntegro de cuarenta y cinco días naturales, de los cuales por lo menos, treinta deberán ser posteriores al parto.</w:t>
      </w:r>
    </w:p>
    <w:p w:rsidR="00000000" w:rsidDel="00000000" w:rsidP="00000000" w:rsidRDefault="00000000" w:rsidRPr="00000000" w14:paraId="000000A4">
      <w:pPr>
        <w:ind w:left="708" w:right="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Las personas servidoras públicas tendrán derecho a solicitar una ampliación de la licencia de maternidad o paternidad, con goce de sueldo íntegro por cuarenta y cinco días naturales adicionales, en caso de parto múltiple, sustentado con la constancia médica que lo acredite. </w:t>
      </w:r>
    </w:p>
    <w:p w:rsidR="00000000" w:rsidDel="00000000" w:rsidP="00000000" w:rsidRDefault="00000000" w:rsidRPr="00000000" w14:paraId="000000A5">
      <w:pPr>
        <w:ind w:left="708" w:right="51"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A6">
      <w:pPr>
        <w:ind w:left="708" w:right="51"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rtl w:val="0"/>
        </w:rPr>
        <w:t xml:space="preserve">Podrá otorgarse una licencia de cuidados parentales con goce de sueldo íntegro hasta de cuarenta y cinco días naturales, a la persona servidora pública que tenga decretada únicamente en su favor, por juez competente, la guarda y custodia de la hija o hijo menor de 12 años, con discapacidad o enfermedad crónica, debidamente acreditada mediante constancia médica y adjuntando la resolución judicial correspondiente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7">
      <w:pPr>
        <w:ind w:left="708" w:right="51" w:firstLine="0"/>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A8">
      <w:pPr>
        <w:ind w:left="708" w:right="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ARTÍCULO 86. Los servidores públicos tendrán los siguientes derechos:</w:t>
      </w:r>
    </w:p>
    <w:p w:rsidR="00000000" w:rsidDel="00000000" w:rsidP="00000000" w:rsidRDefault="00000000" w:rsidRPr="00000000" w14:paraId="000000A9">
      <w:pPr>
        <w:ind w:left="708" w:right="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AA">
      <w:pPr>
        <w:ind w:left="708" w:right="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III. Obtener licencias en los términos establecidos en esta ley o en las condiciones generales de trabajo;</w:t>
      </w:r>
    </w:p>
    <w:p w:rsidR="00000000" w:rsidDel="00000000" w:rsidP="00000000" w:rsidRDefault="00000000" w:rsidRPr="00000000" w14:paraId="000000AB">
      <w:pPr>
        <w:ind w:left="708" w:right="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AC">
      <w:pPr>
        <w:ind w:left="708" w:right="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VIII. </w:t>
      </w:r>
      <w:r w:rsidDel="00000000" w:rsidR="00000000" w:rsidRPr="00000000">
        <w:rPr>
          <w:rFonts w:ascii="Palatino Linotype" w:cs="Palatino Linotype" w:eastAsia="Palatino Linotype" w:hAnsi="Palatino Linotype"/>
          <w:b w:val="1"/>
          <w:i w:val="1"/>
          <w:u w:val="single"/>
          <w:rtl w:val="0"/>
        </w:rPr>
        <w:t xml:space="preserve">Disfrutar de licencias o permisos para desempeñar una comisión accidental o permanente del Estado, de carácter sindical o por motivos particulares</w:t>
      </w:r>
      <w:r w:rsidDel="00000000" w:rsidR="00000000" w:rsidRPr="00000000">
        <w:rPr>
          <w:rFonts w:ascii="Palatino Linotype" w:cs="Palatino Linotype" w:eastAsia="Palatino Linotype" w:hAnsi="Palatino Linotype"/>
          <w:i w:val="1"/>
          <w:rtl w:val="0"/>
        </w:rPr>
        <w:t xml:space="preserve">, siempre que se soliciten con la anticipación debida y que el número de trabajadores no sea tal que perjudique la buena marcha de la dependencia o entidad.</w:t>
      </w:r>
    </w:p>
    <w:p w:rsidR="00000000" w:rsidDel="00000000" w:rsidP="00000000" w:rsidRDefault="00000000" w:rsidRPr="00000000" w14:paraId="000000AD">
      <w:pPr>
        <w:ind w:left="708" w:right="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AE">
      <w:pPr>
        <w:ind w:left="708" w:right="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Estas licencias o permisos podrán ser con goce o sin goce de sueldo, sin menoscabo de sus derechos y antigüedad y, se otorgarán en los términos previstos en las Condiciones Generales de Trabajo que se expidan conforme a la presente Ley.</w:t>
      </w:r>
    </w:p>
    <w:p w:rsidR="00000000" w:rsidDel="00000000" w:rsidP="00000000" w:rsidRDefault="00000000" w:rsidRPr="00000000" w14:paraId="000000AF">
      <w:pPr>
        <w:ind w:left="708" w:right="51"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B0">
      <w:pPr>
        <w:ind w:left="708" w:right="51"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B1">
      <w:pPr>
        <w:spacing w:line="360" w:lineRule="auto"/>
        <w:ind w:right="51"/>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Como lo establecen los fundamentos de derecho antes transcritos, es uno de los derechos de los servidores públicos el obtener licencias en los términos establecidos en la ley, así como el disfrutar de </w:t>
      </w:r>
      <w:r w:rsidDel="00000000" w:rsidR="00000000" w:rsidRPr="00000000">
        <w:rPr>
          <w:rFonts w:ascii="Palatino Linotype" w:cs="Palatino Linotype" w:eastAsia="Palatino Linotype" w:hAnsi="Palatino Linotype"/>
          <w:b w:val="1"/>
          <w:rtl w:val="0"/>
        </w:rPr>
        <w:t xml:space="preserve">licencia o permiso para desempeñar una comisión accidental o permanente del Estado, de carácter sindical o por motivos particulares</w:t>
      </w:r>
      <w:r w:rsidDel="00000000" w:rsidR="00000000" w:rsidRPr="00000000">
        <w:rPr>
          <w:rFonts w:ascii="Palatino Linotype" w:cs="Palatino Linotype" w:eastAsia="Palatino Linotype" w:hAnsi="Palatino Linotype"/>
          <w:rtl w:val="0"/>
        </w:rPr>
        <w:t xml:space="preserve">, de igual manera se desprenden licencias de maternidad, por enfermedad o accidente graves de alguno de sus hijos, cónyuge o concubina, entre otros, con goce de sueldo, por lo que en el supuesto de que existan licencias o permisos éstas deberán ser registradas por la Dirección de Administración del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dando puntual aviso a la tesorería Municipal para realizar los descuentos pertinentes.</w:t>
      </w:r>
      <w:r w:rsidDel="00000000" w:rsidR="00000000" w:rsidRPr="00000000">
        <w:rPr>
          <w:rFonts w:ascii="Palatino Linotype" w:cs="Palatino Linotype" w:eastAsia="Palatino Linotype" w:hAnsi="Palatino Linotype"/>
          <w:b w:val="1"/>
          <w:rtl w:val="0"/>
        </w:rPr>
        <w:t xml:space="preserve"> </w:t>
      </w:r>
    </w:p>
    <w:p w:rsidR="00000000" w:rsidDel="00000000" w:rsidP="00000000" w:rsidRDefault="00000000" w:rsidRPr="00000000" w14:paraId="000000B2">
      <w:pPr>
        <w:ind w:right="51"/>
        <w:jc w:val="both"/>
        <w:rPr>
          <w:rFonts w:ascii="Palatino Linotype" w:cs="Palatino Linotype" w:eastAsia="Palatino Linotype" w:hAnsi="Palatino Linotype"/>
          <w:b w:val="1"/>
          <w:color w:val="ff0000"/>
        </w:rPr>
      </w:pPr>
      <w:r w:rsidDel="00000000" w:rsidR="00000000" w:rsidRPr="00000000">
        <w:rPr>
          <w:rtl w:val="0"/>
        </w:rPr>
      </w:r>
    </w:p>
    <w:p w:rsidR="00000000" w:rsidDel="00000000" w:rsidP="00000000" w:rsidRDefault="00000000" w:rsidRPr="00000000" w14:paraId="000000B3">
      <w:pPr>
        <w:spacing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Aunado a ello, la Ley en la materia, señala que los Sujeto Obligados solo proporcionarán la información pública que se les requiera y obre en sus archivos y en el estado en que ésta se encuentre, lo cual no comprende el procesamiento de la misma, no el presentarla conforme al interés del solicitante, ni están obligados a generar, resumirla, efectuar cálculos o practicar investigaciones.</w:t>
      </w:r>
    </w:p>
    <w:p w:rsidR="00000000" w:rsidDel="00000000" w:rsidP="00000000" w:rsidRDefault="00000000" w:rsidRPr="00000000" w14:paraId="000000B4">
      <w:pPr>
        <w:spacing w:line="360" w:lineRule="auto"/>
        <w:ind w:right="51"/>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B5">
      <w:pPr>
        <w:spacing w:after="240" w:before="24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En este sentido, este Instituto al no tener elemento de convicción que permitan determinar la existencia de la información solicitada y ante el silencio del SUJETO OBLIGADO respecto de los servidores públicos faltantes que fueron listados en la solicitud de información, al tener atribuciones de generar, administra o poseer la información, el Sujeto Obligado estará en posibilidad de entregar el documento donde conste o se puedan los permisos o bajas de los citados servidores públicos en los que no emitió pronunciamiento. </w:t>
      </w:r>
    </w:p>
    <w:p w:rsidR="00000000" w:rsidDel="00000000" w:rsidP="00000000" w:rsidRDefault="00000000" w:rsidRPr="00000000" w14:paraId="000000B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Finalmente, respecto del motivo de inconformidad en el que el particular refiere </w:t>
      </w:r>
      <w:r w:rsidDel="00000000" w:rsidR="00000000" w:rsidRPr="00000000">
        <w:rPr>
          <w:rFonts w:ascii="Palatino Linotype" w:cs="Palatino Linotype" w:eastAsia="Palatino Linotype" w:hAnsi="Palatino Linotype"/>
          <w:i w:val="1"/>
          <w:rtl w:val="0"/>
        </w:rPr>
        <w:t xml:space="preserve">“…informe que de no tener los permisos, informar el por qué no se ha realizado nada al respecto con ese personal</w:t>
      </w:r>
      <w:r w:rsidDel="00000000" w:rsidR="00000000" w:rsidRPr="00000000">
        <w:rPr>
          <w:rFonts w:ascii="Palatino Linotype" w:cs="Palatino Linotype" w:eastAsia="Palatino Linotype" w:hAnsi="Palatino Linotype"/>
          <w:sz w:val="18"/>
          <w:szCs w:val="18"/>
          <w:rtl w:val="0"/>
        </w:rPr>
        <w:t xml:space="preserve">”</w:t>
      </w:r>
      <w:r w:rsidDel="00000000" w:rsidR="00000000" w:rsidRPr="00000000">
        <w:rPr>
          <w:rtl w:val="0"/>
        </w:rPr>
      </w:r>
    </w:p>
    <w:p w:rsidR="00000000" w:rsidDel="00000000" w:rsidP="00000000" w:rsidRDefault="00000000" w:rsidRPr="00000000" w14:paraId="000000B7">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el sistema de medios de impugnación se centra en el análisis de los agravios o motivos de inconformidad, los que deben tener relación directa con el acto de autoridad que lo motiva. 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rsidR="00000000" w:rsidDel="00000000" w:rsidP="00000000" w:rsidRDefault="00000000" w:rsidRPr="00000000" w14:paraId="000000B8">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B9">
      <w:pPr>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rtl w:val="0"/>
        </w:rPr>
        <w:t xml:space="preserve">Por lo anterior, resulta improcedente el referido motivo de inconformidad</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color w:val="000000"/>
          <w:rtl w:val="0"/>
        </w:rPr>
        <w:t xml:space="preserve"> se aprecia que él ahora recurrente se excede dentro de su inconformidad respecto a lo requerido originalmente en la solicitud de información, siendo el caso que pretende ampliar lo solicitado de origen, lo que hace que se surta lo que en la teoría jurídica se le denomina como plus petitio.</w:t>
      </w:r>
    </w:p>
    <w:p w:rsidR="00000000" w:rsidDel="00000000" w:rsidP="00000000" w:rsidRDefault="00000000" w:rsidRPr="00000000" w14:paraId="000000BA">
      <w:pPr>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BB">
      <w:pPr>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Sirve de apoyo el criterio 01/17 emitido por el Instituto Nacional de Transparencia, Acceso a la Información y Protección de Datos Personales que establece lo siguiente:</w:t>
      </w:r>
    </w:p>
    <w:p w:rsidR="00000000" w:rsidDel="00000000" w:rsidP="00000000" w:rsidRDefault="00000000" w:rsidRPr="00000000" w14:paraId="000000BC">
      <w:pPr>
        <w:ind w:left="567" w:right="616"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b w:val="1"/>
          <w:i w:val="1"/>
          <w:color w:val="000000"/>
          <w:rtl w:val="0"/>
        </w:rPr>
        <w:t xml:space="preserve">Es improcedente ampliar las solicitudes de acceso a información, a través de la interposición del recurso de revisión.</w:t>
      </w:r>
      <w:r w:rsidDel="00000000" w:rsidR="00000000" w:rsidRPr="00000000">
        <w:rPr>
          <w:rFonts w:ascii="Palatino Linotype" w:cs="Palatino Linotype" w:eastAsia="Palatino Linotype" w:hAnsi="Palatino Linotype"/>
          <w:i w:val="1"/>
          <w:color w:val="000000"/>
          <w:rtl w:val="0"/>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000000" w:rsidDel="00000000" w:rsidP="00000000" w:rsidRDefault="00000000" w:rsidRPr="00000000" w14:paraId="000000BD">
      <w:pPr>
        <w:spacing w:line="360" w:lineRule="auto"/>
        <w:ind w:right="51"/>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BE">
      <w:pPr>
        <w:ind w:left="708" w:right="51" w:firstLine="0"/>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BF">
      <w:pPr>
        <w:spacing w:after="240" w:before="240" w:line="360" w:lineRule="auto"/>
        <w:ind w:right="51"/>
        <w:jc w:val="both"/>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rtl w:val="0"/>
        </w:rPr>
        <w:t xml:space="preserve">Versión Pública. </w:t>
      </w:r>
      <w:r w:rsidDel="00000000" w:rsidR="00000000" w:rsidRPr="00000000">
        <w:rPr>
          <w:rFonts w:ascii="Palatino Linotype" w:cs="Palatino Linotype" w:eastAsia="Palatino Linotype" w:hAnsi="Palatino Linotype"/>
          <w:rtl w:val="0"/>
        </w:rPr>
        <w:t xml:space="preserve">Para efectos de la elaboración de la versión pública se deberá observar lo dispuesto por los artículos 3 fracciones IX, XX, XXI y XLV, 91, 132 fracciones II y III, y 143 fracciones, I de la Ley de Transparencia y Acceso a la Información Pública del Estado de México y Municipios que establecen:</w:t>
      </w:r>
      <w:r w:rsidDel="00000000" w:rsidR="00000000" w:rsidRPr="00000000">
        <w:rPr>
          <w:rtl w:val="0"/>
        </w:rPr>
      </w:r>
    </w:p>
    <w:p w:rsidR="00000000" w:rsidDel="00000000" w:rsidP="00000000" w:rsidRDefault="00000000" w:rsidRPr="00000000" w14:paraId="000000C0">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3. Para los efectos de la presente Ley se entenderá por:</w:t>
      </w:r>
    </w:p>
    <w:p w:rsidR="00000000" w:rsidDel="00000000" w:rsidP="00000000" w:rsidRDefault="00000000" w:rsidRPr="00000000" w14:paraId="000000C1">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C2">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IX. Datos personales: La información concerniente a una persona, identificada o identificable según lo dispuesto por la Ley de Protección de Datos Personales del Estado de México; </w:t>
      </w:r>
    </w:p>
    <w:p w:rsidR="00000000" w:rsidDel="00000000" w:rsidP="00000000" w:rsidRDefault="00000000" w:rsidRPr="00000000" w14:paraId="000000C3">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XX. Información clasificada: Aquella considerada por la presente Ley como reservada o confidencial;</w:t>
      </w:r>
    </w:p>
    <w:p w:rsidR="00000000" w:rsidDel="00000000" w:rsidP="00000000" w:rsidRDefault="00000000" w:rsidRPr="00000000" w14:paraId="000000C4">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00000" w:rsidDel="00000000" w:rsidP="00000000" w:rsidRDefault="00000000" w:rsidRPr="00000000" w14:paraId="000000C5">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XLV. Versión pública: Documento en el que se elimine, suprime o borra la información clasificada como reservada o confidencial para permitir su acceso.</w:t>
      </w:r>
    </w:p>
    <w:p w:rsidR="00000000" w:rsidDel="00000000" w:rsidP="00000000" w:rsidRDefault="00000000" w:rsidRPr="00000000" w14:paraId="000000C6">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C7">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91. El acceso a la información pública será restringido excepcionalmente, cuando ésta sea clasificada como reservada o confidencial.</w:t>
      </w:r>
    </w:p>
    <w:p w:rsidR="00000000" w:rsidDel="00000000" w:rsidP="00000000" w:rsidRDefault="00000000" w:rsidRPr="00000000" w14:paraId="000000C8">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132. La clasificación de la información se llevará a cabo en el momento en que:</w:t>
      </w:r>
    </w:p>
    <w:p w:rsidR="00000000" w:rsidDel="00000000" w:rsidP="00000000" w:rsidRDefault="00000000" w:rsidRPr="00000000" w14:paraId="000000C9">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 Se reciba una solicitud de acceso a la información;</w:t>
      </w:r>
    </w:p>
    <w:p w:rsidR="00000000" w:rsidDel="00000000" w:rsidP="00000000" w:rsidRDefault="00000000" w:rsidRPr="00000000" w14:paraId="000000CA">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 Se determine mediante resolución de autoridad competente; o</w:t>
      </w:r>
    </w:p>
    <w:p w:rsidR="00000000" w:rsidDel="00000000" w:rsidP="00000000" w:rsidRDefault="00000000" w:rsidRPr="00000000" w14:paraId="000000CB">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III. Se generen versiones públicas para dar cumplimiento a las obligaciones de transparencia previstas en esta Ley.</w:t>
      </w:r>
    </w:p>
    <w:p w:rsidR="00000000" w:rsidDel="00000000" w:rsidP="00000000" w:rsidRDefault="00000000" w:rsidRPr="00000000" w14:paraId="000000CC">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CD">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143. Para los efectos de esta Ley se considera información confidencial, la clasificada como tal, de manera permanente, por su naturaleza, cuando:</w:t>
      </w:r>
    </w:p>
    <w:p w:rsidR="00000000" w:rsidDel="00000000" w:rsidP="00000000" w:rsidRDefault="00000000" w:rsidRPr="00000000" w14:paraId="000000CE">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 Se refiera a la información privada y los datos personales concernientes a una persona física o jurídico colectiva identificada o identificable;</w:t>
      </w:r>
    </w:p>
    <w:p w:rsidR="00000000" w:rsidDel="00000000" w:rsidP="00000000" w:rsidRDefault="00000000" w:rsidRPr="00000000" w14:paraId="000000CF">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 Los secretos bancario, fiduciario, industrial, comercial, fiscal, bursátil y postal, cuya titularidad corresponda a particulares, sujetos de derecho internacional o a sujetos obligados cuando no involucren el ejercicio de recursos públicos; y</w:t>
      </w:r>
    </w:p>
    <w:p w:rsidR="00000000" w:rsidDel="00000000" w:rsidP="00000000" w:rsidRDefault="00000000" w:rsidRPr="00000000" w14:paraId="000000D0">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III. La que presenten los particulares a los sujetos obligados, de conformidad con lo dispuesto por las leyes o los tratados internacionales.</w:t>
      </w:r>
    </w:p>
    <w:p w:rsidR="00000000" w:rsidDel="00000000" w:rsidP="00000000" w:rsidRDefault="00000000" w:rsidRPr="00000000" w14:paraId="000000D1">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información confidencial no estará sujeta a temporalidad alguna y sólo podrán tener acceso a ella los titulares de la misma, sus representantes y los servidores públicos facultados para ello.</w:t>
      </w:r>
    </w:p>
    <w:p w:rsidR="00000000" w:rsidDel="00000000" w:rsidP="00000000" w:rsidRDefault="00000000" w:rsidRPr="00000000" w14:paraId="000000D2">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No se considerará confidencial la información que se encuentre en los registros públicos o en fuentes de acceso público, ni tampoco la que sea considerada por la presente ley como información pública.” (Sic)</w:t>
      </w:r>
    </w:p>
    <w:p w:rsidR="00000000" w:rsidDel="00000000" w:rsidP="00000000" w:rsidRDefault="00000000" w:rsidRPr="00000000" w14:paraId="000000D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000000" w:rsidDel="00000000" w:rsidP="00000000" w:rsidRDefault="00000000" w:rsidRPr="00000000" w14:paraId="000000D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Entorno a lo que aquí nos interesa, los Lineamientos Quincuagésimo sexto, Quincuagésimo séptimo y Quincuagésimo octavo, establecen lo siguiente:</w:t>
      </w:r>
    </w:p>
    <w:p w:rsidR="00000000" w:rsidDel="00000000" w:rsidP="00000000" w:rsidRDefault="00000000" w:rsidRPr="00000000" w14:paraId="000000D5">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0"/>
          <w:szCs w:val="20"/>
          <w:rtl w:val="0"/>
        </w:rPr>
        <w:t xml:space="preserve">“</w:t>
      </w:r>
      <w:r w:rsidDel="00000000" w:rsidR="00000000" w:rsidRPr="00000000">
        <w:rPr>
          <w:rFonts w:ascii="Palatino Linotype" w:cs="Palatino Linotype" w:eastAsia="Palatino Linotype" w:hAnsi="Palatino Linotype"/>
          <w:i w:val="1"/>
          <w:sz w:val="22"/>
          <w:szCs w:val="22"/>
          <w:rtl w:val="0"/>
        </w:rPr>
        <w:t xml:space="preserve">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000000" w:rsidDel="00000000" w:rsidP="00000000" w:rsidRDefault="00000000" w:rsidRPr="00000000" w14:paraId="000000D6">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Quincuagésimo séptimo. Se considera, en principio, como información pública y no podrá omitirse de las versiones públicas la siguiente: </w:t>
      </w:r>
    </w:p>
    <w:p w:rsidR="00000000" w:rsidDel="00000000" w:rsidP="00000000" w:rsidRDefault="00000000" w:rsidRPr="00000000" w14:paraId="000000D7">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 La relativa a las Obligaciones de Transparencia que contempla el Título V de la Ley General y las demás disposiciones legales aplicables; </w:t>
      </w:r>
    </w:p>
    <w:p w:rsidR="00000000" w:rsidDel="00000000" w:rsidP="00000000" w:rsidRDefault="00000000" w:rsidRPr="00000000" w14:paraId="000000D8">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 El nombre de los servidores públicos en los documentos, y sus firmas autógrafas, cuando sean utilizados en el ejercicio de las facultades conferidas para el desempeño del servicio público, y </w:t>
      </w:r>
    </w:p>
    <w:p w:rsidR="00000000" w:rsidDel="00000000" w:rsidP="00000000" w:rsidRDefault="00000000" w:rsidRPr="00000000" w14:paraId="000000D9">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III. La información que documente decisiones y los actos de autoridad concluidos de los sujetos obligados, así como el ejercicio de las facultades o actividades de los servidores públicos, de manera que se pueda valorar el desempeño de los mismos.</w:t>
      </w:r>
    </w:p>
    <w:p w:rsidR="00000000" w:rsidDel="00000000" w:rsidP="00000000" w:rsidRDefault="00000000" w:rsidRPr="00000000" w14:paraId="000000DA">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 anterior, siempre y cuando no se acredite alguna causal de clasificación, prevista en las leyes o en los tratados internaciones suscritos por el Estado mexicano. </w:t>
      </w:r>
    </w:p>
    <w:p w:rsidR="00000000" w:rsidDel="00000000" w:rsidP="00000000" w:rsidRDefault="00000000" w:rsidRPr="00000000" w14:paraId="000000DB">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Quincuagésimo octavo. Los sujetos obligados garantizarán que los sistemas o medios empleados para eliminar la información en las versiones públicas no permitan la recuperación o visualización de la misma.”(Sic)</w:t>
      </w:r>
    </w:p>
    <w:p w:rsidR="00000000" w:rsidDel="00000000" w:rsidP="00000000" w:rsidRDefault="00000000" w:rsidRPr="00000000" w14:paraId="000000D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000000" w:rsidDel="00000000" w:rsidP="00000000" w:rsidRDefault="00000000" w:rsidRPr="00000000" w14:paraId="000000D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relación directa con ello, los Lineamientos en estudio establecen los formatos para la clasificación parcial y total de los documentos, que atienden a lo siguiente:</w:t>
      </w:r>
    </w:p>
    <w:p w:rsidR="00000000" w:rsidDel="00000000" w:rsidP="00000000" w:rsidRDefault="00000000" w:rsidRPr="00000000" w14:paraId="000000D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consecuencia, resulta procedente revocar la respuesta en términos de la fracción III del artículo 186 de la Ley de Transparencia y Acceso a la Información Pública del Estado de México y Municipios, a efectos de que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entregue la información requerida.</w:t>
      </w:r>
    </w:p>
    <w:p w:rsidR="00000000" w:rsidDel="00000000" w:rsidP="00000000" w:rsidRDefault="00000000" w:rsidRPr="00000000" w14:paraId="000000D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con fundamento en lo prescrito en los artículos 5 párrafos vigésimo segundo, vigésimo tercero y vigésimo cuarto de la Constitución Política del Estado Libre y Soberano de México; 2, fracción II; 29, 36 fracciones I y II; 176, 178, 179, fracción I, 181, 185 de la Ley de Transparencia y Acceso a la Información Pública del Estado de México y Municipios, este Pleno:</w:t>
      </w:r>
    </w:p>
    <w:p w:rsidR="00000000" w:rsidDel="00000000" w:rsidP="00000000" w:rsidRDefault="00000000" w:rsidRPr="00000000" w14:paraId="000000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360" w:lineRule="auto"/>
        <w:ind w:left="426" w:right="0" w:hanging="720"/>
        <w:jc w:val="center"/>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 E S U E L V E</w:t>
      </w:r>
    </w:p>
    <w:p w:rsidR="00000000" w:rsidDel="00000000" w:rsidP="00000000" w:rsidRDefault="00000000" w:rsidRPr="00000000" w14:paraId="000000E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w:t>
      </w:r>
      <w:r w:rsidDel="00000000" w:rsidR="00000000" w:rsidRPr="00000000">
        <w:rPr>
          <w:rFonts w:ascii="Palatino Linotype" w:cs="Palatino Linotype" w:eastAsia="Palatino Linotype" w:hAnsi="Palatino Linotype"/>
          <w:rtl w:val="0"/>
        </w:rPr>
        <w:t xml:space="preserve">. Resulta parcialmente </w:t>
      </w:r>
      <w:r w:rsidDel="00000000" w:rsidR="00000000" w:rsidRPr="00000000">
        <w:rPr>
          <w:rFonts w:ascii="Palatino Linotype" w:cs="Palatino Linotype" w:eastAsia="Palatino Linotype" w:hAnsi="Palatino Linotype"/>
          <w:b w:val="1"/>
          <w:rtl w:val="0"/>
        </w:rPr>
        <w:t xml:space="preserve">fundado</w:t>
      </w:r>
      <w:r w:rsidDel="00000000" w:rsidR="00000000" w:rsidRPr="00000000">
        <w:rPr>
          <w:rFonts w:ascii="Palatino Linotype" w:cs="Palatino Linotype" w:eastAsia="Palatino Linotype" w:hAnsi="Palatino Linotype"/>
          <w:rtl w:val="0"/>
        </w:rPr>
        <w:t xml:space="preserve"> el motivo de inconformidad planteado por el recurrente</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rtl w:val="0"/>
        </w:rPr>
        <w:t xml:space="preserve">en el recurso de revisión </w:t>
      </w:r>
      <w:r w:rsidDel="00000000" w:rsidR="00000000" w:rsidRPr="00000000">
        <w:rPr>
          <w:rFonts w:ascii="Palatino Linotype" w:cs="Palatino Linotype" w:eastAsia="Palatino Linotype" w:hAnsi="Palatino Linotype"/>
          <w:b w:val="1"/>
          <w:sz w:val="22"/>
          <w:szCs w:val="22"/>
          <w:rtl w:val="0"/>
        </w:rPr>
        <w:t xml:space="preserve">03529/INFOEM/IP/RR/2021</w:t>
      </w:r>
      <w:r w:rsidDel="00000000" w:rsidR="00000000" w:rsidRPr="00000000">
        <w:rPr>
          <w:rFonts w:ascii="Palatino Linotype" w:cs="Palatino Linotype" w:eastAsia="Palatino Linotype" w:hAnsi="Palatino Linotype"/>
          <w:rtl w:val="0"/>
        </w:rPr>
        <w:t xml:space="preserve">, por lo que, en términos del </w:t>
      </w:r>
      <w:r w:rsidDel="00000000" w:rsidR="00000000" w:rsidRPr="00000000">
        <w:rPr>
          <w:rFonts w:ascii="Palatino Linotype" w:cs="Palatino Linotype" w:eastAsia="Palatino Linotype" w:hAnsi="Palatino Linotype"/>
          <w:b w:val="1"/>
          <w:rtl w:val="0"/>
        </w:rPr>
        <w:t xml:space="preserve">Considerando Cuarto</w:t>
      </w:r>
      <w:r w:rsidDel="00000000" w:rsidR="00000000" w:rsidRPr="00000000">
        <w:rPr>
          <w:rFonts w:ascii="Palatino Linotype" w:cs="Palatino Linotype" w:eastAsia="Palatino Linotype" w:hAnsi="Palatino Linotype"/>
          <w:rtl w:val="0"/>
        </w:rPr>
        <w:t xml:space="preserve"> de la presente resolución, se </w:t>
      </w:r>
      <w:r w:rsidDel="00000000" w:rsidR="00000000" w:rsidRPr="00000000">
        <w:rPr>
          <w:rFonts w:ascii="Palatino Linotype" w:cs="Palatino Linotype" w:eastAsia="Palatino Linotype" w:hAnsi="Palatino Linotype"/>
          <w:b w:val="1"/>
          <w:rtl w:val="0"/>
        </w:rPr>
        <w:t xml:space="preserve">MODIFICA</w:t>
      </w:r>
      <w:r w:rsidDel="00000000" w:rsidR="00000000" w:rsidRPr="00000000">
        <w:rPr>
          <w:rFonts w:ascii="Palatino Linotype" w:cs="Palatino Linotype" w:eastAsia="Palatino Linotype" w:hAnsi="Palatino Linotype"/>
          <w:rtl w:val="0"/>
        </w:rPr>
        <w:t xml:space="preserve"> la respuesta emitida por el Ayuntamiento de Atlacomulco. </w:t>
      </w:r>
    </w:p>
    <w:p w:rsidR="00000000" w:rsidDel="00000000" w:rsidP="00000000" w:rsidRDefault="00000000" w:rsidRPr="00000000" w14:paraId="000000E2">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w:t>
      </w:r>
      <w:r w:rsidDel="00000000" w:rsidR="00000000" w:rsidRPr="00000000">
        <w:rPr>
          <w:rFonts w:ascii="Palatino Linotype" w:cs="Palatino Linotype" w:eastAsia="Palatino Linotype" w:hAnsi="Palatino Linotype"/>
          <w:b w:val="1"/>
          <w:sz w:val="28"/>
          <w:szCs w:val="28"/>
          <w:rtl w:val="0"/>
        </w:rPr>
        <w:t xml:space="preserve"> </w:t>
      </w:r>
      <w:r w:rsidDel="00000000" w:rsidR="00000000" w:rsidRPr="00000000">
        <w:rPr>
          <w:rFonts w:ascii="Palatino Linotype" w:cs="Palatino Linotype" w:eastAsia="Palatino Linotype" w:hAnsi="Palatino Linotype"/>
          <w:rtl w:val="0"/>
        </w:rPr>
        <w:t xml:space="preserve">Se</w:t>
      </w:r>
      <w:r w:rsidDel="00000000" w:rsidR="00000000" w:rsidRPr="00000000">
        <w:rPr>
          <w:rFonts w:ascii="Palatino Linotype" w:cs="Palatino Linotype" w:eastAsia="Palatino Linotype" w:hAnsi="Palatino Linotype"/>
          <w:b w:val="1"/>
          <w:rtl w:val="0"/>
        </w:rPr>
        <w:t xml:space="preserve"> ORDENA </w:t>
      </w:r>
      <w:r w:rsidDel="00000000" w:rsidR="00000000" w:rsidRPr="00000000">
        <w:rPr>
          <w:rFonts w:ascii="Palatino Linotype" w:cs="Palatino Linotype" w:eastAsia="Palatino Linotype" w:hAnsi="Palatino Linotype"/>
          <w:rtl w:val="0"/>
        </w:rPr>
        <w:t xml:space="preserve">al Sujeto Obligado que en términos del </w:t>
      </w:r>
      <w:r w:rsidDel="00000000" w:rsidR="00000000" w:rsidRPr="00000000">
        <w:rPr>
          <w:rFonts w:ascii="Palatino Linotype" w:cs="Palatino Linotype" w:eastAsia="Palatino Linotype" w:hAnsi="Palatino Linotype"/>
          <w:b w:val="1"/>
          <w:rtl w:val="0"/>
        </w:rPr>
        <w:t xml:space="preserve">Considerando Cuarto </w:t>
      </w:r>
      <w:r w:rsidDel="00000000" w:rsidR="00000000" w:rsidRPr="00000000">
        <w:rPr>
          <w:rFonts w:ascii="Palatino Linotype" w:cs="Palatino Linotype" w:eastAsia="Palatino Linotype" w:hAnsi="Palatino Linotype"/>
          <w:rtl w:val="0"/>
        </w:rPr>
        <w:t xml:space="preserve"> de esta resolución haga entrega al recurrente a través del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previa búsqueda exhaustiva y razonable</w:t>
      </w:r>
      <w:r w:rsidDel="00000000" w:rsidR="00000000" w:rsidRPr="00000000">
        <w:rPr>
          <w:rFonts w:ascii="Palatino Linotype" w:cs="Palatino Linotype" w:eastAsia="Palatino Linotype" w:hAnsi="Palatino Linotype"/>
          <w:rtl w:val="0"/>
        </w:rPr>
        <w:t xml:space="preserve">, en versión pública de ser procedente, lo siguiente:</w:t>
      </w:r>
    </w:p>
    <w:p w:rsidR="00000000" w:rsidDel="00000000" w:rsidP="00000000" w:rsidRDefault="00000000" w:rsidRPr="00000000" w14:paraId="000000E3">
      <w:pPr>
        <w:spacing w:after="240" w:before="240" w:lineRule="auto"/>
        <w:ind w:left="567" w:right="900"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1.- El documento donde consten los permisos o bajas de los servidores públicos listados en la solicitud de información en los que no se emitió pronunciamiento en respuesta, del periodo del 01 de abril al 01 de junio de 2021. </w:t>
      </w:r>
    </w:p>
    <w:p w:rsidR="00000000" w:rsidDel="00000000" w:rsidP="00000000" w:rsidRDefault="00000000" w:rsidRPr="00000000" w14:paraId="000000E4">
      <w:pPr>
        <w:spacing w:after="240" w:before="240" w:lineRule="auto"/>
        <w:ind w:right="900"/>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E5">
      <w:pPr>
        <w:spacing w:after="240" w:before="240" w:lineRule="auto"/>
        <w:ind w:left="567"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000000" w:rsidDel="00000000" w:rsidP="00000000" w:rsidRDefault="00000000" w:rsidRPr="00000000" w14:paraId="000000E6">
      <w:pPr>
        <w:spacing w:after="240" w:before="240" w:lineRule="auto"/>
        <w:ind w:left="567"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De ser el caso de no haberse generado la información que se ordena su entrega, el SUJETO OBLIGADO deberá fundar y motivar dicha situación para tener por atendido el requerimiento. </w:t>
      </w:r>
    </w:p>
    <w:p w:rsidR="00000000" w:rsidDel="00000000" w:rsidP="00000000" w:rsidRDefault="00000000" w:rsidRPr="00000000" w14:paraId="000000E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Tercero.</w:t>
      </w:r>
      <w:r w:rsidDel="00000000" w:rsidR="00000000" w:rsidRPr="00000000">
        <w:rPr>
          <w:rFonts w:ascii="Palatino Linotype" w:cs="Palatino Linotype" w:eastAsia="Palatino Linotype" w:hAnsi="Palatino Linotype"/>
          <w:b w:val="1"/>
          <w:sz w:val="28"/>
          <w:szCs w:val="28"/>
          <w:rtl w:val="0"/>
        </w:rPr>
        <w:t xml:space="preserve">  </w:t>
      </w:r>
      <w:r w:rsidDel="00000000" w:rsidR="00000000" w:rsidRPr="00000000">
        <w:rPr>
          <w:rFonts w:ascii="Palatino Linotype" w:cs="Palatino Linotype" w:eastAsia="Palatino Linotype" w:hAnsi="Palatino Linotype"/>
          <w:b w:val="1"/>
          <w:rtl w:val="0"/>
        </w:rPr>
        <w:t xml:space="preserve">Notifíquese,</w:t>
      </w:r>
      <w:r w:rsidDel="00000000" w:rsidR="00000000" w:rsidRPr="00000000">
        <w:rPr>
          <w:rFonts w:ascii="Palatino Linotype" w:cs="Palatino Linotype" w:eastAsia="Palatino Linotype" w:hAnsi="Palatino Linotype"/>
          <w:b w:val="1"/>
          <w:sz w:val="28"/>
          <w:szCs w:val="28"/>
          <w:rtl w:val="0"/>
        </w:rPr>
        <w:t xml:space="preserve"> </w:t>
      </w:r>
      <w:r w:rsidDel="00000000" w:rsidR="00000000" w:rsidRPr="00000000">
        <w:rPr>
          <w:rFonts w:ascii="Palatino Linotype" w:cs="Palatino Linotype" w:eastAsia="Palatino Linotype" w:hAnsi="Palatino Linotype"/>
          <w:rtl w:val="0"/>
        </w:rPr>
        <w:t xml:space="preserve">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000000" w:rsidDel="00000000" w:rsidP="00000000" w:rsidRDefault="00000000" w:rsidRPr="00000000" w14:paraId="000000E8">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Cuarto.</w:t>
      </w:r>
      <w:r w:rsidDel="00000000" w:rsidR="00000000" w:rsidRPr="00000000">
        <w:rPr>
          <w:rFonts w:ascii="Palatino Linotype" w:cs="Palatino Linotype" w:eastAsia="Palatino Linotype" w:hAnsi="Palatino Linotype"/>
          <w:b w:val="1"/>
          <w:sz w:val="28"/>
          <w:szCs w:val="28"/>
          <w:rtl w:val="0"/>
        </w:rPr>
        <w:t xml:space="preserve"> </w:t>
      </w:r>
      <w:r w:rsidDel="00000000" w:rsidR="00000000" w:rsidRPr="00000000">
        <w:rPr>
          <w:rFonts w:ascii="Palatino Linotype" w:cs="Palatino Linotype" w:eastAsia="Palatino Linotype" w:hAnsi="Palatino Linotype"/>
          <w:rtl w:val="0"/>
        </w:rPr>
        <w:t xml:space="preserve">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00000" w:rsidDel="00000000" w:rsidP="00000000" w:rsidRDefault="00000000" w:rsidRPr="00000000" w14:paraId="000000E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Quinto. Notifíquese, </w:t>
      </w:r>
      <w:r w:rsidDel="00000000" w:rsidR="00000000" w:rsidRPr="00000000">
        <w:rPr>
          <w:rFonts w:ascii="Palatino Linotype" w:cs="Palatino Linotype" w:eastAsia="Palatino Linotype" w:hAnsi="Palatino Linotype"/>
          <w:rtl w:val="0"/>
        </w:rPr>
        <w:t xml:space="preserve">al recurrente la presente resolución, así como que podrá impugnarla vía </w:t>
      </w:r>
      <w:r w:rsidDel="00000000" w:rsidR="00000000" w:rsidRPr="00000000">
        <w:rPr>
          <w:rFonts w:ascii="Palatino Linotype" w:cs="Palatino Linotype" w:eastAsia="Palatino Linotype" w:hAnsi="Palatino Linotype"/>
          <w:b w:val="1"/>
          <w:rtl w:val="0"/>
        </w:rPr>
        <w:t xml:space="preserve">Juicio de Amparo</w:t>
      </w:r>
      <w:r w:rsidDel="00000000" w:rsidR="00000000" w:rsidRPr="00000000">
        <w:rPr>
          <w:rFonts w:ascii="Palatino Linotype" w:cs="Palatino Linotype" w:eastAsia="Palatino Linotype" w:hAnsi="Palatino Linotype"/>
          <w:rtl w:val="0"/>
        </w:rPr>
        <w:t xml:space="preserve"> en los términos de las leyes aplicables, de conformidad con lo establecido en el artículo 196 de la Ley de Transparencia y Acceso a la Información Pública del Estado de México y Municipios. </w:t>
      </w:r>
    </w:p>
    <w:p w:rsidR="00000000" w:rsidDel="00000000" w:rsidP="00000000" w:rsidRDefault="00000000" w:rsidRPr="00000000" w14:paraId="000000EA">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VEINTIDÓS DE SEPTIEMBRE DE DOS MIL VEINTIUNO, ANTE EL SECRETARIO TÉCNICO DEL PLENO ALEXIS TAPIA RAMÍREZ.</w:t>
      </w:r>
    </w:p>
    <w:p w:rsidR="00000000" w:rsidDel="00000000" w:rsidP="00000000" w:rsidRDefault="00000000" w:rsidRPr="00000000" w14:paraId="000000EB">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C">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D">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E">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F">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0">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1">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2">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3">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4">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5">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6">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7">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8">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9">
      <w:pPr>
        <w:spacing w:after="240" w:before="240" w:line="360" w:lineRule="auto"/>
        <w:jc w:val="both"/>
        <w:rPr>
          <w:rFonts w:ascii="Palatino Linotype" w:cs="Palatino Linotype" w:eastAsia="Palatino Linotype" w:hAnsi="Palatino Linotype"/>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17" w:top="1417"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Cambria"/>
  <w:font w:name="Arial"/>
  <w:font w:name="Times New Roman"/>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Página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Página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708"/>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-973454</wp:posOffset>
          </wp:positionH>
          <wp:positionV relativeFrom="paragraph">
            <wp:posOffset>-354964</wp:posOffset>
          </wp:positionV>
          <wp:extent cx="7635600" cy="9943200"/>
          <wp:effectExtent b="0" l="0" r="0" t="0"/>
          <wp:wrapNone/>
          <wp:docPr id="1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35600" cy="9943200"/>
                  </a:xfrm>
                  <a:prstGeom prst="rect"/>
                  <a:ln/>
                </pic:spPr>
              </pic:pic>
            </a:graphicData>
          </a:graphic>
        </wp:anchor>
      </w:drawing>
    </w:r>
  </w:p>
  <w:tbl>
    <w:tblPr>
      <w:tblStyle w:val="Table2"/>
      <w:tblW w:w="6240.0" w:type="dxa"/>
      <w:jc w:val="left"/>
      <w:tblInd w:w="3685.0" w:type="dxa"/>
      <w:tblLayout w:type="fixed"/>
      <w:tblLook w:val="0400"/>
    </w:tblPr>
    <w:tblGrid>
      <w:gridCol w:w="2553"/>
      <w:gridCol w:w="3687"/>
      <w:tblGridChange w:id="0">
        <w:tblGrid>
          <w:gridCol w:w="2553"/>
          <w:gridCol w:w="3687"/>
        </w:tblGrid>
      </w:tblGridChange>
    </w:tblGrid>
    <w:tr>
      <w:trPr>
        <w:cantSplit w:val="0"/>
        <w:tblHeader w:val="0"/>
      </w:trPr>
      <w:tc>
        <w:tcPr>
          <w:vAlign w:val="center"/>
        </w:tcPr>
        <w:p w:rsidR="00000000" w:rsidDel="00000000" w:rsidP="00000000" w:rsidRDefault="00000000" w:rsidRPr="00000000" w14:paraId="000000FB">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vAlign w:val="center"/>
        </w:tcPr>
        <w:p w:rsidR="00000000" w:rsidDel="00000000" w:rsidP="00000000" w:rsidRDefault="00000000" w:rsidRPr="00000000" w14:paraId="000000FC">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03529/INFOEM/IP/RR/2021</w:t>
          </w:r>
        </w:p>
      </w:tc>
    </w:tr>
    <w:tr>
      <w:trPr>
        <w:cantSplit w:val="0"/>
        <w:tblHeader w:val="0"/>
      </w:trPr>
      <w:tc>
        <w:tcPr>
          <w:vAlign w:val="center"/>
        </w:tcPr>
        <w:p w:rsidR="00000000" w:rsidDel="00000000" w:rsidP="00000000" w:rsidRDefault="00000000" w:rsidRPr="00000000" w14:paraId="000000FD">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Recurrente:</w:t>
          </w:r>
        </w:p>
      </w:tc>
      <w:tc>
        <w:tcPr>
          <w:vAlign w:val="center"/>
        </w:tcPr>
        <w:p w:rsidR="00000000" w:rsidDel="00000000" w:rsidP="00000000" w:rsidRDefault="00000000" w:rsidRPr="00000000" w14:paraId="000000FE">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XXXXXXXXXXXXXXXXXXX</w:t>
          </w:r>
        </w:p>
      </w:tc>
    </w:tr>
    <w:tr>
      <w:trPr>
        <w:cantSplit w:val="0"/>
        <w:trHeight w:val="228" w:hRule="atLeast"/>
        <w:tblHeader w:val="0"/>
      </w:trPr>
      <w:tc>
        <w:tcPr>
          <w:vAlign w:val="center"/>
        </w:tcPr>
        <w:p w:rsidR="00000000" w:rsidDel="00000000" w:rsidP="00000000" w:rsidRDefault="00000000" w:rsidRPr="00000000" w14:paraId="000000FF">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vAlign w:val="center"/>
        </w:tcPr>
        <w:p w:rsidR="00000000" w:rsidDel="00000000" w:rsidP="00000000" w:rsidRDefault="00000000" w:rsidRPr="00000000" w14:paraId="00000100">
          <w:pPr>
            <w:ind w:right="596"/>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Atlacomulco</w:t>
          </w:r>
        </w:p>
      </w:tc>
    </w:tr>
    <w:tr>
      <w:trPr>
        <w:cantSplit w:val="0"/>
        <w:tblHeader w:val="0"/>
      </w:trPr>
      <w:tc>
        <w:tcPr>
          <w:vAlign w:val="center"/>
        </w:tcPr>
        <w:p w:rsidR="00000000" w:rsidDel="00000000" w:rsidP="00000000" w:rsidRDefault="00000000" w:rsidRPr="00000000" w14:paraId="00000101">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vAlign w:val="center"/>
        </w:tcPr>
        <w:p w:rsidR="00000000" w:rsidDel="00000000" w:rsidP="00000000" w:rsidRDefault="00000000" w:rsidRPr="00000000" w14:paraId="00000102">
          <w:pPr>
            <w:ind w:right="-533"/>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6240.0" w:type="dxa"/>
      <w:jc w:val="left"/>
      <w:tblInd w:w="3746.0" w:type="dxa"/>
      <w:tblLayout w:type="fixed"/>
      <w:tblLook w:val="0400"/>
    </w:tblPr>
    <w:tblGrid>
      <w:gridCol w:w="2553"/>
      <w:gridCol w:w="3687"/>
      <w:tblGridChange w:id="0">
        <w:tblGrid>
          <w:gridCol w:w="2553"/>
          <w:gridCol w:w="3687"/>
        </w:tblGrid>
      </w:tblGridChange>
    </w:tblGrid>
    <w:tr>
      <w:trPr>
        <w:cantSplit w:val="0"/>
        <w:tblHeader w:val="0"/>
      </w:trPr>
      <w:tc>
        <w:tcPr>
          <w:vAlign w:val="center"/>
        </w:tcPr>
        <w:p w:rsidR="00000000" w:rsidDel="00000000" w:rsidP="00000000" w:rsidRDefault="00000000" w:rsidRPr="00000000" w14:paraId="00000105">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vAlign w:val="center"/>
        </w:tcPr>
        <w:p w:rsidR="00000000" w:rsidDel="00000000" w:rsidP="00000000" w:rsidRDefault="00000000" w:rsidRPr="00000000" w14:paraId="00000106">
          <w:pPr>
            <w:ind w:right="666"/>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03529/INFOEM/IP/RR/2021</w:t>
          </w:r>
        </w:p>
      </w:tc>
    </w:tr>
    <w:tr>
      <w:trPr>
        <w:cantSplit w:val="0"/>
        <w:trHeight w:val="228" w:hRule="atLeast"/>
        <w:tblHeader w:val="0"/>
      </w:trPr>
      <w:tc>
        <w:tcPr>
          <w:vAlign w:val="center"/>
        </w:tcPr>
        <w:p w:rsidR="00000000" w:rsidDel="00000000" w:rsidP="00000000" w:rsidRDefault="00000000" w:rsidRPr="00000000" w14:paraId="00000107">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vAlign w:val="center"/>
        </w:tcPr>
        <w:p w:rsidR="00000000" w:rsidDel="00000000" w:rsidP="00000000" w:rsidRDefault="00000000" w:rsidRPr="00000000" w14:paraId="00000108">
          <w:pPr>
            <w:ind w:right="954"/>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Atlacomulco</w:t>
          </w:r>
        </w:p>
      </w:tc>
    </w:tr>
    <w:tr>
      <w:trPr>
        <w:cantSplit w:val="0"/>
        <w:tblHeader w:val="0"/>
      </w:trPr>
      <w:tc>
        <w:tcPr>
          <w:vAlign w:val="center"/>
        </w:tcPr>
        <w:p w:rsidR="00000000" w:rsidDel="00000000" w:rsidP="00000000" w:rsidRDefault="00000000" w:rsidRPr="00000000" w14:paraId="00000109">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vAlign w:val="center"/>
        </w:tcPr>
        <w:p w:rsidR="00000000" w:rsidDel="00000000" w:rsidP="00000000" w:rsidRDefault="00000000" w:rsidRPr="00000000" w14:paraId="0000010A">
          <w:pPr>
            <w:ind w:right="-533"/>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-982344</wp:posOffset>
          </wp:positionH>
          <wp:positionV relativeFrom="paragraph">
            <wp:posOffset>-1098549</wp:posOffset>
          </wp:positionV>
          <wp:extent cx="7635600" cy="9943200"/>
          <wp:effectExtent b="0" l="0" r="0" t="0"/>
          <wp:wrapNone/>
          <wp:docPr id="1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35600" cy="99432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Palatino Linotype" w:cs="Palatino Linotype" w:eastAsia="Palatino Linotype" w:hAnsi="Palatino Linotyp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3"/>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80F8C"/>
    <w:rPr>
      <w:rFonts w:ascii="Times New Roman" w:cs="Times New Roman" w:eastAsia="Times New Roman" w:hAnsi="Times New Roman"/>
      <w:lang w:val="es-ES"/>
    </w:rPr>
  </w:style>
  <w:style w:type="paragraph" w:styleId="Ttulo1">
    <w:name w:val="heading 1"/>
    <w:basedOn w:val="Normal"/>
    <w:next w:val="Normal"/>
    <w:link w:val="Ttulo1Car"/>
    <w:uiPriority w:val="9"/>
    <w:qFormat w:val="1"/>
    <w:rsid w:val="007F61DA"/>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Ttulo2">
    <w:name w:val="heading 2"/>
    <w:basedOn w:val="Normal"/>
    <w:next w:val="Normal"/>
    <w:link w:val="Ttulo2Car"/>
    <w:uiPriority w:val="9"/>
    <w:unhideWhenUsed w:val="1"/>
    <w:qFormat w:val="1"/>
    <w:rsid w:val="004A6EFE"/>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val="1"/>
    <w:unhideWhenUsed w:val="1"/>
    <w:rsid w:val="00C80F8C"/>
    <w:rPr>
      <w:rFonts w:ascii="Lucida Grande" w:cs="Lucida Grande" w:hAnsi="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val="1"/>
    <w:rsid w:val="00C80F8C"/>
    <w:rPr>
      <w:rFonts w:ascii="Lucida Grande" w:cs="Lucida Grande" w:hAnsi="Lucida Grande"/>
      <w:sz w:val="18"/>
      <w:szCs w:val="18"/>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9D4854"/>
    <w:rPr>
      <w:rFonts w:ascii="Times New Roman" w:cs="Times New Roman" w:eastAsia="Times New Roman" w:hAnsi="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9D4854"/>
    <w:pPr>
      <w:ind w:left="708"/>
    </w:pPr>
  </w:style>
  <w:style w:type="table" w:styleId="Tablaconcuadrcula">
    <w:name w:val="Table Grid"/>
    <w:basedOn w:val="Tablanormal"/>
    <w:uiPriority w:val="59"/>
    <w:rsid w:val="00AB3F5E"/>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AB3F5E"/>
    <w:rPr>
      <w:rFonts w:asciiTheme="minorHAnsi" w:cstheme="minorBidi" w:eastAsiaTheme="minorHAnsi" w:hAnsiTheme="minorHAnsi"/>
      <w:sz w:val="20"/>
      <w:szCs w:val="20"/>
      <w:lang w:eastAsia="en-US" w:val="es-MX"/>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eastAsia="en-US"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val="1"/>
    <w:qFormat w:val="1"/>
    <w:rsid w:val="00AB3F5E"/>
    <w:rPr>
      <w:vertAlign w:val="superscript"/>
    </w:rPr>
  </w:style>
  <w:style w:type="character" w:styleId="Ttulo2Car" w:customStyle="1">
    <w:name w:val="Título 2 Car"/>
    <w:basedOn w:val="Fuentedeprrafopredeter"/>
    <w:link w:val="Ttulo2"/>
    <w:uiPriority w:val="9"/>
    <w:rsid w:val="004A6EFE"/>
    <w:rPr>
      <w:rFonts w:asciiTheme="majorHAnsi" w:cstheme="majorBidi" w:eastAsiaTheme="majorEastAsia" w:hAnsiTheme="majorHAnsi"/>
      <w:color w:val="365f91" w:themeColor="accent1" w:themeShade="0000BF"/>
      <w:sz w:val="26"/>
      <w:szCs w:val="26"/>
      <w:lang w:val="es-ES"/>
    </w:rPr>
  </w:style>
  <w:style w:type="character" w:styleId="apple-converted-space" w:customStyle="1">
    <w:name w:val="apple-converted-space"/>
    <w:basedOn w:val="Fuentedeprrafopredeter"/>
    <w:rsid w:val="00A5404F"/>
  </w:style>
  <w:style w:type="character" w:styleId="normaltextrun" w:customStyle="1">
    <w:name w:val="normaltextrun"/>
    <w:basedOn w:val="Fuentedeprrafopredeter"/>
    <w:rsid w:val="00355B75"/>
  </w:style>
  <w:style w:type="paragraph" w:styleId="paragraph" w:customStyle="1">
    <w:name w:val="paragraph"/>
    <w:basedOn w:val="Normal"/>
    <w:rsid w:val="00355B75"/>
    <w:pPr>
      <w:spacing w:after="100" w:afterAutospacing="1" w:before="100" w:beforeAutospacing="1"/>
    </w:pPr>
    <w:rPr>
      <w:lang w:eastAsia="es-MX" w:val="es-MX"/>
    </w:rPr>
  </w:style>
  <w:style w:type="character" w:styleId="eop" w:customStyle="1">
    <w:name w:val="eop"/>
    <w:basedOn w:val="Fuentedeprrafopredeter"/>
    <w:rsid w:val="00355B75"/>
  </w:style>
  <w:style w:type="character" w:styleId="Hipervnculo">
    <w:name w:val="Hyperlink"/>
    <w:basedOn w:val="Fuentedeprrafopredeter"/>
    <w:uiPriority w:val="99"/>
    <w:unhideWhenUsed w:val="1"/>
    <w:rsid w:val="00623EA3"/>
    <w:rPr>
      <w:color w:val="0000ff" w:themeColor="hyperlink"/>
      <w:u w:val="single"/>
    </w:rPr>
  </w:style>
  <w:style w:type="character" w:styleId="nacep" w:customStyle="1">
    <w:name w:val="n_acep"/>
    <w:basedOn w:val="Fuentedeprrafopredeter"/>
    <w:rsid w:val="00585C24"/>
  </w:style>
  <w:style w:type="paragraph" w:styleId="Texto" w:customStyle="1">
    <w:name w:val="Texto"/>
    <w:basedOn w:val="Normal"/>
    <w:link w:val="TextoCar"/>
    <w:qFormat w:val="1"/>
    <w:rsid w:val="009573BD"/>
    <w:pPr>
      <w:spacing w:after="101" w:line="216" w:lineRule="exact"/>
      <w:ind w:firstLine="288"/>
      <w:jc w:val="both"/>
    </w:pPr>
    <w:rPr>
      <w:rFonts w:ascii="Arial" w:cs="Arial" w:hAnsi="Arial"/>
      <w:sz w:val="18"/>
      <w:szCs w:val="20"/>
    </w:rPr>
  </w:style>
  <w:style w:type="character" w:styleId="TextoCar" w:customStyle="1">
    <w:name w:val="Texto Car"/>
    <w:link w:val="Texto"/>
    <w:locked w:val="1"/>
    <w:rsid w:val="009573BD"/>
    <w:rPr>
      <w:rFonts w:ascii="Arial" w:cs="Arial" w:eastAsia="Times New Roman" w:hAnsi="Arial"/>
      <w:sz w:val="18"/>
      <w:szCs w:val="20"/>
      <w:lang w:val="es-ES"/>
    </w:rPr>
  </w:style>
  <w:style w:type="character" w:styleId="Ttulo1Car" w:customStyle="1">
    <w:name w:val="Título 1 Car"/>
    <w:basedOn w:val="Fuentedeprrafopredeter"/>
    <w:link w:val="Ttulo1"/>
    <w:uiPriority w:val="9"/>
    <w:rsid w:val="007F61DA"/>
    <w:rPr>
      <w:rFonts w:asciiTheme="majorHAnsi" w:cstheme="majorBidi" w:eastAsiaTheme="majorEastAsia" w:hAnsiTheme="majorHAnsi"/>
      <w:color w:val="365f91" w:themeColor="accent1" w:themeShade="0000BF"/>
      <w:sz w:val="32"/>
      <w:szCs w:val="32"/>
      <w:lang w:val="es-ES"/>
    </w:rPr>
  </w:style>
  <w:style w:type="paragraph" w:styleId="Default" w:customStyle="1">
    <w:name w:val="Default"/>
    <w:rsid w:val="00DF0D44"/>
    <w:pPr>
      <w:autoSpaceDE w:val="0"/>
      <w:autoSpaceDN w:val="0"/>
      <w:adjustRightInd w:val="0"/>
    </w:pPr>
    <w:rPr>
      <w:rFonts w:ascii="Arial" w:cs="Arial" w:hAnsi="Arial"/>
      <w:color w:val="000000"/>
      <w:lang w:val="es-MX"/>
    </w:rPr>
  </w:style>
  <w:style w:type="paragraph" w:styleId="Sinespaciado">
    <w:name w:val="No Spacing"/>
    <w:aliases w:val="Francesa,INAI"/>
    <w:link w:val="SinespaciadoCar"/>
    <w:uiPriority w:val="1"/>
    <w:qFormat w:val="1"/>
    <w:rsid w:val="00932CFF"/>
    <w:rPr>
      <w:rFonts w:ascii="Times New Roman" w:cs="Times New Roman" w:eastAsia="Times New Roman" w:hAnsi="Times New Roman"/>
      <w:lang w:val="es-MX"/>
    </w:rPr>
  </w:style>
  <w:style w:type="character" w:styleId="Textoennegrita">
    <w:name w:val="Strong"/>
    <w:uiPriority w:val="22"/>
    <w:qFormat w:val="1"/>
    <w:rsid w:val="00932CFF"/>
    <w:rPr>
      <w:b w:val="1"/>
      <w:bCs w:val="1"/>
    </w:rPr>
  </w:style>
  <w:style w:type="character" w:styleId="SinespaciadoCar" w:customStyle="1">
    <w:name w:val="Sin espaciado Car"/>
    <w:aliases w:val="Francesa Car,INAI Car"/>
    <w:link w:val="Sinespaciado"/>
    <w:uiPriority w:val="1"/>
    <w:locked w:val="1"/>
    <w:rsid w:val="00932CFF"/>
    <w:rPr>
      <w:rFonts w:ascii="Times New Roman" w:cs="Times New Roman" w:eastAsia="Times New Roman" w:hAnsi="Times New Roman"/>
      <w:lang w:val="es-MX"/>
    </w:rPr>
  </w:style>
  <w:style w:type="paragraph" w:styleId="NormalWeb">
    <w:name w:val="Normal (Web)"/>
    <w:basedOn w:val="Normal"/>
    <w:uiPriority w:val="99"/>
    <w:unhideWhenUsed w:val="1"/>
    <w:rsid w:val="00444919"/>
    <w:pPr>
      <w:spacing w:after="100" w:afterAutospacing="1" w:before="100" w:beforeAutospacing="1"/>
    </w:pPr>
    <w:rPr>
      <w:lang w:eastAsia="es-MX" w:val="es-MX"/>
    </w:rPr>
  </w:style>
  <w:style w:type="paragraph" w:styleId="Textoindependiente">
    <w:name w:val="Body Text"/>
    <w:basedOn w:val="Normal"/>
    <w:link w:val="TextoindependienteCar"/>
    <w:uiPriority w:val="1"/>
    <w:qFormat w:val="1"/>
    <w:rsid w:val="00446C36"/>
    <w:pPr>
      <w:widowControl w:val="0"/>
      <w:autoSpaceDE w:val="0"/>
      <w:autoSpaceDN w:val="0"/>
      <w:adjustRightInd w:val="0"/>
      <w:ind w:left="112"/>
    </w:pPr>
    <w:rPr>
      <w:rFonts w:eastAsiaTheme="minorEastAsia"/>
      <w:sz w:val="25"/>
      <w:szCs w:val="25"/>
      <w:lang w:eastAsia="es-MX" w:val="es-MX"/>
    </w:rPr>
  </w:style>
  <w:style w:type="character" w:styleId="TextoindependienteCar" w:customStyle="1">
    <w:name w:val="Texto independiente Car"/>
    <w:basedOn w:val="Fuentedeprrafopredeter"/>
    <w:link w:val="Textoindependiente"/>
    <w:uiPriority w:val="1"/>
    <w:rsid w:val="00446C36"/>
    <w:rPr>
      <w:rFonts w:ascii="Times New Roman" w:cs="Times New Roman" w:hAnsi="Times New Roman"/>
      <w:sz w:val="25"/>
      <w:szCs w:val="25"/>
      <w:lang w:eastAsia="es-MX" w:val="es-MX"/>
    </w:rPr>
  </w:style>
  <w:style w:type="paragraph" w:styleId="Textosinformato">
    <w:name w:val="Plain Text"/>
    <w:basedOn w:val="Normal"/>
    <w:link w:val="TextosinformatoCar"/>
    <w:unhideWhenUsed w:val="1"/>
    <w:rsid w:val="006F1806"/>
    <w:rPr>
      <w:rFonts w:ascii="Courier New" w:hAnsi="Courier New"/>
      <w:sz w:val="20"/>
      <w:szCs w:val="20"/>
    </w:rPr>
  </w:style>
  <w:style w:type="character" w:styleId="TextosinformatoCar" w:customStyle="1">
    <w:name w:val="Texto sin formato Car"/>
    <w:basedOn w:val="Fuentedeprrafopredeter"/>
    <w:link w:val="Textosinformato"/>
    <w:rsid w:val="006F1806"/>
    <w:rPr>
      <w:rFonts w:ascii="Courier New" w:cs="Times New Roman" w:eastAsia="Times New Roman" w:hAnsi="Courier New"/>
      <w:sz w:val="20"/>
      <w:szCs w:val="20"/>
      <w:lang w:val="es-ES"/>
    </w:rPr>
  </w:style>
  <w:style w:type="table" w:styleId="Tabladelista1clara-nfasis1">
    <w:name w:val="List Table 1 Light Accent 1"/>
    <w:basedOn w:val="Tablanormal"/>
    <w:uiPriority w:val="46"/>
    <w:rsid w:val="007B70B3"/>
    <w:tblPr>
      <w:tblStyleRowBandSize w:val="1"/>
      <w:tblStyleColBandSize w:val="1"/>
      <w:tblInd w:w="0.0" w:type="dxa"/>
      <w:tblCellMar>
        <w:top w:w="0.0" w:type="dxa"/>
        <w:left w:w="108.0" w:type="dxa"/>
        <w:bottom w:w="0.0" w:type="dxa"/>
        <w:right w:w="108.0" w:type="dxa"/>
      </w:tblCellMar>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Mencinsinresolver1" w:customStyle="1">
    <w:name w:val="Mención sin resolver1"/>
    <w:basedOn w:val="Fuentedeprrafopredeter"/>
    <w:uiPriority w:val="99"/>
    <w:semiHidden w:val="1"/>
    <w:unhideWhenUsed w:val="1"/>
    <w:rsid w:val="00CA08C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ffF9gX4DhQnCGLOaRFF5dwbDUQ==">AMUW2mWAYXpaT56byGHSxrWq9W926OJjgLn9H6OzcttcR48pRWVNChpVvJ8OZGNPzxxpO+uWgb9vAosETRCGduUFp9a/UeQrjhlB/b1PsyTiW8plUxOt6/tEkUftYj3XBHyDVxahR/vf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2021-09-22T20:03:00Z</dcterms:created>
  <dc:creator>iMac</dc:creator>
</cp:coreProperties>
</file>