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D9" w:rsidRPr="00AD2A55" w:rsidRDefault="002955D9" w:rsidP="002955D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veintiocho de abril de dos mil veintiuno</w:t>
      </w:r>
      <w:r w:rsidRPr="00CC3652">
        <w:rPr>
          <w:rFonts w:ascii="Palatino Linotype" w:eastAsia="Times New Roman" w:hAnsi="Palatino Linotype" w:cs="Arial"/>
          <w:color w:val="000000"/>
          <w:sz w:val="24"/>
          <w:szCs w:val="24"/>
          <w:lang w:eastAsia="es-MX"/>
        </w:rPr>
        <w:t>.</w:t>
      </w:r>
    </w:p>
    <w:p w:rsidR="002955D9" w:rsidRPr="00AD2A55" w:rsidRDefault="002955D9" w:rsidP="002955D9">
      <w:pPr>
        <w:shd w:val="clear" w:color="auto" w:fill="FFFFFF"/>
        <w:spacing w:after="0" w:line="360" w:lineRule="auto"/>
        <w:jc w:val="both"/>
        <w:rPr>
          <w:rFonts w:ascii="Palatino Linotype" w:eastAsia="Times New Roman" w:hAnsi="Palatino Linotype" w:cs="Arial"/>
          <w:color w:val="000000"/>
          <w:sz w:val="24"/>
          <w:szCs w:val="24"/>
          <w:lang w:eastAsia="es-MX"/>
        </w:rPr>
      </w:pPr>
    </w:p>
    <w:p w:rsidR="002955D9" w:rsidRPr="00AD2A55" w:rsidRDefault="002955D9" w:rsidP="002955D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1110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proofErr w:type="spellStart"/>
      <w:r w:rsidR="003276E0">
        <w:rPr>
          <w:rFonts w:ascii="Palatino Linotype" w:hAnsi="Palatino Linotype" w:cs="Arial"/>
          <w:b/>
          <w:sz w:val="24"/>
          <w:szCs w:val="24"/>
        </w:rPr>
        <w:t>xxxxxxxxxxxxxxxxxxx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Pr="002955D9">
        <w:rPr>
          <w:rFonts w:ascii="Palatino Linotype" w:hAnsi="Palatino Linotype" w:cs="Arial"/>
          <w:b/>
          <w:sz w:val="24"/>
          <w:szCs w:val="24"/>
        </w:rPr>
        <w:t>Ayuntamiento de Ixtapaluca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955D9" w:rsidRPr="00AD2A55" w:rsidRDefault="002955D9" w:rsidP="002955D9">
      <w:pPr>
        <w:tabs>
          <w:tab w:val="left" w:pos="6960"/>
        </w:tabs>
        <w:spacing w:after="0" w:line="360" w:lineRule="auto"/>
        <w:jc w:val="both"/>
        <w:rPr>
          <w:rFonts w:ascii="Palatino Linotype" w:hAnsi="Palatino Linotype" w:cs="Arial"/>
          <w:sz w:val="24"/>
          <w:szCs w:val="24"/>
        </w:rPr>
      </w:pPr>
    </w:p>
    <w:p w:rsidR="002955D9" w:rsidRPr="007763F3" w:rsidRDefault="002955D9" w:rsidP="002955D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955D9" w:rsidRPr="00D23436" w:rsidRDefault="002955D9" w:rsidP="002955D9">
      <w:pPr>
        <w:spacing w:after="0" w:line="360" w:lineRule="auto"/>
        <w:rPr>
          <w:rFonts w:ascii="Palatino Linotype" w:hAnsi="Palatino Linotype" w:cs="Arial"/>
          <w:b/>
          <w:sz w:val="24"/>
          <w:szCs w:val="24"/>
        </w:rPr>
      </w:pPr>
    </w:p>
    <w:p w:rsidR="002955D9" w:rsidRPr="004C083E" w:rsidRDefault="002955D9" w:rsidP="002955D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955D9" w:rsidRDefault="002955D9" w:rsidP="002955D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 xml:space="preserve">quince de febrero de dos mil veintiuno, el </w:t>
      </w:r>
      <w:r w:rsidRPr="00887A0B">
        <w:rPr>
          <w:rFonts w:ascii="Palatino Linotype" w:hAnsi="Palatino Linotype" w:cs="Arial"/>
          <w:b/>
          <w:sz w:val="24"/>
          <w:szCs w:val="24"/>
        </w:rPr>
        <w:t>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2955D9">
        <w:rPr>
          <w:rFonts w:ascii="Palatino Linotype" w:hAnsi="Palatino Linotype" w:cs="Arial"/>
          <w:b/>
          <w:sz w:val="24"/>
          <w:szCs w:val="24"/>
        </w:rPr>
        <w:t>00017/IXTAPALU/IP/2021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2955D9">
        <w:rPr>
          <w:rFonts w:ascii="Palatino Linotype" w:eastAsia="Times New Roman" w:hAnsi="Palatino Linotype" w:cs="Times New Roman"/>
          <w:i/>
          <w:szCs w:val="24"/>
          <w:lang w:val="es-ES_tradnl" w:eastAsia="es-ES"/>
        </w:rPr>
        <w:t xml:space="preserve">Ejerciendo mi derecho constitucional establecido en </w:t>
      </w:r>
      <w:proofErr w:type="spellStart"/>
      <w:r w:rsidRPr="002955D9">
        <w:rPr>
          <w:rFonts w:ascii="Palatino Linotype" w:eastAsia="Times New Roman" w:hAnsi="Palatino Linotype" w:cs="Times New Roman"/>
          <w:i/>
          <w:szCs w:val="24"/>
          <w:lang w:val="es-ES_tradnl" w:eastAsia="es-ES"/>
        </w:rPr>
        <w:t>en</w:t>
      </w:r>
      <w:proofErr w:type="spellEnd"/>
      <w:r w:rsidRPr="002955D9">
        <w:rPr>
          <w:rFonts w:ascii="Palatino Linotype" w:eastAsia="Times New Roman" w:hAnsi="Palatino Linotype" w:cs="Times New Roman"/>
          <w:i/>
          <w:szCs w:val="24"/>
          <w:lang w:val="es-ES_tradnl" w:eastAsia="es-ES"/>
        </w:rPr>
        <w:t xml:space="preserve"> el artículo 6 de la Constitución Política de los Estados Unidos Mexicanos, solicito el tabulador de salarios de los miembros de cabildo y cuerpo administrativo municipal, correspondiente a los ejercicios fiscales de 2017, 2018, 2019,2020 y 2021. Con fundamento en la Ley de Transparencia Con fundamento en los artículos 7 fracción IV, 41 BIS fracción I, III y 42, de la Ley de Transparencia y Acceso a la Información Pública del Estado de México y Municipios., esto con la finalidad del cumplimiento de esta solicitud.</w:t>
      </w:r>
      <w:r>
        <w:rPr>
          <w:rFonts w:ascii="Palatino Linotype" w:eastAsia="Times New Roman" w:hAnsi="Palatino Linotype" w:cs="Times New Roman"/>
          <w:i/>
          <w:szCs w:val="24"/>
          <w:lang w:val="es-ES_tradnl" w:eastAsia="es-ES"/>
        </w:rPr>
        <w:t>”</w:t>
      </w:r>
    </w:p>
    <w:p w:rsidR="002955D9" w:rsidRDefault="002955D9" w:rsidP="002955D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955D9" w:rsidRDefault="002955D9" w:rsidP="002955D9">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rsidR="002955D9" w:rsidRPr="002955D9" w:rsidRDefault="002955D9" w:rsidP="002955D9">
      <w:pPr>
        <w:tabs>
          <w:tab w:val="left" w:pos="5647"/>
        </w:tabs>
        <w:spacing w:after="0" w:line="360" w:lineRule="auto"/>
        <w:ind w:right="850"/>
        <w:jc w:val="both"/>
        <w:rPr>
          <w:rFonts w:ascii="Palatino Linotype" w:hAnsi="Palatino Linotype"/>
          <w:color w:val="000000"/>
          <w:sz w:val="24"/>
          <w:szCs w:val="24"/>
        </w:rPr>
      </w:pPr>
    </w:p>
    <w:p w:rsidR="002955D9" w:rsidRPr="00835D88" w:rsidRDefault="002955D9" w:rsidP="002955D9">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2955D9" w:rsidRPr="00835D88" w:rsidRDefault="002955D9" w:rsidP="002955D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2955D9" w:rsidRPr="00835D88"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760720" cy="23742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74265"/>
                    </a:xfrm>
                    <a:prstGeom prst="rect">
                      <a:avLst/>
                    </a:prstGeom>
                  </pic:spPr>
                </pic:pic>
              </a:graphicData>
            </a:graphic>
          </wp:inline>
        </w:drawing>
      </w:r>
      <w:bookmarkEnd w:id="0"/>
    </w:p>
    <w:p w:rsidR="002955D9" w:rsidRDefault="002955D9" w:rsidP="002955D9">
      <w:pPr>
        <w:spacing w:after="0" w:line="360" w:lineRule="auto"/>
        <w:jc w:val="both"/>
        <w:rPr>
          <w:rFonts w:ascii="Palatino Linotype" w:eastAsia="Calibri" w:hAnsi="Palatino Linotype" w:cs="Arial"/>
          <w:noProof/>
          <w:sz w:val="24"/>
          <w:szCs w:val="24"/>
          <w:lang w:eastAsia="es-MX"/>
        </w:rPr>
      </w:pPr>
    </w:p>
    <w:p w:rsidR="002955D9" w:rsidRDefault="002955D9" w:rsidP="002955D9">
      <w:pPr>
        <w:spacing w:after="0" w:line="360" w:lineRule="auto"/>
        <w:jc w:val="both"/>
        <w:rPr>
          <w:rFonts w:ascii="Palatino Linotype" w:eastAsia="Calibri" w:hAnsi="Palatino Linotype" w:cs="Arial"/>
          <w:noProof/>
          <w:sz w:val="24"/>
          <w:szCs w:val="24"/>
          <w:lang w:eastAsia="es-MX"/>
        </w:rPr>
      </w:pPr>
    </w:p>
    <w:p w:rsidR="002955D9" w:rsidRPr="00835D88" w:rsidRDefault="002955D9" w:rsidP="002955D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2955D9" w:rsidRPr="00835D88" w:rsidRDefault="002955D9" w:rsidP="002955D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Pr>
          <w:rFonts w:ascii="Palatino Linotype" w:hAnsi="Palatino Linotype" w:cs="Arial"/>
          <w:sz w:val="24"/>
          <w:szCs w:val="24"/>
        </w:rPr>
        <w:t xml:space="preserve">, </w:t>
      </w:r>
      <w:r w:rsidRPr="00835D88">
        <w:rPr>
          <w:rFonts w:ascii="Palatino Linotype" w:hAnsi="Palatino Linotype" w:cs="Arial"/>
          <w:sz w:val="24"/>
          <w:szCs w:val="24"/>
        </w:rPr>
        <w:t>l</w:t>
      </w:r>
      <w:r>
        <w:rPr>
          <w:rFonts w:ascii="Palatino Linotype" w:hAnsi="Palatino Linotype" w:cs="Arial"/>
          <w:sz w:val="24"/>
          <w:szCs w:val="24"/>
        </w:rPr>
        <w:t>a</w:t>
      </w:r>
      <w:r w:rsidRPr="00835D88">
        <w:rPr>
          <w:rFonts w:ascii="Palatino Linotype" w:hAnsi="Palatino Linotype" w:cs="Arial"/>
          <w:sz w:val="24"/>
          <w:szCs w:val="24"/>
        </w:rPr>
        <w:t xml:space="preserve">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dieciséis de marzo de dos mil veintiuno</w:t>
      </w:r>
      <w:r>
        <w:rPr>
          <w:rStyle w:val="Refdenotaalpie"/>
          <w:rFonts w:ascii="Palatino Linotype" w:hAnsi="Palatino Linotype" w:cs="Arial"/>
          <w:sz w:val="24"/>
          <w:szCs w:val="24"/>
        </w:rPr>
        <w:footnoteReference w:id="1"/>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1110/INFOEM/IP/RR/2021</w:t>
      </w:r>
      <w:r w:rsidRPr="00835D88">
        <w:rPr>
          <w:rFonts w:ascii="Palatino Linotype" w:hAnsi="Palatino Linotype" w:cs="Arial"/>
          <w:sz w:val="24"/>
          <w:szCs w:val="24"/>
        </w:rPr>
        <w:t>, aduciendo como acto impugnado y razones o motivos de inconformidad los siguientes:</w:t>
      </w:r>
    </w:p>
    <w:p w:rsidR="002955D9" w:rsidRPr="00835D88" w:rsidRDefault="002955D9" w:rsidP="002955D9">
      <w:pPr>
        <w:spacing w:after="0" w:line="360" w:lineRule="auto"/>
        <w:jc w:val="both"/>
        <w:rPr>
          <w:rFonts w:ascii="Palatino Linotype" w:hAnsi="Palatino Linotype" w:cs="Arial"/>
          <w:b/>
          <w:sz w:val="24"/>
          <w:szCs w:val="24"/>
        </w:rPr>
      </w:pPr>
    </w:p>
    <w:p w:rsidR="002955D9" w:rsidRDefault="002955D9" w:rsidP="002955D9">
      <w:pPr>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4"/>
          <w:szCs w:val="24"/>
          <w:lang w:val="es-ES" w:eastAsia="es-ES"/>
        </w:rPr>
        <w:t>Acto Impugnado:</w:t>
      </w:r>
    </w:p>
    <w:p w:rsidR="002955D9" w:rsidRPr="002955D9" w:rsidRDefault="002955D9" w:rsidP="002955D9">
      <w:pPr>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2955D9">
        <w:rPr>
          <w:rFonts w:ascii="Palatino Linotype" w:eastAsia="Times New Roman" w:hAnsi="Palatino Linotype" w:cs="Arial"/>
          <w:i/>
          <w:szCs w:val="24"/>
          <w:lang w:val="es-ES" w:eastAsia="es-ES"/>
        </w:rPr>
        <w:t>Incumplimiento en tiempos de entrega y posible omisión de información.</w:t>
      </w:r>
      <w:r w:rsidRPr="00835D88">
        <w:rPr>
          <w:rFonts w:ascii="Palatino Linotype" w:eastAsia="Times New Roman" w:hAnsi="Palatino Linotype" w:cs="Arial"/>
          <w:i/>
          <w:szCs w:val="24"/>
          <w:lang w:val="es-ES" w:eastAsia="es-ES"/>
        </w:rPr>
        <w:t>”</w:t>
      </w:r>
    </w:p>
    <w:p w:rsidR="002955D9" w:rsidRDefault="002955D9" w:rsidP="002955D9">
      <w:pPr>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2955D9" w:rsidRPr="00835D88" w:rsidRDefault="002955D9" w:rsidP="002955D9">
      <w:pPr>
        <w:spacing w:after="0" w:line="360" w:lineRule="auto"/>
        <w:jc w:val="both"/>
        <w:rPr>
          <w:rFonts w:ascii="Palatino Linotype" w:eastAsia="Times New Roman" w:hAnsi="Palatino Linotype" w:cs="Arial"/>
          <w:b/>
          <w:sz w:val="24"/>
          <w:szCs w:val="24"/>
          <w:lang w:val="es-ES" w:eastAsia="es-ES"/>
        </w:rPr>
      </w:pPr>
    </w:p>
    <w:p w:rsidR="002955D9" w:rsidRPr="00835D88" w:rsidRDefault="002955D9" w:rsidP="002955D9">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2955D9">
        <w:rPr>
          <w:rFonts w:ascii="Palatino Linotype" w:hAnsi="Palatino Linotype"/>
          <w:i/>
          <w:color w:val="000000"/>
        </w:rPr>
        <w:t xml:space="preserve">Se le solicito información de la solicitud 0017/IXTAPALU/IP/2021, misma que tenía como fecha límite de respuesta 09/03/2021, en virtud del incumplimiento, se motiva y fundamenta la falta de respuesta del sujeto obligado. siendo un acto anticonstitucional por la violación de mi derecho de acceso a la información pública, establecido en el artículo 6° de la constitución política de los Estado unidos Mexicanos, exponiendo de la misma forma, la omisión de información por parte del sujeto obligado, es por ello, que se solicita el cumplimiento de la misma a la brevedad, y se no ser así aplicar las sanciones administrativas por la negligencia de los servidores públicos que intervengan para que no se </w:t>
      </w:r>
      <w:proofErr w:type="spellStart"/>
      <w:r w:rsidRPr="002955D9">
        <w:rPr>
          <w:rFonts w:ascii="Palatino Linotype" w:hAnsi="Palatino Linotype"/>
          <w:i/>
          <w:color w:val="000000"/>
        </w:rPr>
        <w:t>de</w:t>
      </w:r>
      <w:proofErr w:type="spellEnd"/>
      <w:r w:rsidRPr="002955D9">
        <w:rPr>
          <w:rFonts w:ascii="Palatino Linotype" w:hAnsi="Palatino Linotype"/>
          <w:i/>
          <w:color w:val="000000"/>
        </w:rPr>
        <w:t xml:space="preserve"> cumplimiento a la misma, esto con fundamento en los artículos 82, 83, 84, de la Ley de Transparencia y Acceso a la Información Pública del Estado de México y Municipios.</w:t>
      </w:r>
      <w:r>
        <w:rPr>
          <w:rFonts w:ascii="Palatino Linotype" w:hAnsi="Palatino Linotype"/>
          <w:i/>
          <w:color w:val="000000"/>
        </w:rPr>
        <w:t>”</w:t>
      </w:r>
    </w:p>
    <w:p w:rsidR="002955D9" w:rsidRDefault="002955D9" w:rsidP="002955D9">
      <w:pPr>
        <w:spacing w:after="0" w:line="360" w:lineRule="auto"/>
        <w:jc w:val="both"/>
        <w:rPr>
          <w:rFonts w:ascii="Palatino Linotype" w:hAnsi="Palatino Linotype" w:cs="Arial"/>
          <w:sz w:val="24"/>
          <w:szCs w:val="24"/>
        </w:rPr>
      </w:pPr>
    </w:p>
    <w:p w:rsidR="002955D9" w:rsidRP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recurso de revisión, adjunto el archivo electrónico denominado “</w:t>
      </w:r>
      <w:r w:rsidRPr="002955D9">
        <w:rPr>
          <w:rFonts w:ascii="Palatino Linotype" w:hAnsi="Palatino Linotype" w:cs="Arial"/>
          <w:sz w:val="24"/>
          <w:szCs w:val="24"/>
        </w:rPr>
        <w:t>0017-IXTAPALU-IP-2021.pdf</w:t>
      </w:r>
      <w:r>
        <w:rPr>
          <w:rFonts w:ascii="Palatino Linotype" w:hAnsi="Palatino Linotype" w:cs="Arial"/>
          <w:sz w:val="24"/>
          <w:szCs w:val="24"/>
        </w:rPr>
        <w:t>”, consistente en el acuse de la solicitud de información, que al ser del conocimiento de las partes, se omite su inserción y estudio, en obvio de repeticiones innecesarias.</w:t>
      </w: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both"/>
        <w:rPr>
          <w:rFonts w:ascii="Palatino Linotype" w:hAnsi="Palatino Linotype" w:cs="Arial"/>
          <w:sz w:val="24"/>
          <w:szCs w:val="24"/>
        </w:rPr>
      </w:pPr>
    </w:p>
    <w:p w:rsidR="002955D9" w:rsidRPr="00835D88" w:rsidRDefault="002955D9" w:rsidP="002955D9">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2955D9" w:rsidRPr="00835D88" w:rsidRDefault="002955D9" w:rsidP="002955D9">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lastRenderedPageBreak/>
        <w:t xml:space="preserve">En fecha </w:t>
      </w:r>
      <w:r>
        <w:rPr>
          <w:rFonts w:ascii="Palatino Linotype" w:eastAsia="Times New Roman" w:hAnsi="Palatino Linotype" w:cs="Arial"/>
          <w:sz w:val="24"/>
          <w:szCs w:val="24"/>
          <w:lang w:val="es-ES" w:eastAsia="es-ES"/>
        </w:rPr>
        <w:t>dieciséis de marzo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2955D9" w:rsidRDefault="002955D9" w:rsidP="002955D9">
      <w:pPr>
        <w:spacing w:after="0" w:line="360" w:lineRule="auto"/>
        <w:ind w:right="49"/>
        <w:jc w:val="both"/>
        <w:rPr>
          <w:rFonts w:ascii="Palatino Linotype" w:eastAsia="Times New Roman" w:hAnsi="Palatino Linotype" w:cs="Arial"/>
          <w:sz w:val="24"/>
          <w:szCs w:val="24"/>
          <w:lang w:val="es-ES_tradnl" w:eastAsia="es-ES"/>
        </w:rPr>
      </w:pPr>
    </w:p>
    <w:p w:rsidR="002955D9" w:rsidRPr="00835D88" w:rsidRDefault="002955D9" w:rsidP="002955D9">
      <w:pPr>
        <w:spacing w:after="0" w:line="360" w:lineRule="auto"/>
        <w:ind w:right="49"/>
        <w:jc w:val="both"/>
        <w:rPr>
          <w:rFonts w:ascii="Palatino Linotype" w:eastAsia="Times New Roman" w:hAnsi="Palatino Linotype" w:cs="Arial"/>
          <w:sz w:val="24"/>
          <w:szCs w:val="24"/>
          <w:lang w:val="es-ES_tradnl" w:eastAsia="es-ES"/>
        </w:rPr>
      </w:pPr>
    </w:p>
    <w:p w:rsidR="002955D9" w:rsidRPr="00835D88" w:rsidRDefault="002955D9" w:rsidP="002955D9">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2955D9" w:rsidRDefault="002955D9" w:rsidP="002955D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veintidós de marzo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2955D9" w:rsidRDefault="002955D9" w:rsidP="002955D9">
      <w:pPr>
        <w:spacing w:after="0" w:line="360" w:lineRule="auto"/>
        <w:ind w:right="49"/>
        <w:jc w:val="both"/>
        <w:rPr>
          <w:rFonts w:ascii="Palatino Linotype" w:eastAsia="Times New Roman" w:hAnsi="Palatino Linotype" w:cs="Arial"/>
          <w:sz w:val="24"/>
          <w:szCs w:val="24"/>
          <w:lang w:val="es-ES" w:eastAsia="es-ES"/>
        </w:rPr>
      </w:pPr>
    </w:p>
    <w:p w:rsidR="002955D9" w:rsidRDefault="002955D9" w:rsidP="002955D9">
      <w:pPr>
        <w:spacing w:after="0" w:line="360" w:lineRule="auto"/>
        <w:ind w:right="49"/>
        <w:jc w:val="both"/>
        <w:rPr>
          <w:rFonts w:ascii="Palatino Linotype" w:eastAsia="Times New Roman" w:hAnsi="Palatino Linotype" w:cs="Arial"/>
          <w:sz w:val="24"/>
          <w:szCs w:val="24"/>
          <w:lang w:val="es-ES" w:eastAsia="es-ES"/>
        </w:rPr>
      </w:pPr>
    </w:p>
    <w:p w:rsidR="002955D9" w:rsidRPr="008A440A" w:rsidRDefault="002955D9" w:rsidP="002955D9">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rsidR="002955D9" w:rsidRPr="008A440A" w:rsidRDefault="002955D9" w:rsidP="002955D9">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Una vez abierta la etapa de instrucción, de las constancias electrónicas que integran el sumario se observa que</w:t>
      </w:r>
      <w:r>
        <w:rPr>
          <w:rFonts w:ascii="Palatino Linotype" w:hAnsi="Palatino Linotype" w:cs="Arial"/>
          <w:sz w:val="24"/>
          <w:szCs w:val="24"/>
        </w:rPr>
        <w:t xml:space="preserve"> tanto </w:t>
      </w:r>
      <w:r w:rsidRPr="008A440A">
        <w:rPr>
          <w:rFonts w:ascii="Palatino Linotype" w:hAnsi="Palatino Linotype" w:cs="Arial"/>
          <w:sz w:val="24"/>
          <w:szCs w:val="24"/>
        </w:rPr>
        <w:t xml:space="preserve">el </w:t>
      </w:r>
      <w:r w:rsidRPr="008A440A">
        <w:rPr>
          <w:rFonts w:ascii="Palatino Linotype" w:hAnsi="Palatino Linotype" w:cs="Arial"/>
          <w:b/>
          <w:sz w:val="24"/>
          <w:szCs w:val="24"/>
        </w:rPr>
        <w:t>sujeto obligado</w:t>
      </w:r>
      <w:r>
        <w:rPr>
          <w:rFonts w:ascii="Palatino Linotype" w:hAnsi="Palatino Linotype" w:cs="Arial"/>
          <w:b/>
          <w:sz w:val="24"/>
          <w:szCs w:val="24"/>
        </w:rPr>
        <w:t>,</w:t>
      </w:r>
      <w:r>
        <w:rPr>
          <w:rFonts w:ascii="Palatino Linotype" w:hAnsi="Palatino Linotype" w:cs="Arial"/>
          <w:sz w:val="24"/>
          <w:szCs w:val="24"/>
        </w:rPr>
        <w:t xml:space="preserve"> como la </w:t>
      </w:r>
      <w:r>
        <w:rPr>
          <w:rFonts w:ascii="Palatino Linotype" w:hAnsi="Palatino Linotype" w:cs="Arial"/>
          <w:b/>
          <w:sz w:val="24"/>
          <w:szCs w:val="24"/>
        </w:rPr>
        <w:t>recurrente</w:t>
      </w:r>
      <w:r w:rsidRPr="008A440A">
        <w:rPr>
          <w:rFonts w:ascii="Palatino Linotype" w:hAnsi="Palatino Linotype" w:cs="Arial"/>
          <w:sz w:val="24"/>
          <w:szCs w:val="24"/>
        </w:rPr>
        <w:t xml:space="preserve"> </w:t>
      </w:r>
      <w:r>
        <w:rPr>
          <w:rFonts w:ascii="Palatino Linotype" w:hAnsi="Palatino Linotype" w:cs="Arial"/>
          <w:sz w:val="24"/>
          <w:szCs w:val="24"/>
        </w:rPr>
        <w:t>fueron omisos en rendir su informe justificado y manifestaciones que a sus intereses conviniera, respectivamente, dentro del término de ley, que les fue otorgado. A</w:t>
      </w:r>
      <w:r w:rsidRPr="008A440A">
        <w:rPr>
          <w:rFonts w:ascii="Palatino Linotype" w:hAnsi="Palatino Linotype" w:cs="Arial"/>
          <w:sz w:val="24"/>
          <w:szCs w:val="24"/>
        </w:rPr>
        <w:t>sí mismo se aprecia que no se llevaron a cabo audiencias durante la sustan</w:t>
      </w:r>
      <w:r>
        <w:rPr>
          <w:rFonts w:ascii="Palatino Linotype" w:hAnsi="Palatino Linotype" w:cs="Arial"/>
          <w:sz w:val="24"/>
          <w:szCs w:val="24"/>
        </w:rPr>
        <w:t>ciación del recurso de revisión</w:t>
      </w:r>
      <w:r w:rsidRPr="008A440A">
        <w:rPr>
          <w:rFonts w:ascii="Palatino Linotype" w:hAnsi="Palatino Linotype" w:cs="Arial"/>
          <w:sz w:val="24"/>
          <w:szCs w:val="24"/>
        </w:rPr>
        <w:t xml:space="preserve">; </w:t>
      </w:r>
      <w:r w:rsidRPr="008A440A">
        <w:rPr>
          <w:rFonts w:ascii="Palatino Linotype" w:hAnsi="Palatino Linotype" w:cs="Arial"/>
          <w:sz w:val="24"/>
          <w:szCs w:val="24"/>
        </w:rPr>
        <w:lastRenderedPageBreak/>
        <w:t>todo lo anterior en términos de los artículos 185 fracción IV y 195 de la Ley de Transparencia y Acceso a la Información Pública del Estado de México y Municipios.</w:t>
      </w:r>
    </w:p>
    <w:p w:rsidR="002955D9" w:rsidRDefault="002955D9" w:rsidP="002955D9">
      <w:pPr>
        <w:spacing w:after="0" w:line="360" w:lineRule="auto"/>
        <w:jc w:val="both"/>
        <w:rPr>
          <w:rFonts w:ascii="Palatino Linotype" w:hAnsi="Palatino Linotype" w:cs="Arial"/>
          <w:sz w:val="24"/>
          <w:szCs w:val="24"/>
        </w:rPr>
      </w:pPr>
    </w:p>
    <w:p w:rsidR="002955D9" w:rsidRPr="008A440A" w:rsidRDefault="002955D9" w:rsidP="002955D9">
      <w:pPr>
        <w:spacing w:after="0" w:line="360" w:lineRule="auto"/>
        <w:jc w:val="both"/>
        <w:rPr>
          <w:rFonts w:ascii="Palatino Linotype" w:hAnsi="Palatino Linotype" w:cs="Arial"/>
          <w:sz w:val="24"/>
          <w:szCs w:val="24"/>
        </w:rPr>
      </w:pPr>
    </w:p>
    <w:p w:rsidR="002955D9" w:rsidRPr="008A440A" w:rsidRDefault="002955D9" w:rsidP="002955D9">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2955D9" w:rsidRDefault="002955D9" w:rsidP="002955D9">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nueve de abril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center"/>
        <w:rPr>
          <w:rFonts w:ascii="Palatino Linotype" w:hAnsi="Palatino Linotype" w:cs="Arial"/>
          <w:sz w:val="24"/>
          <w:szCs w:val="24"/>
        </w:rPr>
      </w:pPr>
      <w:r>
        <w:rPr>
          <w:rFonts w:ascii="Palatino Linotype" w:hAnsi="Palatino Linotype" w:cs="Arial"/>
          <w:b/>
          <w:sz w:val="28"/>
          <w:szCs w:val="24"/>
        </w:rPr>
        <w:t>C O N S I D E R A N D O</w:t>
      </w:r>
    </w:p>
    <w:p w:rsidR="002955D9" w:rsidRPr="00AB64F6" w:rsidRDefault="002955D9" w:rsidP="002955D9">
      <w:pPr>
        <w:spacing w:after="0" w:line="360" w:lineRule="auto"/>
        <w:jc w:val="center"/>
        <w:rPr>
          <w:rFonts w:ascii="Palatino Linotype" w:hAnsi="Palatino Linotype" w:cs="Arial"/>
          <w:sz w:val="24"/>
          <w:szCs w:val="24"/>
        </w:rPr>
      </w:pPr>
    </w:p>
    <w:p w:rsidR="002955D9" w:rsidRPr="00835D88" w:rsidRDefault="002955D9" w:rsidP="002955D9">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2955D9" w:rsidRDefault="002955D9" w:rsidP="002955D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D67E30">
        <w:rPr>
          <w:rFonts w:ascii="Palatino Linotype" w:hAnsi="Palatino Linotype" w:cs="Arial"/>
          <w:sz w:val="24"/>
          <w:szCs w:val="24"/>
        </w:rPr>
        <w:lastRenderedPageBreak/>
        <w:t>Reglamento Interior del Instituto de Transparencia, Acceso a la Información Pública y Protección de Datos Personales del Estado de México y Municipios.</w:t>
      </w:r>
    </w:p>
    <w:p w:rsidR="002955D9" w:rsidRPr="00D67E30"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both"/>
        <w:rPr>
          <w:rFonts w:ascii="Palatino Linotype" w:hAnsi="Palatino Linotype" w:cs="Arial"/>
          <w:sz w:val="24"/>
          <w:szCs w:val="24"/>
        </w:rPr>
      </w:pPr>
    </w:p>
    <w:p w:rsidR="002955D9" w:rsidRPr="00835D88" w:rsidRDefault="002955D9" w:rsidP="002955D9">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955D9" w:rsidRPr="00835D88" w:rsidRDefault="002955D9" w:rsidP="002955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2955D9" w:rsidRPr="00835D88"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2955D9" w:rsidRPr="00835D88"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955D9" w:rsidRPr="00835D88" w:rsidRDefault="002955D9" w:rsidP="002955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955D9" w:rsidRPr="00835D88" w:rsidRDefault="002955D9" w:rsidP="002955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2955D9" w:rsidRPr="00835D88"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Pr="00835D88" w:rsidRDefault="002955D9" w:rsidP="002955D9">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2955D9" w:rsidRDefault="002955D9" w:rsidP="002955D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835D88">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2"/>
      </w:r>
      <w:r w:rsidRPr="00835D88">
        <w:rPr>
          <w:rFonts w:ascii="Palatino Linotype" w:eastAsia="Times New Roman" w:hAnsi="Palatino Linotype" w:cs="Arial"/>
          <w:sz w:val="24"/>
          <w:szCs w:val="24"/>
          <w:lang w:val="es-ES" w:eastAsia="es-ES"/>
        </w:rPr>
        <w:t>.</w:t>
      </w:r>
    </w:p>
    <w:p w:rsidR="002955D9" w:rsidRDefault="002955D9" w:rsidP="002955D9">
      <w:pPr>
        <w:spacing w:after="0" w:line="360" w:lineRule="auto"/>
        <w:ind w:right="49"/>
        <w:jc w:val="both"/>
        <w:rPr>
          <w:rFonts w:ascii="Palatino Linotype" w:eastAsia="Times New Roman" w:hAnsi="Palatino Linotype" w:cs="Arial"/>
          <w:sz w:val="24"/>
          <w:szCs w:val="24"/>
          <w:lang w:val="es-ES" w:eastAsia="es-ES"/>
        </w:rPr>
      </w:pP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sz w:val="24"/>
          <w:szCs w:val="24"/>
          <w:lang w:val="es-ES" w:eastAsia="es-ES"/>
        </w:rPr>
        <w:t>el 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el recurrente</w:t>
      </w:r>
      <w:r w:rsidRPr="00835D88">
        <w:rPr>
          <w:rFonts w:ascii="Palatino Linotype" w:eastAsia="Times New Roman" w:hAnsi="Palatino Linotype" w:cs="Arial"/>
          <w:sz w:val="24"/>
          <w:szCs w:val="24"/>
          <w:lang w:val="es-ES" w:eastAsia="es-MX"/>
        </w:rPr>
        <w:t>.</w:t>
      </w: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w:t>
      </w:r>
      <w:r w:rsidRPr="00835D88">
        <w:rPr>
          <w:rFonts w:ascii="Palatino Linotype" w:eastAsia="Times New Roman" w:hAnsi="Palatino Linotype" w:cs="Times New Roman"/>
          <w:sz w:val="24"/>
          <w:szCs w:val="24"/>
          <w:lang w:val="es-ES" w:eastAsia="es-MX"/>
        </w:rPr>
        <w:lastRenderedPageBreak/>
        <w:t>que dicho cuerpo legal le impone como sujeto obligado de la misma, tal y como lo constituye los artículos 4, 12, 23 fracción IV, 24 último párrafo y 160 de la Ley de Transparencia del Estado de México, que a la letra dice:</w:t>
      </w:r>
    </w:p>
    <w:p w:rsidR="002955D9" w:rsidRPr="00835D88" w:rsidRDefault="002955D9" w:rsidP="002955D9">
      <w:pPr>
        <w:spacing w:after="0" w:line="360" w:lineRule="auto"/>
        <w:jc w:val="both"/>
        <w:rPr>
          <w:rFonts w:ascii="Palatino Linotype" w:hAnsi="Palatino Linotype"/>
          <w:sz w:val="24"/>
          <w:szCs w:val="24"/>
          <w:lang w:eastAsia="es-MX"/>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55D9" w:rsidRPr="00835D88" w:rsidRDefault="002955D9" w:rsidP="002955D9">
      <w:pPr>
        <w:spacing w:after="0" w:line="240" w:lineRule="auto"/>
        <w:ind w:left="709" w:right="567"/>
        <w:jc w:val="both"/>
        <w:rPr>
          <w:rFonts w:ascii="Palatino Linotype" w:hAnsi="Palatino Linotype" w:cs="Arial"/>
          <w:bCs/>
          <w:i/>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2955D9" w:rsidRPr="00835D88" w:rsidRDefault="002955D9" w:rsidP="002955D9">
      <w:pPr>
        <w:spacing w:after="0" w:line="240" w:lineRule="auto"/>
        <w:ind w:left="709" w:right="567"/>
        <w:jc w:val="both"/>
        <w:rPr>
          <w:rFonts w:ascii="Palatino Linotype" w:hAnsi="Palatino Linotype" w:cs="Arial"/>
          <w:bCs/>
          <w:i/>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2955D9" w:rsidRPr="00835D88" w:rsidRDefault="002955D9" w:rsidP="002955D9">
      <w:pPr>
        <w:spacing w:after="0" w:line="240" w:lineRule="auto"/>
        <w:ind w:left="709" w:right="567"/>
        <w:jc w:val="both"/>
        <w:rPr>
          <w:rFonts w:ascii="Palatino Linotype" w:hAnsi="Palatino Linotype" w:cs="Arial"/>
          <w:bCs/>
          <w:i/>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2955D9" w:rsidRPr="00835D88" w:rsidRDefault="002955D9" w:rsidP="002955D9">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Los sujetos obligados solo proporcionarán la información pública que generen, administren o posean en el ejercicio de sus atribuciones.”</w:t>
      </w: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2955D9" w:rsidRPr="00835D88" w:rsidRDefault="002955D9" w:rsidP="002955D9">
      <w:pPr>
        <w:spacing w:after="0" w:line="240" w:lineRule="auto"/>
        <w:ind w:left="709" w:right="567"/>
        <w:jc w:val="both"/>
        <w:rPr>
          <w:rFonts w:ascii="Palatino Linotype" w:hAnsi="Palatino Linotype" w:cs="Arial"/>
          <w:bCs/>
          <w:i/>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955D9" w:rsidRPr="00835D88" w:rsidRDefault="002955D9" w:rsidP="002955D9">
      <w:pPr>
        <w:spacing w:after="0" w:line="240" w:lineRule="auto"/>
        <w:ind w:left="709" w:right="567"/>
        <w:jc w:val="both"/>
        <w:rPr>
          <w:rFonts w:ascii="Palatino Linotype" w:hAnsi="Palatino Linotype" w:cs="Arial"/>
          <w:bCs/>
          <w:i/>
        </w:rPr>
      </w:pPr>
    </w:p>
    <w:p w:rsidR="002955D9" w:rsidRPr="00835D88" w:rsidRDefault="002955D9" w:rsidP="002955D9">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2955D9" w:rsidRPr="00835D88" w:rsidRDefault="002955D9" w:rsidP="002955D9">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2955D9" w:rsidRPr="00835D88" w:rsidRDefault="002955D9" w:rsidP="002955D9">
      <w:pPr>
        <w:spacing w:before="240" w:after="360" w:line="360" w:lineRule="auto"/>
        <w:contextualSpacing/>
        <w:jc w:val="both"/>
        <w:rPr>
          <w:rFonts w:ascii="Palatino Linotype" w:eastAsia="MS Mincho" w:hAnsi="Palatino Linotype" w:cs="Times New Roman"/>
          <w:sz w:val="24"/>
          <w:szCs w:val="24"/>
          <w:lang w:val="es-ES_tradnl" w:eastAsia="es-ES"/>
        </w:rPr>
      </w:pPr>
    </w:p>
    <w:p w:rsidR="002955D9" w:rsidRDefault="002955D9" w:rsidP="002955D9">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955D9" w:rsidRPr="00835D88" w:rsidRDefault="002955D9" w:rsidP="002955D9">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2955D9" w:rsidRPr="00835D88" w:rsidRDefault="002955D9" w:rsidP="002955D9">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w:t>
      </w:r>
      <w:r w:rsidRPr="00835D88">
        <w:rPr>
          <w:rFonts w:ascii="Palatino Linotype" w:eastAsia="Times New Roman" w:hAnsi="Palatino Linotype" w:cs="Arial"/>
          <w:color w:val="000000"/>
          <w:sz w:val="24"/>
          <w:szCs w:val="24"/>
          <w:lang w:val="es-ES_tradnl" w:eastAsia="es-ES"/>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955D9" w:rsidRPr="00835D88" w:rsidRDefault="002955D9" w:rsidP="002955D9">
      <w:pPr>
        <w:spacing w:after="0" w:line="360" w:lineRule="auto"/>
        <w:contextualSpacing/>
        <w:jc w:val="both"/>
        <w:rPr>
          <w:rFonts w:ascii="Palatino Linotype" w:eastAsia="MS Mincho" w:hAnsi="Palatino Linotype" w:cs="Times New Roman"/>
          <w:sz w:val="24"/>
          <w:szCs w:val="24"/>
          <w:lang w:val="es-ES_tradnl" w:eastAsia="es-ES"/>
        </w:rPr>
      </w:pPr>
    </w:p>
    <w:p w:rsidR="002955D9" w:rsidRPr="00835D88" w:rsidRDefault="002955D9" w:rsidP="002955D9">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955D9" w:rsidRPr="00835D88" w:rsidRDefault="002955D9" w:rsidP="002955D9">
      <w:pPr>
        <w:spacing w:after="0" w:line="360" w:lineRule="auto"/>
        <w:contextualSpacing/>
        <w:jc w:val="both"/>
        <w:rPr>
          <w:rFonts w:ascii="Palatino Linotype" w:eastAsia="Times New Roman" w:hAnsi="Palatino Linotype" w:cs="Times New Roman"/>
          <w:sz w:val="24"/>
          <w:szCs w:val="24"/>
          <w:lang w:val="es-ES" w:eastAsia="es-MX"/>
        </w:rPr>
      </w:pPr>
    </w:p>
    <w:p w:rsidR="002955D9" w:rsidRPr="00835D88" w:rsidRDefault="002955D9" w:rsidP="002955D9">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955D9" w:rsidRPr="00835D88" w:rsidRDefault="002955D9" w:rsidP="002955D9">
      <w:pPr>
        <w:spacing w:after="0" w:line="360" w:lineRule="auto"/>
        <w:contextualSpacing/>
        <w:jc w:val="both"/>
        <w:rPr>
          <w:rFonts w:ascii="Palatino Linotype" w:eastAsia="Times New Roman" w:hAnsi="Palatino Linotype" w:cs="Arial"/>
          <w:sz w:val="24"/>
          <w:szCs w:val="24"/>
          <w:lang w:val="es-ES" w:eastAsia="es-ES"/>
        </w:rPr>
      </w:pP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835D88">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955D9" w:rsidRPr="00835D88" w:rsidRDefault="002955D9" w:rsidP="002955D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2955D9" w:rsidRPr="00835D88" w:rsidRDefault="002955D9" w:rsidP="002955D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2955D9" w:rsidRPr="00835D88"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w:t>
      </w:r>
      <w:r w:rsidRPr="00FC6510">
        <w:rPr>
          <w:rFonts w:ascii="Palatino Linotype" w:eastAsia="Times New Roman" w:hAnsi="Palatino Linotype" w:cs="Arial"/>
          <w:b/>
          <w:sz w:val="24"/>
          <w:szCs w:val="24"/>
          <w:lang w:val="es-ES" w:eastAsia="es-ES"/>
        </w:rPr>
        <w:t>la 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FC6510" w:rsidRDefault="002955D9" w:rsidP="002955D9">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Pr="002955D9">
        <w:rPr>
          <w:rFonts w:ascii="Palatino Linotype" w:eastAsia="Times New Roman" w:hAnsi="Palatino Linotype" w:cs="Arial"/>
          <w:sz w:val="24"/>
          <w:szCs w:val="24"/>
          <w:lang w:val="es-ES" w:eastAsia="es-ES"/>
        </w:rPr>
        <w:t>l tabulador de salarios de los miembros de cabildo y cuerpo administrativo municipal, correspondiente a los ejercicios fiscales de 2017, 2018, 2019,2020 y 2021.</w:t>
      </w:r>
    </w:p>
    <w:p w:rsidR="002955D9"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037F9" w:rsidRPr="004037F9" w:rsidRDefault="004037F9" w:rsidP="004037F9">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Arial"/>
          <w:sz w:val="24"/>
          <w:szCs w:val="24"/>
        </w:rPr>
        <w:t xml:space="preserve">Respecto a la calidad de la información, </w:t>
      </w:r>
      <w:r w:rsidRPr="004037F9">
        <w:rPr>
          <w:rFonts w:ascii="Palatino Linotype" w:eastAsia="Calibri" w:hAnsi="Palatino Linotype" w:cs="Arial"/>
          <w:sz w:val="24"/>
          <w:szCs w:val="24"/>
        </w:rPr>
        <w:t xml:space="preserve">, </w:t>
      </w:r>
      <w:r w:rsidRPr="004037F9">
        <w:rPr>
          <w:rFonts w:ascii="Palatino Linotype" w:eastAsia="Times New Roman" w:hAnsi="Palatino Linotype" w:cs="Arial"/>
          <w:sz w:val="24"/>
          <w:szCs w:val="24"/>
          <w:lang w:val="es-ES" w:eastAsia="es-ES"/>
        </w:rPr>
        <w:t xml:space="preserve">en este sentido es necesario mencionar que </w:t>
      </w:r>
      <w:r w:rsidRPr="004037F9">
        <w:rPr>
          <w:rFonts w:ascii="Palatino Linotype" w:eastAsia="Calibri" w:hAnsi="Palatino Linotype" w:cs="Tahoma"/>
          <w:bCs/>
          <w:sz w:val="24"/>
          <w:szCs w:val="24"/>
          <w:lang w:val="es-ES" w:eastAsia="es-ES"/>
        </w:rPr>
        <w:t>el Presupuesto de Egres</w:t>
      </w:r>
      <w:r>
        <w:rPr>
          <w:rFonts w:ascii="Palatino Linotype" w:eastAsia="Calibri" w:hAnsi="Palatino Linotype" w:cs="Tahoma"/>
          <w:bCs/>
          <w:sz w:val="24"/>
          <w:szCs w:val="24"/>
          <w:lang w:val="es-ES" w:eastAsia="es-ES"/>
        </w:rPr>
        <w:t xml:space="preserve">os </w:t>
      </w:r>
      <w:r w:rsidRPr="004037F9">
        <w:rPr>
          <w:rFonts w:ascii="Palatino Linotype" w:eastAsia="Calibri" w:hAnsi="Palatino Linotype" w:cs="Tahoma"/>
          <w:bCs/>
          <w:sz w:val="24"/>
          <w:szCs w:val="24"/>
          <w:lang w:val="es-ES" w:eastAsia="es-ES"/>
        </w:rPr>
        <w:t>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w:t>
      </w:r>
      <w:r>
        <w:rPr>
          <w:rFonts w:ascii="Palatino Linotype" w:eastAsia="Calibri" w:hAnsi="Palatino Linotype" w:cs="Tahoma"/>
          <w:bCs/>
          <w:sz w:val="24"/>
          <w:szCs w:val="24"/>
          <w:lang w:val="es-ES" w:eastAsia="es-ES"/>
        </w:rPr>
        <w:t>al para el Ejercicio Fiscal 2021</w:t>
      </w:r>
      <w:r w:rsidRPr="004037F9">
        <w:rPr>
          <w:rFonts w:ascii="Palatino Linotype" w:eastAsia="Calibri" w:hAnsi="Palatino Linotype" w:cs="Tahoma"/>
          <w:bCs/>
          <w:sz w:val="24"/>
          <w:szCs w:val="24"/>
          <w:lang w:val="es-ES" w:eastAsia="es-ES"/>
        </w:rPr>
        <w:t xml:space="preserve">, publicado en la “Gaceta de Gobierno” de fecha seis de noviembre de dos mil dieciocho y que es visible en el siguiente enlace: </w:t>
      </w:r>
      <w:hyperlink r:id="rId8" w:history="1">
        <w:r w:rsidRPr="004037F9">
          <w:rPr>
            <w:rFonts w:ascii="Palatino Linotype" w:eastAsia="Calibri" w:hAnsi="Palatino Linotype" w:cs="Tahoma"/>
            <w:bCs/>
            <w:color w:val="0563C1" w:themeColor="hyperlink"/>
            <w:sz w:val="24"/>
            <w:szCs w:val="24"/>
            <w:u w:val="single"/>
            <w:lang w:val="es-ES" w:eastAsia="es-ES"/>
          </w:rPr>
          <w:t>http://legislacion.edomex.gob.mx/sites/legislacion.edomex.gob.mx/files/files/pdf/gct/2018/nov065.pdf</w:t>
        </w:r>
      </w:hyperlink>
      <w:r w:rsidRPr="004037F9">
        <w:rPr>
          <w:rFonts w:ascii="Palatino Linotype" w:eastAsia="Calibri" w:hAnsi="Palatino Linotype" w:cs="Tahoma"/>
          <w:bCs/>
          <w:sz w:val="24"/>
          <w:szCs w:val="24"/>
          <w:lang w:val="es-ES" w:eastAsia="es-ES"/>
        </w:rPr>
        <w:t xml:space="preserve">. </w:t>
      </w:r>
    </w:p>
    <w:p w:rsidR="004037F9" w:rsidRPr="004037F9" w:rsidRDefault="004037F9" w:rsidP="004037F9">
      <w:pPr>
        <w:tabs>
          <w:tab w:val="left" w:pos="709"/>
        </w:tabs>
        <w:spacing w:after="0" w:line="360" w:lineRule="auto"/>
        <w:jc w:val="both"/>
        <w:rPr>
          <w:rFonts w:ascii="Palatino Linotype" w:eastAsia="Times New Roman" w:hAnsi="Palatino Linotype" w:cs="Arial"/>
          <w:sz w:val="24"/>
          <w:szCs w:val="24"/>
          <w:lang w:val="es-ES" w:eastAsia="es-ES"/>
        </w:rPr>
      </w:pPr>
    </w:p>
    <w:p w:rsidR="004037F9" w:rsidRPr="004037F9" w:rsidRDefault="004037F9" w:rsidP="004037F9">
      <w:pPr>
        <w:tabs>
          <w:tab w:val="left" w:pos="709"/>
        </w:tabs>
        <w:spacing w:after="0" w:line="360" w:lineRule="auto"/>
        <w:jc w:val="both"/>
        <w:rPr>
          <w:rFonts w:ascii="Palatino Linotype" w:eastAsia="Times New Roman" w:hAnsi="Palatino Linotype" w:cs="Times New Roman"/>
          <w:sz w:val="24"/>
          <w:szCs w:val="24"/>
          <w:lang w:val="es-ES" w:eastAsia="es-ES"/>
        </w:rPr>
      </w:pPr>
      <w:r w:rsidRPr="004037F9">
        <w:rPr>
          <w:rFonts w:ascii="Palatino Linotype" w:eastAsia="Times New Roman" w:hAnsi="Palatino Linotype" w:cs="Arial"/>
          <w:sz w:val="24"/>
          <w:szCs w:val="24"/>
          <w:lang w:val="es-ES" w:eastAsia="es-ES"/>
        </w:rPr>
        <w:lastRenderedPageBreak/>
        <w:t xml:space="preserve">Por su parte </w:t>
      </w:r>
      <w:r w:rsidRPr="004037F9">
        <w:rPr>
          <w:rFonts w:ascii="Palatino Linotype" w:eastAsia="Times New Roman" w:hAnsi="Palatino Linotype" w:cs="Times New Roman"/>
          <w:sz w:val="24"/>
          <w:szCs w:val="24"/>
          <w:lang w:val="es-ES" w:eastAsia="es-ES"/>
        </w:rPr>
        <w:t xml:space="preserve">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w:t>
      </w:r>
      <w:r w:rsidRPr="004037F9">
        <w:rPr>
          <w:rFonts w:ascii="Palatino Linotype" w:eastAsia="Times New Roman" w:hAnsi="Palatino Linotype" w:cs="Times New Roman"/>
          <w:sz w:val="24"/>
          <w:szCs w:val="24"/>
          <w:u w:val="single"/>
          <w:lang w:val="es-ES" w:eastAsia="es-ES"/>
        </w:rPr>
        <w:t>Dependencias Administrativas y Organismos Municipales Descentralizados</w:t>
      </w:r>
      <w:r w:rsidRPr="004037F9">
        <w:rPr>
          <w:rFonts w:ascii="Palatino Linotype" w:eastAsia="Times New Roman" w:hAnsi="Palatino Linotype" w:cs="Times New Roman"/>
          <w:sz w:val="24"/>
          <w:szCs w:val="24"/>
          <w:lang w:val="es-ES" w:eastAsia="es-ES"/>
        </w:rPr>
        <w:t>, a través de los programas derivados del Plan de Desarrollo Municipal, durante el ejercicio fiscal correspondiente.</w:t>
      </w:r>
    </w:p>
    <w:p w:rsidR="004037F9" w:rsidRPr="004037F9" w:rsidRDefault="004037F9" w:rsidP="004037F9">
      <w:pPr>
        <w:tabs>
          <w:tab w:val="left" w:pos="709"/>
        </w:tabs>
        <w:spacing w:after="0" w:line="360" w:lineRule="auto"/>
        <w:jc w:val="both"/>
        <w:rPr>
          <w:rFonts w:ascii="Palatino Linotype" w:eastAsia="Times New Roman" w:hAnsi="Palatino Linotype" w:cs="Times New Roman"/>
          <w:sz w:val="24"/>
          <w:szCs w:val="24"/>
          <w:lang w:val="es-ES" w:eastAsia="es-ES"/>
        </w:rPr>
      </w:pPr>
    </w:p>
    <w:p w:rsidR="004037F9" w:rsidRPr="004037F9" w:rsidRDefault="004037F9" w:rsidP="004037F9">
      <w:pPr>
        <w:tabs>
          <w:tab w:val="left" w:pos="709"/>
        </w:tabs>
        <w:spacing w:after="0" w:line="360" w:lineRule="auto"/>
        <w:jc w:val="both"/>
        <w:rPr>
          <w:rFonts w:ascii="Palatino Linotype" w:eastAsia="Times New Roman" w:hAnsi="Palatino Linotype" w:cs="Times New Roman"/>
          <w:sz w:val="24"/>
          <w:szCs w:val="24"/>
          <w:lang w:val="es-ES" w:eastAsia="es-ES"/>
        </w:rPr>
      </w:pPr>
      <w:r w:rsidRPr="004037F9">
        <w:rPr>
          <w:rFonts w:ascii="Palatino Linotype" w:eastAsia="Times New Roman" w:hAnsi="Palatino Linotype" w:cs="Times New Roman"/>
          <w:sz w:val="24"/>
          <w:szCs w:val="24"/>
          <w:lang w:val="es-ES" w:eastAsia="es-ES"/>
        </w:rPr>
        <w:t>El Código Financiero del Estado de México y Municipios establece en su artículo 302 que para el caso de los municipios, el Presidente Municipal presentará al Ayuntamiento a más tardar el veinte de diciembre, el Proyecto del Presupuesto de Egresos, así mismo el artículo 304 dispone que la presentación del Proyecto de Presupuesto de Egresos, a nivel municipal, deberá incluir, entre otras cosas lo siguiente:</w:t>
      </w:r>
    </w:p>
    <w:p w:rsidR="004037F9" w:rsidRPr="004037F9" w:rsidRDefault="004037F9" w:rsidP="004037F9">
      <w:pPr>
        <w:tabs>
          <w:tab w:val="left" w:pos="709"/>
        </w:tabs>
        <w:spacing w:after="0" w:line="360" w:lineRule="auto"/>
        <w:jc w:val="both"/>
        <w:rPr>
          <w:rFonts w:ascii="Palatino Linotype" w:eastAsia="Times New Roman" w:hAnsi="Palatino Linotype" w:cs="Times New Roman"/>
          <w:sz w:val="24"/>
          <w:szCs w:val="24"/>
          <w:lang w:val="es-ES" w:eastAsia="es-ES"/>
        </w:rPr>
      </w:pPr>
    </w:p>
    <w:p w:rsidR="004037F9" w:rsidRPr="004037F9" w:rsidRDefault="004037F9" w:rsidP="004037F9">
      <w:pPr>
        <w:tabs>
          <w:tab w:val="left" w:pos="709"/>
        </w:tabs>
        <w:spacing w:after="0" w:line="240" w:lineRule="auto"/>
        <w:ind w:left="567" w:right="616"/>
        <w:jc w:val="both"/>
        <w:rPr>
          <w:rFonts w:ascii="Palatino Linotype" w:eastAsia="Times New Roman" w:hAnsi="Palatino Linotype" w:cs="Times New Roman"/>
          <w:i/>
          <w:szCs w:val="24"/>
          <w:lang w:val="es-ES" w:eastAsia="es-ES"/>
        </w:rPr>
      </w:pPr>
      <w:r w:rsidRPr="004037F9">
        <w:rPr>
          <w:rFonts w:ascii="Palatino Linotype" w:eastAsia="Times New Roman" w:hAnsi="Palatino Linotype" w:cs="Times New Roman"/>
          <w:i/>
          <w:szCs w:val="24"/>
          <w:lang w:val="es-ES" w:eastAsia="es-ES"/>
        </w:rPr>
        <w:t>“</w:t>
      </w:r>
      <w:r w:rsidRPr="004037F9">
        <w:rPr>
          <w:rFonts w:ascii="Palatino Linotype" w:eastAsia="Times New Roman" w:hAnsi="Palatino Linotype" w:cs="Times New Roman"/>
          <w:b/>
          <w:i/>
          <w:szCs w:val="24"/>
          <w:lang w:val="es-ES" w:eastAsia="es-ES"/>
        </w:rPr>
        <w:t>Artículo 304.-</w:t>
      </w:r>
      <w:r w:rsidRPr="004037F9">
        <w:rPr>
          <w:rFonts w:ascii="Palatino Linotype" w:eastAsia="Times New Roman" w:hAnsi="Palatino Linotype" w:cs="Times New Roman"/>
          <w:i/>
          <w:szCs w:val="24"/>
          <w:lang w:val="es-ES" w:eastAsia="es-ES"/>
        </w:rPr>
        <w:t xml:space="preserve"> La presentación del Proyecto de Presupuesto de Egresos, tanto a nivel estatal como municipal, deberá incluir, lo siguiente:</w:t>
      </w:r>
      <w:r w:rsidRPr="004037F9">
        <w:rPr>
          <w:rFonts w:ascii="Palatino Linotype" w:eastAsia="Times New Roman" w:hAnsi="Palatino Linotype" w:cs="Times New Roman"/>
          <w:i/>
          <w:szCs w:val="24"/>
          <w:lang w:val="es-ES" w:eastAsia="es-ES"/>
        </w:rPr>
        <w:cr/>
        <w:t>(…)</w:t>
      </w:r>
    </w:p>
    <w:p w:rsidR="004037F9" w:rsidRPr="004037F9" w:rsidRDefault="004037F9" w:rsidP="004037F9">
      <w:pPr>
        <w:tabs>
          <w:tab w:val="left" w:pos="709"/>
        </w:tabs>
        <w:spacing w:after="0" w:line="240" w:lineRule="auto"/>
        <w:ind w:left="567" w:right="616"/>
        <w:jc w:val="both"/>
        <w:rPr>
          <w:rFonts w:ascii="Palatino Linotype" w:eastAsia="Times New Roman" w:hAnsi="Palatino Linotype" w:cs="Times New Roman"/>
          <w:i/>
          <w:szCs w:val="24"/>
          <w:lang w:val="es-ES" w:eastAsia="es-ES"/>
        </w:rPr>
      </w:pPr>
      <w:r w:rsidRPr="004037F9">
        <w:rPr>
          <w:rFonts w:ascii="Palatino Linotype" w:eastAsia="Times New Roman" w:hAnsi="Palatino Linotype" w:cs="Times New Roman"/>
          <w:b/>
          <w:i/>
          <w:szCs w:val="24"/>
          <w:lang w:val="es-ES" w:eastAsia="es-ES"/>
        </w:rPr>
        <w:t>VII</w:t>
      </w:r>
      <w:r w:rsidRPr="004037F9">
        <w:rPr>
          <w:rFonts w:ascii="Palatino Linotype" w:eastAsia="Times New Roman" w:hAnsi="Palatino Linotype" w:cs="Times New Roman"/>
          <w:i/>
          <w:szCs w:val="24"/>
          <w:lang w:val="es-ES" w:eastAsia="es-ES"/>
        </w:rPr>
        <w:t xml:space="preserve">. Estimaciones de egresos, por cada una de sus fuentes, agrupados de la siguiente forma: </w:t>
      </w:r>
    </w:p>
    <w:p w:rsidR="004037F9" w:rsidRPr="004037F9" w:rsidRDefault="004037F9" w:rsidP="004037F9">
      <w:pPr>
        <w:tabs>
          <w:tab w:val="left" w:pos="709"/>
        </w:tabs>
        <w:spacing w:after="0" w:line="240" w:lineRule="auto"/>
        <w:ind w:left="567" w:right="616"/>
        <w:jc w:val="both"/>
        <w:rPr>
          <w:rFonts w:ascii="Palatino Linotype" w:eastAsia="Times New Roman" w:hAnsi="Palatino Linotype" w:cs="Times New Roman"/>
          <w:i/>
          <w:szCs w:val="24"/>
          <w:lang w:val="es-ES" w:eastAsia="es-ES"/>
        </w:rPr>
      </w:pPr>
      <w:r w:rsidRPr="004037F9">
        <w:rPr>
          <w:rFonts w:ascii="Palatino Linotype" w:eastAsia="Times New Roman" w:hAnsi="Palatino Linotype" w:cs="Times New Roman"/>
          <w:b/>
          <w:i/>
          <w:szCs w:val="24"/>
          <w:lang w:val="es-ES" w:eastAsia="es-ES"/>
        </w:rPr>
        <w:t>1</w:t>
      </w:r>
      <w:r w:rsidRPr="004037F9">
        <w:rPr>
          <w:rFonts w:ascii="Palatino Linotype" w:eastAsia="Times New Roman" w:hAnsi="Palatino Linotype" w:cs="Times New Roman"/>
          <w:i/>
          <w:szCs w:val="24"/>
          <w:lang w:val="es-ES" w:eastAsia="es-ES"/>
        </w:rPr>
        <w:t xml:space="preserve">.- Clasificación Programática a nivel de programas presupuestarios y proyectos. </w:t>
      </w:r>
    </w:p>
    <w:p w:rsidR="004037F9" w:rsidRPr="004037F9" w:rsidRDefault="004037F9" w:rsidP="004037F9">
      <w:pPr>
        <w:tabs>
          <w:tab w:val="left" w:pos="709"/>
        </w:tabs>
        <w:spacing w:after="0" w:line="240" w:lineRule="auto"/>
        <w:ind w:left="567" w:right="616"/>
        <w:jc w:val="both"/>
        <w:rPr>
          <w:rFonts w:ascii="Palatino Linotype" w:eastAsia="Times New Roman" w:hAnsi="Palatino Linotype" w:cs="Times New Roman"/>
          <w:i/>
          <w:szCs w:val="24"/>
          <w:lang w:val="es-ES" w:eastAsia="es-ES"/>
        </w:rPr>
      </w:pPr>
      <w:r w:rsidRPr="004037F9">
        <w:rPr>
          <w:rFonts w:ascii="Palatino Linotype" w:eastAsia="Times New Roman" w:hAnsi="Palatino Linotype" w:cs="Times New Roman"/>
          <w:b/>
          <w:i/>
          <w:szCs w:val="24"/>
          <w:lang w:val="es-ES" w:eastAsia="es-ES"/>
        </w:rPr>
        <w:t>2</w:t>
      </w:r>
      <w:r w:rsidRPr="004037F9">
        <w:rPr>
          <w:rFonts w:ascii="Palatino Linotype" w:eastAsia="Times New Roman" w:hAnsi="Palatino Linotype" w:cs="Times New Roman"/>
          <w:i/>
          <w:szCs w:val="24"/>
          <w:lang w:val="es-ES" w:eastAsia="es-ES"/>
        </w:rPr>
        <w:t>.- Clasificación Administrativa.</w:t>
      </w:r>
    </w:p>
    <w:p w:rsidR="004037F9" w:rsidRPr="004037F9" w:rsidRDefault="004037F9" w:rsidP="004037F9">
      <w:pPr>
        <w:tabs>
          <w:tab w:val="left" w:pos="709"/>
        </w:tabs>
        <w:spacing w:after="0" w:line="240" w:lineRule="auto"/>
        <w:ind w:left="567" w:right="616"/>
        <w:jc w:val="both"/>
        <w:rPr>
          <w:rFonts w:ascii="Palatino Linotype" w:eastAsia="Times New Roman" w:hAnsi="Palatino Linotype" w:cs="Times New Roman"/>
          <w:i/>
          <w:szCs w:val="24"/>
          <w:lang w:val="es-ES" w:eastAsia="es-ES"/>
        </w:rPr>
      </w:pPr>
      <w:r w:rsidRPr="004037F9">
        <w:rPr>
          <w:rFonts w:ascii="Palatino Linotype" w:eastAsia="Times New Roman" w:hAnsi="Palatino Linotype" w:cs="Times New Roman"/>
          <w:b/>
          <w:i/>
          <w:szCs w:val="24"/>
          <w:lang w:val="es-ES" w:eastAsia="es-ES"/>
        </w:rPr>
        <w:t>3</w:t>
      </w:r>
      <w:r w:rsidRPr="004037F9">
        <w:rPr>
          <w:rFonts w:ascii="Palatino Linotype" w:eastAsia="Times New Roman" w:hAnsi="Palatino Linotype" w:cs="Times New Roman"/>
          <w:i/>
          <w:szCs w:val="24"/>
          <w:lang w:val="es-ES" w:eastAsia="es-ES"/>
        </w:rPr>
        <w:t>.- Clasificación Económica.”</w:t>
      </w:r>
    </w:p>
    <w:p w:rsidR="004037F9" w:rsidRPr="004037F9" w:rsidRDefault="004037F9" w:rsidP="004037F9">
      <w:pPr>
        <w:tabs>
          <w:tab w:val="left" w:pos="709"/>
        </w:tabs>
        <w:spacing w:after="0" w:line="360" w:lineRule="auto"/>
        <w:jc w:val="both"/>
        <w:rPr>
          <w:rFonts w:ascii="Palatino Linotype" w:eastAsia="Times New Roman" w:hAnsi="Palatino Linotype" w:cs="Arial"/>
          <w:sz w:val="24"/>
          <w:szCs w:val="24"/>
          <w:lang w:val="es-ES" w:eastAsia="es-ES"/>
        </w:rPr>
      </w:pPr>
    </w:p>
    <w:p w:rsidR="004037F9" w:rsidRPr="004037F9" w:rsidRDefault="004037F9" w:rsidP="004037F9">
      <w:pPr>
        <w:tabs>
          <w:tab w:val="left" w:pos="709"/>
        </w:tabs>
        <w:spacing w:after="0" w:line="360" w:lineRule="auto"/>
        <w:jc w:val="both"/>
        <w:rPr>
          <w:rFonts w:ascii="Palatino Linotype" w:eastAsia="Times New Roman" w:hAnsi="Palatino Linotype" w:cs="Arial"/>
          <w:sz w:val="24"/>
          <w:szCs w:val="24"/>
          <w:lang w:val="es-ES" w:eastAsia="es-ES"/>
        </w:rPr>
      </w:pPr>
      <w:r w:rsidRPr="004037F9">
        <w:rPr>
          <w:rFonts w:ascii="Palatino Linotype" w:eastAsia="Times New Roman" w:hAnsi="Palatino Linotype" w:cs="Arial"/>
          <w:sz w:val="24"/>
          <w:szCs w:val="24"/>
          <w:lang w:val="es-ES" w:eastAsia="es-ES"/>
        </w:rPr>
        <w:t xml:space="preserve">En este sentido la composición del Presupuesto de egresos contempla diversos formatos dentro de los que encontramos los siguientes </w:t>
      </w:r>
      <w:r w:rsidRPr="004037F9">
        <w:rPr>
          <w:rFonts w:ascii="Palatino Linotype" w:eastAsia="Times New Roman" w:hAnsi="Palatino Linotype" w:cs="Times New Roman"/>
          <w:b/>
          <w:color w:val="000000"/>
          <w:sz w:val="24"/>
          <w:szCs w:val="24"/>
          <w:lang w:val="es-ES" w:eastAsia="es-ES"/>
        </w:rPr>
        <w:t>PbRM-01a</w:t>
      </w:r>
      <w:r w:rsidRPr="004037F9">
        <w:rPr>
          <w:rFonts w:ascii="Palatino Linotype" w:eastAsia="Times New Roman" w:hAnsi="Palatino Linotype" w:cs="Times New Roman"/>
          <w:color w:val="000000"/>
          <w:sz w:val="24"/>
          <w:szCs w:val="24"/>
          <w:lang w:val="es-ES" w:eastAsia="es-ES"/>
        </w:rPr>
        <w:t xml:space="preserve"> Programa Anual Dimensión Administrativa del Gasto, </w:t>
      </w:r>
      <w:r w:rsidRPr="004037F9">
        <w:rPr>
          <w:rFonts w:ascii="Palatino Linotype" w:eastAsia="Times New Roman" w:hAnsi="Palatino Linotype" w:cs="Times New Roman"/>
          <w:b/>
          <w:color w:val="000000"/>
          <w:sz w:val="24"/>
          <w:szCs w:val="24"/>
          <w:lang w:val="es-ES" w:eastAsia="es-ES"/>
        </w:rPr>
        <w:t>PbRM-01b</w:t>
      </w:r>
      <w:r w:rsidRPr="004037F9">
        <w:rPr>
          <w:rFonts w:ascii="Palatino Linotype" w:eastAsia="Times New Roman" w:hAnsi="Palatino Linotype" w:cs="Times New Roman"/>
          <w:color w:val="000000"/>
          <w:sz w:val="24"/>
          <w:szCs w:val="24"/>
          <w:lang w:val="es-ES" w:eastAsia="es-ES"/>
        </w:rPr>
        <w:t xml:space="preserve"> Programa Anual Descripción del Programa Presupuestario, </w:t>
      </w:r>
      <w:r w:rsidRPr="004037F9">
        <w:rPr>
          <w:rFonts w:ascii="Palatino Linotype" w:eastAsia="Times New Roman" w:hAnsi="Palatino Linotype" w:cs="Times New Roman"/>
          <w:b/>
          <w:color w:val="000000"/>
          <w:sz w:val="24"/>
          <w:szCs w:val="24"/>
          <w:lang w:val="es-ES" w:eastAsia="es-ES"/>
        </w:rPr>
        <w:t>PbRM-01c</w:t>
      </w:r>
      <w:r w:rsidRPr="004037F9">
        <w:rPr>
          <w:rFonts w:ascii="Palatino Linotype" w:eastAsia="Times New Roman" w:hAnsi="Palatino Linotype" w:cs="Times New Roman"/>
          <w:color w:val="000000"/>
          <w:sz w:val="24"/>
          <w:szCs w:val="24"/>
          <w:lang w:val="es-ES" w:eastAsia="es-ES"/>
        </w:rPr>
        <w:t xml:space="preserve"> Programa Anual de Metas de actividad por Proyecto, </w:t>
      </w:r>
      <w:r w:rsidRPr="004037F9">
        <w:rPr>
          <w:rFonts w:ascii="Palatino Linotype" w:eastAsia="Times New Roman" w:hAnsi="Palatino Linotype" w:cs="Times New Roman"/>
          <w:b/>
          <w:color w:val="000000"/>
          <w:sz w:val="24"/>
          <w:szCs w:val="24"/>
          <w:lang w:val="es-ES" w:eastAsia="es-ES"/>
        </w:rPr>
        <w:t>PbRM-01d</w:t>
      </w:r>
      <w:r w:rsidRPr="004037F9">
        <w:rPr>
          <w:rFonts w:ascii="Palatino Linotype" w:eastAsia="Times New Roman" w:hAnsi="Palatino Linotype" w:cs="Times New Roman"/>
          <w:color w:val="000000"/>
          <w:sz w:val="24"/>
          <w:szCs w:val="24"/>
          <w:lang w:val="es-ES" w:eastAsia="es-ES"/>
        </w:rPr>
        <w:t xml:space="preserve"> Ficha técnica de diseño de indicadores estratégicos o de gestión, </w:t>
      </w:r>
      <w:r w:rsidRPr="004037F9">
        <w:rPr>
          <w:rFonts w:ascii="Palatino Linotype" w:eastAsia="Times New Roman" w:hAnsi="Palatino Linotype" w:cs="Times New Roman"/>
          <w:b/>
          <w:color w:val="000000"/>
          <w:sz w:val="24"/>
          <w:szCs w:val="24"/>
          <w:lang w:val="es-ES" w:eastAsia="es-ES"/>
        </w:rPr>
        <w:lastRenderedPageBreak/>
        <w:t>PbRM-01e</w:t>
      </w:r>
      <w:r w:rsidRPr="004037F9">
        <w:rPr>
          <w:rFonts w:ascii="Palatino Linotype" w:eastAsia="Times New Roman" w:hAnsi="Palatino Linotype" w:cs="Times New Roman"/>
          <w:color w:val="000000"/>
          <w:sz w:val="24"/>
          <w:szCs w:val="24"/>
          <w:lang w:val="es-ES" w:eastAsia="es-ES"/>
        </w:rPr>
        <w:t xml:space="preserve"> Matriz de indicadores para resultados por programa presupuestario y dependencia general, </w:t>
      </w:r>
      <w:r w:rsidRPr="004037F9">
        <w:rPr>
          <w:rFonts w:ascii="Palatino Linotype" w:eastAsia="Times New Roman" w:hAnsi="Palatino Linotype" w:cs="Times New Roman"/>
          <w:b/>
          <w:color w:val="000000"/>
          <w:sz w:val="24"/>
          <w:szCs w:val="24"/>
          <w:lang w:val="es-ES" w:eastAsia="es-ES"/>
        </w:rPr>
        <w:t>PbRM-02a</w:t>
      </w:r>
      <w:r w:rsidRPr="004037F9">
        <w:rPr>
          <w:rFonts w:ascii="Palatino Linotype" w:eastAsia="Times New Roman" w:hAnsi="Palatino Linotype" w:cs="Times New Roman"/>
          <w:color w:val="000000"/>
          <w:sz w:val="24"/>
          <w:szCs w:val="24"/>
          <w:lang w:val="es-ES" w:eastAsia="es-ES"/>
        </w:rPr>
        <w:t xml:space="preserve"> Calendarización de Metas de actividad por Proyecto, PbRM-03a Presupuesto de Ingresos Detallado, </w:t>
      </w:r>
      <w:r w:rsidRPr="004037F9">
        <w:rPr>
          <w:rFonts w:ascii="Palatino Linotype" w:eastAsia="Times New Roman" w:hAnsi="Palatino Linotype" w:cs="Times New Roman"/>
          <w:b/>
          <w:color w:val="000000"/>
          <w:sz w:val="24"/>
          <w:szCs w:val="24"/>
          <w:lang w:val="es-ES" w:eastAsia="es-ES"/>
        </w:rPr>
        <w:t>PbRM-03b</w:t>
      </w:r>
      <w:r w:rsidRPr="004037F9">
        <w:rPr>
          <w:rFonts w:ascii="Palatino Linotype" w:eastAsia="Times New Roman" w:hAnsi="Palatino Linotype" w:cs="Times New Roman"/>
          <w:color w:val="000000"/>
          <w:sz w:val="24"/>
          <w:szCs w:val="24"/>
          <w:lang w:val="es-ES" w:eastAsia="es-ES"/>
        </w:rPr>
        <w:t xml:space="preserve"> Caratula de Presupuesto de Ingresos, </w:t>
      </w:r>
      <w:r w:rsidRPr="004037F9">
        <w:rPr>
          <w:rFonts w:ascii="Palatino Linotype" w:eastAsia="Times New Roman" w:hAnsi="Palatino Linotype" w:cs="Times New Roman"/>
          <w:b/>
          <w:sz w:val="24"/>
          <w:szCs w:val="24"/>
          <w:lang w:val="es-ES" w:eastAsia="es-ES"/>
        </w:rPr>
        <w:t>PbRM-04a</w:t>
      </w:r>
      <w:r w:rsidRPr="004037F9">
        <w:rPr>
          <w:rFonts w:ascii="Palatino Linotype" w:eastAsia="Times New Roman" w:hAnsi="Palatino Linotype" w:cs="Times New Roman"/>
          <w:sz w:val="24"/>
          <w:szCs w:val="24"/>
          <w:lang w:val="es-ES" w:eastAsia="es-ES"/>
        </w:rPr>
        <w:t xml:space="preserve"> Presupuesto de Egresos Detallado</w:t>
      </w:r>
      <w:r w:rsidRPr="004037F9">
        <w:rPr>
          <w:rFonts w:ascii="Palatino Linotype" w:eastAsia="Times New Roman" w:hAnsi="Palatino Linotype" w:cs="Times New Roman"/>
          <w:color w:val="000000"/>
          <w:sz w:val="24"/>
          <w:szCs w:val="24"/>
          <w:lang w:val="es-ES" w:eastAsia="es-ES"/>
        </w:rPr>
        <w:t xml:space="preserve">, </w:t>
      </w:r>
      <w:r w:rsidRPr="004037F9">
        <w:rPr>
          <w:rFonts w:ascii="Palatino Linotype" w:eastAsia="Times New Roman" w:hAnsi="Palatino Linotype" w:cs="Times New Roman"/>
          <w:b/>
          <w:color w:val="000000"/>
          <w:sz w:val="24"/>
          <w:szCs w:val="24"/>
          <w:lang w:val="es-ES" w:eastAsia="es-ES"/>
        </w:rPr>
        <w:t>PbRM-04b</w:t>
      </w:r>
      <w:r w:rsidRPr="004037F9">
        <w:rPr>
          <w:rFonts w:ascii="Palatino Linotype" w:eastAsia="Times New Roman" w:hAnsi="Palatino Linotype" w:cs="Times New Roman"/>
          <w:color w:val="000000"/>
          <w:sz w:val="24"/>
          <w:szCs w:val="24"/>
          <w:lang w:val="es-ES" w:eastAsia="es-ES"/>
        </w:rPr>
        <w:t xml:space="preserve"> Presupuesto de Egresos por Objeto del Gasto, </w:t>
      </w:r>
      <w:r w:rsidRPr="004037F9">
        <w:rPr>
          <w:rFonts w:ascii="Palatino Linotype" w:eastAsia="Times New Roman" w:hAnsi="Palatino Linotype" w:cs="Times New Roman"/>
          <w:b/>
          <w:color w:val="000000"/>
          <w:sz w:val="24"/>
          <w:szCs w:val="24"/>
          <w:lang w:val="es-ES" w:eastAsia="es-ES"/>
        </w:rPr>
        <w:t>PbRM-04c</w:t>
      </w:r>
      <w:r w:rsidRPr="004037F9">
        <w:rPr>
          <w:rFonts w:ascii="Palatino Linotype" w:eastAsia="Times New Roman" w:hAnsi="Palatino Linotype" w:cs="Times New Roman"/>
          <w:color w:val="000000"/>
          <w:sz w:val="24"/>
          <w:szCs w:val="24"/>
          <w:lang w:val="es-ES" w:eastAsia="es-ES"/>
        </w:rPr>
        <w:t xml:space="preserve"> Presupuesto de Egresos Global Calendarizado, </w:t>
      </w:r>
      <w:r w:rsidRPr="004037F9">
        <w:rPr>
          <w:rFonts w:ascii="Palatino Linotype" w:eastAsia="Times New Roman" w:hAnsi="Palatino Linotype" w:cs="Times New Roman"/>
          <w:b/>
          <w:color w:val="000000"/>
          <w:sz w:val="24"/>
          <w:szCs w:val="24"/>
          <w:lang w:val="es-ES" w:eastAsia="es-ES"/>
        </w:rPr>
        <w:t>PbRM-04d</w:t>
      </w:r>
      <w:r w:rsidRPr="004037F9">
        <w:rPr>
          <w:rFonts w:ascii="Palatino Linotype" w:eastAsia="Times New Roman" w:hAnsi="Palatino Linotype" w:cs="Times New Roman"/>
          <w:color w:val="000000"/>
          <w:sz w:val="24"/>
          <w:szCs w:val="24"/>
          <w:lang w:val="es-ES" w:eastAsia="es-ES"/>
        </w:rPr>
        <w:t xml:space="preserve"> Caratula de Presupuesto de Egresos, </w:t>
      </w:r>
      <w:r w:rsidRPr="004037F9">
        <w:rPr>
          <w:rFonts w:ascii="Palatino Linotype" w:eastAsia="Times New Roman" w:hAnsi="Palatino Linotype" w:cs="Times New Roman"/>
          <w:b/>
          <w:color w:val="000000"/>
          <w:sz w:val="24"/>
          <w:szCs w:val="24"/>
          <w:u w:val="single"/>
          <w:lang w:val="es-ES" w:eastAsia="es-ES"/>
        </w:rPr>
        <w:t>PbRM-05</w:t>
      </w:r>
      <w:r w:rsidRPr="004037F9">
        <w:rPr>
          <w:rFonts w:ascii="Palatino Linotype" w:eastAsia="Times New Roman" w:hAnsi="Palatino Linotype" w:cs="Times New Roman"/>
          <w:color w:val="000000"/>
          <w:sz w:val="24"/>
          <w:szCs w:val="24"/>
          <w:u w:val="single"/>
          <w:lang w:val="es-ES" w:eastAsia="es-ES"/>
        </w:rPr>
        <w:t xml:space="preserve"> Tabulador de Sueldos,</w:t>
      </w:r>
      <w:r w:rsidRPr="004037F9">
        <w:rPr>
          <w:rFonts w:ascii="Palatino Linotype" w:eastAsia="Times New Roman" w:hAnsi="Palatino Linotype" w:cs="Times New Roman"/>
          <w:color w:val="000000"/>
          <w:sz w:val="24"/>
          <w:szCs w:val="24"/>
          <w:lang w:val="es-ES" w:eastAsia="es-ES"/>
        </w:rPr>
        <w:t xml:space="preserve"> </w:t>
      </w:r>
      <w:r w:rsidRPr="004037F9">
        <w:rPr>
          <w:rFonts w:ascii="Palatino Linotype" w:eastAsia="Times New Roman" w:hAnsi="Palatino Linotype" w:cs="Times New Roman"/>
          <w:b/>
          <w:color w:val="000000"/>
          <w:sz w:val="24"/>
          <w:szCs w:val="24"/>
          <w:lang w:val="es-ES" w:eastAsia="es-ES"/>
        </w:rPr>
        <w:t>PbRM-06</w:t>
      </w:r>
      <w:r w:rsidRPr="004037F9">
        <w:rPr>
          <w:rFonts w:ascii="Palatino Linotype" w:eastAsia="Times New Roman" w:hAnsi="Palatino Linotype" w:cs="Times New Roman"/>
          <w:color w:val="000000"/>
          <w:sz w:val="24"/>
          <w:szCs w:val="24"/>
          <w:lang w:val="es-ES" w:eastAsia="es-ES"/>
        </w:rPr>
        <w:t xml:space="preserve"> Programa Anual de Adquisiciones, </w:t>
      </w:r>
      <w:r w:rsidRPr="004037F9">
        <w:rPr>
          <w:rFonts w:ascii="Palatino Linotype" w:eastAsia="Times New Roman" w:hAnsi="Palatino Linotype" w:cs="Times New Roman"/>
          <w:b/>
          <w:color w:val="000000"/>
          <w:sz w:val="24"/>
          <w:szCs w:val="24"/>
          <w:lang w:val="es-ES" w:eastAsia="es-ES"/>
        </w:rPr>
        <w:t>PbRM-07</w:t>
      </w:r>
      <w:r w:rsidRPr="004037F9">
        <w:rPr>
          <w:rFonts w:ascii="Palatino Linotype" w:eastAsia="Times New Roman" w:hAnsi="Palatino Linotype" w:cs="Times New Roman"/>
          <w:color w:val="000000"/>
          <w:sz w:val="24"/>
          <w:szCs w:val="24"/>
          <w:lang w:val="es-ES" w:eastAsia="es-ES"/>
        </w:rPr>
        <w:t xml:space="preserve"> Programa Anual de Obra y </w:t>
      </w:r>
      <w:r w:rsidRPr="004037F9">
        <w:rPr>
          <w:rFonts w:ascii="Palatino Linotype" w:eastAsia="Times New Roman" w:hAnsi="Palatino Linotype" w:cs="Times New Roman"/>
          <w:b/>
          <w:color w:val="000000"/>
          <w:sz w:val="24"/>
          <w:szCs w:val="24"/>
          <w:lang w:val="es-ES" w:eastAsia="es-ES"/>
        </w:rPr>
        <w:t>PbRM-07b</w:t>
      </w:r>
      <w:r w:rsidRPr="004037F9">
        <w:rPr>
          <w:rFonts w:ascii="Palatino Linotype" w:eastAsia="Times New Roman" w:hAnsi="Palatino Linotype" w:cs="Times New Roman"/>
          <w:color w:val="000000"/>
          <w:sz w:val="24"/>
          <w:szCs w:val="24"/>
          <w:lang w:val="es-ES" w:eastAsia="es-ES"/>
        </w:rPr>
        <w:t xml:space="preserve"> Programa Anual de Obra (Reparaciones y Mantenimiento)</w:t>
      </w:r>
    </w:p>
    <w:p w:rsidR="004037F9" w:rsidRPr="004037F9" w:rsidRDefault="004037F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955D9" w:rsidRPr="00FC6510" w:rsidRDefault="002955D9" w:rsidP="002955D9">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FC6510">
        <w:rPr>
          <w:rFonts w:ascii="Palatino Linotype" w:eastAsia="Times New Roman" w:hAnsi="Palatino Linotype" w:cs="Times New Roman"/>
          <w:b/>
          <w:i/>
          <w:sz w:val="28"/>
          <w:szCs w:val="24"/>
          <w:lang w:val="es-ES" w:eastAsia="es-ES"/>
        </w:rPr>
        <w:t>Vista al Órgano de Control Interno</w:t>
      </w:r>
    </w:p>
    <w:p w:rsidR="002955D9" w:rsidRPr="00FC6510" w:rsidRDefault="002955D9" w:rsidP="002955D9">
      <w:pPr>
        <w:tabs>
          <w:tab w:val="left" w:pos="709"/>
        </w:tabs>
        <w:spacing w:after="0" w:line="360" w:lineRule="auto"/>
        <w:jc w:val="both"/>
        <w:rPr>
          <w:rFonts w:ascii="Palatino Linotype" w:hAnsi="Palatino Linotype"/>
          <w:sz w:val="24"/>
          <w:szCs w:val="24"/>
        </w:rPr>
      </w:pPr>
    </w:p>
    <w:p w:rsidR="002955D9" w:rsidRPr="00FC6510" w:rsidRDefault="002955D9" w:rsidP="002955D9">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955D9" w:rsidRPr="00FC6510" w:rsidRDefault="002955D9" w:rsidP="002955D9">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955D9" w:rsidRPr="00FC6510" w:rsidRDefault="002955D9" w:rsidP="002955D9">
      <w:pPr>
        <w:tabs>
          <w:tab w:val="left" w:pos="709"/>
        </w:tabs>
        <w:spacing w:after="0" w:line="360" w:lineRule="auto"/>
        <w:jc w:val="both"/>
        <w:rPr>
          <w:rFonts w:ascii="Palatino Linotype" w:hAnsi="Palatino Linotype"/>
          <w:sz w:val="24"/>
          <w:szCs w:val="24"/>
        </w:rPr>
      </w:pP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r w:rsidRPr="00FC6510">
        <w:rPr>
          <w:rFonts w:ascii="Palatino Linotype" w:hAnsi="Palatino Linotype"/>
          <w:b/>
          <w:i/>
          <w:szCs w:val="24"/>
        </w:rPr>
        <w:t>Artículo 36</w:t>
      </w:r>
      <w:r w:rsidRPr="00FC6510">
        <w:rPr>
          <w:rFonts w:ascii="Palatino Linotype" w:hAnsi="Palatino Linotype"/>
          <w:i/>
          <w:szCs w:val="24"/>
        </w:rPr>
        <w:t>. El Instituto tendrá, en el ámbito de su competencia, las siguientes atribuciones:</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lastRenderedPageBreak/>
        <w:t>X</w:t>
      </w:r>
      <w:r w:rsidRPr="00FC6510">
        <w:rPr>
          <w:rFonts w:ascii="Palatino Linotype" w:hAnsi="Palatino Linotype"/>
          <w:i/>
          <w:szCs w:val="24"/>
        </w:rPr>
        <w:t xml:space="preserve">. Hacer del conocimiento del órgano de control interno o equivalente de cada Sujeto Obligado las infracciones a esta Ley; </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2955D9" w:rsidRPr="00FC6510" w:rsidRDefault="002955D9" w:rsidP="002955D9">
      <w:pPr>
        <w:tabs>
          <w:tab w:val="left" w:pos="709"/>
        </w:tabs>
        <w:spacing w:after="0" w:line="360" w:lineRule="auto"/>
        <w:jc w:val="both"/>
        <w:rPr>
          <w:rFonts w:ascii="Palatino Linotype" w:hAnsi="Palatino Linotype"/>
          <w:sz w:val="24"/>
          <w:szCs w:val="24"/>
        </w:rPr>
      </w:pPr>
    </w:p>
    <w:p w:rsidR="002955D9" w:rsidRPr="00FC6510" w:rsidRDefault="002955D9" w:rsidP="002955D9">
      <w:pPr>
        <w:tabs>
          <w:tab w:val="left" w:pos="709"/>
        </w:tabs>
        <w:spacing w:after="0" w:line="360" w:lineRule="auto"/>
        <w:jc w:val="both"/>
        <w:rPr>
          <w:rFonts w:ascii="Palatino Linotype" w:hAnsi="Palatino Linotype"/>
          <w:sz w:val="24"/>
          <w:szCs w:val="24"/>
        </w:rPr>
      </w:pPr>
      <w:r w:rsidRPr="00FC651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955D9" w:rsidRPr="00FC6510" w:rsidRDefault="002955D9" w:rsidP="002955D9">
      <w:pPr>
        <w:tabs>
          <w:tab w:val="left" w:pos="709"/>
        </w:tabs>
        <w:spacing w:after="0" w:line="360" w:lineRule="auto"/>
        <w:jc w:val="both"/>
        <w:rPr>
          <w:rFonts w:ascii="Palatino Linotype" w:hAnsi="Palatino Linotype"/>
          <w:sz w:val="24"/>
          <w:szCs w:val="24"/>
        </w:rPr>
      </w:pP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r w:rsidRPr="00FC6510">
        <w:rPr>
          <w:rFonts w:ascii="Palatino Linotype" w:hAnsi="Palatino Linotype"/>
          <w:b/>
          <w:i/>
          <w:szCs w:val="24"/>
        </w:rPr>
        <w:t>Artículo 190</w:t>
      </w:r>
      <w:r w:rsidRPr="00FC651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t>Artículo 222</w:t>
      </w:r>
      <w:r w:rsidRPr="00FC651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I. Cualquier acto u omisión que provoque la suspensión o deficiencia en la atención de las solicitudes de información;</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II. La falta de respuesta a las solicitudes de información en los plazos señalados en la normatividad aplicable;</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i/>
          <w:szCs w:val="24"/>
        </w:rPr>
        <w:t>…</w:t>
      </w:r>
    </w:p>
    <w:p w:rsidR="002955D9" w:rsidRPr="00FC6510" w:rsidRDefault="002955D9" w:rsidP="002955D9">
      <w:pPr>
        <w:tabs>
          <w:tab w:val="left" w:pos="709"/>
        </w:tabs>
        <w:spacing w:after="0" w:line="240" w:lineRule="auto"/>
        <w:ind w:left="567" w:right="567"/>
        <w:jc w:val="both"/>
        <w:rPr>
          <w:rFonts w:ascii="Palatino Linotype" w:hAnsi="Palatino Linotype"/>
          <w:i/>
          <w:szCs w:val="24"/>
        </w:rPr>
      </w:pPr>
      <w:r w:rsidRPr="00FC6510">
        <w:rPr>
          <w:rFonts w:ascii="Palatino Linotype" w:hAnsi="Palatino Linotype"/>
          <w:b/>
          <w:i/>
          <w:szCs w:val="24"/>
        </w:rPr>
        <w:t>Artículo 223</w:t>
      </w:r>
      <w:r w:rsidRPr="00FC651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955D9" w:rsidRPr="00FC6510" w:rsidRDefault="002955D9" w:rsidP="002955D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955D9" w:rsidRPr="00FC6510" w:rsidRDefault="002955D9" w:rsidP="002955D9">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C6510">
        <w:rPr>
          <w:rFonts w:ascii="Palatino Linotype" w:hAnsi="Palatino Linotype" w:cs="Arial"/>
          <w:sz w:val="24"/>
          <w:szCs w:val="24"/>
        </w:rPr>
        <w:lastRenderedPageBreak/>
        <w:t xml:space="preserve">Pública del Estado de México y Municipios, se </w:t>
      </w:r>
      <w:r w:rsidRPr="00FC6510">
        <w:rPr>
          <w:rFonts w:ascii="Palatino Linotype" w:hAnsi="Palatino Linotype" w:cs="Arial"/>
          <w:b/>
          <w:sz w:val="24"/>
          <w:szCs w:val="24"/>
        </w:rPr>
        <w:t>ordena</w:t>
      </w:r>
      <w:r w:rsidRPr="00FC6510">
        <w:rPr>
          <w:rFonts w:ascii="Palatino Linotype" w:hAnsi="Palatino Linotype" w:cs="Arial"/>
          <w:sz w:val="24"/>
          <w:szCs w:val="24"/>
        </w:rPr>
        <w:t xml:space="preserve"> al sujeto obligado, atienda la solicitud de información </w:t>
      </w:r>
      <w:r w:rsidR="004037F9" w:rsidRPr="004037F9">
        <w:rPr>
          <w:rFonts w:ascii="Palatino Linotype" w:eastAsia="Times New Roman" w:hAnsi="Palatino Linotype" w:cs="Times New Roman"/>
          <w:b/>
          <w:bCs/>
          <w:sz w:val="24"/>
          <w:szCs w:val="24"/>
          <w:lang w:val="es-ES" w:eastAsia="es-ES"/>
        </w:rPr>
        <w:t>00017/IXTAPALU/IP/2021</w:t>
      </w:r>
      <w:r w:rsidRPr="00FC6510">
        <w:rPr>
          <w:rFonts w:ascii="Palatino Linotype" w:eastAsia="Times New Roman" w:hAnsi="Palatino Linotype" w:cs="Times New Roman"/>
          <w:b/>
          <w:bCs/>
          <w:sz w:val="24"/>
          <w:szCs w:val="24"/>
          <w:lang w:val="es-ES" w:eastAsia="es-ES"/>
        </w:rPr>
        <w:t>,</w:t>
      </w:r>
      <w:r w:rsidRPr="00FC6510">
        <w:rPr>
          <w:rFonts w:ascii="Palatino Linotype" w:hAnsi="Palatino Linotype" w:cs="Arial"/>
          <w:sz w:val="24"/>
          <w:szCs w:val="24"/>
        </w:rPr>
        <w:t xml:space="preserve"> que ha sido materia del presente fallo.</w:t>
      </w:r>
    </w:p>
    <w:p w:rsidR="002955D9" w:rsidRPr="00FC6510"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Pr="00FC6510" w:rsidRDefault="002955D9" w:rsidP="002955D9">
      <w:pPr>
        <w:autoSpaceDE w:val="0"/>
        <w:autoSpaceDN w:val="0"/>
        <w:adjustRightInd w:val="0"/>
        <w:spacing w:after="0" w:line="360" w:lineRule="auto"/>
        <w:jc w:val="both"/>
        <w:rPr>
          <w:rFonts w:ascii="Palatino Linotype" w:hAnsi="Palatino Linotype" w:cs="Arial"/>
          <w:sz w:val="24"/>
          <w:szCs w:val="24"/>
        </w:rPr>
      </w:pPr>
      <w:r w:rsidRPr="00FC6510">
        <w:rPr>
          <w:rFonts w:ascii="Palatino Linotype" w:hAnsi="Palatino Linotype" w:cs="Arial"/>
          <w:sz w:val="24"/>
          <w:szCs w:val="24"/>
        </w:rPr>
        <w:t>Por lo antes expuesto y fundado es de resolverse y,</w:t>
      </w:r>
    </w:p>
    <w:p w:rsidR="002955D9" w:rsidRPr="00FC6510" w:rsidRDefault="002955D9" w:rsidP="002955D9">
      <w:pPr>
        <w:autoSpaceDE w:val="0"/>
        <w:autoSpaceDN w:val="0"/>
        <w:adjustRightInd w:val="0"/>
        <w:spacing w:after="0" w:line="360" w:lineRule="auto"/>
        <w:jc w:val="both"/>
        <w:rPr>
          <w:rFonts w:ascii="Palatino Linotype" w:hAnsi="Palatino Linotype" w:cs="Arial"/>
          <w:sz w:val="24"/>
          <w:szCs w:val="24"/>
        </w:rPr>
      </w:pPr>
    </w:p>
    <w:p w:rsidR="002955D9" w:rsidRPr="00FC6510" w:rsidRDefault="002955D9" w:rsidP="002955D9">
      <w:pPr>
        <w:spacing w:after="0" w:line="360" w:lineRule="auto"/>
        <w:ind w:left="426"/>
        <w:jc w:val="center"/>
        <w:rPr>
          <w:rFonts w:ascii="Palatino Linotype" w:eastAsia="Times New Roman" w:hAnsi="Palatino Linotype" w:cs="Times New Roman"/>
          <w:b/>
          <w:color w:val="000000"/>
          <w:sz w:val="28"/>
          <w:szCs w:val="24"/>
          <w:lang w:val="es-ES" w:eastAsia="es-ES"/>
        </w:rPr>
      </w:pPr>
      <w:r w:rsidRPr="00FC6510">
        <w:rPr>
          <w:rFonts w:ascii="Palatino Linotype" w:eastAsia="Times New Roman" w:hAnsi="Palatino Linotype" w:cs="Times New Roman"/>
          <w:b/>
          <w:color w:val="000000"/>
          <w:sz w:val="28"/>
          <w:szCs w:val="24"/>
          <w:lang w:val="es-ES" w:eastAsia="es-ES"/>
        </w:rPr>
        <w:t>SE    RESUELVE</w:t>
      </w:r>
    </w:p>
    <w:p w:rsidR="002955D9" w:rsidRPr="00FC6510" w:rsidRDefault="002955D9" w:rsidP="002955D9">
      <w:pPr>
        <w:spacing w:after="0" w:line="360" w:lineRule="auto"/>
        <w:ind w:left="426"/>
        <w:jc w:val="center"/>
        <w:rPr>
          <w:rFonts w:ascii="Palatino Linotype" w:eastAsia="Times New Roman" w:hAnsi="Palatino Linotype" w:cs="Times New Roman"/>
          <w:b/>
          <w:color w:val="000000"/>
          <w:sz w:val="28"/>
          <w:szCs w:val="24"/>
          <w:lang w:val="es-ES" w:eastAsia="es-ES"/>
        </w:rPr>
      </w:pP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PRIMERO.</w:t>
      </w:r>
      <w:r w:rsidRPr="00FC6510">
        <w:rPr>
          <w:rFonts w:ascii="Palatino Linotype" w:hAnsi="Palatino Linotype" w:cs="Arial"/>
          <w:sz w:val="24"/>
          <w:szCs w:val="24"/>
        </w:rPr>
        <w:t xml:space="preserve"> Resultan fundadas las razones o motivos de inconformidad hechos valer por el </w:t>
      </w:r>
      <w:r w:rsidRPr="00FC6510">
        <w:rPr>
          <w:rFonts w:ascii="Palatino Linotype" w:hAnsi="Palatino Linotype" w:cs="Arial"/>
          <w:b/>
          <w:sz w:val="24"/>
          <w:szCs w:val="24"/>
        </w:rPr>
        <w:t>recurrente,</w:t>
      </w:r>
      <w:r w:rsidRPr="00FC6510">
        <w:rPr>
          <w:rFonts w:ascii="Palatino Linotype" w:hAnsi="Palatino Linotype" w:cs="Arial"/>
          <w:sz w:val="24"/>
          <w:szCs w:val="24"/>
        </w:rPr>
        <w:t xml:space="preserve"> en términos del considerando CUARTO, de la presente resolución.</w:t>
      </w: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SEGUNDO.</w:t>
      </w:r>
      <w:r w:rsidRPr="00FC6510">
        <w:rPr>
          <w:rFonts w:ascii="Palatino Linotype" w:hAnsi="Palatino Linotype" w:cs="Arial"/>
          <w:sz w:val="24"/>
          <w:szCs w:val="24"/>
        </w:rPr>
        <w:t xml:space="preserve"> Se </w:t>
      </w:r>
      <w:r w:rsidRPr="00FC6510">
        <w:rPr>
          <w:rFonts w:ascii="Palatino Linotype" w:hAnsi="Palatino Linotype" w:cs="Arial"/>
          <w:b/>
          <w:sz w:val="24"/>
          <w:szCs w:val="24"/>
        </w:rPr>
        <w:t>ORDENA</w:t>
      </w:r>
      <w:r w:rsidRPr="00FC6510">
        <w:rPr>
          <w:rFonts w:ascii="Palatino Linotype" w:hAnsi="Palatino Linotype" w:cs="Arial"/>
          <w:sz w:val="24"/>
          <w:szCs w:val="24"/>
        </w:rPr>
        <w:t xml:space="preserve"> al </w:t>
      </w:r>
      <w:r w:rsidRPr="00FC6510">
        <w:rPr>
          <w:rFonts w:ascii="Palatino Linotype" w:hAnsi="Palatino Linotype" w:cs="Arial"/>
          <w:b/>
          <w:sz w:val="24"/>
          <w:szCs w:val="24"/>
        </w:rPr>
        <w:t>sujeto obligado</w:t>
      </w:r>
      <w:r w:rsidRPr="00FC6510">
        <w:rPr>
          <w:rFonts w:ascii="Palatino Linotype" w:hAnsi="Palatino Linotype" w:cs="Arial"/>
          <w:sz w:val="24"/>
          <w:szCs w:val="24"/>
        </w:rPr>
        <w:t xml:space="preserve"> atienda la solicitud de información </w:t>
      </w:r>
      <w:r w:rsidR="004037F9" w:rsidRPr="004037F9">
        <w:rPr>
          <w:rFonts w:ascii="Palatino Linotype" w:eastAsia="Times New Roman" w:hAnsi="Palatino Linotype" w:cs="Times New Roman"/>
          <w:b/>
          <w:bCs/>
          <w:sz w:val="24"/>
          <w:szCs w:val="24"/>
          <w:lang w:val="es-ES" w:eastAsia="es-ES"/>
        </w:rPr>
        <w:t>00017/IXTAPALU/IP/2021</w:t>
      </w:r>
      <w:r w:rsidRPr="00FC6510">
        <w:rPr>
          <w:rFonts w:ascii="Palatino Linotype" w:hAnsi="Palatino Linotype" w:cs="Arial"/>
          <w:sz w:val="24"/>
          <w:szCs w:val="24"/>
        </w:rPr>
        <w:t xml:space="preserve">, en términos del Considerando </w:t>
      </w:r>
      <w:r w:rsidRPr="00FC6510">
        <w:rPr>
          <w:rFonts w:ascii="Palatino Linotype" w:hAnsi="Palatino Linotype" w:cs="Arial"/>
          <w:b/>
          <w:sz w:val="24"/>
          <w:szCs w:val="24"/>
        </w:rPr>
        <w:t xml:space="preserve">CUARTO </w:t>
      </w:r>
      <w:r w:rsidRPr="00FC6510">
        <w:rPr>
          <w:rFonts w:ascii="Palatino Linotype" w:hAnsi="Palatino Linotype" w:cs="Arial"/>
          <w:sz w:val="24"/>
          <w:szCs w:val="24"/>
        </w:rPr>
        <w:t>de esta resolución</w:t>
      </w:r>
      <w:r w:rsidRPr="00FC6510">
        <w:rPr>
          <w:rFonts w:ascii="Palatino Linotype" w:hAnsi="Palatino Linotype" w:cs="Arial"/>
          <w:b/>
          <w:sz w:val="24"/>
          <w:szCs w:val="24"/>
        </w:rPr>
        <w:t>,</w:t>
      </w:r>
      <w:r w:rsidRPr="00FC6510">
        <w:rPr>
          <w:rFonts w:ascii="Palatino Linotype" w:hAnsi="Palatino Linotype" w:cs="Arial"/>
          <w:sz w:val="24"/>
          <w:szCs w:val="24"/>
        </w:rPr>
        <w:t xml:space="preserve"> vía Sistema de Acceso a la Información Mexiquense (SAIMEX).</w:t>
      </w: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r w:rsidRPr="00FC6510">
        <w:rPr>
          <w:rFonts w:ascii="Palatino Linotype" w:hAnsi="Palatino Linotype" w:cs="Arial"/>
          <w:b/>
          <w:sz w:val="28"/>
          <w:szCs w:val="24"/>
        </w:rPr>
        <w:t>TERCERO</w:t>
      </w:r>
      <w:r w:rsidRPr="00FC6510">
        <w:rPr>
          <w:rFonts w:ascii="Palatino Linotype" w:hAnsi="Palatino Linotype" w:cs="Arial"/>
          <w:b/>
          <w:sz w:val="24"/>
          <w:szCs w:val="24"/>
        </w:rPr>
        <w:t>.</w:t>
      </w:r>
      <w:r w:rsidRPr="00FC6510">
        <w:rPr>
          <w:rFonts w:ascii="Palatino Linotype" w:hAnsi="Palatino Linotype" w:cs="Arial"/>
          <w:sz w:val="24"/>
          <w:szCs w:val="24"/>
        </w:rPr>
        <w:t xml:space="preserve"> </w:t>
      </w:r>
      <w:r w:rsidRPr="00FC6510">
        <w:rPr>
          <w:rFonts w:ascii="Palatino Linotype" w:hAnsi="Palatino Linotype" w:cs="Arial"/>
          <w:b/>
          <w:sz w:val="24"/>
          <w:szCs w:val="24"/>
        </w:rPr>
        <w:t>Notifíquese</w:t>
      </w:r>
      <w:r w:rsidRPr="00FC6510">
        <w:rPr>
          <w:rFonts w:ascii="Palatino Linotype" w:hAnsi="Palatino Linotype" w:cs="Arial"/>
          <w:b/>
          <w:i/>
          <w:sz w:val="24"/>
          <w:szCs w:val="24"/>
        </w:rPr>
        <w:t xml:space="preserve"> </w:t>
      </w:r>
      <w:r w:rsidRPr="00FC6510">
        <w:rPr>
          <w:rFonts w:ascii="Palatino Linotype" w:hAnsi="Palatino Linotype" w:cs="Arial"/>
          <w:sz w:val="24"/>
          <w:szCs w:val="24"/>
        </w:rPr>
        <w:t>al Titular de la Unidad de Transparencia del</w:t>
      </w:r>
      <w:r w:rsidRPr="00FC6510">
        <w:rPr>
          <w:rFonts w:ascii="Palatino Linotype" w:hAnsi="Palatino Linotype" w:cs="Arial"/>
          <w:b/>
          <w:sz w:val="24"/>
          <w:szCs w:val="24"/>
        </w:rPr>
        <w:t xml:space="preserve"> Sujeto Obligado</w:t>
      </w:r>
      <w:r w:rsidRPr="00FC651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55D9" w:rsidRPr="00FC6510" w:rsidRDefault="002955D9" w:rsidP="002955D9">
      <w:pPr>
        <w:tabs>
          <w:tab w:val="left" w:pos="8647"/>
        </w:tabs>
        <w:spacing w:after="0" w:line="360" w:lineRule="auto"/>
        <w:ind w:right="51"/>
        <w:jc w:val="both"/>
        <w:rPr>
          <w:rFonts w:ascii="Palatino Linotype" w:hAnsi="Palatino Linotype" w:cs="Arial"/>
          <w:sz w:val="24"/>
          <w:szCs w:val="24"/>
        </w:rPr>
      </w:pPr>
    </w:p>
    <w:p w:rsidR="002955D9" w:rsidRPr="00FC6510" w:rsidRDefault="002955D9" w:rsidP="002955D9">
      <w:pPr>
        <w:spacing w:after="0" w:line="360" w:lineRule="auto"/>
        <w:jc w:val="both"/>
        <w:rPr>
          <w:rFonts w:ascii="Palatino Linotype" w:eastAsia="Calibri" w:hAnsi="Palatino Linotype" w:cs="Times New Roman"/>
          <w:sz w:val="24"/>
          <w:szCs w:val="24"/>
          <w:lang w:eastAsia="es-ES_tradnl"/>
        </w:rPr>
      </w:pPr>
      <w:r w:rsidRPr="00FC6510">
        <w:rPr>
          <w:rFonts w:ascii="Palatino Linotype" w:eastAsia="Times New Roman" w:hAnsi="Palatino Linotype" w:cs="Arial"/>
          <w:b/>
          <w:sz w:val="28"/>
          <w:szCs w:val="24"/>
          <w:lang w:val="es-ES" w:eastAsia="es-ES"/>
        </w:rPr>
        <w:lastRenderedPageBreak/>
        <w:t>CUARTO</w:t>
      </w:r>
      <w:r w:rsidRPr="00FC6510">
        <w:rPr>
          <w:rFonts w:ascii="Palatino Linotype" w:eastAsia="Times New Roman" w:hAnsi="Palatino Linotype" w:cs="Arial"/>
          <w:b/>
          <w:sz w:val="24"/>
          <w:szCs w:val="24"/>
          <w:lang w:val="es-ES" w:eastAsia="es-ES"/>
        </w:rPr>
        <w:t xml:space="preserve">. </w:t>
      </w:r>
      <w:r w:rsidRPr="00FC651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C6510">
        <w:rPr>
          <w:rFonts w:ascii="Palatino Linotype" w:eastAsia="Calibri" w:hAnsi="Palatino Linotype" w:cs="Times New Roman"/>
          <w:b/>
          <w:sz w:val="24"/>
          <w:szCs w:val="24"/>
          <w:lang w:eastAsia="es-ES_tradnl"/>
        </w:rPr>
        <w:t>sujeto obligado</w:t>
      </w:r>
      <w:r w:rsidRPr="00FC651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2955D9" w:rsidRPr="00FC6510"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955D9" w:rsidRPr="00FC6510" w:rsidRDefault="002955D9" w:rsidP="002955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6510">
        <w:rPr>
          <w:rFonts w:ascii="Palatino Linotype" w:hAnsi="Palatino Linotype"/>
          <w:b/>
          <w:sz w:val="28"/>
          <w:szCs w:val="28"/>
        </w:rPr>
        <w:t>QUINTO</w:t>
      </w:r>
      <w:r w:rsidRPr="00FC6510">
        <w:rPr>
          <w:rFonts w:ascii="Palatino Linotype" w:hAnsi="Palatino Linotype"/>
          <w:b/>
          <w:sz w:val="24"/>
          <w:szCs w:val="24"/>
        </w:rPr>
        <w:t xml:space="preserve">. </w:t>
      </w:r>
      <w:r w:rsidRPr="00FC6510">
        <w:rPr>
          <w:rFonts w:ascii="Palatino Linotype" w:eastAsia="Times New Roman" w:hAnsi="Palatino Linotype" w:cs="Arial"/>
          <w:sz w:val="24"/>
          <w:szCs w:val="24"/>
          <w:lang w:val="es-ES" w:eastAsia="es-ES"/>
        </w:rPr>
        <w:t xml:space="preserve">Notifíquese </w:t>
      </w:r>
      <w:r w:rsidRPr="00FC6510">
        <w:rPr>
          <w:rFonts w:ascii="Palatino Linotype" w:eastAsia="Times New Roman" w:hAnsi="Palatino Linotype" w:cs="Arial"/>
          <w:b/>
          <w:sz w:val="24"/>
          <w:szCs w:val="24"/>
          <w:lang w:val="es-ES" w:eastAsia="es-ES"/>
        </w:rPr>
        <w:t>al recurrente</w:t>
      </w:r>
      <w:r w:rsidRPr="00FC651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955D9" w:rsidRPr="00FC6510" w:rsidRDefault="002955D9" w:rsidP="002955D9">
      <w:pPr>
        <w:spacing w:after="0" w:line="360" w:lineRule="auto"/>
        <w:jc w:val="both"/>
        <w:rPr>
          <w:rFonts w:ascii="Palatino Linotype" w:hAnsi="Palatino Linotype"/>
          <w:sz w:val="24"/>
          <w:szCs w:val="24"/>
          <w:lang w:eastAsia="es-ES_tradnl"/>
        </w:rPr>
      </w:pPr>
    </w:p>
    <w:p w:rsidR="002955D9" w:rsidRPr="00FC6510" w:rsidRDefault="002955D9" w:rsidP="002955D9">
      <w:pPr>
        <w:spacing w:after="0" w:line="360" w:lineRule="auto"/>
        <w:jc w:val="both"/>
        <w:rPr>
          <w:rFonts w:ascii="Palatino Linotype" w:eastAsia="Calibri" w:hAnsi="Palatino Linotype" w:cs="Times New Roman"/>
          <w:sz w:val="24"/>
          <w:szCs w:val="24"/>
          <w:lang w:eastAsia="es-ES_tradnl"/>
        </w:rPr>
      </w:pPr>
      <w:r w:rsidRPr="00FC6510">
        <w:rPr>
          <w:rFonts w:ascii="Palatino Linotype" w:eastAsia="Calibri" w:hAnsi="Palatino Linotype" w:cs="Times New Roman"/>
          <w:b/>
          <w:sz w:val="28"/>
          <w:szCs w:val="24"/>
          <w:lang w:eastAsia="es-ES_tradnl"/>
        </w:rPr>
        <w:t>SEXTO</w:t>
      </w:r>
      <w:r w:rsidRPr="00FC6510">
        <w:rPr>
          <w:rFonts w:ascii="Palatino Linotype" w:eastAsia="Calibri" w:hAnsi="Palatino Linotype" w:cs="Times New Roman"/>
          <w:b/>
          <w:sz w:val="24"/>
          <w:szCs w:val="24"/>
          <w:lang w:eastAsia="es-ES_tradnl"/>
        </w:rPr>
        <w:t>.</w:t>
      </w:r>
      <w:r w:rsidRPr="00FC6510">
        <w:rPr>
          <w:rFonts w:ascii="Palatino Linotype" w:eastAsia="Calibri" w:hAnsi="Palatino Linotype" w:cs="Times New Roman"/>
          <w:sz w:val="24"/>
          <w:szCs w:val="24"/>
          <w:lang w:eastAsia="es-ES_tradnl"/>
        </w:rPr>
        <w:t xml:space="preserve"> Se hace del conocimiento del </w:t>
      </w:r>
      <w:r w:rsidRPr="00FC6510">
        <w:rPr>
          <w:rFonts w:ascii="Palatino Linotype" w:eastAsia="Calibri" w:hAnsi="Palatino Linotype" w:cs="Times New Roman"/>
          <w:b/>
          <w:sz w:val="24"/>
          <w:szCs w:val="24"/>
          <w:lang w:eastAsia="es-ES_tradnl"/>
        </w:rPr>
        <w:t>recurrente</w:t>
      </w:r>
      <w:r w:rsidRPr="00FC651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C6510">
        <w:rPr>
          <w:rFonts w:ascii="Palatino Linotype" w:eastAsia="Calibri" w:hAnsi="Palatino Linotype" w:cs="Times New Roman"/>
          <w:b/>
          <w:sz w:val="24"/>
          <w:szCs w:val="24"/>
          <w:lang w:eastAsia="es-ES_tradnl"/>
        </w:rPr>
        <w:t>sujeto obligado</w:t>
      </w:r>
      <w:r w:rsidRPr="00FC6510">
        <w:rPr>
          <w:rFonts w:ascii="Palatino Linotype" w:eastAsia="Calibri" w:hAnsi="Palatino Linotype" w:cs="Times New Roman"/>
          <w:sz w:val="24"/>
          <w:szCs w:val="24"/>
          <w:lang w:eastAsia="es-ES_tradnl"/>
        </w:rPr>
        <w:t>, en cumplimiento a esta Resolución.</w:t>
      </w:r>
    </w:p>
    <w:p w:rsidR="002955D9" w:rsidRPr="00FC6510" w:rsidRDefault="002955D9" w:rsidP="002955D9">
      <w:pPr>
        <w:spacing w:after="0" w:line="360" w:lineRule="auto"/>
        <w:jc w:val="both"/>
        <w:rPr>
          <w:rFonts w:ascii="Palatino Linotype" w:eastAsia="Calibri" w:hAnsi="Palatino Linotype" w:cs="Times New Roman"/>
          <w:sz w:val="24"/>
          <w:szCs w:val="24"/>
          <w:lang w:eastAsia="es-ES_tradnl"/>
        </w:rPr>
      </w:pPr>
    </w:p>
    <w:p w:rsidR="002955D9" w:rsidRPr="00FC6510" w:rsidRDefault="002955D9" w:rsidP="002955D9">
      <w:pPr>
        <w:spacing w:after="0" w:line="360" w:lineRule="auto"/>
        <w:jc w:val="both"/>
        <w:rPr>
          <w:rFonts w:ascii="Palatino Linotype" w:hAnsi="Palatino Linotype"/>
          <w:sz w:val="24"/>
          <w:szCs w:val="24"/>
          <w:lang w:eastAsia="es-ES_tradnl"/>
        </w:rPr>
      </w:pPr>
      <w:r w:rsidRPr="00FC6510">
        <w:rPr>
          <w:rFonts w:ascii="Palatino Linotype" w:eastAsia="Calibri" w:hAnsi="Palatino Linotype" w:cs="Times New Roman"/>
          <w:b/>
          <w:sz w:val="28"/>
          <w:szCs w:val="24"/>
          <w:lang w:eastAsia="es-ES_tradnl"/>
        </w:rPr>
        <w:t>SÉPTIMO</w:t>
      </w:r>
      <w:r w:rsidRPr="00FC6510">
        <w:rPr>
          <w:rFonts w:ascii="Palatino Linotype" w:eastAsia="Calibri" w:hAnsi="Palatino Linotype" w:cs="Times New Roman"/>
          <w:b/>
          <w:sz w:val="24"/>
          <w:szCs w:val="24"/>
          <w:lang w:eastAsia="es-ES_tradnl"/>
        </w:rPr>
        <w:t>.-</w:t>
      </w:r>
      <w:r w:rsidRPr="00FC6510">
        <w:rPr>
          <w:rFonts w:ascii="Palatino Linotype" w:eastAsia="Calibri" w:hAnsi="Palatino Linotype" w:cs="Times New Roman"/>
          <w:sz w:val="24"/>
          <w:szCs w:val="24"/>
          <w:lang w:eastAsia="es-ES_tradnl"/>
        </w:rPr>
        <w:t xml:space="preserve"> </w:t>
      </w:r>
      <w:r w:rsidRPr="00FC651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955D9" w:rsidRDefault="002955D9" w:rsidP="002955D9">
      <w:pPr>
        <w:autoSpaceDE w:val="0"/>
        <w:autoSpaceDN w:val="0"/>
        <w:adjustRightInd w:val="0"/>
        <w:spacing w:after="0" w:line="360" w:lineRule="auto"/>
        <w:ind w:right="49"/>
        <w:jc w:val="both"/>
        <w:rPr>
          <w:rFonts w:ascii="Palatino Linotype" w:hAnsi="Palatino Linotype" w:cs="Arial"/>
          <w:sz w:val="24"/>
          <w:szCs w:val="24"/>
        </w:rPr>
      </w:pPr>
    </w:p>
    <w:p w:rsidR="002955D9" w:rsidRDefault="002955D9" w:rsidP="002955D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LO RESUELVE, POR </w:t>
      </w:r>
      <w:r w:rsidR="00C373A5">
        <w:rPr>
          <w:rFonts w:ascii="Palatino Linotype" w:hAnsi="Palatino Linotype" w:cs="Arial"/>
          <w:sz w:val="24"/>
          <w:szCs w:val="24"/>
        </w:rPr>
        <w:t>MAYORÍA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sidR="00795BBB">
        <w:rPr>
          <w:rFonts w:ascii="Palatino Linotype" w:hAnsi="Palatino Linotype" w:cs="Arial"/>
          <w:sz w:val="24"/>
          <w:szCs w:val="24"/>
        </w:rPr>
        <w:t>(EMITIENDO VOTO EN CONTRA CON VOTO DISIDENTE)</w:t>
      </w:r>
      <w:r w:rsidRPr="00835D88">
        <w:rPr>
          <w:rFonts w:ascii="Palatino Linotype" w:hAnsi="Palatino Linotype" w:cs="Arial"/>
          <w:sz w:val="24"/>
          <w:szCs w:val="24"/>
        </w:rPr>
        <w:t>Y LUIS GUSTAVO PARRA NORIEGA</w:t>
      </w:r>
      <w:r w:rsidR="00795BBB">
        <w:rPr>
          <w:rFonts w:ascii="Palatino Linotype" w:hAnsi="Palatino Linotype" w:cs="Arial"/>
          <w:sz w:val="24"/>
          <w:szCs w:val="24"/>
        </w:rPr>
        <w:t xml:space="preserve"> (EMITIENDO VOTO PARTICULAR)</w:t>
      </w:r>
      <w:r w:rsidRPr="00835D88">
        <w:rPr>
          <w:rFonts w:ascii="Palatino Linotype" w:hAnsi="Palatino Linotype" w:cs="Arial"/>
          <w:sz w:val="24"/>
          <w:szCs w:val="24"/>
        </w:rPr>
        <w:t>, EN LA</w:t>
      </w:r>
      <w:r>
        <w:rPr>
          <w:rFonts w:ascii="Palatino Linotype" w:hAnsi="Palatino Linotype" w:cs="Arial"/>
          <w:sz w:val="24"/>
          <w:szCs w:val="24"/>
        </w:rPr>
        <w:t xml:space="preserve"> DÉCIMO CUARTA SESIÓN </w:t>
      </w:r>
      <w:r w:rsidRPr="00835D88">
        <w:rPr>
          <w:rFonts w:ascii="Palatino Linotype" w:hAnsi="Palatino Linotype" w:cs="Arial"/>
          <w:sz w:val="24"/>
          <w:szCs w:val="24"/>
        </w:rPr>
        <w:t>ORDINARIA CELEBRADA EL</w:t>
      </w:r>
      <w:r>
        <w:rPr>
          <w:rFonts w:ascii="Palatino Linotype" w:hAnsi="Palatino Linotype" w:cs="Arial"/>
          <w:sz w:val="24"/>
          <w:szCs w:val="24"/>
        </w:rPr>
        <w:t xml:space="preserve"> VEINTIOCHO DE ABRIL DE DOS MIL VEINTIUNO</w:t>
      </w:r>
      <w:r w:rsidRPr="00835D88">
        <w:rPr>
          <w:rFonts w:ascii="Palatino Linotype" w:hAnsi="Palatino Linotype" w:cs="Arial"/>
          <w:sz w:val="24"/>
          <w:szCs w:val="24"/>
        </w:rPr>
        <w:t>, ANTE EL SECRETARIO TÉCNICO DEL PLENO, A</w:t>
      </w:r>
      <w:r w:rsidR="00C373A5">
        <w:rPr>
          <w:rFonts w:ascii="Palatino Linotype" w:hAnsi="Palatino Linotype" w:cs="Arial"/>
          <w:sz w:val="24"/>
          <w:szCs w:val="24"/>
        </w:rPr>
        <w:t>LEXIS TAPIA RAMÍREZ. ----------</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Default="002955D9" w:rsidP="002955D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037F9" w:rsidRDefault="004037F9" w:rsidP="004037F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955D9" w:rsidRPr="00232504" w:rsidRDefault="002955D9" w:rsidP="002955D9">
      <w:pPr>
        <w:spacing w:after="0" w:line="360" w:lineRule="auto"/>
        <w:jc w:val="both"/>
        <w:rPr>
          <w:rFonts w:ascii="Palatino Linotype" w:hAnsi="Palatino Linotype" w:cs="Arial"/>
          <w:sz w:val="20"/>
          <w:szCs w:val="24"/>
        </w:rPr>
      </w:pPr>
      <w:r w:rsidRPr="00232504">
        <w:rPr>
          <w:rFonts w:ascii="Palatino Linotype" w:hAnsi="Palatino Linotype" w:cs="Arial"/>
          <w:sz w:val="20"/>
          <w:szCs w:val="24"/>
        </w:rPr>
        <w:t>OSAM/HAP</w:t>
      </w: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Pr>
        <w:spacing w:after="0" w:line="360" w:lineRule="auto"/>
        <w:jc w:val="both"/>
        <w:rPr>
          <w:rFonts w:ascii="Palatino Linotype" w:hAnsi="Palatino Linotype" w:cs="Arial"/>
          <w:sz w:val="24"/>
          <w:szCs w:val="24"/>
        </w:rPr>
      </w:pPr>
    </w:p>
    <w:p w:rsidR="002955D9" w:rsidRDefault="002955D9" w:rsidP="002955D9"/>
    <w:p w:rsidR="002955D9" w:rsidRDefault="002955D9" w:rsidP="002955D9"/>
    <w:p w:rsidR="00EF5006" w:rsidRDefault="003E5DE9"/>
    <w:sectPr w:rsidR="00EF5006" w:rsidSect="00887A0B">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DE9" w:rsidRDefault="003E5DE9" w:rsidP="002955D9">
      <w:pPr>
        <w:spacing w:after="0" w:line="240" w:lineRule="auto"/>
      </w:pPr>
      <w:r>
        <w:separator/>
      </w:r>
    </w:p>
  </w:endnote>
  <w:endnote w:type="continuationSeparator" w:id="0">
    <w:p w:rsidR="003E5DE9" w:rsidRDefault="003E5DE9" w:rsidP="0029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87A0B" w:rsidRPr="002D6DD8" w:rsidRDefault="00C0524F"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76E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76E0">
              <w:rPr>
                <w:rFonts w:ascii="Palatino Linotype" w:hAnsi="Palatino Linotype"/>
                <w:bCs/>
                <w:noProof/>
                <w:sz w:val="20"/>
              </w:rPr>
              <w:t>22</w:t>
            </w:r>
            <w:r>
              <w:rPr>
                <w:rFonts w:ascii="Palatino Linotype" w:hAnsi="Palatino Linotype"/>
                <w:bCs/>
                <w:noProof/>
                <w:sz w:val="20"/>
              </w:rPr>
              <w:fldChar w:fldCharType="end"/>
            </w:r>
          </w:p>
        </w:sdtContent>
      </w:sdt>
    </w:sdtContent>
  </w:sdt>
  <w:p w:rsidR="00887A0B" w:rsidRDefault="003E5D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0B" w:rsidRPr="000B69FA" w:rsidRDefault="00C0524F" w:rsidP="00887A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76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76E0">
      <w:rPr>
        <w:rFonts w:ascii="Palatino Linotype" w:hAnsi="Palatino Linotype"/>
        <w:bCs/>
        <w:noProof/>
        <w:sz w:val="20"/>
      </w:rPr>
      <w:t>22</w:t>
    </w:r>
    <w:r>
      <w:rPr>
        <w:rFonts w:ascii="Palatino Linotype" w:hAnsi="Palatino Linotype"/>
        <w:bCs/>
        <w:noProof/>
        <w:sz w:val="20"/>
      </w:rPr>
      <w:fldChar w:fldCharType="end"/>
    </w:r>
  </w:p>
  <w:p w:rsidR="00887A0B" w:rsidRDefault="003E5D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DE9" w:rsidRDefault="003E5DE9" w:rsidP="002955D9">
      <w:pPr>
        <w:spacing w:after="0" w:line="240" w:lineRule="auto"/>
      </w:pPr>
      <w:r>
        <w:separator/>
      </w:r>
    </w:p>
  </w:footnote>
  <w:footnote w:type="continuationSeparator" w:id="0">
    <w:p w:rsidR="003E5DE9" w:rsidRDefault="003E5DE9" w:rsidP="002955D9">
      <w:pPr>
        <w:spacing w:after="0" w:line="240" w:lineRule="auto"/>
      </w:pPr>
      <w:r>
        <w:continuationSeparator/>
      </w:r>
    </w:p>
  </w:footnote>
  <w:footnote w:id="1">
    <w:p w:rsidR="002955D9" w:rsidRDefault="002955D9" w:rsidP="002955D9">
      <w:pPr>
        <w:pStyle w:val="Textonotapie"/>
        <w:jc w:val="both"/>
      </w:pPr>
      <w:r>
        <w:rPr>
          <w:rStyle w:val="Refdenotaalpie"/>
        </w:rPr>
        <w:footnoteRef/>
      </w:r>
      <w:r>
        <w:t xml:space="preserve"> </w:t>
      </w:r>
      <w:r w:rsidRPr="00C4451D">
        <w:rPr>
          <w:rFonts w:ascii="Palatino Linotype" w:hAnsi="Palatino Linotype"/>
        </w:rPr>
        <w:t>El recurso de revisión fue interpuesto el día sábado 13 (trece) de marzo de 2021 (dos mil veintiuno), sin embargo al ser interpuesto en día y hora inhábil, se tuvo por interpuesto al día hábil siguiente.</w:t>
      </w:r>
    </w:p>
  </w:footnote>
  <w:footnote w:id="2">
    <w:p w:rsidR="002955D9" w:rsidRPr="00946E1F" w:rsidRDefault="002955D9" w:rsidP="002955D9">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615" w:rsidRDefault="003E5DE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83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380"/>
      <w:gridCol w:w="3543"/>
    </w:tblGrid>
    <w:tr w:rsidR="00887A0B" w:rsidTr="00154615">
      <w:trPr>
        <w:trHeight w:val="227"/>
      </w:trPr>
      <w:tc>
        <w:tcPr>
          <w:tcW w:w="6380" w:type="dxa"/>
          <w:hideMark/>
        </w:tcPr>
        <w:p w:rsidR="00887A0B" w:rsidRPr="00B25463" w:rsidRDefault="00C0524F"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3543" w:type="dxa"/>
          <w:hideMark/>
        </w:tcPr>
        <w:p w:rsidR="00887A0B" w:rsidRPr="00B25463" w:rsidRDefault="00C0524F" w:rsidP="002955D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11</w:t>
          </w:r>
          <w:r w:rsidR="002955D9">
            <w:rPr>
              <w:rFonts w:ascii="Palatino Linotype" w:hAnsi="Palatino Linotype" w:cs="Arial"/>
              <w:b/>
              <w:bCs/>
              <w:sz w:val="24"/>
              <w:lang w:eastAsia="es-MX"/>
            </w:rPr>
            <w:t>10</w:t>
          </w:r>
          <w:r>
            <w:rPr>
              <w:rFonts w:ascii="Palatino Linotype" w:hAnsi="Palatino Linotype" w:cs="Arial"/>
              <w:b/>
              <w:bCs/>
              <w:sz w:val="24"/>
              <w:lang w:eastAsia="es-MX"/>
            </w:rPr>
            <w:t>/INFOEM/IP/RR/2021</w:t>
          </w:r>
        </w:p>
      </w:tc>
    </w:tr>
    <w:tr w:rsidR="00887A0B" w:rsidTr="00154615">
      <w:trPr>
        <w:trHeight w:val="242"/>
      </w:trPr>
      <w:tc>
        <w:tcPr>
          <w:tcW w:w="6380" w:type="dxa"/>
          <w:hideMark/>
        </w:tcPr>
        <w:p w:rsidR="00887A0B" w:rsidRPr="00B25463" w:rsidRDefault="00C0524F" w:rsidP="00887A0B">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3543" w:type="dxa"/>
          <w:hideMark/>
        </w:tcPr>
        <w:p w:rsidR="00887A0B" w:rsidRPr="00B25463" w:rsidRDefault="002955D9" w:rsidP="00887A0B">
          <w:pPr>
            <w:spacing w:after="120" w:line="256" w:lineRule="auto"/>
            <w:ind w:left="-486" w:right="214" w:firstLine="284"/>
            <w:jc w:val="right"/>
            <w:rPr>
              <w:rFonts w:ascii="Palatino Linotype" w:hAnsi="Palatino Linotype" w:cs="Arial"/>
              <w:b/>
              <w:szCs w:val="20"/>
            </w:rPr>
          </w:pPr>
          <w:r w:rsidRPr="002955D9">
            <w:rPr>
              <w:rFonts w:ascii="Palatino Linotype" w:hAnsi="Palatino Linotype" w:cs="Arial"/>
              <w:b/>
              <w:szCs w:val="20"/>
            </w:rPr>
            <w:t>Ayuntamiento de Ixtapaluca</w:t>
          </w:r>
        </w:p>
      </w:tc>
    </w:tr>
    <w:tr w:rsidR="00887A0B" w:rsidTr="00154615">
      <w:trPr>
        <w:trHeight w:val="342"/>
      </w:trPr>
      <w:tc>
        <w:tcPr>
          <w:tcW w:w="6380" w:type="dxa"/>
          <w:hideMark/>
        </w:tcPr>
        <w:p w:rsidR="00887A0B" w:rsidRPr="00B25463" w:rsidRDefault="00C0524F" w:rsidP="00887A0B">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3543" w:type="dxa"/>
          <w:hideMark/>
        </w:tcPr>
        <w:p w:rsidR="00887A0B" w:rsidRPr="00B25463" w:rsidRDefault="00C0524F"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AE046A" w:rsidRDefault="003E5DE9" w:rsidP="00887A0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83642" o:spid="_x0000_s2051" type="#_x0000_t75" style="position:absolute;margin-left:-82.3pt;margin-top:-105.9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238"/>
      <w:gridCol w:w="3685"/>
    </w:tblGrid>
    <w:tr w:rsidR="00887A0B" w:rsidTr="00154615">
      <w:trPr>
        <w:trHeight w:val="227"/>
      </w:trPr>
      <w:tc>
        <w:tcPr>
          <w:tcW w:w="6238" w:type="dxa"/>
          <w:hideMark/>
        </w:tcPr>
        <w:p w:rsidR="00887A0B" w:rsidRPr="008A4239" w:rsidRDefault="00C0524F"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3685" w:type="dxa"/>
          <w:hideMark/>
        </w:tcPr>
        <w:p w:rsidR="00887A0B" w:rsidRPr="00B25463" w:rsidRDefault="00C0524F" w:rsidP="002955D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11</w:t>
          </w:r>
          <w:r w:rsidR="002955D9">
            <w:rPr>
              <w:rFonts w:ascii="Palatino Linotype" w:hAnsi="Palatino Linotype" w:cs="Arial"/>
              <w:b/>
              <w:bCs/>
              <w:sz w:val="24"/>
              <w:lang w:eastAsia="es-MX"/>
            </w:rPr>
            <w:t>10</w:t>
          </w:r>
          <w:r>
            <w:rPr>
              <w:rFonts w:ascii="Palatino Linotype" w:hAnsi="Palatino Linotype" w:cs="Arial"/>
              <w:b/>
              <w:bCs/>
              <w:sz w:val="24"/>
              <w:lang w:eastAsia="es-MX"/>
            </w:rPr>
            <w:t>/INFOEM/IP/RR/2021</w:t>
          </w:r>
        </w:p>
      </w:tc>
    </w:tr>
    <w:tr w:rsidR="00887A0B" w:rsidTr="00154615">
      <w:trPr>
        <w:trHeight w:val="242"/>
      </w:trPr>
      <w:tc>
        <w:tcPr>
          <w:tcW w:w="6238" w:type="dxa"/>
          <w:hideMark/>
        </w:tcPr>
        <w:p w:rsidR="00887A0B" w:rsidRPr="008A4239" w:rsidRDefault="00C0524F" w:rsidP="00887A0B">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3685" w:type="dxa"/>
          <w:hideMark/>
        </w:tcPr>
        <w:p w:rsidR="00887A0B" w:rsidRPr="00B25463" w:rsidRDefault="002955D9" w:rsidP="00887A0B">
          <w:pPr>
            <w:spacing w:after="120" w:line="256" w:lineRule="auto"/>
            <w:ind w:left="-486" w:right="214" w:firstLine="284"/>
            <w:jc w:val="right"/>
            <w:rPr>
              <w:rFonts w:ascii="Palatino Linotype" w:hAnsi="Palatino Linotype" w:cs="Arial"/>
              <w:b/>
              <w:szCs w:val="20"/>
            </w:rPr>
          </w:pPr>
          <w:r w:rsidRPr="002955D9">
            <w:rPr>
              <w:rFonts w:ascii="Palatino Linotype" w:hAnsi="Palatino Linotype" w:cs="Arial"/>
              <w:b/>
              <w:szCs w:val="20"/>
            </w:rPr>
            <w:t>Ayuntamiento de Ixtapaluca</w:t>
          </w:r>
        </w:p>
      </w:tc>
    </w:tr>
    <w:tr w:rsidR="00887A0B" w:rsidTr="00154615">
      <w:trPr>
        <w:trHeight w:val="342"/>
      </w:trPr>
      <w:tc>
        <w:tcPr>
          <w:tcW w:w="6238" w:type="dxa"/>
        </w:tcPr>
        <w:p w:rsidR="00887A0B" w:rsidRPr="008A4239" w:rsidRDefault="00C0524F"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3685" w:type="dxa"/>
        </w:tcPr>
        <w:p w:rsidR="00887A0B" w:rsidRPr="00B25463" w:rsidRDefault="003276E0" w:rsidP="00887A0B">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w:t>
          </w:r>
          <w:proofErr w:type="spellEnd"/>
        </w:p>
      </w:tc>
    </w:tr>
    <w:tr w:rsidR="00887A0B" w:rsidTr="00154615">
      <w:trPr>
        <w:trHeight w:val="342"/>
      </w:trPr>
      <w:tc>
        <w:tcPr>
          <w:tcW w:w="6238" w:type="dxa"/>
        </w:tcPr>
        <w:p w:rsidR="00887A0B" w:rsidRPr="008A4239" w:rsidRDefault="00C0524F" w:rsidP="00887A0B">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3685" w:type="dxa"/>
        </w:tcPr>
        <w:p w:rsidR="00887A0B" w:rsidRPr="00B25463" w:rsidRDefault="00C0524F" w:rsidP="00887A0B">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887A0B" w:rsidRPr="00C222C0" w:rsidRDefault="003E5DE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83640" o:spid="_x0000_s2049" type="#_x0000_t75" style="position:absolute;margin-left:-82.3pt;margin-top:-125.7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4A2D32"/>
    <w:multiLevelType w:val="hybridMultilevel"/>
    <w:tmpl w:val="2E1AF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D9"/>
    <w:rsid w:val="00036F8B"/>
    <w:rsid w:val="00123996"/>
    <w:rsid w:val="00154615"/>
    <w:rsid w:val="002955D9"/>
    <w:rsid w:val="003276E0"/>
    <w:rsid w:val="003E5DE9"/>
    <w:rsid w:val="004037F9"/>
    <w:rsid w:val="00795BBB"/>
    <w:rsid w:val="00A471C9"/>
    <w:rsid w:val="00C0524F"/>
    <w:rsid w:val="00C373A5"/>
    <w:rsid w:val="00CD097A"/>
    <w:rsid w:val="00D81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869E038-19FF-473D-A1A5-249E711C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5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5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955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955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955D9"/>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955D9"/>
    <w:rPr>
      <w:vertAlign w:val="superscript"/>
    </w:rPr>
  </w:style>
  <w:style w:type="character" w:styleId="Hipervnculo">
    <w:name w:val="Hyperlink"/>
    <w:basedOn w:val="Fuentedeprrafopredeter"/>
    <w:uiPriority w:val="99"/>
    <w:unhideWhenUsed/>
    <w:rsid w:val="002955D9"/>
    <w:rPr>
      <w:color w:val="0563C1" w:themeColor="hyperlink"/>
      <w:u w:val="single"/>
    </w:rPr>
  </w:style>
  <w:style w:type="character" w:customStyle="1" w:styleId="apple-converted-space">
    <w:name w:val="apple-converted-space"/>
    <w:basedOn w:val="Fuentedeprrafopredeter"/>
    <w:rsid w:val="002955D9"/>
  </w:style>
  <w:style w:type="paragraph" w:styleId="Prrafodelista">
    <w:name w:val="List Paragraph"/>
    <w:basedOn w:val="Normal"/>
    <w:uiPriority w:val="34"/>
    <w:qFormat/>
    <w:rsid w:val="002955D9"/>
    <w:pPr>
      <w:ind w:left="720"/>
      <w:contextualSpacing/>
    </w:pPr>
  </w:style>
  <w:style w:type="paragraph" w:styleId="Textonotapie">
    <w:name w:val="footnote text"/>
    <w:basedOn w:val="Normal"/>
    <w:link w:val="TextonotapieCar"/>
    <w:uiPriority w:val="99"/>
    <w:semiHidden/>
    <w:unhideWhenUsed/>
    <w:rsid w:val="002955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5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22</Pages>
  <Words>5208</Words>
  <Characters>28646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2021-04-22T21:10:00Z</dcterms:created>
  <dcterms:modified xsi:type="dcterms:W3CDTF">2021-05-12T21:23:00Z</dcterms:modified>
</cp:coreProperties>
</file>