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sdt>
      <w:sdtPr>
        <w:rPr>
          <w:rFonts w:asciiTheme="minorHAnsi" w:eastAsiaTheme="minorHAnsi" w:hAnsiTheme="minorHAnsi" w:cstheme="minorBidi"/>
          <w:color w:val="auto"/>
          <w:sz w:val="22"/>
          <w:szCs w:val="22"/>
          <w:lang w:val="es-ES" w:eastAsia="en-US"/>
        </w:rPr>
        <w:id w:val="-538283582"/>
        <w:docPartObj>
          <w:docPartGallery w:val="Table of Contents"/>
          <w:docPartUnique/>
        </w:docPartObj>
      </w:sdtPr>
      <w:sdtEndPr>
        <w:rPr>
          <w:b/>
          <w:bCs/>
        </w:rPr>
      </w:sdtEndPr>
      <w:sdtContent>
        <w:p w:rsidR="003D211E" w:rsidRDefault="003D211E">
          <w:pPr>
            <w:pStyle w:val="TtulodeTDC"/>
          </w:pPr>
        </w:p>
        <w:p w:rsidR="003D211E" w:rsidRDefault="003D211E" w:rsidP="003D211E">
          <w:pPr>
            <w:pStyle w:val="TDC1"/>
            <w:rPr>
              <w:noProof/>
            </w:rPr>
          </w:pPr>
          <w:r>
            <w:rPr>
              <w:b/>
              <w:bCs/>
              <w:lang w:val="es-ES"/>
            </w:rPr>
            <w:fldChar w:fldCharType="begin"/>
          </w:r>
          <w:r>
            <w:rPr>
              <w:b/>
              <w:bCs/>
              <w:lang w:val="es-ES"/>
            </w:rPr>
            <w:instrText xml:space="preserve"> TOC \o "1-3" \h \z \u </w:instrText>
          </w:r>
          <w:r>
            <w:rPr>
              <w:b/>
              <w:bCs/>
              <w:lang w:val="es-ES"/>
            </w:rPr>
            <w:fldChar w:fldCharType="separate"/>
          </w:r>
          <w:hyperlink w:anchor="_Toc80819659" w:history="1">
            <w:r w:rsidRPr="00B8720C">
              <w:rPr>
                <w:rStyle w:val="Hipervnculo"/>
                <w:rFonts w:ascii="Palatino Linotype" w:hAnsi="Palatino Linotype" w:cs="Arial"/>
                <w:b/>
                <w:noProof/>
              </w:rPr>
              <w:t>A N T E C E D E N T E S</w:t>
            </w:r>
            <w:r>
              <w:rPr>
                <w:noProof/>
                <w:webHidden/>
              </w:rPr>
              <w:tab/>
            </w:r>
            <w:r>
              <w:rPr>
                <w:noProof/>
                <w:webHidden/>
              </w:rPr>
              <w:fldChar w:fldCharType="begin"/>
            </w:r>
            <w:r>
              <w:rPr>
                <w:noProof/>
                <w:webHidden/>
              </w:rPr>
              <w:instrText xml:space="preserve"> PAGEREF _Toc80819659 \h </w:instrText>
            </w:r>
            <w:r>
              <w:rPr>
                <w:noProof/>
                <w:webHidden/>
              </w:rPr>
            </w:r>
            <w:r>
              <w:rPr>
                <w:noProof/>
                <w:webHidden/>
              </w:rPr>
              <w:fldChar w:fldCharType="separate"/>
            </w:r>
            <w:r>
              <w:rPr>
                <w:noProof/>
                <w:webHidden/>
              </w:rPr>
              <w:t>1</w:t>
            </w:r>
            <w:r>
              <w:rPr>
                <w:noProof/>
                <w:webHidden/>
              </w:rPr>
              <w:fldChar w:fldCharType="end"/>
            </w:r>
          </w:hyperlink>
        </w:p>
        <w:p w:rsidR="003D211E" w:rsidRDefault="00AC45B8" w:rsidP="003D211E">
          <w:pPr>
            <w:pStyle w:val="TDC1"/>
            <w:rPr>
              <w:noProof/>
            </w:rPr>
          </w:pPr>
          <w:hyperlink w:anchor="_Toc80819660" w:history="1">
            <w:r w:rsidR="003D211E" w:rsidRPr="00B8720C">
              <w:rPr>
                <w:rStyle w:val="Hipervnculo"/>
                <w:rFonts w:ascii="Palatino Linotype" w:hAnsi="Palatino Linotype" w:cs="Arial"/>
                <w:b/>
                <w:noProof/>
              </w:rPr>
              <w:t>C O N S I D E R A N D O</w:t>
            </w:r>
            <w:r w:rsidR="003D211E">
              <w:rPr>
                <w:noProof/>
                <w:webHidden/>
              </w:rPr>
              <w:tab/>
            </w:r>
            <w:r w:rsidR="003D211E">
              <w:rPr>
                <w:noProof/>
                <w:webHidden/>
              </w:rPr>
              <w:fldChar w:fldCharType="begin"/>
            </w:r>
            <w:r w:rsidR="003D211E">
              <w:rPr>
                <w:noProof/>
                <w:webHidden/>
              </w:rPr>
              <w:instrText xml:space="preserve"> PAGEREF _Toc80819660 \h </w:instrText>
            </w:r>
            <w:r w:rsidR="003D211E">
              <w:rPr>
                <w:noProof/>
                <w:webHidden/>
              </w:rPr>
            </w:r>
            <w:r w:rsidR="003D211E">
              <w:rPr>
                <w:noProof/>
                <w:webHidden/>
              </w:rPr>
              <w:fldChar w:fldCharType="separate"/>
            </w:r>
            <w:r w:rsidR="003D211E">
              <w:rPr>
                <w:noProof/>
                <w:webHidden/>
              </w:rPr>
              <w:t>4</w:t>
            </w:r>
            <w:r w:rsidR="003D211E">
              <w:rPr>
                <w:noProof/>
                <w:webHidden/>
              </w:rPr>
              <w:fldChar w:fldCharType="end"/>
            </w:r>
          </w:hyperlink>
        </w:p>
        <w:p w:rsidR="003D211E" w:rsidRDefault="00AC45B8" w:rsidP="003D211E">
          <w:pPr>
            <w:pStyle w:val="TDC1"/>
            <w:rPr>
              <w:noProof/>
            </w:rPr>
          </w:pPr>
          <w:hyperlink w:anchor="_Toc80819661" w:history="1">
            <w:r w:rsidR="003D211E" w:rsidRPr="00B8720C">
              <w:rPr>
                <w:rStyle w:val="Hipervnculo"/>
                <w:rFonts w:ascii="Palatino Linotype" w:hAnsi="Palatino Linotype" w:cs="Arial"/>
                <w:b/>
                <w:noProof/>
              </w:rPr>
              <w:t>PRIMERO. De la competencia</w:t>
            </w:r>
            <w:r w:rsidR="003D211E" w:rsidRPr="00B8720C">
              <w:rPr>
                <w:rStyle w:val="Hipervnculo"/>
                <w:rFonts w:ascii="Palatino Linotype" w:hAnsi="Palatino Linotype" w:cs="Arial"/>
                <w:noProof/>
              </w:rPr>
              <w:t>.</w:t>
            </w:r>
            <w:r w:rsidR="003D211E">
              <w:rPr>
                <w:noProof/>
                <w:webHidden/>
              </w:rPr>
              <w:tab/>
            </w:r>
            <w:r w:rsidR="003D211E">
              <w:rPr>
                <w:noProof/>
                <w:webHidden/>
              </w:rPr>
              <w:fldChar w:fldCharType="begin"/>
            </w:r>
            <w:r w:rsidR="003D211E">
              <w:rPr>
                <w:noProof/>
                <w:webHidden/>
              </w:rPr>
              <w:instrText xml:space="preserve"> PAGEREF _Toc80819661 \h </w:instrText>
            </w:r>
            <w:r w:rsidR="003D211E">
              <w:rPr>
                <w:noProof/>
                <w:webHidden/>
              </w:rPr>
            </w:r>
            <w:r w:rsidR="003D211E">
              <w:rPr>
                <w:noProof/>
                <w:webHidden/>
              </w:rPr>
              <w:fldChar w:fldCharType="separate"/>
            </w:r>
            <w:r w:rsidR="003D211E">
              <w:rPr>
                <w:noProof/>
                <w:webHidden/>
              </w:rPr>
              <w:t>4</w:t>
            </w:r>
            <w:r w:rsidR="003D211E">
              <w:rPr>
                <w:noProof/>
                <w:webHidden/>
              </w:rPr>
              <w:fldChar w:fldCharType="end"/>
            </w:r>
          </w:hyperlink>
        </w:p>
        <w:p w:rsidR="003D211E" w:rsidRDefault="00AC45B8" w:rsidP="003D211E">
          <w:pPr>
            <w:pStyle w:val="TDC1"/>
            <w:rPr>
              <w:noProof/>
            </w:rPr>
          </w:pPr>
          <w:hyperlink w:anchor="_Toc80819662" w:history="1">
            <w:r w:rsidR="003D211E" w:rsidRPr="00B8720C">
              <w:rPr>
                <w:rStyle w:val="Hipervnculo"/>
                <w:rFonts w:ascii="Palatino Linotype" w:hAnsi="Palatino Linotype" w:cs="Arial"/>
                <w:b/>
                <w:noProof/>
              </w:rPr>
              <w:t>SEGUNDO. De la oportunidad y procedencia.</w:t>
            </w:r>
            <w:r w:rsidR="003D211E">
              <w:rPr>
                <w:noProof/>
                <w:webHidden/>
              </w:rPr>
              <w:tab/>
            </w:r>
            <w:r w:rsidR="003D211E">
              <w:rPr>
                <w:noProof/>
                <w:webHidden/>
              </w:rPr>
              <w:fldChar w:fldCharType="begin"/>
            </w:r>
            <w:r w:rsidR="003D211E">
              <w:rPr>
                <w:noProof/>
                <w:webHidden/>
              </w:rPr>
              <w:instrText xml:space="preserve"> PAGEREF _Toc80819662 \h </w:instrText>
            </w:r>
            <w:r w:rsidR="003D211E">
              <w:rPr>
                <w:noProof/>
                <w:webHidden/>
              </w:rPr>
            </w:r>
            <w:r w:rsidR="003D211E">
              <w:rPr>
                <w:noProof/>
                <w:webHidden/>
              </w:rPr>
              <w:fldChar w:fldCharType="separate"/>
            </w:r>
            <w:r w:rsidR="003D211E">
              <w:rPr>
                <w:noProof/>
                <w:webHidden/>
              </w:rPr>
              <w:t>5</w:t>
            </w:r>
            <w:r w:rsidR="003D211E">
              <w:rPr>
                <w:noProof/>
                <w:webHidden/>
              </w:rPr>
              <w:fldChar w:fldCharType="end"/>
            </w:r>
          </w:hyperlink>
        </w:p>
        <w:p w:rsidR="003D211E" w:rsidRDefault="00AC45B8" w:rsidP="003D211E">
          <w:pPr>
            <w:pStyle w:val="TDC1"/>
            <w:rPr>
              <w:noProof/>
            </w:rPr>
          </w:pPr>
          <w:hyperlink w:anchor="_Toc80819663" w:history="1">
            <w:r w:rsidR="003D211E" w:rsidRPr="00B8720C">
              <w:rPr>
                <w:rStyle w:val="Hipervnculo"/>
                <w:rFonts w:ascii="Palatino Linotype" w:eastAsia="Calibri" w:hAnsi="Palatino Linotype" w:cs="Arial"/>
                <w:b/>
                <w:i/>
                <w:noProof/>
                <w:lang w:val="es-ES" w:eastAsia="es-ES"/>
              </w:rPr>
              <w:t>a.</w:t>
            </w:r>
            <w:r w:rsidR="003D211E">
              <w:rPr>
                <w:noProof/>
              </w:rPr>
              <w:tab/>
            </w:r>
            <w:r w:rsidR="003D211E" w:rsidRPr="00B8720C">
              <w:rPr>
                <w:rStyle w:val="Hipervnculo"/>
                <w:rFonts w:ascii="Palatino Linotype" w:eastAsia="Calibri" w:hAnsi="Palatino Linotype" w:cs="Arial"/>
                <w:b/>
                <w:i/>
                <w:noProof/>
              </w:rPr>
              <w:t>De la falta del solicitante de proporcionar nombre para ser identificado</w:t>
            </w:r>
            <w:r w:rsidR="003D211E">
              <w:rPr>
                <w:noProof/>
                <w:webHidden/>
              </w:rPr>
              <w:tab/>
            </w:r>
            <w:r w:rsidR="003D211E">
              <w:rPr>
                <w:noProof/>
                <w:webHidden/>
              </w:rPr>
              <w:fldChar w:fldCharType="begin"/>
            </w:r>
            <w:r w:rsidR="003D211E">
              <w:rPr>
                <w:noProof/>
                <w:webHidden/>
              </w:rPr>
              <w:instrText xml:space="preserve"> PAGEREF _Toc80819663 \h </w:instrText>
            </w:r>
            <w:r w:rsidR="003D211E">
              <w:rPr>
                <w:noProof/>
                <w:webHidden/>
              </w:rPr>
            </w:r>
            <w:r w:rsidR="003D211E">
              <w:rPr>
                <w:noProof/>
                <w:webHidden/>
              </w:rPr>
              <w:fldChar w:fldCharType="separate"/>
            </w:r>
            <w:r w:rsidR="003D211E">
              <w:rPr>
                <w:noProof/>
                <w:webHidden/>
              </w:rPr>
              <w:t>6</w:t>
            </w:r>
            <w:r w:rsidR="003D211E">
              <w:rPr>
                <w:noProof/>
                <w:webHidden/>
              </w:rPr>
              <w:fldChar w:fldCharType="end"/>
            </w:r>
          </w:hyperlink>
        </w:p>
        <w:p w:rsidR="003D211E" w:rsidRDefault="00AC45B8" w:rsidP="003D211E">
          <w:pPr>
            <w:pStyle w:val="TDC1"/>
            <w:rPr>
              <w:noProof/>
            </w:rPr>
          </w:pPr>
          <w:hyperlink w:anchor="_Toc80819664" w:history="1">
            <w:r w:rsidR="003D211E" w:rsidRPr="00B8720C">
              <w:rPr>
                <w:rStyle w:val="Hipervnculo"/>
                <w:rFonts w:ascii="Palatino Linotype" w:hAnsi="Palatino Linotype" w:cs="Arial"/>
                <w:b/>
                <w:i/>
                <w:noProof/>
              </w:rPr>
              <w:t>b.</w:t>
            </w:r>
            <w:r w:rsidR="003D211E">
              <w:rPr>
                <w:noProof/>
              </w:rPr>
              <w:tab/>
            </w:r>
            <w:r w:rsidR="003D211E" w:rsidRPr="00B8720C">
              <w:rPr>
                <w:rStyle w:val="Hipervnculo"/>
                <w:rFonts w:ascii="Palatino Linotype" w:hAnsi="Palatino Linotype"/>
                <w:b/>
                <w:i/>
                <w:noProof/>
              </w:rPr>
              <w:t>De la extemporaneidad del medio de impugnación.</w:t>
            </w:r>
            <w:r w:rsidR="003D211E">
              <w:rPr>
                <w:noProof/>
                <w:webHidden/>
              </w:rPr>
              <w:tab/>
            </w:r>
            <w:r w:rsidR="003D211E">
              <w:rPr>
                <w:noProof/>
                <w:webHidden/>
              </w:rPr>
              <w:fldChar w:fldCharType="begin"/>
            </w:r>
            <w:r w:rsidR="003D211E">
              <w:rPr>
                <w:noProof/>
                <w:webHidden/>
              </w:rPr>
              <w:instrText xml:space="preserve"> PAGEREF _Toc80819664 \h </w:instrText>
            </w:r>
            <w:r w:rsidR="003D211E">
              <w:rPr>
                <w:noProof/>
                <w:webHidden/>
              </w:rPr>
            </w:r>
            <w:r w:rsidR="003D211E">
              <w:rPr>
                <w:noProof/>
                <w:webHidden/>
              </w:rPr>
              <w:fldChar w:fldCharType="separate"/>
            </w:r>
            <w:r w:rsidR="003D211E">
              <w:rPr>
                <w:noProof/>
                <w:webHidden/>
              </w:rPr>
              <w:t>8</w:t>
            </w:r>
            <w:r w:rsidR="003D211E">
              <w:rPr>
                <w:noProof/>
                <w:webHidden/>
              </w:rPr>
              <w:fldChar w:fldCharType="end"/>
            </w:r>
          </w:hyperlink>
        </w:p>
        <w:p w:rsidR="003D211E" w:rsidRDefault="00AC45B8" w:rsidP="003D211E">
          <w:pPr>
            <w:pStyle w:val="TDC1"/>
            <w:rPr>
              <w:noProof/>
            </w:rPr>
          </w:pPr>
          <w:hyperlink w:anchor="_Toc80819665" w:history="1">
            <w:r w:rsidR="003D211E" w:rsidRPr="00B8720C">
              <w:rPr>
                <w:rStyle w:val="Hipervnculo"/>
                <w:rFonts w:ascii="Palatino Linotype" w:eastAsia="MS Mincho" w:hAnsi="Palatino Linotype"/>
                <w:b/>
                <w:noProof/>
                <w:lang w:val="es-ES_tradnl" w:eastAsia="es-ES"/>
              </w:rPr>
              <w:t>TERCERO. Previo especial pronunciamiento</w:t>
            </w:r>
            <w:r w:rsidR="003D211E">
              <w:rPr>
                <w:noProof/>
                <w:webHidden/>
              </w:rPr>
              <w:tab/>
            </w:r>
            <w:r w:rsidR="003D211E">
              <w:rPr>
                <w:noProof/>
                <w:webHidden/>
              </w:rPr>
              <w:fldChar w:fldCharType="begin"/>
            </w:r>
            <w:r w:rsidR="003D211E">
              <w:rPr>
                <w:noProof/>
                <w:webHidden/>
              </w:rPr>
              <w:instrText xml:space="preserve"> PAGEREF _Toc80819665 \h </w:instrText>
            </w:r>
            <w:r w:rsidR="003D211E">
              <w:rPr>
                <w:noProof/>
                <w:webHidden/>
              </w:rPr>
            </w:r>
            <w:r w:rsidR="003D211E">
              <w:rPr>
                <w:noProof/>
                <w:webHidden/>
              </w:rPr>
              <w:fldChar w:fldCharType="separate"/>
            </w:r>
            <w:r w:rsidR="003D211E">
              <w:rPr>
                <w:noProof/>
                <w:webHidden/>
              </w:rPr>
              <w:t>11</w:t>
            </w:r>
            <w:r w:rsidR="003D211E">
              <w:rPr>
                <w:noProof/>
                <w:webHidden/>
              </w:rPr>
              <w:fldChar w:fldCharType="end"/>
            </w:r>
          </w:hyperlink>
        </w:p>
        <w:p w:rsidR="003D211E" w:rsidRDefault="00AC45B8" w:rsidP="003D211E">
          <w:pPr>
            <w:pStyle w:val="TDC1"/>
            <w:rPr>
              <w:noProof/>
            </w:rPr>
          </w:pPr>
          <w:hyperlink w:anchor="_Toc80819666" w:history="1">
            <w:r w:rsidR="003D211E" w:rsidRPr="00B8720C">
              <w:rPr>
                <w:rStyle w:val="Hipervnculo"/>
                <w:rFonts w:ascii="Palatino Linotype" w:eastAsia="MS Mincho" w:hAnsi="Palatino Linotype" w:cs="Times New Roman"/>
                <w:b/>
                <w:i/>
                <w:noProof/>
                <w:lang w:eastAsia="es-ES"/>
              </w:rPr>
              <w:t>A.</w:t>
            </w:r>
            <w:r w:rsidR="003D211E">
              <w:rPr>
                <w:noProof/>
              </w:rPr>
              <w:tab/>
            </w:r>
            <w:r w:rsidR="003D211E" w:rsidRPr="00B8720C">
              <w:rPr>
                <w:rStyle w:val="Hipervnculo"/>
                <w:rFonts w:ascii="Palatino Linotype" w:eastAsia="MS Mincho" w:hAnsi="Palatino Linotype" w:cs="Times New Roman"/>
                <w:b/>
                <w:i/>
                <w:noProof/>
                <w:lang w:val="es-ES" w:eastAsia="es-ES"/>
              </w:rPr>
              <w:t>De la suspensión de plazos derivado del SARS-Cov-2-COVID-19</w:t>
            </w:r>
            <w:r w:rsidR="003D211E">
              <w:rPr>
                <w:noProof/>
                <w:webHidden/>
              </w:rPr>
              <w:tab/>
            </w:r>
            <w:r w:rsidR="003D211E">
              <w:rPr>
                <w:noProof/>
                <w:webHidden/>
              </w:rPr>
              <w:fldChar w:fldCharType="begin"/>
            </w:r>
            <w:r w:rsidR="003D211E">
              <w:rPr>
                <w:noProof/>
                <w:webHidden/>
              </w:rPr>
              <w:instrText xml:space="preserve"> PAGEREF _Toc80819666 \h </w:instrText>
            </w:r>
            <w:r w:rsidR="003D211E">
              <w:rPr>
                <w:noProof/>
                <w:webHidden/>
              </w:rPr>
            </w:r>
            <w:r w:rsidR="003D211E">
              <w:rPr>
                <w:noProof/>
                <w:webHidden/>
              </w:rPr>
              <w:fldChar w:fldCharType="separate"/>
            </w:r>
            <w:r w:rsidR="003D211E">
              <w:rPr>
                <w:noProof/>
                <w:webHidden/>
              </w:rPr>
              <w:t>11</w:t>
            </w:r>
            <w:r w:rsidR="003D211E">
              <w:rPr>
                <w:noProof/>
                <w:webHidden/>
              </w:rPr>
              <w:fldChar w:fldCharType="end"/>
            </w:r>
          </w:hyperlink>
        </w:p>
        <w:p w:rsidR="003D211E" w:rsidRDefault="00AC45B8" w:rsidP="003D211E">
          <w:pPr>
            <w:pStyle w:val="TDC1"/>
            <w:rPr>
              <w:noProof/>
            </w:rPr>
          </w:pPr>
          <w:hyperlink w:anchor="_Toc80819667" w:history="1">
            <w:r w:rsidR="003D211E" w:rsidRPr="00B8720C">
              <w:rPr>
                <w:rStyle w:val="Hipervnculo"/>
                <w:rFonts w:ascii="Palatino Linotype" w:eastAsia="Calibri" w:hAnsi="Palatino Linotype" w:cs="Arial"/>
                <w:b/>
                <w:i/>
                <w:noProof/>
                <w:lang w:eastAsia="es-ES"/>
              </w:rPr>
              <w:t>B.</w:t>
            </w:r>
            <w:r w:rsidR="003D211E">
              <w:rPr>
                <w:noProof/>
              </w:rPr>
              <w:tab/>
            </w:r>
            <w:r w:rsidR="003D211E" w:rsidRPr="00B8720C">
              <w:rPr>
                <w:rStyle w:val="Hipervnculo"/>
                <w:rFonts w:ascii="Palatino Linotype" w:eastAsia="Calibri" w:hAnsi="Palatino Linotype" w:cs="Arial"/>
                <w:b/>
                <w:i/>
                <w:noProof/>
                <w:lang w:eastAsia="es-ES"/>
              </w:rPr>
              <w:t>De la falta de presentación del informe justificado.</w:t>
            </w:r>
            <w:r w:rsidR="003D211E">
              <w:rPr>
                <w:noProof/>
                <w:webHidden/>
              </w:rPr>
              <w:tab/>
            </w:r>
            <w:r w:rsidR="003D211E">
              <w:rPr>
                <w:noProof/>
                <w:webHidden/>
              </w:rPr>
              <w:fldChar w:fldCharType="begin"/>
            </w:r>
            <w:r w:rsidR="003D211E">
              <w:rPr>
                <w:noProof/>
                <w:webHidden/>
              </w:rPr>
              <w:instrText xml:space="preserve"> PAGEREF _Toc80819667 \h </w:instrText>
            </w:r>
            <w:r w:rsidR="003D211E">
              <w:rPr>
                <w:noProof/>
                <w:webHidden/>
              </w:rPr>
            </w:r>
            <w:r w:rsidR="003D211E">
              <w:rPr>
                <w:noProof/>
                <w:webHidden/>
              </w:rPr>
              <w:fldChar w:fldCharType="separate"/>
            </w:r>
            <w:r w:rsidR="003D211E">
              <w:rPr>
                <w:noProof/>
                <w:webHidden/>
              </w:rPr>
              <w:t>13</w:t>
            </w:r>
            <w:r w:rsidR="003D211E">
              <w:rPr>
                <w:noProof/>
                <w:webHidden/>
              </w:rPr>
              <w:fldChar w:fldCharType="end"/>
            </w:r>
          </w:hyperlink>
        </w:p>
        <w:p w:rsidR="003D211E" w:rsidRDefault="00AC45B8" w:rsidP="003D211E">
          <w:pPr>
            <w:pStyle w:val="TDC1"/>
            <w:rPr>
              <w:noProof/>
            </w:rPr>
          </w:pPr>
          <w:hyperlink w:anchor="_Toc80819668" w:history="1">
            <w:r w:rsidR="003D211E" w:rsidRPr="00B8720C">
              <w:rPr>
                <w:rStyle w:val="Hipervnculo"/>
                <w:rFonts w:ascii="Palatino Linotype" w:eastAsia="Calibri" w:hAnsi="Palatino Linotype" w:cs="Arial"/>
                <w:b/>
                <w:noProof/>
                <w:lang w:eastAsia="es-ES"/>
              </w:rPr>
              <w:t xml:space="preserve">CUARTO. </w:t>
            </w:r>
            <w:r w:rsidR="003D211E" w:rsidRPr="00B8720C">
              <w:rPr>
                <w:rStyle w:val="Hipervnculo"/>
                <w:rFonts w:ascii="Palatino Linotype" w:eastAsia="Calibri" w:hAnsi="Palatino Linotype" w:cs="Arial"/>
                <w:b/>
                <w:noProof/>
                <w:lang w:val="es-ES_tradnl" w:eastAsia="es-ES"/>
              </w:rPr>
              <w:t>De las causales del sobreseimiento.</w:t>
            </w:r>
            <w:r w:rsidR="003D211E">
              <w:rPr>
                <w:noProof/>
                <w:webHidden/>
              </w:rPr>
              <w:tab/>
            </w:r>
            <w:r w:rsidR="003D211E">
              <w:rPr>
                <w:noProof/>
                <w:webHidden/>
              </w:rPr>
              <w:fldChar w:fldCharType="begin"/>
            </w:r>
            <w:r w:rsidR="003D211E">
              <w:rPr>
                <w:noProof/>
                <w:webHidden/>
              </w:rPr>
              <w:instrText xml:space="preserve"> PAGEREF _Toc80819668 \h </w:instrText>
            </w:r>
            <w:r w:rsidR="003D211E">
              <w:rPr>
                <w:noProof/>
                <w:webHidden/>
              </w:rPr>
            </w:r>
            <w:r w:rsidR="003D211E">
              <w:rPr>
                <w:noProof/>
                <w:webHidden/>
              </w:rPr>
              <w:fldChar w:fldCharType="separate"/>
            </w:r>
            <w:r w:rsidR="003D211E">
              <w:rPr>
                <w:noProof/>
                <w:webHidden/>
              </w:rPr>
              <w:t>14</w:t>
            </w:r>
            <w:r w:rsidR="003D211E">
              <w:rPr>
                <w:noProof/>
                <w:webHidden/>
              </w:rPr>
              <w:fldChar w:fldCharType="end"/>
            </w:r>
          </w:hyperlink>
        </w:p>
        <w:p w:rsidR="003D211E" w:rsidRDefault="003D211E">
          <w:r>
            <w:rPr>
              <w:b/>
              <w:bCs/>
              <w:lang w:val="es-ES"/>
            </w:rPr>
            <w:fldChar w:fldCharType="end"/>
          </w:r>
        </w:p>
      </w:sdtContent>
    </w:sdt>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D211E" w:rsidRDefault="003D211E"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E18E3" w:rsidRPr="00F046B1" w:rsidRDefault="003E18E3"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r w:rsidRPr="00F046B1">
        <w:rPr>
          <w:rFonts w:ascii="Palatino Linotype" w:eastAsia="Times New Roman" w:hAnsi="Palatino Linotype" w:cs="Arial"/>
          <w:color w:val="000000"/>
          <w:sz w:val="24"/>
          <w:szCs w:val="24"/>
          <w:lang w:eastAsia="es-MX"/>
        </w:rPr>
        <w:lastRenderedPageBreak/>
        <w:t>Resolución del Pleno del Instituto de Transparencia, Acceso a la Información Pública y Protección de Datos Personales del Estado de México y Municipios, con domicilio en Metepec, Estado de México, a</w:t>
      </w:r>
      <w:r w:rsidR="009D41ED">
        <w:rPr>
          <w:rFonts w:ascii="Palatino Linotype" w:eastAsia="Times New Roman" w:hAnsi="Palatino Linotype" w:cs="Arial"/>
          <w:color w:val="000000"/>
          <w:sz w:val="24"/>
          <w:szCs w:val="24"/>
          <w:lang w:eastAsia="es-MX"/>
        </w:rPr>
        <w:t xml:space="preserve"> primero (01</w:t>
      </w:r>
      <w:r w:rsidR="00453111">
        <w:rPr>
          <w:rFonts w:ascii="Palatino Linotype" w:eastAsia="Times New Roman" w:hAnsi="Palatino Linotype" w:cs="Arial"/>
          <w:color w:val="000000"/>
          <w:sz w:val="24"/>
          <w:szCs w:val="24"/>
          <w:lang w:eastAsia="es-MX"/>
        </w:rPr>
        <w:t>) de septiembre</w:t>
      </w:r>
      <w:r w:rsidRPr="00F046B1">
        <w:rPr>
          <w:rFonts w:ascii="Palatino Linotype" w:eastAsia="Times New Roman" w:hAnsi="Palatino Linotype" w:cs="Arial"/>
          <w:color w:val="000000"/>
          <w:sz w:val="24"/>
          <w:szCs w:val="24"/>
          <w:lang w:eastAsia="es-MX"/>
        </w:rPr>
        <w:t xml:space="preserve"> de dos mil veintiuno.</w:t>
      </w:r>
    </w:p>
    <w:p w:rsidR="003E18E3" w:rsidRPr="00F046B1" w:rsidRDefault="003E18E3" w:rsidP="003E18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E18E3" w:rsidRPr="00F046B1" w:rsidRDefault="003E18E3" w:rsidP="003E18E3">
      <w:pPr>
        <w:tabs>
          <w:tab w:val="left" w:pos="1701"/>
        </w:tabs>
        <w:spacing w:after="0" w:line="360" w:lineRule="auto"/>
        <w:jc w:val="both"/>
        <w:rPr>
          <w:rFonts w:ascii="Palatino Linotype" w:hAnsi="Palatino Linotype" w:cs="Arial"/>
          <w:b/>
          <w:sz w:val="24"/>
          <w:szCs w:val="24"/>
        </w:rPr>
      </w:pPr>
      <w:r w:rsidRPr="00F046B1">
        <w:rPr>
          <w:rFonts w:ascii="Palatino Linotype" w:hAnsi="Palatino Linotype" w:cs="Arial"/>
          <w:b/>
          <w:sz w:val="24"/>
          <w:szCs w:val="24"/>
        </w:rPr>
        <w:t>VISTO</w:t>
      </w:r>
      <w:r w:rsidRPr="00F046B1">
        <w:rPr>
          <w:rFonts w:ascii="Palatino Linotype" w:hAnsi="Palatino Linotype" w:cs="Arial"/>
          <w:sz w:val="24"/>
          <w:szCs w:val="24"/>
        </w:rPr>
        <w:t xml:space="preserve"> el expediente electrónico formado con motivo del recurso de revisión número </w:t>
      </w:r>
      <w:r w:rsidRPr="00F046B1">
        <w:rPr>
          <w:rFonts w:ascii="Palatino Linotype" w:hAnsi="Palatino Linotype" w:cs="Arial"/>
          <w:b/>
          <w:bCs/>
          <w:sz w:val="24"/>
          <w:szCs w:val="24"/>
          <w:lang w:eastAsia="es-MX"/>
        </w:rPr>
        <w:t>0</w:t>
      </w:r>
      <w:r>
        <w:rPr>
          <w:rFonts w:ascii="Palatino Linotype" w:hAnsi="Palatino Linotype" w:cs="Arial"/>
          <w:b/>
          <w:bCs/>
          <w:sz w:val="24"/>
          <w:szCs w:val="24"/>
          <w:lang w:eastAsia="es-MX"/>
        </w:rPr>
        <w:t>3523</w:t>
      </w:r>
      <w:r w:rsidRPr="00F046B1">
        <w:rPr>
          <w:rFonts w:ascii="Palatino Linotype" w:hAnsi="Palatino Linotype" w:cs="Arial"/>
          <w:b/>
          <w:bCs/>
          <w:sz w:val="24"/>
          <w:szCs w:val="24"/>
          <w:lang w:eastAsia="es-MX"/>
        </w:rPr>
        <w:t>/INFOEM/IP/RR/2021,</w:t>
      </w:r>
      <w:r w:rsidRPr="00F046B1">
        <w:rPr>
          <w:rFonts w:ascii="Palatino Linotype" w:hAnsi="Palatino Linotype" w:cs="Arial"/>
          <w:sz w:val="24"/>
          <w:szCs w:val="24"/>
        </w:rPr>
        <w:t xml:space="preserve"> interpuesto por</w:t>
      </w:r>
      <w:r>
        <w:rPr>
          <w:rFonts w:ascii="Palatino Linotype" w:hAnsi="Palatino Linotype" w:cs="Arial"/>
          <w:sz w:val="24"/>
          <w:szCs w:val="24"/>
        </w:rPr>
        <w:t xml:space="preserve"> el </w:t>
      </w:r>
      <w:r w:rsidRPr="00A67ED9">
        <w:rPr>
          <w:rFonts w:ascii="Palatino Linotype" w:hAnsi="Palatino Linotype" w:cs="Arial"/>
          <w:b/>
          <w:sz w:val="24"/>
          <w:szCs w:val="24"/>
        </w:rPr>
        <w:t>C.</w:t>
      </w:r>
      <w:r>
        <w:rPr>
          <w:rFonts w:ascii="Palatino Linotype" w:hAnsi="Palatino Linotype" w:cs="Arial"/>
          <w:b/>
          <w:sz w:val="24"/>
          <w:szCs w:val="24"/>
        </w:rPr>
        <w:t xml:space="preserve"> No Proporcionado No Proporcionado Quino Blanco</w:t>
      </w:r>
      <w:r>
        <w:rPr>
          <w:rFonts w:ascii="Palatino Linotype" w:hAnsi="Palatino Linotype" w:cs="Arial"/>
          <w:sz w:val="24"/>
          <w:szCs w:val="24"/>
        </w:rPr>
        <w:t xml:space="preserve">, </w:t>
      </w:r>
      <w:r w:rsidRPr="00F046B1">
        <w:rPr>
          <w:rFonts w:ascii="Palatino Linotype" w:hAnsi="Palatino Linotype" w:cs="Arial"/>
          <w:sz w:val="24"/>
          <w:szCs w:val="24"/>
        </w:rPr>
        <w:t>quien en lo sucesivo y para efectos prácticos se le denominara</w:t>
      </w:r>
      <w:r>
        <w:rPr>
          <w:rFonts w:ascii="Palatino Linotype" w:hAnsi="Palatino Linotype" w:cs="Arial"/>
          <w:b/>
          <w:sz w:val="24"/>
          <w:szCs w:val="24"/>
        </w:rPr>
        <w:t xml:space="preserve"> </w:t>
      </w:r>
      <w:r w:rsidR="007C325D">
        <w:rPr>
          <w:rFonts w:ascii="Palatino Linotype" w:hAnsi="Palatino Linotype" w:cs="Arial"/>
          <w:b/>
          <w:sz w:val="24"/>
          <w:szCs w:val="24"/>
        </w:rPr>
        <w:t>e</w:t>
      </w:r>
      <w:r>
        <w:rPr>
          <w:rFonts w:ascii="Palatino Linotype" w:hAnsi="Palatino Linotype" w:cs="Arial"/>
          <w:b/>
          <w:sz w:val="24"/>
          <w:szCs w:val="24"/>
        </w:rPr>
        <w:t>l</w:t>
      </w:r>
      <w:r w:rsidRPr="00F046B1">
        <w:rPr>
          <w:rFonts w:ascii="Palatino Linotype" w:hAnsi="Palatino Linotype" w:cs="Arial"/>
          <w:b/>
          <w:sz w:val="24"/>
          <w:szCs w:val="24"/>
        </w:rPr>
        <w:t xml:space="preserve"> Recurrente</w:t>
      </w:r>
      <w:r w:rsidRPr="00F046B1">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proofErr w:type="spellStart"/>
      <w:r>
        <w:rPr>
          <w:rFonts w:ascii="Palatino Linotype" w:hAnsi="Palatino Linotype" w:cs="Arial"/>
          <w:b/>
          <w:sz w:val="24"/>
          <w:szCs w:val="24"/>
        </w:rPr>
        <w:t>Teoloyucan</w:t>
      </w:r>
      <w:proofErr w:type="spellEnd"/>
      <w:r w:rsidRPr="00F046B1">
        <w:rPr>
          <w:rFonts w:ascii="Palatino Linotype" w:hAnsi="Palatino Linotype" w:cs="Arial"/>
          <w:b/>
          <w:sz w:val="24"/>
          <w:szCs w:val="24"/>
        </w:rPr>
        <w:t xml:space="preserve">, </w:t>
      </w:r>
      <w:r w:rsidRPr="00F046B1">
        <w:rPr>
          <w:rFonts w:ascii="Palatino Linotype" w:hAnsi="Palatino Linotype" w:cs="Arial"/>
          <w:sz w:val="24"/>
          <w:szCs w:val="24"/>
        </w:rPr>
        <w:t>en lo subsecuente</w:t>
      </w:r>
      <w:r w:rsidRPr="00F046B1">
        <w:rPr>
          <w:rFonts w:ascii="Palatino Linotype" w:hAnsi="Palatino Linotype" w:cs="Arial"/>
          <w:b/>
          <w:sz w:val="24"/>
          <w:szCs w:val="24"/>
        </w:rPr>
        <w:t xml:space="preserve"> el Sujeto Obligado, </w:t>
      </w:r>
      <w:r w:rsidRPr="00F046B1">
        <w:rPr>
          <w:rFonts w:ascii="Palatino Linotype" w:hAnsi="Palatino Linotype" w:cs="Arial"/>
          <w:sz w:val="24"/>
          <w:szCs w:val="24"/>
        </w:rPr>
        <w:t>se procede a dictar la presente resolución.</w:t>
      </w:r>
    </w:p>
    <w:p w:rsidR="003E18E3" w:rsidRPr="009D41ED" w:rsidRDefault="003E18E3" w:rsidP="009D41ED">
      <w:pPr>
        <w:pStyle w:val="Ttulo1"/>
        <w:jc w:val="center"/>
        <w:rPr>
          <w:rFonts w:ascii="Palatino Linotype" w:hAnsi="Palatino Linotype" w:cs="Arial"/>
          <w:b/>
          <w:color w:val="auto"/>
          <w:sz w:val="28"/>
          <w:szCs w:val="24"/>
        </w:rPr>
      </w:pPr>
      <w:bookmarkStart w:id="0" w:name="_Toc80819659"/>
      <w:r w:rsidRPr="009D41ED">
        <w:rPr>
          <w:rFonts w:ascii="Palatino Linotype" w:hAnsi="Palatino Linotype" w:cs="Arial"/>
          <w:b/>
          <w:color w:val="auto"/>
          <w:sz w:val="28"/>
          <w:szCs w:val="24"/>
        </w:rPr>
        <w:t>A N T E C E D E N T E S</w:t>
      </w:r>
      <w:bookmarkEnd w:id="0"/>
    </w:p>
    <w:p w:rsidR="003E18E3" w:rsidRPr="00F046B1" w:rsidRDefault="003E18E3" w:rsidP="003E18E3">
      <w:pPr>
        <w:spacing w:after="0" w:line="360" w:lineRule="auto"/>
        <w:rPr>
          <w:rFonts w:ascii="Palatino Linotype" w:hAnsi="Palatino Linotype" w:cs="Arial"/>
          <w:b/>
          <w:sz w:val="24"/>
          <w:szCs w:val="24"/>
        </w:rPr>
      </w:pPr>
    </w:p>
    <w:p w:rsidR="003E18E3" w:rsidRPr="00FD02D3" w:rsidRDefault="00453111" w:rsidP="00FD02D3">
      <w:pPr>
        <w:pStyle w:val="Prrafodelista"/>
        <w:numPr>
          <w:ilvl w:val="0"/>
          <w:numId w:val="7"/>
        </w:numPr>
        <w:spacing w:after="0" w:line="360" w:lineRule="auto"/>
        <w:ind w:left="426"/>
        <w:jc w:val="both"/>
        <w:rPr>
          <w:rFonts w:ascii="Palatino Linotype" w:hAnsi="Palatino Linotype" w:cs="Arial"/>
          <w:b/>
          <w:sz w:val="28"/>
          <w:szCs w:val="28"/>
        </w:rPr>
      </w:pPr>
      <w:r w:rsidRPr="00FD02D3">
        <w:rPr>
          <w:rFonts w:ascii="Palatino Linotype" w:hAnsi="Palatino Linotype" w:cs="Arial"/>
          <w:sz w:val="24"/>
          <w:szCs w:val="24"/>
        </w:rPr>
        <w:t>E</w:t>
      </w:r>
      <w:r w:rsidR="00BB39AE" w:rsidRPr="00FD02D3">
        <w:rPr>
          <w:rFonts w:ascii="Palatino Linotype" w:hAnsi="Palatino Linotype" w:cs="Arial"/>
          <w:sz w:val="24"/>
          <w:szCs w:val="24"/>
        </w:rPr>
        <w:t>l</w:t>
      </w:r>
      <w:r w:rsidRPr="00FD02D3">
        <w:rPr>
          <w:rFonts w:ascii="Palatino Linotype" w:hAnsi="Palatino Linotype" w:cs="Arial"/>
          <w:b/>
          <w:sz w:val="24"/>
          <w:szCs w:val="24"/>
        </w:rPr>
        <w:t xml:space="preserve"> </w:t>
      </w:r>
      <w:r w:rsidR="007D0C26" w:rsidRPr="00FD02D3">
        <w:rPr>
          <w:rFonts w:ascii="Palatino Linotype" w:hAnsi="Palatino Linotype" w:cs="Arial"/>
          <w:sz w:val="24"/>
          <w:szCs w:val="24"/>
        </w:rPr>
        <w:t xml:space="preserve">cinco </w:t>
      </w:r>
      <w:r w:rsidRPr="00FD02D3">
        <w:rPr>
          <w:rFonts w:ascii="Palatino Linotype" w:hAnsi="Palatino Linotype" w:cs="Arial"/>
          <w:sz w:val="24"/>
          <w:szCs w:val="24"/>
        </w:rPr>
        <w:t xml:space="preserve">(05) </w:t>
      </w:r>
      <w:r w:rsidR="007D0C26" w:rsidRPr="00FD02D3">
        <w:rPr>
          <w:rFonts w:ascii="Palatino Linotype" w:hAnsi="Palatino Linotype" w:cs="Arial"/>
          <w:sz w:val="24"/>
          <w:szCs w:val="24"/>
        </w:rPr>
        <w:t xml:space="preserve">de abril </w:t>
      </w:r>
      <w:r w:rsidR="003E18E3" w:rsidRPr="00FD02D3">
        <w:rPr>
          <w:rFonts w:ascii="Palatino Linotype" w:hAnsi="Palatino Linotype" w:cs="Arial"/>
          <w:sz w:val="24"/>
          <w:szCs w:val="24"/>
        </w:rPr>
        <w:t>de dos mil veinte, el</w:t>
      </w:r>
      <w:r w:rsidR="003E18E3" w:rsidRPr="00FD02D3">
        <w:rPr>
          <w:rFonts w:ascii="Palatino Linotype" w:hAnsi="Palatino Linotype" w:cs="Arial"/>
          <w:b/>
          <w:sz w:val="24"/>
          <w:szCs w:val="24"/>
        </w:rPr>
        <w:t xml:space="preserve"> Recurrente</w:t>
      </w:r>
      <w:r w:rsidR="003E18E3" w:rsidRPr="00FD02D3">
        <w:rPr>
          <w:rFonts w:ascii="Palatino Linotype" w:hAnsi="Palatino Linotype" w:cs="Arial"/>
          <w:sz w:val="24"/>
          <w:szCs w:val="24"/>
        </w:rPr>
        <w:t xml:space="preserve"> presentó a través del Sistema de Acceso a la Información Mexiquense (</w:t>
      </w:r>
      <w:r w:rsidR="003E18E3" w:rsidRPr="00FD02D3">
        <w:rPr>
          <w:rFonts w:ascii="Palatino Linotype" w:hAnsi="Palatino Linotype" w:cs="Arial"/>
          <w:b/>
          <w:sz w:val="24"/>
          <w:szCs w:val="24"/>
        </w:rPr>
        <w:t>SAIMEX)</w:t>
      </w:r>
      <w:r w:rsidR="003E18E3" w:rsidRPr="00FD02D3">
        <w:rPr>
          <w:rFonts w:ascii="Palatino Linotype" w:hAnsi="Palatino Linotype" w:cs="Arial"/>
          <w:sz w:val="24"/>
          <w:szCs w:val="24"/>
        </w:rPr>
        <w:t xml:space="preserve"> ante </w:t>
      </w:r>
      <w:r w:rsidR="003E18E3" w:rsidRPr="00FD02D3">
        <w:rPr>
          <w:rFonts w:ascii="Palatino Linotype" w:hAnsi="Palatino Linotype" w:cs="Arial"/>
          <w:b/>
          <w:sz w:val="24"/>
          <w:szCs w:val="24"/>
        </w:rPr>
        <w:t>el Sujeto Obligado</w:t>
      </w:r>
      <w:r w:rsidR="003E18E3" w:rsidRPr="00FD02D3">
        <w:rPr>
          <w:rFonts w:ascii="Palatino Linotype" w:hAnsi="Palatino Linotype" w:cs="Arial"/>
          <w:sz w:val="24"/>
          <w:szCs w:val="24"/>
        </w:rPr>
        <w:t>, la solicitud de acceso a la información pública, registrada bajo el número de expediente</w:t>
      </w:r>
      <w:r w:rsidR="003E18E3" w:rsidRPr="00FD02D3">
        <w:rPr>
          <w:rFonts w:ascii="Palatino Linotype" w:hAnsi="Palatino Linotype" w:cs="Arial"/>
          <w:b/>
          <w:sz w:val="24"/>
          <w:szCs w:val="24"/>
        </w:rPr>
        <w:t xml:space="preserve"> </w:t>
      </w:r>
      <w:r w:rsidR="007D0C26" w:rsidRPr="00FD02D3">
        <w:rPr>
          <w:rFonts w:ascii="Palatino Linotype" w:hAnsi="Palatino Linotype" w:cs="Arial"/>
          <w:b/>
          <w:bCs/>
          <w:sz w:val="24"/>
          <w:szCs w:val="24"/>
        </w:rPr>
        <w:t>00102/TEOLOYU</w:t>
      </w:r>
      <w:r w:rsidR="003E18E3" w:rsidRPr="00FD02D3">
        <w:rPr>
          <w:rFonts w:ascii="Palatino Linotype" w:hAnsi="Palatino Linotype" w:cs="Arial"/>
          <w:b/>
          <w:bCs/>
          <w:sz w:val="24"/>
          <w:szCs w:val="24"/>
        </w:rPr>
        <w:t>/IP/2021</w:t>
      </w:r>
      <w:r w:rsidR="003E18E3" w:rsidRPr="00FD02D3">
        <w:rPr>
          <w:rFonts w:ascii="Palatino Linotype" w:hAnsi="Palatino Linotype" w:cs="Arial"/>
          <w:b/>
          <w:sz w:val="24"/>
          <w:szCs w:val="24"/>
          <w:lang w:eastAsia="es-MX"/>
        </w:rPr>
        <w:t xml:space="preserve">, </w:t>
      </w:r>
      <w:r w:rsidR="003E18E3" w:rsidRPr="00FD02D3">
        <w:rPr>
          <w:rFonts w:ascii="Palatino Linotype" w:hAnsi="Palatino Linotype" w:cs="Arial"/>
          <w:sz w:val="24"/>
          <w:szCs w:val="24"/>
        </w:rPr>
        <w:t>mediante la cual solicitó información en el tenor siguiente:</w:t>
      </w: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F046B1">
        <w:rPr>
          <w:rFonts w:ascii="Palatino Linotype" w:eastAsia="Times New Roman" w:hAnsi="Palatino Linotype" w:cs="Times New Roman"/>
          <w:i/>
          <w:szCs w:val="24"/>
          <w:lang w:val="es-ES_tradnl" w:eastAsia="es-ES"/>
        </w:rPr>
        <w:t>“</w:t>
      </w:r>
      <w:r w:rsidR="007D0C26" w:rsidRPr="007D0C26">
        <w:rPr>
          <w:rFonts w:ascii="Palatino Linotype" w:eastAsia="Times New Roman" w:hAnsi="Palatino Linotype" w:cs="Times New Roman"/>
          <w:i/>
          <w:szCs w:val="24"/>
          <w:lang w:eastAsia="es-ES"/>
        </w:rPr>
        <w:t>Solicito los Planos Manzaneros correspondientes a su circunscripción territorial</w:t>
      </w:r>
      <w:r w:rsidRPr="00F046B1">
        <w:rPr>
          <w:rFonts w:ascii="Palatino Linotype" w:eastAsia="Times New Roman" w:hAnsi="Palatino Linotype" w:cs="Times New Roman"/>
          <w:i/>
          <w:szCs w:val="24"/>
          <w:lang w:val="es-ES_tradnl" w:eastAsia="es-ES"/>
        </w:rPr>
        <w:t>.”</w:t>
      </w:r>
      <w:r w:rsidR="00453111">
        <w:rPr>
          <w:rFonts w:ascii="Palatino Linotype" w:eastAsia="Times New Roman" w:hAnsi="Palatino Linotype" w:cs="Times New Roman"/>
          <w:i/>
          <w:szCs w:val="24"/>
          <w:lang w:val="es-ES_tradnl" w:eastAsia="es-ES"/>
        </w:rPr>
        <w:t xml:space="preserve"> (</w:t>
      </w:r>
      <w:proofErr w:type="gramStart"/>
      <w:r w:rsidR="00453111">
        <w:rPr>
          <w:rFonts w:ascii="Palatino Linotype" w:eastAsia="Times New Roman" w:hAnsi="Palatino Linotype" w:cs="Times New Roman"/>
          <w:i/>
          <w:szCs w:val="24"/>
          <w:lang w:val="es-ES_tradnl" w:eastAsia="es-ES"/>
        </w:rPr>
        <w:t>sic</w:t>
      </w:r>
      <w:proofErr w:type="gramEnd"/>
      <w:r w:rsidR="00453111">
        <w:rPr>
          <w:rFonts w:ascii="Palatino Linotype" w:eastAsia="Times New Roman" w:hAnsi="Palatino Linotype" w:cs="Times New Roman"/>
          <w:i/>
          <w:szCs w:val="24"/>
          <w:lang w:val="es-ES_tradnl" w:eastAsia="es-ES"/>
        </w:rPr>
        <w:t>)</w:t>
      </w:r>
    </w:p>
    <w:p w:rsidR="003E18E3" w:rsidRPr="00F046B1" w:rsidRDefault="003E18E3" w:rsidP="003E18E3">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453111" w:rsidRPr="00FD02D3" w:rsidRDefault="00453111" w:rsidP="00FD02D3">
      <w:pPr>
        <w:pStyle w:val="Prrafodelista"/>
        <w:numPr>
          <w:ilvl w:val="0"/>
          <w:numId w:val="7"/>
        </w:numPr>
        <w:spacing w:before="240" w:after="240" w:line="360" w:lineRule="auto"/>
        <w:ind w:left="426"/>
        <w:jc w:val="both"/>
        <w:rPr>
          <w:rFonts w:ascii="Palatino Linotype" w:eastAsiaTheme="minorEastAsia" w:hAnsi="Palatino Linotype" w:cs="Arial"/>
          <w:sz w:val="24"/>
          <w:szCs w:val="24"/>
          <w:lang w:val="es-ES_tradnl" w:eastAsia="es-ES"/>
        </w:rPr>
      </w:pPr>
      <w:r w:rsidRPr="00FD02D3">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FD02D3">
        <w:rPr>
          <w:rFonts w:ascii="Palatino Linotype" w:eastAsiaTheme="minorEastAsia" w:hAnsi="Palatino Linotype" w:cs="Arial"/>
          <w:b/>
          <w:sz w:val="24"/>
          <w:szCs w:val="24"/>
          <w:lang w:val="es-ES_tradnl" w:eastAsia="es-ES"/>
        </w:rPr>
        <w:t xml:space="preserve">(SAIMEX).  </w:t>
      </w:r>
    </w:p>
    <w:p w:rsidR="003E18E3" w:rsidRPr="00F046B1" w:rsidRDefault="003E18E3" w:rsidP="003E18E3">
      <w:pPr>
        <w:tabs>
          <w:tab w:val="left" w:pos="5647"/>
        </w:tabs>
        <w:spacing w:after="0" w:line="360" w:lineRule="auto"/>
        <w:ind w:right="850"/>
        <w:jc w:val="both"/>
        <w:rPr>
          <w:rFonts w:ascii="Palatino Linotype" w:hAnsi="Palatino Linotype"/>
          <w:color w:val="000000"/>
          <w:sz w:val="24"/>
          <w:szCs w:val="24"/>
        </w:rPr>
      </w:pPr>
    </w:p>
    <w:p w:rsidR="003E18E3" w:rsidRPr="00FD02D3" w:rsidRDefault="003E18E3" w:rsidP="00FD02D3">
      <w:pPr>
        <w:pStyle w:val="Prrafodelista"/>
        <w:numPr>
          <w:ilvl w:val="0"/>
          <w:numId w:val="7"/>
        </w:numPr>
        <w:spacing w:after="0" w:line="360" w:lineRule="auto"/>
        <w:ind w:left="426"/>
        <w:jc w:val="both"/>
        <w:rPr>
          <w:rFonts w:ascii="Palatino Linotype" w:hAnsi="Palatino Linotype" w:cs="Arial"/>
          <w:sz w:val="24"/>
          <w:szCs w:val="24"/>
        </w:rPr>
      </w:pPr>
      <w:r w:rsidRPr="00FD02D3">
        <w:rPr>
          <w:rFonts w:ascii="Palatino Linotype" w:hAnsi="Palatino Linotype" w:cs="Arial"/>
          <w:sz w:val="24"/>
          <w:szCs w:val="24"/>
        </w:rPr>
        <w:lastRenderedPageBreak/>
        <w:t xml:space="preserve">De las constancias que obran en el expediente del sistema SAIMEX, </w:t>
      </w:r>
      <w:r w:rsidR="007D0C26" w:rsidRPr="00FD02D3">
        <w:rPr>
          <w:rFonts w:ascii="Palatino Linotype" w:hAnsi="Palatino Linotype" w:cs="Arial"/>
          <w:sz w:val="24"/>
          <w:szCs w:val="24"/>
        </w:rPr>
        <w:t xml:space="preserve">en fecha </w:t>
      </w:r>
      <w:r w:rsidR="007D0C26" w:rsidRPr="00FE5E0F">
        <w:rPr>
          <w:rFonts w:ascii="Palatino Linotype" w:hAnsi="Palatino Linotype" w:cs="Arial"/>
          <w:b/>
          <w:sz w:val="24"/>
          <w:szCs w:val="24"/>
        </w:rPr>
        <w:t xml:space="preserve">veinticinco </w:t>
      </w:r>
      <w:r w:rsidR="00453111" w:rsidRPr="00FE5E0F">
        <w:rPr>
          <w:rFonts w:ascii="Palatino Linotype" w:hAnsi="Palatino Linotype" w:cs="Arial"/>
          <w:b/>
          <w:sz w:val="24"/>
          <w:szCs w:val="24"/>
        </w:rPr>
        <w:t xml:space="preserve">(25) </w:t>
      </w:r>
      <w:r w:rsidR="007D0C26" w:rsidRPr="00FE5E0F">
        <w:rPr>
          <w:rFonts w:ascii="Palatino Linotype" w:hAnsi="Palatino Linotype" w:cs="Arial"/>
          <w:b/>
          <w:sz w:val="24"/>
          <w:szCs w:val="24"/>
        </w:rPr>
        <w:t>de junio</w:t>
      </w:r>
      <w:r w:rsidR="007D0C26" w:rsidRPr="00FD02D3">
        <w:rPr>
          <w:rFonts w:ascii="Palatino Linotype" w:hAnsi="Palatino Linotype" w:cs="Arial"/>
          <w:sz w:val="24"/>
          <w:szCs w:val="24"/>
        </w:rPr>
        <w:t xml:space="preserve"> de la presente anualidad</w:t>
      </w:r>
      <w:r w:rsidRPr="00FD02D3">
        <w:rPr>
          <w:rFonts w:ascii="Palatino Linotype" w:hAnsi="Palatino Linotype" w:cs="Arial"/>
          <w:sz w:val="24"/>
          <w:szCs w:val="24"/>
        </w:rPr>
        <w:t xml:space="preserve">, el </w:t>
      </w:r>
      <w:r w:rsidR="00BB39AE" w:rsidRPr="00FD02D3">
        <w:rPr>
          <w:rFonts w:ascii="Palatino Linotype" w:hAnsi="Palatino Linotype" w:cs="Arial"/>
          <w:b/>
          <w:sz w:val="24"/>
          <w:szCs w:val="24"/>
        </w:rPr>
        <w:t>SUJETO OBLIGADO</w:t>
      </w:r>
      <w:r w:rsidR="00BB39AE" w:rsidRPr="00FD02D3">
        <w:rPr>
          <w:rFonts w:ascii="Palatino Linotype" w:hAnsi="Palatino Linotype" w:cs="Arial"/>
          <w:sz w:val="24"/>
          <w:szCs w:val="24"/>
        </w:rPr>
        <w:t xml:space="preserve"> </w:t>
      </w:r>
      <w:r w:rsidRPr="00FD02D3">
        <w:rPr>
          <w:rFonts w:ascii="Palatino Linotype" w:hAnsi="Palatino Linotype" w:cs="Arial"/>
          <w:sz w:val="24"/>
          <w:szCs w:val="24"/>
        </w:rPr>
        <w:t>emitió respuesta en los términos siguientes:</w:t>
      </w:r>
    </w:p>
    <w:p w:rsidR="003E18E3" w:rsidRPr="00F046B1" w:rsidRDefault="003E18E3" w:rsidP="003E18E3">
      <w:pPr>
        <w:spacing w:after="0" w:line="360" w:lineRule="auto"/>
        <w:jc w:val="both"/>
        <w:rPr>
          <w:rFonts w:ascii="Palatino Linotype" w:hAnsi="Palatino Linotype" w:cs="Arial"/>
          <w:sz w:val="24"/>
          <w:szCs w:val="24"/>
        </w:rPr>
      </w:pPr>
    </w:p>
    <w:p w:rsidR="003E18E3" w:rsidRDefault="003E18E3" w:rsidP="003E18E3">
      <w:pPr>
        <w:spacing w:after="0" w:line="240" w:lineRule="auto"/>
        <w:ind w:left="567" w:right="567"/>
        <w:jc w:val="both"/>
        <w:rPr>
          <w:rFonts w:ascii="Palatino Linotype" w:hAnsi="Palatino Linotype" w:cs="Arial"/>
          <w:i/>
          <w:szCs w:val="24"/>
        </w:rPr>
      </w:pPr>
      <w:r w:rsidRPr="00F046B1">
        <w:rPr>
          <w:rFonts w:ascii="Palatino Linotype" w:hAnsi="Palatino Linotype" w:cs="Arial"/>
          <w:i/>
          <w:szCs w:val="24"/>
        </w:rPr>
        <w:t>“</w:t>
      </w:r>
      <w:r w:rsidR="007D0C26" w:rsidRPr="007D0C26">
        <w:rPr>
          <w:rFonts w:ascii="Palatino Linotype" w:hAnsi="Palatino Linotype" w:cs="Arial"/>
          <w:i/>
          <w:szCs w:val="24"/>
        </w:rPr>
        <w:t>los planos manzaneros NO están dentro de nuestra competencia</w:t>
      </w:r>
      <w:r w:rsidRPr="00F046B1">
        <w:rPr>
          <w:rFonts w:ascii="Palatino Linotype" w:hAnsi="Palatino Linotype" w:cs="Arial"/>
          <w:i/>
          <w:szCs w:val="24"/>
        </w:rPr>
        <w:t>” (sic)</w:t>
      </w:r>
    </w:p>
    <w:p w:rsidR="00BB39AE" w:rsidRPr="00F046B1" w:rsidRDefault="00BB39AE" w:rsidP="003E18E3">
      <w:pPr>
        <w:spacing w:after="0" w:line="240" w:lineRule="auto"/>
        <w:ind w:left="567" w:right="567"/>
        <w:jc w:val="both"/>
        <w:rPr>
          <w:rFonts w:ascii="Palatino Linotype" w:hAnsi="Palatino Linotype" w:cs="Arial"/>
          <w:szCs w:val="24"/>
        </w:rPr>
      </w:pPr>
    </w:p>
    <w:p w:rsidR="003E18E3" w:rsidRPr="00F046B1" w:rsidRDefault="003E18E3" w:rsidP="003E18E3">
      <w:pPr>
        <w:spacing w:after="0" w:line="240" w:lineRule="auto"/>
        <w:ind w:left="567" w:right="567"/>
        <w:jc w:val="both"/>
        <w:rPr>
          <w:rFonts w:ascii="Palatino Linotype" w:hAnsi="Palatino Linotype" w:cs="Arial"/>
          <w:szCs w:val="24"/>
        </w:rPr>
      </w:pPr>
    </w:p>
    <w:p w:rsidR="003E18E3" w:rsidRPr="00FD02D3" w:rsidRDefault="00BB39AE" w:rsidP="00FD02D3">
      <w:pPr>
        <w:pStyle w:val="Prrafodelista"/>
        <w:numPr>
          <w:ilvl w:val="0"/>
          <w:numId w:val="7"/>
        </w:numPr>
        <w:spacing w:after="0" w:line="360" w:lineRule="auto"/>
        <w:ind w:left="426"/>
        <w:jc w:val="both"/>
        <w:rPr>
          <w:rFonts w:ascii="Palatino Linotype" w:hAnsi="Palatino Linotype" w:cs="Arial"/>
          <w:sz w:val="24"/>
          <w:szCs w:val="24"/>
        </w:rPr>
      </w:pPr>
      <w:r w:rsidRPr="00FD02D3">
        <w:rPr>
          <w:rFonts w:ascii="Palatino Linotype" w:hAnsi="Palatino Linotype" w:cs="Arial"/>
          <w:sz w:val="24"/>
          <w:szCs w:val="24"/>
        </w:rPr>
        <w:t xml:space="preserve">El </w:t>
      </w:r>
      <w:r w:rsidRPr="00FE5E0F">
        <w:rPr>
          <w:rFonts w:ascii="Palatino Linotype" w:hAnsi="Palatino Linotype" w:cs="Arial"/>
          <w:b/>
          <w:sz w:val="24"/>
          <w:szCs w:val="24"/>
        </w:rPr>
        <w:t>veinticinco (25) de junio</w:t>
      </w:r>
      <w:r w:rsidRPr="00FD02D3">
        <w:rPr>
          <w:rFonts w:ascii="Palatino Linotype" w:hAnsi="Palatino Linotype" w:cs="Arial"/>
          <w:sz w:val="24"/>
          <w:szCs w:val="24"/>
        </w:rPr>
        <w:t xml:space="preserve"> de dos mil veintiuno, el particular interpuso el recurso de revisión, en  contra de la respuesta, señalando como </w:t>
      </w:r>
      <w:r w:rsidR="003E18E3" w:rsidRPr="00FD02D3">
        <w:rPr>
          <w:rFonts w:ascii="Palatino Linotype" w:hAnsi="Palatino Linotype" w:cs="Arial"/>
          <w:sz w:val="24"/>
          <w:szCs w:val="24"/>
        </w:rPr>
        <w:t>acto impugnado y razones</w:t>
      </w:r>
      <w:r w:rsidRPr="00FD02D3">
        <w:rPr>
          <w:rFonts w:ascii="Palatino Linotype" w:hAnsi="Palatino Linotype" w:cs="Arial"/>
          <w:sz w:val="24"/>
          <w:szCs w:val="24"/>
        </w:rPr>
        <w:t xml:space="preserve"> o motivos de inconformidad, lo siguiente</w:t>
      </w:r>
      <w:r w:rsidR="003E18E3" w:rsidRPr="00FD02D3">
        <w:rPr>
          <w:rFonts w:ascii="Palatino Linotype" w:hAnsi="Palatino Linotype" w:cs="Arial"/>
          <w:sz w:val="24"/>
          <w:szCs w:val="24"/>
        </w:rPr>
        <w:t>:</w:t>
      </w:r>
    </w:p>
    <w:p w:rsidR="003E18E3" w:rsidRPr="00F046B1" w:rsidRDefault="003E18E3" w:rsidP="003E18E3">
      <w:pPr>
        <w:spacing w:after="0" w:line="360" w:lineRule="auto"/>
        <w:jc w:val="both"/>
        <w:rPr>
          <w:rFonts w:ascii="Palatino Linotype" w:hAnsi="Palatino Linotype" w:cs="Arial"/>
          <w:b/>
          <w:sz w:val="24"/>
          <w:szCs w:val="24"/>
        </w:rPr>
      </w:pPr>
    </w:p>
    <w:p w:rsidR="003E18E3" w:rsidRPr="00F046B1" w:rsidRDefault="003E18E3" w:rsidP="00FD02D3">
      <w:pPr>
        <w:spacing w:after="0" w:line="360" w:lineRule="auto"/>
        <w:ind w:left="567"/>
        <w:jc w:val="both"/>
        <w:rPr>
          <w:rFonts w:ascii="Palatino Linotype" w:eastAsia="Times New Roman" w:hAnsi="Palatino Linotype" w:cs="Arial"/>
          <w:sz w:val="24"/>
          <w:szCs w:val="24"/>
          <w:lang w:val="es-ES" w:eastAsia="es-ES"/>
        </w:rPr>
      </w:pPr>
      <w:r w:rsidRPr="00F046B1">
        <w:rPr>
          <w:rFonts w:ascii="Palatino Linotype" w:eastAsia="Times New Roman" w:hAnsi="Palatino Linotype" w:cs="Arial"/>
          <w:b/>
          <w:sz w:val="24"/>
          <w:szCs w:val="24"/>
          <w:lang w:val="es-ES" w:eastAsia="es-ES"/>
        </w:rPr>
        <w:t>Acto Impugnado:</w:t>
      </w:r>
    </w:p>
    <w:p w:rsidR="003E18E3" w:rsidRPr="00F046B1" w:rsidRDefault="003E18E3" w:rsidP="00FD02D3">
      <w:pPr>
        <w:spacing w:after="0" w:line="240" w:lineRule="auto"/>
        <w:ind w:left="567" w:right="567"/>
        <w:jc w:val="both"/>
        <w:rPr>
          <w:rFonts w:ascii="Palatino Linotype" w:eastAsia="Times New Roman" w:hAnsi="Palatino Linotype" w:cs="Arial"/>
          <w:i/>
          <w:szCs w:val="24"/>
          <w:lang w:val="es-ES" w:eastAsia="es-ES"/>
        </w:rPr>
      </w:pPr>
      <w:r w:rsidRPr="00F046B1">
        <w:rPr>
          <w:rFonts w:ascii="Palatino Linotype" w:eastAsia="Times New Roman" w:hAnsi="Palatino Linotype" w:cs="Arial"/>
          <w:i/>
          <w:szCs w:val="24"/>
          <w:lang w:val="es-ES" w:eastAsia="es-ES"/>
        </w:rPr>
        <w:t>“</w:t>
      </w:r>
      <w:r w:rsidR="007D0C26" w:rsidRPr="007D0C26">
        <w:rPr>
          <w:rFonts w:ascii="Palatino Linotype" w:eastAsia="Times New Roman" w:hAnsi="Palatino Linotype" w:cs="Arial"/>
          <w:i/>
          <w:szCs w:val="24"/>
          <w:lang w:eastAsia="es-ES"/>
        </w:rPr>
        <w:t>La respuesta a la solicitud 00102/TEOLOYU/IP/2021 de fecha 25 de junio de 2021</w:t>
      </w:r>
      <w:proofErr w:type="gramStart"/>
      <w:r w:rsidRPr="00F046B1">
        <w:rPr>
          <w:rFonts w:ascii="Palatino Linotype" w:eastAsia="Times New Roman" w:hAnsi="Palatino Linotype" w:cs="Arial"/>
          <w:i/>
          <w:szCs w:val="24"/>
          <w:lang w:val="es-ES" w:eastAsia="es-ES"/>
        </w:rPr>
        <w:t>”</w:t>
      </w:r>
      <w:r w:rsidR="00BB39AE">
        <w:rPr>
          <w:rFonts w:ascii="Palatino Linotype" w:eastAsia="Times New Roman" w:hAnsi="Palatino Linotype" w:cs="Arial"/>
          <w:i/>
          <w:szCs w:val="24"/>
          <w:lang w:val="es-ES" w:eastAsia="es-ES"/>
        </w:rPr>
        <w:t>(</w:t>
      </w:r>
      <w:proofErr w:type="gramEnd"/>
      <w:r w:rsidR="00BB39AE">
        <w:rPr>
          <w:rFonts w:ascii="Palatino Linotype" w:eastAsia="Times New Roman" w:hAnsi="Palatino Linotype" w:cs="Arial"/>
          <w:i/>
          <w:szCs w:val="24"/>
          <w:lang w:val="es-ES" w:eastAsia="es-ES"/>
        </w:rPr>
        <w:t>sic)</w:t>
      </w:r>
    </w:p>
    <w:p w:rsidR="003E18E3" w:rsidRPr="00F046B1" w:rsidRDefault="003E18E3" w:rsidP="00FD02D3">
      <w:pPr>
        <w:spacing w:after="0" w:line="360" w:lineRule="auto"/>
        <w:ind w:left="567"/>
        <w:jc w:val="both"/>
        <w:rPr>
          <w:rFonts w:ascii="Palatino Linotype" w:eastAsia="Times New Roman" w:hAnsi="Palatino Linotype" w:cs="Arial"/>
          <w:sz w:val="24"/>
          <w:szCs w:val="24"/>
          <w:lang w:val="es-ES" w:eastAsia="es-ES"/>
        </w:rPr>
      </w:pPr>
    </w:p>
    <w:p w:rsidR="003E18E3" w:rsidRPr="00F046B1" w:rsidRDefault="003E18E3" w:rsidP="00FD02D3">
      <w:pPr>
        <w:spacing w:after="0" w:line="360" w:lineRule="auto"/>
        <w:ind w:left="567"/>
        <w:jc w:val="both"/>
        <w:rPr>
          <w:rFonts w:ascii="Palatino Linotype" w:eastAsia="Times New Roman" w:hAnsi="Palatino Linotype" w:cs="Arial"/>
          <w:sz w:val="24"/>
          <w:szCs w:val="24"/>
          <w:lang w:val="es-ES" w:eastAsia="es-ES"/>
        </w:rPr>
      </w:pPr>
      <w:r w:rsidRPr="00F046B1">
        <w:rPr>
          <w:rFonts w:ascii="Palatino Linotype" w:eastAsia="Times New Roman" w:hAnsi="Palatino Linotype" w:cs="Arial"/>
          <w:b/>
          <w:sz w:val="24"/>
          <w:szCs w:val="24"/>
          <w:lang w:val="es-ES" w:eastAsia="es-ES"/>
        </w:rPr>
        <w:t>Razones o motivos de inconformidad:</w:t>
      </w:r>
    </w:p>
    <w:p w:rsidR="003E18E3" w:rsidRPr="00F046B1" w:rsidRDefault="003E18E3" w:rsidP="00FD02D3">
      <w:pPr>
        <w:spacing w:after="0" w:line="240" w:lineRule="auto"/>
        <w:ind w:left="567" w:right="567"/>
        <w:jc w:val="both"/>
        <w:rPr>
          <w:rFonts w:ascii="Palatino Linotype" w:hAnsi="Palatino Linotype"/>
          <w:i/>
          <w:color w:val="000000"/>
        </w:rPr>
      </w:pPr>
      <w:r w:rsidRPr="00F046B1">
        <w:rPr>
          <w:rFonts w:ascii="Palatino Linotype" w:hAnsi="Palatino Linotype" w:cs="Arial"/>
          <w:i/>
        </w:rPr>
        <w:t>“</w:t>
      </w:r>
      <w:r w:rsidR="007D0C26" w:rsidRPr="007D0C26">
        <w:rPr>
          <w:rFonts w:ascii="Palatino Linotype" w:hAnsi="Palatino Linotype" w:cs="Arial"/>
          <w:i/>
        </w:rPr>
        <w:t xml:space="preserve">El sujeto obligado </w:t>
      </w:r>
      <w:r w:rsidR="007D0C26" w:rsidRPr="007D0C26">
        <w:rPr>
          <w:rFonts w:ascii="Palatino Linotype" w:hAnsi="Palatino Linotype" w:cs="Arial"/>
          <w:i/>
          <w:u w:val="single"/>
        </w:rPr>
        <w:t>no funda ni motiva la presunta declaración de incompetencia</w:t>
      </w:r>
      <w:r w:rsidR="007D0C26" w:rsidRPr="007D0C26">
        <w:rPr>
          <w:rFonts w:ascii="Palatino Linotype" w:hAnsi="Palatino Linotype" w:cs="Arial"/>
          <w:i/>
        </w:rPr>
        <w:t xml:space="preserve">, únicamente se limita a afirmar indebidamente que la información solicitada "NO están dentro de nuestra competencia"; sin embargo, de una revisión superficial al Manual Catastral se desprende que: "Los ayuntamientos como autoridades operativas en materia de información e investigación catastral, tienen las facultades y obligaciones que los ordenamientos jurídicos aplicables les confieren..."; adicionalmente, el artículo 169 del Código Financiero del Estado de México y Municipios establece en su fracción IV que son autoridades en materia de catastro el ayuntamiento y el servidor público que sea designado como titular de la unidad encargada del catastro municipal. Resultando pertinente referir que el Catastro es el sistema de información territorial, cuyo propósito es integrar, conservar y mantener actualizados el padrón catastral y los padrones municipales de la Entidad, para mayor referencia se puede consultar el contenido del artículo 168 del Código Financiero del Estado de México y Municipios. Por lo anterior, resulta evidente que el sujeto obligado sí cuenta con la información solicitada, porque la misma es producto de actividades que son de su competencia; por lo tanto, se encuentra dentro de lo previsto por el artículo 18 de la Ley de Transparencia y Acceso a la Información Pública del Estado de México y Municipios que establece: "Los sujetos obligados deberán documentar todo acto que derive del ejercicio de sus facultades, competencias o funciones, considerando desde su origen la eventual publicidad y reutilización de la información que generen."; y </w:t>
      </w:r>
      <w:proofErr w:type="spellStart"/>
      <w:r w:rsidR="007D0C26" w:rsidRPr="007D0C26">
        <w:rPr>
          <w:rFonts w:ascii="Palatino Linotype" w:hAnsi="Palatino Linotype" w:cs="Arial"/>
          <w:i/>
        </w:rPr>
        <w:t>aún</w:t>
      </w:r>
      <w:proofErr w:type="spellEnd"/>
      <w:r w:rsidR="007D0C26" w:rsidRPr="007D0C26">
        <w:rPr>
          <w:rFonts w:ascii="Palatino Linotype" w:hAnsi="Palatino Linotype" w:cs="Arial"/>
          <w:i/>
        </w:rPr>
        <w:t xml:space="preserve"> cuando </w:t>
      </w:r>
      <w:r w:rsidR="007D0C26" w:rsidRPr="007D0C26">
        <w:rPr>
          <w:rFonts w:ascii="Palatino Linotype" w:hAnsi="Palatino Linotype" w:cs="Arial"/>
          <w:i/>
        </w:rPr>
        <w:lastRenderedPageBreak/>
        <w:t>nieguen la existencia de la información, deberá estarse a lo dispuesto por el artículo 19 de la Ley de Transparencia en cita, el que refiere textualmente: "Se presume que la información debe existir si se refiere a las facultades, competencias y funciones que los ordenamientos jurídicos aplicables otorgan a los sujetos obligados." Por lo anterior, considero que la respuesta del sujeto obligado carece de motivos y fundamentos; por lo que al negar el acceso a información que se encuentra dentro de su ámbito de competencia, vulnera el derecho humano de acceso a la información pública, por lo que resulta procedente la interposición del presente Recurso de Revisión en términos de lo dispuesto por el artículo 176 y sucesivos de la Ley de Transparencia y Acceso a la Información Pública del Estado de México y Municipios</w:t>
      </w:r>
      <w:r w:rsidRPr="00F046B1">
        <w:rPr>
          <w:rFonts w:ascii="Palatino Linotype" w:hAnsi="Palatino Linotype"/>
          <w:i/>
          <w:color w:val="000000"/>
        </w:rPr>
        <w:t>” (sic)</w:t>
      </w:r>
    </w:p>
    <w:p w:rsidR="003E18E3" w:rsidRDefault="003E18E3" w:rsidP="003E18E3">
      <w:pPr>
        <w:spacing w:after="0" w:line="360" w:lineRule="auto"/>
        <w:jc w:val="both"/>
        <w:rPr>
          <w:rFonts w:ascii="Palatino Linotype" w:hAnsi="Palatino Linotype" w:cs="Arial"/>
          <w:sz w:val="24"/>
          <w:szCs w:val="24"/>
        </w:rPr>
      </w:pPr>
    </w:p>
    <w:p w:rsidR="00FD02D3" w:rsidRPr="00FD02D3" w:rsidRDefault="00BB39AE" w:rsidP="00FD02D3">
      <w:pPr>
        <w:pStyle w:val="Prrafodelista"/>
        <w:numPr>
          <w:ilvl w:val="0"/>
          <w:numId w:val="7"/>
        </w:numPr>
        <w:spacing w:before="240" w:after="240" w:line="360" w:lineRule="auto"/>
        <w:ind w:left="426"/>
        <w:jc w:val="both"/>
        <w:rPr>
          <w:rFonts w:ascii="Palatino Linotype" w:eastAsiaTheme="minorEastAsia" w:hAnsi="Palatino Linotype"/>
          <w:i/>
          <w:sz w:val="24"/>
          <w:szCs w:val="24"/>
          <w:lang w:val="es-ES_tradnl" w:eastAsia="es-ES"/>
        </w:rPr>
      </w:pPr>
      <w:r w:rsidRPr="00FD02D3">
        <w:rPr>
          <w:rFonts w:ascii="Palatino Linotype" w:eastAsia="Times New Roman" w:hAnsi="Palatino Linotype" w:cs="Arial"/>
          <w:sz w:val="24"/>
          <w:szCs w:val="24"/>
          <w:lang w:val="es-ES" w:eastAsia="es-ES"/>
        </w:rPr>
        <w:t xml:space="preserve">Se registró el recurso de revisión bajo el número de expediente </w:t>
      </w:r>
      <w:r w:rsidRPr="00FD02D3">
        <w:rPr>
          <w:rFonts w:ascii="Palatino Linotype" w:eastAsiaTheme="minorEastAsia" w:hAnsi="Palatino Linotype" w:cs="Arial"/>
          <w:bCs/>
          <w:sz w:val="24"/>
          <w:szCs w:val="24"/>
          <w:lang w:val="es-ES_tradnl" w:eastAsia="es-ES"/>
        </w:rPr>
        <w:t xml:space="preserve">al rubro indicado, asimismo con fundamento en lo dispuesto por el </w:t>
      </w:r>
      <w:r w:rsidRPr="00FD02D3">
        <w:rPr>
          <w:rFonts w:ascii="Palatino Linotype" w:eastAsia="Calibri" w:hAnsi="Palatino Linotype" w:cs="Arial"/>
          <w:sz w:val="24"/>
          <w:szCs w:val="24"/>
          <w:lang w:val="es-ES" w:eastAsia="es-ES"/>
        </w:rPr>
        <w:t xml:space="preserve">artículo 185 fracción I de la </w:t>
      </w:r>
      <w:r w:rsidRPr="00FD02D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D02D3">
        <w:rPr>
          <w:rFonts w:ascii="Palatino Linotype" w:eastAsia="Times New Roman" w:hAnsi="Palatino Linotype" w:cs="Arial"/>
          <w:sz w:val="24"/>
          <w:szCs w:val="24"/>
          <w:lang w:val="es-ES" w:eastAsia="es-ES"/>
        </w:rPr>
        <w:t xml:space="preserve">se turnó a la </w:t>
      </w:r>
      <w:r w:rsidRPr="00FD02D3">
        <w:rPr>
          <w:rFonts w:ascii="Palatino Linotype" w:eastAsia="Times New Roman" w:hAnsi="Palatino Linotype" w:cs="Arial"/>
          <w:b/>
          <w:sz w:val="24"/>
          <w:szCs w:val="24"/>
          <w:lang w:val="es-ES" w:eastAsia="es-ES"/>
        </w:rPr>
        <w:t xml:space="preserve">Comisionada Zulema Martínez Sánchez, </w:t>
      </w:r>
      <w:r w:rsidRPr="00FD02D3">
        <w:rPr>
          <w:rFonts w:ascii="Palatino Linotype" w:eastAsia="Times New Roman" w:hAnsi="Palatino Linotype" w:cs="Arial"/>
          <w:sz w:val="24"/>
          <w:szCs w:val="24"/>
          <w:lang w:val="es-ES" w:eastAsia="es-ES"/>
        </w:rPr>
        <w:t xml:space="preserve">con el objeto de </w:t>
      </w:r>
      <w:r w:rsidRPr="00FD02D3">
        <w:rPr>
          <w:rFonts w:ascii="Palatino Linotype" w:eastAsia="Times New Roman" w:hAnsi="Palatino Linotype" w:cs="Arial"/>
          <w:sz w:val="24"/>
          <w:szCs w:val="24"/>
          <w:lang w:eastAsia="es-ES"/>
        </w:rPr>
        <w:t>su análisis.</w:t>
      </w:r>
    </w:p>
    <w:p w:rsidR="00FD02D3" w:rsidRPr="00FD02D3" w:rsidRDefault="00FD02D3" w:rsidP="00FD02D3">
      <w:pPr>
        <w:pStyle w:val="Prrafodelista"/>
        <w:spacing w:before="240" w:after="240" w:line="360" w:lineRule="auto"/>
        <w:ind w:left="426"/>
        <w:jc w:val="both"/>
        <w:rPr>
          <w:rFonts w:ascii="Palatino Linotype" w:eastAsiaTheme="minorEastAsia" w:hAnsi="Palatino Linotype"/>
          <w:i/>
          <w:sz w:val="24"/>
          <w:szCs w:val="24"/>
          <w:lang w:val="es-ES_tradnl" w:eastAsia="es-ES"/>
        </w:rPr>
      </w:pPr>
    </w:p>
    <w:p w:rsidR="00FD02D3" w:rsidRPr="00FD02D3" w:rsidRDefault="00BB39AE" w:rsidP="00FD02D3">
      <w:pPr>
        <w:pStyle w:val="Prrafodelista"/>
        <w:numPr>
          <w:ilvl w:val="0"/>
          <w:numId w:val="7"/>
        </w:numPr>
        <w:spacing w:before="240" w:after="240" w:line="360" w:lineRule="auto"/>
        <w:ind w:left="426"/>
        <w:jc w:val="both"/>
        <w:rPr>
          <w:rFonts w:ascii="Palatino Linotype" w:eastAsiaTheme="minorEastAsia" w:hAnsi="Palatino Linotype"/>
          <w:i/>
          <w:sz w:val="24"/>
          <w:szCs w:val="24"/>
          <w:lang w:val="es-ES_tradnl" w:eastAsia="es-ES"/>
        </w:rPr>
      </w:pPr>
      <w:r w:rsidRPr="00FD02D3">
        <w:rPr>
          <w:rFonts w:ascii="Palatino Linotype" w:eastAsia="Calibri" w:hAnsi="Palatino Linotype" w:cs="Arial"/>
          <w:sz w:val="24"/>
          <w:szCs w:val="24"/>
          <w:lang w:val="es-ES" w:eastAsia="es-ES"/>
        </w:rPr>
        <w:t xml:space="preserve">La Comisionada Ponente con fundamento en lo dispuesto por el artículo 185 fracción II de la ley de la materia, a través del acuerdo de admisión de fecha </w:t>
      </w:r>
      <w:r w:rsidR="009D41ED">
        <w:rPr>
          <w:rFonts w:ascii="Palatino Linotype" w:eastAsia="Calibri" w:hAnsi="Palatino Linotype" w:cs="Arial"/>
          <w:b/>
          <w:sz w:val="24"/>
          <w:szCs w:val="24"/>
          <w:lang w:val="es-ES" w:eastAsia="es-ES"/>
        </w:rPr>
        <w:t>dos (02) de julio</w:t>
      </w:r>
      <w:r w:rsidRPr="00FD02D3">
        <w:rPr>
          <w:rFonts w:ascii="Palatino Linotype" w:eastAsia="Calibri" w:hAnsi="Palatino Linotype" w:cs="Arial"/>
          <w:sz w:val="24"/>
          <w:szCs w:val="24"/>
          <w:lang w:val="es-ES" w:eastAsia="es-ES"/>
        </w:rPr>
        <w:t xml:space="preserve"> de dos mil veintiuno, puso a disposición de las partes el expediente electrónico </w:t>
      </w:r>
      <w:r w:rsidRPr="00FD02D3">
        <w:rPr>
          <w:rFonts w:ascii="Palatino Linotype" w:eastAsia="Calibri" w:hAnsi="Palatino Linotype" w:cs="Arial"/>
          <w:sz w:val="24"/>
          <w:szCs w:val="24"/>
          <w:lang w:val="es-ES_tradnl" w:eastAsia="es-ES"/>
        </w:rPr>
        <w:t xml:space="preserve">vía </w:t>
      </w:r>
      <w:r w:rsidRPr="00FD02D3">
        <w:rPr>
          <w:rFonts w:ascii="Palatino Linotype" w:eastAsia="Calibri" w:hAnsi="Palatino Linotype" w:cs="Arial"/>
          <w:sz w:val="24"/>
          <w:szCs w:val="24"/>
          <w:lang w:val="es-ES" w:eastAsia="es-ES"/>
        </w:rPr>
        <w:t xml:space="preserve">Sistema de Acceso a la Información Mexiquense </w:t>
      </w:r>
      <w:r w:rsidRPr="00FD02D3">
        <w:rPr>
          <w:rFonts w:ascii="Palatino Linotype" w:eastAsia="Calibri" w:hAnsi="Palatino Linotype" w:cs="Arial"/>
          <w:b/>
          <w:sz w:val="24"/>
          <w:szCs w:val="24"/>
          <w:lang w:val="es-ES" w:eastAsia="es-ES"/>
        </w:rPr>
        <w:t xml:space="preserve">SAIMEX </w:t>
      </w:r>
      <w:r w:rsidRPr="00FD02D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FD02D3">
        <w:rPr>
          <w:rFonts w:ascii="Palatino Linotype" w:eastAsia="Calibri" w:hAnsi="Palatino Linotype" w:cs="Arial"/>
          <w:b/>
          <w:sz w:val="24"/>
          <w:szCs w:val="24"/>
          <w:lang w:val="es-ES" w:eastAsia="es-ES"/>
        </w:rPr>
        <w:t>SUJETO OBLIGADO</w:t>
      </w:r>
      <w:r w:rsidRPr="00FD02D3">
        <w:rPr>
          <w:rFonts w:ascii="Palatino Linotype" w:eastAsia="Calibri" w:hAnsi="Palatino Linotype" w:cs="Arial"/>
          <w:sz w:val="24"/>
          <w:szCs w:val="24"/>
          <w:lang w:val="es-ES" w:eastAsia="es-ES"/>
        </w:rPr>
        <w:t xml:space="preserve"> presentará el Informe Justificado proceden, situación que no ocurrió.</w:t>
      </w:r>
    </w:p>
    <w:p w:rsidR="00FD02D3" w:rsidRPr="00FD02D3" w:rsidRDefault="00FD02D3" w:rsidP="00FD02D3">
      <w:pPr>
        <w:pStyle w:val="Prrafodelista"/>
        <w:rPr>
          <w:rFonts w:ascii="Palatino Linotype" w:eastAsiaTheme="minorEastAsia" w:hAnsi="Palatino Linotype"/>
          <w:i/>
          <w:sz w:val="24"/>
          <w:szCs w:val="24"/>
          <w:lang w:val="es-ES_tradnl" w:eastAsia="es-ES"/>
        </w:rPr>
      </w:pPr>
    </w:p>
    <w:p w:rsidR="00233E98" w:rsidRPr="00233E98" w:rsidRDefault="00BC4091" w:rsidP="00233E98">
      <w:pPr>
        <w:pStyle w:val="Prrafodelista"/>
        <w:numPr>
          <w:ilvl w:val="0"/>
          <w:numId w:val="7"/>
        </w:numPr>
        <w:spacing w:before="240" w:after="240" w:line="360" w:lineRule="auto"/>
        <w:ind w:left="426"/>
        <w:jc w:val="both"/>
        <w:rPr>
          <w:rFonts w:ascii="Palatino Linotype" w:hAnsi="Palatino Linotype" w:cs="Arial"/>
          <w:sz w:val="24"/>
          <w:szCs w:val="24"/>
        </w:rPr>
      </w:pPr>
      <w:r w:rsidRPr="00233E98">
        <w:rPr>
          <w:rFonts w:ascii="Palatino Linotype" w:eastAsiaTheme="minorEastAsia" w:hAnsi="Palatino Linotype"/>
          <w:sz w:val="24"/>
          <w:szCs w:val="24"/>
          <w:lang w:val="es-ES_tradnl" w:eastAsia="es-ES"/>
        </w:rPr>
        <w:t>La</w:t>
      </w:r>
      <w:r w:rsidRPr="00233E98">
        <w:rPr>
          <w:rFonts w:ascii="Palatino Linotype" w:eastAsia="Calibri" w:hAnsi="Palatino Linotype" w:cs="Arial"/>
          <w:color w:val="000000" w:themeColor="text1"/>
          <w:sz w:val="24"/>
          <w:szCs w:val="24"/>
          <w:lang w:val="es-ES" w:eastAsia="es-ES"/>
        </w:rPr>
        <w:t xml:space="preserve"> Comisionada Ponente decretó el cierre de instrucción mediante acuerdo de </w:t>
      </w:r>
      <w:r w:rsidRPr="00233E98">
        <w:rPr>
          <w:rFonts w:ascii="Palatino Linotype" w:eastAsia="MS Mincho" w:hAnsi="Palatino Linotype" w:cs="Times New Roman"/>
          <w:sz w:val="24"/>
          <w:szCs w:val="24"/>
          <w:lang w:val="es-ES_tradnl" w:eastAsia="es-ES"/>
        </w:rPr>
        <w:t xml:space="preserve">fecha </w:t>
      </w:r>
      <w:r w:rsidR="00233E98" w:rsidRPr="00233E98">
        <w:rPr>
          <w:rFonts w:ascii="Palatino Linotype" w:eastAsia="MS Mincho" w:hAnsi="Palatino Linotype" w:cs="Times New Roman"/>
          <w:b/>
          <w:sz w:val="24"/>
          <w:szCs w:val="24"/>
          <w:lang w:val="es-ES_tradnl" w:eastAsia="es-ES"/>
        </w:rPr>
        <w:t>dos (02) de agosto</w:t>
      </w:r>
      <w:r w:rsidRPr="00233E98">
        <w:rPr>
          <w:rFonts w:ascii="Palatino Linotype" w:eastAsia="MS Mincho" w:hAnsi="Palatino Linotype" w:cs="Times New Roman"/>
          <w:b/>
          <w:sz w:val="24"/>
          <w:szCs w:val="24"/>
          <w:lang w:val="es-ES_tradnl" w:eastAsia="es-ES"/>
        </w:rPr>
        <w:t xml:space="preserve"> </w:t>
      </w:r>
      <w:r w:rsidRPr="00233E98">
        <w:rPr>
          <w:rFonts w:ascii="Palatino Linotype" w:eastAsia="Calibri" w:hAnsi="Palatino Linotype" w:cs="Arial"/>
          <w:color w:val="000000" w:themeColor="text1"/>
          <w:sz w:val="24"/>
          <w:szCs w:val="24"/>
          <w:lang w:val="es-ES" w:eastAsia="es-ES"/>
        </w:rPr>
        <w:t>de dos mil veintiuno, por lo que, ordenó tu</w:t>
      </w:r>
      <w:r w:rsidR="00233E98">
        <w:rPr>
          <w:rFonts w:ascii="Palatino Linotype" w:eastAsia="Calibri" w:hAnsi="Palatino Linotype" w:cs="Arial"/>
          <w:color w:val="000000" w:themeColor="text1"/>
          <w:sz w:val="24"/>
          <w:szCs w:val="24"/>
          <w:lang w:val="es-ES" w:eastAsia="es-ES"/>
        </w:rPr>
        <w:t xml:space="preserve">rnar el expediente a resolución. - - - - - - - - - - - - - - - - - - - - - - - - - - - - - - - - - - - - - - - - - - </w:t>
      </w:r>
    </w:p>
    <w:p w:rsidR="00233E98" w:rsidRPr="00233E98" w:rsidRDefault="00233E98" w:rsidP="00233E98">
      <w:pPr>
        <w:pStyle w:val="Prrafodelista"/>
        <w:rPr>
          <w:rFonts w:ascii="Palatino Linotype" w:eastAsia="MS Mincho" w:hAnsi="Palatino Linotype" w:cs="Times New Roman"/>
          <w:sz w:val="24"/>
          <w:szCs w:val="24"/>
          <w:lang w:val="es-ES_tradnl" w:eastAsia="es-ES"/>
        </w:rPr>
      </w:pPr>
    </w:p>
    <w:p w:rsidR="00233E98" w:rsidRPr="00233E98" w:rsidRDefault="00233E98" w:rsidP="00233E98">
      <w:pPr>
        <w:pStyle w:val="Prrafodelista"/>
        <w:numPr>
          <w:ilvl w:val="0"/>
          <w:numId w:val="7"/>
        </w:numPr>
        <w:spacing w:before="240" w:after="240" w:line="360" w:lineRule="auto"/>
        <w:ind w:left="426"/>
        <w:jc w:val="both"/>
        <w:rPr>
          <w:rFonts w:ascii="Palatino Linotype" w:hAnsi="Palatino Linotype" w:cs="Arial"/>
          <w:sz w:val="24"/>
          <w:szCs w:val="24"/>
        </w:rPr>
      </w:pPr>
      <w:r w:rsidRPr="00233E98">
        <w:rPr>
          <w:rFonts w:ascii="Palatino Linotype" w:eastAsia="MS Mincho" w:hAnsi="Palatino Linotype" w:cs="Times New Roman"/>
          <w:sz w:val="24"/>
          <w:szCs w:val="24"/>
          <w:lang w:val="es-ES_tradnl" w:eastAsia="es-ES"/>
        </w:rPr>
        <w:t xml:space="preserve">El  </w:t>
      </w:r>
      <w:r>
        <w:rPr>
          <w:rFonts w:ascii="Palatino Linotype" w:eastAsia="Calibri" w:hAnsi="Palatino Linotype" w:cs="Arial"/>
          <w:b/>
          <w:sz w:val="24"/>
          <w:szCs w:val="24"/>
          <w:lang w:val="es-ES_tradnl" w:eastAsia="es-ES"/>
        </w:rPr>
        <w:t>veintiséi</w:t>
      </w:r>
      <w:r w:rsidRPr="00233E98">
        <w:rPr>
          <w:rFonts w:ascii="Palatino Linotype" w:eastAsia="Calibri" w:hAnsi="Palatino Linotype" w:cs="Arial"/>
          <w:b/>
          <w:sz w:val="24"/>
          <w:szCs w:val="24"/>
          <w:lang w:val="es-ES_tradnl" w:eastAsia="es-ES"/>
        </w:rPr>
        <w:t>s</w:t>
      </w:r>
      <w:r>
        <w:rPr>
          <w:rFonts w:ascii="Palatino Linotype" w:eastAsia="Calibri" w:hAnsi="Palatino Linotype" w:cs="Arial"/>
          <w:b/>
          <w:sz w:val="24"/>
          <w:szCs w:val="24"/>
          <w:lang w:val="es-ES_tradnl" w:eastAsia="es-ES"/>
        </w:rPr>
        <w:t xml:space="preserve"> (26)</w:t>
      </w:r>
      <w:r w:rsidRPr="00233E98">
        <w:rPr>
          <w:rFonts w:ascii="Palatino Linotype" w:eastAsia="MS Mincho" w:hAnsi="Palatino Linotype" w:cs="Times New Roman"/>
          <w:b/>
          <w:sz w:val="24"/>
          <w:szCs w:val="24"/>
          <w:lang w:val="es-ES_tradnl" w:eastAsia="es-ES"/>
        </w:rPr>
        <w:t xml:space="preserve"> </w:t>
      </w:r>
      <w:r w:rsidRPr="00233E98">
        <w:rPr>
          <w:rFonts w:ascii="Palatino Linotype" w:eastAsia="MS Mincho" w:hAnsi="Palatino Linotype" w:cs="Times New Roman"/>
          <w:sz w:val="24"/>
          <w:szCs w:val="24"/>
          <w:lang w:val="es-ES_tradnl" w:eastAsia="es-ES"/>
        </w:rPr>
        <w:t>de</w:t>
      </w:r>
      <w:r>
        <w:rPr>
          <w:rFonts w:ascii="Palatino Linotype" w:eastAsia="MS Mincho" w:hAnsi="Palatino Linotype" w:cs="Times New Roman"/>
          <w:sz w:val="24"/>
          <w:szCs w:val="24"/>
          <w:lang w:val="es-ES_tradnl" w:eastAsia="es-ES"/>
        </w:rPr>
        <w:t xml:space="preserve"> agosto</w:t>
      </w:r>
      <w:r w:rsidRPr="00233E98">
        <w:rPr>
          <w:rFonts w:ascii="Palatino Linotype" w:eastAsia="MS Mincho" w:hAnsi="Palatino Linotype" w:cs="Times New Roman"/>
          <w:sz w:val="24"/>
          <w:szCs w:val="24"/>
          <w:lang w:val="es-ES_tradnl" w:eastAsia="es-ES"/>
        </w:rPr>
        <w:t xml:space="preserve"> dos mil veintiuno con fundamento en el artículo 181 tercer párrafo de la Ley de Transparencia y Acceso a la</w:t>
      </w:r>
      <w:r w:rsidRPr="00233E98">
        <w:rPr>
          <w:rFonts w:ascii="Palatino Linotype" w:eastAsia="MS Mincho" w:hAnsi="Palatino Linotype" w:cs="Times New Roman"/>
          <w:sz w:val="24"/>
          <w:szCs w:val="24"/>
          <w:lang w:val="es-ES_tradnl" w:eastAsia="es-ES"/>
        </w:rPr>
        <w:br/>
        <w:t>Información Pública del Estado de México y Municipios, se acordó el</w:t>
      </w:r>
      <w:r w:rsidRPr="00233E98">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w:t>
      </w:r>
    </w:p>
    <w:p w:rsidR="00233E98" w:rsidRPr="00233E98" w:rsidRDefault="00233E98" w:rsidP="00233E98">
      <w:pPr>
        <w:pStyle w:val="Prrafodelista"/>
        <w:rPr>
          <w:rFonts w:ascii="Palatino Linotype" w:hAnsi="Palatino Linotype"/>
          <w:sz w:val="24"/>
          <w:szCs w:val="24"/>
          <w:lang w:val="es-ES_tradnl"/>
        </w:rPr>
      </w:pPr>
    </w:p>
    <w:p w:rsidR="00233E98" w:rsidRPr="00233E98" w:rsidRDefault="00233E98" w:rsidP="00233E98">
      <w:pPr>
        <w:pStyle w:val="Prrafodelista"/>
        <w:numPr>
          <w:ilvl w:val="0"/>
          <w:numId w:val="7"/>
        </w:numPr>
        <w:spacing w:before="240" w:after="240" w:line="360" w:lineRule="auto"/>
        <w:ind w:left="426"/>
        <w:jc w:val="both"/>
        <w:rPr>
          <w:rFonts w:ascii="Palatino Linotype" w:hAnsi="Palatino Linotype" w:cs="Arial"/>
          <w:sz w:val="24"/>
          <w:szCs w:val="24"/>
        </w:rPr>
      </w:pPr>
      <w:r w:rsidRPr="00233E98">
        <w:rPr>
          <w:rFonts w:ascii="Palatino Linotype" w:hAnsi="Palatino Linotype"/>
          <w:sz w:val="24"/>
          <w:szCs w:val="24"/>
          <w:lang w:val="es-ES_tradnl"/>
        </w:rPr>
        <w:t xml:space="preserve">El </w:t>
      </w:r>
      <w:r w:rsidRPr="00233E98">
        <w:rPr>
          <w:rFonts w:ascii="Palatino Linotype" w:hAnsi="Palatino Linotype"/>
          <w:b/>
          <w:sz w:val="24"/>
          <w:szCs w:val="24"/>
          <w:lang w:val="es-ES_tradnl"/>
        </w:rPr>
        <w:t>veintitrés (23) de agosto</w:t>
      </w:r>
      <w:r w:rsidRPr="00233E98">
        <w:rPr>
          <w:rFonts w:ascii="Palatino Linotype" w:hAnsi="Palatino Linotype"/>
          <w:sz w:val="24"/>
          <w:szCs w:val="24"/>
          <w:lang w:val="es-ES_tradnl"/>
        </w:rPr>
        <w:t xml:space="preserve"> de dos mil veintiuno, en la </w:t>
      </w:r>
      <w:r>
        <w:rPr>
          <w:rFonts w:ascii="Palatino Linotype" w:hAnsi="Palatino Linotype"/>
          <w:sz w:val="24"/>
          <w:szCs w:val="24"/>
          <w:lang w:val="es-ES_tradnl"/>
        </w:rPr>
        <w:t>Segunda Sesión Extraordinaria</w:t>
      </w:r>
      <w:r w:rsidRPr="00233E98">
        <w:rPr>
          <w:rFonts w:ascii="Palatino Linotype" w:hAnsi="Palatino Linotype"/>
          <w:sz w:val="24"/>
          <w:szCs w:val="24"/>
          <w:lang w:val="es-ES_tradnl"/>
        </w:rPr>
        <w:t xml:space="preserve">, el </w:t>
      </w:r>
      <w:r>
        <w:rPr>
          <w:rFonts w:ascii="Palatino Linotype" w:hAnsi="Palatino Linotype"/>
          <w:sz w:val="24"/>
          <w:szCs w:val="24"/>
          <w:lang w:val="es-ES_tradnl"/>
        </w:rPr>
        <w:t xml:space="preserve">Pleno del Instituto aprobó el </w:t>
      </w:r>
      <w:r w:rsidRPr="00233E98">
        <w:rPr>
          <w:rFonts w:ascii="Palatino Linotype" w:hAnsi="Palatino Linotype"/>
          <w:sz w:val="24"/>
          <w:szCs w:val="24"/>
          <w:lang w:val="es-ES_tradnl"/>
        </w:rPr>
        <w:t>turno del recurso de revisión ind</w:t>
      </w:r>
      <w:r>
        <w:rPr>
          <w:rFonts w:ascii="Palatino Linotype" w:hAnsi="Palatino Linotype"/>
          <w:sz w:val="24"/>
          <w:szCs w:val="24"/>
          <w:lang w:val="es-ES_tradnl"/>
        </w:rPr>
        <w:t>icado al rubro a la Ponencia de la Comisionada</w:t>
      </w:r>
      <w:r w:rsidRPr="00233E98">
        <w:rPr>
          <w:rFonts w:ascii="Palatino Linotype" w:hAnsi="Palatino Linotype"/>
          <w:sz w:val="24"/>
          <w:szCs w:val="24"/>
          <w:lang w:val="es-ES_tradnl"/>
        </w:rPr>
        <w:t xml:space="preserve"> </w:t>
      </w:r>
      <w:r>
        <w:rPr>
          <w:rFonts w:ascii="Palatino Linotype" w:hAnsi="Palatino Linotype"/>
          <w:b/>
          <w:sz w:val="24"/>
          <w:szCs w:val="24"/>
          <w:lang w:val="es-ES_tradnl"/>
        </w:rPr>
        <w:t xml:space="preserve">María del Rosario Mejía Ayala, </w:t>
      </w:r>
      <w:r w:rsidRPr="00233E98">
        <w:rPr>
          <w:rFonts w:ascii="Palatino Linotype" w:hAnsi="Palatino Linotype"/>
          <w:sz w:val="24"/>
          <w:szCs w:val="24"/>
          <w:lang w:val="es-ES_tradnl"/>
        </w:rPr>
        <w:t>para su estudio y resolución</w:t>
      </w:r>
    </w:p>
    <w:p w:rsidR="003E18E3" w:rsidRPr="00F046B1" w:rsidRDefault="003E18E3" w:rsidP="003E18E3">
      <w:pPr>
        <w:spacing w:after="0" w:line="360" w:lineRule="auto"/>
        <w:jc w:val="both"/>
        <w:rPr>
          <w:rFonts w:ascii="Palatino Linotype" w:hAnsi="Palatino Linotype" w:cs="Arial"/>
          <w:sz w:val="24"/>
          <w:szCs w:val="24"/>
        </w:rPr>
      </w:pPr>
    </w:p>
    <w:p w:rsidR="003E18E3" w:rsidRPr="009D41ED" w:rsidRDefault="003E18E3" w:rsidP="009D41ED">
      <w:pPr>
        <w:pStyle w:val="Ttulo1"/>
        <w:jc w:val="center"/>
        <w:rPr>
          <w:rFonts w:ascii="Palatino Linotype" w:hAnsi="Palatino Linotype" w:cs="Arial"/>
          <w:b/>
          <w:color w:val="auto"/>
          <w:sz w:val="28"/>
          <w:szCs w:val="24"/>
        </w:rPr>
      </w:pPr>
      <w:bookmarkStart w:id="1" w:name="_Toc80819660"/>
      <w:r w:rsidRPr="009D41ED">
        <w:rPr>
          <w:rFonts w:ascii="Palatino Linotype" w:hAnsi="Palatino Linotype" w:cs="Arial"/>
          <w:b/>
          <w:color w:val="auto"/>
          <w:sz w:val="28"/>
          <w:szCs w:val="24"/>
        </w:rPr>
        <w:t>C O N S I D E R A N D O</w:t>
      </w:r>
      <w:bookmarkEnd w:id="1"/>
    </w:p>
    <w:p w:rsidR="003E18E3" w:rsidRPr="00F046B1" w:rsidRDefault="003E18E3" w:rsidP="003E18E3">
      <w:pPr>
        <w:spacing w:after="0" w:line="360" w:lineRule="auto"/>
        <w:jc w:val="center"/>
        <w:rPr>
          <w:rFonts w:ascii="Palatino Linotype" w:hAnsi="Palatino Linotype" w:cs="Arial"/>
          <w:b/>
          <w:sz w:val="24"/>
          <w:szCs w:val="24"/>
        </w:rPr>
      </w:pPr>
    </w:p>
    <w:p w:rsidR="003E18E3" w:rsidRPr="009E5ACD" w:rsidRDefault="003E18E3" w:rsidP="009E5ACD">
      <w:pPr>
        <w:pStyle w:val="Ttulo1"/>
        <w:rPr>
          <w:rFonts w:ascii="Palatino Linotype" w:hAnsi="Palatino Linotype" w:cs="Arial"/>
          <w:color w:val="auto"/>
          <w:sz w:val="24"/>
          <w:szCs w:val="24"/>
        </w:rPr>
      </w:pPr>
      <w:bookmarkStart w:id="2" w:name="_Toc80819661"/>
      <w:r w:rsidRPr="009E5ACD">
        <w:rPr>
          <w:rFonts w:ascii="Palatino Linotype" w:hAnsi="Palatino Linotype" w:cs="Arial"/>
          <w:b/>
          <w:color w:val="auto"/>
          <w:sz w:val="24"/>
          <w:szCs w:val="24"/>
        </w:rPr>
        <w:t>PRIMERO. De la competencia</w:t>
      </w:r>
      <w:r w:rsidRPr="009E5ACD">
        <w:rPr>
          <w:rFonts w:ascii="Palatino Linotype" w:hAnsi="Palatino Linotype" w:cs="Arial"/>
          <w:color w:val="auto"/>
          <w:sz w:val="24"/>
          <w:szCs w:val="24"/>
        </w:rPr>
        <w:t>.</w:t>
      </w:r>
      <w:bookmarkEnd w:id="2"/>
    </w:p>
    <w:p w:rsidR="009D41ED" w:rsidRPr="00F046B1" w:rsidRDefault="009D41ED" w:rsidP="003E18E3">
      <w:pPr>
        <w:spacing w:after="0" w:line="360" w:lineRule="auto"/>
        <w:jc w:val="both"/>
        <w:rPr>
          <w:rFonts w:ascii="Palatino Linotype" w:hAnsi="Palatino Linotype" w:cs="Arial"/>
          <w:sz w:val="28"/>
          <w:szCs w:val="28"/>
        </w:rPr>
      </w:pPr>
    </w:p>
    <w:p w:rsidR="00233E98" w:rsidRDefault="003E18E3" w:rsidP="003E18E3">
      <w:pPr>
        <w:pStyle w:val="Prrafodelista"/>
        <w:numPr>
          <w:ilvl w:val="0"/>
          <w:numId w:val="7"/>
        </w:numPr>
        <w:spacing w:after="0" w:line="360" w:lineRule="auto"/>
        <w:ind w:left="426"/>
        <w:jc w:val="both"/>
        <w:rPr>
          <w:rFonts w:ascii="Palatino Linotype" w:hAnsi="Palatino Linotype" w:cs="Arial"/>
          <w:sz w:val="24"/>
          <w:szCs w:val="24"/>
        </w:rPr>
      </w:pPr>
      <w:r w:rsidRPr="00233E9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233E98">
        <w:rPr>
          <w:rFonts w:ascii="Palatino Linotype" w:hAnsi="Palatino Linotype" w:cs="Arial"/>
          <w:b/>
          <w:sz w:val="24"/>
          <w:szCs w:val="24"/>
        </w:rPr>
        <w:t>Recurrente</w:t>
      </w:r>
      <w:r w:rsidRPr="00233E98">
        <w:rPr>
          <w:rFonts w:ascii="Palatino Linotype" w:hAnsi="Palatino Linotype" w:cs="Arial"/>
          <w:sz w:val="24"/>
          <w:szCs w:val="24"/>
        </w:rPr>
        <w:t>,</w:t>
      </w:r>
      <w:r w:rsidRPr="00233E98">
        <w:rPr>
          <w:rFonts w:ascii="Palatino Linotype" w:hAnsi="Palatino Linotype" w:cs="Arial"/>
          <w:b/>
          <w:sz w:val="24"/>
          <w:szCs w:val="24"/>
        </w:rPr>
        <w:t xml:space="preserve"> </w:t>
      </w:r>
      <w:r w:rsidRPr="00233E98">
        <w:rPr>
          <w:rFonts w:ascii="Palatino Linotype" w:hAnsi="Palatino Linotype" w:cs="Arial"/>
          <w:sz w:val="24"/>
          <w:szCs w:val="24"/>
        </w:rPr>
        <w:t xml:space="preserve">conforme a lo dispuesto en los artículos 6, apartado A, fracción IV de la Constitución Política de los Estados Unidos Mexicanos, 5, </w:t>
      </w:r>
      <w:r w:rsidRPr="00233E98">
        <w:rPr>
          <w:rFonts w:ascii="Palatino Linotype" w:hAnsi="Palatino Linotype" w:cs="Arial"/>
          <w:bCs/>
          <w:sz w:val="24"/>
          <w:szCs w:val="24"/>
          <w:lang w:val="es-ES"/>
        </w:rPr>
        <w:t>párrafos</w:t>
      </w:r>
      <w:r w:rsidRPr="00233E98">
        <w:rPr>
          <w:rFonts w:ascii="Palatino Linotype" w:hAnsi="Palatino Linotype" w:cs="Arial"/>
          <w:sz w:val="24"/>
          <w:szCs w:val="24"/>
          <w:lang w:val="es-ES"/>
        </w:rPr>
        <w:t xml:space="preserve"> vigésimo noveno, trigésimo y trigésimo primero fracciones IV y V </w:t>
      </w:r>
      <w:r w:rsidRPr="00233E98">
        <w:rPr>
          <w:rFonts w:ascii="Palatino Linotype" w:hAnsi="Palatino Linotype" w:cs="Arial"/>
          <w:sz w:val="24"/>
          <w:szCs w:val="24"/>
        </w:rPr>
        <w:t xml:space="preserve">de la Constitución Política del Estado Libre y Soberano de México, 1, 2 fracción II, 13, 29, 36 fracciones II y III, 176, 178, 179 fracción I, 181 párrafo tercero, 182, 185, 188 y 194 de la Ley de </w:t>
      </w:r>
      <w:r w:rsidRPr="00233E98">
        <w:rPr>
          <w:rFonts w:ascii="Palatino Linotype" w:hAnsi="Palatino Linotype" w:cs="Arial"/>
          <w:sz w:val="24"/>
          <w:szCs w:val="24"/>
        </w:rPr>
        <w:lastRenderedPageBreak/>
        <w:t>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FE5E0F" w:rsidRDefault="00FE5E0F" w:rsidP="00233E98">
      <w:pPr>
        <w:autoSpaceDE w:val="0"/>
        <w:autoSpaceDN w:val="0"/>
        <w:adjustRightInd w:val="0"/>
        <w:spacing w:after="0" w:line="360" w:lineRule="auto"/>
        <w:jc w:val="both"/>
        <w:rPr>
          <w:rFonts w:ascii="Palatino Linotype" w:hAnsi="Palatino Linotype" w:cs="Arial"/>
          <w:b/>
          <w:sz w:val="24"/>
          <w:szCs w:val="24"/>
        </w:rPr>
      </w:pPr>
      <w:bookmarkStart w:id="3" w:name="_Toc73700256"/>
    </w:p>
    <w:p w:rsidR="00233E98" w:rsidRPr="009E5ACD" w:rsidRDefault="00233E98" w:rsidP="009E5ACD">
      <w:pPr>
        <w:pStyle w:val="Ttulo1"/>
        <w:rPr>
          <w:rFonts w:ascii="Palatino Linotype" w:hAnsi="Palatino Linotype" w:cs="Arial"/>
          <w:b/>
          <w:color w:val="auto"/>
          <w:sz w:val="24"/>
          <w:szCs w:val="24"/>
        </w:rPr>
      </w:pPr>
      <w:bookmarkStart w:id="4" w:name="_Toc80819662"/>
      <w:r w:rsidRPr="009E5ACD">
        <w:rPr>
          <w:rFonts w:ascii="Palatino Linotype" w:hAnsi="Palatino Linotype" w:cs="Arial"/>
          <w:b/>
          <w:color w:val="auto"/>
          <w:sz w:val="24"/>
          <w:szCs w:val="24"/>
        </w:rPr>
        <w:t>SEGUNDO. De la oportunidad y procedencia.</w:t>
      </w:r>
      <w:bookmarkEnd w:id="3"/>
      <w:bookmarkEnd w:id="4"/>
    </w:p>
    <w:p w:rsidR="00233E98" w:rsidRPr="00233E98" w:rsidRDefault="00233E98" w:rsidP="00233E98">
      <w:pPr>
        <w:autoSpaceDE w:val="0"/>
        <w:autoSpaceDN w:val="0"/>
        <w:adjustRightInd w:val="0"/>
        <w:spacing w:after="0" w:line="360" w:lineRule="auto"/>
        <w:jc w:val="both"/>
        <w:rPr>
          <w:rFonts w:ascii="Palatino Linotype" w:hAnsi="Palatino Linotype" w:cs="Arial"/>
          <w:sz w:val="24"/>
          <w:szCs w:val="24"/>
        </w:rPr>
      </w:pPr>
    </w:p>
    <w:p w:rsidR="00FE5E0F" w:rsidRPr="00FE5E0F" w:rsidRDefault="00233E98" w:rsidP="00233E98">
      <w:pPr>
        <w:pStyle w:val="Prrafodelista"/>
        <w:numPr>
          <w:ilvl w:val="0"/>
          <w:numId w:val="7"/>
        </w:numPr>
        <w:autoSpaceDE w:val="0"/>
        <w:autoSpaceDN w:val="0"/>
        <w:adjustRightInd w:val="0"/>
        <w:spacing w:after="0" w:line="360" w:lineRule="auto"/>
        <w:ind w:left="426"/>
        <w:jc w:val="both"/>
        <w:rPr>
          <w:rFonts w:ascii="Palatino Linotype" w:hAnsi="Palatino Linotype" w:cs="Arial"/>
          <w:sz w:val="24"/>
          <w:szCs w:val="24"/>
          <w:lang w:val="es-ES"/>
        </w:rPr>
      </w:pPr>
      <w:r w:rsidRPr="00233E98">
        <w:rPr>
          <w:rFonts w:ascii="Palatino Linotype" w:hAnsi="Palatino Linotype" w:cs="Arial"/>
          <w:sz w:val="24"/>
          <w:szCs w:val="24"/>
        </w:rPr>
        <w:t xml:space="preserve">El medio de impugnación fue presentado a través del </w:t>
      </w:r>
      <w:r w:rsidRPr="00233E98">
        <w:rPr>
          <w:rFonts w:ascii="Palatino Linotype" w:hAnsi="Palatino Linotype" w:cs="Arial"/>
          <w:b/>
          <w:sz w:val="24"/>
          <w:szCs w:val="24"/>
        </w:rPr>
        <w:t>SAIMEX,</w:t>
      </w:r>
      <w:r w:rsidRPr="00233E98">
        <w:rPr>
          <w:rFonts w:ascii="Palatino Linotype" w:hAnsi="Palatino Linotype" w:cs="Arial"/>
          <w:sz w:val="24"/>
          <w:szCs w:val="24"/>
        </w:rPr>
        <w:t xml:space="preserve"> en el formato previamente aprobado para tal efecto y dentro del plazo legal de quince días hábiles otorgados; para el caso en particular es de señalar que el </w:t>
      </w:r>
      <w:r w:rsidRPr="00233E98">
        <w:rPr>
          <w:rFonts w:ascii="Palatino Linotype" w:hAnsi="Palatino Linotype" w:cs="Arial"/>
          <w:b/>
          <w:sz w:val="24"/>
          <w:szCs w:val="24"/>
        </w:rPr>
        <w:t>SUJETO OBLIGADO</w:t>
      </w:r>
      <w:r w:rsidRPr="00233E98">
        <w:rPr>
          <w:rFonts w:ascii="Palatino Linotype" w:hAnsi="Palatino Linotype" w:cs="Arial"/>
          <w:sz w:val="24"/>
          <w:szCs w:val="24"/>
        </w:rPr>
        <w:t xml:space="preserve"> entregó la respuesta el </w:t>
      </w:r>
      <w:r w:rsidR="00FE5E0F">
        <w:rPr>
          <w:rFonts w:ascii="Palatino Linotype" w:hAnsi="Palatino Linotype" w:cs="Arial"/>
          <w:b/>
          <w:sz w:val="24"/>
          <w:szCs w:val="24"/>
        </w:rPr>
        <w:t>veinticinco (25) de junio</w:t>
      </w:r>
      <w:r w:rsidRPr="00233E98">
        <w:rPr>
          <w:rFonts w:ascii="Palatino Linotype" w:hAnsi="Palatino Linotype" w:cs="Arial"/>
          <w:b/>
          <w:sz w:val="24"/>
          <w:szCs w:val="24"/>
        </w:rPr>
        <w:t xml:space="preserve"> </w:t>
      </w:r>
      <w:r w:rsidRPr="00233E98">
        <w:rPr>
          <w:rFonts w:ascii="Palatino Linotype" w:hAnsi="Palatino Linotype" w:cs="Arial"/>
          <w:sz w:val="24"/>
          <w:szCs w:val="24"/>
        </w:rPr>
        <w:t xml:space="preserve">de dos mil veintiuno de tal forma que el plazo para interponer los recursos transcurrió del </w:t>
      </w:r>
      <w:r w:rsidR="00FE5E0F">
        <w:rPr>
          <w:rFonts w:ascii="Palatino Linotype" w:hAnsi="Palatino Linotype" w:cs="Arial"/>
          <w:b/>
          <w:sz w:val="24"/>
          <w:szCs w:val="24"/>
        </w:rPr>
        <w:t>veintiocho (28) de junio al dieciséis (16) de julio</w:t>
      </w:r>
      <w:r w:rsidRPr="00233E98">
        <w:rPr>
          <w:rFonts w:ascii="Palatino Linotype" w:hAnsi="Palatino Linotype" w:cs="Arial"/>
          <w:b/>
          <w:sz w:val="24"/>
          <w:szCs w:val="24"/>
        </w:rPr>
        <w:t xml:space="preserve"> </w:t>
      </w:r>
      <w:r w:rsidRPr="00233E98">
        <w:rPr>
          <w:rFonts w:ascii="Palatino Linotype" w:hAnsi="Palatino Linotype" w:cs="Arial"/>
          <w:sz w:val="24"/>
          <w:szCs w:val="24"/>
        </w:rPr>
        <w:t>de dos mil veintiuno; en consecuencia, p</w:t>
      </w:r>
      <w:r w:rsidR="00FE5E0F">
        <w:rPr>
          <w:rFonts w:ascii="Palatino Linotype" w:hAnsi="Palatino Linotype" w:cs="Arial"/>
          <w:sz w:val="24"/>
          <w:szCs w:val="24"/>
        </w:rPr>
        <w:t xml:space="preserve">resentó su inconformidad el </w:t>
      </w:r>
      <w:r w:rsidR="00FE5E0F" w:rsidRPr="00FE5E0F">
        <w:rPr>
          <w:rFonts w:ascii="Palatino Linotype" w:hAnsi="Palatino Linotype" w:cs="Arial"/>
          <w:b/>
          <w:sz w:val="24"/>
          <w:szCs w:val="24"/>
        </w:rPr>
        <w:t>veinticinco</w:t>
      </w:r>
      <w:r w:rsidRPr="00FE5E0F">
        <w:rPr>
          <w:rFonts w:ascii="Palatino Linotype" w:hAnsi="Palatino Linotype" w:cs="Arial"/>
          <w:b/>
          <w:sz w:val="24"/>
          <w:szCs w:val="24"/>
        </w:rPr>
        <w:t xml:space="preserve"> </w:t>
      </w:r>
      <w:r w:rsidR="00FE5E0F">
        <w:rPr>
          <w:rFonts w:ascii="Palatino Linotype" w:hAnsi="Palatino Linotype" w:cs="Arial"/>
          <w:b/>
          <w:sz w:val="24"/>
          <w:szCs w:val="24"/>
        </w:rPr>
        <w:t>(25) de junio</w:t>
      </w:r>
      <w:r w:rsidRPr="00233E98">
        <w:rPr>
          <w:rFonts w:ascii="Palatino Linotype" w:hAnsi="Palatino Linotype" w:cs="Arial"/>
          <w:b/>
          <w:sz w:val="24"/>
          <w:szCs w:val="24"/>
        </w:rPr>
        <w:t xml:space="preserve"> </w:t>
      </w:r>
      <w:r w:rsidRPr="00233E98">
        <w:rPr>
          <w:rFonts w:ascii="Palatino Linotype" w:hAnsi="Palatino Linotype" w:cs="Arial"/>
          <w:sz w:val="24"/>
          <w:szCs w:val="24"/>
        </w:rPr>
        <w:t xml:space="preserve">de dos mil veintiuno, éste se encuentra dentro de los márgenes temporales previstos en el artículo 178 de la </w:t>
      </w:r>
      <w:r w:rsidRPr="00233E98">
        <w:rPr>
          <w:rFonts w:ascii="Palatino Linotype" w:hAnsi="Palatino Linotype" w:cs="Arial"/>
          <w:b/>
          <w:sz w:val="24"/>
          <w:szCs w:val="24"/>
        </w:rPr>
        <w:t>Ley de Transparencia y Acceso a la Información Pública del Estado de México y Municipios</w:t>
      </w:r>
      <w:r w:rsidRPr="00233E98">
        <w:rPr>
          <w:rFonts w:ascii="Palatino Linotype" w:hAnsi="Palatino Linotype" w:cs="Arial"/>
          <w:sz w:val="24"/>
          <w:szCs w:val="24"/>
        </w:rPr>
        <w:t>.</w:t>
      </w:r>
    </w:p>
    <w:p w:rsidR="00FE5E0F" w:rsidRPr="00FE5E0F" w:rsidRDefault="00FE5E0F" w:rsidP="009E5ACD">
      <w:pPr>
        <w:pStyle w:val="Ttulo1"/>
        <w:numPr>
          <w:ilvl w:val="0"/>
          <w:numId w:val="15"/>
        </w:numPr>
        <w:rPr>
          <w:rFonts w:ascii="Palatino Linotype" w:eastAsia="Calibri" w:hAnsi="Palatino Linotype" w:cs="Times New Roman"/>
          <w:b/>
          <w:i/>
          <w:sz w:val="24"/>
          <w:szCs w:val="24"/>
          <w:lang w:val="es-ES" w:eastAsia="es-ES"/>
        </w:rPr>
      </w:pPr>
      <w:bookmarkStart w:id="5" w:name="_Toc68634495"/>
      <w:bookmarkStart w:id="6" w:name="_Toc80819663"/>
      <w:r w:rsidRPr="009E5ACD">
        <w:rPr>
          <w:rFonts w:ascii="Palatino Linotype" w:eastAsia="Calibri" w:hAnsi="Palatino Linotype" w:cs="Arial"/>
          <w:b/>
          <w:i/>
          <w:color w:val="auto"/>
          <w:sz w:val="24"/>
          <w:szCs w:val="24"/>
        </w:rPr>
        <w:t>De la falta del solicitante de proporcionar nombre para ser identificado</w:t>
      </w:r>
      <w:bookmarkEnd w:id="5"/>
      <w:bookmarkEnd w:id="6"/>
    </w:p>
    <w:p w:rsidR="00FE5E0F" w:rsidRPr="00FE5E0F" w:rsidRDefault="00FE5E0F" w:rsidP="00FE5E0F">
      <w:pPr>
        <w:contextualSpacing/>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Ahora bien, de la </w:t>
      </w:r>
      <w:r w:rsidRPr="00FE5E0F">
        <w:rPr>
          <w:rFonts w:ascii="Palatino Linotype" w:eastAsia="Calibri" w:hAnsi="Palatino Linotype" w:cs="Times New Roman"/>
          <w:sz w:val="24"/>
          <w:szCs w:val="24"/>
          <w:lang w:val="es-ES"/>
        </w:rPr>
        <w:t xml:space="preserve">revisión al expediente electrónico del </w:t>
      </w:r>
      <w:r w:rsidRPr="00FE5E0F">
        <w:rPr>
          <w:rFonts w:ascii="Palatino Linotype" w:eastAsia="Calibri" w:hAnsi="Palatino Linotype" w:cs="Times New Roman"/>
          <w:i/>
          <w:sz w:val="24"/>
          <w:szCs w:val="24"/>
          <w:lang w:val="es-ES"/>
        </w:rPr>
        <w:t>SAIMEX,</w:t>
      </w:r>
      <w:r w:rsidRPr="00FE5E0F">
        <w:rPr>
          <w:rFonts w:ascii="Palatino Linotype" w:eastAsia="Calibri" w:hAnsi="Palatino Linotype" w:cs="Times New Roman"/>
          <w:sz w:val="24"/>
          <w:szCs w:val="24"/>
          <w:lang w:val="es-ES"/>
        </w:rPr>
        <w:t xml:space="preserve"> se desprende que la parte </w:t>
      </w:r>
      <w:r w:rsidRPr="00FE5E0F">
        <w:rPr>
          <w:rFonts w:ascii="Palatino Linotype" w:eastAsia="Calibri" w:hAnsi="Palatino Linotype" w:cs="Times New Roman"/>
          <w:b/>
          <w:sz w:val="24"/>
          <w:szCs w:val="24"/>
          <w:lang w:val="es-ES"/>
        </w:rPr>
        <w:t>SOLICITANTE</w:t>
      </w:r>
      <w:r w:rsidRPr="00FE5E0F">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FE5E0F">
        <w:rPr>
          <w:rFonts w:ascii="Palatino Linotype" w:eastAsia="Calibri" w:hAnsi="Palatino Linotype" w:cs="Times New Roman"/>
          <w:b/>
          <w:sz w:val="24"/>
          <w:szCs w:val="24"/>
          <w:lang w:val="es-ES"/>
        </w:rPr>
        <w:t xml:space="preserve">no proporcionó su nombre para que sea </w:t>
      </w:r>
      <w:r w:rsidRPr="00FE5E0F">
        <w:rPr>
          <w:rFonts w:ascii="Palatino Linotype" w:eastAsia="Calibri" w:hAnsi="Palatino Linotype" w:cs="Times New Roman"/>
          <w:b/>
          <w:sz w:val="24"/>
          <w:szCs w:val="24"/>
          <w:u w:val="single"/>
          <w:lang w:val="es-ES"/>
        </w:rPr>
        <w:t>identificado</w:t>
      </w:r>
      <w:r w:rsidRPr="00FE5E0F">
        <w:rPr>
          <w:rFonts w:ascii="Palatino Linotype" w:eastAsia="Calibri" w:hAnsi="Palatino Linotype" w:cs="Times New Roman"/>
          <w:b/>
          <w:sz w:val="24"/>
          <w:szCs w:val="24"/>
          <w:lang w:val="es-ES"/>
        </w:rPr>
        <w:t>,</w:t>
      </w:r>
      <w:r w:rsidRPr="00FE5E0F">
        <w:rPr>
          <w:rFonts w:ascii="Palatino Linotype" w:eastAsia="Calibri" w:hAnsi="Palatino Linotype" w:cs="Times New Roman"/>
          <w:sz w:val="24"/>
          <w:szCs w:val="24"/>
          <w:lang w:val="es-ES"/>
        </w:rPr>
        <w:t xml:space="preserve"> ni se tiene la certeza sobre su identidad; sin embargo, es importante señalar también </w:t>
      </w:r>
      <w:r w:rsidRPr="00FE5E0F">
        <w:rPr>
          <w:rFonts w:ascii="Palatino Linotype" w:eastAsia="Calibri" w:hAnsi="Palatino Linotype" w:cs="Times New Roman"/>
          <w:sz w:val="24"/>
          <w:szCs w:val="24"/>
          <w:lang w:val="es-ES"/>
        </w:rPr>
        <w:lastRenderedPageBreak/>
        <w:t xml:space="preserve">que </w:t>
      </w:r>
      <w:r w:rsidRPr="00FE5E0F">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FE5E0F" w:rsidRPr="00FE5E0F" w:rsidRDefault="00FE5E0F" w:rsidP="00FE5E0F">
      <w:pPr>
        <w:pStyle w:val="Prrafodelista"/>
        <w:spacing w:before="240" w:after="240" w:line="360" w:lineRule="auto"/>
        <w:ind w:left="426"/>
        <w:jc w:val="both"/>
        <w:rPr>
          <w:rFonts w:ascii="Palatino Linotype" w:hAnsi="Palatino Linotype"/>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Esto </w:t>
      </w:r>
      <w:r w:rsidRPr="00FE5E0F">
        <w:rPr>
          <w:rFonts w:ascii="Palatino Linotype" w:eastAsia="Calibri" w:hAnsi="Palatino Linotype" w:cs="Times New Roman"/>
          <w:sz w:val="24"/>
          <w:szCs w:val="24"/>
          <w:lang w:val="es-ES"/>
        </w:rPr>
        <w:t xml:space="preserve">es así, ya que de conformidad con los artículos 6, apartado A, fracciones III y IV de la </w:t>
      </w:r>
      <w:r w:rsidRPr="00FE5E0F">
        <w:rPr>
          <w:rFonts w:ascii="Palatino Linotype" w:eastAsia="Calibri" w:hAnsi="Palatino Linotype" w:cs="Times New Roman"/>
          <w:b/>
          <w:sz w:val="24"/>
          <w:szCs w:val="24"/>
          <w:lang w:val="es-ES"/>
        </w:rPr>
        <w:t>Constitución Política de los Estados Unidos Mexicanos</w:t>
      </w:r>
      <w:r w:rsidRPr="00FE5E0F">
        <w:rPr>
          <w:rFonts w:ascii="Palatino Linotype" w:eastAsia="Calibri" w:hAnsi="Palatino Linotype" w:cs="Times New Roman"/>
          <w:sz w:val="24"/>
          <w:szCs w:val="24"/>
          <w:lang w:val="es-ES"/>
        </w:rPr>
        <w:t xml:space="preserve">; 5, párrafos vigésimo segundo, vigésimo tercero y vigésimo cuarto fracciones III, IV y V de la </w:t>
      </w:r>
      <w:r w:rsidRPr="00FE5E0F">
        <w:rPr>
          <w:rFonts w:ascii="Palatino Linotype" w:eastAsia="Calibri" w:hAnsi="Palatino Linotype" w:cs="Times New Roman"/>
          <w:b/>
          <w:sz w:val="24"/>
          <w:szCs w:val="24"/>
          <w:lang w:val="es-ES"/>
        </w:rPr>
        <w:t>Constitución Política del Estado Libre y Soberano de México</w:t>
      </w:r>
      <w:r w:rsidRPr="00FE5E0F">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E5E0F" w:rsidRP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Por </w:t>
      </w:r>
      <w:r w:rsidRPr="00FE5E0F">
        <w:rPr>
          <w:rFonts w:ascii="Palatino Linotype" w:eastAsia="Calibri" w:hAnsi="Palatino Linotype" w:cs="Arial"/>
          <w:sz w:val="24"/>
          <w:szCs w:val="24"/>
        </w:rPr>
        <w:t xml:space="preserve">lo cual, </w:t>
      </w:r>
      <w:r w:rsidRPr="00FE5E0F">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FE5E0F">
        <w:rPr>
          <w:rFonts w:ascii="Palatino Linotype" w:eastAsia="Calibri" w:hAnsi="Palatino Linotype" w:cs="Arial"/>
          <w:sz w:val="24"/>
          <w:szCs w:val="24"/>
        </w:rPr>
        <w:t>.</w:t>
      </w:r>
    </w:p>
    <w:p w:rsidR="00FE5E0F" w:rsidRP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Asimismo, </w:t>
      </w:r>
      <w:r w:rsidRPr="00FE5E0F">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FE5E0F" w:rsidRP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De </w:t>
      </w:r>
      <w:r w:rsidRPr="00FE5E0F">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FE5E0F" w:rsidRP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En ese </w:t>
      </w:r>
      <w:r w:rsidRPr="00FE5E0F">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FE5E0F" w:rsidRP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hAnsi="Palatino Linotype" w:cs="Arial"/>
          <w:sz w:val="24"/>
          <w:szCs w:val="24"/>
        </w:rPr>
        <w:t xml:space="preserve">Ergo, </w:t>
      </w:r>
      <w:r w:rsidRPr="00FE5E0F">
        <w:rPr>
          <w:rFonts w:ascii="Palatino Linotype" w:eastAsia="Times New Roman" w:hAnsi="Palatino Linotype" w:cs="Arial"/>
          <w:sz w:val="24"/>
          <w:szCs w:val="24"/>
          <w:lang w:val="es-ES"/>
        </w:rPr>
        <w:t xml:space="preserve">el nombre del </w:t>
      </w:r>
      <w:r w:rsidRPr="00FE5E0F">
        <w:rPr>
          <w:rFonts w:ascii="Palatino Linotype" w:eastAsia="Times New Roman" w:hAnsi="Palatino Linotype" w:cs="Arial"/>
          <w:b/>
          <w:sz w:val="24"/>
          <w:szCs w:val="24"/>
          <w:lang w:val="es-ES"/>
        </w:rPr>
        <w:t>SOLICITANTE</w:t>
      </w:r>
      <w:r w:rsidRPr="00FE5E0F">
        <w:rPr>
          <w:rFonts w:ascii="Palatino Linotype" w:eastAsia="Times New Roman" w:hAnsi="Palatino Linotype" w:cs="Arial"/>
          <w:sz w:val="24"/>
          <w:szCs w:val="24"/>
          <w:lang w:val="es-ES"/>
        </w:rPr>
        <w:t xml:space="preserve"> y subsecuente </w:t>
      </w:r>
      <w:r w:rsidRPr="00FE5E0F">
        <w:rPr>
          <w:rFonts w:ascii="Palatino Linotype" w:eastAsia="Times New Roman" w:hAnsi="Palatino Linotype" w:cs="Arial"/>
          <w:b/>
          <w:sz w:val="24"/>
          <w:szCs w:val="24"/>
          <w:lang w:val="es-ES"/>
        </w:rPr>
        <w:t>RECURRENTE</w:t>
      </w:r>
      <w:r w:rsidRPr="00FE5E0F">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FE5E0F">
        <w:rPr>
          <w:rFonts w:ascii="Palatino Linotype" w:eastAsia="Times New Roman" w:hAnsi="Palatino Linotype" w:cs="Arial"/>
          <w:sz w:val="24"/>
          <w:szCs w:val="24"/>
          <w:lang w:val="es-ES"/>
        </w:rPr>
        <w:t>Resolutor</w:t>
      </w:r>
      <w:proofErr w:type="spellEnd"/>
      <w:r w:rsidRPr="00FE5E0F">
        <w:rPr>
          <w:rFonts w:ascii="Palatino Linotype" w:eastAsia="Times New Roman" w:hAnsi="Palatino Linotype" w:cs="Arial"/>
          <w:sz w:val="24"/>
          <w:szCs w:val="24"/>
          <w:lang w:val="es-ES"/>
        </w:rPr>
        <w:t>.</w:t>
      </w:r>
    </w:p>
    <w:p w:rsidR="00FE5E0F" w:rsidRPr="00FE5E0F" w:rsidRDefault="00FE5E0F" w:rsidP="00FE5E0F">
      <w:pPr>
        <w:pStyle w:val="Prrafodelista"/>
        <w:rPr>
          <w:rFonts w:ascii="Palatino Linotype" w:hAnsi="Palatino Linotype"/>
          <w:sz w:val="24"/>
          <w:szCs w:val="24"/>
        </w:rPr>
      </w:pPr>
    </w:p>
    <w:p w:rsidR="00FE5E0F" w:rsidRDefault="00FE5E0F" w:rsidP="009E5ACD">
      <w:pPr>
        <w:pStyle w:val="Prrafodelista"/>
        <w:numPr>
          <w:ilvl w:val="0"/>
          <w:numId w:val="15"/>
        </w:numPr>
        <w:outlineLvl w:val="0"/>
        <w:rPr>
          <w:rFonts w:ascii="Palatino Linotype" w:hAnsi="Palatino Linotype"/>
          <w:b/>
          <w:i/>
          <w:sz w:val="24"/>
          <w:szCs w:val="24"/>
        </w:rPr>
      </w:pPr>
      <w:bookmarkStart w:id="7" w:name="_Toc68794942"/>
      <w:bookmarkStart w:id="8" w:name="_Toc80819664"/>
      <w:r w:rsidRPr="000E4FB3">
        <w:rPr>
          <w:rFonts w:ascii="Palatino Linotype" w:hAnsi="Palatino Linotype"/>
          <w:b/>
          <w:i/>
          <w:sz w:val="24"/>
          <w:szCs w:val="24"/>
        </w:rPr>
        <w:t>De la extemporaneidad del medio de impugnación.</w:t>
      </w:r>
      <w:bookmarkEnd w:id="7"/>
      <w:bookmarkEnd w:id="8"/>
    </w:p>
    <w:p w:rsidR="00FE5E0F" w:rsidRDefault="00FE5E0F" w:rsidP="00FE5E0F">
      <w:pPr>
        <w:pStyle w:val="Prrafodelista"/>
        <w:outlineLvl w:val="0"/>
        <w:rPr>
          <w:rFonts w:ascii="Palatino Linotype" w:hAnsi="Palatino Linotype"/>
          <w:b/>
          <w:i/>
          <w:sz w:val="24"/>
          <w:szCs w:val="24"/>
        </w:rPr>
      </w:pPr>
    </w:p>
    <w:p w:rsidR="00FE5E0F" w:rsidRPr="00FE5E0F" w:rsidRDefault="00FE5E0F" w:rsidP="00FE5E0F">
      <w:pPr>
        <w:pStyle w:val="Prrafodelista"/>
        <w:numPr>
          <w:ilvl w:val="0"/>
          <w:numId w:val="7"/>
        </w:numPr>
        <w:spacing w:after="0" w:line="360" w:lineRule="auto"/>
        <w:ind w:left="426"/>
        <w:jc w:val="both"/>
        <w:rPr>
          <w:rFonts w:ascii="Palatino Linotype" w:eastAsia="Times New Roman" w:hAnsi="Palatino Linotype" w:cs="Arial"/>
          <w:bCs/>
          <w:color w:val="555555"/>
          <w:sz w:val="24"/>
          <w:szCs w:val="24"/>
          <w:lang w:eastAsia="es-MX"/>
        </w:rPr>
      </w:pPr>
      <w:r w:rsidRPr="00FE5E0F">
        <w:rPr>
          <w:rFonts w:ascii="Palatino Linotype" w:hAnsi="Palatino Linotype" w:cs="Arial"/>
          <w:sz w:val="24"/>
          <w:szCs w:val="24"/>
        </w:rPr>
        <w:t xml:space="preserve">Al respecto </w:t>
      </w:r>
      <w:r w:rsidRPr="00FE5E0F">
        <w:rPr>
          <w:rFonts w:ascii="Palatino Linotype" w:eastAsia="Times New Roman" w:hAnsi="Palatino Linotype" w:cs="Arial"/>
          <w:bCs/>
          <w:color w:val="000000"/>
          <w:sz w:val="24"/>
          <w:szCs w:val="24"/>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w:t>
      </w:r>
      <w:r w:rsidRPr="00FE5E0F">
        <w:rPr>
          <w:rFonts w:ascii="Palatino Linotype" w:eastAsia="Times New Roman" w:hAnsi="Palatino Linotype" w:cs="Arial"/>
          <w:bCs/>
          <w:color w:val="000000"/>
          <w:sz w:val="24"/>
          <w:szCs w:val="24"/>
          <w:lang w:eastAsia="es-MX"/>
        </w:rPr>
        <w:lastRenderedPageBreak/>
        <w:t>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FE5E0F" w:rsidRPr="00FE5E0F" w:rsidRDefault="00FE5E0F" w:rsidP="00FE5E0F">
      <w:pPr>
        <w:pStyle w:val="Prrafodelista"/>
        <w:spacing w:after="0" w:line="360" w:lineRule="auto"/>
        <w:ind w:left="426"/>
        <w:jc w:val="both"/>
        <w:rPr>
          <w:rFonts w:ascii="Palatino Linotype" w:eastAsia="Times New Roman" w:hAnsi="Palatino Linotype" w:cs="Arial"/>
          <w:bCs/>
          <w:color w:val="555555"/>
          <w:sz w:val="24"/>
          <w:szCs w:val="24"/>
          <w:lang w:eastAsia="es-MX"/>
        </w:rPr>
      </w:pPr>
    </w:p>
    <w:p w:rsidR="00FE5E0F" w:rsidRPr="00FE5E0F" w:rsidRDefault="00FE5E0F" w:rsidP="00FE5E0F">
      <w:pPr>
        <w:pStyle w:val="Prrafodelista"/>
        <w:numPr>
          <w:ilvl w:val="0"/>
          <w:numId w:val="7"/>
        </w:numPr>
        <w:spacing w:after="0" w:line="360" w:lineRule="auto"/>
        <w:ind w:left="426"/>
        <w:jc w:val="both"/>
        <w:rPr>
          <w:rFonts w:ascii="Palatino Linotype" w:eastAsia="Times New Roman" w:hAnsi="Palatino Linotype" w:cs="Arial"/>
          <w:bCs/>
          <w:color w:val="555555"/>
          <w:sz w:val="24"/>
          <w:szCs w:val="24"/>
          <w:lang w:eastAsia="es-MX"/>
        </w:rPr>
      </w:pPr>
      <w:r w:rsidRPr="00FE5E0F">
        <w:rPr>
          <w:rFonts w:ascii="Palatino Linotype" w:hAnsi="Palatino Linotype" w:cs="Arial"/>
          <w:sz w:val="24"/>
          <w:szCs w:val="24"/>
        </w:rPr>
        <w:t>Lo</w:t>
      </w:r>
      <w:r w:rsidRPr="00FE5E0F">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FE5E0F" w:rsidRDefault="00FE5E0F" w:rsidP="00FE5E0F">
      <w:pPr>
        <w:pStyle w:val="Prrafodelista"/>
        <w:ind w:left="360" w:hanging="360"/>
        <w:rPr>
          <w:rFonts w:ascii="Palatino Linotype" w:eastAsia="Times New Roman" w:hAnsi="Palatino Linotype" w:cs="Arial"/>
          <w:bCs/>
          <w:color w:val="555555"/>
          <w:sz w:val="24"/>
          <w:szCs w:val="24"/>
          <w:lang w:eastAsia="es-MX"/>
        </w:rPr>
      </w:pP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b/>
          <w:i/>
        </w:rPr>
        <w:t>RECURSO DE RECLAMACIÓN. SU INTERPOSICIÓN NO ES EXTEMPORÁNEA SI SE REALIZA ANTES DE QUE INICIE EL PLAZO PARA HACERLO</w:t>
      </w:r>
      <w:r w:rsidRPr="007C69AC">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FE5E0F" w:rsidRPr="007C69AC" w:rsidRDefault="00FE5E0F" w:rsidP="00FE5E0F">
      <w:pPr>
        <w:tabs>
          <w:tab w:val="left" w:pos="8222"/>
        </w:tabs>
        <w:spacing w:before="240" w:after="240" w:line="360" w:lineRule="auto"/>
        <w:ind w:left="567" w:right="616"/>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 1a</w:t>
      </w:r>
      <w:proofErr w:type="gramStart"/>
      <w:r w:rsidRPr="007C69AC">
        <w:rPr>
          <w:rFonts w:ascii="Palatino Linotype" w:eastAsia="Times New Roman" w:hAnsi="Palatino Linotype" w:cs="Arial"/>
          <w:i/>
        </w:rPr>
        <w:t>./</w:t>
      </w:r>
      <w:proofErr w:type="gramEnd"/>
      <w:r w:rsidRPr="007C69AC">
        <w:rPr>
          <w:rFonts w:ascii="Palatino Linotype" w:eastAsia="Times New Roman" w:hAnsi="Palatino Linotype" w:cs="Arial"/>
          <w:i/>
        </w:rPr>
        <w:t xml:space="preserve">J. 41/2015 (10a.)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7C69AC">
        <w:rPr>
          <w:rFonts w:ascii="Palatino Linotype" w:eastAsia="Times New Roman" w:hAnsi="Palatino Linotype" w:cs="Arial"/>
          <w:i/>
        </w:rPr>
        <w:t>Arboleya</w:t>
      </w:r>
      <w:proofErr w:type="spellEnd"/>
      <w:r w:rsidRPr="007C69AC">
        <w:rPr>
          <w:rFonts w:ascii="Palatino Linotype" w:eastAsia="Times New Roman" w:hAnsi="Palatino Linotype" w:cs="Arial"/>
          <w:i/>
        </w:rPr>
        <w:t xml:space="preserve">.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C69AC">
        <w:rPr>
          <w:rFonts w:ascii="Palatino Linotype" w:eastAsia="Times New Roman" w:hAnsi="Palatino Linotype" w:cs="Arial"/>
          <w:i/>
        </w:rPr>
        <w:t>Goslinga</w:t>
      </w:r>
      <w:proofErr w:type="spellEnd"/>
      <w:r w:rsidRPr="007C69AC">
        <w:rPr>
          <w:rFonts w:ascii="Palatino Linotype" w:eastAsia="Times New Roman" w:hAnsi="Palatino Linotype" w:cs="Arial"/>
          <w:i/>
        </w:rPr>
        <w:t xml:space="preserve"> </w:t>
      </w:r>
      <w:proofErr w:type="spellStart"/>
      <w:r w:rsidRPr="007C69AC">
        <w:rPr>
          <w:rFonts w:ascii="Palatino Linotype" w:eastAsia="Times New Roman" w:hAnsi="Palatino Linotype" w:cs="Arial"/>
          <w:i/>
        </w:rPr>
        <w:t>Remírez</w:t>
      </w:r>
      <w:proofErr w:type="spellEnd"/>
      <w:r w:rsidRPr="007C69AC">
        <w:rPr>
          <w:rFonts w:ascii="Palatino Linotype" w:eastAsia="Times New Roman" w:hAnsi="Palatino Linotype" w:cs="Arial"/>
          <w:i/>
        </w:rPr>
        <w:t xml:space="preserve">.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FE5E0F" w:rsidRPr="007C69AC" w:rsidRDefault="00FE5E0F" w:rsidP="00FE5E0F">
      <w:pPr>
        <w:tabs>
          <w:tab w:val="left" w:pos="8222"/>
        </w:tabs>
        <w:spacing w:before="240" w:after="240" w:line="360" w:lineRule="auto"/>
        <w:ind w:left="567" w:right="850"/>
        <w:contextualSpacing/>
        <w:jc w:val="both"/>
        <w:rPr>
          <w:rFonts w:ascii="Palatino Linotype" w:eastAsia="Times New Roman" w:hAnsi="Palatino Linotype" w:cs="Arial"/>
          <w:i/>
        </w:rPr>
      </w:pPr>
      <w:r w:rsidRPr="007C69AC">
        <w:rPr>
          <w:rFonts w:ascii="Palatino Linotype" w:eastAsia="Times New Roman" w:hAnsi="Palatino Linotype" w:cs="Arial"/>
          <w:i/>
        </w:rPr>
        <w:t>Tesis de jurisprudencia 41/2015 (10a.). Aprobada por la Primera Sala de este Alto Tribunal, en sesión privada de veintisiete de mayo de dos mil quince.</w:t>
      </w:r>
    </w:p>
    <w:p w:rsidR="00FE5E0F" w:rsidRPr="007C69AC" w:rsidRDefault="00FE5E0F" w:rsidP="00FE5E0F">
      <w:pPr>
        <w:pStyle w:val="Prrafodelista"/>
        <w:numPr>
          <w:ilvl w:val="0"/>
          <w:numId w:val="7"/>
        </w:numPr>
        <w:spacing w:after="0" w:line="360" w:lineRule="auto"/>
        <w:ind w:left="426" w:right="49"/>
        <w:jc w:val="both"/>
        <w:rPr>
          <w:rFonts w:ascii="Palatino Linotype" w:eastAsiaTheme="minorEastAsia" w:hAnsi="Palatino Linotype" w:cs="Arial"/>
          <w:i/>
          <w:sz w:val="24"/>
          <w:szCs w:val="24"/>
        </w:rPr>
      </w:pPr>
      <w:r w:rsidRPr="007C69AC">
        <w:rPr>
          <w:rFonts w:ascii="Palatino Linotype" w:hAnsi="Palatino Linotype" w:cs="Arial"/>
          <w:sz w:val="24"/>
          <w:szCs w:val="24"/>
        </w:rPr>
        <w:t>Esto</w:t>
      </w:r>
      <w:r w:rsidRPr="007C69AC">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w:t>
      </w:r>
      <w:r w:rsidRPr="007C69AC">
        <w:rPr>
          <w:rFonts w:ascii="Palatino Linotype" w:hAnsi="Palatino Linotype"/>
          <w:sz w:val="24"/>
          <w:szCs w:val="24"/>
        </w:rPr>
        <w:lastRenderedPageBreak/>
        <w:t>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FE5E0F" w:rsidRPr="00BE5A7F" w:rsidRDefault="00FE5E0F" w:rsidP="00FE5E0F">
      <w:pPr>
        <w:pStyle w:val="Prrafodelista"/>
        <w:tabs>
          <w:tab w:val="left" w:pos="0"/>
        </w:tabs>
        <w:spacing w:after="0" w:line="360" w:lineRule="auto"/>
        <w:ind w:left="360" w:right="49" w:hanging="360"/>
        <w:jc w:val="both"/>
        <w:rPr>
          <w:rFonts w:ascii="Palatino Linotype" w:eastAsiaTheme="minorEastAsia" w:hAnsi="Palatino Linotype" w:cs="Arial"/>
          <w:i/>
          <w:sz w:val="24"/>
          <w:szCs w:val="24"/>
        </w:rPr>
      </w:pPr>
    </w:p>
    <w:p w:rsidR="00FE5E0F" w:rsidRPr="007C69AC" w:rsidRDefault="00FE5E0F" w:rsidP="00FE5E0F">
      <w:pPr>
        <w:pStyle w:val="Prrafodelista"/>
        <w:numPr>
          <w:ilvl w:val="0"/>
          <w:numId w:val="7"/>
        </w:numPr>
        <w:tabs>
          <w:tab w:val="left" w:pos="0"/>
        </w:tabs>
        <w:spacing w:after="0" w:line="360" w:lineRule="auto"/>
        <w:ind w:left="426" w:right="49"/>
        <w:jc w:val="both"/>
        <w:rPr>
          <w:rFonts w:ascii="Palatino Linotype" w:eastAsiaTheme="minorEastAsia" w:hAnsi="Palatino Linotype" w:cs="Arial"/>
          <w:i/>
          <w:sz w:val="24"/>
          <w:szCs w:val="24"/>
        </w:rPr>
      </w:pPr>
      <w:r w:rsidRPr="007C69AC">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FE5E0F" w:rsidRPr="007C69AC" w:rsidRDefault="00FE5E0F" w:rsidP="00FE5E0F">
      <w:pPr>
        <w:pStyle w:val="Prrafodelista"/>
        <w:ind w:left="360" w:hanging="360"/>
        <w:rPr>
          <w:rFonts w:ascii="Palatino Linotype" w:hAnsi="Palatino Linotype"/>
          <w:sz w:val="24"/>
          <w:szCs w:val="24"/>
        </w:rPr>
      </w:pPr>
    </w:p>
    <w:p w:rsidR="00FE5E0F" w:rsidRPr="00097652" w:rsidRDefault="00FE5E0F" w:rsidP="00FE5E0F">
      <w:pPr>
        <w:pStyle w:val="Prrafodelista"/>
        <w:numPr>
          <w:ilvl w:val="0"/>
          <w:numId w:val="7"/>
        </w:numPr>
        <w:tabs>
          <w:tab w:val="left" w:pos="0"/>
        </w:tabs>
        <w:spacing w:after="0" w:line="360" w:lineRule="auto"/>
        <w:ind w:left="426" w:right="49"/>
        <w:jc w:val="both"/>
        <w:rPr>
          <w:rFonts w:ascii="Palatino Linotype" w:eastAsiaTheme="minorEastAsia" w:hAnsi="Palatino Linotype" w:cs="Arial"/>
          <w:i/>
          <w:sz w:val="24"/>
          <w:szCs w:val="24"/>
        </w:rPr>
      </w:pPr>
      <w:r w:rsidRPr="007C69AC">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7C69AC">
        <w:rPr>
          <w:rFonts w:ascii="Palatino Linotype" w:hAnsi="Palatino Linotype"/>
          <w:b/>
          <w:sz w:val="24"/>
          <w:szCs w:val="24"/>
        </w:rPr>
        <w:t>SUJETO OBLIGADO.</w:t>
      </w:r>
    </w:p>
    <w:p w:rsidR="00FE5E0F" w:rsidRDefault="00FE5E0F" w:rsidP="00FE5E0F">
      <w:pPr>
        <w:pStyle w:val="Prrafodelista"/>
        <w:rPr>
          <w:rFonts w:ascii="Palatino Linotype" w:hAnsi="Palatino Linotype" w:cs="Arial"/>
          <w:sz w:val="24"/>
          <w:szCs w:val="24"/>
        </w:rPr>
      </w:pPr>
    </w:p>
    <w:p w:rsidR="00FE5E0F" w:rsidRPr="00FE5E0F" w:rsidRDefault="00FE5E0F" w:rsidP="00FE5E0F">
      <w:pPr>
        <w:pStyle w:val="Prrafodelista"/>
        <w:numPr>
          <w:ilvl w:val="0"/>
          <w:numId w:val="7"/>
        </w:numPr>
        <w:spacing w:before="240" w:after="240" w:line="360" w:lineRule="auto"/>
        <w:ind w:left="426"/>
        <w:jc w:val="both"/>
        <w:rPr>
          <w:rFonts w:ascii="Palatino Linotype" w:hAnsi="Palatino Linotype"/>
          <w:sz w:val="24"/>
          <w:szCs w:val="24"/>
        </w:rPr>
      </w:pPr>
      <w:r w:rsidRPr="00FE5E0F">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FE5E0F" w:rsidRPr="00FE5E0F" w:rsidRDefault="00FE5E0F" w:rsidP="00FE5E0F">
      <w:pPr>
        <w:pStyle w:val="Prrafodelista"/>
        <w:autoSpaceDE w:val="0"/>
        <w:autoSpaceDN w:val="0"/>
        <w:adjustRightInd w:val="0"/>
        <w:spacing w:after="0" w:line="360" w:lineRule="auto"/>
        <w:ind w:left="426"/>
        <w:jc w:val="both"/>
        <w:rPr>
          <w:rFonts w:ascii="Palatino Linotype" w:hAnsi="Palatino Linotype" w:cs="Arial"/>
          <w:sz w:val="24"/>
          <w:szCs w:val="24"/>
          <w:lang w:val="es-ES"/>
        </w:rPr>
      </w:pPr>
    </w:p>
    <w:p w:rsidR="00233E98" w:rsidRPr="009E5ACD" w:rsidRDefault="00F7003C" w:rsidP="009E5ACD">
      <w:pPr>
        <w:pStyle w:val="Ttulo1"/>
        <w:rPr>
          <w:rFonts w:ascii="Palatino Linotype" w:eastAsia="MS Mincho" w:hAnsi="Palatino Linotype"/>
          <w:b/>
          <w:color w:val="auto"/>
          <w:sz w:val="24"/>
          <w:szCs w:val="24"/>
          <w:lang w:val="es-ES_tradnl" w:eastAsia="es-ES"/>
        </w:rPr>
      </w:pPr>
      <w:bookmarkStart w:id="9" w:name="_Toc80819665"/>
      <w:r w:rsidRPr="009E5ACD">
        <w:rPr>
          <w:rFonts w:ascii="Palatino Linotype" w:eastAsia="MS Mincho" w:hAnsi="Palatino Linotype"/>
          <w:b/>
          <w:color w:val="auto"/>
          <w:sz w:val="24"/>
          <w:szCs w:val="24"/>
          <w:lang w:val="es-ES_tradnl" w:eastAsia="es-ES"/>
        </w:rPr>
        <w:t xml:space="preserve">TERCERO. Previo </w:t>
      </w:r>
      <w:r w:rsidR="00775D3D">
        <w:rPr>
          <w:rFonts w:ascii="Palatino Linotype" w:eastAsia="MS Mincho" w:hAnsi="Palatino Linotype"/>
          <w:b/>
          <w:color w:val="auto"/>
          <w:sz w:val="24"/>
          <w:szCs w:val="24"/>
          <w:lang w:val="es-ES_tradnl" w:eastAsia="es-ES"/>
        </w:rPr>
        <w:t xml:space="preserve">y </w:t>
      </w:r>
      <w:r w:rsidRPr="009E5ACD">
        <w:rPr>
          <w:rFonts w:ascii="Palatino Linotype" w:eastAsia="MS Mincho" w:hAnsi="Palatino Linotype"/>
          <w:b/>
          <w:color w:val="auto"/>
          <w:sz w:val="24"/>
          <w:szCs w:val="24"/>
          <w:lang w:val="es-ES_tradnl" w:eastAsia="es-ES"/>
        </w:rPr>
        <w:t>especial pronunciamiento</w:t>
      </w:r>
      <w:bookmarkEnd w:id="9"/>
    </w:p>
    <w:p w:rsidR="004B3514" w:rsidRDefault="004B3514" w:rsidP="003E18E3">
      <w:pPr>
        <w:autoSpaceDE w:val="0"/>
        <w:autoSpaceDN w:val="0"/>
        <w:adjustRightInd w:val="0"/>
        <w:spacing w:after="0" w:line="360" w:lineRule="auto"/>
        <w:jc w:val="both"/>
        <w:rPr>
          <w:rFonts w:ascii="Palatino Linotype" w:eastAsia="MS Mincho" w:hAnsi="Palatino Linotype" w:cstheme="majorBidi"/>
          <w:b/>
          <w:sz w:val="24"/>
          <w:szCs w:val="24"/>
          <w:lang w:val="es-ES_tradnl" w:eastAsia="es-ES"/>
        </w:rPr>
      </w:pPr>
    </w:p>
    <w:p w:rsidR="004B3514" w:rsidRPr="009E5ACD" w:rsidRDefault="004B3514" w:rsidP="009E5ACD">
      <w:pPr>
        <w:pStyle w:val="Ttulo1"/>
        <w:numPr>
          <w:ilvl w:val="0"/>
          <w:numId w:val="17"/>
        </w:numPr>
        <w:rPr>
          <w:rFonts w:ascii="Palatino Linotype" w:eastAsia="MS Mincho" w:hAnsi="Palatino Linotype" w:cs="Times New Roman"/>
          <w:b/>
          <w:i/>
          <w:color w:val="auto"/>
          <w:sz w:val="24"/>
          <w:szCs w:val="24"/>
          <w:lang w:eastAsia="es-ES"/>
        </w:rPr>
      </w:pPr>
      <w:bookmarkStart w:id="10" w:name="_Toc65743794"/>
      <w:bookmarkStart w:id="11" w:name="_Toc65849900"/>
      <w:bookmarkStart w:id="12" w:name="_Toc66352322"/>
      <w:bookmarkStart w:id="13" w:name="_Toc68794944"/>
      <w:bookmarkStart w:id="14" w:name="_Toc80819666"/>
      <w:r w:rsidRPr="009E5ACD">
        <w:rPr>
          <w:rFonts w:ascii="Palatino Linotype" w:eastAsia="MS Mincho" w:hAnsi="Palatino Linotype" w:cs="Times New Roman"/>
          <w:b/>
          <w:i/>
          <w:color w:val="auto"/>
          <w:sz w:val="24"/>
          <w:szCs w:val="24"/>
          <w:lang w:val="es-ES" w:eastAsia="es-ES"/>
        </w:rPr>
        <w:t>De la suspensión de plazos derivado del SARS-Cov-2-COVID-19</w:t>
      </w:r>
      <w:bookmarkEnd w:id="10"/>
      <w:bookmarkEnd w:id="11"/>
      <w:bookmarkEnd w:id="12"/>
      <w:bookmarkEnd w:id="13"/>
      <w:bookmarkEnd w:id="14"/>
    </w:p>
    <w:p w:rsidR="00F7003C" w:rsidRDefault="00F7003C" w:rsidP="003E18E3">
      <w:pPr>
        <w:autoSpaceDE w:val="0"/>
        <w:autoSpaceDN w:val="0"/>
        <w:adjustRightInd w:val="0"/>
        <w:spacing w:after="0" w:line="360" w:lineRule="auto"/>
        <w:jc w:val="both"/>
        <w:rPr>
          <w:rFonts w:ascii="Palatino Linotype" w:hAnsi="Palatino Linotype" w:cs="Arial"/>
          <w:sz w:val="24"/>
          <w:szCs w:val="24"/>
        </w:rPr>
      </w:pPr>
    </w:p>
    <w:p w:rsidR="00F7003C" w:rsidRPr="009E5ACD" w:rsidRDefault="00F7003C" w:rsidP="009E5ACD">
      <w:pPr>
        <w:pStyle w:val="Prrafodelista"/>
        <w:numPr>
          <w:ilvl w:val="0"/>
          <w:numId w:val="7"/>
        </w:numPr>
        <w:spacing w:line="360" w:lineRule="auto"/>
        <w:ind w:left="426"/>
        <w:jc w:val="both"/>
        <w:rPr>
          <w:rFonts w:ascii="Palatino Linotype" w:hAnsi="Palatino Linotype"/>
          <w:sz w:val="24"/>
          <w:szCs w:val="24"/>
          <w:lang w:val="es-ES"/>
        </w:rPr>
      </w:pPr>
      <w:r w:rsidRPr="009E5ACD">
        <w:rPr>
          <w:rFonts w:ascii="Palatino Linotype" w:hAnsi="Palatino Linotype"/>
          <w:sz w:val="24"/>
          <w:szCs w:val="24"/>
          <w:lang w:val="es-ES"/>
        </w:rPr>
        <w:lastRenderedPageBreak/>
        <w:t xml:space="preserve">Ahora bien, desde que inició, la crisis generada por el virus </w:t>
      </w:r>
      <w:r w:rsidRPr="009E5ACD">
        <w:rPr>
          <w:rFonts w:ascii="Palatino Linotype" w:hAnsi="Palatino Linotype"/>
          <w:b/>
          <w:sz w:val="24"/>
          <w:szCs w:val="24"/>
          <w:lang w:val="es-ES"/>
        </w:rPr>
        <w:t>SARS-Cov-2-  COVID-19</w:t>
      </w:r>
      <w:r w:rsidRPr="009E5ACD">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F7003C" w:rsidRPr="0073447B" w:rsidRDefault="00F7003C" w:rsidP="00F7003C">
      <w:pPr>
        <w:ind w:left="360" w:hanging="360"/>
        <w:contextualSpacing/>
        <w:jc w:val="both"/>
        <w:rPr>
          <w:rFonts w:ascii="Palatino Linotype" w:hAnsi="Palatino Linotype"/>
          <w:sz w:val="24"/>
          <w:szCs w:val="24"/>
          <w:lang w:val="es-ES"/>
        </w:rPr>
      </w:pPr>
    </w:p>
    <w:p w:rsidR="00F7003C" w:rsidRPr="0073447B" w:rsidRDefault="00F7003C" w:rsidP="009E5ACD">
      <w:pPr>
        <w:numPr>
          <w:ilvl w:val="0"/>
          <w:numId w:val="7"/>
        </w:numPr>
        <w:spacing w:line="360" w:lineRule="auto"/>
        <w:ind w:left="426"/>
        <w:contextualSpacing/>
        <w:jc w:val="both"/>
        <w:rPr>
          <w:rFonts w:ascii="Palatino Linotype" w:hAnsi="Palatino Linotype"/>
          <w:sz w:val="24"/>
          <w:szCs w:val="24"/>
          <w:lang w:val="es-ES"/>
        </w:rPr>
      </w:pPr>
      <w:r w:rsidRPr="0073447B">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F7003C" w:rsidRPr="0073447B" w:rsidRDefault="00F7003C" w:rsidP="004B3514">
      <w:pPr>
        <w:spacing w:line="360" w:lineRule="auto"/>
        <w:ind w:left="426" w:hanging="360"/>
        <w:contextualSpacing/>
        <w:jc w:val="both"/>
        <w:rPr>
          <w:rFonts w:ascii="Palatino Linotype" w:hAnsi="Palatino Linotype"/>
          <w:sz w:val="24"/>
          <w:szCs w:val="24"/>
          <w:lang w:val="es-ES"/>
        </w:rPr>
      </w:pPr>
    </w:p>
    <w:p w:rsidR="00F7003C" w:rsidRPr="0073447B" w:rsidRDefault="00F7003C" w:rsidP="009E5ACD">
      <w:pPr>
        <w:numPr>
          <w:ilvl w:val="0"/>
          <w:numId w:val="7"/>
        </w:numPr>
        <w:spacing w:line="360" w:lineRule="auto"/>
        <w:ind w:left="426"/>
        <w:contextualSpacing/>
        <w:jc w:val="both"/>
        <w:rPr>
          <w:rFonts w:ascii="Palatino Linotype" w:hAnsi="Palatino Linotype"/>
          <w:sz w:val="24"/>
          <w:szCs w:val="24"/>
          <w:lang w:val="es-ES"/>
        </w:rPr>
      </w:pPr>
      <w:r w:rsidRPr="0073447B">
        <w:rPr>
          <w:rFonts w:ascii="Palatino Linotype" w:hAnsi="Palatino Linotype"/>
          <w:sz w:val="24"/>
          <w:szCs w:val="24"/>
          <w:lang w:val="es-ES"/>
        </w:rPr>
        <w:t xml:space="preserve">Por esa razón,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w:t>
      </w:r>
      <w:r>
        <w:rPr>
          <w:rFonts w:ascii="Palatino Linotype" w:hAnsi="Palatino Linotype"/>
          <w:sz w:val="24"/>
          <w:szCs w:val="24"/>
          <w:lang w:val="es-ES"/>
        </w:rPr>
        <w:t>mismos que</w:t>
      </w:r>
      <w:r w:rsidRPr="0073447B">
        <w:rPr>
          <w:rFonts w:ascii="Palatino Linotype" w:hAnsi="Palatino Linotype"/>
          <w:sz w:val="24"/>
          <w:szCs w:val="24"/>
          <w:lang w:val="es-ES"/>
        </w:rPr>
        <w:t xml:space="preserve"> permitieron evit</w:t>
      </w:r>
      <w:r>
        <w:rPr>
          <w:rFonts w:ascii="Palatino Linotype" w:hAnsi="Palatino Linotype"/>
          <w:sz w:val="24"/>
          <w:szCs w:val="24"/>
          <w:lang w:val="es-ES"/>
        </w:rPr>
        <w:t xml:space="preserve">ar la concentración de personal, </w:t>
      </w:r>
      <w:r w:rsidRPr="0073447B">
        <w:rPr>
          <w:rFonts w:ascii="Palatino Linotype" w:hAnsi="Palatino Linotype"/>
          <w:sz w:val="24"/>
          <w:szCs w:val="24"/>
          <w:lang w:val="es-ES"/>
        </w:rPr>
        <w:t>para atender estos procedimientos, mientras el país y el estado enfrentaban l</w:t>
      </w:r>
      <w:r>
        <w:rPr>
          <w:rFonts w:ascii="Palatino Linotype" w:hAnsi="Palatino Linotype"/>
          <w:sz w:val="24"/>
          <w:szCs w:val="24"/>
          <w:lang w:val="es-ES"/>
        </w:rPr>
        <w:t xml:space="preserve">as condiciones de semáforo rojo, </w:t>
      </w:r>
      <w:r w:rsidRPr="0073447B">
        <w:rPr>
          <w:rFonts w:ascii="Palatino Linotype" w:hAnsi="Palatino Linotype"/>
          <w:sz w:val="24"/>
          <w:szCs w:val="24"/>
          <w:lang w:val="es-ES"/>
        </w:rPr>
        <w:t>amarillo</w:t>
      </w:r>
      <w:r>
        <w:rPr>
          <w:rFonts w:ascii="Palatino Linotype" w:hAnsi="Palatino Linotype"/>
          <w:sz w:val="24"/>
          <w:szCs w:val="24"/>
          <w:lang w:val="es-ES"/>
        </w:rPr>
        <w:t xml:space="preserve"> </w:t>
      </w:r>
      <w:r w:rsidRPr="0073447B">
        <w:rPr>
          <w:rFonts w:ascii="Palatino Linotype" w:hAnsi="Palatino Linotype"/>
          <w:sz w:val="24"/>
          <w:szCs w:val="24"/>
          <w:lang w:val="es-ES"/>
        </w:rPr>
        <w:t>y naranja</w:t>
      </w:r>
      <w:r>
        <w:rPr>
          <w:rFonts w:ascii="Palatino Linotype" w:hAnsi="Palatino Linotype"/>
          <w:sz w:val="24"/>
          <w:szCs w:val="24"/>
          <w:lang w:val="es-ES"/>
        </w:rPr>
        <w:t>,</w:t>
      </w:r>
      <w:r w:rsidRPr="0073447B">
        <w:rPr>
          <w:rFonts w:ascii="Palatino Linotype" w:hAnsi="Palatino Linotype"/>
          <w:sz w:val="24"/>
          <w:szCs w:val="24"/>
          <w:lang w:val="es-ES"/>
        </w:rPr>
        <w:t xml:space="preserve"> sanitario.</w:t>
      </w:r>
    </w:p>
    <w:p w:rsidR="00F7003C" w:rsidRPr="0073447B" w:rsidRDefault="00F7003C" w:rsidP="00F7003C">
      <w:pPr>
        <w:spacing w:line="360" w:lineRule="auto"/>
        <w:ind w:left="360" w:hanging="360"/>
        <w:contextualSpacing/>
        <w:jc w:val="both"/>
        <w:rPr>
          <w:rFonts w:ascii="Palatino Linotype" w:hAnsi="Palatino Linotype"/>
          <w:sz w:val="24"/>
          <w:szCs w:val="24"/>
          <w:lang w:val="es-ES"/>
        </w:rPr>
      </w:pPr>
    </w:p>
    <w:p w:rsidR="00F7003C" w:rsidRPr="0073447B" w:rsidRDefault="00F7003C" w:rsidP="009E5ACD">
      <w:pPr>
        <w:numPr>
          <w:ilvl w:val="0"/>
          <w:numId w:val="7"/>
        </w:numPr>
        <w:spacing w:line="360" w:lineRule="auto"/>
        <w:ind w:left="426"/>
        <w:contextualSpacing/>
        <w:jc w:val="both"/>
        <w:rPr>
          <w:rFonts w:ascii="Palatino Linotype" w:hAnsi="Palatino Linotype"/>
          <w:sz w:val="24"/>
          <w:szCs w:val="24"/>
          <w:lang w:val="es-ES"/>
        </w:rPr>
      </w:pPr>
      <w:r w:rsidRPr="0073447B">
        <w:rPr>
          <w:rFonts w:ascii="Palatino Linotype" w:hAnsi="Palatino Linotype"/>
          <w:sz w:val="24"/>
          <w:szCs w:val="24"/>
          <w:lang w:val="es-ES"/>
        </w:rPr>
        <w:t xml:space="preserve">Luego del periodo de agosto a diciembre, en el que las condiciones de riesgo bajaron para situar a algunos estados en semáforo verde, administrado por las autoridades de salud, el cierre de 2020 y el inicio del presente año se han caracterizado por el regreso de nuestra entidad a las condiciones de alto riesgo por </w:t>
      </w:r>
      <w:r w:rsidRPr="0073447B">
        <w:rPr>
          <w:rFonts w:ascii="Palatino Linotype" w:hAnsi="Palatino Linotype"/>
          <w:sz w:val="24"/>
          <w:szCs w:val="24"/>
          <w:lang w:val="es-ES"/>
        </w:rPr>
        <w:lastRenderedPageBreak/>
        <w:t>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F7003C" w:rsidRPr="0073447B" w:rsidRDefault="00F7003C" w:rsidP="004B3514">
      <w:pPr>
        <w:spacing w:line="360" w:lineRule="auto"/>
        <w:ind w:left="426" w:hanging="360"/>
        <w:contextualSpacing/>
        <w:jc w:val="both"/>
        <w:rPr>
          <w:rFonts w:ascii="Palatino Linotype" w:hAnsi="Palatino Linotype"/>
          <w:sz w:val="24"/>
          <w:szCs w:val="24"/>
          <w:lang w:val="es-ES"/>
        </w:rPr>
      </w:pPr>
    </w:p>
    <w:p w:rsidR="00F7003C" w:rsidRPr="0073447B" w:rsidRDefault="00F7003C" w:rsidP="009E5ACD">
      <w:pPr>
        <w:numPr>
          <w:ilvl w:val="0"/>
          <w:numId w:val="7"/>
        </w:numPr>
        <w:spacing w:line="360" w:lineRule="auto"/>
        <w:ind w:left="426"/>
        <w:contextualSpacing/>
        <w:jc w:val="both"/>
        <w:rPr>
          <w:rFonts w:ascii="Palatino Linotype" w:hAnsi="Palatino Linotype"/>
          <w:sz w:val="24"/>
          <w:szCs w:val="24"/>
          <w:lang w:val="es-ES"/>
        </w:rPr>
      </w:pPr>
      <w:r>
        <w:rPr>
          <w:rFonts w:ascii="Palatino Linotype" w:hAnsi="Palatino Linotype"/>
          <w:sz w:val="24"/>
          <w:szCs w:val="24"/>
          <w:lang w:val="es-ES"/>
        </w:rPr>
        <w:t xml:space="preserve">Es de </w:t>
      </w:r>
      <w:r w:rsidRPr="0073447B">
        <w:rPr>
          <w:rFonts w:ascii="Palatino Linotype" w:hAnsi="Palatino Linotype"/>
          <w:sz w:val="24"/>
          <w:szCs w:val="24"/>
          <w:lang w:val="es-ES"/>
        </w:rPr>
        <w:t>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F7003C" w:rsidRPr="0073447B" w:rsidRDefault="00F7003C" w:rsidP="00F7003C">
      <w:pPr>
        <w:spacing w:line="360" w:lineRule="auto"/>
        <w:ind w:left="360" w:hanging="360"/>
        <w:contextualSpacing/>
        <w:jc w:val="both"/>
        <w:rPr>
          <w:rFonts w:ascii="Palatino Linotype" w:hAnsi="Palatino Linotype"/>
          <w:sz w:val="24"/>
          <w:szCs w:val="24"/>
          <w:lang w:val="es-ES"/>
        </w:rPr>
      </w:pPr>
    </w:p>
    <w:p w:rsidR="00F7003C" w:rsidRDefault="00F7003C" w:rsidP="009E5ACD">
      <w:pPr>
        <w:numPr>
          <w:ilvl w:val="0"/>
          <w:numId w:val="7"/>
        </w:numPr>
        <w:spacing w:line="360" w:lineRule="auto"/>
        <w:ind w:left="426"/>
        <w:contextualSpacing/>
        <w:jc w:val="both"/>
        <w:rPr>
          <w:rFonts w:ascii="Palatino Linotype" w:hAnsi="Palatino Linotype"/>
          <w:sz w:val="24"/>
          <w:szCs w:val="24"/>
          <w:lang w:val="es-ES"/>
        </w:rPr>
      </w:pPr>
      <w:r w:rsidRPr="0073447B">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w:t>
      </w:r>
      <w:r w:rsidRPr="0073447B">
        <w:rPr>
          <w:rFonts w:ascii="Palatino Linotype" w:hAnsi="Palatino Linotype"/>
          <w:sz w:val="24"/>
          <w:szCs w:val="24"/>
          <w:lang w:val="es-ES"/>
        </w:rPr>
        <w:lastRenderedPageBreak/>
        <w:t xml:space="preserve">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0C68FA" w:rsidRDefault="000C68FA" w:rsidP="000C68FA">
      <w:pPr>
        <w:pStyle w:val="Prrafodelista"/>
        <w:rPr>
          <w:rFonts w:ascii="Palatino Linotype" w:hAnsi="Palatino Linotype"/>
          <w:sz w:val="24"/>
          <w:szCs w:val="24"/>
          <w:lang w:val="es-ES"/>
        </w:rPr>
      </w:pPr>
    </w:p>
    <w:p w:rsidR="000C68FA" w:rsidRPr="009E5ACD" w:rsidRDefault="000C68FA" w:rsidP="009E5ACD">
      <w:pPr>
        <w:pStyle w:val="Prrafodelista"/>
        <w:numPr>
          <w:ilvl w:val="0"/>
          <w:numId w:val="17"/>
        </w:numPr>
        <w:spacing w:after="0" w:line="360" w:lineRule="auto"/>
        <w:jc w:val="both"/>
        <w:outlineLvl w:val="0"/>
        <w:rPr>
          <w:rFonts w:ascii="Palatino Linotype" w:eastAsia="Calibri" w:hAnsi="Palatino Linotype" w:cs="Arial"/>
          <w:b/>
          <w:i/>
          <w:sz w:val="24"/>
          <w:szCs w:val="24"/>
          <w:lang w:eastAsia="es-ES"/>
        </w:rPr>
      </w:pPr>
      <w:bookmarkStart w:id="15" w:name="_Toc65743795"/>
      <w:bookmarkStart w:id="16" w:name="_Toc65849901"/>
      <w:bookmarkStart w:id="17" w:name="_Toc67586614"/>
      <w:bookmarkStart w:id="18" w:name="_Toc80819667"/>
      <w:r w:rsidRPr="009E5ACD">
        <w:rPr>
          <w:rFonts w:ascii="Palatino Linotype" w:eastAsia="Calibri" w:hAnsi="Palatino Linotype" w:cs="Arial"/>
          <w:b/>
          <w:i/>
          <w:sz w:val="24"/>
          <w:szCs w:val="24"/>
          <w:lang w:eastAsia="es-ES"/>
        </w:rPr>
        <w:t>De la falta de presentación del informe justificado.</w:t>
      </w:r>
      <w:bookmarkEnd w:id="15"/>
      <w:bookmarkEnd w:id="16"/>
      <w:bookmarkEnd w:id="17"/>
      <w:bookmarkEnd w:id="18"/>
    </w:p>
    <w:p w:rsidR="000C68FA" w:rsidRPr="006D151D" w:rsidRDefault="000C68FA" w:rsidP="000C68FA">
      <w:pPr>
        <w:spacing w:after="0" w:line="360" w:lineRule="auto"/>
        <w:ind w:left="360"/>
        <w:contextualSpacing/>
        <w:jc w:val="both"/>
        <w:outlineLvl w:val="1"/>
        <w:rPr>
          <w:rFonts w:ascii="Palatino Linotype" w:eastAsia="Calibri" w:hAnsi="Palatino Linotype" w:cs="Arial"/>
          <w:b/>
          <w:i/>
          <w:sz w:val="24"/>
          <w:szCs w:val="24"/>
          <w:lang w:eastAsia="es-ES"/>
        </w:rPr>
      </w:pPr>
    </w:p>
    <w:p w:rsidR="000C68FA" w:rsidRPr="000C68FA" w:rsidRDefault="000C68FA" w:rsidP="009E5ACD">
      <w:pPr>
        <w:pStyle w:val="Prrafodelista"/>
        <w:numPr>
          <w:ilvl w:val="0"/>
          <w:numId w:val="7"/>
        </w:numPr>
        <w:spacing w:after="0" w:line="360" w:lineRule="auto"/>
        <w:ind w:left="426"/>
        <w:jc w:val="both"/>
        <w:rPr>
          <w:rFonts w:ascii="Palatino Linotype" w:eastAsiaTheme="minorEastAsia" w:hAnsi="Palatino Linotype" w:cs="Arial"/>
          <w:sz w:val="24"/>
          <w:szCs w:val="24"/>
          <w:lang w:val="es-ES_tradnl" w:eastAsia="es-ES"/>
        </w:rPr>
      </w:pPr>
      <w:r w:rsidRPr="000C68FA">
        <w:rPr>
          <w:rFonts w:ascii="Palatino Linotype" w:eastAsiaTheme="minorEastAsia" w:hAnsi="Palatino Linotype" w:cs="Arial"/>
          <w:color w:val="222222"/>
          <w:sz w:val="24"/>
          <w:szCs w:val="24"/>
          <w:lang w:val="es-ES_tradnl" w:eastAsia="es-ES"/>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0C68FA" w:rsidRPr="006D151D" w:rsidRDefault="000C68FA" w:rsidP="000C68FA">
      <w:pPr>
        <w:spacing w:after="0" w:line="360" w:lineRule="auto"/>
        <w:ind w:left="360" w:firstLine="66"/>
        <w:contextualSpacing/>
        <w:jc w:val="both"/>
        <w:rPr>
          <w:rFonts w:ascii="Palatino Linotype" w:eastAsiaTheme="minorEastAsia" w:hAnsi="Palatino Linotype" w:cs="Arial"/>
          <w:sz w:val="24"/>
          <w:szCs w:val="24"/>
          <w:lang w:val="es-ES_tradnl" w:eastAsia="es-ES"/>
        </w:rPr>
      </w:pPr>
    </w:p>
    <w:p w:rsidR="000C68FA" w:rsidRPr="006D151D" w:rsidRDefault="000C68FA" w:rsidP="000C68FA">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6D151D">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6D151D">
        <w:rPr>
          <w:rFonts w:ascii="Palatino Linotype" w:eastAsia="Times New Roman" w:hAnsi="Palatino Linotype" w:cs="Arial"/>
          <w:i/>
          <w:iCs/>
          <w:color w:val="222222"/>
          <w:szCs w:val="24"/>
          <w:lang w:val="es-ES_tradnl" w:eastAsia="es-ES"/>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w:t>
      </w:r>
      <w:r w:rsidRPr="006D151D">
        <w:rPr>
          <w:rFonts w:ascii="Palatino Linotype" w:eastAsia="Times New Roman" w:hAnsi="Palatino Linotype" w:cs="Arial"/>
          <w:i/>
          <w:iCs/>
          <w:color w:val="222222"/>
          <w:szCs w:val="24"/>
          <w:lang w:val="es-ES_tradnl" w:eastAsia="es-ES"/>
        </w:rPr>
        <w:lastRenderedPageBreak/>
        <w:t>queja. [TA] 2a. XXII/96. Segunda Sala. Novena Época, Semanario Judicial de la Federación y su Gaceta, Tomo III, Abril de 1996. Página: 207.</w:t>
      </w:r>
      <w:r w:rsidRPr="006D151D">
        <w:rPr>
          <w:rFonts w:ascii="Palatino Linotype" w:eastAsia="Times New Roman" w:hAnsi="Palatino Linotype" w:cs="Arial"/>
          <w:i/>
          <w:iCs/>
          <w:color w:val="222222"/>
          <w:sz w:val="24"/>
          <w:szCs w:val="24"/>
          <w:lang w:val="es-ES_tradnl" w:eastAsia="es-ES"/>
        </w:rPr>
        <w:t xml:space="preserve">  </w:t>
      </w:r>
    </w:p>
    <w:p w:rsidR="000C68FA" w:rsidRPr="006D151D" w:rsidRDefault="000C68FA" w:rsidP="000C68FA">
      <w:pPr>
        <w:shd w:val="clear" w:color="auto" w:fill="FFFFFF"/>
        <w:spacing w:after="0" w:line="360" w:lineRule="auto"/>
        <w:ind w:left="360" w:right="567" w:hanging="360"/>
        <w:jc w:val="both"/>
        <w:rPr>
          <w:rFonts w:ascii="Palatino Linotype" w:eastAsia="Times New Roman" w:hAnsi="Palatino Linotype" w:cs="Arial"/>
          <w:color w:val="222222"/>
          <w:sz w:val="19"/>
          <w:szCs w:val="19"/>
          <w:lang w:val="es-ES" w:eastAsia="es-ES"/>
        </w:rPr>
      </w:pPr>
    </w:p>
    <w:p w:rsidR="000C68FA" w:rsidRPr="00A86322" w:rsidRDefault="000C68FA" w:rsidP="009E5ACD">
      <w:pPr>
        <w:numPr>
          <w:ilvl w:val="0"/>
          <w:numId w:val="7"/>
        </w:numPr>
        <w:spacing w:after="0" w:line="360" w:lineRule="auto"/>
        <w:ind w:left="426"/>
        <w:contextualSpacing/>
        <w:jc w:val="both"/>
        <w:rPr>
          <w:rFonts w:ascii="Palatino Linotype" w:eastAsia="Times New Roman" w:hAnsi="Palatino Linotype" w:cs="Arial"/>
          <w:b/>
          <w:sz w:val="24"/>
          <w:szCs w:val="24"/>
          <w:lang w:val="es-ES" w:eastAsia="es-ES"/>
        </w:rPr>
      </w:pPr>
      <w:r w:rsidRPr="006D151D">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6D151D">
        <w:rPr>
          <w:rFonts w:ascii="Palatino Linotype" w:eastAsiaTheme="minorEastAsia" w:hAnsi="Palatino Linotype" w:cs="Arial"/>
          <w:b/>
          <w:bCs/>
          <w:color w:val="222222"/>
          <w:sz w:val="24"/>
          <w:szCs w:val="24"/>
          <w:lang w:val="es-ES_tradnl" w:eastAsia="es-ES"/>
        </w:rPr>
        <w:t>SUJETO OBLIGADO</w:t>
      </w:r>
      <w:r w:rsidRPr="006D151D">
        <w:rPr>
          <w:rFonts w:ascii="Palatino Linotype" w:eastAsiaTheme="minorEastAsia" w:hAnsi="Palatino Linotype" w:cs="Arial"/>
          <w:color w:val="222222"/>
          <w:sz w:val="24"/>
          <w:szCs w:val="24"/>
          <w:lang w:val="es-ES_tradnl" w:eastAsia="es-ES"/>
        </w:rPr>
        <w:t> pierda la oportunidad de justificar su respuesta y manifestar lo que a su derecho convenga.</w:t>
      </w:r>
    </w:p>
    <w:p w:rsidR="00F7003C" w:rsidRPr="0073447B" w:rsidRDefault="00F7003C" w:rsidP="00F7003C">
      <w:pPr>
        <w:spacing w:line="360" w:lineRule="auto"/>
        <w:ind w:left="360" w:hanging="360"/>
        <w:contextualSpacing/>
        <w:jc w:val="both"/>
        <w:rPr>
          <w:rFonts w:ascii="Palatino Linotype" w:hAnsi="Palatino Linotype"/>
          <w:sz w:val="24"/>
          <w:szCs w:val="24"/>
          <w:lang w:val="es-ES"/>
        </w:rPr>
      </w:pPr>
    </w:p>
    <w:p w:rsidR="004B3514" w:rsidRPr="009E5ACD" w:rsidRDefault="004B3514" w:rsidP="009E5ACD">
      <w:pPr>
        <w:pStyle w:val="Ttulo1"/>
        <w:rPr>
          <w:rFonts w:ascii="Palatino Linotype" w:eastAsia="Calibri" w:hAnsi="Palatino Linotype" w:cs="Arial"/>
          <w:b/>
          <w:color w:val="auto"/>
          <w:sz w:val="24"/>
          <w:szCs w:val="24"/>
          <w:lang w:val="es-ES_tradnl" w:eastAsia="es-ES"/>
        </w:rPr>
      </w:pPr>
      <w:bookmarkStart w:id="19" w:name="_Toc66352324"/>
      <w:bookmarkStart w:id="20" w:name="_Toc68634498"/>
      <w:bookmarkStart w:id="21" w:name="_Toc80819668"/>
      <w:r w:rsidRPr="009E5ACD">
        <w:rPr>
          <w:rFonts w:ascii="Palatino Linotype" w:eastAsia="Calibri" w:hAnsi="Palatino Linotype" w:cs="Arial"/>
          <w:b/>
          <w:color w:val="auto"/>
          <w:sz w:val="24"/>
          <w:szCs w:val="24"/>
          <w:lang w:eastAsia="es-ES"/>
        </w:rPr>
        <w:t xml:space="preserve">CUARTO. </w:t>
      </w:r>
      <w:r w:rsidRPr="009E5ACD">
        <w:rPr>
          <w:rFonts w:ascii="Palatino Linotype" w:eastAsia="Calibri" w:hAnsi="Palatino Linotype" w:cs="Arial"/>
          <w:b/>
          <w:color w:val="auto"/>
          <w:sz w:val="24"/>
          <w:szCs w:val="24"/>
          <w:lang w:val="es-ES_tradnl" w:eastAsia="es-ES"/>
        </w:rPr>
        <w:t>De</w:t>
      </w:r>
      <w:bookmarkEnd w:id="19"/>
      <w:bookmarkEnd w:id="20"/>
      <w:r w:rsidR="007549B8" w:rsidRPr="009E5ACD">
        <w:rPr>
          <w:rFonts w:ascii="Palatino Linotype" w:eastAsia="Calibri" w:hAnsi="Palatino Linotype" w:cs="Arial"/>
          <w:b/>
          <w:color w:val="auto"/>
          <w:sz w:val="24"/>
          <w:szCs w:val="24"/>
          <w:lang w:val="es-ES_tradnl" w:eastAsia="es-ES"/>
        </w:rPr>
        <w:t xml:space="preserve"> las causales del sobreseimiento.</w:t>
      </w:r>
      <w:bookmarkEnd w:id="21"/>
    </w:p>
    <w:p w:rsidR="000C62C8" w:rsidRPr="000C62C8" w:rsidRDefault="000C62C8" w:rsidP="000C62C8">
      <w:pPr>
        <w:spacing w:after="0" w:line="360" w:lineRule="auto"/>
        <w:jc w:val="both"/>
        <w:rPr>
          <w:rFonts w:ascii="Palatino Linotype" w:hAnsi="Palatino Linotype" w:cs="Arial"/>
          <w:sz w:val="24"/>
          <w:szCs w:val="24"/>
        </w:rPr>
      </w:pPr>
    </w:p>
    <w:p w:rsidR="00810912" w:rsidRP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 xml:space="preserve">Cabe destacar que al momento en que se admite el recurso de revisión a trámite es porque se consideró procedente su interposición, no podemos inferir que un recurso de revisión se admite soslayando los elementos que precisamente le dan origen a tal acto, que es precisamente su </w:t>
      </w:r>
      <w:proofErr w:type="spellStart"/>
      <w:r w:rsidRPr="00810912">
        <w:rPr>
          <w:rFonts w:ascii="Palatino Linotype" w:hAnsi="Palatino Linotype" w:cs="Arial"/>
          <w:sz w:val="24"/>
          <w:szCs w:val="24"/>
        </w:rPr>
        <w:t>procedibilidad</w:t>
      </w:r>
      <w:proofErr w:type="spellEnd"/>
      <w:r w:rsidRPr="00810912">
        <w:rPr>
          <w:rFonts w:ascii="Palatino Linotype" w:hAnsi="Palatino Linotype" w:cs="Arial"/>
          <w:sz w:val="24"/>
          <w:szCs w:val="24"/>
        </w:rPr>
        <w:t xml:space="preserve">, es decir, no son dos cuestiones diversas que se deban tramitar por separado (la admisión y la </w:t>
      </w:r>
      <w:proofErr w:type="spellStart"/>
      <w:r w:rsidRPr="00810912">
        <w:rPr>
          <w:rFonts w:ascii="Palatino Linotype" w:hAnsi="Palatino Linotype" w:cs="Arial"/>
          <w:sz w:val="24"/>
          <w:szCs w:val="24"/>
        </w:rPr>
        <w:t>procedibilidad</w:t>
      </w:r>
      <w:proofErr w:type="spellEnd"/>
      <w:r w:rsidRPr="00810912">
        <w:rPr>
          <w:rFonts w:ascii="Palatino Linotype" w:hAnsi="Palatino Linotype" w:cs="Arial"/>
          <w:sz w:val="24"/>
          <w:szCs w:val="24"/>
        </w:rPr>
        <w:t>), sino que una va inmersa en la otra, se entiende ello de la lectura del siguiente dispositivo normativo contenido en la Ley de Transparencia y Acceso a la Información Pública del Estado de México y Municipios:</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Pr="00810912" w:rsidRDefault="00810912" w:rsidP="00810912">
      <w:pPr>
        <w:pStyle w:val="Prrafodelista"/>
        <w:spacing w:after="0" w:line="360" w:lineRule="auto"/>
        <w:ind w:left="567" w:right="850"/>
        <w:jc w:val="both"/>
        <w:rPr>
          <w:rFonts w:ascii="Palatino Linotype" w:hAnsi="Palatino Linotype" w:cs="Arial"/>
          <w:i/>
          <w:sz w:val="24"/>
          <w:szCs w:val="24"/>
        </w:rPr>
      </w:pPr>
      <w:r w:rsidRPr="00810912">
        <w:rPr>
          <w:rFonts w:ascii="Palatino Linotype" w:hAnsi="Palatino Linotype" w:cs="Arial"/>
          <w:i/>
          <w:sz w:val="24"/>
          <w:szCs w:val="24"/>
        </w:rPr>
        <w:t>“Artículo 185. El Instituto resolverá el recurso de revisión conforme a lo siguiente:</w:t>
      </w:r>
    </w:p>
    <w:p w:rsidR="00810912" w:rsidRPr="00810912" w:rsidRDefault="00810912" w:rsidP="00810912">
      <w:pPr>
        <w:pStyle w:val="Prrafodelista"/>
        <w:spacing w:after="0" w:line="360" w:lineRule="auto"/>
        <w:ind w:left="567" w:right="850"/>
        <w:jc w:val="both"/>
        <w:rPr>
          <w:rFonts w:ascii="Palatino Linotype" w:hAnsi="Palatino Linotype" w:cs="Arial"/>
          <w:i/>
          <w:sz w:val="24"/>
          <w:szCs w:val="24"/>
        </w:rPr>
      </w:pPr>
      <w:r w:rsidRPr="00810912">
        <w:rPr>
          <w:rFonts w:ascii="Palatino Linotype" w:hAnsi="Palatino Linotype" w:cs="Arial"/>
          <w:i/>
          <w:sz w:val="24"/>
          <w:szCs w:val="24"/>
        </w:rPr>
        <w:t xml:space="preserve">I. Interpuesto el recurso de revisión, el sistema electrónico y excepcionalmente, el Presidente del Pleno lo turnará en un plazo no mayor de tres días hábiles, al Comisionado ponente que corresponda, </w:t>
      </w:r>
      <w:r w:rsidRPr="00810912">
        <w:rPr>
          <w:rFonts w:ascii="Palatino Linotype" w:hAnsi="Palatino Linotype" w:cs="Arial"/>
          <w:b/>
          <w:i/>
          <w:sz w:val="24"/>
          <w:szCs w:val="24"/>
          <w:u w:val="single"/>
        </w:rPr>
        <w:t xml:space="preserve">quien deberá proceder a su análisis para que decrete su admisión o su </w:t>
      </w:r>
      <w:proofErr w:type="spellStart"/>
      <w:r w:rsidRPr="00810912">
        <w:rPr>
          <w:rFonts w:ascii="Palatino Linotype" w:hAnsi="Palatino Linotype" w:cs="Arial"/>
          <w:b/>
          <w:i/>
          <w:sz w:val="24"/>
          <w:szCs w:val="24"/>
          <w:u w:val="single"/>
        </w:rPr>
        <w:t>desechamiento</w:t>
      </w:r>
      <w:proofErr w:type="spellEnd"/>
      <w:r w:rsidRPr="00810912">
        <w:rPr>
          <w:rFonts w:ascii="Palatino Linotype" w:hAnsi="Palatino Linotype" w:cs="Arial"/>
          <w:i/>
          <w:sz w:val="24"/>
          <w:szCs w:val="24"/>
        </w:rPr>
        <w:t>;”</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Precepto legal que establece que el recurso de revisión será admitido o desechado por el Comisionado al que se le haya turnado, como se aprecia se establecen dos posibilidades que son antípodas, es decir, son polos opuestos, si el recurso se desecha quiere decir que no se admite, lo cual se debe fundar y motivar estableciendo las razones por las cuales el recurso no es procedente, o por el contrario se deben estudiar los elementos que acompañan la interposición para determinar su procedencia, en ambos casos se debe analizar si el recurso es procedente o no, para llegar a la determinación de admitir o desechar.</w:t>
      </w:r>
    </w:p>
    <w:p w:rsidR="00810912" w:rsidRDefault="00810912" w:rsidP="00810912">
      <w:pPr>
        <w:pStyle w:val="Prrafodelista"/>
        <w:spacing w:after="0" w:line="360" w:lineRule="auto"/>
        <w:ind w:left="426"/>
        <w:jc w:val="both"/>
        <w:rPr>
          <w:rFonts w:ascii="Palatino Linotype" w:hAnsi="Palatino Linotype" w:cs="Arial"/>
          <w:sz w:val="24"/>
          <w:szCs w:val="24"/>
        </w:rPr>
      </w:pPr>
    </w:p>
    <w:p w:rsidR="009E5ACD"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 xml:space="preserve">Entonces, al no desecharse el recurso en particular y por ende admitirlo, es que se considera que es procedente, esto nos quiere decir de forma positiva, que no existe una procedencia que pueda desecharse de plano cuando ya se estimó como procedente, y a contrario </w:t>
      </w:r>
      <w:r w:rsidRPr="00810912">
        <w:rPr>
          <w:rFonts w:ascii="Palatino Linotype" w:hAnsi="Palatino Linotype" w:cs="Arial"/>
          <w:i/>
          <w:sz w:val="24"/>
          <w:szCs w:val="24"/>
        </w:rPr>
        <w:t>sensu,</w:t>
      </w:r>
      <w:r w:rsidRPr="00810912">
        <w:rPr>
          <w:rFonts w:ascii="Palatino Linotype" w:hAnsi="Palatino Linotype" w:cs="Arial"/>
          <w:sz w:val="24"/>
          <w:szCs w:val="24"/>
        </w:rPr>
        <w:t xml:space="preserve"> no podemos referirnos a que sí se actualiza una causal de </w:t>
      </w:r>
      <w:proofErr w:type="spellStart"/>
      <w:r w:rsidRPr="00810912">
        <w:rPr>
          <w:rFonts w:ascii="Palatino Linotype" w:hAnsi="Palatino Linotype" w:cs="Arial"/>
          <w:sz w:val="24"/>
          <w:szCs w:val="24"/>
        </w:rPr>
        <w:t>desechamiento</w:t>
      </w:r>
      <w:proofErr w:type="spellEnd"/>
      <w:r w:rsidRPr="00810912">
        <w:rPr>
          <w:rFonts w:ascii="Palatino Linotype" w:hAnsi="Palatino Linotype" w:cs="Arial"/>
          <w:sz w:val="24"/>
          <w:szCs w:val="24"/>
        </w:rPr>
        <w:t xml:space="preserve"> sea visto como un asunto procedente; sino que al admitirse un asunto es porque se llegó a la conclusión de que operaron las condiciones necesarias que hacen a un recurso de revisión como procedente, en suma, la admisión y la procedencia deben tratarse como un solo acto, porque la ley no hace tal distinción sino que establece ambos en un solo acto, citado en el supuesto legal arriba transcrito.</w:t>
      </w:r>
      <w:r w:rsidR="009E5ACD">
        <w:rPr>
          <w:rFonts w:ascii="Palatino Linotype" w:hAnsi="Palatino Linotype" w:cs="Arial"/>
          <w:sz w:val="24"/>
          <w:szCs w:val="24"/>
        </w:rPr>
        <w:t xml:space="preserve"> </w:t>
      </w:r>
    </w:p>
    <w:p w:rsidR="009E5ACD" w:rsidRPr="009E5ACD" w:rsidRDefault="009E5ACD" w:rsidP="009E5ACD">
      <w:pPr>
        <w:pStyle w:val="Prrafodelista"/>
        <w:rPr>
          <w:rFonts w:ascii="Palatino Linotype" w:hAnsi="Palatino Linotype" w:cs="Arial"/>
          <w:sz w:val="24"/>
          <w:szCs w:val="24"/>
        </w:rPr>
      </w:pPr>
    </w:p>
    <w:p w:rsidR="00810912" w:rsidRDefault="009E5ACD" w:rsidP="009E5ACD">
      <w:pPr>
        <w:pStyle w:val="Prrafodelista"/>
        <w:numPr>
          <w:ilvl w:val="0"/>
          <w:numId w:val="7"/>
        </w:numPr>
        <w:spacing w:after="0" w:line="360" w:lineRule="auto"/>
        <w:ind w:left="426"/>
        <w:jc w:val="both"/>
        <w:rPr>
          <w:rFonts w:ascii="Palatino Linotype" w:hAnsi="Palatino Linotype" w:cs="Arial"/>
          <w:sz w:val="24"/>
          <w:szCs w:val="24"/>
        </w:rPr>
      </w:pPr>
      <w:r>
        <w:rPr>
          <w:rFonts w:ascii="Palatino Linotype" w:hAnsi="Palatino Linotype" w:cs="Arial"/>
          <w:sz w:val="24"/>
          <w:szCs w:val="24"/>
        </w:rPr>
        <w:t>T</w:t>
      </w:r>
      <w:r w:rsidR="00810912" w:rsidRPr="009E5ACD">
        <w:rPr>
          <w:rFonts w:ascii="Palatino Linotype" w:hAnsi="Palatino Linotype" w:cs="Arial"/>
          <w:sz w:val="24"/>
          <w:szCs w:val="24"/>
        </w:rPr>
        <w:t>oda vez que en el recurso de revisión en estudio, se ha decretado su admisión y por ende su procedencia, lo es así ya que se actualiza alguna de las hipótesis previstas en el artículo 179 de la Ley en la materia, que claramente establece:</w:t>
      </w:r>
    </w:p>
    <w:p w:rsidR="009E5ACD" w:rsidRPr="009E5ACD" w:rsidRDefault="009E5ACD" w:rsidP="009E5ACD">
      <w:pPr>
        <w:pStyle w:val="Prrafodelista"/>
        <w:rPr>
          <w:rFonts w:ascii="Palatino Linotype" w:hAnsi="Palatino Linotype" w:cs="Arial"/>
          <w:sz w:val="24"/>
          <w:szCs w:val="24"/>
        </w:rPr>
      </w:pPr>
    </w:p>
    <w:p w:rsidR="00810912" w:rsidRPr="00810912" w:rsidRDefault="00810912" w:rsidP="00810912">
      <w:pPr>
        <w:pStyle w:val="Prrafodelista"/>
        <w:spacing w:after="0" w:line="360" w:lineRule="auto"/>
        <w:ind w:right="1134"/>
        <w:jc w:val="both"/>
        <w:rPr>
          <w:rFonts w:ascii="Palatino Linotype" w:hAnsi="Palatino Linotype" w:cs="Arial"/>
          <w:i/>
          <w:sz w:val="24"/>
          <w:szCs w:val="24"/>
        </w:rPr>
      </w:pPr>
      <w:r w:rsidRPr="00810912">
        <w:rPr>
          <w:rFonts w:ascii="Palatino Linotype" w:hAnsi="Palatino Linotype" w:cs="Arial"/>
          <w:i/>
          <w:sz w:val="24"/>
          <w:szCs w:val="24"/>
        </w:rPr>
        <w:lastRenderedPageBreak/>
        <w:t xml:space="preserve">Artículo 179. El recurso de revisión es un medio de protección que la Ley otorga a los particulares, para hacer valer su derecho de acceso a la información pública, </w:t>
      </w:r>
      <w:r w:rsidRPr="00810912">
        <w:rPr>
          <w:rFonts w:ascii="Palatino Linotype" w:hAnsi="Palatino Linotype" w:cs="Arial"/>
          <w:b/>
          <w:i/>
          <w:sz w:val="24"/>
          <w:szCs w:val="24"/>
          <w:u w:val="single"/>
        </w:rPr>
        <w:t>y procederá</w:t>
      </w:r>
      <w:r w:rsidRPr="00810912">
        <w:rPr>
          <w:rFonts w:ascii="Palatino Linotype" w:hAnsi="Palatino Linotype" w:cs="Arial"/>
          <w:i/>
          <w:sz w:val="24"/>
          <w:szCs w:val="24"/>
        </w:rPr>
        <w:t xml:space="preserve"> en contra de las siguientes causas:”</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Como se puede observar, el artículo en cita es el único dentro de la Ley de Transparencia y Acceso a la Información Pública del Estado de México y Municipios, que prevé las causas de procedencia de los recursos de revisión, (sin que se advierte la existencia de alguno otro) por ende es que para que se admita un recurso de revisión se debe actualizar uno de los supuestos previstos en el artículo aludido.</w:t>
      </w:r>
    </w:p>
    <w:p w:rsidR="00810912" w:rsidRDefault="00810912" w:rsidP="00810912">
      <w:pPr>
        <w:pStyle w:val="Prrafodelista"/>
        <w:spacing w:after="0" w:line="360" w:lineRule="auto"/>
        <w:ind w:left="426"/>
        <w:jc w:val="both"/>
        <w:rPr>
          <w:rFonts w:ascii="Palatino Linotype" w:hAnsi="Palatino Linotype" w:cs="Arial"/>
          <w:sz w:val="24"/>
          <w:szCs w:val="24"/>
        </w:rPr>
      </w:pPr>
    </w:p>
    <w:p w:rsidR="00810912" w:rsidRP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De una interpretación armónica a los supuestos que prevé la Ley precitada, lo anterior se robustece con lo que establece el artículo 191 que dice:</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“Artículo 191. El recurso será desechado por improcedente cuando:  </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I. Sea extemporáneo por haber transcurrido el plazo establecido en la presente Ley, a partir de la respuesta;  </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II. Se esté tramitando ante el Poder Judicial de la Federación algún recurso o medio de defensa interpuesto por el recurrente;  </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III. No actualice alguno de los supuestos previstos en la presente Ley;  </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IV. No se haya desahogado la prevención en los términos establecidos en la presente Ley;  </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 xml:space="preserve">V. Se impugne la veracidad de la información proporcionada;  </w:t>
      </w:r>
    </w:p>
    <w:p w:rsidR="00810912" w:rsidRPr="00810912" w:rsidRDefault="00810912" w:rsidP="00810912">
      <w:pPr>
        <w:pStyle w:val="Prrafodelista"/>
        <w:spacing w:after="0" w:line="360" w:lineRule="auto"/>
        <w:ind w:left="567" w:right="900"/>
        <w:jc w:val="both"/>
        <w:rPr>
          <w:rFonts w:ascii="Palatino Linotype" w:hAnsi="Palatino Linotype" w:cs="Arial"/>
          <w:b/>
          <w:i/>
          <w:sz w:val="24"/>
          <w:szCs w:val="24"/>
          <w:u w:val="single"/>
        </w:rPr>
      </w:pPr>
      <w:r w:rsidRPr="00810912">
        <w:rPr>
          <w:rFonts w:ascii="Palatino Linotype" w:hAnsi="Palatino Linotype" w:cs="Arial"/>
          <w:b/>
          <w:i/>
          <w:sz w:val="24"/>
          <w:szCs w:val="24"/>
          <w:u w:val="single"/>
        </w:rPr>
        <w:t xml:space="preserve">VI. Se trate de una consulta, o trámite en específico; y  </w:t>
      </w:r>
    </w:p>
    <w:p w:rsidR="00810912" w:rsidRPr="00810912" w:rsidRDefault="00810912" w:rsidP="00810912">
      <w:pPr>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lastRenderedPageBreak/>
        <w:t>VII. El recurrente amplíe su solicitud en el recurso de revisión, únicamente respecto de los nuevos contenidos.”</w:t>
      </w:r>
    </w:p>
    <w:p w:rsidR="00810912" w:rsidRPr="00810912" w:rsidRDefault="00810912" w:rsidP="00810912">
      <w:pPr>
        <w:pStyle w:val="Prrafodelista"/>
        <w:spacing w:after="0" w:line="360" w:lineRule="auto"/>
        <w:ind w:right="900"/>
        <w:jc w:val="both"/>
        <w:rPr>
          <w:rFonts w:ascii="Palatino Linotype" w:hAnsi="Palatino Linotype" w:cs="Arial"/>
          <w:i/>
          <w:sz w:val="24"/>
          <w:szCs w:val="24"/>
        </w:rPr>
      </w:pPr>
    </w:p>
    <w:p w:rsid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Es decir, la Ley nos da la posibilidad de desechar el recurso de revisión en el momento procesal en que también se puede admitir, y ello puede ser por alguna de las causales antes transcritas, es de destacada importancia referir que este artículo tiene un momento de aplicabilidad y lo es al momento de admitir o desechar el recurso de revisión.</w:t>
      </w:r>
    </w:p>
    <w:p w:rsidR="00810912" w:rsidRDefault="00810912" w:rsidP="00810912">
      <w:pPr>
        <w:pStyle w:val="Prrafodelista"/>
        <w:spacing w:after="0" w:line="360" w:lineRule="auto"/>
        <w:ind w:left="426"/>
        <w:jc w:val="both"/>
        <w:rPr>
          <w:rFonts w:ascii="Palatino Linotype" w:hAnsi="Palatino Linotype" w:cs="Arial"/>
          <w:sz w:val="24"/>
          <w:szCs w:val="24"/>
        </w:rPr>
      </w:pPr>
    </w:p>
    <w:p w:rsid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 xml:space="preserve">La ley es clara en ese sentido, por lo que no es posible invocar dicho precepto ulteriormente a que ha sido admitido (y por ende procedente), alegando la actualización de un </w:t>
      </w:r>
      <w:proofErr w:type="spellStart"/>
      <w:r w:rsidRPr="00810912">
        <w:rPr>
          <w:rFonts w:ascii="Palatino Linotype" w:hAnsi="Palatino Linotype" w:cs="Arial"/>
          <w:sz w:val="24"/>
          <w:szCs w:val="24"/>
        </w:rPr>
        <w:t>desechamiento</w:t>
      </w:r>
      <w:proofErr w:type="spellEnd"/>
      <w:r w:rsidRPr="00810912">
        <w:rPr>
          <w:rFonts w:ascii="Palatino Linotype" w:hAnsi="Palatino Linotype" w:cs="Arial"/>
          <w:sz w:val="24"/>
          <w:szCs w:val="24"/>
        </w:rPr>
        <w:t>, porque este ya sería posterior a la etapa procedimental en la que debió desecharse.</w:t>
      </w:r>
    </w:p>
    <w:p w:rsidR="00810912" w:rsidRPr="00810912" w:rsidRDefault="00810912" w:rsidP="00810912">
      <w:pPr>
        <w:pStyle w:val="Prrafodelista"/>
        <w:rPr>
          <w:rFonts w:ascii="Palatino Linotype" w:hAnsi="Palatino Linotype" w:cs="Arial"/>
          <w:sz w:val="24"/>
          <w:szCs w:val="24"/>
        </w:rPr>
      </w:pPr>
    </w:p>
    <w:p w:rsid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En ese sentido es que el presente recurso de revisión actualiza el primer elemento normativo del supuesto previsto en la fracción IV del artículo 192 de la Ley en la materia, ya que éste fue admitido, mediante acuerdo de fecha</w:t>
      </w:r>
      <w:r w:rsidRPr="00810912">
        <w:rPr>
          <w:rFonts w:ascii="Palatino Linotype" w:hAnsi="Palatino Linotype" w:cs="Arial"/>
          <w:b/>
          <w:sz w:val="24"/>
          <w:szCs w:val="24"/>
        </w:rPr>
        <w:t xml:space="preserve"> dos de julio de dos mil veintiuno</w:t>
      </w:r>
      <w:r w:rsidRPr="00810912">
        <w:rPr>
          <w:rFonts w:ascii="Palatino Linotype" w:hAnsi="Palatino Linotype" w:cs="Arial"/>
          <w:sz w:val="24"/>
          <w:szCs w:val="24"/>
        </w:rPr>
        <w:t>, en el que no se desechó por contener alguna causal de improcedencia.</w:t>
      </w:r>
    </w:p>
    <w:p w:rsidR="00810912" w:rsidRPr="00810912" w:rsidRDefault="00810912" w:rsidP="00810912">
      <w:pPr>
        <w:pStyle w:val="Prrafodelista"/>
        <w:rPr>
          <w:rFonts w:ascii="Palatino Linotype" w:hAnsi="Palatino Linotype" w:cs="Arial"/>
          <w:sz w:val="24"/>
          <w:szCs w:val="24"/>
        </w:rPr>
      </w:pPr>
    </w:p>
    <w:p w:rsidR="00810912" w:rsidRPr="00810912" w:rsidRDefault="00810912" w:rsidP="009E5ACD">
      <w:pPr>
        <w:pStyle w:val="Prrafodelista"/>
        <w:numPr>
          <w:ilvl w:val="0"/>
          <w:numId w:val="7"/>
        </w:numPr>
        <w:spacing w:after="0" w:line="360" w:lineRule="auto"/>
        <w:ind w:left="426"/>
        <w:jc w:val="both"/>
        <w:rPr>
          <w:rFonts w:ascii="Palatino Linotype" w:hAnsi="Palatino Linotype" w:cs="Arial"/>
          <w:sz w:val="24"/>
          <w:szCs w:val="24"/>
        </w:rPr>
      </w:pPr>
      <w:r w:rsidRPr="00810912">
        <w:rPr>
          <w:rFonts w:ascii="Palatino Linotype" w:hAnsi="Palatino Linotype" w:cs="Arial"/>
          <w:sz w:val="24"/>
          <w:szCs w:val="24"/>
        </w:rPr>
        <w:t xml:space="preserve">Por lo que hace al segundo elemento normativo consistente en: “2.- </w:t>
      </w:r>
      <w:r w:rsidRPr="00810912">
        <w:rPr>
          <w:rFonts w:ascii="Palatino Linotype" w:hAnsi="Palatino Linotype" w:cs="Arial"/>
          <w:i/>
          <w:sz w:val="24"/>
          <w:szCs w:val="24"/>
        </w:rPr>
        <w:t>Aparezca alguna causal de improcedencia</w:t>
      </w:r>
      <w:r w:rsidRPr="00810912">
        <w:rPr>
          <w:rFonts w:ascii="Palatino Linotype" w:hAnsi="Palatino Linotype" w:cs="Arial"/>
          <w:sz w:val="24"/>
          <w:szCs w:val="24"/>
        </w:rPr>
        <w:t xml:space="preserve">;” en el presente asunto se actualiza tal circunstancia ya que del análisis del expediente en que se actúa se cae en la cuenta de que existe, apareció o estamos ante la presencia de una notoria causal de improcedencia; para arribar a una conclusión objetiva respecto del presente elemento normativo, es necesario visualizar dos rubros de trascendental importancia, a).- la existencia de </w:t>
      </w:r>
      <w:r w:rsidRPr="00810912">
        <w:rPr>
          <w:rFonts w:ascii="Palatino Linotype" w:hAnsi="Palatino Linotype" w:cs="Arial"/>
          <w:sz w:val="24"/>
          <w:szCs w:val="24"/>
        </w:rPr>
        <w:lastRenderedPageBreak/>
        <w:t>una causal de improcedencia en el expediente, y b).- la forma en que la autoridad ha de detectarla, señalarla y valorarla, es decir, a que “</w:t>
      </w:r>
      <w:r w:rsidRPr="00810912">
        <w:rPr>
          <w:rFonts w:ascii="Palatino Linotype" w:hAnsi="Palatino Linotype" w:cs="Arial"/>
          <w:i/>
          <w:sz w:val="24"/>
          <w:szCs w:val="24"/>
        </w:rPr>
        <w:t>aparezca</w:t>
      </w:r>
      <w:r w:rsidRPr="00810912">
        <w:rPr>
          <w:rFonts w:ascii="Palatino Linotype" w:hAnsi="Palatino Linotype" w:cs="Arial"/>
          <w:sz w:val="24"/>
          <w:szCs w:val="24"/>
        </w:rPr>
        <w:t>”; ahora bien, por lo que hace al inciso “a)”, la Ley en la materia los especifica en el artículo 191 arriba transcrito, en cuya fracción VI, se establece:</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“Artículo 191. El recurso será desechado por improcedente cuando:</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rPr>
      </w:pPr>
      <w:r w:rsidRPr="00810912">
        <w:rPr>
          <w:rFonts w:ascii="Palatino Linotype" w:hAnsi="Palatino Linotype" w:cs="Arial"/>
          <w:i/>
          <w:sz w:val="24"/>
          <w:szCs w:val="24"/>
        </w:rPr>
        <w:t>…</w:t>
      </w:r>
    </w:p>
    <w:p w:rsidR="00810912" w:rsidRPr="00810912" w:rsidRDefault="00810912" w:rsidP="00810912">
      <w:pPr>
        <w:pStyle w:val="Prrafodelista"/>
        <w:spacing w:after="0" w:line="360" w:lineRule="auto"/>
        <w:ind w:left="567" w:right="900"/>
        <w:jc w:val="both"/>
        <w:rPr>
          <w:rFonts w:ascii="Palatino Linotype" w:hAnsi="Palatino Linotype" w:cs="Arial"/>
          <w:i/>
          <w:sz w:val="24"/>
          <w:szCs w:val="24"/>
          <w:u w:val="single"/>
        </w:rPr>
      </w:pPr>
      <w:r w:rsidRPr="00810912">
        <w:rPr>
          <w:rFonts w:ascii="Palatino Linotype" w:hAnsi="Palatino Linotype" w:cs="Arial"/>
          <w:i/>
          <w:sz w:val="24"/>
          <w:szCs w:val="24"/>
          <w:u w:val="single"/>
        </w:rPr>
        <w:t>VI. Se trate de una consulta, o trámite en específico; y”</w:t>
      </w:r>
    </w:p>
    <w:p w:rsidR="00810912" w:rsidRPr="00810912" w:rsidRDefault="00810912" w:rsidP="00810912">
      <w:pPr>
        <w:pStyle w:val="Prrafodelista"/>
        <w:spacing w:after="0" w:line="360" w:lineRule="auto"/>
        <w:jc w:val="both"/>
        <w:rPr>
          <w:rFonts w:ascii="Palatino Linotype" w:hAnsi="Palatino Linotype" w:cs="Arial"/>
          <w:sz w:val="24"/>
          <w:szCs w:val="24"/>
        </w:rPr>
      </w:pPr>
    </w:p>
    <w:p w:rsidR="00810912" w:rsidRPr="00810912" w:rsidRDefault="00810912" w:rsidP="009E5ACD">
      <w:pPr>
        <w:pStyle w:val="Prrafodelista"/>
        <w:widowControl w:val="0"/>
        <w:numPr>
          <w:ilvl w:val="0"/>
          <w:numId w:val="7"/>
        </w:numPr>
        <w:spacing w:after="0" w:line="360" w:lineRule="auto"/>
        <w:ind w:left="426" w:right="107"/>
        <w:jc w:val="both"/>
        <w:rPr>
          <w:rFonts w:ascii="Palatino Linotype" w:eastAsia="Palatino Linotype" w:hAnsi="Palatino Linotype"/>
          <w:sz w:val="24"/>
          <w:szCs w:val="24"/>
        </w:rPr>
      </w:pPr>
      <w:r w:rsidRPr="00810912">
        <w:rPr>
          <w:rFonts w:ascii="Palatino Linotype" w:eastAsia="Palatino Linotype" w:hAnsi="Palatino Linotype" w:cs="Arial"/>
          <w:sz w:val="24"/>
          <w:szCs w:val="24"/>
        </w:rPr>
        <w:t xml:space="preserve">De lo anterior se destaca el hecho que el recurso será desechado por improcedente, cuando se trate de una consulta, </w:t>
      </w:r>
      <w:r w:rsidRPr="00810912">
        <w:rPr>
          <w:rFonts w:ascii="Palatino Linotype" w:eastAsia="Palatino Linotype" w:hAnsi="Palatino Linotype"/>
          <w:sz w:val="24"/>
          <w:szCs w:val="24"/>
        </w:rPr>
        <w:t xml:space="preserve">el particular formuló solicitud de información pública que recae en un trámite en </w:t>
      </w:r>
      <w:proofErr w:type="spellStart"/>
      <w:r w:rsidRPr="00810912">
        <w:rPr>
          <w:rFonts w:ascii="Palatino Linotype" w:eastAsia="Palatino Linotype" w:hAnsi="Palatino Linotype"/>
          <w:sz w:val="24"/>
          <w:szCs w:val="24"/>
        </w:rPr>
        <w:t>especifico</w:t>
      </w:r>
      <w:proofErr w:type="spellEnd"/>
      <w:r w:rsidRPr="00810912">
        <w:rPr>
          <w:rFonts w:ascii="Palatino Linotype" w:eastAsia="Palatino Linotype" w:hAnsi="Palatino Linotype"/>
          <w:sz w:val="24"/>
          <w:szCs w:val="24"/>
        </w:rPr>
        <w:t>, como podemos apreciar a continuación:</w:t>
      </w:r>
    </w:p>
    <w:p w:rsidR="00810912" w:rsidRPr="00810912" w:rsidRDefault="00810912" w:rsidP="00810912">
      <w:pPr>
        <w:pStyle w:val="Prrafodelista"/>
        <w:widowControl w:val="0"/>
        <w:spacing w:after="0" w:line="360" w:lineRule="auto"/>
        <w:ind w:right="107"/>
        <w:jc w:val="both"/>
        <w:rPr>
          <w:rFonts w:ascii="Palatino Linotype" w:eastAsia="Palatino Linotype" w:hAnsi="Palatino Linotype"/>
          <w:sz w:val="24"/>
          <w:szCs w:val="24"/>
        </w:rPr>
      </w:pPr>
    </w:p>
    <w:p w:rsidR="00810912" w:rsidRPr="00810912" w:rsidRDefault="00810912" w:rsidP="00810912">
      <w:pPr>
        <w:pStyle w:val="Prrafodelista"/>
        <w:widowControl w:val="0"/>
        <w:spacing w:after="0" w:line="360" w:lineRule="auto"/>
        <w:ind w:right="850"/>
        <w:jc w:val="both"/>
        <w:rPr>
          <w:rFonts w:ascii="Palatino Linotype" w:eastAsia="Palatino Linotype" w:hAnsi="Palatino Linotype"/>
          <w:sz w:val="24"/>
          <w:szCs w:val="24"/>
        </w:rPr>
      </w:pPr>
      <w:r w:rsidRPr="00810912">
        <w:rPr>
          <w:rFonts w:ascii="Palatino Linotype" w:eastAsia="Palatino Linotype" w:hAnsi="Palatino Linotype" w:cs="Tahoma"/>
          <w:i/>
          <w:sz w:val="24"/>
          <w:szCs w:val="24"/>
        </w:rPr>
        <w:t>“</w:t>
      </w:r>
      <w:r w:rsidRPr="00810912">
        <w:rPr>
          <w:rFonts w:ascii="Palatino Linotype" w:eastAsia="Times New Roman" w:hAnsi="Palatino Linotype" w:cs="Times New Roman"/>
          <w:i/>
          <w:sz w:val="24"/>
          <w:szCs w:val="24"/>
          <w:lang w:val="es-ES_tradnl" w:eastAsia="es-ES"/>
        </w:rPr>
        <w:t>¿</w:t>
      </w:r>
      <w:r w:rsidRPr="00810912">
        <w:rPr>
          <w:rFonts w:ascii="Palatino Linotype" w:eastAsia="Times New Roman" w:hAnsi="Palatino Linotype" w:cs="Times New Roman"/>
          <w:i/>
          <w:szCs w:val="24"/>
          <w:lang w:eastAsia="es-ES"/>
        </w:rPr>
        <w:t>Solicito los Planos Manzaneros correspondientes a su circunscripción territorial</w:t>
      </w:r>
      <w:r w:rsidRPr="00810912">
        <w:rPr>
          <w:rFonts w:ascii="Palatino Linotype" w:eastAsia="Times New Roman" w:hAnsi="Palatino Linotype" w:cs="Times New Roman"/>
          <w:i/>
          <w:sz w:val="24"/>
          <w:szCs w:val="24"/>
          <w:lang w:val="es-ES_tradnl" w:eastAsia="es-ES"/>
        </w:rPr>
        <w:t>?</w:t>
      </w:r>
      <w:r w:rsidRPr="00810912">
        <w:rPr>
          <w:rFonts w:ascii="Times New Roman" w:eastAsia="Palatino Linotype" w:hAnsi="Times New Roman" w:cs="Times New Roman"/>
          <w:i/>
          <w:sz w:val="24"/>
          <w:szCs w:val="24"/>
          <w:lang w:eastAsia="es-MX"/>
        </w:rPr>
        <w:t>”</w:t>
      </w:r>
    </w:p>
    <w:p w:rsidR="00810912" w:rsidRPr="00810912" w:rsidRDefault="00810912" w:rsidP="00810912">
      <w:pPr>
        <w:pStyle w:val="Prrafodelista"/>
        <w:widowControl w:val="0"/>
        <w:spacing w:after="0" w:line="360" w:lineRule="auto"/>
        <w:ind w:right="107"/>
        <w:jc w:val="both"/>
        <w:rPr>
          <w:rFonts w:ascii="Palatino Linotype" w:eastAsia="Palatino Linotype" w:hAnsi="Palatino Linotype"/>
          <w:sz w:val="24"/>
          <w:szCs w:val="24"/>
        </w:rPr>
      </w:pPr>
    </w:p>
    <w:p w:rsidR="00810912" w:rsidRPr="00810912" w:rsidRDefault="00810912" w:rsidP="009E5ACD">
      <w:pPr>
        <w:pStyle w:val="Prrafodelista"/>
        <w:numPr>
          <w:ilvl w:val="0"/>
          <w:numId w:val="7"/>
        </w:numPr>
        <w:spacing w:after="0" w:line="360" w:lineRule="auto"/>
        <w:ind w:left="426"/>
        <w:jc w:val="both"/>
        <w:rPr>
          <w:rFonts w:ascii="Palatino Linotype" w:eastAsia="Calibri" w:hAnsi="Palatino Linotype" w:cs="Times New Roman"/>
          <w:sz w:val="24"/>
          <w:szCs w:val="24"/>
          <w:lang w:val="es-ES_tradnl" w:eastAsia="es-ES"/>
        </w:rPr>
      </w:pPr>
      <w:r w:rsidRPr="00810912">
        <w:rPr>
          <w:rFonts w:ascii="Palatino Linotype" w:eastAsia="Calibri" w:hAnsi="Palatino Linotype" w:cs="Times New Roman"/>
          <w:sz w:val="24"/>
          <w:szCs w:val="24"/>
          <w:lang w:val="es-ES_tradnl" w:eastAsia="es-ES"/>
        </w:rPr>
        <w:t xml:space="preserve">El </w:t>
      </w:r>
      <w:r w:rsidRPr="00810912">
        <w:rPr>
          <w:rFonts w:ascii="Palatino Linotype" w:eastAsia="Calibri" w:hAnsi="Palatino Linotype" w:cs="Times New Roman"/>
          <w:b/>
          <w:sz w:val="24"/>
          <w:szCs w:val="24"/>
          <w:lang w:val="es-ES_tradnl" w:eastAsia="es-ES"/>
        </w:rPr>
        <w:t>Sujeto Obligado</w:t>
      </w:r>
      <w:r w:rsidRPr="00810912">
        <w:rPr>
          <w:rFonts w:ascii="Palatino Linotype" w:eastAsia="Calibri" w:hAnsi="Palatino Linotype" w:cs="Times New Roman"/>
          <w:sz w:val="24"/>
          <w:szCs w:val="24"/>
          <w:lang w:val="es-ES_tradnl" w:eastAsia="es-ES"/>
        </w:rPr>
        <w:t xml:space="preserve"> se limitó a dar como respuesta que </w:t>
      </w:r>
      <w:r w:rsidRPr="00810912">
        <w:rPr>
          <w:rFonts w:ascii="Palatino Linotype" w:hAnsi="Palatino Linotype" w:cs="Arial"/>
          <w:szCs w:val="24"/>
        </w:rPr>
        <w:t>los planos manzaneros NO están dentro de su competencia.</w:t>
      </w:r>
    </w:p>
    <w:p w:rsidR="00810912" w:rsidRPr="00810912" w:rsidRDefault="00810912" w:rsidP="00810912">
      <w:pPr>
        <w:pStyle w:val="Prrafodelista"/>
        <w:spacing w:after="0" w:line="360" w:lineRule="auto"/>
        <w:jc w:val="both"/>
        <w:rPr>
          <w:rFonts w:ascii="Palatino Linotype" w:eastAsia="Times New Roman" w:hAnsi="Palatino Linotype" w:cs="Arial"/>
          <w:color w:val="000000" w:themeColor="text1"/>
          <w:sz w:val="24"/>
          <w:szCs w:val="24"/>
          <w:lang w:val="es-ES" w:eastAsia="es-ES"/>
        </w:rPr>
      </w:pPr>
    </w:p>
    <w:p w:rsidR="00810912" w:rsidRPr="00810912" w:rsidRDefault="00810912" w:rsidP="009E5ACD">
      <w:pPr>
        <w:pStyle w:val="Prrafodelista"/>
        <w:numPr>
          <w:ilvl w:val="0"/>
          <w:numId w:val="7"/>
        </w:numPr>
        <w:spacing w:after="0" w:line="360" w:lineRule="auto"/>
        <w:ind w:left="426"/>
        <w:jc w:val="both"/>
        <w:rPr>
          <w:rFonts w:ascii="Palatino Linotype" w:eastAsia="Times New Roman" w:hAnsi="Palatino Linotype" w:cs="Arial"/>
          <w:color w:val="000000" w:themeColor="text1"/>
          <w:sz w:val="24"/>
          <w:szCs w:val="24"/>
          <w:lang w:val="es-ES" w:eastAsia="es-ES"/>
        </w:rPr>
      </w:pPr>
      <w:r w:rsidRPr="00810912">
        <w:rPr>
          <w:rFonts w:ascii="Palatino Linotype" w:eastAsia="Times New Roman" w:hAnsi="Palatino Linotype" w:cs="Arial"/>
          <w:color w:val="000000" w:themeColor="text1"/>
          <w:sz w:val="24"/>
          <w:szCs w:val="24"/>
          <w:lang w:val="es-ES" w:eastAsia="es-ES"/>
        </w:rPr>
        <w:t xml:space="preserve">No pasa desapercibido para este Órgano Garante, que si bien el </w:t>
      </w:r>
      <w:r w:rsidRPr="00810912">
        <w:rPr>
          <w:rFonts w:ascii="Palatino Linotype" w:eastAsia="Times New Roman" w:hAnsi="Palatino Linotype" w:cs="Arial"/>
          <w:b/>
          <w:color w:val="000000" w:themeColor="text1"/>
          <w:sz w:val="24"/>
          <w:szCs w:val="24"/>
          <w:lang w:val="es-ES" w:eastAsia="es-ES"/>
        </w:rPr>
        <w:t>Sujeto Obligado</w:t>
      </w:r>
      <w:r w:rsidRPr="00810912">
        <w:rPr>
          <w:rFonts w:ascii="Palatino Linotype" w:eastAsia="Times New Roman" w:hAnsi="Palatino Linotype" w:cs="Arial"/>
          <w:color w:val="000000" w:themeColor="text1"/>
          <w:sz w:val="24"/>
          <w:szCs w:val="24"/>
          <w:lang w:val="es-ES" w:eastAsia="es-ES"/>
        </w:rPr>
        <w:t xml:space="preserve"> emite una respuesta </w:t>
      </w:r>
      <w:r w:rsidRPr="00810912">
        <w:rPr>
          <w:rFonts w:ascii="Palatino Linotype" w:eastAsia="Calibri" w:hAnsi="Palatino Linotype" w:cs="Times New Roman"/>
          <w:sz w:val="24"/>
          <w:szCs w:val="24"/>
          <w:lang w:eastAsia="es-ES"/>
        </w:rPr>
        <w:t xml:space="preserve">con la cual pretende colmar el derecho del particular, </w:t>
      </w:r>
      <w:r w:rsidRPr="00810912">
        <w:rPr>
          <w:rFonts w:ascii="Palatino Linotype" w:eastAsia="Times New Roman" w:hAnsi="Palatino Linotype" w:cs="Arial"/>
          <w:color w:val="000000" w:themeColor="text1"/>
          <w:sz w:val="24"/>
          <w:szCs w:val="24"/>
          <w:lang w:val="es-ES" w:eastAsia="es-ES"/>
        </w:rPr>
        <w:t xml:space="preserve">en consecuencia se tiene por acreditado que la información no da cumplimiento, </w:t>
      </w:r>
      <w:r w:rsidRPr="00810912">
        <w:rPr>
          <w:rFonts w:ascii="Palatino Linotype" w:hAnsi="Palatino Linotype"/>
          <w:sz w:val="24"/>
          <w:szCs w:val="24"/>
        </w:rPr>
        <w:t>por ello que se inserta  la siguiente publicación la que es visible en su página electrónica principal, consistente en lo siguiente:</w:t>
      </w:r>
    </w:p>
    <w:p w:rsidR="007549B8" w:rsidRDefault="007549B8" w:rsidP="00810912">
      <w:pPr>
        <w:pStyle w:val="Prrafodelista"/>
        <w:spacing w:after="0" w:line="360" w:lineRule="auto"/>
        <w:ind w:left="426"/>
        <w:jc w:val="both"/>
        <w:rPr>
          <w:rFonts w:ascii="Palatino Linotype" w:hAnsi="Palatino Linotype" w:cs="Arial"/>
          <w:sz w:val="24"/>
          <w:szCs w:val="24"/>
        </w:rPr>
      </w:pPr>
    </w:p>
    <w:p w:rsidR="0057104F" w:rsidRDefault="0057104F" w:rsidP="0057104F">
      <w:pPr>
        <w:widowControl w:val="0"/>
        <w:tabs>
          <w:tab w:val="left" w:pos="1701"/>
          <w:tab w:val="left" w:pos="1843"/>
        </w:tabs>
        <w:suppressAutoHyphens/>
        <w:spacing w:after="0" w:line="360" w:lineRule="auto"/>
        <w:contextualSpacing/>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7695BDC4" wp14:editId="699DED34">
                <wp:simplePos x="0" y="0"/>
                <wp:positionH relativeFrom="column">
                  <wp:posOffset>867410</wp:posOffset>
                </wp:positionH>
                <wp:positionV relativeFrom="paragraph">
                  <wp:posOffset>1482725</wp:posOffset>
                </wp:positionV>
                <wp:extent cx="871870" cy="10633"/>
                <wp:effectExtent l="19050" t="19050" r="23495" b="27940"/>
                <wp:wrapNone/>
                <wp:docPr id="3" name="Conector recto 3"/>
                <wp:cNvGraphicFramePr/>
                <a:graphic xmlns:a="http://schemas.openxmlformats.org/drawingml/2006/main">
                  <a:graphicData uri="http://schemas.microsoft.com/office/word/2010/wordprocessingShape">
                    <wps:wsp>
                      <wps:cNvCnPr/>
                      <wps:spPr>
                        <a:xfrm>
                          <a:off x="0" y="0"/>
                          <a:ext cx="871870" cy="10633"/>
                        </a:xfrm>
                        <a:prstGeom prst="line">
                          <a:avLst/>
                        </a:prstGeom>
                        <a:noFill/>
                        <a:ln w="28575" cap="flat" cmpd="sng" algn="ctr">
                          <a:solidFill>
                            <a:srgbClr val="00B0F0"/>
                          </a:solidFill>
                          <a:prstDash val="solid"/>
                          <a:miter lim="800000"/>
                        </a:ln>
                        <a:effectLst/>
                      </wps:spPr>
                      <wps:bodyPr/>
                    </wps:wsp>
                  </a:graphicData>
                </a:graphic>
              </wp:anchor>
            </w:drawing>
          </mc:Choice>
          <mc:Fallback>
            <w:pict>
              <v:line w14:anchorId="7D608460"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8.3pt,116.75pt" to="136.9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" strokecolor="#00b0f0" strokeweight="2.25pt">
                <v:stroke joinstyle="miter"/>
              </v:line>
            </w:pict>
          </mc:Fallback>
        </mc:AlternateContent>
      </w:r>
      <w:r>
        <w:rPr>
          <w:noProof/>
          <w:lang w:eastAsia="es-MX"/>
        </w:rPr>
        <w:drawing>
          <wp:inline distT="0" distB="0" distL="0" distR="0" wp14:anchorId="6AA1DE65" wp14:editId="5EDDC838">
            <wp:extent cx="5760720" cy="5715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910" r="21792" b="4724"/>
                    <a:stretch/>
                  </pic:blipFill>
                  <pic:spPr bwMode="auto">
                    <a:xfrm>
                      <a:off x="0" y="0"/>
                      <a:ext cx="5785930" cy="5740010"/>
                    </a:xfrm>
                    <a:prstGeom prst="rect">
                      <a:avLst/>
                    </a:prstGeom>
                    <a:ln>
                      <a:noFill/>
                    </a:ln>
                    <a:extLst>
                      <a:ext uri="{53640926-AAD7-44D8-BBD7-CCE9431645EC}">
                        <a14:shadowObscured xmlns:a14="http://schemas.microsoft.com/office/drawing/2010/main"/>
                      </a:ext>
                    </a:extLst>
                  </pic:spPr>
                </pic:pic>
              </a:graphicData>
            </a:graphic>
          </wp:inline>
        </w:drawing>
      </w:r>
    </w:p>
    <w:p w:rsidR="0057104F" w:rsidRDefault="0057104F" w:rsidP="0057104F">
      <w:pPr>
        <w:tabs>
          <w:tab w:val="left" w:pos="7938"/>
        </w:tabs>
        <w:spacing w:after="0" w:line="360" w:lineRule="auto"/>
        <w:jc w:val="both"/>
        <w:rPr>
          <w:rFonts w:ascii="Palatino Linotype" w:eastAsia="Arial Unicode MS" w:hAnsi="Palatino Linotype" w:cs="Arial"/>
          <w:sz w:val="24"/>
        </w:rPr>
      </w:pPr>
      <w:r>
        <w:rPr>
          <w:noProof/>
          <w:lang w:eastAsia="es-MX"/>
        </w:rPr>
        <w:lastRenderedPageBreak/>
        <w:drawing>
          <wp:inline distT="0" distB="0" distL="0" distR="0" wp14:anchorId="223355C9" wp14:editId="266EB37F">
            <wp:extent cx="5688087" cy="409353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054" r="24140" b="5781"/>
                    <a:stretch/>
                  </pic:blipFill>
                  <pic:spPr bwMode="auto">
                    <a:xfrm>
                      <a:off x="0" y="0"/>
                      <a:ext cx="5711701" cy="4110529"/>
                    </a:xfrm>
                    <a:prstGeom prst="rect">
                      <a:avLst/>
                    </a:prstGeom>
                    <a:ln>
                      <a:noFill/>
                    </a:ln>
                    <a:extLst>
                      <a:ext uri="{53640926-AAD7-44D8-BBD7-CCE9431645EC}">
                        <a14:shadowObscured xmlns:a14="http://schemas.microsoft.com/office/drawing/2010/main"/>
                      </a:ext>
                    </a:extLst>
                  </pic:spPr>
                </pic:pic>
              </a:graphicData>
            </a:graphic>
          </wp:inline>
        </w:drawing>
      </w:r>
    </w:p>
    <w:p w:rsidR="0057104F" w:rsidRDefault="0057104F" w:rsidP="0057104F">
      <w:pPr>
        <w:tabs>
          <w:tab w:val="left" w:pos="7938"/>
        </w:tabs>
        <w:spacing w:after="0" w:line="360" w:lineRule="auto"/>
        <w:jc w:val="both"/>
        <w:rPr>
          <w:rFonts w:ascii="Palatino Linotype" w:eastAsia="Arial Unicode MS" w:hAnsi="Palatino Linotype" w:cs="Arial"/>
          <w:sz w:val="24"/>
        </w:rPr>
      </w:pPr>
    </w:p>
    <w:p w:rsidR="00810912" w:rsidRDefault="0057104F"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eastAsia="Arial Unicode MS" w:hAnsi="Palatino Linotype" w:cs="Arial"/>
          <w:sz w:val="24"/>
        </w:rPr>
        <w:t xml:space="preserve">De la anterior imagen podemos advertir la obligación vinculante que tiene el </w:t>
      </w:r>
      <w:r w:rsidRPr="00810912">
        <w:rPr>
          <w:rFonts w:ascii="Palatino Linotype" w:eastAsia="Arial Unicode MS" w:hAnsi="Palatino Linotype" w:cs="Arial"/>
          <w:b/>
          <w:sz w:val="24"/>
        </w:rPr>
        <w:t>Sujeto Obligado</w:t>
      </w:r>
      <w:r w:rsidRPr="00810912">
        <w:rPr>
          <w:rFonts w:ascii="Palatino Linotype" w:eastAsia="Arial Unicode MS" w:hAnsi="Palatino Linotype" w:cs="Arial"/>
          <w:sz w:val="24"/>
        </w:rPr>
        <w:t xml:space="preserve"> como municipio  para poseer y administra la información solicitada; en ese contexto se tiene que, resultar improcedente la pretendida declaración de incompetencia de la información, toda vez que se acredita que la información si existe, solo que para poder acceder a ella se tiene que agotar un trámite en específico.</w:t>
      </w:r>
    </w:p>
    <w:p w:rsidR="00810912" w:rsidRDefault="00810912" w:rsidP="00810912">
      <w:pPr>
        <w:pStyle w:val="Prrafodelista"/>
        <w:tabs>
          <w:tab w:val="left" w:pos="7938"/>
        </w:tabs>
        <w:spacing w:after="0" w:line="360" w:lineRule="auto"/>
        <w:ind w:left="426"/>
        <w:jc w:val="both"/>
        <w:rPr>
          <w:rFonts w:ascii="Palatino Linotype" w:eastAsia="Arial Unicode MS" w:hAnsi="Palatino Linotype" w:cs="Arial"/>
          <w:sz w:val="24"/>
        </w:rPr>
      </w:pPr>
    </w:p>
    <w:p w:rsidR="00810912" w:rsidRPr="00810912" w:rsidRDefault="000C62C8"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eastAsia="Times New Roman" w:hAnsi="Palatino Linotype" w:cs="Arial"/>
          <w:sz w:val="24"/>
          <w:szCs w:val="24"/>
          <w:lang w:val="es-ES" w:eastAsia="es-ES"/>
        </w:rPr>
        <w:t>Como podemos apreciar la información que es susceptible de ser entregada es aquella generada, obtenida, adquirida, transformada, administrada o en posesión de los sujetos obligados, de ello se de</w:t>
      </w:r>
      <w:r w:rsidR="0057104F" w:rsidRPr="00810912">
        <w:rPr>
          <w:rFonts w:ascii="Palatino Linotype" w:eastAsia="Times New Roman" w:hAnsi="Palatino Linotype" w:cs="Arial"/>
          <w:sz w:val="24"/>
          <w:szCs w:val="24"/>
          <w:lang w:val="es-ES" w:eastAsia="es-ES"/>
        </w:rPr>
        <w:t>sprende que el sujeto obligado</w:t>
      </w:r>
      <w:r w:rsidRPr="00810912">
        <w:rPr>
          <w:rFonts w:ascii="Palatino Linotype" w:eastAsia="Times New Roman" w:hAnsi="Palatino Linotype" w:cs="Arial"/>
          <w:sz w:val="24"/>
          <w:szCs w:val="24"/>
          <w:lang w:val="es-ES" w:eastAsia="es-ES"/>
        </w:rPr>
        <w:t xml:space="preserve"> está facultado </w:t>
      </w:r>
      <w:r w:rsidRPr="00810912">
        <w:rPr>
          <w:rFonts w:ascii="Palatino Linotype" w:eastAsia="Times New Roman" w:hAnsi="Palatino Linotype" w:cs="Arial"/>
          <w:sz w:val="24"/>
          <w:szCs w:val="24"/>
          <w:lang w:val="es-ES" w:eastAsia="es-ES"/>
        </w:rPr>
        <w:lastRenderedPageBreak/>
        <w:t xml:space="preserve">para dar contestación a preguntas que supongan un pronunciamiento </w:t>
      </w:r>
      <w:r w:rsidRPr="00810912">
        <w:rPr>
          <w:rFonts w:ascii="Palatino Linotype" w:eastAsia="Times New Roman" w:hAnsi="Palatino Linotype" w:cs="Arial"/>
          <w:i/>
          <w:sz w:val="24"/>
          <w:szCs w:val="24"/>
          <w:lang w:val="es-ES" w:eastAsia="es-ES"/>
        </w:rPr>
        <w:t>ad hoc</w:t>
      </w:r>
      <w:r w:rsidRPr="00810912">
        <w:rPr>
          <w:rFonts w:ascii="Palatino Linotype" w:eastAsia="Times New Roman" w:hAnsi="Palatino Linotype" w:cs="Arial"/>
          <w:sz w:val="24"/>
          <w:szCs w:val="24"/>
          <w:lang w:val="es-ES" w:eastAsia="es-ES"/>
        </w:rPr>
        <w:t xml:space="preserve"> o </w:t>
      </w:r>
      <w:r w:rsidRPr="00810912">
        <w:rPr>
          <w:rFonts w:ascii="Palatino Linotype" w:eastAsia="Times New Roman" w:hAnsi="Palatino Linotype" w:cs="Arial"/>
          <w:i/>
          <w:sz w:val="24"/>
          <w:szCs w:val="24"/>
          <w:lang w:val="es-ES" w:eastAsia="es-ES"/>
        </w:rPr>
        <w:t>exprofeso</w:t>
      </w:r>
      <w:r w:rsidRPr="00810912">
        <w:rPr>
          <w:rFonts w:ascii="Palatino Linotype" w:eastAsia="Times New Roman" w:hAnsi="Palatino Linotype" w:cs="Arial"/>
          <w:sz w:val="24"/>
          <w:szCs w:val="24"/>
          <w:lang w:val="es-ES" w:eastAsia="es-ES"/>
        </w:rPr>
        <w:t xml:space="preserve"> para ello.</w:t>
      </w:r>
    </w:p>
    <w:p w:rsidR="00810912" w:rsidRPr="00810912" w:rsidRDefault="00810912" w:rsidP="00810912">
      <w:pPr>
        <w:pStyle w:val="Prrafodelista"/>
        <w:rPr>
          <w:rFonts w:ascii="Palatino Linotype" w:hAnsi="Palatino Linotype" w:cs="Arial"/>
          <w:sz w:val="24"/>
          <w:szCs w:val="24"/>
        </w:rPr>
      </w:pPr>
    </w:p>
    <w:p w:rsidR="00810912" w:rsidRPr="00810912" w:rsidRDefault="000C62C8"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hAnsi="Palatino Linotype" w:cs="Arial"/>
          <w:sz w:val="24"/>
          <w:szCs w:val="24"/>
        </w:rPr>
        <w:t xml:space="preserve">En ese orden de ideas es necesario hacer alusión al artículo 12 de la Ley en la materia, el cual estipula que el sujeto obligado sólo proporcionará la información pública que se les requiera y que obre en sus archivos </w:t>
      </w:r>
      <w:r w:rsidRPr="00810912">
        <w:rPr>
          <w:rFonts w:ascii="Palatino Linotype" w:hAnsi="Palatino Linotype" w:cs="Arial"/>
          <w:b/>
          <w:sz w:val="24"/>
          <w:szCs w:val="24"/>
          <w:u w:val="single"/>
        </w:rPr>
        <w:t>en el estado en que ésta se encuentre</w:t>
      </w:r>
      <w:r w:rsidRPr="00810912">
        <w:rPr>
          <w:rFonts w:ascii="Palatino Linotype" w:hAnsi="Palatino Linotype" w:cs="Arial"/>
          <w:sz w:val="24"/>
          <w:szCs w:val="24"/>
        </w:rPr>
        <w:t>, sin que se les conmine a resumirla, efectuar cálculos o llevar a cabo investigaciones, el propio artículo establece: “…</w:t>
      </w:r>
      <w:r w:rsidRPr="00810912">
        <w:rPr>
          <w:rFonts w:ascii="Palatino Linotype" w:hAnsi="Palatino Linotype" w:cs="Arial"/>
          <w:i/>
          <w:sz w:val="24"/>
          <w:szCs w:val="24"/>
        </w:rPr>
        <w:t xml:space="preserve">proporcionar información no comprende el procesamiento de la misma, </w:t>
      </w:r>
      <w:r w:rsidRPr="00810912">
        <w:rPr>
          <w:rFonts w:ascii="Palatino Linotype" w:hAnsi="Palatino Linotype" w:cs="Arial"/>
          <w:b/>
          <w:i/>
          <w:sz w:val="24"/>
          <w:szCs w:val="24"/>
          <w:u w:val="single"/>
        </w:rPr>
        <w:t>ni el presentarla conforme al interés del solicitante</w:t>
      </w:r>
      <w:r w:rsidRPr="00810912">
        <w:rPr>
          <w:rFonts w:ascii="Palatino Linotype" w:hAnsi="Palatino Linotype" w:cs="Arial"/>
          <w:sz w:val="24"/>
          <w:szCs w:val="24"/>
        </w:rPr>
        <w:t xml:space="preserve">…”, pues la solicitud de información motivo del presente recurso de revisión, </w:t>
      </w:r>
      <w:r w:rsidR="0057104F" w:rsidRPr="00810912">
        <w:rPr>
          <w:rFonts w:ascii="Palatino Linotype" w:hAnsi="Palatino Linotype" w:cs="Arial"/>
          <w:sz w:val="24"/>
          <w:szCs w:val="24"/>
        </w:rPr>
        <w:t>recae en un trámite específico.</w:t>
      </w:r>
    </w:p>
    <w:p w:rsidR="00810912" w:rsidRPr="00810912" w:rsidRDefault="00810912" w:rsidP="00810912">
      <w:pPr>
        <w:pStyle w:val="Prrafodelista"/>
        <w:rPr>
          <w:rFonts w:ascii="Palatino Linotype" w:hAnsi="Palatino Linotype" w:cs="Arial"/>
          <w:sz w:val="24"/>
          <w:szCs w:val="24"/>
        </w:rPr>
      </w:pPr>
    </w:p>
    <w:p w:rsidR="00810912" w:rsidRPr="00810912" w:rsidRDefault="000C62C8"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hAnsi="Palatino Linotype" w:cs="Arial"/>
          <w:sz w:val="24"/>
          <w:szCs w:val="24"/>
        </w:rPr>
        <w:t>Ahora bien, respecto a tal circunstancia, este Órgano Garante de la Transparencia puede en cualquier momento advertir la existencia de la causal de improcedencia, la multicitada Ley no limita a este Instituto a circunscribirse a un término, plazo, periodo o momento, para advertir o identificar la existencia de una causal de improcedencia, sino que puede hacerlo en cualquier momento una vez que aparezca, que como se ha dicho anteriormente, en el presente caso, apareció al momento de admitirse el recurso de revisión, del cual este Órgano Garante de la Transparencia la advirtió al momento de resolver el recurso de revisión que nos ocupa.</w:t>
      </w:r>
    </w:p>
    <w:p w:rsidR="00810912" w:rsidRPr="00810912" w:rsidRDefault="00810912" w:rsidP="00810912">
      <w:pPr>
        <w:pStyle w:val="Prrafodelista"/>
        <w:rPr>
          <w:rFonts w:ascii="Palatino Linotype" w:hAnsi="Palatino Linotype" w:cs="Arial"/>
          <w:sz w:val="24"/>
          <w:szCs w:val="24"/>
        </w:rPr>
      </w:pPr>
    </w:p>
    <w:p w:rsidR="00810912" w:rsidRPr="00810912" w:rsidRDefault="000C62C8"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hAnsi="Palatino Linotype" w:cs="Arial"/>
          <w:sz w:val="24"/>
          <w:szCs w:val="24"/>
        </w:rPr>
        <w:t>Es por ello que el segundo elemento normativo previsto en la fracción IV del artículo 192 se configura perfectamente en el presente recurso de revisión.</w:t>
      </w:r>
    </w:p>
    <w:p w:rsidR="00810912" w:rsidRPr="00810912" w:rsidRDefault="00810912" w:rsidP="00810912">
      <w:pPr>
        <w:pStyle w:val="Prrafodelista"/>
        <w:rPr>
          <w:rFonts w:ascii="Palatino Linotype" w:hAnsi="Palatino Linotype" w:cs="Arial"/>
          <w:sz w:val="24"/>
          <w:szCs w:val="24"/>
        </w:rPr>
      </w:pPr>
    </w:p>
    <w:p w:rsidR="000C62C8" w:rsidRPr="00810912" w:rsidRDefault="000C62C8" w:rsidP="009E5ACD">
      <w:pPr>
        <w:pStyle w:val="Prrafodelista"/>
        <w:numPr>
          <w:ilvl w:val="0"/>
          <w:numId w:val="7"/>
        </w:numPr>
        <w:tabs>
          <w:tab w:val="left" w:pos="7938"/>
        </w:tabs>
        <w:spacing w:after="0" w:line="360" w:lineRule="auto"/>
        <w:ind w:left="426"/>
        <w:jc w:val="both"/>
        <w:rPr>
          <w:rFonts w:ascii="Palatino Linotype" w:eastAsia="Arial Unicode MS" w:hAnsi="Palatino Linotype" w:cs="Arial"/>
          <w:sz w:val="24"/>
        </w:rPr>
      </w:pPr>
      <w:r w:rsidRPr="00810912">
        <w:rPr>
          <w:rFonts w:ascii="Palatino Linotype" w:hAnsi="Palatino Linotype" w:cs="Arial"/>
          <w:sz w:val="24"/>
          <w:szCs w:val="24"/>
        </w:rPr>
        <w:lastRenderedPageBreak/>
        <w:t xml:space="preserve">En </w:t>
      </w:r>
      <w:r w:rsidR="003E224F" w:rsidRPr="00810912">
        <w:rPr>
          <w:rFonts w:ascii="Palatino Linotype" w:hAnsi="Palatino Linotype" w:cs="Arial"/>
          <w:sz w:val="24"/>
          <w:szCs w:val="24"/>
        </w:rPr>
        <w:t xml:space="preserve">términos de la Ley en la materia, </w:t>
      </w:r>
      <w:r w:rsidRPr="00810912">
        <w:rPr>
          <w:rFonts w:ascii="Palatino Linotype" w:hAnsi="Palatino Linotype" w:cs="Arial"/>
          <w:sz w:val="24"/>
          <w:szCs w:val="24"/>
        </w:rPr>
        <w:t>las causales de improcedencia y de sobreseimiento de las que se ha hecho mención en el cuerpo de la presente resolución, de forma muy clara sin que se tomaran elementos o requisitos no contempladas en ella, en tal sentido es que en el presente recurso de revisión se actualizaron los elementos normativos que contempla la hipótesis jurídica a continuación inserta.</w:t>
      </w:r>
    </w:p>
    <w:p w:rsidR="000C62C8" w:rsidRPr="000C62C8" w:rsidRDefault="000C62C8" w:rsidP="000C62C8">
      <w:pPr>
        <w:spacing w:after="0" w:line="360" w:lineRule="auto"/>
        <w:jc w:val="both"/>
        <w:rPr>
          <w:rFonts w:ascii="Palatino Linotype" w:hAnsi="Palatino Linotype" w:cs="Arial"/>
          <w:sz w:val="24"/>
          <w:szCs w:val="24"/>
        </w:rPr>
      </w:pPr>
    </w:p>
    <w:p w:rsidR="000C62C8" w:rsidRPr="000C62C8" w:rsidRDefault="000C62C8" w:rsidP="000C62C8">
      <w:pPr>
        <w:spacing w:after="0" w:line="360" w:lineRule="auto"/>
        <w:ind w:left="851" w:right="1134"/>
        <w:jc w:val="both"/>
        <w:rPr>
          <w:rFonts w:ascii="Palatino Linotype" w:hAnsi="Palatino Linotype" w:cs="Arial"/>
          <w:i/>
          <w:sz w:val="24"/>
          <w:szCs w:val="24"/>
        </w:rPr>
      </w:pPr>
      <w:r w:rsidRPr="000C62C8">
        <w:rPr>
          <w:rFonts w:ascii="Palatino Linotype" w:hAnsi="Palatino Linotype" w:cs="Arial"/>
          <w:i/>
          <w:sz w:val="24"/>
          <w:szCs w:val="24"/>
        </w:rPr>
        <w:t xml:space="preserve">“Artículo 192. El recurso será sobreseído, en todo o en parte, cuando una vez admitido, se actualicen alguno de los siguientes supuestos: </w:t>
      </w:r>
    </w:p>
    <w:p w:rsidR="000C62C8" w:rsidRPr="000C62C8" w:rsidRDefault="000C62C8" w:rsidP="000C62C8">
      <w:pPr>
        <w:spacing w:after="0" w:line="360" w:lineRule="auto"/>
        <w:ind w:left="851" w:right="1134"/>
        <w:jc w:val="both"/>
        <w:rPr>
          <w:rFonts w:ascii="Palatino Linotype" w:hAnsi="Palatino Linotype" w:cs="Arial"/>
          <w:i/>
          <w:sz w:val="24"/>
          <w:szCs w:val="24"/>
        </w:rPr>
      </w:pPr>
      <w:r w:rsidRPr="000C62C8">
        <w:rPr>
          <w:rFonts w:ascii="Palatino Linotype" w:hAnsi="Palatino Linotype" w:cs="Arial"/>
          <w:i/>
          <w:sz w:val="24"/>
          <w:szCs w:val="24"/>
        </w:rPr>
        <w:t>[…]</w:t>
      </w:r>
    </w:p>
    <w:p w:rsidR="000C62C8" w:rsidRPr="000C62C8" w:rsidRDefault="000C62C8" w:rsidP="000C62C8">
      <w:pPr>
        <w:spacing w:after="0" w:line="360" w:lineRule="auto"/>
        <w:ind w:left="851" w:right="1134"/>
        <w:jc w:val="both"/>
        <w:rPr>
          <w:rFonts w:ascii="Palatino Linotype" w:hAnsi="Palatino Linotype" w:cs="Arial"/>
          <w:i/>
          <w:sz w:val="24"/>
          <w:szCs w:val="24"/>
        </w:rPr>
      </w:pPr>
      <w:r w:rsidRPr="000C62C8">
        <w:rPr>
          <w:rFonts w:ascii="Palatino Linotype" w:hAnsi="Palatino Linotype" w:cs="Arial"/>
          <w:i/>
          <w:sz w:val="24"/>
          <w:szCs w:val="24"/>
        </w:rPr>
        <w:t>IV. Admitido el recurso de revisión, aparezca alguna causal de improcedencia en los términos de la presente ley;”</w:t>
      </w:r>
    </w:p>
    <w:p w:rsidR="000C62C8" w:rsidRPr="000C62C8" w:rsidRDefault="000C62C8" w:rsidP="000C62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10912" w:rsidRDefault="000C62C8" w:rsidP="009E5ACD">
      <w:pPr>
        <w:pStyle w:val="Prrafodelista"/>
        <w:numPr>
          <w:ilvl w:val="0"/>
          <w:numId w:val="7"/>
        </w:numPr>
        <w:spacing w:after="0" w:line="360" w:lineRule="auto"/>
        <w:ind w:left="426" w:right="51"/>
        <w:jc w:val="both"/>
        <w:rPr>
          <w:rFonts w:ascii="Palatino Linotype" w:hAnsi="Palatino Linotype" w:cs="Arial"/>
          <w:sz w:val="24"/>
          <w:szCs w:val="24"/>
        </w:rPr>
      </w:pPr>
      <w:r w:rsidRPr="00810912">
        <w:rPr>
          <w:rFonts w:ascii="Palatino Linotype" w:hAnsi="Palatino Linotype"/>
          <w:sz w:val="24"/>
          <w:szCs w:val="24"/>
        </w:rPr>
        <w:t xml:space="preserve">En mérito de lo expuesto en líneas anteriores, </w:t>
      </w:r>
      <w:r w:rsidRPr="00810912">
        <w:rPr>
          <w:rFonts w:ascii="Palatino Linotype" w:hAnsi="Palatino Linotype" w:cs="Arial"/>
          <w:sz w:val="24"/>
          <w:szCs w:val="24"/>
        </w:rPr>
        <w:t xml:space="preserve">con fundamento en el artículo 186 fracción I de la Ley de Transparencia y Acceso a la Información Pública del Estado de México y Municipios, se </w:t>
      </w:r>
      <w:r w:rsidRPr="00810912">
        <w:rPr>
          <w:rFonts w:ascii="Palatino Linotype" w:hAnsi="Palatino Linotype" w:cs="Arial"/>
          <w:b/>
          <w:sz w:val="24"/>
          <w:szCs w:val="24"/>
        </w:rPr>
        <w:t xml:space="preserve">SOBRESEE </w:t>
      </w:r>
      <w:r w:rsidRPr="00810912">
        <w:rPr>
          <w:rFonts w:ascii="Palatino Linotype" w:hAnsi="Palatino Linotype" w:cs="Arial"/>
          <w:sz w:val="24"/>
          <w:szCs w:val="24"/>
        </w:rPr>
        <w:t xml:space="preserve">el recurso de revisión </w:t>
      </w:r>
      <w:r w:rsidRPr="00810912">
        <w:rPr>
          <w:rFonts w:ascii="Palatino Linotype" w:hAnsi="Palatino Linotype" w:cs="Arial"/>
          <w:b/>
          <w:sz w:val="24"/>
          <w:szCs w:val="24"/>
        </w:rPr>
        <w:t>03523/INFOEM/IP/RR/2021</w:t>
      </w:r>
      <w:r w:rsidRPr="00810912">
        <w:rPr>
          <w:rFonts w:ascii="Palatino Linotype" w:hAnsi="Palatino Linotype" w:cs="Arial"/>
          <w:sz w:val="24"/>
          <w:szCs w:val="24"/>
        </w:rPr>
        <w:t xml:space="preserve"> que ha sido materia del presente fallo.</w:t>
      </w:r>
    </w:p>
    <w:p w:rsidR="00810912" w:rsidRDefault="00810912" w:rsidP="00810912">
      <w:pPr>
        <w:pStyle w:val="Prrafodelista"/>
        <w:spacing w:after="0" w:line="360" w:lineRule="auto"/>
        <w:ind w:left="426" w:right="51"/>
        <w:jc w:val="both"/>
        <w:rPr>
          <w:rFonts w:ascii="Palatino Linotype" w:hAnsi="Palatino Linotype" w:cs="Arial"/>
          <w:sz w:val="24"/>
          <w:szCs w:val="24"/>
        </w:rPr>
      </w:pPr>
    </w:p>
    <w:p w:rsidR="003E18E3" w:rsidRPr="00810912" w:rsidRDefault="003E18E3" w:rsidP="009E5ACD">
      <w:pPr>
        <w:pStyle w:val="Prrafodelista"/>
        <w:numPr>
          <w:ilvl w:val="0"/>
          <w:numId w:val="7"/>
        </w:numPr>
        <w:spacing w:after="0" w:line="360" w:lineRule="auto"/>
        <w:ind w:left="426" w:right="51"/>
        <w:jc w:val="both"/>
        <w:rPr>
          <w:rFonts w:ascii="Palatino Linotype" w:hAnsi="Palatino Linotype" w:cs="Arial"/>
          <w:sz w:val="24"/>
          <w:szCs w:val="24"/>
        </w:rPr>
      </w:pPr>
      <w:r w:rsidRPr="00810912">
        <w:rPr>
          <w:rFonts w:ascii="Palatino Linotype" w:eastAsia="Times New Roman" w:hAnsi="Palatino Linotype" w:cs="Times New Roman"/>
          <w:sz w:val="24"/>
          <w:szCs w:val="24"/>
          <w:lang w:eastAsia="es-ES"/>
        </w:rPr>
        <w:t>Por lo antes expuesto y fundado es de resolverse y,</w:t>
      </w:r>
    </w:p>
    <w:p w:rsidR="003E18E3" w:rsidRDefault="003E18E3" w:rsidP="003E18E3">
      <w:pPr>
        <w:spacing w:after="0" w:line="360" w:lineRule="auto"/>
        <w:jc w:val="both"/>
        <w:rPr>
          <w:rFonts w:ascii="Palatino Linotype" w:eastAsia="Times New Roman" w:hAnsi="Palatino Linotype" w:cs="Times New Roman"/>
          <w:sz w:val="24"/>
          <w:szCs w:val="24"/>
          <w:lang w:eastAsia="es-ES"/>
        </w:rPr>
      </w:pPr>
    </w:p>
    <w:p w:rsidR="00810912" w:rsidRDefault="00810912" w:rsidP="003E18E3">
      <w:pPr>
        <w:spacing w:after="0" w:line="360" w:lineRule="auto"/>
        <w:jc w:val="both"/>
        <w:rPr>
          <w:rFonts w:ascii="Palatino Linotype" w:eastAsia="Times New Roman" w:hAnsi="Palatino Linotype" w:cs="Times New Roman"/>
          <w:sz w:val="24"/>
          <w:szCs w:val="24"/>
          <w:lang w:eastAsia="es-ES"/>
        </w:rPr>
      </w:pPr>
    </w:p>
    <w:p w:rsidR="00810912" w:rsidRDefault="00810912" w:rsidP="003E18E3">
      <w:pPr>
        <w:spacing w:after="0" w:line="360" w:lineRule="auto"/>
        <w:jc w:val="both"/>
        <w:rPr>
          <w:rFonts w:ascii="Palatino Linotype" w:eastAsia="Times New Roman" w:hAnsi="Palatino Linotype" w:cs="Times New Roman"/>
          <w:sz w:val="24"/>
          <w:szCs w:val="24"/>
          <w:lang w:eastAsia="es-ES"/>
        </w:rPr>
      </w:pPr>
    </w:p>
    <w:p w:rsidR="00810912" w:rsidRDefault="00810912" w:rsidP="003E18E3">
      <w:pPr>
        <w:spacing w:after="0" w:line="360" w:lineRule="auto"/>
        <w:jc w:val="both"/>
        <w:rPr>
          <w:rFonts w:ascii="Palatino Linotype" w:eastAsia="Times New Roman" w:hAnsi="Palatino Linotype" w:cs="Times New Roman"/>
          <w:sz w:val="24"/>
          <w:szCs w:val="24"/>
          <w:lang w:eastAsia="es-ES"/>
        </w:rPr>
      </w:pPr>
    </w:p>
    <w:p w:rsidR="00810912" w:rsidRDefault="00810912" w:rsidP="003E18E3">
      <w:pPr>
        <w:spacing w:after="0" w:line="360" w:lineRule="auto"/>
        <w:jc w:val="both"/>
        <w:rPr>
          <w:rFonts w:ascii="Palatino Linotype" w:eastAsia="Times New Roman" w:hAnsi="Palatino Linotype" w:cs="Times New Roman"/>
          <w:sz w:val="24"/>
          <w:szCs w:val="24"/>
          <w:lang w:eastAsia="es-ES"/>
        </w:rPr>
      </w:pPr>
    </w:p>
    <w:p w:rsidR="00810912" w:rsidRPr="00F046B1" w:rsidRDefault="00810912" w:rsidP="003E18E3">
      <w:pPr>
        <w:spacing w:after="0" w:line="360" w:lineRule="auto"/>
        <w:jc w:val="both"/>
        <w:rPr>
          <w:rFonts w:ascii="Palatino Linotype" w:eastAsia="Times New Roman" w:hAnsi="Palatino Linotype" w:cs="Times New Roman"/>
          <w:sz w:val="24"/>
          <w:szCs w:val="24"/>
          <w:lang w:eastAsia="es-ES"/>
        </w:rPr>
      </w:pPr>
    </w:p>
    <w:p w:rsidR="003E18E3" w:rsidRPr="00F046B1" w:rsidRDefault="00810912" w:rsidP="003E18E3">
      <w:pPr>
        <w:spacing w:after="0" w:line="360" w:lineRule="auto"/>
        <w:jc w:val="center"/>
        <w:rPr>
          <w:rFonts w:ascii="Palatino Linotype" w:eastAsia="Times New Roman" w:hAnsi="Palatino Linotype" w:cs="Times New Roman"/>
          <w:bCs/>
          <w:spacing w:val="60"/>
          <w:sz w:val="24"/>
          <w:szCs w:val="24"/>
          <w:lang w:val="es-ES_tradnl" w:eastAsia="es-ES"/>
        </w:rPr>
      </w:pPr>
      <w:r>
        <w:rPr>
          <w:rFonts w:ascii="Palatino Linotype" w:eastAsia="Times New Roman" w:hAnsi="Palatino Linotype" w:cs="Times New Roman"/>
          <w:b/>
          <w:bCs/>
          <w:spacing w:val="60"/>
          <w:sz w:val="28"/>
          <w:szCs w:val="24"/>
          <w:lang w:val="es-ES_tradnl" w:eastAsia="es-ES"/>
        </w:rPr>
        <w:lastRenderedPageBreak/>
        <w:t>RESOLUTIVOS</w:t>
      </w:r>
    </w:p>
    <w:p w:rsidR="003E18E3" w:rsidRPr="00F046B1" w:rsidRDefault="003E18E3" w:rsidP="003E18E3">
      <w:pPr>
        <w:spacing w:after="0" w:line="360" w:lineRule="auto"/>
        <w:jc w:val="center"/>
        <w:rPr>
          <w:rFonts w:ascii="Palatino Linotype" w:eastAsia="Times New Roman" w:hAnsi="Palatino Linotype" w:cs="Times New Roman"/>
          <w:bCs/>
          <w:spacing w:val="60"/>
          <w:sz w:val="24"/>
          <w:szCs w:val="24"/>
          <w:lang w:val="es-ES_tradnl" w:eastAsia="es-ES"/>
        </w:rPr>
      </w:pPr>
    </w:p>
    <w:p w:rsidR="003E224F" w:rsidRPr="003E224F" w:rsidRDefault="003E224F" w:rsidP="003E224F">
      <w:pPr>
        <w:spacing w:after="0" w:line="360" w:lineRule="auto"/>
        <w:jc w:val="both"/>
        <w:rPr>
          <w:rFonts w:ascii="Palatino Linotype" w:hAnsi="Palatino Linotype" w:cs="Arial"/>
          <w:sz w:val="24"/>
          <w:szCs w:val="24"/>
        </w:rPr>
      </w:pPr>
      <w:r w:rsidRPr="003E224F">
        <w:rPr>
          <w:rFonts w:ascii="Palatino Linotype" w:hAnsi="Palatino Linotype" w:cs="Arial"/>
          <w:b/>
          <w:sz w:val="24"/>
          <w:szCs w:val="24"/>
        </w:rPr>
        <w:t>PRIMERO.</w:t>
      </w:r>
      <w:r w:rsidRPr="003E224F">
        <w:rPr>
          <w:rFonts w:ascii="Palatino Linotype" w:hAnsi="Palatino Linotype" w:cs="Arial"/>
          <w:sz w:val="24"/>
          <w:szCs w:val="24"/>
        </w:rPr>
        <w:t xml:space="preserve"> </w:t>
      </w:r>
      <w:r w:rsidRPr="003E224F">
        <w:rPr>
          <w:rFonts w:ascii="Palatino Linotype" w:hAnsi="Palatino Linotype" w:cs="Arial"/>
          <w:sz w:val="24"/>
          <w:szCs w:val="24"/>
          <w:lang w:val="es-ES_tradnl"/>
        </w:rPr>
        <w:t xml:space="preserve">Se </w:t>
      </w:r>
      <w:r w:rsidRPr="003E224F">
        <w:rPr>
          <w:rFonts w:ascii="Palatino Linotype" w:hAnsi="Palatino Linotype" w:cs="Arial"/>
          <w:b/>
          <w:sz w:val="24"/>
          <w:szCs w:val="24"/>
          <w:lang w:val="es-ES_tradnl"/>
        </w:rPr>
        <w:t xml:space="preserve">SOBRESEE </w:t>
      </w:r>
      <w:r w:rsidRPr="003E224F">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03523</w:t>
      </w:r>
      <w:r w:rsidRPr="003E224F">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3E224F">
        <w:rPr>
          <w:rFonts w:ascii="Palatino Linotype" w:hAnsi="Palatino Linotype" w:cs="Arial"/>
          <w:sz w:val="24"/>
          <w:szCs w:val="24"/>
          <w:lang w:val="es-ES_tradnl"/>
        </w:rPr>
        <w:t xml:space="preserve">, por actualizarse la causal de improcedencia inmersa en la fracción VI, del artículo 191, de la Ley de Transparencia vigente en la entidad, en términos del Considerando </w:t>
      </w:r>
      <w:r w:rsidR="00705929" w:rsidRPr="00CF03AA">
        <w:rPr>
          <w:rFonts w:ascii="Palatino Linotype" w:hAnsi="Palatino Linotype" w:cs="Arial"/>
          <w:sz w:val="24"/>
          <w:szCs w:val="24"/>
          <w:highlight w:val="cyan"/>
          <w:lang w:val="es-ES_tradnl"/>
        </w:rPr>
        <w:t>Cuarto</w:t>
      </w:r>
      <w:r w:rsidRPr="003E224F">
        <w:rPr>
          <w:rFonts w:ascii="Palatino Linotype" w:hAnsi="Palatino Linotype" w:cs="Arial"/>
          <w:sz w:val="24"/>
          <w:szCs w:val="24"/>
          <w:lang w:val="es-ES_tradnl"/>
        </w:rPr>
        <w:t xml:space="preserve"> de la presente resolución.</w:t>
      </w:r>
    </w:p>
    <w:p w:rsidR="003E224F" w:rsidRPr="003E224F" w:rsidRDefault="003E224F" w:rsidP="003E224F">
      <w:pPr>
        <w:spacing w:after="0" w:line="360" w:lineRule="auto"/>
        <w:jc w:val="both"/>
        <w:rPr>
          <w:rFonts w:ascii="Palatino Linotype" w:hAnsi="Palatino Linotype" w:cs="Arial"/>
          <w:sz w:val="24"/>
          <w:szCs w:val="24"/>
          <w:lang w:val="es-ES_tradnl"/>
        </w:rPr>
      </w:pPr>
    </w:p>
    <w:p w:rsidR="003E224F" w:rsidRPr="003E224F" w:rsidRDefault="003E224F" w:rsidP="003E224F">
      <w:pPr>
        <w:spacing w:after="0" w:line="360" w:lineRule="auto"/>
        <w:jc w:val="both"/>
        <w:rPr>
          <w:rFonts w:ascii="Palatino Linotype" w:hAnsi="Palatino Linotype" w:cs="Arial"/>
          <w:sz w:val="24"/>
          <w:szCs w:val="24"/>
        </w:rPr>
      </w:pPr>
      <w:r w:rsidRPr="003E224F">
        <w:rPr>
          <w:rFonts w:ascii="Palatino Linotype" w:hAnsi="Palatino Linotype" w:cs="Arial"/>
          <w:b/>
          <w:sz w:val="24"/>
          <w:szCs w:val="24"/>
        </w:rPr>
        <w:t>SEGUNDO</w:t>
      </w:r>
      <w:r w:rsidRPr="003E224F">
        <w:rPr>
          <w:rFonts w:ascii="Palatino Linotype" w:hAnsi="Palatino Linotype" w:cs="Arial"/>
          <w:sz w:val="24"/>
          <w:szCs w:val="24"/>
        </w:rPr>
        <w:t>. Notifíquese vía SAIMEX</w:t>
      </w:r>
      <w:r w:rsidRPr="003E224F">
        <w:rPr>
          <w:rFonts w:ascii="Palatino Linotype" w:hAnsi="Palatino Linotype"/>
          <w:sz w:val="24"/>
          <w:szCs w:val="24"/>
        </w:rPr>
        <w:t xml:space="preserve"> </w:t>
      </w:r>
      <w:r w:rsidRPr="003E224F">
        <w:rPr>
          <w:rFonts w:ascii="Palatino Linotype" w:hAnsi="Palatino Linotype" w:cs="Arial"/>
          <w:sz w:val="24"/>
          <w:szCs w:val="24"/>
        </w:rPr>
        <w:t>la presente resolución al</w:t>
      </w:r>
      <w:r w:rsidRPr="003E224F">
        <w:rPr>
          <w:rFonts w:ascii="Palatino Linotype" w:hAnsi="Palatino Linotype"/>
          <w:sz w:val="24"/>
          <w:szCs w:val="24"/>
        </w:rPr>
        <w:t xml:space="preserve"> </w:t>
      </w:r>
      <w:r w:rsidRPr="003E224F">
        <w:rPr>
          <w:rFonts w:ascii="Palatino Linotype" w:hAnsi="Palatino Linotype" w:cs="Arial"/>
          <w:sz w:val="24"/>
          <w:szCs w:val="24"/>
        </w:rPr>
        <w:t>Titular</w:t>
      </w:r>
      <w:r w:rsidRPr="003E224F">
        <w:rPr>
          <w:rFonts w:ascii="Palatino Linotype" w:hAnsi="Palatino Linotype"/>
          <w:sz w:val="24"/>
          <w:szCs w:val="24"/>
        </w:rPr>
        <w:t xml:space="preserve"> </w:t>
      </w:r>
      <w:r w:rsidRPr="003E224F">
        <w:rPr>
          <w:rFonts w:ascii="Palatino Linotype" w:hAnsi="Palatino Linotype" w:cs="Arial"/>
          <w:sz w:val="24"/>
          <w:szCs w:val="24"/>
        </w:rPr>
        <w:t>de la Unidad de Transparencia del Sujeto Obligado.</w:t>
      </w:r>
    </w:p>
    <w:p w:rsidR="003E224F" w:rsidRPr="003E224F" w:rsidRDefault="003E224F" w:rsidP="003E224F">
      <w:pPr>
        <w:spacing w:after="0" w:line="360" w:lineRule="auto"/>
        <w:jc w:val="both"/>
        <w:rPr>
          <w:rFonts w:ascii="Palatino Linotype" w:hAnsi="Palatino Linotype" w:cs="Arial"/>
          <w:sz w:val="24"/>
          <w:szCs w:val="24"/>
        </w:rPr>
      </w:pPr>
    </w:p>
    <w:p w:rsidR="003E224F" w:rsidRPr="003E224F" w:rsidRDefault="003E224F" w:rsidP="003E224F">
      <w:pPr>
        <w:spacing w:after="0" w:line="360" w:lineRule="auto"/>
        <w:ind w:right="51"/>
        <w:jc w:val="both"/>
        <w:rPr>
          <w:rFonts w:ascii="Palatino Linotype" w:hAnsi="Palatino Linotype" w:cs="Arial"/>
          <w:sz w:val="24"/>
          <w:szCs w:val="24"/>
        </w:rPr>
      </w:pPr>
      <w:r w:rsidRPr="003E224F">
        <w:rPr>
          <w:rFonts w:ascii="Palatino Linotype" w:hAnsi="Palatino Linotype" w:cs="Arial"/>
          <w:b/>
          <w:sz w:val="24"/>
          <w:szCs w:val="24"/>
        </w:rPr>
        <w:t>TERCERO</w:t>
      </w:r>
      <w:r w:rsidRPr="003E224F">
        <w:rPr>
          <w:rFonts w:ascii="Palatino Linotype" w:hAnsi="Palatino Linotype" w:cs="Arial"/>
          <w:sz w:val="24"/>
          <w:szCs w:val="24"/>
        </w:rPr>
        <w:t xml:space="preserve">. </w:t>
      </w:r>
      <w:bookmarkStart w:id="22" w:name="_GoBack"/>
      <w:bookmarkEnd w:id="22"/>
      <w:r w:rsidRPr="003E224F">
        <w:rPr>
          <w:rFonts w:ascii="Palatino Linotype" w:hAnsi="Palatino Linotype" w:cs="Arial"/>
          <w:sz w:val="24"/>
          <w:szCs w:val="24"/>
        </w:rPr>
        <w:t>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3E224F" w:rsidRDefault="003E224F" w:rsidP="003E18E3">
      <w:pPr>
        <w:autoSpaceDE w:val="0"/>
        <w:autoSpaceDN w:val="0"/>
        <w:adjustRightInd w:val="0"/>
        <w:spacing w:after="0" w:line="360" w:lineRule="auto"/>
        <w:ind w:right="49"/>
        <w:jc w:val="both"/>
        <w:rPr>
          <w:rFonts w:ascii="Palatino Linotype" w:hAnsi="Palatino Linotype" w:cs="Arial"/>
          <w:b/>
          <w:sz w:val="28"/>
          <w:szCs w:val="28"/>
          <w:lang w:val="es-ES_tradnl"/>
        </w:rPr>
      </w:pPr>
    </w:p>
    <w:p w:rsidR="003E224F" w:rsidRDefault="003E224F" w:rsidP="003E18E3">
      <w:pPr>
        <w:autoSpaceDE w:val="0"/>
        <w:autoSpaceDN w:val="0"/>
        <w:adjustRightInd w:val="0"/>
        <w:spacing w:after="0" w:line="360" w:lineRule="auto"/>
        <w:ind w:right="49"/>
        <w:jc w:val="both"/>
        <w:rPr>
          <w:rFonts w:ascii="Palatino Linotype" w:hAnsi="Palatino Linotype" w:cs="Arial"/>
          <w:b/>
          <w:sz w:val="28"/>
          <w:szCs w:val="28"/>
          <w:lang w:val="es-ES_tradnl"/>
        </w:rPr>
      </w:pPr>
    </w:p>
    <w:p w:rsidR="003E18E3" w:rsidRPr="00F046B1" w:rsidRDefault="003E18E3" w:rsidP="003E18E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w:t>
      </w:r>
      <w:r w:rsidR="00022886">
        <w:rPr>
          <w:rFonts w:ascii="Palatino Linotype" w:hAnsi="Palatino Linotype" w:cs="Arial"/>
          <w:sz w:val="24"/>
          <w:szCs w:val="24"/>
          <w:highlight w:val="cyan"/>
        </w:rPr>
        <w:t>POR UNANIMIDAD</w:t>
      </w:r>
      <w:r w:rsidRPr="00157E04">
        <w:rPr>
          <w:rFonts w:ascii="Palatino Linotype" w:hAnsi="Palatino Linotype" w:cs="Arial"/>
          <w:sz w:val="24"/>
          <w:szCs w:val="24"/>
          <w:highlight w:val="cyan"/>
        </w:rPr>
        <w:t xml:space="preserve"> DE VOTOS</w:t>
      </w:r>
      <w:r w:rsidRPr="00F046B1">
        <w:rPr>
          <w:rFonts w:ascii="Palatino Linotype" w:hAnsi="Palatino Linotype" w:cs="Arial"/>
          <w:sz w:val="24"/>
          <w:szCs w:val="24"/>
        </w:rPr>
        <w:t xml:space="preserve"> DE LOS PRESENTES EL PLENO DEL</w:t>
      </w:r>
      <w:r w:rsidRPr="00F046B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046B1">
        <w:rPr>
          <w:rFonts w:ascii="Palatino Linotype" w:hAnsi="Palatino Linotype" w:cs="Arial"/>
          <w:sz w:val="24"/>
          <w:szCs w:val="24"/>
        </w:rPr>
        <w:t xml:space="preserve">, CONFORMADO POR LOS COMISIONADOS </w:t>
      </w:r>
      <w:r w:rsidR="00022886">
        <w:rPr>
          <w:rFonts w:ascii="Palatino Linotype" w:hAnsi="Palatino Linotype" w:cs="Arial"/>
          <w:sz w:val="24"/>
          <w:szCs w:val="24"/>
        </w:rPr>
        <w:t>JOSÉ MARTÍNEZ VILCHIS,  MARÍA DEL ROSARIO MEJÍA AYALA, SHARON CRISTINA MORALES MARTÍNEZ, LUIS GUSTAV</w:t>
      </w:r>
      <w:r w:rsidR="009E5ACD">
        <w:rPr>
          <w:rFonts w:ascii="Palatino Linotype" w:hAnsi="Palatino Linotype" w:cs="Arial"/>
          <w:sz w:val="24"/>
          <w:szCs w:val="24"/>
        </w:rPr>
        <w:t>O PARRA NORIEGA Y GUADALUPE RAMÍ</w:t>
      </w:r>
      <w:r w:rsidR="00022886">
        <w:rPr>
          <w:rFonts w:ascii="Palatino Linotype" w:hAnsi="Palatino Linotype" w:cs="Arial"/>
          <w:sz w:val="24"/>
          <w:szCs w:val="24"/>
        </w:rPr>
        <w:t>REZ PEÑA</w:t>
      </w:r>
      <w:r w:rsidRPr="00F046B1">
        <w:rPr>
          <w:rFonts w:ascii="Palatino Linotype" w:hAnsi="Palatino Linotype" w:cs="Arial"/>
          <w:sz w:val="24"/>
          <w:szCs w:val="24"/>
        </w:rPr>
        <w:t>, EN LA</w:t>
      </w:r>
      <w:r w:rsidR="00022886">
        <w:rPr>
          <w:rFonts w:ascii="Palatino Linotype" w:hAnsi="Palatino Linotype" w:cs="Arial"/>
          <w:sz w:val="24"/>
          <w:szCs w:val="24"/>
        </w:rPr>
        <w:t xml:space="preserve"> TRIGÉSIMA</w:t>
      </w:r>
      <w:r>
        <w:rPr>
          <w:rFonts w:ascii="Palatino Linotype" w:hAnsi="Palatino Linotype" w:cs="Arial"/>
          <w:sz w:val="24"/>
          <w:szCs w:val="24"/>
        </w:rPr>
        <w:t xml:space="preserve"> </w:t>
      </w:r>
      <w:r w:rsidRPr="00F046B1">
        <w:rPr>
          <w:rFonts w:ascii="Palatino Linotype" w:hAnsi="Palatino Linotype" w:cs="Arial"/>
          <w:sz w:val="24"/>
          <w:szCs w:val="24"/>
        </w:rPr>
        <w:t>SESIÓN ORDINARIA CELEBRADA EL</w:t>
      </w:r>
      <w:r w:rsidR="00022886">
        <w:rPr>
          <w:rFonts w:ascii="Palatino Linotype" w:hAnsi="Palatino Linotype" w:cs="Arial"/>
          <w:sz w:val="24"/>
          <w:szCs w:val="24"/>
        </w:rPr>
        <w:t xml:space="preserve"> PRIMERO DE </w:t>
      </w:r>
      <w:r w:rsidR="00022886">
        <w:rPr>
          <w:rFonts w:ascii="Palatino Linotype" w:hAnsi="Palatino Linotype" w:cs="Arial"/>
          <w:sz w:val="24"/>
          <w:szCs w:val="24"/>
        </w:rPr>
        <w:lastRenderedPageBreak/>
        <w:t>SEPTIEMBRE</w:t>
      </w:r>
      <w:r w:rsidRPr="00F046B1">
        <w:rPr>
          <w:rFonts w:ascii="Palatino Linotype" w:hAnsi="Palatino Linotype" w:cs="Arial"/>
          <w:sz w:val="24"/>
          <w:szCs w:val="24"/>
        </w:rPr>
        <w:t xml:space="preserve"> DE DOS MIL VEINTIUNO, ANTE EL SECRETARIO TÉCNICO DEL PLENO, ALEXIS TAPIA RAMÍREZ. -----------------------------------------------------------------------------------------------------------------------------------------------------</w:t>
      </w:r>
      <w:r w:rsidR="00022886">
        <w:rPr>
          <w:rFonts w:ascii="Palatino Linotype" w:hAnsi="Palatino Linotype" w:cs="Arial"/>
          <w:sz w:val="24"/>
          <w:szCs w:val="24"/>
        </w:rPr>
        <w:t>-----------------------------</w:t>
      </w:r>
    </w:p>
    <w:p w:rsidR="003E18E3" w:rsidRDefault="00022886" w:rsidP="003E18E3">
      <w:pPr>
        <w:spacing w:after="0" w:line="360" w:lineRule="auto"/>
        <w:jc w:val="both"/>
        <w:rPr>
          <w:rFonts w:ascii="Palatino Linotype" w:hAnsi="Palatino Linotype" w:cs="Arial"/>
          <w:sz w:val="20"/>
          <w:szCs w:val="24"/>
        </w:rPr>
      </w:pPr>
      <w:r>
        <w:rPr>
          <w:rFonts w:ascii="Palatino Linotype" w:hAnsi="Palatino Linotype" w:cs="Arial"/>
          <w:sz w:val="20"/>
          <w:szCs w:val="24"/>
        </w:rPr>
        <w:t>MRMA/</w:t>
      </w:r>
      <w:r w:rsidR="003E18E3">
        <w:rPr>
          <w:rFonts w:ascii="Palatino Linotype" w:hAnsi="Palatino Linotype" w:cs="Arial"/>
          <w:sz w:val="20"/>
          <w:szCs w:val="24"/>
        </w:rPr>
        <w:t>MSA</w:t>
      </w: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Default="003D211E" w:rsidP="003E18E3">
      <w:pPr>
        <w:spacing w:after="0" w:line="360" w:lineRule="auto"/>
        <w:jc w:val="both"/>
        <w:rPr>
          <w:rFonts w:ascii="Palatino Linotype" w:hAnsi="Palatino Linotype" w:cs="Arial"/>
          <w:sz w:val="20"/>
          <w:szCs w:val="24"/>
        </w:rPr>
      </w:pPr>
    </w:p>
    <w:p w:rsidR="003D211E" w:rsidRPr="00F046B1" w:rsidRDefault="003D211E" w:rsidP="003E18E3">
      <w:pPr>
        <w:spacing w:after="0" w:line="360" w:lineRule="auto"/>
        <w:jc w:val="both"/>
        <w:rPr>
          <w:rFonts w:ascii="Palatino Linotype" w:hAnsi="Palatino Linotype" w:cs="Arial"/>
          <w:sz w:val="20"/>
          <w:szCs w:val="24"/>
        </w:rPr>
      </w:pP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spacing w:after="0" w:line="360" w:lineRule="auto"/>
        <w:jc w:val="both"/>
        <w:rPr>
          <w:rFonts w:ascii="Palatino Linotype" w:hAnsi="Palatino Linotype" w:cs="Arial"/>
          <w:sz w:val="24"/>
          <w:szCs w:val="24"/>
        </w:rPr>
      </w:pPr>
    </w:p>
    <w:p w:rsidR="003E18E3" w:rsidRPr="00F046B1" w:rsidRDefault="003E18E3" w:rsidP="003E18E3">
      <w:pPr>
        <w:spacing w:after="0"/>
      </w:pPr>
    </w:p>
    <w:p w:rsidR="003E18E3" w:rsidRPr="00F046B1" w:rsidRDefault="003E18E3" w:rsidP="003E18E3">
      <w:pPr>
        <w:spacing w:after="0"/>
      </w:pPr>
    </w:p>
    <w:p w:rsidR="003E18E3" w:rsidRPr="00F046B1" w:rsidRDefault="003E18E3" w:rsidP="003E18E3">
      <w:pPr>
        <w:spacing w:after="0"/>
      </w:pPr>
    </w:p>
    <w:p w:rsidR="003E18E3" w:rsidRPr="00F046B1" w:rsidRDefault="003E18E3" w:rsidP="003E18E3"/>
    <w:p w:rsidR="003E18E3" w:rsidRDefault="003E18E3" w:rsidP="003E18E3"/>
    <w:p w:rsidR="005C3415" w:rsidRDefault="005C3415"/>
    <w:sectPr w:rsidR="005C3415" w:rsidSect="00A67ED9">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5B8" w:rsidRDefault="00AC45B8" w:rsidP="003E18E3">
      <w:pPr>
        <w:spacing w:after="0" w:line="240" w:lineRule="auto"/>
      </w:pPr>
      <w:r>
        <w:separator/>
      </w:r>
    </w:p>
  </w:endnote>
  <w:endnote w:type="continuationSeparator" w:id="0">
    <w:p w:rsidR="00AC45B8" w:rsidRDefault="00AC45B8" w:rsidP="003E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67ED9" w:rsidRPr="002D6DD8" w:rsidRDefault="00BF5A26" w:rsidP="00A67ED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03AA">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03AA">
              <w:rPr>
                <w:rFonts w:ascii="Palatino Linotype" w:hAnsi="Palatino Linotype"/>
                <w:bCs/>
                <w:noProof/>
                <w:sz w:val="20"/>
              </w:rPr>
              <w:t>26</w:t>
            </w:r>
            <w:r>
              <w:rPr>
                <w:rFonts w:ascii="Palatino Linotype" w:hAnsi="Palatino Linotype"/>
                <w:bCs/>
                <w:noProof/>
                <w:sz w:val="20"/>
              </w:rPr>
              <w:fldChar w:fldCharType="end"/>
            </w:r>
          </w:p>
        </w:sdtContent>
      </w:sdt>
    </w:sdtContent>
  </w:sdt>
  <w:p w:rsidR="00A67ED9" w:rsidRDefault="00AC45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ED9" w:rsidRPr="000B69FA" w:rsidRDefault="00BF5A26" w:rsidP="00A67ED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42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342E1">
      <w:rPr>
        <w:rFonts w:ascii="Palatino Linotype" w:hAnsi="Palatino Linotype"/>
        <w:bCs/>
        <w:noProof/>
        <w:sz w:val="20"/>
      </w:rPr>
      <w:t>26</w:t>
    </w:r>
    <w:r>
      <w:rPr>
        <w:rFonts w:ascii="Palatino Linotype" w:hAnsi="Palatino Linotype"/>
        <w:bCs/>
        <w:noProof/>
        <w:sz w:val="20"/>
      </w:rPr>
      <w:fldChar w:fldCharType="end"/>
    </w:r>
  </w:p>
  <w:p w:rsidR="00A67ED9" w:rsidRDefault="00AC45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5B8" w:rsidRDefault="00AC45B8" w:rsidP="003E18E3">
      <w:pPr>
        <w:spacing w:after="0" w:line="240" w:lineRule="auto"/>
      </w:pPr>
      <w:r>
        <w:separator/>
      </w:r>
    </w:p>
  </w:footnote>
  <w:footnote w:type="continuationSeparator" w:id="0">
    <w:p w:rsidR="00AC45B8" w:rsidRDefault="00AC45B8" w:rsidP="003E1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ED9" w:rsidRDefault="00AC45B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67ED9" w:rsidTr="00F046B1">
      <w:trPr>
        <w:trHeight w:val="227"/>
      </w:trPr>
      <w:tc>
        <w:tcPr>
          <w:tcW w:w="2976" w:type="dxa"/>
          <w:hideMark/>
        </w:tcPr>
        <w:p w:rsidR="00A67ED9" w:rsidRPr="00C640ED" w:rsidRDefault="00453111" w:rsidP="00A67ED9">
          <w:pPr>
            <w:spacing w:after="120" w:line="256" w:lineRule="auto"/>
            <w:ind w:right="204"/>
            <w:jc w:val="right"/>
            <w:rPr>
              <w:rFonts w:ascii="Palatino Linotype" w:hAnsi="Palatino Linotype" w:cs="Arial"/>
              <w:szCs w:val="20"/>
            </w:rPr>
          </w:pPr>
          <w:r>
            <w:rPr>
              <w:rFonts w:ascii="Palatino Linotype" w:hAnsi="Palatino Linotype" w:cs="Arial"/>
              <w:szCs w:val="20"/>
            </w:rPr>
            <w:t>Recurso de Revisión</w:t>
          </w:r>
          <w:r w:rsidR="00BF5A26" w:rsidRPr="00C640ED">
            <w:rPr>
              <w:rFonts w:ascii="Palatino Linotype" w:hAnsi="Palatino Linotype" w:cs="Arial"/>
              <w:szCs w:val="20"/>
            </w:rPr>
            <w:t>:</w:t>
          </w:r>
        </w:p>
      </w:tc>
      <w:tc>
        <w:tcPr>
          <w:tcW w:w="3543" w:type="dxa"/>
          <w:hideMark/>
        </w:tcPr>
        <w:p w:rsidR="00A67ED9" w:rsidRPr="00C640ED" w:rsidRDefault="003E18E3" w:rsidP="00A67ED9">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03523</w:t>
          </w:r>
          <w:r w:rsidR="00BF5A26" w:rsidRPr="00C640ED">
            <w:rPr>
              <w:rFonts w:ascii="Palatino Linotype" w:hAnsi="Palatino Linotype" w:cs="Arial"/>
              <w:b/>
              <w:bCs/>
              <w:sz w:val="24"/>
              <w:lang w:eastAsia="es-MX"/>
            </w:rPr>
            <w:t>/INFOEM/IP/RR/2021</w:t>
          </w:r>
        </w:p>
      </w:tc>
    </w:tr>
    <w:tr w:rsidR="00A67ED9" w:rsidTr="00F046B1">
      <w:trPr>
        <w:trHeight w:val="242"/>
      </w:trPr>
      <w:tc>
        <w:tcPr>
          <w:tcW w:w="2976" w:type="dxa"/>
          <w:hideMark/>
        </w:tcPr>
        <w:p w:rsidR="00A67ED9" w:rsidRPr="00C640ED" w:rsidRDefault="00BF5A26" w:rsidP="00A67ED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C640ED">
            <w:rPr>
              <w:rFonts w:ascii="Palatino Linotype" w:hAnsi="Palatino Linotype" w:cs="Arial"/>
              <w:szCs w:val="20"/>
            </w:rPr>
            <w:t>:</w:t>
          </w:r>
        </w:p>
      </w:tc>
      <w:tc>
        <w:tcPr>
          <w:tcW w:w="3543" w:type="dxa"/>
          <w:hideMark/>
        </w:tcPr>
        <w:p w:rsidR="00A67ED9" w:rsidRPr="00C640ED" w:rsidRDefault="003E18E3" w:rsidP="003E18E3">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 xml:space="preserve">Ayuntamiento de </w:t>
          </w:r>
          <w:proofErr w:type="spellStart"/>
          <w:r>
            <w:rPr>
              <w:rFonts w:ascii="Palatino Linotype" w:hAnsi="Palatino Linotype" w:cs="Arial"/>
              <w:b/>
              <w:szCs w:val="20"/>
            </w:rPr>
            <w:t>Teoloyucan</w:t>
          </w:r>
          <w:proofErr w:type="spellEnd"/>
        </w:p>
      </w:tc>
    </w:tr>
    <w:tr w:rsidR="00A67ED9" w:rsidTr="00F046B1">
      <w:trPr>
        <w:trHeight w:val="342"/>
      </w:trPr>
      <w:tc>
        <w:tcPr>
          <w:tcW w:w="2976" w:type="dxa"/>
          <w:hideMark/>
        </w:tcPr>
        <w:p w:rsidR="00A67ED9" w:rsidRPr="00C640ED" w:rsidRDefault="00BF5A26" w:rsidP="00CA2047">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w:t>
          </w:r>
        </w:p>
      </w:tc>
      <w:tc>
        <w:tcPr>
          <w:tcW w:w="3543" w:type="dxa"/>
          <w:hideMark/>
        </w:tcPr>
        <w:p w:rsidR="00A67ED9" w:rsidRPr="00C640ED" w:rsidRDefault="00453111" w:rsidP="00A67ED9">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María del Rosario Mejía Ayala</w:t>
          </w:r>
        </w:p>
      </w:tc>
    </w:tr>
  </w:tbl>
  <w:p w:rsidR="00A67ED9" w:rsidRPr="00AE046A" w:rsidRDefault="00AC45B8" w:rsidP="00A67ED9">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67ED9" w:rsidTr="00F046B1">
      <w:trPr>
        <w:trHeight w:val="227"/>
      </w:trPr>
      <w:tc>
        <w:tcPr>
          <w:tcW w:w="2977" w:type="dxa"/>
          <w:hideMark/>
        </w:tcPr>
        <w:p w:rsidR="00A67ED9" w:rsidRPr="00C640ED" w:rsidRDefault="00453111" w:rsidP="00A67ED9">
          <w:pPr>
            <w:spacing w:after="120" w:line="256" w:lineRule="auto"/>
            <w:ind w:right="204"/>
            <w:jc w:val="right"/>
            <w:rPr>
              <w:rFonts w:ascii="Palatino Linotype" w:hAnsi="Palatino Linotype" w:cs="Arial"/>
              <w:szCs w:val="20"/>
            </w:rPr>
          </w:pPr>
          <w:r>
            <w:rPr>
              <w:rFonts w:ascii="Palatino Linotype" w:hAnsi="Palatino Linotype" w:cs="Arial"/>
              <w:szCs w:val="20"/>
            </w:rPr>
            <w:t>Recurso de Revisión</w:t>
          </w:r>
          <w:r w:rsidR="00BF5A26" w:rsidRPr="00C640ED">
            <w:rPr>
              <w:rFonts w:ascii="Palatino Linotype" w:hAnsi="Palatino Linotype" w:cs="Arial"/>
              <w:szCs w:val="20"/>
            </w:rPr>
            <w:t>:</w:t>
          </w:r>
        </w:p>
      </w:tc>
      <w:tc>
        <w:tcPr>
          <w:tcW w:w="3684" w:type="dxa"/>
          <w:hideMark/>
        </w:tcPr>
        <w:p w:rsidR="00A67ED9" w:rsidRPr="00C640ED" w:rsidRDefault="003E18E3" w:rsidP="00F046B1">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03523</w:t>
          </w:r>
          <w:r w:rsidR="00BF5A26" w:rsidRPr="00C640ED">
            <w:rPr>
              <w:rFonts w:ascii="Palatino Linotype" w:hAnsi="Palatino Linotype" w:cs="Arial"/>
              <w:b/>
              <w:bCs/>
              <w:sz w:val="24"/>
              <w:lang w:eastAsia="es-MX"/>
            </w:rPr>
            <w:t>/INFOEM/IP/RR/2021</w:t>
          </w:r>
        </w:p>
      </w:tc>
    </w:tr>
    <w:tr w:rsidR="00A67ED9" w:rsidTr="00F046B1">
      <w:trPr>
        <w:trHeight w:val="242"/>
      </w:trPr>
      <w:tc>
        <w:tcPr>
          <w:tcW w:w="2977" w:type="dxa"/>
          <w:hideMark/>
        </w:tcPr>
        <w:p w:rsidR="00A67ED9" w:rsidRPr="00C640ED" w:rsidRDefault="00BF5A26" w:rsidP="00A67ED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C640ED">
            <w:rPr>
              <w:rFonts w:ascii="Palatino Linotype" w:hAnsi="Palatino Linotype" w:cs="Arial"/>
              <w:szCs w:val="20"/>
            </w:rPr>
            <w:t>:</w:t>
          </w:r>
        </w:p>
      </w:tc>
      <w:tc>
        <w:tcPr>
          <w:tcW w:w="3684" w:type="dxa"/>
          <w:hideMark/>
        </w:tcPr>
        <w:p w:rsidR="00A67ED9" w:rsidRPr="00C640ED" w:rsidRDefault="00BF5A26" w:rsidP="007D0C26">
          <w:pPr>
            <w:spacing w:after="120" w:line="256" w:lineRule="auto"/>
            <w:ind w:left="72" w:right="214" w:hanging="9"/>
            <w:jc w:val="right"/>
            <w:rPr>
              <w:rFonts w:ascii="Palatino Linotype" w:hAnsi="Palatino Linotype" w:cs="Arial"/>
              <w:b/>
              <w:szCs w:val="20"/>
            </w:rPr>
          </w:pPr>
          <w:r w:rsidRPr="00A735B0">
            <w:rPr>
              <w:rFonts w:ascii="Palatino Linotype" w:hAnsi="Palatino Linotype" w:cs="Arial"/>
              <w:b/>
              <w:szCs w:val="20"/>
            </w:rPr>
            <w:t xml:space="preserve">Ayuntamiento de </w:t>
          </w:r>
          <w:proofErr w:type="spellStart"/>
          <w:r w:rsidRPr="00A735B0">
            <w:rPr>
              <w:rFonts w:ascii="Palatino Linotype" w:hAnsi="Palatino Linotype" w:cs="Arial"/>
              <w:b/>
              <w:szCs w:val="20"/>
            </w:rPr>
            <w:t>Te</w:t>
          </w:r>
          <w:r w:rsidR="003E18E3">
            <w:rPr>
              <w:rFonts w:ascii="Palatino Linotype" w:hAnsi="Palatino Linotype" w:cs="Arial"/>
              <w:b/>
              <w:szCs w:val="20"/>
            </w:rPr>
            <w:t>ol</w:t>
          </w:r>
          <w:r w:rsidR="007D0C26">
            <w:rPr>
              <w:rFonts w:ascii="Palatino Linotype" w:hAnsi="Palatino Linotype" w:cs="Arial"/>
              <w:b/>
              <w:szCs w:val="20"/>
            </w:rPr>
            <w:t>o</w:t>
          </w:r>
          <w:r w:rsidR="003E18E3">
            <w:rPr>
              <w:rFonts w:ascii="Palatino Linotype" w:hAnsi="Palatino Linotype" w:cs="Arial"/>
              <w:b/>
              <w:szCs w:val="20"/>
            </w:rPr>
            <w:t>yucan</w:t>
          </w:r>
          <w:proofErr w:type="spellEnd"/>
        </w:p>
      </w:tc>
    </w:tr>
    <w:tr w:rsidR="00A67ED9" w:rsidTr="00F046B1">
      <w:trPr>
        <w:trHeight w:val="342"/>
      </w:trPr>
      <w:tc>
        <w:tcPr>
          <w:tcW w:w="2977" w:type="dxa"/>
        </w:tcPr>
        <w:p w:rsidR="00A67ED9" w:rsidRPr="00C640ED" w:rsidRDefault="00BF5A26" w:rsidP="00A67ED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C640ED">
            <w:rPr>
              <w:rFonts w:ascii="Palatino Linotype" w:hAnsi="Palatino Linotype" w:cs="Arial"/>
              <w:szCs w:val="20"/>
            </w:rPr>
            <w:t>:</w:t>
          </w:r>
        </w:p>
      </w:tc>
      <w:tc>
        <w:tcPr>
          <w:tcW w:w="3684" w:type="dxa"/>
        </w:tcPr>
        <w:p w:rsidR="00A67ED9" w:rsidRPr="00C640ED" w:rsidRDefault="003E18E3" w:rsidP="003E18E3">
          <w:pPr>
            <w:tabs>
              <w:tab w:val="left" w:pos="-212"/>
            </w:tabs>
            <w:spacing w:after="120" w:line="256" w:lineRule="auto"/>
            <w:ind w:left="-486" w:right="212" w:firstLine="567"/>
            <w:jc w:val="right"/>
            <w:rPr>
              <w:rFonts w:ascii="Palatino Linotype" w:hAnsi="Palatino Linotype" w:cs="Arial"/>
              <w:b/>
            </w:rPr>
          </w:pPr>
          <w:r>
            <w:rPr>
              <w:rFonts w:ascii="Palatino Linotype" w:hAnsi="Palatino Linotype" w:cs="Arial"/>
              <w:b/>
            </w:rPr>
            <w:t>No Proporcionado  No Proporcionado Quino Blanco</w:t>
          </w:r>
        </w:p>
      </w:tc>
    </w:tr>
    <w:tr w:rsidR="00A67ED9" w:rsidTr="00F046B1">
      <w:trPr>
        <w:trHeight w:val="342"/>
      </w:trPr>
      <w:tc>
        <w:tcPr>
          <w:tcW w:w="2977" w:type="dxa"/>
        </w:tcPr>
        <w:p w:rsidR="00A67ED9" w:rsidRPr="00C640ED" w:rsidRDefault="00CA2047" w:rsidP="00CA204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Comisionada</w:t>
          </w:r>
          <w:r w:rsidR="00453111">
            <w:rPr>
              <w:rFonts w:ascii="Palatino Linotype" w:hAnsi="Palatino Linotype" w:cs="Arial"/>
              <w:szCs w:val="20"/>
            </w:rPr>
            <w:t xml:space="preserve"> Ponente</w:t>
          </w:r>
          <w:r w:rsidR="00BF5A26" w:rsidRPr="00C640ED">
            <w:rPr>
              <w:rFonts w:ascii="Palatino Linotype" w:hAnsi="Palatino Linotype" w:cs="Arial"/>
              <w:szCs w:val="20"/>
            </w:rPr>
            <w:t>:</w:t>
          </w:r>
        </w:p>
      </w:tc>
      <w:tc>
        <w:tcPr>
          <w:tcW w:w="3684" w:type="dxa"/>
        </w:tcPr>
        <w:p w:rsidR="00A67ED9" w:rsidRPr="00C640ED" w:rsidRDefault="00453111" w:rsidP="00453111">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María del Rosario Mejía Ayala</w:t>
          </w:r>
        </w:p>
      </w:tc>
    </w:tr>
  </w:tbl>
  <w:p w:rsidR="00A67ED9" w:rsidRPr="00C222C0" w:rsidRDefault="00AC45B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736A5"/>
    <w:multiLevelType w:val="hybridMultilevel"/>
    <w:tmpl w:val="4ABA2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225CE1"/>
    <w:multiLevelType w:val="hybridMultilevel"/>
    <w:tmpl w:val="5C92C832"/>
    <w:lvl w:ilvl="0" w:tplc="B7B41C4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0D4673A"/>
    <w:multiLevelType w:val="hybridMultilevel"/>
    <w:tmpl w:val="843ECAC6"/>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B11686"/>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CE6541"/>
    <w:multiLevelType w:val="hybridMultilevel"/>
    <w:tmpl w:val="B23EA6E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59F71164"/>
    <w:multiLevelType w:val="hybridMultilevel"/>
    <w:tmpl w:val="B20634BC"/>
    <w:lvl w:ilvl="0" w:tplc="B02CF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D9F2ADB"/>
    <w:multiLevelType w:val="hybridMultilevel"/>
    <w:tmpl w:val="4E14E112"/>
    <w:lvl w:ilvl="0" w:tplc="3EAE0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72E4777E"/>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2F334E"/>
    <w:multiLevelType w:val="hybridMultilevel"/>
    <w:tmpl w:val="5BB48C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4"/>
  </w:num>
  <w:num w:numId="5">
    <w:abstractNumId w:val="14"/>
  </w:num>
  <w:num w:numId="6">
    <w:abstractNumId w:val="0"/>
  </w:num>
  <w:num w:numId="7">
    <w:abstractNumId w:val="1"/>
  </w:num>
  <w:num w:numId="8">
    <w:abstractNumId w:val="16"/>
  </w:num>
  <w:num w:numId="9">
    <w:abstractNumId w:val="2"/>
  </w:num>
  <w:num w:numId="10">
    <w:abstractNumId w:val="9"/>
  </w:num>
  <w:num w:numId="11">
    <w:abstractNumId w:val="5"/>
  </w:num>
  <w:num w:numId="12">
    <w:abstractNumId w:val="11"/>
  </w:num>
  <w:num w:numId="13">
    <w:abstractNumId w:val="15"/>
  </w:num>
  <w:num w:numId="14">
    <w:abstractNumId w:val="12"/>
  </w:num>
  <w:num w:numId="15">
    <w:abstractNumId w:val="13"/>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E3"/>
    <w:rsid w:val="00022886"/>
    <w:rsid w:val="000C62C8"/>
    <w:rsid w:val="000C68FA"/>
    <w:rsid w:val="00157E04"/>
    <w:rsid w:val="001A5569"/>
    <w:rsid w:val="001F1738"/>
    <w:rsid w:val="00233E98"/>
    <w:rsid w:val="00331FC7"/>
    <w:rsid w:val="00346D3F"/>
    <w:rsid w:val="00352965"/>
    <w:rsid w:val="003D211E"/>
    <w:rsid w:val="003E18E3"/>
    <w:rsid w:val="003E224F"/>
    <w:rsid w:val="00453111"/>
    <w:rsid w:val="004B3514"/>
    <w:rsid w:val="005342E1"/>
    <w:rsid w:val="00546FD3"/>
    <w:rsid w:val="0057104F"/>
    <w:rsid w:val="005C3415"/>
    <w:rsid w:val="005D687F"/>
    <w:rsid w:val="005F0FEE"/>
    <w:rsid w:val="0061257A"/>
    <w:rsid w:val="00660393"/>
    <w:rsid w:val="006D206C"/>
    <w:rsid w:val="00705929"/>
    <w:rsid w:val="00723575"/>
    <w:rsid w:val="00753A31"/>
    <w:rsid w:val="007549B8"/>
    <w:rsid w:val="00775D3D"/>
    <w:rsid w:val="007B5648"/>
    <w:rsid w:val="007C325D"/>
    <w:rsid w:val="007D0C26"/>
    <w:rsid w:val="00810912"/>
    <w:rsid w:val="00817B03"/>
    <w:rsid w:val="00866F1E"/>
    <w:rsid w:val="00882BE2"/>
    <w:rsid w:val="009D41ED"/>
    <w:rsid w:val="009E5ACD"/>
    <w:rsid w:val="00A0157E"/>
    <w:rsid w:val="00A77D14"/>
    <w:rsid w:val="00AC45B8"/>
    <w:rsid w:val="00BB39AE"/>
    <w:rsid w:val="00BC4091"/>
    <w:rsid w:val="00BF5A26"/>
    <w:rsid w:val="00C925C7"/>
    <w:rsid w:val="00CA2047"/>
    <w:rsid w:val="00CD4240"/>
    <w:rsid w:val="00CF03AA"/>
    <w:rsid w:val="00D416F0"/>
    <w:rsid w:val="00E26A54"/>
    <w:rsid w:val="00EE3A3C"/>
    <w:rsid w:val="00EE4AAC"/>
    <w:rsid w:val="00EF03C7"/>
    <w:rsid w:val="00F7003C"/>
    <w:rsid w:val="00F94AB0"/>
    <w:rsid w:val="00FC6EDC"/>
    <w:rsid w:val="00FD02D3"/>
    <w:rsid w:val="00FE5E0F"/>
    <w:rsid w:val="00FF7A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3C8826-7F9D-4C20-94F2-DC5905D51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8E3"/>
  </w:style>
  <w:style w:type="paragraph" w:styleId="Ttulo1">
    <w:name w:val="heading 1"/>
    <w:basedOn w:val="Normal"/>
    <w:next w:val="Normal"/>
    <w:link w:val="Ttulo1Car"/>
    <w:uiPriority w:val="9"/>
    <w:qFormat/>
    <w:rsid w:val="009D41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416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E1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E18E3"/>
  </w:style>
  <w:style w:type="paragraph" w:styleId="Piedepgina">
    <w:name w:val="footer"/>
    <w:basedOn w:val="Normal"/>
    <w:link w:val="PiedepginaCar"/>
    <w:uiPriority w:val="99"/>
    <w:unhideWhenUsed/>
    <w:rsid w:val="003E1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8E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A5569"/>
    <w:pPr>
      <w:ind w:left="720"/>
      <w:contextualSpacing/>
    </w:p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33E98"/>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E5E0F"/>
  </w:style>
  <w:style w:type="character" w:customStyle="1" w:styleId="Ttulo2Car">
    <w:name w:val="Título 2 Car"/>
    <w:basedOn w:val="Fuentedeprrafopredeter"/>
    <w:link w:val="Ttulo2"/>
    <w:uiPriority w:val="9"/>
    <w:semiHidden/>
    <w:rsid w:val="00D416F0"/>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9D41E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D211E"/>
    <w:pPr>
      <w:outlineLvl w:val="9"/>
    </w:pPr>
    <w:rPr>
      <w:lang w:eastAsia="es-MX"/>
    </w:rPr>
  </w:style>
  <w:style w:type="paragraph" w:styleId="TDC1">
    <w:name w:val="toc 1"/>
    <w:basedOn w:val="Normal"/>
    <w:next w:val="Normal"/>
    <w:autoRedefine/>
    <w:uiPriority w:val="39"/>
    <w:unhideWhenUsed/>
    <w:rsid w:val="003D211E"/>
    <w:pPr>
      <w:tabs>
        <w:tab w:val="left" w:pos="440"/>
        <w:tab w:val="right" w:leader="dot" w:pos="9062"/>
      </w:tabs>
      <w:spacing w:after="100" w:line="360" w:lineRule="auto"/>
    </w:pPr>
  </w:style>
  <w:style w:type="character" w:styleId="Hipervnculo">
    <w:name w:val="Hyperlink"/>
    <w:basedOn w:val="Fuentedeprrafopredeter"/>
    <w:uiPriority w:val="99"/>
    <w:unhideWhenUsed/>
    <w:rsid w:val="003D21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B7572-F46A-4613-92B1-B643C521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5317</Words>
  <Characters>29244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INFORMATICA</cp:lastModifiedBy>
  <cp:revision>3</cp:revision>
  <dcterms:created xsi:type="dcterms:W3CDTF">2021-09-01T00:05:00Z</dcterms:created>
  <dcterms:modified xsi:type="dcterms:W3CDTF">2021-09-01T00:05:00Z</dcterms:modified>
</cp:coreProperties>
</file>