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99C43" w14:textId="77777777" w:rsidR="006117EF" w:rsidRPr="0037774E" w:rsidRDefault="006117EF" w:rsidP="0037774E">
      <w:pPr>
        <w:spacing w:line="360" w:lineRule="auto"/>
        <w:jc w:val="both"/>
        <w:rPr>
          <w:rFonts w:ascii="Palatino Linotype" w:hAnsi="Palatino Linotype" w:cs="Tahoma"/>
          <w:bCs/>
          <w:sz w:val="24"/>
          <w:szCs w:val="24"/>
        </w:rPr>
      </w:pPr>
    </w:p>
    <w:p w14:paraId="75FB48C3" w14:textId="0884F838" w:rsidR="00630438" w:rsidRPr="000377C8" w:rsidRDefault="001036BF" w:rsidP="0037774E">
      <w:pPr>
        <w:spacing w:line="360" w:lineRule="auto"/>
        <w:jc w:val="both"/>
        <w:rPr>
          <w:rFonts w:ascii="Palatino Linotype" w:hAnsi="Palatino Linotype" w:cs="Tahoma"/>
          <w:sz w:val="24"/>
          <w:szCs w:val="24"/>
        </w:rPr>
      </w:pPr>
      <w:r w:rsidRPr="000377C8">
        <w:rPr>
          <w:rFonts w:ascii="Palatino Linotype" w:hAnsi="Palatino Linotype" w:cs="Tahoma"/>
          <w:bCs/>
          <w:sz w:val="24"/>
          <w:szCs w:val="24"/>
        </w:rPr>
        <w:t xml:space="preserve">Resolución del Pleno del Instituto de Transparencia, Acceso a la Información Pública y Protección de Datos Personales del Estado de México y Municipios, con domicilio en Metepec, Estado de México, de fecha </w:t>
      </w:r>
      <w:r w:rsidR="00B954A0">
        <w:rPr>
          <w:rFonts w:ascii="Palatino Linotype" w:hAnsi="Palatino Linotype" w:cs="Tahoma"/>
          <w:bCs/>
          <w:sz w:val="24"/>
          <w:szCs w:val="24"/>
        </w:rPr>
        <w:t>veintidós</w:t>
      </w:r>
      <w:r w:rsidR="000740A6" w:rsidRPr="000377C8">
        <w:rPr>
          <w:rFonts w:ascii="Palatino Linotype" w:hAnsi="Palatino Linotype" w:cs="Tahoma"/>
          <w:bCs/>
          <w:sz w:val="24"/>
          <w:szCs w:val="24"/>
        </w:rPr>
        <w:t xml:space="preserve"> de </w:t>
      </w:r>
      <w:r w:rsidR="00B954A0">
        <w:rPr>
          <w:rFonts w:ascii="Palatino Linotype" w:hAnsi="Palatino Linotype" w:cs="Tahoma"/>
          <w:bCs/>
          <w:sz w:val="24"/>
          <w:szCs w:val="24"/>
        </w:rPr>
        <w:t>septiembre</w:t>
      </w:r>
      <w:r w:rsidR="009E12D2" w:rsidRPr="000377C8">
        <w:rPr>
          <w:rFonts w:ascii="Palatino Linotype" w:hAnsi="Palatino Linotype" w:cs="Tahoma"/>
          <w:bCs/>
          <w:sz w:val="24"/>
          <w:szCs w:val="24"/>
        </w:rPr>
        <w:t xml:space="preserve"> de dos mil </w:t>
      </w:r>
      <w:r w:rsidR="006117EF" w:rsidRPr="000377C8">
        <w:rPr>
          <w:rFonts w:ascii="Palatino Linotype" w:hAnsi="Palatino Linotype" w:cs="Tahoma"/>
          <w:bCs/>
          <w:sz w:val="24"/>
          <w:szCs w:val="24"/>
        </w:rPr>
        <w:t>veintiuno</w:t>
      </w:r>
      <w:r w:rsidR="009E12D2" w:rsidRPr="000377C8">
        <w:rPr>
          <w:rFonts w:ascii="Palatino Linotype" w:hAnsi="Palatino Linotype" w:cs="Tahoma"/>
          <w:bCs/>
          <w:sz w:val="24"/>
          <w:szCs w:val="24"/>
        </w:rPr>
        <w:t>.</w:t>
      </w:r>
    </w:p>
    <w:p w14:paraId="79299668" w14:textId="77777777" w:rsidR="002E1907" w:rsidRPr="000377C8" w:rsidRDefault="002E1907" w:rsidP="0037774E">
      <w:pPr>
        <w:spacing w:line="360" w:lineRule="auto"/>
        <w:rPr>
          <w:rFonts w:ascii="Palatino Linotype" w:hAnsi="Palatino Linotype" w:cs="Tahoma"/>
          <w:bCs/>
          <w:sz w:val="24"/>
          <w:szCs w:val="24"/>
        </w:rPr>
      </w:pPr>
    </w:p>
    <w:p w14:paraId="1D8DC677" w14:textId="102E7565" w:rsidR="00630438" w:rsidRPr="000377C8" w:rsidRDefault="001036BF" w:rsidP="0037774E">
      <w:pPr>
        <w:spacing w:line="360" w:lineRule="auto"/>
        <w:jc w:val="both"/>
        <w:rPr>
          <w:rFonts w:ascii="Palatino Linotype" w:hAnsi="Palatino Linotype" w:cs="Tahoma"/>
          <w:bCs/>
          <w:sz w:val="24"/>
          <w:szCs w:val="24"/>
        </w:rPr>
      </w:pPr>
      <w:r w:rsidRPr="000377C8">
        <w:rPr>
          <w:rFonts w:ascii="Palatino Linotype" w:hAnsi="Palatino Linotype" w:cs="Tahoma"/>
          <w:b/>
          <w:bCs/>
          <w:color w:val="0D0D0D" w:themeColor="text1" w:themeTint="F2"/>
          <w:sz w:val="24"/>
          <w:szCs w:val="24"/>
        </w:rPr>
        <w:t xml:space="preserve">VISTO </w:t>
      </w:r>
      <w:r w:rsidR="006544EC" w:rsidRPr="000377C8">
        <w:rPr>
          <w:rFonts w:ascii="Palatino Linotype" w:hAnsi="Palatino Linotype" w:cs="Tahoma"/>
          <w:bCs/>
          <w:color w:val="0D0D0D" w:themeColor="text1" w:themeTint="F2"/>
          <w:sz w:val="24"/>
          <w:szCs w:val="24"/>
        </w:rPr>
        <w:t>el</w:t>
      </w:r>
      <w:r w:rsidR="008B5CCB" w:rsidRPr="000377C8">
        <w:rPr>
          <w:rFonts w:ascii="Palatino Linotype" w:hAnsi="Palatino Linotype" w:cs="Tahoma"/>
          <w:bCs/>
          <w:color w:val="0D0D0D" w:themeColor="text1" w:themeTint="F2"/>
          <w:sz w:val="24"/>
          <w:szCs w:val="24"/>
        </w:rPr>
        <w:t xml:space="preserve"> </w:t>
      </w:r>
      <w:r w:rsidRPr="000377C8">
        <w:rPr>
          <w:rFonts w:ascii="Palatino Linotype" w:hAnsi="Palatino Linotype" w:cs="Tahoma"/>
          <w:bCs/>
          <w:color w:val="0D0D0D" w:themeColor="text1" w:themeTint="F2"/>
          <w:sz w:val="24"/>
          <w:szCs w:val="24"/>
        </w:rPr>
        <w:t>expediente</w:t>
      </w:r>
      <w:r w:rsidR="006544EC" w:rsidRPr="000377C8">
        <w:rPr>
          <w:rFonts w:ascii="Palatino Linotype" w:hAnsi="Palatino Linotype" w:cs="Tahoma"/>
          <w:bCs/>
          <w:color w:val="0D0D0D" w:themeColor="text1" w:themeTint="F2"/>
          <w:sz w:val="24"/>
          <w:szCs w:val="24"/>
        </w:rPr>
        <w:t xml:space="preserve"> </w:t>
      </w:r>
      <w:r w:rsidR="0080013C" w:rsidRPr="000377C8">
        <w:rPr>
          <w:rFonts w:ascii="Palatino Linotype" w:hAnsi="Palatino Linotype" w:cs="Tahoma"/>
          <w:bCs/>
          <w:color w:val="0D0D0D" w:themeColor="text1" w:themeTint="F2"/>
          <w:sz w:val="24"/>
          <w:szCs w:val="24"/>
        </w:rPr>
        <w:t xml:space="preserve">conformado </w:t>
      </w:r>
      <w:r w:rsidRPr="000377C8">
        <w:rPr>
          <w:rFonts w:ascii="Palatino Linotype" w:hAnsi="Palatino Linotype" w:cs="Tahoma"/>
          <w:bCs/>
          <w:color w:val="0D0D0D" w:themeColor="text1" w:themeTint="F2"/>
          <w:sz w:val="24"/>
          <w:szCs w:val="24"/>
        </w:rPr>
        <w:t xml:space="preserve">con motivo </w:t>
      </w:r>
      <w:r w:rsidR="00D30834" w:rsidRPr="000377C8">
        <w:rPr>
          <w:rFonts w:ascii="Palatino Linotype" w:hAnsi="Palatino Linotype" w:cs="Tahoma"/>
          <w:bCs/>
          <w:color w:val="0D0D0D" w:themeColor="text1" w:themeTint="F2"/>
          <w:sz w:val="24"/>
          <w:szCs w:val="24"/>
        </w:rPr>
        <w:t>del Recurso</w:t>
      </w:r>
      <w:r w:rsidRPr="000377C8">
        <w:rPr>
          <w:rFonts w:ascii="Palatino Linotype" w:hAnsi="Palatino Linotype" w:cs="Tahoma"/>
          <w:bCs/>
          <w:color w:val="0D0D0D" w:themeColor="text1" w:themeTint="F2"/>
          <w:sz w:val="24"/>
          <w:szCs w:val="24"/>
        </w:rPr>
        <w:t xml:space="preserve"> de Revisión </w:t>
      </w:r>
      <w:r w:rsidR="00B52B5B" w:rsidRPr="000377C8">
        <w:rPr>
          <w:rFonts w:ascii="Palatino Linotype" w:hAnsi="Palatino Linotype" w:cs="Tahoma"/>
          <w:b/>
          <w:bCs/>
          <w:color w:val="0D0D0D" w:themeColor="text1" w:themeTint="F2"/>
          <w:sz w:val="24"/>
          <w:szCs w:val="24"/>
        </w:rPr>
        <w:t>03488/INFOEM/IP/RR/2021</w:t>
      </w:r>
      <w:r w:rsidRPr="000377C8">
        <w:rPr>
          <w:rFonts w:ascii="Palatino Linotype" w:hAnsi="Palatino Linotype" w:cs="Tahoma"/>
          <w:bCs/>
          <w:color w:val="0D0D0D" w:themeColor="text1" w:themeTint="F2"/>
          <w:sz w:val="24"/>
          <w:szCs w:val="24"/>
        </w:rPr>
        <w:t xml:space="preserve">, interpuesto </w:t>
      </w:r>
      <w:r w:rsidR="00942153" w:rsidRPr="000377C8">
        <w:rPr>
          <w:rFonts w:ascii="Palatino Linotype" w:hAnsi="Palatino Linotype" w:cs="Tahoma"/>
          <w:bCs/>
          <w:color w:val="0D0D0D" w:themeColor="text1" w:themeTint="F2"/>
          <w:sz w:val="24"/>
          <w:szCs w:val="24"/>
        </w:rPr>
        <w:t>por</w:t>
      </w:r>
      <w:r w:rsidR="00DF0481" w:rsidRPr="000377C8">
        <w:rPr>
          <w:rFonts w:ascii="Palatino Linotype" w:hAnsi="Palatino Linotype"/>
          <w:b/>
          <w:sz w:val="24"/>
          <w:szCs w:val="24"/>
        </w:rPr>
        <w:t xml:space="preserve"> </w:t>
      </w:r>
      <w:r w:rsidR="00ED4E09">
        <w:rPr>
          <w:rFonts w:ascii="Palatino Linotype" w:hAnsi="Palatino Linotype" w:cs="Tahoma"/>
          <w:b/>
          <w:bCs/>
          <w:sz w:val="24"/>
          <w:szCs w:val="24"/>
        </w:rPr>
        <w:t>XXXXXXXXXXXXXXXXXXXX</w:t>
      </w:r>
      <w:r w:rsidR="00DF0481" w:rsidRPr="000377C8">
        <w:rPr>
          <w:rFonts w:ascii="Palatino Linotype" w:eastAsia="Calibri" w:hAnsi="Palatino Linotype" w:cs="Tahoma"/>
          <w:bCs/>
          <w:sz w:val="24"/>
          <w:szCs w:val="24"/>
          <w:lang w:eastAsia="en-US"/>
        </w:rPr>
        <w:t xml:space="preserve">, en lo sucesivo </w:t>
      </w:r>
      <w:r w:rsidR="00942153" w:rsidRPr="000377C8">
        <w:rPr>
          <w:rFonts w:ascii="Palatino Linotype" w:hAnsi="Palatino Linotype" w:cs="Tahoma"/>
          <w:b/>
          <w:bCs/>
          <w:color w:val="0D0D0D" w:themeColor="text1" w:themeTint="F2"/>
          <w:sz w:val="24"/>
          <w:szCs w:val="24"/>
        </w:rPr>
        <w:t>el</w:t>
      </w:r>
      <w:r w:rsidR="00701330" w:rsidRPr="000377C8">
        <w:rPr>
          <w:rFonts w:ascii="Palatino Linotype" w:hAnsi="Palatino Linotype" w:cs="Tahoma"/>
          <w:b/>
          <w:bCs/>
          <w:color w:val="0D0D0D" w:themeColor="text1" w:themeTint="F2"/>
          <w:sz w:val="24"/>
          <w:szCs w:val="24"/>
        </w:rPr>
        <w:t xml:space="preserve"> </w:t>
      </w:r>
      <w:r w:rsidRPr="000377C8">
        <w:rPr>
          <w:rFonts w:ascii="Palatino Linotype" w:hAnsi="Palatino Linotype" w:cs="Tahoma"/>
          <w:b/>
          <w:bCs/>
          <w:color w:val="0D0D0D" w:themeColor="text1" w:themeTint="F2"/>
          <w:sz w:val="24"/>
          <w:szCs w:val="24"/>
        </w:rPr>
        <w:t>Recurrente o Particular,</w:t>
      </w:r>
      <w:r w:rsidRPr="000377C8">
        <w:rPr>
          <w:rFonts w:ascii="Palatino Linotype" w:hAnsi="Palatino Linotype" w:cs="Tahoma"/>
          <w:bCs/>
          <w:color w:val="0D0D0D" w:themeColor="text1" w:themeTint="F2"/>
          <w:sz w:val="24"/>
          <w:szCs w:val="24"/>
        </w:rPr>
        <w:t xml:space="preserve"> en contra de la</w:t>
      </w:r>
      <w:r w:rsidR="008A2B24" w:rsidRPr="000377C8">
        <w:rPr>
          <w:rFonts w:ascii="Palatino Linotype" w:hAnsi="Palatino Linotype" w:cs="Tahoma"/>
          <w:bCs/>
          <w:color w:val="0D0D0D" w:themeColor="text1" w:themeTint="F2"/>
          <w:sz w:val="24"/>
          <w:szCs w:val="24"/>
        </w:rPr>
        <w:t xml:space="preserve"> respuesta del Sujeto Obligado,</w:t>
      </w:r>
      <w:r w:rsidR="004F3226" w:rsidRPr="000377C8">
        <w:rPr>
          <w:rFonts w:ascii="Palatino Linotype" w:hAnsi="Palatino Linotype" w:cs="Tahoma"/>
          <w:b/>
          <w:bCs/>
          <w:color w:val="0D0D0D" w:themeColor="text1" w:themeTint="F2"/>
          <w:sz w:val="24"/>
          <w:szCs w:val="24"/>
        </w:rPr>
        <w:t xml:space="preserve"> </w:t>
      </w:r>
      <w:r w:rsidR="004131DA" w:rsidRPr="000377C8">
        <w:rPr>
          <w:rFonts w:ascii="Palatino Linotype" w:hAnsi="Palatino Linotype" w:cs="Tahoma"/>
          <w:b/>
          <w:bCs/>
          <w:color w:val="0D0D0D" w:themeColor="text1" w:themeTint="F2"/>
          <w:sz w:val="24"/>
          <w:szCs w:val="24"/>
        </w:rPr>
        <w:t>Sistema de Agua Potable Alcantarillado y Saneamiento de Ecatepec de Morelos</w:t>
      </w:r>
      <w:r w:rsidRPr="000377C8">
        <w:rPr>
          <w:rFonts w:ascii="Palatino Linotype" w:hAnsi="Palatino Linotype" w:cs="Tahoma"/>
          <w:bCs/>
          <w:color w:val="0D0D0D" w:themeColor="text1" w:themeTint="F2"/>
          <w:sz w:val="24"/>
          <w:szCs w:val="24"/>
        </w:rPr>
        <w:t>,</w:t>
      </w:r>
      <w:r w:rsidR="00F43F3F" w:rsidRPr="000377C8">
        <w:rPr>
          <w:rFonts w:ascii="Palatino Linotype" w:hAnsi="Palatino Linotype" w:cs="Tahoma"/>
          <w:bCs/>
          <w:color w:val="0D0D0D" w:themeColor="text1" w:themeTint="F2"/>
          <w:sz w:val="24"/>
          <w:szCs w:val="24"/>
        </w:rPr>
        <w:t xml:space="preserve"> a la solicitud de acceso a la información pública con número de folio</w:t>
      </w:r>
      <w:r w:rsidR="00701330" w:rsidRPr="000377C8">
        <w:rPr>
          <w:rFonts w:ascii="Palatino Linotype" w:hAnsi="Palatino Linotype" w:cs="Tahoma"/>
          <w:bCs/>
          <w:color w:val="0D0D0D" w:themeColor="text1" w:themeTint="F2"/>
          <w:sz w:val="24"/>
          <w:szCs w:val="24"/>
        </w:rPr>
        <w:t xml:space="preserve"> </w:t>
      </w:r>
      <w:r w:rsidR="002D21C0" w:rsidRPr="000377C8">
        <w:rPr>
          <w:rFonts w:ascii="Palatino Linotype" w:hAnsi="Palatino Linotype" w:cs="Tahoma"/>
          <w:b/>
          <w:bCs/>
          <w:color w:val="0D0D0D" w:themeColor="text1" w:themeTint="F2"/>
          <w:sz w:val="24"/>
          <w:szCs w:val="24"/>
        </w:rPr>
        <w:t>00027/OASECATEPE/IP/2021</w:t>
      </w:r>
      <w:r w:rsidR="00F43F3F" w:rsidRPr="000377C8">
        <w:rPr>
          <w:rFonts w:ascii="Palatino Linotype" w:hAnsi="Palatino Linotype" w:cs="Tahoma"/>
          <w:bCs/>
          <w:color w:val="0D0D0D" w:themeColor="text1" w:themeTint="F2"/>
          <w:sz w:val="24"/>
          <w:szCs w:val="24"/>
        </w:rPr>
        <w:t>,</w:t>
      </w:r>
      <w:r w:rsidRPr="000377C8">
        <w:rPr>
          <w:rFonts w:ascii="Palatino Linotype" w:hAnsi="Palatino Linotype" w:cs="Tahoma"/>
          <w:bCs/>
          <w:color w:val="0D0D0D" w:themeColor="text1" w:themeTint="F2"/>
          <w:sz w:val="24"/>
          <w:szCs w:val="24"/>
        </w:rPr>
        <w:t xml:space="preserve"> se emite la presente Resolución, con base en los Antecedentes y C</w:t>
      </w:r>
      <w:r w:rsidRPr="000377C8">
        <w:rPr>
          <w:rFonts w:ascii="Palatino Linotype" w:hAnsi="Palatino Linotype" w:cs="Tahoma"/>
          <w:bCs/>
          <w:sz w:val="24"/>
          <w:szCs w:val="24"/>
        </w:rPr>
        <w:t>onsiderandos que se exponen a continuación:</w:t>
      </w:r>
    </w:p>
    <w:p w14:paraId="4CF4B671" w14:textId="77777777" w:rsidR="0099021B" w:rsidRPr="000377C8" w:rsidRDefault="0099021B" w:rsidP="0037774E">
      <w:pPr>
        <w:spacing w:line="360" w:lineRule="auto"/>
        <w:jc w:val="both"/>
        <w:rPr>
          <w:rFonts w:ascii="Palatino Linotype" w:hAnsi="Palatino Linotype" w:cs="Tahoma"/>
          <w:bCs/>
          <w:sz w:val="24"/>
          <w:szCs w:val="24"/>
        </w:rPr>
      </w:pPr>
    </w:p>
    <w:p w14:paraId="1963531B" w14:textId="74DB630D" w:rsidR="00630438" w:rsidRPr="000377C8" w:rsidRDefault="001036BF" w:rsidP="0037774E">
      <w:pPr>
        <w:tabs>
          <w:tab w:val="center" w:pos="4522"/>
          <w:tab w:val="left" w:pos="7245"/>
        </w:tabs>
        <w:spacing w:line="360" w:lineRule="auto"/>
        <w:jc w:val="center"/>
        <w:rPr>
          <w:rFonts w:ascii="Palatino Linotype" w:hAnsi="Palatino Linotype" w:cs="Tahoma"/>
          <w:b/>
          <w:sz w:val="24"/>
          <w:szCs w:val="24"/>
        </w:rPr>
      </w:pPr>
      <w:r w:rsidRPr="000377C8">
        <w:rPr>
          <w:rFonts w:ascii="Palatino Linotype" w:hAnsi="Palatino Linotype" w:cs="Tahoma"/>
          <w:b/>
          <w:sz w:val="24"/>
          <w:szCs w:val="24"/>
        </w:rPr>
        <w:t>ANTECEDENTES</w:t>
      </w:r>
      <w:r w:rsidR="00820210" w:rsidRPr="000377C8">
        <w:rPr>
          <w:rFonts w:ascii="Palatino Linotype" w:hAnsi="Palatino Linotype" w:cs="Tahoma"/>
          <w:b/>
          <w:sz w:val="24"/>
          <w:szCs w:val="24"/>
        </w:rPr>
        <w:t>:</w:t>
      </w:r>
    </w:p>
    <w:p w14:paraId="2FA34947" w14:textId="08A648B6" w:rsidR="00630438" w:rsidRPr="000377C8" w:rsidRDefault="001036BF" w:rsidP="0037774E">
      <w:pPr>
        <w:pStyle w:val="Prrafodelista"/>
        <w:tabs>
          <w:tab w:val="left" w:pos="567"/>
        </w:tabs>
        <w:spacing w:line="360" w:lineRule="auto"/>
        <w:ind w:left="0"/>
        <w:contextualSpacing w:val="0"/>
        <w:jc w:val="both"/>
        <w:rPr>
          <w:rFonts w:ascii="Palatino Linotype" w:hAnsi="Palatino Linotype" w:cs="Tahoma"/>
          <w:b/>
          <w:sz w:val="24"/>
        </w:rPr>
      </w:pPr>
      <w:r w:rsidRPr="000377C8">
        <w:rPr>
          <w:rFonts w:ascii="Palatino Linotype" w:hAnsi="Palatino Linotype" w:cs="Tahoma"/>
          <w:b/>
          <w:sz w:val="24"/>
        </w:rPr>
        <w:t xml:space="preserve"> </w:t>
      </w:r>
    </w:p>
    <w:p w14:paraId="236F76DD" w14:textId="5C544D35" w:rsidR="005529D2" w:rsidRPr="000377C8" w:rsidRDefault="005529D2" w:rsidP="0037774E">
      <w:pPr>
        <w:numPr>
          <w:ilvl w:val="0"/>
          <w:numId w:val="30"/>
        </w:numPr>
        <w:spacing w:line="360" w:lineRule="auto"/>
        <w:ind w:left="0" w:firstLine="0"/>
        <w:contextualSpacing/>
        <w:jc w:val="both"/>
        <w:rPr>
          <w:rFonts w:ascii="Palatino Linotype" w:eastAsia="Calibri" w:hAnsi="Palatino Linotype" w:cs="Arial"/>
          <w:sz w:val="24"/>
          <w:szCs w:val="24"/>
          <w:lang w:val="es-ES"/>
        </w:rPr>
      </w:pPr>
      <w:r w:rsidRPr="000377C8">
        <w:rPr>
          <w:rFonts w:ascii="Palatino Linotype" w:eastAsia="Calibri" w:hAnsi="Palatino Linotype" w:cs="Arial"/>
          <w:sz w:val="24"/>
          <w:szCs w:val="24"/>
          <w:lang w:val="es-ES"/>
        </w:rPr>
        <w:t xml:space="preserve">El día  </w:t>
      </w:r>
      <w:r w:rsidR="0099021B" w:rsidRPr="000377C8">
        <w:rPr>
          <w:rFonts w:ascii="Palatino Linotype" w:hAnsi="Palatino Linotype" w:cs="Tahoma"/>
          <w:sz w:val="24"/>
          <w:szCs w:val="24"/>
        </w:rPr>
        <w:t xml:space="preserve">siete </w:t>
      </w:r>
      <w:r w:rsidR="008A2B24" w:rsidRPr="000377C8">
        <w:rPr>
          <w:rFonts w:ascii="Palatino Linotype" w:hAnsi="Palatino Linotype" w:cs="Tahoma"/>
          <w:sz w:val="24"/>
          <w:szCs w:val="24"/>
        </w:rPr>
        <w:t xml:space="preserve">(07) </w:t>
      </w:r>
      <w:r w:rsidR="0099021B" w:rsidRPr="000377C8">
        <w:rPr>
          <w:rFonts w:ascii="Palatino Linotype" w:hAnsi="Palatino Linotype" w:cs="Tahoma"/>
          <w:sz w:val="24"/>
          <w:szCs w:val="24"/>
        </w:rPr>
        <w:t xml:space="preserve">de junio </w:t>
      </w:r>
      <w:r w:rsidR="00F16A92" w:rsidRPr="000377C8">
        <w:rPr>
          <w:rFonts w:ascii="Palatino Linotype" w:hAnsi="Palatino Linotype" w:cs="Tahoma"/>
          <w:sz w:val="24"/>
          <w:szCs w:val="24"/>
        </w:rPr>
        <w:t>de dos mil veint</w:t>
      </w:r>
      <w:r w:rsidR="00701330" w:rsidRPr="000377C8">
        <w:rPr>
          <w:rFonts w:ascii="Palatino Linotype" w:hAnsi="Palatino Linotype" w:cs="Tahoma"/>
          <w:sz w:val="24"/>
          <w:szCs w:val="24"/>
        </w:rPr>
        <w:t>iuno</w:t>
      </w:r>
      <w:r w:rsidR="00AF0255" w:rsidRPr="000377C8">
        <w:rPr>
          <w:rFonts w:ascii="Palatino Linotype" w:hAnsi="Palatino Linotype" w:cs="Tahoma"/>
          <w:sz w:val="24"/>
          <w:szCs w:val="24"/>
        </w:rPr>
        <w:t xml:space="preserve">, el Particular presentó una solicitud de acceso a la información pública, a través del Sistema de Acceso a la Información Mexiquense (SAIMEX), ante </w:t>
      </w:r>
      <w:r w:rsidR="004F3226" w:rsidRPr="000377C8">
        <w:rPr>
          <w:rFonts w:ascii="Palatino Linotype" w:hAnsi="Palatino Linotype" w:cs="Tahoma"/>
          <w:sz w:val="24"/>
          <w:szCs w:val="24"/>
        </w:rPr>
        <w:t xml:space="preserve">el </w:t>
      </w:r>
      <w:r w:rsidR="004131DA" w:rsidRPr="000377C8">
        <w:rPr>
          <w:rFonts w:ascii="Palatino Linotype" w:hAnsi="Palatino Linotype" w:cs="Tahoma"/>
          <w:sz w:val="24"/>
          <w:szCs w:val="24"/>
        </w:rPr>
        <w:t>Sistema de Agua Potable Alcantarillado y Saneamiento de Ecatepec de Morelos</w:t>
      </w:r>
      <w:r w:rsidR="00D44A88" w:rsidRPr="000377C8">
        <w:rPr>
          <w:rFonts w:ascii="Palatino Linotype" w:hAnsi="Palatino Linotype" w:cs="Tahoma"/>
          <w:sz w:val="24"/>
          <w:szCs w:val="24"/>
        </w:rPr>
        <w:t>,</w:t>
      </w:r>
      <w:r w:rsidR="00AF0255" w:rsidRPr="000377C8">
        <w:rPr>
          <w:rFonts w:ascii="Palatino Linotype" w:hAnsi="Palatino Linotype" w:cs="Tahoma"/>
          <w:sz w:val="24"/>
          <w:szCs w:val="24"/>
        </w:rPr>
        <w:t xml:space="preserve"> </w:t>
      </w:r>
      <w:r w:rsidR="008A2B24" w:rsidRPr="000377C8">
        <w:rPr>
          <w:rFonts w:ascii="Palatino Linotype" w:hAnsi="Palatino Linotype" w:cs="Tahoma"/>
          <w:sz w:val="24"/>
          <w:szCs w:val="24"/>
        </w:rPr>
        <w:t xml:space="preserve">a la cual se le asignó el número </w:t>
      </w:r>
      <w:r w:rsidR="008A2B24" w:rsidRPr="000377C8">
        <w:rPr>
          <w:rFonts w:ascii="Palatino Linotype" w:hAnsi="Palatino Linotype"/>
          <w:b/>
          <w:bCs/>
          <w:sz w:val="24"/>
        </w:rPr>
        <w:t xml:space="preserve">00027/OASECATEPE/IP/2021, </w:t>
      </w:r>
      <w:r w:rsidR="00AF0255" w:rsidRPr="000377C8">
        <w:rPr>
          <w:rFonts w:ascii="Palatino Linotype" w:hAnsi="Palatino Linotype" w:cs="Tahoma"/>
          <w:bCs/>
          <w:sz w:val="24"/>
          <w:szCs w:val="24"/>
        </w:rPr>
        <w:t xml:space="preserve">en </w:t>
      </w:r>
      <w:r w:rsidR="009E12D2" w:rsidRPr="000377C8">
        <w:rPr>
          <w:rFonts w:ascii="Palatino Linotype" w:hAnsi="Palatino Linotype" w:cs="Tahoma"/>
          <w:bCs/>
          <w:sz w:val="24"/>
          <w:szCs w:val="24"/>
        </w:rPr>
        <w:t>donde requirió lo siguiente</w:t>
      </w:r>
      <w:r w:rsidR="00AF0255" w:rsidRPr="000377C8">
        <w:rPr>
          <w:rFonts w:ascii="Palatino Linotype" w:hAnsi="Palatino Linotype" w:cs="Tahoma"/>
          <w:bCs/>
          <w:sz w:val="24"/>
          <w:szCs w:val="24"/>
        </w:rPr>
        <w:t>:</w:t>
      </w:r>
    </w:p>
    <w:p w14:paraId="73AC6180" w14:textId="77777777" w:rsidR="005529D2" w:rsidRPr="000377C8" w:rsidRDefault="005529D2" w:rsidP="0037774E">
      <w:pPr>
        <w:spacing w:line="360" w:lineRule="auto"/>
        <w:contextualSpacing/>
        <w:jc w:val="both"/>
        <w:rPr>
          <w:rFonts w:ascii="Palatino Linotype" w:hAnsi="Palatino Linotype" w:cs="Tahoma"/>
          <w:bCs/>
          <w:sz w:val="24"/>
          <w:szCs w:val="24"/>
        </w:rPr>
      </w:pPr>
    </w:p>
    <w:p w14:paraId="32766092" w14:textId="3DBE8F03" w:rsidR="005529D2" w:rsidRPr="000377C8" w:rsidRDefault="005529D2" w:rsidP="0037774E">
      <w:pPr>
        <w:spacing w:line="360" w:lineRule="auto"/>
        <w:ind w:left="567" w:right="822"/>
        <w:jc w:val="both"/>
        <w:rPr>
          <w:rFonts w:ascii="Palatino Linotype" w:hAnsi="Palatino Linotype" w:cs="Tahoma"/>
          <w:bCs/>
          <w:i/>
          <w:sz w:val="22"/>
          <w:szCs w:val="22"/>
        </w:rPr>
      </w:pPr>
      <w:r w:rsidRPr="000377C8">
        <w:rPr>
          <w:rFonts w:ascii="Palatino Linotype" w:hAnsi="Palatino Linotype"/>
          <w:i/>
          <w:color w:val="000000"/>
          <w:sz w:val="22"/>
          <w:szCs w:val="22"/>
        </w:rPr>
        <w:t xml:space="preserve">“1.- SOLICITO SE ME INFORME CUAL ES LA PARTIDA PRESUPUESTAL ASIGNADA AL SISTEMA DE AGUA POTABLE ALCANTARILLADO Y SANEAMIENTO DE ECATEPEC DE MORELOS ESTADO DE MÉXICO. 2.- SI </w:t>
      </w:r>
      <w:r w:rsidRPr="000377C8">
        <w:rPr>
          <w:rFonts w:ascii="Palatino Linotype" w:hAnsi="Palatino Linotype"/>
          <w:i/>
          <w:color w:val="000000"/>
          <w:sz w:val="22"/>
          <w:szCs w:val="22"/>
        </w:rPr>
        <w:lastRenderedPageBreak/>
        <w:t>EL SISTEMA DE AGUA POTABLE ALCANTARILLADO Y SANEAMIENTO DE ECATEPEC DE MORELOS ESTADO DE MÉXICO CUENTA CON SUFICIENCIA PRESUPUESTAL PARA EL PAGO DE LAUDOS. 3.- CUALES SON LAS CUENTAS BANCARIAS CONCERTADORAS DEL SISTEMA DE AGUA POTABLE ALCANTARILLADO Y SANEAMIENTO DE ECATEPEC DE MORELOS ESTADO DE MÉXICO PARA EL PAGO DE LAUDOS. 4.- DE QUE INSTITUCION FINANCIERA SON LAS CUENTAS CONCENTADORAS DEL SISTEMA DE AGUA POTABLE ALCANTARILLADO Y SANEAMIENTO DE ECATEPEC DE MORELOS ESTADO DE MÉXICO PARA EL PAGO DE LAUDOS. 5.- CUALES SON LOS NUMERO DE CUENTAS BANCARIAS DEL SISTEMA DE AGUA POTABLE ALCANTARILLADO Y SANEAMIENTO DE ECATEPEC DE MORELOS ESTADO DE MÉXICO PARA EL PAGO DE LAUDOS. 6.- CUENTAS Y PARTIDAS PRESUPUESTALES ASIGNADAS AL SISTEMA DE AGUA POTABLE ALCANTARILLADO Y SANEAMIENTO DE ECATEPEC DE MORELOS ESTADO DE MÉXICO. 7.- CUAL ES LA JUSTIFICACIÓN LEGAL PARA DESACATO A MANDAMIENTO JURIDICCIONAL DE PAGO SE TRATA DE INFORMACIÓN SOLICITADA PARA EFECTO DE HACER CUMPLIR LA DETERMINACIÓN DE LA SALA AUXILIAR DE ECATEPEC DEL TRIBUNAL ESTATAL DE CONCILIACIÓN Y ARBITRAJE EN EL EXPEDIENTE SAE/310/2017.</w:t>
      </w:r>
      <w:r w:rsidRPr="000377C8">
        <w:rPr>
          <w:rFonts w:ascii="Palatino Linotype" w:hAnsi="Palatino Linotype" w:cs="Tahoma"/>
          <w:bCs/>
          <w:i/>
          <w:sz w:val="22"/>
          <w:szCs w:val="22"/>
        </w:rPr>
        <w:t>” (Sic.)</w:t>
      </w:r>
    </w:p>
    <w:p w14:paraId="3725713F" w14:textId="77777777" w:rsidR="005529D2" w:rsidRPr="000377C8" w:rsidRDefault="005529D2" w:rsidP="0037774E">
      <w:pPr>
        <w:spacing w:line="360" w:lineRule="auto"/>
        <w:contextualSpacing/>
        <w:jc w:val="both"/>
        <w:rPr>
          <w:rFonts w:ascii="Palatino Linotype" w:eastAsia="Calibri" w:hAnsi="Palatino Linotype" w:cs="Arial"/>
          <w:sz w:val="24"/>
          <w:szCs w:val="24"/>
          <w:lang w:val="es-ES"/>
        </w:rPr>
      </w:pPr>
    </w:p>
    <w:p w14:paraId="6A6E16DF" w14:textId="77777777" w:rsidR="005529D2" w:rsidRPr="000377C8" w:rsidRDefault="00B608E5" w:rsidP="0037774E">
      <w:pPr>
        <w:numPr>
          <w:ilvl w:val="0"/>
          <w:numId w:val="30"/>
        </w:numPr>
        <w:spacing w:line="360" w:lineRule="auto"/>
        <w:ind w:left="0" w:firstLine="0"/>
        <w:contextualSpacing/>
        <w:jc w:val="both"/>
        <w:rPr>
          <w:rFonts w:ascii="Palatino Linotype" w:eastAsia="Calibri" w:hAnsi="Palatino Linotype" w:cs="Arial"/>
          <w:sz w:val="24"/>
          <w:szCs w:val="24"/>
          <w:lang w:val="es-ES"/>
        </w:rPr>
      </w:pPr>
      <w:r w:rsidRPr="000377C8">
        <w:rPr>
          <w:rFonts w:ascii="Palatino Linotype" w:hAnsi="Palatino Linotype" w:cs="Tahoma"/>
          <w:bCs/>
          <w:sz w:val="24"/>
          <w:szCs w:val="24"/>
        </w:rPr>
        <w:t>Se señaló como modalidad de entrega a través de la plataforma Sistema de Acceso a la Información Mexiquense (SAIMEX).</w:t>
      </w:r>
    </w:p>
    <w:p w14:paraId="1ADE0A11" w14:textId="77777777" w:rsidR="005529D2" w:rsidRPr="000377C8" w:rsidRDefault="005529D2" w:rsidP="0037774E">
      <w:pPr>
        <w:spacing w:line="360" w:lineRule="auto"/>
        <w:contextualSpacing/>
        <w:jc w:val="both"/>
        <w:rPr>
          <w:rFonts w:ascii="Palatino Linotype" w:eastAsia="Calibri" w:hAnsi="Palatino Linotype" w:cs="Arial"/>
          <w:sz w:val="24"/>
          <w:szCs w:val="24"/>
          <w:lang w:val="es-ES"/>
        </w:rPr>
      </w:pPr>
    </w:p>
    <w:p w14:paraId="42FB4B72" w14:textId="77777777" w:rsidR="005529D2" w:rsidRPr="000377C8" w:rsidRDefault="00B608E5" w:rsidP="0037774E">
      <w:pPr>
        <w:numPr>
          <w:ilvl w:val="0"/>
          <w:numId w:val="30"/>
        </w:numPr>
        <w:spacing w:line="360" w:lineRule="auto"/>
        <w:ind w:left="0" w:firstLine="0"/>
        <w:contextualSpacing/>
        <w:jc w:val="both"/>
        <w:rPr>
          <w:rFonts w:ascii="Palatino Linotype" w:eastAsia="Calibri" w:hAnsi="Palatino Linotype" w:cs="Arial"/>
          <w:sz w:val="24"/>
          <w:szCs w:val="24"/>
          <w:lang w:val="es-ES"/>
        </w:rPr>
      </w:pPr>
      <w:r w:rsidRPr="000377C8">
        <w:rPr>
          <w:rFonts w:ascii="Palatino Linotype" w:hAnsi="Palatino Linotype" w:cs="Tahoma"/>
          <w:bCs/>
          <w:sz w:val="24"/>
          <w:szCs w:val="24"/>
        </w:rPr>
        <w:lastRenderedPageBreak/>
        <w:t>El ocho (08) de junio de dos mil veintiuno, se realizaron dos requerimientos a los servidores públicos habilitados:</w:t>
      </w:r>
    </w:p>
    <w:p w14:paraId="77909721" w14:textId="0102C600" w:rsidR="005529D2" w:rsidRPr="000377C8" w:rsidRDefault="005529D2" w:rsidP="0037774E">
      <w:pPr>
        <w:spacing w:line="360" w:lineRule="auto"/>
        <w:contextualSpacing/>
        <w:jc w:val="both"/>
        <w:rPr>
          <w:rFonts w:ascii="Palatino Linotype" w:eastAsia="Calibri" w:hAnsi="Palatino Linotype" w:cs="Arial"/>
          <w:sz w:val="24"/>
          <w:szCs w:val="24"/>
          <w:lang w:val="es-ES"/>
        </w:rPr>
      </w:pPr>
      <w:r w:rsidRPr="000377C8">
        <w:rPr>
          <w:rFonts w:ascii="Palatino Linotype" w:hAnsi="Palatino Linotype"/>
          <w:noProof/>
          <w:lang w:val="es-ES"/>
        </w:rPr>
        <w:drawing>
          <wp:inline distT="0" distB="0" distL="0" distR="0" wp14:anchorId="6272AEF6" wp14:editId="64AEFFB6">
            <wp:extent cx="5087620" cy="1552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386" t="17397" r="22711" b="57244"/>
                    <a:stretch/>
                  </pic:blipFill>
                  <pic:spPr bwMode="auto">
                    <a:xfrm>
                      <a:off x="0" y="0"/>
                      <a:ext cx="5096128" cy="1555171"/>
                    </a:xfrm>
                    <a:prstGeom prst="rect">
                      <a:avLst/>
                    </a:prstGeom>
                    <a:ln>
                      <a:noFill/>
                    </a:ln>
                    <a:extLst>
                      <a:ext uri="{53640926-AAD7-44D8-BBD7-CCE9431645EC}">
                        <a14:shadowObscured xmlns:a14="http://schemas.microsoft.com/office/drawing/2010/main"/>
                      </a:ext>
                    </a:extLst>
                  </pic:spPr>
                </pic:pic>
              </a:graphicData>
            </a:graphic>
          </wp:inline>
        </w:drawing>
      </w:r>
    </w:p>
    <w:p w14:paraId="2894E773" w14:textId="77777777" w:rsidR="005529D2" w:rsidRPr="000377C8" w:rsidRDefault="005529D2" w:rsidP="0037774E">
      <w:pPr>
        <w:spacing w:line="360" w:lineRule="auto"/>
        <w:contextualSpacing/>
        <w:jc w:val="both"/>
        <w:rPr>
          <w:rFonts w:ascii="Palatino Linotype" w:eastAsia="Calibri" w:hAnsi="Palatino Linotype" w:cs="Arial"/>
          <w:sz w:val="24"/>
          <w:szCs w:val="24"/>
          <w:lang w:val="es-ES"/>
        </w:rPr>
      </w:pPr>
    </w:p>
    <w:p w14:paraId="5EB8C335" w14:textId="77777777" w:rsidR="005529D2" w:rsidRPr="000377C8" w:rsidRDefault="00B608E5" w:rsidP="0037774E">
      <w:pPr>
        <w:numPr>
          <w:ilvl w:val="0"/>
          <w:numId w:val="30"/>
        </w:numPr>
        <w:spacing w:line="360" w:lineRule="auto"/>
        <w:ind w:left="0" w:firstLine="0"/>
        <w:contextualSpacing/>
        <w:jc w:val="both"/>
        <w:rPr>
          <w:rFonts w:ascii="Palatino Linotype" w:eastAsia="Calibri" w:hAnsi="Palatino Linotype" w:cs="Arial"/>
          <w:sz w:val="24"/>
          <w:szCs w:val="24"/>
          <w:lang w:val="es-ES"/>
        </w:rPr>
      </w:pPr>
      <w:r w:rsidRPr="000377C8">
        <w:rPr>
          <w:rFonts w:ascii="Palatino Linotype" w:hAnsi="Palatino Linotype" w:cs="Tahoma"/>
          <w:bCs/>
          <w:sz w:val="24"/>
          <w:szCs w:val="24"/>
        </w:rPr>
        <w:t>El</w:t>
      </w:r>
      <w:r w:rsidR="00F16A92" w:rsidRPr="000377C8">
        <w:rPr>
          <w:rFonts w:ascii="Palatino Linotype" w:hAnsi="Palatino Linotype" w:cs="Tahoma"/>
          <w:bCs/>
          <w:sz w:val="24"/>
          <w:szCs w:val="24"/>
        </w:rPr>
        <w:t xml:space="preserve"> </w:t>
      </w:r>
      <w:r w:rsidR="0099021B" w:rsidRPr="000377C8">
        <w:rPr>
          <w:rFonts w:ascii="Palatino Linotype" w:hAnsi="Palatino Linotype" w:cs="Tahoma"/>
          <w:bCs/>
          <w:sz w:val="24"/>
          <w:szCs w:val="24"/>
        </w:rPr>
        <w:t xml:space="preserve">veintiuno </w:t>
      </w:r>
      <w:r w:rsidRPr="000377C8">
        <w:rPr>
          <w:rFonts w:ascii="Palatino Linotype" w:hAnsi="Palatino Linotype" w:cs="Tahoma"/>
          <w:bCs/>
          <w:sz w:val="24"/>
          <w:szCs w:val="24"/>
        </w:rPr>
        <w:t xml:space="preserve">(21) </w:t>
      </w:r>
      <w:r w:rsidR="0099021B" w:rsidRPr="000377C8">
        <w:rPr>
          <w:rFonts w:ascii="Palatino Linotype" w:hAnsi="Palatino Linotype" w:cs="Tahoma"/>
          <w:bCs/>
          <w:sz w:val="24"/>
          <w:szCs w:val="24"/>
        </w:rPr>
        <w:t>de junio</w:t>
      </w:r>
      <w:r w:rsidR="00553B5F" w:rsidRPr="000377C8">
        <w:rPr>
          <w:rFonts w:ascii="Palatino Linotype" w:hAnsi="Palatino Linotype" w:cs="Tahoma"/>
          <w:bCs/>
          <w:sz w:val="24"/>
          <w:szCs w:val="24"/>
        </w:rPr>
        <w:t xml:space="preserve"> de dos mil veintiuno</w:t>
      </w:r>
      <w:r w:rsidR="00F16A92" w:rsidRPr="000377C8">
        <w:rPr>
          <w:rFonts w:ascii="Palatino Linotype" w:hAnsi="Palatino Linotype" w:cs="Tahoma"/>
          <w:bCs/>
          <w:sz w:val="24"/>
          <w:szCs w:val="24"/>
        </w:rPr>
        <w:t>, el</w:t>
      </w:r>
      <w:r w:rsidR="00F16A92" w:rsidRPr="000377C8">
        <w:rPr>
          <w:rFonts w:ascii="Palatino Linotype" w:hAnsi="Palatino Linotype" w:cs="Tahoma"/>
          <w:b/>
          <w:sz w:val="24"/>
          <w:szCs w:val="24"/>
        </w:rPr>
        <w:t xml:space="preserve"> </w:t>
      </w:r>
      <w:r w:rsidR="00F16A92" w:rsidRPr="000377C8">
        <w:rPr>
          <w:rFonts w:ascii="Palatino Linotype" w:hAnsi="Palatino Linotype" w:cs="Tahoma"/>
          <w:sz w:val="24"/>
          <w:szCs w:val="24"/>
        </w:rPr>
        <w:t>Sujeto Obligado dio respuesta a la solicitud de acceso a la información, a través del Sistema de Acceso a la Información Mexiquense (SAIMEX),</w:t>
      </w:r>
      <w:r w:rsidR="00167C31" w:rsidRPr="000377C8">
        <w:rPr>
          <w:rFonts w:ascii="Palatino Linotype" w:hAnsi="Palatino Linotype" w:cs="Tahoma"/>
          <w:sz w:val="24"/>
          <w:szCs w:val="24"/>
        </w:rPr>
        <w:t xml:space="preserve"> </w:t>
      </w:r>
      <w:r w:rsidR="005960A5" w:rsidRPr="000377C8">
        <w:rPr>
          <w:rFonts w:ascii="Palatino Linotype" w:hAnsi="Palatino Linotype" w:cs="Tahoma"/>
          <w:sz w:val="24"/>
          <w:szCs w:val="24"/>
        </w:rPr>
        <w:t xml:space="preserve">con un documento </w:t>
      </w:r>
      <w:r w:rsidR="00167C31" w:rsidRPr="000377C8">
        <w:rPr>
          <w:rFonts w:ascii="Palatino Linotype" w:hAnsi="Palatino Linotype" w:cs="Tahoma"/>
          <w:sz w:val="24"/>
          <w:szCs w:val="24"/>
        </w:rPr>
        <w:t xml:space="preserve">emitido por </w:t>
      </w:r>
      <w:r w:rsidR="00F00235" w:rsidRPr="000377C8">
        <w:rPr>
          <w:rFonts w:ascii="Palatino Linotype" w:hAnsi="Palatino Linotype" w:cs="Tahoma"/>
          <w:sz w:val="24"/>
          <w:szCs w:val="24"/>
        </w:rPr>
        <w:t>el Responsable de la Unidad de Transparencia,</w:t>
      </w:r>
      <w:r w:rsidR="00F16A92" w:rsidRPr="000377C8">
        <w:rPr>
          <w:rFonts w:ascii="Palatino Linotype" w:hAnsi="Palatino Linotype" w:cs="Tahoma"/>
          <w:sz w:val="24"/>
          <w:szCs w:val="24"/>
        </w:rPr>
        <w:t xml:space="preserve"> </w:t>
      </w:r>
      <w:r w:rsidR="00553B5F" w:rsidRPr="000377C8">
        <w:rPr>
          <w:rFonts w:ascii="Palatino Linotype" w:hAnsi="Palatino Linotype" w:cs="Tahoma"/>
          <w:sz w:val="24"/>
          <w:szCs w:val="24"/>
        </w:rPr>
        <w:t>en los términos siguientes</w:t>
      </w:r>
      <w:r w:rsidR="0023601B" w:rsidRPr="000377C8">
        <w:rPr>
          <w:rFonts w:ascii="Palatino Linotype" w:hAnsi="Palatino Linotype" w:cs="Tahoma"/>
          <w:sz w:val="24"/>
          <w:szCs w:val="24"/>
        </w:rPr>
        <w:t>:</w:t>
      </w:r>
    </w:p>
    <w:p w14:paraId="4C18C0C5" w14:textId="77777777" w:rsidR="005529D2" w:rsidRPr="000377C8" w:rsidRDefault="005529D2" w:rsidP="0037774E">
      <w:pPr>
        <w:spacing w:line="360" w:lineRule="auto"/>
        <w:contextualSpacing/>
        <w:jc w:val="both"/>
        <w:rPr>
          <w:rFonts w:ascii="Palatino Linotype" w:hAnsi="Palatino Linotype" w:cs="Tahoma"/>
          <w:sz w:val="24"/>
          <w:szCs w:val="24"/>
        </w:rPr>
      </w:pPr>
    </w:p>
    <w:tbl>
      <w:tblPr>
        <w:tblW w:w="7616" w:type="dxa"/>
        <w:jc w:val="center"/>
        <w:tblCellSpacing w:w="0" w:type="dxa"/>
        <w:tblCellMar>
          <w:left w:w="0" w:type="dxa"/>
          <w:right w:w="0" w:type="dxa"/>
        </w:tblCellMar>
        <w:tblLook w:val="04A0" w:firstRow="1" w:lastRow="0" w:firstColumn="1" w:lastColumn="0" w:noHBand="0" w:noVBand="1"/>
      </w:tblPr>
      <w:tblGrid>
        <w:gridCol w:w="7616"/>
      </w:tblGrid>
      <w:tr w:rsidR="005529D2" w:rsidRPr="000377C8" w14:paraId="4969AE8E" w14:textId="77777777" w:rsidTr="008D6453">
        <w:trPr>
          <w:trHeight w:val="296"/>
          <w:tblCellSpacing w:w="0" w:type="dxa"/>
          <w:jc w:val="center"/>
        </w:trPr>
        <w:tc>
          <w:tcPr>
            <w:tcW w:w="0" w:type="auto"/>
            <w:vAlign w:val="center"/>
            <w:hideMark/>
          </w:tcPr>
          <w:p w14:paraId="08B2AB7E" w14:textId="77777777" w:rsidR="005529D2" w:rsidRPr="000377C8" w:rsidRDefault="005529D2" w:rsidP="0037774E">
            <w:pPr>
              <w:autoSpaceDE w:val="0"/>
              <w:autoSpaceDN w:val="0"/>
              <w:adjustRightInd w:val="0"/>
              <w:spacing w:line="360" w:lineRule="auto"/>
              <w:ind w:right="-28"/>
              <w:jc w:val="right"/>
              <w:rPr>
                <w:rFonts w:ascii="Palatino Linotype" w:eastAsia="Calibri" w:hAnsi="Palatino Linotype" w:cs="Tahoma"/>
                <w:bCs/>
                <w:i/>
                <w:sz w:val="22"/>
                <w:szCs w:val="24"/>
                <w:lang w:val="es-ES" w:eastAsia="en-US"/>
              </w:rPr>
            </w:pPr>
            <w:r w:rsidRPr="000377C8">
              <w:rPr>
                <w:rFonts w:ascii="Palatino Linotype" w:eastAsia="Calibri" w:hAnsi="Palatino Linotype" w:cs="Tahoma"/>
                <w:bCs/>
                <w:i/>
                <w:sz w:val="22"/>
                <w:szCs w:val="24"/>
                <w:lang w:val="es-ES" w:eastAsia="en-US"/>
              </w:rPr>
              <w:t>“Potable Alcantarillado y Saneamiento de Ecatepec de Morelos, México a 21 de Junio de 2021</w:t>
            </w:r>
          </w:p>
        </w:tc>
      </w:tr>
      <w:tr w:rsidR="005529D2" w:rsidRPr="000377C8" w14:paraId="02BEE370" w14:textId="77777777" w:rsidTr="008D6453">
        <w:trPr>
          <w:trHeight w:val="296"/>
          <w:tblCellSpacing w:w="0" w:type="dxa"/>
          <w:jc w:val="center"/>
        </w:trPr>
        <w:tc>
          <w:tcPr>
            <w:tcW w:w="0" w:type="auto"/>
            <w:vAlign w:val="center"/>
            <w:hideMark/>
          </w:tcPr>
          <w:p w14:paraId="765A56BF" w14:textId="550CB75C" w:rsidR="005529D2" w:rsidRPr="000377C8" w:rsidRDefault="005529D2" w:rsidP="0037774E">
            <w:pPr>
              <w:autoSpaceDE w:val="0"/>
              <w:autoSpaceDN w:val="0"/>
              <w:adjustRightInd w:val="0"/>
              <w:spacing w:line="360" w:lineRule="auto"/>
              <w:ind w:right="-28"/>
              <w:jc w:val="right"/>
              <w:rPr>
                <w:rFonts w:ascii="Palatino Linotype" w:eastAsia="Calibri" w:hAnsi="Palatino Linotype" w:cs="Tahoma"/>
                <w:bCs/>
                <w:i/>
                <w:sz w:val="22"/>
                <w:szCs w:val="24"/>
                <w:lang w:val="es-ES" w:eastAsia="en-US"/>
              </w:rPr>
            </w:pPr>
            <w:r w:rsidRPr="000377C8">
              <w:rPr>
                <w:rFonts w:ascii="Palatino Linotype" w:eastAsia="Calibri" w:hAnsi="Palatino Linotype" w:cs="Tahoma"/>
                <w:bCs/>
                <w:i/>
                <w:sz w:val="22"/>
                <w:szCs w:val="24"/>
                <w:lang w:val="es-ES" w:eastAsia="en-US"/>
              </w:rPr>
              <w:t>Nombre de</w:t>
            </w:r>
            <w:r w:rsidR="00ED4E09">
              <w:rPr>
                <w:rFonts w:ascii="Palatino Linotype" w:eastAsia="Calibri" w:hAnsi="Palatino Linotype" w:cs="Tahoma"/>
                <w:bCs/>
                <w:i/>
                <w:sz w:val="22"/>
                <w:szCs w:val="24"/>
                <w:lang w:val="es-ES" w:eastAsia="en-US"/>
              </w:rPr>
              <w:t>l solicitante: XXXXXXXXXXXXXXXXXXXX</w:t>
            </w:r>
          </w:p>
        </w:tc>
      </w:tr>
      <w:tr w:rsidR="005529D2" w:rsidRPr="000377C8" w14:paraId="476926C7" w14:textId="77777777" w:rsidTr="008D6453">
        <w:trPr>
          <w:trHeight w:val="296"/>
          <w:tblCellSpacing w:w="0" w:type="dxa"/>
          <w:jc w:val="center"/>
        </w:trPr>
        <w:tc>
          <w:tcPr>
            <w:tcW w:w="0" w:type="auto"/>
            <w:vAlign w:val="center"/>
            <w:hideMark/>
          </w:tcPr>
          <w:p w14:paraId="7027F183" w14:textId="77777777" w:rsidR="005529D2" w:rsidRPr="000377C8" w:rsidRDefault="005529D2" w:rsidP="0037774E">
            <w:pPr>
              <w:autoSpaceDE w:val="0"/>
              <w:autoSpaceDN w:val="0"/>
              <w:adjustRightInd w:val="0"/>
              <w:spacing w:line="360" w:lineRule="auto"/>
              <w:ind w:right="-28"/>
              <w:jc w:val="right"/>
              <w:rPr>
                <w:rFonts w:ascii="Palatino Linotype" w:eastAsia="Calibri" w:hAnsi="Palatino Linotype" w:cs="Tahoma"/>
                <w:bCs/>
                <w:i/>
                <w:sz w:val="22"/>
                <w:szCs w:val="24"/>
                <w:lang w:val="es-ES" w:eastAsia="en-US"/>
              </w:rPr>
            </w:pPr>
            <w:r w:rsidRPr="000377C8">
              <w:rPr>
                <w:rFonts w:ascii="Palatino Linotype" w:eastAsia="Calibri" w:hAnsi="Palatino Linotype" w:cs="Tahoma"/>
                <w:bCs/>
                <w:i/>
                <w:sz w:val="22"/>
                <w:szCs w:val="24"/>
                <w:lang w:val="es-ES" w:eastAsia="en-US"/>
              </w:rPr>
              <w:t>Folio de la solicitud: 00027/OASECATEPE/IP/2021</w:t>
            </w:r>
          </w:p>
        </w:tc>
      </w:tr>
      <w:tr w:rsidR="005529D2" w:rsidRPr="000377C8" w14:paraId="5B723F20" w14:textId="77777777" w:rsidTr="008D6453">
        <w:trPr>
          <w:trHeight w:val="444"/>
          <w:tblCellSpacing w:w="0" w:type="dxa"/>
          <w:jc w:val="center"/>
        </w:trPr>
        <w:tc>
          <w:tcPr>
            <w:tcW w:w="0" w:type="auto"/>
            <w:vAlign w:val="center"/>
            <w:hideMark/>
          </w:tcPr>
          <w:p w14:paraId="28017856"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p>
        </w:tc>
      </w:tr>
      <w:tr w:rsidR="005529D2" w:rsidRPr="000377C8" w14:paraId="387DA966" w14:textId="77777777" w:rsidTr="008D6453">
        <w:trPr>
          <w:trHeight w:val="148"/>
          <w:tblCellSpacing w:w="0" w:type="dxa"/>
          <w:jc w:val="center"/>
        </w:trPr>
        <w:tc>
          <w:tcPr>
            <w:tcW w:w="0" w:type="auto"/>
            <w:vAlign w:val="center"/>
            <w:hideMark/>
          </w:tcPr>
          <w:p w14:paraId="48EC9E31"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r w:rsidRPr="000377C8">
              <w:rPr>
                <w:rFonts w:ascii="Palatino Linotype" w:eastAsia="Calibri" w:hAnsi="Palatino Linotype" w:cs="Tahoma"/>
                <w:bCs/>
                <w:i/>
                <w:sz w:val="22"/>
                <w:szCs w:val="24"/>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529D2" w:rsidRPr="000377C8" w14:paraId="57F0B8BA" w14:textId="77777777" w:rsidTr="008D6453">
        <w:trPr>
          <w:trHeight w:val="370"/>
          <w:tblCellSpacing w:w="0" w:type="dxa"/>
          <w:jc w:val="center"/>
        </w:trPr>
        <w:tc>
          <w:tcPr>
            <w:tcW w:w="0" w:type="auto"/>
            <w:vAlign w:val="center"/>
            <w:hideMark/>
          </w:tcPr>
          <w:p w14:paraId="47D88199"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p>
        </w:tc>
        <w:bookmarkStart w:id="0" w:name="_GoBack"/>
        <w:bookmarkEnd w:id="0"/>
      </w:tr>
      <w:tr w:rsidR="005529D2" w:rsidRPr="000377C8" w14:paraId="10477A0B" w14:textId="77777777" w:rsidTr="008D6453">
        <w:trPr>
          <w:trHeight w:val="148"/>
          <w:tblCellSpacing w:w="0" w:type="dxa"/>
          <w:jc w:val="center"/>
        </w:trPr>
        <w:tc>
          <w:tcPr>
            <w:tcW w:w="0" w:type="auto"/>
            <w:vAlign w:val="center"/>
            <w:hideMark/>
          </w:tcPr>
          <w:p w14:paraId="48EB91DC"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r w:rsidRPr="000377C8">
              <w:rPr>
                <w:rFonts w:ascii="Palatino Linotype" w:eastAsia="Calibri" w:hAnsi="Palatino Linotype" w:cs="Tahoma"/>
                <w:bCs/>
                <w:i/>
                <w:sz w:val="22"/>
                <w:szCs w:val="24"/>
                <w:lang w:val="es-ES" w:eastAsia="en-US"/>
              </w:rPr>
              <w:t xml:space="preserve">En respuesta a la solicitud recibida, nos permitimos hacer de su conocimiento que con fundamento en el artículo 53, Fracciones: II, V y VI de la Ley de Transparencia y Acceso </w:t>
            </w:r>
            <w:r w:rsidRPr="000377C8">
              <w:rPr>
                <w:rFonts w:ascii="Palatino Linotype" w:eastAsia="Calibri" w:hAnsi="Palatino Linotype" w:cs="Tahoma"/>
                <w:bCs/>
                <w:i/>
                <w:sz w:val="22"/>
                <w:szCs w:val="24"/>
                <w:lang w:val="es-ES" w:eastAsia="en-US"/>
              </w:rPr>
              <w:lastRenderedPageBreak/>
              <w:t xml:space="preserve">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00027/OASECATEPE/IP/2021; relativo a su petición de información en la que a la letra dice: 1.- SOLICITO SE ME INFORME CUAL ES LA PARTIDA PRESUPUESTAL ASIGNADA AL SISTEMA DE AGUA POTABLE ALCANTARILLADO Y SANEAMIENTO DE ECATEPEC DE MORELOS ESTADO DE MÉXICO. 2.- SI EL SISTEMA DE AGUA POTABLE ALCANTARILLADO Y SANEAMIENTO DE ECATEPEC DE MORELOS ESTADO DE MÉXICO CUENTA CON SUFICIENCIA PRESUPUESTAL PARA EL PAGO DE LAUDOS. 3.- CUALES SON LAS CUENTAS BANCARIAS CONCERTADORAS DEL SISTEMA DE AGUA POTABLE ALCANTARILLADO Y SANEAMIENTO DE ECATEPEC DE MORELOS ESTADO DE MÉXICO PARA EL PAGO DE LAUDOS. 4.- DE QUE INSTITUCION FINANCIERA SON LAS CUENTAS CONCENTADORAS DEL SISTEMA DE AGUA POTABLE ALCANTARILLADO Y SANEAMIENTO DE ECATEPEC DE MORELOS ESTADO DE MÉXICO PARA EL PAGO DE LAUDOS. 5.- CUALES SON LOS NUMERO DE CUENTAS BANCARIAS DEL SISTEMA DE AGUA POTABLE ALCANTARILLADO Y SANEAMIENTO DE ECATEPEC DE MORELOS </w:t>
            </w:r>
            <w:r w:rsidRPr="000377C8">
              <w:rPr>
                <w:rFonts w:ascii="Palatino Linotype" w:eastAsia="Calibri" w:hAnsi="Palatino Linotype" w:cs="Tahoma"/>
                <w:bCs/>
                <w:i/>
                <w:sz w:val="22"/>
                <w:szCs w:val="24"/>
                <w:lang w:val="es-ES" w:eastAsia="en-US"/>
              </w:rPr>
              <w:lastRenderedPageBreak/>
              <w:t>ESTADO DE MÉXICO PARA EL PAGO DE LAUDOS. 6.- CUENTAS Y PARTIDAS PRESUPUESTALES ASIGNADAS AL SISTEMA DE AGUA POTABLE ALCANTARILLADO Y SANEAMIENTO DE ECATEPEC DE MORELOS ESTADO DE MÉXICO. 7.- CUAL ES LA JUSTIFICACIÓN LEGAL PARA DESACATO A MANDAMIENTO JURIDICCIONAL DE PAGO SE TRATA DE INFORMACIÓN SOLICITADA PARA EFECTO DE HACER CUMPLIR LA DETERMINACIÓN DE LA SALA AUXILIAR DE ECATEPEC DEL TRIBUNAL ESTATAL DE CONCILIACIÓN Y ARBITRAJE EN EL EXPEDIENTE SAE/310/2017 PARTIDAS PRESUPUESTALES, justificación de no pago: Se trata de información solicitada para efecto de hacer cumplir la determinación de la Sala Auxiliar de Ecatepec del Tribunal Estatal de Conciliación y Arbitraje en el expediente SAE/310/2017. Ya que el Sistema de Agua Potable Alcantarillado y Saneamiento de Ecatepec de Morelos -- Estado de México ha inferido en reiteradas ocasiones negativa de pago al Laudo recaído. Y se solicita su exención en razón de que el cumplimiento de las sentencias es de orden publico…(SIC) Por lo anterior me permito remitir a usted un archivo en PDF denominado RESPUESTA00027, en el cual encontrara la respuesta a su solicitud, proporcionada por la Coordinación Jurídica y Coordinación de Contabilidad y Presupuesto del O.P.D.S.A.P.A.S.E., Sin más por el momento, quedo de usted esperando que le sea de utilidad dicha información.</w:t>
            </w:r>
          </w:p>
        </w:tc>
      </w:tr>
      <w:tr w:rsidR="005529D2" w:rsidRPr="000377C8" w14:paraId="25B5FBDF" w14:textId="77777777" w:rsidTr="008D6453">
        <w:trPr>
          <w:trHeight w:val="370"/>
          <w:tblCellSpacing w:w="0" w:type="dxa"/>
          <w:jc w:val="center"/>
        </w:trPr>
        <w:tc>
          <w:tcPr>
            <w:tcW w:w="0" w:type="auto"/>
            <w:vAlign w:val="center"/>
            <w:hideMark/>
          </w:tcPr>
          <w:p w14:paraId="2121B8A9"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p>
        </w:tc>
      </w:tr>
      <w:tr w:rsidR="005529D2" w:rsidRPr="000377C8" w14:paraId="0EFE40A7" w14:textId="77777777" w:rsidTr="008D6453">
        <w:trPr>
          <w:trHeight w:val="148"/>
          <w:tblCellSpacing w:w="0" w:type="dxa"/>
          <w:jc w:val="center"/>
        </w:trPr>
        <w:tc>
          <w:tcPr>
            <w:tcW w:w="0" w:type="auto"/>
            <w:vAlign w:val="center"/>
            <w:hideMark/>
          </w:tcPr>
          <w:p w14:paraId="518C50A2"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p>
        </w:tc>
      </w:tr>
      <w:tr w:rsidR="005529D2" w:rsidRPr="000377C8" w14:paraId="4F008F8F" w14:textId="77777777" w:rsidTr="008D6453">
        <w:trPr>
          <w:trHeight w:val="148"/>
          <w:tblCellSpacing w:w="0" w:type="dxa"/>
          <w:jc w:val="center"/>
        </w:trPr>
        <w:tc>
          <w:tcPr>
            <w:tcW w:w="0" w:type="auto"/>
            <w:vAlign w:val="center"/>
            <w:hideMark/>
          </w:tcPr>
          <w:p w14:paraId="4B030C6D"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p>
        </w:tc>
      </w:tr>
      <w:tr w:rsidR="005529D2" w:rsidRPr="000377C8" w14:paraId="2DE477CD" w14:textId="77777777" w:rsidTr="008D6453">
        <w:trPr>
          <w:trHeight w:val="148"/>
          <w:tblCellSpacing w:w="0" w:type="dxa"/>
          <w:jc w:val="center"/>
        </w:trPr>
        <w:tc>
          <w:tcPr>
            <w:tcW w:w="0" w:type="auto"/>
            <w:vAlign w:val="center"/>
            <w:hideMark/>
          </w:tcPr>
          <w:p w14:paraId="6390323F"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r w:rsidRPr="000377C8">
              <w:rPr>
                <w:rFonts w:ascii="Palatino Linotype" w:eastAsia="Calibri" w:hAnsi="Palatino Linotype" w:cs="Tahoma"/>
                <w:bCs/>
                <w:i/>
                <w:sz w:val="22"/>
                <w:szCs w:val="24"/>
                <w:lang w:val="es-ES" w:eastAsia="en-US"/>
              </w:rPr>
              <w:t>ATENTAMENTE</w:t>
            </w:r>
          </w:p>
        </w:tc>
      </w:tr>
      <w:tr w:rsidR="005529D2" w:rsidRPr="000377C8" w14:paraId="6A6E7A6E" w14:textId="77777777" w:rsidTr="008D6453">
        <w:trPr>
          <w:trHeight w:val="222"/>
          <w:tblCellSpacing w:w="0" w:type="dxa"/>
          <w:jc w:val="center"/>
        </w:trPr>
        <w:tc>
          <w:tcPr>
            <w:tcW w:w="0" w:type="auto"/>
            <w:vAlign w:val="center"/>
            <w:hideMark/>
          </w:tcPr>
          <w:p w14:paraId="30D4AFF1"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p>
        </w:tc>
      </w:tr>
      <w:tr w:rsidR="005529D2" w:rsidRPr="000377C8" w14:paraId="76D0EEAD" w14:textId="77777777" w:rsidTr="008D6453">
        <w:trPr>
          <w:trHeight w:val="148"/>
          <w:tblCellSpacing w:w="0" w:type="dxa"/>
          <w:jc w:val="center"/>
        </w:trPr>
        <w:tc>
          <w:tcPr>
            <w:tcW w:w="0" w:type="auto"/>
            <w:vAlign w:val="center"/>
            <w:hideMark/>
          </w:tcPr>
          <w:p w14:paraId="2B5BAB8C" w14:textId="77777777" w:rsidR="005529D2" w:rsidRPr="000377C8" w:rsidRDefault="005529D2" w:rsidP="0037774E">
            <w:pPr>
              <w:autoSpaceDE w:val="0"/>
              <w:autoSpaceDN w:val="0"/>
              <w:adjustRightInd w:val="0"/>
              <w:spacing w:line="360" w:lineRule="auto"/>
              <w:ind w:right="-28"/>
              <w:jc w:val="both"/>
              <w:rPr>
                <w:rFonts w:ascii="Palatino Linotype" w:eastAsia="Calibri" w:hAnsi="Palatino Linotype" w:cs="Tahoma"/>
                <w:bCs/>
                <w:i/>
                <w:sz w:val="22"/>
                <w:szCs w:val="24"/>
                <w:lang w:val="es-ES" w:eastAsia="en-US"/>
              </w:rPr>
            </w:pPr>
            <w:r w:rsidRPr="000377C8">
              <w:rPr>
                <w:rFonts w:ascii="Palatino Linotype" w:eastAsia="Calibri" w:hAnsi="Palatino Linotype" w:cs="Tahoma"/>
                <w:bCs/>
                <w:i/>
                <w:sz w:val="22"/>
                <w:szCs w:val="24"/>
                <w:lang w:val="es-ES" w:eastAsia="en-US"/>
              </w:rPr>
              <w:t>ING MARIO LUNA ESCANAME”</w:t>
            </w:r>
          </w:p>
        </w:tc>
      </w:tr>
    </w:tbl>
    <w:p w14:paraId="4861545D" w14:textId="77777777" w:rsidR="005529D2" w:rsidRPr="000377C8" w:rsidRDefault="005529D2" w:rsidP="0037774E">
      <w:pPr>
        <w:autoSpaceDE w:val="0"/>
        <w:autoSpaceDN w:val="0"/>
        <w:adjustRightInd w:val="0"/>
        <w:spacing w:line="360" w:lineRule="auto"/>
        <w:ind w:right="-28"/>
        <w:jc w:val="both"/>
        <w:rPr>
          <w:rFonts w:ascii="Palatino Linotype" w:hAnsi="Palatino Linotype" w:cs="Tahoma"/>
          <w:sz w:val="24"/>
          <w:szCs w:val="24"/>
        </w:rPr>
      </w:pPr>
    </w:p>
    <w:p w14:paraId="58EE54D1" w14:textId="77777777" w:rsidR="005529D2" w:rsidRPr="000377C8" w:rsidRDefault="005529D2" w:rsidP="0037774E">
      <w:pPr>
        <w:pStyle w:val="Prrafodelista"/>
        <w:numPr>
          <w:ilvl w:val="0"/>
          <w:numId w:val="49"/>
        </w:numPr>
        <w:autoSpaceDE w:val="0"/>
        <w:autoSpaceDN w:val="0"/>
        <w:adjustRightInd w:val="0"/>
        <w:spacing w:line="360" w:lineRule="auto"/>
        <w:jc w:val="both"/>
        <w:rPr>
          <w:rFonts w:ascii="Palatino Linotype" w:eastAsia="Calibri" w:hAnsi="Palatino Linotype" w:cs="Tahoma"/>
          <w:bCs/>
          <w:i/>
          <w:sz w:val="24"/>
          <w:lang w:eastAsia="en-US"/>
        </w:rPr>
      </w:pPr>
      <w:r w:rsidRPr="000377C8">
        <w:rPr>
          <w:rFonts w:ascii="Palatino Linotype" w:hAnsi="Palatino Linotype" w:cs="Tahoma"/>
          <w:sz w:val="24"/>
        </w:rPr>
        <w:lastRenderedPageBreak/>
        <w:t xml:space="preserve">El Sujeto Obligado adjuntó la digitalización del oficio </w:t>
      </w:r>
      <w:r w:rsidRPr="000377C8">
        <w:rPr>
          <w:rFonts w:ascii="Palatino Linotype" w:eastAsia="SimSun" w:hAnsi="Palatino Linotype" w:cs="Arial"/>
          <w:color w:val="000000"/>
          <w:szCs w:val="22"/>
          <w:lang w:val="es-ES" w:eastAsia="es-MX"/>
        </w:rPr>
        <w:t>CJ/397/2021</w:t>
      </w:r>
      <w:r w:rsidRPr="000377C8">
        <w:rPr>
          <w:rFonts w:ascii="Palatino Linotype" w:hAnsi="Palatino Linotype"/>
          <w:sz w:val="24"/>
        </w:rPr>
        <w:t>, a través de los cuales esencialmente señala “…</w:t>
      </w:r>
      <w:r w:rsidRPr="000377C8">
        <w:rPr>
          <w:rFonts w:ascii="Palatino Linotype" w:hAnsi="Palatino Linotype"/>
          <w:i/>
          <w:sz w:val="24"/>
        </w:rPr>
        <w:t>La información solicitada se encuentra clasificada como reservada en razón de lo expuesto, hasta en tanto no haya emitido Resolución en el Juicio Especial Laboral Expediente SAE/310/2017</w:t>
      </w:r>
      <w:r w:rsidRPr="000377C8">
        <w:rPr>
          <w:rFonts w:ascii="Palatino Linotype" w:eastAsia="Calibri" w:hAnsi="Palatino Linotype" w:cs="Tahoma"/>
          <w:bCs/>
          <w:i/>
          <w:sz w:val="24"/>
          <w:lang w:eastAsia="en-US"/>
        </w:rPr>
        <w:t xml:space="preserve">” </w:t>
      </w:r>
    </w:p>
    <w:p w14:paraId="6CA81ECE" w14:textId="77777777" w:rsidR="005529D2" w:rsidRPr="000377C8" w:rsidRDefault="005529D2" w:rsidP="0037774E">
      <w:pPr>
        <w:spacing w:line="360" w:lineRule="auto"/>
        <w:contextualSpacing/>
        <w:jc w:val="both"/>
        <w:rPr>
          <w:rFonts w:ascii="Palatino Linotype" w:eastAsia="Calibri" w:hAnsi="Palatino Linotype" w:cs="Arial"/>
          <w:sz w:val="24"/>
          <w:szCs w:val="24"/>
          <w:lang w:val="es-ES"/>
        </w:rPr>
      </w:pPr>
    </w:p>
    <w:p w14:paraId="776E6E16" w14:textId="7125A430" w:rsidR="00AF0255" w:rsidRPr="000377C8" w:rsidRDefault="00151D03" w:rsidP="0037774E">
      <w:pPr>
        <w:numPr>
          <w:ilvl w:val="0"/>
          <w:numId w:val="30"/>
        </w:numPr>
        <w:spacing w:line="360" w:lineRule="auto"/>
        <w:ind w:left="0" w:firstLine="0"/>
        <w:contextualSpacing/>
        <w:jc w:val="both"/>
        <w:rPr>
          <w:rFonts w:ascii="Palatino Linotype" w:eastAsia="Calibri" w:hAnsi="Palatino Linotype" w:cs="Arial"/>
          <w:sz w:val="24"/>
          <w:szCs w:val="24"/>
          <w:lang w:val="es-ES"/>
        </w:rPr>
      </w:pPr>
      <w:r w:rsidRPr="000377C8">
        <w:rPr>
          <w:rFonts w:ascii="Palatino Linotype" w:hAnsi="Palatino Linotype" w:cs="Tahoma"/>
          <w:sz w:val="24"/>
          <w:szCs w:val="24"/>
        </w:rPr>
        <w:t xml:space="preserve">El </w:t>
      </w:r>
      <w:r w:rsidR="00AF0255" w:rsidRPr="000377C8">
        <w:rPr>
          <w:rFonts w:ascii="Palatino Linotype" w:hAnsi="Palatino Linotype" w:cs="Tahoma"/>
          <w:sz w:val="24"/>
          <w:szCs w:val="24"/>
        </w:rPr>
        <w:t xml:space="preserve"> </w:t>
      </w:r>
      <w:r w:rsidR="00530980" w:rsidRPr="000377C8">
        <w:rPr>
          <w:rFonts w:ascii="Palatino Linotype" w:hAnsi="Palatino Linotype" w:cs="Tahoma"/>
          <w:sz w:val="24"/>
          <w:szCs w:val="24"/>
        </w:rPr>
        <w:t>veinti</w:t>
      </w:r>
      <w:r w:rsidR="00461C8C" w:rsidRPr="000377C8">
        <w:rPr>
          <w:rFonts w:ascii="Palatino Linotype" w:hAnsi="Palatino Linotype" w:cs="Tahoma"/>
          <w:sz w:val="24"/>
          <w:szCs w:val="24"/>
        </w:rPr>
        <w:t xml:space="preserve">dós </w:t>
      </w:r>
      <w:r w:rsidRPr="000377C8">
        <w:rPr>
          <w:rFonts w:ascii="Palatino Linotype" w:hAnsi="Palatino Linotype" w:cs="Tahoma"/>
          <w:sz w:val="24"/>
          <w:szCs w:val="24"/>
        </w:rPr>
        <w:t xml:space="preserve">(22) </w:t>
      </w:r>
      <w:r w:rsidR="00967ABF" w:rsidRPr="000377C8">
        <w:rPr>
          <w:rFonts w:ascii="Palatino Linotype" w:hAnsi="Palatino Linotype" w:cs="Tahoma"/>
          <w:sz w:val="24"/>
          <w:szCs w:val="24"/>
        </w:rPr>
        <w:t xml:space="preserve">de </w:t>
      </w:r>
      <w:r w:rsidR="00461C8C" w:rsidRPr="000377C8">
        <w:rPr>
          <w:rFonts w:ascii="Palatino Linotype" w:hAnsi="Palatino Linotype" w:cs="Tahoma"/>
          <w:sz w:val="24"/>
          <w:szCs w:val="24"/>
        </w:rPr>
        <w:t>junio</w:t>
      </w:r>
      <w:r w:rsidR="00553B5F" w:rsidRPr="000377C8">
        <w:rPr>
          <w:rFonts w:ascii="Palatino Linotype" w:hAnsi="Palatino Linotype" w:cs="Tahoma"/>
          <w:sz w:val="24"/>
          <w:szCs w:val="24"/>
        </w:rPr>
        <w:t xml:space="preserve"> </w:t>
      </w:r>
      <w:r w:rsidR="00E874C9" w:rsidRPr="000377C8">
        <w:rPr>
          <w:rFonts w:ascii="Palatino Linotype" w:hAnsi="Palatino Linotype" w:cs="Tahoma"/>
          <w:sz w:val="24"/>
          <w:szCs w:val="24"/>
        </w:rPr>
        <w:t>de dos mil veint</w:t>
      </w:r>
      <w:r w:rsidR="00553B5F" w:rsidRPr="000377C8">
        <w:rPr>
          <w:rFonts w:ascii="Palatino Linotype" w:hAnsi="Palatino Linotype" w:cs="Tahoma"/>
          <w:sz w:val="24"/>
          <w:szCs w:val="24"/>
        </w:rPr>
        <w:t>iuno</w:t>
      </w:r>
      <w:r w:rsidR="00AF0255" w:rsidRPr="000377C8">
        <w:rPr>
          <w:rFonts w:ascii="Palatino Linotype" w:hAnsi="Palatino Linotype" w:cs="Tahoma"/>
          <w:sz w:val="24"/>
          <w:szCs w:val="24"/>
        </w:rPr>
        <w:t xml:space="preserve">, el Particular interpuso Recurso de Revisión en este Instituto, a través del </w:t>
      </w:r>
      <w:r w:rsidR="00AF0255" w:rsidRPr="000377C8">
        <w:rPr>
          <w:rFonts w:ascii="Palatino Linotype" w:hAnsi="Palatino Linotype" w:cs="Tahoma"/>
          <w:sz w:val="24"/>
          <w:szCs w:val="24"/>
          <w:lang w:val="es-ES"/>
        </w:rPr>
        <w:t xml:space="preserve">Sistema de Acceso a la Información Mexiquense (SAIMEX), en </w:t>
      </w:r>
      <w:r w:rsidR="00AF0255" w:rsidRPr="000377C8">
        <w:rPr>
          <w:rFonts w:ascii="Palatino Linotype" w:hAnsi="Palatino Linotype" w:cs="Tahoma"/>
          <w:sz w:val="24"/>
          <w:szCs w:val="24"/>
        </w:rPr>
        <w:t xml:space="preserve">contra de la respuesta del Sujeto Obligado; </w:t>
      </w:r>
      <w:r w:rsidR="00AF0255" w:rsidRPr="000377C8">
        <w:rPr>
          <w:rFonts w:ascii="Palatino Linotype" w:hAnsi="Palatino Linotype" w:cs="Tahoma"/>
          <w:bCs/>
          <w:sz w:val="24"/>
          <w:szCs w:val="24"/>
          <w:lang w:val="es-ES"/>
        </w:rPr>
        <w:t>en donde se agravió de lo siguiente</w:t>
      </w:r>
      <w:r w:rsidR="00AF0255" w:rsidRPr="000377C8">
        <w:rPr>
          <w:rFonts w:ascii="Palatino Linotype" w:hAnsi="Palatino Linotype" w:cs="Tahoma"/>
          <w:b/>
          <w:bCs/>
          <w:sz w:val="24"/>
          <w:szCs w:val="24"/>
          <w:lang w:val="es-ES"/>
        </w:rPr>
        <w:t>:</w:t>
      </w:r>
    </w:p>
    <w:p w14:paraId="598D2422" w14:textId="77777777" w:rsidR="00E874C9" w:rsidRPr="000377C8" w:rsidRDefault="00E874C9" w:rsidP="0037774E">
      <w:pPr>
        <w:widowControl w:val="0"/>
        <w:spacing w:line="360" w:lineRule="auto"/>
        <w:jc w:val="both"/>
        <w:rPr>
          <w:rFonts w:ascii="Palatino Linotype" w:hAnsi="Palatino Linotype" w:cs="Tahoma"/>
          <w:sz w:val="24"/>
          <w:szCs w:val="24"/>
        </w:rPr>
      </w:pPr>
    </w:p>
    <w:p w14:paraId="38B9BAC7" w14:textId="39C5D172" w:rsidR="00AF0255" w:rsidRPr="000377C8" w:rsidRDefault="00AF0255" w:rsidP="0037774E">
      <w:pPr>
        <w:tabs>
          <w:tab w:val="left" w:pos="4667"/>
        </w:tabs>
        <w:spacing w:line="360" w:lineRule="auto"/>
        <w:ind w:left="567" w:right="567"/>
        <w:jc w:val="both"/>
        <w:rPr>
          <w:rFonts w:ascii="Palatino Linotype" w:hAnsi="Palatino Linotype" w:cs="Tahoma"/>
          <w:b/>
          <w:bCs/>
          <w:sz w:val="22"/>
          <w:szCs w:val="22"/>
        </w:rPr>
      </w:pPr>
      <w:r w:rsidRPr="000377C8">
        <w:rPr>
          <w:rFonts w:ascii="Palatino Linotype" w:hAnsi="Palatino Linotype" w:cs="Tahoma"/>
          <w:b/>
          <w:bCs/>
          <w:sz w:val="22"/>
          <w:szCs w:val="22"/>
        </w:rPr>
        <w:t>ACTO IMPUGNADO</w:t>
      </w:r>
      <w:r w:rsidR="00151D03" w:rsidRPr="000377C8">
        <w:rPr>
          <w:rFonts w:ascii="Palatino Linotype" w:hAnsi="Palatino Linotype" w:cs="Tahoma"/>
          <w:b/>
          <w:bCs/>
          <w:sz w:val="22"/>
          <w:szCs w:val="22"/>
        </w:rPr>
        <w:t>:</w:t>
      </w:r>
    </w:p>
    <w:p w14:paraId="483F4074" w14:textId="6768E449" w:rsidR="00AF0255" w:rsidRPr="000377C8" w:rsidRDefault="00151D03" w:rsidP="0037774E">
      <w:pPr>
        <w:spacing w:line="360" w:lineRule="auto"/>
        <w:ind w:left="567" w:right="539"/>
        <w:jc w:val="both"/>
        <w:rPr>
          <w:rFonts w:ascii="Palatino Linotype" w:hAnsi="Palatino Linotype"/>
          <w:sz w:val="22"/>
          <w:szCs w:val="22"/>
          <w:lang w:eastAsia="es-MX"/>
        </w:rPr>
      </w:pPr>
      <w:r w:rsidRPr="000377C8">
        <w:rPr>
          <w:rFonts w:ascii="Palatino Linotype" w:hAnsi="Palatino Linotype"/>
          <w:i/>
          <w:color w:val="000000"/>
          <w:sz w:val="22"/>
          <w:szCs w:val="22"/>
        </w:rPr>
        <w:t>“</w:t>
      </w:r>
      <w:r w:rsidR="00600698" w:rsidRPr="000377C8">
        <w:rPr>
          <w:rFonts w:ascii="Palatino Linotype" w:hAnsi="Palatino Linotype"/>
          <w:i/>
          <w:color w:val="000000"/>
          <w:sz w:val="22"/>
          <w:szCs w:val="22"/>
        </w:rPr>
        <w:t>La falta de fundamentación y motivación idónea, respecto de la respuesta que emite el titular de la unidad jurídica, en razón de que en el expediente SAE/310/2017, existe resolución pendiente por ejecutar; y no infringe ni obstaculiza el desarrollo del procedimiento natural de origen, sino por el contrario retarda la impartición de justicia consagrada en el artículo 17 constitucional, máxime que el cumplimiento de las resoluciones de un Tribunal son de orden público y la sociedad tiene interese legitimo en su cumplimiento, amen de que con una negativa de acatamiento de mandato jurisdiccional conlleva un daño al erario publico a la dependencia que dignamente representan en razón de la cláusula convencional pactada en el acta homologada a sentencia ejecutoriada.</w:t>
      </w:r>
      <w:r w:rsidR="009E12D2" w:rsidRPr="000377C8">
        <w:rPr>
          <w:rFonts w:ascii="Palatino Linotype" w:hAnsi="Palatino Linotype" w:cs="Tahoma"/>
          <w:bCs/>
          <w:i/>
          <w:sz w:val="22"/>
          <w:szCs w:val="22"/>
        </w:rPr>
        <w:t xml:space="preserve">” </w:t>
      </w:r>
      <w:r w:rsidR="00553B5F" w:rsidRPr="000377C8">
        <w:rPr>
          <w:rFonts w:ascii="Palatino Linotype" w:hAnsi="Palatino Linotype" w:cs="Tahoma"/>
          <w:bCs/>
          <w:i/>
          <w:sz w:val="22"/>
          <w:szCs w:val="22"/>
        </w:rPr>
        <w:t>(Sic.)</w:t>
      </w:r>
    </w:p>
    <w:p w14:paraId="3D988C04" w14:textId="77777777" w:rsidR="00AF0255" w:rsidRPr="000377C8" w:rsidRDefault="00AF0255" w:rsidP="0037774E">
      <w:pPr>
        <w:tabs>
          <w:tab w:val="left" w:pos="4667"/>
        </w:tabs>
        <w:spacing w:line="360" w:lineRule="auto"/>
        <w:ind w:left="567" w:right="567"/>
        <w:jc w:val="both"/>
        <w:rPr>
          <w:rFonts w:ascii="Palatino Linotype" w:hAnsi="Palatino Linotype" w:cs="Tahoma"/>
          <w:bCs/>
          <w:i/>
          <w:sz w:val="22"/>
          <w:szCs w:val="22"/>
        </w:rPr>
      </w:pPr>
    </w:p>
    <w:p w14:paraId="7281A868" w14:textId="2AD56650" w:rsidR="005B52AC" w:rsidRPr="000377C8" w:rsidRDefault="00CA7940" w:rsidP="0037774E">
      <w:pPr>
        <w:tabs>
          <w:tab w:val="left" w:pos="4667"/>
        </w:tabs>
        <w:spacing w:line="360" w:lineRule="auto"/>
        <w:ind w:left="567" w:right="567"/>
        <w:jc w:val="both"/>
        <w:rPr>
          <w:rFonts w:ascii="Palatino Linotype" w:hAnsi="Palatino Linotype" w:cs="Tahoma"/>
          <w:b/>
          <w:bCs/>
          <w:sz w:val="22"/>
          <w:szCs w:val="22"/>
        </w:rPr>
      </w:pPr>
      <w:r w:rsidRPr="000377C8">
        <w:rPr>
          <w:rFonts w:ascii="Palatino Linotype" w:hAnsi="Palatino Linotype" w:cs="Tahoma"/>
          <w:b/>
          <w:bCs/>
          <w:i/>
          <w:sz w:val="22"/>
          <w:szCs w:val="22"/>
        </w:rPr>
        <w:t xml:space="preserve"> </w:t>
      </w:r>
      <w:r w:rsidR="00AF0255" w:rsidRPr="000377C8">
        <w:rPr>
          <w:rFonts w:ascii="Palatino Linotype" w:hAnsi="Palatino Linotype" w:cs="Tahoma"/>
          <w:b/>
          <w:bCs/>
          <w:sz w:val="22"/>
          <w:szCs w:val="22"/>
        </w:rPr>
        <w:t>RAZONES O MOTIVOS DE LA INCONFORMIDAD</w:t>
      </w:r>
      <w:r w:rsidR="005B52AC" w:rsidRPr="000377C8">
        <w:rPr>
          <w:rFonts w:ascii="Palatino Linotype" w:hAnsi="Palatino Linotype" w:cs="Tahoma"/>
          <w:b/>
          <w:bCs/>
          <w:sz w:val="22"/>
          <w:szCs w:val="22"/>
        </w:rPr>
        <w:t>:</w:t>
      </w:r>
    </w:p>
    <w:p w14:paraId="5C37B88C" w14:textId="505C9FBA" w:rsidR="00AF0255" w:rsidRPr="000377C8" w:rsidRDefault="00151D03" w:rsidP="0037774E">
      <w:pPr>
        <w:spacing w:line="360" w:lineRule="auto"/>
        <w:ind w:left="567" w:right="539"/>
        <w:jc w:val="both"/>
        <w:rPr>
          <w:rFonts w:ascii="Palatino Linotype" w:hAnsi="Palatino Linotype"/>
          <w:i/>
          <w:color w:val="000000"/>
          <w:sz w:val="22"/>
          <w:szCs w:val="22"/>
        </w:rPr>
      </w:pPr>
      <w:r w:rsidRPr="000377C8">
        <w:rPr>
          <w:rFonts w:ascii="Palatino Linotype" w:hAnsi="Palatino Linotype"/>
          <w:i/>
          <w:color w:val="000000"/>
          <w:sz w:val="22"/>
          <w:szCs w:val="22"/>
        </w:rPr>
        <w:t>“</w:t>
      </w:r>
      <w:r w:rsidR="00600698" w:rsidRPr="000377C8">
        <w:rPr>
          <w:rFonts w:ascii="Palatino Linotype" w:hAnsi="Palatino Linotype"/>
          <w:i/>
          <w:color w:val="000000"/>
          <w:sz w:val="22"/>
          <w:szCs w:val="22"/>
        </w:rPr>
        <w:t xml:space="preserve">La falta de fundamentación y motivación idónea, respecto de la respuesta que emite el titular de la unidad jurídica, en razón de que en el expediente SAE/310/2017, existe resolución pendiente por ejecutar; y no infringe ni obstaculiza el desarrollo del </w:t>
      </w:r>
      <w:r w:rsidR="00600698" w:rsidRPr="000377C8">
        <w:rPr>
          <w:rFonts w:ascii="Palatino Linotype" w:hAnsi="Palatino Linotype"/>
          <w:i/>
          <w:color w:val="000000"/>
          <w:sz w:val="22"/>
          <w:szCs w:val="22"/>
        </w:rPr>
        <w:lastRenderedPageBreak/>
        <w:t>procedimiento natural de origen, sino por el contrario retarda la impartición de justicia consagrada en el artículo 17 constitucional, máxime que el cumplimiento de las resoluciones de un Tribunal son de orden público y la sociedad tiene interese legitimo en su cumplimiento, amen de que con una negativa de acatamiento de mandato jurisdiccional conlleva un daño al erario publico a la dependencia que dignamente representan en razón de la cláusula convencional pactada en el acta homologada a sentencia ejecutoriada.</w:t>
      </w:r>
      <w:r w:rsidR="00AF0255" w:rsidRPr="000377C8">
        <w:rPr>
          <w:rFonts w:ascii="Palatino Linotype" w:hAnsi="Palatino Linotype" w:cs="Tahoma"/>
          <w:i/>
          <w:sz w:val="22"/>
          <w:szCs w:val="22"/>
        </w:rPr>
        <w:t>”</w:t>
      </w:r>
      <w:r w:rsidR="00A578A1" w:rsidRPr="000377C8">
        <w:rPr>
          <w:rFonts w:ascii="Palatino Linotype" w:hAnsi="Palatino Linotype" w:cs="Tahoma"/>
          <w:i/>
          <w:sz w:val="22"/>
          <w:szCs w:val="22"/>
        </w:rPr>
        <w:t xml:space="preserve"> (Sic.)</w:t>
      </w:r>
      <w:r w:rsidR="00AF0255" w:rsidRPr="000377C8">
        <w:rPr>
          <w:rFonts w:ascii="Palatino Linotype" w:hAnsi="Palatino Linotype" w:cs="Tahoma"/>
          <w:i/>
          <w:sz w:val="22"/>
          <w:szCs w:val="22"/>
        </w:rPr>
        <w:t xml:space="preserve"> </w:t>
      </w:r>
    </w:p>
    <w:p w14:paraId="15EC485A" w14:textId="77777777" w:rsidR="00630438" w:rsidRPr="000377C8" w:rsidRDefault="00630438" w:rsidP="0037774E">
      <w:pPr>
        <w:spacing w:line="360" w:lineRule="auto"/>
        <w:jc w:val="both"/>
        <w:rPr>
          <w:rFonts w:ascii="Palatino Linotype" w:eastAsia="Batang" w:hAnsi="Palatino Linotype" w:cs="Tahoma"/>
          <w:b/>
          <w:bCs/>
          <w:sz w:val="24"/>
          <w:szCs w:val="24"/>
        </w:rPr>
      </w:pPr>
    </w:p>
    <w:p w14:paraId="05F0DB30" w14:textId="571AA89D" w:rsidR="00151D03" w:rsidRPr="000377C8" w:rsidRDefault="00151D03" w:rsidP="0037774E">
      <w:pPr>
        <w:numPr>
          <w:ilvl w:val="0"/>
          <w:numId w:val="30"/>
        </w:numPr>
        <w:spacing w:line="360" w:lineRule="auto"/>
        <w:ind w:left="0" w:firstLine="0"/>
        <w:contextualSpacing/>
        <w:jc w:val="both"/>
        <w:rPr>
          <w:rFonts w:ascii="Palatino Linotype" w:eastAsiaTheme="minorEastAsia" w:hAnsi="Palatino Linotype"/>
          <w:i/>
          <w:sz w:val="24"/>
          <w:szCs w:val="24"/>
          <w:lang w:val="es-ES_tradnl"/>
        </w:rPr>
      </w:pPr>
      <w:r w:rsidRPr="000377C8">
        <w:rPr>
          <w:rFonts w:ascii="Palatino Linotype" w:hAnsi="Palatino Linotype" w:cs="Arial"/>
          <w:sz w:val="24"/>
          <w:szCs w:val="24"/>
          <w:lang w:val="es-ES"/>
        </w:rPr>
        <w:t xml:space="preserve">Se registró el recurso de revisión bajo el número de expediente </w:t>
      </w:r>
      <w:r w:rsidRPr="000377C8">
        <w:rPr>
          <w:rFonts w:ascii="Palatino Linotype" w:eastAsiaTheme="minorEastAsia" w:hAnsi="Palatino Linotype" w:cs="Arial"/>
          <w:bCs/>
          <w:sz w:val="24"/>
          <w:szCs w:val="24"/>
          <w:lang w:val="es-ES_tradnl"/>
        </w:rPr>
        <w:t xml:space="preserve">al rubro indicado, asimismo con fundamento en lo dispuesto por el </w:t>
      </w:r>
      <w:r w:rsidRPr="000377C8">
        <w:rPr>
          <w:rFonts w:ascii="Palatino Linotype" w:eastAsia="Calibri" w:hAnsi="Palatino Linotype" w:cs="Arial"/>
          <w:sz w:val="24"/>
          <w:szCs w:val="24"/>
          <w:lang w:val="es-ES"/>
        </w:rPr>
        <w:t xml:space="preserve">artículo 185 fracción I de la </w:t>
      </w:r>
      <w:r w:rsidRPr="000377C8">
        <w:rPr>
          <w:rFonts w:ascii="Palatino Linotype" w:eastAsia="Calibri" w:hAnsi="Palatino Linotype" w:cs="Arial"/>
          <w:b/>
          <w:sz w:val="24"/>
          <w:szCs w:val="24"/>
          <w:lang w:val="es-ES"/>
        </w:rPr>
        <w:t xml:space="preserve">Ley de Transparencia y Acceso a la Información Pública del Estado de México y Municipios </w:t>
      </w:r>
      <w:r w:rsidRPr="000377C8">
        <w:rPr>
          <w:rFonts w:ascii="Palatino Linotype" w:hAnsi="Palatino Linotype" w:cs="Arial"/>
          <w:sz w:val="24"/>
          <w:szCs w:val="24"/>
          <w:lang w:val="es-ES"/>
        </w:rPr>
        <w:t xml:space="preserve">se turnó al </w:t>
      </w:r>
      <w:r w:rsidR="007E0F41">
        <w:rPr>
          <w:rFonts w:ascii="Palatino Linotype" w:hAnsi="Palatino Linotype" w:cs="Arial"/>
          <w:sz w:val="24"/>
          <w:szCs w:val="24"/>
          <w:lang w:val="es-ES"/>
        </w:rPr>
        <w:t xml:space="preserve">entonces </w:t>
      </w:r>
      <w:r w:rsidRPr="000377C8">
        <w:rPr>
          <w:rFonts w:ascii="Palatino Linotype" w:hAnsi="Palatino Linotype" w:cs="Arial"/>
          <w:b/>
          <w:sz w:val="24"/>
          <w:szCs w:val="24"/>
          <w:lang w:val="es-ES"/>
        </w:rPr>
        <w:t xml:space="preserve">Comisionado Luis Gustavo Parra Noriega, </w:t>
      </w:r>
      <w:r w:rsidRPr="000377C8">
        <w:rPr>
          <w:rFonts w:ascii="Palatino Linotype" w:hAnsi="Palatino Linotype" w:cs="Arial"/>
          <w:sz w:val="24"/>
          <w:szCs w:val="24"/>
          <w:lang w:val="es-ES"/>
        </w:rPr>
        <w:t xml:space="preserve">con el objeto de </w:t>
      </w:r>
      <w:r w:rsidRPr="000377C8">
        <w:rPr>
          <w:rFonts w:ascii="Palatino Linotype" w:hAnsi="Palatino Linotype" w:cs="Arial"/>
          <w:sz w:val="24"/>
          <w:szCs w:val="24"/>
        </w:rPr>
        <w:t>su análisis.</w:t>
      </w:r>
    </w:p>
    <w:p w14:paraId="04157BDC" w14:textId="6A25AA15" w:rsidR="00151D03" w:rsidRPr="000377C8" w:rsidRDefault="008A2B24" w:rsidP="0037774E">
      <w:pPr>
        <w:tabs>
          <w:tab w:val="left" w:pos="1783"/>
        </w:tabs>
        <w:spacing w:line="360" w:lineRule="auto"/>
        <w:contextualSpacing/>
        <w:rPr>
          <w:rFonts w:ascii="Palatino Linotype" w:eastAsiaTheme="minorEastAsia" w:hAnsi="Palatino Linotype"/>
          <w:i/>
          <w:sz w:val="24"/>
          <w:szCs w:val="24"/>
          <w:lang w:val="es-ES_tradnl"/>
        </w:rPr>
      </w:pPr>
      <w:r w:rsidRPr="000377C8">
        <w:rPr>
          <w:rFonts w:ascii="Palatino Linotype" w:eastAsiaTheme="minorEastAsia" w:hAnsi="Palatino Linotype"/>
          <w:i/>
          <w:sz w:val="24"/>
          <w:szCs w:val="24"/>
          <w:lang w:val="es-ES_tradnl"/>
        </w:rPr>
        <w:tab/>
      </w:r>
    </w:p>
    <w:p w14:paraId="473D5BF9" w14:textId="2922DE05" w:rsidR="00151D03" w:rsidRPr="000377C8" w:rsidRDefault="00151D03" w:rsidP="0037774E">
      <w:pPr>
        <w:numPr>
          <w:ilvl w:val="0"/>
          <w:numId w:val="30"/>
        </w:numPr>
        <w:spacing w:line="360" w:lineRule="auto"/>
        <w:ind w:left="0" w:firstLine="0"/>
        <w:contextualSpacing/>
        <w:jc w:val="both"/>
        <w:rPr>
          <w:rFonts w:ascii="Palatino Linotype" w:eastAsiaTheme="minorEastAsia" w:hAnsi="Palatino Linotype"/>
          <w:i/>
          <w:sz w:val="24"/>
          <w:szCs w:val="24"/>
          <w:lang w:val="es-ES_tradnl"/>
        </w:rPr>
      </w:pPr>
      <w:r w:rsidRPr="000377C8">
        <w:rPr>
          <w:rFonts w:ascii="Palatino Linotype" w:eastAsia="Calibri" w:hAnsi="Palatino Linotype" w:cs="Arial"/>
          <w:sz w:val="24"/>
          <w:szCs w:val="24"/>
          <w:lang w:val="es-ES"/>
        </w:rPr>
        <w:t>El Comisionado Ponente con fundamento en lo dispuesto por el artículo 185 fracción II de la ley de la materia, a través del acuerdo de admisión de fecha veintiocho (28) de</w:t>
      </w:r>
      <w:r w:rsidR="008A2B24" w:rsidRPr="000377C8">
        <w:rPr>
          <w:rFonts w:ascii="Palatino Linotype" w:eastAsia="Calibri" w:hAnsi="Palatino Linotype" w:cs="Arial"/>
          <w:sz w:val="24"/>
          <w:szCs w:val="24"/>
          <w:lang w:val="es-ES"/>
        </w:rPr>
        <w:t xml:space="preserve"> junio de</w:t>
      </w:r>
      <w:r w:rsidRPr="000377C8">
        <w:rPr>
          <w:rFonts w:ascii="Palatino Linotype" w:eastAsia="Calibri" w:hAnsi="Palatino Linotype" w:cs="Arial"/>
          <w:sz w:val="24"/>
          <w:szCs w:val="24"/>
          <w:lang w:val="es-ES"/>
        </w:rPr>
        <w:t xml:space="preserve"> dos mil veintiuno, puso a disposición de las partes el expediente electrónico </w:t>
      </w:r>
      <w:r w:rsidRPr="000377C8">
        <w:rPr>
          <w:rFonts w:ascii="Palatino Linotype" w:eastAsia="Calibri" w:hAnsi="Palatino Linotype" w:cs="Arial"/>
          <w:sz w:val="24"/>
          <w:szCs w:val="24"/>
          <w:lang w:val="es-ES_tradnl"/>
        </w:rPr>
        <w:t xml:space="preserve">vía </w:t>
      </w:r>
      <w:r w:rsidRPr="000377C8">
        <w:rPr>
          <w:rFonts w:ascii="Palatino Linotype" w:eastAsia="Calibri" w:hAnsi="Palatino Linotype" w:cs="Arial"/>
          <w:sz w:val="24"/>
          <w:szCs w:val="24"/>
          <w:lang w:val="es-ES"/>
        </w:rPr>
        <w:t xml:space="preserve">Sistema de Acceso a la Información Mexiquense </w:t>
      </w:r>
      <w:r w:rsidRPr="000377C8">
        <w:rPr>
          <w:rFonts w:ascii="Palatino Linotype" w:eastAsia="Calibri" w:hAnsi="Palatino Linotype" w:cs="Arial"/>
          <w:b/>
          <w:sz w:val="24"/>
          <w:szCs w:val="24"/>
          <w:lang w:val="es-ES"/>
        </w:rPr>
        <w:t xml:space="preserve">SAIMEX </w:t>
      </w:r>
      <w:r w:rsidRPr="000377C8">
        <w:rPr>
          <w:rFonts w:ascii="Palatino Linotype" w:eastAsia="Calibri" w:hAnsi="Palatino Linotype" w:cs="Arial"/>
          <w:sz w:val="24"/>
          <w:szCs w:val="24"/>
          <w:lang w:val="es-ES"/>
        </w:rPr>
        <w:t xml:space="preserve">a efecto de que en un plazo máximo de siete días manifestaran lo que a derecho convinieran, ofrecieran pruebas y alegatos según corresponda al caso concreto, de esta forma para que el </w:t>
      </w:r>
      <w:r w:rsidRPr="000377C8">
        <w:rPr>
          <w:rFonts w:ascii="Palatino Linotype" w:eastAsia="Calibri" w:hAnsi="Palatino Linotype" w:cs="Arial"/>
          <w:b/>
          <w:sz w:val="24"/>
          <w:szCs w:val="24"/>
          <w:lang w:val="es-ES"/>
        </w:rPr>
        <w:t>SUJETO OBLIGADO</w:t>
      </w:r>
      <w:r w:rsidRPr="000377C8">
        <w:rPr>
          <w:rFonts w:ascii="Palatino Linotype" w:eastAsia="Calibri" w:hAnsi="Palatino Linotype" w:cs="Arial"/>
          <w:sz w:val="24"/>
          <w:szCs w:val="24"/>
          <w:lang w:val="es-ES"/>
        </w:rPr>
        <w:t xml:space="preserve"> presentará el Informe Justificado procedente. Cabe señalar, que las partes fueron omisas en realizar manifestaciones o alegatos.</w:t>
      </w:r>
    </w:p>
    <w:p w14:paraId="3093FC44" w14:textId="77777777" w:rsidR="0037774E" w:rsidRPr="000377C8" w:rsidRDefault="0037774E" w:rsidP="0037774E">
      <w:pPr>
        <w:spacing w:line="360" w:lineRule="auto"/>
        <w:contextualSpacing/>
        <w:jc w:val="both"/>
        <w:rPr>
          <w:rFonts w:ascii="Palatino Linotype" w:eastAsiaTheme="minorEastAsia" w:hAnsi="Palatino Linotype"/>
          <w:i/>
          <w:sz w:val="24"/>
          <w:szCs w:val="24"/>
          <w:lang w:val="es-ES_tradnl"/>
        </w:rPr>
      </w:pPr>
    </w:p>
    <w:p w14:paraId="2D08F53E" w14:textId="1986338A" w:rsidR="00E516F1" w:rsidRPr="000377C8" w:rsidRDefault="00151D03" w:rsidP="0037774E">
      <w:pPr>
        <w:pStyle w:val="Prrafodelista"/>
        <w:numPr>
          <w:ilvl w:val="0"/>
          <w:numId w:val="30"/>
        </w:numPr>
        <w:spacing w:line="360" w:lineRule="auto"/>
        <w:ind w:left="0" w:firstLine="0"/>
        <w:jc w:val="both"/>
        <w:rPr>
          <w:rFonts w:ascii="Palatino Linotype" w:eastAsia="Calibri" w:hAnsi="Palatino Linotype" w:cs="Arial"/>
          <w:sz w:val="24"/>
          <w:lang w:val="es-ES"/>
        </w:rPr>
      </w:pPr>
      <w:r w:rsidRPr="000377C8">
        <w:rPr>
          <w:rFonts w:ascii="Palatino Linotype" w:eastAsia="Calibri" w:hAnsi="Palatino Linotype" w:cs="Arial"/>
          <w:sz w:val="24"/>
          <w:lang w:val="es-ES"/>
        </w:rPr>
        <w:t>El trece (13) de julio de dos mil veintiuno, se notificó acuerdo mediante el cual se decretó el cierre del periodo de instrucción.</w:t>
      </w:r>
    </w:p>
    <w:p w14:paraId="76275E87" w14:textId="77777777" w:rsidR="00151D03" w:rsidRPr="000377C8" w:rsidRDefault="00151D03" w:rsidP="0037774E">
      <w:pPr>
        <w:pStyle w:val="Prrafodelista"/>
        <w:spacing w:line="360" w:lineRule="auto"/>
        <w:ind w:left="0"/>
        <w:jc w:val="both"/>
        <w:rPr>
          <w:rFonts w:ascii="Palatino Linotype" w:eastAsia="Calibri" w:hAnsi="Palatino Linotype" w:cs="Arial"/>
          <w:sz w:val="24"/>
          <w:lang w:val="es-ES"/>
        </w:rPr>
      </w:pPr>
    </w:p>
    <w:p w14:paraId="79343D48" w14:textId="6202B92C" w:rsidR="000377C8" w:rsidRPr="000377C8" w:rsidRDefault="000377C8" w:rsidP="000377C8">
      <w:pPr>
        <w:pStyle w:val="Prrafodelista"/>
        <w:numPr>
          <w:ilvl w:val="0"/>
          <w:numId w:val="30"/>
        </w:numPr>
        <w:spacing w:line="360" w:lineRule="auto"/>
        <w:ind w:left="0" w:firstLine="0"/>
        <w:jc w:val="both"/>
        <w:rPr>
          <w:rFonts w:ascii="Palatino Linotype" w:eastAsia="Calibri" w:hAnsi="Palatino Linotype" w:cs="Arial"/>
          <w:sz w:val="24"/>
          <w:lang w:val="es-ES"/>
        </w:rPr>
      </w:pPr>
      <w:r w:rsidRPr="000377C8">
        <w:rPr>
          <w:rFonts w:ascii="Palatino Linotype" w:eastAsia="Calibri" w:hAnsi="Palatino Linotype" w:cs="Arial"/>
          <w:sz w:val="24"/>
          <w:lang w:val="es-ES"/>
        </w:rPr>
        <w:t>El veintitrés (23) de agosto de dos mil veintiuno, en la Segunda Sesión Extraordinaria, celebrada por el Pleno de este Órgano Garante, se aprobó que el recurso de revisión fuera turnado para su estudio a la Ponencia de la Comisionada María del Rosario Mejía Ayala, a fin de que presentara su resolución, misma que ahora se pronuncia.</w:t>
      </w:r>
    </w:p>
    <w:p w14:paraId="22739F6D" w14:textId="60E67882" w:rsidR="000377C8" w:rsidRPr="000377C8" w:rsidRDefault="000377C8" w:rsidP="000377C8">
      <w:pPr>
        <w:pStyle w:val="Prrafodelista"/>
        <w:spacing w:line="360" w:lineRule="auto"/>
        <w:ind w:left="0"/>
        <w:jc w:val="both"/>
        <w:rPr>
          <w:rFonts w:ascii="Palatino Linotype" w:eastAsia="Calibri" w:hAnsi="Palatino Linotype" w:cs="Arial"/>
          <w:sz w:val="24"/>
          <w:lang w:val="es-ES"/>
        </w:rPr>
      </w:pPr>
    </w:p>
    <w:p w14:paraId="4721C8F6" w14:textId="3A77F679" w:rsidR="00151D03" w:rsidRPr="000377C8" w:rsidRDefault="000377C8" w:rsidP="0037774E">
      <w:pPr>
        <w:pStyle w:val="Prrafodelista"/>
        <w:numPr>
          <w:ilvl w:val="0"/>
          <w:numId w:val="30"/>
        </w:numPr>
        <w:spacing w:line="360" w:lineRule="auto"/>
        <w:ind w:left="0" w:firstLine="0"/>
        <w:jc w:val="both"/>
        <w:rPr>
          <w:rFonts w:ascii="Palatino Linotype" w:eastAsia="Calibri" w:hAnsi="Palatino Linotype" w:cs="Arial"/>
          <w:sz w:val="24"/>
          <w:lang w:val="es-ES"/>
        </w:rPr>
      </w:pPr>
      <w:r w:rsidRPr="000377C8">
        <w:rPr>
          <w:rFonts w:ascii="Palatino Linotype" w:eastAsia="Calibri" w:hAnsi="Palatino Linotype" w:cs="Arial"/>
          <w:sz w:val="24"/>
          <w:lang w:val="es-ES"/>
        </w:rPr>
        <w:t>Finalmente, e</w:t>
      </w:r>
      <w:r w:rsidR="005529D2" w:rsidRPr="000377C8">
        <w:rPr>
          <w:rFonts w:ascii="Palatino Linotype" w:eastAsia="Calibri" w:hAnsi="Palatino Linotype" w:cs="Arial"/>
          <w:sz w:val="24"/>
          <w:lang w:val="es-ES"/>
        </w:rPr>
        <w:t>l veintiséis (26) de agosto de dos mil veintiun</w:t>
      </w:r>
      <w:r w:rsidR="005B52AC" w:rsidRPr="000377C8">
        <w:rPr>
          <w:rFonts w:ascii="Palatino Linotype" w:eastAsia="Calibri" w:hAnsi="Palatino Linotype" w:cs="Arial"/>
          <w:sz w:val="24"/>
          <w:lang w:val="es-ES"/>
        </w:rPr>
        <w:t xml:space="preserve">o, se notificó mediante acuerdo, </w:t>
      </w:r>
      <w:r w:rsidR="005529D2" w:rsidRPr="000377C8">
        <w:rPr>
          <w:rFonts w:ascii="Palatino Linotype" w:eastAsia="Calibri" w:hAnsi="Palatino Linotype" w:cs="Arial"/>
          <w:sz w:val="24"/>
          <w:lang w:val="es-ES"/>
        </w:rPr>
        <w:t>que el plazo para resolver el recurso de revisión, se ampliaría por un periodo de quince días</w:t>
      </w:r>
      <w:r w:rsidR="005B52AC" w:rsidRPr="000377C8">
        <w:rPr>
          <w:rFonts w:ascii="Palatino Linotype" w:eastAsia="Calibri" w:hAnsi="Palatino Linotype" w:cs="Arial"/>
          <w:sz w:val="24"/>
          <w:lang w:val="es-ES"/>
        </w:rPr>
        <w:t xml:space="preserve"> hábiles</w:t>
      </w:r>
      <w:r w:rsidR="005529D2" w:rsidRPr="000377C8">
        <w:rPr>
          <w:rFonts w:ascii="Palatino Linotype" w:eastAsia="Calibri" w:hAnsi="Palatino Linotype" w:cs="Arial"/>
          <w:sz w:val="24"/>
          <w:lang w:val="es-ES"/>
        </w:rPr>
        <w:t>.</w:t>
      </w:r>
    </w:p>
    <w:p w14:paraId="440BA35C" w14:textId="77777777" w:rsidR="002A30C5" w:rsidRPr="000377C8" w:rsidRDefault="002A30C5" w:rsidP="000377C8">
      <w:pPr>
        <w:pStyle w:val="Prrafodelista"/>
        <w:spacing w:line="360" w:lineRule="auto"/>
        <w:ind w:left="0"/>
        <w:jc w:val="both"/>
        <w:rPr>
          <w:rFonts w:ascii="Palatino Linotype" w:eastAsia="Calibri" w:hAnsi="Palatino Linotype" w:cs="Arial"/>
          <w:sz w:val="24"/>
          <w:lang w:val="es-ES"/>
        </w:rPr>
      </w:pPr>
    </w:p>
    <w:p w14:paraId="45009A28" w14:textId="673053CC" w:rsidR="00630438" w:rsidRPr="000377C8" w:rsidRDefault="001036BF" w:rsidP="0037774E">
      <w:pPr>
        <w:spacing w:line="360" w:lineRule="auto"/>
        <w:jc w:val="center"/>
        <w:rPr>
          <w:rFonts w:ascii="Palatino Linotype" w:hAnsi="Palatino Linotype" w:cs="Tahoma"/>
          <w:b/>
          <w:sz w:val="24"/>
          <w:szCs w:val="24"/>
          <w:lang w:val="es-ES"/>
        </w:rPr>
      </w:pPr>
      <w:r w:rsidRPr="000377C8">
        <w:rPr>
          <w:rFonts w:ascii="Palatino Linotype" w:hAnsi="Palatino Linotype" w:cs="Tahoma"/>
          <w:b/>
          <w:sz w:val="24"/>
          <w:szCs w:val="24"/>
          <w:lang w:val="es-ES"/>
        </w:rPr>
        <w:t>CONSIDERANDOS</w:t>
      </w:r>
      <w:r w:rsidR="009171C6" w:rsidRPr="000377C8">
        <w:rPr>
          <w:rFonts w:ascii="Palatino Linotype" w:hAnsi="Palatino Linotype" w:cs="Tahoma"/>
          <w:b/>
          <w:sz w:val="24"/>
          <w:szCs w:val="24"/>
          <w:lang w:val="es-ES"/>
        </w:rPr>
        <w:t>:</w:t>
      </w:r>
    </w:p>
    <w:p w14:paraId="4326CE44" w14:textId="77777777" w:rsidR="00630438" w:rsidRPr="000377C8" w:rsidRDefault="00630438" w:rsidP="0037774E">
      <w:pPr>
        <w:spacing w:line="360" w:lineRule="auto"/>
        <w:rPr>
          <w:rFonts w:ascii="Palatino Linotype" w:hAnsi="Palatino Linotype" w:cs="Tahoma"/>
          <w:b/>
          <w:sz w:val="24"/>
          <w:szCs w:val="24"/>
          <w:lang w:val="es-ES"/>
        </w:rPr>
      </w:pPr>
    </w:p>
    <w:p w14:paraId="5A774F41" w14:textId="77777777" w:rsidR="00B56BD6" w:rsidRPr="000377C8" w:rsidRDefault="00B56BD6" w:rsidP="0037774E">
      <w:pPr>
        <w:autoSpaceDE w:val="0"/>
        <w:autoSpaceDN w:val="0"/>
        <w:adjustRightInd w:val="0"/>
        <w:spacing w:line="360" w:lineRule="auto"/>
        <w:jc w:val="both"/>
        <w:rPr>
          <w:rFonts w:ascii="Palatino Linotype" w:hAnsi="Palatino Linotype" w:cs="Tahoma"/>
          <w:b/>
          <w:sz w:val="24"/>
          <w:szCs w:val="24"/>
          <w:lang w:val="es-ES"/>
        </w:rPr>
      </w:pPr>
      <w:r w:rsidRPr="000377C8">
        <w:rPr>
          <w:rFonts w:ascii="Palatino Linotype" w:eastAsia="Calibri" w:hAnsi="Palatino Linotype" w:cs="Tahoma"/>
          <w:b/>
          <w:color w:val="000000"/>
          <w:sz w:val="24"/>
          <w:szCs w:val="24"/>
          <w:lang w:val="es-ES" w:eastAsia="es-MX"/>
        </w:rPr>
        <w:t>PRIMERO</w:t>
      </w:r>
      <w:r w:rsidRPr="000377C8">
        <w:rPr>
          <w:rFonts w:ascii="Palatino Linotype" w:eastAsia="Calibri" w:hAnsi="Palatino Linotype" w:cs="Tahoma"/>
          <w:color w:val="000000"/>
          <w:sz w:val="24"/>
          <w:szCs w:val="24"/>
          <w:lang w:val="es-ES" w:eastAsia="es-MX"/>
        </w:rPr>
        <w:t xml:space="preserve">. </w:t>
      </w:r>
      <w:r w:rsidRPr="000377C8">
        <w:rPr>
          <w:rFonts w:ascii="Palatino Linotype" w:hAnsi="Palatino Linotype" w:cs="Tahoma"/>
          <w:b/>
          <w:sz w:val="24"/>
          <w:szCs w:val="24"/>
          <w:lang w:val="es-ES"/>
        </w:rPr>
        <w:t>Competencia.</w:t>
      </w:r>
    </w:p>
    <w:p w14:paraId="2E2851CC" w14:textId="77777777" w:rsidR="00B56BD6" w:rsidRPr="000377C8" w:rsidRDefault="00B56BD6" w:rsidP="0037774E">
      <w:pPr>
        <w:autoSpaceDE w:val="0"/>
        <w:autoSpaceDN w:val="0"/>
        <w:adjustRightInd w:val="0"/>
        <w:spacing w:line="360" w:lineRule="auto"/>
        <w:jc w:val="both"/>
        <w:rPr>
          <w:rFonts w:ascii="Palatino Linotype" w:hAnsi="Palatino Linotype" w:cs="Tahoma"/>
          <w:sz w:val="24"/>
          <w:szCs w:val="24"/>
          <w:lang w:val="es-ES"/>
        </w:rPr>
      </w:pPr>
    </w:p>
    <w:p w14:paraId="5BD6C923" w14:textId="4A38B862" w:rsidR="00B56BD6" w:rsidRPr="000377C8" w:rsidRDefault="005529D2" w:rsidP="0037774E">
      <w:pPr>
        <w:spacing w:line="360" w:lineRule="auto"/>
        <w:jc w:val="both"/>
        <w:rPr>
          <w:rFonts w:ascii="Palatino Linotype" w:eastAsia="Batang" w:hAnsi="Palatino Linotype" w:cs="Tahoma"/>
          <w:bCs/>
          <w:sz w:val="24"/>
          <w:szCs w:val="24"/>
        </w:rPr>
      </w:pPr>
      <w:r w:rsidRPr="000377C8">
        <w:rPr>
          <w:rFonts w:ascii="Palatino Linotype" w:eastAsia="Batang" w:hAnsi="Palatino Linotype"/>
          <w:b/>
          <w:sz w:val="24"/>
          <w:szCs w:val="24"/>
        </w:rPr>
        <w:t>11</w:t>
      </w:r>
      <w:r w:rsidRPr="000377C8">
        <w:rPr>
          <w:rFonts w:ascii="Palatino Linotype" w:eastAsia="Batang" w:hAnsi="Palatino Linotype" w:cs="Tahoma"/>
          <w:b/>
          <w:bCs/>
          <w:sz w:val="24"/>
          <w:szCs w:val="24"/>
        </w:rPr>
        <w:t>.</w:t>
      </w:r>
      <w:r w:rsidRPr="000377C8">
        <w:rPr>
          <w:rFonts w:ascii="Palatino Linotype" w:eastAsia="Batang" w:hAnsi="Palatino Linotype" w:cs="Tahoma"/>
          <w:bCs/>
          <w:sz w:val="24"/>
          <w:szCs w:val="24"/>
        </w:rPr>
        <w:t xml:space="preserve"> </w:t>
      </w:r>
      <w:r w:rsidR="00B56BD6" w:rsidRPr="000377C8">
        <w:rPr>
          <w:rFonts w:ascii="Palatino Linotype" w:eastAsia="Batang" w:hAnsi="Palatino Linotype" w:cs="Tahoma"/>
          <w:bCs/>
          <w:sz w:val="24"/>
          <w:szCs w:val="24"/>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w:t>
      </w:r>
      <w:r w:rsidR="00173A20" w:rsidRPr="000377C8">
        <w:rPr>
          <w:rFonts w:ascii="Palatino Linotype" w:eastAsia="Batang" w:hAnsi="Palatino Linotype" w:cs="Tahoma"/>
          <w:bCs/>
          <w:sz w:val="24"/>
          <w:szCs w:val="24"/>
        </w:rPr>
        <w:t>noveno</w:t>
      </w:r>
      <w:r w:rsidR="00B56BD6" w:rsidRPr="000377C8">
        <w:rPr>
          <w:rFonts w:ascii="Palatino Linotype" w:eastAsia="Batang" w:hAnsi="Palatino Linotype" w:cs="Tahoma"/>
          <w:bCs/>
          <w:sz w:val="24"/>
          <w:szCs w:val="24"/>
        </w:rPr>
        <w:t xml:space="preserve">, </w:t>
      </w:r>
      <w:r w:rsidR="00173A20" w:rsidRPr="000377C8">
        <w:rPr>
          <w:rFonts w:ascii="Palatino Linotype" w:eastAsia="Batang" w:hAnsi="Palatino Linotype" w:cs="Tahoma"/>
          <w:bCs/>
          <w:sz w:val="24"/>
          <w:szCs w:val="24"/>
        </w:rPr>
        <w:t>trigésimo</w:t>
      </w:r>
      <w:r w:rsidR="00B56BD6" w:rsidRPr="000377C8">
        <w:rPr>
          <w:rFonts w:ascii="Palatino Linotype" w:eastAsia="Batang" w:hAnsi="Palatino Linotype" w:cs="Tahoma"/>
          <w:bCs/>
          <w:sz w:val="24"/>
          <w:szCs w:val="24"/>
        </w:rPr>
        <w:t xml:space="preserve"> y </w:t>
      </w:r>
      <w:r w:rsidR="00173A20" w:rsidRPr="000377C8">
        <w:rPr>
          <w:rFonts w:ascii="Palatino Linotype" w:eastAsia="Batang" w:hAnsi="Palatino Linotype" w:cs="Tahoma"/>
          <w:bCs/>
          <w:sz w:val="24"/>
          <w:szCs w:val="24"/>
        </w:rPr>
        <w:t>trigésimo primero</w:t>
      </w:r>
      <w:r w:rsidR="00B56BD6" w:rsidRPr="000377C8">
        <w:rPr>
          <w:rFonts w:ascii="Palatino Linotype" w:eastAsia="Batang" w:hAnsi="Palatino Linotype" w:cs="Tahoma"/>
          <w:bCs/>
          <w:sz w:val="24"/>
          <w:szCs w:val="24"/>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w:t>
      </w:r>
      <w:r w:rsidR="00B56BD6" w:rsidRPr="000377C8">
        <w:rPr>
          <w:rFonts w:ascii="Palatino Linotype" w:eastAsia="Batang" w:hAnsi="Palatino Linotype" w:cs="Tahoma"/>
          <w:bCs/>
          <w:sz w:val="24"/>
          <w:szCs w:val="24"/>
        </w:rPr>
        <w:lastRenderedPageBreak/>
        <w:t>176, 178, 179, 181 párrafo tercero, 185, 188 y 189 de la Ley Transparencia y Acceso a la Información Pública del Estado de México y Municipios;</w:t>
      </w:r>
      <w:r w:rsidR="00B56BD6" w:rsidRPr="000377C8">
        <w:rPr>
          <w:rFonts w:ascii="Palatino Linotype" w:eastAsia="Batang" w:hAnsi="Palatino Linotype"/>
          <w:bCs/>
          <w:sz w:val="24"/>
          <w:szCs w:val="24"/>
        </w:rPr>
        <w:t xml:space="preserve"> 7°, </w:t>
      </w:r>
      <w:r w:rsidR="00B56BD6" w:rsidRPr="000377C8">
        <w:rPr>
          <w:rFonts w:ascii="Palatino Linotype" w:eastAsia="Batang" w:hAnsi="Palatino Linotype" w:cs="Tahoma"/>
          <w:bCs/>
          <w:sz w:val="24"/>
          <w:szCs w:val="24"/>
        </w:rPr>
        <w:t>9°, fracciones I y XXIV y 11 del Reglamento Interior del Instituto de Transparencia, Acceso a la Información Pública y Protección de Datos Personales del Estado de México y Municipios.</w:t>
      </w:r>
    </w:p>
    <w:p w14:paraId="5F73D43E" w14:textId="77777777" w:rsidR="001F6436" w:rsidRPr="000377C8" w:rsidRDefault="001F6436" w:rsidP="0037774E">
      <w:pPr>
        <w:spacing w:line="360" w:lineRule="auto"/>
        <w:jc w:val="both"/>
        <w:rPr>
          <w:rFonts w:ascii="Palatino Linotype" w:eastAsia="Batang" w:hAnsi="Palatino Linotype" w:cs="Tahoma"/>
          <w:bCs/>
          <w:sz w:val="24"/>
          <w:szCs w:val="24"/>
        </w:rPr>
      </w:pPr>
    </w:p>
    <w:p w14:paraId="52B39B03" w14:textId="77777777" w:rsidR="005B52AC" w:rsidRPr="000377C8" w:rsidRDefault="005B52AC" w:rsidP="0037774E">
      <w:pPr>
        <w:keepNext/>
        <w:keepLines/>
        <w:spacing w:line="360" w:lineRule="auto"/>
        <w:outlineLvl w:val="1"/>
        <w:rPr>
          <w:rFonts w:ascii="Palatino Linotype" w:eastAsiaTheme="majorEastAsia" w:hAnsi="Palatino Linotype" w:cstheme="majorBidi"/>
          <w:b/>
          <w:sz w:val="24"/>
          <w:szCs w:val="26"/>
        </w:rPr>
      </w:pPr>
      <w:bookmarkStart w:id="1" w:name="_Toc82516497"/>
      <w:r w:rsidRPr="000377C8">
        <w:rPr>
          <w:rFonts w:ascii="Palatino Linotype" w:eastAsiaTheme="majorEastAsia" w:hAnsi="Palatino Linotype" w:cstheme="majorBidi"/>
          <w:b/>
          <w:sz w:val="24"/>
          <w:szCs w:val="26"/>
        </w:rPr>
        <w:t>SEGUNDO. De la oportunidad y procedencia.</w:t>
      </w:r>
      <w:bookmarkEnd w:id="1"/>
    </w:p>
    <w:p w14:paraId="4F4EB1A8" w14:textId="77777777" w:rsidR="005B52AC" w:rsidRPr="000377C8" w:rsidRDefault="005B52AC" w:rsidP="0037774E">
      <w:pPr>
        <w:spacing w:line="360" w:lineRule="auto"/>
        <w:rPr>
          <w:rFonts w:ascii="Palatino Linotype" w:eastAsiaTheme="minorEastAsia" w:hAnsi="Palatino Linotype"/>
          <w:sz w:val="24"/>
        </w:rPr>
      </w:pPr>
    </w:p>
    <w:p w14:paraId="190265A2" w14:textId="77777777" w:rsidR="005B52AC" w:rsidRPr="000377C8" w:rsidRDefault="005B52AC"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Calibri" w:hAnsi="Palatino Linotype" w:cs="Arial"/>
          <w:sz w:val="24"/>
          <w:lang w:val="es-ES_tradnl"/>
        </w:rPr>
        <w:t xml:space="preserve">El medio de impugnación fue presentado a través del </w:t>
      </w:r>
      <w:r w:rsidRPr="000377C8">
        <w:rPr>
          <w:rFonts w:ascii="Palatino Linotype" w:eastAsia="Calibri" w:hAnsi="Palatino Linotype" w:cs="Arial"/>
          <w:b/>
          <w:sz w:val="24"/>
          <w:lang w:val="es-ES_tradnl"/>
        </w:rPr>
        <w:t>SAIMEX,</w:t>
      </w:r>
      <w:r w:rsidRPr="000377C8">
        <w:rPr>
          <w:rFonts w:ascii="Palatino Linotype" w:eastAsia="Calibri" w:hAnsi="Palatino Linotype" w:cs="Arial"/>
          <w:sz w:val="24"/>
          <w:lang w:val="es-ES_tradnl"/>
        </w:rPr>
        <w:t xml:space="preserve"> en el formato previamente aprobado para tal efecto y dentro del plazo legal de quince días hábiles otorgados; siendo así que el </w:t>
      </w:r>
      <w:r w:rsidRPr="000377C8">
        <w:rPr>
          <w:rFonts w:ascii="Palatino Linotype" w:eastAsia="Calibri" w:hAnsi="Palatino Linotype" w:cs="Arial"/>
          <w:b/>
          <w:sz w:val="24"/>
          <w:lang w:val="es-ES_tradnl"/>
        </w:rPr>
        <w:t>SUJETO OBLIGADO</w:t>
      </w:r>
      <w:r w:rsidRPr="000377C8">
        <w:rPr>
          <w:rFonts w:ascii="Palatino Linotype" w:eastAsia="Calibri" w:hAnsi="Palatino Linotype" w:cs="Arial"/>
          <w:sz w:val="24"/>
          <w:lang w:val="es-ES_tradnl"/>
        </w:rPr>
        <w:t xml:space="preserve"> entregó respuesta a la solicitud el día cinco (05) de julio  de dos mil veintiuno, </w:t>
      </w:r>
      <w:r w:rsidRPr="000377C8">
        <w:rPr>
          <w:rFonts w:ascii="Palatino Linotype" w:eastAsiaTheme="minorEastAsia" w:hAnsi="Palatino Linotype" w:cs="Arial"/>
          <w:sz w:val="24"/>
          <w:lang w:val="es-ES_tradnl"/>
        </w:rPr>
        <w:t xml:space="preserve">de tal forma que el plazo para interponer el recurso de revisión transcurrió del seis (06) de julio  al nueve (09) de agosto  de dos mil veintiuno; en consecuencia, presentó su inconformidad el día seis (06) de julio  de dos mil veintiuno, por lo que se encuentra dentro de los márgenes temporales previstos en el artículo 178 de la </w:t>
      </w:r>
      <w:r w:rsidRPr="000377C8">
        <w:rPr>
          <w:rFonts w:ascii="Palatino Linotype" w:eastAsiaTheme="minorEastAsia" w:hAnsi="Palatino Linotype" w:cs="Arial"/>
          <w:b/>
          <w:sz w:val="24"/>
          <w:lang w:val="es-ES_tradnl"/>
        </w:rPr>
        <w:t xml:space="preserve">Ley de Transparencia y Acceso a la Información Pública del Estado de México y Municipios </w:t>
      </w:r>
      <w:r w:rsidRPr="000377C8">
        <w:rPr>
          <w:rFonts w:ascii="Palatino Linotype" w:eastAsiaTheme="minorEastAsia" w:hAnsi="Palatino Linotype" w:cs="Arial"/>
          <w:sz w:val="24"/>
          <w:lang w:val="es-ES_tradnl"/>
        </w:rPr>
        <w:t>vigente.</w:t>
      </w:r>
    </w:p>
    <w:p w14:paraId="0C01A509" w14:textId="77777777" w:rsidR="005B52AC" w:rsidRPr="000377C8" w:rsidRDefault="005B52AC" w:rsidP="0037774E">
      <w:pPr>
        <w:spacing w:line="360" w:lineRule="auto"/>
        <w:ind w:right="49"/>
        <w:contextualSpacing/>
        <w:jc w:val="both"/>
        <w:rPr>
          <w:rFonts w:ascii="Palatino Linotype" w:eastAsiaTheme="minorEastAsia" w:hAnsi="Palatino Linotype" w:cs="Arial"/>
          <w:sz w:val="24"/>
          <w:lang w:val="es-ES_tradnl"/>
        </w:rPr>
      </w:pPr>
    </w:p>
    <w:p w14:paraId="3625120D" w14:textId="77777777" w:rsidR="005B52AC" w:rsidRPr="000377C8" w:rsidRDefault="005B52AC"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Calibri" w:hAnsi="Palatino Linotype" w:cs="Arial"/>
          <w:sz w:val="24"/>
          <w:lang w:val="es-ES_tradn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CC0BF6F" w14:textId="77777777" w:rsidR="00A43CF9" w:rsidRPr="000377C8" w:rsidRDefault="00A43CF9" w:rsidP="0037774E">
      <w:pPr>
        <w:spacing w:line="360" w:lineRule="auto"/>
        <w:ind w:right="49"/>
        <w:contextualSpacing/>
        <w:jc w:val="both"/>
        <w:rPr>
          <w:rFonts w:ascii="Palatino Linotype" w:eastAsia="Calibri" w:hAnsi="Palatino Linotype" w:cs="Arial"/>
          <w:sz w:val="24"/>
          <w:lang w:val="es-ES_tradnl"/>
        </w:rPr>
      </w:pPr>
    </w:p>
    <w:p w14:paraId="4571ECE6" w14:textId="5B83A3FE" w:rsidR="00573566" w:rsidRPr="000377C8" w:rsidRDefault="00573566" w:rsidP="0037774E">
      <w:pPr>
        <w:shd w:val="clear" w:color="auto" w:fill="FFFFFF"/>
        <w:spacing w:line="360" w:lineRule="auto"/>
        <w:jc w:val="both"/>
        <w:rPr>
          <w:rFonts w:ascii="Palatino Linotype" w:hAnsi="Palatino Linotype"/>
          <w:color w:val="222222"/>
          <w:sz w:val="24"/>
          <w:szCs w:val="24"/>
          <w:lang w:val="es-ES"/>
        </w:rPr>
      </w:pPr>
    </w:p>
    <w:p w14:paraId="4A7C2F6E" w14:textId="367353DE" w:rsidR="00B56BD6" w:rsidRPr="000377C8" w:rsidRDefault="00B56BD6" w:rsidP="0037774E">
      <w:pPr>
        <w:tabs>
          <w:tab w:val="left" w:pos="4962"/>
        </w:tabs>
        <w:spacing w:line="360" w:lineRule="auto"/>
        <w:jc w:val="both"/>
        <w:rPr>
          <w:rFonts w:ascii="Palatino Linotype" w:eastAsia="Calibri" w:hAnsi="Palatino Linotype" w:cs="Tahoma"/>
          <w:b/>
          <w:iCs/>
          <w:sz w:val="24"/>
          <w:szCs w:val="24"/>
          <w:lang w:val="es-ES"/>
        </w:rPr>
      </w:pPr>
      <w:r w:rsidRPr="000377C8">
        <w:rPr>
          <w:rFonts w:ascii="Palatino Linotype" w:eastAsia="Calibri" w:hAnsi="Palatino Linotype" w:cs="Tahoma"/>
          <w:b/>
          <w:iCs/>
          <w:sz w:val="24"/>
          <w:szCs w:val="24"/>
          <w:lang w:val="es-ES"/>
        </w:rPr>
        <w:lastRenderedPageBreak/>
        <w:t xml:space="preserve">TERCERO. </w:t>
      </w:r>
      <w:r w:rsidR="005B52AC" w:rsidRPr="000377C8">
        <w:rPr>
          <w:rFonts w:ascii="Palatino Linotype" w:eastAsia="Calibri" w:hAnsi="Palatino Linotype" w:cs="Tahoma"/>
          <w:b/>
          <w:iCs/>
          <w:sz w:val="24"/>
          <w:szCs w:val="24"/>
          <w:lang w:val="es-ES"/>
        </w:rPr>
        <w:t>Planteamiento de la litis</w:t>
      </w:r>
      <w:r w:rsidRPr="000377C8">
        <w:rPr>
          <w:rFonts w:ascii="Palatino Linotype" w:eastAsia="Calibri" w:hAnsi="Palatino Linotype" w:cs="Tahoma"/>
          <w:b/>
          <w:iCs/>
          <w:sz w:val="24"/>
          <w:szCs w:val="24"/>
          <w:lang w:val="es-ES"/>
        </w:rPr>
        <w:t xml:space="preserve"> </w:t>
      </w:r>
    </w:p>
    <w:p w14:paraId="1934697A" w14:textId="77777777" w:rsidR="00B56BD6" w:rsidRPr="000377C8" w:rsidRDefault="00B56BD6" w:rsidP="0037774E">
      <w:pPr>
        <w:tabs>
          <w:tab w:val="left" w:pos="4962"/>
        </w:tabs>
        <w:spacing w:line="360" w:lineRule="auto"/>
        <w:jc w:val="both"/>
        <w:rPr>
          <w:rFonts w:ascii="Palatino Linotype" w:eastAsia="Calibri" w:hAnsi="Palatino Linotype" w:cs="Tahoma"/>
          <w:iCs/>
          <w:sz w:val="24"/>
          <w:szCs w:val="24"/>
          <w:lang w:val="es-ES"/>
        </w:rPr>
      </w:pPr>
    </w:p>
    <w:p w14:paraId="1E38FCA6" w14:textId="6E2A3DDD" w:rsidR="00E31CDE" w:rsidRPr="000377C8" w:rsidRDefault="00B56BD6" w:rsidP="0037774E">
      <w:pPr>
        <w:tabs>
          <w:tab w:val="left" w:pos="4962"/>
        </w:tabs>
        <w:spacing w:line="360" w:lineRule="auto"/>
        <w:jc w:val="both"/>
        <w:rPr>
          <w:rFonts w:ascii="Palatino Linotype" w:eastAsia="Calibri" w:hAnsi="Palatino Linotype" w:cs="Tahoma"/>
          <w:iCs/>
          <w:sz w:val="24"/>
          <w:szCs w:val="24"/>
          <w:lang w:val="es-ES"/>
        </w:rPr>
      </w:pPr>
      <w:r w:rsidRPr="000377C8">
        <w:rPr>
          <w:rFonts w:ascii="Palatino Linotype" w:eastAsia="Calibri" w:hAnsi="Palatino Linotype" w:cs="Tahoma"/>
          <w:iCs/>
          <w:sz w:val="24"/>
          <w:szCs w:val="24"/>
          <w:lang w:val="es-ES"/>
        </w:rPr>
        <w:t>Una vez realizado el estudio de las constancias que integran el expediente en que se actúa, se desprend</w:t>
      </w:r>
      <w:r w:rsidR="00194FAB" w:rsidRPr="000377C8">
        <w:rPr>
          <w:rFonts w:ascii="Palatino Linotype" w:eastAsia="Calibri" w:hAnsi="Palatino Linotype" w:cs="Tahoma"/>
          <w:iCs/>
          <w:sz w:val="24"/>
          <w:szCs w:val="24"/>
          <w:lang w:val="es-ES"/>
        </w:rPr>
        <w:t xml:space="preserve">e que </w:t>
      </w:r>
      <w:r w:rsidR="00DC66EB" w:rsidRPr="000377C8">
        <w:rPr>
          <w:rFonts w:ascii="Palatino Linotype" w:eastAsia="Calibri" w:hAnsi="Palatino Linotype" w:cs="Tahoma"/>
          <w:iCs/>
          <w:sz w:val="24"/>
          <w:szCs w:val="24"/>
          <w:lang w:val="es-ES"/>
        </w:rPr>
        <w:t xml:space="preserve">la </w:t>
      </w:r>
      <w:r w:rsidR="00194FAB" w:rsidRPr="000377C8">
        <w:rPr>
          <w:rFonts w:ascii="Palatino Linotype" w:eastAsia="Calibri" w:hAnsi="Palatino Linotype" w:cs="Tahoma"/>
          <w:iCs/>
          <w:sz w:val="24"/>
          <w:szCs w:val="24"/>
          <w:lang w:val="es-ES"/>
        </w:rPr>
        <w:t xml:space="preserve">Recurrente, solicitó </w:t>
      </w:r>
      <w:r w:rsidR="00DC66EB" w:rsidRPr="000377C8">
        <w:rPr>
          <w:rFonts w:ascii="Palatino Linotype" w:eastAsia="Calibri" w:hAnsi="Palatino Linotype" w:cs="Tahoma"/>
          <w:iCs/>
          <w:sz w:val="24"/>
          <w:szCs w:val="24"/>
          <w:lang w:val="es-ES"/>
        </w:rPr>
        <w:t xml:space="preserve">al </w:t>
      </w:r>
      <w:r w:rsidR="004131DA" w:rsidRPr="000377C8">
        <w:rPr>
          <w:rFonts w:ascii="Palatino Linotype" w:eastAsia="Calibri" w:hAnsi="Palatino Linotype" w:cs="Tahoma"/>
          <w:iCs/>
          <w:sz w:val="24"/>
          <w:szCs w:val="24"/>
          <w:lang w:val="es-ES"/>
        </w:rPr>
        <w:t>Sistema de Agua Potable Alcantarillado y Saneamiento de Ecatepec de Morelos</w:t>
      </w:r>
      <w:r w:rsidR="005E1168" w:rsidRPr="000377C8">
        <w:rPr>
          <w:rFonts w:ascii="Palatino Linotype" w:eastAsia="Calibri" w:hAnsi="Palatino Linotype" w:cs="Tahoma"/>
          <w:iCs/>
          <w:sz w:val="24"/>
          <w:szCs w:val="24"/>
          <w:lang w:val="es-ES"/>
        </w:rPr>
        <w:t xml:space="preserve">, </w:t>
      </w:r>
      <w:r w:rsidR="00194FAB" w:rsidRPr="000377C8">
        <w:rPr>
          <w:rFonts w:ascii="Palatino Linotype" w:eastAsia="Calibri" w:hAnsi="Palatino Linotype" w:cs="Tahoma"/>
          <w:iCs/>
          <w:sz w:val="24"/>
          <w:szCs w:val="24"/>
          <w:lang w:val="es-ES"/>
        </w:rPr>
        <w:t>información respecto a</w:t>
      </w:r>
      <w:r w:rsidR="00D12816" w:rsidRPr="000377C8">
        <w:rPr>
          <w:rFonts w:ascii="Palatino Linotype" w:eastAsia="Calibri" w:hAnsi="Palatino Linotype" w:cs="Tahoma"/>
          <w:iCs/>
          <w:sz w:val="24"/>
          <w:szCs w:val="24"/>
          <w:lang w:val="es-ES"/>
        </w:rPr>
        <w:t xml:space="preserve"> </w:t>
      </w:r>
      <w:r w:rsidR="002C22B4" w:rsidRPr="000377C8">
        <w:rPr>
          <w:rFonts w:ascii="Palatino Linotype" w:eastAsia="Calibri" w:hAnsi="Palatino Linotype" w:cs="Tahoma"/>
          <w:iCs/>
          <w:sz w:val="24"/>
          <w:szCs w:val="24"/>
          <w:lang w:val="es-ES"/>
        </w:rPr>
        <w:t>partidas presupuestales</w:t>
      </w:r>
      <w:r w:rsidR="00F31E89" w:rsidRPr="000377C8">
        <w:rPr>
          <w:rFonts w:ascii="Palatino Linotype" w:eastAsia="Calibri" w:hAnsi="Palatino Linotype" w:cs="Tahoma"/>
          <w:iCs/>
          <w:sz w:val="24"/>
          <w:szCs w:val="24"/>
          <w:lang w:val="es-ES"/>
        </w:rPr>
        <w:t>,</w:t>
      </w:r>
      <w:r w:rsidR="002C22B4" w:rsidRPr="000377C8">
        <w:rPr>
          <w:rFonts w:ascii="Palatino Linotype" w:eastAsia="Calibri" w:hAnsi="Palatino Linotype" w:cs="Tahoma"/>
          <w:iCs/>
          <w:sz w:val="24"/>
          <w:szCs w:val="24"/>
          <w:lang w:val="es-ES"/>
        </w:rPr>
        <w:t xml:space="preserve"> cuentas bancarias y pago de laudos laborales</w:t>
      </w:r>
      <w:r w:rsidR="00194FAB" w:rsidRPr="000377C8">
        <w:rPr>
          <w:rFonts w:ascii="Palatino Linotype" w:eastAsia="Calibri" w:hAnsi="Palatino Linotype" w:cs="Tahoma"/>
          <w:iCs/>
          <w:sz w:val="24"/>
          <w:szCs w:val="24"/>
          <w:lang w:val="es-ES"/>
        </w:rPr>
        <w:t>.</w:t>
      </w:r>
    </w:p>
    <w:p w14:paraId="70D836CA" w14:textId="77777777" w:rsidR="00194FAB" w:rsidRPr="000377C8" w:rsidRDefault="00194FAB" w:rsidP="0037774E">
      <w:pPr>
        <w:tabs>
          <w:tab w:val="left" w:pos="4962"/>
        </w:tabs>
        <w:spacing w:line="360" w:lineRule="auto"/>
        <w:jc w:val="both"/>
        <w:rPr>
          <w:rFonts w:ascii="Palatino Linotype" w:eastAsia="Calibri" w:hAnsi="Palatino Linotype" w:cs="Tahoma"/>
          <w:iCs/>
          <w:sz w:val="24"/>
          <w:szCs w:val="24"/>
          <w:lang w:val="es-ES" w:eastAsia="es-ES_tradnl"/>
        </w:rPr>
      </w:pPr>
    </w:p>
    <w:p w14:paraId="35B61811" w14:textId="6E5F57AF" w:rsidR="001C20B3" w:rsidRPr="000377C8" w:rsidRDefault="006A3480" w:rsidP="0037774E">
      <w:pPr>
        <w:spacing w:line="360" w:lineRule="auto"/>
        <w:jc w:val="both"/>
        <w:rPr>
          <w:rFonts w:ascii="Palatino Linotype" w:eastAsia="Calibri" w:hAnsi="Palatino Linotype" w:cs="Tahoma"/>
          <w:bCs/>
          <w:i/>
          <w:sz w:val="24"/>
          <w:szCs w:val="24"/>
          <w:lang w:eastAsia="en-US"/>
        </w:rPr>
      </w:pPr>
      <w:r w:rsidRPr="000377C8">
        <w:rPr>
          <w:rFonts w:ascii="Palatino Linotype" w:eastAsia="Calibri" w:hAnsi="Palatino Linotype" w:cs="Tahoma"/>
          <w:iCs/>
          <w:sz w:val="24"/>
          <w:szCs w:val="24"/>
          <w:lang w:val="es-ES" w:eastAsia="es-ES_tradnl"/>
        </w:rPr>
        <w:t xml:space="preserve">En respuesta, </w:t>
      </w:r>
      <w:r w:rsidR="004855A1" w:rsidRPr="000377C8">
        <w:rPr>
          <w:rFonts w:ascii="Palatino Linotype" w:eastAsia="Calibri" w:hAnsi="Palatino Linotype" w:cs="Tahoma"/>
          <w:iCs/>
          <w:sz w:val="24"/>
          <w:szCs w:val="24"/>
          <w:lang w:val="es-ES" w:eastAsia="es-ES_tradnl"/>
        </w:rPr>
        <w:t>el Sujeto Obligado, a través, d</w:t>
      </w:r>
      <w:r w:rsidR="00573566" w:rsidRPr="000377C8">
        <w:rPr>
          <w:rFonts w:ascii="Palatino Linotype" w:eastAsia="Calibri" w:hAnsi="Palatino Linotype" w:cs="Tahoma"/>
          <w:iCs/>
          <w:sz w:val="24"/>
          <w:szCs w:val="24"/>
          <w:lang w:val="es-ES" w:eastAsia="es-ES_tradnl"/>
        </w:rPr>
        <w:t xml:space="preserve">el </w:t>
      </w:r>
      <w:r w:rsidR="00573566" w:rsidRPr="000377C8">
        <w:rPr>
          <w:rFonts w:ascii="Palatino Linotype" w:hAnsi="Palatino Linotype" w:cs="Tahoma"/>
          <w:sz w:val="24"/>
          <w:szCs w:val="24"/>
        </w:rPr>
        <w:t>Titular de la Unidad de Transparencia</w:t>
      </w:r>
      <w:r w:rsidRPr="000377C8">
        <w:rPr>
          <w:rFonts w:ascii="Palatino Linotype" w:eastAsia="Calibri" w:hAnsi="Palatino Linotype" w:cs="Tahoma"/>
          <w:iCs/>
          <w:sz w:val="24"/>
          <w:szCs w:val="24"/>
          <w:lang w:val="es-ES" w:eastAsia="es-ES_tradnl"/>
        </w:rPr>
        <w:t xml:space="preserve">, </w:t>
      </w:r>
      <w:r w:rsidR="004A31E0" w:rsidRPr="000377C8">
        <w:rPr>
          <w:rFonts w:ascii="Palatino Linotype" w:eastAsia="Calibri" w:hAnsi="Palatino Linotype" w:cs="Tahoma"/>
          <w:iCs/>
          <w:sz w:val="24"/>
          <w:szCs w:val="24"/>
          <w:lang w:val="es-ES" w:eastAsia="es-ES_tradnl"/>
        </w:rPr>
        <w:t>señal</w:t>
      </w:r>
      <w:r w:rsidR="001C20B3" w:rsidRPr="000377C8">
        <w:rPr>
          <w:rFonts w:ascii="Palatino Linotype" w:eastAsia="Calibri" w:hAnsi="Palatino Linotype" w:cs="Tahoma"/>
          <w:iCs/>
          <w:sz w:val="24"/>
          <w:szCs w:val="24"/>
          <w:lang w:val="es-ES" w:eastAsia="es-ES_tradnl"/>
        </w:rPr>
        <w:t>ó lo siguiente:</w:t>
      </w:r>
      <w:r w:rsidR="00F31E89" w:rsidRPr="000377C8">
        <w:rPr>
          <w:rFonts w:ascii="Palatino Linotype" w:eastAsia="Calibri" w:hAnsi="Palatino Linotype" w:cs="Tahoma"/>
          <w:iCs/>
          <w:sz w:val="24"/>
          <w:szCs w:val="24"/>
          <w:lang w:val="es-ES" w:eastAsia="es-ES_tradnl"/>
        </w:rPr>
        <w:t xml:space="preserve"> </w:t>
      </w:r>
      <w:r w:rsidR="00F31E89" w:rsidRPr="000377C8">
        <w:rPr>
          <w:rFonts w:ascii="Palatino Linotype" w:hAnsi="Palatino Linotype"/>
          <w:sz w:val="24"/>
          <w:szCs w:val="24"/>
        </w:rPr>
        <w:t>“…</w:t>
      </w:r>
      <w:r w:rsidR="00F31E89" w:rsidRPr="000377C8">
        <w:rPr>
          <w:rFonts w:ascii="Palatino Linotype" w:hAnsi="Palatino Linotype"/>
          <w:i/>
          <w:sz w:val="24"/>
          <w:szCs w:val="24"/>
        </w:rPr>
        <w:t>La información solicitada se encuentra clasificada como reservada en razón de lo expuesto, hasta en tanto no haya emitido Resolución en el Juicio Especial Laboral Expediente SAE/310/2017</w:t>
      </w:r>
      <w:r w:rsidR="00F31E89" w:rsidRPr="000377C8">
        <w:rPr>
          <w:rFonts w:ascii="Palatino Linotype" w:eastAsia="Calibri" w:hAnsi="Palatino Linotype" w:cs="Tahoma"/>
          <w:bCs/>
          <w:i/>
          <w:sz w:val="24"/>
          <w:szCs w:val="24"/>
          <w:lang w:eastAsia="en-US"/>
        </w:rPr>
        <w:t>”</w:t>
      </w:r>
    </w:p>
    <w:p w14:paraId="01652C3E" w14:textId="77777777" w:rsidR="005B52AC" w:rsidRPr="000377C8" w:rsidRDefault="005B52AC" w:rsidP="0037774E">
      <w:pPr>
        <w:spacing w:line="360" w:lineRule="auto"/>
        <w:jc w:val="both"/>
        <w:rPr>
          <w:rFonts w:ascii="Palatino Linotype" w:eastAsia="Calibri" w:hAnsi="Palatino Linotype" w:cs="Tahoma"/>
          <w:iCs/>
          <w:sz w:val="24"/>
          <w:szCs w:val="24"/>
          <w:lang w:val="es-ES" w:eastAsia="es-ES_tradnl"/>
        </w:rPr>
      </w:pPr>
    </w:p>
    <w:p w14:paraId="4BD66FFC" w14:textId="2FB50E0A" w:rsidR="005F3429" w:rsidRPr="000377C8" w:rsidRDefault="006A3480" w:rsidP="0037774E">
      <w:pPr>
        <w:spacing w:line="360" w:lineRule="auto"/>
        <w:jc w:val="both"/>
        <w:rPr>
          <w:rFonts w:ascii="Palatino Linotype" w:hAnsi="Palatino Linotype" w:cs="Tahoma"/>
          <w:bCs/>
          <w:iCs/>
          <w:color w:val="000000"/>
          <w:sz w:val="24"/>
          <w:szCs w:val="24"/>
        </w:rPr>
      </w:pPr>
      <w:r w:rsidRPr="000377C8">
        <w:rPr>
          <w:rFonts w:ascii="Palatino Linotype" w:hAnsi="Palatino Linotype" w:cs="Tahoma"/>
          <w:bCs/>
          <w:iCs/>
          <w:color w:val="000000"/>
          <w:sz w:val="24"/>
          <w:szCs w:val="24"/>
        </w:rPr>
        <w:t xml:space="preserve">Ante dicha circunstancia, el </w:t>
      </w:r>
      <w:r w:rsidR="00B157C5" w:rsidRPr="000377C8">
        <w:rPr>
          <w:rFonts w:ascii="Palatino Linotype" w:hAnsi="Palatino Linotype" w:cs="Tahoma"/>
          <w:bCs/>
          <w:iCs/>
          <w:color w:val="000000"/>
          <w:sz w:val="24"/>
          <w:szCs w:val="24"/>
        </w:rPr>
        <w:t>Recurrente</w:t>
      </w:r>
      <w:r w:rsidRPr="000377C8">
        <w:rPr>
          <w:rFonts w:ascii="Palatino Linotype" w:hAnsi="Palatino Linotype" w:cs="Tahoma"/>
          <w:bCs/>
          <w:iCs/>
          <w:color w:val="000000"/>
          <w:sz w:val="24"/>
          <w:szCs w:val="24"/>
        </w:rPr>
        <w:t xml:space="preserve"> se inconformó de la entrega de información </w:t>
      </w:r>
      <w:r w:rsidR="002A2D5C" w:rsidRPr="000377C8">
        <w:rPr>
          <w:rFonts w:ascii="Palatino Linotype" w:hAnsi="Palatino Linotype" w:cs="Tahoma"/>
          <w:bCs/>
          <w:iCs/>
          <w:color w:val="000000"/>
          <w:sz w:val="24"/>
          <w:szCs w:val="24"/>
        </w:rPr>
        <w:t>toda vez que refiere que “</w:t>
      </w:r>
      <w:r w:rsidR="00554C23" w:rsidRPr="000377C8">
        <w:rPr>
          <w:rFonts w:ascii="Palatino Linotype" w:hAnsi="Palatino Linotype"/>
          <w:i/>
          <w:color w:val="000000"/>
          <w:sz w:val="24"/>
          <w:szCs w:val="24"/>
        </w:rPr>
        <w:t>La falta de fundamentación y motivación idónea, respecto de la respuesta que emite el titular de la unidad jurídica, en razón de que en el expediente SAE/310/2017, existe resolución pendiente por ejecutar; y no infringe ni obstaculiza el desarrollo del procedimiento natural de origen, sino por el contrario retarda la impartición de justicia consagrada en el artículo 17 constitucional, máxime que el cumplimiento de las resoluciones de un Tribunal son de orden público y la sociedad tiene intereses legítimos en su cumplimiento, amén de que con una negativa de acatamiento de mandato jurisdiccional conlleva un daño al erario público a la dependencia que dignamente representan en razón de la cláusula convencional pactada en el acta homologada a sentencia ejecutoriada</w:t>
      </w:r>
      <w:r w:rsidR="00554C23" w:rsidRPr="000377C8">
        <w:rPr>
          <w:rFonts w:ascii="Palatino Linotype" w:hAnsi="Palatino Linotype"/>
          <w:color w:val="000000"/>
          <w:sz w:val="24"/>
          <w:szCs w:val="24"/>
        </w:rPr>
        <w:t>.</w:t>
      </w:r>
      <w:r w:rsidR="002A2D5C" w:rsidRPr="000377C8">
        <w:rPr>
          <w:rFonts w:ascii="Palatino Linotype" w:hAnsi="Palatino Linotype" w:cs="Tahoma"/>
          <w:bCs/>
          <w:iCs/>
          <w:color w:val="000000"/>
          <w:sz w:val="24"/>
          <w:szCs w:val="24"/>
        </w:rPr>
        <w:t xml:space="preserve">” por lo que </w:t>
      </w:r>
      <w:r w:rsidR="005F3429" w:rsidRPr="000377C8">
        <w:rPr>
          <w:rFonts w:ascii="Palatino Linotype" w:hAnsi="Palatino Linotype" w:cs="Tahoma"/>
          <w:bCs/>
          <w:iCs/>
          <w:color w:val="000000"/>
          <w:sz w:val="24"/>
          <w:szCs w:val="24"/>
        </w:rPr>
        <w:t>se debe analizar si se actualiza</w:t>
      </w:r>
      <w:r w:rsidR="004A31E0" w:rsidRPr="000377C8">
        <w:rPr>
          <w:rFonts w:ascii="Palatino Linotype" w:hAnsi="Palatino Linotype" w:cs="Tahoma"/>
          <w:bCs/>
          <w:iCs/>
          <w:color w:val="000000"/>
          <w:sz w:val="24"/>
          <w:szCs w:val="24"/>
        </w:rPr>
        <w:t>n</w:t>
      </w:r>
      <w:r w:rsidR="00E31CDE" w:rsidRPr="000377C8">
        <w:rPr>
          <w:rFonts w:ascii="Palatino Linotype" w:hAnsi="Palatino Linotype" w:cs="Tahoma"/>
          <w:bCs/>
          <w:iCs/>
          <w:color w:val="000000"/>
          <w:sz w:val="24"/>
          <w:szCs w:val="24"/>
        </w:rPr>
        <w:t xml:space="preserve"> la</w:t>
      </w:r>
      <w:r w:rsidR="004A31E0" w:rsidRPr="000377C8">
        <w:rPr>
          <w:rFonts w:ascii="Palatino Linotype" w:hAnsi="Palatino Linotype" w:cs="Tahoma"/>
          <w:bCs/>
          <w:iCs/>
          <w:color w:val="000000"/>
          <w:sz w:val="24"/>
          <w:szCs w:val="24"/>
        </w:rPr>
        <w:t>s</w:t>
      </w:r>
      <w:r w:rsidR="00E31CDE" w:rsidRPr="000377C8">
        <w:rPr>
          <w:rFonts w:ascii="Palatino Linotype" w:hAnsi="Palatino Linotype" w:cs="Tahoma"/>
          <w:bCs/>
          <w:iCs/>
          <w:color w:val="000000"/>
          <w:sz w:val="24"/>
          <w:szCs w:val="24"/>
        </w:rPr>
        <w:t xml:space="preserve"> causal</w:t>
      </w:r>
      <w:r w:rsidR="004A31E0" w:rsidRPr="000377C8">
        <w:rPr>
          <w:rFonts w:ascii="Palatino Linotype" w:hAnsi="Palatino Linotype" w:cs="Tahoma"/>
          <w:bCs/>
          <w:iCs/>
          <w:color w:val="000000"/>
          <w:sz w:val="24"/>
          <w:szCs w:val="24"/>
        </w:rPr>
        <w:t>es</w:t>
      </w:r>
      <w:r w:rsidRPr="000377C8">
        <w:rPr>
          <w:rFonts w:ascii="Palatino Linotype" w:hAnsi="Palatino Linotype" w:cs="Tahoma"/>
          <w:bCs/>
          <w:iCs/>
          <w:color w:val="000000"/>
          <w:sz w:val="24"/>
          <w:szCs w:val="24"/>
        </w:rPr>
        <w:t xml:space="preserve"> establecida</w:t>
      </w:r>
      <w:r w:rsidR="00554C23" w:rsidRPr="000377C8">
        <w:rPr>
          <w:rFonts w:ascii="Palatino Linotype" w:hAnsi="Palatino Linotype" w:cs="Tahoma"/>
          <w:bCs/>
          <w:iCs/>
          <w:color w:val="000000"/>
          <w:sz w:val="24"/>
          <w:szCs w:val="24"/>
        </w:rPr>
        <w:t>s</w:t>
      </w:r>
      <w:r w:rsidRPr="000377C8">
        <w:rPr>
          <w:rFonts w:ascii="Palatino Linotype" w:hAnsi="Palatino Linotype" w:cs="Tahoma"/>
          <w:bCs/>
          <w:iCs/>
          <w:color w:val="000000"/>
          <w:sz w:val="24"/>
          <w:szCs w:val="24"/>
        </w:rPr>
        <w:t xml:space="preserve"> en el artículo 179, </w:t>
      </w:r>
      <w:r w:rsidR="005F3429" w:rsidRPr="000377C8">
        <w:rPr>
          <w:rFonts w:ascii="Palatino Linotype" w:hAnsi="Palatino Linotype" w:cs="Tahoma"/>
          <w:bCs/>
          <w:iCs/>
          <w:color w:val="000000"/>
          <w:sz w:val="24"/>
          <w:szCs w:val="24"/>
        </w:rPr>
        <w:t>fracciones I</w:t>
      </w:r>
      <w:r w:rsidR="00EE4A8C" w:rsidRPr="000377C8">
        <w:rPr>
          <w:rFonts w:ascii="Palatino Linotype" w:hAnsi="Palatino Linotype" w:cs="Tahoma"/>
          <w:bCs/>
          <w:iCs/>
          <w:color w:val="000000"/>
          <w:sz w:val="24"/>
          <w:szCs w:val="24"/>
        </w:rPr>
        <w:t xml:space="preserve">, </w:t>
      </w:r>
      <w:r w:rsidR="00EE4A8C" w:rsidRPr="000377C8">
        <w:rPr>
          <w:rFonts w:ascii="Palatino Linotype" w:hAnsi="Palatino Linotype" w:cs="Tahoma"/>
          <w:bCs/>
          <w:iCs/>
          <w:color w:val="000000"/>
          <w:sz w:val="24"/>
          <w:szCs w:val="24"/>
        </w:rPr>
        <w:lastRenderedPageBreak/>
        <w:t>II</w:t>
      </w:r>
      <w:r w:rsidR="005F3429" w:rsidRPr="000377C8">
        <w:rPr>
          <w:rFonts w:ascii="Palatino Linotype" w:hAnsi="Palatino Linotype" w:cs="Tahoma"/>
          <w:bCs/>
          <w:iCs/>
          <w:color w:val="000000"/>
          <w:sz w:val="24"/>
          <w:szCs w:val="24"/>
        </w:rPr>
        <w:t xml:space="preserve"> y </w:t>
      </w:r>
      <w:r w:rsidR="00EE4A8C" w:rsidRPr="000377C8">
        <w:rPr>
          <w:rFonts w:ascii="Palatino Linotype" w:hAnsi="Palatino Linotype" w:cs="Tahoma"/>
          <w:bCs/>
          <w:iCs/>
          <w:color w:val="000000"/>
          <w:sz w:val="24"/>
          <w:szCs w:val="24"/>
        </w:rPr>
        <w:t>XIII</w:t>
      </w:r>
      <w:r w:rsidRPr="000377C8">
        <w:rPr>
          <w:rFonts w:ascii="Palatino Linotype" w:hAnsi="Palatino Linotype" w:cs="Tahoma"/>
          <w:bCs/>
          <w:iCs/>
          <w:color w:val="000000"/>
          <w:sz w:val="24"/>
          <w:szCs w:val="24"/>
        </w:rPr>
        <w:t>, de la Ley de Transparencia y Acceso a la Información Pública del Estado de México y Municipios</w:t>
      </w:r>
      <w:r w:rsidR="00A13261" w:rsidRPr="000377C8">
        <w:rPr>
          <w:rFonts w:ascii="Palatino Linotype" w:hAnsi="Palatino Linotype" w:cs="Tahoma"/>
          <w:bCs/>
          <w:iCs/>
          <w:color w:val="000000"/>
          <w:sz w:val="24"/>
          <w:szCs w:val="24"/>
        </w:rPr>
        <w:t xml:space="preserve">. </w:t>
      </w:r>
    </w:p>
    <w:p w14:paraId="4FE86894" w14:textId="77777777" w:rsidR="00EE4A8C" w:rsidRPr="000377C8" w:rsidRDefault="00EE4A8C" w:rsidP="0037774E">
      <w:pPr>
        <w:spacing w:line="360" w:lineRule="auto"/>
        <w:jc w:val="both"/>
        <w:rPr>
          <w:rFonts w:ascii="Palatino Linotype" w:eastAsia="Calibri" w:hAnsi="Palatino Linotype" w:cs="Tahoma"/>
          <w:color w:val="000000"/>
          <w:sz w:val="24"/>
          <w:szCs w:val="24"/>
          <w:lang w:eastAsia="es-ES_tradnl"/>
        </w:rPr>
      </w:pPr>
      <w:bookmarkStart w:id="2" w:name="_Hlk52477073"/>
    </w:p>
    <w:bookmarkEnd w:id="2"/>
    <w:p w14:paraId="20B30C49" w14:textId="4280A1E9" w:rsidR="00FA5CD1" w:rsidRPr="000377C8" w:rsidRDefault="001036BF" w:rsidP="0037774E">
      <w:pPr>
        <w:tabs>
          <w:tab w:val="left" w:pos="3885"/>
        </w:tabs>
        <w:spacing w:line="360" w:lineRule="auto"/>
        <w:jc w:val="both"/>
        <w:rPr>
          <w:rFonts w:ascii="Palatino Linotype" w:hAnsi="Palatino Linotype" w:cs="Tahoma"/>
          <w:b/>
          <w:sz w:val="24"/>
          <w:szCs w:val="24"/>
        </w:rPr>
      </w:pPr>
      <w:r w:rsidRPr="000377C8">
        <w:rPr>
          <w:rFonts w:ascii="Palatino Linotype" w:hAnsi="Palatino Linotype" w:cs="Tahoma"/>
          <w:b/>
          <w:sz w:val="24"/>
          <w:szCs w:val="24"/>
          <w:lang w:val="es-ES"/>
        </w:rPr>
        <w:t xml:space="preserve">CUARTO. </w:t>
      </w:r>
      <w:r w:rsidR="00FA5CD1" w:rsidRPr="000377C8">
        <w:rPr>
          <w:rFonts w:ascii="Palatino Linotype" w:hAnsi="Palatino Linotype" w:cs="Tahoma"/>
          <w:b/>
          <w:sz w:val="24"/>
          <w:szCs w:val="24"/>
        </w:rPr>
        <w:t>Del estudio y resolución del recurso de revisión.</w:t>
      </w:r>
    </w:p>
    <w:p w14:paraId="5C4727CA" w14:textId="77777777" w:rsidR="00FA5CD1" w:rsidRPr="000377C8" w:rsidRDefault="00FA5CD1" w:rsidP="0037774E">
      <w:pPr>
        <w:keepNext/>
        <w:keepLines/>
        <w:spacing w:line="360" w:lineRule="auto"/>
        <w:ind w:right="48"/>
        <w:outlineLvl w:val="0"/>
        <w:rPr>
          <w:rFonts w:ascii="Palatino Linotype" w:eastAsia="MS Gothic" w:hAnsi="Palatino Linotype" w:cstheme="majorBidi"/>
          <w:b/>
          <w:lang w:val="es-ES_tradnl"/>
        </w:rPr>
      </w:pPr>
    </w:p>
    <w:p w14:paraId="30CE626D" w14:textId="77777777" w:rsidR="00FA5CD1" w:rsidRPr="000377C8" w:rsidRDefault="00FA5CD1" w:rsidP="0037774E">
      <w:pPr>
        <w:pStyle w:val="Prrafodelista"/>
        <w:keepNext/>
        <w:keepLines/>
        <w:numPr>
          <w:ilvl w:val="0"/>
          <w:numId w:val="48"/>
        </w:numPr>
        <w:spacing w:line="360" w:lineRule="auto"/>
        <w:jc w:val="both"/>
        <w:outlineLvl w:val="1"/>
        <w:rPr>
          <w:rFonts w:ascii="Palatino Linotype" w:eastAsia="MS Gothic" w:hAnsi="Palatino Linotype"/>
          <w:b/>
          <w:sz w:val="24"/>
          <w:lang w:val="es-ES_tradnl"/>
        </w:rPr>
      </w:pPr>
      <w:bookmarkStart w:id="3" w:name="_Toc498528948"/>
      <w:bookmarkStart w:id="4" w:name="_Toc71234379"/>
      <w:bookmarkStart w:id="5" w:name="_Toc71239557"/>
      <w:bookmarkStart w:id="6" w:name="_Toc80812776"/>
      <w:bookmarkStart w:id="7" w:name="_Toc82516500"/>
      <w:r w:rsidRPr="000377C8">
        <w:rPr>
          <w:rFonts w:ascii="Palatino Linotype" w:eastAsia="MS Gothic" w:hAnsi="Palatino Linotype"/>
          <w:b/>
          <w:sz w:val="24"/>
          <w:lang w:val="es-ES_tradnl"/>
        </w:rPr>
        <w:t>De</w:t>
      </w:r>
      <w:bookmarkEnd w:id="3"/>
      <w:r w:rsidRPr="000377C8">
        <w:rPr>
          <w:rFonts w:ascii="Palatino Linotype" w:eastAsia="MS Gothic" w:hAnsi="Palatino Linotype"/>
          <w:b/>
          <w:sz w:val="24"/>
          <w:lang w:val="es-ES_tradnl"/>
        </w:rPr>
        <w:t>l derecho de acceso a la información.</w:t>
      </w:r>
      <w:bookmarkEnd w:id="4"/>
      <w:bookmarkEnd w:id="5"/>
      <w:bookmarkEnd w:id="6"/>
      <w:bookmarkEnd w:id="7"/>
    </w:p>
    <w:p w14:paraId="78A2B49A" w14:textId="77777777" w:rsidR="00FA5CD1" w:rsidRPr="000377C8" w:rsidRDefault="00FA5CD1" w:rsidP="0037774E">
      <w:pPr>
        <w:spacing w:line="360" w:lineRule="auto"/>
        <w:ind w:right="49"/>
        <w:contextualSpacing/>
        <w:jc w:val="both"/>
        <w:rPr>
          <w:rFonts w:ascii="Palatino Linotype" w:eastAsiaTheme="minorEastAsia" w:hAnsi="Palatino Linotype"/>
          <w:sz w:val="24"/>
          <w:lang w:val="es-ES_tradnl"/>
        </w:rPr>
      </w:pPr>
    </w:p>
    <w:p w14:paraId="14F78351" w14:textId="77777777" w:rsidR="00FA5CD1"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Theme="minorEastAsia" w:hAnsi="Palatino Linotype"/>
          <w:sz w:val="24"/>
          <w:lang w:val="es-ES_tradnl"/>
        </w:rPr>
        <w:t>E</w:t>
      </w:r>
      <w:r w:rsidRPr="000377C8">
        <w:rPr>
          <w:rFonts w:ascii="Palatino Linotype" w:hAnsi="Palatino Linotype" w:cs="Arial"/>
          <w:color w:val="000000"/>
          <w:sz w:val="24"/>
          <w:lang w:val="es-ES_tradnl"/>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6756834" w14:textId="77777777" w:rsidR="00FA5CD1" w:rsidRPr="000377C8" w:rsidRDefault="00FA5CD1" w:rsidP="0037774E">
      <w:pPr>
        <w:spacing w:line="360" w:lineRule="auto"/>
        <w:ind w:right="49"/>
        <w:contextualSpacing/>
        <w:jc w:val="both"/>
        <w:rPr>
          <w:rFonts w:ascii="Palatino Linotype" w:eastAsiaTheme="minorEastAsia" w:hAnsi="Palatino Linotype"/>
          <w:sz w:val="24"/>
          <w:lang w:val="es-ES_tradnl"/>
        </w:rPr>
      </w:pPr>
    </w:p>
    <w:p w14:paraId="112B926C" w14:textId="77777777" w:rsidR="00FA5CD1"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sz w:val="24"/>
          <w:lang w:val="es-ES_tradnl"/>
        </w:rPr>
        <w:t xml:space="preserve">Definiendo el Derecho de Acceso a la Información Pública como: </w:t>
      </w:r>
      <w:r w:rsidRPr="000377C8">
        <w:rPr>
          <w:rFonts w:ascii="Palatino Linotype" w:eastAsiaTheme="minorEastAsia" w:hAnsi="Palatino Linotype"/>
          <w:i/>
          <w:color w:val="000000"/>
          <w:sz w:val="24"/>
          <w:lang w:val="es-ES_tradnl"/>
        </w:rPr>
        <w:t>La igualdad de oportunidades para recibir, buscar e impartir información</w:t>
      </w:r>
      <w:r w:rsidRPr="000377C8">
        <w:rPr>
          <w:rFonts w:ascii="Palatino Linotype" w:eastAsiaTheme="minorEastAsia" w:hAnsi="Palatino Linotype"/>
          <w:i/>
          <w:sz w:val="24"/>
          <w:vertAlign w:val="superscript"/>
          <w:lang w:val="es-ES_tradnl"/>
        </w:rPr>
        <w:footnoteReference w:id="1"/>
      </w:r>
      <w:r w:rsidRPr="000377C8">
        <w:rPr>
          <w:rFonts w:ascii="Palatino Linotype" w:eastAsiaTheme="minorEastAsia" w:hAnsi="Palatino Linotype"/>
          <w:i/>
          <w:color w:val="000000"/>
          <w:sz w:val="24"/>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377C8">
        <w:rPr>
          <w:rFonts w:ascii="Palatino Linotype" w:eastAsiaTheme="minorEastAsia" w:hAnsi="Palatino Linotype"/>
          <w:i/>
          <w:sz w:val="24"/>
          <w:vertAlign w:val="superscript"/>
          <w:lang w:val="es-ES_tradnl"/>
        </w:rPr>
        <w:footnoteReference w:id="2"/>
      </w:r>
      <w:r w:rsidRPr="000377C8">
        <w:rPr>
          <w:rFonts w:ascii="Palatino Linotype" w:eastAsiaTheme="minorEastAsia" w:hAnsi="Palatino Linotype"/>
          <w:color w:val="000000"/>
          <w:sz w:val="24"/>
          <w:lang w:val="es-ES_tradnl"/>
        </w:rPr>
        <w:t>que se constituye como una herramienta fundamental para ejercer</w:t>
      </w:r>
      <w:r w:rsidRPr="000377C8">
        <w:rPr>
          <w:rFonts w:ascii="Palatino Linotype" w:eastAsiaTheme="minorEastAsia" w:hAnsi="Palatino Linotype"/>
          <w:i/>
          <w:color w:val="000000"/>
          <w:sz w:val="24"/>
          <w:lang w:val="es-ES_tradnl"/>
        </w:rPr>
        <w:t xml:space="preserve"> el control democrático de las gestiones estatales, de forma tal que puedan cuestionar, indagar y considerar si se está dando un adecuado cumplimiento a las </w:t>
      </w:r>
      <w:r w:rsidRPr="000377C8">
        <w:rPr>
          <w:rFonts w:ascii="Palatino Linotype" w:eastAsiaTheme="minorEastAsia" w:hAnsi="Palatino Linotype"/>
          <w:i/>
          <w:color w:val="000000"/>
          <w:sz w:val="24"/>
          <w:lang w:val="es-ES_tradnl"/>
        </w:rPr>
        <w:lastRenderedPageBreak/>
        <w:t>funciones públicas,</w:t>
      </w:r>
      <w:r w:rsidRPr="000377C8">
        <w:rPr>
          <w:rFonts w:ascii="Palatino Linotype" w:eastAsiaTheme="minorEastAsia" w:hAnsi="Palatino Linotype"/>
          <w:i/>
          <w:sz w:val="24"/>
          <w:vertAlign w:val="superscript"/>
          <w:lang w:val="es-ES_tradnl"/>
        </w:rPr>
        <w:footnoteReference w:id="3"/>
      </w:r>
      <w:r w:rsidRPr="000377C8">
        <w:rPr>
          <w:rFonts w:ascii="Palatino Linotype" w:eastAsiaTheme="minorEastAsia" w:hAnsi="Palatino Linotype"/>
          <w:color w:val="000000"/>
          <w:sz w:val="24"/>
          <w:lang w:val="es-ES_tradnl"/>
        </w:rPr>
        <w:t>fomentando</w:t>
      </w:r>
      <w:r w:rsidRPr="000377C8">
        <w:rPr>
          <w:rFonts w:ascii="Palatino Linotype" w:eastAsiaTheme="minorEastAsia" w:hAnsi="Palatino Linotype"/>
          <w:i/>
          <w:color w:val="000000"/>
          <w:sz w:val="24"/>
          <w:lang w:val="es-ES_tradnl"/>
        </w:rPr>
        <w:t xml:space="preserve"> la transparencia de las actividades estatales y </w:t>
      </w:r>
      <w:r w:rsidRPr="000377C8">
        <w:rPr>
          <w:rFonts w:ascii="Palatino Linotype" w:eastAsiaTheme="minorEastAsia" w:hAnsi="Palatino Linotype"/>
          <w:color w:val="000000"/>
          <w:sz w:val="24"/>
          <w:lang w:val="es-ES_tradnl"/>
        </w:rPr>
        <w:t>promoviendo</w:t>
      </w:r>
      <w:r w:rsidRPr="000377C8">
        <w:rPr>
          <w:rFonts w:ascii="Palatino Linotype" w:eastAsiaTheme="minorEastAsia" w:hAnsi="Palatino Linotype"/>
          <w:i/>
          <w:color w:val="000000"/>
          <w:sz w:val="24"/>
          <w:lang w:val="es-ES_tradnl"/>
        </w:rPr>
        <w:t xml:space="preserve"> la responsabilidad de los funcionarios sobre su gestión pública,</w:t>
      </w:r>
      <w:r w:rsidRPr="000377C8">
        <w:rPr>
          <w:rFonts w:ascii="Palatino Linotype" w:eastAsiaTheme="minorEastAsia" w:hAnsi="Palatino Linotype"/>
          <w:i/>
          <w:sz w:val="24"/>
          <w:vertAlign w:val="superscript"/>
          <w:lang w:val="es-ES_tradnl"/>
        </w:rPr>
        <w:footnoteReference w:id="4"/>
      </w:r>
      <w:r w:rsidRPr="000377C8">
        <w:rPr>
          <w:rFonts w:ascii="Palatino Linotype" w:eastAsiaTheme="minorEastAsia" w:hAnsi="Palatino Linotype"/>
          <w:color w:val="000000"/>
          <w:sz w:val="24"/>
          <w:lang w:val="es-ES_tradnl"/>
        </w:rPr>
        <w:t>que permite</w:t>
      </w:r>
      <w:r w:rsidRPr="000377C8">
        <w:rPr>
          <w:rFonts w:ascii="Palatino Linotype" w:eastAsiaTheme="minorEastAsia" w:hAnsi="Palatino Linotype"/>
          <w:i/>
          <w:color w:val="000000"/>
          <w:sz w:val="24"/>
          <w:lang w:val="es-ES_tradnl"/>
        </w:rPr>
        <w:t xml:space="preserve"> saber qué están haciendo los gobiernos por sus pueblos, sin lo cual la verdad languidecería y la participación en el gobierno permanecería fragmentada.</w:t>
      </w:r>
    </w:p>
    <w:p w14:paraId="4F9CF2B4" w14:textId="77777777" w:rsidR="00FA5CD1" w:rsidRPr="000377C8" w:rsidRDefault="00FA5CD1" w:rsidP="0037774E">
      <w:pPr>
        <w:spacing w:line="360" w:lineRule="auto"/>
        <w:ind w:right="49"/>
        <w:contextualSpacing/>
        <w:jc w:val="both"/>
        <w:rPr>
          <w:rFonts w:ascii="Palatino Linotype" w:eastAsiaTheme="minorEastAsia" w:hAnsi="Palatino Linotype"/>
          <w:lang w:val="es-ES_tradnl"/>
        </w:rPr>
      </w:pPr>
    </w:p>
    <w:p w14:paraId="5317C971" w14:textId="77777777" w:rsidR="00FA5CD1"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sz w:val="24"/>
          <w:lang w:val="es-ES_tradnl"/>
        </w:rPr>
        <w:t>En México, además de los derechos, están reconocidas las garantías para su protección, en ese sentido el párrafo tercero de artículo primero de la Constitución Política de los Estados Unidos Mexicanos, dispone lo siguiente:</w:t>
      </w:r>
    </w:p>
    <w:p w14:paraId="5297DD06" w14:textId="77777777" w:rsidR="00FA5CD1" w:rsidRPr="000377C8" w:rsidRDefault="00FA5CD1" w:rsidP="0037774E">
      <w:pPr>
        <w:spacing w:line="360" w:lineRule="auto"/>
        <w:ind w:right="49"/>
        <w:contextualSpacing/>
        <w:jc w:val="both"/>
        <w:rPr>
          <w:rFonts w:ascii="Palatino Linotype" w:hAnsi="Palatino Linotype"/>
          <w:lang w:val="es-ES_tradnl"/>
        </w:rPr>
      </w:pPr>
    </w:p>
    <w:p w14:paraId="27071B61" w14:textId="77777777" w:rsidR="00FA5CD1" w:rsidRPr="000377C8" w:rsidRDefault="00FA5CD1" w:rsidP="0037774E">
      <w:pPr>
        <w:spacing w:line="360" w:lineRule="auto"/>
        <w:ind w:left="567" w:right="567"/>
        <w:contextualSpacing/>
        <w:jc w:val="both"/>
        <w:rPr>
          <w:rFonts w:ascii="Palatino Linotype" w:hAnsi="Palatino Linotype"/>
          <w:i/>
          <w:sz w:val="22"/>
          <w:lang w:val="es-ES_tradnl"/>
        </w:rPr>
      </w:pPr>
      <w:r w:rsidRPr="000377C8">
        <w:rPr>
          <w:rFonts w:ascii="Palatino Linotype" w:hAnsi="Palatino Linotype"/>
          <w:i/>
          <w:sz w:val="22"/>
          <w:lang w:val="es-ES_tradnl"/>
        </w:rPr>
        <w:t>“</w:t>
      </w:r>
      <w:r w:rsidRPr="000377C8">
        <w:rPr>
          <w:rFonts w:ascii="Palatino Linotype" w:hAnsi="Palatino Linotype"/>
          <w:b/>
          <w:i/>
          <w:sz w:val="22"/>
          <w:lang w:val="es-ES_tradnl"/>
        </w:rPr>
        <w:t>Artículo 1.-</w:t>
      </w:r>
      <w:r w:rsidRPr="000377C8">
        <w:rPr>
          <w:rFonts w:ascii="Palatino Linotype" w:hAnsi="Palatino Linotype"/>
          <w:i/>
          <w:sz w:val="22"/>
          <w:lang w:val="es-ES_tradnl"/>
        </w:rPr>
        <w:t xml:space="preserve"> </w:t>
      </w:r>
    </w:p>
    <w:p w14:paraId="56B216CD" w14:textId="77777777" w:rsidR="00FA5CD1" w:rsidRPr="000377C8" w:rsidRDefault="00FA5CD1" w:rsidP="0037774E">
      <w:pPr>
        <w:spacing w:line="360" w:lineRule="auto"/>
        <w:ind w:left="567" w:right="567"/>
        <w:contextualSpacing/>
        <w:jc w:val="both"/>
        <w:rPr>
          <w:rFonts w:ascii="Palatino Linotype" w:hAnsi="Palatino Linotype"/>
          <w:i/>
          <w:sz w:val="22"/>
          <w:lang w:val="es-ES_tradnl"/>
        </w:rPr>
      </w:pPr>
      <w:r w:rsidRPr="000377C8">
        <w:rPr>
          <w:rFonts w:ascii="Palatino Linotype" w:hAnsi="Palatino Linotype"/>
          <w:i/>
          <w:sz w:val="22"/>
          <w:lang w:val="es-ES_tradnl"/>
        </w:rPr>
        <w:t>(…)</w:t>
      </w:r>
    </w:p>
    <w:p w14:paraId="0921AA04" w14:textId="77777777" w:rsidR="00FA5CD1" w:rsidRPr="000377C8" w:rsidRDefault="00FA5CD1" w:rsidP="0037774E">
      <w:pPr>
        <w:spacing w:line="360" w:lineRule="auto"/>
        <w:ind w:left="567" w:right="567"/>
        <w:contextualSpacing/>
        <w:jc w:val="both"/>
        <w:rPr>
          <w:rFonts w:ascii="Palatino Linotype" w:hAnsi="Palatino Linotype"/>
          <w:i/>
          <w:sz w:val="22"/>
        </w:rPr>
      </w:pPr>
      <w:r w:rsidRPr="000377C8">
        <w:rPr>
          <w:rFonts w:ascii="Palatino Linotype" w:hAnsi="Palatino Linotype"/>
          <w:i/>
          <w:sz w:val="22"/>
          <w:lang w:val="es-ES_tradnl"/>
        </w:rPr>
        <w:t>Todas las</w:t>
      </w:r>
      <w:r w:rsidRPr="000377C8">
        <w:rPr>
          <w:rFonts w:ascii="Palatino Linotype" w:hAnsi="Palatino Linotype"/>
          <w:sz w:val="22"/>
          <w:lang w:val="es-ES_tradnl"/>
        </w:rPr>
        <w:t xml:space="preserve"> </w:t>
      </w:r>
      <w:r w:rsidRPr="000377C8">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B841260" w14:textId="77777777" w:rsidR="00FA5CD1" w:rsidRPr="000377C8" w:rsidRDefault="00FA5CD1" w:rsidP="0037774E">
      <w:pPr>
        <w:spacing w:line="360" w:lineRule="auto"/>
        <w:ind w:left="567" w:right="567"/>
        <w:contextualSpacing/>
        <w:jc w:val="both"/>
        <w:rPr>
          <w:rFonts w:ascii="Palatino Linotype" w:hAnsi="Palatino Linotype"/>
          <w:sz w:val="22"/>
          <w:lang w:val="es-ES_tradnl"/>
        </w:rPr>
      </w:pPr>
      <w:r w:rsidRPr="000377C8">
        <w:rPr>
          <w:rFonts w:ascii="Palatino Linotype" w:hAnsi="Palatino Linotype"/>
          <w:i/>
          <w:sz w:val="22"/>
        </w:rPr>
        <w:t>(…)</w:t>
      </w:r>
      <w:r w:rsidRPr="000377C8">
        <w:rPr>
          <w:rFonts w:ascii="Palatino Linotype" w:hAnsi="Palatino Linotype"/>
          <w:sz w:val="22"/>
          <w:lang w:val="es-ES_tradnl"/>
        </w:rPr>
        <w:t>”.</w:t>
      </w:r>
    </w:p>
    <w:p w14:paraId="44C1CC2F" w14:textId="77777777" w:rsidR="00FA5CD1" w:rsidRPr="000377C8" w:rsidRDefault="00FA5CD1" w:rsidP="0037774E">
      <w:pPr>
        <w:spacing w:line="360" w:lineRule="auto"/>
        <w:ind w:left="567" w:right="567"/>
        <w:contextualSpacing/>
        <w:jc w:val="both"/>
        <w:rPr>
          <w:rFonts w:ascii="Palatino Linotype" w:hAnsi="Palatino Linotype"/>
          <w:b/>
          <w:sz w:val="22"/>
          <w:lang w:val="es-ES_tradnl"/>
        </w:rPr>
      </w:pPr>
      <w:r w:rsidRPr="000377C8">
        <w:rPr>
          <w:rFonts w:ascii="Palatino Linotype" w:hAnsi="Palatino Linotype"/>
          <w:b/>
          <w:i/>
          <w:sz w:val="22"/>
        </w:rPr>
        <w:t>(Énfasis Añadido)</w:t>
      </w:r>
    </w:p>
    <w:p w14:paraId="59C302B6" w14:textId="77777777" w:rsidR="00FA5CD1" w:rsidRPr="000377C8" w:rsidRDefault="00FA5CD1" w:rsidP="0037774E">
      <w:pPr>
        <w:spacing w:line="360" w:lineRule="auto"/>
        <w:ind w:right="49"/>
        <w:contextualSpacing/>
        <w:jc w:val="both"/>
        <w:rPr>
          <w:rFonts w:ascii="Palatino Linotype" w:eastAsiaTheme="minorEastAsia" w:hAnsi="Palatino Linotype"/>
          <w:lang w:val="es-ES_tradnl"/>
        </w:rPr>
      </w:pPr>
    </w:p>
    <w:p w14:paraId="294BDF94" w14:textId="77777777" w:rsidR="00FA5CD1"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sz w:val="24"/>
          <w:lang w:val="es-ES_tradnl"/>
        </w:rPr>
        <w:t xml:space="preserve">Por lo anterior, se deduce que el Derecho de Acceso a la Información Pública es un Derecho Humano de Fuente Internacional y Constitucionalmente reconocido. </w:t>
      </w:r>
      <w:r w:rsidRPr="000377C8">
        <w:rPr>
          <w:rFonts w:ascii="Palatino Linotype" w:hAnsi="Palatino Linotype"/>
          <w:sz w:val="24"/>
          <w:lang w:val="es-ES_tradnl"/>
        </w:rPr>
        <w:lastRenderedPageBreak/>
        <w:t>Además del derecho, también se reconocen garantías para su protección, lo que vincula con el mandato del párrafo tercero de mismo artículo.</w:t>
      </w:r>
    </w:p>
    <w:p w14:paraId="5ECCF3FA" w14:textId="77777777" w:rsidR="00FA5CD1" w:rsidRPr="000377C8" w:rsidRDefault="00FA5CD1" w:rsidP="0037774E">
      <w:pPr>
        <w:spacing w:line="360" w:lineRule="auto"/>
        <w:ind w:right="49"/>
        <w:contextualSpacing/>
        <w:jc w:val="both"/>
        <w:rPr>
          <w:rFonts w:ascii="Palatino Linotype" w:eastAsiaTheme="minorEastAsia" w:hAnsi="Palatino Linotype"/>
          <w:sz w:val="24"/>
          <w:lang w:val="es-ES_tradnl"/>
        </w:rPr>
      </w:pPr>
    </w:p>
    <w:p w14:paraId="77B89509" w14:textId="77777777" w:rsidR="00FA5CD1"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Theme="minorEastAsia" w:hAnsi="Palatino Linotype"/>
          <w:sz w:val="24"/>
          <w:lang w:val="es-ES_tradnl"/>
        </w:rPr>
        <w:t xml:space="preserve">Así, conforme a la Constitución Política de las Estado Unidos Mexicanos </w:t>
      </w:r>
      <w:r w:rsidRPr="000377C8">
        <w:rPr>
          <w:rFonts w:ascii="Palatino Linotype" w:eastAsia="Calibri" w:hAnsi="Palatino Linotype"/>
          <w:sz w:val="24"/>
          <w:lang w:val="es-ES_tradnl"/>
        </w:rPr>
        <w:t>y la Constitución Política del Estado Libre y Soberano de México respectivamente</w:t>
      </w:r>
      <w:r w:rsidRPr="000377C8">
        <w:rPr>
          <w:rFonts w:ascii="Palatino Linotype" w:eastAsiaTheme="minorEastAsia" w:hAnsi="Palatino Linotype"/>
          <w:sz w:val="24"/>
          <w:lang w:val="es-ES_tradnl"/>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7F3A6497" w14:textId="77777777" w:rsidR="00FA5CD1" w:rsidRPr="000377C8" w:rsidRDefault="00FA5CD1" w:rsidP="0037774E">
      <w:pPr>
        <w:spacing w:line="360" w:lineRule="auto"/>
        <w:ind w:right="49"/>
        <w:contextualSpacing/>
        <w:jc w:val="both"/>
        <w:rPr>
          <w:rFonts w:ascii="Palatino Linotype" w:eastAsiaTheme="minorEastAsia" w:hAnsi="Palatino Linotype"/>
          <w:lang w:val="es-ES_tradnl"/>
        </w:rPr>
      </w:pPr>
    </w:p>
    <w:p w14:paraId="7E31EB77" w14:textId="77777777" w:rsidR="00FA5CD1" w:rsidRPr="000377C8" w:rsidRDefault="00FA5CD1" w:rsidP="0037774E">
      <w:pPr>
        <w:spacing w:line="360" w:lineRule="auto"/>
        <w:ind w:left="567" w:right="567"/>
        <w:jc w:val="center"/>
        <w:rPr>
          <w:rFonts w:ascii="Palatino Linotype" w:eastAsiaTheme="minorEastAsia" w:hAnsi="Palatino Linotype" w:cs="Arial"/>
          <w:b/>
          <w:bCs/>
          <w:i/>
          <w:sz w:val="22"/>
          <w:lang w:val="es-ES_tradnl"/>
        </w:rPr>
      </w:pPr>
      <w:r w:rsidRPr="000377C8">
        <w:rPr>
          <w:rFonts w:ascii="Palatino Linotype" w:eastAsiaTheme="minorEastAsia" w:hAnsi="Palatino Linotype" w:cs="Arial"/>
          <w:b/>
          <w:bCs/>
          <w:i/>
          <w:sz w:val="22"/>
          <w:lang w:val="es-ES_tradnl"/>
        </w:rPr>
        <w:t>Constitución Política de los Estados Unidos Mexicanos</w:t>
      </w:r>
    </w:p>
    <w:p w14:paraId="5C2322C0" w14:textId="77777777" w:rsidR="00FA5CD1" w:rsidRPr="000377C8" w:rsidRDefault="00FA5CD1" w:rsidP="0037774E">
      <w:pPr>
        <w:spacing w:line="360" w:lineRule="auto"/>
        <w:ind w:left="567" w:right="567"/>
        <w:jc w:val="both"/>
        <w:rPr>
          <w:rFonts w:ascii="Palatino Linotype" w:eastAsiaTheme="minorEastAsia" w:hAnsi="Palatino Linotype" w:cs="Arial"/>
          <w:b/>
          <w:bCs/>
          <w:i/>
          <w:sz w:val="22"/>
          <w:lang w:val="es-ES_tradnl"/>
        </w:rPr>
      </w:pPr>
      <w:r w:rsidRPr="000377C8">
        <w:rPr>
          <w:rFonts w:ascii="Palatino Linotype" w:eastAsiaTheme="minorEastAsia" w:hAnsi="Palatino Linotype" w:cs="Arial"/>
          <w:b/>
          <w:bCs/>
          <w:i/>
          <w:sz w:val="22"/>
          <w:lang w:val="es-ES_tradnl"/>
        </w:rPr>
        <w:t>“Artículo 6.</w:t>
      </w:r>
      <w:r w:rsidRPr="000377C8">
        <w:rPr>
          <w:rFonts w:ascii="Palatino Linotype" w:eastAsiaTheme="minorEastAsia" w:hAnsi="Palatino Linotype" w:cs="Arial"/>
          <w:bCs/>
          <w:i/>
          <w:sz w:val="22"/>
          <w:lang w:val="es-ES_tradnl"/>
        </w:rPr>
        <w:t xml:space="preserve"> …</w:t>
      </w:r>
    </w:p>
    <w:p w14:paraId="4AF8F697"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Cs/>
          <w:i/>
          <w:sz w:val="22"/>
          <w:lang w:val="es-ES_tradnl"/>
        </w:rPr>
        <w:t>…</w:t>
      </w:r>
    </w:p>
    <w:p w14:paraId="4C18ECB3"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Cs/>
          <w:i/>
          <w:sz w:val="22"/>
          <w:lang w:val="es-ES_tradnl"/>
        </w:rPr>
        <w:t>Para efectos de lo dispuesto en el presente artículo se observará lo siguiente:</w:t>
      </w:r>
    </w:p>
    <w:p w14:paraId="733D73CE" w14:textId="77777777" w:rsidR="00FA5CD1" w:rsidRPr="000377C8" w:rsidRDefault="00FA5CD1" w:rsidP="0037774E">
      <w:pPr>
        <w:spacing w:line="360" w:lineRule="auto"/>
        <w:ind w:left="567" w:right="567"/>
        <w:jc w:val="both"/>
        <w:rPr>
          <w:rFonts w:ascii="Palatino Linotype" w:eastAsiaTheme="minorEastAsia" w:hAnsi="Palatino Linotype" w:cs="Arial"/>
          <w:b/>
          <w:bCs/>
          <w:i/>
          <w:sz w:val="22"/>
          <w:lang w:val="es-ES_tradnl"/>
        </w:rPr>
      </w:pPr>
      <w:r w:rsidRPr="000377C8">
        <w:rPr>
          <w:rFonts w:ascii="Palatino Linotype" w:eastAsiaTheme="minorEastAsia" w:hAnsi="Palatino Linotype" w:cs="Arial"/>
          <w:b/>
          <w:bCs/>
          <w:i/>
          <w:sz w:val="22"/>
          <w:lang w:val="es-ES_tradnl"/>
        </w:rPr>
        <w:t>A</w:t>
      </w:r>
      <w:r w:rsidRPr="000377C8">
        <w:rPr>
          <w:rFonts w:ascii="Palatino Linotype" w:eastAsiaTheme="minorEastAsia" w:hAnsi="Palatino Linotype" w:cs="Arial"/>
          <w:bCs/>
          <w:i/>
          <w:sz w:val="22"/>
          <w:lang w:val="es-ES_tradnl"/>
        </w:rPr>
        <w:t xml:space="preserve">. </w:t>
      </w:r>
      <w:r w:rsidRPr="000377C8">
        <w:rPr>
          <w:rFonts w:ascii="Palatino Linotype" w:eastAsiaTheme="minorEastAsia" w:hAnsi="Palatino Linotype" w:cs="Arial"/>
          <w:b/>
          <w:bCs/>
          <w:i/>
          <w:sz w:val="22"/>
          <w:lang w:val="es-ES_tradnl"/>
        </w:rPr>
        <w:t>Para el ejercicio del derecho de acceso a la información</w:t>
      </w:r>
      <w:r w:rsidRPr="000377C8">
        <w:rPr>
          <w:rFonts w:ascii="Palatino Linotype" w:eastAsiaTheme="minorEastAsia" w:hAnsi="Palatino Linotype" w:cs="Arial"/>
          <w:bCs/>
          <w:i/>
          <w:sz w:val="22"/>
          <w:lang w:val="es-ES_tradnl"/>
        </w:rPr>
        <w:t xml:space="preserve">, la Federación y </w:t>
      </w:r>
      <w:r w:rsidRPr="000377C8">
        <w:rPr>
          <w:rFonts w:ascii="Palatino Linotype" w:eastAsiaTheme="minorEastAsia" w:hAnsi="Palatino Linotype" w:cs="Arial"/>
          <w:b/>
          <w:bCs/>
          <w:i/>
          <w:sz w:val="22"/>
          <w:lang w:val="es-ES_tradnl"/>
        </w:rPr>
        <w:t>las entidades federativas, en el ámbito de sus respectivas competencias, se regirán por los siguientes principios y bases:</w:t>
      </w:r>
    </w:p>
    <w:p w14:paraId="17908B71"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
          <w:bCs/>
          <w:i/>
          <w:sz w:val="22"/>
          <w:lang w:val="es-ES_tradnl"/>
        </w:rPr>
        <w:t xml:space="preserve">I. </w:t>
      </w:r>
      <w:r w:rsidRPr="000377C8">
        <w:rPr>
          <w:rFonts w:ascii="Palatino Linotype" w:eastAsiaTheme="minorEastAsia" w:hAnsi="Palatino Linotype" w:cs="Arial"/>
          <w:b/>
          <w:bCs/>
          <w:i/>
          <w:sz w:val="22"/>
          <w:lang w:val="es-ES_tradnl"/>
        </w:rPr>
        <w:tab/>
        <w:t>Toda la información en posesión de cualquier</w:t>
      </w:r>
      <w:r w:rsidRPr="000377C8">
        <w:rPr>
          <w:rFonts w:ascii="Palatino Linotype" w:eastAsiaTheme="minorEastAsia" w:hAnsi="Palatino Linotype" w:cs="Arial"/>
          <w:bCs/>
          <w:i/>
          <w:sz w:val="22"/>
          <w:lang w:val="es-ES_tradnl"/>
        </w:rPr>
        <w:t xml:space="preserve"> </w:t>
      </w:r>
      <w:r w:rsidRPr="000377C8">
        <w:rPr>
          <w:rFonts w:ascii="Palatino Linotype" w:eastAsiaTheme="minorEastAsia" w:hAnsi="Palatino Linotype" w:cs="Arial"/>
          <w:b/>
          <w:bCs/>
          <w:i/>
          <w:sz w:val="22"/>
          <w:lang w:val="es-ES_tradnl"/>
        </w:rPr>
        <w:t>autoridad</w:t>
      </w:r>
      <w:r w:rsidRPr="000377C8">
        <w:rPr>
          <w:rFonts w:ascii="Palatino Linotype" w:eastAsiaTheme="minorEastAsia" w:hAnsi="Palatino Linotype" w:cs="Arial"/>
          <w:bCs/>
          <w:i/>
          <w:sz w:val="22"/>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377C8">
        <w:rPr>
          <w:rFonts w:ascii="Palatino Linotype" w:eastAsiaTheme="minorEastAsia" w:hAnsi="Palatino Linotype" w:cs="Arial"/>
          <w:b/>
          <w:bCs/>
          <w:i/>
          <w:sz w:val="22"/>
          <w:lang w:val="es-ES_tradnl"/>
        </w:rPr>
        <w:t>municipal</w:t>
      </w:r>
      <w:r w:rsidRPr="000377C8">
        <w:rPr>
          <w:rFonts w:ascii="Palatino Linotype" w:eastAsiaTheme="minorEastAsia" w:hAnsi="Palatino Linotype" w:cs="Arial"/>
          <w:bCs/>
          <w:i/>
          <w:sz w:val="22"/>
          <w:lang w:val="es-ES_tradnl"/>
        </w:rPr>
        <w:t xml:space="preserve">, </w:t>
      </w:r>
      <w:r w:rsidRPr="000377C8">
        <w:rPr>
          <w:rFonts w:ascii="Palatino Linotype" w:eastAsiaTheme="minorEastAsia" w:hAnsi="Palatino Linotype" w:cs="Arial"/>
          <w:b/>
          <w:bCs/>
          <w:i/>
          <w:sz w:val="22"/>
          <w:lang w:val="es-ES_tradnl"/>
        </w:rPr>
        <w:t>es pública</w:t>
      </w:r>
      <w:r w:rsidRPr="000377C8">
        <w:rPr>
          <w:rFonts w:ascii="Palatino Linotype" w:eastAsiaTheme="minorEastAsia" w:hAnsi="Palatino Linotype" w:cs="Arial"/>
          <w:bCs/>
          <w:i/>
          <w:sz w:val="22"/>
          <w:lang w:val="es-ES_tradnl"/>
        </w:rPr>
        <w:t xml:space="preserve"> y sólo podrá ser reservada temporalmente por razones de interés público y seguridad nacional, en los términos que fijen las leyes. </w:t>
      </w:r>
      <w:r w:rsidRPr="000377C8">
        <w:rPr>
          <w:rFonts w:ascii="Palatino Linotype" w:eastAsiaTheme="minorEastAsia" w:hAnsi="Palatino Linotype" w:cs="Arial"/>
          <w:b/>
          <w:bCs/>
          <w:i/>
          <w:sz w:val="22"/>
          <w:lang w:val="es-ES_tradnl"/>
        </w:rPr>
        <w:t xml:space="preserve">En la interpretación de este derecho deberá prevalecer el principio de máxima publicidad. Los sujetos obligados deberán documentar todo acto que derive del </w:t>
      </w:r>
      <w:r w:rsidRPr="000377C8">
        <w:rPr>
          <w:rFonts w:ascii="Palatino Linotype" w:eastAsiaTheme="minorEastAsia" w:hAnsi="Palatino Linotype" w:cs="Arial"/>
          <w:b/>
          <w:bCs/>
          <w:i/>
          <w:sz w:val="22"/>
          <w:lang w:val="es-ES_tradnl"/>
        </w:rPr>
        <w:lastRenderedPageBreak/>
        <w:t>ejercicio de sus facultades, competencias o funciones</w:t>
      </w:r>
      <w:r w:rsidRPr="000377C8">
        <w:rPr>
          <w:rFonts w:ascii="Palatino Linotype" w:eastAsiaTheme="minorEastAsia" w:hAnsi="Palatino Linotype" w:cs="Arial"/>
          <w:bCs/>
          <w:i/>
          <w:sz w:val="22"/>
          <w:lang w:val="es-ES_tradnl"/>
        </w:rPr>
        <w:t>, la ley determinará los supuestos específicos bajo los cuales procederá la declaración de inexistencia de la información.”</w:t>
      </w:r>
    </w:p>
    <w:p w14:paraId="1F422D38" w14:textId="77777777" w:rsidR="00FA5CD1" w:rsidRPr="000377C8" w:rsidRDefault="00FA5CD1" w:rsidP="0037774E">
      <w:pPr>
        <w:pStyle w:val="Prrafodelista"/>
        <w:tabs>
          <w:tab w:val="left" w:pos="567"/>
        </w:tabs>
        <w:spacing w:line="360" w:lineRule="auto"/>
        <w:ind w:left="567" w:right="567"/>
        <w:jc w:val="both"/>
        <w:rPr>
          <w:rFonts w:ascii="Palatino Linotype" w:hAnsi="Palatino Linotype" w:cs="Arial"/>
          <w:b/>
          <w:bCs/>
          <w:i/>
        </w:rPr>
      </w:pPr>
      <w:r w:rsidRPr="000377C8">
        <w:rPr>
          <w:rFonts w:ascii="Palatino Linotype" w:hAnsi="Palatino Linotype" w:cs="Arial"/>
          <w:b/>
          <w:bCs/>
          <w:i/>
        </w:rPr>
        <w:t>(Énfasis añadido)</w:t>
      </w:r>
    </w:p>
    <w:p w14:paraId="48CD758A" w14:textId="77777777" w:rsidR="00FA5CD1" w:rsidRPr="000377C8" w:rsidRDefault="00FA5CD1" w:rsidP="0037774E">
      <w:pPr>
        <w:pStyle w:val="Prrafodelista"/>
        <w:tabs>
          <w:tab w:val="left" w:pos="567"/>
        </w:tabs>
        <w:spacing w:line="360" w:lineRule="auto"/>
        <w:ind w:left="567" w:right="567"/>
        <w:jc w:val="both"/>
        <w:rPr>
          <w:rFonts w:ascii="Palatino Linotype" w:hAnsi="Palatino Linotype" w:cs="Arial"/>
          <w:b/>
          <w:bCs/>
          <w:i/>
        </w:rPr>
      </w:pPr>
    </w:p>
    <w:p w14:paraId="0D2311D1" w14:textId="77777777" w:rsidR="00FA5CD1" w:rsidRPr="000377C8" w:rsidRDefault="00FA5CD1" w:rsidP="0037774E">
      <w:pPr>
        <w:spacing w:line="360" w:lineRule="auto"/>
        <w:ind w:left="567" w:right="567"/>
        <w:jc w:val="center"/>
        <w:rPr>
          <w:rFonts w:ascii="Palatino Linotype" w:eastAsiaTheme="minorEastAsia" w:hAnsi="Palatino Linotype" w:cs="Arial"/>
          <w:b/>
          <w:bCs/>
          <w:i/>
          <w:sz w:val="22"/>
          <w:lang w:val="es-ES_tradnl"/>
        </w:rPr>
      </w:pPr>
      <w:r w:rsidRPr="000377C8">
        <w:rPr>
          <w:rFonts w:ascii="Palatino Linotype" w:eastAsiaTheme="minorEastAsia" w:hAnsi="Palatino Linotype" w:cs="Arial"/>
          <w:b/>
          <w:bCs/>
          <w:i/>
          <w:sz w:val="22"/>
          <w:lang w:val="es-ES_tradnl"/>
        </w:rPr>
        <w:t>Constitución Política del Estado Libre y Soberano de México</w:t>
      </w:r>
    </w:p>
    <w:p w14:paraId="156F3ADF"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
          <w:bCs/>
          <w:i/>
          <w:sz w:val="22"/>
          <w:lang w:val="es-ES_tradnl"/>
        </w:rPr>
        <w:t>“Artículo 5</w:t>
      </w:r>
      <w:r w:rsidRPr="000377C8">
        <w:rPr>
          <w:rFonts w:ascii="Palatino Linotype" w:eastAsiaTheme="minorEastAsia" w:hAnsi="Palatino Linotype" w:cs="Arial"/>
          <w:bCs/>
          <w:i/>
          <w:sz w:val="22"/>
          <w:lang w:val="es-ES_tradnl"/>
        </w:rPr>
        <w:t>.- …</w:t>
      </w:r>
    </w:p>
    <w:p w14:paraId="67323C79"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Cs/>
          <w:i/>
          <w:sz w:val="22"/>
          <w:lang w:val="es-ES_tradnl"/>
        </w:rPr>
        <w:t>…</w:t>
      </w:r>
    </w:p>
    <w:p w14:paraId="0D46E865"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
          <w:bCs/>
          <w:i/>
          <w:sz w:val="22"/>
          <w:lang w:val="es-ES_tradnl"/>
        </w:rPr>
        <w:t>El derecho a la información será garantizado por el Estado. La ley establecerá las previsiones que permitan asegurar la protección, el respeto y la difusión de este derecho</w:t>
      </w:r>
      <w:r w:rsidRPr="000377C8">
        <w:rPr>
          <w:rFonts w:ascii="Palatino Linotype" w:eastAsiaTheme="minorEastAsia" w:hAnsi="Palatino Linotype" w:cs="Arial"/>
          <w:bCs/>
          <w:i/>
          <w:sz w:val="22"/>
          <w:lang w:val="es-ES_tradnl"/>
        </w:rPr>
        <w:t>.</w:t>
      </w:r>
    </w:p>
    <w:p w14:paraId="744E1686"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Cs/>
          <w:i/>
          <w:sz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2C2F67B"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
          <w:bCs/>
          <w:i/>
          <w:sz w:val="22"/>
          <w:lang w:val="es-ES_tradnl"/>
        </w:rPr>
        <w:t>Este derecho se regirá por los principios y bases siguientes</w:t>
      </w:r>
      <w:r w:rsidRPr="000377C8">
        <w:rPr>
          <w:rFonts w:ascii="Palatino Linotype" w:eastAsiaTheme="minorEastAsia" w:hAnsi="Palatino Linotype" w:cs="Arial"/>
          <w:bCs/>
          <w:i/>
          <w:sz w:val="22"/>
          <w:lang w:val="es-ES_tradnl"/>
        </w:rPr>
        <w:t>:</w:t>
      </w:r>
    </w:p>
    <w:p w14:paraId="3C76CACA" w14:textId="77777777" w:rsidR="00FA5CD1" w:rsidRPr="000377C8" w:rsidRDefault="00FA5CD1" w:rsidP="0037774E">
      <w:pPr>
        <w:spacing w:line="360" w:lineRule="auto"/>
        <w:ind w:left="567" w:right="567"/>
        <w:jc w:val="both"/>
        <w:rPr>
          <w:rFonts w:ascii="Palatino Linotype" w:eastAsiaTheme="minorEastAsia" w:hAnsi="Palatino Linotype" w:cs="Arial"/>
          <w:bCs/>
          <w:i/>
          <w:sz w:val="22"/>
          <w:lang w:val="es-ES_tradnl"/>
        </w:rPr>
      </w:pPr>
      <w:r w:rsidRPr="000377C8">
        <w:rPr>
          <w:rFonts w:ascii="Palatino Linotype" w:eastAsiaTheme="minorEastAsia" w:hAnsi="Palatino Linotype" w:cs="Arial"/>
          <w:b/>
          <w:bCs/>
          <w:i/>
          <w:sz w:val="22"/>
          <w:lang w:val="es-ES_tradnl"/>
        </w:rPr>
        <w:t>I. Toda la información en posesión de cualquier autoridad, entidad, órgano y organismos de los</w:t>
      </w:r>
      <w:r w:rsidRPr="000377C8">
        <w:rPr>
          <w:rFonts w:ascii="Palatino Linotype" w:eastAsiaTheme="minorEastAsia" w:hAnsi="Palatino Linotype" w:cs="Arial"/>
          <w:bCs/>
          <w:i/>
          <w:sz w:val="22"/>
          <w:lang w:val="es-ES_tradnl"/>
        </w:rPr>
        <w:t xml:space="preserve"> Poderes Ejecutivo, Legislativo y Judicial, órganos autónomos, partidos políticos, fideicomisos y fondos públicos estatales y </w:t>
      </w:r>
      <w:r w:rsidRPr="000377C8">
        <w:rPr>
          <w:rFonts w:ascii="Palatino Linotype" w:eastAsiaTheme="minorEastAsia" w:hAnsi="Palatino Linotype" w:cs="Arial"/>
          <w:b/>
          <w:bCs/>
          <w:i/>
          <w:sz w:val="22"/>
          <w:lang w:val="es-ES_tradnl"/>
        </w:rPr>
        <w:t>municipales</w:t>
      </w:r>
      <w:r w:rsidRPr="000377C8">
        <w:rPr>
          <w:rFonts w:ascii="Palatino Linotype" w:eastAsiaTheme="minorEastAsia" w:hAnsi="Palatino Linotype" w:cs="Arial"/>
          <w:bCs/>
          <w:i/>
          <w:sz w:val="22"/>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377C8">
        <w:rPr>
          <w:rFonts w:ascii="Palatino Linotype" w:eastAsiaTheme="minorEastAsia" w:hAnsi="Palatino Linotype" w:cs="Arial"/>
          <w:b/>
          <w:bCs/>
          <w:i/>
          <w:sz w:val="22"/>
          <w:lang w:val="es-ES_tradnl"/>
        </w:rPr>
        <w:t>es pública</w:t>
      </w:r>
      <w:r w:rsidRPr="000377C8">
        <w:rPr>
          <w:rFonts w:ascii="Palatino Linotype" w:eastAsiaTheme="minorEastAsia" w:hAnsi="Palatino Linotype" w:cs="Arial"/>
          <w:bCs/>
          <w:i/>
          <w:sz w:val="22"/>
          <w:lang w:val="es-ES_tradnl"/>
        </w:rPr>
        <w:t xml:space="preserve"> y sólo podrá ser reservada temporalmente por razones previstas en la Constitución Política de los Estados Unidos Mexicanos de interés público y seguridad, en los términos que fijen las leyes. </w:t>
      </w:r>
      <w:r w:rsidRPr="000377C8">
        <w:rPr>
          <w:rFonts w:ascii="Palatino Linotype" w:eastAsiaTheme="minorEastAsia" w:hAnsi="Palatino Linotype" w:cs="Arial"/>
          <w:b/>
          <w:bCs/>
          <w:i/>
          <w:sz w:val="22"/>
          <w:lang w:val="es-ES_tradnl"/>
        </w:rPr>
        <w:t>En la interpretación de este derecho deberá prevalecer el principio de máxima publicidad</w:t>
      </w:r>
      <w:r w:rsidRPr="000377C8">
        <w:rPr>
          <w:rFonts w:ascii="Palatino Linotype" w:eastAsiaTheme="minorEastAsia" w:hAnsi="Palatino Linotype" w:cs="Arial"/>
          <w:bCs/>
          <w:i/>
          <w:sz w:val="22"/>
          <w:lang w:val="es-ES_tradnl"/>
        </w:rPr>
        <w:t xml:space="preserve">. </w:t>
      </w:r>
      <w:r w:rsidRPr="000377C8">
        <w:rPr>
          <w:rFonts w:ascii="Palatino Linotype" w:eastAsiaTheme="minorEastAsia" w:hAnsi="Palatino Linotype" w:cs="Arial"/>
          <w:b/>
          <w:bCs/>
          <w:i/>
          <w:sz w:val="22"/>
          <w:lang w:val="es-ES_tradnl"/>
        </w:rPr>
        <w:t xml:space="preserve">Los sujetos obligados deberán documentar todo acto que derive del </w:t>
      </w:r>
      <w:r w:rsidRPr="000377C8">
        <w:rPr>
          <w:rFonts w:ascii="Palatino Linotype" w:eastAsiaTheme="minorEastAsia" w:hAnsi="Palatino Linotype" w:cs="Arial"/>
          <w:b/>
          <w:bCs/>
          <w:i/>
          <w:sz w:val="22"/>
          <w:lang w:val="es-ES_tradnl"/>
        </w:rPr>
        <w:lastRenderedPageBreak/>
        <w:t>ejercicio de sus facultades, competencias o funciones</w:t>
      </w:r>
      <w:r w:rsidRPr="000377C8">
        <w:rPr>
          <w:rFonts w:ascii="Palatino Linotype" w:eastAsiaTheme="minorEastAsia" w:hAnsi="Palatino Linotype" w:cs="Arial"/>
          <w:bCs/>
          <w:i/>
          <w:sz w:val="22"/>
          <w:lang w:val="es-ES_tradnl"/>
        </w:rPr>
        <w:t>, la ley determinará los supuestos específicos bajo los cuales procederá la declaración de inexistencia de la información.”</w:t>
      </w:r>
    </w:p>
    <w:p w14:paraId="344E75D5" w14:textId="77777777" w:rsidR="00FA5CD1" w:rsidRPr="000377C8" w:rsidRDefault="00FA5CD1" w:rsidP="0037774E">
      <w:pPr>
        <w:pStyle w:val="Prrafodelista"/>
        <w:tabs>
          <w:tab w:val="left" w:pos="567"/>
        </w:tabs>
        <w:spacing w:line="360" w:lineRule="auto"/>
        <w:ind w:left="567" w:right="567"/>
        <w:jc w:val="both"/>
        <w:rPr>
          <w:rFonts w:ascii="Palatino Linotype" w:hAnsi="Palatino Linotype" w:cs="Arial"/>
          <w:b/>
          <w:bCs/>
          <w:i/>
        </w:rPr>
      </w:pPr>
      <w:r w:rsidRPr="000377C8">
        <w:rPr>
          <w:rFonts w:ascii="Palatino Linotype" w:hAnsi="Palatino Linotype" w:cs="Arial"/>
          <w:b/>
          <w:bCs/>
          <w:i/>
        </w:rPr>
        <w:t>(Énfasis añadido)</w:t>
      </w:r>
    </w:p>
    <w:p w14:paraId="410B4D09" w14:textId="77777777" w:rsidR="00FA5CD1" w:rsidRPr="000377C8" w:rsidRDefault="00FA5CD1" w:rsidP="0037774E">
      <w:pPr>
        <w:spacing w:line="360" w:lineRule="auto"/>
        <w:ind w:right="49"/>
        <w:contextualSpacing/>
        <w:jc w:val="both"/>
        <w:rPr>
          <w:rFonts w:ascii="Palatino Linotype" w:eastAsiaTheme="minorEastAsia" w:hAnsi="Palatino Linotype"/>
          <w:lang w:val="es-ES_tradnl"/>
        </w:rPr>
      </w:pPr>
    </w:p>
    <w:p w14:paraId="6997383F" w14:textId="77777777" w:rsidR="00FA5CD1"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Theme="minorEastAsia" w:hAnsi="Palatino Linotype" w:cs="Arial"/>
          <w:sz w:val="24"/>
          <w:lang w:val="es-ES_tradnl"/>
        </w:rPr>
        <w:t xml:space="preserve">Según el artículo 150 de la Ley de Transparencia del Estado, la solicitud es la garantía primaria del Derecho de Acceso a la Información, además, establece que se regirá </w:t>
      </w:r>
      <w:r w:rsidRPr="000377C8">
        <w:rPr>
          <w:rFonts w:ascii="Palatino Linotype" w:eastAsiaTheme="minorEastAsia" w:hAnsi="Palatino Linotype" w:cs="Arial"/>
          <w:i/>
          <w:sz w:val="24"/>
          <w:lang w:val="es-ES_tradnl"/>
        </w:rPr>
        <w:t>por los principios de simplicidad, rapidez gratuidad del procedimiento, auxilio y orientación a los particulares</w:t>
      </w:r>
      <w:r w:rsidRPr="000377C8">
        <w:rPr>
          <w:rFonts w:ascii="Palatino Linotype" w:eastAsiaTheme="minorEastAsia" w:hAnsi="Palatino Linotype" w:cs="Arial"/>
          <w:sz w:val="24"/>
          <w:lang w:val="es-ES_tradnl"/>
        </w:rPr>
        <w:t>, contemplando el derecho de las personas con discapacidad y hablantes de lengua indígena.</w:t>
      </w:r>
    </w:p>
    <w:p w14:paraId="6955AAE4" w14:textId="77777777" w:rsidR="00FA5CD1" w:rsidRPr="000377C8" w:rsidRDefault="00FA5CD1" w:rsidP="0037774E">
      <w:pPr>
        <w:spacing w:line="360" w:lineRule="auto"/>
        <w:ind w:right="49"/>
        <w:contextualSpacing/>
        <w:jc w:val="both"/>
        <w:rPr>
          <w:rFonts w:ascii="Palatino Linotype" w:eastAsiaTheme="minorEastAsia" w:hAnsi="Palatino Linotype"/>
          <w:sz w:val="24"/>
          <w:lang w:val="es-ES_tradnl"/>
        </w:rPr>
      </w:pPr>
    </w:p>
    <w:p w14:paraId="1689DD26" w14:textId="77777777" w:rsidR="00FA5CD1"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Theme="minorEastAsia" w:hAnsi="Palatino Linotype" w:cs="Arial"/>
          <w:sz w:val="24"/>
          <w:lang w:val="es-ES_tradnl"/>
        </w:rPr>
        <w:t xml:space="preserve">El Derecho de Acceso a la Información se garantiza y respeta oportunamente, y según lo que dispone la Ley, las </w:t>
      </w:r>
      <w:r w:rsidRPr="000377C8">
        <w:rPr>
          <w:rFonts w:ascii="Palatino Linotype" w:eastAsiaTheme="minorEastAsia" w:hAnsi="Palatino Linotype" w:cs="Arial"/>
          <w:i/>
          <w:sz w:val="24"/>
          <w:lang w:val="es-ES_tradnl"/>
        </w:rPr>
        <w:t>solicitudes de acceso a la información</w:t>
      </w:r>
      <w:r w:rsidRPr="000377C8">
        <w:rPr>
          <w:rFonts w:ascii="Palatino Linotype" w:eastAsiaTheme="minorEastAsia" w:hAnsi="Palatino Linotype" w:cs="Arial"/>
          <w:sz w:val="24"/>
          <w:lang w:val="es-ES_tradnl"/>
        </w:rPr>
        <w:t>.</w:t>
      </w:r>
    </w:p>
    <w:p w14:paraId="41F5B8FF" w14:textId="77777777" w:rsidR="00FA5CD1" w:rsidRPr="000377C8" w:rsidRDefault="00FA5CD1" w:rsidP="0037774E">
      <w:pPr>
        <w:spacing w:line="360" w:lineRule="auto"/>
        <w:ind w:right="49"/>
        <w:contextualSpacing/>
        <w:jc w:val="both"/>
        <w:rPr>
          <w:rFonts w:ascii="Palatino Linotype" w:eastAsiaTheme="minorEastAsia" w:hAnsi="Palatino Linotype"/>
          <w:sz w:val="24"/>
          <w:lang w:val="es-ES_tradnl"/>
        </w:rPr>
      </w:pPr>
    </w:p>
    <w:p w14:paraId="1D9B5786" w14:textId="77777777" w:rsidR="00A43CF9" w:rsidRPr="000377C8" w:rsidRDefault="00FA5CD1"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Theme="minorEastAsia" w:hAnsi="Palatino Linotype" w:cs="Arial"/>
          <w:sz w:val="24"/>
          <w:lang w:val="es-ES_tradnl"/>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2EB4DAFA" w14:textId="77777777" w:rsidR="00A43CF9" w:rsidRPr="000377C8" w:rsidRDefault="00A43CF9" w:rsidP="0037774E">
      <w:pPr>
        <w:spacing w:line="360" w:lineRule="auto"/>
        <w:ind w:right="49"/>
        <w:contextualSpacing/>
        <w:jc w:val="both"/>
        <w:rPr>
          <w:rFonts w:ascii="Palatino Linotype" w:eastAsiaTheme="minorEastAsia" w:hAnsi="Palatino Linotype" w:cs="Arial"/>
          <w:sz w:val="24"/>
          <w:lang w:val="es-ES_tradnl"/>
        </w:rPr>
      </w:pPr>
    </w:p>
    <w:p w14:paraId="46EE90BA" w14:textId="476142C8" w:rsidR="00A43CF9" w:rsidRPr="000377C8" w:rsidRDefault="00A43CF9" w:rsidP="0037774E">
      <w:pPr>
        <w:pStyle w:val="Ttulo1"/>
        <w:spacing w:before="0" w:line="360" w:lineRule="auto"/>
        <w:rPr>
          <w:rFonts w:ascii="Palatino Linotype" w:hAnsi="Palatino Linotype"/>
          <w:b/>
          <w:color w:val="auto"/>
          <w:sz w:val="24"/>
          <w:lang w:val="es-ES_tradnl"/>
        </w:rPr>
      </w:pPr>
      <w:r w:rsidRPr="000377C8">
        <w:rPr>
          <w:rFonts w:ascii="Palatino Linotype" w:hAnsi="Palatino Linotype"/>
          <w:b/>
          <w:color w:val="auto"/>
          <w:sz w:val="24"/>
          <w:lang w:val="es-ES_tradnl"/>
        </w:rPr>
        <w:t>II. De la información solicitada y la respuesta del Sujeto Obligado</w:t>
      </w:r>
    </w:p>
    <w:p w14:paraId="6B4165E2" w14:textId="77777777" w:rsidR="00A43CF9" w:rsidRPr="000377C8" w:rsidRDefault="00A43CF9" w:rsidP="0037774E">
      <w:pPr>
        <w:spacing w:line="360" w:lineRule="auto"/>
        <w:ind w:right="49"/>
        <w:contextualSpacing/>
        <w:jc w:val="both"/>
        <w:rPr>
          <w:rFonts w:ascii="Palatino Linotype" w:eastAsiaTheme="minorEastAsia" w:hAnsi="Palatino Linotype"/>
          <w:sz w:val="24"/>
          <w:lang w:val="es-ES_tradnl"/>
        </w:rPr>
      </w:pPr>
    </w:p>
    <w:p w14:paraId="162AB543" w14:textId="77777777" w:rsidR="00A43CF9" w:rsidRPr="000377C8" w:rsidRDefault="00C06005"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cs="Tahoma"/>
          <w:bCs/>
          <w:iCs/>
          <w:sz w:val="24"/>
          <w:szCs w:val="24"/>
        </w:rPr>
        <w:t xml:space="preserve">Expuestas las posturas de las partes, se procede al análisis del agravio hecho valer por el ahora Recurrente, concerniente a la </w:t>
      </w:r>
      <w:r w:rsidR="00DB35DB" w:rsidRPr="000377C8">
        <w:rPr>
          <w:rFonts w:ascii="Palatino Linotype" w:hAnsi="Palatino Linotype" w:cs="Tahoma"/>
          <w:bCs/>
          <w:iCs/>
          <w:sz w:val="24"/>
          <w:szCs w:val="24"/>
        </w:rPr>
        <w:t>respuesta</w:t>
      </w:r>
      <w:r w:rsidR="00AC2226" w:rsidRPr="000377C8">
        <w:rPr>
          <w:rFonts w:ascii="Palatino Linotype" w:hAnsi="Palatino Linotype" w:cs="Tahoma"/>
          <w:bCs/>
          <w:iCs/>
          <w:sz w:val="24"/>
          <w:szCs w:val="24"/>
        </w:rPr>
        <w:t xml:space="preserve"> otorgada</w:t>
      </w:r>
      <w:r w:rsidRPr="000377C8">
        <w:rPr>
          <w:rFonts w:ascii="Palatino Linotype" w:hAnsi="Palatino Linotype" w:cs="Tahoma"/>
          <w:bCs/>
          <w:iCs/>
          <w:sz w:val="24"/>
          <w:szCs w:val="24"/>
        </w:rPr>
        <w:t xml:space="preserve">, para lo cual, en </w:t>
      </w:r>
      <w:r w:rsidRPr="000377C8">
        <w:rPr>
          <w:rFonts w:ascii="Palatino Linotype" w:hAnsi="Palatino Linotype" w:cs="Tahoma"/>
          <w:bCs/>
          <w:iCs/>
          <w:sz w:val="24"/>
          <w:szCs w:val="24"/>
        </w:rPr>
        <w:lastRenderedPageBreak/>
        <w:t>principio es necesario contextualizar la solicitud de información</w:t>
      </w:r>
      <w:r w:rsidR="00B072BE" w:rsidRPr="000377C8">
        <w:rPr>
          <w:rFonts w:ascii="Palatino Linotype" w:hAnsi="Palatino Linotype" w:cs="Tahoma"/>
          <w:bCs/>
          <w:iCs/>
          <w:sz w:val="24"/>
          <w:szCs w:val="24"/>
        </w:rPr>
        <w:t xml:space="preserve">, en donde la pretensión del ahora Recurrente, es obtener información </w:t>
      </w:r>
      <w:r w:rsidR="00FC6BB0" w:rsidRPr="000377C8">
        <w:rPr>
          <w:rFonts w:ascii="Palatino Linotype" w:eastAsia="Calibri" w:hAnsi="Palatino Linotype" w:cs="Tahoma"/>
          <w:iCs/>
          <w:sz w:val="24"/>
          <w:szCs w:val="24"/>
          <w:lang w:val="es-ES"/>
        </w:rPr>
        <w:t>respecto a lo</w:t>
      </w:r>
      <w:r w:rsidR="00AC2226" w:rsidRPr="000377C8">
        <w:rPr>
          <w:rFonts w:ascii="Palatino Linotype" w:eastAsia="Calibri" w:hAnsi="Palatino Linotype" w:cs="Tahoma"/>
          <w:iCs/>
          <w:sz w:val="24"/>
          <w:szCs w:val="24"/>
          <w:lang w:val="es-ES"/>
        </w:rPr>
        <w:t xml:space="preserve"> siguiente</w:t>
      </w:r>
      <w:r w:rsidR="00AC2226" w:rsidRPr="000377C8">
        <w:rPr>
          <w:rFonts w:ascii="Palatino Linotype" w:hAnsi="Palatino Linotype" w:cs="Tahoma"/>
          <w:bCs/>
          <w:iCs/>
          <w:sz w:val="24"/>
          <w:szCs w:val="24"/>
        </w:rPr>
        <w:t>:</w:t>
      </w:r>
    </w:p>
    <w:p w14:paraId="5096DC34" w14:textId="77777777" w:rsidR="00A43CF9" w:rsidRPr="000377C8" w:rsidRDefault="00A43CF9" w:rsidP="0037774E">
      <w:pPr>
        <w:spacing w:line="360" w:lineRule="auto"/>
        <w:ind w:right="49"/>
        <w:contextualSpacing/>
        <w:jc w:val="both"/>
        <w:rPr>
          <w:rFonts w:ascii="Palatino Linotype" w:hAnsi="Palatino Linotype" w:cs="Tahoma"/>
          <w:bCs/>
          <w:iCs/>
          <w:sz w:val="24"/>
          <w:szCs w:val="24"/>
        </w:rPr>
      </w:pPr>
    </w:p>
    <w:p w14:paraId="0C27A2BD" w14:textId="77777777" w:rsidR="00A43CF9" w:rsidRPr="000377C8" w:rsidRDefault="00A43CF9" w:rsidP="0037774E">
      <w:pPr>
        <w:pStyle w:val="Prrafodelista"/>
        <w:numPr>
          <w:ilvl w:val="0"/>
          <w:numId w:val="42"/>
        </w:numPr>
        <w:spacing w:line="360" w:lineRule="auto"/>
        <w:ind w:right="822"/>
        <w:jc w:val="both"/>
        <w:rPr>
          <w:rFonts w:ascii="Palatino Linotype" w:hAnsi="Palatino Linotype"/>
          <w:color w:val="000000"/>
          <w:sz w:val="24"/>
        </w:rPr>
      </w:pPr>
      <w:r w:rsidRPr="000377C8">
        <w:rPr>
          <w:rFonts w:ascii="Palatino Linotype" w:hAnsi="Palatino Linotype"/>
          <w:color w:val="000000"/>
          <w:sz w:val="24"/>
        </w:rPr>
        <w:t>¿Cuál es la partida presupuestal asignada al Sistema de Agua Potable Alcantarillado y Saneamiento de Ecatepec de Morelos Estado de México?</w:t>
      </w:r>
    </w:p>
    <w:p w14:paraId="679AE4DB" w14:textId="77777777" w:rsidR="00A43CF9" w:rsidRPr="000377C8" w:rsidRDefault="00A43CF9" w:rsidP="0037774E">
      <w:pPr>
        <w:pStyle w:val="Prrafodelista"/>
        <w:numPr>
          <w:ilvl w:val="0"/>
          <w:numId w:val="42"/>
        </w:numPr>
        <w:spacing w:line="360" w:lineRule="auto"/>
        <w:ind w:right="822"/>
        <w:jc w:val="both"/>
        <w:rPr>
          <w:rFonts w:ascii="Palatino Linotype" w:hAnsi="Palatino Linotype"/>
          <w:color w:val="000000"/>
          <w:sz w:val="24"/>
        </w:rPr>
      </w:pPr>
      <w:r w:rsidRPr="000377C8">
        <w:rPr>
          <w:rFonts w:ascii="Palatino Linotype" w:hAnsi="Palatino Linotype"/>
          <w:color w:val="000000"/>
          <w:sz w:val="24"/>
        </w:rPr>
        <w:t xml:space="preserve">Si el Sistema de Agua Potable Alcantarillado y Saneamiento de Ecatepec de Morelos Estado de México cuenta con suficiencia presupuestal para el pago de laudos. </w:t>
      </w:r>
    </w:p>
    <w:p w14:paraId="3C4A883D" w14:textId="77777777" w:rsidR="00A43CF9" w:rsidRPr="000377C8" w:rsidRDefault="00A43CF9" w:rsidP="0037774E">
      <w:pPr>
        <w:pStyle w:val="Prrafodelista"/>
        <w:numPr>
          <w:ilvl w:val="0"/>
          <w:numId w:val="42"/>
        </w:numPr>
        <w:spacing w:line="360" w:lineRule="auto"/>
        <w:ind w:right="822"/>
        <w:jc w:val="both"/>
        <w:rPr>
          <w:rFonts w:ascii="Palatino Linotype" w:hAnsi="Palatino Linotype"/>
          <w:color w:val="000000"/>
          <w:sz w:val="24"/>
        </w:rPr>
      </w:pPr>
      <w:r w:rsidRPr="000377C8">
        <w:rPr>
          <w:rFonts w:ascii="Palatino Linotype" w:hAnsi="Palatino Linotype"/>
          <w:color w:val="000000"/>
          <w:sz w:val="24"/>
        </w:rPr>
        <w:t xml:space="preserve">Cuáles son las cuentas bancarias concertadoras del Sistema de Agua Potable Alcantarillado y Saneamiento de Ecatepec de Morelos Estado de México, para el pago de laudos. </w:t>
      </w:r>
    </w:p>
    <w:p w14:paraId="12596E78" w14:textId="77777777" w:rsidR="00A43CF9" w:rsidRPr="000377C8" w:rsidRDefault="00A43CF9" w:rsidP="0037774E">
      <w:pPr>
        <w:pStyle w:val="Prrafodelista"/>
        <w:numPr>
          <w:ilvl w:val="0"/>
          <w:numId w:val="42"/>
        </w:numPr>
        <w:spacing w:line="360" w:lineRule="auto"/>
        <w:ind w:right="822"/>
        <w:jc w:val="both"/>
        <w:rPr>
          <w:rFonts w:ascii="Palatino Linotype" w:hAnsi="Palatino Linotype"/>
          <w:color w:val="000000"/>
          <w:sz w:val="24"/>
        </w:rPr>
      </w:pPr>
      <w:r w:rsidRPr="000377C8">
        <w:rPr>
          <w:rFonts w:ascii="Palatino Linotype" w:hAnsi="Palatino Linotype"/>
          <w:color w:val="000000"/>
          <w:sz w:val="24"/>
        </w:rPr>
        <w:t>¿De qué institución financiera son las cuentas concentradoras para el pago de laudos del Sistema de Agua Potable Alcantarillado y Saneamiento de Ecatepec de Morelos Estado de México?</w:t>
      </w:r>
    </w:p>
    <w:p w14:paraId="0BEFB110" w14:textId="77777777" w:rsidR="00A43CF9" w:rsidRPr="000377C8" w:rsidRDefault="00A43CF9" w:rsidP="0037774E">
      <w:pPr>
        <w:pStyle w:val="Prrafodelista"/>
        <w:numPr>
          <w:ilvl w:val="0"/>
          <w:numId w:val="42"/>
        </w:numPr>
        <w:spacing w:line="360" w:lineRule="auto"/>
        <w:ind w:right="822"/>
        <w:jc w:val="both"/>
        <w:rPr>
          <w:rFonts w:ascii="Palatino Linotype" w:hAnsi="Palatino Linotype"/>
          <w:color w:val="000000"/>
          <w:sz w:val="24"/>
        </w:rPr>
      </w:pPr>
      <w:r w:rsidRPr="000377C8">
        <w:rPr>
          <w:rFonts w:ascii="Palatino Linotype" w:hAnsi="Palatino Linotype"/>
          <w:color w:val="000000"/>
          <w:sz w:val="24"/>
        </w:rPr>
        <w:t>¿Cuáles son los números de cuentas bancarias del Sistema de Agua Potable Alcantarillado y Saneamiento de Ecatepec de Morelos Estado de México para el pago de laudos?</w:t>
      </w:r>
    </w:p>
    <w:p w14:paraId="05686086" w14:textId="77777777" w:rsidR="00A43CF9" w:rsidRPr="000377C8" w:rsidRDefault="00A43CF9" w:rsidP="0037774E">
      <w:pPr>
        <w:pStyle w:val="Prrafodelista"/>
        <w:numPr>
          <w:ilvl w:val="0"/>
          <w:numId w:val="42"/>
        </w:numPr>
        <w:spacing w:line="360" w:lineRule="auto"/>
        <w:ind w:right="822"/>
        <w:jc w:val="both"/>
        <w:rPr>
          <w:rFonts w:ascii="Palatino Linotype" w:hAnsi="Palatino Linotype"/>
          <w:color w:val="000000"/>
          <w:sz w:val="24"/>
        </w:rPr>
      </w:pPr>
      <w:r w:rsidRPr="000377C8">
        <w:rPr>
          <w:rFonts w:ascii="Palatino Linotype" w:hAnsi="Palatino Linotype"/>
          <w:color w:val="000000"/>
          <w:sz w:val="24"/>
        </w:rPr>
        <w:t xml:space="preserve">Cuentas y partidas presupuestales asignadas al Sistema de Agua Potable Alcantarillado y Saneamiento de Ecatepec de Morelos Estado de México. </w:t>
      </w:r>
    </w:p>
    <w:p w14:paraId="468A9BAB" w14:textId="6C74AB92" w:rsidR="00A43CF9" w:rsidRPr="000377C8" w:rsidRDefault="00A43CF9" w:rsidP="000377C8">
      <w:pPr>
        <w:pStyle w:val="Prrafodelista"/>
        <w:numPr>
          <w:ilvl w:val="0"/>
          <w:numId w:val="42"/>
        </w:numPr>
        <w:spacing w:line="360" w:lineRule="auto"/>
        <w:ind w:right="822"/>
        <w:jc w:val="both"/>
        <w:rPr>
          <w:rFonts w:ascii="Palatino Linotype" w:hAnsi="Palatino Linotype"/>
          <w:color w:val="000000"/>
          <w:sz w:val="24"/>
        </w:rPr>
      </w:pPr>
      <w:r w:rsidRPr="000377C8">
        <w:rPr>
          <w:rFonts w:ascii="Palatino Linotype" w:hAnsi="Palatino Linotype"/>
          <w:color w:val="000000"/>
          <w:sz w:val="24"/>
        </w:rPr>
        <w:t>¿Cuál es la justificación legal para desacato a mandamiento jurisdiccional de pago?</w:t>
      </w:r>
    </w:p>
    <w:p w14:paraId="0B10D46D" w14:textId="77777777" w:rsidR="00A43CF9" w:rsidRPr="000377C8" w:rsidRDefault="00FB2B14"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hAnsi="Palatino Linotype" w:cs="Tahoma"/>
          <w:bCs/>
          <w:iCs/>
          <w:sz w:val="24"/>
          <w:szCs w:val="24"/>
        </w:rPr>
        <w:lastRenderedPageBreak/>
        <w:t xml:space="preserve">En respuesta, el SUJETO OBLIGADO a través del </w:t>
      </w:r>
      <w:r w:rsidR="00AC2226" w:rsidRPr="000377C8">
        <w:rPr>
          <w:rFonts w:ascii="Palatino Linotype" w:hAnsi="Palatino Linotype" w:cs="Tahoma"/>
          <w:bCs/>
          <w:iCs/>
          <w:sz w:val="24"/>
          <w:szCs w:val="24"/>
        </w:rPr>
        <w:t>Apoderado Legal</w:t>
      </w:r>
      <w:r w:rsidRPr="000377C8">
        <w:rPr>
          <w:rFonts w:ascii="Palatino Linotype" w:hAnsi="Palatino Linotype" w:cs="Tahoma"/>
          <w:bCs/>
          <w:iCs/>
          <w:sz w:val="24"/>
          <w:szCs w:val="24"/>
        </w:rPr>
        <w:t xml:space="preserve"> </w:t>
      </w:r>
      <w:r w:rsidR="00AC2226" w:rsidRPr="000377C8">
        <w:rPr>
          <w:rFonts w:ascii="Palatino Linotype" w:hAnsi="Palatino Linotype" w:cs="Tahoma"/>
          <w:bCs/>
          <w:iCs/>
          <w:sz w:val="24"/>
          <w:szCs w:val="24"/>
        </w:rPr>
        <w:t xml:space="preserve">reservó la información correspondiente al </w:t>
      </w:r>
      <w:r w:rsidR="00AC2226" w:rsidRPr="000377C8">
        <w:rPr>
          <w:rFonts w:ascii="Palatino Linotype" w:hAnsi="Palatino Linotype"/>
          <w:sz w:val="24"/>
          <w:szCs w:val="24"/>
        </w:rPr>
        <w:t>Juicio Especial Laboral con número de Expediente SAE/310/2017</w:t>
      </w:r>
      <w:r w:rsidRPr="000377C8">
        <w:rPr>
          <w:rFonts w:ascii="Palatino Linotype" w:hAnsi="Palatino Linotype" w:cs="Tahoma"/>
          <w:bCs/>
          <w:iCs/>
          <w:sz w:val="24"/>
          <w:szCs w:val="24"/>
        </w:rPr>
        <w:t xml:space="preserve"> </w:t>
      </w:r>
      <w:r w:rsidR="00AC2226" w:rsidRPr="000377C8">
        <w:rPr>
          <w:rFonts w:ascii="Palatino Linotype" w:hAnsi="Palatino Linotype" w:cs="Tahoma"/>
          <w:bCs/>
          <w:iCs/>
          <w:sz w:val="24"/>
          <w:szCs w:val="24"/>
        </w:rPr>
        <w:t xml:space="preserve">en contra del </w:t>
      </w:r>
      <w:r w:rsidR="004131DA" w:rsidRPr="000377C8">
        <w:rPr>
          <w:rFonts w:ascii="Palatino Linotype" w:hAnsi="Palatino Linotype" w:cs="Tahoma"/>
          <w:bCs/>
          <w:iCs/>
          <w:sz w:val="24"/>
          <w:szCs w:val="24"/>
        </w:rPr>
        <w:t>Sistema de Agua Potable Alcantarillado y Saneamiento de Ecatepec de Morelos</w:t>
      </w:r>
      <w:r w:rsidR="00AC2226" w:rsidRPr="000377C8">
        <w:rPr>
          <w:rFonts w:ascii="Palatino Linotype" w:hAnsi="Palatino Linotype" w:cs="Tahoma"/>
          <w:bCs/>
          <w:iCs/>
          <w:sz w:val="24"/>
          <w:szCs w:val="24"/>
        </w:rPr>
        <w:t xml:space="preserve"> y a través de la Coordinadora de Contabilidad y Presupuesto se indica que en </w:t>
      </w:r>
      <w:r w:rsidR="00AC2226" w:rsidRPr="000377C8">
        <w:rPr>
          <w:rFonts w:ascii="Palatino Linotype" w:eastAsia="SimSun" w:hAnsi="Palatino Linotype" w:cs="Arial"/>
          <w:color w:val="000000"/>
          <w:sz w:val="24"/>
          <w:szCs w:val="24"/>
          <w:lang w:val="es-ES" w:eastAsia="es-MX"/>
        </w:rPr>
        <w:t>referencia al punto número 1 el usuario puede consultar la página de sapase.gob.mx</w:t>
      </w:r>
      <w:r w:rsidR="00C83553" w:rsidRPr="000377C8">
        <w:rPr>
          <w:rFonts w:ascii="Palatino Linotype" w:eastAsia="SimSun" w:hAnsi="Palatino Linotype" w:cs="Arial"/>
          <w:color w:val="000000"/>
          <w:sz w:val="24"/>
          <w:szCs w:val="24"/>
          <w:lang w:val="es-ES" w:eastAsia="es-MX"/>
        </w:rPr>
        <w:t>,</w:t>
      </w:r>
      <w:r w:rsidR="00AC2226" w:rsidRPr="000377C8">
        <w:rPr>
          <w:rFonts w:ascii="Palatino Linotype" w:eastAsia="SimSun" w:hAnsi="Palatino Linotype" w:cs="Arial"/>
          <w:color w:val="000000"/>
          <w:sz w:val="24"/>
          <w:szCs w:val="24"/>
          <w:lang w:val="es-ES" w:eastAsia="es-MX"/>
        </w:rPr>
        <w:t xml:space="preserve"> opción Transparencia, opción CONAC, opción Informes Financieros 2021 en la Caratula de Egresos, Capitulo 1000 donde encontrara la información solicitada.</w:t>
      </w:r>
    </w:p>
    <w:p w14:paraId="0BAF6EF5" w14:textId="77777777" w:rsidR="00A43CF9" w:rsidRPr="000377C8" w:rsidRDefault="00A43CF9" w:rsidP="0037774E">
      <w:pPr>
        <w:spacing w:line="360" w:lineRule="auto"/>
        <w:ind w:right="49"/>
        <w:contextualSpacing/>
        <w:jc w:val="both"/>
        <w:rPr>
          <w:rFonts w:ascii="Palatino Linotype" w:eastAsiaTheme="minorEastAsia" w:hAnsi="Palatino Linotype"/>
          <w:sz w:val="24"/>
          <w:szCs w:val="24"/>
          <w:lang w:val="es-ES_tradnl"/>
        </w:rPr>
      </w:pPr>
    </w:p>
    <w:p w14:paraId="67FC31AC" w14:textId="77777777" w:rsidR="00A43CF9" w:rsidRPr="000377C8" w:rsidRDefault="00C83553"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SimSun" w:hAnsi="Palatino Linotype" w:cs="Arial"/>
          <w:color w:val="000000"/>
          <w:sz w:val="24"/>
          <w:szCs w:val="24"/>
          <w:lang w:val="es-ES" w:eastAsia="es-MX"/>
        </w:rPr>
        <w:t xml:space="preserve">En atención a lo anterior éste Instituto procedió a consultar la página electrónica señalada y seguir el procedimiento indicado, obteniendo como resultado el Presupuesto Basado en Resultados Municipal, en donde se logra apreciar el Presupuesto de Egresos autorizado en 2020, el Presupuesto de Egresos ejercido en 2020 y el Presupuestado para el ejercicio Fiscal 2021, así como la partida asignada al capítulo 1000 correspondiente a servicios personales, sin embargo, </w:t>
      </w:r>
      <w:r w:rsidR="00C40177" w:rsidRPr="000377C8">
        <w:rPr>
          <w:rFonts w:ascii="Palatino Linotype" w:eastAsia="SimSun" w:hAnsi="Palatino Linotype" w:cs="Arial"/>
          <w:color w:val="000000"/>
          <w:sz w:val="24"/>
          <w:szCs w:val="24"/>
          <w:lang w:val="es-ES" w:eastAsia="es-MX"/>
        </w:rPr>
        <w:t>el formato PbRM-04 correspondiente a la Carátula del Presupuesto de Egresos no contiene la sub partida de asignación al Pago de Laudos laborales, tal como se muestra a continuación:</w:t>
      </w:r>
    </w:p>
    <w:p w14:paraId="1AD6DAE2" w14:textId="77777777" w:rsidR="00A43CF9" w:rsidRPr="000377C8" w:rsidRDefault="00A43CF9" w:rsidP="0037774E">
      <w:pPr>
        <w:spacing w:line="360" w:lineRule="auto"/>
        <w:ind w:right="49"/>
        <w:contextualSpacing/>
        <w:jc w:val="both"/>
        <w:rPr>
          <w:rFonts w:ascii="Palatino Linotype" w:eastAsia="SimSun" w:hAnsi="Palatino Linotype" w:cs="Arial"/>
          <w:color w:val="000000"/>
          <w:sz w:val="24"/>
          <w:szCs w:val="24"/>
          <w:lang w:val="es-ES" w:eastAsia="es-MX"/>
        </w:rPr>
      </w:pPr>
    </w:p>
    <w:p w14:paraId="3F97D509" w14:textId="7CE3C099" w:rsidR="00A43CF9" w:rsidRPr="000377C8" w:rsidRDefault="00A43CF9" w:rsidP="0037774E">
      <w:pPr>
        <w:spacing w:line="360" w:lineRule="auto"/>
        <w:ind w:right="49"/>
        <w:contextualSpacing/>
        <w:jc w:val="both"/>
        <w:rPr>
          <w:rFonts w:ascii="Palatino Linotype" w:eastAsia="SimSun" w:hAnsi="Palatino Linotype" w:cs="Arial"/>
          <w:color w:val="000000"/>
          <w:sz w:val="24"/>
          <w:szCs w:val="24"/>
          <w:lang w:val="es-ES" w:eastAsia="es-MX"/>
        </w:rPr>
      </w:pPr>
      <w:r w:rsidRPr="000377C8">
        <w:rPr>
          <w:rFonts w:ascii="Palatino Linotype" w:hAnsi="Palatino Linotype"/>
          <w:noProof/>
          <w:lang w:val="es-ES"/>
        </w:rPr>
        <w:lastRenderedPageBreak/>
        <w:drawing>
          <wp:inline distT="0" distB="0" distL="0" distR="0" wp14:anchorId="4860ACBC" wp14:editId="3FCF8B94">
            <wp:extent cx="5686425" cy="3695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03" t="14154" r="19890" b="7706"/>
                    <a:stretch/>
                  </pic:blipFill>
                  <pic:spPr bwMode="auto">
                    <a:xfrm>
                      <a:off x="0" y="0"/>
                      <a:ext cx="5686425" cy="3695700"/>
                    </a:xfrm>
                    <a:prstGeom prst="rect">
                      <a:avLst/>
                    </a:prstGeom>
                    <a:ln>
                      <a:noFill/>
                    </a:ln>
                    <a:extLst>
                      <a:ext uri="{53640926-AAD7-44D8-BBD7-CCE9431645EC}">
                        <a14:shadowObscured xmlns:a14="http://schemas.microsoft.com/office/drawing/2010/main"/>
                      </a:ext>
                    </a:extLst>
                  </pic:spPr>
                </pic:pic>
              </a:graphicData>
            </a:graphic>
          </wp:inline>
        </w:drawing>
      </w:r>
    </w:p>
    <w:p w14:paraId="3ED4984E" w14:textId="77777777" w:rsidR="00A43CF9" w:rsidRPr="000377C8" w:rsidRDefault="00A43CF9" w:rsidP="0037774E">
      <w:pPr>
        <w:spacing w:line="360" w:lineRule="auto"/>
        <w:ind w:right="49"/>
        <w:contextualSpacing/>
        <w:jc w:val="both"/>
        <w:rPr>
          <w:rFonts w:ascii="Palatino Linotype" w:eastAsiaTheme="minorEastAsia" w:hAnsi="Palatino Linotype"/>
          <w:sz w:val="24"/>
          <w:lang w:val="es-ES_tradnl"/>
        </w:rPr>
      </w:pPr>
    </w:p>
    <w:p w14:paraId="401139BD" w14:textId="77777777" w:rsidR="00A43CF9"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cs="Arial"/>
          <w:sz w:val="24"/>
        </w:rPr>
        <w:t xml:space="preserve">En ese sentido </w:t>
      </w:r>
      <w:r w:rsidR="00AD7F63" w:rsidRPr="000377C8">
        <w:rPr>
          <w:rFonts w:ascii="Palatino Linotype" w:hAnsi="Palatino Linotype" w:cs="Arial"/>
          <w:sz w:val="24"/>
        </w:rPr>
        <w:t xml:space="preserve">se debe dejar en claro que </w:t>
      </w:r>
      <w:r w:rsidRPr="000377C8">
        <w:rPr>
          <w:rFonts w:ascii="Palatino Linotype" w:hAnsi="Palatino Linotype" w:cs="Arial"/>
          <w:sz w:val="24"/>
        </w:rPr>
        <w:t xml:space="preserve">la </w:t>
      </w:r>
      <w:r w:rsidRPr="000377C8">
        <w:rPr>
          <w:rFonts w:ascii="Palatino Linotype" w:hAnsi="Palatino Linotype"/>
          <w:b/>
          <w:sz w:val="24"/>
        </w:rPr>
        <w:t xml:space="preserve">Ley del Trabajo de los Servidores Públicos del Estado y Municipios </w:t>
      </w:r>
      <w:r w:rsidRPr="000377C8">
        <w:rPr>
          <w:rFonts w:ascii="Palatino Linotype" w:hAnsi="Palatino Linotype" w:cs="Arial"/>
          <w:sz w:val="24"/>
        </w:rPr>
        <w:t xml:space="preserve">señala que siempre que en ejecución de un laudo o convenio, deba entregarse una suma de dinero o el cumplimiento de un derecho al servidor público, los titulares de las instituciones o dependencias, ordenarán en su caso el pago de las indemnizaciones sueldos o cualquier prestación en dinero que se determine en ellos, </w:t>
      </w:r>
      <w:r w:rsidRPr="000377C8">
        <w:rPr>
          <w:rFonts w:ascii="Palatino Linotype" w:hAnsi="Palatino Linotype" w:cs="Arial"/>
          <w:b/>
          <w:sz w:val="24"/>
          <w:u w:val="single"/>
        </w:rPr>
        <w:t>previo el establecimiento de una partida presupuestal específica para la liquidación respectiva</w:t>
      </w:r>
      <w:r w:rsidRPr="000377C8">
        <w:rPr>
          <w:rFonts w:ascii="Palatino Linotype" w:hAnsi="Palatino Linotype" w:cs="Arial"/>
          <w:sz w:val="24"/>
        </w:rPr>
        <w:t>, tal como se advierte a continuación:</w:t>
      </w:r>
    </w:p>
    <w:p w14:paraId="1FB0CEC3" w14:textId="77777777" w:rsidR="00A43CF9" w:rsidRPr="000377C8" w:rsidRDefault="00A43CF9" w:rsidP="0037774E">
      <w:pPr>
        <w:spacing w:line="360" w:lineRule="auto"/>
        <w:ind w:right="49"/>
        <w:contextualSpacing/>
        <w:jc w:val="both"/>
        <w:rPr>
          <w:rFonts w:ascii="Palatino Linotype" w:hAnsi="Palatino Linotype" w:cs="Arial"/>
          <w:sz w:val="24"/>
        </w:rPr>
      </w:pPr>
    </w:p>
    <w:p w14:paraId="51B8C744" w14:textId="77777777" w:rsidR="00A43CF9" w:rsidRPr="000377C8" w:rsidRDefault="00A43CF9" w:rsidP="0037774E">
      <w:pPr>
        <w:pStyle w:val="Sinespaciado"/>
        <w:spacing w:line="360" w:lineRule="auto"/>
        <w:rPr>
          <w:rFonts w:ascii="Palatino Linotype" w:hAnsi="Palatino Linotype"/>
          <w:i/>
          <w:sz w:val="22"/>
          <w:szCs w:val="22"/>
        </w:rPr>
      </w:pPr>
      <w:r w:rsidRPr="000377C8">
        <w:rPr>
          <w:rFonts w:ascii="Palatino Linotype" w:hAnsi="Palatino Linotype"/>
          <w:i/>
          <w:sz w:val="22"/>
          <w:szCs w:val="22"/>
        </w:rPr>
        <w:t xml:space="preserve">ARTÍCULO 251.- Siempre que en ejecución de un laudo o convenio, deba entregarse una suma de dinero o el cumplimiento de un derecho al servidor público, el Presidente cuidará </w:t>
      </w:r>
      <w:r w:rsidRPr="000377C8">
        <w:rPr>
          <w:rFonts w:ascii="Palatino Linotype" w:hAnsi="Palatino Linotype"/>
          <w:i/>
          <w:sz w:val="22"/>
          <w:szCs w:val="22"/>
        </w:rPr>
        <w:lastRenderedPageBreak/>
        <w:t>que se le otorgue personalmente. Los titulares de las instituciones o dependencias y los sujetos a esta ley, se atendrán a lo dispuesto por los laudos y convenios, ordenando, en su caso el pago de las indemnizaciones sueldos o cualquier prestación en dinero que se determine en ellos, previo el establecimiento de una partida presupuestal específica para la liquidación respectiva.</w:t>
      </w:r>
    </w:p>
    <w:p w14:paraId="5CF8D964" w14:textId="77777777" w:rsidR="00A43CF9" w:rsidRPr="000377C8" w:rsidRDefault="00A43CF9" w:rsidP="0037774E">
      <w:pPr>
        <w:spacing w:line="360" w:lineRule="auto"/>
        <w:ind w:right="49"/>
        <w:contextualSpacing/>
        <w:jc w:val="both"/>
        <w:rPr>
          <w:rFonts w:ascii="Palatino Linotype" w:eastAsiaTheme="minorEastAsia" w:hAnsi="Palatino Linotype"/>
          <w:sz w:val="24"/>
          <w:lang w:val="es-ES_tradnl"/>
        </w:rPr>
      </w:pPr>
    </w:p>
    <w:p w14:paraId="44A569BB" w14:textId="77777777" w:rsidR="00A43CF9"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sz w:val="24"/>
        </w:rPr>
        <w:t xml:space="preserve">Además, no pasa desapercibido que los artículos 292 y 293 del </w:t>
      </w:r>
      <w:r w:rsidRPr="000377C8">
        <w:rPr>
          <w:rFonts w:ascii="Palatino Linotype" w:hAnsi="Palatino Linotype"/>
          <w:b/>
          <w:sz w:val="24"/>
        </w:rPr>
        <w:t>Código Financiero del Estado de México y Municipios</w:t>
      </w:r>
      <w:r w:rsidRPr="000377C8">
        <w:rPr>
          <w:rFonts w:ascii="Palatino Linotype" w:hAnsi="Palatino Linotype"/>
          <w:sz w:val="24"/>
        </w:rPr>
        <w:t xml:space="preserve"> establecen los capítulos del gasto programable y no programable, los cuales se dividirán en concepto, partida genérica y partida específica, que representarán las autorizaciones específicas del presupuesto, las cuales se encuentran contenidas en el clasificador por objeto de gasto y entre ellas se encuentra el capítulo 1000 correspondiente a los servicios personales:</w:t>
      </w:r>
    </w:p>
    <w:p w14:paraId="67A6F8E6" w14:textId="77777777" w:rsidR="00A43CF9" w:rsidRPr="000377C8" w:rsidRDefault="00A43CF9" w:rsidP="0037774E">
      <w:pPr>
        <w:spacing w:line="360" w:lineRule="auto"/>
        <w:ind w:right="49"/>
        <w:contextualSpacing/>
        <w:jc w:val="both"/>
        <w:rPr>
          <w:rFonts w:ascii="Palatino Linotype" w:hAnsi="Palatino Linotype"/>
          <w:sz w:val="24"/>
        </w:rPr>
      </w:pPr>
    </w:p>
    <w:p w14:paraId="3337DA32"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b/>
          <w:i/>
          <w:sz w:val="22"/>
          <w:szCs w:val="22"/>
        </w:rPr>
        <w:t>Artículo 292.</w:t>
      </w:r>
      <w:r w:rsidRPr="000377C8">
        <w:rPr>
          <w:rFonts w:ascii="Palatino Linotype" w:hAnsi="Palatino Linotype"/>
          <w:i/>
          <w:sz w:val="22"/>
          <w:szCs w:val="22"/>
        </w:rPr>
        <w:t>- El Proyecto de Presupuesto de Egresos del Gobierno del Estado de México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14:paraId="00BA8DD4"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 Para el caso de los Municipios, el Proyecto de Presupuesto se integrará con los recursos que se destinen al Ayuntamiento y a los organismos municipales. </w:t>
      </w:r>
    </w:p>
    <w:p w14:paraId="0FDFB371"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La distribución será conforme a lo siguiente: </w:t>
      </w:r>
    </w:p>
    <w:p w14:paraId="13F3BD16" w14:textId="77777777" w:rsidR="00A43CF9" w:rsidRPr="000377C8" w:rsidRDefault="00A43CF9" w:rsidP="0037774E">
      <w:pPr>
        <w:spacing w:line="360" w:lineRule="auto"/>
        <w:ind w:left="567" w:right="822"/>
        <w:jc w:val="both"/>
        <w:rPr>
          <w:rFonts w:ascii="Palatino Linotype" w:hAnsi="Palatino Linotype"/>
          <w:b/>
          <w:i/>
          <w:sz w:val="22"/>
          <w:szCs w:val="22"/>
        </w:rPr>
      </w:pPr>
      <w:r w:rsidRPr="000377C8">
        <w:rPr>
          <w:rFonts w:ascii="Palatino Linotype" w:hAnsi="Palatino Linotype"/>
          <w:b/>
          <w:i/>
          <w:sz w:val="22"/>
          <w:szCs w:val="22"/>
        </w:rPr>
        <w:t xml:space="preserve">I. El gasto programable comprende los siguientes capítulos: </w:t>
      </w:r>
    </w:p>
    <w:p w14:paraId="08A9BB77" w14:textId="77777777" w:rsidR="00A43CF9" w:rsidRPr="000377C8" w:rsidRDefault="00A43CF9" w:rsidP="0037774E">
      <w:pPr>
        <w:spacing w:line="360" w:lineRule="auto"/>
        <w:ind w:left="567" w:right="822"/>
        <w:jc w:val="both"/>
        <w:rPr>
          <w:rFonts w:ascii="Palatino Linotype" w:hAnsi="Palatino Linotype"/>
          <w:b/>
          <w:i/>
          <w:sz w:val="22"/>
          <w:szCs w:val="22"/>
        </w:rPr>
      </w:pPr>
      <w:r w:rsidRPr="000377C8">
        <w:rPr>
          <w:rFonts w:ascii="Palatino Linotype" w:hAnsi="Palatino Linotype"/>
          <w:b/>
          <w:i/>
          <w:sz w:val="22"/>
          <w:szCs w:val="22"/>
        </w:rPr>
        <w:t>a). 1000 Servicios Personales.</w:t>
      </w:r>
    </w:p>
    <w:p w14:paraId="7289847B"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 b). 2000 Materiales y Suministros. </w:t>
      </w:r>
    </w:p>
    <w:p w14:paraId="20AC4661"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c). 3000 Servicios Generales. </w:t>
      </w:r>
    </w:p>
    <w:p w14:paraId="0C14B176"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lastRenderedPageBreak/>
        <w:t xml:space="preserve">d). 4000 Transferencias, Asignaciones, Subsidios y otras ayudas. </w:t>
      </w:r>
    </w:p>
    <w:p w14:paraId="10E8B484"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e). 5000 Bienes Muebles, Inmuebles e Intangibles. </w:t>
      </w:r>
    </w:p>
    <w:p w14:paraId="4A61EBB7"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f). 6000 Inversión Pública. </w:t>
      </w:r>
    </w:p>
    <w:p w14:paraId="299CBB6D"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g). 7000 Inversiones Financieras y otras provisiones. </w:t>
      </w:r>
    </w:p>
    <w:p w14:paraId="7CCF064E"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II. El gasto no programable comprende los siguientes capítulos: </w:t>
      </w:r>
    </w:p>
    <w:p w14:paraId="2D31EA01" w14:textId="77777777" w:rsidR="00A43CF9" w:rsidRPr="000377C8" w:rsidRDefault="00A43CF9" w:rsidP="0037774E">
      <w:pPr>
        <w:spacing w:line="360" w:lineRule="auto"/>
        <w:ind w:left="567" w:right="822"/>
        <w:jc w:val="both"/>
        <w:rPr>
          <w:rFonts w:ascii="Palatino Linotype" w:hAnsi="Palatino Linotype"/>
          <w:i/>
          <w:sz w:val="22"/>
          <w:szCs w:val="22"/>
        </w:rPr>
      </w:pPr>
      <w:r w:rsidRPr="000377C8">
        <w:rPr>
          <w:rFonts w:ascii="Palatino Linotype" w:hAnsi="Palatino Linotype"/>
          <w:i/>
          <w:sz w:val="22"/>
          <w:szCs w:val="22"/>
        </w:rPr>
        <w:t xml:space="preserve">a). 8000 Participaciones y Aportaciones. </w:t>
      </w:r>
    </w:p>
    <w:p w14:paraId="6EEAF204" w14:textId="77777777" w:rsidR="00A43CF9" w:rsidRPr="000377C8" w:rsidRDefault="00A43CF9" w:rsidP="0037774E">
      <w:pPr>
        <w:spacing w:line="360" w:lineRule="auto"/>
        <w:ind w:left="567" w:right="822"/>
        <w:jc w:val="both"/>
        <w:rPr>
          <w:rFonts w:ascii="Palatino Linotype" w:hAnsi="Palatino Linotype" w:cs="Arial"/>
          <w:i/>
          <w:sz w:val="22"/>
          <w:szCs w:val="22"/>
        </w:rPr>
      </w:pPr>
      <w:r w:rsidRPr="000377C8">
        <w:rPr>
          <w:rFonts w:ascii="Palatino Linotype" w:hAnsi="Palatino Linotype"/>
          <w:i/>
          <w:sz w:val="22"/>
          <w:szCs w:val="22"/>
        </w:rPr>
        <w:t>b). 9000 Deuda Pública</w:t>
      </w:r>
    </w:p>
    <w:p w14:paraId="4653727F" w14:textId="77777777" w:rsidR="00A43CF9" w:rsidRPr="000377C8" w:rsidRDefault="00A43CF9" w:rsidP="0037774E">
      <w:pPr>
        <w:spacing w:line="360" w:lineRule="auto"/>
        <w:ind w:left="567" w:right="822"/>
        <w:jc w:val="both"/>
        <w:rPr>
          <w:rFonts w:ascii="Palatino Linotype" w:hAnsi="Palatino Linotype"/>
          <w:b/>
          <w:i/>
          <w:sz w:val="22"/>
          <w:szCs w:val="22"/>
        </w:rPr>
      </w:pPr>
      <w:r w:rsidRPr="000377C8">
        <w:rPr>
          <w:rFonts w:ascii="Palatino Linotype" w:hAnsi="Palatino Linotype"/>
          <w:b/>
          <w:i/>
          <w:sz w:val="22"/>
          <w:szCs w:val="22"/>
        </w:rPr>
        <w:t xml:space="preserve">Artículo 293.- Los capítulos de gasto se dividirán en concepto, partida genérica </w:t>
      </w:r>
      <w:r w:rsidRPr="000377C8">
        <w:rPr>
          <w:rFonts w:ascii="Palatino Linotype" w:hAnsi="Palatino Linotype"/>
          <w:b/>
          <w:i/>
          <w:sz w:val="22"/>
          <w:szCs w:val="22"/>
          <w:u w:val="single"/>
        </w:rPr>
        <w:t>y partida específica</w:t>
      </w:r>
      <w:r w:rsidRPr="000377C8">
        <w:rPr>
          <w:rFonts w:ascii="Palatino Linotype" w:hAnsi="Palatino Linotype"/>
          <w:b/>
          <w:i/>
          <w:sz w:val="22"/>
          <w:szCs w:val="22"/>
        </w:rPr>
        <w:t>, que representarán las autorizaciones específicas del presupuesto, las cuales se encuentran contenidas en el clasificador por objeto de gasto que determine la Secretaría.</w:t>
      </w:r>
    </w:p>
    <w:p w14:paraId="0BA77B74" w14:textId="77777777" w:rsidR="00A43CF9" w:rsidRPr="000377C8" w:rsidRDefault="00A43CF9" w:rsidP="0037774E">
      <w:pPr>
        <w:spacing w:line="360" w:lineRule="auto"/>
        <w:ind w:right="49"/>
        <w:contextualSpacing/>
        <w:jc w:val="both"/>
        <w:rPr>
          <w:rFonts w:ascii="Palatino Linotype" w:eastAsiaTheme="minorEastAsia" w:hAnsi="Palatino Linotype"/>
          <w:sz w:val="24"/>
          <w:lang w:val="es-ES_tradnl"/>
        </w:rPr>
      </w:pPr>
    </w:p>
    <w:p w14:paraId="4C2E4527" w14:textId="77777777" w:rsidR="000D05CC" w:rsidRPr="000377C8" w:rsidRDefault="0061738D"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Calibri" w:hAnsi="Palatino Linotype" w:cs="Tahoma"/>
          <w:bCs/>
          <w:sz w:val="24"/>
          <w:szCs w:val="22"/>
          <w:lang w:eastAsia="en-US"/>
        </w:rPr>
        <w:t xml:space="preserve">Al respecto, este Instituto también localizó en el Manual para la Planeación, Programación y Presupuesto de Egresos Municipal para el Ejercicio Fiscal dos mil veinte, el Anexo IV.2 Clasificador por Objeto del Gasto Estatal y Municipal, el cual contiene los capítulos que conforman el presupuesto de egresos municipal, entre los cuales se encuentra el 1000 “Servicios Personales”, que agrupa las remuneraciones del personal al servicio de los entes públicos, tales como </w:t>
      </w:r>
      <w:r w:rsidRPr="000377C8">
        <w:rPr>
          <w:rFonts w:ascii="Palatino Linotype" w:eastAsia="Calibri" w:hAnsi="Palatino Linotype" w:cs="Tahoma"/>
          <w:b/>
          <w:bCs/>
          <w:sz w:val="24"/>
          <w:szCs w:val="22"/>
          <w:lang w:eastAsia="en-US"/>
        </w:rPr>
        <w:t>sueldos, salarios, dietas, honorarios asimilables al salario, prestaciones y gastos de seguridad social, obligaciones laborales y otras prestaciones derivadas de una relación laboral, ya sea permanente o transitoria.</w:t>
      </w:r>
    </w:p>
    <w:p w14:paraId="29610E3B" w14:textId="77777777" w:rsidR="000D05CC" w:rsidRPr="000377C8" w:rsidRDefault="000D05CC" w:rsidP="0037774E">
      <w:pPr>
        <w:spacing w:line="360" w:lineRule="auto"/>
        <w:ind w:right="49"/>
        <w:contextualSpacing/>
        <w:jc w:val="both"/>
        <w:rPr>
          <w:rFonts w:ascii="Palatino Linotype" w:eastAsiaTheme="minorEastAsia" w:hAnsi="Palatino Linotype"/>
          <w:sz w:val="24"/>
          <w:lang w:val="es-ES_tradnl"/>
        </w:rPr>
      </w:pPr>
    </w:p>
    <w:p w14:paraId="7893BF7F" w14:textId="77777777" w:rsidR="000D05CC" w:rsidRPr="000377C8" w:rsidRDefault="0061738D"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Calibri" w:hAnsi="Palatino Linotype" w:cs="Tahoma"/>
          <w:bCs/>
          <w:sz w:val="24"/>
          <w:szCs w:val="24"/>
          <w:lang w:eastAsia="en-US"/>
        </w:rPr>
        <w:t xml:space="preserve">Además, que dicho capítulo se conforma de la partida específica con número 1522 Liquidaciones por indemnizaciones, por sueldos y salarios caídos, que </w:t>
      </w:r>
      <w:r w:rsidRPr="000377C8">
        <w:rPr>
          <w:rFonts w:ascii="Palatino Linotype" w:eastAsia="Calibri" w:hAnsi="Palatino Linotype" w:cs="Tahoma"/>
          <w:bCs/>
          <w:sz w:val="24"/>
          <w:szCs w:val="24"/>
          <w:lang w:eastAsia="en-US"/>
        </w:rPr>
        <w:lastRenderedPageBreak/>
        <w:t>corresponde al pago de liquidaciones derivados de laudos emitidos o sentencia dictada por autoridad competente, favorables a los servidores públicos, en función de los sueldos, salarios y prestaciones percibidas.</w:t>
      </w:r>
    </w:p>
    <w:p w14:paraId="76726BA0" w14:textId="77777777" w:rsidR="000D05CC" w:rsidRPr="000377C8" w:rsidRDefault="000D05CC" w:rsidP="0037774E">
      <w:pPr>
        <w:spacing w:line="360" w:lineRule="auto"/>
        <w:ind w:right="49"/>
        <w:contextualSpacing/>
        <w:jc w:val="both"/>
        <w:rPr>
          <w:rFonts w:ascii="Palatino Linotype" w:eastAsiaTheme="minorEastAsia" w:hAnsi="Palatino Linotype"/>
          <w:sz w:val="24"/>
          <w:lang w:val="es-ES_tradnl"/>
        </w:rPr>
      </w:pPr>
    </w:p>
    <w:p w14:paraId="4270E683" w14:textId="77777777" w:rsidR="000D05CC" w:rsidRPr="000377C8" w:rsidRDefault="0061738D"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Calibri" w:hAnsi="Palatino Linotype" w:cs="Tahoma"/>
          <w:bCs/>
          <w:sz w:val="24"/>
          <w:szCs w:val="24"/>
          <w:lang w:eastAsia="en-US"/>
        </w:rPr>
        <w:t>Además, que dicho capítulo se conforma de la partida específica con número 1522 Liquidaciones por indemnizaciones, por sueldos y salarios caídos, que corresponde al pago de liquidaciones derivados de laudos emitidos o sentencia dictada por autoridad competente, favorables a los servidores públicos, en función de los sueldos, salarios y prestaciones percibidas</w:t>
      </w:r>
      <w:r w:rsidR="000D05CC" w:rsidRPr="000377C8">
        <w:rPr>
          <w:rFonts w:ascii="Palatino Linotype" w:eastAsia="Calibri" w:hAnsi="Palatino Linotype" w:cs="Tahoma"/>
          <w:bCs/>
          <w:sz w:val="24"/>
          <w:szCs w:val="24"/>
          <w:lang w:eastAsia="en-US"/>
        </w:rPr>
        <w:t>.</w:t>
      </w:r>
    </w:p>
    <w:p w14:paraId="67118D75" w14:textId="77777777" w:rsidR="000D05CC" w:rsidRPr="000377C8" w:rsidRDefault="000D05CC" w:rsidP="0037774E">
      <w:pPr>
        <w:spacing w:line="360" w:lineRule="auto"/>
        <w:ind w:right="49"/>
        <w:contextualSpacing/>
        <w:jc w:val="both"/>
        <w:rPr>
          <w:rFonts w:ascii="Palatino Linotype" w:eastAsiaTheme="minorEastAsia" w:hAnsi="Palatino Linotype"/>
          <w:sz w:val="24"/>
          <w:lang w:val="es-ES_tradnl"/>
        </w:rPr>
      </w:pPr>
    </w:p>
    <w:p w14:paraId="5DC0D941" w14:textId="77777777" w:rsidR="000D05CC"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sz w:val="24"/>
        </w:rPr>
        <w:t xml:space="preserve">Por su parte, el Clasificador por Objeto de Gasto Estatal y Municipal contenido en el </w:t>
      </w:r>
      <w:r w:rsidRPr="000377C8">
        <w:rPr>
          <w:rFonts w:ascii="Palatino Linotype" w:hAnsi="Palatino Linotype"/>
          <w:b/>
          <w:sz w:val="24"/>
        </w:rPr>
        <w:t>Manual Único de Contabilidad Gubernamental para las Dependencias y Entidades Públicas del Gobierno y Municipios del Estado de México (</w:t>
      </w:r>
      <w:r w:rsidR="00E5574A" w:rsidRPr="000377C8">
        <w:rPr>
          <w:rFonts w:ascii="Palatino Linotype" w:hAnsi="Palatino Linotype"/>
          <w:b/>
          <w:sz w:val="24"/>
        </w:rPr>
        <w:t>Vigésima</w:t>
      </w:r>
      <w:r w:rsidRPr="000377C8">
        <w:rPr>
          <w:rFonts w:ascii="Palatino Linotype" w:hAnsi="Palatino Linotype"/>
          <w:b/>
          <w:sz w:val="24"/>
        </w:rPr>
        <w:t xml:space="preserve"> Edición) 20</w:t>
      </w:r>
      <w:r w:rsidR="00E5574A" w:rsidRPr="000377C8">
        <w:rPr>
          <w:rFonts w:ascii="Palatino Linotype" w:hAnsi="Palatino Linotype"/>
          <w:b/>
          <w:sz w:val="24"/>
        </w:rPr>
        <w:t>21</w:t>
      </w:r>
      <w:r w:rsidR="00E5574A" w:rsidRPr="000377C8">
        <w:rPr>
          <w:rStyle w:val="Refdenotaalpie"/>
          <w:rFonts w:ascii="Palatino Linotype" w:hAnsi="Palatino Linotype"/>
          <w:b/>
          <w:sz w:val="24"/>
        </w:rPr>
        <w:footnoteReference w:id="5"/>
      </w:r>
      <w:r w:rsidRPr="000377C8">
        <w:rPr>
          <w:rFonts w:ascii="Palatino Linotype" w:hAnsi="Palatino Linotype"/>
          <w:sz w:val="24"/>
        </w:rPr>
        <w:t>, dispone dentro del Capítulo 1000 Servicios Personales, partida genérica 1500 Otras prestaciones Sociales y Económicas, y la partida 1522 específica para liquidaciones por indemnizaciones por sueldos y salarios caídos</w:t>
      </w:r>
      <w:r w:rsidR="00E5574A" w:rsidRPr="000377C8">
        <w:rPr>
          <w:rFonts w:ascii="Palatino Linotype" w:hAnsi="Palatino Linotype"/>
          <w:sz w:val="24"/>
        </w:rPr>
        <w:t xml:space="preserve"> correspondiente al pago de liquidaciones derivadas de laudos emitidos o sentencia dictada por autoridad competente, favorables a los servidores públicos:</w:t>
      </w:r>
    </w:p>
    <w:p w14:paraId="33CE8C19" w14:textId="77777777" w:rsidR="000D05CC" w:rsidRPr="000377C8" w:rsidRDefault="000D05CC" w:rsidP="0037774E">
      <w:pPr>
        <w:spacing w:line="360" w:lineRule="auto"/>
        <w:ind w:right="49"/>
        <w:contextualSpacing/>
        <w:jc w:val="both"/>
        <w:rPr>
          <w:rFonts w:ascii="Palatino Linotype" w:hAnsi="Palatino Linotype"/>
          <w:sz w:val="24"/>
        </w:rPr>
      </w:pPr>
    </w:p>
    <w:p w14:paraId="050D3662" w14:textId="77777777" w:rsidR="000D05CC" w:rsidRPr="000377C8" w:rsidRDefault="000D05CC" w:rsidP="0037774E">
      <w:pPr>
        <w:spacing w:line="360" w:lineRule="auto"/>
        <w:ind w:left="567" w:right="567"/>
        <w:jc w:val="both"/>
        <w:rPr>
          <w:rFonts w:ascii="Palatino Linotype" w:hAnsi="Palatino Linotype"/>
          <w:i/>
          <w:sz w:val="22"/>
          <w:szCs w:val="22"/>
        </w:rPr>
      </w:pPr>
      <w:r w:rsidRPr="000377C8">
        <w:rPr>
          <w:rFonts w:ascii="Palatino Linotype" w:hAnsi="Palatino Linotype"/>
          <w:b/>
          <w:i/>
          <w:sz w:val="22"/>
          <w:szCs w:val="22"/>
        </w:rPr>
        <w:t>1000 SERVICIOS PERSONALES</w:t>
      </w:r>
      <w:r w:rsidRPr="000377C8">
        <w:rPr>
          <w:rFonts w:ascii="Palatino Linotype" w:hAnsi="Palatino Linotype"/>
          <w:i/>
          <w:sz w:val="22"/>
          <w:szCs w:val="22"/>
        </w:rPr>
        <w:t xml:space="preserve">. Agrupa las remuneraciones del personal al servicio de los entes públicos, tales como: sueldos, salarios, dietas, honorarios asimilables al salario, </w:t>
      </w:r>
      <w:r w:rsidRPr="000377C8">
        <w:rPr>
          <w:rFonts w:ascii="Palatino Linotype" w:hAnsi="Palatino Linotype"/>
          <w:i/>
          <w:sz w:val="22"/>
          <w:szCs w:val="22"/>
        </w:rPr>
        <w:lastRenderedPageBreak/>
        <w:t>prestaciones y gastos de seguridad social, obligaciones laborables y otras prestaciones derivadas de una relación laboral; pudiendo ser de carácter permanente o transitorio.</w:t>
      </w:r>
    </w:p>
    <w:p w14:paraId="66EC12AF" w14:textId="77777777" w:rsidR="000D05CC" w:rsidRPr="000377C8" w:rsidRDefault="000D05CC" w:rsidP="0037774E">
      <w:pPr>
        <w:spacing w:line="360" w:lineRule="auto"/>
        <w:ind w:left="567" w:right="567"/>
        <w:jc w:val="both"/>
        <w:rPr>
          <w:rFonts w:ascii="Palatino Linotype" w:hAnsi="Palatino Linotype"/>
          <w:b/>
          <w:i/>
          <w:sz w:val="22"/>
          <w:szCs w:val="22"/>
        </w:rPr>
      </w:pPr>
      <w:r w:rsidRPr="000377C8">
        <w:rPr>
          <w:rFonts w:ascii="Palatino Linotype" w:hAnsi="Palatino Linotype"/>
          <w:b/>
          <w:i/>
          <w:sz w:val="22"/>
          <w:szCs w:val="22"/>
        </w:rPr>
        <w:t>1500 OTRAS PRESTACIONES SOCIALES Y ECONÓMICAS.</w:t>
      </w:r>
    </w:p>
    <w:p w14:paraId="0995AF8D" w14:textId="77777777" w:rsidR="000D05CC" w:rsidRPr="000377C8" w:rsidRDefault="000D05CC" w:rsidP="0037774E">
      <w:pPr>
        <w:spacing w:line="360" w:lineRule="auto"/>
        <w:ind w:left="567" w:right="567"/>
        <w:jc w:val="both"/>
        <w:rPr>
          <w:rFonts w:ascii="Palatino Linotype" w:hAnsi="Palatino Linotype"/>
          <w:i/>
          <w:sz w:val="22"/>
          <w:szCs w:val="22"/>
        </w:rPr>
      </w:pPr>
      <w:r w:rsidRPr="000377C8">
        <w:rPr>
          <w:rFonts w:ascii="Palatino Linotype" w:hAnsi="Palatino Linotype"/>
          <w:i/>
          <w:sz w:val="22"/>
          <w:szCs w:val="22"/>
        </w:rPr>
        <w:t>Asignaciones destinadas a cubrir otras prestaciones sociales y económicas, a favor del personal, de acuerdo con las disposiciones legales vigentes y/o acuerdos contractuales respectivos.</w:t>
      </w:r>
    </w:p>
    <w:p w14:paraId="4E7C5DE2" w14:textId="77777777" w:rsidR="000D05CC" w:rsidRPr="000377C8" w:rsidRDefault="000D05CC" w:rsidP="0037774E">
      <w:pPr>
        <w:spacing w:line="360" w:lineRule="auto"/>
        <w:ind w:left="567" w:right="567"/>
        <w:jc w:val="both"/>
        <w:rPr>
          <w:rFonts w:ascii="Palatino Linotype" w:hAnsi="Palatino Linotype"/>
          <w:sz w:val="22"/>
          <w:szCs w:val="22"/>
        </w:rPr>
      </w:pPr>
      <w:r w:rsidRPr="000377C8">
        <w:rPr>
          <w:rFonts w:ascii="Palatino Linotype" w:hAnsi="Palatino Linotype"/>
          <w:b/>
          <w:i/>
          <w:sz w:val="22"/>
          <w:szCs w:val="22"/>
        </w:rPr>
        <w:t>1522 Liquidaciones por indemnizaciones, por sueldos y salarios caídos</w:t>
      </w:r>
      <w:r w:rsidRPr="000377C8">
        <w:rPr>
          <w:rFonts w:ascii="Palatino Linotype" w:hAnsi="Palatino Linotype"/>
          <w:i/>
          <w:sz w:val="22"/>
          <w:szCs w:val="22"/>
        </w:rPr>
        <w:t xml:space="preserve">. Pago de liquidaciones </w:t>
      </w:r>
      <w:r w:rsidRPr="000377C8">
        <w:rPr>
          <w:rFonts w:ascii="Palatino Linotype" w:hAnsi="Palatino Linotype"/>
          <w:b/>
          <w:i/>
          <w:sz w:val="22"/>
          <w:szCs w:val="22"/>
          <w:u w:val="single"/>
        </w:rPr>
        <w:t>derivadas de laudos emitidos o sentencia dictada por autoridad competente</w:t>
      </w:r>
      <w:r w:rsidRPr="000377C8">
        <w:rPr>
          <w:rFonts w:ascii="Palatino Linotype" w:hAnsi="Palatino Linotype"/>
          <w:i/>
          <w:sz w:val="22"/>
          <w:szCs w:val="22"/>
        </w:rPr>
        <w:t>, favorables a los servidores públicos, en función de los sueldos, salarios y/o prestaciones percibidas durante el litigio</w:t>
      </w:r>
      <w:r w:rsidRPr="000377C8">
        <w:rPr>
          <w:rFonts w:ascii="Palatino Linotype" w:hAnsi="Palatino Linotype"/>
          <w:sz w:val="22"/>
          <w:szCs w:val="22"/>
        </w:rPr>
        <w:t>.</w:t>
      </w:r>
    </w:p>
    <w:p w14:paraId="15E17333" w14:textId="77777777" w:rsidR="000D05CC" w:rsidRPr="000377C8" w:rsidRDefault="000D05CC" w:rsidP="0037774E">
      <w:pPr>
        <w:spacing w:line="360" w:lineRule="auto"/>
        <w:ind w:right="49"/>
        <w:contextualSpacing/>
        <w:jc w:val="both"/>
        <w:rPr>
          <w:rFonts w:ascii="Palatino Linotype" w:eastAsiaTheme="minorEastAsia" w:hAnsi="Palatino Linotype"/>
          <w:sz w:val="24"/>
          <w:lang w:val="es-ES_tradnl"/>
        </w:rPr>
      </w:pPr>
    </w:p>
    <w:p w14:paraId="49A24F09" w14:textId="77777777" w:rsidR="000D05CC"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hAnsi="Palatino Linotype"/>
          <w:sz w:val="24"/>
        </w:rPr>
        <w:t>De todo lo antes expuesto se concluye que el presupuesto de egresos se integra en base a los ingresos presupuestados para el ejercicio que corresponda, el cual podrá ser adecuado en función de las implicaciones que deriven de la aprobación de la Ley de Ingresos Municipal</w:t>
      </w:r>
      <w:r w:rsidRPr="000377C8">
        <w:rPr>
          <w:rFonts w:ascii="Palatino Linotype" w:hAnsi="Palatino Linotype"/>
          <w:b/>
          <w:sz w:val="24"/>
          <w:u w:val="single"/>
        </w:rPr>
        <w:t xml:space="preserve"> </w:t>
      </w:r>
      <w:r w:rsidRPr="000377C8">
        <w:rPr>
          <w:rFonts w:ascii="Palatino Linotype" w:hAnsi="Palatino Linotype"/>
          <w:sz w:val="24"/>
        </w:rPr>
        <w:t xml:space="preserve">que realice la Legislatura, así como por la asignación de las participaciones y aportaciones Federales y Estatales, por lo que de los Ayuntamientos de considerar en su Presupuesto de Egresos, disponer dentro del Capítulo 1000 Servicios Personales, partida genérica 1500 Otras Prestaciones Sociales y Económicas, la partida específica 1522 relativa a liquidaciones por indemnizaciones por sueldos y salarios caídos, a fin de contemplar pagos de liquidaciones derivadas de laudos emitidos o sentencia dictada por autoridad competente, favorables a los servidores públicos, en función de los sueldos, salarios y/o prestaciones que debieran percibir durante el litigio, en ese sentido al ya tenerse contemplada la partida 1522 en el </w:t>
      </w:r>
      <w:r w:rsidRPr="000377C8">
        <w:rPr>
          <w:rFonts w:ascii="Palatino Linotype" w:hAnsi="Palatino Linotype"/>
          <w:sz w:val="24"/>
        </w:rPr>
        <w:lastRenderedPageBreak/>
        <w:t>Presupuesto de Egresos Global Calendarizado implicó que el mismo se realizó en base a los ingresos municipales presupuestados.</w:t>
      </w:r>
    </w:p>
    <w:p w14:paraId="1E38ACBF" w14:textId="77777777" w:rsidR="000D05CC" w:rsidRPr="000377C8" w:rsidRDefault="000D05CC" w:rsidP="0037774E">
      <w:pPr>
        <w:spacing w:line="360" w:lineRule="auto"/>
        <w:ind w:right="49"/>
        <w:contextualSpacing/>
        <w:jc w:val="both"/>
        <w:rPr>
          <w:rFonts w:ascii="Palatino Linotype" w:eastAsiaTheme="minorEastAsia" w:hAnsi="Palatino Linotype"/>
          <w:sz w:val="24"/>
          <w:lang w:val="es-ES_tradnl"/>
        </w:rPr>
      </w:pPr>
    </w:p>
    <w:p w14:paraId="340735EB" w14:textId="77777777" w:rsidR="000D05CC" w:rsidRPr="000377C8" w:rsidRDefault="0061738D"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eastAsia="Calibri" w:hAnsi="Palatino Linotype" w:cs="Tahoma"/>
          <w:bCs/>
          <w:sz w:val="24"/>
          <w:szCs w:val="22"/>
          <w:lang w:eastAsia="en-US"/>
        </w:rPr>
        <w:t>Lo anterior, toma relevancia, pues se localiz</w:t>
      </w:r>
      <w:r w:rsidR="00315640" w:rsidRPr="000377C8">
        <w:rPr>
          <w:rFonts w:ascii="Palatino Linotype" w:eastAsia="Calibri" w:hAnsi="Palatino Linotype" w:cs="Tahoma"/>
          <w:bCs/>
          <w:sz w:val="24"/>
          <w:szCs w:val="22"/>
          <w:lang w:eastAsia="en-US"/>
        </w:rPr>
        <w:t>aron los formatos “</w:t>
      </w:r>
      <w:r w:rsidR="00315640" w:rsidRPr="000377C8">
        <w:rPr>
          <w:rFonts w:ascii="Palatino Linotype" w:eastAsia="Calibri" w:hAnsi="Palatino Linotype" w:cs="Tahoma"/>
          <w:bCs/>
          <w:i/>
          <w:sz w:val="24"/>
          <w:szCs w:val="22"/>
          <w:lang w:eastAsia="en-US"/>
        </w:rPr>
        <w:t>ESTADO DE AVANCE PRESUPUESTAL DE EGRESOS DETALLADO</w:t>
      </w:r>
      <w:r w:rsidR="00315640" w:rsidRPr="000377C8">
        <w:rPr>
          <w:rFonts w:ascii="Palatino Linotype" w:eastAsia="Calibri" w:hAnsi="Palatino Linotype" w:cs="Tahoma"/>
          <w:bCs/>
          <w:sz w:val="24"/>
          <w:szCs w:val="22"/>
          <w:lang w:eastAsia="en-US"/>
        </w:rPr>
        <w:t>” correspondiente</w:t>
      </w:r>
      <w:r w:rsidR="00752A40" w:rsidRPr="000377C8">
        <w:rPr>
          <w:rFonts w:ascii="Palatino Linotype" w:eastAsia="Calibri" w:hAnsi="Palatino Linotype" w:cs="Tahoma"/>
          <w:bCs/>
          <w:sz w:val="24"/>
          <w:szCs w:val="22"/>
          <w:lang w:eastAsia="en-US"/>
        </w:rPr>
        <w:t>s</w:t>
      </w:r>
      <w:r w:rsidR="00315640" w:rsidRPr="000377C8">
        <w:rPr>
          <w:rFonts w:ascii="Palatino Linotype" w:eastAsia="Calibri" w:hAnsi="Palatino Linotype" w:cs="Tahoma"/>
          <w:bCs/>
          <w:sz w:val="24"/>
          <w:szCs w:val="22"/>
          <w:lang w:eastAsia="en-US"/>
        </w:rPr>
        <w:t xml:space="preserve"> </w:t>
      </w:r>
      <w:r w:rsidR="00752A40" w:rsidRPr="000377C8">
        <w:rPr>
          <w:rFonts w:ascii="Palatino Linotype" w:eastAsia="Calibri" w:hAnsi="Palatino Linotype" w:cs="Tahoma"/>
          <w:bCs/>
          <w:sz w:val="24"/>
          <w:szCs w:val="22"/>
          <w:lang w:eastAsia="en-US"/>
        </w:rPr>
        <w:t>del uno de enero al 31 de marzo de dos mil veintiuno y del uno del enero al treinta y uno de junio</w:t>
      </w:r>
      <w:r w:rsidR="00315640" w:rsidRPr="000377C8">
        <w:rPr>
          <w:rFonts w:ascii="Palatino Linotype" w:eastAsia="Calibri" w:hAnsi="Palatino Linotype" w:cs="Tahoma"/>
          <w:bCs/>
          <w:sz w:val="24"/>
          <w:szCs w:val="22"/>
          <w:lang w:eastAsia="en-US"/>
        </w:rPr>
        <w:t xml:space="preserve">, se advierten partidas </w:t>
      </w:r>
      <w:r w:rsidR="00752A40" w:rsidRPr="000377C8">
        <w:rPr>
          <w:rFonts w:ascii="Palatino Linotype" w:eastAsia="Calibri" w:hAnsi="Palatino Linotype" w:cs="Tahoma"/>
          <w:bCs/>
          <w:sz w:val="24"/>
          <w:szCs w:val="22"/>
          <w:lang w:eastAsia="en-US"/>
        </w:rPr>
        <w:t xml:space="preserve">presupuestales </w:t>
      </w:r>
      <w:r w:rsidR="00315640" w:rsidRPr="000377C8">
        <w:rPr>
          <w:rFonts w:ascii="Palatino Linotype" w:eastAsia="Calibri" w:hAnsi="Palatino Linotype" w:cs="Tahoma"/>
          <w:bCs/>
          <w:sz w:val="24"/>
          <w:szCs w:val="22"/>
          <w:lang w:eastAsia="en-US"/>
        </w:rPr>
        <w:t xml:space="preserve">ejercidas </w:t>
      </w:r>
      <w:r w:rsidR="00752A40" w:rsidRPr="000377C8">
        <w:rPr>
          <w:rFonts w:ascii="Palatino Linotype" w:eastAsia="Calibri" w:hAnsi="Palatino Linotype" w:cs="Tahoma"/>
          <w:bCs/>
          <w:sz w:val="24"/>
          <w:szCs w:val="22"/>
          <w:lang w:eastAsia="en-US"/>
        </w:rPr>
        <w:t>en ese periodo, tal como se muestra a continuación:</w:t>
      </w:r>
    </w:p>
    <w:p w14:paraId="50E6E0D0" w14:textId="77777777" w:rsidR="000D05CC" w:rsidRPr="000377C8" w:rsidRDefault="000D05CC" w:rsidP="0037774E">
      <w:pPr>
        <w:spacing w:line="360" w:lineRule="auto"/>
        <w:ind w:right="49"/>
        <w:contextualSpacing/>
        <w:jc w:val="both"/>
        <w:rPr>
          <w:rFonts w:ascii="Palatino Linotype" w:eastAsia="Calibri" w:hAnsi="Palatino Linotype" w:cs="Tahoma"/>
          <w:bCs/>
          <w:sz w:val="24"/>
          <w:szCs w:val="22"/>
          <w:lang w:eastAsia="en-US"/>
        </w:rPr>
      </w:pPr>
    </w:p>
    <w:p w14:paraId="1A58BF49" w14:textId="77777777" w:rsidR="000D05CC" w:rsidRPr="000377C8" w:rsidRDefault="000D05CC" w:rsidP="0037774E">
      <w:pPr>
        <w:pStyle w:val="Prrafodelista"/>
        <w:spacing w:line="360" w:lineRule="auto"/>
        <w:ind w:left="0" w:right="49"/>
        <w:jc w:val="both"/>
        <w:rPr>
          <w:rFonts w:ascii="Palatino Linotype" w:hAnsi="Palatino Linotype" w:cs="Arial"/>
          <w:color w:val="000000" w:themeColor="text1"/>
          <w:sz w:val="24"/>
        </w:rPr>
      </w:pPr>
    </w:p>
    <w:p w14:paraId="59AF04E5" w14:textId="77777777" w:rsidR="000D05CC" w:rsidRPr="000377C8" w:rsidRDefault="000D05CC" w:rsidP="0037774E">
      <w:pPr>
        <w:pStyle w:val="Prrafodelista"/>
        <w:spacing w:line="360" w:lineRule="auto"/>
        <w:ind w:left="0" w:right="49"/>
        <w:jc w:val="both"/>
        <w:rPr>
          <w:rFonts w:ascii="Palatino Linotype" w:hAnsi="Palatino Linotype" w:cs="Arial"/>
          <w:color w:val="000000" w:themeColor="text1"/>
          <w:sz w:val="24"/>
        </w:rPr>
      </w:pPr>
      <w:r w:rsidRPr="000377C8">
        <w:rPr>
          <w:rFonts w:ascii="Palatino Linotype" w:hAnsi="Palatino Linotype"/>
          <w:noProof/>
          <w:lang w:val="es-ES"/>
        </w:rPr>
        <w:drawing>
          <wp:inline distT="0" distB="0" distL="0" distR="0" wp14:anchorId="2FE3D0E8" wp14:editId="75FFA8EA">
            <wp:extent cx="5715000" cy="38910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49" t="5309" r="4633" b="9153"/>
                    <a:stretch/>
                  </pic:blipFill>
                  <pic:spPr bwMode="auto">
                    <a:xfrm>
                      <a:off x="0" y="0"/>
                      <a:ext cx="5717817" cy="3892982"/>
                    </a:xfrm>
                    <a:prstGeom prst="rect">
                      <a:avLst/>
                    </a:prstGeom>
                    <a:ln>
                      <a:noFill/>
                    </a:ln>
                    <a:extLst>
                      <a:ext uri="{53640926-AAD7-44D8-BBD7-CCE9431645EC}">
                        <a14:shadowObscured xmlns:a14="http://schemas.microsoft.com/office/drawing/2010/main"/>
                      </a:ext>
                    </a:extLst>
                  </pic:spPr>
                </pic:pic>
              </a:graphicData>
            </a:graphic>
          </wp:inline>
        </w:drawing>
      </w:r>
    </w:p>
    <w:p w14:paraId="2A5BB9EE" w14:textId="77777777" w:rsidR="000D05CC" w:rsidRPr="000377C8" w:rsidRDefault="000D05CC" w:rsidP="0037774E">
      <w:pPr>
        <w:pStyle w:val="Prrafodelista"/>
        <w:spacing w:line="360" w:lineRule="auto"/>
        <w:ind w:left="0" w:right="49"/>
        <w:jc w:val="both"/>
        <w:rPr>
          <w:rFonts w:ascii="Palatino Linotype" w:hAnsi="Palatino Linotype" w:cs="Arial"/>
          <w:color w:val="000000" w:themeColor="text1"/>
          <w:sz w:val="24"/>
        </w:rPr>
      </w:pPr>
    </w:p>
    <w:p w14:paraId="444B5DC2" w14:textId="593D877A" w:rsidR="000D05CC" w:rsidRPr="000377C8" w:rsidRDefault="000D05CC" w:rsidP="0037774E">
      <w:pPr>
        <w:pStyle w:val="Prrafodelista"/>
        <w:spacing w:line="360" w:lineRule="auto"/>
        <w:ind w:left="0" w:right="49"/>
        <w:jc w:val="both"/>
        <w:rPr>
          <w:rFonts w:ascii="Palatino Linotype" w:hAnsi="Palatino Linotype" w:cs="Arial"/>
          <w:color w:val="000000" w:themeColor="text1"/>
          <w:sz w:val="24"/>
        </w:rPr>
      </w:pPr>
      <w:r w:rsidRPr="000377C8">
        <w:rPr>
          <w:rFonts w:ascii="Palatino Linotype" w:hAnsi="Palatino Linotype"/>
          <w:noProof/>
          <w:lang w:val="es-ES"/>
        </w:rPr>
        <w:lastRenderedPageBreak/>
        <w:drawing>
          <wp:inline distT="0" distB="0" distL="0" distR="0" wp14:anchorId="02AB61B4" wp14:editId="03CFE2D4">
            <wp:extent cx="7267575" cy="5719762"/>
            <wp:effectExtent l="0" t="6985"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10" t="12873" r="11427" b="39"/>
                    <a:stretch/>
                  </pic:blipFill>
                  <pic:spPr bwMode="auto">
                    <a:xfrm rot="5400000">
                      <a:off x="0" y="0"/>
                      <a:ext cx="7267575" cy="5719762"/>
                    </a:xfrm>
                    <a:prstGeom prst="rect">
                      <a:avLst/>
                    </a:prstGeom>
                    <a:ln>
                      <a:noFill/>
                    </a:ln>
                    <a:extLst>
                      <a:ext uri="{53640926-AAD7-44D8-BBD7-CCE9431645EC}">
                        <a14:shadowObscured xmlns:a14="http://schemas.microsoft.com/office/drawing/2010/main"/>
                      </a:ext>
                    </a:extLst>
                  </pic:spPr>
                </pic:pic>
              </a:graphicData>
            </a:graphic>
          </wp:inline>
        </w:drawing>
      </w:r>
    </w:p>
    <w:p w14:paraId="03142701" w14:textId="69B804DA" w:rsidR="009D7700" w:rsidRPr="000377C8" w:rsidRDefault="0008349B" w:rsidP="0037774E">
      <w:pPr>
        <w:numPr>
          <w:ilvl w:val="0"/>
          <w:numId w:val="30"/>
        </w:numPr>
        <w:spacing w:line="360" w:lineRule="auto"/>
        <w:ind w:left="0" w:right="49" w:firstLine="0"/>
        <w:contextualSpacing/>
        <w:jc w:val="both"/>
        <w:rPr>
          <w:rFonts w:ascii="Palatino Linotype" w:eastAsiaTheme="minorEastAsia" w:hAnsi="Palatino Linotype"/>
          <w:sz w:val="24"/>
          <w:lang w:val="es-ES_tradnl"/>
        </w:rPr>
      </w:pPr>
      <w:r w:rsidRPr="000377C8">
        <w:rPr>
          <w:rFonts w:ascii="Palatino Linotype" w:eastAsiaTheme="minorEastAsia" w:hAnsi="Palatino Linotype"/>
          <w:sz w:val="24"/>
          <w:lang w:val="es-ES_tradnl"/>
        </w:rPr>
        <w:lastRenderedPageBreak/>
        <w:t xml:space="preserve">Aunado a ello, es de señalar el particular solicitó conocer si el Organismo de Agua cuenta con suficiencia presupuestal para el pago de laudos, en este caso, </w:t>
      </w:r>
      <w:r w:rsidR="0037774E" w:rsidRPr="000377C8">
        <w:rPr>
          <w:rFonts w:ascii="Palatino Linotype" w:eastAsiaTheme="minorEastAsia" w:hAnsi="Palatino Linotype"/>
          <w:sz w:val="24"/>
          <w:lang w:val="es-ES_tradnl"/>
        </w:rPr>
        <w:t xml:space="preserve">la información de manera enunciativa más no limitativa, puede contenerse en el presupuesto de egresos, sobre ello las </w:t>
      </w:r>
      <w:r w:rsidRPr="000377C8">
        <w:rPr>
          <w:rFonts w:ascii="Palatino Linotype" w:eastAsiaTheme="minorEastAsia" w:hAnsi="Palatino Linotype"/>
          <w:sz w:val="24"/>
          <w:lang w:val="es-ES_tradnl"/>
        </w:rPr>
        <w:t>Políticas para la integración del Informe Trimestral de los Sujetos de Fiscalización Municipales para el Ejercicio 2021, establecen</w:t>
      </w:r>
      <w:r w:rsidR="0037774E" w:rsidRPr="000377C8">
        <w:rPr>
          <w:rFonts w:ascii="Palatino Linotype" w:eastAsiaTheme="minorEastAsia" w:hAnsi="Palatino Linotype"/>
          <w:sz w:val="24"/>
          <w:lang w:val="es-ES_tradnl"/>
        </w:rPr>
        <w:t xml:space="preserve"> en su Módulo 2, Información Presupuestaria para los Organismos Descentralizados, el Estado Analítico del Presupuesto de Egresos Detallado-LFD clasificación de Servicios Personales por Categoría:</w:t>
      </w:r>
    </w:p>
    <w:p w14:paraId="5CB6BE86" w14:textId="1F388F9D" w:rsidR="0037774E" w:rsidRPr="000377C8" w:rsidRDefault="0037774E" w:rsidP="0037774E">
      <w:pPr>
        <w:spacing w:line="360" w:lineRule="auto"/>
        <w:ind w:right="49"/>
        <w:contextualSpacing/>
        <w:jc w:val="center"/>
        <w:rPr>
          <w:rFonts w:ascii="Palatino Linotype" w:eastAsiaTheme="minorEastAsia" w:hAnsi="Palatino Linotype"/>
          <w:sz w:val="32"/>
          <w:lang w:val="es-ES_tradnl"/>
        </w:rPr>
      </w:pPr>
      <w:r w:rsidRPr="000377C8">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57EA4796" wp14:editId="77F1070B">
                <wp:simplePos x="0" y="0"/>
                <wp:positionH relativeFrom="column">
                  <wp:posOffset>664777</wp:posOffset>
                </wp:positionH>
                <wp:positionV relativeFrom="paragraph">
                  <wp:posOffset>3289327</wp:posOffset>
                </wp:positionV>
                <wp:extent cx="2227634" cy="321013"/>
                <wp:effectExtent l="19050" t="19050" r="20320" b="22225"/>
                <wp:wrapNone/>
                <wp:docPr id="7" name="Rectángulo redondeado 7"/>
                <wp:cNvGraphicFramePr/>
                <a:graphic xmlns:a="http://schemas.openxmlformats.org/drawingml/2006/main">
                  <a:graphicData uri="http://schemas.microsoft.com/office/word/2010/wordprocessingShape">
                    <wps:wsp>
                      <wps:cNvSpPr/>
                      <wps:spPr>
                        <a:xfrm>
                          <a:off x="0" y="0"/>
                          <a:ext cx="2227634" cy="32101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DE3371" id="Rectángulo redondeado 7" o:spid="_x0000_s1026" style="position:absolute;margin-left:52.35pt;margin-top:259pt;width:175.4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7EqwIAAKEFAAAOAAAAZHJzL2Uyb0RvYy54bWysVM1u2zAMvg/YOwi6r/5p2nRGnSJokWFA&#10;0RZth54VWY4NyKImKXGyt9mz7MVGSbYbdMUOw3yQJZH8SH4ieXm17yTZCWNbUCXNTlJKhOJQtWpT&#10;0m/Pq08XlFjHVMUkKFHSg7D0avHxw2WvC5FDA7IShiCIskWvS9o4p4sksbwRHbMnoIVCYQ2mYw6P&#10;ZpNUhvWI3skkT9PzpAdTaQNcWIu3N1FIFwG/rgV393VthSOypBibC6sJ69qvyeKSFRvDdNPyIQz2&#10;D1F0rFXodIK6YY6RrWn/gOpabsBC7U44dAnUdctFyAGzydI32Tw1TIuQC5Jj9UST/X+w/G73YEhb&#10;lXROiWIdPtEjkvbrp9psJRAjKlCVYBWQueeq17ZAkyf9YIaTxa1PfF+bzv8xJbIP/B4mfsXeEY6X&#10;eZ7Pz09nlHCUneZZmp160OTVWhvrvgjoiN+U1MBWVT6ewC3b3VoX9Uc971HBqpUS71khFekR+SJL&#10;02BhQbaVl3qhNZv1tTRkx7AWVqsUv8H7kRrGIhWG5BONqYWdO0gRHTyKGunyyUQPvlDFBMs4F8pl&#10;UdSwSkRvZ8fORouQuFQI6JFrjHLCHgBGzQgyYkcGBn1vKkKdT8ZD6n8zniyCZ1BuMu5aBea9zCRm&#10;NXiO+iNJkRrP0hqqAxaTgdhlVvNVi894y6x7YAbbChsQR4W7x6WWgC8Fw46SBsyP9+69PlY7Sinp&#10;sU1Lar9vmRGUyK8K++BzNpv5vg6H2dk8x4M5lqyPJWrbXQO+foZDSfOw9fpOjtvaQPeCE2XpvaKI&#10;KY6+S8qdGQ/XLo4PnElcLJdBDXtZM3ernjT34J5VX6HP+xdm9FDLDrvgDsaWZsWbao663lLBcuug&#10;bkOpv/I68I1zIBTOMLP8oDk+B63Xybr4DQAA//8DAFBLAwQUAAYACAAAACEAe9M2Ht8AAAALAQAA&#10;DwAAAGRycy9kb3ducmV2LnhtbEyPwU7DMBBE70j8g7VI3KiTtglRiFOhIsSVtnDg5sbbOCJeh9hp&#10;w9+znOA4s0+zM9Vmdr044xg6TwrSRQICqfGmo1bB2+H5rgARoiaje0+o4BsDbOrrq0qXxl9oh+d9&#10;bAWHUCi1AhvjUEoZGotOh4UfkPh28qPTkeXYSjPqC4e7Xi6TJJdOd8QfrB5wa7H53E9OgaHlqXhd&#10;vYSvj5mm1faQPu3su1K3N/PjA4iIc/yD4bc+V4eaOx39RCaInnWyvmdUQZYWPIqJdZZlII7s5EUO&#10;sq7k/w31DwAAAP//AwBQSwECLQAUAAYACAAAACEAtoM4kv4AAADhAQAAEwAAAAAAAAAAAAAAAAAA&#10;AAAAW0NvbnRlbnRfVHlwZXNdLnhtbFBLAQItABQABgAIAAAAIQA4/SH/1gAAAJQBAAALAAAAAAAA&#10;AAAAAAAAAC8BAABfcmVscy8ucmVsc1BLAQItABQABgAIAAAAIQAHrA7EqwIAAKEFAAAOAAAAAAAA&#10;AAAAAAAAAC4CAABkcnMvZTJvRG9jLnhtbFBLAQItABQABgAIAAAAIQB70zYe3wAAAAsBAAAPAAAA&#10;AAAAAAAAAAAAAAUFAABkcnMvZG93bnJldi54bWxQSwUGAAAAAAQABADzAAAAEQYAAAAA&#10;" filled="f" strokecolor="red" strokeweight="3pt">
                <v:stroke joinstyle="miter"/>
              </v:roundrect>
            </w:pict>
          </mc:Fallback>
        </mc:AlternateContent>
      </w:r>
      <w:r w:rsidRPr="000377C8">
        <w:rPr>
          <w:rFonts w:ascii="Palatino Linotype" w:hAnsi="Palatino Linotype"/>
          <w:noProof/>
          <w:lang w:val="es-ES"/>
        </w:rPr>
        <w:drawing>
          <wp:inline distT="0" distB="0" distL="0" distR="0" wp14:anchorId="00093B27" wp14:editId="7D30FB98">
            <wp:extent cx="5300041" cy="435799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69" t="15659" r="28520" b="27734"/>
                    <a:stretch/>
                  </pic:blipFill>
                  <pic:spPr bwMode="auto">
                    <a:xfrm>
                      <a:off x="0" y="0"/>
                      <a:ext cx="5330507" cy="4383043"/>
                    </a:xfrm>
                    <a:prstGeom prst="rect">
                      <a:avLst/>
                    </a:prstGeom>
                    <a:ln>
                      <a:noFill/>
                    </a:ln>
                    <a:extLst>
                      <a:ext uri="{53640926-AAD7-44D8-BBD7-CCE9431645EC}">
                        <a14:shadowObscured xmlns:a14="http://schemas.microsoft.com/office/drawing/2010/main"/>
                      </a:ext>
                    </a:extLst>
                  </pic:spPr>
                </pic:pic>
              </a:graphicData>
            </a:graphic>
          </wp:inline>
        </w:drawing>
      </w:r>
    </w:p>
    <w:p w14:paraId="24FE46CB" w14:textId="77777777" w:rsidR="0037774E" w:rsidRPr="000377C8" w:rsidRDefault="0037774E" w:rsidP="0037774E">
      <w:pPr>
        <w:spacing w:line="360" w:lineRule="auto"/>
        <w:ind w:right="49"/>
        <w:contextualSpacing/>
        <w:jc w:val="both"/>
        <w:rPr>
          <w:rFonts w:ascii="Palatino Linotype" w:eastAsiaTheme="minorEastAsia" w:hAnsi="Palatino Linotype"/>
          <w:sz w:val="32"/>
          <w:lang w:val="es-ES_tradnl"/>
        </w:rPr>
      </w:pPr>
    </w:p>
    <w:p w14:paraId="191358AE" w14:textId="21B1E3DF" w:rsidR="000D05CC"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eastAsia="Calibri" w:hAnsi="Palatino Linotype" w:cs="Tahoma"/>
          <w:bCs/>
          <w:iCs/>
          <w:sz w:val="24"/>
          <w:lang w:eastAsia="es-ES_tradnl"/>
        </w:rPr>
        <w:lastRenderedPageBreak/>
        <w:t xml:space="preserve">Ahora bien, cabe destacar que no es procedente clasificar la información </w:t>
      </w:r>
      <w:r w:rsidR="00E5574A" w:rsidRPr="000377C8">
        <w:rPr>
          <w:rFonts w:ascii="Palatino Linotype" w:eastAsia="Calibri" w:hAnsi="Palatino Linotype" w:cs="Tahoma"/>
          <w:bCs/>
          <w:iCs/>
          <w:sz w:val="24"/>
          <w:lang w:eastAsia="es-ES_tradnl"/>
        </w:rPr>
        <w:t>solicitada</w:t>
      </w:r>
      <w:r w:rsidRPr="000377C8">
        <w:rPr>
          <w:rFonts w:ascii="Palatino Linotype" w:eastAsia="Calibri" w:hAnsi="Palatino Linotype" w:cs="Tahoma"/>
          <w:bCs/>
          <w:iCs/>
          <w:sz w:val="24"/>
          <w:lang w:eastAsia="es-ES_tradnl"/>
        </w:rPr>
        <w:t xml:space="preserve">, toda vez que es información de interés público y que abona a la trasparencia y la rendición de cuentas, además, debe tenerse en cuenta lo estipulado en el artículo 23 de la Ley de Transparencia y Acceso a la Información Pública del Estado de México y Municipios, el cual determina el deber que tienen los sujetos obligados de </w:t>
      </w:r>
      <w:r w:rsidRPr="000377C8">
        <w:rPr>
          <w:rFonts w:ascii="Palatino Linotype" w:eastAsia="Calibri" w:hAnsi="Palatino Linotype" w:cs="Tahoma"/>
          <w:b/>
          <w:bCs/>
          <w:iCs/>
          <w:sz w:val="24"/>
          <w:lang w:eastAsia="es-ES_tradnl"/>
        </w:rPr>
        <w:t>hacer pública toda aquella información relativa a los montos</w:t>
      </w:r>
      <w:r w:rsidRPr="000377C8">
        <w:rPr>
          <w:rFonts w:ascii="Palatino Linotype" w:eastAsia="Calibri" w:hAnsi="Palatino Linotype" w:cs="Tahoma"/>
          <w:bCs/>
          <w:iCs/>
          <w:sz w:val="24"/>
          <w:lang w:eastAsia="es-ES_tradnl"/>
        </w:rPr>
        <w:t xml:space="preserve"> y las personas a quienes entreguen, por cualquier motivo, </w:t>
      </w:r>
      <w:r w:rsidRPr="000377C8">
        <w:rPr>
          <w:rFonts w:ascii="Palatino Linotype" w:eastAsia="Calibri" w:hAnsi="Palatino Linotype" w:cs="Tahoma"/>
          <w:b/>
          <w:bCs/>
          <w:iCs/>
          <w:sz w:val="24"/>
          <w:lang w:eastAsia="es-ES_tradnl"/>
        </w:rPr>
        <w:t>recursos públicos</w:t>
      </w:r>
      <w:r w:rsidRPr="000377C8">
        <w:rPr>
          <w:rFonts w:ascii="Palatino Linotype" w:eastAsia="Calibri" w:hAnsi="Palatino Linotype" w:cs="Tahoma"/>
          <w:bCs/>
          <w:iCs/>
          <w:sz w:val="24"/>
          <w:lang w:eastAsia="es-ES_tradnl"/>
        </w:rPr>
        <w:t>, así como los informes que dichas personas les entreguen sobre el uso y destino de dichos recursos.</w:t>
      </w:r>
    </w:p>
    <w:p w14:paraId="407FAC0B" w14:textId="77777777" w:rsidR="000377C8" w:rsidRPr="000377C8" w:rsidRDefault="000377C8" w:rsidP="000377C8">
      <w:pPr>
        <w:spacing w:line="360" w:lineRule="auto"/>
        <w:ind w:right="49"/>
        <w:contextualSpacing/>
        <w:jc w:val="both"/>
        <w:rPr>
          <w:rFonts w:ascii="Palatino Linotype" w:eastAsiaTheme="minorEastAsia" w:hAnsi="Palatino Linotype"/>
          <w:sz w:val="32"/>
          <w:lang w:val="es-ES_tradnl"/>
        </w:rPr>
      </w:pPr>
    </w:p>
    <w:p w14:paraId="40E2140B" w14:textId="77777777" w:rsidR="000D05CC"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sz w:val="24"/>
        </w:rPr>
        <w:t xml:space="preserve">Fue así como se pudo observar que el </w:t>
      </w:r>
      <w:r w:rsidRPr="000377C8">
        <w:rPr>
          <w:rFonts w:ascii="Palatino Linotype" w:hAnsi="Palatino Linotype"/>
          <w:b/>
          <w:sz w:val="24"/>
        </w:rPr>
        <w:t>SUJETO OBLIGADO</w:t>
      </w:r>
      <w:r w:rsidRPr="000377C8">
        <w:rPr>
          <w:rFonts w:ascii="Palatino Linotype" w:hAnsi="Palatino Linotype"/>
          <w:sz w:val="24"/>
        </w:rPr>
        <w:t xml:space="preserve"> asume que genera, posee y administra la información requerida tan es así que clasificó la</w:t>
      </w:r>
      <w:r w:rsidR="00E5574A" w:rsidRPr="000377C8">
        <w:rPr>
          <w:rFonts w:ascii="Palatino Linotype" w:hAnsi="Palatino Linotype"/>
          <w:sz w:val="24"/>
        </w:rPr>
        <w:t xml:space="preserve"> </w:t>
      </w:r>
      <w:r w:rsidRPr="000377C8">
        <w:rPr>
          <w:rFonts w:ascii="Palatino Linotype" w:hAnsi="Palatino Linotype"/>
          <w:sz w:val="24"/>
        </w:rPr>
        <w:t>información.</w:t>
      </w:r>
    </w:p>
    <w:p w14:paraId="5E4886A0" w14:textId="77777777" w:rsidR="000D05CC" w:rsidRPr="000377C8" w:rsidRDefault="000D05CC" w:rsidP="0037774E">
      <w:pPr>
        <w:spacing w:line="360" w:lineRule="auto"/>
        <w:ind w:right="49"/>
        <w:contextualSpacing/>
        <w:jc w:val="both"/>
        <w:rPr>
          <w:rFonts w:ascii="Palatino Linotype" w:eastAsiaTheme="minorEastAsia" w:hAnsi="Palatino Linotype"/>
          <w:sz w:val="32"/>
          <w:lang w:val="es-ES_tradnl"/>
        </w:rPr>
      </w:pPr>
    </w:p>
    <w:p w14:paraId="5F3A94D1" w14:textId="77777777" w:rsidR="000D05CC"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cs="Arial"/>
          <w:sz w:val="24"/>
        </w:rPr>
        <w:t xml:space="preserve">Por lo que bajo ese tenor es necesario señalar que </w:t>
      </w:r>
      <w:r w:rsidRPr="000377C8">
        <w:rPr>
          <w:rFonts w:ascii="Palatino Linotype" w:hAnsi="Palatino Linotype"/>
          <w:sz w:val="24"/>
        </w:rPr>
        <w:t xml:space="preserve">el estudio de la naturaleza jurídica, tiene por objeto determinar si el </w:t>
      </w:r>
      <w:r w:rsidRPr="000377C8">
        <w:rPr>
          <w:rFonts w:ascii="Palatino Linotype" w:hAnsi="Palatino Linotype"/>
          <w:b/>
          <w:sz w:val="24"/>
        </w:rPr>
        <w:t>SUJETO OBLIGADO</w:t>
      </w:r>
      <w:r w:rsidRPr="000377C8">
        <w:rPr>
          <w:rFonts w:ascii="Palatino Linotype" w:hAnsi="Palatino Linotype"/>
          <w:sz w:val="24"/>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0377C8">
        <w:rPr>
          <w:rFonts w:ascii="Palatino Linotype" w:hAnsi="Palatino Linotype"/>
          <w:b/>
          <w:sz w:val="24"/>
        </w:rPr>
        <w:t xml:space="preserve">SUJETO OBLIGADO </w:t>
      </w:r>
      <w:r w:rsidRPr="000377C8">
        <w:rPr>
          <w:rFonts w:ascii="Palatino Linotype" w:hAnsi="Palatino Linotype"/>
          <w:sz w:val="24"/>
        </w:rPr>
        <w:t>mediante su respuesta.</w:t>
      </w:r>
    </w:p>
    <w:p w14:paraId="7D2F91F4" w14:textId="77777777" w:rsidR="000D05CC" w:rsidRPr="000377C8" w:rsidRDefault="000D05CC" w:rsidP="0037774E">
      <w:pPr>
        <w:spacing w:line="360" w:lineRule="auto"/>
        <w:ind w:right="49"/>
        <w:contextualSpacing/>
        <w:jc w:val="both"/>
        <w:rPr>
          <w:rFonts w:ascii="Palatino Linotype" w:eastAsiaTheme="minorEastAsia" w:hAnsi="Palatino Linotype"/>
          <w:sz w:val="32"/>
          <w:lang w:val="es-ES_tradnl"/>
        </w:rPr>
      </w:pPr>
    </w:p>
    <w:p w14:paraId="15B90441" w14:textId="302E2008" w:rsidR="000377C8" w:rsidRPr="000377C8" w:rsidRDefault="00AC2226" w:rsidP="000377C8">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cs="Arial"/>
          <w:sz w:val="24"/>
        </w:rPr>
        <w:t xml:space="preserve">Bajo ese tenor, es claro que administra y posee en sus archivos la documentación materia de la solicitud, la cual debe ser considerada como información pública, de conformidad con el artículo 4 de la </w:t>
      </w:r>
      <w:r w:rsidRPr="000377C8">
        <w:rPr>
          <w:rFonts w:ascii="Palatino Linotype" w:hAnsi="Palatino Linotype" w:cs="Arial"/>
          <w:b/>
          <w:sz w:val="24"/>
        </w:rPr>
        <w:t xml:space="preserve">Ley de Transparencia y Acceso a la </w:t>
      </w:r>
      <w:r w:rsidRPr="000377C8">
        <w:rPr>
          <w:rFonts w:ascii="Palatino Linotype" w:hAnsi="Palatino Linotype" w:cs="Arial"/>
          <w:b/>
          <w:sz w:val="24"/>
        </w:rPr>
        <w:lastRenderedPageBreak/>
        <w:t>Información Pública del Estado de México y Municipios</w:t>
      </w:r>
      <w:r w:rsidRPr="000377C8">
        <w:rPr>
          <w:rFonts w:ascii="Palatino Linotype" w:hAnsi="Palatino Linotype" w:cs="Arial"/>
          <w:sz w:val="24"/>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w:t>
      </w:r>
    </w:p>
    <w:p w14:paraId="748FA40D" w14:textId="77777777" w:rsidR="000377C8" w:rsidRPr="000377C8" w:rsidRDefault="000377C8" w:rsidP="000377C8">
      <w:pPr>
        <w:spacing w:line="360" w:lineRule="auto"/>
        <w:ind w:right="49"/>
        <w:contextualSpacing/>
        <w:jc w:val="both"/>
        <w:rPr>
          <w:rFonts w:ascii="Palatino Linotype" w:eastAsiaTheme="minorEastAsia" w:hAnsi="Palatino Linotype"/>
          <w:sz w:val="32"/>
          <w:lang w:val="es-ES_tradnl"/>
        </w:rPr>
      </w:pPr>
    </w:p>
    <w:p w14:paraId="6CBF3135" w14:textId="77777777" w:rsidR="000D05CC" w:rsidRPr="000377C8" w:rsidRDefault="00AC2226"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color w:val="000000" w:themeColor="text1"/>
          <w:sz w:val="24"/>
        </w:rPr>
        <w:t xml:space="preserve">De hecho el estudio de la naturaleza jurídica, tiene por objeto determinar si el </w:t>
      </w:r>
      <w:r w:rsidRPr="000377C8">
        <w:rPr>
          <w:rFonts w:ascii="Palatino Linotype" w:hAnsi="Palatino Linotype"/>
          <w:b/>
          <w:color w:val="000000" w:themeColor="text1"/>
          <w:sz w:val="24"/>
        </w:rPr>
        <w:t>SUJETO OBLIGADO</w:t>
      </w:r>
      <w:r w:rsidRPr="000377C8">
        <w:rPr>
          <w:rFonts w:ascii="Palatino Linotype" w:hAnsi="Palatino Linotype"/>
          <w:color w:val="000000" w:themeColor="text1"/>
          <w:sz w:val="24"/>
        </w:rPr>
        <w:t xml:space="preserve"> genera, posee o administra la información pública solicitada; sin embargo, en aquellos casos en que éste la asume, a nada práctico nos conduciría su estudio, ya que se insiste la información pública solicitada, ya fue asumida por el </w:t>
      </w:r>
      <w:r w:rsidRPr="000377C8">
        <w:rPr>
          <w:rFonts w:ascii="Palatino Linotype" w:hAnsi="Palatino Linotype"/>
          <w:b/>
          <w:color w:val="000000" w:themeColor="text1"/>
          <w:sz w:val="24"/>
        </w:rPr>
        <w:t>SUJETO OBLIGADO.</w:t>
      </w:r>
    </w:p>
    <w:p w14:paraId="40CEA542" w14:textId="77777777" w:rsidR="000D05CC" w:rsidRPr="000377C8" w:rsidRDefault="000D05CC" w:rsidP="0037774E">
      <w:pPr>
        <w:spacing w:line="360" w:lineRule="auto"/>
        <w:ind w:right="49"/>
        <w:contextualSpacing/>
        <w:jc w:val="both"/>
        <w:rPr>
          <w:rFonts w:ascii="Palatino Linotype" w:hAnsi="Palatino Linotype"/>
          <w:color w:val="000000" w:themeColor="text1"/>
          <w:sz w:val="24"/>
        </w:rPr>
      </w:pPr>
    </w:p>
    <w:p w14:paraId="52A698DC" w14:textId="5C431F7D" w:rsidR="000D05CC" w:rsidRPr="000377C8" w:rsidRDefault="000D05CC" w:rsidP="0037774E">
      <w:pPr>
        <w:pStyle w:val="Ttulo1"/>
        <w:spacing w:before="0" w:line="360" w:lineRule="auto"/>
        <w:rPr>
          <w:rFonts w:ascii="Palatino Linotype" w:eastAsiaTheme="minorEastAsia" w:hAnsi="Palatino Linotype"/>
          <w:b/>
          <w:color w:val="auto"/>
          <w:sz w:val="24"/>
          <w:lang w:val="es-ES_tradnl"/>
        </w:rPr>
      </w:pPr>
      <w:r w:rsidRPr="000377C8">
        <w:rPr>
          <w:rFonts w:ascii="Palatino Linotype" w:hAnsi="Palatino Linotype"/>
          <w:b/>
          <w:color w:val="auto"/>
          <w:sz w:val="24"/>
        </w:rPr>
        <w:t>A. De las cuentas bancarias Municipales</w:t>
      </w:r>
    </w:p>
    <w:p w14:paraId="22F8E0A3" w14:textId="77777777" w:rsidR="000D05CC" w:rsidRPr="000377C8" w:rsidRDefault="000D05CC" w:rsidP="0037774E">
      <w:pPr>
        <w:spacing w:line="360" w:lineRule="auto"/>
        <w:ind w:right="49"/>
        <w:contextualSpacing/>
        <w:jc w:val="both"/>
        <w:rPr>
          <w:rFonts w:ascii="Palatino Linotype" w:eastAsiaTheme="minorEastAsia" w:hAnsi="Palatino Linotype"/>
          <w:sz w:val="32"/>
          <w:lang w:val="es-ES_tradnl"/>
        </w:rPr>
      </w:pPr>
    </w:p>
    <w:p w14:paraId="2FC1082C" w14:textId="77777777" w:rsidR="000D05CC" w:rsidRPr="000377C8" w:rsidRDefault="000A7908"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cs="Tahoma"/>
          <w:bCs/>
          <w:sz w:val="24"/>
          <w:szCs w:val="24"/>
        </w:rPr>
        <w:t>Por otra parte</w:t>
      </w:r>
      <w:r w:rsidR="00140554" w:rsidRPr="000377C8">
        <w:rPr>
          <w:rFonts w:ascii="Palatino Linotype" w:hAnsi="Palatino Linotype" w:cs="Tahoma"/>
          <w:bCs/>
          <w:sz w:val="24"/>
          <w:szCs w:val="24"/>
        </w:rPr>
        <w:t>, en el presente caso, de la lectura de la solicitud de información, se advierte que la pretensión del ahora Recurrente,</w:t>
      </w:r>
      <w:r w:rsidRPr="000377C8">
        <w:rPr>
          <w:rFonts w:ascii="Palatino Linotype" w:hAnsi="Palatino Linotype" w:cs="Tahoma"/>
          <w:bCs/>
          <w:sz w:val="24"/>
          <w:szCs w:val="24"/>
        </w:rPr>
        <w:t xml:space="preserve"> </w:t>
      </w:r>
      <w:r w:rsidR="00A245D1" w:rsidRPr="000377C8">
        <w:rPr>
          <w:rFonts w:ascii="Palatino Linotype" w:hAnsi="Palatino Linotype" w:cs="Tahoma"/>
          <w:bCs/>
          <w:sz w:val="24"/>
          <w:szCs w:val="24"/>
        </w:rPr>
        <w:t>también es</w:t>
      </w:r>
      <w:r w:rsidR="00140554" w:rsidRPr="000377C8">
        <w:rPr>
          <w:rFonts w:ascii="Palatino Linotype" w:hAnsi="Palatino Linotype" w:cs="Tahoma"/>
          <w:bCs/>
          <w:sz w:val="24"/>
          <w:szCs w:val="24"/>
        </w:rPr>
        <w:t xml:space="preserve"> obtener el número, la clabe interbancaria y el nombre de la institución, de las cuentas bancarias con las que contaba el Sujeto Obligado, al</w:t>
      </w:r>
      <w:r w:rsidRPr="000377C8">
        <w:rPr>
          <w:rFonts w:ascii="Palatino Linotype" w:hAnsi="Palatino Linotype" w:cs="Tahoma"/>
          <w:bCs/>
          <w:sz w:val="24"/>
          <w:szCs w:val="24"/>
        </w:rPr>
        <w:t xml:space="preserve"> siete de junio de dos mil veintiuno</w:t>
      </w:r>
      <w:r w:rsidR="00140554" w:rsidRPr="000377C8">
        <w:rPr>
          <w:rFonts w:ascii="Palatino Linotype" w:hAnsi="Palatino Linotype" w:cs="Tahoma"/>
          <w:bCs/>
          <w:sz w:val="24"/>
          <w:szCs w:val="24"/>
        </w:rPr>
        <w:t>.</w:t>
      </w:r>
    </w:p>
    <w:p w14:paraId="4B93FB2E" w14:textId="77777777" w:rsidR="000D05CC" w:rsidRPr="000377C8" w:rsidRDefault="000D05CC" w:rsidP="0037774E">
      <w:pPr>
        <w:spacing w:line="360" w:lineRule="auto"/>
        <w:ind w:right="49"/>
        <w:contextualSpacing/>
        <w:jc w:val="both"/>
        <w:rPr>
          <w:rFonts w:ascii="Palatino Linotype" w:eastAsiaTheme="minorEastAsia" w:hAnsi="Palatino Linotype"/>
          <w:sz w:val="32"/>
          <w:lang w:val="es-ES_tradnl"/>
        </w:rPr>
      </w:pPr>
    </w:p>
    <w:p w14:paraId="2F10BB70" w14:textId="77777777" w:rsidR="000D05CC" w:rsidRPr="000377C8" w:rsidRDefault="00140554"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cs="Tahoma"/>
          <w:bCs/>
          <w:sz w:val="24"/>
          <w:szCs w:val="24"/>
        </w:rPr>
        <w:t xml:space="preserve">En ese contexto, en los Lineamientos para la Entrega del Informe Mensual Municipal dos mil veinte, entre los criterios que maneja, se advierte que en el </w:t>
      </w:r>
      <w:r w:rsidRPr="000377C8">
        <w:rPr>
          <w:rFonts w:ascii="Palatino Linotype" w:hAnsi="Palatino Linotype" w:cs="Tahoma"/>
          <w:b/>
          <w:sz w:val="24"/>
          <w:szCs w:val="24"/>
        </w:rPr>
        <w:t>Disco 1,</w:t>
      </w:r>
      <w:r w:rsidRPr="000377C8">
        <w:rPr>
          <w:rFonts w:ascii="Palatino Linotype" w:hAnsi="Palatino Linotype" w:cs="Tahoma"/>
          <w:bCs/>
          <w:sz w:val="24"/>
          <w:szCs w:val="24"/>
        </w:rPr>
        <w:t xml:space="preserve"> referente a la </w:t>
      </w:r>
      <w:r w:rsidRPr="000377C8">
        <w:rPr>
          <w:rFonts w:ascii="Palatino Linotype" w:hAnsi="Palatino Linotype" w:cs="Tahoma"/>
          <w:b/>
          <w:sz w:val="24"/>
          <w:szCs w:val="24"/>
        </w:rPr>
        <w:t>Información Patrimonial (Contable y Administrativa)</w:t>
      </w:r>
      <w:r w:rsidRPr="000377C8">
        <w:rPr>
          <w:rFonts w:ascii="Palatino Linotype" w:hAnsi="Palatino Linotype" w:cs="Tahoma"/>
          <w:bCs/>
          <w:sz w:val="24"/>
          <w:szCs w:val="24"/>
        </w:rPr>
        <w:t xml:space="preserve">, se integra por </w:t>
      </w:r>
      <w:r w:rsidRPr="000377C8">
        <w:rPr>
          <w:rFonts w:ascii="Palatino Linotype" w:hAnsi="Palatino Linotype" w:cs="Tahoma"/>
          <w:bCs/>
          <w:sz w:val="24"/>
          <w:szCs w:val="24"/>
        </w:rPr>
        <w:lastRenderedPageBreak/>
        <w:t xml:space="preserve">diversos documentos, entre los que se encuentran las </w:t>
      </w:r>
      <w:r w:rsidRPr="000377C8">
        <w:rPr>
          <w:rFonts w:ascii="Palatino Linotype" w:hAnsi="Palatino Linotype" w:cs="Tahoma"/>
          <w:b/>
          <w:sz w:val="24"/>
          <w:szCs w:val="24"/>
        </w:rPr>
        <w:t>Conciliaciones Bancarias,</w:t>
      </w:r>
      <w:r w:rsidRPr="000377C8">
        <w:rPr>
          <w:rFonts w:ascii="Palatino Linotype" w:hAnsi="Palatino Linotype" w:cs="Tahoma"/>
          <w:bCs/>
          <w:sz w:val="24"/>
          <w:szCs w:val="24"/>
        </w:rPr>
        <w:t xml:space="preserve"> que tienen la finalidad de asegurar que todas las operaciones bancarias queden correctamente contabilizadas y reflejadas en los estados financieros.</w:t>
      </w:r>
    </w:p>
    <w:p w14:paraId="2BDB33F8" w14:textId="77777777" w:rsidR="000D05CC" w:rsidRPr="000377C8" w:rsidRDefault="000D05CC" w:rsidP="0037774E">
      <w:pPr>
        <w:spacing w:line="360" w:lineRule="auto"/>
        <w:ind w:right="49"/>
        <w:contextualSpacing/>
        <w:jc w:val="both"/>
        <w:rPr>
          <w:rFonts w:ascii="Palatino Linotype" w:eastAsiaTheme="minorEastAsia" w:hAnsi="Palatino Linotype"/>
          <w:sz w:val="32"/>
          <w:lang w:val="es-ES_tradnl"/>
        </w:rPr>
      </w:pPr>
    </w:p>
    <w:p w14:paraId="7702A237" w14:textId="77777777" w:rsidR="000D05CC" w:rsidRPr="000377C8" w:rsidRDefault="00140554"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cs="Tahoma"/>
          <w:bCs/>
          <w:sz w:val="24"/>
          <w:szCs w:val="24"/>
        </w:rPr>
        <w:t>Además, que las conciliaciones, se conforman de diversos documentos, tales como la caratula de la conciliación, la relación de las partidas en conciliación y el Estado de Cuenta Bancario, tal como se muestra a continuación:</w:t>
      </w:r>
    </w:p>
    <w:p w14:paraId="5A0690AE" w14:textId="77777777" w:rsidR="000D05CC" w:rsidRPr="000377C8" w:rsidRDefault="000D05CC" w:rsidP="0037774E">
      <w:pPr>
        <w:spacing w:line="360" w:lineRule="auto"/>
        <w:ind w:right="49"/>
        <w:contextualSpacing/>
        <w:jc w:val="both"/>
        <w:rPr>
          <w:rFonts w:ascii="Palatino Linotype" w:hAnsi="Palatino Linotype" w:cs="Tahoma"/>
          <w:bCs/>
          <w:sz w:val="24"/>
          <w:szCs w:val="24"/>
        </w:rPr>
      </w:pPr>
    </w:p>
    <w:p w14:paraId="48E95926" w14:textId="3B0DDCE6" w:rsidR="000D05CC" w:rsidRPr="000377C8" w:rsidRDefault="000D05CC" w:rsidP="0037774E">
      <w:pPr>
        <w:spacing w:line="360" w:lineRule="auto"/>
        <w:ind w:right="49"/>
        <w:contextualSpacing/>
        <w:jc w:val="both"/>
        <w:rPr>
          <w:rFonts w:ascii="Palatino Linotype" w:eastAsiaTheme="minorEastAsia" w:hAnsi="Palatino Linotype"/>
          <w:sz w:val="32"/>
          <w:lang w:val="es-ES_tradnl"/>
        </w:rPr>
      </w:pPr>
      <w:r w:rsidRPr="000377C8">
        <w:rPr>
          <w:rFonts w:ascii="Palatino Linotype" w:hAnsi="Palatino Linotype"/>
          <w:noProof/>
          <w:sz w:val="24"/>
          <w:szCs w:val="24"/>
          <w:lang w:val="es-ES"/>
        </w:rPr>
        <w:drawing>
          <wp:inline distT="0" distB="0" distL="0" distR="0" wp14:anchorId="1DE03215" wp14:editId="3CEE10E4">
            <wp:extent cx="5581650" cy="2152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650" cy="2152650"/>
                    </a:xfrm>
                    <a:prstGeom prst="rect">
                      <a:avLst/>
                    </a:prstGeom>
                  </pic:spPr>
                </pic:pic>
              </a:graphicData>
            </a:graphic>
          </wp:inline>
        </w:drawing>
      </w:r>
    </w:p>
    <w:p w14:paraId="140ADCB0" w14:textId="77777777" w:rsidR="000D05CC" w:rsidRPr="000377C8" w:rsidRDefault="000D05CC" w:rsidP="0037774E">
      <w:pPr>
        <w:spacing w:line="360" w:lineRule="auto"/>
        <w:ind w:right="49"/>
        <w:contextualSpacing/>
        <w:jc w:val="both"/>
        <w:rPr>
          <w:rFonts w:ascii="Palatino Linotype" w:eastAsiaTheme="minorEastAsia" w:hAnsi="Palatino Linotype"/>
          <w:sz w:val="32"/>
          <w:lang w:val="es-ES_tradnl"/>
        </w:rPr>
      </w:pPr>
    </w:p>
    <w:p w14:paraId="12F5DD2B" w14:textId="77777777" w:rsidR="000D05CC" w:rsidRPr="000377C8" w:rsidRDefault="00140554"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hAnsi="Palatino Linotype" w:cs="Tahoma"/>
          <w:bCs/>
          <w:sz w:val="24"/>
          <w:szCs w:val="24"/>
        </w:rPr>
        <w:t>Como se logra observar, los documentos referidos podrían contener la información solicitada por el ahora Recurrente, por lo que, resulta procedente ordenar la entrega de aquellos donde consten los datos de las cuentas bancarias con las que contaba el Sujeto Obligado, a la fecha de la solicitud, a saber, los siguientes:</w:t>
      </w:r>
    </w:p>
    <w:p w14:paraId="13DE9970" w14:textId="77777777" w:rsidR="000D05CC" w:rsidRPr="000377C8" w:rsidRDefault="000D05CC" w:rsidP="0037774E">
      <w:pPr>
        <w:spacing w:line="360" w:lineRule="auto"/>
        <w:ind w:right="49"/>
        <w:contextualSpacing/>
        <w:jc w:val="both"/>
        <w:rPr>
          <w:rFonts w:ascii="Palatino Linotype" w:hAnsi="Palatino Linotype" w:cs="Tahoma"/>
          <w:bCs/>
          <w:sz w:val="24"/>
          <w:szCs w:val="24"/>
        </w:rPr>
      </w:pPr>
    </w:p>
    <w:p w14:paraId="6C7F0ED7" w14:textId="77777777" w:rsidR="000D05CC" w:rsidRPr="000377C8" w:rsidRDefault="000D05CC" w:rsidP="0037774E">
      <w:pPr>
        <w:pStyle w:val="Prrafodelista"/>
        <w:numPr>
          <w:ilvl w:val="0"/>
          <w:numId w:val="45"/>
        </w:numPr>
        <w:spacing w:line="360" w:lineRule="auto"/>
        <w:jc w:val="both"/>
        <w:rPr>
          <w:rFonts w:ascii="Palatino Linotype" w:hAnsi="Palatino Linotype" w:cs="Tahoma"/>
          <w:bCs/>
          <w:sz w:val="24"/>
        </w:rPr>
      </w:pPr>
      <w:r w:rsidRPr="000377C8">
        <w:rPr>
          <w:rFonts w:ascii="Palatino Linotype" w:hAnsi="Palatino Linotype" w:cs="Tahoma"/>
          <w:bCs/>
          <w:sz w:val="24"/>
        </w:rPr>
        <w:t>Número de cuenta;</w:t>
      </w:r>
    </w:p>
    <w:p w14:paraId="61695101" w14:textId="77777777" w:rsidR="000D05CC" w:rsidRPr="000377C8" w:rsidRDefault="000D05CC" w:rsidP="0037774E">
      <w:pPr>
        <w:pStyle w:val="Prrafodelista"/>
        <w:numPr>
          <w:ilvl w:val="0"/>
          <w:numId w:val="45"/>
        </w:numPr>
        <w:spacing w:line="360" w:lineRule="auto"/>
        <w:jc w:val="both"/>
        <w:rPr>
          <w:rFonts w:ascii="Palatino Linotype" w:hAnsi="Palatino Linotype" w:cs="Tahoma"/>
          <w:bCs/>
          <w:sz w:val="24"/>
        </w:rPr>
      </w:pPr>
      <w:r w:rsidRPr="000377C8">
        <w:rPr>
          <w:rFonts w:ascii="Palatino Linotype" w:hAnsi="Palatino Linotype" w:cs="Tahoma"/>
          <w:bCs/>
          <w:sz w:val="24"/>
        </w:rPr>
        <w:t>Clabe interbancaria, y</w:t>
      </w:r>
    </w:p>
    <w:p w14:paraId="5DB10E51" w14:textId="2E870C46" w:rsidR="000D05CC" w:rsidRPr="000377C8" w:rsidRDefault="000D05CC" w:rsidP="0037774E">
      <w:pPr>
        <w:pStyle w:val="Prrafodelista"/>
        <w:numPr>
          <w:ilvl w:val="0"/>
          <w:numId w:val="45"/>
        </w:numPr>
        <w:spacing w:line="360" w:lineRule="auto"/>
        <w:jc w:val="both"/>
        <w:rPr>
          <w:rFonts w:ascii="Palatino Linotype" w:hAnsi="Palatino Linotype" w:cs="Tahoma"/>
          <w:bCs/>
          <w:sz w:val="24"/>
        </w:rPr>
      </w:pPr>
      <w:r w:rsidRPr="000377C8">
        <w:rPr>
          <w:rFonts w:ascii="Palatino Linotype" w:hAnsi="Palatino Linotype" w:cs="Tahoma"/>
          <w:bCs/>
          <w:sz w:val="24"/>
        </w:rPr>
        <w:lastRenderedPageBreak/>
        <w:t>Nombre de la institución.</w:t>
      </w:r>
    </w:p>
    <w:p w14:paraId="0DEEA9D5" w14:textId="77777777" w:rsidR="000D05CC" w:rsidRPr="000377C8" w:rsidRDefault="000D05CC" w:rsidP="0037774E">
      <w:pPr>
        <w:pStyle w:val="Prrafodelista"/>
        <w:spacing w:line="360" w:lineRule="auto"/>
        <w:jc w:val="both"/>
        <w:rPr>
          <w:rFonts w:ascii="Palatino Linotype" w:hAnsi="Palatino Linotype" w:cs="Tahoma"/>
          <w:bCs/>
          <w:szCs w:val="22"/>
        </w:rPr>
      </w:pPr>
    </w:p>
    <w:p w14:paraId="77C3644B" w14:textId="77777777" w:rsidR="000D05CC" w:rsidRPr="000377C8" w:rsidRDefault="006A5740" w:rsidP="0037774E">
      <w:pPr>
        <w:numPr>
          <w:ilvl w:val="0"/>
          <w:numId w:val="30"/>
        </w:numPr>
        <w:spacing w:line="360" w:lineRule="auto"/>
        <w:ind w:left="0" w:right="49" w:firstLine="0"/>
        <w:contextualSpacing/>
        <w:jc w:val="both"/>
        <w:rPr>
          <w:rFonts w:ascii="Palatino Linotype" w:eastAsiaTheme="minorEastAsia" w:hAnsi="Palatino Linotype"/>
          <w:sz w:val="32"/>
          <w:lang w:val="es-ES_tradnl"/>
        </w:rPr>
      </w:pPr>
      <w:r w:rsidRPr="000377C8">
        <w:rPr>
          <w:rFonts w:ascii="Palatino Linotype" w:hAnsi="Palatino Linotype" w:cs="Tahoma"/>
          <w:sz w:val="24"/>
          <w:szCs w:val="22"/>
        </w:rPr>
        <w:t xml:space="preserve">Aunado a ello, cabe señalar que las </w:t>
      </w:r>
      <w:r w:rsidRPr="000377C8">
        <w:rPr>
          <w:rFonts w:ascii="Palatino Linotype" w:hAnsi="Palatino Linotype"/>
          <w:sz w:val="24"/>
        </w:rPr>
        <w:t>Cuentas bancarias y/o CLABE interbancaria de sujetos obligados que reciben y/o transfieren recursos públicos, son información pública, esto atendiendo al criterio 11/17 emitido por el Instituto Nacional de Transparencia:</w:t>
      </w:r>
    </w:p>
    <w:p w14:paraId="6E8019D2" w14:textId="77777777" w:rsidR="000D05CC" w:rsidRPr="000377C8" w:rsidRDefault="000D05CC" w:rsidP="0037774E">
      <w:pPr>
        <w:spacing w:line="360" w:lineRule="auto"/>
        <w:ind w:right="49"/>
        <w:contextualSpacing/>
        <w:jc w:val="both"/>
        <w:rPr>
          <w:rFonts w:ascii="Palatino Linotype" w:hAnsi="Palatino Linotype"/>
          <w:sz w:val="24"/>
        </w:rPr>
      </w:pPr>
    </w:p>
    <w:p w14:paraId="0B5483AC" w14:textId="77777777" w:rsidR="000D05CC" w:rsidRPr="000377C8" w:rsidRDefault="000D05CC" w:rsidP="0037774E">
      <w:pPr>
        <w:spacing w:line="360" w:lineRule="auto"/>
        <w:ind w:left="851" w:right="822"/>
        <w:jc w:val="both"/>
        <w:rPr>
          <w:rFonts w:ascii="Palatino Linotype" w:hAnsi="Palatino Linotype"/>
          <w:i/>
          <w:sz w:val="22"/>
        </w:rPr>
      </w:pPr>
      <w:r w:rsidRPr="000377C8">
        <w:rPr>
          <w:rFonts w:ascii="Palatino Linotype" w:hAnsi="Palatino Linotype"/>
          <w:i/>
          <w:sz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 (Sic)</w:t>
      </w:r>
    </w:p>
    <w:p w14:paraId="436B6D7F" w14:textId="77777777" w:rsidR="000D05CC" w:rsidRPr="000377C8" w:rsidRDefault="000D05CC" w:rsidP="0037774E">
      <w:pPr>
        <w:spacing w:line="360" w:lineRule="auto"/>
        <w:ind w:right="49"/>
        <w:contextualSpacing/>
        <w:jc w:val="both"/>
        <w:rPr>
          <w:rFonts w:ascii="Palatino Linotype" w:eastAsiaTheme="minorEastAsia" w:hAnsi="Palatino Linotype"/>
          <w:sz w:val="36"/>
          <w:lang w:val="es-ES_tradnl"/>
        </w:rPr>
      </w:pPr>
    </w:p>
    <w:p w14:paraId="5861715A" w14:textId="23AF2912" w:rsidR="008C5D82" w:rsidRPr="000377C8" w:rsidRDefault="00EA5E6D"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Calibri" w:hAnsi="Palatino Linotype" w:cs="Tahoma"/>
          <w:bCs/>
          <w:color w:val="000000" w:themeColor="text1"/>
          <w:sz w:val="24"/>
          <w:szCs w:val="24"/>
          <w:lang w:eastAsia="en-US"/>
        </w:rPr>
        <w:t>Por otro lado, c</w:t>
      </w:r>
      <w:r w:rsidR="00140554" w:rsidRPr="000377C8">
        <w:rPr>
          <w:rFonts w:ascii="Palatino Linotype" w:eastAsia="Calibri" w:hAnsi="Palatino Linotype" w:cs="Tahoma"/>
          <w:bCs/>
          <w:color w:val="000000" w:themeColor="text1"/>
          <w:sz w:val="24"/>
          <w:szCs w:val="24"/>
          <w:lang w:eastAsia="en-US"/>
        </w:rPr>
        <w:t xml:space="preserve">abe precisar que si bien tanto en la solicitud, como en el Recurso de Revisión, el ahora Recurrente, solicitó un pronunciamiento específico </w:t>
      </w:r>
      <w:r w:rsidR="00E4752F" w:rsidRPr="000377C8">
        <w:rPr>
          <w:rFonts w:ascii="Palatino Linotype" w:eastAsia="Calibri" w:hAnsi="Palatino Linotype" w:cs="Tahoma"/>
          <w:bCs/>
          <w:color w:val="000000" w:themeColor="text1"/>
          <w:sz w:val="24"/>
          <w:szCs w:val="24"/>
          <w:lang w:eastAsia="en-US"/>
        </w:rPr>
        <w:t xml:space="preserve">respecto a la </w:t>
      </w:r>
      <w:r w:rsidR="00E4752F" w:rsidRPr="000377C8">
        <w:rPr>
          <w:rFonts w:ascii="Palatino Linotype" w:hAnsi="Palatino Linotype"/>
          <w:color w:val="000000"/>
          <w:sz w:val="24"/>
          <w:szCs w:val="24"/>
        </w:rPr>
        <w:t>justificación legal para desacato a mandamiento jurisdiccional de</w:t>
      </w:r>
      <w:r w:rsidR="002D2E09" w:rsidRPr="000377C8">
        <w:rPr>
          <w:rFonts w:ascii="Palatino Linotype" w:hAnsi="Palatino Linotype"/>
          <w:color w:val="000000"/>
          <w:sz w:val="24"/>
          <w:szCs w:val="24"/>
        </w:rPr>
        <w:t>l</w:t>
      </w:r>
      <w:r w:rsidR="00E4752F" w:rsidRPr="000377C8">
        <w:rPr>
          <w:rFonts w:ascii="Palatino Linotype" w:hAnsi="Palatino Linotype"/>
          <w:color w:val="000000"/>
          <w:sz w:val="24"/>
          <w:szCs w:val="24"/>
        </w:rPr>
        <w:t xml:space="preserve"> pago</w:t>
      </w:r>
      <w:r w:rsidR="00140554" w:rsidRPr="000377C8">
        <w:rPr>
          <w:rFonts w:ascii="Palatino Linotype" w:eastAsia="Calibri" w:hAnsi="Palatino Linotype" w:cs="Tahoma"/>
          <w:bCs/>
          <w:color w:val="000000" w:themeColor="text1"/>
          <w:sz w:val="24"/>
          <w:szCs w:val="24"/>
          <w:lang w:eastAsia="en-US"/>
        </w:rPr>
        <w:t xml:space="preserve">, </w:t>
      </w:r>
      <w:r w:rsidR="002D2E09" w:rsidRPr="000377C8">
        <w:rPr>
          <w:rFonts w:ascii="Palatino Linotype" w:eastAsia="Calibri" w:hAnsi="Palatino Linotype" w:cs="Tahoma"/>
          <w:bCs/>
          <w:color w:val="000000" w:themeColor="text1"/>
          <w:sz w:val="24"/>
          <w:szCs w:val="24"/>
          <w:lang w:eastAsia="en-US"/>
        </w:rPr>
        <w:t xml:space="preserve">y </w:t>
      </w:r>
      <w:r w:rsidR="00140554" w:rsidRPr="000377C8">
        <w:rPr>
          <w:rFonts w:ascii="Palatino Linotype" w:eastAsia="Calibri" w:hAnsi="Palatino Linotype" w:cs="Tahoma"/>
          <w:bCs/>
          <w:color w:val="000000" w:themeColor="text1"/>
          <w:sz w:val="24"/>
          <w:szCs w:val="24"/>
          <w:lang w:eastAsia="en-US"/>
        </w:rPr>
        <w:t xml:space="preserve">lo cierto es, que </w:t>
      </w:r>
      <w:r w:rsidR="002D2E09" w:rsidRPr="000377C8">
        <w:rPr>
          <w:rFonts w:ascii="Palatino Linotype" w:eastAsia="Calibri" w:hAnsi="Palatino Linotype" w:cs="Tahoma"/>
          <w:bCs/>
          <w:color w:val="000000" w:themeColor="text1"/>
          <w:sz w:val="24"/>
          <w:szCs w:val="24"/>
          <w:lang w:eastAsia="en-US"/>
        </w:rPr>
        <w:t xml:space="preserve">la respuesta </w:t>
      </w:r>
      <w:r w:rsidR="00426540" w:rsidRPr="000377C8">
        <w:rPr>
          <w:rFonts w:ascii="Palatino Linotype" w:eastAsia="Calibri" w:hAnsi="Palatino Linotype" w:cs="Tahoma"/>
          <w:bCs/>
          <w:color w:val="000000" w:themeColor="text1"/>
          <w:sz w:val="24"/>
          <w:szCs w:val="24"/>
          <w:lang w:eastAsia="en-US"/>
        </w:rPr>
        <w:t xml:space="preserve">otorgada </w:t>
      </w:r>
      <w:r w:rsidR="002D2E09" w:rsidRPr="000377C8">
        <w:rPr>
          <w:rFonts w:ascii="Palatino Linotype" w:eastAsia="Calibri" w:hAnsi="Palatino Linotype" w:cs="Tahoma"/>
          <w:bCs/>
          <w:color w:val="000000" w:themeColor="text1"/>
          <w:sz w:val="24"/>
          <w:szCs w:val="24"/>
          <w:lang w:eastAsia="en-US"/>
        </w:rPr>
        <w:t>no funda y motiva de forma idónea</w:t>
      </w:r>
      <w:r w:rsidR="00426540" w:rsidRPr="000377C8">
        <w:rPr>
          <w:rFonts w:ascii="Palatino Linotype" w:eastAsia="Calibri" w:hAnsi="Palatino Linotype" w:cs="Tahoma"/>
          <w:bCs/>
          <w:color w:val="000000" w:themeColor="text1"/>
          <w:sz w:val="24"/>
          <w:szCs w:val="24"/>
          <w:lang w:eastAsia="en-US"/>
        </w:rPr>
        <w:t xml:space="preserve"> la pretensión de clasificación</w:t>
      </w:r>
      <w:r w:rsidR="002D2E09" w:rsidRPr="000377C8">
        <w:rPr>
          <w:rFonts w:ascii="Palatino Linotype" w:eastAsia="Calibri" w:hAnsi="Palatino Linotype" w:cs="Tahoma"/>
          <w:bCs/>
          <w:color w:val="000000" w:themeColor="text1"/>
          <w:sz w:val="24"/>
          <w:szCs w:val="24"/>
          <w:lang w:eastAsia="en-US"/>
        </w:rPr>
        <w:t xml:space="preserve">, </w:t>
      </w:r>
      <w:r w:rsidR="00426540" w:rsidRPr="000377C8">
        <w:rPr>
          <w:rFonts w:ascii="Palatino Linotype" w:eastAsia="Calibri" w:hAnsi="Palatino Linotype" w:cs="Tahoma"/>
          <w:bCs/>
          <w:color w:val="000000" w:themeColor="text1"/>
          <w:sz w:val="24"/>
          <w:szCs w:val="24"/>
          <w:lang w:eastAsia="en-US"/>
        </w:rPr>
        <w:t xml:space="preserve">aunado a </w:t>
      </w:r>
      <w:r w:rsidR="002D2E09" w:rsidRPr="000377C8">
        <w:rPr>
          <w:rFonts w:ascii="Palatino Linotype" w:eastAsia="Calibri" w:hAnsi="Palatino Linotype" w:cs="Tahoma"/>
          <w:bCs/>
          <w:color w:val="000000" w:themeColor="text1"/>
          <w:sz w:val="24"/>
          <w:szCs w:val="24"/>
          <w:lang w:eastAsia="en-US"/>
        </w:rPr>
        <w:t xml:space="preserve"> que no es procedente la reserva de la información pues no se está solicitando la información contenida en cada expediente, tal como lo manifiesta el Apoderado Legal, únicamente se está solicitando la justificación legal o bien fundamento y motivación para un desacato a un laudo</w:t>
      </w:r>
      <w:r w:rsidR="00426540" w:rsidRPr="000377C8">
        <w:rPr>
          <w:rFonts w:ascii="Palatino Linotype" w:eastAsia="Calibri" w:hAnsi="Palatino Linotype" w:cs="Tahoma"/>
          <w:bCs/>
          <w:color w:val="000000" w:themeColor="text1"/>
          <w:sz w:val="24"/>
          <w:szCs w:val="24"/>
          <w:lang w:eastAsia="en-US"/>
        </w:rPr>
        <w:t>,</w:t>
      </w:r>
      <w:r w:rsidR="002D2E09" w:rsidRPr="000377C8">
        <w:rPr>
          <w:rFonts w:ascii="Palatino Linotype" w:eastAsia="Calibri" w:hAnsi="Palatino Linotype" w:cs="Tahoma"/>
          <w:bCs/>
          <w:color w:val="000000" w:themeColor="text1"/>
          <w:sz w:val="24"/>
          <w:szCs w:val="24"/>
          <w:lang w:eastAsia="en-US"/>
        </w:rPr>
        <w:t xml:space="preserve"> en caso de haberse realizado.</w:t>
      </w:r>
    </w:p>
    <w:p w14:paraId="032870A2" w14:textId="77777777" w:rsidR="008C5D82" w:rsidRPr="000377C8" w:rsidRDefault="008C5D82" w:rsidP="0037774E">
      <w:pPr>
        <w:spacing w:line="360" w:lineRule="auto"/>
        <w:ind w:right="49"/>
        <w:contextualSpacing/>
        <w:jc w:val="both"/>
        <w:rPr>
          <w:rFonts w:ascii="Palatino Linotype" w:eastAsiaTheme="minorEastAsia" w:hAnsi="Palatino Linotype"/>
          <w:sz w:val="24"/>
          <w:szCs w:val="24"/>
          <w:lang w:val="es-ES_tradnl"/>
        </w:rPr>
      </w:pPr>
    </w:p>
    <w:p w14:paraId="5890F3BE" w14:textId="2D4675F8" w:rsidR="008C5D82" w:rsidRPr="000377C8" w:rsidRDefault="008C5D82"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Mincho" w:hAnsi="Palatino Linotype"/>
          <w:sz w:val="24"/>
          <w:szCs w:val="24"/>
          <w:lang w:val="es-ES_tradnl"/>
        </w:rPr>
        <w:lastRenderedPageBreak/>
        <w:t xml:space="preserve">Por lo que en este caso, relativo al requerimiento referido con </w:t>
      </w:r>
      <w:r w:rsidRPr="000377C8">
        <w:rPr>
          <w:rFonts w:ascii="Palatino Linotype" w:hAnsi="Palatino Linotype"/>
          <w:i/>
          <w:color w:val="000000"/>
          <w:sz w:val="24"/>
        </w:rPr>
        <w:t>“CUAL ES LA JUSTIFICACIÓN LEGAL PARA DESACATO A MANDAMIENTO JURIDICCIONAL DE PAGO SE TRATA DE INFORMACIÓN SOLICITADA PARA EFECTO DE HACER CUMPLIR LA DETERMINACIÓN DE LA SALA AUXILIAR DE ECATEPEC DEL TRIBUNAL ESTATAL DE CONCILIACIÓN Y ARBITRAJE EN EL EXPEDIENTE SAE/310/2017”</w:t>
      </w:r>
      <w:r w:rsidRPr="000377C8">
        <w:rPr>
          <w:rFonts w:ascii="Palatino Linotype" w:eastAsia="MS Mincho" w:hAnsi="Palatino Linotype"/>
          <w:sz w:val="24"/>
          <w:szCs w:val="24"/>
          <w:lang w:val="es-ES_tradnl"/>
        </w:rPr>
        <w:t xml:space="preserve">, es pertinente mencionar se está ante un hecho negativo, por lo cual, no resulta aplicable el </w:t>
      </w:r>
      <w:r w:rsidRPr="000377C8">
        <w:rPr>
          <w:rFonts w:ascii="Palatino Linotype" w:hAnsi="Palatino Linotype" w:cs="Arial"/>
          <w:sz w:val="24"/>
          <w:szCs w:val="24"/>
        </w:rPr>
        <w:t xml:space="preserve">artículo 19 de la Ley de la materia que nos constriñe a la emisión de un acuerdo de inexistencia, resultando aplicable la siguiente tesis: </w:t>
      </w:r>
    </w:p>
    <w:p w14:paraId="4BE3B30A" w14:textId="77777777" w:rsidR="008C5D82" w:rsidRPr="000377C8" w:rsidRDefault="008C5D82" w:rsidP="0037774E">
      <w:pPr>
        <w:pStyle w:val="Prrafodelista"/>
        <w:spacing w:line="360" w:lineRule="auto"/>
        <w:ind w:left="0"/>
        <w:jc w:val="both"/>
        <w:rPr>
          <w:rFonts w:ascii="Palatino Linotype" w:hAnsi="Palatino Linotype" w:cs="Arial"/>
          <w:sz w:val="24"/>
        </w:rPr>
      </w:pPr>
    </w:p>
    <w:p w14:paraId="79585980" w14:textId="77777777" w:rsidR="008C5D82" w:rsidRPr="000377C8" w:rsidRDefault="008C5D82" w:rsidP="0037774E">
      <w:pPr>
        <w:pStyle w:val="Prrafodelista"/>
        <w:spacing w:line="360" w:lineRule="auto"/>
        <w:ind w:left="851" w:right="822"/>
        <w:jc w:val="both"/>
        <w:rPr>
          <w:rFonts w:ascii="Palatino Linotype" w:hAnsi="Palatino Linotype" w:cs="Tahoma"/>
          <w:bCs/>
          <w:i/>
          <w:szCs w:val="22"/>
        </w:rPr>
      </w:pPr>
      <w:r w:rsidRPr="000377C8">
        <w:rPr>
          <w:rFonts w:ascii="Palatino Linotype" w:hAnsi="Palatino Linotype" w:cs="Tahoma"/>
          <w:bCs/>
          <w:i/>
        </w:rPr>
        <w:t>«</w:t>
      </w:r>
      <w:r w:rsidRPr="000377C8">
        <w:rPr>
          <w:rFonts w:ascii="Palatino Linotype" w:hAnsi="Palatino Linotype" w:cs="Tahoma"/>
          <w:b/>
          <w:bCs/>
          <w:i/>
        </w:rPr>
        <w:t>HECHOS NEGATIVOS, NO SON SUSCEPTIBLES DE DEMOSTRACIÓN.</w:t>
      </w:r>
    </w:p>
    <w:p w14:paraId="4D6E7FA8" w14:textId="77777777" w:rsidR="008C5D82" w:rsidRPr="000377C8" w:rsidRDefault="008C5D82" w:rsidP="0037774E">
      <w:pPr>
        <w:pStyle w:val="Prrafodelista"/>
        <w:spacing w:line="360" w:lineRule="auto"/>
        <w:ind w:left="851" w:right="822"/>
        <w:jc w:val="both"/>
        <w:rPr>
          <w:rFonts w:ascii="Palatino Linotype" w:hAnsi="Palatino Linotype" w:cs="Tahoma"/>
          <w:bCs/>
          <w:i/>
        </w:rPr>
      </w:pPr>
      <w:r w:rsidRPr="000377C8">
        <w:rPr>
          <w:rFonts w:ascii="Palatino Linotype" w:hAnsi="Palatino Linotype" w:cs="Tahoma"/>
          <w:bCs/>
          <w:i/>
        </w:rPr>
        <w:t>Tratándose de un hecho negativo, el Juez no tiene por qué invocar prueba alguna de la que se desprenda, ya que es bien sabido que esta clase de hechos no son susceptibles de demostración.</w:t>
      </w:r>
    </w:p>
    <w:p w14:paraId="23242920" w14:textId="77777777" w:rsidR="008C5D82" w:rsidRPr="000377C8" w:rsidRDefault="008C5D82" w:rsidP="0037774E">
      <w:pPr>
        <w:pStyle w:val="Prrafodelista"/>
        <w:spacing w:line="360" w:lineRule="auto"/>
        <w:ind w:left="851" w:right="822"/>
        <w:jc w:val="both"/>
        <w:rPr>
          <w:rFonts w:ascii="Palatino Linotype" w:hAnsi="Palatino Linotype" w:cs="Tahoma"/>
          <w:bCs/>
          <w:i/>
          <w:sz w:val="10"/>
          <w:szCs w:val="10"/>
        </w:rPr>
      </w:pPr>
    </w:p>
    <w:p w14:paraId="3D4A62FA" w14:textId="77777777" w:rsidR="008C5D82" w:rsidRPr="000377C8" w:rsidRDefault="008C5D82" w:rsidP="0037774E">
      <w:pPr>
        <w:pStyle w:val="Prrafodelista"/>
        <w:spacing w:line="360" w:lineRule="auto"/>
        <w:ind w:left="851" w:right="822"/>
        <w:jc w:val="both"/>
        <w:rPr>
          <w:rFonts w:ascii="Palatino Linotype" w:hAnsi="Palatino Linotype" w:cs="Tahoma"/>
          <w:bCs/>
          <w:i/>
          <w:szCs w:val="22"/>
        </w:rPr>
      </w:pPr>
      <w:r w:rsidRPr="000377C8">
        <w:rPr>
          <w:rFonts w:ascii="Palatino Linotype" w:hAnsi="Palatino Linotype" w:cs="Tahoma"/>
          <w:bCs/>
          <w:i/>
        </w:rPr>
        <w:t>Amparo en revisión 2022/61. José García Florín (Menor). 9 de octubre de 1961. Cinco votos. Ponente: José Rivera Pérez Campos</w:t>
      </w:r>
    </w:p>
    <w:p w14:paraId="69C3ED0E" w14:textId="77777777" w:rsidR="008C5D82" w:rsidRPr="000377C8" w:rsidRDefault="008C5D82" w:rsidP="0037774E">
      <w:pPr>
        <w:spacing w:line="360" w:lineRule="auto"/>
        <w:ind w:right="616"/>
        <w:jc w:val="both"/>
        <w:rPr>
          <w:rFonts w:ascii="Palatino Linotype" w:hAnsi="Palatino Linotype" w:cs="Tahoma"/>
          <w:bCs/>
        </w:rPr>
      </w:pPr>
    </w:p>
    <w:p w14:paraId="1C7FA10C" w14:textId="7B86FE97" w:rsidR="008C5D82" w:rsidRPr="000377C8" w:rsidRDefault="008C5D82" w:rsidP="0037774E">
      <w:pPr>
        <w:pStyle w:val="Prrafodelista"/>
        <w:numPr>
          <w:ilvl w:val="0"/>
          <w:numId w:val="30"/>
        </w:numPr>
        <w:spacing w:line="360" w:lineRule="auto"/>
        <w:ind w:left="0" w:firstLine="0"/>
        <w:jc w:val="both"/>
        <w:rPr>
          <w:rFonts w:ascii="Palatino Linotype" w:hAnsi="Palatino Linotype" w:cs="Arial"/>
          <w:b/>
          <w:bCs/>
          <w:sz w:val="24"/>
        </w:rPr>
      </w:pPr>
      <w:r w:rsidRPr="000377C8">
        <w:rPr>
          <w:rFonts w:ascii="Palatino Linotype" w:hAnsi="Palatino Linotype" w:cs="Arial"/>
          <w:sz w:val="24"/>
        </w:rPr>
        <w:t xml:space="preserve">De lo que se desprende que es materialmente imposible realizar la entrega de alguna documental que no ha generado, en este caso el documento donde conste el fundamento legal para el desacato a un mandamiento jurisdiccional, por lo que, </w:t>
      </w:r>
      <w:r w:rsidR="00EA5E6D" w:rsidRPr="000377C8">
        <w:rPr>
          <w:rFonts w:ascii="Palatino Linotype" w:hAnsi="Palatino Linotype" w:cs="Arial"/>
          <w:sz w:val="24"/>
        </w:rPr>
        <w:t>pues  estamos ante un hecho negativo</w:t>
      </w:r>
      <w:r w:rsidR="00EA5E6D" w:rsidRPr="000377C8">
        <w:rPr>
          <w:rFonts w:ascii="Palatino Linotype" w:hAnsi="Palatino Linotype" w:cs="Arial"/>
          <w:b/>
          <w:bCs/>
          <w:sz w:val="24"/>
        </w:rPr>
        <w:t>.</w:t>
      </w:r>
      <w:r w:rsidRPr="000377C8">
        <w:rPr>
          <w:rFonts w:ascii="Palatino Linotype" w:hAnsi="Palatino Linotype" w:cs="Arial"/>
          <w:b/>
          <w:bCs/>
          <w:sz w:val="24"/>
        </w:rPr>
        <w:t xml:space="preserve"> </w:t>
      </w:r>
    </w:p>
    <w:p w14:paraId="238A9812" w14:textId="77777777" w:rsidR="000D05CC" w:rsidRPr="000377C8" w:rsidRDefault="000D05CC" w:rsidP="0037774E">
      <w:pPr>
        <w:spacing w:line="360" w:lineRule="auto"/>
        <w:ind w:right="49"/>
        <w:contextualSpacing/>
        <w:jc w:val="both"/>
        <w:rPr>
          <w:rFonts w:ascii="Palatino Linotype" w:eastAsiaTheme="minorEastAsia" w:hAnsi="Palatino Linotype"/>
          <w:sz w:val="24"/>
          <w:szCs w:val="24"/>
          <w:lang w:val="es-ES_tradnl"/>
        </w:rPr>
      </w:pPr>
    </w:p>
    <w:p w14:paraId="0EEBA152"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Calibri" w:hAnsi="Palatino Linotype" w:cs="Tahoma"/>
          <w:bCs/>
          <w:sz w:val="24"/>
          <w:szCs w:val="24"/>
          <w:lang w:val="es-ES_tradnl" w:eastAsia="en-US"/>
        </w:rPr>
        <w:t>Por otra parte</w:t>
      </w:r>
      <w:r w:rsidR="00140554" w:rsidRPr="000377C8">
        <w:rPr>
          <w:rFonts w:ascii="Palatino Linotype" w:eastAsia="Calibri" w:hAnsi="Palatino Linotype" w:cs="Tahoma"/>
          <w:bCs/>
          <w:sz w:val="24"/>
          <w:szCs w:val="24"/>
          <w:lang w:val="es-ES_tradnl" w:eastAsia="en-US"/>
        </w:rPr>
        <w:t>, no pasa desapercibido para este Instituto que los documentos que atiendan la solicitud, pudieran contener datos personales confidenciales, en términos del artículo 143, fracción I de la Ley de la materia; a</w:t>
      </w:r>
      <w:r w:rsidR="00140554" w:rsidRPr="000377C8">
        <w:rPr>
          <w:rFonts w:ascii="Palatino Linotype" w:eastAsia="Calibri" w:hAnsi="Palatino Linotype" w:cs="Tahoma"/>
          <w:bCs/>
          <w:sz w:val="24"/>
          <w:szCs w:val="24"/>
          <w:lang w:val="es-ES" w:eastAsia="en-US"/>
        </w:rPr>
        <w:t xml:space="preserve">l respecto, conforme al </w:t>
      </w:r>
      <w:r w:rsidR="00140554" w:rsidRPr="000377C8">
        <w:rPr>
          <w:rFonts w:ascii="Palatino Linotype" w:eastAsia="Calibri" w:hAnsi="Palatino Linotype" w:cs="Tahoma"/>
          <w:bCs/>
          <w:sz w:val="24"/>
          <w:szCs w:val="24"/>
          <w:lang w:val="es-ES" w:eastAsia="en-US"/>
        </w:rPr>
        <w:lastRenderedPageBreak/>
        <w:t>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6A55CB5"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78102482" w14:textId="1467E910" w:rsidR="003A57D3" w:rsidRPr="000377C8" w:rsidRDefault="00140554"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Calibri" w:hAnsi="Palatino Linotype" w:cs="Tahoma"/>
          <w:bCs/>
          <w:sz w:val="24"/>
          <w:szCs w:val="24"/>
          <w:lang w:val="es-ES"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bookmarkStart w:id="8" w:name="_Toc65170173"/>
      <w:bookmarkStart w:id="9" w:name="_Toc66371799"/>
      <w:bookmarkStart w:id="10" w:name="_Toc73050425"/>
    </w:p>
    <w:p w14:paraId="1E55785A" w14:textId="77777777" w:rsidR="003A57D3" w:rsidRPr="000377C8" w:rsidRDefault="003A57D3" w:rsidP="0037774E">
      <w:pPr>
        <w:spacing w:line="360" w:lineRule="auto"/>
        <w:rPr>
          <w:rFonts w:ascii="Palatino Linotype" w:hAnsi="Palatino Linotype"/>
          <w:lang w:eastAsia="es-ES_tradnl"/>
        </w:rPr>
      </w:pPr>
    </w:p>
    <w:p w14:paraId="694C70CE" w14:textId="2B40332C" w:rsidR="003A57D3" w:rsidRPr="000377C8" w:rsidRDefault="003A57D3" w:rsidP="0037774E">
      <w:pPr>
        <w:pStyle w:val="Ttulo1"/>
        <w:spacing w:before="0" w:line="360" w:lineRule="auto"/>
        <w:rPr>
          <w:rFonts w:ascii="Palatino Linotype" w:hAnsi="Palatino Linotype"/>
          <w:b/>
          <w:i/>
          <w:color w:val="auto"/>
          <w:sz w:val="24"/>
          <w:szCs w:val="24"/>
        </w:rPr>
      </w:pPr>
      <w:r w:rsidRPr="000377C8">
        <w:rPr>
          <w:rFonts w:ascii="Palatino Linotype" w:hAnsi="Palatino Linotype"/>
          <w:b/>
          <w:color w:val="auto"/>
          <w:sz w:val="24"/>
          <w:szCs w:val="24"/>
          <w:lang w:eastAsia="es-ES_tradnl"/>
        </w:rPr>
        <w:t xml:space="preserve">QUINTO. </w:t>
      </w:r>
      <w:r w:rsidRPr="000377C8">
        <w:rPr>
          <w:rFonts w:ascii="Palatino Linotype" w:hAnsi="Palatino Linotype"/>
          <w:b/>
          <w:color w:val="auto"/>
          <w:sz w:val="24"/>
          <w:szCs w:val="24"/>
        </w:rPr>
        <w:t xml:space="preserve"> De la elaboración de la versión pública.</w:t>
      </w:r>
      <w:bookmarkEnd w:id="8"/>
      <w:bookmarkEnd w:id="9"/>
      <w:bookmarkEnd w:id="10"/>
      <w:r w:rsidRPr="000377C8">
        <w:rPr>
          <w:rFonts w:ascii="Palatino Linotype" w:hAnsi="Palatino Linotype"/>
          <w:b/>
          <w:color w:val="auto"/>
          <w:sz w:val="24"/>
          <w:szCs w:val="24"/>
        </w:rPr>
        <w:t xml:space="preserve"> </w:t>
      </w:r>
    </w:p>
    <w:p w14:paraId="4861C196"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0DA6E7F7"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Debe destacarse que, debido a la naturaleza de la información solicitada</w:t>
      </w:r>
      <w:r w:rsidRPr="000377C8">
        <w:rPr>
          <w:rFonts w:ascii="Palatino Linotype" w:eastAsia="MS Gothic" w:hAnsi="Palatino Linotype"/>
          <w:b/>
          <w:sz w:val="24"/>
          <w:szCs w:val="26"/>
        </w:rPr>
        <w:t xml:space="preserve">, </w:t>
      </w:r>
      <w:r w:rsidRPr="000377C8">
        <w:rPr>
          <w:rFonts w:ascii="Palatino Linotype" w:eastAsia="MS Gothic" w:hAnsi="Palatino Linotype"/>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r w:rsidR="00A64C73" w:rsidRPr="000377C8">
        <w:rPr>
          <w:rFonts w:ascii="Palatino Linotype" w:eastAsia="MS Gothic" w:hAnsi="Palatino Linotype"/>
          <w:sz w:val="24"/>
          <w:szCs w:val="26"/>
        </w:rPr>
        <w:t>personales</w:t>
      </w:r>
      <w:r w:rsidRPr="000377C8">
        <w:rPr>
          <w:rFonts w:ascii="Palatino Linotype" w:eastAsia="MS Gothic" w:hAnsi="Palatino Linotype"/>
          <w:sz w:val="24"/>
          <w:szCs w:val="26"/>
        </w:rPr>
        <w:t xml:space="preserve"> aun tratándose de servidores públicos y en su caso generar la </w:t>
      </w:r>
      <w:r w:rsidRPr="000377C8">
        <w:rPr>
          <w:rFonts w:ascii="Palatino Linotype" w:eastAsia="MS Gothic" w:hAnsi="Palatino Linotype"/>
          <w:b/>
          <w:sz w:val="24"/>
          <w:szCs w:val="26"/>
          <w:u w:val="single"/>
        </w:rPr>
        <w:t>versión pública</w:t>
      </w:r>
      <w:r w:rsidRPr="000377C8">
        <w:rPr>
          <w:rFonts w:ascii="Palatino Linotype" w:eastAsia="MS Gothic" w:hAnsi="Palatino Linotype"/>
          <w:sz w:val="24"/>
          <w:szCs w:val="26"/>
        </w:rPr>
        <w:t xml:space="preserve"> de los documentos por las consideraciones que se estimen pertinentes.</w:t>
      </w:r>
    </w:p>
    <w:p w14:paraId="279C94A7"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381441D7" w14:textId="2BDA237F"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377C8">
        <w:rPr>
          <w:rFonts w:ascii="Palatino Linotype" w:eastAsia="MS Gothic" w:hAnsi="Palatino Linotype"/>
          <w:szCs w:val="26"/>
          <w:vertAlign w:val="superscript"/>
        </w:rPr>
        <w:footnoteReference w:id="6"/>
      </w:r>
      <w:r w:rsidRPr="000377C8">
        <w:rPr>
          <w:rFonts w:ascii="Palatino Linotype" w:eastAsia="MS Gothic" w:hAnsi="Palatino Linotype"/>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377C8">
        <w:rPr>
          <w:rFonts w:ascii="Palatino Linotype" w:eastAsia="MS Gothic" w:hAnsi="Palatino Linotype"/>
          <w:szCs w:val="26"/>
          <w:vertAlign w:val="superscript"/>
        </w:rPr>
        <w:footnoteReference w:id="7"/>
      </w:r>
      <w:r w:rsidRPr="000377C8">
        <w:rPr>
          <w:rFonts w:ascii="Palatino Linotype" w:eastAsia="MS Gothic" w:hAnsi="Palatino Linotype"/>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4586054"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4B9A805" w14:textId="77777777" w:rsidR="003A57D3" w:rsidRPr="000377C8" w:rsidRDefault="003A57D3" w:rsidP="0037774E">
      <w:pPr>
        <w:spacing w:line="360" w:lineRule="auto"/>
        <w:ind w:right="49"/>
        <w:contextualSpacing/>
        <w:jc w:val="both"/>
        <w:rPr>
          <w:rFonts w:ascii="Palatino Linotype" w:eastAsia="MS Gothic" w:hAnsi="Palatino Linotype"/>
          <w:sz w:val="24"/>
          <w:szCs w:val="26"/>
        </w:rPr>
      </w:pPr>
    </w:p>
    <w:p w14:paraId="63687264" w14:textId="77777777" w:rsidR="003A57D3" w:rsidRPr="000377C8" w:rsidRDefault="003A57D3" w:rsidP="0037774E">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11" w:name="_Toc51863315"/>
      <w:bookmarkStart w:id="12" w:name="_Toc52444649"/>
      <w:bookmarkStart w:id="13" w:name="_Toc57154368"/>
      <w:bookmarkStart w:id="14" w:name="_Toc65170174"/>
      <w:bookmarkStart w:id="15" w:name="_Toc66371800"/>
      <w:bookmarkStart w:id="16" w:name="_Toc73050426"/>
      <w:r w:rsidRPr="000377C8">
        <w:rPr>
          <w:rFonts w:ascii="Palatino Linotype" w:hAnsi="Palatino Linotype" w:cs="Arial"/>
          <w:b/>
          <w:sz w:val="24"/>
        </w:rPr>
        <w:t>I. Requisitos previos.</w:t>
      </w:r>
      <w:bookmarkEnd w:id="11"/>
      <w:bookmarkEnd w:id="12"/>
      <w:bookmarkEnd w:id="13"/>
      <w:bookmarkEnd w:id="14"/>
      <w:bookmarkEnd w:id="15"/>
      <w:bookmarkEnd w:id="16"/>
    </w:p>
    <w:p w14:paraId="716FA70C"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515750FB"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156B891"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5CC4FD7C"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8FCAA28"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16F84559"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0377C8">
        <w:rPr>
          <w:rFonts w:ascii="Palatino Linotype" w:eastAsia="MS Gothic" w:hAnsi="Palatino Linotype"/>
          <w:b/>
          <w:sz w:val="24"/>
          <w:szCs w:val="26"/>
          <w:u w:val="single"/>
        </w:rPr>
        <w:t xml:space="preserve">no se puede hacer un acuerdo para clasificar de manera general todos los documentos de un expediente o área,  </w:t>
      </w:r>
      <w:r w:rsidRPr="000377C8">
        <w:rPr>
          <w:rFonts w:ascii="Palatino Linotype" w:eastAsia="MS Gothic" w:hAnsi="Palatino Linotype"/>
          <w:sz w:val="24"/>
          <w:szCs w:val="26"/>
        </w:rPr>
        <w:t>sin individualizar su análisis y tampoco se puede hacer un acuerdo por cada dato que se vaya a clasificar dentro de un documento con diez datos, por ejemplo, susceptibles de ser clasificados.</w:t>
      </w:r>
    </w:p>
    <w:p w14:paraId="21B37368" w14:textId="77777777" w:rsidR="003A57D3" w:rsidRPr="000377C8" w:rsidRDefault="003A57D3" w:rsidP="0037774E">
      <w:pPr>
        <w:spacing w:line="360" w:lineRule="auto"/>
        <w:ind w:right="49"/>
        <w:contextualSpacing/>
        <w:jc w:val="both"/>
        <w:rPr>
          <w:rFonts w:ascii="Palatino Linotype" w:eastAsia="MS Gothic" w:hAnsi="Palatino Linotype"/>
          <w:sz w:val="24"/>
          <w:szCs w:val="26"/>
        </w:rPr>
      </w:pPr>
    </w:p>
    <w:p w14:paraId="66E57B4D" w14:textId="77777777" w:rsidR="003A57D3" w:rsidRPr="000377C8" w:rsidRDefault="003A57D3" w:rsidP="0037774E">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17" w:name="_Toc51863316"/>
      <w:bookmarkStart w:id="18" w:name="_Toc52444650"/>
      <w:bookmarkStart w:id="19" w:name="_Toc57154369"/>
      <w:bookmarkStart w:id="20" w:name="_Toc65170175"/>
      <w:bookmarkStart w:id="21" w:name="_Toc66371801"/>
      <w:bookmarkStart w:id="22" w:name="_Toc73050427"/>
      <w:r w:rsidRPr="000377C8">
        <w:rPr>
          <w:rFonts w:ascii="Palatino Linotype" w:hAnsi="Palatino Linotype" w:cs="Arial"/>
          <w:b/>
          <w:sz w:val="24"/>
        </w:rPr>
        <w:t>II. Supuestos de clasificación.</w:t>
      </w:r>
      <w:bookmarkEnd w:id="17"/>
      <w:bookmarkEnd w:id="18"/>
      <w:bookmarkEnd w:id="19"/>
      <w:bookmarkEnd w:id="20"/>
      <w:bookmarkEnd w:id="21"/>
      <w:bookmarkEnd w:id="22"/>
    </w:p>
    <w:p w14:paraId="7C5F163F"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5617611C"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Las disposiciones constitucionales y legales en la materia establecen los dos supuestos generales para clasificar la información: por reserva y por confidencialidad.</w:t>
      </w:r>
    </w:p>
    <w:p w14:paraId="23758A1F"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Los artículos 143 y 116 de la Ley Estatal y de la Ley General, respectivamente, señalan los supuestos para que la información pueda ser clasificada como confidencial:</w:t>
      </w:r>
    </w:p>
    <w:p w14:paraId="1A0D1B2D" w14:textId="77777777" w:rsidR="003A57D3" w:rsidRPr="000377C8" w:rsidRDefault="003A57D3" w:rsidP="0037774E">
      <w:pPr>
        <w:spacing w:line="360" w:lineRule="auto"/>
        <w:ind w:right="49"/>
        <w:contextualSpacing/>
        <w:jc w:val="both"/>
        <w:rPr>
          <w:rFonts w:ascii="Palatino Linotype" w:eastAsia="MS Gothic" w:hAnsi="Palatino Linotype"/>
          <w:sz w:val="24"/>
          <w:szCs w:val="26"/>
        </w:rPr>
      </w:pPr>
    </w:p>
    <w:p w14:paraId="1CB413E0" w14:textId="77777777" w:rsidR="003A57D3" w:rsidRPr="000377C8" w:rsidRDefault="003A57D3" w:rsidP="0037774E">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0377C8">
        <w:rPr>
          <w:rFonts w:ascii="Palatino Linotype" w:hAnsi="Palatino Linotype" w:cs="Bookman Old Style"/>
          <w:bCs/>
          <w:i/>
          <w:color w:val="000000"/>
          <w:sz w:val="22"/>
        </w:rPr>
        <w:t xml:space="preserve">“I. </w:t>
      </w:r>
      <w:r w:rsidRPr="000377C8">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436B397D" w14:textId="77777777" w:rsidR="003A57D3" w:rsidRPr="000377C8" w:rsidRDefault="003A57D3" w:rsidP="0037774E">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0377C8">
        <w:rPr>
          <w:rFonts w:ascii="Palatino Linotype" w:hAnsi="Palatino Linotype" w:cs="Bookman Old Style"/>
          <w:bCs/>
          <w:i/>
          <w:color w:val="000000"/>
          <w:sz w:val="22"/>
        </w:rPr>
        <w:t xml:space="preserve">II. </w:t>
      </w:r>
      <w:r w:rsidRPr="000377C8">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3894455" w14:textId="77777777" w:rsidR="003A57D3" w:rsidRPr="000377C8" w:rsidRDefault="003A57D3" w:rsidP="0037774E">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0377C8">
        <w:rPr>
          <w:rFonts w:ascii="Palatino Linotype" w:hAnsi="Palatino Linotype" w:cs="Bookman Old Style"/>
          <w:bCs/>
          <w:i/>
          <w:color w:val="000000"/>
          <w:sz w:val="22"/>
        </w:rPr>
        <w:t xml:space="preserve">III. </w:t>
      </w:r>
      <w:r w:rsidRPr="000377C8">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440F3523" w14:textId="77777777" w:rsidR="003A57D3" w:rsidRPr="000377C8" w:rsidRDefault="003A57D3" w:rsidP="0037774E">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0377C8">
        <w:rPr>
          <w:rFonts w:ascii="Palatino Linotype" w:hAnsi="Palatino Linotype" w:cs="Bookman Old Style"/>
          <w:i/>
          <w:color w:val="000000"/>
          <w:sz w:val="22"/>
        </w:rPr>
        <w:t xml:space="preserve">La información confidencial no estará sujeta a temporalidad alguna y sólo podrán tener </w:t>
      </w:r>
      <w:r w:rsidRPr="000377C8">
        <w:rPr>
          <w:rFonts w:ascii="Palatino Linotype" w:hAnsi="Palatino Linotype" w:cs="Bookman Old Style"/>
          <w:i/>
          <w:color w:val="000000"/>
          <w:sz w:val="22"/>
        </w:rPr>
        <w:lastRenderedPageBreak/>
        <w:t xml:space="preserve">acceso a ella los titulares de la misma, sus representantes y los servidores públicos facultados para ello. </w:t>
      </w:r>
    </w:p>
    <w:p w14:paraId="16766BC4" w14:textId="77777777" w:rsidR="003A57D3" w:rsidRPr="000377C8" w:rsidRDefault="003A57D3" w:rsidP="0037774E">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0377C8">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03D85150"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21852FDD"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DCC4200"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6E937454"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 xml:space="preserve">Como consecuencia de lo anterior, el </w:t>
      </w:r>
      <w:r w:rsidRPr="000377C8">
        <w:rPr>
          <w:rFonts w:ascii="Palatino Linotype" w:eastAsia="MS Gothic" w:hAnsi="Palatino Linotype"/>
          <w:b/>
          <w:sz w:val="24"/>
          <w:szCs w:val="26"/>
        </w:rPr>
        <w:t>SUJETO OBLIGADO</w:t>
      </w:r>
      <w:r w:rsidRPr="000377C8">
        <w:rPr>
          <w:rFonts w:ascii="Palatino Linotype" w:eastAsia="MS Gothic" w:hAnsi="Palatino Linotype"/>
          <w:sz w:val="24"/>
          <w:szCs w:val="26"/>
        </w:rPr>
        <w:t xml:space="preserve"> debe identificar claramente el tipo de información y hacer un juicio de subsunción o encaje</w:t>
      </w:r>
      <w:r w:rsidRPr="000377C8">
        <w:rPr>
          <w:rFonts w:ascii="Palatino Linotype" w:eastAsia="MS Gothic" w:hAnsi="Palatino Linotype"/>
          <w:szCs w:val="26"/>
          <w:vertAlign w:val="superscript"/>
        </w:rPr>
        <w:footnoteReference w:id="8"/>
      </w:r>
      <w:r w:rsidRPr="000377C8">
        <w:rPr>
          <w:rFonts w:ascii="Palatino Linotype" w:eastAsia="MS Gothic" w:hAnsi="Palatino Linotype"/>
          <w:sz w:val="24"/>
          <w:szCs w:val="26"/>
        </w:rPr>
        <w:t xml:space="preserve"> para acreditar que el supuesto de hecho corresponde estrictamente con la hipótesis </w:t>
      </w:r>
      <w:r w:rsidRPr="000377C8">
        <w:rPr>
          <w:rFonts w:ascii="Palatino Linotype" w:eastAsia="MS Gothic" w:hAnsi="Palatino Linotype"/>
          <w:sz w:val="24"/>
          <w:szCs w:val="26"/>
        </w:rPr>
        <w:lastRenderedPageBreak/>
        <w:t>jurídica. Esto también lo debe de realizar el servidor público habilitado y el titular del área que administra la información.</w:t>
      </w:r>
    </w:p>
    <w:p w14:paraId="7AD42E92"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6AE845DA"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14:paraId="26F19790" w14:textId="77777777" w:rsidR="003A57D3" w:rsidRPr="000377C8" w:rsidRDefault="003A57D3" w:rsidP="0037774E">
      <w:pPr>
        <w:spacing w:line="360" w:lineRule="auto"/>
        <w:ind w:right="49"/>
        <w:contextualSpacing/>
        <w:jc w:val="both"/>
        <w:rPr>
          <w:rFonts w:ascii="Palatino Linotype" w:eastAsia="MS Gothic" w:hAnsi="Palatino Linotype"/>
          <w:sz w:val="24"/>
          <w:szCs w:val="26"/>
        </w:rPr>
      </w:pPr>
    </w:p>
    <w:p w14:paraId="2789E317"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w:t>
      </w:r>
      <w:r w:rsidRPr="000377C8">
        <w:rPr>
          <w:rFonts w:ascii="Palatino Linotype" w:hAnsi="Palatino Linotype" w:cs="Arial"/>
          <w:b/>
          <w:i/>
        </w:rPr>
        <w:t>Quincuagésimo.</w:t>
      </w:r>
      <w:r w:rsidRPr="000377C8">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FD9ABAA"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p>
    <w:p w14:paraId="0C9B8F73"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b/>
          <w:i/>
        </w:rPr>
        <w:t>Quincuagésimo primero.</w:t>
      </w:r>
      <w:r w:rsidRPr="000377C8">
        <w:rPr>
          <w:rFonts w:ascii="Palatino Linotype" w:hAnsi="Palatino Linotype" w:cs="Arial"/>
          <w:i/>
        </w:rPr>
        <w:t xml:space="preserve"> La leyenda en los documentos clasificados indicará:</w:t>
      </w:r>
    </w:p>
    <w:p w14:paraId="46DAD777"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I. La fecha de sesión del Comité de Transparencia en donde se confirmó la clasificación, en su caso;</w:t>
      </w:r>
    </w:p>
    <w:p w14:paraId="5488BBE8"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II. El nombre del área;</w:t>
      </w:r>
    </w:p>
    <w:p w14:paraId="1C9D9EA8"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III. La palabra reservado o confidencial;</w:t>
      </w:r>
    </w:p>
    <w:p w14:paraId="65DC51AB"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IV. Las partes o secciones reservadas o confidenciales, en su caso;</w:t>
      </w:r>
    </w:p>
    <w:p w14:paraId="503607A1"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V. El fundamento legal;</w:t>
      </w:r>
    </w:p>
    <w:p w14:paraId="43CF84A7"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VI. El periodo de reserva, y</w:t>
      </w:r>
    </w:p>
    <w:p w14:paraId="0B20DA5B"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t>VII. La rúbrica del titular del área.</w:t>
      </w:r>
    </w:p>
    <w:p w14:paraId="066586D1"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p>
    <w:p w14:paraId="7FF1A46A"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b/>
          <w:i/>
        </w:rPr>
        <w:t>Quincuagésimo segundo.</w:t>
      </w:r>
      <w:r w:rsidRPr="000377C8">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743D61F4"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i/>
        </w:rPr>
        <w:lastRenderedPageBreak/>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1E3B9C2"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r w:rsidRPr="000377C8">
        <w:rPr>
          <w:rFonts w:ascii="Palatino Linotype" w:hAnsi="Palatino Linotype" w:cs="Arial"/>
          <w:b/>
          <w:i/>
        </w:rPr>
        <w:t>Quincuagésimo tercero.</w:t>
      </w:r>
      <w:r w:rsidRPr="000377C8">
        <w:rPr>
          <w:rFonts w:ascii="Palatino Linotype" w:hAnsi="Palatino Linotype" w:cs="Arial"/>
          <w:i/>
        </w:rPr>
        <w:t xml:space="preserve"> El formato para señalar la clasificación parcial de un documento, es el siguiente:</w:t>
      </w:r>
    </w:p>
    <w:p w14:paraId="485A4BE0" w14:textId="77777777" w:rsidR="003A57D3" w:rsidRPr="000377C8" w:rsidRDefault="003A57D3" w:rsidP="0037774E">
      <w:pPr>
        <w:pStyle w:val="Prrafodelista"/>
        <w:tabs>
          <w:tab w:val="left" w:pos="142"/>
          <w:tab w:val="left" w:pos="284"/>
          <w:tab w:val="left" w:pos="426"/>
        </w:tabs>
        <w:spacing w:line="360" w:lineRule="auto"/>
        <w:ind w:left="567" w:right="567"/>
        <w:jc w:val="both"/>
        <w:rPr>
          <w:rFonts w:ascii="Palatino Linotype" w:hAnsi="Palatino Linotype" w:cs="Arial"/>
          <w:i/>
        </w:rPr>
      </w:pPr>
    </w:p>
    <w:p w14:paraId="1D502AE2" w14:textId="6A9076A8" w:rsidR="003A57D3" w:rsidRPr="000377C8" w:rsidRDefault="003A57D3" w:rsidP="000377C8">
      <w:pPr>
        <w:pStyle w:val="Prrafodelista"/>
        <w:tabs>
          <w:tab w:val="left" w:pos="142"/>
          <w:tab w:val="left" w:pos="284"/>
          <w:tab w:val="left" w:pos="426"/>
        </w:tabs>
        <w:spacing w:line="360" w:lineRule="auto"/>
        <w:ind w:left="0"/>
        <w:jc w:val="center"/>
        <w:rPr>
          <w:rFonts w:ascii="Palatino Linotype" w:hAnsi="Palatino Linotype" w:cs="Arial"/>
        </w:rPr>
      </w:pPr>
      <w:r w:rsidRPr="000377C8">
        <w:rPr>
          <w:rFonts w:ascii="Palatino Linotype" w:hAnsi="Palatino Linotype" w:cs="Arial"/>
          <w:i/>
          <w:noProof/>
          <w:lang w:val="es-ES"/>
        </w:rPr>
        <w:drawing>
          <wp:inline distT="0" distB="0" distL="0" distR="0" wp14:anchorId="4BDE543D" wp14:editId="2B52873F">
            <wp:extent cx="4857115" cy="4914169"/>
            <wp:effectExtent l="57150" t="57150" r="114935" b="115570"/>
            <wp:docPr id="11" name="Imagen 1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7023" cy="48230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835990"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lastRenderedPageBreak/>
        <w:t>Una vez hecho lo anterior, se remite la información al Titular de la Unidad de Transparencia, con el acuerdo de clasificación correspondiente, para que sea sometido al conocimiento del Comité de Transparencia.</w:t>
      </w:r>
    </w:p>
    <w:p w14:paraId="67467450" w14:textId="77777777" w:rsidR="003A57D3" w:rsidRPr="000377C8" w:rsidRDefault="003A57D3" w:rsidP="0037774E">
      <w:pPr>
        <w:spacing w:line="360" w:lineRule="auto"/>
        <w:ind w:right="49"/>
        <w:contextualSpacing/>
        <w:jc w:val="both"/>
        <w:rPr>
          <w:rFonts w:ascii="Palatino Linotype" w:eastAsia="MS Gothic" w:hAnsi="Palatino Linotype"/>
          <w:sz w:val="24"/>
          <w:szCs w:val="26"/>
        </w:rPr>
      </w:pPr>
    </w:p>
    <w:p w14:paraId="4AE4EEF2" w14:textId="77777777" w:rsidR="003A57D3" w:rsidRPr="000377C8" w:rsidRDefault="003A57D3" w:rsidP="0037774E">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23" w:name="_Toc51863317"/>
      <w:bookmarkStart w:id="24" w:name="_Toc52444651"/>
      <w:bookmarkStart w:id="25" w:name="_Toc57154370"/>
      <w:bookmarkStart w:id="26" w:name="_Toc65170176"/>
      <w:bookmarkStart w:id="27" w:name="_Toc66371802"/>
      <w:bookmarkStart w:id="28" w:name="_Toc73050428"/>
      <w:r w:rsidRPr="000377C8">
        <w:rPr>
          <w:rFonts w:ascii="Palatino Linotype" w:hAnsi="Palatino Linotype" w:cs="Arial"/>
          <w:b/>
          <w:sz w:val="24"/>
        </w:rPr>
        <w:t>III. La intervención del Comité de Transparencia.</w:t>
      </w:r>
      <w:bookmarkEnd w:id="23"/>
      <w:bookmarkEnd w:id="24"/>
      <w:bookmarkEnd w:id="25"/>
      <w:bookmarkEnd w:id="26"/>
      <w:bookmarkEnd w:id="27"/>
      <w:bookmarkEnd w:id="28"/>
    </w:p>
    <w:p w14:paraId="4BAF98EC" w14:textId="77777777" w:rsidR="003A57D3" w:rsidRPr="000377C8" w:rsidRDefault="003A57D3" w:rsidP="0037774E">
      <w:pPr>
        <w:pStyle w:val="Prrafodelista"/>
        <w:tabs>
          <w:tab w:val="left" w:pos="142"/>
          <w:tab w:val="left" w:pos="284"/>
          <w:tab w:val="left" w:pos="426"/>
        </w:tabs>
        <w:spacing w:line="360" w:lineRule="auto"/>
        <w:ind w:left="0"/>
        <w:jc w:val="both"/>
        <w:rPr>
          <w:rFonts w:ascii="Palatino Linotype" w:hAnsi="Palatino Linotype" w:cs="Arial"/>
          <w:sz w:val="24"/>
        </w:rPr>
      </w:pPr>
    </w:p>
    <w:p w14:paraId="2A8A7BDD" w14:textId="77777777" w:rsidR="003A57D3" w:rsidRPr="000377C8" w:rsidRDefault="003A57D3" w:rsidP="0037774E">
      <w:pPr>
        <w:pStyle w:val="Prrafodelista"/>
        <w:tabs>
          <w:tab w:val="left" w:pos="142"/>
          <w:tab w:val="left" w:pos="284"/>
          <w:tab w:val="left" w:pos="426"/>
        </w:tabs>
        <w:spacing w:line="360" w:lineRule="auto"/>
        <w:ind w:left="0"/>
        <w:jc w:val="both"/>
        <w:rPr>
          <w:rFonts w:ascii="Palatino Linotype" w:hAnsi="Palatino Linotype" w:cs="Arial"/>
          <w:b/>
          <w:sz w:val="24"/>
        </w:rPr>
      </w:pPr>
      <w:r w:rsidRPr="000377C8">
        <w:rPr>
          <w:rFonts w:ascii="Palatino Linotype" w:hAnsi="Palatino Linotype" w:cs="Arial"/>
          <w:b/>
          <w:sz w:val="24"/>
        </w:rPr>
        <w:t>a) Formalidades para emitir el Acuerdo de Clasificación.</w:t>
      </w:r>
    </w:p>
    <w:p w14:paraId="14E90802"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419C7F50"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0377C8">
        <w:rPr>
          <w:rFonts w:ascii="Palatino Linotype" w:eastAsia="MS Gothic" w:hAnsi="Palatino Linotype"/>
          <w:b/>
          <w:sz w:val="24"/>
          <w:szCs w:val="26"/>
          <w:u w:val="single"/>
        </w:rPr>
        <w:t>confirmar, modificar o revocar</w:t>
      </w:r>
      <w:r w:rsidRPr="000377C8">
        <w:rPr>
          <w:rFonts w:ascii="Palatino Linotype" w:eastAsia="MS Gothic" w:hAnsi="Palatino Linotype"/>
          <w:sz w:val="24"/>
          <w:szCs w:val="26"/>
        </w:rPr>
        <w:t xml:space="preserve"> la clasificación de la información que ha hecho el titular del área que administra la información. Por lo tanto, el Comité </w:t>
      </w:r>
      <w:r w:rsidRPr="000377C8">
        <w:rPr>
          <w:rFonts w:ascii="Palatino Linotype" w:eastAsia="MS Gothic" w:hAnsi="Palatino Linotype"/>
          <w:b/>
          <w:sz w:val="24"/>
          <w:szCs w:val="26"/>
          <w:u w:val="single"/>
        </w:rPr>
        <w:t>no aprueba</w:t>
      </w:r>
      <w:r w:rsidRPr="000377C8">
        <w:rPr>
          <w:rFonts w:ascii="Palatino Linotype" w:eastAsia="MS Gothic" w:hAnsi="Palatino Linotype"/>
          <w:sz w:val="24"/>
          <w:szCs w:val="26"/>
        </w:rPr>
        <w:t xml:space="preserve"> la clasificación, sino que revisa lo que ha hecho el titular del área y confirma, modifica o revoca la decisión a través de un acuerdo.</w:t>
      </w:r>
    </w:p>
    <w:p w14:paraId="6F939BFF"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0D6F5D4C"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0377C8">
        <w:rPr>
          <w:rFonts w:ascii="Palatino Linotype" w:eastAsia="MS Gothic" w:hAnsi="Palatino Linotype"/>
          <w:b/>
          <w:sz w:val="24"/>
          <w:szCs w:val="26"/>
          <w:u w:val="single"/>
        </w:rPr>
        <w:t>el acto reúna con los requisitos elementales</w:t>
      </w:r>
      <w:r w:rsidRPr="000377C8">
        <w:rPr>
          <w:rFonts w:ascii="Palatino Linotype" w:eastAsia="MS Gothic" w:hAnsi="Palatino Linotype"/>
          <w:sz w:val="24"/>
          <w:szCs w:val="26"/>
        </w:rPr>
        <w:t xml:space="preserve">, entre ellos, que la autoridad que va a emitir el acto de autoridad sea la legalmente facultada para ello, es decir, que cumpla con el principio de reserva de ley,  por lo que no está demás señalar que el artículo 45 </w:t>
      </w:r>
      <w:r w:rsidRPr="000377C8">
        <w:rPr>
          <w:rFonts w:ascii="Palatino Linotype" w:eastAsia="MS Gothic" w:hAnsi="Palatino Linotype"/>
          <w:sz w:val="24"/>
          <w:szCs w:val="26"/>
        </w:rPr>
        <w:lastRenderedPageBreak/>
        <w:t>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FC62179"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0A0244A6"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DBD1AFD" w14:textId="77777777" w:rsidR="003A57D3" w:rsidRPr="000377C8" w:rsidRDefault="003A57D3" w:rsidP="0037774E">
      <w:pPr>
        <w:spacing w:line="360" w:lineRule="auto"/>
        <w:ind w:right="49"/>
        <w:contextualSpacing/>
        <w:jc w:val="both"/>
        <w:rPr>
          <w:rFonts w:ascii="Palatino Linotype" w:eastAsia="MS Gothic" w:hAnsi="Palatino Linotype"/>
          <w:sz w:val="24"/>
          <w:szCs w:val="26"/>
        </w:rPr>
      </w:pPr>
    </w:p>
    <w:p w14:paraId="13FC6882" w14:textId="77777777" w:rsidR="003A57D3" w:rsidRPr="000377C8" w:rsidRDefault="003A57D3" w:rsidP="0037774E">
      <w:pPr>
        <w:pStyle w:val="Prrafodelista"/>
        <w:tabs>
          <w:tab w:val="left" w:pos="142"/>
          <w:tab w:val="left" w:pos="284"/>
          <w:tab w:val="left" w:pos="426"/>
        </w:tabs>
        <w:spacing w:line="360" w:lineRule="auto"/>
        <w:ind w:left="0"/>
        <w:jc w:val="both"/>
        <w:rPr>
          <w:rFonts w:ascii="Palatino Linotype" w:hAnsi="Palatino Linotype" w:cs="Arial"/>
          <w:b/>
          <w:sz w:val="24"/>
        </w:rPr>
      </w:pPr>
      <w:r w:rsidRPr="000377C8">
        <w:rPr>
          <w:rFonts w:ascii="Palatino Linotype" w:hAnsi="Palatino Linotype" w:cs="Arial"/>
          <w:b/>
          <w:sz w:val="24"/>
        </w:rPr>
        <w:t>b) Requisitos de fondo del Acuerdo de Clasificación.</w:t>
      </w:r>
    </w:p>
    <w:p w14:paraId="6AC14837"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169300E1"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w:t>
      </w:r>
      <w:r w:rsidRPr="000377C8">
        <w:rPr>
          <w:rFonts w:ascii="Palatino Linotype" w:eastAsia="MS Gothic" w:hAnsi="Palatino Linotype"/>
          <w:sz w:val="24"/>
          <w:szCs w:val="26"/>
        </w:rPr>
        <w:lastRenderedPageBreak/>
        <w:t>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70AB2A3" w14:textId="77777777" w:rsidR="006A0857" w:rsidRPr="000377C8" w:rsidRDefault="006A0857" w:rsidP="0037774E">
      <w:pPr>
        <w:spacing w:line="360" w:lineRule="auto"/>
        <w:ind w:right="49"/>
        <w:contextualSpacing/>
        <w:jc w:val="both"/>
        <w:rPr>
          <w:rFonts w:ascii="Palatino Linotype" w:eastAsiaTheme="minorEastAsia" w:hAnsi="Palatino Linotype"/>
          <w:sz w:val="24"/>
          <w:szCs w:val="24"/>
          <w:lang w:val="es-ES_tradnl"/>
        </w:rPr>
      </w:pPr>
    </w:p>
    <w:p w14:paraId="229D9388"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61CAAB"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0B62478C"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0377C8">
        <w:rPr>
          <w:rFonts w:ascii="Palatino Linotype" w:eastAsia="MS Gothic" w:hAnsi="Palatino Linotype"/>
          <w:i/>
          <w:sz w:val="24"/>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w:t>
      </w:r>
      <w:r w:rsidRPr="000377C8">
        <w:rPr>
          <w:rFonts w:ascii="Palatino Linotype" w:eastAsia="MS Gothic" w:hAnsi="Palatino Linotype"/>
          <w:i/>
          <w:sz w:val="24"/>
          <w:szCs w:val="26"/>
        </w:rPr>
        <w:lastRenderedPageBreak/>
        <w:t>partir del análisis de las pruebas, lo cual se debe exteriorizar en una argumentación o juicio de hecho</w:t>
      </w:r>
      <w:r w:rsidRPr="000377C8">
        <w:rPr>
          <w:rFonts w:ascii="Palatino Linotype" w:eastAsia="MS Gothic" w:hAnsi="Palatino Linotype"/>
          <w:sz w:val="24"/>
          <w:szCs w:val="26"/>
        </w:rPr>
        <w:t>....”</w:t>
      </w:r>
      <w:r w:rsidRPr="000377C8">
        <w:rPr>
          <w:rFonts w:ascii="Palatino Linotype" w:eastAsia="MS Gothic" w:hAnsi="Palatino Linotype"/>
          <w:szCs w:val="26"/>
          <w:vertAlign w:val="superscript"/>
        </w:rPr>
        <w:footnoteReference w:id="9"/>
      </w:r>
    </w:p>
    <w:p w14:paraId="6FF21090"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285C6BCB"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245DFA8C" w14:textId="77777777" w:rsidR="003A57D3" w:rsidRPr="000377C8" w:rsidRDefault="003A57D3" w:rsidP="0037774E">
      <w:pPr>
        <w:spacing w:line="360" w:lineRule="auto"/>
        <w:ind w:right="49"/>
        <w:contextualSpacing/>
        <w:jc w:val="both"/>
        <w:rPr>
          <w:rFonts w:ascii="Palatino Linotype" w:hAnsi="Palatino Linotype" w:cs="Arial"/>
          <w:sz w:val="24"/>
        </w:rPr>
      </w:pPr>
    </w:p>
    <w:p w14:paraId="70BAF8E7" w14:textId="77777777" w:rsidR="003A57D3" w:rsidRPr="000377C8" w:rsidRDefault="003A57D3" w:rsidP="0037774E">
      <w:pPr>
        <w:spacing w:line="360" w:lineRule="auto"/>
        <w:ind w:left="851" w:right="618"/>
        <w:contextualSpacing/>
        <w:jc w:val="both"/>
        <w:rPr>
          <w:rFonts w:ascii="Palatino Linotype" w:hAnsi="Palatino Linotype" w:cs="Arial"/>
          <w:i/>
          <w:color w:val="000000"/>
        </w:rPr>
      </w:pPr>
      <w:r w:rsidRPr="000377C8">
        <w:rPr>
          <w:rFonts w:ascii="Palatino Linotype" w:hAnsi="Palatino Linotype" w:cs="Arial"/>
          <w:b/>
          <w:i/>
          <w:color w:val="000000"/>
        </w:rPr>
        <w:t>FUNDAMENTACIÓN Y MOTIVACIÓN.</w:t>
      </w:r>
      <w:r w:rsidRPr="000377C8">
        <w:rPr>
          <w:rFonts w:ascii="Palatino Linotype" w:hAnsi="Palatino Linotype" w:cs="Arial"/>
          <w:i/>
          <w:color w:val="000000"/>
        </w:rPr>
        <w:t xml:space="preserve"> “La </w:t>
      </w:r>
      <w:r w:rsidRPr="000377C8">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377C8">
        <w:rPr>
          <w:rFonts w:ascii="Palatino Linotype" w:hAnsi="Palatino Linotype" w:cs="Arial"/>
          <w:i/>
          <w:color w:val="000000"/>
        </w:rPr>
        <w:t>.”</w:t>
      </w:r>
    </w:p>
    <w:p w14:paraId="4FEBBBAA" w14:textId="77777777" w:rsidR="003A57D3" w:rsidRPr="000377C8" w:rsidRDefault="003A57D3" w:rsidP="0037774E">
      <w:pPr>
        <w:spacing w:line="360" w:lineRule="auto"/>
        <w:ind w:left="851" w:right="618"/>
        <w:contextualSpacing/>
        <w:jc w:val="both"/>
        <w:rPr>
          <w:rFonts w:ascii="Palatino Linotype" w:hAnsi="Palatino Linotype" w:cs="Arial"/>
          <w:i/>
          <w:color w:val="000000"/>
        </w:rPr>
      </w:pPr>
      <w:r w:rsidRPr="000377C8">
        <w:rPr>
          <w:rFonts w:ascii="Palatino Linotype" w:hAnsi="Palatino Linotype" w:cs="Arial"/>
          <w:i/>
          <w:color w:val="000000"/>
        </w:rPr>
        <w:t>SEGUNDO TRIBUNAL COLEGIADO DEL SEXTO CIRCUITO.</w:t>
      </w:r>
    </w:p>
    <w:p w14:paraId="218B4B71" w14:textId="77777777" w:rsidR="003A57D3" w:rsidRPr="000377C8" w:rsidRDefault="003A57D3" w:rsidP="0037774E">
      <w:pPr>
        <w:spacing w:line="360" w:lineRule="auto"/>
        <w:ind w:left="851" w:right="618"/>
        <w:contextualSpacing/>
        <w:jc w:val="both"/>
        <w:rPr>
          <w:rFonts w:ascii="Palatino Linotype" w:hAnsi="Palatino Linotype" w:cs="Arial"/>
          <w:i/>
          <w:color w:val="000000"/>
        </w:rPr>
      </w:pPr>
      <w:r w:rsidRPr="000377C8">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77D9E9FE" w14:textId="77777777" w:rsidR="003A57D3" w:rsidRPr="000377C8" w:rsidRDefault="003A57D3" w:rsidP="0037774E">
      <w:pPr>
        <w:spacing w:line="360" w:lineRule="auto"/>
        <w:ind w:left="851" w:right="618"/>
        <w:contextualSpacing/>
        <w:jc w:val="both"/>
        <w:rPr>
          <w:rFonts w:ascii="Palatino Linotype" w:hAnsi="Palatino Linotype" w:cs="Arial"/>
          <w:i/>
          <w:color w:val="000000"/>
        </w:rPr>
      </w:pPr>
      <w:r w:rsidRPr="000377C8">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7DF29B19" w14:textId="77777777" w:rsidR="003A57D3" w:rsidRPr="000377C8" w:rsidRDefault="003A57D3" w:rsidP="0037774E">
      <w:pPr>
        <w:spacing w:line="360" w:lineRule="auto"/>
        <w:ind w:left="851" w:right="618"/>
        <w:contextualSpacing/>
        <w:jc w:val="both"/>
        <w:rPr>
          <w:rFonts w:ascii="Palatino Linotype" w:hAnsi="Palatino Linotype" w:cs="Arial"/>
          <w:i/>
          <w:color w:val="000000"/>
        </w:rPr>
      </w:pPr>
      <w:r w:rsidRPr="000377C8">
        <w:rPr>
          <w:rFonts w:ascii="Palatino Linotype" w:hAnsi="Palatino Linotype" w:cs="Arial"/>
          <w:i/>
          <w:color w:val="000000"/>
        </w:rPr>
        <w:t>Amparo en revisión 333/88. Adilia Romero. 26 de octubre de 1988. Unanimidad de votos. Ponente: Arnoldo Nájera Virgen. Secretario: Enrique Crispín Campos Ramírez.</w:t>
      </w:r>
    </w:p>
    <w:p w14:paraId="5F350897" w14:textId="77777777" w:rsidR="003A57D3" w:rsidRPr="000377C8" w:rsidRDefault="003A57D3" w:rsidP="0037774E">
      <w:pPr>
        <w:spacing w:line="360" w:lineRule="auto"/>
        <w:ind w:left="851" w:right="618"/>
        <w:contextualSpacing/>
        <w:jc w:val="both"/>
        <w:rPr>
          <w:rFonts w:ascii="Palatino Linotype" w:hAnsi="Palatino Linotype" w:cs="Arial"/>
          <w:i/>
          <w:color w:val="000000"/>
        </w:rPr>
      </w:pPr>
      <w:r w:rsidRPr="000377C8">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4461A31A" w14:textId="4324FBB9" w:rsidR="003A57D3" w:rsidRPr="000377C8" w:rsidRDefault="003A57D3" w:rsidP="000377C8">
      <w:pPr>
        <w:spacing w:line="360" w:lineRule="auto"/>
        <w:ind w:left="851" w:right="618"/>
        <w:contextualSpacing/>
        <w:jc w:val="both"/>
        <w:rPr>
          <w:rFonts w:ascii="Palatino Linotype" w:hAnsi="Palatino Linotype" w:cs="Arial"/>
          <w:i/>
          <w:color w:val="000000"/>
        </w:rPr>
      </w:pPr>
      <w:r w:rsidRPr="000377C8">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7052CC9F"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6D12AB" w14:textId="77777777" w:rsidR="000377C8" w:rsidRPr="000377C8" w:rsidRDefault="000377C8" w:rsidP="000377C8">
      <w:pPr>
        <w:spacing w:line="360" w:lineRule="auto"/>
        <w:ind w:right="49"/>
        <w:contextualSpacing/>
        <w:jc w:val="both"/>
        <w:rPr>
          <w:rFonts w:ascii="Palatino Linotype" w:eastAsiaTheme="minorEastAsia" w:hAnsi="Palatino Linotype"/>
          <w:sz w:val="24"/>
          <w:szCs w:val="24"/>
          <w:lang w:val="es-ES_tradnl"/>
        </w:rPr>
      </w:pPr>
    </w:p>
    <w:p w14:paraId="201BAD72"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DEA30E"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1940A1DF"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14:paraId="7F48A10D"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0005279A"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rPr>
        <w:t xml:space="preserve">Ahora bien, </w:t>
      </w:r>
      <w:r w:rsidRPr="000377C8">
        <w:rPr>
          <w:rFonts w:ascii="Palatino Linotype" w:eastAsia="MS Gothic" w:hAnsi="Palatino Linotype"/>
          <w:b/>
          <w:sz w:val="24"/>
          <w:u w:val="single"/>
        </w:rPr>
        <w:t>para cada caso además de fundar y motivar</w:t>
      </w:r>
      <w:r w:rsidRPr="000377C8">
        <w:rPr>
          <w:rFonts w:ascii="Palatino Linotype" w:eastAsia="MS Gothic" w:hAnsi="Palatino Linotype"/>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377C8">
        <w:rPr>
          <w:rFonts w:ascii="Palatino Linotype" w:eastAsia="MS Gothic" w:hAnsi="Palatino Linotype"/>
          <w:vertAlign w:val="superscript"/>
        </w:rPr>
        <w:footnoteReference w:id="10"/>
      </w:r>
      <w:r w:rsidRPr="000377C8">
        <w:rPr>
          <w:rFonts w:ascii="Palatino Linotype" w:eastAsia="MS Gothic" w:hAnsi="Palatino Linotype"/>
          <w:sz w:val="24"/>
        </w:rPr>
        <w:t xml:space="preserve"> del servidor público que no tienen ninguna injerencia en el tema de la transparencia y la </w:t>
      </w:r>
      <w:r w:rsidRPr="000377C8">
        <w:rPr>
          <w:rFonts w:ascii="Palatino Linotype" w:eastAsia="MS Gothic" w:hAnsi="Palatino Linotype"/>
          <w:sz w:val="24"/>
        </w:rPr>
        <w:lastRenderedPageBreak/>
        <w:t xml:space="preserve">rendición de cuentas, por ejemplo, </w:t>
      </w:r>
      <w:r w:rsidRPr="000377C8">
        <w:rPr>
          <w:rFonts w:ascii="Palatino Linotype" w:eastAsia="MS Gothic" w:hAnsi="Palatino Linotype"/>
          <w:sz w:val="24"/>
          <w:lang w:val="es-ES"/>
        </w:rPr>
        <w:t>Clave Única de Registro de Población (CURP), Registro Federal de Contribuyentes (R.F.C.), y los Códigos Bidimensionales, también denominados Códigos QR, son datos  susceptibles de clasificarse como confidenciales mediante una versión pública que deje a la vista los datos que ofrezcan la información requerida.</w:t>
      </w:r>
    </w:p>
    <w:p w14:paraId="7399C17E" w14:textId="77777777" w:rsidR="003A57D3" w:rsidRPr="000377C8" w:rsidRDefault="00426540"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MS Gothic" w:hAnsi="Palatino Linotype"/>
          <w:sz w:val="24"/>
        </w:rPr>
        <w:t xml:space="preserve">Otro </w:t>
      </w:r>
      <w:r w:rsidRPr="000377C8">
        <w:rPr>
          <w:rFonts w:ascii="Palatino Linotype" w:eastAsia="MS Gothic" w:hAnsi="Palatino Linotype"/>
          <w:sz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5BC0180" w14:textId="77777777" w:rsidR="003A57D3" w:rsidRPr="000377C8" w:rsidRDefault="003A57D3" w:rsidP="0037774E">
      <w:pPr>
        <w:spacing w:line="360" w:lineRule="auto"/>
        <w:ind w:right="49"/>
        <w:contextualSpacing/>
        <w:jc w:val="both"/>
        <w:rPr>
          <w:rFonts w:ascii="Palatino Linotype" w:eastAsia="MS Gothic" w:hAnsi="Palatino Linotype"/>
          <w:sz w:val="24"/>
          <w:lang w:val="es-ES"/>
        </w:rPr>
      </w:pPr>
    </w:p>
    <w:p w14:paraId="37C4589F" w14:textId="77777777" w:rsidR="003A57D3" w:rsidRPr="000377C8" w:rsidRDefault="003A57D3" w:rsidP="0037774E">
      <w:pPr>
        <w:spacing w:line="360" w:lineRule="auto"/>
        <w:jc w:val="both"/>
        <w:rPr>
          <w:rFonts w:ascii="Palatino Linotype" w:hAnsi="Palatino Linotype" w:cs="Tahoma"/>
          <w:b/>
          <w:sz w:val="22"/>
          <w:szCs w:val="22"/>
        </w:rPr>
      </w:pPr>
      <w:r w:rsidRPr="000377C8">
        <w:rPr>
          <w:rFonts w:ascii="Palatino Linotype" w:hAnsi="Palatino Linotype" w:cs="Tahoma"/>
          <w:b/>
          <w:sz w:val="22"/>
          <w:szCs w:val="22"/>
        </w:rPr>
        <w:t xml:space="preserve">SEXTO. Decisión. </w:t>
      </w:r>
    </w:p>
    <w:p w14:paraId="4892834F"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17DDE6C4" w14:textId="35ED61E6" w:rsidR="003A57D3" w:rsidRPr="000377C8" w:rsidRDefault="00140554"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hAnsi="Palatino Linotype" w:cs="Tahoma"/>
          <w:sz w:val="24"/>
          <w:szCs w:val="24"/>
        </w:rPr>
        <w:t xml:space="preserve">Con fundamento en el artículo 186, fracción III, de la Ley de Transparencia y Acceso a la Información Pública del Estado de México y Municipios, este Instituto considera procedente </w:t>
      </w:r>
      <w:r w:rsidR="000B50CD" w:rsidRPr="000377C8">
        <w:rPr>
          <w:rFonts w:ascii="Palatino Linotype" w:hAnsi="Palatino Linotype" w:cs="Tahoma"/>
          <w:b/>
          <w:sz w:val="24"/>
          <w:szCs w:val="24"/>
        </w:rPr>
        <w:t>REVOCAR</w:t>
      </w:r>
      <w:r w:rsidRPr="000377C8">
        <w:rPr>
          <w:rFonts w:ascii="Palatino Linotype" w:hAnsi="Palatino Linotype" w:cs="Tahoma"/>
          <w:b/>
          <w:sz w:val="24"/>
          <w:szCs w:val="24"/>
        </w:rPr>
        <w:t xml:space="preserve"> </w:t>
      </w:r>
      <w:r w:rsidRPr="000377C8">
        <w:rPr>
          <w:rFonts w:ascii="Palatino Linotype" w:hAnsi="Palatino Linotype" w:cs="Tahoma"/>
          <w:sz w:val="24"/>
          <w:szCs w:val="24"/>
        </w:rPr>
        <w:t xml:space="preserve">la respuesta otorgada por el Sujeto Obligado, a efecto de que, previa búsqueda exhaustiva y razonable en todas las unidades administrativas competentes, entre las cuales no podrá omitir </w:t>
      </w:r>
      <w:r w:rsidRPr="000377C8">
        <w:rPr>
          <w:rFonts w:ascii="Palatino Linotype" w:eastAsia="Calibri" w:hAnsi="Palatino Linotype" w:cs="Tahoma"/>
          <w:bCs/>
          <w:sz w:val="24"/>
          <w:szCs w:val="24"/>
          <w:lang w:eastAsia="en-US"/>
        </w:rPr>
        <w:t xml:space="preserve">a la </w:t>
      </w:r>
      <w:r w:rsidR="005273E9" w:rsidRPr="000377C8">
        <w:rPr>
          <w:rFonts w:ascii="Palatino Linotype" w:eastAsia="Calibri" w:hAnsi="Palatino Linotype" w:cs="Tahoma"/>
          <w:bCs/>
          <w:sz w:val="24"/>
          <w:szCs w:val="24"/>
          <w:lang w:eastAsia="en-US"/>
        </w:rPr>
        <w:t>Coordinación de Contabilidad y Presupuesto, Sub tesorería o Tesorería Interna</w:t>
      </w:r>
      <w:r w:rsidRPr="000377C8">
        <w:rPr>
          <w:rFonts w:ascii="Palatino Linotype" w:eastAsia="Calibri" w:hAnsi="Palatino Linotype" w:cs="Tahoma"/>
          <w:bCs/>
          <w:sz w:val="24"/>
          <w:szCs w:val="24"/>
          <w:lang w:eastAsia="en-US"/>
        </w:rPr>
        <w:t>,</w:t>
      </w:r>
      <w:r w:rsidRPr="000377C8">
        <w:rPr>
          <w:rFonts w:ascii="Palatino Linotype" w:hAnsi="Palatino Linotype" w:cs="Tahoma"/>
          <w:sz w:val="24"/>
          <w:szCs w:val="24"/>
        </w:rPr>
        <w:t xml:space="preserve"> </w:t>
      </w:r>
      <w:r w:rsidRPr="000377C8">
        <w:rPr>
          <w:rFonts w:ascii="Palatino Linotype" w:hAnsi="Palatino Linotype" w:cs="Tahoma"/>
          <w:sz w:val="24"/>
          <w:szCs w:val="24"/>
          <w:lang w:val="es-ES"/>
        </w:rPr>
        <w:t>ponga a di</w:t>
      </w:r>
      <w:r w:rsidR="005273E9" w:rsidRPr="000377C8">
        <w:rPr>
          <w:rFonts w:ascii="Palatino Linotype" w:hAnsi="Palatino Linotype" w:cs="Tahoma"/>
          <w:sz w:val="24"/>
          <w:szCs w:val="24"/>
          <w:lang w:val="es-ES"/>
        </w:rPr>
        <w:t>sposición del ahora Recurrente</w:t>
      </w:r>
      <w:r w:rsidRPr="000377C8">
        <w:rPr>
          <w:rFonts w:ascii="Palatino Linotype" w:hAnsi="Palatino Linotype" w:cs="Tahoma"/>
          <w:b/>
          <w:bCs/>
          <w:sz w:val="24"/>
          <w:szCs w:val="24"/>
          <w:lang w:val="es-ES"/>
        </w:rPr>
        <w:t xml:space="preserve">, </w:t>
      </w:r>
      <w:r w:rsidRPr="000377C8">
        <w:rPr>
          <w:rFonts w:ascii="Palatino Linotype" w:hAnsi="Palatino Linotype" w:cs="Tahoma"/>
          <w:sz w:val="24"/>
          <w:szCs w:val="24"/>
          <w:lang w:val="es-ES"/>
        </w:rPr>
        <w:t xml:space="preserve">en </w:t>
      </w:r>
      <w:r w:rsidRPr="000377C8">
        <w:rPr>
          <w:rFonts w:ascii="Palatino Linotype" w:hAnsi="Palatino Linotype" w:cs="Tahoma"/>
          <w:sz w:val="24"/>
          <w:szCs w:val="24"/>
        </w:rPr>
        <w:t>su caso</w:t>
      </w:r>
      <w:r w:rsidRPr="000377C8">
        <w:rPr>
          <w:rFonts w:ascii="Palatino Linotype" w:hAnsi="Palatino Linotype" w:cs="Tahoma"/>
          <w:sz w:val="24"/>
          <w:szCs w:val="24"/>
          <w:lang w:val="es-ES"/>
        </w:rPr>
        <w:t>, en versión pública, de los documentos donde conste lo siguiente:</w:t>
      </w:r>
    </w:p>
    <w:p w14:paraId="74ED2CD2" w14:textId="77777777" w:rsidR="004445E2" w:rsidRPr="000377C8" w:rsidRDefault="004445E2" w:rsidP="0037774E">
      <w:pPr>
        <w:spacing w:line="360" w:lineRule="auto"/>
        <w:jc w:val="both"/>
        <w:rPr>
          <w:rFonts w:ascii="Palatino Linotype" w:hAnsi="Palatino Linotype" w:cs="Tahoma"/>
          <w:sz w:val="24"/>
          <w:szCs w:val="24"/>
          <w:lang w:val="es-ES"/>
        </w:rPr>
      </w:pPr>
    </w:p>
    <w:p w14:paraId="49DD588B" w14:textId="77777777" w:rsidR="004445E2" w:rsidRPr="000377C8" w:rsidRDefault="004445E2" w:rsidP="0037774E">
      <w:pPr>
        <w:pStyle w:val="Prrafodelista"/>
        <w:spacing w:line="360" w:lineRule="auto"/>
        <w:ind w:left="567" w:right="822"/>
        <w:jc w:val="both"/>
        <w:rPr>
          <w:rFonts w:ascii="Palatino Linotype" w:hAnsi="Palatino Linotype" w:cs="Tahoma"/>
          <w:sz w:val="24"/>
        </w:rPr>
      </w:pPr>
      <w:r w:rsidRPr="000377C8">
        <w:rPr>
          <w:rFonts w:ascii="Palatino Linotype" w:hAnsi="Palatino Linotype" w:cs="Tahoma"/>
          <w:b/>
          <w:sz w:val="24"/>
        </w:rPr>
        <w:t>a)</w:t>
      </w:r>
      <w:r w:rsidRPr="000377C8">
        <w:rPr>
          <w:rFonts w:ascii="Palatino Linotype" w:hAnsi="Palatino Linotype" w:cs="Tahoma"/>
          <w:sz w:val="24"/>
        </w:rPr>
        <w:t xml:space="preserve"> El número de cuenta, la clabe interbancaria y el nombre de la institución financiera de las cuentas bancarias, concentradoras para el </w:t>
      </w:r>
      <w:r w:rsidRPr="000377C8">
        <w:rPr>
          <w:rFonts w:ascii="Palatino Linotype" w:hAnsi="Palatino Linotype" w:cs="Tahoma"/>
          <w:sz w:val="24"/>
        </w:rPr>
        <w:lastRenderedPageBreak/>
        <w:t>pago de laudos, con las que contaba el Sujeto Obligado, al siete de junio de dos mil veintiuno;</w:t>
      </w:r>
    </w:p>
    <w:p w14:paraId="4B9AA7D5" w14:textId="77777777" w:rsidR="004445E2" w:rsidRPr="000377C8" w:rsidRDefault="004445E2" w:rsidP="0037774E">
      <w:pPr>
        <w:pStyle w:val="Prrafodelista"/>
        <w:spacing w:line="360" w:lineRule="auto"/>
        <w:ind w:left="567" w:right="822"/>
        <w:jc w:val="both"/>
        <w:rPr>
          <w:rFonts w:ascii="Palatino Linotype" w:hAnsi="Palatino Linotype" w:cs="Tahoma"/>
          <w:sz w:val="24"/>
        </w:rPr>
      </w:pPr>
    </w:p>
    <w:p w14:paraId="07258055" w14:textId="7084117E" w:rsidR="004445E2" w:rsidRPr="000377C8" w:rsidRDefault="004445E2" w:rsidP="0037774E">
      <w:pPr>
        <w:spacing w:line="360" w:lineRule="auto"/>
        <w:ind w:left="567" w:right="822"/>
        <w:jc w:val="both"/>
        <w:rPr>
          <w:rFonts w:ascii="Palatino Linotype" w:hAnsi="Palatino Linotype" w:cs="Tahoma"/>
          <w:sz w:val="24"/>
        </w:rPr>
      </w:pPr>
      <w:r w:rsidRPr="000377C8">
        <w:rPr>
          <w:rFonts w:ascii="Palatino Linotype" w:hAnsi="Palatino Linotype" w:cs="Tahoma"/>
          <w:b/>
          <w:sz w:val="24"/>
        </w:rPr>
        <w:t>b)</w:t>
      </w:r>
      <w:r w:rsidRPr="000377C8">
        <w:rPr>
          <w:rFonts w:ascii="Palatino Linotype" w:hAnsi="Palatino Linotype" w:cs="Tahoma"/>
          <w:sz w:val="24"/>
        </w:rPr>
        <w:t xml:space="preserve"> Las partidas presupuestales asignadas para el pago de laudos laborales, y la forma en que se ejercieron los recursos públicos de la partida específica 1522, del Presupuesto de Egresos Municipal del Sistema de Agua Potable, Alcantarillado y Saneamiento del Municipio de Ecatepec de Morelos, del ejercicio fiscal dos mil veintiuno, que incluya Pólizas de egresos o cheque, con su información comprobatoria. </w:t>
      </w:r>
    </w:p>
    <w:p w14:paraId="3D009F77" w14:textId="77777777" w:rsidR="003A57D3" w:rsidRPr="000377C8" w:rsidRDefault="003A57D3" w:rsidP="0037774E">
      <w:pPr>
        <w:spacing w:line="360" w:lineRule="auto"/>
        <w:ind w:right="49"/>
        <w:contextualSpacing/>
        <w:jc w:val="both"/>
        <w:rPr>
          <w:rFonts w:ascii="Palatino Linotype" w:eastAsiaTheme="minorEastAsia" w:hAnsi="Palatino Linotype"/>
          <w:sz w:val="24"/>
          <w:szCs w:val="24"/>
          <w:lang w:val="es-ES_tradnl"/>
        </w:rPr>
      </w:pPr>
    </w:p>
    <w:p w14:paraId="4992CC7D" w14:textId="5CBC406E" w:rsidR="00140554" w:rsidRPr="000377C8" w:rsidRDefault="00140554" w:rsidP="0037774E">
      <w:pPr>
        <w:numPr>
          <w:ilvl w:val="0"/>
          <w:numId w:val="30"/>
        </w:numPr>
        <w:spacing w:line="360" w:lineRule="auto"/>
        <w:ind w:left="0" w:right="49" w:firstLine="0"/>
        <w:contextualSpacing/>
        <w:jc w:val="both"/>
        <w:rPr>
          <w:rFonts w:ascii="Palatino Linotype" w:eastAsiaTheme="minorEastAsia" w:hAnsi="Palatino Linotype"/>
          <w:sz w:val="24"/>
          <w:szCs w:val="24"/>
          <w:lang w:val="es-ES_tradnl"/>
        </w:rPr>
      </w:pPr>
      <w:r w:rsidRPr="000377C8">
        <w:rPr>
          <w:rFonts w:ascii="Palatino Linotype" w:eastAsia="Calibri" w:hAnsi="Palatino Linotype" w:cs="Tahoma"/>
          <w:bCs/>
          <w:sz w:val="24"/>
          <w:szCs w:val="24"/>
          <w:lang w:eastAsia="en-US"/>
        </w:rPr>
        <w:t>Por lo expuesto y fundado, este Pleno:</w:t>
      </w:r>
    </w:p>
    <w:p w14:paraId="08945254" w14:textId="77777777" w:rsidR="00451DD5" w:rsidRPr="000377C8" w:rsidRDefault="00451DD5" w:rsidP="0037774E">
      <w:pPr>
        <w:spacing w:line="360" w:lineRule="auto"/>
        <w:jc w:val="both"/>
        <w:rPr>
          <w:rFonts w:ascii="Palatino Linotype" w:eastAsia="Palatino Linotype" w:hAnsi="Palatino Linotype" w:cs="Palatino Linotype"/>
          <w:sz w:val="24"/>
          <w:szCs w:val="24"/>
        </w:rPr>
      </w:pPr>
    </w:p>
    <w:p w14:paraId="3D2723CD" w14:textId="77777777" w:rsidR="00451DD5" w:rsidRPr="000377C8" w:rsidRDefault="00451DD5" w:rsidP="0037774E">
      <w:pPr>
        <w:spacing w:line="360" w:lineRule="auto"/>
        <w:ind w:right="-91"/>
        <w:jc w:val="center"/>
        <w:rPr>
          <w:rFonts w:ascii="Palatino Linotype" w:eastAsia="Palatino Linotype" w:hAnsi="Palatino Linotype" w:cs="Palatino Linotype"/>
          <w:b/>
          <w:sz w:val="24"/>
          <w:szCs w:val="24"/>
        </w:rPr>
      </w:pPr>
      <w:r w:rsidRPr="000377C8">
        <w:rPr>
          <w:rFonts w:ascii="Palatino Linotype" w:eastAsia="Palatino Linotype" w:hAnsi="Palatino Linotype" w:cs="Palatino Linotype"/>
          <w:b/>
          <w:sz w:val="24"/>
          <w:szCs w:val="24"/>
        </w:rPr>
        <w:t>RESUELVE:</w:t>
      </w:r>
    </w:p>
    <w:p w14:paraId="21954DA9" w14:textId="77777777" w:rsidR="00451DD5" w:rsidRPr="000377C8" w:rsidRDefault="00451DD5" w:rsidP="0037774E">
      <w:pPr>
        <w:spacing w:line="360" w:lineRule="auto"/>
        <w:ind w:right="-91"/>
        <w:jc w:val="center"/>
        <w:rPr>
          <w:rFonts w:ascii="Palatino Linotype" w:eastAsia="Palatino Linotype" w:hAnsi="Palatino Linotype" w:cs="Palatino Linotype"/>
          <w:b/>
          <w:sz w:val="24"/>
          <w:szCs w:val="24"/>
        </w:rPr>
      </w:pPr>
    </w:p>
    <w:p w14:paraId="7F85B6B5" w14:textId="15441A9F" w:rsidR="000C157F" w:rsidRPr="000377C8" w:rsidRDefault="000C157F" w:rsidP="0037774E">
      <w:pPr>
        <w:spacing w:line="360" w:lineRule="auto"/>
        <w:ind w:right="48"/>
        <w:jc w:val="both"/>
        <w:rPr>
          <w:rFonts w:ascii="Palatino Linotype" w:hAnsi="Palatino Linotype" w:cs="Arial"/>
          <w:bCs/>
          <w:sz w:val="24"/>
        </w:rPr>
      </w:pPr>
      <w:r w:rsidRPr="000377C8">
        <w:rPr>
          <w:rFonts w:ascii="Palatino Linotype" w:hAnsi="Palatino Linotype" w:cs="Arial"/>
          <w:b/>
          <w:sz w:val="24"/>
        </w:rPr>
        <w:t xml:space="preserve">PRIMERO. </w:t>
      </w:r>
      <w:r w:rsidRPr="000377C8">
        <w:rPr>
          <w:rFonts w:ascii="Palatino Linotype" w:hAnsi="Palatino Linotype" w:cs="Arial"/>
          <w:sz w:val="24"/>
        </w:rPr>
        <w:t>Resultan fundadas las</w:t>
      </w:r>
      <w:r w:rsidRPr="000377C8">
        <w:rPr>
          <w:rFonts w:ascii="Palatino Linotype" w:hAnsi="Palatino Linotype" w:cs="Arial"/>
          <w:b/>
          <w:sz w:val="24"/>
        </w:rPr>
        <w:t xml:space="preserve"> </w:t>
      </w:r>
      <w:r w:rsidRPr="000377C8">
        <w:rPr>
          <w:rFonts w:ascii="Palatino Linotype" w:hAnsi="Palatino Linotype" w:cs="Arial"/>
          <w:sz w:val="24"/>
          <w:lang w:val="es-ES"/>
        </w:rPr>
        <w:t xml:space="preserve">razones o motivos de inconformidad hechos valer </w:t>
      </w:r>
      <w:r w:rsidRPr="000377C8">
        <w:rPr>
          <w:rFonts w:ascii="Palatino Linotype" w:eastAsia="Calibri" w:hAnsi="Palatino Linotype" w:cs="Arial"/>
          <w:sz w:val="24"/>
          <w:lang w:val="es-ES"/>
        </w:rPr>
        <w:t xml:space="preserve">en el recurso de revisión </w:t>
      </w:r>
      <w:r w:rsidR="003E2FB1" w:rsidRPr="000377C8">
        <w:rPr>
          <w:rFonts w:ascii="Palatino Linotype" w:hAnsi="Palatino Linotype" w:cs="Arial"/>
          <w:b/>
          <w:bCs/>
          <w:sz w:val="24"/>
        </w:rPr>
        <w:t>03488</w:t>
      </w:r>
      <w:r w:rsidRPr="000377C8">
        <w:rPr>
          <w:rFonts w:ascii="Palatino Linotype" w:hAnsi="Palatino Linotype" w:cs="Arial"/>
          <w:b/>
          <w:bCs/>
          <w:sz w:val="24"/>
        </w:rPr>
        <w:t xml:space="preserve">/INFOEM/IP/RR/2021, </w:t>
      </w:r>
      <w:r w:rsidRPr="000377C8">
        <w:rPr>
          <w:rFonts w:ascii="Palatino Linotype" w:hAnsi="Palatino Linotype" w:cs="Arial"/>
          <w:bCs/>
          <w:sz w:val="24"/>
        </w:rPr>
        <w:t xml:space="preserve">en términos del </w:t>
      </w:r>
      <w:r w:rsidRPr="000377C8">
        <w:rPr>
          <w:rFonts w:ascii="Palatino Linotype" w:hAnsi="Palatino Linotype" w:cs="Arial"/>
          <w:b/>
          <w:bCs/>
          <w:sz w:val="24"/>
        </w:rPr>
        <w:t>Considerando</w:t>
      </w:r>
      <w:r w:rsidRPr="000377C8">
        <w:rPr>
          <w:rFonts w:ascii="Palatino Linotype" w:hAnsi="Palatino Linotype" w:cs="Arial"/>
          <w:bCs/>
          <w:sz w:val="24"/>
        </w:rPr>
        <w:t xml:space="preserve"> </w:t>
      </w:r>
      <w:r w:rsidRPr="000377C8">
        <w:rPr>
          <w:rFonts w:ascii="Palatino Linotype" w:hAnsi="Palatino Linotype" w:cs="Arial"/>
          <w:b/>
          <w:bCs/>
          <w:sz w:val="24"/>
        </w:rPr>
        <w:t xml:space="preserve">CUARTO   </w:t>
      </w:r>
      <w:r w:rsidRPr="000377C8">
        <w:rPr>
          <w:rFonts w:ascii="Palatino Linotype" w:hAnsi="Palatino Linotype" w:cs="Arial"/>
          <w:bCs/>
          <w:sz w:val="24"/>
        </w:rPr>
        <w:t>de la presente resolución.</w:t>
      </w:r>
    </w:p>
    <w:p w14:paraId="47BF363D" w14:textId="77777777" w:rsidR="000C157F" w:rsidRPr="000377C8" w:rsidRDefault="000C157F" w:rsidP="0037774E">
      <w:pPr>
        <w:spacing w:line="360" w:lineRule="auto"/>
        <w:ind w:right="48"/>
        <w:jc w:val="both"/>
        <w:rPr>
          <w:rFonts w:ascii="Palatino Linotype" w:hAnsi="Palatino Linotype" w:cs="Arial"/>
          <w:bCs/>
          <w:sz w:val="24"/>
        </w:rPr>
      </w:pPr>
    </w:p>
    <w:p w14:paraId="0D909F00" w14:textId="6994480E" w:rsidR="000C157F" w:rsidRPr="000377C8" w:rsidRDefault="000C157F" w:rsidP="0037774E">
      <w:pPr>
        <w:spacing w:line="360" w:lineRule="auto"/>
        <w:ind w:right="48"/>
        <w:jc w:val="both"/>
        <w:rPr>
          <w:rFonts w:ascii="Palatino Linotype" w:hAnsi="Palatino Linotype" w:cs="Arial"/>
          <w:bCs/>
          <w:sz w:val="24"/>
        </w:rPr>
      </w:pPr>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0377C8">
        <w:rPr>
          <w:rFonts w:ascii="Palatino Linotype" w:hAnsi="Palatino Linotype"/>
          <w:b/>
          <w:sz w:val="24"/>
        </w:rPr>
        <w:t>SEGUNDO.</w:t>
      </w:r>
      <w:r w:rsidRPr="000377C8">
        <w:rPr>
          <w:rStyle w:val="Ttulo2Car"/>
          <w:rFonts w:ascii="Palatino Linotype" w:hAnsi="Palatino Linotype"/>
          <w:sz w:val="36"/>
        </w:rPr>
        <w:t xml:space="preserve"> </w:t>
      </w:r>
      <w:bookmarkEnd w:id="29"/>
      <w:bookmarkEnd w:id="30"/>
      <w:bookmarkEnd w:id="31"/>
      <w:bookmarkEnd w:id="32"/>
      <w:bookmarkEnd w:id="33"/>
      <w:bookmarkEnd w:id="34"/>
      <w:bookmarkEnd w:id="35"/>
      <w:r w:rsidRPr="000377C8">
        <w:rPr>
          <w:rFonts w:ascii="Palatino Linotype" w:eastAsia="Calibri" w:hAnsi="Palatino Linotype" w:cs="Arial"/>
          <w:sz w:val="24"/>
          <w:lang w:val="es-ES"/>
        </w:rPr>
        <w:t>Se</w:t>
      </w:r>
      <w:r w:rsidR="000B50CD" w:rsidRPr="000377C8">
        <w:rPr>
          <w:rFonts w:ascii="Palatino Linotype" w:eastAsia="Calibri" w:hAnsi="Palatino Linotype" w:cs="Arial"/>
          <w:b/>
          <w:sz w:val="24"/>
          <w:lang w:val="es-ES"/>
        </w:rPr>
        <w:t xml:space="preserve"> REVOCA</w:t>
      </w:r>
      <w:r w:rsidRPr="000377C8">
        <w:rPr>
          <w:rFonts w:ascii="Palatino Linotype" w:eastAsia="Calibri" w:hAnsi="Palatino Linotype" w:cs="Arial"/>
          <w:b/>
          <w:sz w:val="24"/>
          <w:lang w:val="es-ES"/>
        </w:rPr>
        <w:t xml:space="preserve"> </w:t>
      </w:r>
      <w:r w:rsidR="003E2FB1" w:rsidRPr="000377C8">
        <w:rPr>
          <w:rFonts w:ascii="Palatino Linotype" w:eastAsia="Calibri" w:hAnsi="Palatino Linotype" w:cs="Arial"/>
          <w:sz w:val="24"/>
          <w:lang w:val="es-ES"/>
        </w:rPr>
        <w:t>la respuesta emitida por el</w:t>
      </w:r>
      <w:r w:rsidRPr="000377C8">
        <w:rPr>
          <w:rFonts w:ascii="Palatino Linotype" w:eastAsia="Calibri" w:hAnsi="Palatino Linotype" w:cs="Arial"/>
          <w:sz w:val="24"/>
          <w:lang w:val="es-ES"/>
        </w:rPr>
        <w:t xml:space="preserve"> </w:t>
      </w:r>
      <w:r w:rsidR="003E2FB1" w:rsidRPr="000377C8">
        <w:rPr>
          <w:rFonts w:ascii="Palatino Linotype" w:eastAsia="Calibri" w:hAnsi="Palatino Linotype" w:cs="Tahoma"/>
          <w:b/>
          <w:sz w:val="24"/>
          <w:szCs w:val="22"/>
          <w:lang w:eastAsia="en-US"/>
        </w:rPr>
        <w:t>Sistema de Agua Potable Alcantarillado y Saneamiento de Ecatepec de Morelos</w:t>
      </w:r>
      <w:r w:rsidR="003E2FB1" w:rsidRPr="000377C8">
        <w:rPr>
          <w:rFonts w:ascii="Palatino Linotype" w:eastAsia="Calibri" w:hAnsi="Palatino Linotype" w:cs="Arial"/>
          <w:sz w:val="24"/>
          <w:lang w:val="es-ES"/>
        </w:rPr>
        <w:t xml:space="preserve"> </w:t>
      </w:r>
      <w:r w:rsidRPr="000377C8">
        <w:rPr>
          <w:rFonts w:ascii="Palatino Linotype" w:eastAsia="Calibri" w:hAnsi="Palatino Linotype" w:cs="Arial"/>
          <w:sz w:val="24"/>
          <w:lang w:val="es-ES"/>
        </w:rPr>
        <w:t>y se</w:t>
      </w:r>
      <w:r w:rsidRPr="000377C8">
        <w:rPr>
          <w:rFonts w:ascii="Palatino Linotype" w:eastAsia="Calibri" w:hAnsi="Palatino Linotype" w:cs="Arial"/>
          <w:b/>
          <w:sz w:val="24"/>
          <w:lang w:val="es-ES"/>
        </w:rPr>
        <w:t xml:space="preserve"> ORDENA </w:t>
      </w:r>
      <w:r w:rsidRPr="000377C8">
        <w:rPr>
          <w:rFonts w:ascii="Palatino Linotype" w:hAnsi="Palatino Linotype" w:cs="Arial"/>
          <w:sz w:val="24"/>
          <w:lang w:val="es-ES"/>
        </w:rPr>
        <w:t>entregar vía Sistema de Accesos a la Información Mexiquense (SAIMEX)</w:t>
      </w:r>
      <w:r w:rsidR="0039612C" w:rsidRPr="000377C8">
        <w:rPr>
          <w:rFonts w:ascii="Palatino Linotype" w:hAnsi="Palatino Linotype" w:cs="Arial"/>
          <w:sz w:val="24"/>
          <w:lang w:val="es-ES"/>
        </w:rPr>
        <w:t xml:space="preserve"> y correo electrónico</w:t>
      </w:r>
      <w:r w:rsidRPr="000377C8">
        <w:rPr>
          <w:rFonts w:ascii="Palatino Linotype" w:hAnsi="Palatino Linotype" w:cs="Arial"/>
          <w:sz w:val="24"/>
          <w:lang w:val="es-ES"/>
        </w:rPr>
        <w:t xml:space="preserve">, de ser procedente en versión pública, la siguiente </w:t>
      </w:r>
      <w:r w:rsidRPr="000377C8">
        <w:rPr>
          <w:rFonts w:ascii="Palatino Linotype" w:hAnsi="Palatino Linotype" w:cs="Arial"/>
          <w:bCs/>
          <w:sz w:val="24"/>
        </w:rPr>
        <w:t>información:</w:t>
      </w:r>
    </w:p>
    <w:p w14:paraId="1D48E706" w14:textId="77777777" w:rsidR="005273E9" w:rsidRPr="000377C8" w:rsidRDefault="005273E9" w:rsidP="0037774E">
      <w:pPr>
        <w:spacing w:line="360" w:lineRule="auto"/>
        <w:jc w:val="both"/>
        <w:rPr>
          <w:rFonts w:ascii="Palatino Linotype" w:hAnsi="Palatino Linotype" w:cs="Tahoma"/>
          <w:sz w:val="24"/>
          <w:szCs w:val="24"/>
          <w:lang w:val="es-ES"/>
        </w:rPr>
      </w:pPr>
    </w:p>
    <w:p w14:paraId="63758E16" w14:textId="6B3508F7" w:rsidR="005273E9" w:rsidRPr="000377C8" w:rsidRDefault="00FC4576" w:rsidP="0037774E">
      <w:pPr>
        <w:pStyle w:val="Prrafodelista"/>
        <w:spacing w:line="360" w:lineRule="auto"/>
        <w:ind w:left="567" w:right="822"/>
        <w:jc w:val="both"/>
        <w:rPr>
          <w:rFonts w:ascii="Palatino Linotype" w:hAnsi="Palatino Linotype" w:cs="Tahoma"/>
          <w:sz w:val="24"/>
        </w:rPr>
      </w:pPr>
      <w:r w:rsidRPr="000377C8">
        <w:rPr>
          <w:rFonts w:ascii="Palatino Linotype" w:hAnsi="Palatino Linotype" w:cs="Tahoma"/>
          <w:b/>
          <w:sz w:val="24"/>
        </w:rPr>
        <w:lastRenderedPageBreak/>
        <w:t>a</w:t>
      </w:r>
      <w:r w:rsidR="00E77AA0" w:rsidRPr="000377C8">
        <w:rPr>
          <w:rFonts w:ascii="Palatino Linotype" w:hAnsi="Palatino Linotype" w:cs="Tahoma"/>
          <w:b/>
          <w:sz w:val="24"/>
        </w:rPr>
        <w:t>)</w:t>
      </w:r>
      <w:r w:rsidR="00E77AA0" w:rsidRPr="000377C8">
        <w:rPr>
          <w:rFonts w:ascii="Palatino Linotype" w:hAnsi="Palatino Linotype" w:cs="Tahoma"/>
          <w:sz w:val="24"/>
        </w:rPr>
        <w:t xml:space="preserve"> </w:t>
      </w:r>
      <w:r w:rsidR="005273E9" w:rsidRPr="000377C8">
        <w:rPr>
          <w:rFonts w:ascii="Palatino Linotype" w:hAnsi="Palatino Linotype" w:cs="Tahoma"/>
          <w:sz w:val="24"/>
        </w:rPr>
        <w:t xml:space="preserve">El número de cuenta, la </w:t>
      </w:r>
      <w:r w:rsidR="006A5740" w:rsidRPr="000377C8">
        <w:rPr>
          <w:rFonts w:ascii="Palatino Linotype" w:hAnsi="Palatino Linotype" w:cs="Tahoma"/>
          <w:sz w:val="24"/>
        </w:rPr>
        <w:t>clab</w:t>
      </w:r>
      <w:r w:rsidR="00B608E5" w:rsidRPr="000377C8">
        <w:rPr>
          <w:rFonts w:ascii="Palatino Linotype" w:hAnsi="Palatino Linotype" w:cs="Tahoma"/>
          <w:sz w:val="24"/>
        </w:rPr>
        <w:t>e</w:t>
      </w:r>
      <w:r w:rsidR="005273E9" w:rsidRPr="000377C8">
        <w:rPr>
          <w:rFonts w:ascii="Palatino Linotype" w:hAnsi="Palatino Linotype" w:cs="Tahoma"/>
          <w:sz w:val="24"/>
        </w:rPr>
        <w:t xml:space="preserve"> interbancaria y el nombre de la institución financiera de las cuentas bancarias, </w:t>
      </w:r>
      <w:r w:rsidR="00033AB6" w:rsidRPr="000377C8">
        <w:rPr>
          <w:rFonts w:ascii="Palatino Linotype" w:hAnsi="Palatino Linotype" w:cs="Tahoma"/>
          <w:sz w:val="24"/>
        </w:rPr>
        <w:t xml:space="preserve">concentradoras para el pago de laudos, </w:t>
      </w:r>
      <w:r w:rsidR="005273E9" w:rsidRPr="000377C8">
        <w:rPr>
          <w:rFonts w:ascii="Palatino Linotype" w:hAnsi="Palatino Linotype" w:cs="Tahoma"/>
          <w:sz w:val="24"/>
        </w:rPr>
        <w:t>con las que contaba el Sujeto Obligado, al siet</w:t>
      </w:r>
      <w:r w:rsidR="004445E2" w:rsidRPr="000377C8">
        <w:rPr>
          <w:rFonts w:ascii="Palatino Linotype" w:hAnsi="Palatino Linotype" w:cs="Tahoma"/>
          <w:sz w:val="24"/>
        </w:rPr>
        <w:t>e de junio de dos mil veintiuno;</w:t>
      </w:r>
    </w:p>
    <w:p w14:paraId="347D8941" w14:textId="77777777" w:rsidR="005273E9" w:rsidRPr="000377C8" w:rsidRDefault="005273E9" w:rsidP="0037774E">
      <w:pPr>
        <w:pStyle w:val="Prrafodelista"/>
        <w:spacing w:line="360" w:lineRule="auto"/>
        <w:ind w:left="567" w:right="822"/>
        <w:jc w:val="both"/>
        <w:rPr>
          <w:rFonts w:ascii="Palatino Linotype" w:hAnsi="Palatino Linotype" w:cs="Tahoma"/>
          <w:sz w:val="24"/>
        </w:rPr>
      </w:pPr>
    </w:p>
    <w:p w14:paraId="29CCA314" w14:textId="79E6DA7B" w:rsidR="003542E2" w:rsidRPr="000377C8" w:rsidRDefault="00FC4576" w:rsidP="0037774E">
      <w:pPr>
        <w:spacing w:line="360" w:lineRule="auto"/>
        <w:ind w:left="567" w:right="822"/>
        <w:jc w:val="both"/>
        <w:rPr>
          <w:rFonts w:ascii="Palatino Linotype" w:hAnsi="Palatino Linotype" w:cs="Tahoma"/>
          <w:sz w:val="24"/>
        </w:rPr>
      </w:pPr>
      <w:r w:rsidRPr="000377C8">
        <w:rPr>
          <w:rFonts w:ascii="Palatino Linotype" w:hAnsi="Palatino Linotype" w:cs="Tahoma"/>
          <w:b/>
          <w:sz w:val="24"/>
        </w:rPr>
        <w:t>b</w:t>
      </w:r>
      <w:r w:rsidR="00E77AA0" w:rsidRPr="000377C8">
        <w:rPr>
          <w:rFonts w:ascii="Palatino Linotype" w:hAnsi="Palatino Linotype" w:cs="Tahoma"/>
          <w:b/>
          <w:sz w:val="24"/>
        </w:rPr>
        <w:t>)</w:t>
      </w:r>
      <w:r w:rsidR="00E77AA0" w:rsidRPr="000377C8">
        <w:rPr>
          <w:rFonts w:ascii="Palatino Linotype" w:hAnsi="Palatino Linotype" w:cs="Tahoma"/>
          <w:sz w:val="24"/>
        </w:rPr>
        <w:t xml:space="preserve"> Las partidas presupuestales asignadas para el pago de laudos laborales,</w:t>
      </w:r>
      <w:r w:rsidR="003542E2" w:rsidRPr="000377C8">
        <w:rPr>
          <w:rFonts w:ascii="Palatino Linotype" w:hAnsi="Palatino Linotype" w:cs="Tahoma"/>
          <w:sz w:val="24"/>
        </w:rPr>
        <w:t xml:space="preserve"> y la forma en que se ejercieron los recursos públicos de la partida específica 1522, del Presupuesto de Egresos Municipal del Sistema de Agua Potable, Alcantarillado y Saneamiento del Municipio d</w:t>
      </w:r>
      <w:r w:rsidR="0078124C" w:rsidRPr="000377C8">
        <w:rPr>
          <w:rFonts w:ascii="Palatino Linotype" w:hAnsi="Palatino Linotype" w:cs="Tahoma"/>
          <w:sz w:val="24"/>
        </w:rPr>
        <w:t>e</w:t>
      </w:r>
      <w:r w:rsidR="003542E2" w:rsidRPr="000377C8">
        <w:rPr>
          <w:rFonts w:ascii="Palatino Linotype" w:hAnsi="Palatino Linotype" w:cs="Tahoma"/>
          <w:sz w:val="24"/>
        </w:rPr>
        <w:t xml:space="preserve"> Ecatepec de Morelos, del ejercicio fiscal </w:t>
      </w:r>
      <w:r w:rsidR="0039612C" w:rsidRPr="000377C8">
        <w:rPr>
          <w:rFonts w:ascii="Palatino Linotype" w:hAnsi="Palatino Linotype" w:cs="Tahoma"/>
          <w:sz w:val="24"/>
        </w:rPr>
        <w:t>dos mil veintiuno</w:t>
      </w:r>
      <w:r w:rsidR="003542E2" w:rsidRPr="000377C8">
        <w:rPr>
          <w:rFonts w:ascii="Palatino Linotype" w:hAnsi="Palatino Linotype" w:cs="Tahoma"/>
          <w:sz w:val="24"/>
        </w:rPr>
        <w:t>, c</w:t>
      </w:r>
      <w:r w:rsidR="004445E2" w:rsidRPr="000377C8">
        <w:rPr>
          <w:rFonts w:ascii="Palatino Linotype" w:hAnsi="Palatino Linotype" w:cs="Tahoma"/>
          <w:sz w:val="24"/>
        </w:rPr>
        <w:t>on su información comprobatoria</w:t>
      </w:r>
      <w:r w:rsidR="003542E2" w:rsidRPr="000377C8">
        <w:rPr>
          <w:rFonts w:ascii="Palatino Linotype" w:hAnsi="Palatino Linotype" w:cs="Tahoma"/>
          <w:sz w:val="24"/>
        </w:rPr>
        <w:t xml:space="preserve">. </w:t>
      </w:r>
    </w:p>
    <w:p w14:paraId="5B1B24BB" w14:textId="77777777" w:rsidR="005273E9" w:rsidRPr="000377C8" w:rsidRDefault="005273E9" w:rsidP="0037774E">
      <w:pPr>
        <w:pStyle w:val="Prrafodelista"/>
        <w:spacing w:line="360" w:lineRule="auto"/>
        <w:ind w:left="567"/>
        <w:jc w:val="both"/>
        <w:rPr>
          <w:rFonts w:ascii="Palatino Linotype" w:hAnsi="Palatino Linotype" w:cs="Tahoma"/>
          <w:sz w:val="24"/>
        </w:rPr>
      </w:pPr>
    </w:p>
    <w:p w14:paraId="3E2DBFAB" w14:textId="77777777" w:rsidR="00D2285A" w:rsidRPr="000377C8" w:rsidRDefault="00D2285A" w:rsidP="0037774E">
      <w:pPr>
        <w:spacing w:line="360" w:lineRule="auto"/>
        <w:jc w:val="both"/>
        <w:rPr>
          <w:rFonts w:ascii="Palatino Linotype" w:eastAsia="Calibri" w:hAnsi="Palatino Linotype" w:cs="Arial"/>
          <w:sz w:val="24"/>
        </w:rPr>
      </w:pPr>
      <w:r w:rsidRPr="000377C8">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0224B85A" w14:textId="77777777" w:rsidR="005273E9" w:rsidRPr="000377C8" w:rsidRDefault="005273E9" w:rsidP="0037774E">
      <w:pPr>
        <w:spacing w:line="360" w:lineRule="auto"/>
        <w:jc w:val="both"/>
        <w:rPr>
          <w:rFonts w:ascii="Palatino Linotype" w:hAnsi="Palatino Linotype" w:cs="Tahoma"/>
          <w:sz w:val="24"/>
          <w:szCs w:val="24"/>
        </w:rPr>
      </w:pPr>
    </w:p>
    <w:p w14:paraId="55438E98" w14:textId="77777777" w:rsidR="000C157F" w:rsidRPr="000377C8" w:rsidRDefault="000C157F" w:rsidP="0037774E">
      <w:pPr>
        <w:tabs>
          <w:tab w:val="left" w:pos="8080"/>
        </w:tabs>
        <w:spacing w:line="360" w:lineRule="auto"/>
        <w:ind w:right="48"/>
        <w:contextualSpacing/>
        <w:jc w:val="both"/>
        <w:rPr>
          <w:rFonts w:ascii="Palatino Linotype" w:eastAsia="Palatino Linotype" w:hAnsi="Palatino Linotype" w:cs="Palatino Linotype"/>
          <w:b/>
          <w:sz w:val="24"/>
        </w:rPr>
      </w:pPr>
      <w:r w:rsidRPr="000377C8">
        <w:rPr>
          <w:rFonts w:ascii="Palatino Linotype" w:eastAsia="Palatino Linotype" w:hAnsi="Palatino Linotype" w:cs="Palatino Linotype"/>
          <w:b/>
          <w:sz w:val="24"/>
        </w:rPr>
        <w:t xml:space="preserve">TERCERO. Notifíquese </w:t>
      </w:r>
      <w:r w:rsidRPr="000377C8">
        <w:rPr>
          <w:rFonts w:ascii="Palatino Linotype" w:eastAsia="Palatino Linotype" w:hAnsi="Palatino Linotype" w:cs="Palatino Linotype"/>
          <w:sz w:val="24"/>
        </w:rPr>
        <w:t xml:space="preserve">al Titular de la Unidad de Transparencia del </w:t>
      </w:r>
      <w:r w:rsidRPr="000377C8">
        <w:rPr>
          <w:rFonts w:ascii="Palatino Linotype" w:eastAsia="Palatino Linotype" w:hAnsi="Palatino Linotype" w:cs="Palatino Linotype"/>
          <w:b/>
          <w:sz w:val="24"/>
        </w:rPr>
        <w:t>SUJETO OBLIGADO</w:t>
      </w:r>
      <w:r w:rsidRPr="000377C8">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0377C8">
        <w:rPr>
          <w:rFonts w:ascii="Palatino Linotype" w:hAnsi="Palatino Linotype"/>
          <w:color w:val="222222"/>
          <w:sz w:val="24"/>
          <w:shd w:val="clear" w:color="auto" w:fill="FFFFFF"/>
        </w:rPr>
        <w:t xml:space="preserve">vigente, dé cumplimiento a lo ordenado dentro del </w:t>
      </w:r>
      <w:r w:rsidRPr="000377C8">
        <w:rPr>
          <w:rFonts w:ascii="Palatino Linotype" w:hAnsi="Palatino Linotype"/>
          <w:color w:val="222222"/>
          <w:sz w:val="24"/>
          <w:shd w:val="clear" w:color="auto" w:fill="FFFFFF"/>
        </w:rPr>
        <w:lastRenderedPageBreak/>
        <w:t>plazo de diez días hábiles, debiendo rendir a este Instituto el informe de cumplimiento de la resolución en un plazo de tres días hábiles posteriores.</w:t>
      </w:r>
    </w:p>
    <w:p w14:paraId="1BC23EA1" w14:textId="77777777" w:rsidR="000C157F" w:rsidRPr="000377C8" w:rsidRDefault="000C157F" w:rsidP="0037774E">
      <w:pPr>
        <w:shd w:val="clear" w:color="auto" w:fill="FFFFFF"/>
        <w:tabs>
          <w:tab w:val="left" w:pos="4020"/>
        </w:tabs>
        <w:spacing w:line="360" w:lineRule="auto"/>
        <w:ind w:right="48"/>
        <w:jc w:val="both"/>
        <w:rPr>
          <w:rFonts w:ascii="Palatino Linotype" w:hAnsi="Palatino Linotype" w:cs="Arial"/>
          <w:b/>
          <w:sz w:val="24"/>
        </w:rPr>
      </w:pPr>
      <w:r w:rsidRPr="000377C8">
        <w:rPr>
          <w:rFonts w:ascii="Palatino Linotype" w:hAnsi="Palatino Linotype" w:cs="Arial"/>
          <w:b/>
          <w:sz w:val="24"/>
        </w:rPr>
        <w:tab/>
      </w:r>
    </w:p>
    <w:p w14:paraId="05E95F10" w14:textId="77777777" w:rsidR="000C157F" w:rsidRPr="000377C8" w:rsidRDefault="000C157F" w:rsidP="0037774E">
      <w:pPr>
        <w:shd w:val="clear" w:color="auto" w:fill="FFFFFF"/>
        <w:spacing w:line="360" w:lineRule="auto"/>
        <w:ind w:right="48"/>
        <w:jc w:val="both"/>
        <w:rPr>
          <w:rFonts w:ascii="Palatino Linotype" w:hAnsi="Palatino Linotype"/>
          <w:sz w:val="24"/>
        </w:rPr>
      </w:pPr>
      <w:r w:rsidRPr="000377C8">
        <w:rPr>
          <w:rFonts w:ascii="Palatino Linotype" w:hAnsi="Palatino Linotype" w:cs="Arial"/>
          <w:b/>
          <w:sz w:val="24"/>
        </w:rPr>
        <w:t xml:space="preserve">CUARTO. </w:t>
      </w:r>
      <w:r w:rsidRPr="000377C8">
        <w:rPr>
          <w:rFonts w:ascii="Palatino Linotype" w:hAnsi="Palatino Linotype"/>
          <w:b/>
          <w:bCs/>
          <w:sz w:val="24"/>
          <w:lang w:val="es-ES"/>
        </w:rPr>
        <w:t>Notifíquese al RECURRENTE</w:t>
      </w:r>
      <w:r w:rsidRPr="000377C8">
        <w:rPr>
          <w:rFonts w:ascii="Palatino Linotype" w:hAnsi="Palatino Linotype"/>
          <w:sz w:val="24"/>
        </w:rPr>
        <w:t xml:space="preserve"> la presente resolución.</w:t>
      </w:r>
    </w:p>
    <w:p w14:paraId="64F0A19B" w14:textId="77777777" w:rsidR="000C157F" w:rsidRPr="000377C8" w:rsidRDefault="000C157F" w:rsidP="0037774E">
      <w:pPr>
        <w:shd w:val="clear" w:color="auto" w:fill="FFFFFF"/>
        <w:spacing w:line="360" w:lineRule="auto"/>
        <w:ind w:right="48"/>
        <w:jc w:val="both"/>
        <w:rPr>
          <w:rFonts w:ascii="Palatino Linotype" w:hAnsi="Palatino Linotype"/>
          <w:b/>
          <w:color w:val="FF0000"/>
          <w:sz w:val="24"/>
        </w:rPr>
      </w:pPr>
    </w:p>
    <w:p w14:paraId="7E74AB5E" w14:textId="77777777" w:rsidR="000C157F" w:rsidRPr="000377C8" w:rsidRDefault="000C157F" w:rsidP="0037774E">
      <w:pPr>
        <w:spacing w:line="360" w:lineRule="auto"/>
        <w:ind w:right="48"/>
        <w:jc w:val="both"/>
        <w:rPr>
          <w:rFonts w:ascii="Palatino Linotype" w:eastAsia="MS Mincho" w:hAnsi="Palatino Linotype"/>
          <w:sz w:val="24"/>
          <w:lang w:val="es-ES"/>
        </w:rPr>
      </w:pPr>
      <w:r w:rsidRPr="000377C8">
        <w:rPr>
          <w:rFonts w:ascii="Palatino Linotype" w:eastAsia="MS Mincho" w:hAnsi="Palatino Linotype"/>
          <w:b/>
          <w:sz w:val="24"/>
        </w:rPr>
        <w:t>QUINTO.</w:t>
      </w:r>
      <w:r w:rsidRPr="000377C8">
        <w:rPr>
          <w:rFonts w:ascii="Palatino Linotype" w:eastAsia="MS Mincho" w:hAnsi="Palatino Linotype"/>
          <w:sz w:val="24"/>
        </w:rPr>
        <w:t xml:space="preserve"> </w:t>
      </w:r>
      <w:r w:rsidRPr="000377C8">
        <w:rPr>
          <w:rFonts w:ascii="Palatino Linotype" w:eastAsia="MS Mincho" w:hAnsi="Palatino Linotype"/>
          <w:sz w:val="24"/>
          <w:lang w:val="es-ES"/>
        </w:rPr>
        <w:t xml:space="preserve">Se hace del conocimiento del </w:t>
      </w:r>
      <w:r w:rsidRPr="000377C8">
        <w:rPr>
          <w:rFonts w:ascii="Palatino Linotype" w:hAnsi="Palatino Linotype"/>
          <w:b/>
          <w:sz w:val="24"/>
        </w:rPr>
        <w:t>RECURRENTE</w:t>
      </w:r>
      <w:r w:rsidRPr="000377C8">
        <w:rPr>
          <w:rFonts w:ascii="Palatino Linotype" w:hAnsi="Palatino Linotype"/>
          <w:sz w:val="24"/>
        </w:rPr>
        <w:t xml:space="preserve"> </w:t>
      </w:r>
      <w:r w:rsidRPr="000377C8">
        <w:rPr>
          <w:rFonts w:ascii="Palatino Linotype" w:eastAsia="MS Mincho" w:hAnsi="Palatino Linotype"/>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377C8">
        <w:rPr>
          <w:rFonts w:ascii="Palatino Linotype" w:eastAsia="MS Mincho" w:hAnsi="Palatino Linotype"/>
          <w:bCs/>
          <w:sz w:val="24"/>
          <w:lang w:val="es-ES"/>
        </w:rPr>
        <w:t>vía juicio de amparo</w:t>
      </w:r>
      <w:r w:rsidRPr="000377C8">
        <w:rPr>
          <w:rFonts w:ascii="Palatino Linotype" w:eastAsia="MS Mincho" w:hAnsi="Palatino Linotype"/>
          <w:sz w:val="24"/>
          <w:lang w:val="es-ES"/>
        </w:rPr>
        <w:t> en los términos de las leyes aplicables.</w:t>
      </w:r>
    </w:p>
    <w:p w14:paraId="5CDF4336" w14:textId="77777777" w:rsidR="000C157F" w:rsidRPr="000377C8" w:rsidRDefault="000C157F" w:rsidP="0037774E">
      <w:pPr>
        <w:spacing w:line="360" w:lineRule="auto"/>
        <w:ind w:right="48"/>
        <w:jc w:val="both"/>
        <w:rPr>
          <w:rFonts w:ascii="Palatino Linotype" w:hAnsi="Palatino Linotype"/>
          <w:color w:val="000000"/>
          <w:sz w:val="24"/>
          <w:shd w:val="clear" w:color="auto" w:fill="FFFFFF"/>
        </w:rPr>
      </w:pPr>
    </w:p>
    <w:p w14:paraId="7C225770" w14:textId="77777777" w:rsidR="000C157F" w:rsidRPr="000377C8" w:rsidRDefault="000C157F" w:rsidP="0037774E">
      <w:pPr>
        <w:spacing w:line="360" w:lineRule="auto"/>
        <w:ind w:right="48"/>
        <w:jc w:val="both"/>
        <w:rPr>
          <w:rFonts w:ascii="Palatino Linotype" w:eastAsia="Calibri" w:hAnsi="Palatino Linotype" w:cs="Arial"/>
          <w:bCs/>
          <w:sz w:val="24"/>
        </w:rPr>
      </w:pPr>
      <w:r w:rsidRPr="000377C8">
        <w:rPr>
          <w:rFonts w:ascii="Palatino Linotype" w:hAnsi="Palatino Linotype"/>
          <w:b/>
          <w:color w:val="000000"/>
          <w:sz w:val="24"/>
          <w:shd w:val="clear" w:color="auto" w:fill="FFFFFF"/>
        </w:rPr>
        <w:t xml:space="preserve">SEXTO. </w:t>
      </w:r>
      <w:r w:rsidRPr="000377C8">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CFFB80" w14:textId="77777777" w:rsidR="005A2436" w:rsidRPr="000377C8" w:rsidRDefault="005A2436" w:rsidP="0037774E">
      <w:pPr>
        <w:spacing w:line="360" w:lineRule="auto"/>
        <w:ind w:right="113"/>
        <w:jc w:val="both"/>
        <w:rPr>
          <w:rFonts w:ascii="Palatino Linotype" w:hAnsi="Palatino Linotype" w:cs="Arial"/>
          <w:b/>
          <w:sz w:val="32"/>
          <w:szCs w:val="24"/>
        </w:rPr>
      </w:pPr>
    </w:p>
    <w:p w14:paraId="5CB65489" w14:textId="3C4009CF" w:rsidR="005520E9" w:rsidRPr="0037774E" w:rsidRDefault="005520E9" w:rsidP="0037774E">
      <w:pPr>
        <w:spacing w:line="360" w:lineRule="auto"/>
        <w:ind w:right="-93"/>
        <w:jc w:val="both"/>
        <w:rPr>
          <w:rFonts w:ascii="Palatino Linotype" w:eastAsia="Calibri" w:hAnsi="Palatino Linotype" w:cs="Tahoma"/>
          <w:bCs/>
          <w:sz w:val="24"/>
        </w:rPr>
      </w:pPr>
      <w:r w:rsidRPr="000377C8">
        <w:rPr>
          <w:rFonts w:ascii="Palatino Linotype" w:eastAsia="Calibri" w:hAnsi="Palatino Linotype" w:cs="Tahoma"/>
          <w:bCs/>
          <w:sz w:val="24"/>
        </w:rPr>
        <w:t xml:space="preserve">ASÍ LO RESUELVEN POR </w:t>
      </w:r>
      <w:r w:rsidRPr="000377C8">
        <w:rPr>
          <w:rFonts w:ascii="Palatino Linotype" w:eastAsia="Calibri" w:hAnsi="Palatino Linotype" w:cs="Tahoma"/>
          <w:b/>
          <w:bCs/>
          <w:sz w:val="24"/>
        </w:rPr>
        <w:t>UNANIMIDAD</w:t>
      </w:r>
      <w:r w:rsidRPr="000377C8">
        <w:rPr>
          <w:rFonts w:ascii="Palatino Linotype" w:eastAsia="Calibri" w:hAnsi="Palatino Linotype" w:cs="Tahoma"/>
          <w:bCs/>
          <w:sz w:val="24"/>
        </w:rPr>
        <w:t xml:space="preserve"> DE VOTOS DE LOS PRESENTES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B954A0">
        <w:rPr>
          <w:rFonts w:ascii="Palatino Linotype" w:eastAsia="Calibri" w:hAnsi="Palatino Linotype" w:cs="Tahoma"/>
          <w:bCs/>
          <w:sz w:val="24"/>
        </w:rPr>
        <w:t xml:space="preserve">TERCERA </w:t>
      </w:r>
      <w:r w:rsidRPr="000377C8">
        <w:rPr>
          <w:rFonts w:ascii="Palatino Linotype" w:eastAsia="Calibri" w:hAnsi="Palatino Linotype" w:cs="Tahoma"/>
          <w:bCs/>
          <w:sz w:val="24"/>
        </w:rPr>
        <w:t xml:space="preserve">SESIÓN ORDINARIA, CELEBRADA EL </w:t>
      </w:r>
      <w:r w:rsidR="00B954A0">
        <w:rPr>
          <w:rFonts w:ascii="Palatino Linotype" w:eastAsia="Calibri" w:hAnsi="Palatino Linotype" w:cs="Tahoma"/>
          <w:bCs/>
          <w:sz w:val="24"/>
        </w:rPr>
        <w:t>VEINTÍDOS</w:t>
      </w:r>
      <w:r w:rsidRPr="000377C8">
        <w:rPr>
          <w:rFonts w:ascii="Palatino Linotype" w:eastAsia="Calibri" w:hAnsi="Palatino Linotype" w:cs="Tahoma"/>
          <w:bCs/>
          <w:sz w:val="24"/>
        </w:rPr>
        <w:t xml:space="preserve"> </w:t>
      </w:r>
      <w:r w:rsidRPr="000377C8">
        <w:rPr>
          <w:rFonts w:ascii="Palatino Linotype" w:eastAsia="Calibri" w:hAnsi="Palatino Linotype" w:cs="Tahoma"/>
          <w:bCs/>
          <w:sz w:val="24"/>
        </w:rPr>
        <w:lastRenderedPageBreak/>
        <w:t>DE SEPTIEMBRE DE DOS MIL VEINTIUNO, ANTE EL SECRETARIO TÉCNICO DEL PLENO, ALEXIS TAPIA RAMÍREZ.</w:t>
      </w:r>
    </w:p>
    <w:p w14:paraId="281DBCE0" w14:textId="49D676AB" w:rsidR="003D29A9" w:rsidRPr="0037774E" w:rsidRDefault="003D29A9" w:rsidP="0037774E">
      <w:pPr>
        <w:spacing w:line="360" w:lineRule="auto"/>
        <w:ind w:right="-93"/>
        <w:jc w:val="both"/>
        <w:rPr>
          <w:rFonts w:ascii="Palatino Linotype" w:eastAsia="Calibri" w:hAnsi="Palatino Linotype" w:cs="Tahoma"/>
          <w:bCs/>
          <w:sz w:val="32"/>
          <w:szCs w:val="24"/>
          <w:lang w:eastAsia="en-US"/>
        </w:rPr>
      </w:pPr>
    </w:p>
    <w:p w14:paraId="47976BA8" w14:textId="77777777" w:rsidR="007F20EA" w:rsidRPr="0037774E" w:rsidRDefault="007F20EA" w:rsidP="0037774E">
      <w:pPr>
        <w:spacing w:line="360" w:lineRule="auto"/>
        <w:ind w:right="-93"/>
        <w:jc w:val="both"/>
        <w:rPr>
          <w:rFonts w:ascii="Palatino Linotype" w:eastAsia="Calibri" w:hAnsi="Palatino Linotype" w:cs="Tahoma"/>
          <w:bCs/>
          <w:sz w:val="24"/>
          <w:szCs w:val="24"/>
          <w:lang w:eastAsia="en-US"/>
        </w:rPr>
      </w:pPr>
    </w:p>
    <w:p w14:paraId="1709DEAE" w14:textId="77777777" w:rsidR="007F20EA" w:rsidRPr="0037774E" w:rsidRDefault="007F20EA" w:rsidP="0037774E">
      <w:pPr>
        <w:spacing w:line="360" w:lineRule="auto"/>
        <w:ind w:right="-93"/>
        <w:jc w:val="both"/>
        <w:rPr>
          <w:rFonts w:ascii="Palatino Linotype" w:eastAsia="Calibri" w:hAnsi="Palatino Linotype" w:cs="Tahoma"/>
          <w:bCs/>
          <w:sz w:val="24"/>
          <w:szCs w:val="24"/>
          <w:lang w:eastAsia="en-US"/>
        </w:rPr>
      </w:pPr>
    </w:p>
    <w:p w14:paraId="0EE8E6E2" w14:textId="77777777" w:rsidR="00425342" w:rsidRPr="0037774E" w:rsidRDefault="00425342" w:rsidP="0037774E">
      <w:pPr>
        <w:spacing w:line="360" w:lineRule="auto"/>
        <w:ind w:right="-93"/>
        <w:jc w:val="both"/>
        <w:rPr>
          <w:rFonts w:ascii="Palatino Linotype" w:eastAsia="Calibri" w:hAnsi="Palatino Linotype" w:cs="Tahoma"/>
          <w:bCs/>
          <w:sz w:val="24"/>
          <w:szCs w:val="24"/>
          <w:lang w:eastAsia="en-US"/>
        </w:rPr>
      </w:pPr>
    </w:p>
    <w:p w14:paraId="17EE36F5" w14:textId="77777777" w:rsidR="00425342" w:rsidRPr="0037774E" w:rsidRDefault="00425342" w:rsidP="0037774E">
      <w:pPr>
        <w:spacing w:line="360" w:lineRule="auto"/>
        <w:ind w:right="-93"/>
        <w:jc w:val="both"/>
        <w:rPr>
          <w:rFonts w:ascii="Palatino Linotype" w:eastAsia="Calibri" w:hAnsi="Palatino Linotype" w:cs="Tahoma"/>
          <w:bCs/>
          <w:sz w:val="24"/>
          <w:szCs w:val="24"/>
          <w:lang w:eastAsia="en-US"/>
        </w:rPr>
      </w:pPr>
    </w:p>
    <w:p w14:paraId="28BF1A17" w14:textId="77777777" w:rsidR="00425342" w:rsidRPr="0037774E" w:rsidRDefault="00425342" w:rsidP="0037774E">
      <w:pPr>
        <w:spacing w:line="360" w:lineRule="auto"/>
        <w:ind w:right="-93"/>
        <w:jc w:val="both"/>
        <w:rPr>
          <w:rFonts w:ascii="Palatino Linotype" w:eastAsia="Calibri" w:hAnsi="Palatino Linotype" w:cs="Tahoma"/>
          <w:bCs/>
          <w:sz w:val="24"/>
          <w:szCs w:val="24"/>
          <w:lang w:eastAsia="en-US"/>
        </w:rPr>
      </w:pPr>
    </w:p>
    <w:p w14:paraId="4658A9F7" w14:textId="77777777" w:rsidR="00425342" w:rsidRDefault="00425342" w:rsidP="0037774E">
      <w:pPr>
        <w:spacing w:line="360" w:lineRule="auto"/>
        <w:ind w:right="-93"/>
        <w:jc w:val="both"/>
        <w:rPr>
          <w:rFonts w:ascii="Palatino Linotype" w:eastAsia="Calibri" w:hAnsi="Palatino Linotype" w:cs="Tahoma"/>
          <w:bCs/>
          <w:sz w:val="24"/>
          <w:szCs w:val="24"/>
          <w:lang w:eastAsia="en-US"/>
        </w:rPr>
      </w:pPr>
    </w:p>
    <w:p w14:paraId="7CD9C93C"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4A0A0B9E"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7E6C79F2"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228F390B"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6B8C25D9"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7A94E147"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3C934CEA"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79FA8B0A"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1BB4FD44"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0964CC49"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7AFDB0EE"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7179A54D"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62C76B23"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17661AC6"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431DD77A" w14:textId="77777777" w:rsidR="000377C8" w:rsidRDefault="000377C8" w:rsidP="0037774E">
      <w:pPr>
        <w:spacing w:line="360" w:lineRule="auto"/>
        <w:ind w:right="-93"/>
        <w:jc w:val="both"/>
        <w:rPr>
          <w:rFonts w:ascii="Palatino Linotype" w:eastAsia="Calibri" w:hAnsi="Palatino Linotype" w:cs="Tahoma"/>
          <w:bCs/>
          <w:sz w:val="24"/>
          <w:szCs w:val="24"/>
          <w:lang w:eastAsia="en-US"/>
        </w:rPr>
      </w:pPr>
    </w:p>
    <w:p w14:paraId="6AE029FA" w14:textId="77777777" w:rsidR="000377C8" w:rsidRPr="0037774E" w:rsidRDefault="000377C8" w:rsidP="0037774E">
      <w:pPr>
        <w:spacing w:line="360" w:lineRule="auto"/>
        <w:ind w:right="-93"/>
        <w:jc w:val="both"/>
        <w:rPr>
          <w:rFonts w:ascii="Palatino Linotype" w:eastAsia="Calibri" w:hAnsi="Palatino Linotype" w:cs="Tahoma"/>
          <w:bCs/>
          <w:sz w:val="24"/>
          <w:szCs w:val="24"/>
          <w:lang w:eastAsia="en-US"/>
        </w:rPr>
      </w:pPr>
    </w:p>
    <w:sectPr w:rsidR="000377C8" w:rsidRPr="0037774E">
      <w:headerReference w:type="even" r:id="rId16"/>
      <w:headerReference w:type="default" r:id="rId17"/>
      <w:footerReference w:type="default" r:id="rId18"/>
      <w:headerReference w:type="first" r:id="rId19"/>
      <w:footerReference w:type="first" r:id="rId20"/>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1FAE9" w14:textId="77777777" w:rsidR="0097201D" w:rsidRDefault="0097201D">
      <w:r>
        <w:separator/>
      </w:r>
    </w:p>
  </w:endnote>
  <w:endnote w:type="continuationSeparator" w:id="0">
    <w:p w14:paraId="6A53A9A1" w14:textId="77777777" w:rsidR="0097201D" w:rsidRDefault="00972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0131FB8B" w14:textId="77777777" w:rsidR="00A64C73" w:rsidRDefault="00A64C73">
            <w:pPr>
              <w:pStyle w:val="Piedepgina"/>
              <w:jc w:val="right"/>
            </w:pPr>
          </w:p>
          <w:p w14:paraId="758BAB0E" w14:textId="21B48590" w:rsidR="00A64C73" w:rsidRDefault="00A64C7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D4E09">
              <w:rPr>
                <w:b/>
                <w:bCs/>
                <w:noProof/>
              </w:rPr>
              <w:t>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D4E09">
              <w:rPr>
                <w:b/>
                <w:bCs/>
                <w:noProof/>
              </w:rPr>
              <w:t>48</w:t>
            </w:r>
            <w:r>
              <w:rPr>
                <w:b/>
                <w:bCs/>
                <w:sz w:val="24"/>
                <w:szCs w:val="24"/>
              </w:rPr>
              <w:fldChar w:fldCharType="end"/>
            </w:r>
          </w:p>
        </w:sdtContent>
      </w:sdt>
    </w:sdtContent>
  </w:sdt>
  <w:p w14:paraId="0A2E34B2" w14:textId="77777777" w:rsidR="00A64C73" w:rsidRDefault="00A64C73">
    <w:pPr>
      <w:pStyle w:val="Piedepgina"/>
    </w:pPr>
  </w:p>
  <w:p w14:paraId="24D024F0" w14:textId="77777777" w:rsidR="00A64C73" w:rsidRDefault="00A64C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0BBE6E02" w14:textId="0699E055" w:rsidR="00A64C73" w:rsidRDefault="00A64C7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D4E0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D4E09">
              <w:rPr>
                <w:b/>
                <w:bCs/>
                <w:noProof/>
              </w:rPr>
              <w:t>48</w:t>
            </w:r>
            <w:r>
              <w:rPr>
                <w:b/>
                <w:bCs/>
                <w:sz w:val="24"/>
                <w:szCs w:val="24"/>
              </w:rPr>
              <w:fldChar w:fldCharType="end"/>
            </w:r>
          </w:p>
        </w:sdtContent>
      </w:sdt>
    </w:sdtContent>
  </w:sdt>
  <w:p w14:paraId="238F0172" w14:textId="77777777" w:rsidR="00A64C73" w:rsidRDefault="00A64C73">
    <w:pPr>
      <w:pStyle w:val="Piedepgina"/>
    </w:pPr>
  </w:p>
  <w:p w14:paraId="00408232" w14:textId="77777777" w:rsidR="00A64C73" w:rsidRDefault="00A64C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78026" w14:textId="77777777" w:rsidR="0097201D" w:rsidRDefault="0097201D">
      <w:r>
        <w:separator/>
      </w:r>
    </w:p>
  </w:footnote>
  <w:footnote w:type="continuationSeparator" w:id="0">
    <w:p w14:paraId="2062F54B" w14:textId="77777777" w:rsidR="0097201D" w:rsidRDefault="0097201D">
      <w:r>
        <w:continuationSeparator/>
      </w:r>
    </w:p>
  </w:footnote>
  <w:footnote w:id="1">
    <w:p w14:paraId="0A72B1C6" w14:textId="77777777" w:rsidR="00FA5CD1" w:rsidRDefault="00FA5CD1" w:rsidP="00FA5CD1">
      <w:pPr>
        <w:pStyle w:val="Textonotapie"/>
      </w:pPr>
      <w:r>
        <w:rPr>
          <w:rStyle w:val="Refdenotaalpie"/>
        </w:rPr>
        <w:footnoteRef/>
      </w:r>
      <w:r>
        <w:t xml:space="preserve"> Convención Americana sobre Derechos Humanos. Artículo 13.</w:t>
      </w:r>
    </w:p>
  </w:footnote>
  <w:footnote w:id="2">
    <w:p w14:paraId="6D1AB000" w14:textId="77777777" w:rsidR="00FA5CD1" w:rsidRDefault="00FA5CD1" w:rsidP="00FA5CD1">
      <w:pPr>
        <w:pStyle w:val="Textonotapie"/>
      </w:pPr>
      <w:r>
        <w:rPr>
          <w:rStyle w:val="Refdenotaalpie"/>
        </w:rPr>
        <w:footnoteRef/>
      </w:r>
      <w:r>
        <w:t xml:space="preserve"> Constitución Política de los Estados Unidos Mexicanos. Artículo sexto, sección A, fracción I.</w:t>
      </w:r>
    </w:p>
  </w:footnote>
  <w:footnote w:id="3">
    <w:p w14:paraId="33DEDD3F" w14:textId="77777777" w:rsidR="00FA5CD1" w:rsidRDefault="00FA5CD1" w:rsidP="00FA5CD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7DA8D6F" w14:textId="77777777" w:rsidR="00FA5CD1" w:rsidRDefault="00FA5CD1" w:rsidP="00FA5CD1">
      <w:pPr>
        <w:pStyle w:val="Textonotapie"/>
      </w:pPr>
      <w:r>
        <w:rPr>
          <w:rStyle w:val="Refdenotaalpie"/>
        </w:rPr>
        <w:footnoteRef/>
      </w:r>
      <w:r>
        <w:t xml:space="preserve"> Ibídem. Parr. 87.</w:t>
      </w:r>
    </w:p>
  </w:footnote>
  <w:footnote w:id="5">
    <w:p w14:paraId="61C38A2F" w14:textId="1991F982" w:rsidR="00A64C73" w:rsidRPr="00E5574A" w:rsidRDefault="00A64C73">
      <w:pPr>
        <w:pStyle w:val="Textonotapie"/>
        <w:rPr>
          <w:lang w:val="es-ES"/>
        </w:rPr>
      </w:pPr>
      <w:r>
        <w:rPr>
          <w:rStyle w:val="Refdenotaalpie"/>
        </w:rPr>
        <w:footnoteRef/>
      </w:r>
      <w:r>
        <w:t xml:space="preserve">Consultada el dieciocho de junio de dos mil veintiuno en la página electrónica </w:t>
      </w:r>
      <w:r w:rsidRPr="00E5574A">
        <w:t>https://legislacion.edomex.gob.mx/sites/legislacion.edomex.gob.mx/files/files/pdf/gct/2021/abr161.pdf</w:t>
      </w:r>
      <w:r>
        <w:t>.</w:t>
      </w:r>
    </w:p>
  </w:footnote>
  <w:footnote w:id="6">
    <w:p w14:paraId="47F2827E" w14:textId="77777777" w:rsidR="00A64C73" w:rsidRDefault="00A64C73" w:rsidP="00426540">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D84E5E1" w14:textId="77777777" w:rsidR="00A64C73" w:rsidRDefault="00A64C73" w:rsidP="00426540">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7">
    <w:p w14:paraId="2E73B4DE" w14:textId="77777777" w:rsidR="00A64C73" w:rsidRDefault="00A64C73" w:rsidP="00426540">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27EE711B" w14:textId="77777777" w:rsidR="00A64C73" w:rsidRDefault="00A64C73" w:rsidP="00426540">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175E517" w14:textId="77777777" w:rsidR="00A64C73" w:rsidRDefault="00A64C73" w:rsidP="00426540">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2E25363" w14:textId="77777777" w:rsidR="00A64C73" w:rsidRDefault="00A64C73" w:rsidP="00426540">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5FA5C100" w14:textId="77777777" w:rsidR="00A64C73" w:rsidRDefault="00A64C73" w:rsidP="00426540">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74E9FFA4" w14:textId="77777777" w:rsidR="00A64C73" w:rsidRDefault="00A64C73" w:rsidP="00426540">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001289E" w14:textId="77777777" w:rsidR="00A64C73" w:rsidRDefault="00A64C73" w:rsidP="00426540">
      <w:pPr>
        <w:pStyle w:val="Textonotapie"/>
        <w:jc w:val="both"/>
        <w:rPr>
          <w:rFonts w:ascii="Palatino Linotype" w:hAnsi="Palatino Linotype"/>
          <w:sz w:val="18"/>
        </w:rPr>
      </w:pPr>
      <w:r>
        <w:rPr>
          <w:rFonts w:ascii="Palatino Linotype" w:hAnsi="Palatino Linotype"/>
          <w:sz w:val="18"/>
        </w:rPr>
        <w:t xml:space="preserve"> (…)</w:t>
      </w:r>
    </w:p>
    <w:p w14:paraId="578020EB" w14:textId="77777777" w:rsidR="00A64C73" w:rsidRDefault="00A64C73" w:rsidP="00426540">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34B0B" w14:textId="5595AB06" w:rsidR="00A64C73" w:rsidRDefault="0097201D">
    <w:pPr>
      <w:pStyle w:val="Encabezado"/>
    </w:pPr>
    <w:r>
      <w:rPr>
        <w:noProof/>
      </w:rPr>
      <w:pict w14:anchorId="69CEF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400501" o:spid="_x0000_s2050" type="#_x0000_t75" style="position:absolute;margin-left:0;margin-top:0;width:656.15pt;height:854.4pt;z-index:-251657216;mso-position-horizontal:center;mso-position-horizontal-relative:margin;mso-position-vertical:center;mso-position-vertical-relative:margin" o:allowincell="f">
          <v:imagedata r:id="rId1" o:title="PHOTO-2020-08-13-10-14-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64C73" w14:paraId="40E455F3" w14:textId="77777777" w:rsidTr="006117EF">
      <w:trPr>
        <w:trHeight w:val="1435"/>
      </w:trPr>
      <w:tc>
        <w:tcPr>
          <w:tcW w:w="2835" w:type="dxa"/>
          <w:shd w:val="clear" w:color="auto" w:fill="auto"/>
        </w:tcPr>
        <w:p w14:paraId="706FC3C7" w14:textId="77777777" w:rsidR="00A64C73" w:rsidRDefault="00A64C73">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6733" w:type="dxa"/>
          <w:shd w:val="clear" w:color="auto" w:fill="auto"/>
        </w:tcPr>
        <w:p w14:paraId="0AB69D83" w14:textId="77777777" w:rsidR="00A64C73" w:rsidRDefault="00A64C73"/>
        <w:tbl>
          <w:tblPr>
            <w:tblStyle w:val="Tablaconcuadrcula"/>
            <w:tblW w:w="6267" w:type="dxa"/>
            <w:tblInd w:w="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7"/>
            <w:gridCol w:w="3540"/>
          </w:tblGrid>
          <w:tr w:rsidR="00A64C73" w14:paraId="466B0C87" w14:textId="77777777" w:rsidTr="002A30C5">
            <w:trPr>
              <w:trHeight w:val="338"/>
            </w:trPr>
            <w:tc>
              <w:tcPr>
                <w:tcW w:w="2727" w:type="dxa"/>
              </w:tcPr>
              <w:p w14:paraId="1AC55394" w14:textId="77777777" w:rsidR="00A64C73" w:rsidRDefault="00A64C73">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3540" w:type="dxa"/>
              </w:tcPr>
              <w:p w14:paraId="1F2415F5" w14:textId="5DA08FF4" w:rsidR="00A64C73" w:rsidRDefault="00A64C73" w:rsidP="002E1907">
                <w:pPr>
                  <w:tabs>
                    <w:tab w:val="right" w:pos="8838"/>
                  </w:tabs>
                  <w:ind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03488/INFOEM/IP/RR/2021</w:t>
                </w:r>
              </w:p>
            </w:tc>
          </w:tr>
          <w:tr w:rsidR="00A64C73" w14:paraId="3FC9EFD7" w14:textId="77777777" w:rsidTr="002A30C5">
            <w:trPr>
              <w:trHeight w:val="283"/>
            </w:trPr>
            <w:tc>
              <w:tcPr>
                <w:tcW w:w="2727" w:type="dxa"/>
              </w:tcPr>
              <w:p w14:paraId="13CC7D8C" w14:textId="77777777" w:rsidR="00A64C73" w:rsidRDefault="00A64C73">
                <w:pPr>
                  <w:tabs>
                    <w:tab w:val="right" w:pos="8838"/>
                  </w:tabs>
                  <w:ind w:right="-105"/>
                  <w:rPr>
                    <w:rFonts w:ascii="Palatino Linotype" w:eastAsia="Calibri" w:hAnsi="Palatino Linotype" w:cs="Tahoma"/>
                    <w:b/>
                    <w:sz w:val="22"/>
                    <w:szCs w:val="22"/>
                    <w:lang w:eastAsia="en-US"/>
                  </w:rPr>
                </w:pPr>
                <w:bookmarkStart w:id="36" w:name="_Hlk33010189"/>
                <w:r>
                  <w:rPr>
                    <w:rFonts w:ascii="Palatino Linotype" w:eastAsia="Calibri" w:hAnsi="Palatino Linotype" w:cs="Tahoma"/>
                    <w:b/>
                    <w:sz w:val="22"/>
                    <w:szCs w:val="22"/>
                    <w:lang w:eastAsia="en-US"/>
                  </w:rPr>
                  <w:t>Sujeto Obligado:</w:t>
                </w:r>
              </w:p>
            </w:tc>
            <w:tc>
              <w:tcPr>
                <w:tcW w:w="3540" w:type="dxa"/>
              </w:tcPr>
              <w:p w14:paraId="26F929EB" w14:textId="21A73565" w:rsidR="00A64C73" w:rsidRDefault="00A64C73" w:rsidP="00D13B43">
                <w:pPr>
                  <w:tabs>
                    <w:tab w:val="left" w:pos="2834"/>
                    <w:tab w:val="right" w:pos="8838"/>
                  </w:tabs>
                  <w:ind w:left="-28" w:right="-105"/>
                  <w:jc w:val="both"/>
                  <w:rPr>
                    <w:rFonts w:ascii="Palatino Linotype" w:eastAsia="Calibri" w:hAnsi="Palatino Linotype" w:cs="Tahoma"/>
                    <w:b/>
                    <w:sz w:val="22"/>
                    <w:szCs w:val="22"/>
                    <w:lang w:eastAsia="en-US"/>
                  </w:rPr>
                </w:pPr>
                <w:r w:rsidRPr="002E1907">
                  <w:rPr>
                    <w:rFonts w:ascii="Palatino Linotype" w:eastAsia="Calibri" w:hAnsi="Palatino Linotype" w:cs="Tahoma"/>
                    <w:sz w:val="22"/>
                    <w:szCs w:val="22"/>
                    <w:lang w:eastAsia="en-US"/>
                  </w:rPr>
                  <w:t>Sistema de Agua Potable Alcantarillado y Saneamiento de Ecatepec de Morelos</w:t>
                </w:r>
              </w:p>
            </w:tc>
          </w:tr>
          <w:bookmarkEnd w:id="36"/>
          <w:tr w:rsidR="00A64C73" w14:paraId="3BA4996C" w14:textId="77777777" w:rsidTr="002A30C5">
            <w:trPr>
              <w:trHeight w:val="283"/>
            </w:trPr>
            <w:tc>
              <w:tcPr>
                <w:tcW w:w="2727" w:type="dxa"/>
              </w:tcPr>
              <w:p w14:paraId="4102F248" w14:textId="77777777" w:rsidR="00A64C73" w:rsidRDefault="00A64C73">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3540" w:type="dxa"/>
              </w:tcPr>
              <w:p w14:paraId="29159291" w14:textId="4F02710A" w:rsidR="00A64C73" w:rsidRDefault="005520E9">
                <w:pPr>
                  <w:tabs>
                    <w:tab w:val="right" w:pos="8838"/>
                  </w:tabs>
                  <w:ind w:left="-28" w:right="-105"/>
                  <w:jc w:val="both"/>
                  <w:rPr>
                    <w:rFonts w:ascii="Palatino Linotype" w:eastAsia="Calibri" w:hAnsi="Palatino Linotype" w:cs="Tahoma"/>
                    <w:b/>
                    <w:sz w:val="22"/>
                    <w:szCs w:val="22"/>
                    <w:lang w:eastAsia="en-US"/>
                  </w:rPr>
                </w:pPr>
                <w:r>
                  <w:rPr>
                    <w:rFonts w:ascii="Palatino Linotype" w:hAnsi="Palatino Linotype"/>
                    <w:b/>
                  </w:rPr>
                  <w:t>María del Rosario Mejía Ayala</w:t>
                </w:r>
              </w:p>
            </w:tc>
          </w:tr>
        </w:tbl>
        <w:p w14:paraId="349E886C" w14:textId="77777777" w:rsidR="00A64C73" w:rsidRDefault="00A64C73">
          <w:pPr>
            <w:tabs>
              <w:tab w:val="right" w:pos="8838"/>
            </w:tabs>
            <w:ind w:left="-28"/>
            <w:jc w:val="both"/>
            <w:rPr>
              <w:rFonts w:ascii="Arial" w:eastAsia="Calibri" w:hAnsi="Arial" w:cs="Arial"/>
              <w:b/>
              <w:sz w:val="22"/>
              <w:szCs w:val="22"/>
              <w:lang w:eastAsia="en-US"/>
            </w:rPr>
          </w:pPr>
        </w:p>
      </w:tc>
    </w:tr>
  </w:tbl>
  <w:p w14:paraId="5D8505D2" w14:textId="42E0D6DF" w:rsidR="00A64C73" w:rsidRDefault="0097201D" w:rsidP="00A53981">
    <w:r>
      <w:rPr>
        <w:noProof/>
      </w:rPr>
      <w:pict w14:anchorId="46A01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400502" o:spid="_x0000_s2051" type="#_x0000_t75" style="position:absolute;margin-left:0;margin-top:0;width:656.15pt;height:854.4pt;z-index:-251656192;mso-position-horizontal:center;mso-position-horizontal-relative:margin;mso-position-vertical:center;mso-position-vertical-relative:margin" o:allowincell="f">
          <v:imagedata r:id="rId1" o:title="PHOTO-2020-08-13-10-14-3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01" w:type="dxa"/>
      <w:tblLayout w:type="fixed"/>
      <w:tblLook w:val="04A0" w:firstRow="1" w:lastRow="0" w:firstColumn="1" w:lastColumn="0" w:noHBand="0" w:noVBand="1"/>
    </w:tblPr>
    <w:tblGrid>
      <w:gridCol w:w="2268"/>
      <w:gridCol w:w="6733"/>
    </w:tblGrid>
    <w:tr w:rsidR="00A64C73" w14:paraId="0E18F50E" w14:textId="77777777" w:rsidTr="006117EF">
      <w:trPr>
        <w:trHeight w:val="1435"/>
      </w:trPr>
      <w:tc>
        <w:tcPr>
          <w:tcW w:w="2268" w:type="dxa"/>
          <w:shd w:val="clear" w:color="auto" w:fill="auto"/>
        </w:tcPr>
        <w:p w14:paraId="396D122E" w14:textId="77777777" w:rsidR="00A64C73" w:rsidRDefault="00A64C73">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963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793"/>
            <w:gridCol w:w="3402"/>
          </w:tblGrid>
          <w:tr w:rsidR="00A64C73" w14:paraId="308B228F" w14:textId="77777777" w:rsidTr="002E1907">
            <w:trPr>
              <w:trHeight w:val="144"/>
            </w:trPr>
            <w:tc>
              <w:tcPr>
                <w:tcW w:w="2444" w:type="dxa"/>
              </w:tcPr>
              <w:p w14:paraId="285F385E" w14:textId="77777777" w:rsidR="00A64C73" w:rsidRDefault="00A64C73">
                <w:pPr>
                  <w:tabs>
                    <w:tab w:val="right" w:pos="8838"/>
                  </w:tabs>
                  <w:ind w:left="-74" w:right="-105"/>
                  <w:rPr>
                    <w:rFonts w:ascii="Palatino Linotype" w:eastAsia="Calibri" w:hAnsi="Palatino Linotype" w:cs="Tahoma"/>
                    <w:b/>
                    <w:sz w:val="22"/>
                    <w:szCs w:val="22"/>
                    <w:lang w:eastAsia="en-US"/>
                  </w:rPr>
                </w:pPr>
                <w:bookmarkStart w:id="37" w:name="_Hlk12526980"/>
                <w:r>
                  <w:rPr>
                    <w:rFonts w:ascii="Palatino Linotype" w:eastAsia="Calibri" w:hAnsi="Palatino Linotype" w:cs="Tahoma"/>
                    <w:b/>
                    <w:sz w:val="22"/>
                    <w:szCs w:val="22"/>
                    <w:lang w:eastAsia="en-US"/>
                  </w:rPr>
                  <w:t>Recurso de Revisión:</w:t>
                </w:r>
              </w:p>
            </w:tc>
            <w:tc>
              <w:tcPr>
                <w:tcW w:w="3793" w:type="dxa"/>
              </w:tcPr>
              <w:p w14:paraId="680236D4" w14:textId="51EDB805" w:rsidR="00A64C73" w:rsidRDefault="00A64C73" w:rsidP="002E1907">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03488/INFOEM/IP/RR/2021</w:t>
                </w:r>
              </w:p>
            </w:tc>
            <w:tc>
              <w:tcPr>
                <w:tcW w:w="3402" w:type="dxa"/>
              </w:tcPr>
              <w:p w14:paraId="37FE4433" w14:textId="68E10596" w:rsidR="00A64C73" w:rsidRDefault="00A64C73">
                <w:pPr>
                  <w:tabs>
                    <w:tab w:val="right" w:pos="8838"/>
                  </w:tabs>
                  <w:ind w:left="-74" w:right="-105"/>
                  <w:jc w:val="both"/>
                  <w:rPr>
                    <w:rFonts w:ascii="Palatino Linotype" w:eastAsia="Calibri" w:hAnsi="Palatino Linotype" w:cs="Tahoma"/>
                    <w:bCs/>
                    <w:sz w:val="22"/>
                    <w:szCs w:val="22"/>
                    <w:lang w:eastAsia="en-US"/>
                  </w:rPr>
                </w:pPr>
              </w:p>
            </w:tc>
          </w:tr>
          <w:tr w:rsidR="00A64C73" w14:paraId="176ABC96" w14:textId="77777777" w:rsidTr="002E1907">
            <w:trPr>
              <w:trHeight w:val="144"/>
            </w:trPr>
            <w:tc>
              <w:tcPr>
                <w:tcW w:w="2444" w:type="dxa"/>
              </w:tcPr>
              <w:p w14:paraId="64B98D1B" w14:textId="77777777" w:rsidR="00A64C73" w:rsidRDefault="00A64C73">
                <w:pPr>
                  <w:tabs>
                    <w:tab w:val="right" w:pos="8838"/>
                  </w:tabs>
                  <w:ind w:left="-74" w:right="-105"/>
                  <w:rPr>
                    <w:rFonts w:ascii="Palatino Linotype" w:eastAsia="Calibri" w:hAnsi="Palatino Linotype" w:cs="Tahoma"/>
                    <w:b/>
                    <w:sz w:val="22"/>
                    <w:szCs w:val="22"/>
                    <w:lang w:eastAsia="en-US"/>
                  </w:rPr>
                </w:pPr>
                <w:bookmarkStart w:id="38" w:name="_Hlk10641523"/>
                <w:bookmarkEnd w:id="37"/>
                <w:r>
                  <w:rPr>
                    <w:rFonts w:ascii="Palatino Linotype" w:eastAsia="Calibri" w:hAnsi="Palatino Linotype" w:cs="Tahoma"/>
                    <w:b/>
                    <w:sz w:val="22"/>
                    <w:szCs w:val="22"/>
                    <w:lang w:eastAsia="en-US"/>
                  </w:rPr>
                  <w:t>Recurrente:</w:t>
                </w:r>
              </w:p>
            </w:tc>
            <w:tc>
              <w:tcPr>
                <w:tcW w:w="3793" w:type="dxa"/>
              </w:tcPr>
              <w:p w14:paraId="3D6737C0" w14:textId="402B16C2" w:rsidR="00A64C73" w:rsidRPr="004131DA" w:rsidRDefault="00ED4E09" w:rsidP="004131DA">
                <w:pPr>
                  <w:spacing w:line="360" w:lineRule="auto"/>
                  <w:rPr>
                    <w:rFonts w:ascii="Palatino Linotype" w:hAnsi="Palatino Linotype" w:cs="Tahoma"/>
                    <w:bCs/>
                    <w:sz w:val="22"/>
                    <w:szCs w:val="22"/>
                  </w:rPr>
                </w:pPr>
                <w:r>
                  <w:rPr>
                    <w:rFonts w:ascii="Palatino Linotype" w:hAnsi="Palatino Linotype" w:cs="Tahoma"/>
                    <w:bCs/>
                    <w:sz w:val="22"/>
                    <w:szCs w:val="22"/>
                    <w:lang w:val="es-MX"/>
                  </w:rPr>
                  <w:t>XXXXXXXXXXXXXXXXXX</w:t>
                </w:r>
              </w:p>
            </w:tc>
            <w:tc>
              <w:tcPr>
                <w:tcW w:w="3402" w:type="dxa"/>
              </w:tcPr>
              <w:p w14:paraId="3BD28CA7" w14:textId="77777777" w:rsidR="00A64C73" w:rsidRDefault="00A64C73">
                <w:pPr>
                  <w:tabs>
                    <w:tab w:val="left" w:pos="3122"/>
                    <w:tab w:val="right" w:pos="8838"/>
                  </w:tabs>
                  <w:ind w:left="-74" w:right="-105"/>
                  <w:jc w:val="both"/>
                  <w:rPr>
                    <w:rFonts w:ascii="Palatino Linotype" w:eastAsia="Calibri" w:hAnsi="Palatino Linotype" w:cs="Tahoma"/>
                    <w:sz w:val="22"/>
                    <w:szCs w:val="22"/>
                    <w:lang w:eastAsia="en-US"/>
                  </w:rPr>
                </w:pPr>
              </w:p>
            </w:tc>
          </w:tr>
          <w:bookmarkEnd w:id="38"/>
          <w:tr w:rsidR="00A64C73" w14:paraId="383719F1" w14:textId="77777777" w:rsidTr="002E1907">
            <w:trPr>
              <w:trHeight w:val="283"/>
            </w:trPr>
            <w:tc>
              <w:tcPr>
                <w:tcW w:w="2444" w:type="dxa"/>
              </w:tcPr>
              <w:p w14:paraId="74D178C4" w14:textId="77777777" w:rsidR="00A64C73" w:rsidRDefault="00A64C7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793" w:type="dxa"/>
              </w:tcPr>
              <w:p w14:paraId="2312F2D6" w14:textId="6E74D562" w:rsidR="00A64C73" w:rsidRPr="00A41581" w:rsidRDefault="00A64C73" w:rsidP="002E1907">
                <w:pPr>
                  <w:tabs>
                    <w:tab w:val="left" w:pos="2834"/>
                    <w:tab w:val="right" w:pos="8838"/>
                  </w:tabs>
                  <w:ind w:right="460"/>
                  <w:jc w:val="both"/>
                  <w:rPr>
                    <w:rFonts w:ascii="Palatino Linotype" w:eastAsia="Calibri" w:hAnsi="Palatino Linotype" w:cs="Tahoma"/>
                    <w:sz w:val="22"/>
                    <w:szCs w:val="22"/>
                    <w:lang w:eastAsia="en-US"/>
                  </w:rPr>
                </w:pPr>
                <w:r w:rsidRPr="002E1907">
                  <w:rPr>
                    <w:rFonts w:ascii="Palatino Linotype" w:eastAsia="Calibri" w:hAnsi="Palatino Linotype" w:cs="Tahoma"/>
                    <w:sz w:val="22"/>
                    <w:szCs w:val="22"/>
                    <w:lang w:eastAsia="en-US"/>
                  </w:rPr>
                  <w:t>Sistema de Agua Potable Alcantarillado y Saneamiento de Ecatepec de Morelos</w:t>
                </w:r>
              </w:p>
            </w:tc>
            <w:tc>
              <w:tcPr>
                <w:tcW w:w="3402" w:type="dxa"/>
              </w:tcPr>
              <w:p w14:paraId="28FACA7E" w14:textId="77777777" w:rsidR="00A64C73" w:rsidRDefault="00A64C73">
                <w:pPr>
                  <w:tabs>
                    <w:tab w:val="left" w:pos="2834"/>
                    <w:tab w:val="right" w:pos="8838"/>
                  </w:tabs>
                  <w:ind w:left="-74" w:right="-105"/>
                  <w:jc w:val="both"/>
                  <w:rPr>
                    <w:rFonts w:ascii="Palatino Linotype" w:eastAsia="Calibri" w:hAnsi="Palatino Linotype" w:cs="Tahoma"/>
                    <w:sz w:val="22"/>
                    <w:szCs w:val="22"/>
                    <w:lang w:eastAsia="en-US"/>
                  </w:rPr>
                </w:pPr>
              </w:p>
            </w:tc>
          </w:tr>
          <w:tr w:rsidR="00A64C73" w14:paraId="0444DCF1" w14:textId="77777777" w:rsidTr="002E1907">
            <w:trPr>
              <w:trHeight w:val="237"/>
            </w:trPr>
            <w:tc>
              <w:tcPr>
                <w:tcW w:w="2444" w:type="dxa"/>
              </w:tcPr>
              <w:p w14:paraId="34EB080C" w14:textId="754E6DC4" w:rsidR="00A64C73" w:rsidRDefault="00A64C73" w:rsidP="002D21C0">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w:t>
                </w:r>
              </w:p>
            </w:tc>
            <w:tc>
              <w:tcPr>
                <w:tcW w:w="3793" w:type="dxa"/>
              </w:tcPr>
              <w:p w14:paraId="212F1DBC" w14:textId="7692C4D4" w:rsidR="00A64C73" w:rsidRPr="00E7591A" w:rsidRDefault="005520E9" w:rsidP="00E7591A">
                <w:pPr>
                  <w:tabs>
                    <w:tab w:val="right" w:pos="8838"/>
                  </w:tabs>
                  <w:ind w:left="-3" w:right="-105"/>
                  <w:jc w:val="both"/>
                  <w:rPr>
                    <w:rFonts w:ascii="Palatino Linotype" w:eastAsia="Calibri" w:hAnsi="Palatino Linotype" w:cs="Tahoma"/>
                    <w:sz w:val="22"/>
                    <w:szCs w:val="22"/>
                    <w:lang w:eastAsia="en-US"/>
                  </w:rPr>
                </w:pPr>
                <w:r>
                  <w:rPr>
                    <w:rFonts w:ascii="Palatino Linotype" w:hAnsi="Palatino Linotype"/>
                    <w:b/>
                  </w:rPr>
                  <w:t>María del Rosario Mejía Ayala</w:t>
                </w:r>
              </w:p>
            </w:tc>
            <w:tc>
              <w:tcPr>
                <w:tcW w:w="3402" w:type="dxa"/>
              </w:tcPr>
              <w:p w14:paraId="27946DCB" w14:textId="77777777" w:rsidR="00A64C73" w:rsidRDefault="00A64C73">
                <w:pPr>
                  <w:tabs>
                    <w:tab w:val="right" w:pos="8838"/>
                  </w:tabs>
                  <w:ind w:left="-74" w:right="-105"/>
                  <w:jc w:val="both"/>
                  <w:rPr>
                    <w:rFonts w:ascii="Palatino Linotype" w:eastAsia="Calibri" w:hAnsi="Palatino Linotype" w:cs="Tahoma"/>
                    <w:sz w:val="22"/>
                    <w:szCs w:val="22"/>
                    <w:lang w:eastAsia="en-US"/>
                  </w:rPr>
                </w:pPr>
              </w:p>
            </w:tc>
          </w:tr>
        </w:tbl>
        <w:p w14:paraId="60DCB502" w14:textId="77777777" w:rsidR="00A64C73" w:rsidRDefault="00A64C73">
          <w:pPr>
            <w:tabs>
              <w:tab w:val="right" w:pos="8838"/>
            </w:tabs>
            <w:ind w:left="-28"/>
            <w:jc w:val="both"/>
            <w:rPr>
              <w:rFonts w:ascii="Arial" w:eastAsia="Calibri" w:hAnsi="Arial" w:cs="Arial"/>
              <w:b/>
              <w:sz w:val="22"/>
              <w:szCs w:val="22"/>
              <w:lang w:eastAsia="en-US"/>
            </w:rPr>
          </w:pPr>
        </w:p>
      </w:tc>
    </w:tr>
  </w:tbl>
  <w:p w14:paraId="571D184F" w14:textId="76188861" w:rsidR="00A64C73" w:rsidRPr="007556D5" w:rsidRDefault="0097201D" w:rsidP="007556D5">
    <w:pPr>
      <w:rPr>
        <w:sz w:val="6"/>
        <w:szCs w:val="6"/>
      </w:rPr>
    </w:pPr>
    <w:r>
      <w:rPr>
        <w:noProof/>
        <w:sz w:val="6"/>
        <w:szCs w:val="6"/>
      </w:rPr>
      <w:pict w14:anchorId="2634E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400500" o:spid="_x0000_s2049" type="#_x0000_t75" style="position:absolute;margin-left:0;margin-top:0;width:656.15pt;height:854.4pt;z-index:-251658240;mso-position-horizontal:center;mso-position-horizontal-relative:margin;mso-position-vertical:center;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4F00A50"/>
    <w:multiLevelType w:val="hybridMultilevel"/>
    <w:tmpl w:val="ABF2F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B3243B"/>
    <w:multiLevelType w:val="hybridMultilevel"/>
    <w:tmpl w:val="3544E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49E2A56"/>
    <w:multiLevelType w:val="hybridMultilevel"/>
    <w:tmpl w:val="D8F25E2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B80CCE"/>
    <w:multiLevelType w:val="hybridMultilevel"/>
    <w:tmpl w:val="F0466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7F619A"/>
    <w:multiLevelType w:val="hybridMultilevel"/>
    <w:tmpl w:val="AD60E0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35A7EA9"/>
    <w:multiLevelType w:val="hybridMultilevel"/>
    <w:tmpl w:val="E794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67470F8"/>
    <w:multiLevelType w:val="multilevel"/>
    <w:tmpl w:val="50B4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95A2BD3"/>
    <w:multiLevelType w:val="hybridMultilevel"/>
    <w:tmpl w:val="16FC0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014CF4"/>
    <w:multiLevelType w:val="hybridMultilevel"/>
    <w:tmpl w:val="EA22A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404FBC"/>
    <w:multiLevelType w:val="hybridMultilevel"/>
    <w:tmpl w:val="22A2E8B6"/>
    <w:lvl w:ilvl="0" w:tplc="146CB08A">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D721ABE"/>
    <w:multiLevelType w:val="hybridMultilevel"/>
    <w:tmpl w:val="36641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2F064B"/>
    <w:multiLevelType w:val="hybridMultilevel"/>
    <w:tmpl w:val="BCF80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431B62"/>
    <w:multiLevelType w:val="hybridMultilevel"/>
    <w:tmpl w:val="48322CAA"/>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E6087B"/>
    <w:multiLevelType w:val="hybridMultilevel"/>
    <w:tmpl w:val="F4EA7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A1799"/>
    <w:multiLevelType w:val="hybridMultilevel"/>
    <w:tmpl w:val="198A0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7" w15:restartNumberingAfterBreak="0">
    <w:nsid w:val="4427476B"/>
    <w:multiLevelType w:val="hybridMultilevel"/>
    <w:tmpl w:val="4AD8B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1A4693"/>
    <w:multiLevelType w:val="hybridMultilevel"/>
    <w:tmpl w:val="58AE9CEC"/>
    <w:lvl w:ilvl="0" w:tplc="A8A43204">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BF0975"/>
    <w:multiLevelType w:val="hybridMultilevel"/>
    <w:tmpl w:val="1996E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B444D4"/>
    <w:multiLevelType w:val="hybridMultilevel"/>
    <w:tmpl w:val="9C26C3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4DBE3147"/>
    <w:multiLevelType w:val="hybridMultilevel"/>
    <w:tmpl w:val="780E4A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C03731"/>
    <w:multiLevelType w:val="hybridMultilevel"/>
    <w:tmpl w:val="F1281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E940C2D"/>
    <w:multiLevelType w:val="hybridMultilevel"/>
    <w:tmpl w:val="ABF2F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B52EF9"/>
    <w:multiLevelType w:val="hybridMultilevel"/>
    <w:tmpl w:val="1966C6F2"/>
    <w:lvl w:ilvl="0" w:tplc="0CA8FE9A">
      <w:start w:val="1"/>
      <w:numFmt w:val="decimal"/>
      <w:lvlText w:val="%1)"/>
      <w:lvlJc w:val="left"/>
      <w:pPr>
        <w:ind w:left="8015" w:hanging="360"/>
      </w:pPr>
      <w:rPr>
        <w:rFonts w:cs="Times New Roman"/>
        <w:color w:val="222222"/>
      </w:rPr>
    </w:lvl>
    <w:lvl w:ilvl="1" w:tplc="0C0A0019">
      <w:start w:val="1"/>
      <w:numFmt w:val="lowerLetter"/>
      <w:lvlText w:val="%2."/>
      <w:lvlJc w:val="left"/>
      <w:pPr>
        <w:ind w:left="8735" w:hanging="360"/>
      </w:pPr>
    </w:lvl>
    <w:lvl w:ilvl="2" w:tplc="0C0A001B">
      <w:start w:val="1"/>
      <w:numFmt w:val="lowerRoman"/>
      <w:lvlText w:val="%3."/>
      <w:lvlJc w:val="right"/>
      <w:pPr>
        <w:ind w:left="9455" w:hanging="180"/>
      </w:pPr>
    </w:lvl>
    <w:lvl w:ilvl="3" w:tplc="0C0A000F">
      <w:start w:val="1"/>
      <w:numFmt w:val="decimal"/>
      <w:lvlText w:val="%4."/>
      <w:lvlJc w:val="left"/>
      <w:pPr>
        <w:ind w:left="10175" w:hanging="360"/>
      </w:pPr>
    </w:lvl>
    <w:lvl w:ilvl="4" w:tplc="0C0A0019">
      <w:start w:val="1"/>
      <w:numFmt w:val="lowerLetter"/>
      <w:lvlText w:val="%5."/>
      <w:lvlJc w:val="left"/>
      <w:pPr>
        <w:ind w:left="10895" w:hanging="360"/>
      </w:pPr>
    </w:lvl>
    <w:lvl w:ilvl="5" w:tplc="0C0A001B">
      <w:start w:val="1"/>
      <w:numFmt w:val="lowerRoman"/>
      <w:lvlText w:val="%6."/>
      <w:lvlJc w:val="right"/>
      <w:pPr>
        <w:ind w:left="11615" w:hanging="180"/>
      </w:pPr>
    </w:lvl>
    <w:lvl w:ilvl="6" w:tplc="0C0A000F">
      <w:start w:val="1"/>
      <w:numFmt w:val="decimal"/>
      <w:lvlText w:val="%7."/>
      <w:lvlJc w:val="left"/>
      <w:pPr>
        <w:ind w:left="12335" w:hanging="360"/>
      </w:pPr>
    </w:lvl>
    <w:lvl w:ilvl="7" w:tplc="0C0A0019">
      <w:start w:val="1"/>
      <w:numFmt w:val="lowerLetter"/>
      <w:lvlText w:val="%8."/>
      <w:lvlJc w:val="left"/>
      <w:pPr>
        <w:ind w:left="13055" w:hanging="360"/>
      </w:pPr>
    </w:lvl>
    <w:lvl w:ilvl="8" w:tplc="0C0A001B">
      <w:start w:val="1"/>
      <w:numFmt w:val="lowerRoman"/>
      <w:lvlText w:val="%9."/>
      <w:lvlJc w:val="right"/>
      <w:pPr>
        <w:ind w:left="13775" w:hanging="180"/>
      </w:pPr>
    </w:lvl>
  </w:abstractNum>
  <w:abstractNum w:abstractNumId="35"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355389"/>
    <w:multiLevelType w:val="hybridMultilevel"/>
    <w:tmpl w:val="BBC87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BF32370"/>
    <w:multiLevelType w:val="hybridMultilevel"/>
    <w:tmpl w:val="7268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6CA24B07"/>
    <w:multiLevelType w:val="hybridMultilevel"/>
    <w:tmpl w:val="1D92E158"/>
    <w:lvl w:ilvl="0" w:tplc="DD42F066">
      <w:start w:val="1"/>
      <w:numFmt w:val="lowerLetter"/>
      <w:lvlText w:val="%1)"/>
      <w:lvlJc w:val="left"/>
      <w:pPr>
        <w:ind w:left="720" w:hanging="360"/>
      </w:pPr>
      <w:rPr>
        <w:rFonts w:cs="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28D523B"/>
    <w:multiLevelType w:val="multilevel"/>
    <w:tmpl w:val="F5CC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0136A0"/>
    <w:multiLevelType w:val="hybridMultilevel"/>
    <w:tmpl w:val="7A5EFCF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7E5D4C"/>
    <w:multiLevelType w:val="hybridMultilevel"/>
    <w:tmpl w:val="DF72B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D412C2"/>
    <w:multiLevelType w:val="hybridMultilevel"/>
    <w:tmpl w:val="BCA48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7EE267AA"/>
    <w:multiLevelType w:val="hybridMultilevel"/>
    <w:tmpl w:val="5B1E187C"/>
    <w:lvl w:ilvl="0" w:tplc="0C0A000F">
      <w:start w:val="1"/>
      <w:numFmt w:val="decimal"/>
      <w:lvlText w:val="%1."/>
      <w:lvlJc w:val="left"/>
      <w:pPr>
        <w:ind w:left="720" w:hanging="360"/>
      </w:pPr>
    </w:lvl>
    <w:lvl w:ilvl="1" w:tplc="BB680C1E">
      <w:start w:val="1"/>
      <w:numFmt w:val="lowerLetter"/>
      <w:lvlText w:val="%2)"/>
      <w:lvlJc w:val="left"/>
      <w:pPr>
        <w:ind w:left="1440" w:hanging="360"/>
      </w:pPr>
      <w:rPr>
        <w:rFonts w:ascii="Palatino Linotype" w:hAnsi="Palatino Linotype" w:hint="default"/>
        <w:i/>
        <w:sz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6"/>
  </w:num>
  <w:num w:numId="3">
    <w:abstractNumId w:val="13"/>
  </w:num>
  <w:num w:numId="4">
    <w:abstractNumId w:val="19"/>
  </w:num>
  <w:num w:numId="5">
    <w:abstractNumId w:val="24"/>
  </w:num>
  <w:num w:numId="6">
    <w:abstractNumId w:val="29"/>
  </w:num>
  <w:num w:numId="7">
    <w:abstractNumId w:val="43"/>
  </w:num>
  <w:num w:numId="8">
    <w:abstractNumId w:val="23"/>
  </w:num>
  <w:num w:numId="9">
    <w:abstractNumId w:val="14"/>
  </w:num>
  <w:num w:numId="10">
    <w:abstractNumId w:val="3"/>
  </w:num>
  <w:num w:numId="11">
    <w:abstractNumId w:val="2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16"/>
  </w:num>
  <w:num w:numId="17">
    <w:abstractNumId w:val="5"/>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41"/>
  </w:num>
  <w:num w:numId="22">
    <w:abstractNumId w:val="46"/>
  </w:num>
  <w:num w:numId="23">
    <w:abstractNumId w:val="37"/>
  </w:num>
  <w:num w:numId="24">
    <w:abstractNumId w:val="7"/>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40"/>
  </w:num>
  <w:num w:numId="28">
    <w:abstractNumId w:val="39"/>
  </w:num>
  <w:num w:numId="29">
    <w:abstractNumId w:val="32"/>
  </w:num>
  <w:num w:numId="30">
    <w:abstractNumId w:val="21"/>
  </w:num>
  <w:num w:numId="31">
    <w:abstractNumId w:val="15"/>
  </w:num>
  <w:num w:numId="32">
    <w:abstractNumId w:val="9"/>
  </w:num>
  <w:num w:numId="33">
    <w:abstractNumId w:val="26"/>
  </w:num>
  <w:num w:numId="34">
    <w:abstractNumId w:val="42"/>
  </w:num>
  <w:num w:numId="35">
    <w:abstractNumId w:val="44"/>
  </w:num>
  <w:num w:numId="36">
    <w:abstractNumId w:val="45"/>
  </w:num>
  <w:num w:numId="37">
    <w:abstractNumId w:val="30"/>
  </w:num>
  <w:num w:numId="38">
    <w:abstractNumId w:val="28"/>
  </w:num>
  <w:num w:numId="39">
    <w:abstractNumId w:val="18"/>
  </w:num>
  <w:num w:numId="40">
    <w:abstractNumId w:val="25"/>
  </w:num>
  <w:num w:numId="41">
    <w:abstractNumId w:val="6"/>
  </w:num>
  <w:num w:numId="42">
    <w:abstractNumId w:val="20"/>
  </w:num>
  <w:num w:numId="43">
    <w:abstractNumId w:val="35"/>
  </w:num>
  <w:num w:numId="44">
    <w:abstractNumId w:val="33"/>
  </w:num>
  <w:num w:numId="45">
    <w:abstractNumId w:val="27"/>
  </w:num>
  <w:num w:numId="46">
    <w:abstractNumId w:val="38"/>
  </w:num>
  <w:num w:numId="47">
    <w:abstractNumId w:val="2"/>
  </w:num>
  <w:num w:numId="48">
    <w:abstractNumId w:val="17"/>
  </w:num>
  <w:num w:numId="49">
    <w:abstractNumId w:val="31"/>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F"/>
    <w:rsid w:val="00001EA7"/>
    <w:rsid w:val="00002485"/>
    <w:rsid w:val="000027EB"/>
    <w:rsid w:val="00002B33"/>
    <w:rsid w:val="0000485A"/>
    <w:rsid w:val="000048DD"/>
    <w:rsid w:val="00006543"/>
    <w:rsid w:val="00006EB8"/>
    <w:rsid w:val="000077E8"/>
    <w:rsid w:val="000109D7"/>
    <w:rsid w:val="00010D7B"/>
    <w:rsid w:val="00011B3E"/>
    <w:rsid w:val="00012CD0"/>
    <w:rsid w:val="00013A19"/>
    <w:rsid w:val="00013DD9"/>
    <w:rsid w:val="000143FA"/>
    <w:rsid w:val="00014465"/>
    <w:rsid w:val="000147AF"/>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AB6"/>
    <w:rsid w:val="00033BCA"/>
    <w:rsid w:val="00033BE7"/>
    <w:rsid w:val="00034E9D"/>
    <w:rsid w:val="00035F9E"/>
    <w:rsid w:val="0003659E"/>
    <w:rsid w:val="00036837"/>
    <w:rsid w:val="000373BC"/>
    <w:rsid w:val="000377C8"/>
    <w:rsid w:val="000378BC"/>
    <w:rsid w:val="00037B34"/>
    <w:rsid w:val="00037F4B"/>
    <w:rsid w:val="0004017A"/>
    <w:rsid w:val="00041201"/>
    <w:rsid w:val="000415F1"/>
    <w:rsid w:val="00043C4B"/>
    <w:rsid w:val="000441C4"/>
    <w:rsid w:val="0004646B"/>
    <w:rsid w:val="0004672E"/>
    <w:rsid w:val="00050224"/>
    <w:rsid w:val="00050DE5"/>
    <w:rsid w:val="00051A4C"/>
    <w:rsid w:val="000527B4"/>
    <w:rsid w:val="000528E6"/>
    <w:rsid w:val="00053EEF"/>
    <w:rsid w:val="000540C1"/>
    <w:rsid w:val="000541BD"/>
    <w:rsid w:val="000542F8"/>
    <w:rsid w:val="0005574A"/>
    <w:rsid w:val="00057250"/>
    <w:rsid w:val="00057E50"/>
    <w:rsid w:val="0006017B"/>
    <w:rsid w:val="000605D1"/>
    <w:rsid w:val="00061502"/>
    <w:rsid w:val="000620E1"/>
    <w:rsid w:val="00062957"/>
    <w:rsid w:val="0006343F"/>
    <w:rsid w:val="00064855"/>
    <w:rsid w:val="00065B48"/>
    <w:rsid w:val="000661D2"/>
    <w:rsid w:val="00066328"/>
    <w:rsid w:val="000663F6"/>
    <w:rsid w:val="00066AD8"/>
    <w:rsid w:val="000677C5"/>
    <w:rsid w:val="00071A4A"/>
    <w:rsid w:val="00071F02"/>
    <w:rsid w:val="00072BFF"/>
    <w:rsid w:val="000740A6"/>
    <w:rsid w:val="000741E2"/>
    <w:rsid w:val="00075300"/>
    <w:rsid w:val="000758B2"/>
    <w:rsid w:val="0007754E"/>
    <w:rsid w:val="0008033A"/>
    <w:rsid w:val="000813B0"/>
    <w:rsid w:val="0008148B"/>
    <w:rsid w:val="00081791"/>
    <w:rsid w:val="00082026"/>
    <w:rsid w:val="0008265C"/>
    <w:rsid w:val="000827E1"/>
    <w:rsid w:val="00082B18"/>
    <w:rsid w:val="0008301C"/>
    <w:rsid w:val="0008349B"/>
    <w:rsid w:val="00084F18"/>
    <w:rsid w:val="0009197A"/>
    <w:rsid w:val="00092475"/>
    <w:rsid w:val="00092518"/>
    <w:rsid w:val="000949A2"/>
    <w:rsid w:val="00095E71"/>
    <w:rsid w:val="00097211"/>
    <w:rsid w:val="0009748A"/>
    <w:rsid w:val="000A0351"/>
    <w:rsid w:val="000A0518"/>
    <w:rsid w:val="000A0861"/>
    <w:rsid w:val="000A0C91"/>
    <w:rsid w:val="000A20A4"/>
    <w:rsid w:val="000A2577"/>
    <w:rsid w:val="000A2DB6"/>
    <w:rsid w:val="000A33E3"/>
    <w:rsid w:val="000A4AC7"/>
    <w:rsid w:val="000A5058"/>
    <w:rsid w:val="000A5C6A"/>
    <w:rsid w:val="000A60ED"/>
    <w:rsid w:val="000A6B19"/>
    <w:rsid w:val="000A7211"/>
    <w:rsid w:val="000A77A3"/>
    <w:rsid w:val="000A7908"/>
    <w:rsid w:val="000B12E2"/>
    <w:rsid w:val="000B1D37"/>
    <w:rsid w:val="000B2C93"/>
    <w:rsid w:val="000B36DD"/>
    <w:rsid w:val="000B50CD"/>
    <w:rsid w:val="000B5711"/>
    <w:rsid w:val="000B6020"/>
    <w:rsid w:val="000B6107"/>
    <w:rsid w:val="000B7F48"/>
    <w:rsid w:val="000C157F"/>
    <w:rsid w:val="000C1986"/>
    <w:rsid w:val="000C2283"/>
    <w:rsid w:val="000C2347"/>
    <w:rsid w:val="000C241A"/>
    <w:rsid w:val="000C27CA"/>
    <w:rsid w:val="000C2D70"/>
    <w:rsid w:val="000C3F0F"/>
    <w:rsid w:val="000C469B"/>
    <w:rsid w:val="000C59CB"/>
    <w:rsid w:val="000D05CC"/>
    <w:rsid w:val="000D0B08"/>
    <w:rsid w:val="000D1A29"/>
    <w:rsid w:val="000D1C4E"/>
    <w:rsid w:val="000D1DDF"/>
    <w:rsid w:val="000D2A27"/>
    <w:rsid w:val="000D477F"/>
    <w:rsid w:val="000D5156"/>
    <w:rsid w:val="000D5383"/>
    <w:rsid w:val="000D60B0"/>
    <w:rsid w:val="000D62EF"/>
    <w:rsid w:val="000D686E"/>
    <w:rsid w:val="000D68C7"/>
    <w:rsid w:val="000D6CF8"/>
    <w:rsid w:val="000E008A"/>
    <w:rsid w:val="000E0BEA"/>
    <w:rsid w:val="000E36AB"/>
    <w:rsid w:val="000E757B"/>
    <w:rsid w:val="000F178F"/>
    <w:rsid w:val="000F24C8"/>
    <w:rsid w:val="000F2580"/>
    <w:rsid w:val="000F2B40"/>
    <w:rsid w:val="000F2EBF"/>
    <w:rsid w:val="000F3BFE"/>
    <w:rsid w:val="000F3DA0"/>
    <w:rsid w:val="000F4183"/>
    <w:rsid w:val="000F4876"/>
    <w:rsid w:val="000F555D"/>
    <w:rsid w:val="000F5E32"/>
    <w:rsid w:val="000F60AE"/>
    <w:rsid w:val="000F6834"/>
    <w:rsid w:val="000F726C"/>
    <w:rsid w:val="000F76AB"/>
    <w:rsid w:val="000F7A45"/>
    <w:rsid w:val="000F7C11"/>
    <w:rsid w:val="000F7FD8"/>
    <w:rsid w:val="00100BAC"/>
    <w:rsid w:val="001017B7"/>
    <w:rsid w:val="001024F2"/>
    <w:rsid w:val="001034C6"/>
    <w:rsid w:val="001036BF"/>
    <w:rsid w:val="0010415F"/>
    <w:rsid w:val="001049B0"/>
    <w:rsid w:val="00104ADB"/>
    <w:rsid w:val="001057BC"/>
    <w:rsid w:val="001058B8"/>
    <w:rsid w:val="0010687C"/>
    <w:rsid w:val="00106FD4"/>
    <w:rsid w:val="00107D2F"/>
    <w:rsid w:val="00107EB6"/>
    <w:rsid w:val="001133D5"/>
    <w:rsid w:val="001139FD"/>
    <w:rsid w:val="00114068"/>
    <w:rsid w:val="001150E9"/>
    <w:rsid w:val="001166C8"/>
    <w:rsid w:val="001171BD"/>
    <w:rsid w:val="00117E18"/>
    <w:rsid w:val="001221B8"/>
    <w:rsid w:val="001230B7"/>
    <w:rsid w:val="001237D5"/>
    <w:rsid w:val="001252CD"/>
    <w:rsid w:val="00127757"/>
    <w:rsid w:val="001279BF"/>
    <w:rsid w:val="00127E43"/>
    <w:rsid w:val="001301F3"/>
    <w:rsid w:val="00130628"/>
    <w:rsid w:val="0013107B"/>
    <w:rsid w:val="001313F8"/>
    <w:rsid w:val="00132573"/>
    <w:rsid w:val="001325E9"/>
    <w:rsid w:val="00132A80"/>
    <w:rsid w:val="00132F95"/>
    <w:rsid w:val="00132FE8"/>
    <w:rsid w:val="00133C8A"/>
    <w:rsid w:val="00134409"/>
    <w:rsid w:val="001344E5"/>
    <w:rsid w:val="0013647C"/>
    <w:rsid w:val="0013791C"/>
    <w:rsid w:val="00137AE3"/>
    <w:rsid w:val="00137B8F"/>
    <w:rsid w:val="00140554"/>
    <w:rsid w:val="00141895"/>
    <w:rsid w:val="0014307A"/>
    <w:rsid w:val="00143189"/>
    <w:rsid w:val="001432BD"/>
    <w:rsid w:val="00144747"/>
    <w:rsid w:val="00144D0B"/>
    <w:rsid w:val="00145D71"/>
    <w:rsid w:val="00146558"/>
    <w:rsid w:val="00146F50"/>
    <w:rsid w:val="00147566"/>
    <w:rsid w:val="00147666"/>
    <w:rsid w:val="00147887"/>
    <w:rsid w:val="00147A67"/>
    <w:rsid w:val="001500C2"/>
    <w:rsid w:val="00150E21"/>
    <w:rsid w:val="00151053"/>
    <w:rsid w:val="001519CC"/>
    <w:rsid w:val="00151D03"/>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4AA8"/>
    <w:rsid w:val="00165221"/>
    <w:rsid w:val="00165891"/>
    <w:rsid w:val="00166286"/>
    <w:rsid w:val="001679B4"/>
    <w:rsid w:val="00167C31"/>
    <w:rsid w:val="00170545"/>
    <w:rsid w:val="0017167E"/>
    <w:rsid w:val="00171ADD"/>
    <w:rsid w:val="00172D4F"/>
    <w:rsid w:val="00173A20"/>
    <w:rsid w:val="0017459B"/>
    <w:rsid w:val="00174A74"/>
    <w:rsid w:val="00175259"/>
    <w:rsid w:val="00175428"/>
    <w:rsid w:val="00175CEB"/>
    <w:rsid w:val="00176367"/>
    <w:rsid w:val="00176773"/>
    <w:rsid w:val="00176E8E"/>
    <w:rsid w:val="00177152"/>
    <w:rsid w:val="001807FF"/>
    <w:rsid w:val="0018081B"/>
    <w:rsid w:val="00182D6C"/>
    <w:rsid w:val="00182DCE"/>
    <w:rsid w:val="00182F0F"/>
    <w:rsid w:val="00183D24"/>
    <w:rsid w:val="00184C8A"/>
    <w:rsid w:val="001851A6"/>
    <w:rsid w:val="00185273"/>
    <w:rsid w:val="001875A7"/>
    <w:rsid w:val="001879E1"/>
    <w:rsid w:val="0019070D"/>
    <w:rsid w:val="0019151D"/>
    <w:rsid w:val="00191883"/>
    <w:rsid w:val="00191CE8"/>
    <w:rsid w:val="00192AE6"/>
    <w:rsid w:val="0019361B"/>
    <w:rsid w:val="0019389B"/>
    <w:rsid w:val="00194CDF"/>
    <w:rsid w:val="00194FAB"/>
    <w:rsid w:val="00195BA5"/>
    <w:rsid w:val="00196522"/>
    <w:rsid w:val="001A1B94"/>
    <w:rsid w:val="001A22F5"/>
    <w:rsid w:val="001A2A5D"/>
    <w:rsid w:val="001A3EA6"/>
    <w:rsid w:val="001A4B83"/>
    <w:rsid w:val="001A7FD2"/>
    <w:rsid w:val="001B0041"/>
    <w:rsid w:val="001B01AD"/>
    <w:rsid w:val="001B107D"/>
    <w:rsid w:val="001B1E95"/>
    <w:rsid w:val="001B2CD9"/>
    <w:rsid w:val="001B38FF"/>
    <w:rsid w:val="001B39C2"/>
    <w:rsid w:val="001B62A0"/>
    <w:rsid w:val="001B7973"/>
    <w:rsid w:val="001B7A1A"/>
    <w:rsid w:val="001C17B0"/>
    <w:rsid w:val="001C20B3"/>
    <w:rsid w:val="001C2357"/>
    <w:rsid w:val="001C282F"/>
    <w:rsid w:val="001C2D8D"/>
    <w:rsid w:val="001C2F9F"/>
    <w:rsid w:val="001C302C"/>
    <w:rsid w:val="001C3A5E"/>
    <w:rsid w:val="001C3F5D"/>
    <w:rsid w:val="001C62E6"/>
    <w:rsid w:val="001C7F97"/>
    <w:rsid w:val="001D0086"/>
    <w:rsid w:val="001D0094"/>
    <w:rsid w:val="001D00D6"/>
    <w:rsid w:val="001D0E73"/>
    <w:rsid w:val="001D230D"/>
    <w:rsid w:val="001D43DB"/>
    <w:rsid w:val="001D4965"/>
    <w:rsid w:val="001D4A5C"/>
    <w:rsid w:val="001D51A3"/>
    <w:rsid w:val="001D67AC"/>
    <w:rsid w:val="001D7012"/>
    <w:rsid w:val="001D7BD2"/>
    <w:rsid w:val="001E2661"/>
    <w:rsid w:val="001E2A4D"/>
    <w:rsid w:val="001E53C2"/>
    <w:rsid w:val="001E57C1"/>
    <w:rsid w:val="001E5A87"/>
    <w:rsid w:val="001E6927"/>
    <w:rsid w:val="001E6FC5"/>
    <w:rsid w:val="001F0E9C"/>
    <w:rsid w:val="001F0EB8"/>
    <w:rsid w:val="001F1540"/>
    <w:rsid w:val="001F1CFD"/>
    <w:rsid w:val="001F2FF9"/>
    <w:rsid w:val="001F6436"/>
    <w:rsid w:val="001F652C"/>
    <w:rsid w:val="001F67A1"/>
    <w:rsid w:val="001F718E"/>
    <w:rsid w:val="001F7690"/>
    <w:rsid w:val="001F78D9"/>
    <w:rsid w:val="0020044B"/>
    <w:rsid w:val="00201349"/>
    <w:rsid w:val="00202DB8"/>
    <w:rsid w:val="00204265"/>
    <w:rsid w:val="00205F0B"/>
    <w:rsid w:val="002060B4"/>
    <w:rsid w:val="0020681A"/>
    <w:rsid w:val="00207736"/>
    <w:rsid w:val="00207CD6"/>
    <w:rsid w:val="00210A50"/>
    <w:rsid w:val="002122CB"/>
    <w:rsid w:val="00212460"/>
    <w:rsid w:val="002127CA"/>
    <w:rsid w:val="00212AC5"/>
    <w:rsid w:val="00215D0D"/>
    <w:rsid w:val="00215E41"/>
    <w:rsid w:val="00216275"/>
    <w:rsid w:val="00217AEF"/>
    <w:rsid w:val="00221EC9"/>
    <w:rsid w:val="00222731"/>
    <w:rsid w:val="00222907"/>
    <w:rsid w:val="002229C6"/>
    <w:rsid w:val="002232D9"/>
    <w:rsid w:val="00223C6D"/>
    <w:rsid w:val="00223ECD"/>
    <w:rsid w:val="002241A6"/>
    <w:rsid w:val="002241E8"/>
    <w:rsid w:val="002244D2"/>
    <w:rsid w:val="00224774"/>
    <w:rsid w:val="002247B0"/>
    <w:rsid w:val="00224F7A"/>
    <w:rsid w:val="00225152"/>
    <w:rsid w:val="00226063"/>
    <w:rsid w:val="002260D8"/>
    <w:rsid w:val="002275FF"/>
    <w:rsid w:val="00230E81"/>
    <w:rsid w:val="002312EA"/>
    <w:rsid w:val="00232673"/>
    <w:rsid w:val="0023301D"/>
    <w:rsid w:val="002348E4"/>
    <w:rsid w:val="0023601B"/>
    <w:rsid w:val="00236863"/>
    <w:rsid w:val="00236B3F"/>
    <w:rsid w:val="00237C1F"/>
    <w:rsid w:val="00237D0D"/>
    <w:rsid w:val="00241116"/>
    <w:rsid w:val="002417D7"/>
    <w:rsid w:val="00242711"/>
    <w:rsid w:val="002432D8"/>
    <w:rsid w:val="002433A4"/>
    <w:rsid w:val="002435DC"/>
    <w:rsid w:val="0024366B"/>
    <w:rsid w:val="00243C66"/>
    <w:rsid w:val="00243EAA"/>
    <w:rsid w:val="00245D4F"/>
    <w:rsid w:val="00246501"/>
    <w:rsid w:val="00246EE2"/>
    <w:rsid w:val="00247B17"/>
    <w:rsid w:val="00250389"/>
    <w:rsid w:val="00251FF7"/>
    <w:rsid w:val="00252475"/>
    <w:rsid w:val="00252669"/>
    <w:rsid w:val="00254209"/>
    <w:rsid w:val="00254288"/>
    <w:rsid w:val="0025469C"/>
    <w:rsid w:val="002551B9"/>
    <w:rsid w:val="0025667F"/>
    <w:rsid w:val="002579CE"/>
    <w:rsid w:val="00260FEC"/>
    <w:rsid w:val="002613A0"/>
    <w:rsid w:val="00261DD6"/>
    <w:rsid w:val="00262421"/>
    <w:rsid w:val="002657E2"/>
    <w:rsid w:val="002672F8"/>
    <w:rsid w:val="00271E0B"/>
    <w:rsid w:val="002727CC"/>
    <w:rsid w:val="002727D4"/>
    <w:rsid w:val="00273679"/>
    <w:rsid w:val="00275CC4"/>
    <w:rsid w:val="002767EE"/>
    <w:rsid w:val="00281A35"/>
    <w:rsid w:val="00281AD9"/>
    <w:rsid w:val="00283568"/>
    <w:rsid w:val="00284486"/>
    <w:rsid w:val="00285118"/>
    <w:rsid w:val="00285644"/>
    <w:rsid w:val="0028581E"/>
    <w:rsid w:val="00287034"/>
    <w:rsid w:val="00291497"/>
    <w:rsid w:val="0029209D"/>
    <w:rsid w:val="00293491"/>
    <w:rsid w:val="002934DF"/>
    <w:rsid w:val="00294301"/>
    <w:rsid w:val="0029495D"/>
    <w:rsid w:val="00295F53"/>
    <w:rsid w:val="00296AE5"/>
    <w:rsid w:val="00296D46"/>
    <w:rsid w:val="00297D7D"/>
    <w:rsid w:val="002A0FB8"/>
    <w:rsid w:val="002A19D4"/>
    <w:rsid w:val="002A1B97"/>
    <w:rsid w:val="002A2811"/>
    <w:rsid w:val="002A2D5C"/>
    <w:rsid w:val="002A30C5"/>
    <w:rsid w:val="002A3A25"/>
    <w:rsid w:val="002A42EA"/>
    <w:rsid w:val="002A57D2"/>
    <w:rsid w:val="002A6193"/>
    <w:rsid w:val="002A66CD"/>
    <w:rsid w:val="002A7BD4"/>
    <w:rsid w:val="002A7F32"/>
    <w:rsid w:val="002B20A1"/>
    <w:rsid w:val="002B226E"/>
    <w:rsid w:val="002B3E72"/>
    <w:rsid w:val="002B41E5"/>
    <w:rsid w:val="002B46D4"/>
    <w:rsid w:val="002B531B"/>
    <w:rsid w:val="002B54CF"/>
    <w:rsid w:val="002B592B"/>
    <w:rsid w:val="002B61C0"/>
    <w:rsid w:val="002B6533"/>
    <w:rsid w:val="002B68BD"/>
    <w:rsid w:val="002C00C2"/>
    <w:rsid w:val="002C02B9"/>
    <w:rsid w:val="002C0440"/>
    <w:rsid w:val="002C06E4"/>
    <w:rsid w:val="002C0DC2"/>
    <w:rsid w:val="002C1D63"/>
    <w:rsid w:val="002C22B4"/>
    <w:rsid w:val="002C255D"/>
    <w:rsid w:val="002C33B4"/>
    <w:rsid w:val="002C4046"/>
    <w:rsid w:val="002C458A"/>
    <w:rsid w:val="002C51B6"/>
    <w:rsid w:val="002C5246"/>
    <w:rsid w:val="002C711A"/>
    <w:rsid w:val="002D15E8"/>
    <w:rsid w:val="002D1BE4"/>
    <w:rsid w:val="002D1D6C"/>
    <w:rsid w:val="002D21C0"/>
    <w:rsid w:val="002D2E09"/>
    <w:rsid w:val="002D405B"/>
    <w:rsid w:val="002D4AE8"/>
    <w:rsid w:val="002D4DC8"/>
    <w:rsid w:val="002D7463"/>
    <w:rsid w:val="002E1907"/>
    <w:rsid w:val="002E1C06"/>
    <w:rsid w:val="002E1E21"/>
    <w:rsid w:val="002E2418"/>
    <w:rsid w:val="002E4F9B"/>
    <w:rsid w:val="002E5015"/>
    <w:rsid w:val="002E55B9"/>
    <w:rsid w:val="002E647A"/>
    <w:rsid w:val="002E6AD8"/>
    <w:rsid w:val="002E6BF7"/>
    <w:rsid w:val="002E78B1"/>
    <w:rsid w:val="002E7ACF"/>
    <w:rsid w:val="002F0C1A"/>
    <w:rsid w:val="002F0CE9"/>
    <w:rsid w:val="002F0FC5"/>
    <w:rsid w:val="002F30C5"/>
    <w:rsid w:val="002F3BD0"/>
    <w:rsid w:val="002F58D8"/>
    <w:rsid w:val="002F5FCB"/>
    <w:rsid w:val="002F63B1"/>
    <w:rsid w:val="002F6F44"/>
    <w:rsid w:val="002F77DA"/>
    <w:rsid w:val="0030032A"/>
    <w:rsid w:val="00300A0B"/>
    <w:rsid w:val="00300EEC"/>
    <w:rsid w:val="00301F46"/>
    <w:rsid w:val="003026E8"/>
    <w:rsid w:val="00303CAD"/>
    <w:rsid w:val="00303CD6"/>
    <w:rsid w:val="00303E71"/>
    <w:rsid w:val="0030490F"/>
    <w:rsid w:val="00304E7C"/>
    <w:rsid w:val="00306418"/>
    <w:rsid w:val="00307CDE"/>
    <w:rsid w:val="003100F3"/>
    <w:rsid w:val="003107D9"/>
    <w:rsid w:val="00310C11"/>
    <w:rsid w:val="00310FA6"/>
    <w:rsid w:val="00311D8B"/>
    <w:rsid w:val="00312456"/>
    <w:rsid w:val="003129BA"/>
    <w:rsid w:val="00314D34"/>
    <w:rsid w:val="00315604"/>
    <w:rsid w:val="00315640"/>
    <w:rsid w:val="00315651"/>
    <w:rsid w:val="00316600"/>
    <w:rsid w:val="00316EEE"/>
    <w:rsid w:val="003172EC"/>
    <w:rsid w:val="00320F16"/>
    <w:rsid w:val="0032170B"/>
    <w:rsid w:val="00323325"/>
    <w:rsid w:val="00323F56"/>
    <w:rsid w:val="00324372"/>
    <w:rsid w:val="003243B0"/>
    <w:rsid w:val="00325EC0"/>
    <w:rsid w:val="0032692F"/>
    <w:rsid w:val="00326A39"/>
    <w:rsid w:val="003301F1"/>
    <w:rsid w:val="00330729"/>
    <w:rsid w:val="00330DA7"/>
    <w:rsid w:val="00330F52"/>
    <w:rsid w:val="00332DBD"/>
    <w:rsid w:val="00333116"/>
    <w:rsid w:val="0033312A"/>
    <w:rsid w:val="003340EC"/>
    <w:rsid w:val="00334C9B"/>
    <w:rsid w:val="003350FF"/>
    <w:rsid w:val="0033581B"/>
    <w:rsid w:val="00335873"/>
    <w:rsid w:val="00335C4E"/>
    <w:rsid w:val="0034057C"/>
    <w:rsid w:val="003407FA"/>
    <w:rsid w:val="00340CC2"/>
    <w:rsid w:val="00341DA8"/>
    <w:rsid w:val="00342BF2"/>
    <w:rsid w:val="003448CC"/>
    <w:rsid w:val="00345880"/>
    <w:rsid w:val="00346926"/>
    <w:rsid w:val="003472DE"/>
    <w:rsid w:val="00350142"/>
    <w:rsid w:val="00350D3D"/>
    <w:rsid w:val="00352BAE"/>
    <w:rsid w:val="003535F4"/>
    <w:rsid w:val="00353724"/>
    <w:rsid w:val="00353B6D"/>
    <w:rsid w:val="003542E2"/>
    <w:rsid w:val="00354920"/>
    <w:rsid w:val="00355DC6"/>
    <w:rsid w:val="00356217"/>
    <w:rsid w:val="00357700"/>
    <w:rsid w:val="003604D7"/>
    <w:rsid w:val="00360D94"/>
    <w:rsid w:val="00361176"/>
    <w:rsid w:val="0036164E"/>
    <w:rsid w:val="00361C65"/>
    <w:rsid w:val="003627C6"/>
    <w:rsid w:val="00362DBD"/>
    <w:rsid w:val="0036351E"/>
    <w:rsid w:val="00363615"/>
    <w:rsid w:val="00364521"/>
    <w:rsid w:val="00365026"/>
    <w:rsid w:val="0036506C"/>
    <w:rsid w:val="003659CF"/>
    <w:rsid w:val="00365DBE"/>
    <w:rsid w:val="00367F82"/>
    <w:rsid w:val="00370CB0"/>
    <w:rsid w:val="00372798"/>
    <w:rsid w:val="00372803"/>
    <w:rsid w:val="00373387"/>
    <w:rsid w:val="003749EC"/>
    <w:rsid w:val="003756AF"/>
    <w:rsid w:val="00375815"/>
    <w:rsid w:val="003758FD"/>
    <w:rsid w:val="00375E9B"/>
    <w:rsid w:val="00377383"/>
    <w:rsid w:val="0037774E"/>
    <w:rsid w:val="00380441"/>
    <w:rsid w:val="003811BA"/>
    <w:rsid w:val="00381447"/>
    <w:rsid w:val="00381755"/>
    <w:rsid w:val="00382696"/>
    <w:rsid w:val="00382E61"/>
    <w:rsid w:val="0038358D"/>
    <w:rsid w:val="00383D33"/>
    <w:rsid w:val="0038438A"/>
    <w:rsid w:val="003864D2"/>
    <w:rsid w:val="00390249"/>
    <w:rsid w:val="00390BF8"/>
    <w:rsid w:val="0039109D"/>
    <w:rsid w:val="003913E5"/>
    <w:rsid w:val="00392877"/>
    <w:rsid w:val="00392E12"/>
    <w:rsid w:val="0039353B"/>
    <w:rsid w:val="00393796"/>
    <w:rsid w:val="003942BA"/>
    <w:rsid w:val="00394B72"/>
    <w:rsid w:val="00394D7E"/>
    <w:rsid w:val="003956E9"/>
    <w:rsid w:val="00395809"/>
    <w:rsid w:val="0039612C"/>
    <w:rsid w:val="003963CA"/>
    <w:rsid w:val="003965EC"/>
    <w:rsid w:val="00396BA0"/>
    <w:rsid w:val="00397543"/>
    <w:rsid w:val="003979E1"/>
    <w:rsid w:val="003A0478"/>
    <w:rsid w:val="003A0927"/>
    <w:rsid w:val="003A0E17"/>
    <w:rsid w:val="003A24F5"/>
    <w:rsid w:val="003A357E"/>
    <w:rsid w:val="003A461D"/>
    <w:rsid w:val="003A57D3"/>
    <w:rsid w:val="003A6663"/>
    <w:rsid w:val="003A6E62"/>
    <w:rsid w:val="003A6E68"/>
    <w:rsid w:val="003A78B5"/>
    <w:rsid w:val="003A7B37"/>
    <w:rsid w:val="003A7BE8"/>
    <w:rsid w:val="003A7C85"/>
    <w:rsid w:val="003A7FBE"/>
    <w:rsid w:val="003B0074"/>
    <w:rsid w:val="003B05AE"/>
    <w:rsid w:val="003B0B01"/>
    <w:rsid w:val="003B0D09"/>
    <w:rsid w:val="003B0EDD"/>
    <w:rsid w:val="003B14CB"/>
    <w:rsid w:val="003B165A"/>
    <w:rsid w:val="003B1A7B"/>
    <w:rsid w:val="003B2140"/>
    <w:rsid w:val="003B50FC"/>
    <w:rsid w:val="003B5897"/>
    <w:rsid w:val="003B5AD4"/>
    <w:rsid w:val="003B5D41"/>
    <w:rsid w:val="003B6BEF"/>
    <w:rsid w:val="003B6F58"/>
    <w:rsid w:val="003B794E"/>
    <w:rsid w:val="003C0AFA"/>
    <w:rsid w:val="003C1408"/>
    <w:rsid w:val="003C1B21"/>
    <w:rsid w:val="003C28B8"/>
    <w:rsid w:val="003C52A2"/>
    <w:rsid w:val="003C5327"/>
    <w:rsid w:val="003C5C01"/>
    <w:rsid w:val="003C6934"/>
    <w:rsid w:val="003C7FD0"/>
    <w:rsid w:val="003D0268"/>
    <w:rsid w:val="003D052D"/>
    <w:rsid w:val="003D118A"/>
    <w:rsid w:val="003D1A43"/>
    <w:rsid w:val="003D1A64"/>
    <w:rsid w:val="003D1BFF"/>
    <w:rsid w:val="003D29A9"/>
    <w:rsid w:val="003D5FF4"/>
    <w:rsid w:val="003D624F"/>
    <w:rsid w:val="003D75E8"/>
    <w:rsid w:val="003E28CB"/>
    <w:rsid w:val="003E2FB1"/>
    <w:rsid w:val="003E31E5"/>
    <w:rsid w:val="003E32ED"/>
    <w:rsid w:val="003E3A39"/>
    <w:rsid w:val="003E58C9"/>
    <w:rsid w:val="003E61DD"/>
    <w:rsid w:val="003E68B5"/>
    <w:rsid w:val="003F0DFC"/>
    <w:rsid w:val="003F164F"/>
    <w:rsid w:val="003F1A16"/>
    <w:rsid w:val="003F227C"/>
    <w:rsid w:val="003F3993"/>
    <w:rsid w:val="003F5558"/>
    <w:rsid w:val="003F5B65"/>
    <w:rsid w:val="003F650B"/>
    <w:rsid w:val="003F7D12"/>
    <w:rsid w:val="003F7E89"/>
    <w:rsid w:val="003F7E9A"/>
    <w:rsid w:val="004004E9"/>
    <w:rsid w:val="00401011"/>
    <w:rsid w:val="004030F5"/>
    <w:rsid w:val="004052C5"/>
    <w:rsid w:val="004059FB"/>
    <w:rsid w:val="004062AA"/>
    <w:rsid w:val="00406D6B"/>
    <w:rsid w:val="00406DAE"/>
    <w:rsid w:val="00407A93"/>
    <w:rsid w:val="004100AA"/>
    <w:rsid w:val="00410CD2"/>
    <w:rsid w:val="00412203"/>
    <w:rsid w:val="00412562"/>
    <w:rsid w:val="004131DA"/>
    <w:rsid w:val="004134C9"/>
    <w:rsid w:val="00413A90"/>
    <w:rsid w:val="00413B9C"/>
    <w:rsid w:val="00413D17"/>
    <w:rsid w:val="00414F9B"/>
    <w:rsid w:val="004153E3"/>
    <w:rsid w:val="00415D63"/>
    <w:rsid w:val="00417C10"/>
    <w:rsid w:val="00417DE3"/>
    <w:rsid w:val="00420B07"/>
    <w:rsid w:val="00421BA5"/>
    <w:rsid w:val="00422237"/>
    <w:rsid w:val="00422869"/>
    <w:rsid w:val="00423D2F"/>
    <w:rsid w:val="00423DC3"/>
    <w:rsid w:val="00423F48"/>
    <w:rsid w:val="004247D0"/>
    <w:rsid w:val="0042519C"/>
    <w:rsid w:val="00425342"/>
    <w:rsid w:val="004259BA"/>
    <w:rsid w:val="00426448"/>
    <w:rsid w:val="00426540"/>
    <w:rsid w:val="00426613"/>
    <w:rsid w:val="00427457"/>
    <w:rsid w:val="00430482"/>
    <w:rsid w:val="0043142A"/>
    <w:rsid w:val="00431C6D"/>
    <w:rsid w:val="00431CE3"/>
    <w:rsid w:val="004321C5"/>
    <w:rsid w:val="0043257A"/>
    <w:rsid w:val="00432FB6"/>
    <w:rsid w:val="00433645"/>
    <w:rsid w:val="004339FC"/>
    <w:rsid w:val="00434202"/>
    <w:rsid w:val="00434994"/>
    <w:rsid w:val="00435661"/>
    <w:rsid w:val="00436851"/>
    <w:rsid w:val="00436FD3"/>
    <w:rsid w:val="0043755A"/>
    <w:rsid w:val="00437789"/>
    <w:rsid w:val="004406CF"/>
    <w:rsid w:val="00441804"/>
    <w:rsid w:val="00442617"/>
    <w:rsid w:val="004435B4"/>
    <w:rsid w:val="00443A63"/>
    <w:rsid w:val="004445E2"/>
    <w:rsid w:val="004448B0"/>
    <w:rsid w:val="00444B20"/>
    <w:rsid w:val="0044550A"/>
    <w:rsid w:val="00445F41"/>
    <w:rsid w:val="00447F7D"/>
    <w:rsid w:val="004503F5"/>
    <w:rsid w:val="0045153C"/>
    <w:rsid w:val="00451DD5"/>
    <w:rsid w:val="00454B63"/>
    <w:rsid w:val="00457E90"/>
    <w:rsid w:val="00460032"/>
    <w:rsid w:val="0046048A"/>
    <w:rsid w:val="00461C8C"/>
    <w:rsid w:val="00463FF0"/>
    <w:rsid w:val="004641EB"/>
    <w:rsid w:val="00465C75"/>
    <w:rsid w:val="0046621D"/>
    <w:rsid w:val="00466346"/>
    <w:rsid w:val="00466604"/>
    <w:rsid w:val="004702B0"/>
    <w:rsid w:val="004715AF"/>
    <w:rsid w:val="00472003"/>
    <w:rsid w:val="0047317B"/>
    <w:rsid w:val="004751D6"/>
    <w:rsid w:val="00475E6B"/>
    <w:rsid w:val="004762F1"/>
    <w:rsid w:val="004777D3"/>
    <w:rsid w:val="00477DBA"/>
    <w:rsid w:val="00477E20"/>
    <w:rsid w:val="00480707"/>
    <w:rsid w:val="00480BB8"/>
    <w:rsid w:val="00481D51"/>
    <w:rsid w:val="00483A2C"/>
    <w:rsid w:val="00483AAE"/>
    <w:rsid w:val="0048519E"/>
    <w:rsid w:val="004851D5"/>
    <w:rsid w:val="004855A1"/>
    <w:rsid w:val="00485C4A"/>
    <w:rsid w:val="00485E3E"/>
    <w:rsid w:val="00485EC7"/>
    <w:rsid w:val="004860BD"/>
    <w:rsid w:val="00487430"/>
    <w:rsid w:val="00490E26"/>
    <w:rsid w:val="00492B6A"/>
    <w:rsid w:val="00496768"/>
    <w:rsid w:val="00497765"/>
    <w:rsid w:val="00497C24"/>
    <w:rsid w:val="004A0A7B"/>
    <w:rsid w:val="004A0BB0"/>
    <w:rsid w:val="004A1646"/>
    <w:rsid w:val="004A260B"/>
    <w:rsid w:val="004A26CD"/>
    <w:rsid w:val="004A2C97"/>
    <w:rsid w:val="004A300B"/>
    <w:rsid w:val="004A31E0"/>
    <w:rsid w:val="004A3584"/>
    <w:rsid w:val="004A392B"/>
    <w:rsid w:val="004A466C"/>
    <w:rsid w:val="004A5121"/>
    <w:rsid w:val="004A525A"/>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259D"/>
    <w:rsid w:val="004C36E5"/>
    <w:rsid w:val="004C4ACC"/>
    <w:rsid w:val="004C6F68"/>
    <w:rsid w:val="004C7E83"/>
    <w:rsid w:val="004D0A3B"/>
    <w:rsid w:val="004D1C06"/>
    <w:rsid w:val="004D1DE5"/>
    <w:rsid w:val="004D2B43"/>
    <w:rsid w:val="004D2D1A"/>
    <w:rsid w:val="004D2F08"/>
    <w:rsid w:val="004D45DF"/>
    <w:rsid w:val="004D583C"/>
    <w:rsid w:val="004D5DB3"/>
    <w:rsid w:val="004D75E5"/>
    <w:rsid w:val="004E1DCE"/>
    <w:rsid w:val="004E2126"/>
    <w:rsid w:val="004E345F"/>
    <w:rsid w:val="004E3BBA"/>
    <w:rsid w:val="004E401B"/>
    <w:rsid w:val="004E41C7"/>
    <w:rsid w:val="004E59B8"/>
    <w:rsid w:val="004E5EAD"/>
    <w:rsid w:val="004E7DB7"/>
    <w:rsid w:val="004F1A6A"/>
    <w:rsid w:val="004F2D88"/>
    <w:rsid w:val="004F3226"/>
    <w:rsid w:val="004F3CA2"/>
    <w:rsid w:val="004F3D21"/>
    <w:rsid w:val="004F583D"/>
    <w:rsid w:val="004F60EF"/>
    <w:rsid w:val="004F6699"/>
    <w:rsid w:val="004F66B6"/>
    <w:rsid w:val="005000F2"/>
    <w:rsid w:val="00500E2B"/>
    <w:rsid w:val="00501B29"/>
    <w:rsid w:val="0050348B"/>
    <w:rsid w:val="005034EE"/>
    <w:rsid w:val="00503946"/>
    <w:rsid w:val="00506429"/>
    <w:rsid w:val="005070C3"/>
    <w:rsid w:val="00507A11"/>
    <w:rsid w:val="0051276F"/>
    <w:rsid w:val="005130AC"/>
    <w:rsid w:val="005130CC"/>
    <w:rsid w:val="00513C4F"/>
    <w:rsid w:val="005178F8"/>
    <w:rsid w:val="00517C13"/>
    <w:rsid w:val="00520A99"/>
    <w:rsid w:val="005220BE"/>
    <w:rsid w:val="00522CC8"/>
    <w:rsid w:val="0052436B"/>
    <w:rsid w:val="005244D0"/>
    <w:rsid w:val="00524E3B"/>
    <w:rsid w:val="00526575"/>
    <w:rsid w:val="005273E9"/>
    <w:rsid w:val="00530980"/>
    <w:rsid w:val="00532546"/>
    <w:rsid w:val="005334E8"/>
    <w:rsid w:val="00533B79"/>
    <w:rsid w:val="00533FD4"/>
    <w:rsid w:val="00534258"/>
    <w:rsid w:val="005349B5"/>
    <w:rsid w:val="00536006"/>
    <w:rsid w:val="005411EA"/>
    <w:rsid w:val="00541A2E"/>
    <w:rsid w:val="00541AD6"/>
    <w:rsid w:val="00541C2A"/>
    <w:rsid w:val="00542B5F"/>
    <w:rsid w:val="00542D5F"/>
    <w:rsid w:val="005435DE"/>
    <w:rsid w:val="005435F6"/>
    <w:rsid w:val="00543AD3"/>
    <w:rsid w:val="005441AD"/>
    <w:rsid w:val="00544916"/>
    <w:rsid w:val="00544C28"/>
    <w:rsid w:val="0054589F"/>
    <w:rsid w:val="00546769"/>
    <w:rsid w:val="00546BAE"/>
    <w:rsid w:val="00546C4E"/>
    <w:rsid w:val="005479B2"/>
    <w:rsid w:val="00547C2B"/>
    <w:rsid w:val="005520E9"/>
    <w:rsid w:val="005525C5"/>
    <w:rsid w:val="005529D2"/>
    <w:rsid w:val="00552EBD"/>
    <w:rsid w:val="00553827"/>
    <w:rsid w:val="00553943"/>
    <w:rsid w:val="00553988"/>
    <w:rsid w:val="00553B5F"/>
    <w:rsid w:val="00554B85"/>
    <w:rsid w:val="00554C23"/>
    <w:rsid w:val="00555F71"/>
    <w:rsid w:val="005611D5"/>
    <w:rsid w:val="00563BEB"/>
    <w:rsid w:val="005655B3"/>
    <w:rsid w:val="00566849"/>
    <w:rsid w:val="00566F49"/>
    <w:rsid w:val="00570981"/>
    <w:rsid w:val="00571CE1"/>
    <w:rsid w:val="005725DD"/>
    <w:rsid w:val="005726EB"/>
    <w:rsid w:val="0057318B"/>
    <w:rsid w:val="00573566"/>
    <w:rsid w:val="005740F6"/>
    <w:rsid w:val="005743D2"/>
    <w:rsid w:val="00575905"/>
    <w:rsid w:val="00577102"/>
    <w:rsid w:val="005774D1"/>
    <w:rsid w:val="005802BD"/>
    <w:rsid w:val="00580BBC"/>
    <w:rsid w:val="00581ABD"/>
    <w:rsid w:val="00581ECD"/>
    <w:rsid w:val="00582352"/>
    <w:rsid w:val="00583D42"/>
    <w:rsid w:val="00586586"/>
    <w:rsid w:val="00586FA8"/>
    <w:rsid w:val="00587A4C"/>
    <w:rsid w:val="00587F23"/>
    <w:rsid w:val="0059068D"/>
    <w:rsid w:val="00591E3A"/>
    <w:rsid w:val="00592977"/>
    <w:rsid w:val="00592A57"/>
    <w:rsid w:val="00593CB4"/>
    <w:rsid w:val="00593E68"/>
    <w:rsid w:val="00594652"/>
    <w:rsid w:val="005948CA"/>
    <w:rsid w:val="0059552A"/>
    <w:rsid w:val="005960A5"/>
    <w:rsid w:val="00597B3C"/>
    <w:rsid w:val="005A0362"/>
    <w:rsid w:val="005A11E2"/>
    <w:rsid w:val="005A2436"/>
    <w:rsid w:val="005A474A"/>
    <w:rsid w:val="005A52AC"/>
    <w:rsid w:val="005A5F83"/>
    <w:rsid w:val="005A62BE"/>
    <w:rsid w:val="005A7188"/>
    <w:rsid w:val="005B0028"/>
    <w:rsid w:val="005B08E6"/>
    <w:rsid w:val="005B0D7C"/>
    <w:rsid w:val="005B0E86"/>
    <w:rsid w:val="005B1ADD"/>
    <w:rsid w:val="005B290B"/>
    <w:rsid w:val="005B3306"/>
    <w:rsid w:val="005B34BE"/>
    <w:rsid w:val="005B457E"/>
    <w:rsid w:val="005B52AC"/>
    <w:rsid w:val="005B5CB1"/>
    <w:rsid w:val="005B5CC4"/>
    <w:rsid w:val="005B6585"/>
    <w:rsid w:val="005B6854"/>
    <w:rsid w:val="005B7D18"/>
    <w:rsid w:val="005C022D"/>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2F2"/>
    <w:rsid w:val="005D63F4"/>
    <w:rsid w:val="005D6A2B"/>
    <w:rsid w:val="005D6AD9"/>
    <w:rsid w:val="005D72F9"/>
    <w:rsid w:val="005D7A98"/>
    <w:rsid w:val="005E1168"/>
    <w:rsid w:val="005E1EE5"/>
    <w:rsid w:val="005E2FD4"/>
    <w:rsid w:val="005E37E9"/>
    <w:rsid w:val="005E4B8C"/>
    <w:rsid w:val="005E50A8"/>
    <w:rsid w:val="005E573B"/>
    <w:rsid w:val="005E750A"/>
    <w:rsid w:val="005E794C"/>
    <w:rsid w:val="005F001D"/>
    <w:rsid w:val="005F03DB"/>
    <w:rsid w:val="005F0CEA"/>
    <w:rsid w:val="005F1693"/>
    <w:rsid w:val="005F2C8A"/>
    <w:rsid w:val="005F3429"/>
    <w:rsid w:val="005F48F1"/>
    <w:rsid w:val="005F605D"/>
    <w:rsid w:val="0060008D"/>
    <w:rsid w:val="00600698"/>
    <w:rsid w:val="0060077A"/>
    <w:rsid w:val="00601E59"/>
    <w:rsid w:val="006034C1"/>
    <w:rsid w:val="00603A46"/>
    <w:rsid w:val="00606194"/>
    <w:rsid w:val="0061115C"/>
    <w:rsid w:val="006117EF"/>
    <w:rsid w:val="00611A49"/>
    <w:rsid w:val="00613017"/>
    <w:rsid w:val="00613A54"/>
    <w:rsid w:val="00614EBF"/>
    <w:rsid w:val="00616189"/>
    <w:rsid w:val="006170EF"/>
    <w:rsid w:val="006172A0"/>
    <w:rsid w:val="0061738D"/>
    <w:rsid w:val="006174B6"/>
    <w:rsid w:val="00617DBE"/>
    <w:rsid w:val="00617E7B"/>
    <w:rsid w:val="0062078C"/>
    <w:rsid w:val="00620E8F"/>
    <w:rsid w:val="00621760"/>
    <w:rsid w:val="006217BB"/>
    <w:rsid w:val="0062342E"/>
    <w:rsid w:val="0062404F"/>
    <w:rsid w:val="00625BD5"/>
    <w:rsid w:val="00625DFB"/>
    <w:rsid w:val="006277B7"/>
    <w:rsid w:val="00627A01"/>
    <w:rsid w:val="00630438"/>
    <w:rsid w:val="006310E0"/>
    <w:rsid w:val="006325E4"/>
    <w:rsid w:val="00632A08"/>
    <w:rsid w:val="006341F7"/>
    <w:rsid w:val="006342A2"/>
    <w:rsid w:val="00634D1A"/>
    <w:rsid w:val="00637179"/>
    <w:rsid w:val="00637D3A"/>
    <w:rsid w:val="0064060B"/>
    <w:rsid w:val="006407AA"/>
    <w:rsid w:val="00640BD8"/>
    <w:rsid w:val="00640EF8"/>
    <w:rsid w:val="00641804"/>
    <w:rsid w:val="006418ED"/>
    <w:rsid w:val="00642B13"/>
    <w:rsid w:val="006431FF"/>
    <w:rsid w:val="0064345F"/>
    <w:rsid w:val="00643C2B"/>
    <w:rsid w:val="00645F7D"/>
    <w:rsid w:val="00646100"/>
    <w:rsid w:val="0064616C"/>
    <w:rsid w:val="006476CA"/>
    <w:rsid w:val="006544EC"/>
    <w:rsid w:val="006552AE"/>
    <w:rsid w:val="00655773"/>
    <w:rsid w:val="00656364"/>
    <w:rsid w:val="006563CA"/>
    <w:rsid w:val="006578FC"/>
    <w:rsid w:val="00657AAB"/>
    <w:rsid w:val="006608AB"/>
    <w:rsid w:val="006620DA"/>
    <w:rsid w:val="00662C42"/>
    <w:rsid w:val="00664587"/>
    <w:rsid w:val="006666F8"/>
    <w:rsid w:val="00666F25"/>
    <w:rsid w:val="00667C1C"/>
    <w:rsid w:val="0067001F"/>
    <w:rsid w:val="00670A43"/>
    <w:rsid w:val="0067273A"/>
    <w:rsid w:val="00673510"/>
    <w:rsid w:val="00673A41"/>
    <w:rsid w:val="00673B95"/>
    <w:rsid w:val="00673DD4"/>
    <w:rsid w:val="00674AEB"/>
    <w:rsid w:val="0067655A"/>
    <w:rsid w:val="00676ED8"/>
    <w:rsid w:val="0067785F"/>
    <w:rsid w:val="006811F2"/>
    <w:rsid w:val="006828D8"/>
    <w:rsid w:val="00682AD1"/>
    <w:rsid w:val="006834AD"/>
    <w:rsid w:val="0068455C"/>
    <w:rsid w:val="00684887"/>
    <w:rsid w:val="006850CE"/>
    <w:rsid w:val="006852CC"/>
    <w:rsid w:val="006867FA"/>
    <w:rsid w:val="00687C50"/>
    <w:rsid w:val="00691804"/>
    <w:rsid w:val="00691B69"/>
    <w:rsid w:val="00692778"/>
    <w:rsid w:val="00692F47"/>
    <w:rsid w:val="00693C8E"/>
    <w:rsid w:val="006969BA"/>
    <w:rsid w:val="00696C0F"/>
    <w:rsid w:val="00697FF1"/>
    <w:rsid w:val="006A026A"/>
    <w:rsid w:val="006A0425"/>
    <w:rsid w:val="006A0857"/>
    <w:rsid w:val="006A1BE1"/>
    <w:rsid w:val="006A1D62"/>
    <w:rsid w:val="006A2CD8"/>
    <w:rsid w:val="006A3480"/>
    <w:rsid w:val="006A4B87"/>
    <w:rsid w:val="006A4EAE"/>
    <w:rsid w:val="006A56C3"/>
    <w:rsid w:val="006A5740"/>
    <w:rsid w:val="006A581B"/>
    <w:rsid w:val="006A59BC"/>
    <w:rsid w:val="006A6B88"/>
    <w:rsid w:val="006A6D7F"/>
    <w:rsid w:val="006B0298"/>
    <w:rsid w:val="006B06EB"/>
    <w:rsid w:val="006B0E83"/>
    <w:rsid w:val="006B49BC"/>
    <w:rsid w:val="006B5493"/>
    <w:rsid w:val="006B72E4"/>
    <w:rsid w:val="006B7584"/>
    <w:rsid w:val="006B77E2"/>
    <w:rsid w:val="006B7996"/>
    <w:rsid w:val="006C10C0"/>
    <w:rsid w:val="006C1136"/>
    <w:rsid w:val="006C1B1D"/>
    <w:rsid w:val="006C32BB"/>
    <w:rsid w:val="006C3747"/>
    <w:rsid w:val="006C41A8"/>
    <w:rsid w:val="006C7015"/>
    <w:rsid w:val="006C7760"/>
    <w:rsid w:val="006C7776"/>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3BCB"/>
    <w:rsid w:val="006E4723"/>
    <w:rsid w:val="006E477D"/>
    <w:rsid w:val="006E716F"/>
    <w:rsid w:val="006E7DA9"/>
    <w:rsid w:val="006E7DEE"/>
    <w:rsid w:val="006F01E7"/>
    <w:rsid w:val="006F13AA"/>
    <w:rsid w:val="006F1F3A"/>
    <w:rsid w:val="006F20CD"/>
    <w:rsid w:val="006F535B"/>
    <w:rsid w:val="006F5A17"/>
    <w:rsid w:val="006F70DE"/>
    <w:rsid w:val="006F7EB8"/>
    <w:rsid w:val="0070094A"/>
    <w:rsid w:val="00700AA4"/>
    <w:rsid w:val="00701330"/>
    <w:rsid w:val="007027DD"/>
    <w:rsid w:val="00702DD7"/>
    <w:rsid w:val="007047D3"/>
    <w:rsid w:val="00704BBB"/>
    <w:rsid w:val="00705663"/>
    <w:rsid w:val="00705C40"/>
    <w:rsid w:val="007102EC"/>
    <w:rsid w:val="00710757"/>
    <w:rsid w:val="0071087E"/>
    <w:rsid w:val="0071344B"/>
    <w:rsid w:val="007147C2"/>
    <w:rsid w:val="007169A8"/>
    <w:rsid w:val="00717A74"/>
    <w:rsid w:val="00721648"/>
    <w:rsid w:val="007218DF"/>
    <w:rsid w:val="007229A1"/>
    <w:rsid w:val="00722F18"/>
    <w:rsid w:val="0072347B"/>
    <w:rsid w:val="007235AA"/>
    <w:rsid w:val="00724D93"/>
    <w:rsid w:val="00725AEB"/>
    <w:rsid w:val="00725E35"/>
    <w:rsid w:val="00727471"/>
    <w:rsid w:val="00730151"/>
    <w:rsid w:val="00730D35"/>
    <w:rsid w:val="00732289"/>
    <w:rsid w:val="00732BBB"/>
    <w:rsid w:val="00734267"/>
    <w:rsid w:val="007343FD"/>
    <w:rsid w:val="0073449B"/>
    <w:rsid w:val="0073473F"/>
    <w:rsid w:val="00735915"/>
    <w:rsid w:val="00735C21"/>
    <w:rsid w:val="0073614A"/>
    <w:rsid w:val="00736158"/>
    <w:rsid w:val="00736E5B"/>
    <w:rsid w:val="00736FF2"/>
    <w:rsid w:val="00736FF9"/>
    <w:rsid w:val="007372A8"/>
    <w:rsid w:val="00740C8C"/>
    <w:rsid w:val="00740E16"/>
    <w:rsid w:val="00741683"/>
    <w:rsid w:val="00741AC4"/>
    <w:rsid w:val="007421DC"/>
    <w:rsid w:val="00742CA5"/>
    <w:rsid w:val="00742CD8"/>
    <w:rsid w:val="00744DE1"/>
    <w:rsid w:val="007460D7"/>
    <w:rsid w:val="007468DF"/>
    <w:rsid w:val="00751100"/>
    <w:rsid w:val="007513F0"/>
    <w:rsid w:val="007515BC"/>
    <w:rsid w:val="00752606"/>
    <w:rsid w:val="00752A40"/>
    <w:rsid w:val="00752A58"/>
    <w:rsid w:val="0075402E"/>
    <w:rsid w:val="007556D5"/>
    <w:rsid w:val="00756B83"/>
    <w:rsid w:val="00756D3D"/>
    <w:rsid w:val="007573B2"/>
    <w:rsid w:val="007574BB"/>
    <w:rsid w:val="0075764C"/>
    <w:rsid w:val="00757897"/>
    <w:rsid w:val="00761ECB"/>
    <w:rsid w:val="0076204C"/>
    <w:rsid w:val="00762198"/>
    <w:rsid w:val="00762FD2"/>
    <w:rsid w:val="0076362A"/>
    <w:rsid w:val="007638D0"/>
    <w:rsid w:val="00763CE8"/>
    <w:rsid w:val="00764BCB"/>
    <w:rsid w:val="00765E5E"/>
    <w:rsid w:val="007705F9"/>
    <w:rsid w:val="00770792"/>
    <w:rsid w:val="00770F74"/>
    <w:rsid w:val="007737B5"/>
    <w:rsid w:val="00774FFE"/>
    <w:rsid w:val="00775638"/>
    <w:rsid w:val="00775677"/>
    <w:rsid w:val="0077599A"/>
    <w:rsid w:val="00776811"/>
    <w:rsid w:val="0077724D"/>
    <w:rsid w:val="00777353"/>
    <w:rsid w:val="00780CD6"/>
    <w:rsid w:val="0078124C"/>
    <w:rsid w:val="00781A64"/>
    <w:rsid w:val="00782EA4"/>
    <w:rsid w:val="00782F1B"/>
    <w:rsid w:val="00785461"/>
    <w:rsid w:val="00785985"/>
    <w:rsid w:val="007860CB"/>
    <w:rsid w:val="00786FF3"/>
    <w:rsid w:val="007876CF"/>
    <w:rsid w:val="00787B77"/>
    <w:rsid w:val="00792298"/>
    <w:rsid w:val="00793090"/>
    <w:rsid w:val="0079342A"/>
    <w:rsid w:val="00795690"/>
    <w:rsid w:val="00795BA7"/>
    <w:rsid w:val="00796B43"/>
    <w:rsid w:val="00796C9B"/>
    <w:rsid w:val="00796F2A"/>
    <w:rsid w:val="0079788B"/>
    <w:rsid w:val="00797C2A"/>
    <w:rsid w:val="007A0176"/>
    <w:rsid w:val="007A0314"/>
    <w:rsid w:val="007A0F2A"/>
    <w:rsid w:val="007A2F67"/>
    <w:rsid w:val="007A323F"/>
    <w:rsid w:val="007A3918"/>
    <w:rsid w:val="007A42FA"/>
    <w:rsid w:val="007A5398"/>
    <w:rsid w:val="007A5B6E"/>
    <w:rsid w:val="007A5D0E"/>
    <w:rsid w:val="007A5D9B"/>
    <w:rsid w:val="007A5E69"/>
    <w:rsid w:val="007A75DF"/>
    <w:rsid w:val="007B0CD9"/>
    <w:rsid w:val="007B0E33"/>
    <w:rsid w:val="007B0E89"/>
    <w:rsid w:val="007B2C38"/>
    <w:rsid w:val="007B2E54"/>
    <w:rsid w:val="007B56A8"/>
    <w:rsid w:val="007B66A9"/>
    <w:rsid w:val="007B6F85"/>
    <w:rsid w:val="007B7498"/>
    <w:rsid w:val="007B7AEE"/>
    <w:rsid w:val="007C1D65"/>
    <w:rsid w:val="007C1FD9"/>
    <w:rsid w:val="007C28D5"/>
    <w:rsid w:val="007C500F"/>
    <w:rsid w:val="007C5C77"/>
    <w:rsid w:val="007C5C9B"/>
    <w:rsid w:val="007C6C24"/>
    <w:rsid w:val="007C751E"/>
    <w:rsid w:val="007C7EB6"/>
    <w:rsid w:val="007D1E16"/>
    <w:rsid w:val="007D2F75"/>
    <w:rsid w:val="007D3839"/>
    <w:rsid w:val="007D53EA"/>
    <w:rsid w:val="007D710E"/>
    <w:rsid w:val="007D7952"/>
    <w:rsid w:val="007D7E3A"/>
    <w:rsid w:val="007E0F41"/>
    <w:rsid w:val="007E1177"/>
    <w:rsid w:val="007E21DA"/>
    <w:rsid w:val="007E22E7"/>
    <w:rsid w:val="007E2893"/>
    <w:rsid w:val="007E4078"/>
    <w:rsid w:val="007E4232"/>
    <w:rsid w:val="007E5856"/>
    <w:rsid w:val="007E5C74"/>
    <w:rsid w:val="007E5F16"/>
    <w:rsid w:val="007E69BB"/>
    <w:rsid w:val="007E6AB8"/>
    <w:rsid w:val="007E6B23"/>
    <w:rsid w:val="007E7E96"/>
    <w:rsid w:val="007F0DF4"/>
    <w:rsid w:val="007F15CC"/>
    <w:rsid w:val="007F20EA"/>
    <w:rsid w:val="007F2109"/>
    <w:rsid w:val="007F21C5"/>
    <w:rsid w:val="007F2562"/>
    <w:rsid w:val="007F26EE"/>
    <w:rsid w:val="007F2B3B"/>
    <w:rsid w:val="007F366D"/>
    <w:rsid w:val="007F3EF1"/>
    <w:rsid w:val="007F7004"/>
    <w:rsid w:val="0080013C"/>
    <w:rsid w:val="0080056E"/>
    <w:rsid w:val="00801457"/>
    <w:rsid w:val="00801BCE"/>
    <w:rsid w:val="00801E7D"/>
    <w:rsid w:val="00802515"/>
    <w:rsid w:val="00803BFF"/>
    <w:rsid w:val="008051F8"/>
    <w:rsid w:val="008057BD"/>
    <w:rsid w:val="00805BE2"/>
    <w:rsid w:val="00806557"/>
    <w:rsid w:val="00806A8E"/>
    <w:rsid w:val="00807232"/>
    <w:rsid w:val="00810F06"/>
    <w:rsid w:val="008115EE"/>
    <w:rsid w:val="008123DE"/>
    <w:rsid w:val="0081283F"/>
    <w:rsid w:val="00812C0C"/>
    <w:rsid w:val="00813194"/>
    <w:rsid w:val="00813257"/>
    <w:rsid w:val="0081347B"/>
    <w:rsid w:val="0081480A"/>
    <w:rsid w:val="008169C5"/>
    <w:rsid w:val="00816AEE"/>
    <w:rsid w:val="00817774"/>
    <w:rsid w:val="00817BC2"/>
    <w:rsid w:val="00820210"/>
    <w:rsid w:val="008202EB"/>
    <w:rsid w:val="008205C0"/>
    <w:rsid w:val="00820F86"/>
    <w:rsid w:val="008233F6"/>
    <w:rsid w:val="008242C5"/>
    <w:rsid w:val="00824600"/>
    <w:rsid w:val="0082664E"/>
    <w:rsid w:val="00826A2F"/>
    <w:rsid w:val="00827F88"/>
    <w:rsid w:val="008315CE"/>
    <w:rsid w:val="008336A5"/>
    <w:rsid w:val="00833D22"/>
    <w:rsid w:val="00833DE9"/>
    <w:rsid w:val="00835474"/>
    <w:rsid w:val="00835AFD"/>
    <w:rsid w:val="00836DF1"/>
    <w:rsid w:val="00836EB4"/>
    <w:rsid w:val="008373C0"/>
    <w:rsid w:val="0084105A"/>
    <w:rsid w:val="0084145F"/>
    <w:rsid w:val="00841DA2"/>
    <w:rsid w:val="00844CB5"/>
    <w:rsid w:val="0084569E"/>
    <w:rsid w:val="008458F6"/>
    <w:rsid w:val="00845AED"/>
    <w:rsid w:val="0084708E"/>
    <w:rsid w:val="0085185C"/>
    <w:rsid w:val="00851AE4"/>
    <w:rsid w:val="00852697"/>
    <w:rsid w:val="008528FF"/>
    <w:rsid w:val="00853E98"/>
    <w:rsid w:val="00855019"/>
    <w:rsid w:val="00855210"/>
    <w:rsid w:val="008554B6"/>
    <w:rsid w:val="008554E1"/>
    <w:rsid w:val="0085598D"/>
    <w:rsid w:val="00856919"/>
    <w:rsid w:val="00857E1C"/>
    <w:rsid w:val="00857FF2"/>
    <w:rsid w:val="00860941"/>
    <w:rsid w:val="0086155C"/>
    <w:rsid w:val="00861AD3"/>
    <w:rsid w:val="00862771"/>
    <w:rsid w:val="008633B1"/>
    <w:rsid w:val="00863A1C"/>
    <w:rsid w:val="00863CB3"/>
    <w:rsid w:val="0086682F"/>
    <w:rsid w:val="008675BF"/>
    <w:rsid w:val="00867687"/>
    <w:rsid w:val="008704DF"/>
    <w:rsid w:val="00870B07"/>
    <w:rsid w:val="008721EF"/>
    <w:rsid w:val="00874175"/>
    <w:rsid w:val="00874748"/>
    <w:rsid w:val="00874894"/>
    <w:rsid w:val="0087598F"/>
    <w:rsid w:val="00876017"/>
    <w:rsid w:val="00876F54"/>
    <w:rsid w:val="00877292"/>
    <w:rsid w:val="0087754A"/>
    <w:rsid w:val="0087766C"/>
    <w:rsid w:val="00880552"/>
    <w:rsid w:val="008821F2"/>
    <w:rsid w:val="00882444"/>
    <w:rsid w:val="00882DDA"/>
    <w:rsid w:val="008839DA"/>
    <w:rsid w:val="00884EE8"/>
    <w:rsid w:val="00885168"/>
    <w:rsid w:val="00887E9F"/>
    <w:rsid w:val="0089173B"/>
    <w:rsid w:val="00891E76"/>
    <w:rsid w:val="0089220F"/>
    <w:rsid w:val="008924C1"/>
    <w:rsid w:val="008935AA"/>
    <w:rsid w:val="0089384F"/>
    <w:rsid w:val="00894E66"/>
    <w:rsid w:val="008963F0"/>
    <w:rsid w:val="00897444"/>
    <w:rsid w:val="008978CF"/>
    <w:rsid w:val="008A03A5"/>
    <w:rsid w:val="008A0DF3"/>
    <w:rsid w:val="008A1B76"/>
    <w:rsid w:val="008A282C"/>
    <w:rsid w:val="008A2B24"/>
    <w:rsid w:val="008A3765"/>
    <w:rsid w:val="008A4138"/>
    <w:rsid w:val="008A4DB1"/>
    <w:rsid w:val="008A4F11"/>
    <w:rsid w:val="008A5D96"/>
    <w:rsid w:val="008A7BB5"/>
    <w:rsid w:val="008B0922"/>
    <w:rsid w:val="008B1DF8"/>
    <w:rsid w:val="008B212A"/>
    <w:rsid w:val="008B4826"/>
    <w:rsid w:val="008B5AB3"/>
    <w:rsid w:val="008B5CCB"/>
    <w:rsid w:val="008B65C0"/>
    <w:rsid w:val="008B666C"/>
    <w:rsid w:val="008B6765"/>
    <w:rsid w:val="008B6848"/>
    <w:rsid w:val="008C2BBC"/>
    <w:rsid w:val="008C2E00"/>
    <w:rsid w:val="008C2FA1"/>
    <w:rsid w:val="008C3245"/>
    <w:rsid w:val="008C37E5"/>
    <w:rsid w:val="008C3F59"/>
    <w:rsid w:val="008C57C2"/>
    <w:rsid w:val="008C58DF"/>
    <w:rsid w:val="008C5D82"/>
    <w:rsid w:val="008D0090"/>
    <w:rsid w:val="008D02BA"/>
    <w:rsid w:val="008D1369"/>
    <w:rsid w:val="008D189A"/>
    <w:rsid w:val="008D2C4C"/>
    <w:rsid w:val="008D41B3"/>
    <w:rsid w:val="008D60EF"/>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34C"/>
    <w:rsid w:val="008E54AD"/>
    <w:rsid w:val="008E554C"/>
    <w:rsid w:val="008E57B1"/>
    <w:rsid w:val="008E64F0"/>
    <w:rsid w:val="008E69F1"/>
    <w:rsid w:val="008E6FF3"/>
    <w:rsid w:val="008E799F"/>
    <w:rsid w:val="008E7B05"/>
    <w:rsid w:val="008E7E17"/>
    <w:rsid w:val="008F18ED"/>
    <w:rsid w:val="008F35BB"/>
    <w:rsid w:val="008F46C2"/>
    <w:rsid w:val="008F5209"/>
    <w:rsid w:val="008F7068"/>
    <w:rsid w:val="00902912"/>
    <w:rsid w:val="00902D00"/>
    <w:rsid w:val="0090360E"/>
    <w:rsid w:val="00903D37"/>
    <w:rsid w:val="00906F91"/>
    <w:rsid w:val="009079D1"/>
    <w:rsid w:val="0091055D"/>
    <w:rsid w:val="00911958"/>
    <w:rsid w:val="00912F1D"/>
    <w:rsid w:val="0091468B"/>
    <w:rsid w:val="00914C61"/>
    <w:rsid w:val="00916468"/>
    <w:rsid w:val="00916923"/>
    <w:rsid w:val="009171C6"/>
    <w:rsid w:val="00917D6F"/>
    <w:rsid w:val="0092007F"/>
    <w:rsid w:val="00920712"/>
    <w:rsid w:val="0092073B"/>
    <w:rsid w:val="00921B1A"/>
    <w:rsid w:val="00921B7F"/>
    <w:rsid w:val="00921DDA"/>
    <w:rsid w:val="00921EBC"/>
    <w:rsid w:val="00922DE1"/>
    <w:rsid w:val="00923A73"/>
    <w:rsid w:val="0092600D"/>
    <w:rsid w:val="009264D6"/>
    <w:rsid w:val="009264F2"/>
    <w:rsid w:val="009276AD"/>
    <w:rsid w:val="00930345"/>
    <w:rsid w:val="0093039D"/>
    <w:rsid w:val="00931E4F"/>
    <w:rsid w:val="0093364D"/>
    <w:rsid w:val="00933768"/>
    <w:rsid w:val="009337E6"/>
    <w:rsid w:val="009340E4"/>
    <w:rsid w:val="0093429F"/>
    <w:rsid w:val="009347EC"/>
    <w:rsid w:val="00935ED9"/>
    <w:rsid w:val="00936574"/>
    <w:rsid w:val="009368FB"/>
    <w:rsid w:val="00937094"/>
    <w:rsid w:val="00937EC5"/>
    <w:rsid w:val="00937EE1"/>
    <w:rsid w:val="00942153"/>
    <w:rsid w:val="00943BCE"/>
    <w:rsid w:val="009508A0"/>
    <w:rsid w:val="00953FF0"/>
    <w:rsid w:val="0095541C"/>
    <w:rsid w:val="00960346"/>
    <w:rsid w:val="009617D3"/>
    <w:rsid w:val="009629BE"/>
    <w:rsid w:val="00962C63"/>
    <w:rsid w:val="00964061"/>
    <w:rsid w:val="0096463B"/>
    <w:rsid w:val="00967869"/>
    <w:rsid w:val="0096796E"/>
    <w:rsid w:val="00967ABF"/>
    <w:rsid w:val="00967DA5"/>
    <w:rsid w:val="00970AB7"/>
    <w:rsid w:val="00971A46"/>
    <w:rsid w:val="00971BF7"/>
    <w:rsid w:val="00971F54"/>
    <w:rsid w:val="0097201D"/>
    <w:rsid w:val="009725C5"/>
    <w:rsid w:val="009727BF"/>
    <w:rsid w:val="00972AEA"/>
    <w:rsid w:val="00972B4E"/>
    <w:rsid w:val="00973689"/>
    <w:rsid w:val="00973F40"/>
    <w:rsid w:val="0097736F"/>
    <w:rsid w:val="00977520"/>
    <w:rsid w:val="0098056C"/>
    <w:rsid w:val="00980900"/>
    <w:rsid w:val="009823AF"/>
    <w:rsid w:val="009831DB"/>
    <w:rsid w:val="00983EDC"/>
    <w:rsid w:val="00983EED"/>
    <w:rsid w:val="009849EF"/>
    <w:rsid w:val="009864CD"/>
    <w:rsid w:val="009865FE"/>
    <w:rsid w:val="00986DB7"/>
    <w:rsid w:val="00987225"/>
    <w:rsid w:val="00987252"/>
    <w:rsid w:val="00987365"/>
    <w:rsid w:val="00987465"/>
    <w:rsid w:val="00987917"/>
    <w:rsid w:val="0099021B"/>
    <w:rsid w:val="00990B6C"/>
    <w:rsid w:val="00990C3A"/>
    <w:rsid w:val="009916E4"/>
    <w:rsid w:val="00991FA0"/>
    <w:rsid w:val="009934CF"/>
    <w:rsid w:val="00994396"/>
    <w:rsid w:val="00994FB1"/>
    <w:rsid w:val="0099730E"/>
    <w:rsid w:val="009A0031"/>
    <w:rsid w:val="009A0D75"/>
    <w:rsid w:val="009A1487"/>
    <w:rsid w:val="009A2459"/>
    <w:rsid w:val="009A306D"/>
    <w:rsid w:val="009A33E6"/>
    <w:rsid w:val="009A347A"/>
    <w:rsid w:val="009A3A65"/>
    <w:rsid w:val="009A3F45"/>
    <w:rsid w:val="009A54B4"/>
    <w:rsid w:val="009A620E"/>
    <w:rsid w:val="009A7CD3"/>
    <w:rsid w:val="009B03A4"/>
    <w:rsid w:val="009B33A1"/>
    <w:rsid w:val="009B610E"/>
    <w:rsid w:val="009B6452"/>
    <w:rsid w:val="009B6A6F"/>
    <w:rsid w:val="009C0CAA"/>
    <w:rsid w:val="009C1AFE"/>
    <w:rsid w:val="009C295D"/>
    <w:rsid w:val="009C3E33"/>
    <w:rsid w:val="009C5F24"/>
    <w:rsid w:val="009C7BBE"/>
    <w:rsid w:val="009C7EC5"/>
    <w:rsid w:val="009D00D2"/>
    <w:rsid w:val="009D047D"/>
    <w:rsid w:val="009D048B"/>
    <w:rsid w:val="009D1B5D"/>
    <w:rsid w:val="009D36A4"/>
    <w:rsid w:val="009D43FE"/>
    <w:rsid w:val="009D4856"/>
    <w:rsid w:val="009D4A04"/>
    <w:rsid w:val="009D5C33"/>
    <w:rsid w:val="009D5CF5"/>
    <w:rsid w:val="009D5E52"/>
    <w:rsid w:val="009D6197"/>
    <w:rsid w:val="009D6634"/>
    <w:rsid w:val="009D69C6"/>
    <w:rsid w:val="009D6F70"/>
    <w:rsid w:val="009D7700"/>
    <w:rsid w:val="009E10E1"/>
    <w:rsid w:val="009E110C"/>
    <w:rsid w:val="009E12D2"/>
    <w:rsid w:val="009E49AA"/>
    <w:rsid w:val="009E5080"/>
    <w:rsid w:val="009E5419"/>
    <w:rsid w:val="009E5A5E"/>
    <w:rsid w:val="009E5A6E"/>
    <w:rsid w:val="009E70E7"/>
    <w:rsid w:val="009F0B1B"/>
    <w:rsid w:val="009F25A8"/>
    <w:rsid w:val="009F3A6A"/>
    <w:rsid w:val="009F46DC"/>
    <w:rsid w:val="009F508A"/>
    <w:rsid w:val="009F58BE"/>
    <w:rsid w:val="009F620E"/>
    <w:rsid w:val="009F65AF"/>
    <w:rsid w:val="00A01666"/>
    <w:rsid w:val="00A01C00"/>
    <w:rsid w:val="00A01DB2"/>
    <w:rsid w:val="00A02488"/>
    <w:rsid w:val="00A025B1"/>
    <w:rsid w:val="00A03A1B"/>
    <w:rsid w:val="00A05E6F"/>
    <w:rsid w:val="00A06A67"/>
    <w:rsid w:val="00A06CC5"/>
    <w:rsid w:val="00A07F30"/>
    <w:rsid w:val="00A07F71"/>
    <w:rsid w:val="00A10699"/>
    <w:rsid w:val="00A11CAD"/>
    <w:rsid w:val="00A13261"/>
    <w:rsid w:val="00A15ECC"/>
    <w:rsid w:val="00A1620D"/>
    <w:rsid w:val="00A16AC0"/>
    <w:rsid w:val="00A16DC1"/>
    <w:rsid w:val="00A17051"/>
    <w:rsid w:val="00A2035C"/>
    <w:rsid w:val="00A2054B"/>
    <w:rsid w:val="00A228D6"/>
    <w:rsid w:val="00A22A79"/>
    <w:rsid w:val="00A23D31"/>
    <w:rsid w:val="00A245D1"/>
    <w:rsid w:val="00A24C9B"/>
    <w:rsid w:val="00A25083"/>
    <w:rsid w:val="00A26ECD"/>
    <w:rsid w:val="00A275DE"/>
    <w:rsid w:val="00A27D2B"/>
    <w:rsid w:val="00A301A7"/>
    <w:rsid w:val="00A30545"/>
    <w:rsid w:val="00A30C34"/>
    <w:rsid w:val="00A30FD3"/>
    <w:rsid w:val="00A33434"/>
    <w:rsid w:val="00A34223"/>
    <w:rsid w:val="00A344F1"/>
    <w:rsid w:val="00A34F11"/>
    <w:rsid w:val="00A35E2F"/>
    <w:rsid w:val="00A36013"/>
    <w:rsid w:val="00A36DA4"/>
    <w:rsid w:val="00A37891"/>
    <w:rsid w:val="00A40A51"/>
    <w:rsid w:val="00A410D5"/>
    <w:rsid w:val="00A41581"/>
    <w:rsid w:val="00A415BA"/>
    <w:rsid w:val="00A43816"/>
    <w:rsid w:val="00A43CD2"/>
    <w:rsid w:val="00A43CF9"/>
    <w:rsid w:val="00A4594F"/>
    <w:rsid w:val="00A47054"/>
    <w:rsid w:val="00A47916"/>
    <w:rsid w:val="00A5088B"/>
    <w:rsid w:val="00A520D4"/>
    <w:rsid w:val="00A536DA"/>
    <w:rsid w:val="00A53981"/>
    <w:rsid w:val="00A5406C"/>
    <w:rsid w:val="00A54801"/>
    <w:rsid w:val="00A5596D"/>
    <w:rsid w:val="00A56F39"/>
    <w:rsid w:val="00A571CD"/>
    <w:rsid w:val="00A578A1"/>
    <w:rsid w:val="00A57C3D"/>
    <w:rsid w:val="00A60A2E"/>
    <w:rsid w:val="00A60AA3"/>
    <w:rsid w:val="00A61C7C"/>
    <w:rsid w:val="00A64C73"/>
    <w:rsid w:val="00A64F18"/>
    <w:rsid w:val="00A6697B"/>
    <w:rsid w:val="00A67022"/>
    <w:rsid w:val="00A67F68"/>
    <w:rsid w:val="00A71156"/>
    <w:rsid w:val="00A719AA"/>
    <w:rsid w:val="00A73DE3"/>
    <w:rsid w:val="00A74C2D"/>
    <w:rsid w:val="00A7564A"/>
    <w:rsid w:val="00A75FD4"/>
    <w:rsid w:val="00A76B34"/>
    <w:rsid w:val="00A81331"/>
    <w:rsid w:val="00A83487"/>
    <w:rsid w:val="00A84A8E"/>
    <w:rsid w:val="00A854FF"/>
    <w:rsid w:val="00A86B14"/>
    <w:rsid w:val="00A86DF4"/>
    <w:rsid w:val="00A86E30"/>
    <w:rsid w:val="00A87035"/>
    <w:rsid w:val="00A8745D"/>
    <w:rsid w:val="00A908DA"/>
    <w:rsid w:val="00A90F9B"/>
    <w:rsid w:val="00A918FA"/>
    <w:rsid w:val="00A92694"/>
    <w:rsid w:val="00A93072"/>
    <w:rsid w:val="00A93838"/>
    <w:rsid w:val="00A94DE0"/>
    <w:rsid w:val="00A95265"/>
    <w:rsid w:val="00A9629C"/>
    <w:rsid w:val="00A964E4"/>
    <w:rsid w:val="00A966F6"/>
    <w:rsid w:val="00A96E80"/>
    <w:rsid w:val="00A97448"/>
    <w:rsid w:val="00AA0C4F"/>
    <w:rsid w:val="00AA2289"/>
    <w:rsid w:val="00AA2AFF"/>
    <w:rsid w:val="00AA2E00"/>
    <w:rsid w:val="00AA35D5"/>
    <w:rsid w:val="00AA3EDB"/>
    <w:rsid w:val="00AA417B"/>
    <w:rsid w:val="00AA533F"/>
    <w:rsid w:val="00AA5A86"/>
    <w:rsid w:val="00AA6CCD"/>
    <w:rsid w:val="00AA7F48"/>
    <w:rsid w:val="00AB0073"/>
    <w:rsid w:val="00AB00C2"/>
    <w:rsid w:val="00AB010D"/>
    <w:rsid w:val="00AB0749"/>
    <w:rsid w:val="00AB273B"/>
    <w:rsid w:val="00AB3519"/>
    <w:rsid w:val="00AB3B50"/>
    <w:rsid w:val="00AB5239"/>
    <w:rsid w:val="00AB61AD"/>
    <w:rsid w:val="00AB75E2"/>
    <w:rsid w:val="00AB76D8"/>
    <w:rsid w:val="00AB7A1A"/>
    <w:rsid w:val="00AB7ABB"/>
    <w:rsid w:val="00AB7E6A"/>
    <w:rsid w:val="00AC1313"/>
    <w:rsid w:val="00AC1B50"/>
    <w:rsid w:val="00AC1B61"/>
    <w:rsid w:val="00AC2226"/>
    <w:rsid w:val="00AC2C6E"/>
    <w:rsid w:val="00AC5EE6"/>
    <w:rsid w:val="00AC5F9E"/>
    <w:rsid w:val="00AD0D24"/>
    <w:rsid w:val="00AD0E38"/>
    <w:rsid w:val="00AD1923"/>
    <w:rsid w:val="00AD2611"/>
    <w:rsid w:val="00AD3AC5"/>
    <w:rsid w:val="00AD3D57"/>
    <w:rsid w:val="00AD43A4"/>
    <w:rsid w:val="00AD497C"/>
    <w:rsid w:val="00AD4A8A"/>
    <w:rsid w:val="00AD50F9"/>
    <w:rsid w:val="00AD7F63"/>
    <w:rsid w:val="00AE00E9"/>
    <w:rsid w:val="00AE0B4B"/>
    <w:rsid w:val="00AE0CDB"/>
    <w:rsid w:val="00AE3BE3"/>
    <w:rsid w:val="00AE47BF"/>
    <w:rsid w:val="00AE489D"/>
    <w:rsid w:val="00AE4BD1"/>
    <w:rsid w:val="00AE552E"/>
    <w:rsid w:val="00AF0255"/>
    <w:rsid w:val="00AF08DA"/>
    <w:rsid w:val="00AF0A77"/>
    <w:rsid w:val="00AF19F2"/>
    <w:rsid w:val="00AF22EB"/>
    <w:rsid w:val="00AF3B03"/>
    <w:rsid w:val="00AF4C29"/>
    <w:rsid w:val="00AF6432"/>
    <w:rsid w:val="00AF64D4"/>
    <w:rsid w:val="00AF6D3D"/>
    <w:rsid w:val="00AF6DED"/>
    <w:rsid w:val="00AF79BD"/>
    <w:rsid w:val="00B01191"/>
    <w:rsid w:val="00B071E9"/>
    <w:rsid w:val="00B072BE"/>
    <w:rsid w:val="00B07F12"/>
    <w:rsid w:val="00B07FE3"/>
    <w:rsid w:val="00B10BAE"/>
    <w:rsid w:val="00B116CC"/>
    <w:rsid w:val="00B14154"/>
    <w:rsid w:val="00B1415B"/>
    <w:rsid w:val="00B15278"/>
    <w:rsid w:val="00B157C5"/>
    <w:rsid w:val="00B200CA"/>
    <w:rsid w:val="00B2048B"/>
    <w:rsid w:val="00B222A2"/>
    <w:rsid w:val="00B23149"/>
    <w:rsid w:val="00B234EC"/>
    <w:rsid w:val="00B235FB"/>
    <w:rsid w:val="00B236B9"/>
    <w:rsid w:val="00B274AE"/>
    <w:rsid w:val="00B274BF"/>
    <w:rsid w:val="00B27BE1"/>
    <w:rsid w:val="00B31222"/>
    <w:rsid w:val="00B318C9"/>
    <w:rsid w:val="00B31FDB"/>
    <w:rsid w:val="00B330C9"/>
    <w:rsid w:val="00B37DE4"/>
    <w:rsid w:val="00B40EE4"/>
    <w:rsid w:val="00B418A5"/>
    <w:rsid w:val="00B41DF3"/>
    <w:rsid w:val="00B42C7F"/>
    <w:rsid w:val="00B42E81"/>
    <w:rsid w:val="00B4329D"/>
    <w:rsid w:val="00B45BEE"/>
    <w:rsid w:val="00B46F7A"/>
    <w:rsid w:val="00B5076A"/>
    <w:rsid w:val="00B520F9"/>
    <w:rsid w:val="00B52812"/>
    <w:rsid w:val="00B52B5B"/>
    <w:rsid w:val="00B5495A"/>
    <w:rsid w:val="00B54A9C"/>
    <w:rsid w:val="00B568D8"/>
    <w:rsid w:val="00B56BD6"/>
    <w:rsid w:val="00B56F24"/>
    <w:rsid w:val="00B57278"/>
    <w:rsid w:val="00B57798"/>
    <w:rsid w:val="00B577A3"/>
    <w:rsid w:val="00B5785F"/>
    <w:rsid w:val="00B608E5"/>
    <w:rsid w:val="00B6144B"/>
    <w:rsid w:val="00B6170F"/>
    <w:rsid w:val="00B643AF"/>
    <w:rsid w:val="00B64641"/>
    <w:rsid w:val="00B64BBA"/>
    <w:rsid w:val="00B656F4"/>
    <w:rsid w:val="00B65BCE"/>
    <w:rsid w:val="00B7262F"/>
    <w:rsid w:val="00B727C5"/>
    <w:rsid w:val="00B72AC3"/>
    <w:rsid w:val="00B72FEF"/>
    <w:rsid w:val="00B73267"/>
    <w:rsid w:val="00B7364D"/>
    <w:rsid w:val="00B73FD4"/>
    <w:rsid w:val="00B74527"/>
    <w:rsid w:val="00B74FC5"/>
    <w:rsid w:val="00B750FC"/>
    <w:rsid w:val="00B75A6C"/>
    <w:rsid w:val="00B80BDE"/>
    <w:rsid w:val="00B82F2D"/>
    <w:rsid w:val="00B83E2A"/>
    <w:rsid w:val="00B83E38"/>
    <w:rsid w:val="00B8400F"/>
    <w:rsid w:val="00B8408A"/>
    <w:rsid w:val="00B85809"/>
    <w:rsid w:val="00B85CBA"/>
    <w:rsid w:val="00B85DF3"/>
    <w:rsid w:val="00B86C19"/>
    <w:rsid w:val="00B87167"/>
    <w:rsid w:val="00B9113E"/>
    <w:rsid w:val="00B92EDF"/>
    <w:rsid w:val="00B9316E"/>
    <w:rsid w:val="00B93510"/>
    <w:rsid w:val="00B93640"/>
    <w:rsid w:val="00B93E33"/>
    <w:rsid w:val="00B93FFB"/>
    <w:rsid w:val="00B94957"/>
    <w:rsid w:val="00B94B67"/>
    <w:rsid w:val="00B954A0"/>
    <w:rsid w:val="00B954F3"/>
    <w:rsid w:val="00B95BCD"/>
    <w:rsid w:val="00B95CDC"/>
    <w:rsid w:val="00B95CE5"/>
    <w:rsid w:val="00B96107"/>
    <w:rsid w:val="00B9614C"/>
    <w:rsid w:val="00B97BD4"/>
    <w:rsid w:val="00BA0D0B"/>
    <w:rsid w:val="00BA1099"/>
    <w:rsid w:val="00BA4CE5"/>
    <w:rsid w:val="00BA688A"/>
    <w:rsid w:val="00BB0AAD"/>
    <w:rsid w:val="00BB18B8"/>
    <w:rsid w:val="00BB375D"/>
    <w:rsid w:val="00BB3AB4"/>
    <w:rsid w:val="00BB3D85"/>
    <w:rsid w:val="00BB49A0"/>
    <w:rsid w:val="00BB515F"/>
    <w:rsid w:val="00BB532B"/>
    <w:rsid w:val="00BB545D"/>
    <w:rsid w:val="00BC04A2"/>
    <w:rsid w:val="00BC0924"/>
    <w:rsid w:val="00BC1FA5"/>
    <w:rsid w:val="00BC2943"/>
    <w:rsid w:val="00BC2C0C"/>
    <w:rsid w:val="00BC31DE"/>
    <w:rsid w:val="00BC5F29"/>
    <w:rsid w:val="00BC732A"/>
    <w:rsid w:val="00BC758B"/>
    <w:rsid w:val="00BD04BD"/>
    <w:rsid w:val="00BD2835"/>
    <w:rsid w:val="00BD2EAC"/>
    <w:rsid w:val="00BD4059"/>
    <w:rsid w:val="00BD455F"/>
    <w:rsid w:val="00BD4617"/>
    <w:rsid w:val="00BD4BB3"/>
    <w:rsid w:val="00BD5227"/>
    <w:rsid w:val="00BD782A"/>
    <w:rsid w:val="00BD798E"/>
    <w:rsid w:val="00BE0AFF"/>
    <w:rsid w:val="00BE17C6"/>
    <w:rsid w:val="00BE2BD3"/>
    <w:rsid w:val="00BE3659"/>
    <w:rsid w:val="00BE4843"/>
    <w:rsid w:val="00BE4865"/>
    <w:rsid w:val="00BE5595"/>
    <w:rsid w:val="00BE5735"/>
    <w:rsid w:val="00BE57EF"/>
    <w:rsid w:val="00BE6247"/>
    <w:rsid w:val="00BE69BF"/>
    <w:rsid w:val="00BE725A"/>
    <w:rsid w:val="00BE73C1"/>
    <w:rsid w:val="00BE7430"/>
    <w:rsid w:val="00BE7B48"/>
    <w:rsid w:val="00BF03EB"/>
    <w:rsid w:val="00BF1B9F"/>
    <w:rsid w:val="00BF3381"/>
    <w:rsid w:val="00BF341B"/>
    <w:rsid w:val="00BF3AEA"/>
    <w:rsid w:val="00BF45F2"/>
    <w:rsid w:val="00BF475C"/>
    <w:rsid w:val="00BF5322"/>
    <w:rsid w:val="00BF667D"/>
    <w:rsid w:val="00BF6F33"/>
    <w:rsid w:val="00BF75D9"/>
    <w:rsid w:val="00C004B6"/>
    <w:rsid w:val="00C005E6"/>
    <w:rsid w:val="00C01579"/>
    <w:rsid w:val="00C03573"/>
    <w:rsid w:val="00C03922"/>
    <w:rsid w:val="00C03AA9"/>
    <w:rsid w:val="00C06005"/>
    <w:rsid w:val="00C076CE"/>
    <w:rsid w:val="00C10FCF"/>
    <w:rsid w:val="00C11219"/>
    <w:rsid w:val="00C12810"/>
    <w:rsid w:val="00C1283E"/>
    <w:rsid w:val="00C145CF"/>
    <w:rsid w:val="00C14B2C"/>
    <w:rsid w:val="00C14EE1"/>
    <w:rsid w:val="00C15903"/>
    <w:rsid w:val="00C16B4B"/>
    <w:rsid w:val="00C16E51"/>
    <w:rsid w:val="00C17427"/>
    <w:rsid w:val="00C20A16"/>
    <w:rsid w:val="00C20C00"/>
    <w:rsid w:val="00C210FD"/>
    <w:rsid w:val="00C22183"/>
    <w:rsid w:val="00C22901"/>
    <w:rsid w:val="00C25238"/>
    <w:rsid w:val="00C2734F"/>
    <w:rsid w:val="00C305F2"/>
    <w:rsid w:val="00C3345C"/>
    <w:rsid w:val="00C3426A"/>
    <w:rsid w:val="00C40177"/>
    <w:rsid w:val="00C40653"/>
    <w:rsid w:val="00C407E5"/>
    <w:rsid w:val="00C41F64"/>
    <w:rsid w:val="00C42DAC"/>
    <w:rsid w:val="00C4342B"/>
    <w:rsid w:val="00C436E3"/>
    <w:rsid w:val="00C443B2"/>
    <w:rsid w:val="00C44666"/>
    <w:rsid w:val="00C44A1F"/>
    <w:rsid w:val="00C459A9"/>
    <w:rsid w:val="00C464E7"/>
    <w:rsid w:val="00C477E7"/>
    <w:rsid w:val="00C502A5"/>
    <w:rsid w:val="00C5034B"/>
    <w:rsid w:val="00C521F7"/>
    <w:rsid w:val="00C53008"/>
    <w:rsid w:val="00C53428"/>
    <w:rsid w:val="00C53A6B"/>
    <w:rsid w:val="00C53C0A"/>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5E0"/>
    <w:rsid w:val="00C700DA"/>
    <w:rsid w:val="00C7063C"/>
    <w:rsid w:val="00C714C9"/>
    <w:rsid w:val="00C71F4C"/>
    <w:rsid w:val="00C72844"/>
    <w:rsid w:val="00C73C57"/>
    <w:rsid w:val="00C7427F"/>
    <w:rsid w:val="00C746D9"/>
    <w:rsid w:val="00C74D43"/>
    <w:rsid w:val="00C75CA7"/>
    <w:rsid w:val="00C7683D"/>
    <w:rsid w:val="00C77F47"/>
    <w:rsid w:val="00C80751"/>
    <w:rsid w:val="00C81EB6"/>
    <w:rsid w:val="00C8257A"/>
    <w:rsid w:val="00C83553"/>
    <w:rsid w:val="00C83CDA"/>
    <w:rsid w:val="00C83F2A"/>
    <w:rsid w:val="00C860A8"/>
    <w:rsid w:val="00C86432"/>
    <w:rsid w:val="00C86478"/>
    <w:rsid w:val="00C86FC6"/>
    <w:rsid w:val="00C901BB"/>
    <w:rsid w:val="00C90CD3"/>
    <w:rsid w:val="00C9116A"/>
    <w:rsid w:val="00C92552"/>
    <w:rsid w:val="00C92C27"/>
    <w:rsid w:val="00C939E8"/>
    <w:rsid w:val="00C93F1B"/>
    <w:rsid w:val="00C95093"/>
    <w:rsid w:val="00C95AB0"/>
    <w:rsid w:val="00C96DFE"/>
    <w:rsid w:val="00C976D1"/>
    <w:rsid w:val="00C97851"/>
    <w:rsid w:val="00CA2DFC"/>
    <w:rsid w:val="00CA308F"/>
    <w:rsid w:val="00CA4BA2"/>
    <w:rsid w:val="00CA5A71"/>
    <w:rsid w:val="00CA6EDA"/>
    <w:rsid w:val="00CA6F0D"/>
    <w:rsid w:val="00CA71D4"/>
    <w:rsid w:val="00CA7940"/>
    <w:rsid w:val="00CA7CCC"/>
    <w:rsid w:val="00CA7D7D"/>
    <w:rsid w:val="00CB1A0D"/>
    <w:rsid w:val="00CB484F"/>
    <w:rsid w:val="00CB5429"/>
    <w:rsid w:val="00CB5D29"/>
    <w:rsid w:val="00CB675A"/>
    <w:rsid w:val="00CB6EC8"/>
    <w:rsid w:val="00CB782B"/>
    <w:rsid w:val="00CC082B"/>
    <w:rsid w:val="00CC0E77"/>
    <w:rsid w:val="00CC2092"/>
    <w:rsid w:val="00CC285C"/>
    <w:rsid w:val="00CC2ED0"/>
    <w:rsid w:val="00CC34C5"/>
    <w:rsid w:val="00CC4E62"/>
    <w:rsid w:val="00CC5595"/>
    <w:rsid w:val="00CC5E76"/>
    <w:rsid w:val="00CC69E7"/>
    <w:rsid w:val="00CC6C08"/>
    <w:rsid w:val="00CD049D"/>
    <w:rsid w:val="00CD1770"/>
    <w:rsid w:val="00CD267F"/>
    <w:rsid w:val="00CD3A5D"/>
    <w:rsid w:val="00CD51ED"/>
    <w:rsid w:val="00CD5BAD"/>
    <w:rsid w:val="00CD5FD4"/>
    <w:rsid w:val="00CD6516"/>
    <w:rsid w:val="00CD6A36"/>
    <w:rsid w:val="00CD7D5B"/>
    <w:rsid w:val="00CE0DCE"/>
    <w:rsid w:val="00CE1BC9"/>
    <w:rsid w:val="00CE33C1"/>
    <w:rsid w:val="00CE4DD6"/>
    <w:rsid w:val="00CE597A"/>
    <w:rsid w:val="00CE76FF"/>
    <w:rsid w:val="00CE77D9"/>
    <w:rsid w:val="00CF1CF7"/>
    <w:rsid w:val="00CF2954"/>
    <w:rsid w:val="00CF3BFD"/>
    <w:rsid w:val="00CF3C35"/>
    <w:rsid w:val="00CF4012"/>
    <w:rsid w:val="00CF43D5"/>
    <w:rsid w:val="00CF474E"/>
    <w:rsid w:val="00CF4C79"/>
    <w:rsid w:val="00CF5EC7"/>
    <w:rsid w:val="00CF793D"/>
    <w:rsid w:val="00CF7969"/>
    <w:rsid w:val="00D01836"/>
    <w:rsid w:val="00D01F75"/>
    <w:rsid w:val="00D02BC6"/>
    <w:rsid w:val="00D02CFC"/>
    <w:rsid w:val="00D0310D"/>
    <w:rsid w:val="00D04099"/>
    <w:rsid w:val="00D047A7"/>
    <w:rsid w:val="00D051FE"/>
    <w:rsid w:val="00D05803"/>
    <w:rsid w:val="00D05C7C"/>
    <w:rsid w:val="00D06906"/>
    <w:rsid w:val="00D07742"/>
    <w:rsid w:val="00D10F9D"/>
    <w:rsid w:val="00D1202D"/>
    <w:rsid w:val="00D1276A"/>
    <w:rsid w:val="00D12816"/>
    <w:rsid w:val="00D13B43"/>
    <w:rsid w:val="00D14C9C"/>
    <w:rsid w:val="00D14DB7"/>
    <w:rsid w:val="00D15904"/>
    <w:rsid w:val="00D15ED5"/>
    <w:rsid w:val="00D15F1A"/>
    <w:rsid w:val="00D16656"/>
    <w:rsid w:val="00D172C9"/>
    <w:rsid w:val="00D200AB"/>
    <w:rsid w:val="00D20B81"/>
    <w:rsid w:val="00D2285A"/>
    <w:rsid w:val="00D22AD2"/>
    <w:rsid w:val="00D244BD"/>
    <w:rsid w:val="00D24EFC"/>
    <w:rsid w:val="00D24F48"/>
    <w:rsid w:val="00D26C9C"/>
    <w:rsid w:val="00D30834"/>
    <w:rsid w:val="00D31387"/>
    <w:rsid w:val="00D31CD5"/>
    <w:rsid w:val="00D31DC6"/>
    <w:rsid w:val="00D32150"/>
    <w:rsid w:val="00D32B96"/>
    <w:rsid w:val="00D340C6"/>
    <w:rsid w:val="00D34402"/>
    <w:rsid w:val="00D348F7"/>
    <w:rsid w:val="00D348FC"/>
    <w:rsid w:val="00D3564E"/>
    <w:rsid w:val="00D36EF4"/>
    <w:rsid w:val="00D371D0"/>
    <w:rsid w:val="00D4062A"/>
    <w:rsid w:val="00D407D3"/>
    <w:rsid w:val="00D40BC3"/>
    <w:rsid w:val="00D41A35"/>
    <w:rsid w:val="00D42F2E"/>
    <w:rsid w:val="00D434EC"/>
    <w:rsid w:val="00D43E69"/>
    <w:rsid w:val="00D44A88"/>
    <w:rsid w:val="00D44E9D"/>
    <w:rsid w:val="00D45084"/>
    <w:rsid w:val="00D454A6"/>
    <w:rsid w:val="00D466D0"/>
    <w:rsid w:val="00D46D69"/>
    <w:rsid w:val="00D472A7"/>
    <w:rsid w:val="00D51515"/>
    <w:rsid w:val="00D51930"/>
    <w:rsid w:val="00D538C7"/>
    <w:rsid w:val="00D53EC2"/>
    <w:rsid w:val="00D54BD5"/>
    <w:rsid w:val="00D575F0"/>
    <w:rsid w:val="00D575F1"/>
    <w:rsid w:val="00D603BA"/>
    <w:rsid w:val="00D60578"/>
    <w:rsid w:val="00D61A0E"/>
    <w:rsid w:val="00D634BD"/>
    <w:rsid w:val="00D63FD4"/>
    <w:rsid w:val="00D704EA"/>
    <w:rsid w:val="00D71CF9"/>
    <w:rsid w:val="00D72264"/>
    <w:rsid w:val="00D731A8"/>
    <w:rsid w:val="00D7675E"/>
    <w:rsid w:val="00D768D8"/>
    <w:rsid w:val="00D80080"/>
    <w:rsid w:val="00D809E2"/>
    <w:rsid w:val="00D80F9D"/>
    <w:rsid w:val="00D80FFB"/>
    <w:rsid w:val="00D8189D"/>
    <w:rsid w:val="00D81BAE"/>
    <w:rsid w:val="00D8202E"/>
    <w:rsid w:val="00D8374F"/>
    <w:rsid w:val="00D83774"/>
    <w:rsid w:val="00D848E9"/>
    <w:rsid w:val="00D84B17"/>
    <w:rsid w:val="00D8507D"/>
    <w:rsid w:val="00D8539A"/>
    <w:rsid w:val="00D86735"/>
    <w:rsid w:val="00D8718E"/>
    <w:rsid w:val="00D871FB"/>
    <w:rsid w:val="00D87AA2"/>
    <w:rsid w:val="00D90C9D"/>
    <w:rsid w:val="00D90E57"/>
    <w:rsid w:val="00D91910"/>
    <w:rsid w:val="00D91AA8"/>
    <w:rsid w:val="00D944A6"/>
    <w:rsid w:val="00D95B5F"/>
    <w:rsid w:val="00D96FC3"/>
    <w:rsid w:val="00DA0084"/>
    <w:rsid w:val="00DA0839"/>
    <w:rsid w:val="00DA12C3"/>
    <w:rsid w:val="00DA22B5"/>
    <w:rsid w:val="00DA267B"/>
    <w:rsid w:val="00DA495D"/>
    <w:rsid w:val="00DA4F15"/>
    <w:rsid w:val="00DA5DCA"/>
    <w:rsid w:val="00DA7AEF"/>
    <w:rsid w:val="00DA7BA0"/>
    <w:rsid w:val="00DA7BEE"/>
    <w:rsid w:val="00DB0DC4"/>
    <w:rsid w:val="00DB315E"/>
    <w:rsid w:val="00DB35DB"/>
    <w:rsid w:val="00DB42F5"/>
    <w:rsid w:val="00DB469A"/>
    <w:rsid w:val="00DB52C3"/>
    <w:rsid w:val="00DB5454"/>
    <w:rsid w:val="00DB5DA3"/>
    <w:rsid w:val="00DB6703"/>
    <w:rsid w:val="00DB7E5F"/>
    <w:rsid w:val="00DC10B0"/>
    <w:rsid w:val="00DC1246"/>
    <w:rsid w:val="00DC1594"/>
    <w:rsid w:val="00DC2884"/>
    <w:rsid w:val="00DC4770"/>
    <w:rsid w:val="00DC4BCD"/>
    <w:rsid w:val="00DC66EB"/>
    <w:rsid w:val="00DC6770"/>
    <w:rsid w:val="00DD086D"/>
    <w:rsid w:val="00DD1107"/>
    <w:rsid w:val="00DD178F"/>
    <w:rsid w:val="00DD1F5E"/>
    <w:rsid w:val="00DD1FE4"/>
    <w:rsid w:val="00DD30C6"/>
    <w:rsid w:val="00DE1C03"/>
    <w:rsid w:val="00DE1E03"/>
    <w:rsid w:val="00DE2966"/>
    <w:rsid w:val="00DE3AF1"/>
    <w:rsid w:val="00DE40E0"/>
    <w:rsid w:val="00DE4107"/>
    <w:rsid w:val="00DE4F8D"/>
    <w:rsid w:val="00DE5E6D"/>
    <w:rsid w:val="00DE6BBD"/>
    <w:rsid w:val="00DE70AE"/>
    <w:rsid w:val="00DE7D92"/>
    <w:rsid w:val="00DF0481"/>
    <w:rsid w:val="00DF04ED"/>
    <w:rsid w:val="00DF06B6"/>
    <w:rsid w:val="00DF0B5E"/>
    <w:rsid w:val="00DF0ED5"/>
    <w:rsid w:val="00DF140A"/>
    <w:rsid w:val="00DF2842"/>
    <w:rsid w:val="00DF4C9C"/>
    <w:rsid w:val="00DF6537"/>
    <w:rsid w:val="00DF6A00"/>
    <w:rsid w:val="00DF72D9"/>
    <w:rsid w:val="00DF7DF3"/>
    <w:rsid w:val="00DF7EC8"/>
    <w:rsid w:val="00E00EC3"/>
    <w:rsid w:val="00E028ED"/>
    <w:rsid w:val="00E02A5D"/>
    <w:rsid w:val="00E0499F"/>
    <w:rsid w:val="00E104F6"/>
    <w:rsid w:val="00E10748"/>
    <w:rsid w:val="00E11282"/>
    <w:rsid w:val="00E123CC"/>
    <w:rsid w:val="00E12ED3"/>
    <w:rsid w:val="00E12F57"/>
    <w:rsid w:val="00E14282"/>
    <w:rsid w:val="00E156F2"/>
    <w:rsid w:val="00E17436"/>
    <w:rsid w:val="00E17728"/>
    <w:rsid w:val="00E17FA7"/>
    <w:rsid w:val="00E2250E"/>
    <w:rsid w:val="00E22FE4"/>
    <w:rsid w:val="00E24BF5"/>
    <w:rsid w:val="00E24C2A"/>
    <w:rsid w:val="00E25494"/>
    <w:rsid w:val="00E256C4"/>
    <w:rsid w:val="00E25982"/>
    <w:rsid w:val="00E2674B"/>
    <w:rsid w:val="00E27DDF"/>
    <w:rsid w:val="00E27E01"/>
    <w:rsid w:val="00E30A90"/>
    <w:rsid w:val="00E31CDE"/>
    <w:rsid w:val="00E327A3"/>
    <w:rsid w:val="00E32DBA"/>
    <w:rsid w:val="00E33906"/>
    <w:rsid w:val="00E3553C"/>
    <w:rsid w:val="00E35655"/>
    <w:rsid w:val="00E4056D"/>
    <w:rsid w:val="00E40B85"/>
    <w:rsid w:val="00E411DA"/>
    <w:rsid w:val="00E4236F"/>
    <w:rsid w:val="00E433BE"/>
    <w:rsid w:val="00E43469"/>
    <w:rsid w:val="00E4369C"/>
    <w:rsid w:val="00E43A0F"/>
    <w:rsid w:val="00E445DA"/>
    <w:rsid w:val="00E45379"/>
    <w:rsid w:val="00E465CB"/>
    <w:rsid w:val="00E46B1F"/>
    <w:rsid w:val="00E4752F"/>
    <w:rsid w:val="00E47C0D"/>
    <w:rsid w:val="00E47D4C"/>
    <w:rsid w:val="00E50B22"/>
    <w:rsid w:val="00E516F1"/>
    <w:rsid w:val="00E51910"/>
    <w:rsid w:val="00E51E18"/>
    <w:rsid w:val="00E5287B"/>
    <w:rsid w:val="00E52F9B"/>
    <w:rsid w:val="00E533BD"/>
    <w:rsid w:val="00E53706"/>
    <w:rsid w:val="00E5574A"/>
    <w:rsid w:val="00E57CE2"/>
    <w:rsid w:val="00E57F26"/>
    <w:rsid w:val="00E617BD"/>
    <w:rsid w:val="00E61E05"/>
    <w:rsid w:val="00E62923"/>
    <w:rsid w:val="00E62AC6"/>
    <w:rsid w:val="00E64BD9"/>
    <w:rsid w:val="00E6519C"/>
    <w:rsid w:val="00E661F3"/>
    <w:rsid w:val="00E67E50"/>
    <w:rsid w:val="00E705B4"/>
    <w:rsid w:val="00E72967"/>
    <w:rsid w:val="00E74F9D"/>
    <w:rsid w:val="00E75407"/>
    <w:rsid w:val="00E75472"/>
    <w:rsid w:val="00E7591A"/>
    <w:rsid w:val="00E77AA0"/>
    <w:rsid w:val="00E8155D"/>
    <w:rsid w:val="00E82615"/>
    <w:rsid w:val="00E84A66"/>
    <w:rsid w:val="00E84AD7"/>
    <w:rsid w:val="00E84BCF"/>
    <w:rsid w:val="00E85CC0"/>
    <w:rsid w:val="00E874C9"/>
    <w:rsid w:val="00E905B8"/>
    <w:rsid w:val="00E90627"/>
    <w:rsid w:val="00E910A7"/>
    <w:rsid w:val="00E9193D"/>
    <w:rsid w:val="00E958AD"/>
    <w:rsid w:val="00E96E1A"/>
    <w:rsid w:val="00EA0E04"/>
    <w:rsid w:val="00EA1A98"/>
    <w:rsid w:val="00EA220D"/>
    <w:rsid w:val="00EA3156"/>
    <w:rsid w:val="00EA34A1"/>
    <w:rsid w:val="00EA40A2"/>
    <w:rsid w:val="00EA4CD5"/>
    <w:rsid w:val="00EA5D2C"/>
    <w:rsid w:val="00EA5D8E"/>
    <w:rsid w:val="00EA5E6D"/>
    <w:rsid w:val="00EA6FFD"/>
    <w:rsid w:val="00EB02BD"/>
    <w:rsid w:val="00EB07CF"/>
    <w:rsid w:val="00EB0D0E"/>
    <w:rsid w:val="00EB1363"/>
    <w:rsid w:val="00EB266C"/>
    <w:rsid w:val="00EB3337"/>
    <w:rsid w:val="00EB36EC"/>
    <w:rsid w:val="00EB3B88"/>
    <w:rsid w:val="00EB3BB1"/>
    <w:rsid w:val="00EB3DB2"/>
    <w:rsid w:val="00EB42DC"/>
    <w:rsid w:val="00EB70AD"/>
    <w:rsid w:val="00EC0928"/>
    <w:rsid w:val="00EC0C14"/>
    <w:rsid w:val="00EC2B42"/>
    <w:rsid w:val="00EC3B8F"/>
    <w:rsid w:val="00EC3D94"/>
    <w:rsid w:val="00EC5CA0"/>
    <w:rsid w:val="00EC7372"/>
    <w:rsid w:val="00ED0ADC"/>
    <w:rsid w:val="00ED19D1"/>
    <w:rsid w:val="00ED2AC0"/>
    <w:rsid w:val="00ED30E8"/>
    <w:rsid w:val="00ED36D0"/>
    <w:rsid w:val="00ED3B69"/>
    <w:rsid w:val="00ED3ECA"/>
    <w:rsid w:val="00ED3F39"/>
    <w:rsid w:val="00ED4492"/>
    <w:rsid w:val="00ED4E09"/>
    <w:rsid w:val="00ED63AE"/>
    <w:rsid w:val="00ED646D"/>
    <w:rsid w:val="00ED6CD1"/>
    <w:rsid w:val="00ED76D1"/>
    <w:rsid w:val="00ED7A42"/>
    <w:rsid w:val="00EE1D80"/>
    <w:rsid w:val="00EE1EE0"/>
    <w:rsid w:val="00EE2CC8"/>
    <w:rsid w:val="00EE3020"/>
    <w:rsid w:val="00EE37F7"/>
    <w:rsid w:val="00EE4A8C"/>
    <w:rsid w:val="00EE5AD5"/>
    <w:rsid w:val="00EE5F2E"/>
    <w:rsid w:val="00EF07AB"/>
    <w:rsid w:val="00EF16DB"/>
    <w:rsid w:val="00EF2756"/>
    <w:rsid w:val="00EF2C2D"/>
    <w:rsid w:val="00EF4537"/>
    <w:rsid w:val="00EF4A64"/>
    <w:rsid w:val="00EF4D52"/>
    <w:rsid w:val="00EF54EA"/>
    <w:rsid w:val="00F00235"/>
    <w:rsid w:val="00F02171"/>
    <w:rsid w:val="00F02D6F"/>
    <w:rsid w:val="00F033EF"/>
    <w:rsid w:val="00F04076"/>
    <w:rsid w:val="00F0445D"/>
    <w:rsid w:val="00F0528B"/>
    <w:rsid w:val="00F061A6"/>
    <w:rsid w:val="00F06B3A"/>
    <w:rsid w:val="00F0710C"/>
    <w:rsid w:val="00F07A3A"/>
    <w:rsid w:val="00F07A69"/>
    <w:rsid w:val="00F07C58"/>
    <w:rsid w:val="00F11AB3"/>
    <w:rsid w:val="00F11CA4"/>
    <w:rsid w:val="00F11E70"/>
    <w:rsid w:val="00F1286E"/>
    <w:rsid w:val="00F12B32"/>
    <w:rsid w:val="00F14017"/>
    <w:rsid w:val="00F1608F"/>
    <w:rsid w:val="00F160C0"/>
    <w:rsid w:val="00F1684C"/>
    <w:rsid w:val="00F16A92"/>
    <w:rsid w:val="00F16DC0"/>
    <w:rsid w:val="00F20633"/>
    <w:rsid w:val="00F21A93"/>
    <w:rsid w:val="00F21DD6"/>
    <w:rsid w:val="00F225C9"/>
    <w:rsid w:val="00F2311D"/>
    <w:rsid w:val="00F2319B"/>
    <w:rsid w:val="00F24372"/>
    <w:rsid w:val="00F251E7"/>
    <w:rsid w:val="00F25CFE"/>
    <w:rsid w:val="00F26CC2"/>
    <w:rsid w:val="00F3006C"/>
    <w:rsid w:val="00F31E89"/>
    <w:rsid w:val="00F35243"/>
    <w:rsid w:val="00F35E42"/>
    <w:rsid w:val="00F36E9F"/>
    <w:rsid w:val="00F41B19"/>
    <w:rsid w:val="00F41BDB"/>
    <w:rsid w:val="00F42AB5"/>
    <w:rsid w:val="00F42B37"/>
    <w:rsid w:val="00F42F01"/>
    <w:rsid w:val="00F43E6E"/>
    <w:rsid w:val="00F43EBF"/>
    <w:rsid w:val="00F43F3F"/>
    <w:rsid w:val="00F44423"/>
    <w:rsid w:val="00F4653F"/>
    <w:rsid w:val="00F466DE"/>
    <w:rsid w:val="00F47B8C"/>
    <w:rsid w:val="00F47DD8"/>
    <w:rsid w:val="00F50BE6"/>
    <w:rsid w:val="00F51236"/>
    <w:rsid w:val="00F51438"/>
    <w:rsid w:val="00F516D0"/>
    <w:rsid w:val="00F51CBF"/>
    <w:rsid w:val="00F5374C"/>
    <w:rsid w:val="00F541B8"/>
    <w:rsid w:val="00F55D63"/>
    <w:rsid w:val="00F56368"/>
    <w:rsid w:val="00F56B6D"/>
    <w:rsid w:val="00F56CC2"/>
    <w:rsid w:val="00F6006C"/>
    <w:rsid w:val="00F60105"/>
    <w:rsid w:val="00F60BC0"/>
    <w:rsid w:val="00F615A8"/>
    <w:rsid w:val="00F61B7F"/>
    <w:rsid w:val="00F62370"/>
    <w:rsid w:val="00F62750"/>
    <w:rsid w:val="00F628D3"/>
    <w:rsid w:val="00F62EF2"/>
    <w:rsid w:val="00F638C3"/>
    <w:rsid w:val="00F6497E"/>
    <w:rsid w:val="00F66B06"/>
    <w:rsid w:val="00F671D1"/>
    <w:rsid w:val="00F677E2"/>
    <w:rsid w:val="00F67B74"/>
    <w:rsid w:val="00F70830"/>
    <w:rsid w:val="00F70C89"/>
    <w:rsid w:val="00F70FBD"/>
    <w:rsid w:val="00F717E6"/>
    <w:rsid w:val="00F7334A"/>
    <w:rsid w:val="00F7367B"/>
    <w:rsid w:val="00F73751"/>
    <w:rsid w:val="00F73DC5"/>
    <w:rsid w:val="00F7470D"/>
    <w:rsid w:val="00F75EAD"/>
    <w:rsid w:val="00F76073"/>
    <w:rsid w:val="00F77154"/>
    <w:rsid w:val="00F7770C"/>
    <w:rsid w:val="00F805E4"/>
    <w:rsid w:val="00F80690"/>
    <w:rsid w:val="00F80F33"/>
    <w:rsid w:val="00F846D6"/>
    <w:rsid w:val="00F86997"/>
    <w:rsid w:val="00F871D7"/>
    <w:rsid w:val="00F9173A"/>
    <w:rsid w:val="00F91800"/>
    <w:rsid w:val="00F93469"/>
    <w:rsid w:val="00F93DC4"/>
    <w:rsid w:val="00F94E99"/>
    <w:rsid w:val="00F9540C"/>
    <w:rsid w:val="00F960D5"/>
    <w:rsid w:val="00F9650A"/>
    <w:rsid w:val="00F967C7"/>
    <w:rsid w:val="00FA0437"/>
    <w:rsid w:val="00FA206B"/>
    <w:rsid w:val="00FA233F"/>
    <w:rsid w:val="00FA2E05"/>
    <w:rsid w:val="00FA3493"/>
    <w:rsid w:val="00FA3DF0"/>
    <w:rsid w:val="00FA4481"/>
    <w:rsid w:val="00FA5CD1"/>
    <w:rsid w:val="00FA610B"/>
    <w:rsid w:val="00FA7547"/>
    <w:rsid w:val="00FA7D57"/>
    <w:rsid w:val="00FB0008"/>
    <w:rsid w:val="00FB029E"/>
    <w:rsid w:val="00FB071C"/>
    <w:rsid w:val="00FB0A6B"/>
    <w:rsid w:val="00FB1030"/>
    <w:rsid w:val="00FB1ACE"/>
    <w:rsid w:val="00FB1B08"/>
    <w:rsid w:val="00FB2A36"/>
    <w:rsid w:val="00FB2B14"/>
    <w:rsid w:val="00FB3EA0"/>
    <w:rsid w:val="00FB55F4"/>
    <w:rsid w:val="00FB58D8"/>
    <w:rsid w:val="00FB5C1A"/>
    <w:rsid w:val="00FB677F"/>
    <w:rsid w:val="00FB7140"/>
    <w:rsid w:val="00FC0B63"/>
    <w:rsid w:val="00FC12ED"/>
    <w:rsid w:val="00FC1748"/>
    <w:rsid w:val="00FC17A6"/>
    <w:rsid w:val="00FC1A90"/>
    <w:rsid w:val="00FC2209"/>
    <w:rsid w:val="00FC2A8C"/>
    <w:rsid w:val="00FC345E"/>
    <w:rsid w:val="00FC4576"/>
    <w:rsid w:val="00FC534F"/>
    <w:rsid w:val="00FC6BB0"/>
    <w:rsid w:val="00FC7531"/>
    <w:rsid w:val="00FC7585"/>
    <w:rsid w:val="00FC7EAA"/>
    <w:rsid w:val="00FD0A39"/>
    <w:rsid w:val="00FD3C34"/>
    <w:rsid w:val="00FD49A2"/>
    <w:rsid w:val="00FD4A3D"/>
    <w:rsid w:val="00FD4FA5"/>
    <w:rsid w:val="00FD5166"/>
    <w:rsid w:val="00FD6CDE"/>
    <w:rsid w:val="00FD758C"/>
    <w:rsid w:val="00FE19D5"/>
    <w:rsid w:val="00FE2C3A"/>
    <w:rsid w:val="00FE3D58"/>
    <w:rsid w:val="00FE62DC"/>
    <w:rsid w:val="00FE6E6B"/>
    <w:rsid w:val="00FE731D"/>
    <w:rsid w:val="00FF05B9"/>
    <w:rsid w:val="00FF06BF"/>
    <w:rsid w:val="00FF0EB1"/>
    <w:rsid w:val="00FF16EC"/>
    <w:rsid w:val="00FF456A"/>
    <w:rsid w:val="00FF46FD"/>
    <w:rsid w:val="00FF6204"/>
    <w:rsid w:val="00FF634D"/>
    <w:rsid w:val="00FF739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F303D07"/>
  <w15:docId w15:val="{B057E0D4-9DD4-4D2C-B233-F84C958E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BE1"/>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005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6D6B"/>
    <w:rPr>
      <w:color w:val="605E5C"/>
      <w:shd w:val="clear" w:color="auto" w:fill="E1DFDD"/>
    </w:rPr>
  </w:style>
  <w:style w:type="character" w:customStyle="1" w:styleId="UnresolvedMention">
    <w:name w:val="Unresolved Mention"/>
    <w:basedOn w:val="Fuentedeprrafopredeter"/>
    <w:uiPriority w:val="99"/>
    <w:semiHidden/>
    <w:unhideWhenUsed/>
    <w:rsid w:val="000A33E3"/>
    <w:rPr>
      <w:color w:val="605E5C"/>
      <w:shd w:val="clear" w:color="auto" w:fill="E1DFDD"/>
    </w:rPr>
  </w:style>
  <w:style w:type="character" w:customStyle="1" w:styleId="Ttulo2Car">
    <w:name w:val="Título 2 Car"/>
    <w:basedOn w:val="Fuentedeprrafopredeter"/>
    <w:link w:val="Ttulo2"/>
    <w:uiPriority w:val="9"/>
    <w:rsid w:val="00C005E6"/>
    <w:rPr>
      <w:rFonts w:asciiTheme="majorHAnsi" w:eastAsiaTheme="majorEastAsia" w:hAnsiTheme="majorHAnsi" w:cstheme="majorBidi"/>
      <w:color w:val="2F5496" w:themeColor="accent1" w:themeShade="BF"/>
      <w:sz w:val="26"/>
      <w:szCs w:val="26"/>
      <w:lang w:eastAsia="es-ES"/>
    </w:rPr>
  </w:style>
  <w:style w:type="paragraph" w:styleId="NormalWeb">
    <w:name w:val="Normal (Web)"/>
    <w:basedOn w:val="Normal"/>
    <w:uiPriority w:val="99"/>
    <w:unhideWhenUsed/>
    <w:rsid w:val="00AC2226"/>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4588">
      <w:bodyDiv w:val="1"/>
      <w:marLeft w:val="0"/>
      <w:marRight w:val="0"/>
      <w:marTop w:val="0"/>
      <w:marBottom w:val="0"/>
      <w:divBdr>
        <w:top w:val="none" w:sz="0" w:space="0" w:color="auto"/>
        <w:left w:val="none" w:sz="0" w:space="0" w:color="auto"/>
        <w:bottom w:val="none" w:sz="0" w:space="0" w:color="auto"/>
        <w:right w:val="none" w:sz="0" w:space="0" w:color="auto"/>
      </w:divBdr>
    </w:div>
    <w:div w:id="76677785">
      <w:bodyDiv w:val="1"/>
      <w:marLeft w:val="0"/>
      <w:marRight w:val="0"/>
      <w:marTop w:val="0"/>
      <w:marBottom w:val="0"/>
      <w:divBdr>
        <w:top w:val="none" w:sz="0" w:space="0" w:color="auto"/>
        <w:left w:val="none" w:sz="0" w:space="0" w:color="auto"/>
        <w:bottom w:val="none" w:sz="0" w:space="0" w:color="auto"/>
        <w:right w:val="none" w:sz="0" w:space="0" w:color="auto"/>
      </w:divBdr>
    </w:div>
    <w:div w:id="115880371">
      <w:bodyDiv w:val="1"/>
      <w:marLeft w:val="0"/>
      <w:marRight w:val="0"/>
      <w:marTop w:val="0"/>
      <w:marBottom w:val="0"/>
      <w:divBdr>
        <w:top w:val="none" w:sz="0" w:space="0" w:color="auto"/>
        <w:left w:val="none" w:sz="0" w:space="0" w:color="auto"/>
        <w:bottom w:val="none" w:sz="0" w:space="0" w:color="auto"/>
        <w:right w:val="none" w:sz="0" w:space="0" w:color="auto"/>
      </w:divBdr>
    </w:div>
    <w:div w:id="134414448">
      <w:bodyDiv w:val="1"/>
      <w:marLeft w:val="0"/>
      <w:marRight w:val="0"/>
      <w:marTop w:val="0"/>
      <w:marBottom w:val="0"/>
      <w:divBdr>
        <w:top w:val="none" w:sz="0" w:space="0" w:color="auto"/>
        <w:left w:val="none" w:sz="0" w:space="0" w:color="auto"/>
        <w:bottom w:val="none" w:sz="0" w:space="0" w:color="auto"/>
        <w:right w:val="none" w:sz="0" w:space="0" w:color="auto"/>
      </w:divBdr>
    </w:div>
    <w:div w:id="153688487">
      <w:bodyDiv w:val="1"/>
      <w:marLeft w:val="0"/>
      <w:marRight w:val="0"/>
      <w:marTop w:val="0"/>
      <w:marBottom w:val="0"/>
      <w:divBdr>
        <w:top w:val="none" w:sz="0" w:space="0" w:color="auto"/>
        <w:left w:val="none" w:sz="0" w:space="0" w:color="auto"/>
        <w:bottom w:val="none" w:sz="0" w:space="0" w:color="auto"/>
        <w:right w:val="none" w:sz="0" w:space="0" w:color="auto"/>
      </w:divBdr>
    </w:div>
    <w:div w:id="178086572">
      <w:bodyDiv w:val="1"/>
      <w:marLeft w:val="0"/>
      <w:marRight w:val="0"/>
      <w:marTop w:val="0"/>
      <w:marBottom w:val="0"/>
      <w:divBdr>
        <w:top w:val="none" w:sz="0" w:space="0" w:color="auto"/>
        <w:left w:val="none" w:sz="0" w:space="0" w:color="auto"/>
        <w:bottom w:val="none" w:sz="0" w:space="0" w:color="auto"/>
        <w:right w:val="none" w:sz="0" w:space="0" w:color="auto"/>
      </w:divBdr>
    </w:div>
    <w:div w:id="178468455">
      <w:bodyDiv w:val="1"/>
      <w:marLeft w:val="0"/>
      <w:marRight w:val="0"/>
      <w:marTop w:val="0"/>
      <w:marBottom w:val="0"/>
      <w:divBdr>
        <w:top w:val="none" w:sz="0" w:space="0" w:color="auto"/>
        <w:left w:val="none" w:sz="0" w:space="0" w:color="auto"/>
        <w:bottom w:val="none" w:sz="0" w:space="0" w:color="auto"/>
        <w:right w:val="none" w:sz="0" w:space="0" w:color="auto"/>
      </w:divBdr>
    </w:div>
    <w:div w:id="179779850">
      <w:bodyDiv w:val="1"/>
      <w:marLeft w:val="0"/>
      <w:marRight w:val="0"/>
      <w:marTop w:val="0"/>
      <w:marBottom w:val="0"/>
      <w:divBdr>
        <w:top w:val="none" w:sz="0" w:space="0" w:color="auto"/>
        <w:left w:val="none" w:sz="0" w:space="0" w:color="auto"/>
        <w:bottom w:val="none" w:sz="0" w:space="0" w:color="auto"/>
        <w:right w:val="none" w:sz="0" w:space="0" w:color="auto"/>
      </w:divBdr>
      <w:divsChild>
        <w:div w:id="727725429">
          <w:marLeft w:val="0"/>
          <w:marRight w:val="0"/>
          <w:marTop w:val="0"/>
          <w:marBottom w:val="0"/>
          <w:divBdr>
            <w:top w:val="none" w:sz="0" w:space="0" w:color="auto"/>
            <w:left w:val="none" w:sz="0" w:space="0" w:color="auto"/>
            <w:bottom w:val="none" w:sz="0" w:space="0" w:color="auto"/>
            <w:right w:val="none" w:sz="0" w:space="0" w:color="auto"/>
          </w:divBdr>
        </w:div>
        <w:div w:id="1507742986">
          <w:marLeft w:val="0"/>
          <w:marRight w:val="0"/>
          <w:marTop w:val="0"/>
          <w:marBottom w:val="0"/>
          <w:divBdr>
            <w:top w:val="none" w:sz="0" w:space="0" w:color="auto"/>
            <w:left w:val="none" w:sz="0" w:space="0" w:color="auto"/>
            <w:bottom w:val="none" w:sz="0" w:space="0" w:color="auto"/>
            <w:right w:val="none" w:sz="0" w:space="0" w:color="auto"/>
          </w:divBdr>
        </w:div>
        <w:div w:id="2143231308">
          <w:marLeft w:val="0"/>
          <w:marRight w:val="0"/>
          <w:marTop w:val="0"/>
          <w:marBottom w:val="0"/>
          <w:divBdr>
            <w:top w:val="none" w:sz="0" w:space="0" w:color="auto"/>
            <w:left w:val="none" w:sz="0" w:space="0" w:color="auto"/>
            <w:bottom w:val="none" w:sz="0" w:space="0" w:color="auto"/>
            <w:right w:val="none" w:sz="0" w:space="0" w:color="auto"/>
          </w:divBdr>
        </w:div>
      </w:divsChild>
    </w:div>
    <w:div w:id="196744751">
      <w:bodyDiv w:val="1"/>
      <w:marLeft w:val="0"/>
      <w:marRight w:val="0"/>
      <w:marTop w:val="0"/>
      <w:marBottom w:val="0"/>
      <w:divBdr>
        <w:top w:val="none" w:sz="0" w:space="0" w:color="auto"/>
        <w:left w:val="none" w:sz="0" w:space="0" w:color="auto"/>
        <w:bottom w:val="none" w:sz="0" w:space="0" w:color="auto"/>
        <w:right w:val="none" w:sz="0" w:space="0" w:color="auto"/>
      </w:divBdr>
    </w:div>
    <w:div w:id="199366763">
      <w:bodyDiv w:val="1"/>
      <w:marLeft w:val="0"/>
      <w:marRight w:val="0"/>
      <w:marTop w:val="0"/>
      <w:marBottom w:val="0"/>
      <w:divBdr>
        <w:top w:val="none" w:sz="0" w:space="0" w:color="auto"/>
        <w:left w:val="none" w:sz="0" w:space="0" w:color="auto"/>
        <w:bottom w:val="none" w:sz="0" w:space="0" w:color="auto"/>
        <w:right w:val="none" w:sz="0" w:space="0" w:color="auto"/>
      </w:divBdr>
    </w:div>
    <w:div w:id="202443260">
      <w:bodyDiv w:val="1"/>
      <w:marLeft w:val="0"/>
      <w:marRight w:val="0"/>
      <w:marTop w:val="0"/>
      <w:marBottom w:val="0"/>
      <w:divBdr>
        <w:top w:val="none" w:sz="0" w:space="0" w:color="auto"/>
        <w:left w:val="none" w:sz="0" w:space="0" w:color="auto"/>
        <w:bottom w:val="none" w:sz="0" w:space="0" w:color="auto"/>
        <w:right w:val="none" w:sz="0" w:space="0" w:color="auto"/>
      </w:divBdr>
    </w:div>
    <w:div w:id="209196736">
      <w:bodyDiv w:val="1"/>
      <w:marLeft w:val="0"/>
      <w:marRight w:val="0"/>
      <w:marTop w:val="0"/>
      <w:marBottom w:val="0"/>
      <w:divBdr>
        <w:top w:val="none" w:sz="0" w:space="0" w:color="auto"/>
        <w:left w:val="none" w:sz="0" w:space="0" w:color="auto"/>
        <w:bottom w:val="none" w:sz="0" w:space="0" w:color="auto"/>
        <w:right w:val="none" w:sz="0" w:space="0" w:color="auto"/>
      </w:divBdr>
    </w:div>
    <w:div w:id="214463786">
      <w:bodyDiv w:val="1"/>
      <w:marLeft w:val="0"/>
      <w:marRight w:val="0"/>
      <w:marTop w:val="0"/>
      <w:marBottom w:val="0"/>
      <w:divBdr>
        <w:top w:val="none" w:sz="0" w:space="0" w:color="auto"/>
        <w:left w:val="none" w:sz="0" w:space="0" w:color="auto"/>
        <w:bottom w:val="none" w:sz="0" w:space="0" w:color="auto"/>
        <w:right w:val="none" w:sz="0" w:space="0" w:color="auto"/>
      </w:divBdr>
    </w:div>
    <w:div w:id="219635908">
      <w:bodyDiv w:val="1"/>
      <w:marLeft w:val="0"/>
      <w:marRight w:val="0"/>
      <w:marTop w:val="0"/>
      <w:marBottom w:val="0"/>
      <w:divBdr>
        <w:top w:val="none" w:sz="0" w:space="0" w:color="auto"/>
        <w:left w:val="none" w:sz="0" w:space="0" w:color="auto"/>
        <w:bottom w:val="none" w:sz="0" w:space="0" w:color="auto"/>
        <w:right w:val="none" w:sz="0" w:space="0" w:color="auto"/>
      </w:divBdr>
    </w:div>
    <w:div w:id="234366414">
      <w:bodyDiv w:val="1"/>
      <w:marLeft w:val="0"/>
      <w:marRight w:val="0"/>
      <w:marTop w:val="0"/>
      <w:marBottom w:val="0"/>
      <w:divBdr>
        <w:top w:val="none" w:sz="0" w:space="0" w:color="auto"/>
        <w:left w:val="none" w:sz="0" w:space="0" w:color="auto"/>
        <w:bottom w:val="none" w:sz="0" w:space="0" w:color="auto"/>
        <w:right w:val="none" w:sz="0" w:space="0" w:color="auto"/>
      </w:divBdr>
    </w:div>
    <w:div w:id="237204609">
      <w:bodyDiv w:val="1"/>
      <w:marLeft w:val="0"/>
      <w:marRight w:val="0"/>
      <w:marTop w:val="0"/>
      <w:marBottom w:val="0"/>
      <w:divBdr>
        <w:top w:val="none" w:sz="0" w:space="0" w:color="auto"/>
        <w:left w:val="none" w:sz="0" w:space="0" w:color="auto"/>
        <w:bottom w:val="none" w:sz="0" w:space="0" w:color="auto"/>
        <w:right w:val="none" w:sz="0" w:space="0" w:color="auto"/>
      </w:divBdr>
    </w:div>
    <w:div w:id="327251434">
      <w:bodyDiv w:val="1"/>
      <w:marLeft w:val="0"/>
      <w:marRight w:val="0"/>
      <w:marTop w:val="0"/>
      <w:marBottom w:val="0"/>
      <w:divBdr>
        <w:top w:val="none" w:sz="0" w:space="0" w:color="auto"/>
        <w:left w:val="none" w:sz="0" w:space="0" w:color="auto"/>
        <w:bottom w:val="none" w:sz="0" w:space="0" w:color="auto"/>
        <w:right w:val="none" w:sz="0" w:space="0" w:color="auto"/>
      </w:divBdr>
    </w:div>
    <w:div w:id="328484714">
      <w:bodyDiv w:val="1"/>
      <w:marLeft w:val="0"/>
      <w:marRight w:val="0"/>
      <w:marTop w:val="0"/>
      <w:marBottom w:val="0"/>
      <w:divBdr>
        <w:top w:val="none" w:sz="0" w:space="0" w:color="auto"/>
        <w:left w:val="none" w:sz="0" w:space="0" w:color="auto"/>
        <w:bottom w:val="none" w:sz="0" w:space="0" w:color="auto"/>
        <w:right w:val="none" w:sz="0" w:space="0" w:color="auto"/>
      </w:divBdr>
    </w:div>
    <w:div w:id="329330083">
      <w:bodyDiv w:val="1"/>
      <w:marLeft w:val="0"/>
      <w:marRight w:val="0"/>
      <w:marTop w:val="0"/>
      <w:marBottom w:val="0"/>
      <w:divBdr>
        <w:top w:val="none" w:sz="0" w:space="0" w:color="auto"/>
        <w:left w:val="none" w:sz="0" w:space="0" w:color="auto"/>
        <w:bottom w:val="none" w:sz="0" w:space="0" w:color="auto"/>
        <w:right w:val="none" w:sz="0" w:space="0" w:color="auto"/>
      </w:divBdr>
    </w:div>
    <w:div w:id="363599614">
      <w:bodyDiv w:val="1"/>
      <w:marLeft w:val="0"/>
      <w:marRight w:val="0"/>
      <w:marTop w:val="0"/>
      <w:marBottom w:val="0"/>
      <w:divBdr>
        <w:top w:val="none" w:sz="0" w:space="0" w:color="auto"/>
        <w:left w:val="none" w:sz="0" w:space="0" w:color="auto"/>
        <w:bottom w:val="none" w:sz="0" w:space="0" w:color="auto"/>
        <w:right w:val="none" w:sz="0" w:space="0" w:color="auto"/>
      </w:divBdr>
    </w:div>
    <w:div w:id="386219735">
      <w:bodyDiv w:val="1"/>
      <w:marLeft w:val="0"/>
      <w:marRight w:val="0"/>
      <w:marTop w:val="0"/>
      <w:marBottom w:val="0"/>
      <w:divBdr>
        <w:top w:val="none" w:sz="0" w:space="0" w:color="auto"/>
        <w:left w:val="none" w:sz="0" w:space="0" w:color="auto"/>
        <w:bottom w:val="none" w:sz="0" w:space="0" w:color="auto"/>
        <w:right w:val="none" w:sz="0" w:space="0" w:color="auto"/>
      </w:divBdr>
    </w:div>
    <w:div w:id="412044773">
      <w:bodyDiv w:val="1"/>
      <w:marLeft w:val="0"/>
      <w:marRight w:val="0"/>
      <w:marTop w:val="0"/>
      <w:marBottom w:val="0"/>
      <w:divBdr>
        <w:top w:val="none" w:sz="0" w:space="0" w:color="auto"/>
        <w:left w:val="none" w:sz="0" w:space="0" w:color="auto"/>
        <w:bottom w:val="none" w:sz="0" w:space="0" w:color="auto"/>
        <w:right w:val="none" w:sz="0" w:space="0" w:color="auto"/>
      </w:divBdr>
    </w:div>
    <w:div w:id="434179579">
      <w:bodyDiv w:val="1"/>
      <w:marLeft w:val="0"/>
      <w:marRight w:val="0"/>
      <w:marTop w:val="0"/>
      <w:marBottom w:val="0"/>
      <w:divBdr>
        <w:top w:val="none" w:sz="0" w:space="0" w:color="auto"/>
        <w:left w:val="none" w:sz="0" w:space="0" w:color="auto"/>
        <w:bottom w:val="none" w:sz="0" w:space="0" w:color="auto"/>
        <w:right w:val="none" w:sz="0" w:space="0" w:color="auto"/>
      </w:divBdr>
    </w:div>
    <w:div w:id="474178311">
      <w:bodyDiv w:val="1"/>
      <w:marLeft w:val="0"/>
      <w:marRight w:val="0"/>
      <w:marTop w:val="0"/>
      <w:marBottom w:val="0"/>
      <w:divBdr>
        <w:top w:val="none" w:sz="0" w:space="0" w:color="auto"/>
        <w:left w:val="none" w:sz="0" w:space="0" w:color="auto"/>
        <w:bottom w:val="none" w:sz="0" w:space="0" w:color="auto"/>
        <w:right w:val="none" w:sz="0" w:space="0" w:color="auto"/>
      </w:divBdr>
      <w:divsChild>
        <w:div w:id="830873893">
          <w:marLeft w:val="0"/>
          <w:marRight w:val="0"/>
          <w:marTop w:val="0"/>
          <w:marBottom w:val="0"/>
          <w:divBdr>
            <w:top w:val="none" w:sz="0" w:space="0" w:color="auto"/>
            <w:left w:val="none" w:sz="0" w:space="0" w:color="auto"/>
            <w:bottom w:val="none" w:sz="0" w:space="0" w:color="auto"/>
            <w:right w:val="none" w:sz="0" w:space="0" w:color="auto"/>
          </w:divBdr>
        </w:div>
        <w:div w:id="1010445363">
          <w:marLeft w:val="0"/>
          <w:marRight w:val="0"/>
          <w:marTop w:val="0"/>
          <w:marBottom w:val="0"/>
          <w:divBdr>
            <w:top w:val="none" w:sz="0" w:space="0" w:color="auto"/>
            <w:left w:val="none" w:sz="0" w:space="0" w:color="auto"/>
            <w:bottom w:val="none" w:sz="0" w:space="0" w:color="auto"/>
            <w:right w:val="none" w:sz="0" w:space="0" w:color="auto"/>
          </w:divBdr>
        </w:div>
        <w:div w:id="1257787757">
          <w:marLeft w:val="0"/>
          <w:marRight w:val="0"/>
          <w:marTop w:val="0"/>
          <w:marBottom w:val="0"/>
          <w:divBdr>
            <w:top w:val="none" w:sz="0" w:space="0" w:color="auto"/>
            <w:left w:val="none" w:sz="0" w:space="0" w:color="auto"/>
            <w:bottom w:val="none" w:sz="0" w:space="0" w:color="auto"/>
            <w:right w:val="none" w:sz="0" w:space="0" w:color="auto"/>
          </w:divBdr>
        </w:div>
        <w:div w:id="1548569233">
          <w:marLeft w:val="0"/>
          <w:marRight w:val="0"/>
          <w:marTop w:val="0"/>
          <w:marBottom w:val="0"/>
          <w:divBdr>
            <w:top w:val="none" w:sz="0" w:space="0" w:color="auto"/>
            <w:left w:val="none" w:sz="0" w:space="0" w:color="auto"/>
            <w:bottom w:val="none" w:sz="0" w:space="0" w:color="auto"/>
            <w:right w:val="none" w:sz="0" w:space="0" w:color="auto"/>
          </w:divBdr>
        </w:div>
      </w:divsChild>
    </w:div>
    <w:div w:id="474369793">
      <w:bodyDiv w:val="1"/>
      <w:marLeft w:val="0"/>
      <w:marRight w:val="0"/>
      <w:marTop w:val="0"/>
      <w:marBottom w:val="0"/>
      <w:divBdr>
        <w:top w:val="none" w:sz="0" w:space="0" w:color="auto"/>
        <w:left w:val="none" w:sz="0" w:space="0" w:color="auto"/>
        <w:bottom w:val="none" w:sz="0" w:space="0" w:color="auto"/>
        <w:right w:val="none" w:sz="0" w:space="0" w:color="auto"/>
      </w:divBdr>
    </w:div>
    <w:div w:id="498152772">
      <w:bodyDiv w:val="1"/>
      <w:marLeft w:val="0"/>
      <w:marRight w:val="0"/>
      <w:marTop w:val="0"/>
      <w:marBottom w:val="0"/>
      <w:divBdr>
        <w:top w:val="none" w:sz="0" w:space="0" w:color="auto"/>
        <w:left w:val="none" w:sz="0" w:space="0" w:color="auto"/>
        <w:bottom w:val="none" w:sz="0" w:space="0" w:color="auto"/>
        <w:right w:val="none" w:sz="0" w:space="0" w:color="auto"/>
      </w:divBdr>
    </w:div>
    <w:div w:id="512768786">
      <w:bodyDiv w:val="1"/>
      <w:marLeft w:val="0"/>
      <w:marRight w:val="0"/>
      <w:marTop w:val="0"/>
      <w:marBottom w:val="0"/>
      <w:divBdr>
        <w:top w:val="none" w:sz="0" w:space="0" w:color="auto"/>
        <w:left w:val="none" w:sz="0" w:space="0" w:color="auto"/>
        <w:bottom w:val="none" w:sz="0" w:space="0" w:color="auto"/>
        <w:right w:val="none" w:sz="0" w:space="0" w:color="auto"/>
      </w:divBdr>
    </w:div>
    <w:div w:id="514658362">
      <w:bodyDiv w:val="1"/>
      <w:marLeft w:val="0"/>
      <w:marRight w:val="0"/>
      <w:marTop w:val="0"/>
      <w:marBottom w:val="0"/>
      <w:divBdr>
        <w:top w:val="none" w:sz="0" w:space="0" w:color="auto"/>
        <w:left w:val="none" w:sz="0" w:space="0" w:color="auto"/>
        <w:bottom w:val="none" w:sz="0" w:space="0" w:color="auto"/>
        <w:right w:val="none" w:sz="0" w:space="0" w:color="auto"/>
      </w:divBdr>
    </w:div>
    <w:div w:id="537670859">
      <w:bodyDiv w:val="1"/>
      <w:marLeft w:val="0"/>
      <w:marRight w:val="0"/>
      <w:marTop w:val="0"/>
      <w:marBottom w:val="0"/>
      <w:divBdr>
        <w:top w:val="none" w:sz="0" w:space="0" w:color="auto"/>
        <w:left w:val="none" w:sz="0" w:space="0" w:color="auto"/>
        <w:bottom w:val="none" w:sz="0" w:space="0" w:color="auto"/>
        <w:right w:val="none" w:sz="0" w:space="0" w:color="auto"/>
      </w:divBdr>
    </w:div>
    <w:div w:id="543062342">
      <w:bodyDiv w:val="1"/>
      <w:marLeft w:val="0"/>
      <w:marRight w:val="0"/>
      <w:marTop w:val="0"/>
      <w:marBottom w:val="0"/>
      <w:divBdr>
        <w:top w:val="none" w:sz="0" w:space="0" w:color="auto"/>
        <w:left w:val="none" w:sz="0" w:space="0" w:color="auto"/>
        <w:bottom w:val="none" w:sz="0" w:space="0" w:color="auto"/>
        <w:right w:val="none" w:sz="0" w:space="0" w:color="auto"/>
      </w:divBdr>
    </w:div>
    <w:div w:id="548417886">
      <w:bodyDiv w:val="1"/>
      <w:marLeft w:val="0"/>
      <w:marRight w:val="0"/>
      <w:marTop w:val="0"/>
      <w:marBottom w:val="0"/>
      <w:divBdr>
        <w:top w:val="none" w:sz="0" w:space="0" w:color="auto"/>
        <w:left w:val="none" w:sz="0" w:space="0" w:color="auto"/>
        <w:bottom w:val="none" w:sz="0" w:space="0" w:color="auto"/>
        <w:right w:val="none" w:sz="0" w:space="0" w:color="auto"/>
      </w:divBdr>
      <w:divsChild>
        <w:div w:id="434711292">
          <w:marLeft w:val="0"/>
          <w:marRight w:val="0"/>
          <w:marTop w:val="0"/>
          <w:marBottom w:val="0"/>
          <w:divBdr>
            <w:top w:val="none" w:sz="0" w:space="0" w:color="auto"/>
            <w:left w:val="none" w:sz="0" w:space="0" w:color="auto"/>
            <w:bottom w:val="none" w:sz="0" w:space="0" w:color="auto"/>
            <w:right w:val="none" w:sz="0" w:space="0" w:color="auto"/>
          </w:divBdr>
        </w:div>
        <w:div w:id="607010567">
          <w:marLeft w:val="0"/>
          <w:marRight w:val="0"/>
          <w:marTop w:val="0"/>
          <w:marBottom w:val="0"/>
          <w:divBdr>
            <w:top w:val="none" w:sz="0" w:space="0" w:color="auto"/>
            <w:left w:val="none" w:sz="0" w:space="0" w:color="auto"/>
            <w:bottom w:val="none" w:sz="0" w:space="0" w:color="auto"/>
            <w:right w:val="none" w:sz="0" w:space="0" w:color="auto"/>
          </w:divBdr>
        </w:div>
        <w:div w:id="1120761203">
          <w:marLeft w:val="0"/>
          <w:marRight w:val="0"/>
          <w:marTop w:val="0"/>
          <w:marBottom w:val="0"/>
          <w:divBdr>
            <w:top w:val="none" w:sz="0" w:space="0" w:color="auto"/>
            <w:left w:val="none" w:sz="0" w:space="0" w:color="auto"/>
            <w:bottom w:val="none" w:sz="0" w:space="0" w:color="auto"/>
            <w:right w:val="none" w:sz="0" w:space="0" w:color="auto"/>
          </w:divBdr>
        </w:div>
        <w:div w:id="1859924322">
          <w:marLeft w:val="0"/>
          <w:marRight w:val="0"/>
          <w:marTop w:val="0"/>
          <w:marBottom w:val="0"/>
          <w:divBdr>
            <w:top w:val="none" w:sz="0" w:space="0" w:color="auto"/>
            <w:left w:val="none" w:sz="0" w:space="0" w:color="auto"/>
            <w:bottom w:val="none" w:sz="0" w:space="0" w:color="auto"/>
            <w:right w:val="none" w:sz="0" w:space="0" w:color="auto"/>
          </w:divBdr>
        </w:div>
      </w:divsChild>
    </w:div>
    <w:div w:id="640891781">
      <w:bodyDiv w:val="1"/>
      <w:marLeft w:val="0"/>
      <w:marRight w:val="0"/>
      <w:marTop w:val="0"/>
      <w:marBottom w:val="0"/>
      <w:divBdr>
        <w:top w:val="none" w:sz="0" w:space="0" w:color="auto"/>
        <w:left w:val="none" w:sz="0" w:space="0" w:color="auto"/>
        <w:bottom w:val="none" w:sz="0" w:space="0" w:color="auto"/>
        <w:right w:val="none" w:sz="0" w:space="0" w:color="auto"/>
      </w:divBdr>
    </w:div>
    <w:div w:id="684094798">
      <w:bodyDiv w:val="1"/>
      <w:marLeft w:val="0"/>
      <w:marRight w:val="0"/>
      <w:marTop w:val="0"/>
      <w:marBottom w:val="0"/>
      <w:divBdr>
        <w:top w:val="none" w:sz="0" w:space="0" w:color="auto"/>
        <w:left w:val="none" w:sz="0" w:space="0" w:color="auto"/>
        <w:bottom w:val="none" w:sz="0" w:space="0" w:color="auto"/>
        <w:right w:val="none" w:sz="0" w:space="0" w:color="auto"/>
      </w:divBdr>
    </w:div>
    <w:div w:id="719985158">
      <w:bodyDiv w:val="1"/>
      <w:marLeft w:val="0"/>
      <w:marRight w:val="0"/>
      <w:marTop w:val="0"/>
      <w:marBottom w:val="0"/>
      <w:divBdr>
        <w:top w:val="none" w:sz="0" w:space="0" w:color="auto"/>
        <w:left w:val="none" w:sz="0" w:space="0" w:color="auto"/>
        <w:bottom w:val="none" w:sz="0" w:space="0" w:color="auto"/>
        <w:right w:val="none" w:sz="0" w:space="0" w:color="auto"/>
      </w:divBdr>
    </w:div>
    <w:div w:id="738793278">
      <w:bodyDiv w:val="1"/>
      <w:marLeft w:val="0"/>
      <w:marRight w:val="0"/>
      <w:marTop w:val="0"/>
      <w:marBottom w:val="0"/>
      <w:divBdr>
        <w:top w:val="none" w:sz="0" w:space="0" w:color="auto"/>
        <w:left w:val="none" w:sz="0" w:space="0" w:color="auto"/>
        <w:bottom w:val="none" w:sz="0" w:space="0" w:color="auto"/>
        <w:right w:val="none" w:sz="0" w:space="0" w:color="auto"/>
      </w:divBdr>
    </w:div>
    <w:div w:id="765148941">
      <w:bodyDiv w:val="1"/>
      <w:marLeft w:val="0"/>
      <w:marRight w:val="0"/>
      <w:marTop w:val="0"/>
      <w:marBottom w:val="0"/>
      <w:divBdr>
        <w:top w:val="none" w:sz="0" w:space="0" w:color="auto"/>
        <w:left w:val="none" w:sz="0" w:space="0" w:color="auto"/>
        <w:bottom w:val="none" w:sz="0" w:space="0" w:color="auto"/>
        <w:right w:val="none" w:sz="0" w:space="0" w:color="auto"/>
      </w:divBdr>
    </w:div>
    <w:div w:id="782921952">
      <w:bodyDiv w:val="1"/>
      <w:marLeft w:val="0"/>
      <w:marRight w:val="0"/>
      <w:marTop w:val="0"/>
      <w:marBottom w:val="0"/>
      <w:divBdr>
        <w:top w:val="none" w:sz="0" w:space="0" w:color="auto"/>
        <w:left w:val="none" w:sz="0" w:space="0" w:color="auto"/>
        <w:bottom w:val="none" w:sz="0" w:space="0" w:color="auto"/>
        <w:right w:val="none" w:sz="0" w:space="0" w:color="auto"/>
      </w:divBdr>
    </w:div>
    <w:div w:id="806823004">
      <w:bodyDiv w:val="1"/>
      <w:marLeft w:val="0"/>
      <w:marRight w:val="0"/>
      <w:marTop w:val="0"/>
      <w:marBottom w:val="0"/>
      <w:divBdr>
        <w:top w:val="none" w:sz="0" w:space="0" w:color="auto"/>
        <w:left w:val="none" w:sz="0" w:space="0" w:color="auto"/>
        <w:bottom w:val="none" w:sz="0" w:space="0" w:color="auto"/>
        <w:right w:val="none" w:sz="0" w:space="0" w:color="auto"/>
      </w:divBdr>
    </w:div>
    <w:div w:id="808472755">
      <w:bodyDiv w:val="1"/>
      <w:marLeft w:val="0"/>
      <w:marRight w:val="0"/>
      <w:marTop w:val="0"/>
      <w:marBottom w:val="0"/>
      <w:divBdr>
        <w:top w:val="none" w:sz="0" w:space="0" w:color="auto"/>
        <w:left w:val="none" w:sz="0" w:space="0" w:color="auto"/>
        <w:bottom w:val="none" w:sz="0" w:space="0" w:color="auto"/>
        <w:right w:val="none" w:sz="0" w:space="0" w:color="auto"/>
      </w:divBdr>
    </w:div>
    <w:div w:id="822356314">
      <w:bodyDiv w:val="1"/>
      <w:marLeft w:val="0"/>
      <w:marRight w:val="0"/>
      <w:marTop w:val="0"/>
      <w:marBottom w:val="0"/>
      <w:divBdr>
        <w:top w:val="none" w:sz="0" w:space="0" w:color="auto"/>
        <w:left w:val="none" w:sz="0" w:space="0" w:color="auto"/>
        <w:bottom w:val="none" w:sz="0" w:space="0" w:color="auto"/>
        <w:right w:val="none" w:sz="0" w:space="0" w:color="auto"/>
      </w:divBdr>
    </w:div>
    <w:div w:id="833837299">
      <w:bodyDiv w:val="1"/>
      <w:marLeft w:val="0"/>
      <w:marRight w:val="0"/>
      <w:marTop w:val="0"/>
      <w:marBottom w:val="0"/>
      <w:divBdr>
        <w:top w:val="none" w:sz="0" w:space="0" w:color="auto"/>
        <w:left w:val="none" w:sz="0" w:space="0" w:color="auto"/>
        <w:bottom w:val="none" w:sz="0" w:space="0" w:color="auto"/>
        <w:right w:val="none" w:sz="0" w:space="0" w:color="auto"/>
      </w:divBdr>
    </w:div>
    <w:div w:id="840974345">
      <w:bodyDiv w:val="1"/>
      <w:marLeft w:val="0"/>
      <w:marRight w:val="0"/>
      <w:marTop w:val="0"/>
      <w:marBottom w:val="0"/>
      <w:divBdr>
        <w:top w:val="none" w:sz="0" w:space="0" w:color="auto"/>
        <w:left w:val="none" w:sz="0" w:space="0" w:color="auto"/>
        <w:bottom w:val="none" w:sz="0" w:space="0" w:color="auto"/>
        <w:right w:val="none" w:sz="0" w:space="0" w:color="auto"/>
      </w:divBdr>
    </w:div>
    <w:div w:id="841355073">
      <w:bodyDiv w:val="1"/>
      <w:marLeft w:val="0"/>
      <w:marRight w:val="0"/>
      <w:marTop w:val="0"/>
      <w:marBottom w:val="0"/>
      <w:divBdr>
        <w:top w:val="none" w:sz="0" w:space="0" w:color="auto"/>
        <w:left w:val="none" w:sz="0" w:space="0" w:color="auto"/>
        <w:bottom w:val="none" w:sz="0" w:space="0" w:color="auto"/>
        <w:right w:val="none" w:sz="0" w:space="0" w:color="auto"/>
      </w:divBdr>
    </w:div>
    <w:div w:id="841775189">
      <w:bodyDiv w:val="1"/>
      <w:marLeft w:val="0"/>
      <w:marRight w:val="0"/>
      <w:marTop w:val="0"/>
      <w:marBottom w:val="0"/>
      <w:divBdr>
        <w:top w:val="none" w:sz="0" w:space="0" w:color="auto"/>
        <w:left w:val="none" w:sz="0" w:space="0" w:color="auto"/>
        <w:bottom w:val="none" w:sz="0" w:space="0" w:color="auto"/>
        <w:right w:val="none" w:sz="0" w:space="0" w:color="auto"/>
      </w:divBdr>
    </w:div>
    <w:div w:id="859202329">
      <w:bodyDiv w:val="1"/>
      <w:marLeft w:val="0"/>
      <w:marRight w:val="0"/>
      <w:marTop w:val="0"/>
      <w:marBottom w:val="0"/>
      <w:divBdr>
        <w:top w:val="none" w:sz="0" w:space="0" w:color="auto"/>
        <w:left w:val="none" w:sz="0" w:space="0" w:color="auto"/>
        <w:bottom w:val="none" w:sz="0" w:space="0" w:color="auto"/>
        <w:right w:val="none" w:sz="0" w:space="0" w:color="auto"/>
      </w:divBdr>
    </w:div>
    <w:div w:id="867908749">
      <w:bodyDiv w:val="1"/>
      <w:marLeft w:val="0"/>
      <w:marRight w:val="0"/>
      <w:marTop w:val="0"/>
      <w:marBottom w:val="0"/>
      <w:divBdr>
        <w:top w:val="none" w:sz="0" w:space="0" w:color="auto"/>
        <w:left w:val="none" w:sz="0" w:space="0" w:color="auto"/>
        <w:bottom w:val="none" w:sz="0" w:space="0" w:color="auto"/>
        <w:right w:val="none" w:sz="0" w:space="0" w:color="auto"/>
      </w:divBdr>
    </w:div>
    <w:div w:id="892159144">
      <w:bodyDiv w:val="1"/>
      <w:marLeft w:val="0"/>
      <w:marRight w:val="0"/>
      <w:marTop w:val="0"/>
      <w:marBottom w:val="0"/>
      <w:divBdr>
        <w:top w:val="none" w:sz="0" w:space="0" w:color="auto"/>
        <w:left w:val="none" w:sz="0" w:space="0" w:color="auto"/>
        <w:bottom w:val="none" w:sz="0" w:space="0" w:color="auto"/>
        <w:right w:val="none" w:sz="0" w:space="0" w:color="auto"/>
      </w:divBdr>
    </w:div>
    <w:div w:id="916789169">
      <w:bodyDiv w:val="1"/>
      <w:marLeft w:val="0"/>
      <w:marRight w:val="0"/>
      <w:marTop w:val="0"/>
      <w:marBottom w:val="0"/>
      <w:divBdr>
        <w:top w:val="none" w:sz="0" w:space="0" w:color="auto"/>
        <w:left w:val="none" w:sz="0" w:space="0" w:color="auto"/>
        <w:bottom w:val="none" w:sz="0" w:space="0" w:color="auto"/>
        <w:right w:val="none" w:sz="0" w:space="0" w:color="auto"/>
      </w:divBdr>
    </w:div>
    <w:div w:id="962924290">
      <w:bodyDiv w:val="1"/>
      <w:marLeft w:val="0"/>
      <w:marRight w:val="0"/>
      <w:marTop w:val="0"/>
      <w:marBottom w:val="0"/>
      <w:divBdr>
        <w:top w:val="none" w:sz="0" w:space="0" w:color="auto"/>
        <w:left w:val="none" w:sz="0" w:space="0" w:color="auto"/>
        <w:bottom w:val="none" w:sz="0" w:space="0" w:color="auto"/>
        <w:right w:val="none" w:sz="0" w:space="0" w:color="auto"/>
      </w:divBdr>
    </w:div>
    <w:div w:id="976379209">
      <w:bodyDiv w:val="1"/>
      <w:marLeft w:val="0"/>
      <w:marRight w:val="0"/>
      <w:marTop w:val="0"/>
      <w:marBottom w:val="0"/>
      <w:divBdr>
        <w:top w:val="none" w:sz="0" w:space="0" w:color="auto"/>
        <w:left w:val="none" w:sz="0" w:space="0" w:color="auto"/>
        <w:bottom w:val="none" w:sz="0" w:space="0" w:color="auto"/>
        <w:right w:val="none" w:sz="0" w:space="0" w:color="auto"/>
      </w:divBdr>
    </w:div>
    <w:div w:id="1053234098">
      <w:bodyDiv w:val="1"/>
      <w:marLeft w:val="0"/>
      <w:marRight w:val="0"/>
      <w:marTop w:val="0"/>
      <w:marBottom w:val="0"/>
      <w:divBdr>
        <w:top w:val="none" w:sz="0" w:space="0" w:color="auto"/>
        <w:left w:val="none" w:sz="0" w:space="0" w:color="auto"/>
        <w:bottom w:val="none" w:sz="0" w:space="0" w:color="auto"/>
        <w:right w:val="none" w:sz="0" w:space="0" w:color="auto"/>
      </w:divBdr>
    </w:div>
    <w:div w:id="1063065410">
      <w:bodyDiv w:val="1"/>
      <w:marLeft w:val="0"/>
      <w:marRight w:val="0"/>
      <w:marTop w:val="0"/>
      <w:marBottom w:val="0"/>
      <w:divBdr>
        <w:top w:val="none" w:sz="0" w:space="0" w:color="auto"/>
        <w:left w:val="none" w:sz="0" w:space="0" w:color="auto"/>
        <w:bottom w:val="none" w:sz="0" w:space="0" w:color="auto"/>
        <w:right w:val="none" w:sz="0" w:space="0" w:color="auto"/>
      </w:divBdr>
    </w:div>
    <w:div w:id="1063256271">
      <w:bodyDiv w:val="1"/>
      <w:marLeft w:val="0"/>
      <w:marRight w:val="0"/>
      <w:marTop w:val="0"/>
      <w:marBottom w:val="0"/>
      <w:divBdr>
        <w:top w:val="none" w:sz="0" w:space="0" w:color="auto"/>
        <w:left w:val="none" w:sz="0" w:space="0" w:color="auto"/>
        <w:bottom w:val="none" w:sz="0" w:space="0" w:color="auto"/>
        <w:right w:val="none" w:sz="0" w:space="0" w:color="auto"/>
      </w:divBdr>
    </w:div>
    <w:div w:id="1075053603">
      <w:bodyDiv w:val="1"/>
      <w:marLeft w:val="0"/>
      <w:marRight w:val="0"/>
      <w:marTop w:val="0"/>
      <w:marBottom w:val="0"/>
      <w:divBdr>
        <w:top w:val="none" w:sz="0" w:space="0" w:color="auto"/>
        <w:left w:val="none" w:sz="0" w:space="0" w:color="auto"/>
        <w:bottom w:val="none" w:sz="0" w:space="0" w:color="auto"/>
        <w:right w:val="none" w:sz="0" w:space="0" w:color="auto"/>
      </w:divBdr>
    </w:div>
    <w:div w:id="1077558837">
      <w:bodyDiv w:val="1"/>
      <w:marLeft w:val="0"/>
      <w:marRight w:val="0"/>
      <w:marTop w:val="0"/>
      <w:marBottom w:val="0"/>
      <w:divBdr>
        <w:top w:val="none" w:sz="0" w:space="0" w:color="auto"/>
        <w:left w:val="none" w:sz="0" w:space="0" w:color="auto"/>
        <w:bottom w:val="none" w:sz="0" w:space="0" w:color="auto"/>
        <w:right w:val="none" w:sz="0" w:space="0" w:color="auto"/>
      </w:divBdr>
    </w:div>
    <w:div w:id="1090005994">
      <w:bodyDiv w:val="1"/>
      <w:marLeft w:val="0"/>
      <w:marRight w:val="0"/>
      <w:marTop w:val="0"/>
      <w:marBottom w:val="0"/>
      <w:divBdr>
        <w:top w:val="none" w:sz="0" w:space="0" w:color="auto"/>
        <w:left w:val="none" w:sz="0" w:space="0" w:color="auto"/>
        <w:bottom w:val="none" w:sz="0" w:space="0" w:color="auto"/>
        <w:right w:val="none" w:sz="0" w:space="0" w:color="auto"/>
      </w:divBdr>
    </w:div>
    <w:div w:id="1112283850">
      <w:bodyDiv w:val="1"/>
      <w:marLeft w:val="0"/>
      <w:marRight w:val="0"/>
      <w:marTop w:val="0"/>
      <w:marBottom w:val="0"/>
      <w:divBdr>
        <w:top w:val="none" w:sz="0" w:space="0" w:color="auto"/>
        <w:left w:val="none" w:sz="0" w:space="0" w:color="auto"/>
        <w:bottom w:val="none" w:sz="0" w:space="0" w:color="auto"/>
        <w:right w:val="none" w:sz="0" w:space="0" w:color="auto"/>
      </w:divBdr>
    </w:div>
    <w:div w:id="1115101609">
      <w:bodyDiv w:val="1"/>
      <w:marLeft w:val="0"/>
      <w:marRight w:val="0"/>
      <w:marTop w:val="0"/>
      <w:marBottom w:val="0"/>
      <w:divBdr>
        <w:top w:val="none" w:sz="0" w:space="0" w:color="auto"/>
        <w:left w:val="none" w:sz="0" w:space="0" w:color="auto"/>
        <w:bottom w:val="none" w:sz="0" w:space="0" w:color="auto"/>
        <w:right w:val="none" w:sz="0" w:space="0" w:color="auto"/>
      </w:divBdr>
    </w:div>
    <w:div w:id="1152867553">
      <w:bodyDiv w:val="1"/>
      <w:marLeft w:val="0"/>
      <w:marRight w:val="0"/>
      <w:marTop w:val="0"/>
      <w:marBottom w:val="0"/>
      <w:divBdr>
        <w:top w:val="none" w:sz="0" w:space="0" w:color="auto"/>
        <w:left w:val="none" w:sz="0" w:space="0" w:color="auto"/>
        <w:bottom w:val="none" w:sz="0" w:space="0" w:color="auto"/>
        <w:right w:val="none" w:sz="0" w:space="0" w:color="auto"/>
      </w:divBdr>
    </w:div>
    <w:div w:id="1174999061">
      <w:bodyDiv w:val="1"/>
      <w:marLeft w:val="0"/>
      <w:marRight w:val="0"/>
      <w:marTop w:val="0"/>
      <w:marBottom w:val="0"/>
      <w:divBdr>
        <w:top w:val="none" w:sz="0" w:space="0" w:color="auto"/>
        <w:left w:val="none" w:sz="0" w:space="0" w:color="auto"/>
        <w:bottom w:val="none" w:sz="0" w:space="0" w:color="auto"/>
        <w:right w:val="none" w:sz="0" w:space="0" w:color="auto"/>
      </w:divBdr>
    </w:div>
    <w:div w:id="1182357529">
      <w:bodyDiv w:val="1"/>
      <w:marLeft w:val="0"/>
      <w:marRight w:val="0"/>
      <w:marTop w:val="0"/>
      <w:marBottom w:val="0"/>
      <w:divBdr>
        <w:top w:val="none" w:sz="0" w:space="0" w:color="auto"/>
        <w:left w:val="none" w:sz="0" w:space="0" w:color="auto"/>
        <w:bottom w:val="none" w:sz="0" w:space="0" w:color="auto"/>
        <w:right w:val="none" w:sz="0" w:space="0" w:color="auto"/>
      </w:divBdr>
    </w:div>
    <w:div w:id="1206798058">
      <w:bodyDiv w:val="1"/>
      <w:marLeft w:val="0"/>
      <w:marRight w:val="0"/>
      <w:marTop w:val="0"/>
      <w:marBottom w:val="0"/>
      <w:divBdr>
        <w:top w:val="none" w:sz="0" w:space="0" w:color="auto"/>
        <w:left w:val="none" w:sz="0" w:space="0" w:color="auto"/>
        <w:bottom w:val="none" w:sz="0" w:space="0" w:color="auto"/>
        <w:right w:val="none" w:sz="0" w:space="0" w:color="auto"/>
      </w:divBdr>
    </w:div>
    <w:div w:id="1231578388">
      <w:bodyDiv w:val="1"/>
      <w:marLeft w:val="0"/>
      <w:marRight w:val="0"/>
      <w:marTop w:val="0"/>
      <w:marBottom w:val="0"/>
      <w:divBdr>
        <w:top w:val="none" w:sz="0" w:space="0" w:color="auto"/>
        <w:left w:val="none" w:sz="0" w:space="0" w:color="auto"/>
        <w:bottom w:val="none" w:sz="0" w:space="0" w:color="auto"/>
        <w:right w:val="none" w:sz="0" w:space="0" w:color="auto"/>
      </w:divBdr>
    </w:div>
    <w:div w:id="1241061628">
      <w:bodyDiv w:val="1"/>
      <w:marLeft w:val="0"/>
      <w:marRight w:val="0"/>
      <w:marTop w:val="0"/>
      <w:marBottom w:val="0"/>
      <w:divBdr>
        <w:top w:val="none" w:sz="0" w:space="0" w:color="auto"/>
        <w:left w:val="none" w:sz="0" w:space="0" w:color="auto"/>
        <w:bottom w:val="none" w:sz="0" w:space="0" w:color="auto"/>
        <w:right w:val="none" w:sz="0" w:space="0" w:color="auto"/>
      </w:divBdr>
    </w:div>
    <w:div w:id="1249344953">
      <w:bodyDiv w:val="1"/>
      <w:marLeft w:val="0"/>
      <w:marRight w:val="0"/>
      <w:marTop w:val="0"/>
      <w:marBottom w:val="0"/>
      <w:divBdr>
        <w:top w:val="none" w:sz="0" w:space="0" w:color="auto"/>
        <w:left w:val="none" w:sz="0" w:space="0" w:color="auto"/>
        <w:bottom w:val="none" w:sz="0" w:space="0" w:color="auto"/>
        <w:right w:val="none" w:sz="0" w:space="0" w:color="auto"/>
      </w:divBdr>
    </w:div>
    <w:div w:id="1277327980">
      <w:bodyDiv w:val="1"/>
      <w:marLeft w:val="0"/>
      <w:marRight w:val="0"/>
      <w:marTop w:val="0"/>
      <w:marBottom w:val="0"/>
      <w:divBdr>
        <w:top w:val="none" w:sz="0" w:space="0" w:color="auto"/>
        <w:left w:val="none" w:sz="0" w:space="0" w:color="auto"/>
        <w:bottom w:val="none" w:sz="0" w:space="0" w:color="auto"/>
        <w:right w:val="none" w:sz="0" w:space="0" w:color="auto"/>
      </w:divBdr>
    </w:div>
    <w:div w:id="1283265216">
      <w:bodyDiv w:val="1"/>
      <w:marLeft w:val="0"/>
      <w:marRight w:val="0"/>
      <w:marTop w:val="0"/>
      <w:marBottom w:val="0"/>
      <w:divBdr>
        <w:top w:val="none" w:sz="0" w:space="0" w:color="auto"/>
        <w:left w:val="none" w:sz="0" w:space="0" w:color="auto"/>
        <w:bottom w:val="none" w:sz="0" w:space="0" w:color="auto"/>
        <w:right w:val="none" w:sz="0" w:space="0" w:color="auto"/>
      </w:divBdr>
    </w:div>
    <w:div w:id="1296522260">
      <w:bodyDiv w:val="1"/>
      <w:marLeft w:val="0"/>
      <w:marRight w:val="0"/>
      <w:marTop w:val="0"/>
      <w:marBottom w:val="0"/>
      <w:divBdr>
        <w:top w:val="none" w:sz="0" w:space="0" w:color="auto"/>
        <w:left w:val="none" w:sz="0" w:space="0" w:color="auto"/>
        <w:bottom w:val="none" w:sz="0" w:space="0" w:color="auto"/>
        <w:right w:val="none" w:sz="0" w:space="0" w:color="auto"/>
      </w:divBdr>
    </w:div>
    <w:div w:id="1314525936">
      <w:bodyDiv w:val="1"/>
      <w:marLeft w:val="0"/>
      <w:marRight w:val="0"/>
      <w:marTop w:val="0"/>
      <w:marBottom w:val="0"/>
      <w:divBdr>
        <w:top w:val="none" w:sz="0" w:space="0" w:color="auto"/>
        <w:left w:val="none" w:sz="0" w:space="0" w:color="auto"/>
        <w:bottom w:val="none" w:sz="0" w:space="0" w:color="auto"/>
        <w:right w:val="none" w:sz="0" w:space="0" w:color="auto"/>
      </w:divBdr>
    </w:div>
    <w:div w:id="1315404112">
      <w:bodyDiv w:val="1"/>
      <w:marLeft w:val="0"/>
      <w:marRight w:val="0"/>
      <w:marTop w:val="0"/>
      <w:marBottom w:val="0"/>
      <w:divBdr>
        <w:top w:val="none" w:sz="0" w:space="0" w:color="auto"/>
        <w:left w:val="none" w:sz="0" w:space="0" w:color="auto"/>
        <w:bottom w:val="none" w:sz="0" w:space="0" w:color="auto"/>
        <w:right w:val="none" w:sz="0" w:space="0" w:color="auto"/>
      </w:divBdr>
    </w:div>
    <w:div w:id="1326519729">
      <w:bodyDiv w:val="1"/>
      <w:marLeft w:val="0"/>
      <w:marRight w:val="0"/>
      <w:marTop w:val="0"/>
      <w:marBottom w:val="0"/>
      <w:divBdr>
        <w:top w:val="none" w:sz="0" w:space="0" w:color="auto"/>
        <w:left w:val="none" w:sz="0" w:space="0" w:color="auto"/>
        <w:bottom w:val="none" w:sz="0" w:space="0" w:color="auto"/>
        <w:right w:val="none" w:sz="0" w:space="0" w:color="auto"/>
      </w:divBdr>
    </w:div>
    <w:div w:id="1330672064">
      <w:bodyDiv w:val="1"/>
      <w:marLeft w:val="0"/>
      <w:marRight w:val="0"/>
      <w:marTop w:val="0"/>
      <w:marBottom w:val="0"/>
      <w:divBdr>
        <w:top w:val="none" w:sz="0" w:space="0" w:color="auto"/>
        <w:left w:val="none" w:sz="0" w:space="0" w:color="auto"/>
        <w:bottom w:val="none" w:sz="0" w:space="0" w:color="auto"/>
        <w:right w:val="none" w:sz="0" w:space="0" w:color="auto"/>
      </w:divBdr>
    </w:div>
    <w:div w:id="1353066400">
      <w:bodyDiv w:val="1"/>
      <w:marLeft w:val="0"/>
      <w:marRight w:val="0"/>
      <w:marTop w:val="0"/>
      <w:marBottom w:val="0"/>
      <w:divBdr>
        <w:top w:val="none" w:sz="0" w:space="0" w:color="auto"/>
        <w:left w:val="none" w:sz="0" w:space="0" w:color="auto"/>
        <w:bottom w:val="none" w:sz="0" w:space="0" w:color="auto"/>
        <w:right w:val="none" w:sz="0" w:space="0" w:color="auto"/>
      </w:divBdr>
    </w:div>
    <w:div w:id="1360349341">
      <w:bodyDiv w:val="1"/>
      <w:marLeft w:val="0"/>
      <w:marRight w:val="0"/>
      <w:marTop w:val="0"/>
      <w:marBottom w:val="0"/>
      <w:divBdr>
        <w:top w:val="none" w:sz="0" w:space="0" w:color="auto"/>
        <w:left w:val="none" w:sz="0" w:space="0" w:color="auto"/>
        <w:bottom w:val="none" w:sz="0" w:space="0" w:color="auto"/>
        <w:right w:val="none" w:sz="0" w:space="0" w:color="auto"/>
      </w:divBdr>
    </w:div>
    <w:div w:id="1368919169">
      <w:bodyDiv w:val="1"/>
      <w:marLeft w:val="0"/>
      <w:marRight w:val="0"/>
      <w:marTop w:val="0"/>
      <w:marBottom w:val="0"/>
      <w:divBdr>
        <w:top w:val="none" w:sz="0" w:space="0" w:color="auto"/>
        <w:left w:val="none" w:sz="0" w:space="0" w:color="auto"/>
        <w:bottom w:val="none" w:sz="0" w:space="0" w:color="auto"/>
        <w:right w:val="none" w:sz="0" w:space="0" w:color="auto"/>
      </w:divBdr>
    </w:div>
    <w:div w:id="1422752800">
      <w:bodyDiv w:val="1"/>
      <w:marLeft w:val="0"/>
      <w:marRight w:val="0"/>
      <w:marTop w:val="0"/>
      <w:marBottom w:val="0"/>
      <w:divBdr>
        <w:top w:val="none" w:sz="0" w:space="0" w:color="auto"/>
        <w:left w:val="none" w:sz="0" w:space="0" w:color="auto"/>
        <w:bottom w:val="none" w:sz="0" w:space="0" w:color="auto"/>
        <w:right w:val="none" w:sz="0" w:space="0" w:color="auto"/>
      </w:divBdr>
    </w:div>
    <w:div w:id="1533029583">
      <w:bodyDiv w:val="1"/>
      <w:marLeft w:val="0"/>
      <w:marRight w:val="0"/>
      <w:marTop w:val="0"/>
      <w:marBottom w:val="0"/>
      <w:divBdr>
        <w:top w:val="none" w:sz="0" w:space="0" w:color="auto"/>
        <w:left w:val="none" w:sz="0" w:space="0" w:color="auto"/>
        <w:bottom w:val="none" w:sz="0" w:space="0" w:color="auto"/>
        <w:right w:val="none" w:sz="0" w:space="0" w:color="auto"/>
      </w:divBdr>
    </w:div>
    <w:div w:id="1557860965">
      <w:bodyDiv w:val="1"/>
      <w:marLeft w:val="0"/>
      <w:marRight w:val="0"/>
      <w:marTop w:val="0"/>
      <w:marBottom w:val="0"/>
      <w:divBdr>
        <w:top w:val="none" w:sz="0" w:space="0" w:color="auto"/>
        <w:left w:val="none" w:sz="0" w:space="0" w:color="auto"/>
        <w:bottom w:val="none" w:sz="0" w:space="0" w:color="auto"/>
        <w:right w:val="none" w:sz="0" w:space="0" w:color="auto"/>
      </w:divBdr>
    </w:div>
    <w:div w:id="1589339542">
      <w:bodyDiv w:val="1"/>
      <w:marLeft w:val="0"/>
      <w:marRight w:val="0"/>
      <w:marTop w:val="0"/>
      <w:marBottom w:val="0"/>
      <w:divBdr>
        <w:top w:val="none" w:sz="0" w:space="0" w:color="auto"/>
        <w:left w:val="none" w:sz="0" w:space="0" w:color="auto"/>
        <w:bottom w:val="none" w:sz="0" w:space="0" w:color="auto"/>
        <w:right w:val="none" w:sz="0" w:space="0" w:color="auto"/>
      </w:divBdr>
    </w:div>
    <w:div w:id="1591157599">
      <w:bodyDiv w:val="1"/>
      <w:marLeft w:val="0"/>
      <w:marRight w:val="0"/>
      <w:marTop w:val="0"/>
      <w:marBottom w:val="0"/>
      <w:divBdr>
        <w:top w:val="none" w:sz="0" w:space="0" w:color="auto"/>
        <w:left w:val="none" w:sz="0" w:space="0" w:color="auto"/>
        <w:bottom w:val="none" w:sz="0" w:space="0" w:color="auto"/>
        <w:right w:val="none" w:sz="0" w:space="0" w:color="auto"/>
      </w:divBdr>
      <w:divsChild>
        <w:div w:id="976690504">
          <w:marLeft w:val="0"/>
          <w:marRight w:val="0"/>
          <w:marTop w:val="0"/>
          <w:marBottom w:val="0"/>
          <w:divBdr>
            <w:top w:val="none" w:sz="0" w:space="0" w:color="auto"/>
            <w:left w:val="none" w:sz="0" w:space="0" w:color="auto"/>
            <w:bottom w:val="none" w:sz="0" w:space="0" w:color="auto"/>
            <w:right w:val="none" w:sz="0" w:space="0" w:color="auto"/>
          </w:divBdr>
        </w:div>
        <w:div w:id="1223904647">
          <w:marLeft w:val="0"/>
          <w:marRight w:val="0"/>
          <w:marTop w:val="0"/>
          <w:marBottom w:val="0"/>
          <w:divBdr>
            <w:top w:val="none" w:sz="0" w:space="0" w:color="auto"/>
            <w:left w:val="none" w:sz="0" w:space="0" w:color="auto"/>
            <w:bottom w:val="none" w:sz="0" w:space="0" w:color="auto"/>
            <w:right w:val="none" w:sz="0" w:space="0" w:color="auto"/>
          </w:divBdr>
        </w:div>
        <w:div w:id="1324310089">
          <w:marLeft w:val="0"/>
          <w:marRight w:val="0"/>
          <w:marTop w:val="0"/>
          <w:marBottom w:val="0"/>
          <w:divBdr>
            <w:top w:val="none" w:sz="0" w:space="0" w:color="auto"/>
            <w:left w:val="none" w:sz="0" w:space="0" w:color="auto"/>
            <w:bottom w:val="none" w:sz="0" w:space="0" w:color="auto"/>
            <w:right w:val="none" w:sz="0" w:space="0" w:color="auto"/>
          </w:divBdr>
        </w:div>
      </w:divsChild>
    </w:div>
    <w:div w:id="1592082732">
      <w:bodyDiv w:val="1"/>
      <w:marLeft w:val="0"/>
      <w:marRight w:val="0"/>
      <w:marTop w:val="0"/>
      <w:marBottom w:val="0"/>
      <w:divBdr>
        <w:top w:val="none" w:sz="0" w:space="0" w:color="auto"/>
        <w:left w:val="none" w:sz="0" w:space="0" w:color="auto"/>
        <w:bottom w:val="none" w:sz="0" w:space="0" w:color="auto"/>
        <w:right w:val="none" w:sz="0" w:space="0" w:color="auto"/>
      </w:divBdr>
    </w:div>
    <w:div w:id="1600288879">
      <w:bodyDiv w:val="1"/>
      <w:marLeft w:val="0"/>
      <w:marRight w:val="0"/>
      <w:marTop w:val="0"/>
      <w:marBottom w:val="0"/>
      <w:divBdr>
        <w:top w:val="none" w:sz="0" w:space="0" w:color="auto"/>
        <w:left w:val="none" w:sz="0" w:space="0" w:color="auto"/>
        <w:bottom w:val="none" w:sz="0" w:space="0" w:color="auto"/>
        <w:right w:val="none" w:sz="0" w:space="0" w:color="auto"/>
      </w:divBdr>
    </w:div>
    <w:div w:id="1602176587">
      <w:bodyDiv w:val="1"/>
      <w:marLeft w:val="0"/>
      <w:marRight w:val="0"/>
      <w:marTop w:val="0"/>
      <w:marBottom w:val="0"/>
      <w:divBdr>
        <w:top w:val="none" w:sz="0" w:space="0" w:color="auto"/>
        <w:left w:val="none" w:sz="0" w:space="0" w:color="auto"/>
        <w:bottom w:val="none" w:sz="0" w:space="0" w:color="auto"/>
        <w:right w:val="none" w:sz="0" w:space="0" w:color="auto"/>
      </w:divBdr>
    </w:div>
    <w:div w:id="1606115441">
      <w:bodyDiv w:val="1"/>
      <w:marLeft w:val="0"/>
      <w:marRight w:val="0"/>
      <w:marTop w:val="0"/>
      <w:marBottom w:val="0"/>
      <w:divBdr>
        <w:top w:val="none" w:sz="0" w:space="0" w:color="auto"/>
        <w:left w:val="none" w:sz="0" w:space="0" w:color="auto"/>
        <w:bottom w:val="none" w:sz="0" w:space="0" w:color="auto"/>
        <w:right w:val="none" w:sz="0" w:space="0" w:color="auto"/>
      </w:divBdr>
    </w:div>
    <w:div w:id="1640066128">
      <w:bodyDiv w:val="1"/>
      <w:marLeft w:val="0"/>
      <w:marRight w:val="0"/>
      <w:marTop w:val="0"/>
      <w:marBottom w:val="0"/>
      <w:divBdr>
        <w:top w:val="none" w:sz="0" w:space="0" w:color="auto"/>
        <w:left w:val="none" w:sz="0" w:space="0" w:color="auto"/>
        <w:bottom w:val="none" w:sz="0" w:space="0" w:color="auto"/>
        <w:right w:val="none" w:sz="0" w:space="0" w:color="auto"/>
      </w:divBdr>
    </w:div>
    <w:div w:id="1643727032">
      <w:bodyDiv w:val="1"/>
      <w:marLeft w:val="0"/>
      <w:marRight w:val="0"/>
      <w:marTop w:val="0"/>
      <w:marBottom w:val="0"/>
      <w:divBdr>
        <w:top w:val="none" w:sz="0" w:space="0" w:color="auto"/>
        <w:left w:val="none" w:sz="0" w:space="0" w:color="auto"/>
        <w:bottom w:val="none" w:sz="0" w:space="0" w:color="auto"/>
        <w:right w:val="none" w:sz="0" w:space="0" w:color="auto"/>
      </w:divBdr>
    </w:div>
    <w:div w:id="1655573188">
      <w:bodyDiv w:val="1"/>
      <w:marLeft w:val="0"/>
      <w:marRight w:val="0"/>
      <w:marTop w:val="0"/>
      <w:marBottom w:val="0"/>
      <w:divBdr>
        <w:top w:val="none" w:sz="0" w:space="0" w:color="auto"/>
        <w:left w:val="none" w:sz="0" w:space="0" w:color="auto"/>
        <w:bottom w:val="none" w:sz="0" w:space="0" w:color="auto"/>
        <w:right w:val="none" w:sz="0" w:space="0" w:color="auto"/>
      </w:divBdr>
    </w:div>
    <w:div w:id="1667513554">
      <w:bodyDiv w:val="1"/>
      <w:marLeft w:val="0"/>
      <w:marRight w:val="0"/>
      <w:marTop w:val="0"/>
      <w:marBottom w:val="0"/>
      <w:divBdr>
        <w:top w:val="none" w:sz="0" w:space="0" w:color="auto"/>
        <w:left w:val="none" w:sz="0" w:space="0" w:color="auto"/>
        <w:bottom w:val="none" w:sz="0" w:space="0" w:color="auto"/>
        <w:right w:val="none" w:sz="0" w:space="0" w:color="auto"/>
      </w:divBdr>
    </w:div>
    <w:div w:id="1778405473">
      <w:bodyDiv w:val="1"/>
      <w:marLeft w:val="0"/>
      <w:marRight w:val="0"/>
      <w:marTop w:val="0"/>
      <w:marBottom w:val="0"/>
      <w:divBdr>
        <w:top w:val="none" w:sz="0" w:space="0" w:color="auto"/>
        <w:left w:val="none" w:sz="0" w:space="0" w:color="auto"/>
        <w:bottom w:val="none" w:sz="0" w:space="0" w:color="auto"/>
        <w:right w:val="none" w:sz="0" w:space="0" w:color="auto"/>
      </w:divBdr>
    </w:div>
    <w:div w:id="1832409729">
      <w:bodyDiv w:val="1"/>
      <w:marLeft w:val="0"/>
      <w:marRight w:val="0"/>
      <w:marTop w:val="0"/>
      <w:marBottom w:val="0"/>
      <w:divBdr>
        <w:top w:val="none" w:sz="0" w:space="0" w:color="auto"/>
        <w:left w:val="none" w:sz="0" w:space="0" w:color="auto"/>
        <w:bottom w:val="none" w:sz="0" w:space="0" w:color="auto"/>
        <w:right w:val="none" w:sz="0" w:space="0" w:color="auto"/>
      </w:divBdr>
    </w:div>
    <w:div w:id="1963068612">
      <w:bodyDiv w:val="1"/>
      <w:marLeft w:val="0"/>
      <w:marRight w:val="0"/>
      <w:marTop w:val="0"/>
      <w:marBottom w:val="0"/>
      <w:divBdr>
        <w:top w:val="none" w:sz="0" w:space="0" w:color="auto"/>
        <w:left w:val="none" w:sz="0" w:space="0" w:color="auto"/>
        <w:bottom w:val="none" w:sz="0" w:space="0" w:color="auto"/>
        <w:right w:val="none" w:sz="0" w:space="0" w:color="auto"/>
      </w:divBdr>
    </w:div>
    <w:div w:id="1984701377">
      <w:bodyDiv w:val="1"/>
      <w:marLeft w:val="0"/>
      <w:marRight w:val="0"/>
      <w:marTop w:val="0"/>
      <w:marBottom w:val="0"/>
      <w:divBdr>
        <w:top w:val="none" w:sz="0" w:space="0" w:color="auto"/>
        <w:left w:val="none" w:sz="0" w:space="0" w:color="auto"/>
        <w:bottom w:val="none" w:sz="0" w:space="0" w:color="auto"/>
        <w:right w:val="none" w:sz="0" w:space="0" w:color="auto"/>
      </w:divBdr>
    </w:div>
    <w:div w:id="1987933016">
      <w:bodyDiv w:val="1"/>
      <w:marLeft w:val="0"/>
      <w:marRight w:val="0"/>
      <w:marTop w:val="0"/>
      <w:marBottom w:val="0"/>
      <w:divBdr>
        <w:top w:val="none" w:sz="0" w:space="0" w:color="auto"/>
        <w:left w:val="none" w:sz="0" w:space="0" w:color="auto"/>
        <w:bottom w:val="none" w:sz="0" w:space="0" w:color="auto"/>
        <w:right w:val="none" w:sz="0" w:space="0" w:color="auto"/>
      </w:divBdr>
    </w:div>
    <w:div w:id="2003043905">
      <w:bodyDiv w:val="1"/>
      <w:marLeft w:val="0"/>
      <w:marRight w:val="0"/>
      <w:marTop w:val="0"/>
      <w:marBottom w:val="0"/>
      <w:divBdr>
        <w:top w:val="none" w:sz="0" w:space="0" w:color="auto"/>
        <w:left w:val="none" w:sz="0" w:space="0" w:color="auto"/>
        <w:bottom w:val="none" w:sz="0" w:space="0" w:color="auto"/>
        <w:right w:val="none" w:sz="0" w:space="0" w:color="auto"/>
      </w:divBdr>
    </w:div>
    <w:div w:id="2004240466">
      <w:bodyDiv w:val="1"/>
      <w:marLeft w:val="0"/>
      <w:marRight w:val="0"/>
      <w:marTop w:val="0"/>
      <w:marBottom w:val="0"/>
      <w:divBdr>
        <w:top w:val="none" w:sz="0" w:space="0" w:color="auto"/>
        <w:left w:val="none" w:sz="0" w:space="0" w:color="auto"/>
        <w:bottom w:val="none" w:sz="0" w:space="0" w:color="auto"/>
        <w:right w:val="none" w:sz="0" w:space="0" w:color="auto"/>
      </w:divBdr>
    </w:div>
    <w:div w:id="2008826661">
      <w:bodyDiv w:val="1"/>
      <w:marLeft w:val="0"/>
      <w:marRight w:val="0"/>
      <w:marTop w:val="0"/>
      <w:marBottom w:val="0"/>
      <w:divBdr>
        <w:top w:val="none" w:sz="0" w:space="0" w:color="auto"/>
        <w:left w:val="none" w:sz="0" w:space="0" w:color="auto"/>
        <w:bottom w:val="none" w:sz="0" w:space="0" w:color="auto"/>
        <w:right w:val="none" w:sz="0" w:space="0" w:color="auto"/>
      </w:divBdr>
    </w:div>
    <w:div w:id="2037342932">
      <w:bodyDiv w:val="1"/>
      <w:marLeft w:val="0"/>
      <w:marRight w:val="0"/>
      <w:marTop w:val="0"/>
      <w:marBottom w:val="0"/>
      <w:divBdr>
        <w:top w:val="none" w:sz="0" w:space="0" w:color="auto"/>
        <w:left w:val="none" w:sz="0" w:space="0" w:color="auto"/>
        <w:bottom w:val="none" w:sz="0" w:space="0" w:color="auto"/>
        <w:right w:val="none" w:sz="0" w:space="0" w:color="auto"/>
      </w:divBdr>
    </w:div>
    <w:div w:id="2042902214">
      <w:bodyDiv w:val="1"/>
      <w:marLeft w:val="0"/>
      <w:marRight w:val="0"/>
      <w:marTop w:val="0"/>
      <w:marBottom w:val="0"/>
      <w:divBdr>
        <w:top w:val="none" w:sz="0" w:space="0" w:color="auto"/>
        <w:left w:val="none" w:sz="0" w:space="0" w:color="auto"/>
        <w:bottom w:val="none" w:sz="0" w:space="0" w:color="auto"/>
        <w:right w:val="none" w:sz="0" w:space="0" w:color="auto"/>
      </w:divBdr>
    </w:div>
    <w:div w:id="2044473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D5ACB9-8F8A-44C7-891B-2961870D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9021</Words>
  <Characters>49617</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2</cp:revision>
  <cp:lastPrinted>2021-09-23T14:50:00Z</cp:lastPrinted>
  <dcterms:created xsi:type="dcterms:W3CDTF">2021-10-15T20:53:00Z</dcterms:created>
  <dcterms:modified xsi:type="dcterms:W3CDTF">2021-10-15T20:53:00Z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