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37936" w14:textId="6FBEBEFF" w:rsidR="00BC61B2" w:rsidRPr="00A85CB7" w:rsidRDefault="00A20B1F" w:rsidP="001E74A5">
      <w:pPr>
        <w:spacing w:line="360" w:lineRule="auto"/>
        <w:jc w:val="center"/>
        <w:rPr>
          <w:rFonts w:ascii="Palatino Linotype" w:eastAsia="Times New Roman" w:hAnsi="Palatino Linotype" w:cs="Times New Roman"/>
          <w:b/>
          <w:color w:val="000000" w:themeColor="text1"/>
          <w:u w:val="single"/>
        </w:rPr>
      </w:pPr>
      <w:r w:rsidRPr="00A85CB7">
        <w:rPr>
          <w:rFonts w:ascii="Palatino Linotype" w:eastAsia="Times New Roman" w:hAnsi="Palatino Linotype" w:cs="Times New Roman"/>
          <w:b/>
          <w:color w:val="000000" w:themeColor="text1"/>
          <w:u w:val="single"/>
        </w:rPr>
        <w:t>ÍNDICE</w:t>
      </w:r>
    </w:p>
    <w:sdt>
      <w:sdtPr>
        <w:rPr>
          <w:rFonts w:asciiTheme="minorHAnsi" w:eastAsiaTheme="minorEastAsia" w:hAnsiTheme="minorHAnsi" w:cstheme="minorBidi"/>
          <w:b/>
          <w:bCs/>
          <w:color w:val="000000" w:themeColor="text1"/>
          <w:sz w:val="20"/>
          <w:szCs w:val="22"/>
          <w:lang w:val="es-ES" w:eastAsia="es-ES"/>
        </w:rPr>
        <w:id w:val="-1245946457"/>
        <w:docPartObj>
          <w:docPartGallery w:val="Table of Contents"/>
          <w:docPartUnique/>
        </w:docPartObj>
      </w:sdtPr>
      <w:sdtEndPr>
        <w:rPr>
          <w:sz w:val="22"/>
          <w:szCs w:val="24"/>
        </w:rPr>
      </w:sdtEndPr>
      <w:sdtContent>
        <w:p w14:paraId="79CB4F2F" w14:textId="37302309" w:rsidR="00DA7E2F" w:rsidRPr="009A090B" w:rsidRDefault="00DA7E2F" w:rsidP="009A090B">
          <w:pPr>
            <w:pStyle w:val="TtuloTDC"/>
            <w:spacing w:before="0" w:line="276" w:lineRule="auto"/>
            <w:ind w:right="333"/>
            <w:jc w:val="both"/>
            <w:rPr>
              <w:b/>
              <w:bCs/>
              <w:color w:val="000000" w:themeColor="text1"/>
              <w:sz w:val="22"/>
              <w:szCs w:val="24"/>
            </w:rPr>
          </w:pPr>
        </w:p>
        <w:p w14:paraId="79B2D932" w14:textId="77777777" w:rsidR="009A090B" w:rsidRPr="009A090B" w:rsidRDefault="00DA7E2F" w:rsidP="009A090B">
          <w:pPr>
            <w:pStyle w:val="TDC1"/>
            <w:spacing w:line="276" w:lineRule="auto"/>
            <w:rPr>
              <w:rFonts w:ascii="Palatino Linotype" w:hAnsi="Palatino Linotype"/>
              <w:b/>
              <w:noProof/>
              <w:sz w:val="20"/>
              <w:szCs w:val="22"/>
              <w:lang w:eastAsia="es-MX"/>
            </w:rPr>
          </w:pPr>
          <w:r w:rsidRPr="009A090B">
            <w:rPr>
              <w:rFonts w:ascii="Palatino Linotype" w:hAnsi="Palatino Linotype"/>
              <w:b/>
              <w:bCs/>
              <w:color w:val="000000" w:themeColor="text1"/>
              <w:sz w:val="22"/>
            </w:rPr>
            <w:fldChar w:fldCharType="begin"/>
          </w:r>
          <w:r w:rsidRPr="009A090B">
            <w:rPr>
              <w:rFonts w:ascii="Palatino Linotype" w:hAnsi="Palatino Linotype"/>
              <w:b/>
              <w:bCs/>
              <w:color w:val="000000" w:themeColor="text1"/>
              <w:sz w:val="22"/>
            </w:rPr>
            <w:instrText xml:space="preserve"> TOC \o "1-3" \h \z \u </w:instrText>
          </w:r>
          <w:r w:rsidRPr="009A090B">
            <w:rPr>
              <w:rFonts w:ascii="Palatino Linotype" w:hAnsi="Palatino Linotype"/>
              <w:b/>
              <w:bCs/>
              <w:color w:val="000000" w:themeColor="text1"/>
              <w:sz w:val="22"/>
            </w:rPr>
            <w:fldChar w:fldCharType="separate"/>
          </w:r>
          <w:hyperlink w:anchor="_Toc85118524" w:history="1">
            <w:r w:rsidR="009A090B" w:rsidRPr="009A090B">
              <w:rPr>
                <w:rStyle w:val="Hipervnculo"/>
                <w:rFonts w:ascii="Palatino Linotype" w:hAnsi="Palatino Linotype"/>
                <w:b/>
                <w:noProof/>
                <w:sz w:val="22"/>
              </w:rPr>
              <w:t>ANTECEDENTES</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_Toc85118524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2</w:t>
            </w:r>
            <w:r w:rsidR="009A090B" w:rsidRPr="009A090B">
              <w:rPr>
                <w:rFonts w:ascii="Palatino Linotype" w:hAnsi="Palatino Linotype"/>
                <w:b/>
                <w:noProof/>
                <w:webHidden/>
                <w:sz w:val="22"/>
              </w:rPr>
              <w:fldChar w:fldCharType="end"/>
            </w:r>
          </w:hyperlink>
        </w:p>
        <w:p w14:paraId="5D435085" w14:textId="77777777" w:rsidR="009A090B" w:rsidRPr="009A090B" w:rsidRDefault="009A2F26" w:rsidP="009A090B">
          <w:pPr>
            <w:pStyle w:val="TDC1"/>
            <w:spacing w:line="276" w:lineRule="auto"/>
            <w:rPr>
              <w:rFonts w:ascii="Palatino Linotype" w:hAnsi="Palatino Linotype"/>
              <w:b/>
              <w:noProof/>
              <w:sz w:val="20"/>
              <w:szCs w:val="22"/>
              <w:lang w:eastAsia="es-MX"/>
            </w:rPr>
          </w:pPr>
          <w:hyperlink w:anchor="_Toc85118525" w:history="1">
            <w:r w:rsidR="009A090B" w:rsidRPr="009A090B">
              <w:rPr>
                <w:rStyle w:val="Hipervnculo"/>
                <w:rFonts w:ascii="Palatino Linotype" w:hAnsi="Palatino Linotype"/>
                <w:b/>
                <w:noProof/>
                <w:sz w:val="22"/>
              </w:rPr>
              <w:t>CONSIDERANDO</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_Toc85118525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6</w:t>
            </w:r>
            <w:r w:rsidR="009A090B" w:rsidRPr="009A090B">
              <w:rPr>
                <w:rFonts w:ascii="Palatino Linotype" w:hAnsi="Palatino Linotype"/>
                <w:b/>
                <w:noProof/>
                <w:webHidden/>
                <w:sz w:val="22"/>
              </w:rPr>
              <w:fldChar w:fldCharType="end"/>
            </w:r>
          </w:hyperlink>
        </w:p>
        <w:p w14:paraId="7A74D3CE"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26" w:history="1">
            <w:r w:rsidR="009A090B" w:rsidRPr="009A090B">
              <w:rPr>
                <w:rStyle w:val="Hipervnculo"/>
                <w:rFonts w:ascii="Palatino Linotype" w:hAnsi="Palatino Linotype"/>
                <w:b/>
                <w:noProof/>
                <w:sz w:val="22"/>
              </w:rPr>
              <w:t>PRIMERO. De la competencia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_Toc85118526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6</w:t>
            </w:r>
            <w:r w:rsidR="009A090B" w:rsidRPr="009A090B">
              <w:rPr>
                <w:rFonts w:ascii="Palatino Linotype" w:hAnsi="Palatino Linotype"/>
                <w:b/>
                <w:noProof/>
                <w:webHidden/>
                <w:sz w:val="22"/>
              </w:rPr>
              <w:fldChar w:fldCharType="end"/>
            </w:r>
          </w:hyperlink>
        </w:p>
        <w:p w14:paraId="6EEE8FB4"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27" w:history="1">
            <w:r w:rsidR="009A090B" w:rsidRPr="009A090B">
              <w:rPr>
                <w:rStyle w:val="Hipervnculo"/>
                <w:rFonts w:ascii="Palatino Linotype" w:hAnsi="Palatino Linotype"/>
                <w:b/>
                <w:noProof/>
                <w:sz w:val="22"/>
              </w:rPr>
              <w:t>SEGUNDO. De la oportunidad y procedencia.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_Toc85118527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7</w:t>
            </w:r>
            <w:r w:rsidR="009A090B" w:rsidRPr="009A090B">
              <w:rPr>
                <w:rFonts w:ascii="Palatino Linotype" w:hAnsi="Palatino Linotype"/>
                <w:b/>
                <w:noProof/>
                <w:webHidden/>
                <w:sz w:val="22"/>
              </w:rPr>
              <w:fldChar w:fldCharType="end"/>
            </w:r>
          </w:hyperlink>
        </w:p>
        <w:p w14:paraId="510BCE9F"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28" w:history="1">
            <w:r w:rsidR="009A090B" w:rsidRPr="009A090B">
              <w:rPr>
                <w:rStyle w:val="Hipervnculo"/>
                <w:rFonts w:ascii="Palatino Linotype" w:hAnsi="Palatino Linotype"/>
                <w:b/>
                <w:noProof/>
                <w:sz w:val="22"/>
              </w:rPr>
              <w:t xml:space="preserve">TERCERO. Del planteamiento de la </w:t>
            </w:r>
            <w:r w:rsidR="009A090B" w:rsidRPr="009A090B">
              <w:rPr>
                <w:rStyle w:val="Hipervnculo"/>
                <w:rFonts w:ascii="Palatino Linotype" w:hAnsi="Palatino Linotype"/>
                <w:b/>
                <w:i/>
                <w:noProof/>
                <w:sz w:val="22"/>
              </w:rPr>
              <w:t>Litis</w:t>
            </w:r>
            <w:r w:rsidR="009A090B" w:rsidRPr="009A090B">
              <w:rPr>
                <w:rStyle w:val="Hipervnculo"/>
                <w:rFonts w:ascii="Palatino Linotype" w:hAnsi="Palatino Linotype"/>
                <w:b/>
                <w:noProof/>
                <w:sz w:val="22"/>
              </w:rPr>
              <w:t>.</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_Toc85118528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11</w:t>
            </w:r>
            <w:r w:rsidR="009A090B" w:rsidRPr="009A090B">
              <w:rPr>
                <w:rFonts w:ascii="Palatino Linotype" w:hAnsi="Palatino Linotype"/>
                <w:b/>
                <w:noProof/>
                <w:webHidden/>
                <w:sz w:val="22"/>
              </w:rPr>
              <w:fldChar w:fldCharType="end"/>
            </w:r>
          </w:hyperlink>
        </w:p>
        <w:p w14:paraId="4D0288B2"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29" w:history="1">
            <w:r w:rsidR="009A090B" w:rsidRPr="009A090B">
              <w:rPr>
                <w:rStyle w:val="Hipervnculo"/>
                <w:rFonts w:ascii="Palatino Linotype" w:hAnsi="Palatino Linotype" w:cs="Arial"/>
                <w:b/>
                <w:noProof/>
                <w:sz w:val="22"/>
              </w:rPr>
              <w:t>CUARTO. Estudio y Resolución del asunto.</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_Toc85118529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12</w:t>
            </w:r>
            <w:r w:rsidR="009A090B" w:rsidRPr="009A090B">
              <w:rPr>
                <w:rFonts w:ascii="Palatino Linotype" w:hAnsi="Palatino Linotype"/>
                <w:b/>
                <w:noProof/>
                <w:webHidden/>
                <w:sz w:val="22"/>
              </w:rPr>
              <w:fldChar w:fldCharType="end"/>
            </w:r>
          </w:hyperlink>
        </w:p>
        <w:p w14:paraId="7542F3D2"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0" w:history="1">
            <w:r w:rsidR="009A090B" w:rsidRPr="009A090B">
              <w:rPr>
                <w:rStyle w:val="Hipervnculo"/>
                <w:rFonts w:ascii="Palatino Linotype" w:hAnsi="Palatino Linotype"/>
                <w:b/>
                <w:bCs/>
                <w:noProof/>
                <w:sz w:val="22"/>
              </w:rPr>
              <w:t>I. Del deber de las autoridades de promover, respetar, proteger y garantizar el derecho de acceso a la información pública.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_Toc85118530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12</w:t>
            </w:r>
            <w:r w:rsidR="009A090B" w:rsidRPr="009A090B">
              <w:rPr>
                <w:rFonts w:ascii="Palatino Linotype" w:hAnsi="Palatino Linotype"/>
                <w:b/>
                <w:noProof/>
                <w:webHidden/>
                <w:sz w:val="22"/>
              </w:rPr>
              <w:fldChar w:fldCharType="end"/>
            </w:r>
          </w:hyperlink>
        </w:p>
        <w:p w14:paraId="2490B35B"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1" w:history="1">
            <w:r w:rsidR="009A090B" w:rsidRPr="009A090B">
              <w:rPr>
                <w:rStyle w:val="Hipervnculo"/>
                <w:rFonts w:ascii="Palatino Linotype" w:hAnsi="Palatino Linotype"/>
                <w:b/>
                <w:bCs/>
                <w:noProof/>
                <w:sz w:val="22"/>
              </w:rPr>
              <w:t>II. De los alcances del derecho de acceso a la información.</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_Toc85118531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16</w:t>
            </w:r>
            <w:r w:rsidR="009A090B" w:rsidRPr="009A090B">
              <w:rPr>
                <w:rFonts w:ascii="Palatino Linotype" w:hAnsi="Palatino Linotype"/>
                <w:b/>
                <w:noProof/>
                <w:webHidden/>
                <w:sz w:val="22"/>
              </w:rPr>
              <w:fldChar w:fldCharType="end"/>
            </w:r>
          </w:hyperlink>
        </w:p>
        <w:p w14:paraId="5E3D6B78"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2" w:history="1">
            <w:r w:rsidR="009A090B" w:rsidRPr="009A090B">
              <w:rPr>
                <w:rStyle w:val="Hipervnculo"/>
                <w:rFonts w:ascii="Palatino Linotype" w:hAnsi="Palatino Linotype"/>
                <w:b/>
                <w:bCs/>
                <w:noProof/>
                <w:sz w:val="22"/>
              </w:rPr>
              <w:t>III. De la información entregada a través del informe justificado.</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_Toc85118532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21</w:t>
            </w:r>
            <w:r w:rsidR="009A090B" w:rsidRPr="009A090B">
              <w:rPr>
                <w:rFonts w:ascii="Palatino Linotype" w:hAnsi="Palatino Linotype"/>
                <w:b/>
                <w:noProof/>
                <w:webHidden/>
                <w:sz w:val="22"/>
              </w:rPr>
              <w:fldChar w:fldCharType="end"/>
            </w:r>
          </w:hyperlink>
        </w:p>
        <w:p w14:paraId="7550CA62"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3" w:history="1">
            <w:r w:rsidR="009A090B" w:rsidRPr="009A090B">
              <w:rPr>
                <w:rStyle w:val="Hipervnculo"/>
                <w:rFonts w:ascii="Palatino Linotype" w:hAnsi="Palatino Linotype"/>
                <w:b/>
                <w:bCs/>
                <w:noProof/>
                <w:sz w:val="22"/>
              </w:rPr>
              <w:t>IV. De la competencia del SUJETO OBLIGADO para poseer, generar o administrar la información solicitada.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_Toc85118533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23</w:t>
            </w:r>
            <w:r w:rsidR="009A090B" w:rsidRPr="009A090B">
              <w:rPr>
                <w:rFonts w:ascii="Palatino Linotype" w:hAnsi="Palatino Linotype"/>
                <w:b/>
                <w:noProof/>
                <w:webHidden/>
                <w:sz w:val="22"/>
              </w:rPr>
              <w:fldChar w:fldCharType="end"/>
            </w:r>
          </w:hyperlink>
        </w:p>
        <w:p w14:paraId="3771121B"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4" w:history="1">
            <w:r w:rsidR="009A090B" w:rsidRPr="009A090B">
              <w:rPr>
                <w:rStyle w:val="Hipervnculo"/>
                <w:rFonts w:ascii="Palatino Linotype" w:hAnsi="Palatino Linotype"/>
                <w:b/>
                <w:bCs/>
                <w:noProof/>
                <w:sz w:val="22"/>
              </w:rPr>
              <w:t>IV.I Del programa “Adopta un espacio”.</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_Toc85118534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27</w:t>
            </w:r>
            <w:r w:rsidR="009A090B" w:rsidRPr="009A090B">
              <w:rPr>
                <w:rFonts w:ascii="Palatino Linotype" w:hAnsi="Palatino Linotype"/>
                <w:b/>
                <w:noProof/>
                <w:webHidden/>
                <w:sz w:val="22"/>
              </w:rPr>
              <w:fldChar w:fldCharType="end"/>
            </w:r>
          </w:hyperlink>
        </w:p>
        <w:p w14:paraId="07D05D12"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5" w:history="1">
            <w:r w:rsidR="009A090B" w:rsidRPr="009A090B">
              <w:rPr>
                <w:rStyle w:val="Hipervnculo"/>
                <w:rFonts w:ascii="Palatino Linotype" w:hAnsi="Palatino Linotype"/>
                <w:b/>
                <w:bCs/>
                <w:noProof/>
                <w:sz w:val="22"/>
              </w:rPr>
              <w:t>IV.II De las áreas administrativas que, por la naturaleza de sus funciones, pueden poseer, generar y/o administrar la información.</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_Toc85118535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34</w:t>
            </w:r>
            <w:r w:rsidR="009A090B" w:rsidRPr="009A090B">
              <w:rPr>
                <w:rFonts w:ascii="Palatino Linotype" w:hAnsi="Palatino Linotype"/>
                <w:b/>
                <w:noProof/>
                <w:webHidden/>
                <w:sz w:val="22"/>
              </w:rPr>
              <w:fldChar w:fldCharType="end"/>
            </w:r>
          </w:hyperlink>
        </w:p>
        <w:p w14:paraId="5F8F250C"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6" w:history="1">
            <w:r w:rsidR="009A090B" w:rsidRPr="009A090B">
              <w:rPr>
                <w:rStyle w:val="Hipervnculo"/>
                <w:rFonts w:ascii="Palatino Linotype" w:hAnsi="Palatino Linotype"/>
                <w:b/>
                <w:bCs/>
                <w:noProof/>
                <w:sz w:val="22"/>
              </w:rPr>
              <w:t>V. Del Acuerdo de Inexistencia.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_Toc85118536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44</w:t>
            </w:r>
            <w:r w:rsidR="009A090B" w:rsidRPr="009A090B">
              <w:rPr>
                <w:rFonts w:ascii="Palatino Linotype" w:hAnsi="Palatino Linotype"/>
                <w:b/>
                <w:noProof/>
                <w:webHidden/>
                <w:sz w:val="22"/>
              </w:rPr>
              <w:fldChar w:fldCharType="end"/>
            </w:r>
          </w:hyperlink>
        </w:p>
        <w:p w14:paraId="118D2F54"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37" w:history="1">
            <w:r w:rsidR="009A090B" w:rsidRPr="009A090B">
              <w:rPr>
                <w:rStyle w:val="Hipervnculo"/>
                <w:rFonts w:ascii="Palatino Linotype" w:hAnsi="Palatino Linotype"/>
                <w:b/>
                <w:bCs/>
                <w:noProof/>
                <w:sz w:val="22"/>
              </w:rPr>
              <w:t>QUINTO. De la versión pública.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_Toc85118537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54</w:t>
            </w:r>
            <w:r w:rsidR="009A090B" w:rsidRPr="009A090B">
              <w:rPr>
                <w:rFonts w:ascii="Palatino Linotype" w:hAnsi="Palatino Linotype"/>
                <w:b/>
                <w:noProof/>
                <w:webHidden/>
                <w:sz w:val="22"/>
              </w:rPr>
              <w:fldChar w:fldCharType="end"/>
            </w:r>
          </w:hyperlink>
        </w:p>
        <w:p w14:paraId="705D678E"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8" w:history="1">
            <w:r w:rsidR="009A090B" w:rsidRPr="009A090B">
              <w:rPr>
                <w:rStyle w:val="Hipervnculo"/>
                <w:rFonts w:ascii="Palatino Linotype" w:hAnsi="Palatino Linotype"/>
                <w:b/>
                <w:noProof/>
                <w:sz w:val="22"/>
              </w:rPr>
              <w:t>I. Requisitos previos.</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_Toc85118538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55</w:t>
            </w:r>
            <w:r w:rsidR="009A090B" w:rsidRPr="009A090B">
              <w:rPr>
                <w:rFonts w:ascii="Palatino Linotype" w:hAnsi="Palatino Linotype"/>
                <w:b/>
                <w:noProof/>
                <w:webHidden/>
                <w:sz w:val="22"/>
              </w:rPr>
              <w:fldChar w:fldCharType="end"/>
            </w:r>
          </w:hyperlink>
        </w:p>
        <w:p w14:paraId="4A5A9BB6"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39" w:history="1">
            <w:r w:rsidR="009A090B" w:rsidRPr="009A090B">
              <w:rPr>
                <w:rStyle w:val="Hipervnculo"/>
                <w:rFonts w:ascii="Palatino Linotype" w:hAnsi="Palatino Linotype"/>
                <w:b/>
                <w:noProof/>
                <w:sz w:val="22"/>
              </w:rPr>
              <w:t>II. Supuestos de clasificación.</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_Toc85118539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56</w:t>
            </w:r>
            <w:r w:rsidR="009A090B" w:rsidRPr="009A090B">
              <w:rPr>
                <w:rFonts w:ascii="Palatino Linotype" w:hAnsi="Palatino Linotype"/>
                <w:b/>
                <w:noProof/>
                <w:webHidden/>
                <w:sz w:val="22"/>
              </w:rPr>
              <w:fldChar w:fldCharType="end"/>
            </w:r>
          </w:hyperlink>
        </w:p>
        <w:p w14:paraId="111468F7" w14:textId="77777777" w:rsidR="009A090B" w:rsidRPr="009A090B" w:rsidRDefault="009A2F26" w:rsidP="009A090B">
          <w:pPr>
            <w:pStyle w:val="TDC3"/>
            <w:tabs>
              <w:tab w:val="right" w:leader="dot" w:pos="8828"/>
            </w:tabs>
            <w:spacing w:line="276" w:lineRule="auto"/>
            <w:rPr>
              <w:rFonts w:ascii="Palatino Linotype" w:hAnsi="Palatino Linotype"/>
              <w:b/>
              <w:noProof/>
              <w:sz w:val="20"/>
              <w:szCs w:val="22"/>
              <w:lang w:eastAsia="es-MX"/>
            </w:rPr>
          </w:pPr>
          <w:hyperlink w:anchor="_Toc85118540" w:history="1">
            <w:r w:rsidR="009A090B" w:rsidRPr="009A090B">
              <w:rPr>
                <w:rStyle w:val="Hipervnculo"/>
                <w:rFonts w:ascii="Palatino Linotype" w:hAnsi="Palatino Linotype"/>
                <w:b/>
                <w:noProof/>
                <w:sz w:val="22"/>
              </w:rPr>
              <w:t>III. La intervención del Comité de Transparencia.</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_Toc85118540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59</w:t>
            </w:r>
            <w:r w:rsidR="009A090B" w:rsidRPr="009A090B">
              <w:rPr>
                <w:rFonts w:ascii="Palatino Linotype" w:hAnsi="Palatino Linotype"/>
                <w:b/>
                <w:noProof/>
                <w:webHidden/>
                <w:sz w:val="22"/>
              </w:rPr>
              <w:fldChar w:fldCharType="end"/>
            </w:r>
          </w:hyperlink>
        </w:p>
        <w:p w14:paraId="570B8905"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41" w:history="1">
            <w:r w:rsidR="009A090B" w:rsidRPr="009A090B">
              <w:rPr>
                <w:rStyle w:val="Hipervnculo"/>
                <w:rFonts w:ascii="Palatino Linotype" w:hAnsi="Palatino Linotype"/>
                <w:b/>
                <w:bCs/>
                <w:noProof/>
                <w:sz w:val="22"/>
              </w:rPr>
              <w:t>SEXTO. Vista a los órganos de control interno.</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_Toc85118541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63</w:t>
            </w:r>
            <w:r w:rsidR="009A090B" w:rsidRPr="009A090B">
              <w:rPr>
                <w:rFonts w:ascii="Palatino Linotype" w:hAnsi="Palatino Linotype"/>
                <w:b/>
                <w:noProof/>
                <w:webHidden/>
                <w:sz w:val="22"/>
              </w:rPr>
              <w:fldChar w:fldCharType="end"/>
            </w:r>
          </w:hyperlink>
        </w:p>
        <w:p w14:paraId="709474FB" w14:textId="77777777" w:rsidR="009A090B" w:rsidRPr="009A090B" w:rsidRDefault="009A2F26" w:rsidP="009A090B">
          <w:pPr>
            <w:pStyle w:val="TDC2"/>
            <w:spacing w:line="276" w:lineRule="auto"/>
            <w:rPr>
              <w:rFonts w:ascii="Palatino Linotype" w:hAnsi="Palatino Linotype"/>
              <w:b/>
              <w:noProof/>
              <w:sz w:val="20"/>
              <w:szCs w:val="22"/>
              <w:lang w:eastAsia="es-MX"/>
            </w:rPr>
          </w:pPr>
          <w:hyperlink w:anchor="_Toc85118542" w:history="1">
            <w:r w:rsidR="009A090B" w:rsidRPr="009A090B">
              <w:rPr>
                <w:rStyle w:val="Hipervnculo"/>
                <w:rFonts w:ascii="Palatino Linotype" w:hAnsi="Palatino Linotype"/>
                <w:b/>
                <w:bCs/>
                <w:noProof/>
                <w:sz w:val="22"/>
              </w:rPr>
              <w:t>SÉPTIMO. Decisión</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_Toc85118542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67</w:t>
            </w:r>
            <w:r w:rsidR="009A090B" w:rsidRPr="009A090B">
              <w:rPr>
                <w:rFonts w:ascii="Palatino Linotype" w:hAnsi="Palatino Linotype"/>
                <w:b/>
                <w:noProof/>
                <w:webHidden/>
                <w:sz w:val="22"/>
              </w:rPr>
              <w:fldChar w:fldCharType="end"/>
            </w:r>
          </w:hyperlink>
        </w:p>
        <w:p w14:paraId="0A58BE2B" w14:textId="77777777" w:rsidR="009A090B" w:rsidRPr="009A090B" w:rsidRDefault="009A2F26" w:rsidP="009A090B">
          <w:pPr>
            <w:pStyle w:val="TDC1"/>
            <w:spacing w:line="276" w:lineRule="auto"/>
            <w:rPr>
              <w:rFonts w:ascii="Palatino Linotype" w:hAnsi="Palatino Linotype"/>
              <w:b/>
              <w:noProof/>
              <w:sz w:val="20"/>
              <w:szCs w:val="22"/>
              <w:lang w:eastAsia="es-MX"/>
            </w:rPr>
          </w:pPr>
          <w:hyperlink w:anchor="_Toc85118543" w:history="1">
            <w:r w:rsidR="009A090B" w:rsidRPr="009A090B">
              <w:rPr>
                <w:rStyle w:val="Hipervnculo"/>
                <w:rFonts w:ascii="Palatino Linotype" w:hAnsi="Palatino Linotype"/>
                <w:b/>
                <w:noProof/>
                <w:sz w:val="22"/>
              </w:rPr>
              <w:t>R E S O L U T I V O S</w:t>
            </w:r>
            <w:r w:rsidR="009A090B" w:rsidRPr="009A090B">
              <w:rPr>
                <w:rFonts w:ascii="Palatino Linotype" w:hAnsi="Palatino Linotype"/>
                <w:b/>
                <w:noProof/>
                <w:webHidden/>
                <w:sz w:val="22"/>
              </w:rPr>
              <w:tab/>
            </w:r>
            <w:r w:rsidR="009A090B" w:rsidRPr="009A090B">
              <w:rPr>
                <w:rFonts w:ascii="Palatino Linotype" w:hAnsi="Palatino Linotype"/>
                <w:b/>
                <w:noProof/>
                <w:webHidden/>
                <w:sz w:val="22"/>
              </w:rPr>
              <w:fldChar w:fldCharType="begin"/>
            </w:r>
            <w:r w:rsidR="009A090B" w:rsidRPr="009A090B">
              <w:rPr>
                <w:rFonts w:ascii="Palatino Linotype" w:hAnsi="Palatino Linotype"/>
                <w:b/>
                <w:noProof/>
                <w:webHidden/>
                <w:sz w:val="22"/>
              </w:rPr>
              <w:instrText xml:space="preserve"> PAGEREF _Toc85118543 \h </w:instrText>
            </w:r>
            <w:r w:rsidR="009A090B" w:rsidRPr="009A090B">
              <w:rPr>
                <w:rFonts w:ascii="Palatino Linotype" w:hAnsi="Palatino Linotype"/>
                <w:b/>
                <w:noProof/>
                <w:webHidden/>
                <w:sz w:val="22"/>
              </w:rPr>
            </w:r>
            <w:r w:rsidR="009A090B" w:rsidRPr="009A090B">
              <w:rPr>
                <w:rFonts w:ascii="Palatino Linotype" w:hAnsi="Palatino Linotype"/>
                <w:b/>
                <w:noProof/>
                <w:webHidden/>
                <w:sz w:val="22"/>
              </w:rPr>
              <w:fldChar w:fldCharType="separate"/>
            </w:r>
            <w:r w:rsidR="003C0FFA">
              <w:rPr>
                <w:rFonts w:ascii="Palatino Linotype" w:hAnsi="Palatino Linotype"/>
                <w:b/>
                <w:noProof/>
                <w:webHidden/>
                <w:sz w:val="22"/>
              </w:rPr>
              <w:t>69</w:t>
            </w:r>
            <w:r w:rsidR="009A090B" w:rsidRPr="009A090B">
              <w:rPr>
                <w:rFonts w:ascii="Palatino Linotype" w:hAnsi="Palatino Linotype"/>
                <w:b/>
                <w:noProof/>
                <w:webHidden/>
                <w:sz w:val="22"/>
              </w:rPr>
              <w:fldChar w:fldCharType="end"/>
            </w:r>
          </w:hyperlink>
        </w:p>
        <w:p w14:paraId="07A9A973" w14:textId="129DE285" w:rsidR="00DA7E2F" w:rsidRPr="009A090B" w:rsidRDefault="00DA7E2F" w:rsidP="009A090B">
          <w:pPr>
            <w:tabs>
              <w:tab w:val="left" w:pos="2350"/>
            </w:tabs>
            <w:spacing w:line="276" w:lineRule="auto"/>
            <w:ind w:right="333"/>
            <w:jc w:val="both"/>
            <w:rPr>
              <w:rFonts w:ascii="Palatino Linotype" w:hAnsi="Palatino Linotype"/>
              <w:b/>
              <w:bCs/>
              <w:color w:val="000000" w:themeColor="text1"/>
              <w:sz w:val="22"/>
            </w:rPr>
          </w:pPr>
          <w:r w:rsidRPr="009A090B">
            <w:rPr>
              <w:rFonts w:ascii="Palatino Linotype" w:hAnsi="Palatino Linotype"/>
              <w:b/>
              <w:bCs/>
              <w:color w:val="000000" w:themeColor="text1"/>
              <w:sz w:val="22"/>
              <w:lang w:val="es-ES"/>
            </w:rPr>
            <w:fldChar w:fldCharType="end"/>
          </w:r>
        </w:p>
      </w:sdtContent>
    </w:sdt>
    <w:p w14:paraId="695F3AB2" w14:textId="77777777" w:rsidR="000953E2" w:rsidRDefault="000953E2">
      <w:pPr>
        <w:rPr>
          <w:rFonts w:ascii="Palatino Linotype" w:hAnsi="Palatino Linotype"/>
          <w:color w:val="000000" w:themeColor="text1"/>
        </w:rPr>
      </w:pPr>
      <w:r>
        <w:rPr>
          <w:rFonts w:ascii="Palatino Linotype" w:hAnsi="Palatino Linotype"/>
          <w:color w:val="000000" w:themeColor="text1"/>
        </w:rPr>
        <w:br w:type="page"/>
      </w:r>
    </w:p>
    <w:p w14:paraId="73F7F940" w14:textId="594D135B"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lastRenderedPageBreak/>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616DFE">
        <w:rPr>
          <w:rFonts w:ascii="Palatino Linotype" w:hAnsi="Palatino Linotype"/>
          <w:color w:val="000000" w:themeColor="text1"/>
        </w:rPr>
        <w:t>veinte (20)</w:t>
      </w:r>
      <w:r w:rsidR="00F96460">
        <w:rPr>
          <w:rFonts w:ascii="Palatino Linotype" w:hAnsi="Palatino Linotype"/>
          <w:color w:val="000000" w:themeColor="text1"/>
        </w:rPr>
        <w:t xml:space="preserve"> de octubre</w:t>
      </w:r>
      <w:r w:rsidR="002D1AA7">
        <w:rPr>
          <w:rFonts w:ascii="Palatino Linotype" w:hAnsi="Palatino Linotype"/>
          <w:color w:val="000000" w:themeColor="text1"/>
        </w:rPr>
        <w:t xml:space="preserve"> de dos mil veintiuno</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4F797C26"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EB16D1">
        <w:rPr>
          <w:rFonts w:ascii="Palatino Linotype" w:hAnsi="Palatino Linotype"/>
          <w:b/>
          <w:bCs/>
          <w:color w:val="000000" w:themeColor="text1"/>
        </w:rPr>
        <w:t>04253/INFOEM/IP/RR/2021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proofErr w:type="spellStart"/>
      <w:r w:rsidR="00D7272B">
        <w:rPr>
          <w:rFonts w:ascii="Palatino Linotype" w:eastAsia="Times New Roman" w:hAnsi="Palatino Linotype" w:cs="Times New Roman"/>
          <w:i/>
          <w:iCs/>
          <w:color w:val="000000" w:themeColor="text1"/>
        </w:rPr>
        <w:t>Xxxxx</w:t>
      </w:r>
      <w:proofErr w:type="spellEnd"/>
      <w:r w:rsidR="00D7272B">
        <w:rPr>
          <w:rFonts w:ascii="Palatino Linotype" w:eastAsia="Times New Roman" w:hAnsi="Palatino Linotype" w:cs="Times New Roman"/>
          <w:i/>
          <w:iCs/>
          <w:color w:val="000000" w:themeColor="text1"/>
        </w:rPr>
        <w:t xml:space="preserve"> </w:t>
      </w:r>
      <w:proofErr w:type="spellStart"/>
      <w:r w:rsidR="00D7272B">
        <w:rPr>
          <w:rFonts w:ascii="Palatino Linotype" w:eastAsia="Times New Roman" w:hAnsi="Palatino Linotype" w:cs="Times New Roman"/>
          <w:i/>
          <w:iCs/>
          <w:color w:val="000000" w:themeColor="text1"/>
        </w:rPr>
        <w:t>Xx</w:t>
      </w:r>
      <w:proofErr w:type="spellEnd"/>
      <w:r w:rsidR="00D7272B">
        <w:rPr>
          <w:rFonts w:ascii="Palatino Linotype" w:eastAsia="Times New Roman" w:hAnsi="Palatino Linotype" w:cs="Times New Roman"/>
          <w:i/>
          <w:iCs/>
          <w:color w:val="000000" w:themeColor="text1"/>
        </w:rPr>
        <w:t xml:space="preserve"> </w:t>
      </w:r>
      <w:proofErr w:type="spellStart"/>
      <w:r w:rsidR="00D7272B">
        <w:rPr>
          <w:rFonts w:ascii="Palatino Linotype" w:eastAsia="Times New Roman" w:hAnsi="Palatino Linotype" w:cs="Times New Roman"/>
          <w:i/>
          <w:iCs/>
          <w:color w:val="000000" w:themeColor="text1"/>
        </w:rPr>
        <w:t>Xxxxxxxxxxxxx</w:t>
      </w:r>
      <w:proofErr w:type="spellEnd"/>
      <w:r w:rsidR="00D7272B">
        <w:rPr>
          <w:rFonts w:ascii="Palatino Linotype" w:eastAsia="Times New Roman" w:hAnsi="Palatino Linotype" w:cs="Times New Roman"/>
          <w:i/>
          <w:iCs/>
          <w:color w:val="000000" w:themeColor="text1"/>
        </w:rPr>
        <w:t xml:space="preserve"> </w:t>
      </w:r>
      <w:proofErr w:type="spellStart"/>
      <w:r w:rsidR="00D7272B">
        <w:rPr>
          <w:rFonts w:ascii="Palatino Linotype" w:eastAsia="Times New Roman" w:hAnsi="Palatino Linotype" w:cs="Times New Roman"/>
          <w:i/>
          <w:iCs/>
          <w:color w:val="000000" w:themeColor="text1"/>
        </w:rPr>
        <w:t>Xx</w:t>
      </w:r>
      <w:proofErr w:type="spellEnd"/>
      <w:r w:rsidR="00D7272B">
        <w:rPr>
          <w:rFonts w:ascii="Palatino Linotype" w:eastAsia="Times New Roman" w:hAnsi="Palatino Linotype" w:cs="Times New Roman"/>
          <w:i/>
          <w:iCs/>
          <w:color w:val="000000" w:themeColor="text1"/>
        </w:rPr>
        <w:t xml:space="preserve"> </w:t>
      </w:r>
      <w:proofErr w:type="spellStart"/>
      <w:r w:rsidR="00D7272B">
        <w:rPr>
          <w:rFonts w:ascii="Palatino Linotype" w:eastAsia="Times New Roman" w:hAnsi="Palatino Linotype" w:cs="Times New Roman"/>
          <w:i/>
          <w:iCs/>
          <w:color w:val="000000" w:themeColor="text1"/>
        </w:rPr>
        <w:t>Xxxxxxxxxxxxx</w:t>
      </w:r>
      <w:proofErr w:type="spellEnd"/>
      <w:r w:rsidR="00E647FF">
        <w:rPr>
          <w:rFonts w:ascii="Palatino Linotype" w:eastAsia="Times New Roman" w:hAnsi="Palatino Linotype" w:cs="Times New Roman"/>
          <w:color w:val="000000" w:themeColor="text1"/>
        </w:rPr>
        <w:t>,</w:t>
      </w:r>
      <w:r w:rsidR="0078249C">
        <w:rPr>
          <w:rFonts w:ascii="Palatino Linotype" w:eastAsia="Times New Roman" w:hAnsi="Palatino Linotype" w:cs="Times New Roman"/>
          <w:color w:val="000000" w:themeColor="text1"/>
        </w:rPr>
        <w:t xml:space="preserve"> 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 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EB16D1">
        <w:rPr>
          <w:rFonts w:ascii="Palatino Linotype" w:eastAsia="Times New Roman" w:hAnsi="Palatino Linotype" w:cs="Arial"/>
          <w:b/>
          <w:color w:val="000000" w:themeColor="text1"/>
        </w:rPr>
        <w:t>Ayuntamiento de Ecatepec de Morelos</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5118524"/>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680282B"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EB16D1">
        <w:rPr>
          <w:rFonts w:ascii="Palatino Linotype" w:eastAsia="Calibri" w:hAnsi="Palatino Linotype" w:cs="Arial"/>
          <w:color w:val="000000" w:themeColor="text1"/>
          <w:lang w:val="es-ES"/>
        </w:rPr>
        <w:t>dos (02) de agosto</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proofErr w:type="gramStart"/>
      <w:r w:rsidR="00DE4F75">
        <w:rPr>
          <w:rFonts w:ascii="Palatino Linotype" w:hAnsi="Palatino Linotype"/>
          <w:bCs/>
          <w:color w:val="000000" w:themeColor="text1"/>
        </w:rPr>
        <w:t>de</w:t>
      </w:r>
      <w:r w:rsidR="00EB16D1">
        <w:rPr>
          <w:rFonts w:ascii="Palatino Linotype" w:hAnsi="Palatino Linotype"/>
          <w:bCs/>
          <w:color w:val="000000" w:themeColor="text1"/>
        </w:rPr>
        <w:t xml:space="preserve">l </w:t>
      </w:r>
      <w:r w:rsidR="00DE4F75">
        <w:rPr>
          <w:rFonts w:ascii="Palatino Linotype" w:hAnsi="Palatino Linotype"/>
          <w:bCs/>
          <w:color w:val="000000" w:themeColor="text1"/>
        </w:rPr>
        <w:t xml:space="preserve"> </w:t>
      </w:r>
      <w:r w:rsidR="005F1362" w:rsidRPr="00A85CB7">
        <w:rPr>
          <w:rFonts w:ascii="Palatino Linotype" w:eastAsia="Calibri" w:hAnsi="Palatino Linotype" w:cs="Arial"/>
          <w:color w:val="000000" w:themeColor="text1"/>
          <w:lang w:val="es-ES"/>
        </w:rPr>
        <w:t>Sistema</w:t>
      </w:r>
      <w:proofErr w:type="gramEnd"/>
      <w:r w:rsidR="005F1362" w:rsidRPr="00A85CB7">
        <w:rPr>
          <w:rFonts w:ascii="Palatino Linotype" w:eastAsia="Calibri" w:hAnsi="Palatino Linotype" w:cs="Arial"/>
          <w:color w:val="000000" w:themeColor="text1"/>
          <w:lang w:val="es-ES"/>
        </w:rPr>
        <w:t xml:space="preserve"> de Acceso a la Información Mexiquense </w:t>
      </w:r>
      <w:r w:rsidR="005F1362" w:rsidRPr="00127E68">
        <w:rPr>
          <w:rFonts w:ascii="Palatino Linotype" w:eastAsia="Calibri" w:hAnsi="Palatino Linotype" w:cs="Arial"/>
          <w:bCs/>
          <w:color w:val="000000" w:themeColor="text1"/>
          <w:lang w:val="es-ES"/>
        </w:rPr>
        <w:t>(</w:t>
      </w:r>
      <w:r w:rsidR="005F1362" w:rsidRPr="00EB16D1">
        <w:rPr>
          <w:rFonts w:ascii="Palatino Linotype" w:eastAsia="Calibri" w:hAnsi="Palatino Linotype" w:cs="Arial"/>
          <w:bCs/>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EB16D1">
        <w:rPr>
          <w:rFonts w:ascii="Palatino Linotype" w:hAnsi="Palatino Linotype"/>
          <w:b/>
          <w:bCs/>
          <w:color w:val="000000" w:themeColor="text1"/>
        </w:rPr>
        <w:t>00557/ECATEPEC/IP/2021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E3987D2"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EB16D1" w:rsidRPr="00EB16D1">
        <w:rPr>
          <w:rFonts w:ascii="Palatino Linotype" w:hAnsi="Palatino Linotype"/>
          <w:i/>
          <w:iCs/>
          <w:color w:val="000000" w:themeColor="text1"/>
          <w:sz w:val="22"/>
          <w:szCs w:val="22"/>
        </w:rPr>
        <w:t xml:space="preserve">Solicito a la Dirección de Desarrollo Económico los avances del programa "Adopta un Espacio" en Ecatepec de Morelos, Estado de México. Información detallada del programa, desde el 1 de abril 2019 al 31 de julio 2021, que contenga: Número de convenios de colaboración firmados con empresarios; descripción de cada uno de los convenios de colaboración firmados; número de espacios públicos rehabilitados; nombre y dirección (ubicación geográfica) de cada uno de los espacios públicos rehabilitados; número y descripción de las acciones para el mejoramiento realizadas en cada espacio público rehabilitado; obras de bacheo reparación o instalación de luminarias; </w:t>
      </w:r>
      <w:proofErr w:type="spellStart"/>
      <w:r w:rsidR="00EB16D1" w:rsidRPr="00EB16D1">
        <w:rPr>
          <w:rFonts w:ascii="Palatino Linotype" w:hAnsi="Palatino Linotype"/>
          <w:i/>
          <w:iCs/>
          <w:color w:val="000000" w:themeColor="text1"/>
          <w:sz w:val="22"/>
          <w:szCs w:val="22"/>
        </w:rPr>
        <w:t>arboles</w:t>
      </w:r>
      <w:proofErr w:type="spellEnd"/>
      <w:r w:rsidR="00EB16D1" w:rsidRPr="00EB16D1">
        <w:rPr>
          <w:rFonts w:ascii="Palatino Linotype" w:hAnsi="Palatino Linotype"/>
          <w:i/>
          <w:iCs/>
          <w:color w:val="000000" w:themeColor="text1"/>
          <w:sz w:val="22"/>
          <w:szCs w:val="22"/>
        </w:rPr>
        <w:t xml:space="preserve"> plantados o podados; cruces peatonales pintados; remozamiento de vialidades; </w:t>
      </w:r>
      <w:r w:rsidR="00EB16D1" w:rsidRPr="00EB16D1">
        <w:rPr>
          <w:rFonts w:ascii="Palatino Linotype" w:hAnsi="Palatino Linotype"/>
          <w:i/>
          <w:iCs/>
          <w:color w:val="000000" w:themeColor="text1"/>
          <w:sz w:val="22"/>
          <w:szCs w:val="22"/>
        </w:rPr>
        <w:lastRenderedPageBreak/>
        <w:t>instalación de bancas, juegos mecánicos, aparatos de ejercicio en vía pública; y cualquier información relacionada con los alcances de este programa público.</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2BD524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11423777" w14:textId="077D36F2" w:rsidR="00F96460" w:rsidRPr="00EB16D1" w:rsidRDefault="00B31E90" w:rsidP="00EB16D1">
      <w:pPr>
        <w:pStyle w:val="Prrafodelista"/>
        <w:numPr>
          <w:ilvl w:val="0"/>
          <w:numId w:val="1"/>
        </w:numPr>
        <w:tabs>
          <w:tab w:val="left" w:pos="426"/>
        </w:tabs>
        <w:spacing w:line="360" w:lineRule="auto"/>
        <w:jc w:val="both"/>
        <w:rPr>
          <w:rFonts w:ascii="Palatino Linotype" w:hAnsi="Palatino Linotype" w:cs="Arial"/>
        </w:rPr>
      </w:pPr>
      <w:r w:rsidRPr="00022D89">
        <w:rPr>
          <w:rFonts w:ascii="Palatino Linotype" w:eastAsia="MS Mincho" w:hAnsi="Palatino Linotype" w:cs="Times New Roman"/>
          <w:color w:val="000000" w:themeColor="text1"/>
        </w:rPr>
        <w:t xml:space="preserve">El </w:t>
      </w:r>
      <w:r w:rsidR="00EB16D1">
        <w:rPr>
          <w:rFonts w:ascii="Palatino Linotype" w:eastAsia="MS Mincho" w:hAnsi="Palatino Linotype" w:cs="Times New Roman"/>
          <w:b/>
          <w:color w:val="000000" w:themeColor="text1"/>
        </w:rPr>
        <w:t>SUJETO OBLIGADO</w:t>
      </w:r>
      <w:r w:rsidR="00EB16D1">
        <w:rPr>
          <w:rFonts w:ascii="Palatino Linotype" w:eastAsia="MS Mincho" w:hAnsi="Palatino Linotype" w:cs="Times New Roman"/>
          <w:color w:val="000000" w:themeColor="text1"/>
        </w:rPr>
        <w:t xml:space="preserve"> no dio respuesta a la solicitud de información.</w:t>
      </w:r>
    </w:p>
    <w:p w14:paraId="1DA6B056" w14:textId="77777777" w:rsidR="00EB16D1" w:rsidRPr="00F96460" w:rsidRDefault="00EB16D1" w:rsidP="00EB16D1">
      <w:pPr>
        <w:pStyle w:val="Prrafodelista"/>
        <w:tabs>
          <w:tab w:val="left" w:pos="426"/>
        </w:tabs>
        <w:spacing w:line="360" w:lineRule="auto"/>
        <w:ind w:left="0"/>
        <w:jc w:val="both"/>
        <w:rPr>
          <w:rFonts w:ascii="Palatino Linotype" w:hAnsi="Palatino Linotype" w:cs="Arial"/>
        </w:rPr>
      </w:pPr>
    </w:p>
    <w:p w14:paraId="272B63B3" w14:textId="421054F7"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w:t>
      </w:r>
      <w:r w:rsidR="00EB16D1">
        <w:rPr>
          <w:rFonts w:ascii="Palatino Linotype" w:eastAsia="Times New Roman" w:hAnsi="Palatino Linotype" w:cs="Arial"/>
          <w:color w:val="000000" w:themeColor="text1"/>
          <w:lang w:val="es-ES"/>
        </w:rPr>
        <w:t xml:space="preserve">falta de </w:t>
      </w:r>
      <w:r w:rsidR="00561ED1" w:rsidRPr="00A85CB7">
        <w:rPr>
          <w:rFonts w:ascii="Palatino Linotype" w:eastAsia="Times New Roman" w:hAnsi="Palatino Linotype" w:cs="Arial"/>
          <w:color w:val="000000" w:themeColor="text1"/>
          <w:lang w:val="es-ES"/>
        </w:rPr>
        <w:t>respuesta, e</w:t>
      </w:r>
      <w:r w:rsidR="00DB4BEF" w:rsidRPr="00A85CB7">
        <w:rPr>
          <w:rFonts w:ascii="Palatino Linotype" w:eastAsia="Times New Roman" w:hAnsi="Palatino Linotype" w:cs="Arial"/>
          <w:color w:val="000000" w:themeColor="text1"/>
          <w:lang w:val="es-ES"/>
        </w:rPr>
        <w:t xml:space="preserve">l </w:t>
      </w:r>
      <w:r w:rsidR="00EB16D1">
        <w:rPr>
          <w:rFonts w:ascii="Palatino Linotype" w:eastAsia="Times New Roman" w:hAnsi="Palatino Linotype" w:cs="Arial"/>
          <w:color w:val="000000" w:themeColor="text1"/>
          <w:lang w:val="es-ES"/>
        </w:rPr>
        <w:t>veinticinco (25) de agosto</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EB16D1">
        <w:rPr>
          <w:rFonts w:ascii="Palatino Linotype" w:eastAsia="Calibri" w:hAnsi="Palatino Linotype" w:cs="Arial"/>
          <w:b/>
          <w:color w:val="000000" w:themeColor="text1"/>
          <w:lang w:val="es-ES"/>
        </w:rPr>
        <w:t>04253/INFOEM/IP/RR/2021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896AD8C" w:rsidR="00E34622" w:rsidRPr="00A85CB7" w:rsidRDefault="00E34622" w:rsidP="009716F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9716FC" w:rsidRPr="009716FC">
        <w:rPr>
          <w:rFonts w:ascii="Palatino Linotype" w:hAnsi="Palatino Linotype"/>
          <w:i/>
          <w:iCs/>
          <w:color w:val="000000"/>
        </w:rPr>
        <w:t>Se interpone el recurso de revisión con base en el artículo 179 de la Ley de Transparencia y Acceso a la Información Pública del Estado de México y sus Municipios debido a la falta de respuesta de la información solicitada en los plazos establecidos.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3ECB6504" w:rsidR="00E34622" w:rsidRPr="00A85CB7" w:rsidRDefault="00E34622" w:rsidP="009716F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9716FC" w:rsidRPr="009716FC">
        <w:rPr>
          <w:rFonts w:ascii="Palatino Linotype" w:hAnsi="Palatino Linotype"/>
          <w:i/>
          <w:iCs/>
          <w:color w:val="000000"/>
        </w:rPr>
        <w:t xml:space="preserve">De la información solicitada del programa “Adopta un Espacio”, hace falta la entrega del Número de convenios de colaboración firmados con empresarios; descripción de cada uno de los convenios de colaboración firmados; número de espacios públicos rehabilitados; nombre y dirección (ubicación geográfica) de cada uno de los espacios públicos rehabilitados; número y descripción de las acciones para el mejoramiento realizadas en cada espacio público rehabilitado; obras de bacheo reparación o instalación de </w:t>
      </w:r>
      <w:r w:rsidR="009716FC" w:rsidRPr="009716FC">
        <w:rPr>
          <w:rFonts w:ascii="Palatino Linotype" w:hAnsi="Palatino Linotype"/>
          <w:i/>
          <w:iCs/>
          <w:color w:val="000000"/>
        </w:rPr>
        <w:lastRenderedPageBreak/>
        <w:t>luminarias; árboles plantados o podados; cruces peatonales pintados; remozamiento de vialidades; instalación de bancas, juegos mecánicos, aparatos de ejercicio en vía pública; y cualquier información relacionada con los alcances de este programa público.</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7FD7404"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Comisionada </w:t>
      </w:r>
      <w:r w:rsidR="009716FC">
        <w:rPr>
          <w:rFonts w:ascii="Palatino Linotype" w:eastAsia="Times New Roman" w:hAnsi="Palatino Linotype" w:cs="Arial"/>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AE1582C"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9716FC">
        <w:rPr>
          <w:rFonts w:ascii="Palatino Linotype" w:eastAsia="Calibri" w:hAnsi="Palatino Linotype" w:cs="Arial"/>
          <w:color w:val="000000" w:themeColor="text1"/>
          <w:lang w:val="es-ES"/>
        </w:rPr>
        <w:t>veintisiete (27</w:t>
      </w:r>
      <w:r w:rsidR="005C450C">
        <w:rPr>
          <w:rFonts w:ascii="Palatino Linotype" w:eastAsia="Calibri" w:hAnsi="Palatino Linotype" w:cs="Arial"/>
          <w:color w:val="000000" w:themeColor="text1"/>
          <w:lang w:val="es-ES"/>
        </w:rPr>
        <w:t>) de agosto</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9716FC">
        <w:rPr>
          <w:rFonts w:ascii="Palatino Linotype" w:eastAsia="Calibri" w:hAnsi="Palatino Linotype" w:cs="Arial"/>
          <w:color w:val="000000" w:themeColor="text1"/>
          <w:lang w:val="es-ES"/>
        </w:rPr>
        <w:t>SAIMEX,</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7E94A06D" w:rsidR="001E4152" w:rsidRPr="0096234B"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9716FC">
        <w:rPr>
          <w:rFonts w:ascii="Palatino Linotype" w:eastAsia="Calibri" w:hAnsi="Palatino Linotype" w:cs="Arial"/>
          <w:color w:val="000000" w:themeColor="text1"/>
          <w:lang w:val="es-ES"/>
        </w:rPr>
        <w:t>quince (15</w:t>
      </w:r>
      <w:r w:rsidR="005C450C">
        <w:rPr>
          <w:rFonts w:ascii="Palatino Linotype" w:eastAsia="Calibri" w:hAnsi="Palatino Linotype" w:cs="Arial"/>
          <w:color w:val="000000" w:themeColor="text1"/>
          <w:lang w:val="es-ES"/>
        </w:rPr>
        <w:t>) de septiembre</w:t>
      </w:r>
      <w:r w:rsidRPr="0096234B">
        <w:rPr>
          <w:rFonts w:ascii="Palatino Linotype" w:eastAsia="Calibri" w:hAnsi="Palatino Linotype" w:cs="Arial"/>
          <w:color w:val="000000" w:themeColor="text1"/>
          <w:lang w:val="es-ES"/>
        </w:rPr>
        <w:t xml:space="preserve"> de dos mil veintiuno, el </w:t>
      </w:r>
      <w:r w:rsidRPr="0096234B">
        <w:rPr>
          <w:rFonts w:ascii="Palatino Linotype" w:eastAsia="Calibri" w:hAnsi="Palatino Linotype" w:cs="Arial"/>
          <w:b/>
          <w:bCs/>
          <w:color w:val="000000" w:themeColor="text1"/>
          <w:lang w:val="es-ES"/>
        </w:rPr>
        <w:t>SUJETO OBLIGADO</w:t>
      </w:r>
      <w:r w:rsidRPr="0096234B">
        <w:rPr>
          <w:rFonts w:ascii="Palatino Linotype" w:eastAsia="Calibri" w:hAnsi="Palatino Linotype" w:cs="Arial"/>
          <w:color w:val="000000" w:themeColor="text1"/>
          <w:lang w:val="es-ES"/>
        </w:rPr>
        <w:t xml:space="preserve"> presentó su Informe Justificado mediante </w:t>
      </w:r>
      <w:r w:rsidR="009716FC">
        <w:rPr>
          <w:rFonts w:ascii="Palatino Linotype" w:eastAsia="Calibri" w:hAnsi="Palatino Linotype" w:cs="Arial"/>
          <w:color w:val="000000" w:themeColor="text1"/>
          <w:lang w:val="es-ES"/>
        </w:rPr>
        <w:t>los</w:t>
      </w:r>
      <w:r w:rsidRPr="0096234B">
        <w:rPr>
          <w:rFonts w:ascii="Palatino Linotype" w:eastAsia="Calibri" w:hAnsi="Palatino Linotype" w:cs="Arial"/>
          <w:color w:val="000000" w:themeColor="text1"/>
          <w:lang w:val="es-ES"/>
        </w:rPr>
        <w:t xml:space="preserve"> archivo</w:t>
      </w:r>
      <w:r w:rsidR="009716FC">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electrónico</w:t>
      </w:r>
      <w:r w:rsidR="009716FC">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descrito</w:t>
      </w:r>
      <w:r w:rsidR="009716FC">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a continuación:</w:t>
      </w:r>
    </w:p>
    <w:p w14:paraId="45B53050" w14:textId="0F4B1E17" w:rsidR="0096234B" w:rsidRDefault="0096234B" w:rsidP="009F5F3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bCs/>
          <w:i/>
          <w:iCs/>
          <w:color w:val="000000" w:themeColor="text1"/>
        </w:rPr>
        <w:t>“</w:t>
      </w:r>
      <w:r w:rsidR="009716FC">
        <w:rPr>
          <w:rFonts w:ascii="Palatino Linotype" w:hAnsi="Palatino Linotype"/>
          <w:b/>
          <w:bCs/>
          <w:i/>
          <w:iCs/>
          <w:color w:val="000000" w:themeColor="text1"/>
        </w:rPr>
        <w:t>04253-2021</w:t>
      </w:r>
      <w:r w:rsidR="005C450C" w:rsidRPr="005C450C">
        <w:rPr>
          <w:rFonts w:ascii="Palatino Linotype" w:hAnsi="Palatino Linotype"/>
          <w:b/>
          <w:bCs/>
          <w:i/>
          <w:iCs/>
          <w:color w:val="000000" w:themeColor="text1"/>
        </w:rPr>
        <w:t>.pdf</w:t>
      </w:r>
      <w:r>
        <w:rPr>
          <w:rFonts w:ascii="Palatino Linotype" w:hAnsi="Palatino Linotype"/>
          <w:b/>
          <w:bCs/>
          <w:i/>
          <w:iCs/>
          <w:color w:val="000000" w:themeColor="text1"/>
        </w:rPr>
        <w:t>”</w:t>
      </w:r>
      <w:r>
        <w:rPr>
          <w:rFonts w:ascii="Palatino Linotype" w:hAnsi="Palatino Linotype"/>
          <w:color w:val="000000" w:themeColor="text1"/>
        </w:rPr>
        <w:t>: Documento</w:t>
      </w:r>
      <w:r w:rsidR="009716FC">
        <w:rPr>
          <w:rFonts w:ascii="Palatino Linotype" w:hAnsi="Palatino Linotype"/>
          <w:color w:val="000000" w:themeColor="text1"/>
        </w:rPr>
        <w:t xml:space="preserve"> de una foja consistente en el oficio de quince (15) de septiembre de dos mil veintiuno, sin folio de identificación, emitido </w:t>
      </w:r>
      <w:r w:rsidR="009716FC">
        <w:rPr>
          <w:rFonts w:ascii="Palatino Linotype" w:hAnsi="Palatino Linotype"/>
          <w:color w:val="000000" w:themeColor="text1"/>
        </w:rPr>
        <w:lastRenderedPageBreak/>
        <w:t xml:space="preserve">por la Titular de la Unidad de Transparencia, mediante el cual, ofrece la respuesta de la Dirección de Desarrollo Económico a la solicitud de información </w:t>
      </w:r>
      <w:r w:rsidR="009716FC">
        <w:rPr>
          <w:rFonts w:ascii="Palatino Linotype" w:hAnsi="Palatino Linotype"/>
          <w:b/>
          <w:color w:val="000000" w:themeColor="text1"/>
        </w:rPr>
        <w:t>00557/ECATEPEC/IP/2021</w:t>
      </w:r>
      <w:r w:rsidR="009716FC">
        <w:rPr>
          <w:rFonts w:ascii="Palatino Linotype" w:hAnsi="Palatino Linotype"/>
          <w:color w:val="000000" w:themeColor="text1"/>
        </w:rPr>
        <w:t>.</w:t>
      </w:r>
    </w:p>
    <w:p w14:paraId="4FADDDDB" w14:textId="50FE3988" w:rsidR="009716FC" w:rsidRDefault="009716FC" w:rsidP="009F5F3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“Respuesta del área 04253-2021.pdf”</w:t>
      </w:r>
      <w:r>
        <w:rPr>
          <w:rFonts w:ascii="Palatino Linotype" w:hAnsi="Palatino Linotype"/>
          <w:color w:val="000000" w:themeColor="text1"/>
        </w:rPr>
        <w:t>: Documento de una foja consistente en el oficio número DDE/660/2021, de tres (03) de septiembre de dos mil veintiuno, signado por la Directora de Desarrollo Económico, por el que informa que después de realizar la búsqueda en los archivos de la dirección a su cargo, no se encontró la información solicitada, relativa al programa “Adopta un espacio”</w:t>
      </w:r>
      <w:r w:rsidR="00AF0C47">
        <w:rPr>
          <w:rFonts w:ascii="Palatino Linotype" w:hAnsi="Palatino Linotype"/>
          <w:color w:val="000000" w:themeColor="text1"/>
        </w:rPr>
        <w:t xml:space="preserve"> y solicita al Comité de Transparencia que se declare su inexistencia.</w:t>
      </w:r>
    </w:p>
    <w:p w14:paraId="131021EE" w14:textId="10CD6629" w:rsidR="009716FC" w:rsidRPr="0096234B" w:rsidRDefault="009716FC" w:rsidP="009F5F3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“Acta 050-2021.pdf.pdf”</w:t>
      </w:r>
      <w:r>
        <w:rPr>
          <w:rFonts w:ascii="Palatino Linotype" w:hAnsi="Palatino Linotype"/>
          <w:color w:val="000000" w:themeColor="text1"/>
        </w:rPr>
        <w:t xml:space="preserve">: Documento </w:t>
      </w:r>
      <w:r w:rsidR="00AF0C47">
        <w:rPr>
          <w:rFonts w:ascii="Palatino Linotype" w:hAnsi="Palatino Linotype"/>
          <w:color w:val="000000" w:themeColor="text1"/>
        </w:rPr>
        <w:t xml:space="preserve">de tres fojas consistente en el Acta de la Quincuagésima Sesión Extraordinaria del Comité de Transparencia del </w:t>
      </w:r>
      <w:r w:rsidR="00AF0C47">
        <w:rPr>
          <w:rFonts w:ascii="Palatino Linotype" w:hAnsi="Palatino Linotype"/>
          <w:b/>
          <w:color w:val="000000" w:themeColor="text1"/>
        </w:rPr>
        <w:t>SUJETO OBLIGADO</w:t>
      </w:r>
      <w:r w:rsidR="00AF0C47">
        <w:rPr>
          <w:rFonts w:ascii="Palatino Linotype" w:hAnsi="Palatino Linotype"/>
          <w:color w:val="000000" w:themeColor="text1"/>
        </w:rPr>
        <w:t xml:space="preserve">, celebrada el trece (13) de septiembre de dos mil veintiuno, y en la cual, se acuerda la inexistencia de la información requerida a través de la solicitud </w:t>
      </w:r>
      <w:r w:rsidR="00AF0C47">
        <w:rPr>
          <w:rFonts w:ascii="Palatino Linotype" w:hAnsi="Palatino Linotype"/>
          <w:b/>
          <w:color w:val="000000" w:themeColor="text1"/>
        </w:rPr>
        <w:t>00557/ECATEPEC/IP/2021</w:t>
      </w:r>
      <w:r w:rsidR="00AF0C47">
        <w:rPr>
          <w:rFonts w:ascii="Palatino Linotype" w:hAnsi="Palatino Linotype"/>
          <w:color w:val="000000" w:themeColor="text1"/>
        </w:rPr>
        <w:t xml:space="preserve"> y una diversa.</w:t>
      </w:r>
    </w:p>
    <w:p w14:paraId="523FC70D" w14:textId="77777777" w:rsidR="001E4152" w:rsidRPr="003D792A" w:rsidRDefault="001E4152" w:rsidP="003D792A">
      <w:pPr>
        <w:pStyle w:val="Prrafodelista"/>
        <w:tabs>
          <w:tab w:val="left" w:pos="426"/>
        </w:tabs>
        <w:spacing w:line="360" w:lineRule="auto"/>
        <w:ind w:left="0"/>
        <w:jc w:val="both"/>
        <w:rPr>
          <w:rFonts w:ascii="Palatino Linotype" w:hAnsi="Palatino Linotype"/>
          <w:color w:val="000000" w:themeColor="text1"/>
        </w:rPr>
      </w:pPr>
    </w:p>
    <w:p w14:paraId="23BE587A" w14:textId="55F906A3" w:rsidR="0096234B" w:rsidRDefault="00AF0C47"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E</w:t>
      </w:r>
      <w:r w:rsidR="0096234B" w:rsidRPr="0096234B">
        <w:rPr>
          <w:rFonts w:ascii="Palatino Linotype" w:hAnsi="Palatino Linotype"/>
          <w:color w:val="000000" w:themeColor="text1"/>
        </w:rPr>
        <w:t xml:space="preserve">l </w:t>
      </w:r>
      <w:r>
        <w:rPr>
          <w:rFonts w:ascii="Palatino Linotype" w:hAnsi="Palatino Linotype"/>
          <w:color w:val="000000" w:themeColor="text1"/>
        </w:rPr>
        <w:t>veintidós (22</w:t>
      </w:r>
      <w:r w:rsidR="005C450C">
        <w:rPr>
          <w:rFonts w:ascii="Palatino Linotype" w:hAnsi="Palatino Linotype"/>
          <w:color w:val="000000" w:themeColor="text1"/>
        </w:rPr>
        <w:t>) de septiembre</w:t>
      </w:r>
      <w:r w:rsidR="0096234B" w:rsidRPr="0096234B">
        <w:rPr>
          <w:rFonts w:ascii="Palatino Linotype" w:hAnsi="Palatino Linotype"/>
          <w:color w:val="000000" w:themeColor="text1"/>
        </w:rPr>
        <w:t xml:space="preserve"> de dos mil veintiuno, </w:t>
      </w:r>
      <w:r>
        <w:rPr>
          <w:rFonts w:ascii="Palatino Linotype" w:hAnsi="Palatino Linotype"/>
          <w:color w:val="000000" w:themeColor="text1"/>
        </w:rPr>
        <w:t xml:space="preserve">la Ponencia Resolutora puso a la vista del </w:t>
      </w:r>
      <w:r>
        <w:rPr>
          <w:rFonts w:ascii="Palatino Linotype" w:hAnsi="Palatino Linotype"/>
          <w:b/>
          <w:color w:val="000000" w:themeColor="text1"/>
        </w:rPr>
        <w:t>RECURRENTE</w:t>
      </w:r>
      <w:r>
        <w:rPr>
          <w:rFonts w:ascii="Palatino Linotype" w:hAnsi="Palatino Linotype"/>
          <w:color w:val="000000" w:themeColor="text1"/>
        </w:rPr>
        <w:t xml:space="preserve"> los archivos presentados por el </w:t>
      </w:r>
      <w:r>
        <w:rPr>
          <w:rFonts w:ascii="Palatino Linotype" w:hAnsi="Palatino Linotype"/>
          <w:b/>
          <w:color w:val="000000" w:themeColor="text1"/>
        </w:rPr>
        <w:t>SUJETO OBLIGADO</w:t>
      </w:r>
      <w:r>
        <w:rPr>
          <w:rFonts w:ascii="Palatino Linotype" w:hAnsi="Palatino Linotype"/>
          <w:color w:val="000000" w:themeColor="text1"/>
        </w:rPr>
        <w:t xml:space="preserve"> en vía de informe justificado, </w:t>
      </w:r>
      <w:r w:rsidR="0096234B" w:rsidRPr="0096234B">
        <w:rPr>
          <w:rFonts w:ascii="Palatino Linotype" w:hAnsi="Palatino Linotype"/>
          <w:color w:val="000000" w:themeColor="text1"/>
        </w:rPr>
        <w:t>concediéndole un plazo de tres (03) días para que manifestara lo que a su derecho conviniera, de conformidad con el artículo 185, fracción III, de la Ley de Transparencia y Acceso a la Información Pública del Estado de México y Municipios</w:t>
      </w:r>
      <w:r w:rsidR="005C450C">
        <w:rPr>
          <w:rFonts w:ascii="Palatino Linotype" w:hAnsi="Palatino Linotype"/>
          <w:color w:val="000000" w:themeColor="text1"/>
        </w:rPr>
        <w:t>.</w:t>
      </w:r>
      <w:r>
        <w:rPr>
          <w:rFonts w:ascii="Palatino Linotype" w:hAnsi="Palatino Linotype"/>
          <w:color w:val="000000" w:themeColor="text1"/>
        </w:rPr>
        <w:t xml:space="preserve"> No obstante, se hace constar que el particular no ejerció su derecho de réplica sobre los nuevos contenidos.</w:t>
      </w:r>
    </w:p>
    <w:p w14:paraId="4CFAEB9B" w14:textId="77777777" w:rsidR="005C450C"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7FB95849" w14:textId="3CAC1A23" w:rsidR="00F2567E" w:rsidRPr="008965EF" w:rsidRDefault="00861622"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lastRenderedPageBreak/>
        <w:t>El</w:t>
      </w:r>
      <w:bookmarkStart w:id="3" w:name="_Toc461555889"/>
      <w:bookmarkStart w:id="4" w:name="_Toc466371858"/>
      <w:r w:rsidR="00B855AA">
        <w:rPr>
          <w:rFonts w:ascii="Palatino Linotype" w:eastAsia="Calibri" w:hAnsi="Palatino Linotype" w:cs="Arial"/>
          <w:color w:val="000000" w:themeColor="text1"/>
          <w:lang w:val="es-ES"/>
        </w:rPr>
        <w:t xml:space="preserve"> </w:t>
      </w:r>
      <w:r w:rsidR="00C76E72">
        <w:rPr>
          <w:rFonts w:ascii="Palatino Linotype" w:hAnsi="Palatino Linotype" w:cs="Arial"/>
          <w:color w:val="000000" w:themeColor="text1"/>
        </w:rPr>
        <w:t xml:space="preserve">cinco (05) de octubre </w:t>
      </w:r>
      <w:r w:rsidR="00C76E72" w:rsidRPr="003522BF">
        <w:rPr>
          <w:rFonts w:ascii="Palatino Linotype" w:hAnsi="Palatino Linotype" w:cs="Arial"/>
          <w:color w:val="000000" w:themeColor="text1"/>
        </w:rPr>
        <w:t xml:space="preserve">dos mil veintiuno, </w:t>
      </w:r>
      <w:r w:rsidR="00C76E72" w:rsidRPr="003522BF">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C76E72" w:rsidRPr="003522BF">
        <w:rPr>
          <w:rFonts w:ascii="Palatino Linotype" w:hAnsi="Palatino Linotype" w:cs="Arial"/>
          <w:bCs/>
          <w:color w:val="000000" w:themeColor="text1"/>
          <w:lang w:val="es-ES"/>
        </w:rPr>
        <w:t xml:space="preserve"> </w:t>
      </w:r>
      <w:r w:rsidR="00C76E72" w:rsidRPr="003522B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C76E72">
        <w:rPr>
          <w:rFonts w:ascii="Palatino Linotype" w:eastAsia="Calibri" w:hAnsi="Palatino Linotype" w:cs="Arial"/>
          <w:color w:val="000000" w:themeColor="text1"/>
          <w:lang w:val="es-ES"/>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26538E7B" w:rsidR="008965EF" w:rsidRPr="005C3B63" w:rsidRDefault="00C76E72"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Luego</w:t>
      </w:r>
      <w:r w:rsidR="003522BF">
        <w:rPr>
          <w:rFonts w:ascii="Palatino Linotype" w:hAnsi="Palatino Linotype" w:cs="Arial"/>
          <w:color w:val="000000" w:themeColor="text1"/>
        </w:rPr>
        <w:t>,</w:t>
      </w:r>
      <w:r>
        <w:rPr>
          <w:rFonts w:ascii="Palatino Linotype" w:hAnsi="Palatino Linotype" w:cs="Arial"/>
          <w:color w:val="000000" w:themeColor="text1"/>
        </w:rPr>
        <w:t xml:space="preserve"> el</w:t>
      </w:r>
      <w:r w:rsidR="003522BF">
        <w:rPr>
          <w:rFonts w:ascii="Palatino Linotype" w:hAnsi="Palatino Linotype" w:cs="Arial"/>
          <w:color w:val="000000" w:themeColor="text1"/>
        </w:rPr>
        <w:t xml:space="preserve"> </w:t>
      </w:r>
      <w:r>
        <w:rPr>
          <w:rFonts w:ascii="Palatino Linotype" w:eastAsia="Calibri" w:hAnsi="Palatino Linotype" w:cs="Arial"/>
          <w:color w:val="000000" w:themeColor="text1"/>
          <w:lang w:val="es-ES"/>
        </w:rPr>
        <w:t>once (11) de octubre de dos mil veintiuno</w:t>
      </w:r>
      <w:r w:rsidRPr="00A85CB7">
        <w:rPr>
          <w:rFonts w:ascii="Palatino Linotype" w:hAnsi="Palatino Linotype" w:cs="Arial"/>
          <w:color w:val="000000" w:themeColor="text1"/>
        </w:rPr>
        <w:t xml:space="preserve">, </w:t>
      </w:r>
      <w:r>
        <w:rPr>
          <w:rFonts w:ascii="Palatino Linotype" w:hAnsi="Palatino Linotype" w:cs="Arial"/>
          <w:color w:val="000000" w:themeColor="text1"/>
        </w:rPr>
        <w:t xml:space="preserve">la </w:t>
      </w:r>
      <w:r w:rsidRPr="00A85CB7">
        <w:rPr>
          <w:rFonts w:ascii="Palatino Linotype" w:hAnsi="Palatino Linotype" w:cs="Arial"/>
          <w:color w:val="000000" w:themeColor="text1"/>
        </w:rPr>
        <w:t>Comisionad</w:t>
      </w:r>
      <w:r>
        <w:rPr>
          <w:rFonts w:ascii="Palatino Linotype" w:hAnsi="Palatino Linotype" w:cs="Arial"/>
          <w:color w:val="000000" w:themeColor="text1"/>
        </w:rPr>
        <w:t>a</w:t>
      </w:r>
      <w:r w:rsidRPr="00A85CB7">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3522BF">
        <w:rPr>
          <w:rFonts w:ascii="Palatino Linotype" w:hAnsi="Palatino Linotype" w:cs="Arial"/>
          <w:color w:val="000000" w:themeColor="text1"/>
          <w:lang w:val="es-ES"/>
        </w:rPr>
        <w:t>; y -------------------------------------</w:t>
      </w:r>
      <w:r>
        <w:rPr>
          <w:rFonts w:ascii="Palatino Linotype" w:hAnsi="Palatino Linotype" w:cs="Arial"/>
          <w:color w:val="000000" w:themeColor="text1"/>
          <w:lang w:val="es-ES"/>
        </w:rPr>
        <w:t>---</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5" w:name="_Toc85118525"/>
      <w:r w:rsidRPr="00A85CB7">
        <w:rPr>
          <w:b/>
          <w:color w:val="000000" w:themeColor="text1"/>
        </w:rPr>
        <w:t>CONSIDERANDO</w:t>
      </w:r>
      <w:bookmarkEnd w:id="3"/>
      <w:bookmarkEnd w:id="4"/>
      <w:bookmarkEnd w:id="5"/>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5118526"/>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 xml:space="preserve">Reglamento Interior del Instituto </w:t>
      </w:r>
      <w:r w:rsidRPr="00A85CB7">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511852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eastAsia="en-US"/>
        </w:rPr>
      </w:pPr>
    </w:p>
    <w:p w14:paraId="1511F63E" w14:textId="490E0EE5" w:rsidR="00855985" w:rsidRPr="00C76E72" w:rsidRDefault="003E6D0F"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E</w:t>
      </w:r>
      <w:r w:rsidR="00C76E72">
        <w:rPr>
          <w:rFonts w:ascii="Palatino Linotype" w:eastAsia="Calibri" w:hAnsi="Palatino Linotype" w:cs="Arial"/>
          <w:color w:val="000000" w:themeColor="text1"/>
        </w:rPr>
        <w:t xml:space="preserve">s </w:t>
      </w:r>
      <w:r w:rsidR="00C76E72" w:rsidRPr="00C76E72">
        <w:rPr>
          <w:rFonts w:ascii="Palatino Linotype" w:eastAsia="Calibri" w:hAnsi="Palatino Linotype" w:cs="Arial"/>
          <w:color w:val="000000" w:themeColor="text1"/>
          <w:lang w:val="es-ES_tradnl"/>
        </w:rPr>
        <w:t xml:space="preserve">de </w:t>
      </w:r>
      <w:r w:rsidR="00C76E72" w:rsidRPr="00C76E72">
        <w:rPr>
          <w:rFonts w:ascii="Palatino Linotype" w:eastAsia="Calibri" w:hAnsi="Palatino Linotype" w:cs="Arial"/>
          <w:color w:val="000000" w:themeColor="text1"/>
          <w:lang w:val="es-ES"/>
        </w:rPr>
        <w:t xml:space="preserve">precisar, que la Ley de Transparencia y Acceso a la Información Pública del Estado de México y Municipios, en el artículo 178 describe la procedencia del recurso de revisión, asimismo señala que el plazo del </w:t>
      </w:r>
      <w:r w:rsidR="00C76E72" w:rsidRPr="00C76E72">
        <w:rPr>
          <w:rFonts w:ascii="Palatino Linotype" w:eastAsia="Calibri" w:hAnsi="Palatino Linotype" w:cs="Arial"/>
          <w:b/>
          <w:color w:val="000000" w:themeColor="text1"/>
          <w:lang w:val="es-ES"/>
        </w:rPr>
        <w:t>SUJETO OBLIGADO</w:t>
      </w:r>
      <w:r w:rsidR="00C76E72" w:rsidRPr="00C76E72">
        <w:rPr>
          <w:rFonts w:ascii="Palatino Linotype" w:eastAsia="Calibri" w:hAnsi="Palatino Linotype" w:cs="Arial"/>
          <w:color w:val="000000" w:themeColor="text1"/>
          <w:lang w:val="es-ES"/>
        </w:rPr>
        <w:t xml:space="preserve"> para entregar la respuesta a una solicitud de información pública, es de quince (15) días hábiles posteriores a la presentación de ésta; por lo que transcurrido este término, cuando no entregue la respuesta a la solicitud dentro del plazo previsto en la Ley, la solicitud se entenderá negada y el </w:t>
      </w:r>
      <w:r w:rsidR="00C76E72" w:rsidRPr="00C76E72">
        <w:rPr>
          <w:rFonts w:ascii="Palatino Linotype" w:eastAsia="Calibri" w:hAnsi="Palatino Linotype" w:cs="Arial"/>
          <w:bCs/>
          <w:color w:val="000000" w:themeColor="text1"/>
          <w:lang w:val="es-ES"/>
        </w:rPr>
        <w:t>particular</w:t>
      </w:r>
      <w:r w:rsidR="00C76E72" w:rsidRPr="00C76E72">
        <w:rPr>
          <w:rFonts w:ascii="Palatino Linotype" w:eastAsia="Calibri" w:hAnsi="Palatino Linotype" w:cs="Arial"/>
          <w:color w:val="000000" w:themeColor="text1"/>
          <w:lang w:val="es-ES"/>
        </w:rPr>
        <w:t xml:space="preserve"> podrá interponer el recurso de revisión previsto en el ordenamiento en cita.</w:t>
      </w:r>
      <w:r w:rsidRPr="00A85CB7">
        <w:rPr>
          <w:rFonts w:ascii="Palatino Linotype" w:eastAsia="Calibri" w:hAnsi="Palatino Linotype" w:cs="Arial"/>
          <w:color w:val="000000" w:themeColor="text1"/>
        </w:rPr>
        <w:t xml:space="preserve"> </w:t>
      </w:r>
    </w:p>
    <w:p w14:paraId="11566441"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9BBA7E6" w14:textId="49D444F3"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sidRPr="0031049C">
        <w:rPr>
          <w:rFonts w:ascii="Palatino Linotype" w:eastAsia="Calibri" w:hAnsi="Palatino Linotype" w:cs="Arial"/>
          <w:lang w:val="es-ES"/>
        </w:rPr>
        <w:t xml:space="preserve">ende, se constituye la figura jurídica de la </w:t>
      </w:r>
      <w:r w:rsidRPr="0031049C">
        <w:rPr>
          <w:rFonts w:ascii="Palatino Linotype" w:eastAsia="Calibri" w:hAnsi="Palatino Linotype" w:cs="Arial"/>
          <w:i/>
          <w:lang w:val="es-ES"/>
        </w:rPr>
        <w:t>negativa ficta</w:t>
      </w:r>
      <w:r w:rsidRPr="0031049C">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 segundo párrafo de la Ley de Transparencia y Acceso a la Información Pública del Estado de México y Municipios</w:t>
      </w:r>
      <w:r w:rsidRPr="0031049C">
        <w:rPr>
          <w:rFonts w:ascii="Palatino Linotype" w:eastAsia="Calibri" w:hAnsi="Palatino Linotype" w:cs="Arial"/>
        </w:rPr>
        <w:t xml:space="preserve">, que dispone; ante la falta de respuesta del </w:t>
      </w:r>
      <w:r w:rsidRPr="0031049C">
        <w:rPr>
          <w:rFonts w:ascii="Palatino Linotype" w:eastAsia="Calibri" w:hAnsi="Palatino Linotype" w:cs="Arial"/>
          <w:b/>
        </w:rPr>
        <w:t>SUJETO OBLIGADO,</w:t>
      </w:r>
      <w:r w:rsidRPr="0031049C">
        <w:rPr>
          <w:rFonts w:ascii="Palatino Linotype" w:eastAsia="Calibri" w:hAnsi="Palatino Linotype" w:cs="Arial"/>
        </w:rPr>
        <w:t xml:space="preserve"> dentro de los plazos establecidos en esta Ley, a una solicitud de acceso a la información pública, el recurso </w:t>
      </w:r>
      <w:r w:rsidRPr="0031049C">
        <w:rPr>
          <w:rFonts w:ascii="Palatino Linotype" w:eastAsia="Calibri" w:hAnsi="Palatino Linotype" w:cs="Arial"/>
          <w:b/>
        </w:rPr>
        <w:t>podrá ser interpuesto en cualquier momento.</w:t>
      </w:r>
    </w:p>
    <w:p w14:paraId="3A50DC18"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F251785" w14:textId="30FAC1C5"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Pr>
          <w:rFonts w:ascii="Palatino Linotype" w:eastAsia="Calibri" w:hAnsi="Palatino Linotype" w:cs="Arial"/>
          <w:lang w:val="es-ES"/>
        </w:rPr>
        <w:t xml:space="preserve">lo que tratándose de la </w:t>
      </w:r>
      <w:r>
        <w:rPr>
          <w:rFonts w:ascii="Palatino Linotype" w:eastAsia="Calibri" w:hAnsi="Palatino Linotype" w:cs="Arial"/>
          <w:i/>
          <w:lang w:val="es-ES"/>
        </w:rPr>
        <w:t>negativa ficta,</w:t>
      </w:r>
      <w:r>
        <w:rPr>
          <w:rFonts w:ascii="Palatino Linotype" w:eastAsia="Calibri" w:hAnsi="Palatino Linotype" w:cs="Arial"/>
          <w:lang w:val="es-ES"/>
        </w:rPr>
        <w:t xml:space="preserve"> no existe respuesta que se haga del conocimiento a la </w:t>
      </w:r>
      <w:r>
        <w:rPr>
          <w:rFonts w:ascii="Palatino Linotype" w:eastAsia="Calibri" w:hAnsi="Palatino Linotype" w:cs="Arial"/>
          <w:b/>
          <w:lang w:val="es-ES"/>
        </w:rPr>
        <w:t>SOLICITANTE</w:t>
      </w:r>
      <w:r>
        <w:rPr>
          <w:rFonts w:ascii="Palatino Linotype" w:eastAsia="Calibri" w:hAnsi="Palatino Linotype" w:cs="Arial"/>
          <w:lang w:val="es-ES"/>
        </w:rPr>
        <w:t xml:space="preserve">, a partir de la cual pueda computarse el plazo </w:t>
      </w:r>
      <w:r>
        <w:rPr>
          <w:rFonts w:ascii="Palatino Linotype" w:eastAsia="Calibri" w:hAnsi="Palatino Linotype" w:cs="Arial"/>
          <w:lang w:val="es-ES"/>
        </w:rPr>
        <w:lastRenderedPageBreak/>
        <w:t xml:space="preserve">legal establecido, por tal motivo es pertinente señalar que no existe plazo para la interposición del recurso de revisión, sirviendo de apoyo a lo anterior lo que dispone el Criterio de Interpretación en el orden administrativo número </w:t>
      </w:r>
      <w:r w:rsidRPr="0077177C">
        <w:rPr>
          <w:rFonts w:ascii="Palatino Linotype" w:eastAsia="Calibri" w:hAnsi="Palatino Linotype" w:cs="Arial"/>
          <w:b/>
          <w:lang w:val="es-ES"/>
        </w:rPr>
        <w:t>001-15</w:t>
      </w:r>
      <w:r>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Pr>
          <w:rFonts w:ascii="Palatino Linotype" w:eastAsia="Calibri" w:hAnsi="Palatino Linotype" w:cs="Arial"/>
          <w:i/>
          <w:lang w:val="es-ES"/>
        </w:rPr>
        <w:t>negativa ficta</w:t>
      </w:r>
      <w:r>
        <w:rPr>
          <w:rFonts w:ascii="Palatino Linotype" w:eastAsia="Calibri" w:hAnsi="Palatino Linotype" w:cs="Arial"/>
          <w:lang w:val="es-ES"/>
        </w:rPr>
        <w:t>, que señala:</w:t>
      </w:r>
    </w:p>
    <w:p w14:paraId="4B184D53" w14:textId="77777777" w:rsid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5769EA" w14:textId="77777777" w:rsidR="00C76E72" w:rsidRDefault="00C76E72" w:rsidP="00C76E72">
      <w:pPr>
        <w:pStyle w:val="Sinespaciado"/>
        <w:spacing w:line="276" w:lineRule="auto"/>
        <w:ind w:left="567" w:right="567"/>
        <w:jc w:val="both"/>
        <w:rPr>
          <w:rFonts w:ascii="Palatino Linotype" w:eastAsia="Calibri" w:hAnsi="Palatino Linotype"/>
          <w:i/>
          <w:sz w:val="22"/>
          <w:lang w:val="es-ES"/>
        </w:rPr>
      </w:pPr>
      <w:r w:rsidRPr="00E40A30">
        <w:rPr>
          <w:rFonts w:ascii="Palatino Linotype" w:eastAsia="Calibri" w:hAnsi="Palatino Linotype"/>
          <w:b/>
          <w:i/>
          <w:sz w:val="22"/>
          <w:lang w:val="es-ES"/>
        </w:rPr>
        <w:t>NEGATIVA FICTA. PLAZO PARA INTERPONER EL RECURSO DE REVISIÓN TRATÁNDOSE DE.</w:t>
      </w:r>
      <w:r w:rsidRPr="00E40A30">
        <w:rPr>
          <w:rFonts w:ascii="Palatino Linotype" w:eastAsia="Calibri" w:hAnsi="Palatino Linotype"/>
          <w:i/>
          <w:sz w:val="22"/>
          <w:lang w:val="es-ES"/>
        </w:rPr>
        <w:t xml:space="preserve"> </w:t>
      </w:r>
      <w:r>
        <w:rPr>
          <w:rFonts w:ascii="Palatino Linotype" w:eastAsia="Calibri" w:hAnsi="Palatino Linotype"/>
          <w:i/>
          <w:sz w:val="22"/>
          <w:lang w:val="es-ES"/>
        </w:rPr>
        <w:t>“</w:t>
      </w:r>
      <w:r w:rsidRPr="00E40A30">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Calibri" w:hAnsi="Palatino Linotype"/>
          <w:i/>
          <w:sz w:val="22"/>
          <w:lang w:val="es-ES"/>
        </w:rPr>
        <w:t>”</w:t>
      </w:r>
    </w:p>
    <w:p w14:paraId="565E65F2"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0220598" w14:textId="4A1D3C1C"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Lo </w:t>
      </w:r>
      <w:r>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w:t>
      </w:r>
      <w:r>
        <w:rPr>
          <w:rFonts w:ascii="Palatino Linotype" w:eastAsia="Times New Roman" w:hAnsi="Palatino Linotype" w:cs="Arial"/>
          <w:color w:val="000000" w:themeColor="text1"/>
          <w:lang w:val="es-ES" w:eastAsia="es-MX"/>
        </w:rPr>
        <w:lastRenderedPageBreak/>
        <w:t xml:space="preserve">día, en tanto no se emita la respuesta a la que esté impuesto el </w:t>
      </w:r>
      <w:r>
        <w:rPr>
          <w:rFonts w:ascii="Palatino Linotype" w:eastAsia="Times New Roman" w:hAnsi="Palatino Linotype" w:cs="Arial"/>
          <w:b/>
          <w:color w:val="000000" w:themeColor="text1"/>
          <w:lang w:val="es-ES" w:eastAsia="es-MX"/>
        </w:rPr>
        <w:t>SUJETO OBLIGADO</w:t>
      </w:r>
      <w:r>
        <w:rPr>
          <w:rFonts w:ascii="Palatino Linotype" w:eastAsia="Times New Roman" w:hAnsi="Palatino Linotype" w:cs="Arial"/>
          <w:color w:val="000000" w:themeColor="text1"/>
          <w:lang w:val="es-ES" w:eastAsia="es-MX"/>
        </w:rPr>
        <w:t>.</w:t>
      </w:r>
    </w:p>
    <w:p w14:paraId="7E5B435D"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5A38BBA" w14:textId="6F7C7781"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Pr>
          <w:rFonts w:ascii="Palatino Linotype" w:hAnsi="Palatino Linotype"/>
        </w:rPr>
        <w:t>consiguiente, tratándose</w:t>
      </w:r>
      <w:r>
        <w:rPr>
          <w:rFonts w:ascii="Palatino Linotype" w:eastAsia="Times New Roman" w:hAnsi="Palatino Linotype" w:cs="Arial"/>
          <w:color w:val="000000" w:themeColor="text1"/>
          <w:lang w:val="es-ES" w:eastAsia="es-MX"/>
        </w:rPr>
        <w:t xml:space="preserve"> de </w:t>
      </w:r>
      <w:r w:rsidRPr="001B537C">
        <w:rPr>
          <w:rFonts w:ascii="Palatino Linotype" w:eastAsia="Times New Roman" w:hAnsi="Palatino Linotype" w:cs="Arial"/>
          <w:i/>
          <w:color w:val="000000" w:themeColor="text1"/>
          <w:lang w:val="es-ES" w:eastAsia="es-MX"/>
        </w:rPr>
        <w:t>negativa ficta</w:t>
      </w:r>
      <w:r>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0E343B4D"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B5555F7" w14:textId="6F6B2F27"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sidRPr="00C76E72">
        <w:rPr>
          <w:rFonts w:ascii="Palatino Linotype" w:eastAsia="Calibri" w:hAnsi="Palatino Linotype" w:cs="Arial"/>
          <w:color w:val="000000" w:themeColor="text1"/>
          <w:lang w:val="es-ES"/>
        </w:rPr>
        <w:t xml:space="preserve">otro lado, de la revisión al expediente electrónico contenido en el sistema </w:t>
      </w:r>
      <w:r w:rsidRPr="00C76E72">
        <w:rPr>
          <w:rFonts w:ascii="Palatino Linotype" w:eastAsia="Calibri" w:hAnsi="Palatino Linotype" w:cs="Arial"/>
          <w:b/>
          <w:color w:val="000000" w:themeColor="text1"/>
          <w:lang w:val="es-ES"/>
        </w:rPr>
        <w:t>SAIMEX,</w:t>
      </w:r>
      <w:r w:rsidRPr="00C76E72">
        <w:rPr>
          <w:rFonts w:ascii="Palatino Linotype" w:eastAsia="Calibri"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C76E72">
        <w:rPr>
          <w:rFonts w:ascii="Palatino Linotype" w:eastAsia="Calibri" w:hAnsi="Palatino Linotype" w:cs="Arial"/>
          <w:b/>
          <w:color w:val="000000" w:themeColor="text1"/>
          <w:lang w:val="es-ES"/>
        </w:rPr>
        <w:t xml:space="preserve">no señaló </w:t>
      </w:r>
      <w:r>
        <w:rPr>
          <w:rFonts w:ascii="Palatino Linotype" w:eastAsia="Calibri" w:hAnsi="Palatino Linotype" w:cs="Arial"/>
          <w:b/>
          <w:color w:val="000000" w:themeColor="text1"/>
          <w:lang w:val="es-ES"/>
        </w:rPr>
        <w:t>su nombre completo, ni se tiene certeza sobre su identidad</w:t>
      </w:r>
      <w:r w:rsidRPr="00C76E72">
        <w:rPr>
          <w:rFonts w:ascii="Palatino Linotype" w:eastAsia="Calibri" w:hAnsi="Palatino Linotype" w:cs="Arial"/>
          <w:color w:val="000000" w:themeColor="text1"/>
          <w:lang w:val="es-ES"/>
        </w:rPr>
        <w:t xml:space="preserve">; sin embargo, es importante señalar que </w:t>
      </w:r>
      <w:r w:rsidRPr="00C76E72">
        <w:rPr>
          <w:rFonts w:ascii="Palatino Linotype" w:eastAsia="Calibri"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4D3BDD6"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84F64DB" w14:textId="56E99AB0"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Esto </w:t>
      </w:r>
      <w:r w:rsidRPr="006B31E7">
        <w:rPr>
          <w:rFonts w:ascii="Palatino Linotype" w:hAnsi="Palatino Linotype" w:cs="Arial"/>
          <w:color w:val="000000" w:themeColor="text1"/>
          <w:lang w:val="es-ES"/>
        </w:rPr>
        <w:t xml:space="preserve">es así, ya que de conformidad con los artículos 6, apartado A, fracciones III y IV de la </w:t>
      </w:r>
      <w:r w:rsidRPr="006B31E7">
        <w:rPr>
          <w:rFonts w:ascii="Palatino Linotype" w:hAnsi="Palatino Linotype" w:cs="Arial"/>
          <w:b/>
          <w:color w:val="000000" w:themeColor="text1"/>
          <w:lang w:val="es-ES"/>
        </w:rPr>
        <w:t>Constitución Política de los Estados Unidos Mexicanos</w:t>
      </w:r>
      <w:r w:rsidRPr="006B31E7">
        <w:rPr>
          <w:rFonts w:ascii="Palatino Linotype" w:hAnsi="Palatino Linotype" w:cs="Arial"/>
          <w:color w:val="000000" w:themeColor="text1"/>
          <w:lang w:val="es-ES"/>
        </w:rPr>
        <w:t xml:space="preserve">; 5, párrafos vigésimo segundo, vigésimo tercero y vigésimo cuarto, fracciones III, IV y V, de la </w:t>
      </w:r>
      <w:r w:rsidRPr="006B31E7">
        <w:rPr>
          <w:rFonts w:ascii="Palatino Linotype" w:hAnsi="Palatino Linotype" w:cs="Arial"/>
          <w:b/>
          <w:color w:val="000000" w:themeColor="text1"/>
          <w:lang w:val="es-ES"/>
        </w:rPr>
        <w:t>Constitución Política del Estado Libre y Soberano de México</w:t>
      </w:r>
      <w:r w:rsidRPr="006B31E7">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6B31E7">
        <w:rPr>
          <w:rFonts w:ascii="Palatino Linotype" w:hAnsi="Palatino Linotype" w:cs="Arial"/>
          <w:color w:val="000000" w:themeColor="text1"/>
          <w:lang w:val="es-ES"/>
        </w:rPr>
        <w:lastRenderedPageBreak/>
        <w:t>procedimientos de revisión expeditos que se sustanciarán ante los organismos autónomos especializados e imparciales que establece la Constitución Federal y Local.</w:t>
      </w:r>
    </w:p>
    <w:p w14:paraId="4A266B72"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B0085A1" w14:textId="5B7008F8"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EF4D0CD"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959B7EE" w14:textId="171ED5F3"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0FB20E3" w14:textId="77777777" w:rsid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B046857" w14:textId="3C559F1E"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DCDB1C3" w14:textId="77777777" w:rsidR="00C76E72" w:rsidRPr="00C76E72"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079C0D8" w14:textId="39EC7129" w:rsidR="00C76E72" w:rsidRPr="00C76E72" w:rsidRDefault="00C76E72" w:rsidP="00C76E7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del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w:t>
      </w:r>
      <w:r w:rsidRPr="00F43C60">
        <w:rPr>
          <w:rFonts w:ascii="Palatino Linotype" w:eastAsia="Times New Roman" w:hAnsi="Palatino Linotype" w:cs="Arial"/>
          <w:color w:val="000000" w:themeColor="text1"/>
          <w:lang w:val="es-ES" w:eastAsia="es-MX"/>
        </w:rPr>
        <w:lastRenderedPageBreak/>
        <w:t>revisión que nos ocupa, ya que el acceso a la información no está condicionado a acreditar algún interés ya sea jurídico o legítimo, máxime que es un elemento subsanable por este Órgano Resolutor.</w:t>
      </w:r>
    </w:p>
    <w:p w14:paraId="0F876F0B" w14:textId="77777777" w:rsidR="00C76E72" w:rsidRPr="00855985" w:rsidRDefault="00C76E72" w:rsidP="00C76E7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2C36B6F4"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P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511852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2"/>
      <w:bookmarkEnd w:id="13"/>
      <w:bookmarkEnd w:id="14"/>
    </w:p>
    <w:p w14:paraId="4231B8D5" w14:textId="77777777" w:rsidR="00540208" w:rsidRPr="00A85CB7" w:rsidRDefault="00540208" w:rsidP="00B31E90">
      <w:pPr>
        <w:rPr>
          <w:rFonts w:ascii="Palatino Linotype" w:hAnsi="Palatino Linotype"/>
          <w:color w:val="000000" w:themeColor="text1"/>
          <w:lang w:eastAsia="en-US"/>
        </w:rPr>
      </w:pPr>
    </w:p>
    <w:bookmarkEnd w:id="15"/>
    <w:bookmarkEnd w:id="16"/>
    <w:p w14:paraId="26137E4C" w14:textId="3782848C" w:rsidR="0056788F" w:rsidRPr="00CA0640" w:rsidRDefault="00AF526E"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Se requirió a la Dirección de Desarrollo Económico los avances del programa “Adopta un espacio” por el periodo comprendido del uno (01) de abril de dos mi diecinueve al treinta y uno (31) de julio de dos mil veintiuno, así como el número de convenios celebrados por empresarios y la descripción de cada uno; el número de espacios públicos rehabilitados, su ubicación</w:t>
      </w:r>
      <w:r w:rsidR="00B85B91">
        <w:rPr>
          <w:rFonts w:ascii="Palatino Linotype" w:hAnsi="Palatino Linotype" w:cs="Arial"/>
          <w:color w:val="000000" w:themeColor="text1"/>
        </w:rPr>
        <w:t xml:space="preserve"> y descripción de las acciones realizadas para su mejoramiento</w:t>
      </w:r>
      <w:r w:rsidR="007E64B6">
        <w:rPr>
          <w:rFonts w:ascii="Palatino Linotype" w:hAnsi="Palatino Linotype" w:cs="Arial"/>
          <w:color w:val="000000" w:themeColor="text1"/>
        </w:rPr>
        <w:t>.</w:t>
      </w:r>
      <w:r w:rsidR="00910076">
        <w:rPr>
          <w:rFonts w:ascii="Palatino Linotype" w:hAnsi="Palatino Linotype" w:cs="Arial"/>
          <w:color w:val="000000" w:themeColor="text1"/>
        </w:rPr>
        <w:t xml:space="preserve"> El </w:t>
      </w:r>
      <w:r w:rsidR="00910076">
        <w:rPr>
          <w:rFonts w:ascii="Palatino Linotype" w:hAnsi="Palatino Linotype" w:cs="Arial"/>
          <w:b/>
          <w:bCs/>
          <w:color w:val="000000" w:themeColor="text1"/>
        </w:rPr>
        <w:t>SUJETO OBLIGADO</w:t>
      </w:r>
      <w:r w:rsidR="00910076">
        <w:rPr>
          <w:rFonts w:ascii="Palatino Linotype" w:hAnsi="Palatino Linotype" w:cs="Arial"/>
          <w:color w:val="000000" w:themeColor="text1"/>
        </w:rPr>
        <w:t xml:space="preserve"> </w:t>
      </w:r>
      <w:r>
        <w:rPr>
          <w:rFonts w:ascii="Palatino Linotype" w:hAnsi="Palatino Linotype" w:cs="Arial"/>
          <w:color w:val="000000" w:themeColor="text1"/>
        </w:rPr>
        <w:t>no atendió la solicitud de información</w:t>
      </w:r>
      <w:r w:rsidR="007E64B6">
        <w:rPr>
          <w:rFonts w:ascii="Palatino Linotype" w:hAnsi="Palatino Linotype" w:cs="Arial"/>
          <w:color w:val="000000" w:themeColor="text1"/>
        </w:rPr>
        <w:t>.</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232C456E" w14:textId="691DEB6F" w:rsidR="00B85B91" w:rsidRDefault="00826F3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El </w:t>
      </w:r>
      <w:r w:rsidR="00B85B91">
        <w:rPr>
          <w:rFonts w:ascii="Palatino Linotype" w:hAnsi="Palatino Linotype" w:cs="Arial"/>
          <w:color w:val="000000" w:themeColor="text1"/>
        </w:rPr>
        <w:t xml:space="preserve">particular impugnó la falta de respuesta mediante recurso de revisión, en el que señaló por agravios que el </w:t>
      </w:r>
      <w:r w:rsidR="00B85B91">
        <w:rPr>
          <w:rFonts w:ascii="Palatino Linotype" w:hAnsi="Palatino Linotype" w:cs="Arial"/>
          <w:b/>
          <w:color w:val="000000" w:themeColor="text1"/>
        </w:rPr>
        <w:t>SUJETO OBLIGADO</w:t>
      </w:r>
      <w:r w:rsidR="00B85B91">
        <w:rPr>
          <w:rFonts w:ascii="Palatino Linotype" w:hAnsi="Palatino Linotype" w:cs="Arial"/>
          <w:color w:val="000000" w:themeColor="text1"/>
        </w:rPr>
        <w:t xml:space="preserve"> no había entregado respuesta en </w:t>
      </w:r>
      <w:r w:rsidR="0095628A">
        <w:rPr>
          <w:rFonts w:ascii="Palatino Linotype" w:hAnsi="Palatino Linotype" w:cs="Arial"/>
          <w:color w:val="000000" w:themeColor="text1"/>
        </w:rPr>
        <w:t>los</w:t>
      </w:r>
      <w:r w:rsidR="00B85B91">
        <w:rPr>
          <w:rFonts w:ascii="Palatino Linotype" w:hAnsi="Palatino Linotype" w:cs="Arial"/>
          <w:color w:val="000000" w:themeColor="text1"/>
        </w:rPr>
        <w:t xml:space="preserve"> plazo</w:t>
      </w:r>
      <w:r w:rsidR="0095628A">
        <w:rPr>
          <w:rFonts w:ascii="Palatino Linotype" w:hAnsi="Palatino Linotype" w:cs="Arial"/>
          <w:color w:val="000000" w:themeColor="text1"/>
        </w:rPr>
        <w:t>s</w:t>
      </w:r>
      <w:r w:rsidR="00B85B91">
        <w:rPr>
          <w:rFonts w:ascii="Palatino Linotype" w:hAnsi="Palatino Linotype" w:cs="Arial"/>
          <w:color w:val="000000" w:themeColor="text1"/>
        </w:rPr>
        <w:t xml:space="preserve"> establecido</w:t>
      </w:r>
      <w:r w:rsidR="0095628A">
        <w:rPr>
          <w:rFonts w:ascii="Palatino Linotype" w:hAnsi="Palatino Linotype" w:cs="Arial"/>
          <w:color w:val="000000" w:themeColor="text1"/>
        </w:rPr>
        <w:t>s.</w:t>
      </w:r>
      <w:r w:rsidR="00B85B91">
        <w:rPr>
          <w:rFonts w:ascii="Palatino Linotype" w:hAnsi="Palatino Linotype" w:cs="Arial"/>
          <w:color w:val="000000" w:themeColor="text1"/>
        </w:rPr>
        <w:t xml:space="preserve"> Luego, mediante informe justificado, el </w:t>
      </w:r>
      <w:r w:rsidR="00B85B91">
        <w:rPr>
          <w:rFonts w:ascii="Palatino Linotype" w:hAnsi="Palatino Linotype" w:cs="Arial"/>
          <w:b/>
          <w:bCs/>
          <w:color w:val="000000" w:themeColor="text1"/>
        </w:rPr>
        <w:t xml:space="preserve">SUJETO </w:t>
      </w:r>
      <w:r w:rsidR="00B85B91">
        <w:rPr>
          <w:rFonts w:ascii="Palatino Linotype" w:hAnsi="Palatino Linotype" w:cs="Arial"/>
          <w:b/>
          <w:bCs/>
          <w:color w:val="000000" w:themeColor="text1"/>
        </w:rPr>
        <w:lastRenderedPageBreak/>
        <w:t>OBLIGADO</w:t>
      </w:r>
      <w:r w:rsidR="00B85B91">
        <w:rPr>
          <w:rFonts w:ascii="Palatino Linotype" w:hAnsi="Palatino Linotype" w:cs="Arial"/>
          <w:color w:val="000000" w:themeColor="text1"/>
        </w:rPr>
        <w:t xml:space="preserve"> entregó </w:t>
      </w:r>
      <w:r w:rsidR="0095628A">
        <w:rPr>
          <w:rFonts w:ascii="Palatino Linotype" w:hAnsi="Palatino Linotype" w:cs="Arial"/>
          <w:color w:val="000000" w:themeColor="text1"/>
        </w:rPr>
        <w:t>un Acuerdo de su Comité de Transparencia por el que se determina la inexistencia de la información solicitada</w:t>
      </w:r>
      <w:r w:rsidR="00B85B91">
        <w:rPr>
          <w:rFonts w:ascii="Palatino Linotype" w:hAnsi="Palatino Linotype" w:cs="Arial"/>
          <w:color w:val="000000" w:themeColor="text1"/>
        </w:rPr>
        <w:t>.</w:t>
      </w:r>
    </w:p>
    <w:p w14:paraId="12958CA7" w14:textId="77777777" w:rsidR="00B85B91" w:rsidRDefault="00B85B91" w:rsidP="00B85B91">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4C4A77B" w:rsidR="001A032D" w:rsidRPr="0056788F" w:rsidRDefault="0056788F"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 </w:t>
      </w:r>
      <w:r w:rsidR="001A032D" w:rsidRPr="0056788F">
        <w:rPr>
          <w:rFonts w:ascii="Palatino Linotype" w:hAnsi="Palatino Linotype" w:cs="Arial"/>
          <w:color w:val="000000" w:themeColor="text1"/>
        </w:rPr>
        <w:t xml:space="preserve">En ese sentido, </w:t>
      </w:r>
      <w:r w:rsidR="002E160F" w:rsidRPr="0056788F">
        <w:rPr>
          <w:rFonts w:ascii="Palatino Linotype" w:hAnsi="Palatino Linotype" w:cs="Arial"/>
          <w:color w:val="000000" w:themeColor="text1"/>
        </w:rPr>
        <w:t xml:space="preserve">esta Ponencia Resolutora advierte que las razones o motivos de inconformidad manifestados por el </w:t>
      </w:r>
      <w:r w:rsidR="001A032D" w:rsidRPr="0056788F">
        <w:rPr>
          <w:rFonts w:ascii="Palatino Linotype" w:hAnsi="Palatino Linotype" w:cs="Arial"/>
          <w:b/>
          <w:bCs/>
          <w:color w:val="000000" w:themeColor="text1"/>
        </w:rPr>
        <w:t>RECURRENTE</w:t>
      </w:r>
      <w:r w:rsidR="001A032D" w:rsidRPr="0056788F">
        <w:rPr>
          <w:rFonts w:ascii="Palatino Linotype" w:hAnsi="Palatino Linotype" w:cs="Arial"/>
          <w:color w:val="000000" w:themeColor="text1"/>
        </w:rPr>
        <w:t xml:space="preserve"> </w:t>
      </w:r>
      <w:r w:rsidR="002E160F" w:rsidRPr="0056788F">
        <w:rPr>
          <w:rFonts w:ascii="Palatino Linotype" w:hAnsi="Palatino Linotype" w:cs="Arial"/>
          <w:color w:val="000000" w:themeColor="text1"/>
        </w:rPr>
        <w:t>sugieren que la respuesta proporcionada</w:t>
      </w:r>
      <w:r w:rsidR="00B855AA" w:rsidRPr="0056788F">
        <w:rPr>
          <w:rFonts w:ascii="Palatino Linotype" w:hAnsi="Palatino Linotype" w:cs="Arial"/>
          <w:color w:val="000000" w:themeColor="text1"/>
        </w:rPr>
        <w:t xml:space="preserve"> por el </w:t>
      </w:r>
      <w:r w:rsidR="00B855AA" w:rsidRPr="0056788F">
        <w:rPr>
          <w:rFonts w:ascii="Palatino Linotype" w:hAnsi="Palatino Linotype" w:cs="Arial"/>
          <w:b/>
          <w:bCs/>
          <w:color w:val="000000" w:themeColor="text1"/>
        </w:rPr>
        <w:t>SUJETO OBLIGADO</w:t>
      </w:r>
      <w:r w:rsidR="00B855AA" w:rsidRPr="0056788F">
        <w:rPr>
          <w:rFonts w:ascii="Palatino Linotype" w:hAnsi="Palatino Linotype" w:cs="Arial"/>
          <w:color w:val="000000" w:themeColor="text1"/>
        </w:rPr>
        <w:t xml:space="preserve"> no cumplió con </w:t>
      </w:r>
      <w:r w:rsidR="008F7752">
        <w:rPr>
          <w:rFonts w:ascii="Palatino Linotype" w:hAnsi="Palatino Linotype" w:cs="Arial"/>
          <w:color w:val="000000" w:themeColor="text1"/>
        </w:rPr>
        <w:t>los</w:t>
      </w:r>
      <w:r w:rsidR="00B855AA" w:rsidRPr="0056788F">
        <w:rPr>
          <w:rFonts w:ascii="Palatino Linotype" w:hAnsi="Palatino Linotype" w:cs="Arial"/>
          <w:color w:val="000000" w:themeColor="text1"/>
        </w:rPr>
        <w:t xml:space="preserve"> principio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contendido</w:t>
      </w:r>
      <w:r w:rsidR="008F7752">
        <w:rPr>
          <w:rFonts w:ascii="Palatino Linotype" w:hAnsi="Palatino Linotype" w:cs="Arial"/>
          <w:color w:val="000000" w:themeColor="text1"/>
        </w:rPr>
        <w:t>s</w:t>
      </w:r>
      <w:r w:rsidR="00B855AA"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8F7752">
        <w:rPr>
          <w:rFonts w:ascii="Palatino Linotype" w:hAnsi="Palatino Linotype" w:cs="Arial"/>
          <w:color w:val="000000" w:themeColor="text1"/>
        </w:rPr>
        <w:t>os</w:t>
      </w:r>
      <w:r w:rsidR="00B855AA" w:rsidRPr="0056788F">
        <w:rPr>
          <w:rFonts w:ascii="Palatino Linotype" w:hAnsi="Palatino Linotype" w:cs="Arial"/>
          <w:color w:val="000000" w:themeColor="text1"/>
        </w:rPr>
        <w:t xml:space="preserve"> cual</w:t>
      </w:r>
      <w:r w:rsidR="008F7752">
        <w:rPr>
          <w:rFonts w:ascii="Palatino Linotype" w:hAnsi="Palatino Linotype" w:cs="Arial"/>
          <w:color w:val="000000" w:themeColor="text1"/>
        </w:rPr>
        <w:t>es</w:t>
      </w:r>
      <w:r w:rsidR="00B855AA" w:rsidRPr="0056788F">
        <w:rPr>
          <w:rFonts w:ascii="Palatino Linotype" w:hAnsi="Palatino Linotype" w:cs="Arial"/>
          <w:color w:val="000000" w:themeColor="text1"/>
        </w:rPr>
        <w:t xml:space="preserve"> señala</w:t>
      </w:r>
      <w:r w:rsidR="008F7752">
        <w:rPr>
          <w:rFonts w:ascii="Palatino Linotype" w:hAnsi="Palatino Linotype" w:cs="Arial"/>
          <w:color w:val="000000" w:themeColor="text1"/>
        </w:rPr>
        <w:t>n</w:t>
      </w:r>
      <w:r w:rsidR="00B855AA" w:rsidRPr="0056788F">
        <w:rPr>
          <w:rFonts w:ascii="Palatino Linotype" w:hAnsi="Palatino Linotype" w:cs="Arial"/>
          <w:color w:val="000000" w:themeColor="text1"/>
        </w:rPr>
        <w:t xml:space="preserve"> que en la generación, publicación y entrega de información se deberá garantizar que ésta </w:t>
      </w:r>
      <w:r w:rsidR="00C51671" w:rsidRPr="0056788F">
        <w:rPr>
          <w:rFonts w:ascii="Palatino Linotype" w:hAnsi="Palatino Linotype" w:cs="Arial"/>
          <w:color w:val="000000" w:themeColor="text1"/>
        </w:rPr>
        <w:t>sea</w:t>
      </w:r>
      <w:r w:rsidR="00B855AA" w:rsidRPr="0056788F">
        <w:rPr>
          <w:rFonts w:ascii="Palatino Linotype" w:hAnsi="Palatino Linotype" w:cs="Arial"/>
          <w:color w:val="000000" w:themeColor="text1"/>
        </w:rPr>
        <w:t xml:space="preserve"> </w:t>
      </w:r>
      <w:r w:rsidR="0095628A">
        <w:rPr>
          <w:rFonts w:ascii="Palatino Linotype" w:hAnsi="Palatino Linotype" w:cs="Arial"/>
          <w:b/>
          <w:bCs/>
          <w:color w:val="000000" w:themeColor="text1"/>
        </w:rPr>
        <w:t>accesible</w:t>
      </w:r>
      <w:r w:rsidR="00B855AA"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B62F184"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w:t>
      </w:r>
      <w:r w:rsidR="0095628A" w:rsidRPr="00A85CB7">
        <w:rPr>
          <w:rFonts w:ascii="Palatino Linotype" w:hAnsi="Palatino Linotype" w:cs="Arial"/>
          <w:color w:val="000000" w:themeColor="text1"/>
          <w:szCs w:val="23"/>
        </w:rPr>
        <w:t xml:space="preserve">lo anterior, </w:t>
      </w:r>
      <w:r w:rsidR="0095628A" w:rsidRPr="00E83987">
        <w:rPr>
          <w:rFonts w:ascii="Palatino Linotype" w:hAnsi="Palatino Linotype" w:cs="Arial"/>
          <w:color w:val="000000" w:themeColor="text1"/>
          <w:szCs w:val="23"/>
        </w:rPr>
        <w:t>se actualiza</w:t>
      </w:r>
      <w:r w:rsidR="0095628A">
        <w:rPr>
          <w:rFonts w:ascii="Palatino Linotype" w:hAnsi="Palatino Linotype" w:cs="Arial"/>
          <w:color w:val="000000" w:themeColor="text1"/>
          <w:szCs w:val="23"/>
        </w:rPr>
        <w:t>n</w:t>
      </w:r>
      <w:r w:rsidR="0095628A" w:rsidRPr="00E83987">
        <w:rPr>
          <w:rFonts w:ascii="Palatino Linotype" w:hAnsi="Palatino Linotype" w:cs="Arial"/>
          <w:color w:val="000000" w:themeColor="text1"/>
          <w:szCs w:val="23"/>
        </w:rPr>
        <w:t xml:space="preserve"> la</w:t>
      </w:r>
      <w:r w:rsidR="0095628A">
        <w:rPr>
          <w:rFonts w:ascii="Palatino Linotype" w:hAnsi="Palatino Linotype" w:cs="Arial"/>
          <w:color w:val="000000" w:themeColor="text1"/>
          <w:szCs w:val="23"/>
        </w:rPr>
        <w:t>s</w:t>
      </w:r>
      <w:r w:rsidR="0095628A" w:rsidRPr="00E83987">
        <w:rPr>
          <w:rFonts w:ascii="Palatino Linotype" w:hAnsi="Palatino Linotype" w:cs="Arial"/>
          <w:color w:val="000000" w:themeColor="text1"/>
          <w:szCs w:val="23"/>
        </w:rPr>
        <w:t xml:space="preserve"> causal</w:t>
      </w:r>
      <w:r w:rsidR="0095628A">
        <w:rPr>
          <w:rFonts w:ascii="Palatino Linotype" w:hAnsi="Palatino Linotype" w:cs="Arial"/>
          <w:color w:val="000000" w:themeColor="text1"/>
          <w:szCs w:val="23"/>
        </w:rPr>
        <w:t>es</w:t>
      </w:r>
      <w:r w:rsidR="0095628A" w:rsidRPr="00E83987">
        <w:rPr>
          <w:rFonts w:ascii="Palatino Linotype" w:hAnsi="Palatino Linotype" w:cs="Arial"/>
          <w:color w:val="000000" w:themeColor="text1"/>
          <w:szCs w:val="23"/>
        </w:rPr>
        <w:t xml:space="preserve"> de procedencia del recurso de revisión establecida</w:t>
      </w:r>
      <w:r w:rsidR="0095628A">
        <w:rPr>
          <w:rFonts w:ascii="Palatino Linotype" w:hAnsi="Palatino Linotype" w:cs="Arial"/>
          <w:color w:val="000000" w:themeColor="text1"/>
          <w:szCs w:val="23"/>
        </w:rPr>
        <w:t xml:space="preserve">s en el artículo 179, fracciones I y </w:t>
      </w:r>
      <w:r w:rsidR="0095628A" w:rsidRPr="00E83987">
        <w:rPr>
          <w:rFonts w:ascii="Palatino Linotype" w:hAnsi="Palatino Linotype" w:cs="Arial"/>
          <w:color w:val="000000" w:themeColor="text1"/>
          <w:szCs w:val="23"/>
        </w:rPr>
        <w:t>VII de la Ley de Transparencia y Acceso a la Información Pública del Estado de México y Municipios, la</w:t>
      </w:r>
      <w:r w:rsidR="0095628A">
        <w:rPr>
          <w:rFonts w:ascii="Palatino Linotype" w:hAnsi="Palatino Linotype" w:cs="Arial"/>
          <w:color w:val="000000" w:themeColor="text1"/>
          <w:szCs w:val="23"/>
        </w:rPr>
        <w:t>s</w:t>
      </w:r>
      <w:r w:rsidR="0095628A" w:rsidRPr="00E83987">
        <w:rPr>
          <w:rFonts w:ascii="Palatino Linotype" w:hAnsi="Palatino Linotype" w:cs="Arial"/>
          <w:color w:val="000000" w:themeColor="text1"/>
          <w:szCs w:val="23"/>
        </w:rPr>
        <w:t xml:space="preserve"> cual</w:t>
      </w:r>
      <w:r w:rsidR="0095628A">
        <w:rPr>
          <w:rFonts w:ascii="Palatino Linotype" w:hAnsi="Palatino Linotype" w:cs="Arial"/>
          <w:color w:val="000000" w:themeColor="text1"/>
          <w:szCs w:val="23"/>
        </w:rPr>
        <w:t>es</w:t>
      </w:r>
      <w:r w:rsidR="0095628A" w:rsidRPr="00E83987">
        <w:rPr>
          <w:rFonts w:ascii="Palatino Linotype" w:hAnsi="Palatino Linotype" w:cs="Arial"/>
          <w:color w:val="000000" w:themeColor="text1"/>
          <w:szCs w:val="23"/>
        </w:rPr>
        <w:t xml:space="preserve"> dicta</w:t>
      </w:r>
      <w:r w:rsidR="0095628A">
        <w:rPr>
          <w:rFonts w:ascii="Palatino Linotype" w:hAnsi="Palatino Linotype" w:cs="Arial"/>
          <w:color w:val="000000" w:themeColor="text1"/>
          <w:szCs w:val="23"/>
        </w:rPr>
        <w:t>n</w:t>
      </w:r>
      <w:r w:rsidR="0095628A" w:rsidRPr="00E83987">
        <w:rPr>
          <w:rFonts w:ascii="Palatino Linotype" w:hAnsi="Palatino Linotype" w:cs="Arial"/>
          <w:color w:val="000000" w:themeColor="text1"/>
          <w:szCs w:val="23"/>
        </w:rPr>
        <w:t xml:space="preserve"> lo siguiente:</w:t>
      </w:r>
    </w:p>
    <w:p w14:paraId="07235DDC" w14:textId="77777777" w:rsidR="0095628A" w:rsidRDefault="0095628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26B0BE36" w:rsidR="008F7752" w:rsidRPr="008F7752" w:rsidRDefault="008F7752"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w:t>
      </w:r>
      <w:r w:rsidR="0095628A">
        <w:rPr>
          <w:rFonts w:ascii="Palatino Linotype" w:hAnsi="Palatino Linotype"/>
          <w:b/>
          <w:bCs/>
          <w:i/>
          <w:color w:val="000000" w:themeColor="text1"/>
          <w:sz w:val="22"/>
        </w:rPr>
        <w:t>I</w:t>
      </w:r>
      <w:r>
        <w:rPr>
          <w:rFonts w:ascii="Palatino Linotype" w:hAnsi="Palatino Linotype"/>
          <w:b/>
          <w:bCs/>
          <w:i/>
          <w:color w:val="000000" w:themeColor="text1"/>
          <w:sz w:val="22"/>
        </w:rPr>
        <w:t>I.</w:t>
      </w:r>
      <w:r>
        <w:rPr>
          <w:rFonts w:ascii="Palatino Linotype" w:hAnsi="Palatino Linotype"/>
          <w:i/>
          <w:color w:val="000000" w:themeColor="text1"/>
          <w:sz w:val="22"/>
        </w:rPr>
        <w:t xml:space="preserve"> La </w:t>
      </w:r>
      <w:r w:rsidR="0095628A">
        <w:rPr>
          <w:rFonts w:ascii="Palatino Linotype" w:hAnsi="Palatino Linotype"/>
          <w:i/>
          <w:color w:val="000000" w:themeColor="text1"/>
          <w:sz w:val="22"/>
        </w:rPr>
        <w:t>falta de respuesta a una solicitud de acceso a la información</w:t>
      </w:r>
      <w:r w:rsidRPr="008F7752">
        <w:rPr>
          <w:rFonts w:ascii="Palatino Linotype" w:hAnsi="Palatino Linotype"/>
          <w:i/>
          <w:color w:val="000000" w:themeColor="text1"/>
          <w:sz w:val="22"/>
        </w:rPr>
        <w:t>;</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Pr="009F1566" w:rsidRDefault="009F1566" w:rsidP="00F96156">
      <w:pPr>
        <w:pStyle w:val="Ttulo2"/>
        <w:tabs>
          <w:tab w:val="left" w:pos="426"/>
        </w:tabs>
        <w:rPr>
          <w:rFonts w:ascii="Palatino Linotype" w:hAnsi="Palatino Linotype" w:cs="Arial"/>
          <w:b/>
          <w:color w:val="FF0000"/>
          <w:sz w:val="24"/>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2" w:name="_Toc8511852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2"/>
    </w:p>
    <w:p w14:paraId="6E979250" w14:textId="2A34D6B5"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81D9FB1" w14:textId="6B443AD7"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5118530"/>
      <w:r>
        <w:rPr>
          <w:rFonts w:ascii="Palatino Linotype" w:hAnsi="Palatino Linotype"/>
          <w:b/>
          <w:bCs/>
          <w:color w:val="000000" w:themeColor="text1"/>
        </w:rPr>
        <w:t xml:space="preserve">I. Del deber de las autoridades de promover, respetar, proteger y garantizar el derecho de acceso </w:t>
      </w:r>
      <w:r w:rsidR="00DA2D95">
        <w:rPr>
          <w:rFonts w:ascii="Palatino Linotype" w:hAnsi="Palatino Linotype"/>
          <w:b/>
          <w:bCs/>
          <w:color w:val="000000" w:themeColor="text1"/>
        </w:rPr>
        <w:t>a la información pública.</w:t>
      </w:r>
      <w:bookmarkEnd w:id="25"/>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55159A"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0055159A">
        <w:rPr>
          <w:rFonts w:ascii="Palatino Linotype" w:hAnsi="Palatino Linotype"/>
          <w:color w:val="000000" w:themeColor="text1"/>
        </w:rPr>
        <w:t>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sidR="00C928FD">
        <w:rPr>
          <w:rFonts w:ascii="Palatino Linotype" w:hAnsi="Palatino Linotype"/>
          <w:bCs/>
          <w:color w:val="000000" w:themeColor="text1"/>
        </w:rPr>
        <w:t>stitucionales que se le imponen;</w:t>
      </w:r>
      <w:r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DA2D95">
        <w:rPr>
          <w:rFonts w:ascii="Palatino Linotype" w:hAnsi="Palatino Linotype"/>
          <w:b/>
          <w:bCs/>
          <w:color w:val="000000" w:themeColor="text1"/>
        </w:rPr>
        <w:t>Constitución Política de los Estados Unidos Mexicanos</w:t>
      </w:r>
      <w:r w:rsidR="00C928FD">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30DF4DA3" w14:textId="77777777" w:rsidR="0055159A" w:rsidRPr="0055159A"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Así las cosas</w:t>
      </w:r>
      <w:r w:rsidR="00DA2D95">
        <w:rPr>
          <w:rFonts w:ascii="Palatino Linotype" w:hAnsi="Palatino Linotype"/>
          <w:color w:val="000000" w:themeColor="text1"/>
        </w:rPr>
        <w:t xml:space="preserve">, </w:t>
      </w:r>
      <w:r w:rsidR="00DA2D95" w:rsidRPr="00DA2D95">
        <w:rPr>
          <w:rFonts w:ascii="Palatino Linotype" w:hAnsi="Palatino Linotype"/>
          <w:color w:val="000000" w:themeColor="text1"/>
        </w:rPr>
        <w:t xml:space="preserve">podemos definir el Derecho de Acceso a la Información Pública como: </w:t>
      </w:r>
      <w:r w:rsidR="00DA2D95" w:rsidRPr="00DA2D95">
        <w:rPr>
          <w:rFonts w:ascii="Palatino Linotype" w:hAnsi="Palatino Linotype"/>
          <w:i/>
          <w:color w:val="000000" w:themeColor="text1"/>
        </w:rPr>
        <w:t>La igualdad de oportunidades para recibir, buscar e impartir información</w:t>
      </w:r>
      <w:r w:rsidR="00DA2D95" w:rsidRPr="00DA2D95">
        <w:rPr>
          <w:rFonts w:ascii="Palatino Linotype" w:hAnsi="Palatino Linotype"/>
          <w:i/>
          <w:color w:val="000000" w:themeColor="text1"/>
          <w:vertAlign w:val="superscript"/>
        </w:rPr>
        <w:footnoteReference w:id="1"/>
      </w:r>
      <w:r w:rsidR="00DA2D95" w:rsidRPr="00DA2D95">
        <w:rPr>
          <w:rFonts w:ascii="Palatino Linotype" w:hAnsi="Palatino Linotype"/>
          <w:i/>
          <w:color w:val="000000" w:themeColor="text1"/>
        </w:rPr>
        <w:t xml:space="preserve">en posesión de cualquier autoridad, entidad, órgano y organismo de los poderes Ejecutivo, Legislativo y </w:t>
      </w:r>
      <w:r w:rsidR="00DA2D95" w:rsidRPr="00DA2D95">
        <w:rPr>
          <w:rFonts w:ascii="Palatino Linotype" w:hAnsi="Palatino Linotype"/>
          <w:i/>
          <w:color w:val="000000" w:themeColor="text1"/>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DA2D95">
        <w:rPr>
          <w:rFonts w:ascii="Palatino Linotype" w:hAnsi="Palatino Linotype"/>
          <w:i/>
          <w:color w:val="000000" w:themeColor="text1"/>
          <w:vertAlign w:val="superscript"/>
        </w:rPr>
        <w:footnoteReference w:id="2"/>
      </w:r>
      <w:r w:rsidR="00DA2D95" w:rsidRPr="00DA2D95">
        <w:rPr>
          <w:rFonts w:ascii="Palatino Linotype" w:hAnsi="Palatino Linotype"/>
          <w:color w:val="000000" w:themeColor="text1"/>
        </w:rPr>
        <w:t>que se constituye como una herramienta fundamental para ejercer</w:t>
      </w:r>
      <w:r w:rsidR="00DA2D95"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DA2D95">
        <w:rPr>
          <w:rFonts w:ascii="Palatino Linotype" w:hAnsi="Palatino Linotype"/>
          <w:i/>
          <w:color w:val="000000" w:themeColor="text1"/>
          <w:vertAlign w:val="superscript"/>
        </w:rPr>
        <w:footnoteReference w:id="3"/>
      </w:r>
      <w:r w:rsidR="00DA2D95" w:rsidRPr="00DA2D95">
        <w:rPr>
          <w:rFonts w:ascii="Palatino Linotype" w:hAnsi="Palatino Linotype"/>
          <w:i/>
          <w:color w:val="000000" w:themeColor="text1"/>
        </w:rPr>
        <w:t xml:space="preserve"> </w:t>
      </w:r>
      <w:r w:rsidR="00DA2D95" w:rsidRPr="00DA2D95">
        <w:rPr>
          <w:rFonts w:ascii="Palatino Linotype" w:hAnsi="Palatino Linotype"/>
          <w:color w:val="000000" w:themeColor="text1"/>
        </w:rPr>
        <w:t>fomentando</w:t>
      </w:r>
      <w:r w:rsidR="00DA2D95" w:rsidRPr="00DA2D95">
        <w:rPr>
          <w:rFonts w:ascii="Palatino Linotype" w:hAnsi="Palatino Linotype"/>
          <w:i/>
          <w:color w:val="000000" w:themeColor="text1"/>
        </w:rPr>
        <w:t xml:space="preserve"> la transparencia de las actividades estatales y </w:t>
      </w:r>
      <w:r w:rsidR="00DA2D95" w:rsidRPr="00DA2D95">
        <w:rPr>
          <w:rFonts w:ascii="Palatino Linotype" w:hAnsi="Palatino Linotype"/>
          <w:color w:val="000000" w:themeColor="text1"/>
        </w:rPr>
        <w:t>promoviendo</w:t>
      </w:r>
      <w:r w:rsidR="00DA2D95" w:rsidRPr="00DA2D95">
        <w:rPr>
          <w:rFonts w:ascii="Palatino Linotype" w:hAnsi="Palatino Linotype"/>
          <w:i/>
          <w:color w:val="000000" w:themeColor="text1"/>
        </w:rPr>
        <w:t xml:space="preserve"> la responsabilidad de los funcionarios sobre su gestión pública,</w:t>
      </w:r>
      <w:r w:rsidR="00DA2D95" w:rsidRPr="00DA2D95">
        <w:rPr>
          <w:rFonts w:ascii="Palatino Linotype" w:hAnsi="Palatino Linotype"/>
          <w:i/>
          <w:color w:val="000000" w:themeColor="text1"/>
          <w:vertAlign w:val="superscript"/>
        </w:rPr>
        <w:footnoteReference w:id="4"/>
      </w:r>
      <w:r w:rsidR="00DA2D95" w:rsidRPr="00DA2D95">
        <w:rPr>
          <w:rFonts w:ascii="Palatino Linotype" w:hAnsi="Palatino Linotype"/>
          <w:color w:val="000000" w:themeColor="text1"/>
        </w:rPr>
        <w:t>que permite</w:t>
      </w:r>
      <w:r w:rsidR="00DA2D95"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0C204A57" w14:textId="4E523E45" w:rsidR="00A55D2B" w:rsidRDefault="00EC3D29" w:rsidP="00DA71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Dentro </w:t>
      </w:r>
      <w:r>
        <w:rPr>
          <w:rFonts w:ascii="Palatino Linotype" w:eastAsia="Times New Roman" w:hAnsi="Palatino Linotype"/>
        </w:rPr>
        <w:t xml:space="preserve">del caso que nos ocupa, y de las constancias que obran en el expediente digital del SAIMEX, se tiene que el entonces </w:t>
      </w:r>
      <w:r>
        <w:rPr>
          <w:rFonts w:ascii="Palatino Linotype" w:eastAsia="Times New Roman" w:hAnsi="Palatino Linotype"/>
          <w:b/>
          <w:bCs/>
        </w:rPr>
        <w:t>SOLICITANTE</w:t>
      </w:r>
      <w:r>
        <w:rPr>
          <w:rFonts w:ascii="Palatino Linotype" w:eastAsia="Times New Roman" w:hAnsi="Palatino Linotype"/>
        </w:rPr>
        <w:t xml:space="preserve"> pretende acceder a diversos documentos relacionados con un programa social específico; solicitud que no fue atendida por el </w:t>
      </w:r>
      <w:r>
        <w:rPr>
          <w:rFonts w:ascii="Palatino Linotype" w:eastAsia="Times New Roman" w:hAnsi="Palatino Linotype"/>
          <w:b/>
        </w:rPr>
        <w:t>SUJETO OBLIGADO</w:t>
      </w:r>
      <w:r>
        <w:rPr>
          <w:rFonts w:ascii="Palatino Linotype" w:eastAsia="Times New Roman" w:hAnsi="Palatino Linotype"/>
          <w:bCs/>
        </w:rPr>
        <w:t xml:space="preserve">, razón por la que el ahora </w:t>
      </w:r>
      <w:r>
        <w:rPr>
          <w:rFonts w:ascii="Palatino Linotype" w:eastAsia="Times New Roman" w:hAnsi="Palatino Linotype"/>
          <w:b/>
        </w:rPr>
        <w:t>RECURRENTE</w:t>
      </w:r>
      <w:r>
        <w:rPr>
          <w:rFonts w:ascii="Palatino Linotype" w:eastAsia="Times New Roman" w:hAnsi="Palatino Linotype"/>
          <w:bCs/>
        </w:rPr>
        <w:t xml:space="preserve"> se </w:t>
      </w:r>
      <w:r w:rsidRPr="00A4775A">
        <w:rPr>
          <w:rFonts w:ascii="Palatino Linotype" w:eastAsia="Times New Roman" w:hAnsi="Palatino Linotype"/>
        </w:rPr>
        <w:t>inconformó y refirió como razones o motivos de inconformidad</w:t>
      </w:r>
      <w:r>
        <w:rPr>
          <w:rFonts w:ascii="Palatino Linotype" w:eastAsia="Times New Roman" w:hAnsi="Palatino Linotype"/>
        </w:rPr>
        <w:t xml:space="preserve"> que no se le había otorgado una respuesta en los tiempos establecidos por la Ley.</w:t>
      </w:r>
    </w:p>
    <w:p w14:paraId="43CE389E" w14:textId="77777777" w:rsidR="00EC3D29" w:rsidRDefault="00EC3D29" w:rsidP="00EC3D29">
      <w:pPr>
        <w:pStyle w:val="Prrafodelista"/>
        <w:tabs>
          <w:tab w:val="left" w:pos="426"/>
        </w:tabs>
        <w:spacing w:before="240" w:after="240" w:line="360" w:lineRule="auto"/>
        <w:ind w:left="0" w:right="51"/>
        <w:jc w:val="both"/>
        <w:rPr>
          <w:rFonts w:ascii="Palatino Linotype" w:hAnsi="Palatino Linotype"/>
          <w:color w:val="000000" w:themeColor="text1"/>
        </w:rPr>
      </w:pPr>
    </w:p>
    <w:p w14:paraId="4D259F5A" w14:textId="3DA21ECB" w:rsidR="00EC3D29" w:rsidRDefault="00EC3D29" w:rsidP="00DA71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color w:val="000000" w:themeColor="text1"/>
        </w:rPr>
        <w:t xml:space="preserve">ello, y </w:t>
      </w:r>
      <w:r w:rsidRPr="00AB2BC2">
        <w:rPr>
          <w:rFonts w:ascii="Palatino Linotype" w:eastAsia="Times New Roman" w:hAnsi="Palatino Linotype"/>
        </w:rPr>
        <w:t xml:space="preserve">derivado de lo señalado en la interposición del recurso de revisión, la actuación del </w:t>
      </w:r>
      <w:r w:rsidRPr="00EC3D29">
        <w:rPr>
          <w:rFonts w:ascii="Palatino Linotype" w:eastAsia="Times New Roman" w:hAnsi="Palatino Linotype"/>
          <w:bCs/>
        </w:rPr>
        <w:t>Ayuntamiento de Ecatepec de Morelos</w:t>
      </w:r>
      <w:r w:rsidRPr="00AB2BC2">
        <w:rPr>
          <w:rFonts w:ascii="Palatino Linotype" w:eastAsia="Times New Roman" w:hAnsi="Palatino Linotype"/>
          <w:b/>
        </w:rPr>
        <w:t xml:space="preserve"> </w:t>
      </w:r>
      <w:r w:rsidRPr="00AB2BC2">
        <w:rPr>
          <w:rFonts w:ascii="Palatino Linotype" w:eastAsia="Times New Roman" w:hAnsi="Palatino Linotype"/>
        </w:rPr>
        <w:t>constituye una afectación al derecho humano de acceso a la información pública del particular, toda vez que incumple con sus obligaciones de transparencia al no entregar la información.</w:t>
      </w:r>
    </w:p>
    <w:p w14:paraId="267366AC" w14:textId="77777777" w:rsidR="00EC3D29" w:rsidRDefault="00EC3D29" w:rsidP="00EC3D29">
      <w:pPr>
        <w:pStyle w:val="Prrafodelista"/>
        <w:tabs>
          <w:tab w:val="left" w:pos="426"/>
        </w:tabs>
        <w:spacing w:before="240" w:after="240" w:line="360" w:lineRule="auto"/>
        <w:ind w:left="0" w:right="51"/>
        <w:jc w:val="both"/>
        <w:rPr>
          <w:rFonts w:ascii="Palatino Linotype" w:hAnsi="Palatino Linotype"/>
          <w:color w:val="000000" w:themeColor="text1"/>
        </w:rPr>
      </w:pPr>
    </w:p>
    <w:p w14:paraId="2AA77FA1" w14:textId="0B28F41E" w:rsidR="00EC3D29" w:rsidRDefault="00EC3D29" w:rsidP="00DA71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Ante </w:t>
      </w:r>
      <w:r w:rsidRPr="00486BDF">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AB2BC2">
        <w:rPr>
          <w:rFonts w:ascii="Palatino Linotype" w:hAnsi="Palatino Linotype" w:cs="Arial"/>
          <w:b/>
          <w:bCs/>
        </w:rPr>
        <w:t>prevenir, investigar, sancionar y reparar las violaciones a los derechos humanos</w:t>
      </w:r>
      <w:r w:rsidRPr="00486BDF">
        <w:rPr>
          <w:rFonts w:ascii="Palatino Linotype" w:hAnsi="Palatino Linotype" w:cs="Arial"/>
        </w:rPr>
        <w:t>.</w:t>
      </w:r>
    </w:p>
    <w:p w14:paraId="2DD0BA19" w14:textId="77777777" w:rsidR="00EC3D29" w:rsidRDefault="00EC3D29" w:rsidP="00EC3D29">
      <w:pPr>
        <w:pStyle w:val="Prrafodelista"/>
        <w:tabs>
          <w:tab w:val="left" w:pos="426"/>
        </w:tabs>
        <w:spacing w:before="240" w:after="240" w:line="360" w:lineRule="auto"/>
        <w:ind w:left="0" w:right="51"/>
        <w:jc w:val="both"/>
        <w:rPr>
          <w:rFonts w:ascii="Palatino Linotype" w:hAnsi="Palatino Linotype"/>
          <w:color w:val="000000" w:themeColor="text1"/>
        </w:rPr>
      </w:pPr>
    </w:p>
    <w:p w14:paraId="7034F5F1" w14:textId="6C9AC14F" w:rsidR="00EC3D29" w:rsidRDefault="00EC3D29" w:rsidP="00DA71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F22825">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F22825">
        <w:rPr>
          <w:rFonts w:ascii="Palatino Linotype" w:hAnsi="Palatino Linotype" w:cs="Arial"/>
          <w:i/>
        </w:rPr>
        <w:t>por los principios de simplicidad, rapidez gratuidad del procedimiento, auxilio y orientación a los particulares</w:t>
      </w:r>
      <w:r w:rsidRPr="00F22825">
        <w:rPr>
          <w:rFonts w:ascii="Palatino Linotype" w:hAnsi="Palatino Linotype" w:cs="Arial"/>
        </w:rPr>
        <w:t>, contemplando el derecho de las personas con discapacidad y hablantes de lengua indígena.</w:t>
      </w:r>
    </w:p>
    <w:p w14:paraId="3BD9757D" w14:textId="77777777" w:rsidR="00EC3D29" w:rsidRDefault="00EC3D29" w:rsidP="00EC3D29">
      <w:pPr>
        <w:pStyle w:val="Prrafodelista"/>
        <w:tabs>
          <w:tab w:val="left" w:pos="426"/>
        </w:tabs>
        <w:spacing w:before="240" w:after="240" w:line="360" w:lineRule="auto"/>
        <w:ind w:left="0" w:right="51"/>
        <w:jc w:val="both"/>
        <w:rPr>
          <w:rFonts w:ascii="Palatino Linotype" w:hAnsi="Palatino Linotype"/>
          <w:color w:val="000000" w:themeColor="text1"/>
        </w:rPr>
      </w:pPr>
    </w:p>
    <w:p w14:paraId="6AB0EBC6" w14:textId="7AF07C64" w:rsidR="00EC3D29" w:rsidRDefault="00EC3D29" w:rsidP="00DA71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486BDF">
        <w:rPr>
          <w:rFonts w:ascii="Palatino Linotype" w:eastAsia="Times New Roman" w:hAnsi="Palatino Linotype"/>
        </w:rPr>
        <w:t xml:space="preserve">así que la </w:t>
      </w:r>
      <w:r w:rsidRPr="00EC3D29">
        <w:rPr>
          <w:rFonts w:ascii="Palatino Linotype" w:eastAsia="Times New Roman" w:hAnsi="Palatino Linotype"/>
          <w:bCs/>
        </w:rPr>
        <w:t>Ley de Transparencia y Acceso a la Información Pública del Estado de México y Municipios,</w:t>
      </w:r>
      <w:r w:rsidRPr="00486BDF">
        <w:rPr>
          <w:rFonts w:ascii="Palatino Linotype" w:eastAsia="Times New Roman" w:hAnsi="Palatino Linotype"/>
          <w:b/>
        </w:rPr>
        <w:t xml:space="preserve"> </w:t>
      </w:r>
      <w:r w:rsidRPr="00486BDF">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486BDF">
        <w:rPr>
          <w:rFonts w:ascii="Palatino Linotype" w:eastAsia="Times New Roman" w:hAnsi="Palatino Linotype"/>
          <w:b/>
        </w:rPr>
        <w:t xml:space="preserve"> </w:t>
      </w:r>
      <w:r w:rsidRPr="00486BDF">
        <w:rPr>
          <w:rFonts w:ascii="Palatino Linotype" w:eastAsia="Times New Roman" w:hAnsi="Palatino Linotype"/>
        </w:rPr>
        <w:t xml:space="preserve">establece que </w:t>
      </w:r>
      <w:r w:rsidRPr="00486BDF">
        <w:rPr>
          <w:rFonts w:ascii="Palatino Linotype" w:eastAsia="Times New Roman" w:hAnsi="Palatino Linotype"/>
          <w:b/>
          <w:i/>
          <w:u w:val="single"/>
        </w:rPr>
        <w:t>el recurso de revisión es la garantía secundaria</w:t>
      </w:r>
      <w:r w:rsidRPr="00486BDF">
        <w:rPr>
          <w:rFonts w:ascii="Palatino Linotype" w:eastAsia="Times New Roman" w:hAnsi="Palatino Linotype"/>
          <w:b/>
          <w:i/>
        </w:rPr>
        <w:t xml:space="preserve"> mediante la cual se pretende reparar cualquier posible afectación al derecho de acceso a la información pública</w:t>
      </w:r>
      <w:r w:rsidRPr="00F3730A">
        <w:rPr>
          <w:rFonts w:ascii="Palatino Linotype" w:eastAsia="Times New Roman" w:hAnsi="Palatino Linotype"/>
          <w:bCs/>
        </w:rPr>
        <w:t>, s</w:t>
      </w:r>
      <w:r w:rsidRPr="00486BDF">
        <w:rPr>
          <w:rFonts w:ascii="Palatino Linotype" w:eastAsia="Times New Roman" w:hAnsi="Palatino Linotype"/>
        </w:rPr>
        <w:t>iendo éste el medio a través del cual, este Órgano Garante después de realizar el análisis al procedimiento de acceso a la información, podrá determinar la posible afectación y</w:t>
      </w:r>
      <w:r>
        <w:rPr>
          <w:rFonts w:ascii="Palatino Linotype" w:eastAsia="Times New Roman" w:hAnsi="Palatino Linotype"/>
        </w:rPr>
        <w:t>,</w:t>
      </w:r>
      <w:r w:rsidRPr="00486BDF">
        <w:rPr>
          <w:rFonts w:ascii="Palatino Linotype" w:eastAsia="Times New Roman" w:hAnsi="Palatino Linotype"/>
        </w:rPr>
        <w:t xml:space="preserve"> de ser el caso</w:t>
      </w:r>
      <w:r>
        <w:rPr>
          <w:rFonts w:ascii="Palatino Linotype" w:eastAsia="Times New Roman" w:hAnsi="Palatino Linotype"/>
        </w:rPr>
        <w:t>,</w:t>
      </w:r>
      <w:r w:rsidRPr="00486BDF">
        <w:rPr>
          <w:rFonts w:ascii="Palatino Linotype" w:eastAsia="Times New Roman" w:hAnsi="Palatino Linotype"/>
        </w:rPr>
        <w:t xml:space="preserve"> ordenar la reparación a la violación del derecho en cuestión.</w:t>
      </w:r>
    </w:p>
    <w:p w14:paraId="0C86AEDA" w14:textId="5ADB620C" w:rsidR="00EC3D29" w:rsidRPr="00EC3D29" w:rsidRDefault="00EC3D29" w:rsidP="00EC3D2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7B66685C" w:rsidR="00DA2D95" w:rsidRPr="00DA2D9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5118531"/>
      <w:r>
        <w:rPr>
          <w:rFonts w:ascii="Palatino Linotype" w:hAnsi="Palatino Linotype"/>
          <w:b/>
          <w:bCs/>
          <w:color w:val="000000" w:themeColor="text1"/>
        </w:rPr>
        <w:lastRenderedPageBreak/>
        <w:t xml:space="preserve">II. De </w:t>
      </w:r>
      <w:r w:rsidR="009B1F7B">
        <w:rPr>
          <w:rFonts w:ascii="Palatino Linotype" w:hAnsi="Palatino Linotype"/>
          <w:b/>
          <w:bCs/>
          <w:color w:val="000000" w:themeColor="text1"/>
        </w:rPr>
        <w:t>los alcances del derecho de acceso a la información</w:t>
      </w:r>
      <w:r>
        <w:rPr>
          <w:rFonts w:ascii="Palatino Linotype" w:hAnsi="Palatino Linotype"/>
          <w:b/>
          <w:bCs/>
          <w:color w:val="000000" w:themeColor="text1"/>
        </w:rPr>
        <w:t>.</w:t>
      </w:r>
      <w:bookmarkEnd w:id="26"/>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74A200"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Previo a iniciar el estudio de competencia del Ayuntamiento de Ecatepec de Morelos para determinar si éste es competente para poseer, generar o administrar la información, </w:t>
      </w:r>
      <w:r w:rsidRPr="0077277D">
        <w:rPr>
          <w:rFonts w:ascii="Palatino Linotype" w:hAnsi="Palatino Linotype"/>
          <w:color w:val="000000" w:themeColor="text1"/>
          <w:lang w:val="es-ES_tradnl"/>
        </w:rPr>
        <w:t xml:space="preserve">se considera importante citar el Criterio </w:t>
      </w:r>
      <w:r w:rsidRPr="0077277D">
        <w:rPr>
          <w:rFonts w:ascii="Palatino Linotype" w:hAnsi="Palatino Linotype"/>
          <w:bCs/>
          <w:color w:val="000000" w:themeColor="text1"/>
        </w:rPr>
        <w:t>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w:t>
      </w:r>
      <w:r>
        <w:rPr>
          <w:rFonts w:ascii="Palatino Linotype" w:hAnsi="Palatino Linotype"/>
          <w:bCs/>
          <w:color w:val="000000" w:themeColor="text1"/>
        </w:rPr>
        <w:t xml:space="preserve"> (19)</w:t>
      </w:r>
      <w:r w:rsidRPr="0077277D">
        <w:rPr>
          <w:rFonts w:ascii="Palatino Linotype" w:hAnsi="Palatino Linotype"/>
          <w:bCs/>
          <w:color w:val="000000" w:themeColor="text1"/>
        </w:rPr>
        <w:t xml:space="preserve"> de octubre de dos mil once, </w:t>
      </w:r>
      <w:r w:rsidRPr="0077277D">
        <w:rPr>
          <w:rFonts w:ascii="Palatino Linotype" w:hAnsi="Palatino Linotype"/>
          <w:color w:val="000000" w:themeColor="text1"/>
          <w:lang w:val="es-ES_tradnl"/>
        </w:rPr>
        <w:t>cuyo rubro y texto dispone:</w:t>
      </w:r>
    </w:p>
    <w:p w14:paraId="6E779F3B" w14:textId="77777777" w:rsidR="009B1F7B" w:rsidRDefault="009B1F7B" w:rsidP="009B1F7B">
      <w:pPr>
        <w:pStyle w:val="Prrafodelista"/>
        <w:tabs>
          <w:tab w:val="left" w:pos="426"/>
        </w:tabs>
        <w:spacing w:line="360" w:lineRule="auto"/>
        <w:ind w:left="0" w:right="51"/>
        <w:jc w:val="both"/>
        <w:rPr>
          <w:rFonts w:ascii="Palatino Linotype" w:hAnsi="Palatino Linotype"/>
          <w:color w:val="000000" w:themeColor="text1"/>
        </w:rPr>
      </w:pPr>
    </w:p>
    <w:p w14:paraId="7E249457"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CF20E6">
        <w:rPr>
          <w:rFonts w:ascii="Palatino Linotype" w:hAnsi="Palatino Linotype" w:cs="Arial"/>
          <w:b/>
          <w:bCs/>
          <w:i/>
          <w:sz w:val="22"/>
          <w:szCs w:val="22"/>
          <w:lang w:eastAsia="es-MX"/>
        </w:rPr>
        <w:t xml:space="preserve">V, XV, Y XVI, </w:t>
      </w:r>
      <w:r w:rsidRPr="00CF20E6">
        <w:rPr>
          <w:rFonts w:ascii="Palatino Linotype" w:hAnsi="Palatino Linotype" w:cs="Arial"/>
          <w:b/>
          <w:i/>
          <w:sz w:val="22"/>
          <w:szCs w:val="22"/>
          <w:lang w:eastAsia="es-MX"/>
        </w:rPr>
        <w:t>3, 4,11 Y 41.</w:t>
      </w:r>
      <w:r w:rsidRPr="00CF20E6">
        <w:rPr>
          <w:rFonts w:ascii="Palatino Linotype" w:hAnsi="Palatino Linotype" w:cs="Arial"/>
          <w:i/>
          <w:sz w:val="22"/>
          <w:szCs w:val="22"/>
          <w:lang w:eastAsia="es-MX"/>
        </w:rPr>
        <w:t xml:space="preserve"> </w:t>
      </w:r>
      <w:r>
        <w:rPr>
          <w:rFonts w:ascii="Palatino Linotype" w:hAnsi="Palatino Linotype" w:cs="Arial"/>
          <w:i/>
          <w:sz w:val="22"/>
          <w:szCs w:val="22"/>
          <w:lang w:eastAsia="es-MX"/>
        </w:rPr>
        <w:t>“</w:t>
      </w:r>
      <w:r w:rsidRPr="00CF20E6">
        <w:rPr>
          <w:rFonts w:ascii="Palatino Linotype" w:hAnsi="Palatino Linotype" w:cs="Arial"/>
          <w:i/>
          <w:sz w:val="22"/>
          <w:szCs w:val="22"/>
          <w:lang w:eastAsia="es-MX"/>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5BBBD3"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En consecuencia el acceso a la información se refiere a que se cumplan cualquiera de los siguientes tres supuestos:</w:t>
      </w:r>
    </w:p>
    <w:p w14:paraId="46416EFC"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574B9183" w14:textId="77777777" w:rsidR="009B1F7B" w:rsidRDefault="009B1F7B" w:rsidP="009B1F7B">
      <w:pPr>
        <w:autoSpaceDE w:val="0"/>
        <w:autoSpaceDN w:val="0"/>
        <w:adjustRightInd w:val="0"/>
        <w:spacing w:line="276" w:lineRule="auto"/>
        <w:ind w:left="567" w:right="567"/>
        <w:jc w:val="both"/>
        <w:rPr>
          <w:rFonts w:ascii="Palatino Linotype" w:hAnsi="Palatino Linotype" w:cs="Arial"/>
          <w:i/>
          <w:sz w:val="22"/>
          <w:szCs w:val="22"/>
          <w:lang w:eastAsia="es-MX"/>
        </w:rPr>
      </w:pPr>
      <w:r w:rsidRPr="00CF20E6">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091A31E0" w14:textId="77777777" w:rsidR="009B1F7B" w:rsidRDefault="009B1F7B" w:rsidP="009B1F7B">
      <w:pPr>
        <w:autoSpaceDE w:val="0"/>
        <w:autoSpaceDN w:val="0"/>
        <w:adjustRightInd w:val="0"/>
        <w:spacing w:line="276" w:lineRule="auto"/>
        <w:ind w:left="567" w:right="567"/>
        <w:jc w:val="both"/>
        <w:rPr>
          <w:rFonts w:ascii="Palatino Linotype" w:hAnsi="Palatino Linotype" w:cs="Arial"/>
        </w:rPr>
      </w:pPr>
      <w:r w:rsidRPr="00CF20E6">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4CF80556"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1F19F76"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El </w:t>
      </w:r>
      <w:r w:rsidRPr="00CF20E6">
        <w:rPr>
          <w:rFonts w:ascii="Palatino Linotype" w:hAnsi="Palatino Linotype"/>
          <w:lang w:val="es-ES"/>
        </w:rPr>
        <w:t>derecho de acceso a la información encuentra su materia elemental en los documentos, y la Ley de Transparencia local nos brinda el siguiente concepto</w:t>
      </w:r>
      <w:r>
        <w:rPr>
          <w:rStyle w:val="Refdenotaalpie"/>
          <w:rFonts w:ascii="Palatino Linotype" w:hAnsi="Palatino Linotype"/>
          <w:lang w:val="es-ES"/>
        </w:rPr>
        <w:footnoteReference w:id="5"/>
      </w:r>
      <w:r w:rsidRPr="00CF20E6">
        <w:rPr>
          <w:rFonts w:ascii="Palatino Linotype" w:hAnsi="Palatino Linotype"/>
          <w:lang w:val="es-ES"/>
        </w:rPr>
        <w:t>, para darnos un mejor panorama:</w:t>
      </w:r>
    </w:p>
    <w:p w14:paraId="0D7F6F4D" w14:textId="77777777" w:rsidR="009B1F7B" w:rsidRDefault="009B1F7B" w:rsidP="009B1F7B">
      <w:pPr>
        <w:pStyle w:val="Prrafodelista"/>
        <w:tabs>
          <w:tab w:val="left" w:pos="426"/>
        </w:tabs>
        <w:spacing w:line="360" w:lineRule="auto"/>
        <w:ind w:left="0" w:right="51"/>
        <w:jc w:val="both"/>
        <w:rPr>
          <w:rFonts w:ascii="Palatino Linotype" w:hAnsi="Palatino Linotype"/>
          <w:color w:val="000000" w:themeColor="text1"/>
        </w:rPr>
      </w:pPr>
    </w:p>
    <w:p w14:paraId="6CDD92FE" w14:textId="77777777" w:rsidR="009B1F7B" w:rsidRDefault="009B1F7B" w:rsidP="009B1F7B">
      <w:pPr>
        <w:autoSpaceDE w:val="0"/>
        <w:autoSpaceDN w:val="0"/>
        <w:adjustRightInd w:val="0"/>
        <w:spacing w:line="276" w:lineRule="auto"/>
        <w:ind w:left="567" w:right="567"/>
        <w:jc w:val="both"/>
        <w:rPr>
          <w:rFonts w:ascii="Palatino Linotype" w:eastAsiaTheme="minorHAnsi" w:hAnsi="Palatino Linotype" w:cs="Bookman Old Style"/>
          <w:sz w:val="22"/>
          <w:szCs w:val="20"/>
          <w:lang w:eastAsia="en-US"/>
        </w:rPr>
      </w:pPr>
      <w:r>
        <w:rPr>
          <w:rFonts w:ascii="Palatino Linotype" w:eastAsiaTheme="minorHAnsi" w:hAnsi="Palatino Linotype" w:cs="Bookman Old Style,Bold"/>
          <w:b/>
          <w:bCs/>
          <w:i/>
          <w:sz w:val="22"/>
          <w:szCs w:val="20"/>
          <w:lang w:eastAsia="en-US"/>
        </w:rPr>
        <w:t>“</w:t>
      </w:r>
      <w:r w:rsidRPr="00CF20E6">
        <w:rPr>
          <w:rFonts w:ascii="Palatino Linotype" w:eastAsiaTheme="minorHAnsi" w:hAnsi="Palatino Linotype" w:cs="Bookman Old Style,Bold"/>
          <w:b/>
          <w:bCs/>
          <w:i/>
          <w:sz w:val="22"/>
          <w:szCs w:val="20"/>
          <w:lang w:eastAsia="en-US"/>
        </w:rPr>
        <w:t xml:space="preserve">XI. Documento: </w:t>
      </w:r>
      <w:r w:rsidRPr="009B1F7B">
        <w:rPr>
          <w:rFonts w:ascii="Palatino Linotype" w:eastAsiaTheme="minorHAnsi" w:hAnsi="Palatino Linotype" w:cs="Bookman Old Style"/>
          <w:bCs/>
          <w:i/>
          <w:sz w:val="22"/>
          <w:szCs w:val="20"/>
          <w:lang w:eastAsia="en-US"/>
        </w:rPr>
        <w:t>Los</w:t>
      </w:r>
      <w:r w:rsidRPr="00CF20E6">
        <w:rPr>
          <w:rFonts w:ascii="Palatino Linotype" w:eastAsiaTheme="minorHAnsi" w:hAnsi="Palatino Linotype" w:cs="Bookman Old Style"/>
          <w:i/>
          <w:sz w:val="22"/>
          <w:szCs w:val="20"/>
          <w:lang w:eastAsia="en-US"/>
        </w:rPr>
        <w:t xml:space="preserve"> expedientes, reportes, estudios, actas, resoluciones, oficios, correspondencia, acuerdos, directivas, directrices, circulares, </w:t>
      </w:r>
      <w:r w:rsidRPr="005E76A0">
        <w:rPr>
          <w:rFonts w:ascii="Palatino Linotype" w:eastAsiaTheme="minorHAnsi" w:hAnsi="Palatino Linotype" w:cs="Bookman Old Style"/>
          <w:b/>
          <w:i/>
          <w:sz w:val="22"/>
          <w:szCs w:val="20"/>
          <w:lang w:eastAsia="en-US"/>
        </w:rPr>
        <w:t>contratos</w:t>
      </w:r>
      <w:r w:rsidRPr="00CF20E6">
        <w:rPr>
          <w:rFonts w:ascii="Palatino Linotype" w:eastAsiaTheme="minorHAnsi" w:hAnsi="Palatino Linotype" w:cs="Bookman Old Style"/>
          <w:i/>
          <w:sz w:val="22"/>
          <w:szCs w:val="20"/>
          <w:lang w:eastAsia="en-US"/>
        </w:rPr>
        <w:t xml:space="preserve">, </w:t>
      </w:r>
      <w:r w:rsidRPr="005E76A0">
        <w:rPr>
          <w:rFonts w:ascii="Palatino Linotype" w:eastAsiaTheme="minorHAnsi" w:hAnsi="Palatino Linotype" w:cs="Bookman Old Style"/>
          <w:b/>
          <w:i/>
          <w:sz w:val="22"/>
          <w:szCs w:val="20"/>
          <w:lang w:eastAsia="en-US"/>
        </w:rPr>
        <w:t>convenios</w:t>
      </w:r>
      <w:r w:rsidRPr="00CF20E6">
        <w:rPr>
          <w:rFonts w:ascii="Palatino Linotype" w:eastAsiaTheme="minorHAnsi" w:hAnsi="Palatino Linotype" w:cs="Bookman Old Style"/>
          <w:i/>
          <w:sz w:val="22"/>
          <w:szCs w:val="20"/>
          <w:lang w:eastAsia="en-US"/>
        </w:rPr>
        <w:t xml:space="preserve">, instructivos, notas, memorandos, estadísticas o bien, </w:t>
      </w:r>
      <w:r w:rsidRPr="00CF20E6">
        <w:rPr>
          <w:rFonts w:ascii="Palatino Linotype" w:eastAsiaTheme="minorHAnsi" w:hAnsi="Palatino Linotype" w:cs="Bookman Old Style"/>
          <w:b/>
          <w:i/>
          <w:sz w:val="22"/>
          <w:szCs w:val="20"/>
          <w:lang w:eastAsia="en-US"/>
        </w:rPr>
        <w:t xml:space="preserve">cualquier </w:t>
      </w:r>
      <w:r w:rsidRPr="005E76A0">
        <w:rPr>
          <w:rFonts w:ascii="Palatino Linotype" w:eastAsiaTheme="minorHAnsi" w:hAnsi="Palatino Linotype" w:cs="Bookman Old Style"/>
          <w:i/>
          <w:sz w:val="22"/>
          <w:szCs w:val="20"/>
          <w:lang w:eastAsia="en-US"/>
        </w:rPr>
        <w:t>otro</w:t>
      </w:r>
      <w:r w:rsidRPr="00CF20E6">
        <w:rPr>
          <w:rFonts w:ascii="Palatino Linotype" w:eastAsiaTheme="minorHAnsi" w:hAnsi="Palatino Linotype" w:cs="Bookman Old Style"/>
          <w:b/>
          <w:i/>
          <w:sz w:val="22"/>
          <w:szCs w:val="20"/>
          <w:lang w:eastAsia="en-US"/>
        </w:rPr>
        <w:t xml:space="preserve"> </w:t>
      </w:r>
      <w:r w:rsidRPr="005E76A0">
        <w:rPr>
          <w:rFonts w:ascii="Palatino Linotype" w:eastAsiaTheme="minorHAnsi" w:hAnsi="Palatino Linotype" w:cs="Bookman Old Style"/>
          <w:b/>
          <w:i/>
          <w:sz w:val="22"/>
          <w:szCs w:val="20"/>
          <w:lang w:eastAsia="en-US"/>
        </w:rPr>
        <w:t>registro que documente el ejercicio de las facultades, funciones y competencias de los sujetos obligados</w:t>
      </w:r>
      <w:r w:rsidRPr="00CF20E6">
        <w:rPr>
          <w:rFonts w:ascii="Palatino Linotype" w:eastAsiaTheme="minorHAnsi" w:hAnsi="Palatino Linotype" w:cs="Bookman Old Style"/>
          <w:i/>
          <w:sz w:val="22"/>
          <w:szCs w:val="20"/>
          <w:lang w:eastAsia="en-US"/>
        </w:rPr>
        <w:t>, sus servidores públicos e integrantes, sin importar su fuente o fecha de elaboración. Los documentos podrán estar en cualquier medio, sea escrito, impreso,  sonoro, visual, electrónico, informático u holográfico;</w:t>
      </w:r>
      <w:r>
        <w:rPr>
          <w:rFonts w:ascii="Palatino Linotype" w:eastAsiaTheme="minorHAnsi" w:hAnsi="Palatino Linotype" w:cs="Bookman Old Style"/>
          <w:i/>
          <w:sz w:val="22"/>
          <w:szCs w:val="20"/>
          <w:lang w:eastAsia="en-US"/>
        </w:rPr>
        <w:t>”</w:t>
      </w:r>
    </w:p>
    <w:p w14:paraId="0B5D190E" w14:textId="77777777" w:rsidR="009B1F7B" w:rsidRPr="005E76A0" w:rsidRDefault="009B1F7B" w:rsidP="009B1F7B">
      <w:pPr>
        <w:autoSpaceDE w:val="0"/>
        <w:autoSpaceDN w:val="0"/>
        <w:adjustRightInd w:val="0"/>
        <w:spacing w:line="276" w:lineRule="auto"/>
        <w:ind w:left="567" w:right="567"/>
        <w:jc w:val="both"/>
        <w:rPr>
          <w:rFonts w:ascii="Palatino Linotype" w:hAnsi="Palatino Linotype"/>
          <w:sz w:val="28"/>
          <w:lang w:val="es-ES"/>
        </w:rPr>
      </w:pPr>
      <w:r>
        <w:rPr>
          <w:rFonts w:ascii="Palatino Linotype" w:eastAsiaTheme="minorHAnsi" w:hAnsi="Palatino Linotype" w:cs="Bookman Old Style"/>
          <w:sz w:val="22"/>
          <w:szCs w:val="20"/>
          <w:lang w:eastAsia="en-US"/>
        </w:rPr>
        <w:t>(Énfasis añadido)</w:t>
      </w:r>
    </w:p>
    <w:p w14:paraId="0D96EE74"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72468CBD"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Correlativo </w:t>
      </w:r>
      <w:r>
        <w:rPr>
          <w:rFonts w:ascii="Palatino Linotype" w:hAnsi="Palatino Linotype"/>
          <w:color w:val="000000" w:themeColor="text1"/>
        </w:rPr>
        <w:t xml:space="preserve">a lo anterior, </w:t>
      </w:r>
      <w:r w:rsidRPr="00CF20E6">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17921C22" w14:textId="77777777" w:rsidR="009B1F7B" w:rsidRDefault="009B1F7B" w:rsidP="009B1F7B">
      <w:pPr>
        <w:pStyle w:val="Prrafodelista"/>
        <w:tabs>
          <w:tab w:val="left" w:pos="426"/>
        </w:tabs>
        <w:spacing w:line="360" w:lineRule="auto"/>
        <w:ind w:left="0" w:right="51"/>
        <w:jc w:val="both"/>
        <w:rPr>
          <w:rFonts w:ascii="Palatino Linotype" w:hAnsi="Palatino Linotype"/>
          <w:color w:val="000000" w:themeColor="text1"/>
        </w:rPr>
      </w:pPr>
    </w:p>
    <w:p w14:paraId="5B4E065D"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Bookman Old Style"/>
          <w:i/>
          <w:sz w:val="22"/>
          <w:szCs w:val="20"/>
        </w:rPr>
      </w:pPr>
      <w:r>
        <w:rPr>
          <w:rFonts w:ascii="Palatino Linotype" w:hAnsi="Palatino Linotype" w:cs="Bookman Old Style,Bold"/>
          <w:b/>
          <w:bCs/>
          <w:i/>
          <w:sz w:val="22"/>
          <w:szCs w:val="20"/>
        </w:rPr>
        <w:t>“</w:t>
      </w:r>
      <w:r w:rsidRPr="00CF20E6">
        <w:rPr>
          <w:rFonts w:ascii="Palatino Linotype" w:hAnsi="Palatino Linotype" w:cs="Bookman Old Style,Bold"/>
          <w:b/>
          <w:bCs/>
          <w:i/>
          <w:sz w:val="22"/>
          <w:szCs w:val="20"/>
        </w:rPr>
        <w:t xml:space="preserve">Artículo 4. </w:t>
      </w:r>
      <w:r w:rsidRPr="00CF20E6">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14:paraId="5B56F899"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Bookman Old Style"/>
          <w:i/>
          <w:sz w:val="22"/>
          <w:szCs w:val="20"/>
        </w:rPr>
      </w:pPr>
      <w:r w:rsidRPr="008C6A24">
        <w:rPr>
          <w:rFonts w:ascii="Palatino Linotype" w:hAnsi="Palatino Linotype" w:cs="Bookman Old Style"/>
          <w:b/>
          <w:bCs/>
          <w:i/>
          <w:sz w:val="22"/>
          <w:szCs w:val="20"/>
        </w:rPr>
        <w:t>Toda la información generada, obtenida, adquirida, transformada, administrada o en posesión de los sujetos obligados es pública y accesible de manera permanente a cualquier persona</w:t>
      </w:r>
      <w:r w:rsidRPr="00CF20E6">
        <w:rPr>
          <w:rFonts w:ascii="Palatino Linotype" w:hAnsi="Palatino Linotype" w:cs="Bookman Old Style"/>
          <w:i/>
          <w:sz w:val="22"/>
          <w:szCs w:val="2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CF20E6">
        <w:rPr>
          <w:rFonts w:ascii="Palatino Linotype" w:hAnsi="Palatino Linotype" w:cs="Bookman Old Style"/>
          <w:i/>
          <w:sz w:val="22"/>
          <w:szCs w:val="20"/>
        </w:rPr>
        <w:lastRenderedPageBreak/>
        <w:t>excepcionalmente como reservada temporalmente por razones de interés público, en los términos de las causas legítimas y estrictamente necesarias previstas por esta Ley.</w:t>
      </w:r>
    </w:p>
    <w:p w14:paraId="328BE51E" w14:textId="77777777" w:rsidR="009B1F7B" w:rsidRPr="008C6A24" w:rsidRDefault="009B1F7B" w:rsidP="009B1F7B">
      <w:pPr>
        <w:autoSpaceDE w:val="0"/>
        <w:autoSpaceDN w:val="0"/>
        <w:adjustRightInd w:val="0"/>
        <w:spacing w:line="276" w:lineRule="auto"/>
        <w:ind w:left="567" w:right="567"/>
        <w:jc w:val="both"/>
        <w:rPr>
          <w:rFonts w:ascii="Palatino Linotype" w:hAnsi="Palatino Linotype" w:cs="Bookman Old Style"/>
          <w:b/>
          <w:bCs/>
          <w:i/>
          <w:sz w:val="22"/>
          <w:szCs w:val="20"/>
        </w:rPr>
      </w:pPr>
      <w:r w:rsidRPr="008C6A24">
        <w:rPr>
          <w:rFonts w:ascii="Palatino Linotype" w:hAnsi="Palatino Linotype" w:cs="Bookman Old Style"/>
          <w:b/>
          <w:bCs/>
          <w:i/>
          <w:sz w:val="22"/>
          <w:szCs w:val="20"/>
        </w:rPr>
        <w:t>Los sujetos obligados deben poner en práctica, políticas y programas de acceso a la información que se apeguen a criterios de publicidad, veracidad, oportunidad, precisión y suficiencia en beneficio de los solicitantes.</w:t>
      </w:r>
    </w:p>
    <w:p w14:paraId="3BE17A14" w14:textId="77777777" w:rsidR="009B1F7B" w:rsidRPr="00CF20E6" w:rsidRDefault="009B1F7B" w:rsidP="009B1F7B">
      <w:pPr>
        <w:autoSpaceDE w:val="0"/>
        <w:autoSpaceDN w:val="0"/>
        <w:adjustRightInd w:val="0"/>
        <w:spacing w:line="276" w:lineRule="auto"/>
        <w:ind w:right="567"/>
        <w:jc w:val="both"/>
        <w:rPr>
          <w:rFonts w:ascii="Palatino Linotype" w:eastAsia="Times New Roman" w:hAnsi="Palatino Linotype" w:cs="Arial"/>
          <w:i/>
          <w:color w:val="000000"/>
          <w:sz w:val="28"/>
        </w:rPr>
      </w:pPr>
    </w:p>
    <w:p w14:paraId="5415245C" w14:textId="77777777" w:rsidR="009B1F7B" w:rsidRPr="00CF20E6" w:rsidRDefault="009B1F7B" w:rsidP="009B1F7B">
      <w:pPr>
        <w:autoSpaceDE w:val="0"/>
        <w:autoSpaceDN w:val="0"/>
        <w:adjustRightInd w:val="0"/>
        <w:spacing w:line="276" w:lineRule="auto"/>
        <w:ind w:left="567" w:right="567"/>
        <w:jc w:val="both"/>
        <w:rPr>
          <w:rFonts w:ascii="Palatino Linotype" w:hAnsi="Palatino Linotype" w:cs="Bookman Old Style"/>
          <w:i/>
          <w:sz w:val="22"/>
          <w:szCs w:val="20"/>
        </w:rPr>
      </w:pPr>
      <w:r w:rsidRPr="00CF20E6">
        <w:rPr>
          <w:rFonts w:ascii="Palatino Linotype" w:hAnsi="Palatino Linotype" w:cs="Bookman Old Style,Bold"/>
          <w:b/>
          <w:bCs/>
          <w:i/>
          <w:sz w:val="22"/>
          <w:szCs w:val="20"/>
        </w:rPr>
        <w:t xml:space="preserve">Artículo 12. </w:t>
      </w:r>
      <w:r w:rsidRPr="008C6A24">
        <w:rPr>
          <w:rFonts w:ascii="Palatino Linotype" w:hAnsi="Palatino Linotype" w:cs="Bookman Old Style"/>
          <w:b/>
          <w:bCs/>
          <w:i/>
          <w:sz w:val="22"/>
          <w:szCs w:val="20"/>
        </w:rPr>
        <w:t>Quienes generen, recopilen, administren, manejen, procesen, archiven o conserven información pública serán responsables de la misma en los términos de las disposiciones jurídicas aplicables</w:t>
      </w:r>
      <w:r w:rsidRPr="00CF20E6">
        <w:rPr>
          <w:rFonts w:ascii="Palatino Linotype" w:hAnsi="Palatino Linotype" w:cs="Bookman Old Style"/>
          <w:i/>
          <w:sz w:val="22"/>
          <w:szCs w:val="20"/>
        </w:rPr>
        <w:t xml:space="preserve">. </w:t>
      </w:r>
    </w:p>
    <w:p w14:paraId="4A20C81F" w14:textId="77777777" w:rsidR="009B1F7B" w:rsidRDefault="009B1F7B" w:rsidP="009B1F7B">
      <w:pPr>
        <w:autoSpaceDE w:val="0"/>
        <w:autoSpaceDN w:val="0"/>
        <w:adjustRightInd w:val="0"/>
        <w:spacing w:line="276" w:lineRule="auto"/>
        <w:ind w:left="567" w:right="567"/>
        <w:jc w:val="both"/>
        <w:rPr>
          <w:rFonts w:ascii="Palatino Linotype" w:hAnsi="Palatino Linotype" w:cs="Bookman Old Style"/>
          <w:i/>
          <w:sz w:val="22"/>
          <w:szCs w:val="20"/>
        </w:rPr>
      </w:pPr>
      <w:r w:rsidRPr="00CF20E6">
        <w:rPr>
          <w:rFonts w:ascii="Palatino Linotype" w:hAnsi="Palatino Linotype" w:cs="Bookman Old Style"/>
          <w:i/>
          <w:sz w:val="22"/>
          <w:szCs w:val="20"/>
        </w:rPr>
        <w:t xml:space="preserve">Los sujetos obligados sólo proporcionarán la información pública que se les requiera y que obre en sus archivos y en el estado en que ésta se </w:t>
      </w:r>
      <w:r w:rsidRPr="008C6A24">
        <w:rPr>
          <w:rFonts w:ascii="Palatino Linotype" w:hAnsi="Palatino Linotype" w:cs="Bookman Old Style"/>
          <w:i/>
          <w:sz w:val="22"/>
          <w:szCs w:val="20"/>
        </w:rPr>
        <w:t xml:space="preserve">encuentre. La obligación de proporcionar información no comprende el procesamiento de </w:t>
      </w:r>
      <w:proofErr w:type="gramStart"/>
      <w:r w:rsidRPr="008C6A24">
        <w:rPr>
          <w:rFonts w:ascii="Palatino Linotype" w:hAnsi="Palatino Linotype" w:cs="Bookman Old Style"/>
          <w:i/>
          <w:sz w:val="22"/>
          <w:szCs w:val="20"/>
        </w:rPr>
        <w:t>la misma</w:t>
      </w:r>
      <w:proofErr w:type="gramEnd"/>
      <w:r w:rsidRPr="008C6A24">
        <w:rPr>
          <w:rFonts w:ascii="Palatino Linotype" w:hAnsi="Palatino Linotype" w:cs="Bookman Old Style"/>
          <w:i/>
          <w:sz w:val="22"/>
          <w:szCs w:val="20"/>
        </w:rPr>
        <w:t>, ni el presentarla conforme al interés del solicitante; no estarán obligados a generarla, resumirla, efectuar cálculos o practicar investigaciones.</w:t>
      </w:r>
      <w:r>
        <w:rPr>
          <w:rFonts w:ascii="Palatino Linotype" w:hAnsi="Palatino Linotype" w:cs="Bookman Old Style"/>
          <w:i/>
          <w:sz w:val="22"/>
          <w:szCs w:val="20"/>
        </w:rPr>
        <w:t>”</w:t>
      </w:r>
    </w:p>
    <w:p w14:paraId="66AA19E9" w14:textId="77777777" w:rsidR="009B1F7B" w:rsidRPr="008C6A24" w:rsidRDefault="009B1F7B" w:rsidP="009B1F7B">
      <w:pPr>
        <w:autoSpaceDE w:val="0"/>
        <w:autoSpaceDN w:val="0"/>
        <w:adjustRightInd w:val="0"/>
        <w:spacing w:line="276" w:lineRule="auto"/>
        <w:ind w:left="567" w:right="567"/>
        <w:jc w:val="both"/>
        <w:rPr>
          <w:rFonts w:ascii="Palatino Linotype" w:hAnsi="Palatino Linotype" w:cs="Bookman Old Style"/>
          <w:iCs/>
          <w:sz w:val="22"/>
          <w:szCs w:val="20"/>
        </w:rPr>
      </w:pPr>
      <w:r>
        <w:rPr>
          <w:rFonts w:ascii="Palatino Linotype" w:hAnsi="Palatino Linotype" w:cs="Bookman Old Style"/>
          <w:iCs/>
          <w:sz w:val="22"/>
          <w:szCs w:val="20"/>
        </w:rPr>
        <w:t>(Énfasis añadido)</w:t>
      </w:r>
    </w:p>
    <w:p w14:paraId="26B0F8E1"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E48A587"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Es </w:t>
      </w:r>
      <w:r w:rsidRPr="00CF20E6">
        <w:rPr>
          <w:rFonts w:ascii="Palatino Linotype" w:hAnsi="Palatino Linotype"/>
          <w:lang w:val="es-ES"/>
        </w:rPr>
        <w:t xml:space="preserve">así </w:t>
      </w:r>
      <w:proofErr w:type="gramStart"/>
      <w:r w:rsidRPr="00CF20E6">
        <w:rPr>
          <w:rFonts w:ascii="Palatino Linotype" w:hAnsi="Palatino Linotype"/>
          <w:lang w:val="es-ES"/>
        </w:rPr>
        <w:t>que</w:t>
      </w:r>
      <w:proofErr w:type="gramEnd"/>
      <w:r w:rsidRPr="00CF20E6">
        <w:rPr>
          <w:rFonts w:ascii="Palatino Linotype" w:hAnsi="Palatino Linotype"/>
          <w:lang w:val="es-ES"/>
        </w:rPr>
        <w:t xml:space="preserve"> todos los actos de autoridad que realicen los Sujetos Obligados deben estar documentados y, bajo el más alto estándar de transparencia</w:t>
      </w:r>
      <w:r>
        <w:rPr>
          <w:rFonts w:ascii="Palatino Linotype" w:hAnsi="Palatino Linotype"/>
          <w:lang w:val="es-ES"/>
        </w:rPr>
        <w:t>,</w:t>
      </w:r>
      <w:r w:rsidRPr="00CF20E6">
        <w:rPr>
          <w:rFonts w:ascii="Palatino Linotype" w:hAnsi="Palatino Linotype"/>
          <w:lang w:val="es-ES"/>
        </w:rPr>
        <w:t xml:space="preserve"> deberán poner toda la información </w:t>
      </w:r>
      <w:r>
        <w:rPr>
          <w:rFonts w:ascii="Palatino Linotype" w:hAnsi="Palatino Linotype"/>
          <w:lang w:val="es-ES"/>
        </w:rPr>
        <w:t>que se encuentre en su posesión, de manera permanente y actualizada,</w:t>
      </w:r>
      <w:r w:rsidRPr="00CF20E6">
        <w:rPr>
          <w:rFonts w:ascii="Palatino Linotype" w:hAnsi="Palatino Linotype"/>
          <w:lang w:val="es-ES"/>
        </w:rPr>
        <w:t xml:space="preserve"> a disposición de los particulares que la soliciten.</w:t>
      </w:r>
    </w:p>
    <w:p w14:paraId="74032B6B"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38A59FFB"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w:t>
      </w:r>
      <w:r>
        <w:rPr>
          <w:rFonts w:ascii="Palatino Linotype" w:hAnsi="Palatino Linotype"/>
          <w:lang w:val="es-ES"/>
        </w:rPr>
        <w:t xml:space="preserve">otro lado, la Ley de la materia establece que en </w:t>
      </w:r>
      <w:r w:rsidRPr="005E76A0">
        <w:rPr>
          <w:rFonts w:ascii="Palatino Linotype" w:hAnsi="Palatino Linotype"/>
        </w:rPr>
        <w:t xml:space="preserve">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5E76A0">
        <w:rPr>
          <w:rFonts w:ascii="Palatino Linotype" w:hAnsi="Palatino Linotype"/>
        </w:rPr>
        <w:lastRenderedPageBreak/>
        <w:t>legítima y estrictamente necesaria en una sociedad democrática, por lo que atenderá las necesidades del derecho de acceso a la información de toda persona</w:t>
      </w:r>
      <w:r>
        <w:rPr>
          <w:rStyle w:val="Refdenotaalpie"/>
          <w:rFonts w:ascii="Palatino Linotype" w:hAnsi="Palatino Linotype"/>
        </w:rPr>
        <w:footnoteReference w:id="6"/>
      </w:r>
      <w:r w:rsidRPr="005E76A0">
        <w:rPr>
          <w:rFonts w:ascii="Palatino Linotype" w:hAnsi="Palatino Linotype"/>
        </w:rPr>
        <w:t>.</w:t>
      </w:r>
    </w:p>
    <w:p w14:paraId="44F7409E"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5C76BE78"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sidRPr="00CF20E6">
        <w:rPr>
          <w:rFonts w:ascii="Palatino Linotype" w:eastAsia="MS Gothic" w:hAnsi="Palatino Linotype" w:cs="Times New Roman"/>
          <w:szCs w:val="26"/>
        </w:rPr>
        <w:t>ese sentido</w:t>
      </w:r>
      <w:r w:rsidRPr="00CF20E6">
        <w:rPr>
          <w:rFonts w:ascii="Palatino Linotype" w:hAnsi="Palatino Linotype"/>
          <w:lang w:val="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F20E6">
        <w:rPr>
          <w:rStyle w:val="Refdenotaalpie"/>
          <w:rFonts w:ascii="Palatino Linotype" w:hAnsi="Palatino Linotype"/>
          <w:lang w:val="es-ES"/>
        </w:rPr>
        <w:footnoteReference w:id="7"/>
      </w:r>
      <w:r w:rsidRPr="00CF20E6">
        <w:rPr>
          <w:rFonts w:ascii="Palatino Linotype" w:hAnsi="Palatino Linotype"/>
          <w:lang w:val="es-ES"/>
        </w:rPr>
        <w:t xml:space="preserve"> y máxima publicidad, sobre éste último se debe poner mayor énfasis, puesto que establece que </w:t>
      </w:r>
      <w:r w:rsidRPr="00701218">
        <w:rPr>
          <w:rFonts w:ascii="Palatino Linotype" w:hAnsi="Palatino Linotype"/>
          <w:b/>
          <w:u w:val="double"/>
          <w:lang w:val="es-ES"/>
        </w:rPr>
        <w:t>toda la información en posesión de los Sujetos Obligados será</w:t>
      </w:r>
      <w:r w:rsidRPr="00CF20E6">
        <w:rPr>
          <w:rFonts w:ascii="Palatino Linotype" w:hAnsi="Palatino Linotype"/>
          <w:lang w:val="es-ES"/>
        </w:rPr>
        <w:t xml:space="preserve"> pública, </w:t>
      </w:r>
      <w:r w:rsidRPr="009B1F7B">
        <w:rPr>
          <w:rFonts w:ascii="Palatino Linotype" w:hAnsi="Palatino Linotype"/>
          <w:bCs/>
          <w:lang w:val="es-ES"/>
        </w:rPr>
        <w:t>completa</w:t>
      </w:r>
      <w:r w:rsidRPr="00CF20E6">
        <w:rPr>
          <w:rFonts w:ascii="Palatino Linotype" w:hAnsi="Palatino Linotype"/>
          <w:lang w:val="es-ES"/>
        </w:rPr>
        <w:t xml:space="preserve">, </w:t>
      </w:r>
      <w:r w:rsidRPr="009B1F7B">
        <w:rPr>
          <w:rFonts w:ascii="Palatino Linotype" w:hAnsi="Palatino Linotype"/>
          <w:b/>
          <w:bCs/>
          <w:u w:val="double"/>
          <w:lang w:val="es-ES"/>
        </w:rPr>
        <w:t>oportuna</w:t>
      </w:r>
      <w:r w:rsidRPr="00CF20E6">
        <w:rPr>
          <w:rFonts w:ascii="Palatino Linotype" w:hAnsi="Palatino Linotype"/>
          <w:lang w:val="es-ES"/>
        </w:rPr>
        <w:t xml:space="preserve"> y </w:t>
      </w:r>
      <w:r w:rsidRPr="009B1F7B">
        <w:rPr>
          <w:rFonts w:ascii="Palatino Linotype" w:hAnsi="Palatino Linotype"/>
          <w:b/>
          <w:bCs/>
          <w:u w:val="double"/>
          <w:lang w:val="es-ES"/>
        </w:rPr>
        <w:t>accesible</w:t>
      </w:r>
      <w:r w:rsidRPr="00CF20E6">
        <w:rPr>
          <w:rFonts w:ascii="Palatino Linotype" w:hAnsi="Palatino Linotype"/>
          <w:lang w:val="es-ES"/>
        </w:rPr>
        <w:t xml:space="preserve">, </w:t>
      </w:r>
      <w:r w:rsidRPr="005E76A0">
        <w:rPr>
          <w:rFonts w:ascii="Palatino Linotype" w:hAnsi="Palatino Linotype"/>
          <w:b/>
          <w:lang w:val="es-ES"/>
        </w:rPr>
        <w:t>lo que permite que la ciudadanía tenga un amplio acceso sobre lo que es el actuar de las autoridades</w:t>
      </w:r>
      <w:r w:rsidRPr="00CF20E6">
        <w:rPr>
          <w:rFonts w:ascii="Palatino Linotype" w:hAnsi="Palatino Linotype"/>
          <w:lang w:val="es-ES"/>
        </w:rPr>
        <w:t>.</w:t>
      </w:r>
    </w:p>
    <w:p w14:paraId="5275EFF6"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11839F90"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Robustece </w:t>
      </w:r>
      <w:r w:rsidRPr="00CF20E6">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r>
        <w:rPr>
          <w:rFonts w:ascii="Palatino Linotype" w:hAnsi="Palatino Linotype"/>
          <w:lang w:val="es-ES"/>
        </w:rPr>
        <w:t>:</w:t>
      </w:r>
    </w:p>
    <w:p w14:paraId="018D2012" w14:textId="77777777" w:rsidR="009B1F7B" w:rsidRDefault="009B1F7B" w:rsidP="009B1F7B">
      <w:pPr>
        <w:pStyle w:val="Prrafodelista"/>
        <w:tabs>
          <w:tab w:val="left" w:pos="426"/>
        </w:tabs>
        <w:spacing w:line="360" w:lineRule="auto"/>
        <w:ind w:left="0" w:right="51"/>
        <w:jc w:val="both"/>
        <w:rPr>
          <w:rFonts w:ascii="Palatino Linotype" w:hAnsi="Palatino Linotype"/>
          <w:color w:val="000000" w:themeColor="text1"/>
        </w:rPr>
      </w:pPr>
    </w:p>
    <w:p w14:paraId="1E141454" w14:textId="77777777" w:rsidR="009B1F7B" w:rsidRPr="00CF20E6" w:rsidRDefault="009B1F7B" w:rsidP="009B1F7B">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CF20E6">
        <w:rPr>
          <w:rFonts w:ascii="Palatino Linotype" w:hAnsi="Palatino Linotype"/>
          <w:b/>
          <w:i/>
          <w:sz w:val="22"/>
        </w:rPr>
        <w:t>ACCESO A LA INFORMACIÓN. IMPLICACIÓN DEL PRINCIPIO DE MÁXIMA PUBLICIDAD EN EL DERECHO FUNDAMENTAL RELATIVO.</w:t>
      </w:r>
      <w:r w:rsidRPr="00CF20E6">
        <w:rPr>
          <w:rFonts w:ascii="Palatino Linotype" w:hAnsi="Palatino Linotype"/>
          <w:i/>
          <w:sz w:val="22"/>
        </w:rPr>
        <w:t xml:space="preserve"> “Del artículo 6o. de la Constitución Política de los Estados Unidos Mexicanos se advierte que el Estado Mexicano está constreñido a publicitar sus actos, pues se reconoce </w:t>
      </w:r>
      <w:r w:rsidRPr="00CF20E6">
        <w:rPr>
          <w:rFonts w:ascii="Palatino Linotype" w:hAnsi="Palatino Linotype"/>
          <w:i/>
          <w:sz w:val="22"/>
        </w:rPr>
        <w:lastRenderedPageBreak/>
        <w:t>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35CA06E" w14:textId="77777777" w:rsidR="009B1F7B" w:rsidRPr="00B27897"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138346A3" w14:textId="77777777" w:rsidR="009B1F7B" w:rsidRPr="00B27897" w:rsidRDefault="009B1F7B" w:rsidP="009B1F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Tal </w:t>
      </w:r>
      <w:r w:rsidRPr="00CF20E6">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61569894" w14:textId="6470D79A"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014239D" w14:textId="77777777" w:rsidR="00A60693" w:rsidRDefault="00A60693"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7FA7243C" w14:textId="77777777" w:rsidR="00A60693" w:rsidRDefault="00A60693"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580C0902" w14:textId="7DFE3756" w:rsidR="009B1F7B" w:rsidRPr="009B1F7B" w:rsidRDefault="009B1F7B" w:rsidP="009B1F7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85118532"/>
      <w:r>
        <w:rPr>
          <w:rFonts w:ascii="Palatino Linotype" w:hAnsi="Palatino Linotype"/>
          <w:b/>
          <w:bCs/>
          <w:color w:val="000000" w:themeColor="text1"/>
        </w:rPr>
        <w:lastRenderedPageBreak/>
        <w:t>III. De la información entregada a través del informe justificado.</w:t>
      </w:r>
      <w:bookmarkEnd w:id="27"/>
    </w:p>
    <w:p w14:paraId="1F8E155D" w14:textId="77777777"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0346CD54" w14:textId="327F9B2D" w:rsidR="00760BAE" w:rsidRPr="00F12E50" w:rsidRDefault="009B1F7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C</w:t>
      </w:r>
      <w:r w:rsidR="00F12E50">
        <w:rPr>
          <w:rFonts w:ascii="Palatino Linotype" w:hAnsi="Palatino Linotype"/>
          <w:color w:val="000000" w:themeColor="text1"/>
        </w:rPr>
        <w:t xml:space="preserve">omo </w:t>
      </w:r>
      <w:r w:rsidR="00F12E50">
        <w:rPr>
          <w:rFonts w:ascii="Palatino Linotype" w:hAnsi="Palatino Linotype" w:cs="Arial"/>
          <w:color w:val="000000" w:themeColor="text1"/>
        </w:rPr>
        <w:t xml:space="preserve">fuera señalado en el apartado de </w:t>
      </w:r>
      <w:r w:rsidR="00F12E50">
        <w:rPr>
          <w:rFonts w:ascii="Palatino Linotype" w:hAnsi="Palatino Linotype" w:cs="Arial"/>
          <w:i/>
          <w:iCs/>
          <w:color w:val="000000" w:themeColor="text1"/>
        </w:rPr>
        <w:t>Antecedentes</w:t>
      </w:r>
      <w:r w:rsidR="00F12E50">
        <w:rPr>
          <w:rFonts w:ascii="Palatino Linotype" w:hAnsi="Palatino Linotype" w:cs="Arial"/>
          <w:color w:val="000000" w:themeColor="text1"/>
        </w:rPr>
        <w:t xml:space="preserve"> de la presente resolución, el quince (15) de septiembre de dos mil veintiuno, el </w:t>
      </w:r>
      <w:r w:rsidR="00F12E50">
        <w:rPr>
          <w:rFonts w:ascii="Palatino Linotype" w:hAnsi="Palatino Linotype" w:cs="Arial"/>
          <w:b/>
          <w:bCs/>
          <w:color w:val="000000" w:themeColor="text1"/>
        </w:rPr>
        <w:t>SUJETO OBLIGADO</w:t>
      </w:r>
      <w:r w:rsidR="00F12E50">
        <w:rPr>
          <w:rFonts w:ascii="Palatino Linotype" w:hAnsi="Palatino Linotype" w:cs="Arial"/>
          <w:color w:val="000000" w:themeColor="text1"/>
        </w:rPr>
        <w:t xml:space="preserve"> presentó en el apartado de </w:t>
      </w:r>
      <w:r w:rsidR="00F12E50">
        <w:rPr>
          <w:rFonts w:ascii="Palatino Linotype" w:hAnsi="Palatino Linotype" w:cs="Arial"/>
          <w:i/>
          <w:iCs/>
          <w:color w:val="000000" w:themeColor="text1"/>
        </w:rPr>
        <w:t>Manifestaciones</w:t>
      </w:r>
      <w:r w:rsidR="00F12E50">
        <w:rPr>
          <w:rFonts w:ascii="Palatino Linotype" w:hAnsi="Palatino Linotype" w:cs="Arial"/>
          <w:color w:val="000000" w:themeColor="text1"/>
        </w:rPr>
        <w:t xml:space="preserve"> del SAIMEX, los archivos titulados </w:t>
      </w:r>
      <w:r w:rsidR="00F12E50">
        <w:rPr>
          <w:rFonts w:ascii="Palatino Linotype" w:hAnsi="Palatino Linotype" w:cs="Arial"/>
          <w:b/>
          <w:bCs/>
          <w:i/>
          <w:iCs/>
          <w:color w:val="000000" w:themeColor="text1"/>
        </w:rPr>
        <w:t>“04253-2021”</w:t>
      </w:r>
      <w:r w:rsidR="00F12E50">
        <w:rPr>
          <w:rFonts w:ascii="Palatino Linotype" w:hAnsi="Palatino Linotype" w:cs="Arial"/>
          <w:color w:val="000000" w:themeColor="text1"/>
        </w:rPr>
        <w:t xml:space="preserve">, </w:t>
      </w:r>
      <w:r w:rsidR="00F12E50">
        <w:rPr>
          <w:rFonts w:ascii="Palatino Linotype" w:hAnsi="Palatino Linotype" w:cs="Arial"/>
          <w:b/>
          <w:bCs/>
          <w:i/>
          <w:iCs/>
          <w:color w:val="000000" w:themeColor="text1"/>
        </w:rPr>
        <w:t>“Respuesta del área 04253-2021.pdf”</w:t>
      </w:r>
      <w:r w:rsidR="00F12E50">
        <w:rPr>
          <w:rFonts w:ascii="Palatino Linotype" w:hAnsi="Palatino Linotype" w:cs="Arial"/>
          <w:color w:val="000000" w:themeColor="text1"/>
        </w:rPr>
        <w:t xml:space="preserve"> y </w:t>
      </w:r>
      <w:r w:rsidR="00F12E50">
        <w:rPr>
          <w:rFonts w:ascii="Palatino Linotype" w:hAnsi="Palatino Linotype" w:cs="Arial"/>
          <w:b/>
          <w:bCs/>
          <w:i/>
          <w:iCs/>
          <w:color w:val="000000" w:themeColor="text1"/>
        </w:rPr>
        <w:t>“Acta 050-2021.pdf”</w:t>
      </w:r>
      <w:r w:rsidR="00F12E50">
        <w:rPr>
          <w:rFonts w:ascii="Palatino Linotype" w:hAnsi="Palatino Linotype" w:cs="Arial"/>
          <w:color w:val="000000" w:themeColor="text1"/>
        </w:rPr>
        <w:t xml:space="preserve">, cuyo contenido versa, esencialmente, en la respuesta otorgada por la Directora de Desarrollo Económico a la solicitud de información </w:t>
      </w:r>
      <w:r w:rsidR="00F12E50">
        <w:rPr>
          <w:rFonts w:ascii="Palatino Linotype" w:hAnsi="Palatino Linotype" w:cs="Arial"/>
          <w:b/>
          <w:bCs/>
          <w:color w:val="000000" w:themeColor="text1"/>
        </w:rPr>
        <w:t>00557/ECATEPEC/IP/2021</w:t>
      </w:r>
      <w:r w:rsidR="00F12E50">
        <w:rPr>
          <w:rFonts w:ascii="Palatino Linotype" w:hAnsi="Palatino Linotype" w:cs="Arial"/>
          <w:color w:val="000000" w:themeColor="text1"/>
        </w:rPr>
        <w:t xml:space="preserve"> a través del oficio DDE/660/2021, de tres (03) de septiembre de dos mil veintiuno, mismo que se inserta a continuación para efectos referenciativos:</w:t>
      </w:r>
    </w:p>
    <w:p w14:paraId="63D7588C" w14:textId="19DA98DE" w:rsidR="00F12E50" w:rsidRPr="00B27897" w:rsidRDefault="00F12E50" w:rsidP="00F12E5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72274EEB" wp14:editId="114A2C8F">
                <wp:simplePos x="0" y="0"/>
                <wp:positionH relativeFrom="margin">
                  <wp:align>left</wp:align>
                </wp:positionH>
                <wp:positionV relativeFrom="paragraph">
                  <wp:posOffset>44531</wp:posOffset>
                </wp:positionV>
                <wp:extent cx="5474014" cy="4177641"/>
                <wp:effectExtent l="38100" t="38100" r="69850" b="90170"/>
                <wp:wrapNone/>
                <wp:docPr id="3" name="Conector recto 3"/>
                <wp:cNvGraphicFramePr/>
                <a:graphic xmlns:a="http://schemas.openxmlformats.org/drawingml/2006/main">
                  <a:graphicData uri="http://schemas.microsoft.com/office/word/2010/wordprocessingShape">
                    <wps:wsp>
                      <wps:cNvCnPr/>
                      <wps:spPr>
                        <a:xfrm flipV="1">
                          <a:off x="0" y="0"/>
                          <a:ext cx="5474014" cy="4177641"/>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30CB4" id="Conector recto 3"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pt" to="431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" strokecolor="black [3200]">
                <v:shadow on="t" color="black" opacity="24903f" origin=",.5" offset="0,.55556mm"/>
                <w10:wrap anchorx="margin"/>
              </v:line>
            </w:pict>
          </mc:Fallback>
        </mc:AlternateContent>
      </w:r>
    </w:p>
    <w:p w14:paraId="76F20977" w14:textId="4C909938" w:rsidR="00B27897" w:rsidRPr="00B27897" w:rsidRDefault="00F12E50" w:rsidP="00F12E50">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3943833B" wp14:editId="27523941">
            <wp:extent cx="4813801" cy="6048375"/>
            <wp:effectExtent l="57150" t="57150" r="101600" b="857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1748" cy="60583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A94A86" w14:textId="77777777" w:rsidR="00F12E50" w:rsidRPr="00F12E50" w:rsidRDefault="00F12E50" w:rsidP="00F12E50">
      <w:pPr>
        <w:pStyle w:val="Prrafodelista"/>
        <w:tabs>
          <w:tab w:val="left" w:pos="426"/>
        </w:tabs>
        <w:spacing w:before="240" w:after="240" w:line="360" w:lineRule="auto"/>
        <w:ind w:left="0" w:right="51"/>
        <w:jc w:val="both"/>
        <w:rPr>
          <w:rFonts w:ascii="Palatino Linotype" w:hAnsi="Palatino Linotype"/>
          <w:color w:val="000000" w:themeColor="text1"/>
        </w:rPr>
      </w:pPr>
    </w:p>
    <w:p w14:paraId="37E6A2D7" w14:textId="3772B836" w:rsidR="00B27897" w:rsidRPr="00F12E50" w:rsidRDefault="00F12E50"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la lectura al contenido del oficio exhibido </w:t>
      </w:r>
      <w:r>
        <w:rPr>
          <w:rFonts w:ascii="Palatino Linotype" w:hAnsi="Palatino Linotype"/>
          <w:i/>
          <w:iCs/>
        </w:rPr>
        <w:t>supra</w:t>
      </w:r>
      <w:r>
        <w:rPr>
          <w:rFonts w:ascii="Palatino Linotype" w:hAnsi="Palatino Linotype"/>
        </w:rPr>
        <w:t xml:space="preserve"> podemos rescatar los siguientes elementos esenciales:</w:t>
      </w:r>
    </w:p>
    <w:p w14:paraId="4711C6C2" w14:textId="6384837D" w:rsidR="00F12E50" w:rsidRPr="00F12E50" w:rsidRDefault="00F12E50" w:rsidP="009A090B">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rPr>
        <w:lastRenderedPageBreak/>
        <w:t xml:space="preserve">Que la Directora de Desarrollo económico informó que no se encontró información relacionada con el programa </w:t>
      </w:r>
      <w:r>
        <w:rPr>
          <w:rFonts w:ascii="Palatino Linotype" w:hAnsi="Palatino Linotype"/>
          <w:i/>
          <w:iCs/>
        </w:rPr>
        <w:t>Adopta un Espacio</w:t>
      </w:r>
      <w:r>
        <w:rPr>
          <w:rFonts w:ascii="Palatino Linotype" w:hAnsi="Palatino Linotype"/>
        </w:rPr>
        <w:t>; y</w:t>
      </w:r>
    </w:p>
    <w:p w14:paraId="32E048EB" w14:textId="3C2E7884" w:rsidR="00F12E50" w:rsidRPr="00B27897" w:rsidRDefault="00F12E50" w:rsidP="009A090B">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rPr>
        <w:t>Derivado de lo anterior, solicitó al Comité de Transparencia que se declare la inexistencia de la información.</w:t>
      </w:r>
    </w:p>
    <w:p w14:paraId="522A4243" w14:textId="3C15BA56" w:rsid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289A45DE" w14:textId="770E60FD" w:rsidR="00F12E50" w:rsidRPr="00F12E50" w:rsidRDefault="009B1F7B" w:rsidP="00F12E5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85118533"/>
      <w:r>
        <w:rPr>
          <w:rFonts w:ascii="Palatino Linotype" w:hAnsi="Palatino Linotype"/>
          <w:b/>
          <w:bCs/>
          <w:color w:val="000000" w:themeColor="text1"/>
        </w:rPr>
        <w:t>IV</w:t>
      </w:r>
      <w:r w:rsidR="00F12E50">
        <w:rPr>
          <w:rFonts w:ascii="Palatino Linotype" w:hAnsi="Palatino Linotype"/>
          <w:b/>
          <w:bCs/>
          <w:color w:val="000000" w:themeColor="text1"/>
        </w:rPr>
        <w:t>. De</w:t>
      </w:r>
      <w:r>
        <w:rPr>
          <w:rFonts w:ascii="Palatino Linotype" w:hAnsi="Palatino Linotype"/>
          <w:b/>
          <w:bCs/>
          <w:color w:val="000000" w:themeColor="text1"/>
        </w:rPr>
        <w:t xml:space="preserve"> la competencia del SUJETO OBLIGADO para poseer, generar o administrar la información solicitada</w:t>
      </w:r>
      <w:r w:rsidR="00F12E50">
        <w:rPr>
          <w:rFonts w:ascii="Palatino Linotype" w:hAnsi="Palatino Linotype"/>
          <w:b/>
          <w:bCs/>
          <w:color w:val="000000" w:themeColor="text1"/>
        </w:rPr>
        <w:t>.</w:t>
      </w:r>
      <w:bookmarkEnd w:id="28"/>
    </w:p>
    <w:p w14:paraId="2A67B971"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4D87F3DA" w14:textId="5E4E873E" w:rsidR="00B27897" w:rsidRPr="00B27897" w:rsidRDefault="004E4725"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El artículo 115 de la Constitución Política de los Estados Unidos Mexicanos, en su fracción II, establece que los </w:t>
      </w:r>
      <w:r w:rsidRPr="004E4725">
        <w:rPr>
          <w:rFonts w:ascii="Palatino Linotype" w:hAnsi="Palatino Linotype"/>
        </w:rPr>
        <w:t>municipios estarán investidos de personalidad jurídica y manejarán su patrimonio conforme a la ley.</w:t>
      </w:r>
      <w:r>
        <w:rPr>
          <w:rFonts w:ascii="Palatino Linotype" w:hAnsi="Palatino Linotype"/>
        </w:rPr>
        <w:t xml:space="preserve"> Asimismo, tendrán </w:t>
      </w:r>
      <w:r w:rsidRPr="004E4725">
        <w:rPr>
          <w:rFonts w:ascii="Palatino Linotype" w:hAnsi="Palatino Linotype"/>
        </w:rPr>
        <w:t xml:space="preserve">facultades para </w:t>
      </w:r>
      <w:r w:rsidRPr="004E4725">
        <w:rPr>
          <w:rFonts w:ascii="Palatino Linotype" w:hAnsi="Palatino Linotype"/>
          <w:b/>
          <w:bCs/>
        </w:rPr>
        <w:t>aprobar</w:t>
      </w:r>
      <w:r w:rsidRPr="004E4725">
        <w:rPr>
          <w:rFonts w:ascii="Palatino Linotype" w:hAnsi="Palatino Linotype"/>
        </w:rPr>
        <w:t xml:space="preserve">, de acuerdo con las leyes en materia municipal que deberán expedir las legislaturas de los Estados, los bandos de policía y gobierno, los reglamentos, circulares y </w:t>
      </w:r>
      <w:r w:rsidRPr="004E4725">
        <w:rPr>
          <w:rFonts w:ascii="Palatino Linotype" w:hAnsi="Palatino Linotype"/>
          <w:b/>
          <w:bCs/>
        </w:rPr>
        <w:t>disposiciones administrativas de observancia general</w:t>
      </w:r>
      <w:r w:rsidRPr="004E4725">
        <w:rPr>
          <w:rFonts w:ascii="Palatino Linotype" w:hAnsi="Palatino Linotype"/>
        </w:rPr>
        <w:t xml:space="preserve"> dentro de sus respectivas jurisdicciones, </w:t>
      </w:r>
      <w:r w:rsidRPr="004E4725">
        <w:rPr>
          <w:rFonts w:ascii="Palatino Linotype" w:hAnsi="Palatino Linotype"/>
          <w:b/>
          <w:bCs/>
        </w:rPr>
        <w:t>que organicen la administración pública municipal, regulen las materias, procedimientos, funciones y servicios públicos de su competencia y aseguren la participación ciudadana y vecinal</w:t>
      </w:r>
      <w:r w:rsidRPr="004E4725">
        <w:rPr>
          <w:rFonts w:ascii="Palatino Linotype" w:hAnsi="Palatino Linotype"/>
        </w:rPr>
        <w:t>.</w:t>
      </w:r>
    </w:p>
    <w:p w14:paraId="64BF456C"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2B06082F" w14:textId="1E00BE42" w:rsidR="00B27897" w:rsidRPr="004E4725" w:rsidRDefault="004E4725"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su parte, la fracción III del numeral 115 de nuestra </w:t>
      </w:r>
      <w:r>
        <w:rPr>
          <w:rFonts w:ascii="Palatino Linotype" w:hAnsi="Palatino Linotype"/>
          <w:i/>
          <w:iCs/>
        </w:rPr>
        <w:t>Magna Carta</w:t>
      </w:r>
      <w:r>
        <w:rPr>
          <w:rFonts w:ascii="Palatino Linotype" w:hAnsi="Palatino Linotype"/>
        </w:rPr>
        <w:t xml:space="preserve"> reconoce que los municipios tendrán a su cargo las funciones y servicios públicos siguientes:</w:t>
      </w:r>
    </w:p>
    <w:p w14:paraId="1EF6F55C"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rPr>
        <w:t xml:space="preserve">Agua </w:t>
      </w:r>
      <w:r w:rsidRPr="004E4725">
        <w:rPr>
          <w:rFonts w:ascii="Palatino Linotype" w:hAnsi="Palatino Linotype"/>
        </w:rPr>
        <w:t xml:space="preserve">potable, drenaje, alcantarillado, tratamiento y disposición de sus aguas residuales; </w:t>
      </w:r>
    </w:p>
    <w:p w14:paraId="195352B0"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 xml:space="preserve">Alumbrado público. </w:t>
      </w:r>
    </w:p>
    <w:p w14:paraId="09E25595" w14:textId="4AF9F56B"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 xml:space="preserve">Limpia, recolección, traslado, tratamiento y disposición final de residuos; </w:t>
      </w:r>
    </w:p>
    <w:p w14:paraId="3A82714D"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lastRenderedPageBreak/>
        <w:t xml:space="preserve">Mercados y centrales de abasto. </w:t>
      </w:r>
    </w:p>
    <w:p w14:paraId="0CE273B0"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 xml:space="preserve">Panteones. </w:t>
      </w:r>
    </w:p>
    <w:p w14:paraId="5E61C88F"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 xml:space="preserve">Rastro. </w:t>
      </w:r>
    </w:p>
    <w:p w14:paraId="04157DB6"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b/>
          <w:bCs/>
          <w:color w:val="000000" w:themeColor="text1"/>
        </w:rPr>
      </w:pPr>
      <w:r w:rsidRPr="004E4725">
        <w:rPr>
          <w:rFonts w:ascii="Palatino Linotype" w:hAnsi="Palatino Linotype"/>
          <w:b/>
          <w:bCs/>
        </w:rPr>
        <w:t xml:space="preserve">Calles, parques y jardines y su equipamiento; </w:t>
      </w:r>
    </w:p>
    <w:p w14:paraId="564A762C" w14:textId="77777777" w:rsidR="004E4725" w:rsidRPr="004E4725"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 xml:space="preserve">Seguridad pública, en los términos del artículo 21 de </w:t>
      </w:r>
      <w:r>
        <w:rPr>
          <w:rFonts w:ascii="Palatino Linotype" w:hAnsi="Palatino Linotype"/>
        </w:rPr>
        <w:t>la</w:t>
      </w:r>
      <w:r w:rsidRPr="004E4725">
        <w:rPr>
          <w:rFonts w:ascii="Palatino Linotype" w:hAnsi="Palatino Linotype"/>
        </w:rPr>
        <w:t xml:space="preserve"> Constitución, policía preventiva municipal y tránsito; e </w:t>
      </w:r>
    </w:p>
    <w:p w14:paraId="1D8FAC4A" w14:textId="089EFC87" w:rsidR="004E4725" w:rsidRPr="00B27897" w:rsidRDefault="004E4725" w:rsidP="009A090B">
      <w:pPr>
        <w:pStyle w:val="Prrafodelista"/>
        <w:numPr>
          <w:ilvl w:val="1"/>
          <w:numId w:val="5"/>
        </w:numPr>
        <w:tabs>
          <w:tab w:val="left" w:pos="426"/>
        </w:tabs>
        <w:spacing w:before="240" w:after="240" w:line="360" w:lineRule="auto"/>
        <w:ind w:left="993" w:right="51"/>
        <w:jc w:val="both"/>
        <w:rPr>
          <w:rFonts w:ascii="Palatino Linotype" w:hAnsi="Palatino Linotype"/>
          <w:color w:val="000000" w:themeColor="text1"/>
        </w:rPr>
      </w:pPr>
      <w:r w:rsidRPr="004E4725">
        <w:rPr>
          <w:rFonts w:ascii="Palatino Linotype" w:hAnsi="Palatino Linotype"/>
        </w:rPr>
        <w:t>Los demás que las Legislaturas locales determinen según las condiciones territoriales y socio-económicas de los Municipios, así como su capacidad administrativa y financiera.</w:t>
      </w:r>
    </w:p>
    <w:p w14:paraId="112F6423"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57F7D656" w14:textId="2D7912DF" w:rsidR="00B27897" w:rsidRPr="004E4725" w:rsidRDefault="004E4725"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su parte, la Ley Orgánica Municipal del Estado de México establece que cada </w:t>
      </w:r>
      <w:r w:rsidRPr="004E4725">
        <w:rPr>
          <w:rFonts w:ascii="Palatino Linotype" w:hAnsi="Palatino Linotype"/>
        </w:rPr>
        <w:t>municipio será gobernado por un ayuntamiento de elección popular directa y no habrá ninguna autoridad intermedia entre éste y el Gobierno del Estado</w:t>
      </w:r>
      <w:r>
        <w:rPr>
          <w:rStyle w:val="Refdenotaalpie"/>
          <w:rFonts w:ascii="Palatino Linotype" w:hAnsi="Palatino Linotype"/>
        </w:rPr>
        <w:footnoteReference w:id="8"/>
      </w:r>
      <w:r w:rsidRPr="004E4725">
        <w:rPr>
          <w:rFonts w:ascii="Palatino Linotype" w:hAnsi="Palatino Linotype"/>
        </w:rPr>
        <w:t>.</w:t>
      </w:r>
      <w:r>
        <w:rPr>
          <w:rFonts w:ascii="Palatino Linotype" w:hAnsi="Palatino Linotype"/>
        </w:rPr>
        <w:t xml:space="preserve"> Los </w:t>
      </w:r>
      <w:r w:rsidRPr="004E4725">
        <w:rPr>
          <w:rFonts w:ascii="Palatino Linotype" w:hAnsi="Palatino Linotype"/>
        </w:rPr>
        <w:t>Ayuntamientos se renovarán cada tres años, iniciarán su periodo el 1 de enero del año inmediato siguiente al de las elecciones municipales ordinarias y concluirán el 31 de diciembre del año de las elecciones para su renovación; y se integrarán por</w:t>
      </w:r>
      <w:r>
        <w:rPr>
          <w:rStyle w:val="Refdenotaalpie"/>
          <w:rFonts w:ascii="Palatino Linotype" w:hAnsi="Palatino Linotype"/>
        </w:rPr>
        <w:footnoteReference w:id="9"/>
      </w:r>
      <w:r w:rsidRPr="004E4725">
        <w:rPr>
          <w:rFonts w:ascii="Palatino Linotype" w:hAnsi="Palatino Linotype"/>
        </w:rPr>
        <w:t>:</w:t>
      </w:r>
    </w:p>
    <w:p w14:paraId="18D5BA19" w14:textId="16B3E7D5" w:rsidR="004E4725" w:rsidRPr="004E4725" w:rsidRDefault="004E4725" w:rsidP="009A090B">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 xml:space="preserve">Un </w:t>
      </w:r>
      <w:r w:rsidRPr="004E4725">
        <w:rPr>
          <w:rFonts w:ascii="Palatino Linotype" w:hAnsi="Palatino Linotype"/>
        </w:rPr>
        <w:t>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4A173A50" w14:textId="77777777" w:rsidR="004E4725" w:rsidRPr="004E4725" w:rsidRDefault="004E4725" w:rsidP="009A090B">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 xml:space="preserve">Un </w:t>
      </w:r>
      <w:r w:rsidRPr="004E4725">
        <w:rPr>
          <w:rFonts w:ascii="Palatino Linotype" w:hAnsi="Palatino Linotype"/>
        </w:rPr>
        <w:t xml:space="preserve">presidente, un síndico y cinco regidores, electos por planilla según el principio de mayoría relativa, y cuatro regidores designados según el </w:t>
      </w:r>
      <w:r w:rsidRPr="004E4725">
        <w:rPr>
          <w:rFonts w:ascii="Palatino Linotype" w:hAnsi="Palatino Linotype"/>
        </w:rPr>
        <w:lastRenderedPageBreak/>
        <w:t>principio de representación proporcional, cuando se trate de municipios que tengan una población de más de 150 mil habitantes y menos de 500 mil habitantes.</w:t>
      </w:r>
    </w:p>
    <w:p w14:paraId="0ED190AD" w14:textId="395341FC" w:rsidR="004E4725" w:rsidRPr="00B27897" w:rsidRDefault="004E4725" w:rsidP="009A090B">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4E4725">
        <w:rPr>
          <w:rFonts w:ascii="Palatino Linotype" w:hAnsi="Palatino Linotype"/>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2FBFCC4C"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3D5A1B28" w14:textId="28ADFB8A" w:rsidR="004A3B5F" w:rsidRPr="004A3B5F" w:rsidRDefault="004A3B5F"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cuanto hace a los Ayuntamientos, </w:t>
      </w:r>
      <w:r>
        <w:rPr>
          <w:rFonts w:ascii="Palatino Linotype" w:hAnsi="Palatino Linotype"/>
        </w:rPr>
        <w:t>de conformidad con lo dispuesto por el artículo 31 de la Ley Orgánica Municipal, tendrán entre sus atribuciones, las siguientes:</w:t>
      </w:r>
    </w:p>
    <w:p w14:paraId="3597B254" w14:textId="0E910C60" w:rsidR="004A3B5F" w:rsidRDefault="004A3B5F" w:rsidP="009A090B">
      <w:pPr>
        <w:pStyle w:val="Prrafodelista"/>
        <w:numPr>
          <w:ilvl w:val="1"/>
          <w:numId w:val="7"/>
        </w:numPr>
        <w:tabs>
          <w:tab w:val="left" w:pos="426"/>
        </w:tabs>
        <w:spacing w:before="240" w:after="240" w:line="360" w:lineRule="auto"/>
        <w:ind w:left="993" w:right="51"/>
        <w:jc w:val="both"/>
        <w:rPr>
          <w:rFonts w:ascii="Palatino Linotype" w:hAnsi="Palatino Linotype"/>
          <w:color w:val="000000" w:themeColor="text1"/>
        </w:rPr>
      </w:pPr>
      <w:r w:rsidRPr="004A3B5F">
        <w:rPr>
          <w:rFonts w:ascii="Palatino Linotype" w:hAnsi="Palatino Linotype"/>
          <w:b/>
          <w:bCs/>
          <w:color w:val="000000" w:themeColor="text1"/>
        </w:rPr>
        <w:t>Convenir</w:t>
      </w:r>
      <w:r w:rsidRPr="004A3B5F">
        <w:rPr>
          <w:rFonts w:ascii="Palatino Linotype" w:hAnsi="Palatino Linotype"/>
          <w:color w:val="000000" w:themeColor="text1"/>
        </w:rPr>
        <w:t xml:space="preserve">, contratar o concesionar, en términos de ley, </w:t>
      </w:r>
      <w:r w:rsidRPr="004A3B5F">
        <w:rPr>
          <w:rFonts w:ascii="Palatino Linotype" w:hAnsi="Palatino Linotype"/>
          <w:b/>
          <w:bCs/>
          <w:color w:val="000000" w:themeColor="text1"/>
        </w:rPr>
        <w:t>la ejecución de obras y la prestación de servicios públicos</w:t>
      </w:r>
      <w:r w:rsidRPr="004A3B5F">
        <w:rPr>
          <w:rFonts w:ascii="Palatino Linotype" w:hAnsi="Palatino Linotype"/>
          <w:color w:val="000000" w:themeColor="text1"/>
        </w:rPr>
        <w:t xml:space="preserve">, con el Estado, con otros municipios de la entidad o </w:t>
      </w:r>
      <w:r w:rsidRPr="004A3B5F">
        <w:rPr>
          <w:rFonts w:ascii="Palatino Linotype" w:hAnsi="Palatino Linotype"/>
          <w:b/>
          <w:bCs/>
          <w:color w:val="000000" w:themeColor="text1"/>
        </w:rPr>
        <w:t>con particulares</w:t>
      </w:r>
      <w:r w:rsidRPr="004A3B5F">
        <w:rPr>
          <w:rFonts w:ascii="Palatino Linotype" w:hAnsi="Palatino Linotype"/>
          <w:color w:val="000000" w:themeColor="text1"/>
        </w:rPr>
        <w:t>, recabando, cuando proceda, la autorización de la Legislatura del Estado;</w:t>
      </w:r>
    </w:p>
    <w:p w14:paraId="6D946935" w14:textId="0AC0A866" w:rsidR="004A3B5F" w:rsidRDefault="004A3B5F" w:rsidP="009A090B">
      <w:pPr>
        <w:pStyle w:val="Prrafodelista"/>
        <w:numPr>
          <w:ilvl w:val="1"/>
          <w:numId w:val="7"/>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Promover </w:t>
      </w:r>
      <w:r w:rsidRPr="004A3B5F">
        <w:rPr>
          <w:rFonts w:ascii="Palatino Linotype" w:hAnsi="Palatino Linotype"/>
          <w:color w:val="000000" w:themeColor="text1"/>
        </w:rPr>
        <w:t xml:space="preserve">las acciones y </w:t>
      </w:r>
      <w:r w:rsidRPr="004A3B5F">
        <w:rPr>
          <w:rFonts w:ascii="Palatino Linotype" w:hAnsi="Palatino Linotype"/>
          <w:b/>
          <w:bCs/>
          <w:color w:val="000000" w:themeColor="text1"/>
        </w:rPr>
        <w:t>ejecutar los programas sociales necesarios para la recuperación de espacios públicos</w:t>
      </w:r>
      <w:r w:rsidRPr="004A3B5F">
        <w:rPr>
          <w:rFonts w:ascii="Palatino Linotype" w:hAnsi="Palatino Linotype"/>
          <w:color w:val="000000" w:themeColor="text1"/>
        </w:rPr>
        <w:t>, a fin de fortalecer la seguridad jurídica, mantenimiento, sostenibilidad, control y la apropiación social de éstos;</w:t>
      </w:r>
      <w:r>
        <w:rPr>
          <w:rFonts w:ascii="Palatino Linotype" w:hAnsi="Palatino Linotype"/>
          <w:color w:val="000000" w:themeColor="text1"/>
        </w:rPr>
        <w:t xml:space="preserve"> y</w:t>
      </w:r>
    </w:p>
    <w:p w14:paraId="23E72A4F" w14:textId="19C96234" w:rsidR="004A3B5F" w:rsidRDefault="004A3B5F" w:rsidP="009A090B">
      <w:pPr>
        <w:pStyle w:val="Prrafodelista"/>
        <w:numPr>
          <w:ilvl w:val="1"/>
          <w:numId w:val="7"/>
        </w:numPr>
        <w:tabs>
          <w:tab w:val="left" w:pos="426"/>
        </w:tabs>
        <w:spacing w:before="240" w:after="240" w:line="360" w:lineRule="auto"/>
        <w:ind w:left="993" w:right="51"/>
        <w:jc w:val="both"/>
        <w:rPr>
          <w:rFonts w:ascii="Palatino Linotype" w:hAnsi="Palatino Linotype"/>
          <w:color w:val="000000" w:themeColor="text1"/>
        </w:rPr>
      </w:pPr>
      <w:r w:rsidRPr="004A3B5F">
        <w:rPr>
          <w:rFonts w:ascii="Palatino Linotype" w:hAnsi="Palatino Linotype"/>
          <w:b/>
          <w:bCs/>
          <w:color w:val="000000" w:themeColor="text1"/>
        </w:rPr>
        <w:t>Formular programas de organización y participación social</w:t>
      </w:r>
      <w:r w:rsidRPr="004A3B5F">
        <w:rPr>
          <w:rFonts w:ascii="Palatino Linotype" w:hAnsi="Palatino Linotype"/>
          <w:color w:val="000000" w:themeColor="text1"/>
        </w:rPr>
        <w:t>, que permitan una mayor cooperación entre autoridades y habitantes del municipio</w:t>
      </w:r>
      <w:r>
        <w:rPr>
          <w:rFonts w:ascii="Palatino Linotype" w:hAnsi="Palatino Linotype"/>
          <w:color w:val="000000" w:themeColor="text1"/>
        </w:rPr>
        <w:t>.</w:t>
      </w:r>
    </w:p>
    <w:p w14:paraId="510FBA00" w14:textId="77777777" w:rsidR="004A3B5F" w:rsidRPr="004A3B5F" w:rsidRDefault="004A3B5F" w:rsidP="004A3B5F">
      <w:pPr>
        <w:pStyle w:val="Prrafodelista"/>
        <w:tabs>
          <w:tab w:val="left" w:pos="426"/>
        </w:tabs>
        <w:spacing w:before="240" w:after="240" w:line="360" w:lineRule="auto"/>
        <w:ind w:left="0" w:right="51"/>
        <w:jc w:val="both"/>
        <w:rPr>
          <w:rFonts w:ascii="Palatino Linotype" w:hAnsi="Palatino Linotype"/>
          <w:color w:val="000000" w:themeColor="text1"/>
        </w:rPr>
      </w:pPr>
    </w:p>
    <w:p w14:paraId="71AE8AD4" w14:textId="5DCA9CAA" w:rsidR="00B27897" w:rsidRPr="008164E5" w:rsidRDefault="004A3B5F"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Derivado de lo anterior, se advierte que el </w:t>
      </w:r>
      <w:r>
        <w:rPr>
          <w:rFonts w:ascii="Palatino Linotype" w:hAnsi="Palatino Linotype"/>
          <w:b/>
          <w:bCs/>
        </w:rPr>
        <w:t>SUJETO OBLIGADO</w:t>
      </w:r>
      <w:r>
        <w:rPr>
          <w:rFonts w:ascii="Palatino Linotype" w:hAnsi="Palatino Linotype"/>
        </w:rPr>
        <w:t xml:space="preserve"> tendrá a su cargo, por mandato constitucional, </w:t>
      </w:r>
      <w:r w:rsidR="008164E5">
        <w:rPr>
          <w:rFonts w:ascii="Palatino Linotype" w:hAnsi="Palatino Linotype"/>
        </w:rPr>
        <w:t>diversas</w:t>
      </w:r>
      <w:r>
        <w:rPr>
          <w:rFonts w:ascii="Palatino Linotype" w:hAnsi="Palatino Linotype"/>
        </w:rPr>
        <w:t xml:space="preserve"> funciones y servicios públicos</w:t>
      </w:r>
      <w:r w:rsidR="008164E5">
        <w:rPr>
          <w:rFonts w:ascii="Palatino Linotype" w:hAnsi="Palatino Linotype"/>
        </w:rPr>
        <w:t xml:space="preserve">, entre las que destacan las </w:t>
      </w:r>
      <w:r w:rsidR="008164E5" w:rsidRPr="008164E5">
        <w:rPr>
          <w:rFonts w:ascii="Palatino Linotype" w:hAnsi="Palatino Linotype"/>
          <w:b/>
          <w:bCs/>
        </w:rPr>
        <w:t>calles, parques y jardines, y su equipamiento</w:t>
      </w:r>
      <w:r w:rsidR="008164E5">
        <w:rPr>
          <w:rFonts w:ascii="Palatino Linotype" w:hAnsi="Palatino Linotype"/>
        </w:rPr>
        <w:t xml:space="preserve">. Asimismo, tendrá la capacidad de </w:t>
      </w:r>
      <w:r w:rsidR="008164E5" w:rsidRPr="008164E5">
        <w:rPr>
          <w:rFonts w:ascii="Palatino Linotype" w:hAnsi="Palatino Linotype"/>
          <w:b/>
          <w:bCs/>
        </w:rPr>
        <w:t>convenir</w:t>
      </w:r>
      <w:r w:rsidR="008164E5">
        <w:rPr>
          <w:rFonts w:ascii="Palatino Linotype" w:hAnsi="Palatino Linotype"/>
        </w:rPr>
        <w:t xml:space="preserve"> la ejecución de obras y/o servicios públicos con particulares, </w:t>
      </w:r>
      <w:r w:rsidR="008164E5" w:rsidRPr="008164E5">
        <w:rPr>
          <w:rFonts w:ascii="Palatino Linotype" w:hAnsi="Palatino Linotype"/>
          <w:b/>
          <w:bCs/>
        </w:rPr>
        <w:t>ejecutar</w:t>
      </w:r>
      <w:r w:rsidR="008164E5">
        <w:rPr>
          <w:rFonts w:ascii="Palatino Linotype" w:hAnsi="Palatino Linotype"/>
        </w:rPr>
        <w:t xml:space="preserve"> programas sociales encaminados a recuperar espacios públicos, y </w:t>
      </w:r>
      <w:r w:rsidR="008164E5" w:rsidRPr="008164E5">
        <w:rPr>
          <w:rFonts w:ascii="Palatino Linotype" w:hAnsi="Palatino Linotype"/>
          <w:b/>
          <w:bCs/>
        </w:rPr>
        <w:t>formular</w:t>
      </w:r>
      <w:r w:rsidR="008164E5">
        <w:rPr>
          <w:rFonts w:ascii="Palatino Linotype" w:hAnsi="Palatino Linotype"/>
        </w:rPr>
        <w:t xml:space="preserve"> programas de organización y participación social.</w:t>
      </w:r>
    </w:p>
    <w:p w14:paraId="40E8FDE0" w14:textId="77777777" w:rsidR="008164E5" w:rsidRPr="008164E5" w:rsidRDefault="008164E5" w:rsidP="008164E5">
      <w:pPr>
        <w:pStyle w:val="Prrafodelista"/>
        <w:tabs>
          <w:tab w:val="left" w:pos="426"/>
        </w:tabs>
        <w:spacing w:before="240" w:after="240" w:line="360" w:lineRule="auto"/>
        <w:ind w:left="0" w:right="51"/>
        <w:jc w:val="both"/>
        <w:rPr>
          <w:rFonts w:ascii="Palatino Linotype" w:hAnsi="Palatino Linotype"/>
          <w:color w:val="000000" w:themeColor="text1"/>
        </w:rPr>
      </w:pPr>
    </w:p>
    <w:p w14:paraId="25558B38" w14:textId="5663C77C" w:rsidR="008164E5" w:rsidRPr="00B27897" w:rsidRDefault="008164E5"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respecto, es esencial señalar que la semántica de la información </w:t>
      </w:r>
      <w:r w:rsidR="00644E13">
        <w:rPr>
          <w:rFonts w:ascii="Palatino Linotype" w:hAnsi="Palatino Linotype"/>
          <w:color w:val="000000" w:themeColor="text1"/>
        </w:rPr>
        <w:t xml:space="preserve">señalada en el párrafo anterior, y </w:t>
      </w:r>
      <w:r>
        <w:rPr>
          <w:rFonts w:ascii="Palatino Linotype" w:hAnsi="Palatino Linotype"/>
          <w:color w:val="000000" w:themeColor="text1"/>
        </w:rPr>
        <w:t xml:space="preserve">que en seguimiento de sus funciones y atribuciones, el </w:t>
      </w:r>
      <w:r w:rsidR="00644E13">
        <w:rPr>
          <w:rFonts w:ascii="Palatino Linotype" w:hAnsi="Palatino Linotype"/>
          <w:b/>
          <w:bCs/>
          <w:color w:val="000000" w:themeColor="text1"/>
        </w:rPr>
        <w:t>SUJETO OBLIGADO</w:t>
      </w:r>
      <w:r w:rsidR="00644E13">
        <w:rPr>
          <w:rFonts w:ascii="Palatino Linotype" w:hAnsi="Palatino Linotype"/>
          <w:color w:val="000000" w:themeColor="text1"/>
        </w:rPr>
        <w:t xml:space="preserve"> debe poseer, generar y administrar, se reconoce como </w:t>
      </w:r>
      <w:r w:rsidR="00644E13">
        <w:rPr>
          <w:rFonts w:ascii="Palatino Linotype" w:hAnsi="Palatino Linotype"/>
          <w:b/>
          <w:bCs/>
          <w:color w:val="000000" w:themeColor="text1"/>
        </w:rPr>
        <w:t>obligaciones de transparencia común</w:t>
      </w:r>
      <w:r w:rsidR="00644E13">
        <w:rPr>
          <w:rFonts w:ascii="Palatino Linotype" w:hAnsi="Palatino Linotype"/>
          <w:color w:val="000000" w:themeColor="text1"/>
        </w:rPr>
        <w:t xml:space="preserve"> las cuales, el Ayuntamiento de Ecatepec de Morelos está </w:t>
      </w:r>
      <w:proofErr w:type="spellStart"/>
      <w:r w:rsidR="00644E13">
        <w:rPr>
          <w:rFonts w:ascii="Palatino Linotype" w:hAnsi="Palatino Linotype"/>
          <w:color w:val="000000" w:themeColor="text1"/>
        </w:rPr>
        <w:t>inexcusado</w:t>
      </w:r>
      <w:proofErr w:type="spellEnd"/>
      <w:r w:rsidR="00644E13">
        <w:rPr>
          <w:rFonts w:ascii="Palatino Linotype" w:hAnsi="Palatino Linotype"/>
          <w:color w:val="000000" w:themeColor="text1"/>
        </w:rPr>
        <w:t xml:space="preserve"> de publicar y difundir a la ciudadanía, de manera permanente y actualizada. Lo anterior de acuerdo con lo establecido en el artículo 92 de la Ley de Transparencia y Acceso a la Información Pública del Estado de México y Municipios, mismo que se comparte a continuación:</w:t>
      </w:r>
    </w:p>
    <w:p w14:paraId="43B6B84D" w14:textId="4CE8B7F0" w:rsid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6C12F6A8" w14:textId="7C16DE61"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644E13">
        <w:rPr>
          <w:rFonts w:ascii="Palatino Linotype" w:hAnsi="Palatino Linotype"/>
          <w:b/>
          <w:bCs/>
          <w:i/>
          <w:iCs/>
          <w:sz w:val="22"/>
          <w:szCs w:val="22"/>
        </w:rPr>
        <w:t>Artículo 92.</w:t>
      </w:r>
      <w:r w:rsidRPr="00644E13">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257820" w14:textId="7EA71D10"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i/>
          <w:iCs/>
          <w:sz w:val="22"/>
          <w:szCs w:val="22"/>
        </w:rPr>
        <w:t>(…)</w:t>
      </w:r>
    </w:p>
    <w:p w14:paraId="16E54E81" w14:textId="0490E81E"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b/>
          <w:bCs/>
          <w:i/>
          <w:iCs/>
          <w:sz w:val="22"/>
          <w:szCs w:val="22"/>
        </w:rPr>
        <w:t>XXXII.</w:t>
      </w:r>
      <w:r w:rsidRPr="00644E13">
        <w:rPr>
          <w:rFonts w:ascii="Palatino Linotype" w:hAnsi="Palatino Linotype"/>
          <w:i/>
          <w:iCs/>
          <w:sz w:val="22"/>
          <w:szCs w:val="22"/>
        </w:rPr>
        <w:t xml:space="preserve"> Las concesiones, contratos, </w:t>
      </w:r>
      <w:r w:rsidRPr="00644E13">
        <w:rPr>
          <w:rFonts w:ascii="Palatino Linotype" w:hAnsi="Palatino Linotype"/>
          <w:b/>
          <w:bCs/>
          <w:i/>
          <w:iCs/>
          <w:sz w:val="22"/>
          <w:szCs w:val="22"/>
        </w:rPr>
        <w:t>convenios</w:t>
      </w:r>
      <w:r w:rsidRPr="00644E13">
        <w:rPr>
          <w:rFonts w:ascii="Palatino Linotype" w:hAnsi="Palatino Linotype"/>
          <w:i/>
          <w:iCs/>
          <w:sz w:val="22"/>
          <w:szCs w:val="22"/>
        </w:rPr>
        <w:t xml:space="preserve">, permisos, licencias o autorizaciones </w:t>
      </w:r>
      <w:r w:rsidRPr="00644E13">
        <w:rPr>
          <w:rFonts w:ascii="Palatino Linotype" w:hAnsi="Palatino Linotype"/>
          <w:b/>
          <w:bCs/>
          <w:i/>
          <w:iCs/>
          <w:sz w:val="22"/>
          <w:szCs w:val="22"/>
        </w:rPr>
        <w:t>otorgados, especificando los titulares de aquéllos, debiendo publicarse su objeto, nombre o razón social del titular, vigencia, tipo, términos, condiciones, monto y modificaciones</w:t>
      </w:r>
      <w:r w:rsidRPr="00644E13">
        <w:rPr>
          <w:rFonts w:ascii="Palatino Linotype" w:hAnsi="Palatino Linotype"/>
          <w:i/>
          <w:iCs/>
          <w:sz w:val="22"/>
          <w:szCs w:val="22"/>
        </w:rPr>
        <w:t>, así como si el procedimiento involucra el aprovechamiento de bienes, servicios y/o recursos públicos;</w:t>
      </w:r>
    </w:p>
    <w:p w14:paraId="765E7546" w14:textId="50739014"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i/>
          <w:iCs/>
          <w:sz w:val="22"/>
          <w:szCs w:val="22"/>
        </w:rPr>
        <w:lastRenderedPageBreak/>
        <w:t>(…)</w:t>
      </w:r>
    </w:p>
    <w:p w14:paraId="7C6B3F35" w14:textId="652B21D5"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b/>
          <w:bCs/>
          <w:i/>
          <w:iCs/>
          <w:sz w:val="22"/>
          <w:szCs w:val="22"/>
        </w:rPr>
        <w:t>XXXVII. Los convenios de coordinación, de concertación, entre otros, que suscriban con otros entes de los sectores</w:t>
      </w:r>
      <w:r w:rsidRPr="00644E13">
        <w:rPr>
          <w:rFonts w:ascii="Palatino Linotype" w:hAnsi="Palatino Linotype"/>
          <w:i/>
          <w:iCs/>
          <w:sz w:val="22"/>
          <w:szCs w:val="22"/>
        </w:rPr>
        <w:t xml:space="preserve"> público, social y </w:t>
      </w:r>
      <w:r w:rsidRPr="00644E13">
        <w:rPr>
          <w:rFonts w:ascii="Palatino Linotype" w:hAnsi="Palatino Linotype"/>
          <w:b/>
          <w:bCs/>
          <w:i/>
          <w:iCs/>
          <w:sz w:val="22"/>
          <w:szCs w:val="22"/>
        </w:rPr>
        <w:t>privado</w:t>
      </w:r>
      <w:r w:rsidRPr="00644E13">
        <w:rPr>
          <w:rFonts w:ascii="Palatino Linotype" w:hAnsi="Palatino Linotype"/>
          <w:i/>
          <w:iCs/>
          <w:sz w:val="22"/>
          <w:szCs w:val="22"/>
        </w:rPr>
        <w:t>;</w:t>
      </w:r>
    </w:p>
    <w:p w14:paraId="42BDC537" w14:textId="5519040D"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i/>
          <w:iCs/>
          <w:sz w:val="22"/>
          <w:szCs w:val="22"/>
        </w:rPr>
        <w:t>(…)</w:t>
      </w:r>
    </w:p>
    <w:p w14:paraId="3BBD4223" w14:textId="7956832E"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i/>
          <w:iCs/>
          <w:sz w:val="22"/>
          <w:szCs w:val="22"/>
        </w:rPr>
      </w:pPr>
      <w:r w:rsidRPr="00644E13">
        <w:rPr>
          <w:rFonts w:ascii="Palatino Linotype" w:hAnsi="Palatino Linotype"/>
          <w:b/>
          <w:bCs/>
          <w:i/>
          <w:iCs/>
          <w:sz w:val="22"/>
          <w:szCs w:val="22"/>
        </w:rPr>
        <w:t>XLII. Los programas que ofrecen</w:t>
      </w:r>
      <w:r w:rsidRPr="00644E13">
        <w:rPr>
          <w:rFonts w:ascii="Palatino Linotype" w:hAnsi="Palatino Linotype"/>
          <w:i/>
          <w:iCs/>
          <w:sz w:val="22"/>
          <w:szCs w:val="22"/>
        </w:rPr>
        <w:t>, incluyendo información sobre la población, objetivo y destino, tiempos de respuesta, requisitos y formatos para acceder a los mismos;</w:t>
      </w:r>
    </w:p>
    <w:p w14:paraId="06F370C1" w14:textId="145E3BCF" w:rsidR="00644E13" w:rsidRDefault="00644E13" w:rsidP="00644E13">
      <w:pPr>
        <w:pStyle w:val="Prrafodelista"/>
        <w:tabs>
          <w:tab w:val="left" w:pos="426"/>
        </w:tabs>
        <w:spacing w:before="240" w:after="240" w:line="276" w:lineRule="auto"/>
        <w:ind w:left="567" w:right="567"/>
        <w:jc w:val="both"/>
        <w:rPr>
          <w:rFonts w:ascii="Palatino Linotype" w:hAnsi="Palatino Linotype"/>
          <w:sz w:val="22"/>
          <w:szCs w:val="22"/>
        </w:rPr>
      </w:pPr>
      <w:r w:rsidRPr="00644E13">
        <w:rPr>
          <w:rFonts w:ascii="Palatino Linotype" w:hAnsi="Palatino Linotype"/>
          <w:i/>
          <w:iCs/>
          <w:sz w:val="22"/>
          <w:szCs w:val="22"/>
        </w:rPr>
        <w:t>(…)”</w:t>
      </w:r>
    </w:p>
    <w:p w14:paraId="7E291E61" w14:textId="084B8EF8" w:rsidR="00644E13" w:rsidRPr="00644E13" w:rsidRDefault="00644E13" w:rsidP="00644E13">
      <w:pPr>
        <w:pStyle w:val="Prrafodelista"/>
        <w:tabs>
          <w:tab w:val="left" w:pos="426"/>
        </w:tabs>
        <w:spacing w:before="240" w:after="240" w:line="276" w:lineRule="auto"/>
        <w:ind w:left="567" w:right="567"/>
        <w:jc w:val="both"/>
        <w:rPr>
          <w:rFonts w:ascii="Palatino Linotype" w:hAnsi="Palatino Linotype"/>
          <w:sz w:val="22"/>
          <w:szCs w:val="22"/>
        </w:rPr>
      </w:pPr>
      <w:r>
        <w:rPr>
          <w:rFonts w:ascii="Palatino Linotype" w:hAnsi="Palatino Linotype"/>
          <w:sz w:val="22"/>
          <w:szCs w:val="22"/>
        </w:rPr>
        <w:t>(Énfasis añadido)</w:t>
      </w:r>
    </w:p>
    <w:p w14:paraId="2C4B0FC3" w14:textId="77777777" w:rsidR="00644E13" w:rsidRDefault="00644E13"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38290AA5" w14:textId="1DE85931" w:rsidR="008164E5" w:rsidRPr="008164E5" w:rsidRDefault="008164E5" w:rsidP="008164E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85118534"/>
      <w:r>
        <w:rPr>
          <w:rFonts w:ascii="Palatino Linotype" w:hAnsi="Palatino Linotype"/>
          <w:b/>
          <w:bCs/>
          <w:color w:val="000000" w:themeColor="text1"/>
        </w:rPr>
        <w:t>IV.I Del programa “Adopta un espacio”.</w:t>
      </w:r>
      <w:bookmarkEnd w:id="29"/>
    </w:p>
    <w:p w14:paraId="623339E2" w14:textId="77777777" w:rsidR="008164E5" w:rsidRPr="00B27897" w:rsidRDefault="008164E5"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7F6C25F7" w14:textId="4A1D10DF" w:rsidR="00B27897" w:rsidRPr="00B27897" w:rsidRDefault="00224ABA"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El ocho (08) de julio de dos mil diecinueve, se publicó en el portal oficial del Ayuntamiento de Ecatepec de Morelos</w:t>
      </w:r>
      <w:r>
        <w:rPr>
          <w:rStyle w:val="Refdenotaalpie"/>
          <w:rFonts w:ascii="Palatino Linotype" w:hAnsi="Palatino Linotype"/>
        </w:rPr>
        <w:footnoteReference w:id="10"/>
      </w:r>
      <w:r>
        <w:rPr>
          <w:rFonts w:ascii="Palatino Linotype" w:hAnsi="Palatino Linotype"/>
        </w:rPr>
        <w:t>; y del Organismo Público Descentralizado para la Prestación de los Servicios de Agua Potable, Alcantarillado y Saneamiento de Ecatepec de Morelos</w:t>
      </w:r>
      <w:r>
        <w:rPr>
          <w:rStyle w:val="Refdenotaalpie"/>
          <w:rFonts w:ascii="Palatino Linotype" w:hAnsi="Palatino Linotype"/>
        </w:rPr>
        <w:footnoteReference w:id="11"/>
      </w:r>
      <w:r>
        <w:rPr>
          <w:rFonts w:ascii="Palatino Linotype" w:hAnsi="Palatino Linotype"/>
        </w:rPr>
        <w:t xml:space="preserve">, una nota informativa titulada </w:t>
      </w:r>
      <w:r>
        <w:rPr>
          <w:rFonts w:ascii="Palatino Linotype" w:hAnsi="Palatino Linotype"/>
          <w:b/>
          <w:bCs/>
          <w:i/>
          <w:iCs/>
        </w:rPr>
        <w:t>“Ecatepec logra que más de 50 parques, escuelas y camellones sean “adoptados” por empresarios”</w:t>
      </w:r>
      <w:r w:rsidR="00C5309D">
        <w:rPr>
          <w:rStyle w:val="Refdenotaalpie"/>
          <w:rFonts w:ascii="Palatino Linotype" w:hAnsi="Palatino Linotype"/>
          <w:b/>
          <w:bCs/>
          <w:i/>
          <w:iCs/>
        </w:rPr>
        <w:footnoteReference w:id="12"/>
      </w:r>
      <w:r w:rsidR="00C5309D">
        <w:rPr>
          <w:rFonts w:ascii="Palatino Linotype" w:hAnsi="Palatino Linotype"/>
        </w:rPr>
        <w:t>, cuyo contenido elemental se transcribe a continuación:</w:t>
      </w:r>
    </w:p>
    <w:p w14:paraId="6B4A5DBF" w14:textId="581D1A18" w:rsidR="00B27897" w:rsidRDefault="00B27897" w:rsidP="00C5309D">
      <w:pPr>
        <w:pStyle w:val="Prrafodelista"/>
        <w:tabs>
          <w:tab w:val="left" w:pos="426"/>
        </w:tabs>
        <w:spacing w:line="360" w:lineRule="auto"/>
        <w:ind w:left="0" w:right="51"/>
        <w:jc w:val="both"/>
        <w:rPr>
          <w:rFonts w:ascii="Palatino Linotype" w:hAnsi="Palatino Linotype"/>
          <w:color w:val="000000" w:themeColor="text1"/>
        </w:rPr>
      </w:pPr>
    </w:p>
    <w:p w14:paraId="4EA56130" w14:textId="29AA8FF5"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C5309D">
        <w:rPr>
          <w:rFonts w:ascii="Palatino Linotype" w:hAnsi="Palatino Linotype"/>
          <w:b/>
          <w:bCs/>
          <w:i/>
          <w:iCs/>
          <w:color w:val="000000" w:themeColor="text1"/>
          <w:sz w:val="22"/>
          <w:szCs w:val="22"/>
        </w:rPr>
        <w:t>Con la implementación del programa municipal “</w:t>
      </w:r>
      <w:r w:rsidRPr="00C5309D">
        <w:rPr>
          <w:rFonts w:ascii="Palatino Linotype" w:hAnsi="Palatino Linotype"/>
          <w:b/>
          <w:bCs/>
          <w:i/>
          <w:iCs/>
          <w:color w:val="000000" w:themeColor="text1"/>
          <w:sz w:val="22"/>
          <w:szCs w:val="22"/>
          <w:u w:val="single"/>
        </w:rPr>
        <w:t>Adopta un Espacio</w:t>
      </w:r>
      <w:r w:rsidRPr="00C5309D">
        <w:rPr>
          <w:rFonts w:ascii="Palatino Linotype" w:hAnsi="Palatino Linotype"/>
          <w:b/>
          <w:bCs/>
          <w:i/>
          <w:iCs/>
          <w:color w:val="000000" w:themeColor="text1"/>
          <w:sz w:val="22"/>
          <w:szCs w:val="22"/>
        </w:rPr>
        <w:t>", más de 50 camellones, escuelas y espacios públicos de Ecatepec serán asignados a empresarios del municipio, quienes invertirán en su reparación y mantenimiento para el mejoramiento urbano de la localidad</w:t>
      </w:r>
      <w:r w:rsidRPr="00C5309D">
        <w:rPr>
          <w:rFonts w:ascii="Palatino Linotype" w:hAnsi="Palatino Linotype"/>
          <w:i/>
          <w:iCs/>
          <w:color w:val="000000" w:themeColor="text1"/>
          <w:sz w:val="22"/>
          <w:szCs w:val="22"/>
        </w:rPr>
        <w:t>.</w:t>
      </w:r>
    </w:p>
    <w:p w14:paraId="23497407" w14:textId="77777777"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El alcalde de Ecatepec, Fernando Vilchis Contreras, firmó un convenio de colaboración con representantes del Centro Regional Las Américas, que “adoptó” 20 mil metros cuadrados de áreas verdes de avenida Paseo de Las Américas, donde plantaron 300 árboles.</w:t>
      </w:r>
    </w:p>
    <w:p w14:paraId="75B3FBC9" w14:textId="77777777"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lastRenderedPageBreak/>
        <w:t xml:space="preserve">Además, </w:t>
      </w:r>
      <w:r w:rsidRPr="00C5309D">
        <w:rPr>
          <w:rFonts w:ascii="Palatino Linotype" w:hAnsi="Palatino Linotype"/>
          <w:b/>
          <w:bCs/>
          <w:i/>
          <w:iCs/>
          <w:color w:val="000000" w:themeColor="text1"/>
          <w:sz w:val="22"/>
          <w:szCs w:val="22"/>
        </w:rPr>
        <w:t>este grupo comercial realizó la donación de otros 300 árboles de especies como palmeras y fresnos para forestar camellones y avenidas principales del municipio</w:t>
      </w:r>
      <w:r w:rsidRPr="00C5309D">
        <w:rPr>
          <w:rFonts w:ascii="Palatino Linotype" w:hAnsi="Palatino Linotype"/>
          <w:i/>
          <w:iCs/>
          <w:color w:val="000000" w:themeColor="text1"/>
          <w:sz w:val="22"/>
          <w:szCs w:val="22"/>
        </w:rPr>
        <w:t>.</w:t>
      </w:r>
    </w:p>
    <w:p w14:paraId="6F9416E7" w14:textId="4621F30B"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7908E9D4" w14:textId="77777777"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Ignacio Moreno López, gerente del Centro Regional Las Américas, expresó que generar este tipo de acciones es muy importante para el centro comercial, los colonos del fraccionamiento Las Américas y para el gobierno municipal,  ya que con ello propiciarán un mejor entorno para elevar la calidad de vida de esta zona.</w:t>
      </w:r>
    </w:p>
    <w:p w14:paraId="0FB23984" w14:textId="5EEDB196"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 xml:space="preserve">“Conscientes de nuestra responsabilidad y corresponsabilidad en contribuir al entorno del Centro Regional Las Américas, conjuntamente con el gobierno de Ecatepec, </w:t>
      </w:r>
      <w:r w:rsidRPr="00C5309D">
        <w:rPr>
          <w:rFonts w:ascii="Palatino Linotype" w:hAnsi="Palatino Linotype"/>
          <w:b/>
          <w:bCs/>
          <w:i/>
          <w:iCs/>
          <w:color w:val="000000" w:themeColor="text1"/>
          <w:sz w:val="22"/>
          <w:szCs w:val="22"/>
        </w:rPr>
        <w:t>apoyaremos dando mantenimiento a 20 mil metros cuadrados y contribuiremos a donar 600 ejemplares de diversas especies</w:t>
      </w:r>
      <w:r w:rsidRPr="00C5309D">
        <w:rPr>
          <w:rFonts w:ascii="Palatino Linotype" w:hAnsi="Palatino Linotype"/>
          <w:i/>
          <w:iCs/>
          <w:color w:val="000000" w:themeColor="text1"/>
          <w:sz w:val="22"/>
          <w:szCs w:val="22"/>
        </w:rPr>
        <w:t>”, dijo.</w:t>
      </w:r>
    </w:p>
    <w:p w14:paraId="17DCA9D9" w14:textId="0F6B1BBA"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076CBA16" w14:textId="5FC2B3C3"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Durante el evento, el rector del Grupo Cultural Educativo Universitario Valle de México (</w:t>
      </w:r>
      <w:proofErr w:type="spellStart"/>
      <w:r w:rsidRPr="00C5309D">
        <w:rPr>
          <w:rFonts w:ascii="Palatino Linotype" w:hAnsi="Palatino Linotype"/>
          <w:i/>
          <w:iCs/>
          <w:color w:val="000000" w:themeColor="text1"/>
          <w:sz w:val="22"/>
          <w:szCs w:val="22"/>
        </w:rPr>
        <w:t>Univamex</w:t>
      </w:r>
      <w:proofErr w:type="spellEnd"/>
      <w:r w:rsidRPr="00C5309D">
        <w:rPr>
          <w:rFonts w:ascii="Palatino Linotype" w:hAnsi="Palatino Linotype"/>
          <w:i/>
          <w:iCs/>
          <w:color w:val="000000" w:themeColor="text1"/>
          <w:sz w:val="22"/>
          <w:szCs w:val="22"/>
        </w:rPr>
        <w:t xml:space="preserve">) se sumó a la iniciativa al </w:t>
      </w:r>
      <w:r w:rsidRPr="00C5309D">
        <w:rPr>
          <w:rFonts w:ascii="Palatino Linotype" w:hAnsi="Palatino Linotype"/>
          <w:b/>
          <w:bCs/>
          <w:i/>
          <w:iCs/>
          <w:color w:val="000000" w:themeColor="text1"/>
          <w:sz w:val="22"/>
          <w:szCs w:val="22"/>
        </w:rPr>
        <w:t>comprometerse a la rehabilitación del bulevar de Los Aztecas</w:t>
      </w:r>
      <w:r w:rsidRPr="00C5309D">
        <w:rPr>
          <w:rFonts w:ascii="Palatino Linotype" w:hAnsi="Palatino Linotype"/>
          <w:i/>
          <w:iCs/>
          <w:color w:val="000000" w:themeColor="text1"/>
          <w:sz w:val="22"/>
          <w:szCs w:val="22"/>
        </w:rPr>
        <w:t xml:space="preserve">, mientras que los comerciantes de la Central de Abasto aseguraron que adoptarán el área aledaña a su centro de trabajo para </w:t>
      </w:r>
      <w:r w:rsidRPr="00C5309D">
        <w:rPr>
          <w:rFonts w:ascii="Palatino Linotype" w:hAnsi="Palatino Linotype"/>
          <w:b/>
          <w:bCs/>
          <w:i/>
          <w:iCs/>
          <w:color w:val="000000" w:themeColor="text1"/>
          <w:sz w:val="22"/>
          <w:szCs w:val="22"/>
        </w:rPr>
        <w:t>dar la infraestructura adecuada y mejorar la imagen</w:t>
      </w:r>
      <w:r w:rsidRPr="00C5309D">
        <w:rPr>
          <w:rFonts w:ascii="Palatino Linotype" w:hAnsi="Palatino Linotype"/>
          <w:i/>
          <w:iCs/>
          <w:color w:val="000000" w:themeColor="text1"/>
          <w:sz w:val="22"/>
          <w:szCs w:val="22"/>
        </w:rPr>
        <w:t>.</w:t>
      </w:r>
    </w:p>
    <w:p w14:paraId="087A8BC7" w14:textId="63E0A522"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 xml:space="preserve">Fernando Vilchis aseguró que como parte del crecimiento de la siguiente fase del centro comercial Las Américas, </w:t>
      </w:r>
      <w:r w:rsidRPr="00C5309D">
        <w:rPr>
          <w:rFonts w:ascii="Palatino Linotype" w:hAnsi="Palatino Linotype"/>
          <w:b/>
          <w:bCs/>
          <w:i/>
          <w:iCs/>
          <w:color w:val="000000" w:themeColor="text1"/>
          <w:sz w:val="22"/>
          <w:szCs w:val="22"/>
        </w:rPr>
        <w:t xml:space="preserve">trabajará conjuntamente con los empresarios para que los </w:t>
      </w:r>
      <w:proofErr w:type="spellStart"/>
      <w:r w:rsidRPr="00C5309D">
        <w:rPr>
          <w:rFonts w:ascii="Palatino Linotype" w:hAnsi="Palatino Linotype"/>
          <w:b/>
          <w:bCs/>
          <w:i/>
          <w:iCs/>
          <w:color w:val="000000" w:themeColor="text1"/>
          <w:sz w:val="22"/>
          <w:szCs w:val="22"/>
        </w:rPr>
        <w:t>ecatepenses</w:t>
      </w:r>
      <w:proofErr w:type="spellEnd"/>
      <w:r w:rsidRPr="00C5309D">
        <w:rPr>
          <w:rFonts w:ascii="Palatino Linotype" w:hAnsi="Palatino Linotype"/>
          <w:b/>
          <w:bCs/>
          <w:i/>
          <w:iCs/>
          <w:color w:val="000000" w:themeColor="text1"/>
          <w:sz w:val="22"/>
          <w:szCs w:val="22"/>
        </w:rPr>
        <w:t xml:space="preserve"> ocupen los más de mil 800 empleos que serán generados</w:t>
      </w:r>
      <w:r w:rsidRPr="00C5309D">
        <w:rPr>
          <w:rFonts w:ascii="Palatino Linotype" w:hAnsi="Palatino Linotype"/>
          <w:i/>
          <w:iCs/>
          <w:color w:val="000000" w:themeColor="text1"/>
          <w:sz w:val="22"/>
          <w:szCs w:val="22"/>
        </w:rPr>
        <w:t>.</w:t>
      </w:r>
    </w:p>
    <w:p w14:paraId="6F7EF7D0" w14:textId="4B772BBC" w:rsidR="00C5309D" w:rsidRPr="00C5309D" w:rsidRDefault="00C5309D" w:rsidP="00C5309D">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C5309D">
        <w:rPr>
          <w:rFonts w:ascii="Palatino Linotype" w:hAnsi="Palatino Linotype"/>
          <w:i/>
          <w:iCs/>
          <w:color w:val="000000" w:themeColor="text1"/>
          <w:sz w:val="22"/>
          <w:szCs w:val="22"/>
        </w:rPr>
        <w:t xml:space="preserve">A través del programa “Adopta un Espacio”, </w:t>
      </w:r>
      <w:r w:rsidRPr="00C5309D">
        <w:rPr>
          <w:rFonts w:ascii="Palatino Linotype" w:hAnsi="Palatino Linotype"/>
          <w:b/>
          <w:bCs/>
          <w:i/>
          <w:iCs/>
          <w:color w:val="000000" w:themeColor="text1"/>
          <w:sz w:val="22"/>
          <w:szCs w:val="22"/>
        </w:rPr>
        <w:t>se espera que durante este trienio más de mil empresas se hagan cargo de espacios públicos de Ecatepec</w:t>
      </w:r>
      <w:r w:rsidRPr="00C5309D">
        <w:rPr>
          <w:rFonts w:ascii="Palatino Linotype" w:hAnsi="Palatino Linotype"/>
          <w:i/>
          <w:iCs/>
          <w:color w:val="000000" w:themeColor="text1"/>
          <w:sz w:val="22"/>
          <w:szCs w:val="22"/>
        </w:rPr>
        <w:t>.</w:t>
      </w:r>
      <w:r>
        <w:rPr>
          <w:rFonts w:ascii="Palatino Linotype" w:hAnsi="Palatino Linotype"/>
          <w:i/>
          <w:iCs/>
          <w:color w:val="000000" w:themeColor="text1"/>
          <w:sz w:val="22"/>
          <w:szCs w:val="22"/>
        </w:rPr>
        <w:t>”</w:t>
      </w:r>
    </w:p>
    <w:p w14:paraId="1594E221" w14:textId="77777777" w:rsidR="00C5309D" w:rsidRPr="00B27897" w:rsidRDefault="00C5309D"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48BB0911" w14:textId="1016BE56" w:rsidR="00B27897" w:rsidRPr="00B27897" w:rsidRDefault="00A549C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la nota informativa transcrita </w:t>
      </w:r>
      <w:r>
        <w:rPr>
          <w:rFonts w:ascii="Palatino Linotype" w:hAnsi="Palatino Linotype"/>
          <w:i/>
          <w:iCs/>
        </w:rPr>
        <w:t>supra</w:t>
      </w:r>
      <w:r>
        <w:rPr>
          <w:rFonts w:ascii="Palatino Linotype" w:hAnsi="Palatino Linotype"/>
        </w:rPr>
        <w:t xml:space="preserve">, se logra discernir que el programa “Adopta un espacio” es una iniciativa impulsada por el gobierno municipal de Ecatepec de Morelos a mediados del dos mil diecinueve, el cual tiene por objeto ‘asignar’ más de 50 </w:t>
      </w:r>
      <w:r w:rsidR="0010147E">
        <w:rPr>
          <w:rFonts w:ascii="Palatino Linotype" w:hAnsi="Palatino Linotype"/>
        </w:rPr>
        <w:t>camellones, escuelas y espacios públicos a distintos empresarios del municipio, a efecto de éstos inviertan en su reparación y mantenimiento, con el objetivo de mejorar la calidad e imagen urbana.</w:t>
      </w:r>
    </w:p>
    <w:p w14:paraId="2DA8FD73"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51D3BC37" w14:textId="37B82DC0" w:rsidR="00B27897" w:rsidRPr="00B27897" w:rsidRDefault="0010147E"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Asimismo, se reconoce que ya se han firmado convenios de colaboración con diversos empresarios, tales como el Centro Regional Las Américas, el cual se hizo cargo de plantar 300 árboles en la Avenida Paseo de Las Américas; así como el Grupo Educativo Universitario Valle de México, quien se comprometió a rehabilitar el Boulevard de Los Aztecas; y, comerciantes de la Central de Abasto, los cuales manifestaron que adoptarían el área cercana a su centro de trabajo para dar la infraestructura adecuada y mejorar su imagen.</w:t>
      </w:r>
    </w:p>
    <w:p w14:paraId="48F8C3FB"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2401F92B" w14:textId="0FB4EC6C" w:rsidR="00B27897" w:rsidRPr="00B27897" w:rsidRDefault="0010147E"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relación con los trabajos de rehabilitación del Boulevard de Los Aztecas, el seis (06) de septiembre de dos mil diecinueve, la Dirección de Desarrollo Económico del </w:t>
      </w:r>
      <w:r>
        <w:rPr>
          <w:rFonts w:ascii="Palatino Linotype" w:hAnsi="Palatino Linotype"/>
          <w:b/>
          <w:bCs/>
        </w:rPr>
        <w:t>SUJETO OBLIGADO</w:t>
      </w:r>
      <w:r>
        <w:rPr>
          <w:rFonts w:ascii="Palatino Linotype" w:hAnsi="Palatino Linotype"/>
        </w:rPr>
        <w:t xml:space="preserve"> publicó en sus redes sociales oficiales</w:t>
      </w:r>
      <w:r>
        <w:rPr>
          <w:rStyle w:val="Refdenotaalpie"/>
          <w:rFonts w:ascii="Palatino Linotype" w:hAnsi="Palatino Linotype"/>
        </w:rPr>
        <w:footnoteReference w:id="13"/>
      </w:r>
      <w:r>
        <w:rPr>
          <w:rFonts w:ascii="Palatino Linotype" w:hAnsi="Palatino Linotype"/>
        </w:rPr>
        <w:t>, la siguiente noticia:</w:t>
      </w:r>
    </w:p>
    <w:p w14:paraId="6863C439" w14:textId="475D8BB6" w:rsidR="00B27897" w:rsidRDefault="00A60693" w:rsidP="00B27897">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2CEA444E" wp14:editId="2D256C35">
                <wp:simplePos x="0" y="0"/>
                <wp:positionH relativeFrom="margin">
                  <wp:align>right</wp:align>
                </wp:positionH>
                <wp:positionV relativeFrom="paragraph">
                  <wp:posOffset>51745</wp:posOffset>
                </wp:positionV>
                <wp:extent cx="5486400" cy="3253061"/>
                <wp:effectExtent l="38100" t="38100" r="76200" b="81280"/>
                <wp:wrapNone/>
                <wp:docPr id="13" name="Conector recto 13"/>
                <wp:cNvGraphicFramePr/>
                <a:graphic xmlns:a="http://schemas.openxmlformats.org/drawingml/2006/main">
                  <a:graphicData uri="http://schemas.microsoft.com/office/word/2010/wordprocessingShape">
                    <wps:wsp>
                      <wps:cNvCnPr/>
                      <wps:spPr>
                        <a:xfrm flipV="1">
                          <a:off x="0" y="0"/>
                          <a:ext cx="5486400" cy="3253061"/>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E1120" id="Conector recto 13"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4.05pt" to="812.8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" strokecolor="black [3200]">
                <v:shadow on="t" color="black" opacity="24903f" origin=",.5" offset="0,.55556mm"/>
                <w10:wrap anchorx="margin"/>
              </v:line>
            </w:pict>
          </mc:Fallback>
        </mc:AlternateContent>
      </w:r>
    </w:p>
    <w:p w14:paraId="50F20E63" w14:textId="3FF8A883" w:rsidR="0010147E" w:rsidRDefault="0010147E" w:rsidP="0010147E">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17405D33" wp14:editId="1EBCA08F">
            <wp:extent cx="4800600" cy="4458282"/>
            <wp:effectExtent l="57150" t="57150" r="95250" b="952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7371" cy="44645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3014E" w14:textId="77777777" w:rsidR="0010147E" w:rsidRPr="00B27897" w:rsidRDefault="0010147E"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3D5740C9" w14:textId="77777777" w:rsidR="00AA1694" w:rsidRPr="00AA1694" w:rsidRDefault="00AA1694"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rPr>
        <w:t xml:space="preserve">No es ocioso precisar que, </w:t>
      </w:r>
      <w:r w:rsidRPr="00AA1694">
        <w:rPr>
          <w:rFonts w:ascii="Palatino Linotype" w:eastAsia="MS Mincho" w:hAnsi="Palatino Linotype" w:cstheme="majorBidi"/>
          <w:b/>
        </w:rPr>
        <w:t>al tratarse ambas publicaciones de un comunicado emitido por el SUJETO OBLIGADO en medios oficiales</w:t>
      </w:r>
      <w:r>
        <w:rPr>
          <w:rFonts w:ascii="Palatino Linotype" w:eastAsia="MS Mincho" w:hAnsi="Palatino Linotype" w:cstheme="majorBidi"/>
        </w:rPr>
        <w:t xml:space="preserve">, ya que fueron difundidas, por un lado, dentro de su portal </w:t>
      </w:r>
      <w:r>
        <w:rPr>
          <w:rFonts w:ascii="Palatino Linotype" w:eastAsia="MS Mincho" w:hAnsi="Palatino Linotype" w:cstheme="majorBidi"/>
          <w:i/>
        </w:rPr>
        <w:t>web</w:t>
      </w:r>
      <w:r>
        <w:rPr>
          <w:rFonts w:ascii="Palatino Linotype" w:eastAsia="MS Mincho" w:hAnsi="Palatino Linotype" w:cstheme="majorBidi"/>
        </w:rPr>
        <w:t xml:space="preserve"> oficial y, por otro lado, a través de la cuenta de Twitter oficial de la Dirección de Desarrollo Económico, </w:t>
      </w:r>
      <w:r w:rsidRPr="00AA1694">
        <w:rPr>
          <w:rFonts w:ascii="Palatino Linotype" w:eastAsia="MS Mincho" w:hAnsi="Palatino Linotype" w:cstheme="majorBidi"/>
          <w:b/>
        </w:rPr>
        <w:t>éstas tienen la característica de ser un hecho notorio</w:t>
      </w:r>
      <w:r>
        <w:rPr>
          <w:rFonts w:ascii="Palatino Linotype" w:eastAsia="MS Mincho" w:hAnsi="Palatino Linotype" w:cstheme="majorBidi"/>
        </w:rPr>
        <w:t>.</w:t>
      </w:r>
    </w:p>
    <w:p w14:paraId="2EF93A7B" w14:textId="77777777" w:rsidR="00AA1694" w:rsidRPr="00AA1694" w:rsidRDefault="00AA1694" w:rsidP="00AA1694">
      <w:pPr>
        <w:pStyle w:val="Prrafodelista"/>
        <w:tabs>
          <w:tab w:val="left" w:pos="426"/>
        </w:tabs>
        <w:spacing w:before="240" w:after="240" w:line="360" w:lineRule="auto"/>
        <w:ind w:left="0" w:right="51"/>
        <w:jc w:val="both"/>
        <w:rPr>
          <w:rFonts w:ascii="Palatino Linotype" w:hAnsi="Palatino Linotype"/>
          <w:color w:val="000000" w:themeColor="text1"/>
        </w:rPr>
      </w:pPr>
    </w:p>
    <w:p w14:paraId="6BA29D01" w14:textId="3F048785" w:rsidR="00AA1694" w:rsidRPr="009B159A" w:rsidRDefault="00AA1694" w:rsidP="009B15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MS Mincho" w:hAnsi="Palatino Linotype" w:cstheme="majorBidi"/>
        </w:rPr>
        <w:lastRenderedPageBreak/>
        <w:t xml:space="preserve"> Sirve como Criterio Orientador, la</w:t>
      </w:r>
      <w:r w:rsidR="009B159A">
        <w:rPr>
          <w:rFonts w:ascii="Palatino Linotype" w:eastAsia="MS Mincho" w:hAnsi="Palatino Linotype" w:cstheme="majorBidi"/>
        </w:rPr>
        <w:t xml:space="preserve"> Tesis emitida por </w:t>
      </w:r>
      <w:r w:rsidRPr="009B159A">
        <w:rPr>
          <w:rFonts w:ascii="Palatino Linotype" w:eastAsia="MS Mincho" w:hAnsi="Palatino Linotype" w:cstheme="majorBidi"/>
        </w:rPr>
        <w:t>el Séptimo Tribunal Cole</w:t>
      </w:r>
      <w:r w:rsidR="009B159A">
        <w:rPr>
          <w:rFonts w:ascii="Palatino Linotype" w:eastAsia="MS Mincho" w:hAnsi="Palatino Linotype" w:cstheme="majorBidi"/>
        </w:rPr>
        <w:t>giado en Materia Administrativa del Máximo Juzgador del país, cuyo rubro y texto establece:</w:t>
      </w:r>
    </w:p>
    <w:p w14:paraId="586E2C6B" w14:textId="77777777" w:rsidR="00AA1694" w:rsidRDefault="00AA1694" w:rsidP="00AA1694">
      <w:pPr>
        <w:pStyle w:val="Prrafodelista"/>
        <w:tabs>
          <w:tab w:val="left" w:pos="426"/>
        </w:tabs>
        <w:spacing w:before="240" w:after="240" w:line="360" w:lineRule="auto"/>
        <w:ind w:left="0" w:right="51"/>
        <w:jc w:val="both"/>
        <w:rPr>
          <w:rFonts w:ascii="Palatino Linotype" w:hAnsi="Palatino Linotype"/>
          <w:color w:val="000000" w:themeColor="text1"/>
        </w:rPr>
      </w:pPr>
    </w:p>
    <w:p w14:paraId="1F7F157C" w14:textId="48C9C197" w:rsidR="009B159A" w:rsidRPr="009B159A" w:rsidRDefault="009B159A" w:rsidP="009B159A">
      <w:pPr>
        <w:tabs>
          <w:tab w:val="left" w:pos="851"/>
        </w:tabs>
        <w:spacing w:line="276" w:lineRule="auto"/>
        <w:ind w:left="567" w:right="567"/>
        <w:jc w:val="both"/>
        <w:rPr>
          <w:rFonts w:ascii="Palatino Linotype" w:hAnsi="Palatino Linotype" w:cs="Arial"/>
          <w:i/>
          <w:sz w:val="22"/>
        </w:rPr>
      </w:pPr>
      <w:r w:rsidRPr="009B159A">
        <w:rPr>
          <w:rFonts w:ascii="Palatino Linotype" w:hAnsi="Palatino Linotype" w:cs="Arial"/>
          <w:b/>
          <w:i/>
          <w:sz w:val="22"/>
        </w:rPr>
        <w:t>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w:t>
      </w:r>
      <w:r>
        <w:rPr>
          <w:rFonts w:ascii="Palatino Linotype" w:hAnsi="Palatino Linotype" w:cs="Arial"/>
          <w:b/>
          <w:i/>
          <w:sz w:val="22"/>
        </w:rPr>
        <w:t>STITUIR ÉSTA UN HECHO NOTORIO.</w:t>
      </w:r>
      <w:r>
        <w:rPr>
          <w:rFonts w:ascii="Palatino Linotype" w:hAnsi="Palatino Linotype" w:cs="Arial"/>
          <w:i/>
          <w:sz w:val="22"/>
        </w:rPr>
        <w:t xml:space="preserve"> “</w:t>
      </w:r>
      <w:r w:rsidRPr="009B159A">
        <w:rPr>
          <w:rFonts w:ascii="Palatino Linotype" w:hAnsi="Palatino Linotype" w:cs="Arial"/>
          <w:i/>
          <w:sz w:val="22"/>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70586D">
        <w:rPr>
          <w:rFonts w:ascii="Palatino Linotype" w:hAnsi="Palatino Linotype" w:cs="Arial"/>
          <w:i/>
          <w:sz w:val="22"/>
        </w:rPr>
        <w:t>Por otra parte,</w:t>
      </w:r>
      <w:r w:rsidRPr="009B159A">
        <w:rPr>
          <w:rFonts w:ascii="Palatino Linotype" w:hAnsi="Palatino Linotype" w:cs="Arial"/>
          <w:b/>
          <w:i/>
          <w:sz w:val="22"/>
        </w:rPr>
        <w:t xml:space="preserve"> </w:t>
      </w:r>
      <w:r w:rsidRPr="00DE3A30">
        <w:rPr>
          <w:rFonts w:ascii="Palatino Linotype" w:hAnsi="Palatino Linotype" w:cs="Arial"/>
          <w:b/>
          <w:i/>
          <w:sz w:val="22"/>
          <w:u w:val="single"/>
        </w:rPr>
        <w:t>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9B159A">
        <w:rPr>
          <w:rFonts w:ascii="Palatino Linotype" w:hAnsi="Palatino Linotype" w:cs="Arial"/>
          <w:b/>
          <w:i/>
          <w:sz w:val="22"/>
        </w:rPr>
        <w:t>,</w:t>
      </w:r>
      <w:r w:rsidRPr="009B159A">
        <w:rPr>
          <w:rFonts w:ascii="Palatino Linotype" w:hAnsi="Palatino Linotype" w:cs="Arial"/>
          <w:i/>
          <w:sz w:val="22"/>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w:t>
      </w:r>
      <w:r w:rsidRPr="009B159A">
        <w:rPr>
          <w:rFonts w:ascii="Palatino Linotype" w:hAnsi="Palatino Linotype" w:cs="Arial"/>
          <w:i/>
          <w:sz w:val="22"/>
        </w:rPr>
        <w:lastRenderedPageBreak/>
        <w:t xml:space="preserve">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w:t>
      </w:r>
      <w:r>
        <w:rPr>
          <w:rFonts w:ascii="Palatino Linotype" w:hAnsi="Palatino Linotype" w:cs="Arial"/>
          <w:i/>
          <w:sz w:val="22"/>
        </w:rPr>
        <w:t>un indicio sobre su existencia.”</w:t>
      </w:r>
    </w:p>
    <w:p w14:paraId="6967E613" w14:textId="77777777" w:rsidR="009B159A" w:rsidRPr="009B159A" w:rsidRDefault="009B159A" w:rsidP="009B159A">
      <w:pPr>
        <w:tabs>
          <w:tab w:val="left" w:pos="851"/>
        </w:tabs>
        <w:spacing w:line="276" w:lineRule="auto"/>
        <w:ind w:left="567" w:right="567"/>
        <w:jc w:val="both"/>
        <w:rPr>
          <w:rFonts w:ascii="Palatino Linotype" w:hAnsi="Palatino Linotype" w:cs="Arial"/>
          <w:i/>
          <w:sz w:val="22"/>
        </w:rPr>
      </w:pPr>
      <w:r w:rsidRPr="009B159A">
        <w:rPr>
          <w:rFonts w:ascii="Palatino Linotype" w:hAnsi="Palatino Linotype" w:cs="Arial"/>
          <w:i/>
          <w:sz w:val="22"/>
        </w:rPr>
        <w:t xml:space="preserve">SÉPTIMO TRIBUNAL COLEGIADO EN MATERIA ADMINISTRATIVA DEL PRIMER CIRCUITO.  </w:t>
      </w:r>
    </w:p>
    <w:p w14:paraId="51F2514D" w14:textId="77777777" w:rsidR="009B159A" w:rsidRPr="009B159A" w:rsidRDefault="009B159A" w:rsidP="009B159A">
      <w:pPr>
        <w:tabs>
          <w:tab w:val="left" w:pos="851"/>
        </w:tabs>
        <w:spacing w:line="276" w:lineRule="auto"/>
        <w:ind w:left="567" w:right="567"/>
        <w:jc w:val="both"/>
        <w:rPr>
          <w:rFonts w:ascii="Palatino Linotype" w:hAnsi="Palatino Linotype" w:cs="Arial"/>
          <w:i/>
          <w:sz w:val="22"/>
        </w:rPr>
      </w:pPr>
      <w:r w:rsidRPr="009B159A">
        <w:rPr>
          <w:rFonts w:ascii="Palatino Linotype" w:hAnsi="Palatino Linotype" w:cs="Arial"/>
          <w:i/>
          <w:sz w:val="22"/>
        </w:rPr>
        <w:t xml:space="preserve">Amparo en revisión 254/2013. Cornejo, Méndez González y Duarte, D.C. 20 de marzo de 2014. Unanimidad de votos. </w:t>
      </w:r>
    </w:p>
    <w:p w14:paraId="5825CE1D" w14:textId="77777777" w:rsidR="009B159A" w:rsidRPr="009B159A" w:rsidRDefault="009B159A" w:rsidP="009B159A">
      <w:pPr>
        <w:tabs>
          <w:tab w:val="left" w:pos="851"/>
        </w:tabs>
        <w:spacing w:line="276" w:lineRule="auto"/>
        <w:ind w:left="567" w:right="567"/>
        <w:jc w:val="both"/>
        <w:rPr>
          <w:rFonts w:ascii="Palatino Linotype" w:hAnsi="Palatino Linotype" w:cs="Arial"/>
          <w:i/>
          <w:sz w:val="22"/>
        </w:rPr>
      </w:pPr>
      <w:r w:rsidRPr="009B159A">
        <w:rPr>
          <w:rFonts w:ascii="Palatino Linotype" w:hAnsi="Palatino Linotype" w:cs="Arial"/>
          <w:i/>
          <w:sz w:val="22"/>
        </w:rPr>
        <w:t>Ponente: José Luis Caballero Rodríguez. Secretario: Valentín Omar González Méndez “</w:t>
      </w:r>
    </w:p>
    <w:p w14:paraId="3D6111E4" w14:textId="1B885D2F" w:rsidR="009B159A" w:rsidRPr="009B159A" w:rsidRDefault="009B159A" w:rsidP="009B159A">
      <w:pPr>
        <w:tabs>
          <w:tab w:val="left" w:pos="851"/>
        </w:tabs>
        <w:spacing w:line="276" w:lineRule="auto"/>
        <w:ind w:left="567" w:right="567"/>
        <w:jc w:val="both"/>
        <w:rPr>
          <w:rFonts w:ascii="Palatino Linotype" w:hAnsi="Palatino Linotype" w:cs="Arial"/>
          <w:sz w:val="22"/>
        </w:rPr>
      </w:pPr>
      <w:r w:rsidRPr="009B159A">
        <w:rPr>
          <w:rFonts w:ascii="Palatino Linotype" w:hAnsi="Palatino Linotype" w:cs="Arial"/>
          <w:sz w:val="22"/>
        </w:rPr>
        <w:t>(Énfasis añadido)</w:t>
      </w:r>
    </w:p>
    <w:p w14:paraId="5BAB7C51" w14:textId="77777777" w:rsidR="009B159A" w:rsidRPr="00AA1694" w:rsidRDefault="009B159A" w:rsidP="00AA1694">
      <w:pPr>
        <w:pStyle w:val="Prrafodelista"/>
        <w:tabs>
          <w:tab w:val="left" w:pos="426"/>
        </w:tabs>
        <w:spacing w:before="240" w:after="240" w:line="360" w:lineRule="auto"/>
        <w:ind w:left="0" w:right="51"/>
        <w:jc w:val="both"/>
        <w:rPr>
          <w:rFonts w:ascii="Palatino Linotype" w:hAnsi="Palatino Linotype"/>
          <w:color w:val="000000" w:themeColor="text1"/>
        </w:rPr>
      </w:pPr>
    </w:p>
    <w:p w14:paraId="16C595DF" w14:textId="1B99A604" w:rsidR="00B27897" w:rsidRPr="00B27897" w:rsidRDefault="00315579"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Consecuencia de lo anterior, no existe duda alguna de que el </w:t>
      </w:r>
      <w:r>
        <w:rPr>
          <w:rFonts w:ascii="Palatino Linotype" w:hAnsi="Palatino Linotype"/>
          <w:b/>
          <w:bCs/>
        </w:rPr>
        <w:t>SUJETO OBLIGADO</w:t>
      </w:r>
      <w:r>
        <w:rPr>
          <w:rFonts w:ascii="Palatino Linotype" w:hAnsi="Palatino Linotype"/>
        </w:rPr>
        <w:t xml:space="preserve"> implementó un programa de coordinación con diversos miembros del sector empresarial, al que se le denominó </w:t>
      </w:r>
      <w:r>
        <w:rPr>
          <w:rFonts w:ascii="Palatino Linotype" w:hAnsi="Palatino Linotype"/>
          <w:b/>
          <w:bCs/>
        </w:rPr>
        <w:t>“Adopta un espacio”</w:t>
      </w:r>
      <w:r>
        <w:rPr>
          <w:rFonts w:ascii="Palatino Linotype" w:hAnsi="Palatino Linotype"/>
        </w:rPr>
        <w:t>, con el objetivo de que éstos se hicieran cargo de realizar labores de mantenimiento y embellecimiento de espacios públicos determinados.</w:t>
      </w:r>
    </w:p>
    <w:p w14:paraId="7C123EA3"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31F55021" w14:textId="37D595E5" w:rsidR="00B27897" w:rsidRPr="00FE74B5" w:rsidRDefault="00315579"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Lo anterior se robustece amén de la información publicada por el </w:t>
      </w:r>
      <w:r>
        <w:rPr>
          <w:rFonts w:ascii="Palatino Linotype" w:hAnsi="Palatino Linotype"/>
          <w:b/>
          <w:bCs/>
        </w:rPr>
        <w:t>SUJETO OBLIGADO</w:t>
      </w:r>
      <w:r>
        <w:rPr>
          <w:rFonts w:ascii="Palatino Linotype" w:hAnsi="Palatino Linotype"/>
        </w:rPr>
        <w:t xml:space="preserve"> en su portal de Información Pública de Oficio Mexiquense (IPOMEX)</w:t>
      </w:r>
      <w:r>
        <w:rPr>
          <w:rStyle w:val="Refdenotaalpie"/>
          <w:rFonts w:ascii="Palatino Linotype" w:hAnsi="Palatino Linotype"/>
        </w:rPr>
        <w:footnoteReference w:id="14"/>
      </w:r>
      <w:r>
        <w:rPr>
          <w:rFonts w:ascii="Palatino Linotype" w:hAnsi="Palatino Linotype"/>
        </w:rPr>
        <w:t xml:space="preserve">; específicamente, dentro del apartado </w:t>
      </w:r>
      <w:r w:rsidR="0070586D">
        <w:rPr>
          <w:rFonts w:ascii="Palatino Linotype" w:hAnsi="Palatino Linotype"/>
        </w:rPr>
        <w:t>denominado</w:t>
      </w:r>
      <w:r>
        <w:rPr>
          <w:rFonts w:ascii="Palatino Linotype" w:hAnsi="Palatino Linotype"/>
        </w:rPr>
        <w:t xml:space="preserve"> </w:t>
      </w:r>
      <w:r>
        <w:rPr>
          <w:rFonts w:ascii="Palatino Linotype" w:hAnsi="Palatino Linotype"/>
          <w:i/>
          <w:iCs/>
        </w:rPr>
        <w:t>“Convenios de coordinación, de concertación con el sector social o privado”</w:t>
      </w:r>
      <w:r w:rsidR="00FE74B5">
        <w:rPr>
          <w:rStyle w:val="Refdenotaalpie"/>
          <w:rFonts w:ascii="Palatino Linotype" w:hAnsi="Palatino Linotype"/>
          <w:i/>
          <w:iCs/>
        </w:rPr>
        <w:footnoteReference w:id="15"/>
      </w:r>
      <w:r>
        <w:rPr>
          <w:rFonts w:ascii="Palatino Linotype" w:hAnsi="Palatino Linotype"/>
        </w:rPr>
        <w:t xml:space="preserve"> (el cual contempla la información pública reconocida en la fracción XXXVII del numeral 92 de la Ley de </w:t>
      </w:r>
      <w:r>
        <w:rPr>
          <w:rFonts w:ascii="Palatino Linotype" w:hAnsi="Palatino Linotype"/>
        </w:rPr>
        <w:lastRenderedPageBreak/>
        <w:t xml:space="preserve">la materia), y que dentro del ejercicio dos mil diecinueve se </w:t>
      </w:r>
      <w:r w:rsidR="00FE74B5">
        <w:rPr>
          <w:rFonts w:ascii="Palatino Linotype" w:hAnsi="Palatino Linotype"/>
        </w:rPr>
        <w:t>encuentran los siguientes registros</w:t>
      </w:r>
      <w:r w:rsidR="00FE74B5">
        <w:rPr>
          <w:rStyle w:val="Refdenotaalpie"/>
          <w:rFonts w:ascii="Palatino Linotype" w:hAnsi="Palatino Linotype"/>
        </w:rPr>
        <w:footnoteReference w:id="16"/>
      </w:r>
      <w:r w:rsidR="00FE74B5">
        <w:rPr>
          <w:rFonts w:ascii="Palatino Linotype" w:hAnsi="Palatino Linotype"/>
        </w:rPr>
        <w:t>:</w:t>
      </w:r>
    </w:p>
    <w:p w14:paraId="4E9AF103" w14:textId="03E0967E" w:rsidR="00FE74B5" w:rsidRPr="00FE74B5" w:rsidRDefault="00FE74B5" w:rsidP="00FE74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DE3A30">
        <w:rPr>
          <w:rFonts w:ascii="Palatino Linotype" w:hAnsi="Palatino Linotype"/>
          <w:b/>
          <w:color w:val="000000" w:themeColor="text1"/>
        </w:rPr>
        <w:t>Registro 011:</w:t>
      </w:r>
      <w:r>
        <w:rPr>
          <w:rFonts w:ascii="Palatino Linotype" w:hAnsi="Palatino Linotype"/>
          <w:color w:val="000000" w:themeColor="text1"/>
        </w:rPr>
        <w:t xml:space="preserve"> </w:t>
      </w:r>
      <w:r>
        <w:rPr>
          <w:rFonts w:ascii="Palatino Linotype" w:hAnsi="Palatino Linotype"/>
        </w:rPr>
        <w:t>Convenio de colaboración que celebran el Municipio de Ecatepec de Morelos</w:t>
      </w:r>
      <w:r w:rsidR="00274938">
        <w:rPr>
          <w:rFonts w:ascii="Palatino Linotype" w:hAnsi="Palatino Linotype"/>
        </w:rPr>
        <w:t xml:space="preserve">, representado por el Presidente Municipal, asistido por el Secretario del Ayuntamiento y la </w:t>
      </w:r>
      <w:r w:rsidR="00274938" w:rsidRPr="00274938">
        <w:rPr>
          <w:rFonts w:ascii="Palatino Linotype" w:hAnsi="Palatino Linotype"/>
          <w:b/>
          <w:bCs/>
        </w:rPr>
        <w:t>Directora de Desarrollo Económico</w:t>
      </w:r>
      <w:r w:rsidR="00274938">
        <w:rPr>
          <w:rFonts w:ascii="Palatino Linotype" w:hAnsi="Palatino Linotype"/>
        </w:rPr>
        <w:t>;</w:t>
      </w:r>
      <w:r>
        <w:rPr>
          <w:rFonts w:ascii="Palatino Linotype" w:hAnsi="Palatino Linotype"/>
        </w:rPr>
        <w:t xml:space="preserve"> y, por otra parte, la Unión Industrial del Estado de México;</w:t>
      </w:r>
    </w:p>
    <w:p w14:paraId="2A62209C" w14:textId="4E74610B" w:rsidR="00FE74B5" w:rsidRPr="00FE74B5" w:rsidRDefault="00FE74B5" w:rsidP="00FE74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DE3A30">
        <w:rPr>
          <w:rFonts w:ascii="Palatino Linotype" w:hAnsi="Palatino Linotype"/>
          <w:b/>
        </w:rPr>
        <w:t>Registro 012:</w:t>
      </w:r>
      <w:r>
        <w:rPr>
          <w:rFonts w:ascii="Palatino Linotype" w:hAnsi="Palatino Linotype"/>
        </w:rPr>
        <w:t xml:space="preserve"> Convenio de colaboración que celebran el Municipio de Ecatepec de Morelos</w:t>
      </w:r>
      <w:r w:rsidR="00274938">
        <w:rPr>
          <w:rFonts w:ascii="Palatino Linotype" w:hAnsi="Palatino Linotype"/>
        </w:rPr>
        <w:t xml:space="preserve">, representado por el Presidente Municipal, asistido por el Secretario del Ayuntamiento y la </w:t>
      </w:r>
      <w:r w:rsidR="00274938" w:rsidRPr="00274938">
        <w:rPr>
          <w:rFonts w:ascii="Palatino Linotype" w:hAnsi="Palatino Linotype"/>
          <w:b/>
          <w:bCs/>
        </w:rPr>
        <w:t>Directora de Desarrollo Económico</w:t>
      </w:r>
      <w:r w:rsidR="00274938">
        <w:rPr>
          <w:rFonts w:ascii="Palatino Linotype" w:hAnsi="Palatino Linotype"/>
        </w:rPr>
        <w:t xml:space="preserve">; </w:t>
      </w:r>
      <w:r>
        <w:rPr>
          <w:rFonts w:ascii="Palatino Linotype" w:hAnsi="Palatino Linotype"/>
        </w:rPr>
        <w:t>y, por otra parte, el Sindicato Empresarial;</w:t>
      </w:r>
    </w:p>
    <w:p w14:paraId="19A237EC" w14:textId="7A67CDFD" w:rsidR="00FE74B5" w:rsidRPr="00FE74B5" w:rsidRDefault="00FE74B5" w:rsidP="00FE74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DE3A30">
        <w:rPr>
          <w:rFonts w:ascii="Palatino Linotype" w:hAnsi="Palatino Linotype"/>
          <w:b/>
        </w:rPr>
        <w:t>Registro 014:</w:t>
      </w:r>
      <w:r>
        <w:rPr>
          <w:rFonts w:ascii="Palatino Linotype" w:hAnsi="Palatino Linotype"/>
        </w:rPr>
        <w:t xml:space="preserve"> Convenio de colaboración que celebran el Municipio de Ecatepec de Morelos</w:t>
      </w:r>
      <w:r w:rsidR="00274938">
        <w:rPr>
          <w:rFonts w:ascii="Palatino Linotype" w:hAnsi="Palatino Linotype"/>
        </w:rPr>
        <w:t xml:space="preserve">, representado por el Presidente Municipal, asistido por el Secretario del Ayuntamiento y la </w:t>
      </w:r>
      <w:r w:rsidR="00274938" w:rsidRPr="00274938">
        <w:rPr>
          <w:rFonts w:ascii="Palatino Linotype" w:hAnsi="Palatino Linotype"/>
          <w:b/>
          <w:bCs/>
        </w:rPr>
        <w:t>Directora de Desarrollo Económico</w:t>
      </w:r>
      <w:r w:rsidR="00274938">
        <w:rPr>
          <w:rFonts w:ascii="Palatino Linotype" w:hAnsi="Palatino Linotype"/>
        </w:rPr>
        <w:t xml:space="preserve">; </w:t>
      </w:r>
      <w:r>
        <w:rPr>
          <w:rFonts w:ascii="Palatino Linotype" w:hAnsi="Palatino Linotype"/>
        </w:rPr>
        <w:t>y, por otra parte, el Consejo Coordinador Empresarial Estado de México; y</w:t>
      </w:r>
    </w:p>
    <w:p w14:paraId="7931EC56" w14:textId="3B088E03" w:rsidR="00FE74B5" w:rsidRPr="00FE74B5" w:rsidRDefault="00FE74B5" w:rsidP="00FE74B5">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DE3A30">
        <w:rPr>
          <w:rFonts w:ascii="Palatino Linotype" w:hAnsi="Palatino Linotype"/>
          <w:b/>
        </w:rPr>
        <w:t>Registro 015:</w:t>
      </w:r>
      <w:r>
        <w:rPr>
          <w:rFonts w:ascii="Palatino Linotype" w:hAnsi="Palatino Linotype"/>
        </w:rPr>
        <w:t xml:space="preserve"> Convenio de colaboración que celebran el Municipio de Ecatepec de Morelos</w:t>
      </w:r>
      <w:r w:rsidR="00274938">
        <w:rPr>
          <w:rFonts w:ascii="Palatino Linotype" w:hAnsi="Palatino Linotype"/>
        </w:rPr>
        <w:t xml:space="preserve">, representado por el Presidente Municipal, asistido por el Secretario del Ayuntamiento y la </w:t>
      </w:r>
      <w:r w:rsidR="00274938" w:rsidRPr="00274938">
        <w:rPr>
          <w:rFonts w:ascii="Palatino Linotype" w:hAnsi="Palatino Linotype"/>
          <w:b/>
          <w:bCs/>
        </w:rPr>
        <w:t>Directora de Desarrollo Económico</w:t>
      </w:r>
      <w:r w:rsidR="00274938">
        <w:rPr>
          <w:rFonts w:ascii="Palatino Linotype" w:hAnsi="Palatino Linotype"/>
        </w:rPr>
        <w:t xml:space="preserve">; </w:t>
      </w:r>
      <w:r>
        <w:rPr>
          <w:rFonts w:ascii="Palatino Linotype" w:hAnsi="Palatino Linotype"/>
        </w:rPr>
        <w:t>y, por otra parte, la Cámara Empresarial.</w:t>
      </w:r>
      <w:r w:rsidRPr="00FE74B5">
        <w:rPr>
          <w:rFonts w:ascii="Palatino Linotype" w:hAnsi="Palatino Linotype"/>
          <w:color w:val="000000" w:themeColor="text1"/>
        </w:rPr>
        <w:t xml:space="preserve"> </w:t>
      </w:r>
    </w:p>
    <w:p w14:paraId="273061E6"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5C720B61" w14:textId="6647552C" w:rsidR="00B27897" w:rsidRPr="00B27897" w:rsidRDefault="00FE74B5"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Cabe destacar que el objeto de todos y cada uno de los convenios previamente enlistados contiene el mismo clausulado y objeto, del cual no se aprecia un fin, </w:t>
      </w:r>
      <w:r>
        <w:rPr>
          <w:rFonts w:ascii="Palatino Linotype" w:hAnsi="Palatino Linotype"/>
        </w:rPr>
        <w:lastRenderedPageBreak/>
        <w:t xml:space="preserve">actividad, derecho u obligación específico, pues </w:t>
      </w:r>
      <w:r w:rsidR="006A091D">
        <w:rPr>
          <w:rFonts w:ascii="Palatino Linotype" w:hAnsi="Palatino Linotype"/>
        </w:rPr>
        <w:t>únicamente se establece</w:t>
      </w:r>
      <w:r>
        <w:rPr>
          <w:rFonts w:ascii="Palatino Linotype" w:hAnsi="Palatino Linotype"/>
        </w:rPr>
        <w:t xml:space="preserve"> lo siguiente:</w:t>
      </w:r>
    </w:p>
    <w:p w14:paraId="57BE65FB" w14:textId="7F5C6690" w:rsid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16D79F4C" w14:textId="79BEB913" w:rsidR="00FE74B5" w:rsidRPr="00FE74B5" w:rsidRDefault="00FE74B5" w:rsidP="00FE74B5">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E74B5">
        <w:rPr>
          <w:rFonts w:ascii="Palatino Linotype" w:hAnsi="Palatino Linotype"/>
          <w:i/>
          <w:iCs/>
          <w:color w:val="000000" w:themeColor="text1"/>
          <w:sz w:val="22"/>
          <w:szCs w:val="22"/>
        </w:rPr>
        <w:t>“</w:t>
      </w:r>
      <w:r w:rsidRPr="00FE74B5">
        <w:rPr>
          <w:rFonts w:ascii="Palatino Linotype" w:hAnsi="Palatino Linotype"/>
          <w:b/>
          <w:bCs/>
          <w:i/>
          <w:iCs/>
          <w:color w:val="000000" w:themeColor="text1"/>
          <w:sz w:val="22"/>
          <w:szCs w:val="22"/>
        </w:rPr>
        <w:t xml:space="preserve">PRIMERA. </w:t>
      </w:r>
      <w:r w:rsidRPr="00FE74B5">
        <w:rPr>
          <w:rFonts w:ascii="Palatino Linotype" w:hAnsi="Palatino Linotype"/>
          <w:i/>
          <w:iCs/>
          <w:color w:val="000000" w:themeColor="text1"/>
          <w:sz w:val="22"/>
          <w:szCs w:val="22"/>
        </w:rPr>
        <w:t>El presente instrumento jurídico tiene como objeto iniciar entre</w:t>
      </w:r>
      <w:r w:rsidRPr="00FE74B5">
        <w:rPr>
          <w:rFonts w:ascii="Palatino Linotype" w:hAnsi="Palatino Linotype"/>
          <w:b/>
          <w:bCs/>
          <w:i/>
          <w:iCs/>
          <w:color w:val="000000" w:themeColor="text1"/>
          <w:sz w:val="22"/>
          <w:szCs w:val="22"/>
        </w:rPr>
        <w:t xml:space="preserve"> “AMBAS PARTES” </w:t>
      </w:r>
      <w:r w:rsidRPr="00FE74B5">
        <w:rPr>
          <w:rFonts w:ascii="Palatino Linotype" w:hAnsi="Palatino Linotype"/>
          <w:i/>
          <w:iCs/>
          <w:color w:val="000000" w:themeColor="text1"/>
          <w:sz w:val="22"/>
          <w:szCs w:val="22"/>
        </w:rPr>
        <w:t>un acuerdo de voluntades a fin de realizar acciones y estrategias encaminadas a buscar el desarrollo económico y social de nuestro municipio, de manera conjunta en restablecer espacios públicos para una mejor convivencia y un entorno saludable.”</w:t>
      </w:r>
      <w:r>
        <w:rPr>
          <w:rFonts w:ascii="Palatino Linotype" w:hAnsi="Palatino Linotype"/>
          <w:color w:val="000000" w:themeColor="text1"/>
          <w:sz w:val="22"/>
          <w:szCs w:val="22"/>
        </w:rPr>
        <w:t xml:space="preserve"> (Sic.)</w:t>
      </w:r>
    </w:p>
    <w:p w14:paraId="46C6D137" w14:textId="77777777" w:rsidR="00FE74B5" w:rsidRPr="00B27897" w:rsidRDefault="00FE74B5"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0440C4B1" w14:textId="43C670ED" w:rsid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2EE70E87" w14:textId="576C3BE1" w:rsidR="00274938" w:rsidRPr="00274938" w:rsidRDefault="00274938" w:rsidP="0027493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0" w:name="_Toc85118535"/>
      <w:r>
        <w:rPr>
          <w:rFonts w:ascii="Palatino Linotype" w:hAnsi="Palatino Linotype"/>
          <w:b/>
          <w:bCs/>
          <w:color w:val="000000" w:themeColor="text1"/>
        </w:rPr>
        <w:t>IV.II De las áreas administrativas que, por la naturaleza de sus funciones, pueden poseer, generar y/o administrar la información.</w:t>
      </w:r>
      <w:bookmarkEnd w:id="30"/>
    </w:p>
    <w:p w14:paraId="39021C40"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27223C85" w14:textId="01E333A4" w:rsidR="00B27897" w:rsidRPr="00B27897"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Una vez establecido lo anterior, debemos precisar que </w:t>
      </w:r>
      <w:r>
        <w:rPr>
          <w:rFonts w:ascii="Palatino Linotype" w:hAnsi="Palatino Linotype"/>
          <w:color w:val="000000" w:themeColor="text1"/>
        </w:rPr>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D097E19"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7DCA55FE" w14:textId="4991A7B7" w:rsidR="00B27897" w:rsidRPr="00B27897"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17"/>
      </w:r>
      <w:r w:rsidRPr="00956116">
        <w:rPr>
          <w:rFonts w:ascii="Palatino Linotype" w:hAnsi="Palatino Linotype" w:cs="Arial"/>
        </w:rPr>
        <w:t xml:space="preserve">, la cual será presidida por un </w:t>
      </w:r>
      <w:r w:rsidRPr="00956116">
        <w:rPr>
          <w:rFonts w:ascii="Palatino Linotype" w:hAnsi="Palatino Linotype" w:cs="Arial"/>
        </w:rPr>
        <w:lastRenderedPageBreak/>
        <w:t xml:space="preserve">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18"/>
      </w:r>
      <w:r w:rsidRPr="00956116">
        <w:rPr>
          <w:rFonts w:ascii="Palatino Linotype" w:hAnsi="Palatino Linotype" w:cs="Arial"/>
        </w:rPr>
        <w:t>.</w:t>
      </w:r>
    </w:p>
    <w:p w14:paraId="66F978A3" w14:textId="77777777" w:rsidR="00B27897" w:rsidRP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5871A091" w14:textId="30E8CB84" w:rsidR="00B27897" w:rsidRPr="00274938"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78C43F7" w14:textId="77777777" w:rsidR="00274938" w:rsidRPr="007B2587" w:rsidRDefault="00274938" w:rsidP="009A090B">
      <w:pPr>
        <w:pStyle w:val="Prrafodelista"/>
        <w:numPr>
          <w:ilvl w:val="1"/>
          <w:numId w:val="8"/>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tramitar y dar respuesta a las solicitudes de acceso a la información;</w:t>
      </w:r>
    </w:p>
    <w:p w14:paraId="3B1849C6" w14:textId="77777777" w:rsidR="00274938" w:rsidRPr="007B2587" w:rsidRDefault="00274938" w:rsidP="009A090B">
      <w:pPr>
        <w:pStyle w:val="Prrafodelista"/>
        <w:numPr>
          <w:ilvl w:val="1"/>
          <w:numId w:val="8"/>
        </w:numPr>
        <w:tabs>
          <w:tab w:val="left" w:pos="426"/>
        </w:tabs>
        <w:spacing w:before="240" w:after="240" w:line="360" w:lineRule="auto"/>
        <w:ind w:left="1134"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trámites internos necesarios para la atención de las solicitudes de acceso a la información; </w:t>
      </w:r>
    </w:p>
    <w:p w14:paraId="2DD3121D" w14:textId="77777777" w:rsidR="00274938" w:rsidRPr="007B2587" w:rsidRDefault="00274938" w:rsidP="009A090B">
      <w:pPr>
        <w:pStyle w:val="Prrafodelista"/>
        <w:numPr>
          <w:ilvl w:val="1"/>
          <w:numId w:val="8"/>
        </w:numPr>
        <w:tabs>
          <w:tab w:val="left" w:pos="426"/>
        </w:tabs>
        <w:spacing w:before="240" w:after="240" w:line="360" w:lineRule="auto"/>
        <w:ind w:left="1134"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6DD4431E" w14:textId="156AAC91" w:rsidR="00274938" w:rsidRPr="00274938" w:rsidRDefault="00274938" w:rsidP="009A090B">
      <w:pPr>
        <w:pStyle w:val="Prrafodelista"/>
        <w:numPr>
          <w:ilvl w:val="1"/>
          <w:numId w:val="8"/>
        </w:numPr>
        <w:tabs>
          <w:tab w:val="left" w:pos="426"/>
        </w:tabs>
        <w:spacing w:before="240" w:after="240" w:line="360" w:lineRule="auto"/>
        <w:ind w:left="1134" w:right="51"/>
        <w:jc w:val="both"/>
        <w:rPr>
          <w:rFonts w:ascii="Palatino Linotype" w:hAnsi="Palatino Linotype"/>
          <w:color w:val="000000" w:themeColor="text1"/>
        </w:rPr>
      </w:pPr>
      <w:r w:rsidRPr="007B2587">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2F1EBA10"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5C720F22" w14:textId="39FBE0B5" w:rsidR="00274938" w:rsidRPr="00274938"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 xml:space="preserve">serán designados por el titular del Sujeto </w:t>
      </w:r>
      <w:r w:rsidRPr="00A67297">
        <w:rPr>
          <w:rFonts w:ascii="Palatino Linotype" w:hAnsi="Palatino Linotype" w:cs="Arial"/>
          <w:color w:val="000000" w:themeColor="text1"/>
        </w:rPr>
        <w:lastRenderedPageBreak/>
        <w:t>Obligado a propuesta del responsable de la Unidad de Transparencia</w:t>
      </w:r>
      <w:r>
        <w:rPr>
          <w:rStyle w:val="Refdenotaalpie"/>
          <w:rFonts w:ascii="Palatino Linotype" w:hAnsi="Palatino Linotype" w:cs="Arial"/>
          <w:color w:val="000000" w:themeColor="text1"/>
        </w:rPr>
        <w:footnoteReference w:id="19"/>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20"/>
      </w:r>
      <w:r>
        <w:rPr>
          <w:rFonts w:ascii="Palatino Linotype" w:hAnsi="Palatino Linotype" w:cs="Arial"/>
          <w:color w:val="000000" w:themeColor="text1"/>
        </w:rPr>
        <w:t>:</w:t>
      </w:r>
    </w:p>
    <w:p w14:paraId="4E7A78A1" w14:textId="77777777" w:rsidR="00274938" w:rsidRPr="00A44BE6" w:rsidRDefault="00274938" w:rsidP="009A090B">
      <w:pPr>
        <w:pStyle w:val="Prrafodelista"/>
        <w:numPr>
          <w:ilvl w:val="1"/>
          <w:numId w:val="9"/>
        </w:numPr>
        <w:tabs>
          <w:tab w:val="left" w:pos="426"/>
        </w:tabs>
        <w:spacing w:before="240" w:after="240" w:line="360" w:lineRule="auto"/>
        <w:ind w:left="1134" w:right="51"/>
        <w:jc w:val="both"/>
        <w:rPr>
          <w:rFonts w:ascii="Palatino Linotype" w:hAnsi="Palatino Linotype" w:cs="Arial"/>
          <w:color w:val="000000" w:themeColor="text1"/>
        </w:rPr>
      </w:pPr>
      <w:r>
        <w:rPr>
          <w:rFonts w:ascii="Palatino Linotype" w:hAnsi="Palatino Linotype" w:cs="Arial"/>
          <w:color w:val="000000" w:themeColor="text1"/>
        </w:rPr>
        <w:t xml:space="preserve">Localizar </w:t>
      </w:r>
      <w:r w:rsidRPr="00A44BE6">
        <w:rPr>
          <w:rFonts w:ascii="Palatino Linotype" w:hAnsi="Palatino Linotype" w:cs="Arial"/>
          <w:color w:val="000000" w:themeColor="text1"/>
        </w:rPr>
        <w:t>la información que le solicite la Unidad de Transparencia; y</w:t>
      </w:r>
    </w:p>
    <w:p w14:paraId="0EE853D4" w14:textId="4B729A0B" w:rsidR="00274938" w:rsidRPr="00274938" w:rsidRDefault="00274938" w:rsidP="009A090B">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A44BE6">
        <w:rPr>
          <w:rFonts w:ascii="Palatino Linotype" w:hAnsi="Palatino Linotype" w:cs="Arial"/>
          <w:color w:val="000000" w:themeColor="text1"/>
        </w:rPr>
        <w:t>Proporcionar la información que obre en los archivos y que le sea solicitada por la Unidad de Transparencia.</w:t>
      </w:r>
    </w:p>
    <w:p w14:paraId="2511C126"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5307DE38" w14:textId="541CE5E2" w:rsidR="00274938" w:rsidRPr="00274938"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1AD7044"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7028F78F" w14:textId="355F9637" w:rsidR="00042E01" w:rsidRDefault="00274938"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Pr>
          <w:rFonts w:ascii="Palatino Linotype" w:hAnsi="Palatino Linotype"/>
          <w:color w:val="000000" w:themeColor="text1"/>
        </w:rPr>
        <w:t xml:space="preserve">el presente asunto, de las constancias que obran en el expediente digital del SAIMEX, se aprecia que la Unidad de Transparencia del </w:t>
      </w:r>
      <w:r>
        <w:rPr>
          <w:rFonts w:ascii="Palatino Linotype" w:hAnsi="Palatino Linotype"/>
          <w:b/>
          <w:color w:val="000000" w:themeColor="text1"/>
        </w:rPr>
        <w:t>SUJETO OBLIGADO</w:t>
      </w:r>
      <w:r>
        <w:rPr>
          <w:rFonts w:ascii="Palatino Linotype" w:hAnsi="Palatino Linotype"/>
          <w:color w:val="000000" w:themeColor="text1"/>
        </w:rPr>
        <w:t xml:space="preserve"> turnó la solicitud de información </w:t>
      </w:r>
      <w:r w:rsidR="00042E01">
        <w:rPr>
          <w:rFonts w:ascii="Palatino Linotype" w:hAnsi="Palatino Linotype"/>
          <w:b/>
          <w:color w:val="000000" w:themeColor="text1"/>
        </w:rPr>
        <w:t>00557</w:t>
      </w:r>
      <w:r>
        <w:rPr>
          <w:rFonts w:ascii="Palatino Linotype" w:hAnsi="Palatino Linotype"/>
          <w:b/>
          <w:color w:val="000000" w:themeColor="text1"/>
        </w:rPr>
        <w:t>/</w:t>
      </w:r>
      <w:r w:rsidR="00042E01">
        <w:rPr>
          <w:rFonts w:ascii="Palatino Linotype" w:hAnsi="Palatino Linotype"/>
          <w:b/>
          <w:color w:val="000000" w:themeColor="text1"/>
        </w:rPr>
        <w:t>ECATEPEC</w:t>
      </w:r>
      <w:r>
        <w:rPr>
          <w:rFonts w:ascii="Palatino Linotype" w:hAnsi="Palatino Linotype"/>
          <w:b/>
          <w:color w:val="000000" w:themeColor="text1"/>
        </w:rPr>
        <w:t>/IP/2021</w:t>
      </w:r>
      <w:r>
        <w:rPr>
          <w:rFonts w:ascii="Palatino Linotype" w:hAnsi="Palatino Linotype"/>
          <w:color w:val="000000" w:themeColor="text1"/>
        </w:rPr>
        <w:t xml:space="preserve"> a </w:t>
      </w:r>
      <w:r w:rsidR="00042E01">
        <w:rPr>
          <w:rFonts w:ascii="Palatino Linotype" w:hAnsi="Palatino Linotype"/>
          <w:color w:val="000000" w:themeColor="text1"/>
        </w:rPr>
        <w:t xml:space="preserve">cuatro servidores públicos habilitados, </w:t>
      </w:r>
      <w:r w:rsidR="0003673A">
        <w:rPr>
          <w:rFonts w:ascii="Palatino Linotype" w:hAnsi="Palatino Linotype"/>
          <w:color w:val="000000" w:themeColor="text1"/>
        </w:rPr>
        <w:t xml:space="preserve">de los cuales, </w:t>
      </w:r>
      <w:r w:rsidR="0003673A">
        <w:rPr>
          <w:rFonts w:ascii="Palatino Linotype" w:hAnsi="Palatino Linotype"/>
          <w:b/>
          <w:bCs/>
          <w:color w:val="000000" w:themeColor="text1"/>
        </w:rPr>
        <w:t xml:space="preserve">ninguno atendió la </w:t>
      </w:r>
      <w:r w:rsidR="0003673A" w:rsidRPr="0003673A">
        <w:rPr>
          <w:rFonts w:ascii="Palatino Linotype" w:hAnsi="Palatino Linotype"/>
          <w:b/>
          <w:bCs/>
          <w:color w:val="000000" w:themeColor="text1"/>
        </w:rPr>
        <w:t>solicitud</w:t>
      </w:r>
      <w:r w:rsidR="0003673A">
        <w:rPr>
          <w:rFonts w:ascii="Palatino Linotype" w:hAnsi="Palatino Linotype"/>
          <w:color w:val="000000" w:themeColor="text1"/>
        </w:rPr>
        <w:t xml:space="preserve">, </w:t>
      </w:r>
      <w:r w:rsidR="00042E01" w:rsidRPr="0003673A">
        <w:rPr>
          <w:rFonts w:ascii="Palatino Linotype" w:hAnsi="Palatino Linotype"/>
          <w:color w:val="000000" w:themeColor="text1"/>
        </w:rPr>
        <w:t>como</w:t>
      </w:r>
      <w:r w:rsidR="00042E01">
        <w:rPr>
          <w:rFonts w:ascii="Palatino Linotype" w:hAnsi="Palatino Linotype"/>
          <w:color w:val="000000" w:themeColor="text1"/>
        </w:rPr>
        <w:t xml:space="preserve"> se evidencia en la siguiente </w:t>
      </w:r>
      <w:r w:rsidR="0003673A">
        <w:rPr>
          <w:rFonts w:ascii="Palatino Linotype" w:hAnsi="Palatino Linotype"/>
          <w:color w:val="000000" w:themeColor="text1"/>
        </w:rPr>
        <w:t>captura</w:t>
      </w:r>
      <w:r w:rsidR="00042E01">
        <w:rPr>
          <w:rFonts w:ascii="Palatino Linotype" w:hAnsi="Palatino Linotype"/>
          <w:color w:val="000000" w:themeColor="text1"/>
        </w:rPr>
        <w:t>:</w:t>
      </w:r>
    </w:p>
    <w:p w14:paraId="7D6F56BB" w14:textId="67EB4B90" w:rsidR="00042E01" w:rsidRDefault="00042E01" w:rsidP="00042E01">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drawing>
          <wp:inline distT="0" distB="0" distL="0" distR="0" wp14:anchorId="79A717BF" wp14:editId="160B7F70">
            <wp:extent cx="4857750" cy="1105159"/>
            <wp:effectExtent l="57150" t="57150" r="95250" b="952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981" cy="11099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AB6E1" w14:textId="77777777" w:rsidR="00042E01" w:rsidRDefault="00042E01" w:rsidP="00042E01">
      <w:pPr>
        <w:pStyle w:val="Prrafodelista"/>
        <w:tabs>
          <w:tab w:val="left" w:pos="426"/>
        </w:tabs>
        <w:spacing w:before="240" w:after="240" w:line="360" w:lineRule="auto"/>
        <w:ind w:left="0" w:right="51"/>
        <w:rPr>
          <w:rFonts w:ascii="Palatino Linotype" w:hAnsi="Palatino Linotype"/>
          <w:color w:val="000000" w:themeColor="text1"/>
        </w:rPr>
      </w:pPr>
    </w:p>
    <w:p w14:paraId="3AD29BEF" w14:textId="384668FF" w:rsidR="00274938" w:rsidRPr="00274938" w:rsidRDefault="00042E01"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 imagen anterior, se logran advertir a los servidores públicos </w:t>
      </w:r>
      <w:r>
        <w:rPr>
          <w:rFonts w:ascii="Palatino Linotype" w:hAnsi="Palatino Linotype"/>
          <w:i/>
          <w:iCs/>
          <w:color w:val="000000" w:themeColor="text1"/>
        </w:rPr>
        <w:t xml:space="preserve">Lic. Viridiana Itzel Pérez Medina, C. </w:t>
      </w:r>
      <w:proofErr w:type="spellStart"/>
      <w:r>
        <w:rPr>
          <w:rFonts w:ascii="Palatino Linotype" w:hAnsi="Palatino Linotype"/>
          <w:i/>
          <w:iCs/>
          <w:color w:val="000000" w:themeColor="text1"/>
        </w:rPr>
        <w:t>Acoyani</w:t>
      </w:r>
      <w:proofErr w:type="spellEnd"/>
      <w:r>
        <w:rPr>
          <w:rFonts w:ascii="Palatino Linotype" w:hAnsi="Palatino Linotype"/>
          <w:i/>
          <w:iCs/>
          <w:color w:val="000000" w:themeColor="text1"/>
        </w:rPr>
        <w:t xml:space="preserve"> </w:t>
      </w:r>
      <w:proofErr w:type="spellStart"/>
      <w:r>
        <w:rPr>
          <w:rFonts w:ascii="Palatino Linotype" w:hAnsi="Palatino Linotype"/>
          <w:i/>
          <w:iCs/>
          <w:color w:val="000000" w:themeColor="text1"/>
        </w:rPr>
        <w:t>Mixtemoc</w:t>
      </w:r>
      <w:proofErr w:type="spellEnd"/>
      <w:r>
        <w:rPr>
          <w:rFonts w:ascii="Palatino Linotype" w:hAnsi="Palatino Linotype"/>
          <w:i/>
          <w:iCs/>
          <w:color w:val="000000" w:themeColor="text1"/>
        </w:rPr>
        <w:t xml:space="preserve"> Baroco Bonilla,</w:t>
      </w:r>
      <w:r>
        <w:rPr>
          <w:rFonts w:ascii="Palatino Linotype" w:hAnsi="Palatino Linotype"/>
          <w:color w:val="000000" w:themeColor="text1"/>
        </w:rPr>
        <w:t xml:space="preserve"> e </w:t>
      </w:r>
      <w:r>
        <w:rPr>
          <w:rFonts w:ascii="Palatino Linotype" w:hAnsi="Palatino Linotype"/>
          <w:i/>
          <w:iCs/>
          <w:color w:val="000000" w:themeColor="text1"/>
        </w:rPr>
        <w:t>Ing. Rodolfo Jonatan Arellano Treviño</w:t>
      </w:r>
      <w:r w:rsidR="00274938">
        <w:rPr>
          <w:rFonts w:ascii="Palatino Linotype" w:hAnsi="Palatino Linotype"/>
          <w:color w:val="000000" w:themeColor="text1"/>
        </w:rPr>
        <w:t xml:space="preserve">, mismos que, </w:t>
      </w:r>
      <w:r>
        <w:rPr>
          <w:rFonts w:ascii="Palatino Linotype" w:hAnsi="Palatino Linotype"/>
          <w:color w:val="000000" w:themeColor="text1"/>
        </w:rPr>
        <w:t>de la consulta al Directorio de Servidores Públicos</w:t>
      </w:r>
      <w:r>
        <w:rPr>
          <w:rStyle w:val="Refdenotaalpie"/>
          <w:rFonts w:ascii="Palatino Linotype" w:hAnsi="Palatino Linotype"/>
          <w:color w:val="000000" w:themeColor="text1"/>
        </w:rPr>
        <w:footnoteReference w:id="21"/>
      </w:r>
      <w:r>
        <w:rPr>
          <w:rFonts w:ascii="Palatino Linotype" w:hAnsi="Palatino Linotype"/>
          <w:color w:val="000000" w:themeColor="text1"/>
        </w:rPr>
        <w:t xml:space="preserve"> publicado en el IPOME</w:t>
      </w:r>
      <w:r w:rsidR="006A091D">
        <w:rPr>
          <w:rFonts w:ascii="Palatino Linotype" w:hAnsi="Palatino Linotype"/>
          <w:color w:val="000000" w:themeColor="text1"/>
        </w:rPr>
        <w:t>X</w:t>
      </w:r>
      <w:r>
        <w:rPr>
          <w:rFonts w:ascii="Palatino Linotype" w:hAnsi="Palatino Linotype"/>
          <w:color w:val="000000" w:themeColor="text1"/>
        </w:rPr>
        <w:t xml:space="preserve"> del </w:t>
      </w:r>
      <w:r>
        <w:rPr>
          <w:rFonts w:ascii="Palatino Linotype" w:hAnsi="Palatino Linotype"/>
          <w:b/>
          <w:bCs/>
          <w:color w:val="000000" w:themeColor="text1"/>
        </w:rPr>
        <w:t>SUJETO OBLIGADO</w:t>
      </w:r>
      <w:r w:rsidR="00274938">
        <w:rPr>
          <w:rFonts w:ascii="Palatino Linotype" w:hAnsi="Palatino Linotype"/>
          <w:color w:val="000000" w:themeColor="text1"/>
        </w:rPr>
        <w:t xml:space="preserve">, se aprecia que ostentan los cargos de </w:t>
      </w:r>
      <w:r>
        <w:rPr>
          <w:rFonts w:ascii="Palatino Linotype" w:hAnsi="Palatino Linotype"/>
          <w:b/>
          <w:color w:val="000000" w:themeColor="text1"/>
        </w:rPr>
        <w:t>Director “A” de la Dirección de Desarrollo Económico, Director “A” de la Dirección de Medio Ambiente y Ecología</w:t>
      </w:r>
      <w:r>
        <w:rPr>
          <w:rFonts w:ascii="Palatino Linotype" w:hAnsi="Palatino Linotype"/>
          <w:bCs/>
          <w:color w:val="000000" w:themeColor="text1"/>
        </w:rPr>
        <w:t xml:space="preserve">, y </w:t>
      </w:r>
      <w:r>
        <w:rPr>
          <w:rFonts w:ascii="Palatino Linotype" w:hAnsi="Palatino Linotype"/>
          <w:b/>
          <w:color w:val="000000" w:themeColor="text1"/>
        </w:rPr>
        <w:t>Director “A” de la Dirección de Desarrollo Urbano y Obras Públicas</w:t>
      </w:r>
      <w:r w:rsidR="00274938">
        <w:rPr>
          <w:rFonts w:ascii="Palatino Linotype" w:hAnsi="Palatino Linotype"/>
          <w:color w:val="000000" w:themeColor="text1"/>
        </w:rPr>
        <w:t xml:space="preserve"> respectivamente.</w:t>
      </w:r>
    </w:p>
    <w:p w14:paraId="2CF87FBA"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52DE9E3F" w14:textId="0735EC0A" w:rsidR="00274938" w:rsidRPr="006A091D" w:rsidRDefault="006A091D"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De conformidad con el Reglamento Interno de la Administración Pública Municipal de Ecatepec de Morelos, la </w:t>
      </w:r>
      <w:r w:rsidRPr="006A091D">
        <w:rPr>
          <w:rFonts w:ascii="Palatino Linotype" w:hAnsi="Palatino Linotype"/>
        </w:rPr>
        <w:t xml:space="preserve">Dirección de Desarrollo Económico realizará la investigación aplicada a la gestión de empresas y emprendimiento, </w:t>
      </w:r>
      <w:r w:rsidRPr="00DB1857">
        <w:rPr>
          <w:rFonts w:ascii="Palatino Linotype" w:hAnsi="Palatino Linotype"/>
          <w:b/>
        </w:rPr>
        <w:t>fomentando la participación de las unidades económicas para sumarse al desarrollo económico e integral del municipio</w:t>
      </w:r>
      <w:r w:rsidRPr="006A091D">
        <w:rPr>
          <w:rFonts w:ascii="Palatino Linotype" w:hAnsi="Palatino Linotype"/>
        </w:rPr>
        <w:t xml:space="preserve">, de acuerdo a la actividad comercial, industrial y de servicios que desempeñen, dentro del ámbito de su competencia, tendrá </w:t>
      </w:r>
      <w:r>
        <w:rPr>
          <w:rFonts w:ascii="Palatino Linotype" w:hAnsi="Palatino Linotype"/>
        </w:rPr>
        <w:t>entre sus atribuciones, las siguientes</w:t>
      </w:r>
      <w:r w:rsidR="00DB1857">
        <w:rPr>
          <w:rStyle w:val="Refdenotaalpie"/>
          <w:rFonts w:ascii="Palatino Linotype" w:hAnsi="Palatino Linotype"/>
        </w:rPr>
        <w:footnoteReference w:id="22"/>
      </w:r>
      <w:r w:rsidRPr="006A091D">
        <w:rPr>
          <w:rFonts w:ascii="Palatino Linotype" w:hAnsi="Palatino Linotype"/>
        </w:rPr>
        <w:t>:</w:t>
      </w:r>
    </w:p>
    <w:p w14:paraId="219A61BF" w14:textId="780F46A2" w:rsidR="006A091D" w:rsidRPr="006A091D" w:rsidRDefault="006A091D" w:rsidP="006A091D">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rPr>
        <w:t xml:space="preserve">Proponer </w:t>
      </w:r>
      <w:r w:rsidRPr="006A091D">
        <w:rPr>
          <w:rFonts w:ascii="Palatino Linotype" w:hAnsi="Palatino Linotype"/>
        </w:rPr>
        <w:t>políticas públicas y programas de desarrollo de actividades industriales, comerciales, mejora regulatoria, artesanales, prestación de servicios, empleo y abasto; fomentando su difusión, transparencia y el incremento de la calidad, productividad y competi</w:t>
      </w:r>
      <w:r>
        <w:rPr>
          <w:rFonts w:ascii="Palatino Linotype" w:hAnsi="Palatino Linotype"/>
        </w:rPr>
        <w:t>tividad económica del municipio; y</w:t>
      </w:r>
    </w:p>
    <w:p w14:paraId="13539B71" w14:textId="2D74E203" w:rsidR="006A091D" w:rsidRPr="006A091D" w:rsidRDefault="006A091D" w:rsidP="00A6069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6A091D">
        <w:rPr>
          <w:rFonts w:ascii="Palatino Linotype" w:hAnsi="Palatino Linotype"/>
        </w:rPr>
        <w:lastRenderedPageBreak/>
        <w:t>Asesorar al Gobierno Municipal en la elaboración de convenios en materia de planeación, programación, supervisión y evaluación del des</w:t>
      </w:r>
      <w:r>
        <w:rPr>
          <w:rFonts w:ascii="Palatino Linotype" w:hAnsi="Palatino Linotype"/>
        </w:rPr>
        <w:t>arrollo económico del Municipio.</w:t>
      </w:r>
    </w:p>
    <w:p w14:paraId="086DAEA4"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472249DE" w14:textId="29B8BF3F" w:rsidR="00274938" w:rsidRPr="00274938" w:rsidRDefault="00DB185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otro lado, la </w:t>
      </w:r>
      <w:r w:rsidRPr="00DB1857">
        <w:rPr>
          <w:rFonts w:ascii="Palatino Linotype" w:hAnsi="Palatino Linotype"/>
        </w:rPr>
        <w:t xml:space="preserve">Dirección de Desarrollo Urbano Sustentable buscará con prospectiva urbana, el desarrollo plural y sustentable del municipio, mediante la planeación, regulación y supervisión del Plan Municipal de Desarrollo Urbano en concordancia con el Plan Nacional de Desarrollo y el Plan Estatal de Desarrollo Urbano. A fin de contribuir al cumplimiento de los objetivos de las políticas municipales en la materia, en la planeación de desarrollo urbano, sustentabilidad y vivienda, se deberán considerar los criterios sobre asentamientos humanos que establece el Plan Municipal de Desarrollo Urbano vigente, </w:t>
      </w:r>
      <w:r>
        <w:rPr>
          <w:rFonts w:ascii="Palatino Linotype" w:hAnsi="Palatino Linotype"/>
        </w:rPr>
        <w:t>así como la normatividad aplicable</w:t>
      </w:r>
      <w:r w:rsidRPr="00DB1857">
        <w:rPr>
          <w:rFonts w:ascii="Palatino Linotype" w:hAnsi="Palatino Linotype"/>
        </w:rPr>
        <w:t xml:space="preserve"> en materia de conservación y equilibrio ecológico, conservación de los recursos naturales, mejoramiento de los ecosistemas, biodiversidad y protección del ambiente para el desarrollo sustentable; promover la participación solidaria y subsidiaria de la sociedad en la planeación, determinación, ejecución, operación y evaluación de la política ambiental; promover, fomentar y difundir ante la ciudadanía, una conciencia de cultura ambiental en coordinación con las autoridades educativas. Lo anterior mediante la </w:t>
      </w:r>
      <w:r w:rsidRPr="00DB1857">
        <w:rPr>
          <w:rFonts w:ascii="Palatino Linotype" w:hAnsi="Palatino Linotype"/>
          <w:b/>
        </w:rPr>
        <w:t>concertación de acciones e inversiones con los sectores</w:t>
      </w:r>
      <w:r w:rsidRPr="00DB1857">
        <w:rPr>
          <w:rFonts w:ascii="Palatino Linotype" w:hAnsi="Palatino Linotype"/>
        </w:rPr>
        <w:t xml:space="preserve"> público, </w:t>
      </w:r>
      <w:r w:rsidRPr="00DB1857">
        <w:rPr>
          <w:rFonts w:ascii="Palatino Linotype" w:hAnsi="Palatino Linotype"/>
          <w:b/>
        </w:rPr>
        <w:t>social y privado</w:t>
      </w:r>
      <w:r w:rsidRPr="00DB1857">
        <w:rPr>
          <w:rFonts w:ascii="Palatino Linotype" w:hAnsi="Palatino Linotype"/>
        </w:rPr>
        <w:t>, con las instituciones académicas, grupos y organizaciones</w:t>
      </w:r>
      <w:r>
        <w:rPr>
          <w:rFonts w:ascii="Palatino Linotype" w:hAnsi="Palatino Linotype"/>
        </w:rPr>
        <w:t xml:space="preserve"> </w:t>
      </w:r>
      <w:r w:rsidRPr="00DB1857">
        <w:rPr>
          <w:rFonts w:ascii="Palatino Linotype" w:hAnsi="Palatino Linotype"/>
        </w:rPr>
        <w:t>sociales</w:t>
      </w:r>
      <w:r>
        <w:rPr>
          <w:rFonts w:ascii="Palatino Linotype" w:hAnsi="Palatino Linotype"/>
        </w:rPr>
        <w:t xml:space="preserve"> </w:t>
      </w:r>
      <w:r w:rsidRPr="00DB1857">
        <w:rPr>
          <w:rFonts w:ascii="Palatino Linotype" w:hAnsi="Palatino Linotype"/>
        </w:rPr>
        <w:t>y</w:t>
      </w:r>
      <w:r>
        <w:rPr>
          <w:rFonts w:ascii="Palatino Linotype" w:hAnsi="Palatino Linotype"/>
        </w:rPr>
        <w:t xml:space="preserve"> </w:t>
      </w:r>
      <w:r w:rsidRPr="00DB1857">
        <w:rPr>
          <w:rFonts w:ascii="Palatino Linotype" w:hAnsi="Palatino Linotype"/>
        </w:rPr>
        <w:t>personas interesadas</w:t>
      </w:r>
      <w:r>
        <w:rPr>
          <w:rStyle w:val="Refdenotaalpie"/>
          <w:rFonts w:ascii="Palatino Linotype" w:hAnsi="Palatino Linotype"/>
        </w:rPr>
        <w:footnoteReference w:id="23"/>
      </w:r>
      <w:r w:rsidRPr="00DB1857">
        <w:rPr>
          <w:rFonts w:ascii="Palatino Linotype" w:hAnsi="Palatino Linotype"/>
        </w:rPr>
        <w:t>.</w:t>
      </w:r>
    </w:p>
    <w:p w14:paraId="6B582101"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29483B71" w14:textId="73EBF782" w:rsidR="00274938" w:rsidRPr="00274938" w:rsidRDefault="00DB185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Dirección </w:t>
      </w:r>
      <w:r w:rsidRPr="00DB1857">
        <w:rPr>
          <w:rFonts w:ascii="Palatino Linotype" w:hAnsi="Palatino Linotype"/>
          <w:color w:val="000000" w:themeColor="text1"/>
        </w:rPr>
        <w:t>de Desarrollo Urbano Sustentable</w:t>
      </w:r>
      <w:r>
        <w:rPr>
          <w:rFonts w:ascii="Palatino Linotype" w:hAnsi="Palatino Linotype"/>
          <w:color w:val="000000" w:themeColor="text1"/>
        </w:rPr>
        <w:t>,</w:t>
      </w:r>
      <w:r w:rsidRPr="00DB1857">
        <w:rPr>
          <w:rFonts w:ascii="Palatino Linotype" w:hAnsi="Palatino Linotype"/>
          <w:color w:val="000000" w:themeColor="text1"/>
        </w:rPr>
        <w:t xml:space="preserve"> a través de la </w:t>
      </w:r>
      <w:r w:rsidRPr="00DB1857">
        <w:rPr>
          <w:rFonts w:ascii="Palatino Linotype" w:hAnsi="Palatino Linotype"/>
          <w:b/>
          <w:color w:val="000000" w:themeColor="text1"/>
        </w:rPr>
        <w:t>Coordinación de Medio Ambiente</w:t>
      </w:r>
      <w:r w:rsidRPr="00DB1857">
        <w:rPr>
          <w:rFonts w:ascii="Palatino Linotype" w:hAnsi="Palatino Linotype"/>
          <w:color w:val="000000" w:themeColor="text1"/>
        </w:rPr>
        <w:t xml:space="preserve">, se hará cargo del Desarrollo Metropolitano y Medio Ambiente a nivel Municipal con forme a la aplicación de la Ley General de Equilibrio Ecológico y la Protección al Ambiente, el Código para la Biodiversidad del Estado de México y su Reglamento, así como del Reglamento de Protección al Ambiente del Municipio de Ecatepec de Morelos; en materia de conservación y equilibrio ecológico, conservación de los recursos naturales, mejoramiento de los ecosistemas, biodiversidad y protección del ambiente para el desarrollo sustentable; promover la participación solidaria y subsidiaria de la sociedad en la planeación, determinación, ejecución, operación y evaluación de la política ambiental; promover, fomentar y difundir ante la ciudadanía, una conciencia de cultura ambiental en coordinación con las autoridades educativas. Lo anterior mediante la </w:t>
      </w:r>
      <w:r w:rsidRPr="00DB1857">
        <w:rPr>
          <w:rFonts w:ascii="Palatino Linotype" w:hAnsi="Palatino Linotype"/>
          <w:b/>
          <w:color w:val="000000" w:themeColor="text1"/>
        </w:rPr>
        <w:t>concertación de acciones e inversiones con los sectores</w:t>
      </w:r>
      <w:r w:rsidRPr="00DB1857">
        <w:rPr>
          <w:rFonts w:ascii="Palatino Linotype" w:hAnsi="Palatino Linotype"/>
          <w:color w:val="000000" w:themeColor="text1"/>
        </w:rPr>
        <w:t xml:space="preserve"> público, </w:t>
      </w:r>
      <w:r w:rsidRPr="00DB1857">
        <w:rPr>
          <w:rFonts w:ascii="Palatino Linotype" w:hAnsi="Palatino Linotype"/>
          <w:b/>
          <w:color w:val="000000" w:themeColor="text1"/>
        </w:rPr>
        <w:t>social y privado</w:t>
      </w:r>
      <w:r w:rsidRPr="00DB1857">
        <w:rPr>
          <w:rFonts w:ascii="Palatino Linotype" w:hAnsi="Palatino Linotype"/>
          <w:color w:val="000000" w:themeColor="text1"/>
        </w:rPr>
        <w:t>, con las instituciones académicas, grupos y organizaciones sociales y personas interesadas</w:t>
      </w:r>
      <w:r>
        <w:rPr>
          <w:rStyle w:val="Refdenotaalpie"/>
          <w:rFonts w:ascii="Palatino Linotype" w:hAnsi="Palatino Linotype"/>
          <w:color w:val="000000" w:themeColor="text1"/>
        </w:rPr>
        <w:footnoteReference w:id="24"/>
      </w:r>
    </w:p>
    <w:p w14:paraId="56BDEA38"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4BB0E7EC" w14:textId="3264E003" w:rsidR="00274938" w:rsidRPr="00DB1857" w:rsidRDefault="00DB185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Mientras que la </w:t>
      </w:r>
      <w:r w:rsidRPr="00DB1857">
        <w:rPr>
          <w:rFonts w:ascii="Palatino Linotype" w:hAnsi="Palatino Linotype"/>
          <w:b/>
        </w:rPr>
        <w:t xml:space="preserve">Dirección de Obras Públicas, planeará, ejecutará, supervisará y mantendrá en óptimas condiciones las obras públicas municipales, llevando el control y vigilancia de </w:t>
      </w:r>
      <w:proofErr w:type="gramStart"/>
      <w:r w:rsidRPr="00DB1857">
        <w:rPr>
          <w:rFonts w:ascii="Palatino Linotype" w:hAnsi="Palatino Linotype"/>
          <w:b/>
        </w:rPr>
        <w:t>los mismos</w:t>
      </w:r>
      <w:proofErr w:type="gramEnd"/>
      <w:r w:rsidRPr="00DB1857">
        <w:rPr>
          <w:rFonts w:ascii="Palatino Linotype" w:hAnsi="Palatino Linotype"/>
        </w:rPr>
        <w:t xml:space="preserve">, dentro del ámbito de su competencia, tendrá </w:t>
      </w:r>
      <w:r>
        <w:rPr>
          <w:rFonts w:ascii="Palatino Linotype" w:hAnsi="Palatino Linotype"/>
        </w:rPr>
        <w:t>entre sus</w:t>
      </w:r>
      <w:r w:rsidRPr="00DB1857">
        <w:rPr>
          <w:rFonts w:ascii="Palatino Linotype" w:hAnsi="Palatino Linotype"/>
        </w:rPr>
        <w:t xml:space="preserve"> atribuciones</w:t>
      </w:r>
      <w:r>
        <w:rPr>
          <w:rFonts w:ascii="Palatino Linotype" w:hAnsi="Palatino Linotype"/>
        </w:rPr>
        <w:t>, las siguientes</w:t>
      </w:r>
      <w:r>
        <w:rPr>
          <w:rStyle w:val="Refdenotaalpie"/>
          <w:rFonts w:ascii="Palatino Linotype" w:hAnsi="Palatino Linotype"/>
        </w:rPr>
        <w:footnoteReference w:id="25"/>
      </w:r>
      <w:r w:rsidRPr="00DB1857">
        <w:rPr>
          <w:rFonts w:ascii="Palatino Linotype" w:hAnsi="Palatino Linotype"/>
        </w:rPr>
        <w:t>:</w:t>
      </w:r>
    </w:p>
    <w:p w14:paraId="62F2ACDA" w14:textId="49D3EA07" w:rsidR="00DB1857" w:rsidRPr="006037F9" w:rsidRDefault="00DB1857" w:rsidP="009A090B">
      <w:pPr>
        <w:pStyle w:val="Prrafodelista"/>
        <w:numPr>
          <w:ilvl w:val="1"/>
          <w:numId w:val="1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rPr>
        <w:lastRenderedPageBreak/>
        <w:t xml:space="preserve">Proyectar </w:t>
      </w:r>
      <w:r w:rsidRPr="00DB1857">
        <w:rPr>
          <w:rFonts w:ascii="Palatino Linotype" w:hAnsi="Palatino Linotype"/>
        </w:rPr>
        <w:t xml:space="preserve">las obras públicas y servicios relacionados que realice el Municipio, incluyendo la </w:t>
      </w:r>
      <w:r w:rsidRPr="006037F9">
        <w:rPr>
          <w:rFonts w:ascii="Palatino Linotype" w:hAnsi="Palatino Linotype"/>
          <w:b/>
        </w:rPr>
        <w:t>conservación y mantenimiento de edificios, monumentos, calles, parques y jardines</w:t>
      </w:r>
      <w:r w:rsidR="006037F9">
        <w:rPr>
          <w:rFonts w:ascii="Palatino Linotype" w:hAnsi="Palatino Linotype"/>
        </w:rPr>
        <w:t>;</w:t>
      </w:r>
    </w:p>
    <w:p w14:paraId="0382BE87" w14:textId="75BA220E" w:rsidR="006037F9" w:rsidRDefault="006037F9" w:rsidP="009A090B">
      <w:pPr>
        <w:pStyle w:val="Prrafodelista"/>
        <w:numPr>
          <w:ilvl w:val="1"/>
          <w:numId w:val="11"/>
        </w:numPr>
        <w:tabs>
          <w:tab w:val="left" w:pos="426"/>
        </w:tabs>
        <w:spacing w:before="240" w:after="240" w:line="360" w:lineRule="auto"/>
        <w:ind w:left="993" w:right="51"/>
        <w:jc w:val="both"/>
        <w:rPr>
          <w:rFonts w:ascii="Palatino Linotype" w:hAnsi="Palatino Linotype"/>
          <w:color w:val="000000" w:themeColor="text1"/>
        </w:rPr>
      </w:pPr>
      <w:r w:rsidRPr="006037F9">
        <w:rPr>
          <w:rFonts w:ascii="Palatino Linotype" w:hAnsi="Palatino Linotype"/>
          <w:color w:val="000000" w:themeColor="text1"/>
        </w:rPr>
        <w:t xml:space="preserve">Determinar y cuantificar los </w:t>
      </w:r>
      <w:r w:rsidRPr="006037F9">
        <w:rPr>
          <w:rFonts w:ascii="Palatino Linotype" w:hAnsi="Palatino Linotype"/>
          <w:b/>
          <w:color w:val="000000" w:themeColor="text1"/>
        </w:rPr>
        <w:t>materiales y trabajos necesarios para programas de construcción y mantenimiento</w:t>
      </w:r>
      <w:r w:rsidRPr="006037F9">
        <w:rPr>
          <w:rFonts w:ascii="Palatino Linotype" w:hAnsi="Palatino Linotype"/>
          <w:color w:val="000000" w:themeColor="text1"/>
        </w:rPr>
        <w:t xml:space="preserve"> de obras públicas y servicios relacionados;</w:t>
      </w:r>
    </w:p>
    <w:p w14:paraId="61839DED" w14:textId="78F8E510" w:rsidR="006037F9" w:rsidRPr="00274938" w:rsidRDefault="006037F9" w:rsidP="009A090B">
      <w:pPr>
        <w:pStyle w:val="Prrafodelista"/>
        <w:numPr>
          <w:ilvl w:val="1"/>
          <w:numId w:val="1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Coordinar </w:t>
      </w:r>
      <w:r w:rsidRPr="006037F9">
        <w:rPr>
          <w:rFonts w:ascii="Palatino Linotype" w:hAnsi="Palatino Linotype"/>
          <w:color w:val="000000" w:themeColor="text1"/>
        </w:rPr>
        <w:t xml:space="preserve">y </w:t>
      </w:r>
      <w:r w:rsidRPr="006037F9">
        <w:rPr>
          <w:rFonts w:ascii="Palatino Linotype" w:hAnsi="Palatino Linotype"/>
          <w:b/>
          <w:color w:val="000000" w:themeColor="text1"/>
        </w:rPr>
        <w:t>supervisar que todo el proceso de las obras públicas</w:t>
      </w:r>
      <w:r w:rsidRPr="006037F9">
        <w:rPr>
          <w:rFonts w:ascii="Palatino Linotype" w:hAnsi="Palatino Linotype"/>
          <w:color w:val="000000" w:themeColor="text1"/>
        </w:rPr>
        <w:t xml:space="preserve"> que se realicen en el Municipio </w:t>
      </w:r>
      <w:r w:rsidRPr="006037F9">
        <w:rPr>
          <w:rFonts w:ascii="Palatino Linotype" w:hAnsi="Palatino Linotype"/>
          <w:b/>
          <w:color w:val="000000" w:themeColor="text1"/>
        </w:rPr>
        <w:t>se lleve a cabo conforme a la legislación y normatividad</w:t>
      </w:r>
      <w:r>
        <w:rPr>
          <w:rFonts w:ascii="Palatino Linotype" w:hAnsi="Palatino Linotype"/>
          <w:color w:val="000000" w:themeColor="text1"/>
        </w:rPr>
        <w:t xml:space="preserve"> en materia de obra pública.</w:t>
      </w:r>
    </w:p>
    <w:p w14:paraId="0225A27F"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19C2AD77" w14:textId="7A52D301" w:rsidR="00274938" w:rsidRPr="00274938" w:rsidRDefault="006037F9"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Así las cosas, esta Ponencia Resolutora determina que, si bien la Unidad de Transparencia atendió las obligaciones que mandata la Ley de la materia con respecto a turnar la solicitud de información a las áreas administrativas que, por la naturaleza de sus funciones, puedan tener competencia para poseer, generar o administrar lo requerido; no se advierte que la solicitud se turnase a </w:t>
      </w:r>
      <w:r>
        <w:rPr>
          <w:rFonts w:ascii="Palatino Linotype" w:hAnsi="Palatino Linotype"/>
          <w:b/>
        </w:rPr>
        <w:t>todas</w:t>
      </w:r>
      <w:r>
        <w:rPr>
          <w:rFonts w:ascii="Palatino Linotype" w:hAnsi="Palatino Linotype"/>
        </w:rPr>
        <w:t xml:space="preserve"> las áreas del ayuntamiento competentes para emitir una respuesta positiva.</w:t>
      </w:r>
    </w:p>
    <w:p w14:paraId="029ECDB0" w14:textId="77777777" w:rsidR="00274938" w:rsidRPr="00274938" w:rsidRDefault="00274938" w:rsidP="00274938">
      <w:pPr>
        <w:pStyle w:val="Prrafodelista"/>
        <w:tabs>
          <w:tab w:val="left" w:pos="426"/>
        </w:tabs>
        <w:spacing w:before="240" w:after="240" w:line="360" w:lineRule="auto"/>
        <w:ind w:left="0" w:right="51"/>
        <w:jc w:val="both"/>
        <w:rPr>
          <w:rFonts w:ascii="Palatino Linotype" w:hAnsi="Palatino Linotype"/>
          <w:color w:val="000000" w:themeColor="text1"/>
        </w:rPr>
      </w:pPr>
    </w:p>
    <w:p w14:paraId="58161ABE" w14:textId="5FB2503E" w:rsidR="00274938" w:rsidRPr="006037F9" w:rsidRDefault="006037F9"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Lo anterior es así, ya que de manera enunciativa mas no limitativa, de la consulta al Reglamento Interno de la Administración Pública Municipal de Ecatepec de Morelos, se advierte que la Secretaría del Ayuntamiento, la Tesorería y, la Gerencia de la Ciudad, por su objeto y atribuciones, también deberían de tener conocimiento sobre las acciones devengadas con motivo de la suscripción de los convenios derivados del programa “Adopta un Espacio”.</w:t>
      </w:r>
    </w:p>
    <w:p w14:paraId="4A33BD05" w14:textId="77777777" w:rsidR="006037F9" w:rsidRPr="006037F9" w:rsidRDefault="006037F9"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41965596" w14:textId="3568186B" w:rsidR="006037F9" w:rsidRPr="00BA77A6" w:rsidRDefault="006037F9"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Por cuanto hace a la Secretaría del </w:t>
      </w:r>
      <w:r w:rsidRPr="006037F9">
        <w:rPr>
          <w:rFonts w:ascii="Palatino Linotype" w:hAnsi="Palatino Linotype"/>
        </w:rPr>
        <w:t xml:space="preserve">Ayuntamiento estará a cargo de un </w:t>
      </w:r>
      <w:r w:rsidR="00BA77A6">
        <w:rPr>
          <w:rFonts w:ascii="Palatino Linotype" w:hAnsi="Palatino Linotype"/>
        </w:rPr>
        <w:t>Secretario</w:t>
      </w:r>
      <w:r w:rsidRPr="006037F9">
        <w:rPr>
          <w:rFonts w:ascii="Palatino Linotype" w:hAnsi="Palatino Linotype"/>
        </w:rPr>
        <w:t xml:space="preserve">, </w:t>
      </w:r>
      <w:r w:rsidR="00BA77A6">
        <w:rPr>
          <w:rFonts w:ascii="Palatino Linotype" w:hAnsi="Palatino Linotype"/>
        </w:rPr>
        <w:t>a quien</w:t>
      </w:r>
      <w:r w:rsidRPr="006037F9">
        <w:rPr>
          <w:rFonts w:ascii="Palatino Linotype" w:hAnsi="Palatino Linotype"/>
        </w:rPr>
        <w:t xml:space="preserve"> le corresponde</w:t>
      </w:r>
      <w:r w:rsidR="00BA77A6">
        <w:rPr>
          <w:rFonts w:ascii="Palatino Linotype" w:hAnsi="Palatino Linotype"/>
        </w:rPr>
        <w:t>rá, entre otros</w:t>
      </w:r>
      <w:r w:rsidRPr="006037F9">
        <w:rPr>
          <w:rFonts w:ascii="Palatino Linotype" w:hAnsi="Palatino Linotype"/>
        </w:rPr>
        <w:t>, el despacho de los siguientes asuntos</w:t>
      </w:r>
      <w:r>
        <w:rPr>
          <w:rStyle w:val="Refdenotaalpie"/>
          <w:rFonts w:ascii="Palatino Linotype" w:hAnsi="Palatino Linotype"/>
        </w:rPr>
        <w:footnoteReference w:id="26"/>
      </w:r>
      <w:r w:rsidRPr="006037F9">
        <w:rPr>
          <w:rFonts w:ascii="Palatino Linotype" w:hAnsi="Palatino Linotype"/>
        </w:rPr>
        <w:t>:</w:t>
      </w:r>
    </w:p>
    <w:p w14:paraId="757D97A3" w14:textId="29B485B5" w:rsidR="00BA77A6" w:rsidRDefault="00BA77A6" w:rsidP="009A090B">
      <w:pPr>
        <w:pStyle w:val="Prrafodelista"/>
        <w:numPr>
          <w:ilvl w:val="1"/>
          <w:numId w:val="12"/>
        </w:numPr>
        <w:tabs>
          <w:tab w:val="left" w:pos="426"/>
        </w:tabs>
        <w:spacing w:before="240" w:after="240" w:line="360" w:lineRule="auto"/>
        <w:ind w:left="993" w:right="51"/>
        <w:jc w:val="both"/>
        <w:rPr>
          <w:rFonts w:ascii="Palatino Linotype" w:hAnsi="Palatino Linotype"/>
          <w:color w:val="000000" w:themeColor="text1"/>
        </w:rPr>
      </w:pPr>
      <w:r w:rsidRPr="00BA77A6">
        <w:rPr>
          <w:rFonts w:ascii="Palatino Linotype" w:hAnsi="Palatino Linotype"/>
          <w:color w:val="000000" w:themeColor="text1"/>
        </w:rPr>
        <w:t>Validar con su firma, las actas, certificaciones y documentos oficiales emanados del H. Ayuntamiento;</w:t>
      </w:r>
    </w:p>
    <w:p w14:paraId="270B20B6" w14:textId="423AFDB3" w:rsidR="00BA77A6" w:rsidRPr="006037F9" w:rsidRDefault="00BA77A6" w:rsidP="009A090B">
      <w:pPr>
        <w:pStyle w:val="Prrafodelista"/>
        <w:numPr>
          <w:ilvl w:val="1"/>
          <w:numId w:val="12"/>
        </w:numPr>
        <w:tabs>
          <w:tab w:val="left" w:pos="426"/>
        </w:tabs>
        <w:spacing w:before="240" w:after="240" w:line="360" w:lineRule="auto"/>
        <w:ind w:left="993" w:right="51"/>
        <w:jc w:val="both"/>
        <w:rPr>
          <w:rFonts w:ascii="Palatino Linotype" w:hAnsi="Palatino Linotype"/>
          <w:color w:val="000000" w:themeColor="text1"/>
        </w:rPr>
      </w:pPr>
      <w:r w:rsidRPr="00BA77A6">
        <w:rPr>
          <w:rFonts w:ascii="Palatino Linotype" w:hAnsi="Palatino Linotype"/>
          <w:b/>
          <w:color w:val="000000" w:themeColor="text1"/>
        </w:rPr>
        <w:t>Recibir</w:t>
      </w:r>
      <w:r w:rsidRPr="00BA77A6">
        <w:rPr>
          <w:rFonts w:ascii="Palatino Linotype" w:hAnsi="Palatino Linotype"/>
          <w:color w:val="000000" w:themeColor="text1"/>
        </w:rPr>
        <w:t xml:space="preserve"> de las distintas dependencias y entidades de la Administración Pública Municipal, </w:t>
      </w:r>
      <w:r w:rsidRPr="00BA77A6">
        <w:rPr>
          <w:rFonts w:ascii="Palatino Linotype" w:hAnsi="Palatino Linotype"/>
          <w:b/>
          <w:color w:val="000000" w:themeColor="text1"/>
        </w:rPr>
        <w:t>los</w:t>
      </w:r>
      <w:r w:rsidRPr="00BA77A6">
        <w:rPr>
          <w:rFonts w:ascii="Palatino Linotype" w:hAnsi="Palatino Linotype"/>
          <w:color w:val="000000" w:themeColor="text1"/>
        </w:rPr>
        <w:t xml:space="preserve"> planes, programas, proyectos, peticiones ciudadanas, </w:t>
      </w:r>
      <w:r w:rsidRPr="00BA77A6">
        <w:rPr>
          <w:rFonts w:ascii="Palatino Linotype" w:hAnsi="Palatino Linotype"/>
          <w:b/>
          <w:color w:val="000000" w:themeColor="text1"/>
        </w:rPr>
        <w:t>convenios</w:t>
      </w:r>
      <w:r w:rsidRPr="00BA77A6">
        <w:rPr>
          <w:rFonts w:ascii="Palatino Linotype" w:hAnsi="Palatino Linotype"/>
          <w:color w:val="000000" w:themeColor="text1"/>
        </w:rPr>
        <w:t xml:space="preserve"> o cualquier otro asunto </w:t>
      </w:r>
      <w:r w:rsidRPr="00BA77A6">
        <w:rPr>
          <w:rFonts w:ascii="Palatino Linotype" w:hAnsi="Palatino Linotype"/>
          <w:b/>
          <w:color w:val="000000" w:themeColor="text1"/>
        </w:rPr>
        <w:t>que requiera la aprobación del H. Ayuntamiento</w:t>
      </w:r>
      <w:r>
        <w:rPr>
          <w:rFonts w:ascii="Palatino Linotype" w:hAnsi="Palatino Linotype"/>
          <w:color w:val="000000" w:themeColor="text1"/>
        </w:rPr>
        <w:t>.</w:t>
      </w:r>
    </w:p>
    <w:p w14:paraId="3DE74042" w14:textId="77777777" w:rsidR="006037F9" w:rsidRPr="006037F9" w:rsidRDefault="006037F9"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3F5E3ACD" w14:textId="1AD1F23B" w:rsidR="006037F9" w:rsidRPr="00BA77A6" w:rsidRDefault="00BA77A6"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su parte, la </w:t>
      </w:r>
      <w:r w:rsidRPr="00BA77A6">
        <w:rPr>
          <w:rFonts w:ascii="Palatino Linotype" w:hAnsi="Palatino Linotype"/>
        </w:rPr>
        <w:t xml:space="preserve">Tesorería Municipal es la unidad administrativa encargada de la recaudación de los ingresos municipales y la administración de la hacienda pública municipal, responsable de realizar las erogaciones y funciones requeridas por el </w:t>
      </w:r>
      <w:r>
        <w:rPr>
          <w:rFonts w:ascii="Palatino Linotype" w:hAnsi="Palatino Linotype"/>
        </w:rPr>
        <w:t>a</w:t>
      </w:r>
      <w:r w:rsidRPr="00BA77A6">
        <w:rPr>
          <w:rFonts w:ascii="Palatino Linotype" w:hAnsi="Palatino Linotype"/>
        </w:rPr>
        <w:t>yuntamiento, el Presidente Municipal y demás dependencias de la Adm</w:t>
      </w:r>
      <w:r>
        <w:rPr>
          <w:rFonts w:ascii="Palatino Linotype" w:hAnsi="Palatino Linotype"/>
        </w:rPr>
        <w:t xml:space="preserve">inistración Pública Municipal. </w:t>
      </w:r>
      <w:r w:rsidRPr="00BA77A6">
        <w:rPr>
          <w:rFonts w:ascii="Palatino Linotype" w:hAnsi="Palatino Linotype"/>
        </w:rPr>
        <w:t>Asimismo, deberá implementar las medidas y mecanismos tendientes a difundir el pago entre la población, ampliar la base de contribuyentes y estimular el pago oportuno. La Tesorería Municipal además</w:t>
      </w:r>
      <w:r>
        <w:rPr>
          <w:rFonts w:ascii="Palatino Linotype" w:hAnsi="Palatino Linotype"/>
        </w:rPr>
        <w:t>,</w:t>
      </w:r>
      <w:r w:rsidRPr="00BA77A6">
        <w:rPr>
          <w:rFonts w:ascii="Palatino Linotype" w:hAnsi="Palatino Linotype"/>
        </w:rPr>
        <w:t xml:space="preserve"> tendrá las siguientes atribuciones:</w:t>
      </w:r>
    </w:p>
    <w:p w14:paraId="03467AD5" w14:textId="03E401A1" w:rsidR="00BA77A6" w:rsidRDefault="00BA77A6" w:rsidP="009A090B">
      <w:pPr>
        <w:pStyle w:val="Prrafodelista"/>
        <w:numPr>
          <w:ilvl w:val="1"/>
          <w:numId w:val="13"/>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Llevar </w:t>
      </w:r>
      <w:r w:rsidRPr="00BA77A6">
        <w:rPr>
          <w:rFonts w:ascii="Palatino Linotype" w:hAnsi="Palatino Linotype"/>
          <w:color w:val="000000" w:themeColor="text1"/>
        </w:rPr>
        <w:t>los registros contables, financieros y administrativos de los ingresos, egresos e inventarios dando seguimiento, supervisando y vigilando las asignaciones conforme a los planes</w:t>
      </w:r>
      <w:r>
        <w:rPr>
          <w:rFonts w:ascii="Palatino Linotype" w:hAnsi="Palatino Linotype"/>
          <w:color w:val="000000" w:themeColor="text1"/>
        </w:rPr>
        <w:t xml:space="preserve"> </w:t>
      </w:r>
      <w:r w:rsidRPr="00BA77A6">
        <w:rPr>
          <w:rFonts w:ascii="Palatino Linotype" w:hAnsi="Palatino Linotype"/>
          <w:color w:val="000000" w:themeColor="text1"/>
        </w:rPr>
        <w:t>y</w:t>
      </w:r>
      <w:r>
        <w:rPr>
          <w:rFonts w:ascii="Palatino Linotype" w:hAnsi="Palatino Linotype"/>
          <w:color w:val="000000" w:themeColor="text1"/>
        </w:rPr>
        <w:t xml:space="preserve"> </w:t>
      </w:r>
      <w:r w:rsidR="004B5FFB">
        <w:rPr>
          <w:rFonts w:ascii="Palatino Linotype" w:hAnsi="Palatino Linotype"/>
          <w:color w:val="000000" w:themeColor="text1"/>
        </w:rPr>
        <w:t>proyectos aprobados.</w:t>
      </w:r>
    </w:p>
    <w:p w14:paraId="6B98FCD7" w14:textId="77777777" w:rsidR="006037F9" w:rsidRPr="006037F9" w:rsidRDefault="006037F9"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09AB5FA2" w14:textId="3D8A562D" w:rsidR="006037F9" w:rsidRPr="004B5FFB" w:rsidRDefault="004B5F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lastRenderedPageBreak/>
        <w:t xml:space="preserve">La </w:t>
      </w:r>
      <w:r w:rsidRPr="004B5FFB">
        <w:rPr>
          <w:rFonts w:ascii="Palatino Linotype" w:hAnsi="Palatino Linotype"/>
        </w:rPr>
        <w:t xml:space="preserve">Gerencia de la Ciudad es la dependencia responsable de </w:t>
      </w:r>
      <w:r w:rsidRPr="004B5FFB">
        <w:rPr>
          <w:rFonts w:ascii="Palatino Linotype" w:hAnsi="Palatino Linotype"/>
          <w:b/>
        </w:rPr>
        <w:t>conducir el proceso de planeación, seguimiento y evaluación de los planes, programas, obras, proyectos y acciones relevantes</w:t>
      </w:r>
      <w:r w:rsidRPr="004B5FFB">
        <w:rPr>
          <w:rFonts w:ascii="Palatino Linotype" w:hAnsi="Palatino Linotype"/>
        </w:rPr>
        <w:t xml:space="preserve"> de la Administración Pública Municipal, estableciendo los mecanismos de coordinación y comunicación interinstitucionales necesarios; asimismo le corresponde supervisar el cumplimiento de los acuerdos del gabinete Municipal e instrucciones del Presidente Municipal</w:t>
      </w:r>
      <w:r>
        <w:rPr>
          <w:rStyle w:val="Refdenotaalpie"/>
          <w:rFonts w:ascii="Palatino Linotype" w:hAnsi="Palatino Linotype"/>
        </w:rPr>
        <w:footnoteReference w:id="27"/>
      </w:r>
      <w:r>
        <w:rPr>
          <w:rFonts w:ascii="Palatino Linotype" w:hAnsi="Palatino Linotype"/>
        </w:rPr>
        <w:t>. Para conseguir sus objetivos, tendrá entre sus atribuciones, las siguientes:</w:t>
      </w:r>
    </w:p>
    <w:p w14:paraId="7F18DE80" w14:textId="7EC208B5" w:rsidR="004B5FFB" w:rsidRPr="004B5FFB" w:rsidRDefault="004B5FFB" w:rsidP="009A090B">
      <w:pPr>
        <w:pStyle w:val="Prrafodelista"/>
        <w:numPr>
          <w:ilvl w:val="1"/>
          <w:numId w:val="14"/>
        </w:numPr>
        <w:tabs>
          <w:tab w:val="left" w:pos="426"/>
        </w:tabs>
        <w:spacing w:before="240" w:after="240" w:line="360" w:lineRule="auto"/>
        <w:ind w:left="993" w:right="51"/>
        <w:jc w:val="both"/>
        <w:rPr>
          <w:rFonts w:ascii="Palatino Linotype" w:hAnsi="Palatino Linotype"/>
          <w:color w:val="000000" w:themeColor="text1"/>
        </w:rPr>
      </w:pPr>
      <w:r w:rsidRPr="004B5FFB">
        <w:rPr>
          <w:rFonts w:ascii="Palatino Linotype" w:hAnsi="Palatino Linotype"/>
          <w:b/>
        </w:rPr>
        <w:t>Acordar, instruir y requerir información</w:t>
      </w:r>
      <w:r w:rsidRPr="004B5FFB">
        <w:rPr>
          <w:rFonts w:ascii="Palatino Linotype" w:hAnsi="Palatino Linotype"/>
        </w:rPr>
        <w:t xml:space="preserve"> con cada uno de los titulares de las Unidades Administrativas, </w:t>
      </w:r>
      <w:r w:rsidRPr="004B5FFB">
        <w:rPr>
          <w:rFonts w:ascii="Palatino Linotype" w:hAnsi="Palatino Linotype"/>
          <w:b/>
        </w:rPr>
        <w:t>para el buen cumplimiento de las políticas públicas</w:t>
      </w:r>
      <w:r w:rsidRPr="004B5FFB">
        <w:rPr>
          <w:rFonts w:ascii="Palatino Linotype" w:hAnsi="Palatino Linotype"/>
        </w:rPr>
        <w:t xml:space="preserve"> del Municipio;</w:t>
      </w:r>
    </w:p>
    <w:p w14:paraId="296BAD1A" w14:textId="73A9C2DF" w:rsidR="004B5FFB" w:rsidRDefault="004B5FFB" w:rsidP="009A090B">
      <w:pPr>
        <w:pStyle w:val="Prrafodelista"/>
        <w:numPr>
          <w:ilvl w:val="1"/>
          <w:numId w:val="14"/>
        </w:numPr>
        <w:tabs>
          <w:tab w:val="left" w:pos="426"/>
        </w:tabs>
        <w:spacing w:before="240" w:after="240" w:line="360" w:lineRule="auto"/>
        <w:ind w:left="993" w:right="51"/>
        <w:jc w:val="both"/>
        <w:rPr>
          <w:rFonts w:ascii="Palatino Linotype" w:hAnsi="Palatino Linotype"/>
          <w:color w:val="000000" w:themeColor="text1"/>
        </w:rPr>
      </w:pPr>
      <w:r w:rsidRPr="004B5FFB">
        <w:rPr>
          <w:rFonts w:ascii="Palatino Linotype" w:hAnsi="Palatino Linotype"/>
          <w:b/>
          <w:color w:val="000000" w:themeColor="text1"/>
        </w:rPr>
        <w:t>Vigilar la vinculación entre los programas ejecutados por la Administración Pública Municipal con el ejercicio del presupuesto</w:t>
      </w:r>
      <w:r w:rsidRPr="004B5FFB">
        <w:rPr>
          <w:rFonts w:ascii="Palatino Linotype" w:hAnsi="Palatino Linotype"/>
          <w:color w:val="000000" w:themeColor="text1"/>
        </w:rPr>
        <w:t xml:space="preserve"> implementando la técnica de Presupuesto Basado en Resultados de conformidad con la Ley General de Contabilidad Gubernamental;</w:t>
      </w:r>
    </w:p>
    <w:p w14:paraId="53A29902" w14:textId="496A3450" w:rsidR="004B5FFB" w:rsidRDefault="004B5FFB" w:rsidP="009A090B">
      <w:pPr>
        <w:pStyle w:val="Prrafodelista"/>
        <w:numPr>
          <w:ilvl w:val="1"/>
          <w:numId w:val="14"/>
        </w:numPr>
        <w:tabs>
          <w:tab w:val="left" w:pos="426"/>
        </w:tabs>
        <w:spacing w:before="240" w:after="240" w:line="360" w:lineRule="auto"/>
        <w:ind w:left="993" w:right="51"/>
        <w:jc w:val="both"/>
        <w:rPr>
          <w:rFonts w:ascii="Palatino Linotype" w:hAnsi="Palatino Linotype"/>
          <w:color w:val="000000" w:themeColor="text1"/>
        </w:rPr>
      </w:pPr>
      <w:r w:rsidRPr="004B5FFB">
        <w:rPr>
          <w:rFonts w:ascii="Palatino Linotype" w:hAnsi="Palatino Linotype"/>
          <w:color w:val="000000" w:themeColor="text1"/>
        </w:rPr>
        <w:t xml:space="preserve">Generar los </w:t>
      </w:r>
      <w:r w:rsidRPr="004B5FFB">
        <w:rPr>
          <w:rFonts w:ascii="Palatino Linotype" w:hAnsi="Palatino Linotype"/>
          <w:b/>
          <w:color w:val="000000" w:themeColor="text1"/>
        </w:rPr>
        <w:t>reportes de avance del Plan de Desarrollo Municipal</w:t>
      </w:r>
      <w:r w:rsidRPr="004B5FFB">
        <w:rPr>
          <w:rFonts w:ascii="Palatino Linotype" w:hAnsi="Palatino Linotype"/>
          <w:color w:val="000000" w:themeColor="text1"/>
        </w:rPr>
        <w:t xml:space="preserve">; </w:t>
      </w:r>
      <w:r>
        <w:rPr>
          <w:rFonts w:ascii="Palatino Linotype" w:hAnsi="Palatino Linotype"/>
          <w:color w:val="000000" w:themeColor="text1"/>
        </w:rPr>
        <w:t>y</w:t>
      </w:r>
    </w:p>
    <w:p w14:paraId="4162C036" w14:textId="373D6576" w:rsidR="004B5FFB" w:rsidRPr="006037F9" w:rsidRDefault="004B5FFB" w:rsidP="009A090B">
      <w:pPr>
        <w:pStyle w:val="Prrafodelista"/>
        <w:numPr>
          <w:ilvl w:val="1"/>
          <w:numId w:val="14"/>
        </w:numPr>
        <w:tabs>
          <w:tab w:val="left" w:pos="426"/>
        </w:tabs>
        <w:spacing w:before="240" w:after="240" w:line="360" w:lineRule="auto"/>
        <w:ind w:left="993" w:right="51"/>
        <w:jc w:val="both"/>
        <w:rPr>
          <w:rFonts w:ascii="Palatino Linotype" w:hAnsi="Palatino Linotype"/>
          <w:color w:val="000000" w:themeColor="text1"/>
        </w:rPr>
      </w:pPr>
      <w:r w:rsidRPr="004B5FFB">
        <w:rPr>
          <w:rFonts w:ascii="Palatino Linotype" w:hAnsi="Palatino Linotype"/>
          <w:b/>
          <w:color w:val="000000" w:themeColor="text1"/>
        </w:rPr>
        <w:t>Integrar el Informe de Gobierno</w:t>
      </w:r>
      <w:r>
        <w:rPr>
          <w:rFonts w:ascii="Palatino Linotype" w:hAnsi="Palatino Linotype"/>
          <w:color w:val="000000" w:themeColor="text1"/>
        </w:rPr>
        <w:t xml:space="preserve"> del Presidente Municipal.</w:t>
      </w:r>
    </w:p>
    <w:p w14:paraId="6728AE47" w14:textId="77777777" w:rsidR="006037F9" w:rsidRPr="006037F9" w:rsidRDefault="006037F9"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74B07607" w14:textId="387D859D" w:rsidR="006037F9" w:rsidRPr="004B5FFB" w:rsidRDefault="004B5F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Consecuencia de lo anterior, esta Ponencia Resolutora determina conforme a derecho </w:t>
      </w:r>
      <w:r>
        <w:rPr>
          <w:rFonts w:ascii="Palatino Linotype" w:hAnsi="Palatino Linotype"/>
          <w:b/>
        </w:rPr>
        <w:t>ordenar</w:t>
      </w:r>
      <w:r>
        <w:rPr>
          <w:rFonts w:ascii="Palatino Linotype" w:hAnsi="Palatino Linotype"/>
        </w:rPr>
        <w:t xml:space="preserve"> al </w:t>
      </w:r>
      <w:r>
        <w:rPr>
          <w:rFonts w:ascii="Palatino Linotype" w:hAnsi="Palatino Linotype"/>
          <w:b/>
        </w:rPr>
        <w:t>SUJETO OBLIGADO</w:t>
      </w:r>
      <w:r>
        <w:rPr>
          <w:rFonts w:ascii="Palatino Linotype" w:hAnsi="Palatino Linotype"/>
        </w:rPr>
        <w:t xml:space="preserve"> entregue al </w:t>
      </w:r>
      <w:r>
        <w:rPr>
          <w:rFonts w:ascii="Palatino Linotype" w:hAnsi="Palatino Linotype"/>
          <w:b/>
        </w:rPr>
        <w:t>RECURRENTE</w:t>
      </w:r>
      <w:r>
        <w:rPr>
          <w:rFonts w:ascii="Palatino Linotype" w:hAnsi="Palatino Linotype"/>
        </w:rPr>
        <w:t xml:space="preserve">, previa búsqueda exhaustiva y razonable, </w:t>
      </w:r>
      <w:r w:rsidR="001A5BCD">
        <w:rPr>
          <w:rFonts w:ascii="Palatino Linotype" w:hAnsi="Palatino Linotype"/>
        </w:rPr>
        <w:t xml:space="preserve">en versión pública de ser procedentes, </w:t>
      </w:r>
      <w:r>
        <w:rPr>
          <w:rFonts w:ascii="Palatino Linotype" w:hAnsi="Palatino Linotype"/>
        </w:rPr>
        <w:t>los documentos donde conste la siguiente información</w:t>
      </w:r>
      <w:r w:rsidR="00591D7F">
        <w:rPr>
          <w:rFonts w:ascii="Palatino Linotype" w:hAnsi="Palatino Linotype"/>
        </w:rPr>
        <w:t xml:space="preserve"> generada por el programa “Adopta un espacio”</w:t>
      </w:r>
      <w:r>
        <w:rPr>
          <w:rFonts w:ascii="Palatino Linotype" w:hAnsi="Palatino Linotype"/>
        </w:rPr>
        <w:t>:</w:t>
      </w:r>
    </w:p>
    <w:p w14:paraId="3F84F835" w14:textId="3D94C3BC" w:rsidR="004B5FFB" w:rsidRDefault="00591D7F" w:rsidP="009A090B">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Avances del programa desde el uno (01) de abril de dos mil diecinueve al treinta y uno (31) de julio de dos mil veintiuno;</w:t>
      </w:r>
    </w:p>
    <w:p w14:paraId="5CA83F64" w14:textId="6D962C17" w:rsidR="00591D7F" w:rsidRDefault="00591D7F" w:rsidP="009A090B">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Total de convenios de colaboración firmados con empresarios, así como la descripción de cada uno de los convenios;</w:t>
      </w:r>
    </w:p>
    <w:p w14:paraId="458ED213" w14:textId="3C6E4922" w:rsidR="00591D7F" w:rsidRDefault="00591D7F" w:rsidP="009A090B">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De los espacios públicos rehabilitados:</w:t>
      </w:r>
    </w:p>
    <w:p w14:paraId="6DF85F36" w14:textId="31C4FF3C" w:rsidR="00591D7F" w:rsidRDefault="00591D7F" w:rsidP="009A090B">
      <w:pPr>
        <w:pStyle w:val="Prrafodelista"/>
        <w:numPr>
          <w:ilvl w:val="2"/>
          <w:numId w:val="16"/>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Total de espacios rehabilitados, así como el nombre y ubicación de cada uno; y</w:t>
      </w:r>
    </w:p>
    <w:p w14:paraId="4574ED6B" w14:textId="1CB392B4" w:rsidR="00591D7F" w:rsidRPr="00591D7F" w:rsidRDefault="00591D7F" w:rsidP="009A090B">
      <w:pPr>
        <w:pStyle w:val="Prrafodelista"/>
        <w:numPr>
          <w:ilvl w:val="2"/>
          <w:numId w:val="16"/>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Acciones realizadas para el mejoramiento y/o rehabilitación de cada uno de los espacios.</w:t>
      </w:r>
    </w:p>
    <w:p w14:paraId="2591C570" w14:textId="30726389" w:rsidR="00E72036" w:rsidRDefault="00E72036" w:rsidP="009A090B">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Estadística de la instalación o realización de las siguientes acciones:</w:t>
      </w:r>
    </w:p>
    <w:p w14:paraId="5744F077" w14:textId="66EDEEEE"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O</w:t>
      </w:r>
      <w:r w:rsidR="00591D7F">
        <w:rPr>
          <w:rFonts w:ascii="Palatino Linotype" w:hAnsi="Palatino Linotype"/>
          <w:color w:val="000000" w:themeColor="text1"/>
        </w:rPr>
        <w:t>bras de bacheo;</w:t>
      </w:r>
    </w:p>
    <w:p w14:paraId="69372E2B" w14:textId="4F47A31A"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O</w:t>
      </w:r>
      <w:r w:rsidR="00591D7F">
        <w:rPr>
          <w:rFonts w:ascii="Palatino Linotype" w:hAnsi="Palatino Linotype"/>
          <w:color w:val="000000" w:themeColor="text1"/>
        </w:rPr>
        <w:t>bras de reparación y/o instalación de luminarias;</w:t>
      </w:r>
    </w:p>
    <w:p w14:paraId="7CEE6213" w14:textId="06FD30E6"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Á</w:t>
      </w:r>
      <w:r w:rsidR="00591D7F">
        <w:rPr>
          <w:rFonts w:ascii="Palatino Linotype" w:hAnsi="Palatino Linotype"/>
          <w:color w:val="000000" w:themeColor="text1"/>
        </w:rPr>
        <w:t>rboles plantados y/o podados;</w:t>
      </w:r>
    </w:p>
    <w:p w14:paraId="3B85784D" w14:textId="2DACB8A9"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C</w:t>
      </w:r>
      <w:r w:rsidR="00591D7F">
        <w:rPr>
          <w:rFonts w:ascii="Palatino Linotype" w:hAnsi="Palatino Linotype"/>
          <w:color w:val="000000" w:themeColor="text1"/>
        </w:rPr>
        <w:t>ruces peatonales pintados;</w:t>
      </w:r>
    </w:p>
    <w:p w14:paraId="6050BE65" w14:textId="765A712E"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V</w:t>
      </w:r>
      <w:r w:rsidR="00591D7F">
        <w:rPr>
          <w:rFonts w:ascii="Palatino Linotype" w:hAnsi="Palatino Linotype"/>
          <w:color w:val="000000" w:themeColor="text1"/>
        </w:rPr>
        <w:t>ialidades remozadas;</w:t>
      </w:r>
    </w:p>
    <w:p w14:paraId="655097FE" w14:textId="1EAE81BF"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B</w:t>
      </w:r>
      <w:r w:rsidR="00591D7F">
        <w:rPr>
          <w:rFonts w:ascii="Palatino Linotype" w:hAnsi="Palatino Linotype"/>
          <w:color w:val="000000" w:themeColor="text1"/>
        </w:rPr>
        <w:t>ancas instaladas;</w:t>
      </w:r>
    </w:p>
    <w:p w14:paraId="4104F016" w14:textId="541DABB0" w:rsidR="00591D7F"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J</w:t>
      </w:r>
      <w:r w:rsidR="00591D7F">
        <w:rPr>
          <w:rFonts w:ascii="Palatino Linotype" w:hAnsi="Palatino Linotype"/>
          <w:color w:val="000000" w:themeColor="text1"/>
        </w:rPr>
        <w:t xml:space="preserve">uegos </w:t>
      </w:r>
      <w:r>
        <w:rPr>
          <w:rFonts w:ascii="Palatino Linotype" w:hAnsi="Palatino Linotype"/>
          <w:color w:val="000000" w:themeColor="text1"/>
        </w:rPr>
        <w:t>mecánicos instalados; y</w:t>
      </w:r>
    </w:p>
    <w:p w14:paraId="233DC463" w14:textId="3BC5C71B" w:rsidR="00E72036" w:rsidRPr="006037F9" w:rsidRDefault="00E72036" w:rsidP="009A090B">
      <w:pPr>
        <w:pStyle w:val="Prrafodelista"/>
        <w:numPr>
          <w:ilvl w:val="2"/>
          <w:numId w:val="17"/>
        </w:numPr>
        <w:tabs>
          <w:tab w:val="left" w:pos="426"/>
        </w:tabs>
        <w:spacing w:before="240" w:after="240" w:line="360" w:lineRule="auto"/>
        <w:ind w:left="1843" w:right="51"/>
        <w:jc w:val="both"/>
        <w:rPr>
          <w:rFonts w:ascii="Palatino Linotype" w:hAnsi="Palatino Linotype"/>
          <w:color w:val="000000" w:themeColor="text1"/>
        </w:rPr>
      </w:pPr>
      <w:r>
        <w:rPr>
          <w:rFonts w:ascii="Palatino Linotype" w:hAnsi="Palatino Linotype"/>
          <w:color w:val="000000" w:themeColor="text1"/>
        </w:rPr>
        <w:t>Aparatos de ejercicio colocados.</w:t>
      </w:r>
    </w:p>
    <w:p w14:paraId="1EB2C278" w14:textId="77777777" w:rsidR="006037F9" w:rsidRPr="006037F9" w:rsidRDefault="006037F9"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716F18E5" w14:textId="71F759AE" w:rsidR="006037F9" w:rsidRPr="006037F9" w:rsidRDefault="00E72036"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w:t>
      </w:r>
      <w:r w:rsidRPr="00E72036">
        <w:rPr>
          <w:rFonts w:ascii="Palatino Linotype" w:hAnsi="Palatino Linotype"/>
          <w:lang w:val="es-ES"/>
        </w:rPr>
        <w:t>otro lado, si derivado de la búsqueda de la información</w:t>
      </w:r>
      <w:r>
        <w:rPr>
          <w:rFonts w:ascii="Palatino Linotype" w:hAnsi="Palatino Linotype"/>
          <w:lang w:val="es-ES"/>
        </w:rPr>
        <w:t xml:space="preserve"> relacionada con la estadística de la instalación o realización de acciones específicas</w:t>
      </w:r>
      <w:r w:rsidRPr="00E72036">
        <w:rPr>
          <w:rFonts w:ascii="Palatino Linotype" w:hAnsi="Palatino Linotype"/>
          <w:lang w:val="es-ES"/>
        </w:rPr>
        <w:t xml:space="preserve">, no se localizara en los archivos del </w:t>
      </w:r>
      <w:r w:rsidRPr="00E72036">
        <w:rPr>
          <w:rFonts w:ascii="Palatino Linotype" w:hAnsi="Palatino Linotype"/>
          <w:b/>
          <w:lang w:val="es-ES"/>
        </w:rPr>
        <w:t>SUJETO OBLIGADO</w:t>
      </w:r>
      <w:r>
        <w:rPr>
          <w:rFonts w:ascii="Palatino Linotype" w:hAnsi="Palatino Linotype"/>
          <w:lang w:val="es-ES"/>
        </w:rPr>
        <w:t xml:space="preserve"> en virtud de que alguna de estas acciones no se hayan ejecutado</w:t>
      </w:r>
      <w:r w:rsidRPr="00E72036">
        <w:rPr>
          <w:rFonts w:ascii="Palatino Linotype" w:hAnsi="Palatino Linotype"/>
          <w:lang w:val="es-ES"/>
        </w:rPr>
        <w:t xml:space="preserve">, deberá atender las formalidades que establece el fundamento jurídico plasmado en el </w:t>
      </w:r>
      <w:r w:rsidR="00293397">
        <w:rPr>
          <w:rFonts w:ascii="Palatino Linotype" w:hAnsi="Palatino Linotype"/>
          <w:lang w:val="es-ES"/>
        </w:rPr>
        <w:t xml:space="preserve">segundo párrafo del artículo 19 de la Ley de Transparencia </w:t>
      </w:r>
      <w:r w:rsidR="00293397">
        <w:rPr>
          <w:rFonts w:ascii="Palatino Linotype" w:hAnsi="Palatino Linotype"/>
          <w:lang w:val="es-ES"/>
        </w:rPr>
        <w:lastRenderedPageBreak/>
        <w:t>y Acceso a la Información Pública del Estado de México y Municipios,</w:t>
      </w:r>
      <w:r w:rsidRPr="00E72036">
        <w:rPr>
          <w:rFonts w:ascii="Palatino Linotype" w:hAnsi="Palatino Linotype"/>
          <w:lang w:val="es-ES"/>
        </w:rPr>
        <w:t xml:space="preserve"> </w:t>
      </w:r>
      <w:r w:rsidR="00293397">
        <w:rPr>
          <w:rFonts w:ascii="Palatino Linotype" w:hAnsi="Palatino Linotype"/>
          <w:lang w:val="es-ES"/>
        </w:rPr>
        <w:t>y</w:t>
      </w:r>
      <w:r w:rsidRPr="00E72036">
        <w:rPr>
          <w:rFonts w:ascii="Palatino Linotype" w:hAnsi="Palatino Linotype"/>
          <w:lang w:val="es-ES"/>
        </w:rPr>
        <w:t xml:space="preserve"> que es del tenor literal siguiente:</w:t>
      </w:r>
    </w:p>
    <w:p w14:paraId="100F1A51" w14:textId="68AE1C94" w:rsidR="00E72036" w:rsidRPr="00E72036" w:rsidRDefault="00E72036" w:rsidP="00E72036">
      <w:pPr>
        <w:ind w:left="567" w:right="567"/>
        <w:jc w:val="both"/>
        <w:rPr>
          <w:rFonts w:ascii="Palatino Linotype" w:hAnsi="Palatino Linotype"/>
          <w:sz w:val="22"/>
          <w:lang w:val="es-ES"/>
        </w:rPr>
      </w:pPr>
      <w:r>
        <w:rPr>
          <w:rFonts w:ascii="Palatino Linotype" w:hAnsi="Palatino Linotype"/>
          <w:b/>
          <w:i/>
          <w:sz w:val="22"/>
          <w:lang w:val="es-ES"/>
        </w:rPr>
        <w:t>“</w:t>
      </w:r>
      <w:r w:rsidRPr="00E72036">
        <w:rPr>
          <w:rFonts w:ascii="Palatino Linotype" w:hAnsi="Palatino Linotype"/>
          <w:b/>
          <w:i/>
          <w:sz w:val="22"/>
          <w:lang w:val="es-ES"/>
        </w:rPr>
        <w:t>Artículo 19.</w:t>
      </w:r>
      <w:r w:rsidRPr="00E72036">
        <w:rPr>
          <w:rFonts w:ascii="Palatino Linotype" w:hAnsi="Palatino Linotype"/>
          <w:i/>
          <w:sz w:val="22"/>
          <w:lang w:val="es-ES"/>
        </w:rPr>
        <w:t xml:space="preserve"> Se presume que la información debe existir si se refiere a las facultades, competencias y funciones que los ordenamientos jurídicos aplicables otorgan a los sujetos obligados.</w:t>
      </w:r>
    </w:p>
    <w:p w14:paraId="2E715065" w14:textId="77777777" w:rsidR="00E72036" w:rsidRPr="00E72036" w:rsidRDefault="00E72036" w:rsidP="00E72036">
      <w:pPr>
        <w:ind w:left="567" w:right="567"/>
        <w:jc w:val="both"/>
        <w:rPr>
          <w:rFonts w:ascii="Palatino Linotype" w:hAnsi="Palatino Linotype"/>
          <w:b/>
          <w:i/>
          <w:sz w:val="22"/>
          <w:lang w:val="es-ES"/>
        </w:rPr>
      </w:pPr>
      <w:r w:rsidRPr="00E72036">
        <w:rPr>
          <w:rFonts w:ascii="Palatino Linotype" w:hAnsi="Palatino Linotype"/>
          <w:b/>
          <w:i/>
          <w:sz w:val="22"/>
          <w:lang w:val="es-ES"/>
        </w:rPr>
        <w:t>En los casos en que ciertas facultades, competencias o funciones no se hayan ejercido, se debe motivar la respuesta en función de las causas que motiven tal circunstancia.</w:t>
      </w:r>
    </w:p>
    <w:p w14:paraId="1ABAB106" w14:textId="3C3A4913" w:rsidR="00E72036" w:rsidRDefault="00293397" w:rsidP="00E72036">
      <w:pPr>
        <w:ind w:left="567" w:right="567"/>
        <w:jc w:val="both"/>
        <w:rPr>
          <w:rFonts w:ascii="Palatino Linotype" w:hAnsi="Palatino Linotype"/>
          <w:i/>
          <w:sz w:val="22"/>
          <w:lang w:val="es-ES"/>
        </w:rPr>
      </w:pPr>
      <w:r>
        <w:rPr>
          <w:rFonts w:ascii="Palatino Linotype" w:hAnsi="Palatino Linotype"/>
          <w:i/>
          <w:sz w:val="22"/>
          <w:lang w:val="es-ES"/>
        </w:rPr>
        <w:t>(…)</w:t>
      </w:r>
      <w:r w:rsidR="00E72036">
        <w:rPr>
          <w:rFonts w:ascii="Palatino Linotype" w:hAnsi="Palatino Linotype"/>
          <w:i/>
          <w:sz w:val="22"/>
          <w:lang w:val="es-ES"/>
        </w:rPr>
        <w:t>”</w:t>
      </w:r>
    </w:p>
    <w:p w14:paraId="4C260AA8" w14:textId="53A1519E" w:rsidR="00E72036" w:rsidRPr="00E72036" w:rsidRDefault="00E72036" w:rsidP="00E72036">
      <w:pPr>
        <w:ind w:left="567" w:right="567"/>
        <w:jc w:val="both"/>
        <w:rPr>
          <w:rFonts w:ascii="Palatino Linotype" w:hAnsi="Palatino Linotype"/>
          <w:sz w:val="22"/>
          <w:lang w:val="es-ES"/>
        </w:rPr>
      </w:pPr>
      <w:r w:rsidRPr="00E72036">
        <w:rPr>
          <w:rFonts w:ascii="Palatino Linotype" w:hAnsi="Palatino Linotype"/>
          <w:sz w:val="22"/>
          <w:lang w:val="es-ES"/>
        </w:rPr>
        <w:t>(Énfasis añadido)</w:t>
      </w:r>
    </w:p>
    <w:p w14:paraId="7CB85EAD" w14:textId="77777777" w:rsidR="00E72036" w:rsidRPr="006037F9" w:rsidRDefault="00E72036" w:rsidP="006037F9">
      <w:pPr>
        <w:pStyle w:val="Prrafodelista"/>
        <w:tabs>
          <w:tab w:val="left" w:pos="426"/>
        </w:tabs>
        <w:spacing w:before="240" w:after="240" w:line="360" w:lineRule="auto"/>
        <w:ind w:left="0" w:right="51"/>
        <w:jc w:val="both"/>
        <w:rPr>
          <w:rFonts w:ascii="Palatino Linotype" w:hAnsi="Palatino Linotype"/>
          <w:color w:val="000000" w:themeColor="text1"/>
        </w:rPr>
      </w:pPr>
    </w:p>
    <w:p w14:paraId="7B9AF829" w14:textId="6172C8F2" w:rsidR="006037F9" w:rsidRPr="006037F9" w:rsidRDefault="00E72036"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Por </w:t>
      </w:r>
      <w:r w:rsidRPr="00E72036">
        <w:rPr>
          <w:rFonts w:ascii="Palatino Linotype" w:hAnsi="Palatino Linotype"/>
          <w:lang w:val="es-ES_tradnl"/>
        </w:rPr>
        <w:t xml:space="preserve">lo que de ser el caso que dicha información no haya sido generada el </w:t>
      </w:r>
      <w:r w:rsidRPr="00E72036">
        <w:rPr>
          <w:rFonts w:ascii="Palatino Linotype" w:hAnsi="Palatino Linotype"/>
          <w:b/>
          <w:lang w:val="es-ES_tradnl"/>
        </w:rPr>
        <w:t xml:space="preserve">SUJETO OBLIGADO </w:t>
      </w:r>
      <w:r w:rsidRPr="00E72036">
        <w:rPr>
          <w:rFonts w:ascii="Palatino Linotype" w:hAnsi="Palatino Linotype"/>
          <w:lang w:val="es-ES_tradnl"/>
        </w:rPr>
        <w:t>deberá de manifestar, de manera precisa y clara</w:t>
      </w:r>
      <w:r w:rsidRPr="00E72036">
        <w:rPr>
          <w:rFonts w:ascii="Palatino Linotype" w:hAnsi="Palatino Linotype"/>
          <w:b/>
          <w:lang w:val="es-ES_tradnl"/>
        </w:rPr>
        <w:t>, las razones que expliquen las causas por las que no se haya generado</w:t>
      </w:r>
      <w:r w:rsidRPr="00E72036">
        <w:rPr>
          <w:rFonts w:ascii="Palatino Linotype" w:hAnsi="Palatino Linotype"/>
          <w:lang w:val="es-ES_tradnl"/>
        </w:rPr>
        <w:t xml:space="preserve"> la información requerida en el presente asunto.</w:t>
      </w:r>
    </w:p>
    <w:p w14:paraId="137AAF88" w14:textId="68BF2373" w:rsidR="00B27897" w:rsidRDefault="00B27897"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07BFE259" w14:textId="2BB5711B" w:rsidR="00F12E50" w:rsidRPr="00F12E50" w:rsidRDefault="00F12E50" w:rsidP="00F12E5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85118536"/>
      <w:r>
        <w:rPr>
          <w:rFonts w:ascii="Palatino Linotype" w:hAnsi="Palatino Linotype"/>
          <w:b/>
          <w:bCs/>
          <w:color w:val="000000" w:themeColor="text1"/>
        </w:rPr>
        <w:t>V. Del Acuerdo de Inexistencia.</w:t>
      </w:r>
      <w:bookmarkEnd w:id="31"/>
    </w:p>
    <w:p w14:paraId="5431E6B3" w14:textId="77777777" w:rsidR="00F12E50" w:rsidRPr="00B27897" w:rsidRDefault="00F12E50" w:rsidP="00B27897">
      <w:pPr>
        <w:pStyle w:val="Prrafodelista"/>
        <w:tabs>
          <w:tab w:val="left" w:pos="426"/>
        </w:tabs>
        <w:spacing w:before="240" w:after="240" w:line="360" w:lineRule="auto"/>
        <w:ind w:left="0" w:right="51"/>
        <w:jc w:val="both"/>
        <w:rPr>
          <w:rFonts w:ascii="Palatino Linotype" w:hAnsi="Palatino Linotype"/>
          <w:color w:val="000000" w:themeColor="text1"/>
        </w:rPr>
      </w:pPr>
    </w:p>
    <w:p w14:paraId="4368FCFF" w14:textId="7E85B3BA" w:rsidR="00E72036" w:rsidRPr="00E72036"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No</w:t>
      </w:r>
      <w:r w:rsidR="00E72036">
        <w:rPr>
          <w:rFonts w:ascii="Palatino Linotype" w:hAnsi="Palatino Linotype"/>
        </w:rPr>
        <w:t xml:space="preserve"> debe ignorarse que el Comité de Transparencia del </w:t>
      </w:r>
      <w:r w:rsidR="00E72036">
        <w:rPr>
          <w:rFonts w:ascii="Palatino Linotype" w:hAnsi="Palatino Linotype"/>
          <w:b/>
        </w:rPr>
        <w:t>SUJETO OBLIGADO</w:t>
      </w:r>
      <w:r w:rsidR="00E72036">
        <w:rPr>
          <w:rFonts w:ascii="Palatino Linotype" w:hAnsi="Palatino Linotype"/>
        </w:rPr>
        <w:t>, a petición de la Dirección de Desarrollo Económico, emitió un Acuerdo de Inexistencia de la información relacionada con el programa “Adopta un Espacio”. Mismo que fue presentado en vía de informe justificado y que, para fines expositivos, se inserta a continuación:</w:t>
      </w:r>
      <w:r w:rsidRPr="00DA71FB">
        <w:rPr>
          <w:rFonts w:ascii="Palatino Linotype" w:hAnsi="Palatino Linotype"/>
          <w:lang w:val="es-ES"/>
        </w:rPr>
        <w:t xml:space="preserve"> </w:t>
      </w:r>
    </w:p>
    <w:p w14:paraId="02667E70" w14:textId="77777777" w:rsidR="00E72036" w:rsidRDefault="00E72036" w:rsidP="00E72036">
      <w:pPr>
        <w:pStyle w:val="Prrafodelista"/>
        <w:tabs>
          <w:tab w:val="left" w:pos="426"/>
        </w:tabs>
        <w:spacing w:before="240" w:after="240" w:line="360" w:lineRule="auto"/>
        <w:ind w:left="0" w:right="51"/>
        <w:jc w:val="both"/>
        <w:rPr>
          <w:rFonts w:ascii="Palatino Linotype" w:hAnsi="Palatino Linotype"/>
          <w:color w:val="000000" w:themeColor="text1"/>
        </w:rPr>
      </w:pPr>
    </w:p>
    <w:p w14:paraId="6A4CD982" w14:textId="634442BA" w:rsidR="00E72036" w:rsidRDefault="00E72036" w:rsidP="00E72036">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362DB8D3" wp14:editId="07721780">
            <wp:extent cx="5028595" cy="6496216"/>
            <wp:effectExtent l="57150" t="57150" r="114935"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133" cy="65162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C0BA9A" w14:textId="5C0002B6" w:rsidR="00E72036" w:rsidRDefault="00E72036" w:rsidP="00E72036">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0585EDE4" wp14:editId="7C91F58D">
            <wp:extent cx="5200264" cy="6719462"/>
            <wp:effectExtent l="57150" t="57150" r="114935" b="1200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822" cy="67292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4DFE1" w14:textId="471876D4" w:rsidR="00E72036" w:rsidRDefault="00293397" w:rsidP="00E72036">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14:anchorId="003306D6" wp14:editId="40BD271D">
            <wp:extent cx="5199076" cy="6687047"/>
            <wp:effectExtent l="57150" t="57150" r="11620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760" cy="66956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142A5" w14:textId="77777777" w:rsidR="00E72036" w:rsidRPr="00E72036" w:rsidRDefault="00E72036" w:rsidP="00E72036">
      <w:pPr>
        <w:pStyle w:val="Prrafodelista"/>
        <w:tabs>
          <w:tab w:val="left" w:pos="426"/>
        </w:tabs>
        <w:spacing w:before="240" w:after="240" w:line="360" w:lineRule="auto"/>
        <w:ind w:left="0" w:right="51"/>
        <w:jc w:val="both"/>
        <w:rPr>
          <w:rFonts w:ascii="Palatino Linotype" w:hAnsi="Palatino Linotype"/>
          <w:color w:val="000000" w:themeColor="text1"/>
        </w:rPr>
      </w:pPr>
    </w:p>
    <w:p w14:paraId="339266E4" w14:textId="3271C450" w:rsidR="00293397" w:rsidRDefault="0029339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De la lectura al instrumento presentado por el </w:t>
      </w:r>
      <w:r>
        <w:rPr>
          <w:rFonts w:ascii="Palatino Linotype" w:hAnsi="Palatino Linotype"/>
          <w:b/>
          <w:color w:val="000000" w:themeColor="text1"/>
        </w:rPr>
        <w:t>SUJETO OBLIGADO</w:t>
      </w:r>
      <w:r>
        <w:rPr>
          <w:rFonts w:ascii="Palatino Linotype" w:hAnsi="Palatino Linotype"/>
          <w:color w:val="000000" w:themeColor="text1"/>
        </w:rPr>
        <w:t xml:space="preserve">, esta Ponencia Resolutora advierte que el Acuerdo en cuestión </w:t>
      </w:r>
      <w:r>
        <w:rPr>
          <w:rFonts w:ascii="Palatino Linotype" w:hAnsi="Palatino Linotype"/>
          <w:b/>
          <w:color w:val="000000" w:themeColor="text1"/>
        </w:rPr>
        <w:t>no cumple bajo ningún espectro las disposiciones legales establecidas para manifestar la Inexistencia de la información de manera fundada y motivada</w:t>
      </w:r>
      <w:r>
        <w:rPr>
          <w:rFonts w:ascii="Palatino Linotype" w:hAnsi="Palatino Linotype"/>
          <w:color w:val="000000" w:themeColor="text1"/>
        </w:rPr>
        <w:t>. Lo anterior es así, ya que el documento presentado a modo de informe justificado únicamente ratifica la solicitud de la Dirección de Desarrollo Económico sobre la declaratoria de inexistencia de cualquier información relacionada con el programa “Adopta un Espacio”, sin siquiera revisar, analizar o determinar las razones específicas que justifican la inexistencia.</w:t>
      </w:r>
    </w:p>
    <w:p w14:paraId="12820D20" w14:textId="77777777" w:rsidR="00293397" w:rsidRPr="00293397" w:rsidRDefault="00293397" w:rsidP="00293397">
      <w:pPr>
        <w:pStyle w:val="Prrafodelista"/>
        <w:tabs>
          <w:tab w:val="left" w:pos="426"/>
        </w:tabs>
        <w:spacing w:before="240" w:after="240" w:line="360" w:lineRule="auto"/>
        <w:ind w:left="0" w:right="51"/>
        <w:jc w:val="both"/>
        <w:rPr>
          <w:rFonts w:ascii="Palatino Linotype" w:hAnsi="Palatino Linotype"/>
          <w:color w:val="000000" w:themeColor="text1"/>
        </w:rPr>
      </w:pPr>
    </w:p>
    <w:p w14:paraId="6245C81B" w14:textId="3432E0A4" w:rsidR="00DA71FB" w:rsidRPr="00DA71FB" w:rsidRDefault="00293397"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lang w:val="es-ES"/>
        </w:rPr>
        <w:t xml:space="preserve">Es imperativo recordar al </w:t>
      </w:r>
      <w:r>
        <w:rPr>
          <w:rFonts w:ascii="Palatino Linotype" w:hAnsi="Palatino Linotype"/>
          <w:b/>
          <w:lang w:val="es-ES"/>
        </w:rPr>
        <w:t>SUJETO OBLIGADO</w:t>
      </w:r>
      <w:r>
        <w:rPr>
          <w:rFonts w:ascii="Palatino Linotype" w:hAnsi="Palatino Linotype"/>
          <w:lang w:val="es-ES"/>
        </w:rPr>
        <w:t xml:space="preserve"> que</w:t>
      </w:r>
      <w:r w:rsidR="00DA71FB">
        <w:rPr>
          <w:rFonts w:ascii="Palatino Linotype" w:hAnsi="Palatino Linotype"/>
          <w:lang w:val="es-ES"/>
        </w:rPr>
        <w:t xml:space="preserve"> los artículos 19 y 20 de la Ley de Transparencia y Acceso a la Información Pública del Estado de México y Municipios, refiere</w:t>
      </w:r>
      <w:r>
        <w:rPr>
          <w:rFonts w:ascii="Palatino Linotype" w:hAnsi="Palatino Linotype"/>
          <w:lang w:val="es-ES"/>
        </w:rPr>
        <w:t>n</w:t>
      </w:r>
      <w:r w:rsidR="00DA71FB">
        <w:rPr>
          <w:rFonts w:ascii="Palatino Linotype" w:hAnsi="Palatino Linotype"/>
          <w:lang w:val="es-ES"/>
        </w:rPr>
        <w:t xml:space="preserve"> que </w:t>
      </w:r>
      <w:r w:rsidR="00DA71FB" w:rsidRPr="00293397">
        <w:rPr>
          <w:rFonts w:ascii="Palatino Linotype" w:hAnsi="Palatino Linotype"/>
          <w:b/>
        </w:rPr>
        <w:t>de no existir la documentación que debió, por mandato de Ley, generarse, es obligación de la autoridad emitir una declaratoria formal que reúna los requisitos señalados en la propia norma jurídica</w:t>
      </w:r>
      <w:r w:rsidR="00DA71FB" w:rsidRPr="00A33BD5">
        <w:rPr>
          <w:rFonts w:ascii="Palatino Linotype" w:hAnsi="Palatino Linotype"/>
        </w:rPr>
        <w:t>,</w:t>
      </w:r>
      <w:r w:rsidR="00DA71FB" w:rsidRPr="00A33BD5">
        <w:rPr>
          <w:rFonts w:ascii="Palatino Linotype" w:hAnsi="Palatino Linotype"/>
          <w:vertAlign w:val="superscript"/>
        </w:rPr>
        <w:t xml:space="preserve"> </w:t>
      </w:r>
      <w:r w:rsidR="00DA71FB" w:rsidRPr="00A33BD5">
        <w:rPr>
          <w:rFonts w:ascii="Palatino Linotype" w:hAnsi="Palatino Linotype"/>
          <w:vertAlign w:val="superscript"/>
        </w:rPr>
        <w:footnoteReference w:id="28"/>
      </w:r>
      <w:r w:rsidR="00DA71FB" w:rsidRPr="00A33BD5">
        <w:rPr>
          <w:rFonts w:ascii="Palatino Linotype" w:hAnsi="Palatino Linotype"/>
        </w:rPr>
        <w:t xml:space="preserve"> según puede apreciarse a continuación:</w:t>
      </w:r>
    </w:p>
    <w:p w14:paraId="0F28349A" w14:textId="77777777" w:rsidR="00DA71FB" w:rsidRDefault="00DA71FB" w:rsidP="00293397">
      <w:pPr>
        <w:pStyle w:val="Prrafodelista"/>
        <w:tabs>
          <w:tab w:val="left" w:pos="426"/>
        </w:tabs>
        <w:spacing w:line="360" w:lineRule="auto"/>
        <w:ind w:left="0" w:right="51"/>
        <w:jc w:val="both"/>
        <w:rPr>
          <w:rFonts w:ascii="Palatino Linotype" w:hAnsi="Palatino Linotype"/>
          <w:color w:val="000000" w:themeColor="text1"/>
        </w:rPr>
      </w:pPr>
    </w:p>
    <w:p w14:paraId="29F4D1FD" w14:textId="77777777" w:rsidR="00DA71FB" w:rsidRDefault="00DA71FB" w:rsidP="00293397">
      <w:pPr>
        <w:pStyle w:val="m483811427706604298gmail-msolistparagraph"/>
        <w:shd w:val="clear" w:color="auto" w:fill="FFFFFF"/>
        <w:spacing w:before="0" w:beforeAutospacing="0" w:after="0" w:afterAutospacing="0" w:line="276" w:lineRule="auto"/>
        <w:ind w:left="567" w:right="567"/>
        <w:jc w:val="both"/>
        <w:rPr>
          <w:rFonts w:ascii="Palatino Linotype" w:hAnsi="Palatino Linotype" w:cs="Arial"/>
          <w:i/>
          <w:sz w:val="22"/>
          <w:szCs w:val="22"/>
        </w:rPr>
      </w:pPr>
      <w:r>
        <w:rPr>
          <w:rFonts w:ascii="Palatino Linotype" w:hAnsi="Palatino Linotype" w:cs="Arial"/>
          <w:b/>
          <w:i/>
          <w:sz w:val="22"/>
          <w:szCs w:val="22"/>
        </w:rPr>
        <w:t>“</w:t>
      </w:r>
      <w:r w:rsidRPr="00A33BD5">
        <w:rPr>
          <w:rFonts w:ascii="Palatino Linotype" w:hAnsi="Palatino Linotype" w:cs="Arial"/>
          <w:b/>
          <w:i/>
          <w:sz w:val="22"/>
          <w:szCs w:val="22"/>
        </w:rPr>
        <w:t>Artículo 19.</w:t>
      </w:r>
      <w:r w:rsidRPr="00A33BD5">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14:paraId="23124515" w14:textId="5937027F" w:rsidR="00293397" w:rsidRPr="00293397" w:rsidRDefault="00293397" w:rsidP="00293397">
      <w:pPr>
        <w:spacing w:line="276" w:lineRule="auto"/>
        <w:ind w:left="567" w:right="567"/>
        <w:jc w:val="both"/>
        <w:rPr>
          <w:rFonts w:ascii="Palatino Linotype" w:hAnsi="Palatino Linotype" w:cs="Arial"/>
          <w:i/>
          <w:sz w:val="22"/>
          <w:szCs w:val="22"/>
        </w:rPr>
      </w:pPr>
      <w:r>
        <w:rPr>
          <w:rFonts w:ascii="Palatino Linotype" w:hAnsi="Palatino Linotype" w:cs="Arial"/>
          <w:i/>
          <w:sz w:val="22"/>
          <w:szCs w:val="22"/>
        </w:rPr>
        <w:t>(…)</w:t>
      </w:r>
    </w:p>
    <w:p w14:paraId="1F3D7F09" w14:textId="77777777" w:rsidR="00DA71FB" w:rsidRPr="00A33BD5" w:rsidRDefault="00DA71FB" w:rsidP="00293397">
      <w:pPr>
        <w:spacing w:line="276" w:lineRule="auto"/>
        <w:ind w:left="567" w:right="567"/>
        <w:jc w:val="both"/>
        <w:rPr>
          <w:rFonts w:ascii="Palatino Linotype" w:hAnsi="Palatino Linotype" w:cs="Arial"/>
          <w:b/>
          <w:i/>
          <w:sz w:val="22"/>
          <w:szCs w:val="22"/>
        </w:rPr>
      </w:pPr>
      <w:r w:rsidRPr="00A33BD5">
        <w:rPr>
          <w:rFonts w:ascii="Palatino Linotype" w:hAnsi="Palatino Linotype" w:cs="Arial"/>
          <w:b/>
          <w:i/>
          <w:sz w:val="22"/>
          <w:szCs w:val="22"/>
        </w:rPr>
        <w:t xml:space="preserve">Si el sujeto obligado, en el ejercicio de sus atribuciones, debía generar, poseer o administrar la información, pero ésta no se encuentra, el Comité de </w:t>
      </w:r>
      <w:r w:rsidRPr="00A33BD5">
        <w:rPr>
          <w:rFonts w:ascii="Palatino Linotype" w:hAnsi="Palatino Linotype" w:cs="Arial"/>
          <w:b/>
          <w:i/>
          <w:sz w:val="22"/>
          <w:szCs w:val="22"/>
        </w:rPr>
        <w:lastRenderedPageBreak/>
        <w:t xml:space="preserve">transparencia deberá emitir un </w:t>
      </w:r>
      <w:r w:rsidRPr="00A33BD5">
        <w:rPr>
          <w:rFonts w:ascii="Palatino Linotype" w:hAnsi="Palatino Linotype" w:cs="Arial"/>
          <w:b/>
          <w:i/>
          <w:sz w:val="22"/>
          <w:szCs w:val="22"/>
          <w:u w:val="single"/>
        </w:rPr>
        <w:t>acuerdo de inexistencia,</w:t>
      </w:r>
      <w:r w:rsidRPr="00A33BD5">
        <w:rPr>
          <w:rFonts w:ascii="Palatino Linotype" w:hAnsi="Palatino Linotype" w:cs="Arial"/>
          <w:b/>
          <w:i/>
          <w:sz w:val="22"/>
          <w:szCs w:val="22"/>
        </w:rPr>
        <w:t xml:space="preserve"> debidamente fundado y motivado, en el que detalle las razones del por qué no obra en sus archivos.</w:t>
      </w:r>
    </w:p>
    <w:p w14:paraId="26E40F37" w14:textId="77777777" w:rsidR="00293397" w:rsidRDefault="00293397" w:rsidP="00293397">
      <w:pPr>
        <w:pStyle w:val="Prrafodelista"/>
        <w:tabs>
          <w:tab w:val="left" w:pos="426"/>
        </w:tabs>
        <w:spacing w:line="276" w:lineRule="auto"/>
        <w:ind w:left="567" w:right="567"/>
        <w:jc w:val="both"/>
        <w:rPr>
          <w:rFonts w:ascii="Palatino Linotype" w:hAnsi="Palatino Linotype" w:cs="Arial"/>
          <w:b/>
          <w:i/>
          <w:sz w:val="22"/>
          <w:szCs w:val="22"/>
        </w:rPr>
      </w:pPr>
    </w:p>
    <w:p w14:paraId="153F36A4" w14:textId="77777777" w:rsidR="00DA71FB" w:rsidRDefault="00DA71FB" w:rsidP="00293397">
      <w:pPr>
        <w:pStyle w:val="Prrafodelista"/>
        <w:tabs>
          <w:tab w:val="left" w:pos="426"/>
        </w:tabs>
        <w:spacing w:line="276" w:lineRule="auto"/>
        <w:ind w:left="567" w:right="567"/>
        <w:jc w:val="both"/>
        <w:rPr>
          <w:rFonts w:ascii="Palatino Linotype" w:hAnsi="Palatino Linotype" w:cs="Arial"/>
          <w:i/>
          <w:sz w:val="22"/>
          <w:szCs w:val="22"/>
        </w:rPr>
      </w:pPr>
      <w:r w:rsidRPr="00A33BD5">
        <w:rPr>
          <w:rFonts w:ascii="Palatino Linotype" w:hAnsi="Palatino Linotype" w:cs="Arial"/>
          <w:b/>
          <w:i/>
          <w:sz w:val="22"/>
          <w:szCs w:val="22"/>
        </w:rPr>
        <w:t>Artículo 20.</w:t>
      </w:r>
      <w:r w:rsidRPr="00A33BD5">
        <w:rPr>
          <w:rFonts w:ascii="Palatino Linotype" w:hAnsi="Palatino Linotype" w:cs="Arial"/>
          <w:i/>
          <w:sz w:val="22"/>
          <w:szCs w:val="22"/>
        </w:rPr>
        <w:t xml:space="preserve"> </w:t>
      </w:r>
      <w:r w:rsidRPr="00293397">
        <w:rPr>
          <w:rFonts w:ascii="Palatino Linotype" w:hAnsi="Palatino Linotype" w:cs="Arial"/>
          <w:i/>
          <w:sz w:val="22"/>
          <w:szCs w:val="22"/>
        </w:rPr>
        <w:t>Ante la negativa del acceso a la información o su inexistencia, el sujeto obligado deberá demostrar</w:t>
      </w:r>
      <w:r w:rsidRPr="00A33BD5">
        <w:rPr>
          <w:rFonts w:ascii="Palatino Linotype" w:hAnsi="Palatino Linotype" w:cs="Arial"/>
          <w:i/>
          <w:sz w:val="22"/>
          <w:szCs w:val="22"/>
        </w:rPr>
        <w:t xml:space="preserve"> que la información solicitada está prevista en alguna de las excepciones contenidas en esta Ley o, en su caso, demostrar que la información no se refiere a alguna de sus facultades, competencias o funciones.</w:t>
      </w:r>
      <w:r>
        <w:rPr>
          <w:rFonts w:ascii="Palatino Linotype" w:hAnsi="Palatino Linotype" w:cs="Arial"/>
          <w:i/>
          <w:sz w:val="22"/>
          <w:szCs w:val="22"/>
        </w:rPr>
        <w:t>”</w:t>
      </w:r>
    </w:p>
    <w:p w14:paraId="351FF829" w14:textId="77777777" w:rsidR="00DA71FB" w:rsidRPr="00A33BD5" w:rsidRDefault="00DA71FB" w:rsidP="00293397">
      <w:pPr>
        <w:pStyle w:val="Prrafodelista"/>
        <w:tabs>
          <w:tab w:val="left" w:pos="426"/>
        </w:tabs>
        <w:spacing w:line="276" w:lineRule="auto"/>
        <w:ind w:left="567" w:right="567"/>
        <w:jc w:val="both"/>
        <w:rPr>
          <w:rFonts w:ascii="Palatino Linotype" w:hAnsi="Palatino Linotype"/>
          <w:sz w:val="22"/>
          <w:szCs w:val="22"/>
          <w:lang w:val="es-ES"/>
        </w:rPr>
      </w:pPr>
      <w:r>
        <w:rPr>
          <w:rFonts w:ascii="Palatino Linotype" w:hAnsi="Palatino Linotype" w:cs="Arial"/>
          <w:sz w:val="22"/>
          <w:szCs w:val="22"/>
        </w:rPr>
        <w:t>(Énfasis añadido)</w:t>
      </w:r>
    </w:p>
    <w:p w14:paraId="39976508" w14:textId="77777777" w:rsidR="00DA71FB" w:rsidRP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599335A3" w14:textId="162881D5"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Luego </w:t>
      </w:r>
      <w:r>
        <w:rPr>
          <w:rFonts w:ascii="Palatino Linotype" w:hAnsi="Palatino Linotype"/>
          <w:lang w:val="es-ES"/>
        </w:rPr>
        <w:t xml:space="preserve">entonces, de ser el caso que el </w:t>
      </w:r>
      <w:r>
        <w:rPr>
          <w:rFonts w:ascii="Palatino Linotype" w:hAnsi="Palatino Linotype"/>
          <w:b/>
          <w:lang w:val="es-ES"/>
        </w:rPr>
        <w:t>SUJETO OBLIGADO</w:t>
      </w:r>
      <w:r>
        <w:rPr>
          <w:rFonts w:ascii="Palatino Linotype" w:hAnsi="Palatino Linotype"/>
          <w:lang w:val="es-ES"/>
        </w:rPr>
        <w:t xml:space="preserve"> deba emitir un Acuerdo de Inexistencia</w:t>
      </w:r>
      <w:r w:rsidR="00293397">
        <w:rPr>
          <w:rFonts w:ascii="Palatino Linotype" w:hAnsi="Palatino Linotype"/>
          <w:lang w:val="es-ES"/>
        </w:rPr>
        <w:t>,</w:t>
      </w:r>
      <w:r>
        <w:rPr>
          <w:rFonts w:ascii="Palatino Linotype" w:hAnsi="Palatino Linotype"/>
          <w:lang w:val="es-ES"/>
        </w:rPr>
        <w:t xml:space="preserve"> deberá apegarse a lo dispuesto en los </w:t>
      </w:r>
      <w:r w:rsidRPr="00A33BD5">
        <w:rPr>
          <w:rFonts w:ascii="Palatino Linotype" w:hAnsi="Palatino Linotype"/>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w:t>
      </w:r>
      <w:r>
        <w:rPr>
          <w:rFonts w:ascii="Palatino Linotype" w:hAnsi="Palatino Linotype"/>
        </w:rPr>
        <w:t>Lineamiento</w:t>
      </w:r>
      <w:r w:rsidRPr="00A33BD5">
        <w:rPr>
          <w:rFonts w:ascii="Palatino Linotype" w:hAnsi="Palatino Linotype"/>
        </w:rPr>
        <w:t xml:space="preserve"> Cuarenta </w:t>
      </w:r>
      <w:r>
        <w:rPr>
          <w:rFonts w:ascii="Palatino Linotype" w:hAnsi="Palatino Linotype"/>
        </w:rPr>
        <w:t>y</w:t>
      </w:r>
      <w:r w:rsidRPr="00A33BD5">
        <w:rPr>
          <w:rFonts w:ascii="Palatino Linotype" w:hAnsi="Palatino Linotype"/>
        </w:rPr>
        <w:t xml:space="preserve"> Cuatro</w:t>
      </w:r>
      <w:r>
        <w:rPr>
          <w:rFonts w:ascii="Palatino Linotype" w:hAnsi="Palatino Linotype"/>
        </w:rPr>
        <w:t xml:space="preserve"> y Cuarenta y Cinco;</w:t>
      </w:r>
      <w:r w:rsidRPr="00A33BD5">
        <w:rPr>
          <w:rFonts w:ascii="Palatino Linotype" w:hAnsi="Palatino Linotype"/>
        </w:rPr>
        <w:t xml:space="preserve"> y</w:t>
      </w:r>
      <w:r>
        <w:rPr>
          <w:rFonts w:ascii="Palatino Linotype" w:hAnsi="Palatino Linotype"/>
        </w:rPr>
        <w:t>,</w:t>
      </w:r>
      <w:r w:rsidRPr="00A33BD5">
        <w:rPr>
          <w:rFonts w:ascii="Palatino Linotype" w:hAnsi="Palatino Linotype"/>
        </w:rPr>
        <w:t xml:space="preserve"> los Criterios 0003-11 y 0004-11 aprobados por el Pleno de este Órgano Garante, en la sesión ordinaria de </w:t>
      </w:r>
      <w:r>
        <w:rPr>
          <w:rFonts w:ascii="Palatino Linotype" w:hAnsi="Palatino Linotype"/>
        </w:rPr>
        <w:t>veinticinco (</w:t>
      </w:r>
      <w:r w:rsidRPr="00A33BD5">
        <w:rPr>
          <w:rFonts w:ascii="Palatino Linotype" w:hAnsi="Palatino Linotype"/>
        </w:rPr>
        <w:t>25</w:t>
      </w:r>
      <w:r>
        <w:rPr>
          <w:rFonts w:ascii="Palatino Linotype" w:hAnsi="Palatino Linotype"/>
        </w:rPr>
        <w:t>)</w:t>
      </w:r>
      <w:r w:rsidRPr="00A33BD5">
        <w:rPr>
          <w:rFonts w:ascii="Palatino Linotype" w:hAnsi="Palatino Linotype"/>
        </w:rPr>
        <w:t xml:space="preserve"> de agosto </w:t>
      </w:r>
      <w:r>
        <w:rPr>
          <w:rFonts w:ascii="Palatino Linotype" w:hAnsi="Palatino Linotype"/>
        </w:rPr>
        <w:t>de dos mil once</w:t>
      </w:r>
      <w:r w:rsidRPr="00A33BD5">
        <w:rPr>
          <w:rFonts w:ascii="Palatino Linotype" w:hAnsi="Palatino Linotype"/>
        </w:rPr>
        <w:t xml:space="preserve">, que </w:t>
      </w:r>
      <w:r>
        <w:rPr>
          <w:rFonts w:ascii="Palatino Linotype" w:hAnsi="Palatino Linotype"/>
        </w:rPr>
        <w:t>señalan</w:t>
      </w:r>
      <w:r w:rsidRPr="00A33BD5">
        <w:rPr>
          <w:rFonts w:ascii="Palatino Linotype" w:hAnsi="Palatino Linotype"/>
        </w:rPr>
        <w:t xml:space="preserve"> el conc</w:t>
      </w:r>
      <w:r>
        <w:rPr>
          <w:rFonts w:ascii="Palatino Linotype" w:hAnsi="Palatino Linotype"/>
        </w:rPr>
        <w:t>epto de inexistencia</w:t>
      </w:r>
      <w:r w:rsidRPr="00A33BD5">
        <w:rPr>
          <w:rFonts w:ascii="Palatino Linotype" w:hAnsi="Palatino Linotype"/>
        </w:rPr>
        <w:t xml:space="preserve"> y</w:t>
      </w:r>
      <w:r>
        <w:rPr>
          <w:rFonts w:ascii="Palatino Linotype" w:hAnsi="Palatino Linotype"/>
        </w:rPr>
        <w:t>,</w:t>
      </w:r>
      <w:r w:rsidRPr="00A33BD5">
        <w:rPr>
          <w:rFonts w:ascii="Palatino Linotype" w:hAnsi="Palatino Linotype"/>
        </w:rPr>
        <w:t xml:space="preserve"> en qué circunstancias debe emitirse la declaratoria respectiva:</w:t>
      </w:r>
    </w:p>
    <w:p w14:paraId="1476A115" w14:textId="77777777" w:rsidR="00DA71FB" w:rsidRDefault="00DA71FB" w:rsidP="000D04F9">
      <w:pPr>
        <w:pStyle w:val="Prrafodelista"/>
        <w:tabs>
          <w:tab w:val="left" w:pos="426"/>
        </w:tabs>
        <w:spacing w:line="360" w:lineRule="auto"/>
        <w:ind w:left="0" w:right="51"/>
        <w:jc w:val="both"/>
        <w:rPr>
          <w:rFonts w:ascii="Palatino Linotype" w:hAnsi="Palatino Linotype"/>
          <w:color w:val="000000" w:themeColor="text1"/>
        </w:rPr>
      </w:pPr>
    </w:p>
    <w:p w14:paraId="55F105C5" w14:textId="7AE9CA8E" w:rsidR="00DA71FB" w:rsidRPr="00B247D8" w:rsidRDefault="00DA71FB" w:rsidP="00DA71FB">
      <w:pPr>
        <w:spacing w:line="276" w:lineRule="auto"/>
        <w:ind w:left="567" w:right="567"/>
        <w:jc w:val="both"/>
        <w:rPr>
          <w:rFonts w:ascii="Palatino Linotype" w:eastAsia="Calibri" w:hAnsi="Palatino Linotype" w:cs="Arial"/>
          <w:i/>
          <w:sz w:val="22"/>
        </w:rPr>
      </w:pPr>
      <w:r w:rsidRPr="00B247D8">
        <w:rPr>
          <w:rFonts w:ascii="Palatino Linotype" w:eastAsia="Calibri" w:hAnsi="Palatino Linotype" w:cs="Arial"/>
          <w:b/>
          <w:i/>
          <w:sz w:val="22"/>
        </w:rPr>
        <w:t>INEXISTENCIA, CONCEPTO DE, EN MATERIA DE TRANSPARENCIA</w:t>
      </w:r>
      <w:r w:rsidRPr="00B247D8">
        <w:rPr>
          <w:rFonts w:ascii="Palatino Linotype" w:eastAsia="Calibri" w:hAnsi="Palatino Linotype" w:cs="Arial"/>
          <w:i/>
          <w:sz w:val="22"/>
        </w:rPr>
        <w:t xml:space="preserve">. </w:t>
      </w:r>
      <w:r w:rsidR="000D04F9">
        <w:rPr>
          <w:rFonts w:ascii="Palatino Linotype" w:eastAsia="Calibri" w:hAnsi="Palatino Linotype" w:cs="Arial"/>
          <w:i/>
          <w:sz w:val="22"/>
        </w:rPr>
        <w:t>“</w:t>
      </w:r>
      <w:r w:rsidRPr="00B247D8">
        <w:rPr>
          <w:rFonts w:ascii="Palatino Linotype" w:eastAsia="Calibri" w:hAnsi="Palatino Linotype" w:cs="Arial"/>
          <w:i/>
          <w:sz w:val="22"/>
        </w:rPr>
        <w:t>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A77484F" w14:textId="77777777" w:rsidR="00DA71FB" w:rsidRPr="00B247D8" w:rsidRDefault="00DA71FB" w:rsidP="00DA71FB">
      <w:pPr>
        <w:spacing w:line="276" w:lineRule="auto"/>
        <w:ind w:left="567" w:right="567"/>
        <w:jc w:val="both"/>
        <w:rPr>
          <w:rFonts w:ascii="Palatino Linotype" w:eastAsia="Calibri" w:hAnsi="Palatino Linotype" w:cs="Arial"/>
          <w:i/>
          <w:sz w:val="22"/>
        </w:rPr>
      </w:pPr>
      <w:r w:rsidRPr="000D04F9">
        <w:rPr>
          <w:rFonts w:ascii="Palatino Linotype" w:eastAsia="Calibri" w:hAnsi="Palatino Linotype" w:cs="Arial"/>
          <w:b/>
          <w:i/>
          <w:sz w:val="22"/>
        </w:rPr>
        <w:t>a)</w:t>
      </w:r>
      <w:r w:rsidRPr="00B247D8">
        <w:rPr>
          <w:rFonts w:ascii="Palatino Linotype" w:eastAsia="Calibri" w:hAnsi="Palatino Linotype" w:cs="Arial"/>
          <w:i/>
          <w:sz w:val="22"/>
        </w:rPr>
        <w:t xml:space="preserve"> La existencia previa de la documentación y la falta posterior de la misma en los archivos del Sujeto Obligado, esto es, la información se generó, poseyó o administró –</w:t>
      </w:r>
      <w:r w:rsidRPr="00B247D8">
        <w:rPr>
          <w:rFonts w:ascii="Palatino Linotype" w:eastAsia="Calibri" w:hAnsi="Palatino Linotype" w:cs="Arial"/>
          <w:i/>
          <w:sz w:val="22"/>
        </w:rPr>
        <w:lastRenderedPageBreak/>
        <w:t>cuestión de hecho– en el marco de las atribuciones conferidas al Sujeto Obligado, pero no la conserva por diversas razones (destrucción física, desaparición física¸ sustracción ilícita, baja documental, etcétera).</w:t>
      </w:r>
    </w:p>
    <w:p w14:paraId="6D1DCE32" w14:textId="77777777" w:rsidR="00DA71FB" w:rsidRPr="00B247D8" w:rsidRDefault="00DA71FB" w:rsidP="00DA71FB">
      <w:pPr>
        <w:spacing w:line="276" w:lineRule="auto"/>
        <w:ind w:left="567" w:right="567"/>
        <w:jc w:val="both"/>
        <w:rPr>
          <w:rFonts w:ascii="Palatino Linotype" w:eastAsia="Calibri" w:hAnsi="Palatino Linotype" w:cs="Arial"/>
          <w:i/>
          <w:sz w:val="22"/>
        </w:rPr>
      </w:pPr>
      <w:r w:rsidRPr="000D04F9">
        <w:rPr>
          <w:rFonts w:ascii="Palatino Linotype" w:eastAsia="Calibri" w:hAnsi="Palatino Linotype" w:cs="Arial"/>
          <w:b/>
          <w:i/>
          <w:sz w:val="22"/>
        </w:rPr>
        <w:t>b)</w:t>
      </w:r>
      <w:r w:rsidRPr="00B247D8">
        <w:rPr>
          <w:rFonts w:ascii="Palatino Linotype" w:eastAsia="Calibri" w:hAnsi="Palatino Linotype" w:cs="Arial"/>
          <w:i/>
          <w:sz w:val="22"/>
        </w:rPr>
        <w:t xml:space="preserve"> En los casos en que por las atribuciones conferidas al Sujeto Obligado éste debió generar, administrar o poseer la información, pero en incumplimiento a la normatividad respectiva no llevó a cabo ninguna de esas acciones.</w:t>
      </w:r>
    </w:p>
    <w:p w14:paraId="2B7C49A7" w14:textId="2E558D70" w:rsidR="00DA71FB" w:rsidRDefault="00DA71FB" w:rsidP="00DA71FB">
      <w:pPr>
        <w:spacing w:line="276" w:lineRule="auto"/>
        <w:ind w:left="567" w:right="567"/>
        <w:jc w:val="both"/>
        <w:rPr>
          <w:rFonts w:ascii="Palatino Linotype" w:eastAsia="Calibri" w:hAnsi="Palatino Linotype" w:cs="Arial"/>
          <w:b/>
          <w:i/>
          <w:sz w:val="22"/>
        </w:rPr>
      </w:pPr>
      <w:r w:rsidRPr="00B247D8">
        <w:rPr>
          <w:rFonts w:ascii="Palatino Linotype" w:eastAsia="Calibri" w:hAnsi="Palatino Linotype" w:cs="Arial"/>
          <w:i/>
          <w:sz w:val="22"/>
        </w:rPr>
        <w:t xml:space="preserve">En ambos casos, </w:t>
      </w:r>
      <w:r w:rsidRPr="000D04F9">
        <w:rPr>
          <w:rFonts w:ascii="Palatino Linotype" w:eastAsia="Calibri" w:hAnsi="Palatino Linotype" w:cs="Arial"/>
          <w:b/>
          <w:i/>
          <w:sz w:val="22"/>
        </w:rPr>
        <w:t>el Sujeto Obligado deberá hacer del conocimiento del solicitante las razones que explican la inexistencia, mediante el dictamen debidamente fundado y motivado emitido por el Comité de Información y con las formalidades legales exigidas por la Ley de Transparencia</w:t>
      </w:r>
      <w:r w:rsidRPr="000D04F9">
        <w:rPr>
          <w:rFonts w:ascii="Palatino Linotype" w:eastAsia="Calibri" w:hAnsi="Palatino Linotype" w:cs="Arial"/>
          <w:i/>
          <w:sz w:val="22"/>
        </w:rPr>
        <w:t>.</w:t>
      </w:r>
      <w:r w:rsidR="000D04F9" w:rsidRPr="000D04F9">
        <w:rPr>
          <w:rFonts w:ascii="Palatino Linotype" w:eastAsia="Calibri" w:hAnsi="Palatino Linotype" w:cs="Arial"/>
          <w:i/>
          <w:sz w:val="22"/>
        </w:rPr>
        <w:t>”</w:t>
      </w:r>
    </w:p>
    <w:p w14:paraId="231FBEFB" w14:textId="63FF54B1" w:rsidR="000D04F9" w:rsidRPr="000D04F9" w:rsidRDefault="000D04F9" w:rsidP="00DA71FB">
      <w:pPr>
        <w:spacing w:line="276" w:lineRule="auto"/>
        <w:ind w:left="567" w:right="567"/>
        <w:jc w:val="both"/>
        <w:rPr>
          <w:rFonts w:ascii="Palatino Linotype" w:eastAsia="Calibri" w:hAnsi="Palatino Linotype" w:cs="Arial"/>
          <w:sz w:val="22"/>
        </w:rPr>
      </w:pPr>
      <w:r>
        <w:rPr>
          <w:rFonts w:ascii="Palatino Linotype" w:eastAsia="Calibri" w:hAnsi="Palatino Linotype" w:cs="Arial"/>
          <w:sz w:val="22"/>
        </w:rPr>
        <w:t>“Énfasis añadido”</w:t>
      </w:r>
    </w:p>
    <w:p w14:paraId="5A225E50" w14:textId="77777777" w:rsidR="00DA71FB" w:rsidRDefault="00DA71FB" w:rsidP="00DA71FB">
      <w:pPr>
        <w:spacing w:line="276" w:lineRule="auto"/>
        <w:ind w:left="567" w:right="567"/>
        <w:jc w:val="both"/>
        <w:rPr>
          <w:rFonts w:ascii="Palatino Linotype" w:eastAsia="Calibri" w:hAnsi="Palatino Linotype" w:cs="Arial"/>
          <w:b/>
          <w:i/>
          <w:sz w:val="22"/>
        </w:rPr>
      </w:pPr>
    </w:p>
    <w:p w14:paraId="73890A50" w14:textId="77777777" w:rsidR="00DA71FB" w:rsidRPr="00B247D8" w:rsidRDefault="00DA71FB" w:rsidP="00DA71FB">
      <w:pPr>
        <w:spacing w:line="276" w:lineRule="auto"/>
        <w:ind w:left="567" w:right="567"/>
        <w:jc w:val="both"/>
        <w:rPr>
          <w:rFonts w:ascii="Palatino Linotype" w:eastAsia="Calibri" w:hAnsi="Palatino Linotype" w:cs="Arial"/>
          <w:b/>
          <w:i/>
          <w:sz w:val="22"/>
        </w:rPr>
      </w:pPr>
      <w:r w:rsidRPr="00B247D8">
        <w:rPr>
          <w:rFonts w:ascii="Palatino Linotype" w:eastAsia="Calibri" w:hAnsi="Palatino Linotype" w:cs="Arial"/>
          <w:b/>
          <w:i/>
          <w:sz w:val="22"/>
        </w:rPr>
        <w:t>CRITERIO 0004-11</w:t>
      </w:r>
    </w:p>
    <w:p w14:paraId="6B5D8470" w14:textId="1D057ED0" w:rsidR="00DA71FB" w:rsidRPr="00B247D8" w:rsidRDefault="00DA71FB" w:rsidP="00DA71FB">
      <w:pPr>
        <w:spacing w:line="276" w:lineRule="auto"/>
        <w:ind w:left="567" w:right="567"/>
        <w:jc w:val="both"/>
        <w:rPr>
          <w:rFonts w:ascii="Palatino Linotype" w:eastAsia="Calibri" w:hAnsi="Palatino Linotype" w:cs="Arial"/>
          <w:i/>
          <w:sz w:val="22"/>
        </w:rPr>
      </w:pPr>
      <w:r w:rsidRPr="00B247D8">
        <w:rPr>
          <w:rFonts w:ascii="Palatino Linotype" w:eastAsia="Calibri" w:hAnsi="Palatino Linotype" w:cs="Arial"/>
          <w:b/>
          <w:i/>
          <w:sz w:val="22"/>
        </w:rPr>
        <w:t>INEXISTENCIA. DECLARATORIA DE LA. ALCANCES Y PROCEDIMIENTOS</w:t>
      </w:r>
      <w:r w:rsidRPr="00B247D8">
        <w:rPr>
          <w:rFonts w:ascii="Palatino Linotype" w:eastAsia="Calibri" w:hAnsi="Palatino Linotype" w:cs="Arial"/>
          <w:i/>
          <w:sz w:val="22"/>
        </w:rPr>
        <w:t xml:space="preserve">. </w:t>
      </w:r>
      <w:r w:rsidR="000D04F9">
        <w:rPr>
          <w:rFonts w:ascii="Palatino Linotype" w:eastAsia="Calibri" w:hAnsi="Palatino Linotype" w:cs="Arial"/>
          <w:i/>
          <w:sz w:val="22"/>
        </w:rPr>
        <w:t>“</w:t>
      </w:r>
      <w:r w:rsidRPr="00B247D8">
        <w:rPr>
          <w:rFonts w:ascii="Palatino Linotype" w:eastAsia="Calibri" w:hAnsi="Palatino Linotype" w:cs="Arial"/>
          <w:i/>
          <w:sz w:val="22"/>
        </w:rPr>
        <w:t xml:space="preserve">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w:t>
      </w:r>
      <w:r w:rsidRPr="000D04F9">
        <w:rPr>
          <w:rFonts w:ascii="Palatino Linotype" w:eastAsia="Calibri" w:hAnsi="Palatino Linotype" w:cs="Arial"/>
          <w:b/>
          <w:i/>
          <w:sz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0D04F9">
        <w:rPr>
          <w:rFonts w:ascii="Palatino Linotype" w:eastAsia="Calibri" w:hAnsi="Palatino Linotype" w:cs="Arial"/>
          <w:b/>
          <w:i/>
          <w:sz w:val="22"/>
        </w:rPr>
        <w:t>,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RPr="00B247D8">
        <w:rPr>
          <w:rFonts w:ascii="Palatino Linotype" w:eastAsia="Calibri" w:hAnsi="Palatino Linotype" w:cs="Arial"/>
          <w:i/>
          <w:sz w:val="22"/>
        </w:rPr>
        <w:t>.</w:t>
      </w:r>
    </w:p>
    <w:p w14:paraId="7DAEB3BF" w14:textId="77777777" w:rsidR="00DA71FB" w:rsidRPr="00B247D8" w:rsidRDefault="00DA71FB" w:rsidP="00DA71FB">
      <w:pPr>
        <w:spacing w:line="276" w:lineRule="auto"/>
        <w:ind w:left="567" w:right="567"/>
        <w:jc w:val="both"/>
        <w:rPr>
          <w:rFonts w:ascii="Palatino Linotype" w:eastAsia="Calibri" w:hAnsi="Palatino Linotype" w:cs="Arial"/>
          <w:i/>
          <w:sz w:val="22"/>
        </w:rPr>
      </w:pPr>
      <w:r w:rsidRPr="00B247D8">
        <w:rPr>
          <w:rFonts w:ascii="Palatino Linotype" w:eastAsia="Calibri" w:hAnsi="Palatino Linotype" w:cs="Arial"/>
          <w:i/>
          <w:sz w:val="22"/>
        </w:rPr>
        <w:t>Bajo el entendido de que dicha búsqueda exhaustiva permitirá dos determinaciones:</w:t>
      </w:r>
    </w:p>
    <w:p w14:paraId="3232985B" w14:textId="77777777" w:rsidR="00DA71FB" w:rsidRPr="00B247D8" w:rsidRDefault="00DA71FB" w:rsidP="00DA71FB">
      <w:pPr>
        <w:spacing w:line="276" w:lineRule="auto"/>
        <w:ind w:left="567" w:right="567"/>
        <w:jc w:val="both"/>
        <w:rPr>
          <w:rFonts w:ascii="Palatino Linotype" w:eastAsia="Calibri" w:hAnsi="Palatino Linotype" w:cs="Arial"/>
          <w:i/>
          <w:sz w:val="22"/>
        </w:rPr>
      </w:pPr>
      <w:r w:rsidRPr="00B247D8">
        <w:rPr>
          <w:rFonts w:ascii="Palatino Linotype" w:eastAsia="Calibri" w:hAnsi="Palatino Linotype" w:cs="Arial"/>
          <w:i/>
          <w:sz w:val="22"/>
        </w:rPr>
        <w:lastRenderedPageBreak/>
        <w:t>1ª) Que se localice la documentación que contenga la información solicitada y de ser así la información pueda entregarse al solicitante en la forma en que se encuentra disponible, o</w:t>
      </w:r>
    </w:p>
    <w:p w14:paraId="5A0B992C" w14:textId="77777777" w:rsidR="00DA71FB" w:rsidRPr="00B247D8" w:rsidRDefault="00DA71FB" w:rsidP="00DA71FB">
      <w:pPr>
        <w:spacing w:line="276" w:lineRule="auto"/>
        <w:ind w:left="567" w:right="567"/>
        <w:jc w:val="both"/>
        <w:rPr>
          <w:rFonts w:ascii="Palatino Linotype" w:eastAsia="Calibri" w:hAnsi="Palatino Linotype" w:cs="Arial"/>
          <w:i/>
          <w:sz w:val="22"/>
        </w:rPr>
      </w:pPr>
      <w:r w:rsidRPr="00B247D8">
        <w:rPr>
          <w:rFonts w:ascii="Palatino Linotype" w:eastAsia="Calibri" w:hAnsi="Palatino Linotype" w:cs="Arial"/>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A001D15" w14:textId="77777777" w:rsidR="00DA71FB" w:rsidRDefault="00DA71FB" w:rsidP="00DA71FB">
      <w:pPr>
        <w:spacing w:line="276" w:lineRule="auto"/>
        <w:ind w:left="567" w:right="567"/>
        <w:jc w:val="both"/>
        <w:rPr>
          <w:rFonts w:ascii="Palatino Linotype" w:eastAsia="Calibri" w:hAnsi="Palatino Linotype" w:cs="Arial"/>
          <w:sz w:val="22"/>
        </w:rPr>
      </w:pPr>
      <w:r w:rsidRPr="00B247D8">
        <w:rPr>
          <w:rFonts w:ascii="Palatino Linotype" w:eastAsia="Calibri" w:hAnsi="Palatino Linotype" w:cs="Arial"/>
          <w:i/>
          <w:sz w:val="22"/>
        </w:rPr>
        <w:t xml:space="preserve">Aunado a lo anterior, </w:t>
      </w:r>
      <w:r w:rsidRPr="000D04F9">
        <w:rPr>
          <w:rFonts w:ascii="Palatino Linotype" w:eastAsia="Calibri" w:hAnsi="Palatino Linotype" w:cs="Arial"/>
          <w:b/>
          <w:i/>
          <w:sz w:val="22"/>
        </w:rPr>
        <w:t xml:space="preserve">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0D04F9">
        <w:rPr>
          <w:rFonts w:ascii="Palatino Linotype" w:eastAsia="Calibri" w:hAnsi="Palatino Linotype" w:cs="Arial"/>
          <w:b/>
          <w:i/>
          <w:sz w:val="22"/>
        </w:rPr>
        <w:t>aquéllas</w:t>
      </w:r>
      <w:proofErr w:type="gramEnd"/>
      <w:r w:rsidRPr="000D04F9">
        <w:rPr>
          <w:rFonts w:ascii="Palatino Linotype" w:eastAsia="Calibri" w:hAnsi="Palatino Linotype" w:cs="Arial"/>
          <w:b/>
          <w:i/>
          <w:sz w:val="22"/>
        </w:rPr>
        <w:t xml:space="preserve"> circunstancias que se tomaron en cuenta para llegar a determinar que la información requerida no obra en los archivos a cargo</w:t>
      </w:r>
      <w:r w:rsidRPr="00B247D8">
        <w:rPr>
          <w:rFonts w:ascii="Palatino Linotype" w:eastAsia="Calibri" w:hAnsi="Palatino Linotype" w:cs="Arial"/>
          <w:i/>
          <w:sz w:val="22"/>
        </w:rPr>
        <w:t>.</w:t>
      </w:r>
      <w:r>
        <w:rPr>
          <w:rFonts w:ascii="Palatino Linotype" w:eastAsia="Calibri" w:hAnsi="Palatino Linotype" w:cs="Arial"/>
          <w:i/>
          <w:sz w:val="22"/>
        </w:rPr>
        <w:t>”</w:t>
      </w:r>
    </w:p>
    <w:p w14:paraId="760CACDB" w14:textId="281CF412" w:rsidR="000D04F9" w:rsidRPr="000D04F9" w:rsidRDefault="000D04F9" w:rsidP="00DA71FB">
      <w:pPr>
        <w:spacing w:line="276" w:lineRule="auto"/>
        <w:ind w:left="567" w:right="567"/>
        <w:jc w:val="both"/>
        <w:rPr>
          <w:rFonts w:ascii="Palatino Linotype" w:eastAsia="Calibri" w:hAnsi="Palatino Linotype" w:cs="Arial"/>
          <w:sz w:val="22"/>
        </w:rPr>
      </w:pPr>
      <w:r>
        <w:rPr>
          <w:rFonts w:ascii="Palatino Linotype" w:eastAsia="Calibri" w:hAnsi="Palatino Linotype" w:cs="Arial"/>
          <w:sz w:val="22"/>
        </w:rPr>
        <w:t>(Énfasis y subrayado añadido)</w:t>
      </w:r>
    </w:p>
    <w:p w14:paraId="6535D847" w14:textId="77777777" w:rsidR="00DA71FB" w:rsidRP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7F7D922A" w14:textId="0992A28E"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Bajo e</w:t>
      </w:r>
      <w:r w:rsidRPr="00780B48">
        <w:rPr>
          <w:rFonts w:ascii="Palatino Linotype" w:hAnsi="Palatino Linotype"/>
        </w:rPr>
        <w:t>ste tenor se debe destacar que para</w:t>
      </w:r>
      <w:r w:rsidRPr="00780B48">
        <w:rPr>
          <w:rFonts w:ascii="Palatino Linotype" w:hAnsi="Palatino Linotype"/>
          <w:color w:val="000000"/>
        </w:rPr>
        <w:t xml:space="preserve"> que se declare la inexistencia de la información, </w:t>
      </w:r>
      <w:r w:rsidRPr="000D04F9">
        <w:rPr>
          <w:rFonts w:ascii="Palatino Linotype" w:hAnsi="Palatino Linotype"/>
          <w:b/>
          <w:color w:val="000000"/>
        </w:rPr>
        <w:t>debió haber existencia previa de la documentación y la falta posterior de la misma en los archivos del</w:t>
      </w:r>
      <w:r w:rsidRPr="00780B48">
        <w:rPr>
          <w:rFonts w:ascii="Palatino Linotype" w:hAnsi="Palatino Linotype"/>
          <w:color w:val="000000"/>
        </w:rPr>
        <w:t xml:space="preserve"> </w:t>
      </w:r>
      <w:r w:rsidRPr="00780B48">
        <w:rPr>
          <w:rFonts w:ascii="Palatino Linotype" w:hAnsi="Palatino Linotype"/>
          <w:b/>
          <w:color w:val="000000"/>
        </w:rPr>
        <w:t>SUJETO OBLIGADO</w:t>
      </w:r>
      <w:r w:rsidRPr="00780B48">
        <w:rPr>
          <w:rFonts w:ascii="Palatino Linotype" w:hAnsi="Palatino Linotype"/>
          <w:color w:val="000000"/>
        </w:rPr>
        <w:t xml:space="preserve">, esto es que la información se generó, poseyó o administró en el marco de las atribuciones conferidas </w:t>
      </w:r>
      <w:proofErr w:type="gramStart"/>
      <w:r w:rsidRPr="00780B48">
        <w:rPr>
          <w:rFonts w:ascii="Palatino Linotype" w:hAnsi="Palatino Linotype"/>
          <w:color w:val="000000"/>
        </w:rPr>
        <w:t xml:space="preserve">al </w:t>
      </w:r>
      <w:r>
        <w:rPr>
          <w:rFonts w:ascii="Palatino Linotype" w:hAnsi="Palatino Linotype"/>
          <w:b/>
          <w:color w:val="000000"/>
        </w:rPr>
        <w:t xml:space="preserve"> SUJETO</w:t>
      </w:r>
      <w:proofErr w:type="gramEnd"/>
      <w:r>
        <w:rPr>
          <w:rFonts w:ascii="Palatino Linotype" w:hAnsi="Palatino Linotype"/>
          <w:b/>
          <w:color w:val="000000"/>
        </w:rPr>
        <w:t xml:space="preserve"> OBLIGADO </w:t>
      </w:r>
      <w:r w:rsidRPr="00780B48">
        <w:rPr>
          <w:rFonts w:ascii="Palatino Linotype" w:hAnsi="Palatino Linotype"/>
          <w:color w:val="000000"/>
        </w:rPr>
        <w:t>pero no la conserva por diversas razones (</w:t>
      </w:r>
      <w:r w:rsidRPr="000D04F9">
        <w:rPr>
          <w:rFonts w:ascii="Palatino Linotype" w:hAnsi="Palatino Linotype"/>
          <w:b/>
          <w:color w:val="000000"/>
        </w:rPr>
        <w:t>destrucción física, desaparición física, sustracción ilícita</w:t>
      </w:r>
      <w:r w:rsidRPr="00780B48">
        <w:rPr>
          <w:rFonts w:ascii="Palatino Linotype" w:hAnsi="Palatino Linotype"/>
          <w:color w:val="000000"/>
        </w:rPr>
        <w:t xml:space="preserve">, </w:t>
      </w:r>
      <w:r w:rsidRPr="000D04F9">
        <w:rPr>
          <w:rFonts w:ascii="Palatino Linotype" w:hAnsi="Palatino Linotype"/>
          <w:color w:val="000000"/>
        </w:rPr>
        <w:t>baja documental</w:t>
      </w:r>
      <w:r w:rsidRPr="00780B48">
        <w:rPr>
          <w:rFonts w:ascii="Palatino Linotype" w:hAnsi="Palatino Linotype"/>
          <w:color w:val="000000"/>
        </w:rPr>
        <w:t>, etcétera).</w:t>
      </w:r>
    </w:p>
    <w:p w14:paraId="260E71C1" w14:textId="77777777" w:rsidR="00DA71FB" w:rsidRP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0C6A8D2F" w14:textId="12802AE7"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sidRPr="00780B48">
        <w:rPr>
          <w:rFonts w:ascii="Palatino Linotype" w:eastAsia="Calibri" w:hAnsi="Palatino Linotype" w:cs="Arial"/>
        </w:rPr>
        <w:t xml:space="preserve">consecuencia, </w:t>
      </w:r>
      <w:r w:rsidRPr="00780B48">
        <w:rPr>
          <w:rFonts w:ascii="Palatino Linotype" w:eastAsia="Calibri" w:hAnsi="Palatino Linotype" w:cs="Arial"/>
          <w:b/>
        </w:rPr>
        <w:t xml:space="preserve">el SUJETO OBLIGADO </w:t>
      </w:r>
      <w:r w:rsidRPr="00780B48">
        <w:rPr>
          <w:rFonts w:ascii="Palatino Linotype" w:eastAsia="Calibri" w:hAnsi="Palatino Linotype" w:cs="Arial"/>
        </w:rPr>
        <w:t xml:space="preserve">en todo tiempo deberá cumplir con las formalidades exigidas por el marco jurídico y, al dar cumplimiento a </w:t>
      </w:r>
      <w:proofErr w:type="gramStart"/>
      <w:r w:rsidRPr="00780B48">
        <w:rPr>
          <w:rFonts w:ascii="Palatino Linotype" w:eastAsia="Calibri" w:hAnsi="Palatino Linotype" w:cs="Arial"/>
        </w:rPr>
        <w:t>la  resolución</w:t>
      </w:r>
      <w:proofErr w:type="gramEnd"/>
      <w:r w:rsidRPr="00780B48">
        <w:rPr>
          <w:rFonts w:ascii="Palatino Linotype" w:eastAsia="Calibri" w:hAnsi="Palatino Linotype" w:cs="Arial"/>
        </w:rPr>
        <w:t>, deberá acreditar la búsqueda exhaustiva y de ser el caso que no se localice la información, tendrá que emitir el Acuerdo del Comité de Transparencia, qu</w:t>
      </w:r>
      <w:r>
        <w:rPr>
          <w:rFonts w:ascii="Palatino Linotype" w:eastAsia="Calibri" w:hAnsi="Palatino Linotype" w:cs="Arial"/>
        </w:rPr>
        <w:t xml:space="preserve">e se hará del conocimiento del </w:t>
      </w:r>
      <w:r w:rsidRPr="00B247D8">
        <w:rPr>
          <w:rFonts w:ascii="Palatino Linotype" w:eastAsia="Calibri" w:hAnsi="Palatino Linotype" w:cs="Arial"/>
          <w:b/>
        </w:rPr>
        <w:t>RECURRENTE</w:t>
      </w:r>
      <w:r w:rsidRPr="00780B48">
        <w:rPr>
          <w:rFonts w:ascii="Palatino Linotype" w:eastAsia="Calibri" w:hAnsi="Palatino Linotype" w:cs="Arial"/>
        </w:rPr>
        <w:t>, en los siguientes términos:</w:t>
      </w:r>
    </w:p>
    <w:p w14:paraId="43DDF70C" w14:textId="77777777" w:rsidR="00DA71FB" w:rsidRPr="00DA71FB" w:rsidRDefault="00DA71FB" w:rsidP="009A090B">
      <w:pPr>
        <w:pStyle w:val="Prrafodelista"/>
        <w:numPr>
          <w:ilvl w:val="1"/>
          <w:numId w:val="10"/>
        </w:numPr>
        <w:tabs>
          <w:tab w:val="left" w:pos="426"/>
        </w:tabs>
        <w:spacing w:before="240" w:after="240" w:line="360" w:lineRule="auto"/>
        <w:ind w:left="993" w:right="51"/>
        <w:jc w:val="both"/>
        <w:rPr>
          <w:rFonts w:ascii="Palatino Linotype" w:hAnsi="Palatino Linotype"/>
          <w:color w:val="000000" w:themeColor="text1"/>
        </w:rPr>
      </w:pPr>
      <w:r w:rsidRPr="00DA71FB">
        <w:rPr>
          <w:rFonts w:ascii="Palatino Linotype" w:hAnsi="Palatino Linotype"/>
          <w:color w:val="000000" w:themeColor="text1"/>
        </w:rPr>
        <w:lastRenderedPageBreak/>
        <w:t>Deberá emitir el Acuerdo de Inexistencia respectivo, en el entendido, que el acto de autoridad debe estar debidamente fundado y razonado.</w:t>
      </w:r>
    </w:p>
    <w:p w14:paraId="59FAA347" w14:textId="355B58BC" w:rsidR="00DA71FB" w:rsidRPr="00DA71FB" w:rsidRDefault="00DA71FB" w:rsidP="009A090B">
      <w:pPr>
        <w:pStyle w:val="Prrafodelista"/>
        <w:numPr>
          <w:ilvl w:val="1"/>
          <w:numId w:val="10"/>
        </w:numPr>
        <w:tabs>
          <w:tab w:val="left" w:pos="426"/>
        </w:tabs>
        <w:spacing w:before="240" w:after="240" w:line="360" w:lineRule="auto"/>
        <w:ind w:left="993" w:right="51"/>
        <w:jc w:val="both"/>
        <w:rPr>
          <w:rFonts w:ascii="Palatino Linotype" w:hAnsi="Palatino Linotype"/>
          <w:color w:val="000000" w:themeColor="text1"/>
        </w:rPr>
      </w:pPr>
      <w:r w:rsidRPr="00DA71FB">
        <w:rPr>
          <w:rFonts w:ascii="Palatino Linotype" w:hAnsi="Palatino Linotype"/>
          <w:color w:val="000000" w:themeColor="text1"/>
        </w:rPr>
        <w:t xml:space="preserve">Señalando el lugar y fecha de la resolución, el nombre del </w:t>
      </w:r>
      <w:r w:rsidRPr="00DA71FB">
        <w:rPr>
          <w:rFonts w:ascii="Palatino Linotype" w:hAnsi="Palatino Linotype"/>
          <w:b/>
          <w:color w:val="000000" w:themeColor="text1"/>
        </w:rPr>
        <w:t>RECURRENTE</w:t>
      </w:r>
      <w:r w:rsidRPr="00DA71FB">
        <w:rPr>
          <w:rFonts w:ascii="Palatino Linotype" w:hAnsi="Palatino Linotype"/>
          <w:color w:val="000000" w:themeColor="text1"/>
        </w:rPr>
        <w:t>, la información solicitada, el fundamento y motivo por el cual se determina que la información solicitada no obra en sus archivos, los nombres y firmas autógrafas de los integrantes del Comité de Información.</w:t>
      </w:r>
    </w:p>
    <w:p w14:paraId="132ECBC3" w14:textId="77777777" w:rsidR="00DA71FB" w:rsidRP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7D6600D4" w14:textId="43946A1E"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Lo </w:t>
      </w:r>
      <w:r w:rsidRPr="00780B48">
        <w:rPr>
          <w:rFonts w:ascii="Palatino Linotype" w:hAnsi="Palatino Linotype" w:cs="Arial"/>
        </w:rPr>
        <w:t xml:space="preserve">anterior es así, toda vez que </w:t>
      </w:r>
      <w:r w:rsidRPr="00780B48">
        <w:rPr>
          <w:rFonts w:ascii="Palatino Linotype" w:hAnsi="Palatino Linotype" w:cs="Arial"/>
          <w:b/>
          <w:u w:val="single"/>
        </w:rPr>
        <w:t>es necesaria</w:t>
      </w:r>
      <w:r w:rsidRPr="00780B48">
        <w:rPr>
          <w:rFonts w:ascii="Palatino Linotype" w:hAnsi="Palatino Linotype" w:cs="Arial"/>
        </w:rPr>
        <w:t xml:space="preserve"> la emisión del Acuerdo de Inexistencia en aquellos casos en que </w:t>
      </w:r>
      <w:r w:rsidRPr="00780B48">
        <w:rPr>
          <w:rFonts w:ascii="Palatino Linotype" w:eastAsia="Arial Unicode MS" w:hAnsi="Palatino Linotype" w:cs="Arial"/>
        </w:rPr>
        <w:t xml:space="preserve">el </w:t>
      </w:r>
      <w:r w:rsidRPr="00780B48">
        <w:rPr>
          <w:rFonts w:ascii="Palatino Linotype" w:eastAsia="Arial Unicode MS" w:hAnsi="Palatino Linotype" w:cs="Arial"/>
          <w:b/>
        </w:rPr>
        <w:t xml:space="preserve">SUJETO OBLIGADO </w:t>
      </w:r>
      <w:r w:rsidRPr="00780B48">
        <w:rPr>
          <w:rFonts w:ascii="Palatino Linotype" w:eastAsia="Arial Unicode MS" w:hAnsi="Palatino Linotype" w:cs="Arial"/>
          <w:b/>
          <w:u w:val="single"/>
        </w:rPr>
        <w:t>generó</w:t>
      </w:r>
      <w:r w:rsidRPr="00780B48">
        <w:rPr>
          <w:rFonts w:ascii="Palatino Linotype" w:eastAsia="Arial Unicode MS" w:hAnsi="Palatino Linotype" w:cs="Arial"/>
          <w:b/>
        </w:rPr>
        <w:t xml:space="preserve"> </w:t>
      </w:r>
      <w:r w:rsidRPr="00780B48">
        <w:rPr>
          <w:rFonts w:ascii="Palatino Linotype" w:eastAsia="Arial Unicode MS" w:hAnsi="Palatino Linotype" w:cs="Arial"/>
        </w:rPr>
        <w:t>la información solicitada empero</w:t>
      </w:r>
      <w:r w:rsidRPr="00780B48">
        <w:rPr>
          <w:rFonts w:ascii="Palatino Linotype" w:hAnsi="Palatino Linotype" w:cs="Arial"/>
        </w:rPr>
        <w:t xml:space="preserve"> </w:t>
      </w:r>
      <w:r w:rsidRPr="00780B48">
        <w:rPr>
          <w:rFonts w:ascii="Palatino Linotype" w:hAnsi="Palatino Linotype" w:cs="Arial"/>
          <w:color w:val="000000"/>
        </w:rPr>
        <w:t>previa búsqueda exhaustiva y minuciosa de la misma, no localiza la información requerida.</w:t>
      </w:r>
    </w:p>
    <w:p w14:paraId="054BB8BB" w14:textId="77777777" w:rsidR="00DA71FB" w:rsidRP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637BBDC7" w14:textId="01C2D92A"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sidRPr="00780B48">
        <w:rPr>
          <w:rFonts w:ascii="Palatino Linotype" w:hAnsi="Palatino Linotype" w:cs="Arial"/>
          <w:color w:val="000000"/>
        </w:rPr>
        <w:t xml:space="preserve">ese caso </w:t>
      </w:r>
      <w:r w:rsidRPr="00780B48">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780B48">
        <w:rPr>
          <w:rFonts w:ascii="Palatino Linotype" w:eastAsia="Arial Unicode MS" w:hAnsi="Palatino Linotype" w:cs="Arial"/>
          <w:color w:val="000000"/>
        </w:rPr>
        <w:t xml:space="preserve">el </w:t>
      </w:r>
      <w:r w:rsidRPr="00780B48">
        <w:rPr>
          <w:rFonts w:ascii="Palatino Linotype" w:eastAsia="Arial Unicode MS" w:hAnsi="Palatino Linotype" w:cs="Arial"/>
          <w:b/>
          <w:color w:val="000000"/>
        </w:rPr>
        <w:t>SUJETO OBLIGADO</w:t>
      </w:r>
      <w:r w:rsidRPr="00780B48">
        <w:rPr>
          <w:rFonts w:ascii="Palatino Linotype" w:eastAsia="Arial Unicode MS" w:hAnsi="Palatino Linotype" w:cs="Arial"/>
        </w:rPr>
        <w:t xml:space="preserve"> en el marco de las funciones de derecho público; sin embargo, éste no lo posee por la razones que se deben expresar a través de un acuerdo debidamente fundado y motivado esto en estricto apego a lo establecido en los artículos 16</w:t>
      </w:r>
      <w:r w:rsidR="000D04F9">
        <w:rPr>
          <w:rFonts w:ascii="Palatino Linotype" w:eastAsia="Arial Unicode MS" w:hAnsi="Palatino Linotype" w:cs="Arial"/>
        </w:rPr>
        <w:t>9 y 170 de la Ley de Transparencia y Acceso a la Información Pública del Estado de México y Municipios, los cuales establecen lo siguiente:</w:t>
      </w:r>
    </w:p>
    <w:p w14:paraId="44FA9CF3" w14:textId="77777777" w:rsidR="00DA71FB" w:rsidRDefault="00DA71FB"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1AB26EC4"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0D04F9">
        <w:rPr>
          <w:rFonts w:ascii="Palatino Linotype" w:hAnsi="Palatino Linotype"/>
          <w:b/>
          <w:i/>
          <w:sz w:val="22"/>
        </w:rPr>
        <w:t>Artículo 169.</w:t>
      </w:r>
      <w:r w:rsidRPr="000D04F9">
        <w:rPr>
          <w:rFonts w:ascii="Palatino Linotype" w:hAnsi="Palatino Linotype"/>
          <w:i/>
          <w:sz w:val="22"/>
        </w:rPr>
        <w:t xml:space="preserve"> </w:t>
      </w:r>
      <w:r w:rsidRPr="000D04F9">
        <w:rPr>
          <w:rFonts w:ascii="Palatino Linotype" w:hAnsi="Palatino Linotype"/>
          <w:b/>
          <w:i/>
          <w:sz w:val="22"/>
        </w:rPr>
        <w:t>Cuando la información no se encuentre en los archivos</w:t>
      </w:r>
      <w:r w:rsidRPr="000D04F9">
        <w:rPr>
          <w:rFonts w:ascii="Palatino Linotype" w:hAnsi="Palatino Linotype"/>
          <w:i/>
          <w:sz w:val="22"/>
        </w:rPr>
        <w:t xml:space="preserve"> del sujeto obligado, el Comité de Transparencia: </w:t>
      </w:r>
    </w:p>
    <w:p w14:paraId="7C0AC5A3"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sidRPr="000D04F9">
        <w:rPr>
          <w:rFonts w:ascii="Palatino Linotype" w:hAnsi="Palatino Linotype"/>
          <w:b/>
          <w:i/>
          <w:sz w:val="22"/>
        </w:rPr>
        <w:t>I.</w:t>
      </w:r>
      <w:r w:rsidRPr="000D04F9">
        <w:rPr>
          <w:rFonts w:ascii="Palatino Linotype" w:hAnsi="Palatino Linotype"/>
          <w:i/>
          <w:sz w:val="22"/>
        </w:rPr>
        <w:t xml:space="preserve"> Analizará el caso y </w:t>
      </w:r>
      <w:r w:rsidRPr="000D04F9">
        <w:rPr>
          <w:rFonts w:ascii="Palatino Linotype" w:hAnsi="Palatino Linotype"/>
          <w:b/>
          <w:i/>
          <w:sz w:val="22"/>
        </w:rPr>
        <w:t>tomará las medidas necesarias para localizar la información</w:t>
      </w:r>
      <w:r w:rsidRPr="000D04F9">
        <w:rPr>
          <w:rFonts w:ascii="Palatino Linotype" w:hAnsi="Palatino Linotype"/>
          <w:i/>
          <w:sz w:val="22"/>
        </w:rPr>
        <w:t xml:space="preserve">; </w:t>
      </w:r>
    </w:p>
    <w:p w14:paraId="58A0E26D"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sidRPr="000D04F9">
        <w:rPr>
          <w:rFonts w:ascii="Palatino Linotype" w:hAnsi="Palatino Linotype"/>
          <w:b/>
          <w:i/>
          <w:sz w:val="22"/>
        </w:rPr>
        <w:lastRenderedPageBreak/>
        <w:t>II.</w:t>
      </w:r>
      <w:r w:rsidRPr="000D04F9">
        <w:rPr>
          <w:rFonts w:ascii="Palatino Linotype" w:hAnsi="Palatino Linotype"/>
          <w:i/>
          <w:sz w:val="22"/>
        </w:rPr>
        <w:t xml:space="preserve"> Expedirá una </w:t>
      </w:r>
      <w:r w:rsidRPr="000D04F9">
        <w:rPr>
          <w:rFonts w:ascii="Palatino Linotype" w:hAnsi="Palatino Linotype"/>
          <w:b/>
          <w:i/>
          <w:sz w:val="22"/>
        </w:rPr>
        <w:t>resolución que confirme la inexistencia</w:t>
      </w:r>
      <w:r w:rsidRPr="000D04F9">
        <w:rPr>
          <w:rFonts w:ascii="Palatino Linotype" w:hAnsi="Palatino Linotype"/>
          <w:i/>
          <w:sz w:val="22"/>
        </w:rPr>
        <w:t xml:space="preserve"> del documento; </w:t>
      </w:r>
    </w:p>
    <w:p w14:paraId="48BCD2BE"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sidRPr="000D04F9">
        <w:rPr>
          <w:rFonts w:ascii="Palatino Linotype" w:hAnsi="Palatino Linotype"/>
          <w:b/>
          <w:i/>
          <w:sz w:val="22"/>
        </w:rPr>
        <w:t>III.</w:t>
      </w:r>
      <w:r w:rsidRPr="000D04F9">
        <w:rPr>
          <w:rFonts w:ascii="Palatino Linotype" w:hAnsi="Palatino Linotype"/>
          <w:i/>
          <w:sz w:val="22"/>
        </w:rPr>
        <w:t xml:space="preserve"> </w:t>
      </w:r>
      <w:r w:rsidRPr="000D04F9">
        <w:rPr>
          <w:rFonts w:ascii="Palatino Linotype" w:hAnsi="Palatino Linotype"/>
          <w:b/>
          <w:i/>
          <w:sz w:val="22"/>
        </w:rPr>
        <w:t>Ordenará</w:t>
      </w:r>
      <w:r w:rsidRPr="000D04F9">
        <w:rPr>
          <w:rFonts w:ascii="Palatino Linotype" w:hAnsi="Palatino Linotype"/>
          <w:i/>
          <w:sz w:val="22"/>
        </w:rPr>
        <w:t xml:space="preserve">, siempre que sea materialmente posible, </w:t>
      </w:r>
      <w:r w:rsidRPr="000D04F9">
        <w:rPr>
          <w:rFonts w:ascii="Palatino Linotype" w:hAnsi="Palatino Linotype"/>
          <w:b/>
          <w:i/>
          <w:sz w:val="22"/>
        </w:rPr>
        <w:t>que se genere o se reponga la información</w:t>
      </w:r>
      <w:r w:rsidRPr="000D04F9">
        <w:rPr>
          <w:rFonts w:ascii="Palatino Linotype" w:hAnsi="Palatino Linotype"/>
          <w:i/>
          <w:sz w:val="22"/>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4C3D40BE"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sidRPr="000D04F9">
        <w:rPr>
          <w:rFonts w:ascii="Palatino Linotype" w:hAnsi="Palatino Linotype"/>
          <w:b/>
          <w:i/>
          <w:sz w:val="22"/>
        </w:rPr>
        <w:t>IV.</w:t>
      </w:r>
      <w:r w:rsidRPr="000D04F9">
        <w:rPr>
          <w:rFonts w:ascii="Palatino Linotype" w:hAnsi="Palatino Linotype"/>
          <w:i/>
          <w:sz w:val="22"/>
        </w:rPr>
        <w:t xml:space="preserve"> </w:t>
      </w:r>
      <w:r w:rsidRPr="000D04F9">
        <w:rPr>
          <w:rFonts w:ascii="Palatino Linotype" w:hAnsi="Palatino Linotype"/>
          <w:b/>
          <w:i/>
          <w:sz w:val="22"/>
          <w:u w:val="double"/>
        </w:rPr>
        <w:t>Notificará al órgano interno de control o equivalente del sujeto obligado quien, en su caso, deberá iniciar el procedimiento de responsabilidad administrativa que corresponda</w:t>
      </w:r>
      <w:r w:rsidRPr="000D04F9">
        <w:rPr>
          <w:rFonts w:ascii="Palatino Linotype" w:hAnsi="Palatino Linotype"/>
          <w:i/>
          <w:sz w:val="22"/>
        </w:rPr>
        <w:t xml:space="preserve">. </w:t>
      </w:r>
    </w:p>
    <w:p w14:paraId="6F7D5C69"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r w:rsidRPr="000D04F9">
        <w:rPr>
          <w:rFonts w:ascii="Palatino Linotype" w:hAnsi="Palatino Linotype"/>
          <w:i/>
          <w:sz w:val="22"/>
        </w:rPr>
        <w:t xml:space="preserve">La Unidad de Transparencia deberá notificarlo al solicitante por escrito, en un plazo que no exceda de quince días hábiles contados a partir del día siguiente a la presentación de la solicitud. </w:t>
      </w:r>
    </w:p>
    <w:p w14:paraId="1A35B39F" w14:textId="609024FA" w:rsidR="000D04F9" w:rsidRDefault="000D04F9" w:rsidP="000D04F9">
      <w:pPr>
        <w:pStyle w:val="Prrafodelista"/>
        <w:tabs>
          <w:tab w:val="left" w:pos="426"/>
        </w:tabs>
        <w:spacing w:before="240" w:after="240" w:line="276" w:lineRule="auto"/>
        <w:ind w:left="567" w:right="567"/>
        <w:jc w:val="both"/>
        <w:rPr>
          <w:rFonts w:ascii="Palatino Linotype" w:hAnsi="Palatino Linotype"/>
          <w:sz w:val="22"/>
        </w:rPr>
      </w:pPr>
      <w:r w:rsidRPr="000D04F9">
        <w:rPr>
          <w:rFonts w:ascii="Palatino Linotype" w:hAnsi="Palatino Linotype"/>
          <w:i/>
          <w:sz w:val="22"/>
        </w:rPr>
        <w:t>Este plazo podrá ampliarse hasta por otros siete días hábiles, siempre que existan razones para ello, debiendo notificarse por escrito al solicitante.</w:t>
      </w:r>
      <w:r>
        <w:rPr>
          <w:rFonts w:ascii="Palatino Linotype" w:hAnsi="Palatino Linotype"/>
          <w:i/>
          <w:sz w:val="22"/>
        </w:rPr>
        <w:t>”</w:t>
      </w:r>
    </w:p>
    <w:p w14:paraId="14E77DB0" w14:textId="323678EB" w:rsidR="000D04F9" w:rsidRPr="000D04F9" w:rsidRDefault="000D04F9" w:rsidP="000D04F9">
      <w:pPr>
        <w:pStyle w:val="Prrafodelista"/>
        <w:tabs>
          <w:tab w:val="left" w:pos="426"/>
        </w:tabs>
        <w:spacing w:before="240" w:after="240" w:line="276" w:lineRule="auto"/>
        <w:ind w:left="567" w:right="567"/>
        <w:jc w:val="both"/>
        <w:rPr>
          <w:rFonts w:ascii="Palatino Linotype" w:hAnsi="Palatino Linotype"/>
          <w:sz w:val="22"/>
        </w:rPr>
      </w:pPr>
      <w:r>
        <w:rPr>
          <w:rFonts w:ascii="Palatino Linotype" w:hAnsi="Palatino Linotype"/>
          <w:sz w:val="22"/>
        </w:rPr>
        <w:t>(Énfasis añadido)</w:t>
      </w:r>
    </w:p>
    <w:p w14:paraId="2C7B8BE4" w14:textId="77777777" w:rsidR="000D04F9" w:rsidRDefault="000D04F9" w:rsidP="000D04F9">
      <w:pPr>
        <w:pStyle w:val="Prrafodelista"/>
        <w:tabs>
          <w:tab w:val="left" w:pos="426"/>
        </w:tabs>
        <w:spacing w:before="240" w:after="240" w:line="276" w:lineRule="auto"/>
        <w:ind w:left="567" w:right="567"/>
        <w:jc w:val="both"/>
        <w:rPr>
          <w:rFonts w:ascii="Palatino Linotype" w:hAnsi="Palatino Linotype"/>
          <w:i/>
          <w:sz w:val="22"/>
        </w:rPr>
      </w:pPr>
    </w:p>
    <w:p w14:paraId="58827EE4" w14:textId="1938A0BF" w:rsidR="000D04F9" w:rsidRPr="000D04F9" w:rsidRDefault="000D04F9" w:rsidP="000D04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sz w:val="22"/>
        </w:rPr>
        <w:t>“</w:t>
      </w:r>
      <w:r w:rsidRPr="000D04F9">
        <w:rPr>
          <w:rFonts w:ascii="Palatino Linotype" w:hAnsi="Palatino Linotype"/>
          <w:b/>
          <w:i/>
          <w:sz w:val="22"/>
        </w:rPr>
        <w:t>Artículo 170.</w:t>
      </w:r>
      <w:r w:rsidRPr="000D04F9">
        <w:rPr>
          <w:rFonts w:ascii="Palatino Linotype" w:hAnsi="Palatino Linotype"/>
          <w:i/>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Pr>
          <w:rFonts w:ascii="Palatino Linotype" w:hAnsi="Palatino Linotype"/>
          <w:i/>
          <w:sz w:val="22"/>
        </w:rPr>
        <w:t>”</w:t>
      </w:r>
    </w:p>
    <w:p w14:paraId="214AD0AA" w14:textId="77777777" w:rsidR="000D04F9" w:rsidRPr="00DA71FB" w:rsidRDefault="000D04F9" w:rsidP="00DA71FB">
      <w:pPr>
        <w:pStyle w:val="Prrafodelista"/>
        <w:tabs>
          <w:tab w:val="left" w:pos="426"/>
        </w:tabs>
        <w:spacing w:before="240" w:after="240" w:line="360" w:lineRule="auto"/>
        <w:ind w:left="0" w:right="51"/>
        <w:jc w:val="both"/>
        <w:rPr>
          <w:rFonts w:ascii="Palatino Linotype" w:hAnsi="Palatino Linotype"/>
          <w:color w:val="000000" w:themeColor="text1"/>
        </w:rPr>
      </w:pPr>
    </w:p>
    <w:p w14:paraId="290E1EA1" w14:textId="6F193275" w:rsidR="0073730A" w:rsidRDefault="0073730A"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entonces, resulta notorio que la manifestación de inexistencia de información no consiste meramente en ratificar que ciertos documentos no se encuentran en un área administrativa determinada, sino que implica la alta responsabilidad del Comité de Transparencia de realizar todas las diligencias internas necesarias a efecto de asegurar de que se busque la información en </w:t>
      </w:r>
      <w:r>
        <w:rPr>
          <w:rFonts w:ascii="Palatino Linotype" w:hAnsi="Palatino Linotype"/>
          <w:b/>
          <w:color w:val="000000" w:themeColor="text1"/>
        </w:rPr>
        <w:t>todas</w:t>
      </w:r>
      <w:r>
        <w:rPr>
          <w:rFonts w:ascii="Palatino Linotype" w:hAnsi="Palatino Linotype"/>
          <w:color w:val="000000" w:themeColor="text1"/>
        </w:rPr>
        <w:t xml:space="preserve"> las áreas y unidades administrativas del </w:t>
      </w:r>
      <w:r>
        <w:rPr>
          <w:rFonts w:ascii="Palatino Linotype" w:hAnsi="Palatino Linotype"/>
          <w:b/>
          <w:color w:val="000000" w:themeColor="text1"/>
        </w:rPr>
        <w:t>SUJETO OBLIGADO</w:t>
      </w:r>
      <w:r>
        <w:rPr>
          <w:rFonts w:ascii="Palatino Linotype" w:hAnsi="Palatino Linotype"/>
          <w:color w:val="000000" w:themeColor="text1"/>
        </w:rPr>
        <w:t xml:space="preserve"> a fin de constatar que realmente la información no obra más en los archivos del ayuntamiento; y, en </w:t>
      </w:r>
      <w:r>
        <w:rPr>
          <w:rFonts w:ascii="Palatino Linotype" w:hAnsi="Palatino Linotype"/>
          <w:color w:val="000000" w:themeColor="text1"/>
        </w:rPr>
        <w:lastRenderedPageBreak/>
        <w:t xml:space="preserve">dado caso, cuando exista la posibilidad, </w:t>
      </w:r>
      <w:r>
        <w:rPr>
          <w:rFonts w:ascii="Palatino Linotype" w:hAnsi="Palatino Linotype"/>
          <w:b/>
          <w:color w:val="000000" w:themeColor="text1"/>
        </w:rPr>
        <w:t>ordenará su regeneración o reposición</w:t>
      </w:r>
      <w:r>
        <w:rPr>
          <w:rFonts w:ascii="Palatino Linotype" w:hAnsi="Palatino Linotype"/>
          <w:color w:val="000000" w:themeColor="text1"/>
        </w:rPr>
        <w:t xml:space="preserve"> inmediata; y, más importante aún, </w:t>
      </w:r>
      <w:r>
        <w:rPr>
          <w:rFonts w:ascii="Palatino Linotype" w:hAnsi="Palatino Linotype"/>
          <w:b/>
          <w:color w:val="000000" w:themeColor="text1"/>
        </w:rPr>
        <w:t>notificará al órgano de control interno para que se inicie el procedimiento de responsabilidad administrativa respectivo</w:t>
      </w:r>
      <w:r>
        <w:rPr>
          <w:rFonts w:ascii="Palatino Linotype" w:hAnsi="Palatino Linotype"/>
          <w:color w:val="000000" w:themeColor="text1"/>
        </w:rPr>
        <w:t xml:space="preserve">. Ninguno de estos elementos fue atendido por el infundado y débil Acuerdo que generó el Comité de Transparencia del </w:t>
      </w:r>
      <w:r>
        <w:rPr>
          <w:rFonts w:ascii="Palatino Linotype" w:hAnsi="Palatino Linotype"/>
          <w:b/>
          <w:color w:val="000000" w:themeColor="text1"/>
        </w:rPr>
        <w:t>SUJETO OBLIGADO</w:t>
      </w:r>
      <w:r>
        <w:rPr>
          <w:rFonts w:ascii="Palatino Linotype" w:hAnsi="Palatino Linotype"/>
          <w:color w:val="000000" w:themeColor="text1"/>
        </w:rPr>
        <w:t>.</w:t>
      </w:r>
    </w:p>
    <w:p w14:paraId="1DB9DF22" w14:textId="77777777" w:rsidR="0073730A" w:rsidRPr="0073730A" w:rsidRDefault="0073730A" w:rsidP="0073730A">
      <w:pPr>
        <w:pStyle w:val="Prrafodelista"/>
        <w:tabs>
          <w:tab w:val="left" w:pos="426"/>
        </w:tabs>
        <w:spacing w:before="240" w:after="240" w:line="360" w:lineRule="auto"/>
        <w:ind w:left="0" w:right="51"/>
        <w:jc w:val="both"/>
        <w:rPr>
          <w:rFonts w:ascii="Palatino Linotype" w:hAnsi="Palatino Linotype"/>
          <w:color w:val="000000" w:themeColor="text1"/>
        </w:rPr>
      </w:pPr>
    </w:p>
    <w:p w14:paraId="4B4BCE2F" w14:textId="1E55B032" w:rsidR="00DA71FB" w:rsidRPr="00DA71FB" w:rsidRDefault="00DA71FB" w:rsidP="00B2789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rPr>
        <w:t xml:space="preserve">En </w:t>
      </w:r>
      <w:r w:rsidRPr="00780B48">
        <w:rPr>
          <w:rFonts w:ascii="Palatino Linotype" w:eastAsia="Arial Unicode MS" w:hAnsi="Palatino Linotype" w:cs="Arial"/>
        </w:rPr>
        <w:t xml:space="preserve">otras palabras, </w:t>
      </w:r>
      <w:r w:rsidRPr="000D04F9">
        <w:rPr>
          <w:rFonts w:ascii="Palatino Linotype" w:eastAsia="Arial Unicode MS" w:hAnsi="Palatino Linotype" w:cs="Arial"/>
          <w:b/>
        </w:rPr>
        <w:t>hablar de información inexistente implica la alta responsabilidad de explicar a la ciudadanía por qué un ente público que tiene la facultad y el deber de generar, poseer o administrar su información pública no la tiene</w:t>
      </w:r>
      <w:r w:rsidRPr="00780B48">
        <w:rPr>
          <w:rFonts w:ascii="Palatino Linotype" w:eastAsia="Arial Unicode MS" w:hAnsi="Palatino Linotype" w:cs="Arial"/>
        </w:rPr>
        <w:t>.</w:t>
      </w:r>
    </w:p>
    <w:p w14:paraId="2D948D9C" w14:textId="77777777" w:rsidR="00F12E50" w:rsidRPr="00DD3902" w:rsidRDefault="00F12E50" w:rsidP="00F12E50">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F01443"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2" w:name="_Toc85118537"/>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32"/>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77777777"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CA7A78">
        <w:rPr>
          <w:rFonts w:ascii="Palatino Linotype" w:hAnsi="Palatino Linotype"/>
          <w:b/>
          <w:color w:val="000000" w:themeColor="text1"/>
        </w:rPr>
        <w:t xml:space="preserve"> </w:t>
      </w:r>
      <w:r w:rsidR="00CA7A78"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w:t>
      </w:r>
      <w:r w:rsidRPr="0062325E">
        <w:rPr>
          <w:rFonts w:ascii="Palatino Linotype" w:hAnsi="Palatino Linotype" w:cs="Arial"/>
          <w:color w:val="000000" w:themeColor="text1"/>
        </w:rPr>
        <w:lastRenderedPageBreak/>
        <w:t>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3" w:name="_Toc85118538"/>
      <w:r>
        <w:rPr>
          <w:rFonts w:ascii="Palatino Linotype" w:hAnsi="Palatino Linotype"/>
          <w:b/>
          <w:color w:val="000000" w:themeColor="text1"/>
        </w:rPr>
        <w:t>I. Requisitos previos.</w:t>
      </w:r>
      <w:bookmarkEnd w:id="33"/>
    </w:p>
    <w:p w14:paraId="7A4B0F56"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62325E">
        <w:rPr>
          <w:rFonts w:ascii="Palatino Linotype" w:eastAsia="MS Mincho" w:hAnsi="Palatino Linotype" w:cs="Times New Roman"/>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4" w:name="_Toc85118539"/>
      <w:r>
        <w:rPr>
          <w:rFonts w:ascii="Palatino Linotype" w:hAnsi="Palatino Linotype"/>
          <w:b/>
          <w:color w:val="000000" w:themeColor="text1"/>
        </w:rPr>
        <w:t>II. Supuestos de clasificación.</w:t>
      </w:r>
      <w:bookmarkEnd w:id="34"/>
    </w:p>
    <w:p w14:paraId="4D9928F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III. </w:t>
      </w:r>
      <w:r w:rsidRPr="00F0144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w:t>
      </w:r>
      <w:proofErr w:type="gramStart"/>
      <w:r w:rsidRPr="00F01443">
        <w:rPr>
          <w:rFonts w:ascii="Palatino Linotype" w:hAnsi="Palatino Linotype" w:cs="Bookman Old Style"/>
          <w:i/>
          <w:color w:val="000000"/>
          <w:sz w:val="22"/>
          <w:szCs w:val="22"/>
        </w:rPr>
        <w:t>la misma</w:t>
      </w:r>
      <w:proofErr w:type="gramEnd"/>
      <w:r w:rsidRPr="00F01443">
        <w:rPr>
          <w:rFonts w:ascii="Palatino Linotype" w:hAnsi="Palatino Linotype" w:cs="Bookman Old Style"/>
          <w:i/>
          <w:color w:val="000000"/>
          <w:sz w:val="22"/>
          <w:szCs w:val="22"/>
        </w:rPr>
        <w:t xml:space="preserve">, sus representantes y los servidores públicos facultados para ello. </w:t>
      </w:r>
    </w:p>
    <w:p w14:paraId="36990213" w14:textId="77777777" w:rsidR="00CA7A78" w:rsidRPr="00F01443"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E0953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w:t>
      </w:r>
      <w:r w:rsidRPr="0062325E">
        <w:rPr>
          <w:rFonts w:ascii="Palatino Linotype" w:eastAsia="MS Mincho"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14:paraId="57FB7ED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14:paraId="1C3668A8"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6E59C893"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05709D8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4C58DE4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0854ECA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3D08148B"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7A08E9B7"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42FB0DC9"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F01443"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lastRenderedPageBreak/>
        <w:t>Quincuagésimo tercero.</w:t>
      </w:r>
      <w:r w:rsidRPr="00F01443">
        <w:rPr>
          <w:rFonts w:ascii="Palatino Linotype" w:hAnsi="Palatino Linotype" w:cs="Arial"/>
          <w:i/>
          <w:sz w:val="22"/>
          <w:szCs w:val="22"/>
        </w:rPr>
        <w:t xml:space="preserve"> El formato para señalar la clasificación parcial de un documento, es el siguiente:</w:t>
      </w:r>
    </w:p>
    <w:p w14:paraId="66542400" w14:textId="3B9B39FD" w:rsidR="00CA7A78"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cs="Arial"/>
          <w:i/>
          <w:noProof/>
          <w:lang w:eastAsia="es-MX"/>
        </w:rPr>
        <w:drawing>
          <wp:inline distT="0" distB="0" distL="0" distR="0" wp14:anchorId="4D0C6FE8" wp14:editId="138BF4A5">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5" w:name="_Toc85118540"/>
      <w:r>
        <w:rPr>
          <w:rFonts w:ascii="Palatino Linotype" w:hAnsi="Palatino Linotype"/>
          <w:b/>
          <w:color w:val="000000" w:themeColor="text1"/>
        </w:rPr>
        <w:t>III. La intervención del Comité de Transparencia.</w:t>
      </w:r>
      <w:bookmarkEnd w:id="35"/>
    </w:p>
    <w:p w14:paraId="4B083D4C" w14:textId="2F89BEF9"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a) Formalidades para emitir el Acuerdo de clasificación.</w:t>
      </w:r>
    </w:p>
    <w:p w14:paraId="570B75E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El </w:t>
      </w:r>
      <w:r w:rsidRPr="0062325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La </w:t>
      </w:r>
      <w:r w:rsidRPr="0062325E">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CA7A78"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Pr>
          <w:rFonts w:ascii="Palatino Linotype" w:hAnsi="Palatino Linotype"/>
          <w:b/>
          <w:color w:val="000000" w:themeColor="text1"/>
        </w:rPr>
        <w:t>b) Requisitos de fondo del Acuerdo de Clasificación.</w:t>
      </w:r>
    </w:p>
    <w:p w14:paraId="1444C01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 xml:space="preserve">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62325E">
        <w:rPr>
          <w:rFonts w:ascii="Palatino Linotype" w:eastAsia="MS Mincho" w:hAnsi="Palatino Linotype" w:cs="Times New Roman"/>
        </w:rPr>
        <w:lastRenderedPageBreak/>
        <w:t>fundamentos legales que le dieron origen y las razones por las que se deben aplicar al caso concreto.</w:t>
      </w:r>
    </w:p>
    <w:p w14:paraId="7C96872E"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62325E">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roofErr w:type="gramStart"/>
      <w:r w:rsidRPr="0062325E">
        <w:rPr>
          <w:rFonts w:ascii="Palatino Linotype" w:eastAsia="MS Mincho" w:hAnsi="Palatino Linotype" w:cs="Times New Roman"/>
          <w:i/>
          <w:iCs/>
        </w:rPr>
        <w:t>(....</w:t>
      </w:r>
      <w:proofErr w:type="gramEnd"/>
      <w:r w:rsidRPr="0062325E">
        <w:rPr>
          <w:rFonts w:ascii="Palatino Linotype" w:eastAsia="MS Mincho" w:hAnsi="Palatino Linotype" w:cs="Times New Roman"/>
          <w:i/>
          <w:iCs/>
        </w:rPr>
        <w:t>)”</w:t>
      </w:r>
      <w:r>
        <w:rPr>
          <w:rFonts w:ascii="Palatino Linotype" w:eastAsia="MS Mincho" w:hAnsi="Palatino Linotype" w:cs="Times New Roman"/>
        </w:rPr>
        <w:t>.</w:t>
      </w:r>
    </w:p>
    <w:p w14:paraId="14197ECB"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29"/>
      </w:r>
      <w:r w:rsidRPr="0062325E">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3E6079" w:rsidRDefault="00CA7A78" w:rsidP="00CA7A78">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78A5F0D8" w:rsidR="00CA7A78" w:rsidRPr="009B1F7B"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1157B1E" w14:textId="2496506F"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35987D07" w14:textId="6FC8DA09" w:rsidR="009B1F7B" w:rsidRPr="009B1F7B" w:rsidRDefault="009B1F7B" w:rsidP="001A5BCD">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6" w:name="_Toc85118541"/>
      <w:r>
        <w:rPr>
          <w:rFonts w:ascii="Palatino Linotype" w:hAnsi="Palatino Linotype"/>
          <w:b/>
          <w:bCs/>
          <w:color w:val="000000" w:themeColor="text1"/>
        </w:rPr>
        <w:t>SEXTO. Vista a los órganos de control interno.</w:t>
      </w:r>
      <w:bookmarkEnd w:id="36"/>
    </w:p>
    <w:p w14:paraId="6BDC0DEF"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5F1EF76B" w14:textId="5775B09B"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lastRenderedPageBreak/>
        <w:t xml:space="preserve">La </w:t>
      </w:r>
      <w:r w:rsidRPr="000B7060">
        <w:rPr>
          <w:rFonts w:ascii="Palatino Linotype" w:eastAsia="Times New Roman" w:hAnsi="Palatino Linotype"/>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0AA65834" w14:textId="4F721898"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591F8922" w14:textId="1CFAACA3"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Correlativo </w:t>
      </w:r>
      <w:r>
        <w:rPr>
          <w:rFonts w:ascii="Palatino Linotype" w:eastAsia="Times New Roman" w:hAnsi="Palatino Linotype"/>
        </w:rPr>
        <w:t>a lo anterior, los artículos 190 y 223 de la Ley de Transparencia y Acceso a la Información Pública del Estado de México y Municipios señalan lo siguiente:</w:t>
      </w:r>
    </w:p>
    <w:p w14:paraId="45E14E42" w14:textId="16A47771"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364E6E3"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i/>
          <w:sz w:val="22"/>
          <w:szCs w:val="22"/>
        </w:rPr>
        <w:t>“</w:t>
      </w:r>
      <w:r w:rsidRPr="009B57DD">
        <w:rPr>
          <w:rFonts w:ascii="Palatino Linotype" w:eastAsia="Times New Roman" w:hAnsi="Palatino Linotype" w:cs="Times New Roman"/>
          <w:b/>
          <w:i/>
          <w:sz w:val="22"/>
          <w:szCs w:val="22"/>
        </w:rPr>
        <w:t>Artículo 190.</w:t>
      </w:r>
      <w:r w:rsidRPr="009B57DD">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0FA7B5E"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
          <w:sz w:val="22"/>
          <w:szCs w:val="22"/>
        </w:rPr>
      </w:pPr>
    </w:p>
    <w:p w14:paraId="145B8404" w14:textId="77777777" w:rsidR="009B1F7B" w:rsidRPr="009B57DD" w:rsidRDefault="009B1F7B" w:rsidP="009B1F7B">
      <w:pPr>
        <w:spacing w:line="276" w:lineRule="auto"/>
        <w:ind w:left="567" w:right="567"/>
        <w:contextualSpacing/>
        <w:jc w:val="both"/>
        <w:rPr>
          <w:rFonts w:ascii="Palatino Linotype" w:hAnsi="Palatino Linotype"/>
          <w:i/>
          <w:sz w:val="22"/>
          <w:szCs w:val="22"/>
        </w:rPr>
      </w:pPr>
      <w:r w:rsidRPr="009B57DD">
        <w:rPr>
          <w:rFonts w:ascii="Palatino Linotype" w:eastAsia="Times New Roman" w:hAnsi="Palatino Linotype" w:cs="Times New Roman"/>
          <w:b/>
          <w:bCs/>
          <w:i/>
          <w:sz w:val="22"/>
          <w:szCs w:val="22"/>
        </w:rPr>
        <w:t>Artículo 223.</w:t>
      </w:r>
      <w:r w:rsidRPr="009B57DD">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E45024" w14:textId="77777777" w:rsidR="009B1F7B" w:rsidRPr="009B57DD" w:rsidRDefault="009B1F7B" w:rsidP="009B1F7B">
      <w:pPr>
        <w:spacing w:line="276" w:lineRule="auto"/>
        <w:ind w:left="567" w:right="567"/>
        <w:contextualSpacing/>
        <w:jc w:val="both"/>
        <w:rPr>
          <w:rFonts w:ascii="Palatino Linotype" w:hAnsi="Palatino Linotype"/>
          <w:i/>
          <w:sz w:val="22"/>
          <w:szCs w:val="22"/>
        </w:rPr>
      </w:pPr>
      <w:r w:rsidRPr="009B57DD">
        <w:rPr>
          <w:rFonts w:ascii="Palatino Linotype" w:hAnsi="Palatino Linotype"/>
          <w:i/>
          <w:sz w:val="22"/>
          <w:szCs w:val="22"/>
        </w:rPr>
        <w:t>(…)”</w:t>
      </w:r>
    </w:p>
    <w:p w14:paraId="0EDBC2BA"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265C4606" w14:textId="4C8C4238"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De </w:t>
      </w:r>
      <w:r>
        <w:rPr>
          <w:rFonts w:ascii="Palatino Linotype" w:hAnsi="Palatino Linotype" w:cs="Arial"/>
          <w:color w:val="000000" w:themeColor="text1"/>
        </w:rPr>
        <w:t xml:space="preserve">los dispositivos normativos </w:t>
      </w:r>
      <w:r w:rsidRPr="000B7060">
        <w:rPr>
          <w:rFonts w:ascii="Palatino Linotype" w:hAnsi="Palatino Linotype" w:cs="Arial"/>
          <w:color w:val="000000" w:themeColor="text1"/>
        </w:rPr>
        <w:t xml:space="preserve">señalados </w:t>
      </w:r>
      <w:r w:rsidRPr="000B7060">
        <w:rPr>
          <w:rFonts w:ascii="Palatino Linotype" w:hAnsi="Palatino Linotype" w:cs="Arial"/>
          <w:i/>
          <w:iCs/>
          <w:color w:val="000000" w:themeColor="text1"/>
        </w:rPr>
        <w:t>supra</w:t>
      </w:r>
      <w:r w:rsidRPr="000B7060">
        <w:rPr>
          <w:rFonts w:ascii="Palatino Linotype" w:hAnsi="Palatino Linotype" w:cs="Arial"/>
          <w:color w:val="000000" w:themeColor="text1"/>
        </w:rPr>
        <w:t xml:space="preserve">, se observa entonces que la Ley de Transparencia Estatal prevé que, si durante el estudio y sustanciación de un recurso de revisión, se advierta que pudo haberse incurrido en una probable responsabilidad por el incumplimiento a las disposiciones contenidas en el texto </w:t>
      </w:r>
      <w:r w:rsidRPr="000B7060">
        <w:rPr>
          <w:rFonts w:ascii="Palatino Linotype" w:hAnsi="Palatino Linotype" w:cs="Arial"/>
          <w:color w:val="000000" w:themeColor="text1"/>
        </w:rPr>
        <w:lastRenderedPageBreak/>
        <w:t>normativo, se deberá hacer del conocimiento del órgano de control interno competente para que éste inicie, en su caso, el procedimiento de responsabilidad que conforme a derecho proceda.</w:t>
      </w:r>
    </w:p>
    <w:p w14:paraId="3B437037"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1C4B0C1A" w14:textId="7745FABE"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En </w:t>
      </w:r>
      <w:r w:rsidRPr="003A26DD">
        <w:rPr>
          <w:rFonts w:ascii="Palatino Linotype" w:hAnsi="Palatino Linotype" w:cs="Arial"/>
          <w:color w:val="000000" w:themeColor="text1"/>
        </w:rPr>
        <w:t>consecuencia</w:t>
      </w:r>
      <w:r>
        <w:rPr>
          <w:rFonts w:ascii="Palatino Linotype" w:hAnsi="Palatino Linotype" w:cs="Arial"/>
          <w:color w:val="000000" w:themeColor="text1"/>
        </w:rPr>
        <w:t>,</w:t>
      </w:r>
      <w:r w:rsidRPr="003A26DD">
        <w:rPr>
          <w:rFonts w:ascii="Palatino Linotype" w:hAnsi="Palatino Linotype" w:cs="Arial"/>
          <w:color w:val="000000" w:themeColor="text1"/>
        </w:rPr>
        <w:t xml:space="preserve"> el recurso de revisión consiste en una garantía secundaria</w:t>
      </w:r>
      <w:r w:rsidRPr="003A26DD">
        <w:rPr>
          <w:rFonts w:ascii="Palatino Linotype" w:hAnsi="Palatino Linotype" w:cs="Arial"/>
          <w:i/>
          <w:color w:val="000000" w:themeColor="text1"/>
        </w:rPr>
        <w:t xml:space="preserve"> de la anulabilidad de los actos inválidos y de la responsabilidad de los actos ilícitos, que constituyen las desobediencias de sus garantías primarias</w:t>
      </w:r>
      <w:r w:rsidRPr="003A26DD">
        <w:rPr>
          <w:rFonts w:ascii="Palatino Linotype" w:hAnsi="Palatino Linotype" w:cs="Arial"/>
          <w:color w:val="000000" w:themeColor="text1"/>
          <w:vertAlign w:val="superscript"/>
        </w:rPr>
        <w:footnoteReference w:id="30"/>
      </w:r>
      <w:r>
        <w:rPr>
          <w:rFonts w:ascii="Palatino Linotype" w:hAnsi="Palatino Linotype" w:cs="Arial"/>
          <w:iCs/>
          <w:color w:val="000000" w:themeColor="text1"/>
        </w:rPr>
        <w:t>;</w:t>
      </w:r>
      <w:r w:rsidRPr="003A26DD">
        <w:rPr>
          <w:rFonts w:ascii="Palatino Linotype" w:hAnsi="Palatino Linotype" w:cs="Arial"/>
          <w:color w:val="000000" w:themeColor="text1"/>
        </w:rPr>
        <w:t xml:space="preserve"> esto refiere que, ante la falta de respuesta por parte del </w:t>
      </w:r>
      <w:r w:rsidRPr="003A26DD">
        <w:rPr>
          <w:rFonts w:ascii="Palatino Linotype" w:hAnsi="Palatino Linotype" w:cs="Arial"/>
          <w:b/>
          <w:color w:val="000000" w:themeColor="text1"/>
        </w:rPr>
        <w:t>SUJETO OBLIGADO</w:t>
      </w:r>
      <w:r w:rsidRPr="003A26DD">
        <w:rPr>
          <w:rFonts w:ascii="Palatino Linotype" w:hAnsi="Palatino Linotype" w:cs="Arial"/>
          <w:color w:val="000000" w:themeColor="text1"/>
        </w:rPr>
        <w:t xml:space="preserve">, </w:t>
      </w:r>
      <w:r>
        <w:rPr>
          <w:rFonts w:ascii="Palatino Linotype" w:hAnsi="Palatino Linotype" w:cs="Arial"/>
          <w:color w:val="000000" w:themeColor="text1"/>
        </w:rPr>
        <w:t>la</w:t>
      </w:r>
      <w:r w:rsidRPr="003A26DD">
        <w:rPr>
          <w:rFonts w:ascii="Palatino Linotype" w:hAnsi="Palatino Linotype" w:cs="Arial"/>
          <w:color w:val="000000" w:themeColor="text1"/>
        </w:rPr>
        <w:t xml:space="preserve"> </w:t>
      </w:r>
      <w:r w:rsidRPr="003A26DD">
        <w:rPr>
          <w:rFonts w:ascii="Palatino Linotype" w:hAnsi="Palatino Linotype" w:cs="Arial"/>
          <w:b/>
          <w:color w:val="000000" w:themeColor="text1"/>
        </w:rPr>
        <w:t>RECURRENTE</w:t>
      </w:r>
      <w:r w:rsidRPr="003A26DD">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75558FC9"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A0AE095" w14:textId="23FADF08"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Por </w:t>
      </w:r>
      <w:r>
        <w:rPr>
          <w:rFonts w:ascii="Palatino Linotype" w:hAnsi="Palatino Linotype" w:cs="Arial"/>
          <w:color w:val="000000" w:themeColor="text1"/>
        </w:rPr>
        <w:t>su parte, sobre</w:t>
      </w:r>
      <w:r>
        <w:rPr>
          <w:rFonts w:ascii="Palatino Linotype" w:eastAsia="Times New Roman" w:hAnsi="Palatino Linotype"/>
        </w:rPr>
        <w:t xml:space="preserve"> las causales de responsabilidad administrativa que pueden infringir los servidores públicos de los Sujetos Obligados, el artículo 222 de la Ley de Transparencia y Acceso a la Información Pública del Estado de México y Municipios señala lo siguiente:</w:t>
      </w:r>
    </w:p>
    <w:p w14:paraId="5A53BAE3" w14:textId="5DD3763B"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68E403CB"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Artículo 222.</w:t>
      </w:r>
      <w:r w:rsidRPr="009B57DD">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0E727DDB"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I. Cualquier acto u omisión que provoque la suspensión o deficiencia en la atención de las solicitudes de información</w:t>
      </w:r>
      <w:r w:rsidRPr="009B57DD">
        <w:rPr>
          <w:rFonts w:ascii="Palatino Linotype" w:eastAsia="Times New Roman" w:hAnsi="Palatino Linotype" w:cs="Times New Roman"/>
          <w:i/>
          <w:sz w:val="22"/>
          <w:szCs w:val="22"/>
        </w:rPr>
        <w:t>;</w:t>
      </w:r>
    </w:p>
    <w:p w14:paraId="5952FEBE"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 xml:space="preserve">II. La </w:t>
      </w:r>
      <w:r w:rsidRPr="009B57DD">
        <w:rPr>
          <w:rFonts w:ascii="Palatino Linotype" w:eastAsia="Times New Roman" w:hAnsi="Palatino Linotype" w:cs="Times New Roman"/>
          <w:b/>
          <w:i/>
          <w:sz w:val="22"/>
          <w:szCs w:val="22"/>
          <w:u w:val="single"/>
        </w:rPr>
        <w:t>falta de respuesta a las solicitudes de información</w:t>
      </w:r>
      <w:r w:rsidRPr="009B57DD">
        <w:rPr>
          <w:rFonts w:ascii="Palatino Linotype" w:eastAsia="Times New Roman" w:hAnsi="Palatino Linotype" w:cs="Times New Roman"/>
          <w:b/>
          <w:i/>
          <w:sz w:val="22"/>
          <w:szCs w:val="22"/>
        </w:rPr>
        <w:t xml:space="preserve"> en los plazos señalados en la normatividad aplicable</w:t>
      </w:r>
      <w:r w:rsidRPr="009B57DD">
        <w:rPr>
          <w:rFonts w:ascii="Palatino Linotype" w:eastAsia="Times New Roman" w:hAnsi="Palatino Linotype" w:cs="Times New Roman"/>
          <w:i/>
          <w:sz w:val="22"/>
          <w:szCs w:val="22"/>
        </w:rPr>
        <w:t>;</w:t>
      </w:r>
    </w:p>
    <w:p w14:paraId="6003A41A"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Cs/>
          <w:sz w:val="22"/>
          <w:szCs w:val="22"/>
        </w:rPr>
      </w:pPr>
      <w:r w:rsidRPr="009B57DD">
        <w:rPr>
          <w:rFonts w:ascii="Palatino Linotype" w:eastAsia="Times New Roman" w:hAnsi="Palatino Linotype" w:cs="Times New Roman"/>
          <w:i/>
          <w:sz w:val="22"/>
          <w:szCs w:val="22"/>
        </w:rPr>
        <w:lastRenderedPageBreak/>
        <w:t>(…)</w:t>
      </w:r>
    </w:p>
    <w:p w14:paraId="06BB5490" w14:textId="77777777" w:rsidR="009B1F7B" w:rsidRPr="009B57DD" w:rsidRDefault="009B1F7B" w:rsidP="009B1F7B">
      <w:pPr>
        <w:spacing w:line="276" w:lineRule="auto"/>
        <w:ind w:left="567" w:right="567"/>
        <w:contextualSpacing/>
        <w:jc w:val="both"/>
        <w:rPr>
          <w:rFonts w:ascii="Palatino Linotype" w:eastAsia="Times New Roman" w:hAnsi="Palatino Linotype" w:cs="Times New Roman"/>
          <w:iCs/>
          <w:sz w:val="22"/>
          <w:szCs w:val="22"/>
        </w:rPr>
      </w:pPr>
      <w:r w:rsidRPr="009B57DD">
        <w:rPr>
          <w:rFonts w:ascii="Palatino Linotype" w:eastAsia="Times New Roman" w:hAnsi="Palatino Linotype" w:cs="Times New Roman"/>
          <w:iCs/>
          <w:sz w:val="22"/>
          <w:szCs w:val="22"/>
        </w:rPr>
        <w:t>(Énfasis añadido)</w:t>
      </w:r>
    </w:p>
    <w:p w14:paraId="5E9E6AD3"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0D42957D" w14:textId="2111B3CF" w:rsidR="009B1F7B" w:rsidRPr="009B1F7B" w:rsidRDefault="009B1F7B"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En </w:t>
      </w:r>
      <w:r w:rsidRPr="000B7060">
        <w:rPr>
          <w:rFonts w:ascii="Palatino Linotype" w:hAnsi="Palatino Linotype" w:cs="Arial"/>
          <w:color w:val="000000" w:themeColor="text1"/>
        </w:rPr>
        <w:t xml:space="preserve">el presente asunto, de constancias de autos que obran en </w:t>
      </w:r>
      <w:r>
        <w:rPr>
          <w:rFonts w:ascii="Palatino Linotype" w:hAnsi="Palatino Linotype" w:cs="Arial"/>
          <w:color w:val="000000" w:themeColor="text1"/>
        </w:rPr>
        <w:t>el</w:t>
      </w:r>
      <w:r w:rsidRPr="000B7060">
        <w:rPr>
          <w:rFonts w:ascii="Palatino Linotype" w:hAnsi="Palatino Linotype" w:cs="Arial"/>
          <w:color w:val="000000" w:themeColor="text1"/>
        </w:rPr>
        <w:t xml:space="preserve"> expediente digital del </w:t>
      </w:r>
      <w:r w:rsidRPr="000B7060">
        <w:rPr>
          <w:rFonts w:ascii="Palatino Linotype" w:hAnsi="Palatino Linotype" w:cs="Arial"/>
          <w:b/>
          <w:bCs/>
          <w:color w:val="000000" w:themeColor="text1"/>
        </w:rPr>
        <w:t>SAIMEX</w:t>
      </w:r>
      <w:r w:rsidRPr="000B7060">
        <w:rPr>
          <w:rFonts w:ascii="Palatino Linotype" w:hAnsi="Palatino Linotype" w:cs="Arial"/>
          <w:color w:val="000000" w:themeColor="text1"/>
        </w:rPr>
        <w:t xml:space="preserve">, dentro del apartado de </w:t>
      </w:r>
      <w:r w:rsidRPr="000B7060">
        <w:rPr>
          <w:rFonts w:ascii="Palatino Linotype" w:hAnsi="Palatino Linotype" w:cs="Arial"/>
          <w:i/>
          <w:iCs/>
          <w:color w:val="000000" w:themeColor="text1"/>
        </w:rPr>
        <w:t>Requerimientos</w:t>
      </w:r>
      <w:r w:rsidRPr="000B7060">
        <w:rPr>
          <w:rFonts w:ascii="Palatino Linotype" w:hAnsi="Palatino Linotype" w:cs="Arial"/>
          <w:color w:val="000000" w:themeColor="text1"/>
        </w:rPr>
        <w:t xml:space="preserve">, </w:t>
      </w:r>
      <w:bookmarkStart w:id="37" w:name="_Hlk68613656"/>
      <w:r w:rsidRPr="000B7060">
        <w:rPr>
          <w:rFonts w:ascii="Palatino Linotype" w:hAnsi="Palatino Linotype" w:cs="Arial"/>
          <w:color w:val="000000" w:themeColor="text1"/>
        </w:rPr>
        <w:t xml:space="preserve">se aprecia que la Unidad de Transparencia turnó la solicitud de información </w:t>
      </w:r>
      <w:r>
        <w:rPr>
          <w:rFonts w:ascii="Palatino Linotype" w:hAnsi="Palatino Linotype" w:cs="Arial"/>
          <w:color w:val="000000" w:themeColor="text1"/>
        </w:rPr>
        <w:t xml:space="preserve">a </w:t>
      </w:r>
      <w:r w:rsidR="0073730A">
        <w:rPr>
          <w:rFonts w:ascii="Palatino Linotype" w:hAnsi="Palatino Linotype" w:cs="Arial"/>
          <w:color w:val="000000" w:themeColor="text1"/>
        </w:rPr>
        <w:t>cuatro</w:t>
      </w:r>
      <w:r>
        <w:rPr>
          <w:rFonts w:ascii="Palatino Linotype" w:hAnsi="Palatino Linotype" w:cs="Arial"/>
          <w:color w:val="000000" w:themeColor="text1"/>
        </w:rPr>
        <w:t xml:space="preserve"> área</w:t>
      </w:r>
      <w:r w:rsidR="0073730A">
        <w:rPr>
          <w:rFonts w:ascii="Palatino Linotype" w:hAnsi="Palatino Linotype" w:cs="Arial"/>
          <w:color w:val="000000" w:themeColor="text1"/>
        </w:rPr>
        <w:t>s</w:t>
      </w:r>
      <w:r>
        <w:rPr>
          <w:rFonts w:ascii="Palatino Linotype" w:hAnsi="Palatino Linotype" w:cs="Arial"/>
          <w:color w:val="000000" w:themeColor="text1"/>
        </w:rPr>
        <w:t xml:space="preserve"> administrativa</w:t>
      </w:r>
      <w:r w:rsidR="0073730A">
        <w:rPr>
          <w:rFonts w:ascii="Palatino Linotype" w:hAnsi="Palatino Linotype" w:cs="Arial"/>
          <w:color w:val="000000" w:themeColor="text1"/>
        </w:rPr>
        <w:t>s</w:t>
      </w:r>
      <w:r>
        <w:rPr>
          <w:rFonts w:ascii="Palatino Linotype" w:hAnsi="Palatino Linotype" w:cs="Arial"/>
          <w:color w:val="000000" w:themeColor="text1"/>
        </w:rPr>
        <w:t xml:space="preserve"> o servidor</w:t>
      </w:r>
      <w:r w:rsidR="0073730A">
        <w:rPr>
          <w:rFonts w:ascii="Palatino Linotype" w:hAnsi="Palatino Linotype" w:cs="Arial"/>
          <w:color w:val="000000" w:themeColor="text1"/>
        </w:rPr>
        <w:t>es</w:t>
      </w:r>
      <w:r>
        <w:rPr>
          <w:rFonts w:ascii="Palatino Linotype" w:hAnsi="Palatino Linotype" w:cs="Arial"/>
          <w:color w:val="000000" w:themeColor="text1"/>
        </w:rPr>
        <w:t xml:space="preserve"> público</w:t>
      </w:r>
      <w:r w:rsidR="0073730A">
        <w:rPr>
          <w:rFonts w:ascii="Palatino Linotype" w:hAnsi="Palatino Linotype" w:cs="Arial"/>
          <w:color w:val="000000" w:themeColor="text1"/>
        </w:rPr>
        <w:t>s</w:t>
      </w:r>
      <w:r>
        <w:rPr>
          <w:rFonts w:ascii="Palatino Linotype" w:hAnsi="Palatino Linotype" w:cs="Arial"/>
          <w:color w:val="000000" w:themeColor="text1"/>
        </w:rPr>
        <w:t xml:space="preserve"> habilitado</w:t>
      </w:r>
      <w:bookmarkEnd w:id="37"/>
      <w:r w:rsidR="0073730A">
        <w:rPr>
          <w:rFonts w:ascii="Palatino Linotype" w:hAnsi="Palatino Linotype" w:cs="Arial"/>
          <w:color w:val="000000" w:themeColor="text1"/>
        </w:rPr>
        <w:t>s; no obstante, ninguno de ellos respondió a los requerimientos</w:t>
      </w:r>
      <w:r>
        <w:rPr>
          <w:rFonts w:ascii="Palatino Linotype" w:hAnsi="Palatino Linotype" w:cs="Arial"/>
          <w:color w:val="000000" w:themeColor="text1"/>
        </w:rPr>
        <w:t>, como lo muestra</w:t>
      </w:r>
      <w:r w:rsidR="0073730A">
        <w:rPr>
          <w:rFonts w:ascii="Palatino Linotype" w:hAnsi="Palatino Linotype" w:cs="Arial"/>
          <w:color w:val="000000" w:themeColor="text1"/>
        </w:rPr>
        <w:t>n</w:t>
      </w:r>
      <w:r>
        <w:rPr>
          <w:rFonts w:ascii="Palatino Linotype" w:hAnsi="Palatino Linotype" w:cs="Arial"/>
          <w:color w:val="000000" w:themeColor="text1"/>
        </w:rPr>
        <w:t xml:space="preserve"> la</w:t>
      </w:r>
      <w:r w:rsidR="0073730A">
        <w:rPr>
          <w:rFonts w:ascii="Palatino Linotype" w:hAnsi="Palatino Linotype" w:cs="Arial"/>
          <w:color w:val="000000" w:themeColor="text1"/>
        </w:rPr>
        <w:t>s</w:t>
      </w:r>
      <w:r>
        <w:rPr>
          <w:rFonts w:ascii="Palatino Linotype" w:hAnsi="Palatino Linotype" w:cs="Arial"/>
          <w:color w:val="000000" w:themeColor="text1"/>
        </w:rPr>
        <w:t xml:space="preserve"> siguiente</w:t>
      </w:r>
      <w:r w:rsidR="0073730A">
        <w:rPr>
          <w:rFonts w:ascii="Palatino Linotype" w:hAnsi="Palatino Linotype" w:cs="Arial"/>
          <w:color w:val="000000" w:themeColor="text1"/>
        </w:rPr>
        <w:t>s capturas de imagen</w:t>
      </w:r>
      <w:r>
        <w:rPr>
          <w:rFonts w:ascii="Palatino Linotype" w:hAnsi="Palatino Linotype" w:cs="Arial"/>
          <w:color w:val="000000" w:themeColor="text1"/>
        </w:rPr>
        <w:t>:</w:t>
      </w:r>
    </w:p>
    <w:p w14:paraId="72F6E86F" w14:textId="54005E4B" w:rsid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2D2E513E" w14:textId="79015901" w:rsidR="009B1F7B" w:rsidRDefault="009A2F26" w:rsidP="009B1F7B">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mc:AlternateContent>
          <mc:Choice Requires="wps">
            <w:drawing>
              <wp:anchor distT="0" distB="0" distL="114300" distR="114300" simplePos="0" relativeHeight="251663360" behindDoc="0" locked="0" layoutInCell="1" allowOverlap="1" wp14:anchorId="43C06649" wp14:editId="02363B6D">
                <wp:simplePos x="0" y="0"/>
                <wp:positionH relativeFrom="column">
                  <wp:posOffset>2399361</wp:posOffset>
                </wp:positionH>
                <wp:positionV relativeFrom="paragraph">
                  <wp:posOffset>1298575</wp:posOffset>
                </wp:positionV>
                <wp:extent cx="1296063" cy="87464"/>
                <wp:effectExtent l="57150" t="19050" r="75565" b="103505"/>
                <wp:wrapNone/>
                <wp:docPr id="14" name="Rectángulo 14"/>
                <wp:cNvGraphicFramePr/>
                <a:graphic xmlns:a="http://schemas.openxmlformats.org/drawingml/2006/main">
                  <a:graphicData uri="http://schemas.microsoft.com/office/word/2010/wordprocessingShape">
                    <wps:wsp>
                      <wps:cNvSpPr/>
                      <wps:spPr>
                        <a:xfrm>
                          <a:off x="0" y="0"/>
                          <a:ext cx="1296063" cy="87464"/>
                        </a:xfrm>
                        <a:prstGeom prst="rect">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68A98" id="Rectángulo 14" o:spid="_x0000_s1026" style="position:absolute;margin-left:188.95pt;margin-top:102.25pt;width:102.0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" fillcolor="black [3213]" strokecolor="black [3213]">
                <v:shadow on="t" color="black" opacity="22937f" origin=",.5" offset="0,.63889mm"/>
              </v:rect>
            </w:pict>
          </mc:Fallback>
        </mc:AlternateContent>
      </w:r>
      <w:r>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4F12C266" wp14:editId="5E5F5034">
                <wp:simplePos x="0" y="0"/>
                <wp:positionH relativeFrom="column">
                  <wp:posOffset>2394585</wp:posOffset>
                </wp:positionH>
                <wp:positionV relativeFrom="paragraph">
                  <wp:posOffset>1114011</wp:posOffset>
                </wp:positionV>
                <wp:extent cx="1296063" cy="87464"/>
                <wp:effectExtent l="57150" t="19050" r="75565" b="103505"/>
                <wp:wrapNone/>
                <wp:docPr id="9" name="Rectángulo 9"/>
                <wp:cNvGraphicFramePr/>
                <a:graphic xmlns:a="http://schemas.openxmlformats.org/drawingml/2006/main">
                  <a:graphicData uri="http://schemas.microsoft.com/office/word/2010/wordprocessingShape">
                    <wps:wsp>
                      <wps:cNvSpPr/>
                      <wps:spPr>
                        <a:xfrm>
                          <a:off x="0" y="0"/>
                          <a:ext cx="1296063" cy="87464"/>
                        </a:xfrm>
                        <a:prstGeom prst="rect">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9E42A" id="Rectángulo 9" o:spid="_x0000_s1026" style="position:absolute;margin-left:188.55pt;margin-top:87.7pt;width:102.05pt;height:6.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" fillcolor="black [3213]" strokecolor="black [3213]">
                <v:shadow on="t" color="black" opacity="22937f" origin=",.5" offset="0,.63889mm"/>
              </v:rect>
            </w:pict>
          </mc:Fallback>
        </mc:AlternateContent>
      </w:r>
      <w:r w:rsidR="00ED0901">
        <w:rPr>
          <w:rFonts w:ascii="Palatino Linotype" w:hAnsi="Palatino Linotype"/>
          <w:noProof/>
          <w:color w:val="000000" w:themeColor="text1"/>
          <w:lang w:eastAsia="es-MX"/>
        </w:rPr>
        <w:drawing>
          <wp:inline distT="0" distB="0" distL="0" distR="0" wp14:anchorId="00EA2A7F" wp14:editId="1BFF75F5">
            <wp:extent cx="4781550" cy="2285060"/>
            <wp:effectExtent l="57150" t="57150" r="95250" b="965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910" cy="22928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BE298" w14:textId="70A41FF0" w:rsidR="0073730A" w:rsidRDefault="0073730A" w:rsidP="009B1F7B">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eastAsia="es-MX"/>
        </w:rPr>
        <w:drawing>
          <wp:inline distT="0" distB="0" distL="0" distR="0" wp14:anchorId="37D94395" wp14:editId="7D17DA38">
            <wp:extent cx="4790089" cy="1084047"/>
            <wp:effectExtent l="57150" t="57150" r="106045" b="1162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240" cy="109019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A305BC" w14:textId="77777777" w:rsidR="009B1F7B" w:rsidRPr="009B1F7B" w:rsidRDefault="009B1F7B" w:rsidP="009B1F7B">
      <w:pPr>
        <w:pStyle w:val="Prrafodelista"/>
        <w:tabs>
          <w:tab w:val="left" w:pos="426"/>
        </w:tabs>
        <w:spacing w:before="240" w:after="240" w:line="360" w:lineRule="auto"/>
        <w:ind w:left="0" w:right="51"/>
        <w:jc w:val="both"/>
        <w:rPr>
          <w:rFonts w:ascii="Palatino Linotype" w:hAnsi="Palatino Linotype"/>
          <w:color w:val="000000" w:themeColor="text1"/>
        </w:rPr>
      </w:pPr>
    </w:p>
    <w:p w14:paraId="23A33C72" w14:textId="17BED25E" w:rsidR="009B1F7B" w:rsidRPr="009B1F7B" w:rsidRDefault="00ED0901"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lastRenderedPageBreak/>
        <w:t xml:space="preserve">En </w:t>
      </w:r>
      <w:r w:rsidRPr="008E22AA">
        <w:rPr>
          <w:rFonts w:ascii="Palatino Linotype" w:hAnsi="Palatino Linotype" w:cs="Arial"/>
          <w:color w:val="000000" w:themeColor="text1"/>
        </w:rPr>
        <w:t xml:space="preserve">consecuencia, toda vez que el Ayuntamiento de </w:t>
      </w:r>
      <w:r>
        <w:rPr>
          <w:rFonts w:ascii="Palatino Linotype" w:hAnsi="Palatino Linotype" w:cs="Arial"/>
          <w:color w:val="000000" w:themeColor="text1"/>
        </w:rPr>
        <w:t>Ecatepec de Morelos</w:t>
      </w:r>
      <w:r w:rsidRPr="008E22AA">
        <w:rPr>
          <w:rFonts w:ascii="Palatino Linotype" w:hAnsi="Palatino Linotype" w:cs="Arial"/>
          <w:color w:val="000000" w:themeColor="text1"/>
        </w:rPr>
        <w:t xml:space="preserve"> </w:t>
      </w:r>
      <w:r w:rsidRPr="008E22AA">
        <w:rPr>
          <w:rFonts w:ascii="Palatino Linotype" w:hAnsi="Palatino Linotype" w:cs="Arial"/>
          <w:b/>
          <w:bCs/>
          <w:color w:val="000000" w:themeColor="text1"/>
        </w:rPr>
        <w:t>no respondió a la solicitud de información</w:t>
      </w:r>
      <w:r w:rsidRPr="008E22AA">
        <w:rPr>
          <w:rFonts w:ascii="Palatino Linotype" w:hAnsi="Palatino Linotype" w:cs="Arial"/>
          <w:color w:val="000000" w:themeColor="text1"/>
        </w:rPr>
        <w:t xml:space="preserve">, se dará vista al área competente para que, en ejercicio de sus atribuciones, realice las investigaciones pertinentes por las omisiones detectadas atribuibles al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incurrió, toda vez que la naturaleza de investigar y sancionar corresponde a un ente distinto a éste a través de un procedimiento d</w:t>
      </w:r>
      <w:r w:rsidR="0073730A">
        <w:rPr>
          <w:rFonts w:ascii="Palatino Linotype" w:hAnsi="Palatino Linotype" w:cs="Arial"/>
          <w:color w:val="000000" w:themeColor="text1"/>
        </w:rPr>
        <w:t>iferente al recurso de revisión;</w:t>
      </w:r>
      <w:r w:rsidRPr="008E22AA">
        <w:rPr>
          <w:rFonts w:ascii="Palatino Linotype" w:hAnsi="Palatino Linotype" w:cs="Arial"/>
          <w:color w:val="000000" w:themeColor="text1"/>
        </w:rPr>
        <w:t xml:space="preserve"> lo cual, como hemos analizado, se encuentra previsto en la Ley de Transparencia Acceso a la Información Pública del Estado de México y Municipios específicamente en sus artículos 190, 222 y 223.</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7B7C98FC" w:rsidR="00953B03" w:rsidRPr="00953B03" w:rsidRDefault="009B1F7B"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8" w:name="_Toc85118542"/>
      <w:r>
        <w:rPr>
          <w:rFonts w:ascii="Palatino Linotype" w:hAnsi="Palatino Linotype"/>
          <w:b/>
          <w:bCs/>
          <w:color w:val="000000" w:themeColor="text1"/>
        </w:rPr>
        <w:t>SÉPTIMO</w:t>
      </w:r>
      <w:r w:rsidR="00953B03" w:rsidRPr="00953B03">
        <w:rPr>
          <w:rFonts w:ascii="Palatino Linotype" w:hAnsi="Palatino Linotype"/>
          <w:b/>
          <w:bCs/>
          <w:color w:val="000000" w:themeColor="text1"/>
        </w:rPr>
        <w:t>. Decisión</w:t>
      </w:r>
      <w:bookmarkEnd w:id="38"/>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7A216987" w:rsidR="00953B03" w:rsidRPr="00EF75DE" w:rsidRDefault="007D507A"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investigar los antecedentes oficiales relacionados con el programa “Adopta un Espacio”, se estableció que el </w:t>
      </w:r>
      <w:r>
        <w:rPr>
          <w:rFonts w:ascii="Palatino Linotype" w:hAnsi="Palatino Linotype"/>
          <w:b/>
          <w:color w:val="000000" w:themeColor="text1"/>
        </w:rPr>
        <w:t>SUJETO OBLIGADO</w:t>
      </w:r>
      <w:r>
        <w:rPr>
          <w:rFonts w:ascii="Palatino Linotype" w:hAnsi="Palatino Linotype"/>
          <w:color w:val="000000" w:themeColor="text1"/>
        </w:rPr>
        <w:t xml:space="preserve"> sí debe de poseer, generar y administrar la información solicitada por el particular, por ello, se ordenó realizar una búsqueda exhaustiva y razonable en todas las áreas del Ayuntamiento a efecto de entregar al particular los documentos donde conste el desarrollo, avances y descripción de las actividades, así como de las obras, implementadas en virtud del programa de mérito; y, de ser el caso de que no obre la información en los archivos del </w:t>
      </w:r>
      <w:r>
        <w:rPr>
          <w:rFonts w:ascii="Palatino Linotype" w:hAnsi="Palatino Linotype"/>
          <w:b/>
          <w:color w:val="000000" w:themeColor="text1"/>
        </w:rPr>
        <w:t>SUJETO OBLIGADO</w:t>
      </w:r>
      <w:r>
        <w:rPr>
          <w:rFonts w:ascii="Palatino Linotype" w:hAnsi="Palatino Linotype"/>
          <w:color w:val="000000" w:themeColor="text1"/>
        </w:rPr>
        <w:t xml:space="preserve"> deberá entregar el Acuerdo de su Comité de Transparencia que confirme su inexistencia, atendiendo lo dispuesto por los </w:t>
      </w:r>
      <w:r>
        <w:rPr>
          <w:rFonts w:ascii="Palatino Linotype" w:hAnsi="Palatino Linotype"/>
          <w:color w:val="000000" w:themeColor="text1"/>
        </w:rPr>
        <w:lastRenderedPageBreak/>
        <w:t>artículos 169 y 170 de la Ley de Transparencia y Acceso a la Información Pública del Estado de México y Municipios.</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4B98021"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8705E1">
        <w:rPr>
          <w:rFonts w:ascii="Palatino Linotype" w:eastAsia="MS Mincho" w:hAnsi="Palatino Linotype" w:cstheme="majorBidi"/>
          <w:b/>
          <w:bCs/>
          <w:lang w:val="es-ES"/>
        </w:rPr>
        <w:t>0</w:t>
      </w:r>
      <w:r w:rsidR="00EB16D1">
        <w:rPr>
          <w:rFonts w:ascii="Palatino Linotype" w:eastAsia="MS Mincho" w:hAnsi="Palatino Linotype" w:cstheme="majorBidi"/>
          <w:b/>
          <w:lang w:val="es-ES"/>
        </w:rPr>
        <w:t>04253/INFOEM/IP/RR/2021</w:t>
      </w:r>
      <w:r w:rsidRPr="0028241C">
        <w:rPr>
          <w:rFonts w:ascii="Palatino Linotype" w:eastAsia="MS Mincho" w:hAnsi="Palatino Linotype" w:cstheme="majorBidi"/>
          <w:lang w:val="es-ES"/>
        </w:rPr>
        <w:t xml:space="preserve">; por ello, y con fundamento en la fracción </w:t>
      </w:r>
      <w:r w:rsidR="001A5BCD">
        <w:rPr>
          <w:rFonts w:ascii="Palatino Linotype" w:eastAsia="MS Mincho" w:hAnsi="Palatino Linotype" w:cstheme="majorBidi"/>
          <w:lang w:val="es-ES"/>
        </w:rPr>
        <w:t>IV</w:t>
      </w:r>
      <w:r w:rsidRPr="0028241C">
        <w:rPr>
          <w:rFonts w:ascii="Palatino Linotype" w:eastAsia="MS Mincho" w:hAnsi="Palatino Linotype" w:cstheme="majorBidi"/>
          <w:lang w:val="es-ES"/>
        </w:rPr>
        <w:t xml:space="preserve"> del numeral 186 de la Ley de Transparencia y Acceso a la Información Pública del Estado de México y Municipios, se </w:t>
      </w:r>
      <w:r w:rsidR="001A5BCD">
        <w:rPr>
          <w:rFonts w:ascii="Palatino Linotype" w:eastAsia="MS Mincho" w:hAnsi="Palatino Linotype" w:cstheme="majorBidi"/>
          <w:b/>
          <w:lang w:val="es-ES"/>
        </w:rPr>
        <w:t>ORDENA</w:t>
      </w:r>
      <w:r w:rsidRPr="0028241C">
        <w:rPr>
          <w:rFonts w:ascii="Palatino Linotype" w:eastAsia="MS Mincho" w:hAnsi="Palatino Linotype" w:cstheme="majorBidi"/>
          <w:lang w:val="es-ES"/>
        </w:rPr>
        <w:t xml:space="preserve"> </w:t>
      </w:r>
      <w:r w:rsidR="001A5BCD">
        <w:rPr>
          <w:rFonts w:ascii="Palatino Linotype" w:eastAsia="MS Mincho" w:hAnsi="Palatino Linotype" w:cstheme="majorBidi"/>
          <w:lang w:val="es-ES"/>
        </w:rPr>
        <w:t xml:space="preserve">atender la solicitud de información </w:t>
      </w:r>
      <w:r w:rsidR="001A5BCD">
        <w:rPr>
          <w:rFonts w:ascii="Palatino Linotype" w:eastAsia="MS Mincho" w:hAnsi="Palatino Linotype" w:cstheme="majorBidi"/>
          <w:b/>
          <w:lang w:val="es-ES"/>
        </w:rPr>
        <w:t>00557/ECATEPEC/IP/2021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5118543"/>
      <w:r w:rsidRPr="008C6062">
        <w:rPr>
          <w:b/>
          <w:color w:val="000000" w:themeColor="text1"/>
          <w:szCs w:val="24"/>
        </w:rPr>
        <w:lastRenderedPageBreak/>
        <w:t>R E S O L U T I V O S</w:t>
      </w:r>
      <w:bookmarkEnd w:id="23"/>
      <w:bookmarkEnd w:id="24"/>
      <w:bookmarkEnd w:id="39"/>
      <w:bookmarkEnd w:id="40"/>
      <w:bookmarkEnd w:id="41"/>
    </w:p>
    <w:p w14:paraId="67A78F7D" w14:textId="2B753833"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EB16D1">
        <w:rPr>
          <w:rFonts w:ascii="Palatino Linotype" w:eastAsia="Times New Roman" w:hAnsi="Palatino Linotype" w:cs="Times New Roman"/>
          <w:b/>
        </w:rPr>
        <w:t>04253/INFOEM/IP/RR/2021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 xml:space="preserve">CUARTO </w:t>
      </w:r>
      <w:r>
        <w:rPr>
          <w:rFonts w:ascii="Palatino Linotype" w:eastAsia="Times New Roman" w:hAnsi="Palatino Linotype" w:cs="Times New Roman"/>
          <w:bCs/>
        </w:rPr>
        <w:t xml:space="preserve">y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3896A386"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1A5BCD">
        <w:rPr>
          <w:rFonts w:ascii="Palatino Linotype" w:eastAsia="Calibri" w:hAnsi="Palatino Linotype" w:cs="Arial"/>
          <w:b/>
          <w:lang w:val="es-ES"/>
        </w:rPr>
        <w:t xml:space="preserve">ORDENA </w:t>
      </w:r>
      <w:r w:rsidR="001A5BCD">
        <w:rPr>
          <w:rFonts w:ascii="Palatino Linotype" w:eastAsia="Calibri" w:hAnsi="Palatino Linotype" w:cs="Arial"/>
          <w:lang w:val="es-ES"/>
        </w:rPr>
        <w:t>al</w:t>
      </w:r>
      <w:r w:rsidRPr="00D92794">
        <w:rPr>
          <w:rFonts w:ascii="Palatino Linotype" w:eastAsia="Calibri" w:hAnsi="Palatino Linotype" w:cs="Arial"/>
          <w:lang w:val="es-ES"/>
        </w:rPr>
        <w:t xml:space="preserve"> </w:t>
      </w:r>
      <w:r w:rsidR="00EB16D1">
        <w:rPr>
          <w:rFonts w:ascii="Palatino Linotype" w:eastAsia="Calibri" w:hAnsi="Palatino Linotype" w:cs="Arial"/>
          <w:b/>
        </w:rPr>
        <w:t>Ayuntamiento de Ecatepec de Morelos</w:t>
      </w:r>
      <w:r>
        <w:rPr>
          <w:rFonts w:ascii="Palatino Linotype" w:eastAsia="Calibri" w:hAnsi="Palatino Linotype" w:cs="Arial"/>
          <w:bCs/>
        </w:rPr>
        <w:t xml:space="preserve"> </w:t>
      </w:r>
      <w:r w:rsidR="001A5BCD">
        <w:rPr>
          <w:rFonts w:ascii="Palatino Linotype" w:eastAsia="Calibri" w:hAnsi="Palatino Linotype" w:cs="Arial"/>
          <w:bCs/>
        </w:rPr>
        <w:t xml:space="preserve">dar atención </w:t>
      </w:r>
      <w:r>
        <w:rPr>
          <w:rFonts w:ascii="Palatino Linotype" w:eastAsia="Calibri" w:hAnsi="Palatino Linotype" w:cs="Arial"/>
          <w:bCs/>
        </w:rPr>
        <w:t xml:space="preserve">a la solicitud </w:t>
      </w:r>
      <w:r w:rsidR="00EB16D1">
        <w:rPr>
          <w:rFonts w:ascii="Palatino Linotype" w:eastAsia="Calibri" w:hAnsi="Palatino Linotype" w:cs="Arial"/>
          <w:b/>
        </w:rPr>
        <w:t>00557/ECATEPEC/IP/2021</w:t>
      </w:r>
      <w:r>
        <w:rPr>
          <w:rFonts w:ascii="Palatino Linotype" w:eastAsia="Calibri" w:hAnsi="Palatino Linotype" w:cs="Arial"/>
          <w:b/>
        </w:rPr>
        <w:t xml:space="preserve"> </w:t>
      </w:r>
      <w:r w:rsidRPr="00D92794">
        <w:rPr>
          <w:rFonts w:ascii="Palatino Linotype" w:eastAsia="Calibri" w:hAnsi="Palatino Linotype" w:cs="Arial"/>
        </w:rPr>
        <w:t xml:space="preserve">y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42" w:name="_Toc460947013"/>
      <w:r w:rsidR="008705E1">
        <w:rPr>
          <w:rFonts w:ascii="Palatino Linotype" w:eastAsia="Calibri" w:hAnsi="Palatino Linotype" w:cs="Arial"/>
          <w:lang w:val="es-ES"/>
        </w:rPr>
        <w:t>a través del Sistema de Acceso a la Información Pública Mexiquense (SAIMEX)</w:t>
      </w:r>
      <w:r>
        <w:rPr>
          <w:rFonts w:ascii="Palatino Linotype" w:eastAsia="Times New Roman" w:hAnsi="Palatino Linotype" w:cs="Arial"/>
          <w:color w:val="000000"/>
        </w:rPr>
        <w:t xml:space="preserve">, </w:t>
      </w:r>
      <w:r w:rsidR="00892AB9">
        <w:rPr>
          <w:rFonts w:ascii="Palatino Linotype" w:eastAsia="Times New Roman" w:hAnsi="Palatino Linotype" w:cs="Arial"/>
          <w:color w:val="000000"/>
        </w:rPr>
        <w:t xml:space="preserve">previa búsqueda exhaustiva y razonable, de ser procedente </w:t>
      </w:r>
      <w:r>
        <w:rPr>
          <w:rFonts w:ascii="Palatino Linotype" w:eastAsia="Times New Roman" w:hAnsi="Palatino Linotype" w:cs="Arial"/>
          <w:color w:val="000000"/>
        </w:rPr>
        <w:t xml:space="preserve">en versión pública, </w:t>
      </w:r>
      <w:r w:rsidR="001A5BCD">
        <w:rPr>
          <w:rFonts w:ascii="Palatino Linotype" w:eastAsia="Times New Roman" w:hAnsi="Palatino Linotype" w:cs="Arial"/>
          <w:color w:val="000000"/>
        </w:rPr>
        <w:t xml:space="preserve">los documentos donde conste </w:t>
      </w:r>
      <w:r w:rsidR="00266588">
        <w:rPr>
          <w:rFonts w:ascii="Palatino Linotype" w:eastAsia="Times New Roman" w:hAnsi="Palatino Linotype" w:cs="Arial"/>
          <w:color w:val="000000"/>
        </w:rPr>
        <w:t>la siguiente información</w:t>
      </w:r>
      <w:r w:rsidR="001A5BCD">
        <w:rPr>
          <w:rFonts w:ascii="Palatino Linotype" w:eastAsia="Times New Roman" w:hAnsi="Palatino Linotype" w:cs="Arial"/>
          <w:color w:val="000000"/>
        </w:rPr>
        <w:t xml:space="preserve"> d</w:t>
      </w:r>
      <w:r w:rsidR="005D0EBA">
        <w:rPr>
          <w:rFonts w:ascii="Palatino Linotype" w:eastAsia="Times New Roman" w:hAnsi="Palatino Linotype" w:cs="Arial"/>
          <w:color w:val="000000"/>
        </w:rPr>
        <w:t xml:space="preserve">el programa “Adopta un Espacio”, por el periodo </w:t>
      </w:r>
      <w:r w:rsidR="005D0EBA" w:rsidRPr="005944FE">
        <w:rPr>
          <w:rFonts w:ascii="Palatino Linotype" w:eastAsia="Calibri" w:hAnsi="Palatino Linotype" w:cs="Arial"/>
          <w:lang w:val="es-ES"/>
        </w:rPr>
        <w:t>comprendido del uno (01) de abril de dos mil diecinueve al treinta y uno (31) de julio de dos mil veintiuno:</w:t>
      </w:r>
    </w:p>
    <w:p w14:paraId="73CAD18D" w14:textId="77777777" w:rsidR="00CA0640" w:rsidRPr="00226963" w:rsidRDefault="00CA0640" w:rsidP="00CA0640">
      <w:pPr>
        <w:spacing w:line="360" w:lineRule="auto"/>
        <w:ind w:right="616"/>
        <w:jc w:val="both"/>
        <w:rPr>
          <w:rFonts w:ascii="Palatino Linotype" w:hAnsi="Palatino Linotype"/>
          <w:b/>
          <w:bCs/>
        </w:rPr>
      </w:pPr>
      <w:bookmarkStart w:id="43" w:name="_Hlk22229143"/>
    </w:p>
    <w:bookmarkEnd w:id="43"/>
    <w:p w14:paraId="088F26D2" w14:textId="060C2346" w:rsidR="001A5BCD" w:rsidRDefault="001A5BCD" w:rsidP="009A090B">
      <w:pPr>
        <w:pStyle w:val="Prrafodelista"/>
        <w:numPr>
          <w:ilvl w:val="0"/>
          <w:numId w:val="18"/>
        </w:numPr>
        <w:tabs>
          <w:tab w:val="left" w:pos="426"/>
        </w:tabs>
        <w:spacing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Avances del programa;</w:t>
      </w:r>
    </w:p>
    <w:p w14:paraId="76D0ED40" w14:textId="2DA3206E" w:rsidR="001A5BCD" w:rsidRDefault="001A5BCD" w:rsidP="009A090B">
      <w:pPr>
        <w:pStyle w:val="Prrafodelista"/>
        <w:numPr>
          <w:ilvl w:val="0"/>
          <w:numId w:val="18"/>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Total de convenios de colaboración firmados con empresarios, así como la descripción y objeto de cada uno;</w:t>
      </w:r>
    </w:p>
    <w:p w14:paraId="482A9B79" w14:textId="77777777" w:rsidR="001A5BCD" w:rsidRDefault="001A5BCD" w:rsidP="009A090B">
      <w:pPr>
        <w:pStyle w:val="Prrafodelista"/>
        <w:numPr>
          <w:ilvl w:val="0"/>
          <w:numId w:val="18"/>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De los espacios públicos rehabilitados:</w:t>
      </w:r>
    </w:p>
    <w:p w14:paraId="259B481A" w14:textId="77777777" w:rsidR="001A5BCD" w:rsidRDefault="001A5BCD" w:rsidP="009A090B">
      <w:pPr>
        <w:pStyle w:val="Prrafodelista"/>
        <w:numPr>
          <w:ilvl w:val="0"/>
          <w:numId w:val="19"/>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Total de espacios rehabilitados, así como el nombre y ubicación de cada uno; y</w:t>
      </w:r>
    </w:p>
    <w:p w14:paraId="5129CA70" w14:textId="77777777" w:rsidR="001A5BCD" w:rsidRPr="00591D7F" w:rsidRDefault="001A5BCD" w:rsidP="009A090B">
      <w:pPr>
        <w:pStyle w:val="Prrafodelista"/>
        <w:numPr>
          <w:ilvl w:val="0"/>
          <w:numId w:val="19"/>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Acciones realizadas para el mejoramiento y/o rehabilitación de cada uno de los espacios.</w:t>
      </w:r>
    </w:p>
    <w:p w14:paraId="4B47FEFB" w14:textId="77777777" w:rsidR="001A5BCD" w:rsidRDefault="001A5BCD" w:rsidP="009A090B">
      <w:pPr>
        <w:pStyle w:val="Prrafodelista"/>
        <w:numPr>
          <w:ilvl w:val="0"/>
          <w:numId w:val="18"/>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Estadística de la instalación o realización de las siguientes acciones:</w:t>
      </w:r>
    </w:p>
    <w:p w14:paraId="240DCA49"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Obras de bacheo;</w:t>
      </w:r>
    </w:p>
    <w:p w14:paraId="401629F6"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Obras de reparación y/o instalación de luminarias;</w:t>
      </w:r>
    </w:p>
    <w:p w14:paraId="2D549B3C"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lastRenderedPageBreak/>
        <w:t>Árboles plantados y/o podados;</w:t>
      </w:r>
    </w:p>
    <w:p w14:paraId="21D4109C"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Cruces peatonales pintados;</w:t>
      </w:r>
    </w:p>
    <w:p w14:paraId="5F8DF2E8"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Vialidades remozadas;</w:t>
      </w:r>
    </w:p>
    <w:p w14:paraId="63AC9DFF"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Bancas instaladas;</w:t>
      </w:r>
    </w:p>
    <w:p w14:paraId="7036392B" w14:textId="77777777" w:rsid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Juegos mecánicos instalados; y</w:t>
      </w:r>
    </w:p>
    <w:p w14:paraId="3AAF756B" w14:textId="12EA8181" w:rsidR="00892AB9" w:rsidRPr="001A5BCD" w:rsidRDefault="001A5BCD" w:rsidP="009A090B">
      <w:pPr>
        <w:pStyle w:val="Prrafodelista"/>
        <w:numPr>
          <w:ilvl w:val="0"/>
          <w:numId w:val="20"/>
        </w:numPr>
        <w:tabs>
          <w:tab w:val="left" w:pos="426"/>
        </w:tabs>
        <w:spacing w:before="240" w:after="240" w:line="360" w:lineRule="auto"/>
        <w:ind w:left="1701" w:right="51"/>
        <w:jc w:val="both"/>
        <w:rPr>
          <w:rFonts w:ascii="Palatino Linotype" w:hAnsi="Palatino Linotype"/>
          <w:color w:val="000000" w:themeColor="text1"/>
        </w:rPr>
      </w:pPr>
      <w:r>
        <w:rPr>
          <w:rFonts w:ascii="Palatino Linotype" w:hAnsi="Palatino Linotype"/>
          <w:color w:val="000000" w:themeColor="text1"/>
        </w:rPr>
        <w:t>Aparatos de ejercicio colocados.</w:t>
      </w:r>
    </w:p>
    <w:p w14:paraId="19C3E213" w14:textId="77777777"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0AC4C062" w14:textId="77777777" w:rsidR="00CA0640" w:rsidRDefault="00CA0640" w:rsidP="00CA0640">
      <w:pPr>
        <w:tabs>
          <w:tab w:val="left" w:pos="993"/>
        </w:tabs>
        <w:spacing w:line="360" w:lineRule="auto"/>
        <w:ind w:right="567"/>
        <w:jc w:val="both"/>
        <w:rPr>
          <w:rFonts w:ascii="Palatino Linotype" w:eastAsia="Calibri" w:hAnsi="Palatino Linotype" w:cs="Arial"/>
        </w:rPr>
      </w:pPr>
    </w:p>
    <w:p w14:paraId="0B7E6E80" w14:textId="34411D5E" w:rsidR="0046340E" w:rsidRDefault="009A090B" w:rsidP="0046340E">
      <w:pPr>
        <w:tabs>
          <w:tab w:val="left" w:pos="993"/>
        </w:tabs>
        <w:spacing w:line="360" w:lineRule="auto"/>
        <w:jc w:val="both"/>
        <w:rPr>
          <w:rFonts w:ascii="Palatino Linotype" w:eastAsia="Calibri" w:hAnsi="Palatino Linotype" w:cs="Arial"/>
        </w:rPr>
      </w:pPr>
      <w:r>
        <w:rPr>
          <w:rFonts w:ascii="Palatino Linotype" w:eastAsia="Calibri" w:hAnsi="Palatino Linotype" w:cs="Arial"/>
        </w:rPr>
        <w:t>Asimismo</w:t>
      </w:r>
      <w:r w:rsidR="0046340E">
        <w:rPr>
          <w:rFonts w:ascii="Palatino Linotype" w:eastAsia="Calibri" w:hAnsi="Palatino Linotype" w:cs="Arial"/>
        </w:rPr>
        <w:t>, en el caso que parte de</w:t>
      </w:r>
      <w:r w:rsidR="0046340E" w:rsidRPr="0046340E">
        <w:rPr>
          <w:rFonts w:ascii="Palatino Linotype" w:eastAsia="Calibri" w:hAnsi="Palatino Linotype" w:cs="Arial"/>
        </w:rPr>
        <w:t xml:space="preserve"> la información señalada en </w:t>
      </w:r>
      <w:r w:rsidR="001A5BCD">
        <w:rPr>
          <w:rFonts w:ascii="Palatino Linotype" w:eastAsia="Calibri" w:hAnsi="Palatino Linotype" w:cs="Arial"/>
        </w:rPr>
        <w:t xml:space="preserve">la fracción </w:t>
      </w:r>
      <w:r w:rsidR="001A5BCD" w:rsidRPr="009A090B">
        <w:rPr>
          <w:rFonts w:ascii="Palatino Linotype" w:eastAsia="Calibri" w:hAnsi="Palatino Linotype" w:cs="Arial"/>
          <w:b/>
          <w:i/>
        </w:rPr>
        <w:t>IV</w:t>
      </w:r>
      <w:r w:rsidR="0046340E" w:rsidRPr="0046340E">
        <w:rPr>
          <w:rFonts w:ascii="Palatino Linotype" w:eastAsia="Calibri" w:hAnsi="Palatino Linotype" w:cs="Arial"/>
        </w:rPr>
        <w:t>, no haya sido generada, poseída o administrada, el </w:t>
      </w:r>
      <w:r w:rsidR="0046340E" w:rsidRPr="0046340E">
        <w:rPr>
          <w:rFonts w:ascii="Palatino Linotype" w:eastAsia="Calibri" w:hAnsi="Palatino Linotype" w:cs="Arial"/>
          <w:b/>
          <w:bCs/>
        </w:rPr>
        <w:t>SUJETO OBLIGADO</w:t>
      </w:r>
      <w:r w:rsidR="0046340E" w:rsidRPr="0046340E">
        <w:rPr>
          <w:rFonts w:ascii="Palatino Linotype" w:eastAsia="Calibri" w:hAnsi="Palatino Linotype" w:cs="Arial"/>
        </w:rPr>
        <w:t> deberá explicar las causas por las que no se cuen</w:t>
      </w:r>
      <w:r w:rsidR="0074573F">
        <w:rPr>
          <w:rFonts w:ascii="Palatino Linotype" w:eastAsia="Calibri" w:hAnsi="Palatino Linotype" w:cs="Arial"/>
        </w:rPr>
        <w:t>te con la información de manera clara y precisa.</w:t>
      </w:r>
    </w:p>
    <w:p w14:paraId="750C4892" w14:textId="77777777" w:rsidR="001A5BCD" w:rsidRDefault="001A5BCD" w:rsidP="0046340E">
      <w:pPr>
        <w:tabs>
          <w:tab w:val="left" w:pos="993"/>
        </w:tabs>
        <w:spacing w:line="360" w:lineRule="auto"/>
        <w:jc w:val="both"/>
        <w:rPr>
          <w:rFonts w:ascii="Palatino Linotype" w:eastAsia="Calibri" w:hAnsi="Palatino Linotype" w:cs="Arial"/>
        </w:rPr>
      </w:pPr>
    </w:p>
    <w:p w14:paraId="53F18179" w14:textId="3F7428CB" w:rsidR="001A5BCD" w:rsidRDefault="001A5BCD" w:rsidP="001A5BCD">
      <w:pPr>
        <w:spacing w:line="360" w:lineRule="auto"/>
        <w:jc w:val="both"/>
        <w:rPr>
          <w:rFonts w:ascii="Palatino Linotype" w:eastAsia="Calibri" w:hAnsi="Palatino Linotype" w:cs="Arial"/>
        </w:rPr>
      </w:pPr>
      <w:r>
        <w:rPr>
          <w:rFonts w:ascii="Palatino Linotype" w:eastAsia="Calibri" w:hAnsi="Palatino Linotype" w:cs="Arial"/>
        </w:rPr>
        <w:t xml:space="preserve">Por otro lado, en caso de que el </w:t>
      </w:r>
      <w:r>
        <w:rPr>
          <w:rFonts w:ascii="Palatino Linotype" w:eastAsia="Calibri" w:hAnsi="Palatino Linotype" w:cs="Arial"/>
          <w:b/>
        </w:rPr>
        <w:t>SUJETO OBLIGADO</w:t>
      </w:r>
      <w:r>
        <w:rPr>
          <w:rFonts w:ascii="Palatino Linotype" w:eastAsia="Calibri" w:hAnsi="Palatino Linotype" w:cs="Arial"/>
        </w:rPr>
        <w:t xml:space="preserve"> no cuente con la información que se ordena entregar, deberá </w:t>
      </w:r>
      <w:r w:rsidR="009A090B">
        <w:rPr>
          <w:rFonts w:ascii="Palatino Linotype" w:eastAsia="Calibri" w:hAnsi="Palatino Linotype" w:cs="Arial"/>
        </w:rPr>
        <w:t>presentar</w:t>
      </w:r>
      <w:r>
        <w:rPr>
          <w:rFonts w:ascii="Palatino Linotype" w:eastAsia="Calibri" w:hAnsi="Palatino Linotype" w:cs="Arial"/>
        </w:rPr>
        <w:t xml:space="preserve"> al particular el Acuerdo que emita su Comité de Transparencia</w:t>
      </w:r>
      <w:r w:rsidR="009A090B">
        <w:rPr>
          <w:rFonts w:ascii="Palatino Linotype" w:eastAsia="Calibri" w:hAnsi="Palatino Linotype" w:cs="Arial"/>
        </w:rPr>
        <w:t>,</w:t>
      </w:r>
      <w:r>
        <w:rPr>
          <w:rFonts w:ascii="Palatino Linotype" w:eastAsia="Calibri" w:hAnsi="Palatino Linotype" w:cs="Arial"/>
        </w:rPr>
        <w:t xml:space="preserve"> mediante el cual se declare la </w:t>
      </w:r>
      <w:r w:rsidR="009A090B">
        <w:rPr>
          <w:rFonts w:ascii="Palatino Linotype" w:eastAsia="Calibri" w:hAnsi="Palatino Linotype" w:cs="Arial"/>
        </w:rPr>
        <w:t>inexistencia de la información, atendiendo el procedimiento establecido en el artículo 169 de la Ley de Transparencia y Acceso a la Información Pública del Estado de México y Municipios.</w:t>
      </w:r>
    </w:p>
    <w:p w14:paraId="75CA2A2B" w14:textId="77777777" w:rsidR="0046340E" w:rsidRDefault="0046340E" w:rsidP="00CA0640">
      <w:pPr>
        <w:tabs>
          <w:tab w:val="left" w:pos="993"/>
        </w:tabs>
        <w:spacing w:line="360" w:lineRule="auto"/>
        <w:ind w:right="567"/>
        <w:jc w:val="both"/>
        <w:rPr>
          <w:rFonts w:ascii="Palatino Linotype" w:eastAsia="Calibri" w:hAnsi="Palatino Linotype" w:cs="Arial"/>
        </w:rPr>
      </w:pPr>
    </w:p>
    <w:p w14:paraId="5463F9DB" w14:textId="12416BA0"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lastRenderedPageBreak/>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009A090B" w:rsidRPr="009A090B">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para que conforme a los artículos 186</w:t>
      </w:r>
      <w:r w:rsidR="009A090B">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último párrafo, 189</w:t>
      </w:r>
      <w:r w:rsidR="009A090B">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párrafo segundo</w:t>
      </w:r>
      <w:r w:rsidR="009A090B">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1926C937" w14:textId="77777777"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7B222D" w:rsidRDefault="00CA0640" w:rsidP="00CA0640">
      <w:pPr>
        <w:spacing w:line="360" w:lineRule="auto"/>
        <w:jc w:val="both"/>
        <w:rPr>
          <w:rFonts w:ascii="Palatino Linotype" w:eastAsia="MS Mincho" w:hAnsi="Palatino Linotype" w:cs="Times New Roman"/>
          <w:color w:val="000000"/>
        </w:rPr>
      </w:pPr>
    </w:p>
    <w:p w14:paraId="667576E1" w14:textId="3966D48C"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Pr>
          <w:rFonts w:ascii="Palatino Linotype" w:eastAsia="MS Mincho" w:hAnsi="Palatino Linotype" w:cs="Times New Roman"/>
          <w:color w:val="000000"/>
        </w:rPr>
        <w:t>.</w:t>
      </w:r>
    </w:p>
    <w:p w14:paraId="435E92A5" w14:textId="77777777" w:rsidR="00CA0640" w:rsidRPr="00970362" w:rsidRDefault="00CA0640" w:rsidP="00CA0640">
      <w:pPr>
        <w:spacing w:line="360" w:lineRule="auto"/>
        <w:jc w:val="both"/>
        <w:rPr>
          <w:rFonts w:ascii="Palatino Linotype" w:hAnsi="Palatino Linotype"/>
          <w:b/>
        </w:rPr>
      </w:pPr>
    </w:p>
    <w:p w14:paraId="1E2CA3C7" w14:textId="77777777" w:rsidR="00CA0640" w:rsidRDefault="00CA0640" w:rsidP="00CA0640">
      <w:pPr>
        <w:spacing w:line="360" w:lineRule="auto"/>
        <w:jc w:val="both"/>
        <w:rPr>
          <w:rFonts w:ascii="Palatino Linotype" w:eastAsia="MS Mincho" w:hAnsi="Palatino Linotype" w:cs="Times New Roman"/>
          <w:color w:val="000000"/>
          <w:lang w:val="es-ES"/>
        </w:rPr>
      </w:pPr>
      <w:r w:rsidRPr="00CA0640">
        <w:rPr>
          <w:rFonts w:ascii="Palatino Linotype" w:eastAsia="MS Mincho" w:hAnsi="Palatino Linotype" w:cs="Times New Roman"/>
          <w:b/>
          <w:sz w:val="28"/>
          <w:szCs w:val="28"/>
        </w:rPr>
        <w:t>SEXTO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Se hace del conocimiento </w:t>
      </w:r>
      <w:r>
        <w:rPr>
          <w:rFonts w:ascii="Palatino Linotype" w:eastAsia="MS Mincho" w:hAnsi="Palatino Linotype" w:cs="Times New Roman"/>
          <w:color w:val="000000"/>
        </w:rPr>
        <w:t xml:space="preserve">del </w:t>
      </w:r>
      <w:r>
        <w:rPr>
          <w:rFonts w:ascii="Palatino Linotype" w:eastAsia="MS Mincho" w:hAnsi="Palatino Linotype" w:cs="Times New Roman"/>
          <w:b/>
          <w:bCs/>
          <w:color w:val="000000"/>
        </w:rPr>
        <w:t>RECURRENTE</w:t>
      </w:r>
      <w:r>
        <w:rPr>
          <w:rFonts w:ascii="Palatino Linotype" w:hAnsi="Palatino Linotype"/>
          <w:b/>
        </w:rPr>
        <w:t xml:space="preserve"> </w:t>
      </w:r>
      <w:r w:rsidRPr="007B222D">
        <w:rPr>
          <w:rFonts w:ascii="Palatino Linotype" w:eastAsia="MS Mincho" w:hAnsi="Palatino Linotype" w:cs="Times New Roman"/>
          <w:color w:val="000000"/>
        </w:rPr>
        <w:t>que</w:t>
      </w:r>
      <w:r>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w:t>
      </w:r>
      <w:bookmarkEnd w:id="42"/>
      <w:r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Pr="009339CF">
        <w:rPr>
          <w:rFonts w:ascii="Palatino Linotype" w:eastAsia="MS Mincho" w:hAnsi="Palatino Linotype" w:cs="Times New Roman"/>
          <w:color w:val="000000"/>
        </w:rPr>
        <w:t xml:space="preserve">en caso de que considere que la resolución le cause algún perjuicio podrá impugnarla vía </w:t>
      </w:r>
      <w:r w:rsidRPr="009339CF">
        <w:rPr>
          <w:rFonts w:ascii="Palatino Linotype" w:eastAsia="MS Mincho" w:hAnsi="Palatino Linotype" w:cs="Times New Roman"/>
          <w:bCs/>
          <w:color w:val="000000"/>
          <w:lang w:val="es-ES"/>
        </w:rPr>
        <w:t>juicio de amparo</w:t>
      </w:r>
      <w:r>
        <w:rPr>
          <w:rFonts w:ascii="Palatino Linotype" w:eastAsia="MS Mincho" w:hAnsi="Palatino Linotype" w:cs="Times New Roman"/>
          <w:bCs/>
          <w:color w:val="000000"/>
          <w:lang w:val="es-ES"/>
        </w:rPr>
        <w:t xml:space="preserve"> </w:t>
      </w:r>
      <w:r w:rsidRPr="009339CF">
        <w:rPr>
          <w:rFonts w:ascii="Palatino Linotype" w:eastAsia="MS Mincho" w:hAnsi="Palatino Linotype" w:cs="Times New Roman"/>
          <w:color w:val="000000"/>
          <w:lang w:val="es-ES"/>
        </w:rPr>
        <w:t>en los términos de las Leyes aplicables.</w:t>
      </w:r>
    </w:p>
    <w:p w14:paraId="714A5570" w14:textId="77777777" w:rsidR="001A5BCD" w:rsidRDefault="001A5BCD" w:rsidP="00CA0640">
      <w:pPr>
        <w:spacing w:line="360" w:lineRule="auto"/>
        <w:jc w:val="both"/>
        <w:rPr>
          <w:rFonts w:ascii="Palatino Linotype" w:eastAsia="MS Mincho" w:hAnsi="Palatino Linotype" w:cs="Times New Roman"/>
          <w:color w:val="000000"/>
          <w:lang w:val="es-ES"/>
        </w:rPr>
      </w:pPr>
    </w:p>
    <w:p w14:paraId="4BBC8B78" w14:textId="72CA9F68" w:rsidR="001A5BCD" w:rsidRDefault="001A5BCD" w:rsidP="00CA0640">
      <w:pPr>
        <w:spacing w:line="360" w:lineRule="auto"/>
        <w:jc w:val="both"/>
        <w:rPr>
          <w:rFonts w:ascii="Palatino Linotype" w:eastAsia="MS Mincho" w:hAnsi="Palatino Linotype" w:cs="Times New Roman"/>
          <w:lang w:val="es-ES"/>
        </w:rPr>
      </w:pPr>
      <w:r w:rsidRPr="001A5BCD">
        <w:rPr>
          <w:rFonts w:ascii="Palatino Linotype" w:eastAsia="MS Mincho" w:hAnsi="Palatino Linotype" w:cs="Times New Roman"/>
          <w:b/>
          <w:color w:val="000000"/>
          <w:sz w:val="28"/>
          <w:lang w:val="es-ES"/>
        </w:rPr>
        <w:t>SÉPTIMO</w:t>
      </w:r>
      <w:r>
        <w:rPr>
          <w:rFonts w:ascii="Palatino Linotype" w:eastAsia="MS Mincho" w:hAnsi="Palatino Linotype" w:cs="Times New Roman"/>
          <w:b/>
          <w:color w:val="000000"/>
          <w:lang w:val="es-ES"/>
        </w:rPr>
        <w:t>.</w:t>
      </w:r>
      <w:r>
        <w:rPr>
          <w:rFonts w:ascii="Palatino Linotype" w:eastAsia="MS Mincho" w:hAnsi="Palatino Linotype" w:cs="Times New Roman"/>
          <w:color w:val="000000"/>
          <w:lang w:val="es-ES"/>
        </w:rPr>
        <w:t xml:space="preserve"> </w:t>
      </w:r>
      <w:r w:rsidRPr="00486BDF">
        <w:rPr>
          <w:rFonts w:ascii="Palatino Linotype" w:eastAsia="MS Mincho" w:hAnsi="Palatino Linotype" w:cs="Times New Roman"/>
          <w:lang w:val="es-ES"/>
        </w:rPr>
        <w:t xml:space="preserve">Hágase del conocimiento de </w:t>
      </w:r>
      <w:r>
        <w:rPr>
          <w:rFonts w:ascii="Palatino Linotype" w:hAnsi="Palatino Linotype"/>
          <w:b/>
          <w:bCs/>
          <w:lang w:val="es-ES_tradnl"/>
        </w:rPr>
        <w:t>EL RECURRENTE</w:t>
      </w:r>
      <w:r w:rsidRPr="00486BDF">
        <w:rPr>
          <w:rFonts w:ascii="Palatino Linotype" w:hAnsi="Palatino Linotype"/>
          <w:b/>
          <w:lang w:val="es-ES_tradnl"/>
        </w:rPr>
        <w:t xml:space="preserve"> </w:t>
      </w:r>
      <w:r w:rsidRPr="00486BDF">
        <w:rPr>
          <w:rFonts w:ascii="Palatino Linotype" w:eastAsia="MS Mincho" w:hAnsi="Palatino Linotype" w:cs="Times New Roman"/>
          <w:lang w:val="es-ES"/>
        </w:rPr>
        <w:t>que la respuesta que dé el</w:t>
      </w:r>
      <w:r w:rsidRPr="00486BDF">
        <w:rPr>
          <w:rFonts w:ascii="Palatino Linotype" w:eastAsia="MS Mincho" w:hAnsi="Palatino Linotype" w:cs="Times New Roman"/>
          <w:b/>
          <w:lang w:val="es-ES"/>
        </w:rPr>
        <w:t xml:space="preserve"> SUJETO OBLIGADO</w:t>
      </w:r>
      <w:r w:rsidRPr="00486BDF">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w:t>
      </w:r>
      <w:r w:rsidRPr="00486BDF">
        <w:rPr>
          <w:rFonts w:ascii="Palatino Linotype" w:eastAsia="MS Mincho" w:hAnsi="Palatino Linotype" w:cs="Times New Roman"/>
          <w:lang w:val="es-ES"/>
        </w:rPr>
        <w:lastRenderedPageBreak/>
        <w:t>del artículo 179, último párrafo</w:t>
      </w:r>
      <w:r w:rsidR="009A090B">
        <w:rPr>
          <w:rFonts w:ascii="Palatino Linotype" w:eastAsia="MS Mincho" w:hAnsi="Palatino Linotype" w:cs="Times New Roman"/>
          <w:lang w:val="es-ES"/>
        </w:rPr>
        <w:t>,</w:t>
      </w:r>
      <w:r w:rsidRPr="00486BDF">
        <w:rPr>
          <w:rFonts w:ascii="Palatino Linotype" w:eastAsia="MS Mincho" w:hAnsi="Palatino Linotype" w:cs="Times New Roman"/>
          <w:lang w:val="es-ES"/>
        </w:rPr>
        <w:t xml:space="preserve"> de la Ley de Transparencia y Acceso a la Información Pública del Estado de México y Municipios.</w:t>
      </w:r>
    </w:p>
    <w:p w14:paraId="643A63C8" w14:textId="77777777" w:rsidR="001A5BCD" w:rsidRDefault="001A5BCD" w:rsidP="00CA0640">
      <w:pPr>
        <w:spacing w:line="360" w:lineRule="auto"/>
        <w:jc w:val="both"/>
        <w:rPr>
          <w:rFonts w:ascii="Palatino Linotype" w:eastAsia="MS Mincho" w:hAnsi="Palatino Linotype" w:cs="Times New Roman"/>
          <w:lang w:val="es-ES"/>
        </w:rPr>
      </w:pPr>
    </w:p>
    <w:p w14:paraId="2F12DA5B" w14:textId="487A3DDF" w:rsidR="001A5BCD" w:rsidRDefault="001A5BCD" w:rsidP="00CA0640">
      <w:pPr>
        <w:spacing w:line="360" w:lineRule="auto"/>
        <w:jc w:val="both"/>
        <w:rPr>
          <w:rFonts w:ascii="Palatino Linotype" w:eastAsia="MS Mincho" w:hAnsi="Palatino Linotype" w:cs="Times New Roman"/>
          <w:b/>
          <w:lang w:val="es-ES_tradnl"/>
        </w:rPr>
      </w:pPr>
      <w:r w:rsidRPr="001A5BCD">
        <w:rPr>
          <w:rFonts w:ascii="Palatino Linotype" w:eastAsia="MS Mincho" w:hAnsi="Palatino Linotype" w:cs="Times New Roman"/>
          <w:b/>
          <w:sz w:val="28"/>
          <w:lang w:val="es-ES"/>
        </w:rPr>
        <w:t>OCTAVO</w:t>
      </w:r>
      <w:r>
        <w:rPr>
          <w:rFonts w:ascii="Palatino Linotype" w:eastAsia="MS Mincho" w:hAnsi="Palatino Linotype" w:cs="Times New Roman"/>
          <w:b/>
          <w:lang w:val="es-ES"/>
        </w:rPr>
        <w:t xml:space="preserve">. </w:t>
      </w:r>
      <w:r w:rsidRPr="00486BDF">
        <w:rPr>
          <w:rFonts w:ascii="Palatino Linotype" w:eastAsia="MS Mincho" w:hAnsi="Palatino Linotype" w:cs="Times New Roman"/>
          <w:lang w:val="es-ES_tradnl"/>
        </w:rPr>
        <w:t>Gírese oficio a</w:t>
      </w:r>
      <w:r>
        <w:rPr>
          <w:rFonts w:ascii="Palatino Linotype" w:eastAsia="MS Mincho" w:hAnsi="Palatino Linotype" w:cs="Times New Roman"/>
          <w:lang w:val="es-ES_tradnl"/>
        </w:rPr>
        <w:t>l</w:t>
      </w:r>
      <w:r w:rsidRPr="00486BDF">
        <w:rPr>
          <w:rFonts w:ascii="Palatino Linotype" w:eastAsia="MS Mincho" w:hAnsi="Palatino Linotype" w:cs="Times New Roman"/>
          <w:lang w:val="es-ES_tradnl"/>
        </w:rPr>
        <w:t xml:space="preserve"> </w:t>
      </w:r>
      <w:r>
        <w:rPr>
          <w:rFonts w:ascii="Palatino Linotype" w:eastAsia="MS Mincho" w:hAnsi="Palatino Linotype" w:cs="Times New Roman"/>
          <w:lang w:val="es-ES_tradnl"/>
        </w:rPr>
        <w:t>Titular de la Contraloría Interna</w:t>
      </w:r>
      <w:r w:rsidRPr="00486BDF">
        <w:rPr>
          <w:rFonts w:ascii="Palatino Linotype" w:eastAsia="MS Mincho" w:hAnsi="Palatino Linotype" w:cs="Times New Roman"/>
          <w:lang w:val="es-ES_tradnl"/>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86BDF">
        <w:rPr>
          <w:rFonts w:ascii="Palatino Linotype" w:eastAsia="MS Mincho" w:hAnsi="Palatino Linotype" w:cs="Times New Roman"/>
          <w:b/>
          <w:lang w:val="es-ES_tradnl"/>
        </w:rPr>
        <w:t xml:space="preserve">Considerando </w:t>
      </w:r>
      <w:r>
        <w:rPr>
          <w:rFonts w:ascii="Palatino Linotype" w:eastAsia="MS Mincho" w:hAnsi="Palatino Linotype" w:cs="Times New Roman"/>
          <w:b/>
          <w:lang w:val="es-ES_tradnl"/>
        </w:rPr>
        <w:t>SEXTO</w:t>
      </w:r>
      <w:r w:rsidRPr="00486BDF">
        <w:rPr>
          <w:rFonts w:ascii="Palatino Linotype" w:eastAsia="MS Mincho" w:hAnsi="Palatino Linotype" w:cs="Times New Roman"/>
          <w:b/>
          <w:lang w:val="es-ES_tradnl"/>
        </w:rPr>
        <w:t>.</w:t>
      </w:r>
    </w:p>
    <w:p w14:paraId="14A45DBE" w14:textId="77777777" w:rsidR="001A5BCD" w:rsidRDefault="001A5BCD" w:rsidP="00CA0640">
      <w:pPr>
        <w:spacing w:line="360" w:lineRule="auto"/>
        <w:jc w:val="both"/>
        <w:rPr>
          <w:rFonts w:ascii="Palatino Linotype" w:eastAsia="MS Mincho" w:hAnsi="Palatino Linotype" w:cs="Times New Roman"/>
          <w:b/>
          <w:lang w:val="es-ES_tradnl"/>
        </w:rPr>
      </w:pPr>
    </w:p>
    <w:p w14:paraId="00AD11AD" w14:textId="7244CB16" w:rsidR="001A5BCD" w:rsidRPr="001A5BCD" w:rsidRDefault="001A5BCD" w:rsidP="00CA0640">
      <w:pPr>
        <w:spacing w:line="360" w:lineRule="auto"/>
        <w:jc w:val="both"/>
        <w:rPr>
          <w:rFonts w:ascii="Palatino Linotype" w:eastAsia="MS Mincho" w:hAnsi="Palatino Linotype" w:cs="Times New Roman"/>
          <w:b/>
          <w:color w:val="000000"/>
          <w:lang w:val="es-ES"/>
        </w:rPr>
      </w:pPr>
      <w:r w:rsidRPr="001A5BCD">
        <w:rPr>
          <w:rFonts w:ascii="Palatino Linotype" w:eastAsia="MS Mincho" w:hAnsi="Palatino Linotype" w:cs="Times New Roman"/>
          <w:b/>
          <w:sz w:val="28"/>
          <w:lang w:val="es-ES_tradnl"/>
        </w:rPr>
        <w:t>NOVENO</w:t>
      </w:r>
      <w:r>
        <w:rPr>
          <w:rFonts w:ascii="Palatino Linotype" w:eastAsia="MS Mincho" w:hAnsi="Palatino Linotype" w:cs="Times New Roman"/>
          <w:b/>
          <w:lang w:val="es-ES_tradnl"/>
        </w:rPr>
        <w:t xml:space="preserve">. </w:t>
      </w:r>
      <w:r w:rsidRPr="00872095">
        <w:rPr>
          <w:rFonts w:ascii="Palatino Linotype" w:eastAsia="MS Mincho" w:hAnsi="Palatino Linotype" w:cs="Times New Roman"/>
          <w:bCs/>
          <w:lang w:val="es-ES_tradnl"/>
        </w:rPr>
        <w:t xml:space="preserve">Con fundamento en el artículo 198 de la Ley de Transparencia y Acceso a la Información Pública del Estado de México y Municipios, se apercibe al </w:t>
      </w:r>
      <w:r w:rsidRPr="00872095">
        <w:rPr>
          <w:rFonts w:ascii="Palatino Linotype" w:eastAsia="MS Mincho" w:hAnsi="Palatino Linotype" w:cs="Times New Roman"/>
          <w:b/>
          <w:bCs/>
          <w:lang w:val="es-ES_tradnl"/>
        </w:rPr>
        <w:t xml:space="preserve">SUJETO OBLIGADO </w:t>
      </w:r>
      <w:r w:rsidRPr="00872095">
        <w:rPr>
          <w:rFonts w:ascii="Palatino Linotype" w:eastAsia="MS Mincho" w:hAnsi="Palatino Linotype" w:cs="Times New Roman"/>
          <w:bCs/>
          <w:lang w:val="es-ES_tradnl"/>
        </w:rPr>
        <w:t>de que, en caso de incumplimiento total o parcial de la presente resolución, se actuará de conformidad con lo dispuesto en los artículos 213, 214, 215, 216 y 217 de la Ley en cita.</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326A712A" w14:textId="5CC2C9AD" w:rsidR="00895335" w:rsidRPr="005944FE" w:rsidRDefault="00025266" w:rsidP="00025266">
      <w:pPr>
        <w:pStyle w:val="Prrafodelista"/>
        <w:spacing w:line="360" w:lineRule="auto"/>
        <w:ind w:left="0"/>
        <w:jc w:val="both"/>
        <w:rPr>
          <w:rFonts w:ascii="Palatino Linotype" w:hAnsi="Palatino Linotype"/>
          <w:color w:val="000000" w:themeColor="text1"/>
        </w:rPr>
      </w:pPr>
      <w:r w:rsidRPr="002D6F4B">
        <w:rPr>
          <w:rFonts w:ascii="Palatino Linotype" w:hAnsi="Palatino Linotype"/>
          <w:color w:val="000000" w:themeColor="text1"/>
        </w:rPr>
        <w:t xml:space="preserve">ASÍ LO RESUELVE, </w:t>
      </w:r>
      <w:r w:rsidRPr="005944FE">
        <w:rPr>
          <w:rFonts w:ascii="Palatino Linotype" w:hAnsi="Palatino Linotype"/>
          <w:color w:val="000000" w:themeColor="text1"/>
        </w:rPr>
        <w:t>POR UNANIMIDAD</w:t>
      </w:r>
      <w:r w:rsidRPr="00575D39">
        <w:rPr>
          <w:rFonts w:ascii="Palatino Linotype" w:hAnsi="Palatino Linotype"/>
          <w:color w:val="000000" w:themeColor="text1"/>
        </w:rPr>
        <w:t xml:space="preserve"> DE</w:t>
      </w:r>
      <w:r w:rsidRPr="002D6F4B">
        <w:rPr>
          <w:rFonts w:ascii="Palatino Linotype" w:hAnsi="Palatino Linotype"/>
          <w:color w:val="000000" w:themeColor="text1"/>
        </w:rPr>
        <w:t xml:space="preserve"> VOTOS, EL PLENO DEL INSTITUTO DE TRANSPARENCIA, ACCESO A LA INFORMACIÓN PÚBLICA Y PROTECCIÓN DE DATOS PERSONALES DEL ESTADO DE MÉXICO Y MUNICIPIOS, CONFORMADO POR LOS </w:t>
      </w:r>
      <w:r>
        <w:rPr>
          <w:rFonts w:ascii="Palatino Linotype" w:hAnsi="Palatino Linotype"/>
          <w:color w:val="000000" w:themeColor="text1"/>
        </w:rPr>
        <w:t xml:space="preserve">COMISIONADOS </w:t>
      </w:r>
      <w:r w:rsidR="00A24131">
        <w:rPr>
          <w:rFonts w:ascii="Palatino Linotype" w:hAnsi="Palatino Linotype"/>
          <w:color w:val="000000" w:themeColor="text1"/>
        </w:rPr>
        <w:t>JOSÉ MARTÍNEZ VILCHIS, MARÍA DEL ROSARIO MEJÍA AYALA, SHARON</w:t>
      </w:r>
      <w:r w:rsidR="005944FE">
        <w:rPr>
          <w:rFonts w:ascii="Palatino Linotype" w:hAnsi="Palatino Linotype"/>
          <w:color w:val="000000" w:themeColor="text1"/>
        </w:rPr>
        <w:t xml:space="preserve"> CRISTINA</w:t>
      </w:r>
      <w:r w:rsidR="00A24131">
        <w:rPr>
          <w:rFonts w:ascii="Palatino Linotype" w:hAnsi="Palatino Linotype"/>
          <w:color w:val="000000" w:themeColor="text1"/>
        </w:rPr>
        <w:t xml:space="preserve"> MORALES MARTÍNEZ, LUIS GUSTAVO PARRA NORIEGA Y GUADALUPE RAMÍREZ PEÑA</w:t>
      </w:r>
      <w:r w:rsidRPr="002D6F4B">
        <w:rPr>
          <w:rFonts w:ascii="Palatino Linotype" w:hAnsi="Palatino Linotype"/>
          <w:color w:val="000000" w:themeColor="text1"/>
        </w:rPr>
        <w:t xml:space="preserve">; </w:t>
      </w:r>
      <w:r w:rsidRPr="005944FE">
        <w:rPr>
          <w:rFonts w:ascii="Palatino Linotype" w:hAnsi="Palatino Linotype"/>
          <w:color w:val="000000" w:themeColor="text1"/>
        </w:rPr>
        <w:t xml:space="preserve">EN LA </w:t>
      </w:r>
      <w:r w:rsidR="00F56E0D" w:rsidRPr="005944FE">
        <w:rPr>
          <w:rFonts w:ascii="Palatino Linotype" w:hAnsi="Palatino Linotype"/>
          <w:color w:val="000000" w:themeColor="text1"/>
        </w:rPr>
        <w:t xml:space="preserve">TRIGÉSIMO </w:t>
      </w:r>
      <w:r w:rsidR="009A090B" w:rsidRPr="005944FE">
        <w:rPr>
          <w:rFonts w:ascii="Palatino Linotype" w:hAnsi="Palatino Linotype"/>
          <w:color w:val="000000" w:themeColor="text1"/>
        </w:rPr>
        <w:t>SÉPTIMA</w:t>
      </w:r>
      <w:r w:rsidRPr="005944FE">
        <w:rPr>
          <w:rFonts w:ascii="Palatino Linotype" w:hAnsi="Palatino Linotype"/>
          <w:color w:val="000000" w:themeColor="text1"/>
        </w:rPr>
        <w:t xml:space="preserve"> SESIÓN ORDINARIA CELEBRADA EL </w:t>
      </w:r>
      <w:r w:rsidR="009A090B" w:rsidRPr="005944FE">
        <w:rPr>
          <w:rFonts w:ascii="Palatino Linotype" w:hAnsi="Palatino Linotype"/>
          <w:color w:val="000000" w:themeColor="text1"/>
        </w:rPr>
        <w:t>VEINTE (20</w:t>
      </w:r>
      <w:r w:rsidR="0074573F" w:rsidRPr="005944FE">
        <w:rPr>
          <w:rFonts w:ascii="Palatino Linotype" w:hAnsi="Palatino Linotype"/>
          <w:color w:val="000000" w:themeColor="text1"/>
        </w:rPr>
        <w:t>) DE OCTUBRE</w:t>
      </w:r>
      <w:r w:rsidR="00A24131" w:rsidRPr="005944FE">
        <w:rPr>
          <w:rFonts w:ascii="Palatino Linotype" w:hAnsi="Palatino Linotype"/>
          <w:color w:val="000000" w:themeColor="text1"/>
        </w:rPr>
        <w:t xml:space="preserve"> </w:t>
      </w:r>
      <w:r w:rsidR="0072445A" w:rsidRPr="005944FE">
        <w:rPr>
          <w:rFonts w:ascii="Palatino Linotype" w:hAnsi="Palatino Linotype"/>
          <w:color w:val="000000" w:themeColor="text1"/>
        </w:rPr>
        <w:t>DE DOS MIL VEINTIUNO</w:t>
      </w:r>
      <w:r w:rsidRPr="002D6F4B">
        <w:rPr>
          <w:rFonts w:ascii="Palatino Linotype" w:hAnsi="Palatino Linotype"/>
          <w:color w:val="000000" w:themeColor="text1"/>
        </w:rPr>
        <w:t xml:space="preserve">, ANTE </w:t>
      </w:r>
      <w:r>
        <w:rPr>
          <w:rFonts w:ascii="Palatino Linotype" w:hAnsi="Palatino Linotype"/>
          <w:color w:val="000000" w:themeColor="text1"/>
        </w:rPr>
        <w:t>EL SECRETARIO TÉCNICO</w:t>
      </w:r>
      <w:r w:rsidRPr="002D6F4B">
        <w:rPr>
          <w:rFonts w:ascii="Palatino Linotype" w:hAnsi="Palatino Linotype"/>
          <w:color w:val="000000" w:themeColor="text1"/>
        </w:rPr>
        <w:t xml:space="preserve"> DEL PLENO </w:t>
      </w:r>
      <w:r>
        <w:rPr>
          <w:rFonts w:ascii="Palatino Linotype" w:hAnsi="Palatino Linotype"/>
          <w:color w:val="000000" w:themeColor="text1"/>
        </w:rPr>
        <w:t>ALEXIS TAPIA RAMÍREZ</w:t>
      </w:r>
      <w:r w:rsidRPr="002D6F4B">
        <w:rPr>
          <w:rFonts w:ascii="Palatino Linotype" w:hAnsi="Palatino Linotype"/>
          <w:color w:val="000000" w:themeColor="text1"/>
        </w:rPr>
        <w:t>.</w:t>
      </w:r>
      <w:r w:rsidRPr="005944FE">
        <w:rPr>
          <w:rFonts w:ascii="Palatino Linotype" w:hAnsi="Palatino Linotype"/>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54E32" w14:textId="77777777" w:rsidR="00DD796B" w:rsidRDefault="00DD796B" w:rsidP="00587366">
      <w:r>
        <w:separator/>
      </w:r>
    </w:p>
  </w:endnote>
  <w:endnote w:type="continuationSeparator" w:id="0">
    <w:p w14:paraId="29CC1008" w14:textId="77777777" w:rsidR="00DD796B" w:rsidRDefault="00DD796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A60693" w:rsidRPr="00883450" w:rsidRDefault="00A6069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944FE">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944FE">
              <w:rPr>
                <w:rFonts w:ascii="Palatino Linotype" w:hAnsi="Palatino Linotype"/>
                <w:b/>
                <w:bCs/>
                <w:noProof/>
                <w:sz w:val="22"/>
                <w:szCs w:val="20"/>
              </w:rPr>
              <w:t>73</w:t>
            </w:r>
            <w:r w:rsidRPr="00883450">
              <w:rPr>
                <w:rFonts w:ascii="Palatino Linotype" w:hAnsi="Palatino Linotype"/>
                <w:b/>
                <w:bCs/>
                <w:sz w:val="22"/>
                <w:szCs w:val="20"/>
              </w:rPr>
              <w:fldChar w:fldCharType="end"/>
            </w:r>
          </w:p>
        </w:sdtContent>
      </w:sdt>
    </w:sdtContent>
  </w:sdt>
  <w:p w14:paraId="6243EC1B" w14:textId="47B193F0" w:rsidR="00A60693" w:rsidRDefault="00A606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A60693" w:rsidRPr="00883450" w:rsidRDefault="00A6069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944FE" w:rsidRPr="005944F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944FE" w:rsidRPr="005944FE">
      <w:rPr>
        <w:rFonts w:ascii="Palatino Linotype" w:hAnsi="Palatino Linotype"/>
        <w:noProof/>
        <w:sz w:val="22"/>
        <w:szCs w:val="22"/>
        <w:lang w:val="es-ES"/>
      </w:rPr>
      <w:t>73</w:t>
    </w:r>
    <w:r w:rsidRPr="00883450">
      <w:rPr>
        <w:rFonts w:ascii="Palatino Linotype" w:hAnsi="Palatino Linotype"/>
        <w:sz w:val="22"/>
        <w:szCs w:val="22"/>
      </w:rPr>
      <w:fldChar w:fldCharType="end"/>
    </w:r>
  </w:p>
  <w:p w14:paraId="5F5C4865" w14:textId="0A9A2B26" w:rsidR="00A60693" w:rsidRPr="00883450" w:rsidRDefault="00A60693">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49EF" w14:textId="77777777" w:rsidR="00DD796B" w:rsidRDefault="00DD796B" w:rsidP="00587366">
      <w:r>
        <w:separator/>
      </w:r>
    </w:p>
  </w:footnote>
  <w:footnote w:type="continuationSeparator" w:id="0">
    <w:p w14:paraId="1F05D180" w14:textId="77777777" w:rsidR="00DD796B" w:rsidRDefault="00DD796B" w:rsidP="00587366">
      <w:r>
        <w:continuationSeparator/>
      </w:r>
    </w:p>
  </w:footnote>
  <w:footnote w:id="1">
    <w:p w14:paraId="31C71B15" w14:textId="77777777" w:rsidR="00A60693" w:rsidRPr="009C43C2" w:rsidRDefault="00A60693"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3E66C088" w14:textId="77777777" w:rsidR="00A60693" w:rsidRPr="009C43C2" w:rsidRDefault="00A60693"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6F4FB53" w14:textId="77777777" w:rsidR="00A60693" w:rsidRPr="009C43C2" w:rsidRDefault="00A60693"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5A516D" w14:textId="77777777" w:rsidR="00A60693" w:rsidRDefault="00A60693"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w:t>
      </w:r>
      <w:proofErr w:type="spellStart"/>
      <w:r w:rsidRPr="009C43C2">
        <w:rPr>
          <w:rFonts w:ascii="Palatino Linotype" w:hAnsi="Palatino Linotype"/>
          <w:sz w:val="18"/>
        </w:rPr>
        <w:t>Ibídem</w:t>
      </w:r>
      <w:proofErr w:type="spellEnd"/>
      <w:r w:rsidRPr="009C43C2">
        <w:rPr>
          <w:rFonts w:ascii="Palatino Linotype" w:hAnsi="Palatino Linotype"/>
          <w:sz w:val="18"/>
        </w:rPr>
        <w:t xml:space="preserve">.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2E398C8E" w14:textId="77777777" w:rsidR="00A60693" w:rsidRDefault="00A60693" w:rsidP="009B1F7B">
      <w:pPr>
        <w:pStyle w:val="Textonotapie"/>
      </w:pPr>
      <w:r>
        <w:rPr>
          <w:rStyle w:val="Refdenotaalpie"/>
        </w:rPr>
        <w:footnoteRef/>
      </w:r>
      <w:r>
        <w:t xml:space="preserve"> Artículo 3, fracción XI, Ley de Transparencia y Acceso a la Información Pública del Estado de México y Municipios.</w:t>
      </w:r>
    </w:p>
  </w:footnote>
  <w:footnote w:id="6">
    <w:p w14:paraId="70D201A8" w14:textId="77777777" w:rsidR="00A60693" w:rsidRDefault="00A60693" w:rsidP="009B1F7B">
      <w:pPr>
        <w:pStyle w:val="Textonotapie"/>
      </w:pPr>
      <w:r>
        <w:rPr>
          <w:rStyle w:val="Refdenotaalpie"/>
        </w:rPr>
        <w:footnoteRef/>
      </w:r>
      <w:r>
        <w:t xml:space="preserve"> Artículo 11, Ley de Transparencia y Acceso a la Información Pública del Estado de México y Municipios.</w:t>
      </w:r>
    </w:p>
  </w:footnote>
  <w:footnote w:id="7">
    <w:p w14:paraId="439678F6" w14:textId="77777777" w:rsidR="00A60693" w:rsidRDefault="00A60693" w:rsidP="009B1F7B">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 xml:space="preserve">Ley de Transparencia y Acceso a la Información Pública del Estado de México y Municipios. </w:t>
      </w:r>
    </w:p>
    <w:p w14:paraId="7EAB5F63" w14:textId="77777777" w:rsidR="00A60693" w:rsidRPr="008E29C5" w:rsidRDefault="00A60693" w:rsidP="009B1F7B">
      <w:pPr>
        <w:pStyle w:val="Textonotapie"/>
        <w:rPr>
          <w:rFonts w:ascii="Palatino Linotype" w:hAnsi="Palatino Linotype"/>
          <w:sz w:val="18"/>
        </w:rPr>
      </w:pPr>
      <w:r>
        <w:rPr>
          <w:rFonts w:ascii="Palatino Linotype" w:hAnsi="Palatino Linotype"/>
          <w:sz w:val="18"/>
        </w:rPr>
        <w:t>“Artículo 9.(…)</w:t>
      </w:r>
    </w:p>
    <w:p w14:paraId="0F7759FF" w14:textId="77777777" w:rsidR="00A60693" w:rsidRPr="008E29C5" w:rsidRDefault="00A60693" w:rsidP="009B1F7B">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70C43704" w14:textId="77777777" w:rsidR="00A60693" w:rsidRDefault="00A60693" w:rsidP="009B1F7B">
      <w:pPr>
        <w:pStyle w:val="Textonotapie"/>
      </w:pPr>
      <w:r>
        <w:t>(…)”</w:t>
      </w:r>
    </w:p>
  </w:footnote>
  <w:footnote w:id="8">
    <w:p w14:paraId="3861A7E6" w14:textId="4737C701" w:rsidR="00A60693" w:rsidRDefault="00A60693">
      <w:pPr>
        <w:pStyle w:val="Textonotapie"/>
      </w:pPr>
      <w:r>
        <w:rPr>
          <w:rStyle w:val="Refdenotaalpie"/>
        </w:rPr>
        <w:footnoteRef/>
      </w:r>
      <w:r>
        <w:t xml:space="preserve"> Artículo 15, Ley Orgánica Municipal del Estado de México.</w:t>
      </w:r>
    </w:p>
  </w:footnote>
  <w:footnote w:id="9">
    <w:p w14:paraId="1364053B" w14:textId="33505FD4" w:rsidR="00A60693" w:rsidRDefault="00A60693">
      <w:pPr>
        <w:pStyle w:val="Textonotapie"/>
      </w:pPr>
      <w:r>
        <w:rPr>
          <w:rStyle w:val="Refdenotaalpie"/>
        </w:rPr>
        <w:footnoteRef/>
      </w:r>
      <w:r>
        <w:t xml:space="preserve"> Artículo 16, Ídem.</w:t>
      </w:r>
    </w:p>
  </w:footnote>
  <w:footnote w:id="10">
    <w:p w14:paraId="726429ED" w14:textId="06C7FBEC" w:rsidR="00A60693" w:rsidRDefault="00A60693">
      <w:pPr>
        <w:pStyle w:val="Textonotapie"/>
      </w:pPr>
      <w:r>
        <w:rPr>
          <w:rStyle w:val="Refdenotaalpie"/>
        </w:rPr>
        <w:footnoteRef/>
      </w:r>
      <w:r>
        <w:t xml:space="preserve"> Consultable en </w:t>
      </w:r>
      <w:r w:rsidRPr="00224ABA">
        <w:t>https://www.ecatepec.gob.mx/</w:t>
      </w:r>
    </w:p>
  </w:footnote>
  <w:footnote w:id="11">
    <w:p w14:paraId="440215C8" w14:textId="1845023D" w:rsidR="00A60693" w:rsidRDefault="00A60693">
      <w:pPr>
        <w:pStyle w:val="Textonotapie"/>
      </w:pPr>
      <w:r>
        <w:rPr>
          <w:rStyle w:val="Refdenotaalpie"/>
        </w:rPr>
        <w:footnoteRef/>
      </w:r>
      <w:r>
        <w:t xml:space="preserve"> Consultable en</w:t>
      </w:r>
      <w:r w:rsidRPr="00224ABA">
        <w:t xml:space="preserve"> https://ecatepec.sapase.gob.mx/</w:t>
      </w:r>
    </w:p>
  </w:footnote>
  <w:footnote w:id="12">
    <w:p w14:paraId="0B54AC8C" w14:textId="52E04048" w:rsidR="00A60693" w:rsidRDefault="00A60693">
      <w:pPr>
        <w:pStyle w:val="Textonotapie"/>
      </w:pPr>
      <w:r>
        <w:rPr>
          <w:rStyle w:val="Refdenotaalpie"/>
        </w:rPr>
        <w:footnoteRef/>
      </w:r>
      <w:r>
        <w:t xml:space="preserve"> Consultable en </w:t>
      </w:r>
      <w:r w:rsidRPr="00C5309D">
        <w:t>https://www.ecatepec.gob.mx/search-noticia/197</w:t>
      </w:r>
    </w:p>
  </w:footnote>
  <w:footnote w:id="13">
    <w:p w14:paraId="679BFC5E" w14:textId="1A865AC6" w:rsidR="00A60693" w:rsidRDefault="00A60693">
      <w:pPr>
        <w:pStyle w:val="Textonotapie"/>
      </w:pPr>
      <w:r>
        <w:rPr>
          <w:rStyle w:val="Refdenotaalpie"/>
        </w:rPr>
        <w:footnoteRef/>
      </w:r>
      <w:r>
        <w:t xml:space="preserve"> Consultable en </w:t>
      </w:r>
      <w:r w:rsidRPr="0010147E">
        <w:t>https://twitter.com/ddeecatepec/</w:t>
      </w:r>
    </w:p>
  </w:footnote>
  <w:footnote w:id="14">
    <w:p w14:paraId="4A91ACCF" w14:textId="753D33CC" w:rsidR="00A60693" w:rsidRDefault="00A60693">
      <w:pPr>
        <w:pStyle w:val="Textonotapie"/>
      </w:pPr>
      <w:r>
        <w:rPr>
          <w:rStyle w:val="Refdenotaalpie"/>
        </w:rPr>
        <w:footnoteRef/>
      </w:r>
      <w:r>
        <w:t xml:space="preserve"> Consultable en </w:t>
      </w:r>
      <w:r w:rsidRPr="00315579">
        <w:t>https://www.ipomex.org.mx/ipo3/lgt/indice/ecatepec.web</w:t>
      </w:r>
    </w:p>
  </w:footnote>
  <w:footnote w:id="15">
    <w:p w14:paraId="62ED86DA" w14:textId="3EFCBCFB" w:rsidR="00A60693" w:rsidRDefault="00A60693">
      <w:pPr>
        <w:pStyle w:val="Textonotapie"/>
      </w:pPr>
      <w:r>
        <w:rPr>
          <w:rStyle w:val="Refdenotaalpie"/>
        </w:rPr>
        <w:footnoteRef/>
      </w:r>
      <w:r>
        <w:t xml:space="preserve"> Consultable en </w:t>
      </w:r>
      <w:r w:rsidRPr="00FE74B5">
        <w:t>https://www.ipomex.org.mx/ipo3/lgt/indice/ECATEPEC/art_92_xxxvii.web</w:t>
      </w:r>
    </w:p>
  </w:footnote>
  <w:footnote w:id="16">
    <w:p w14:paraId="4A931FFB" w14:textId="632FDC26" w:rsidR="00A60693" w:rsidRDefault="00A60693">
      <w:pPr>
        <w:pStyle w:val="Textonotapie"/>
      </w:pPr>
      <w:r>
        <w:rPr>
          <w:rStyle w:val="Refdenotaalpie"/>
        </w:rPr>
        <w:footnoteRef/>
      </w:r>
      <w:r>
        <w:t xml:space="preserve"> Consultable en </w:t>
      </w:r>
      <w:r w:rsidRPr="00FE74B5">
        <w:t>https://www.ipomex.org.mx/ipo3/lgt/indice/ECATEPEC/art_92_xxxvii/1.web</w:t>
      </w:r>
    </w:p>
  </w:footnote>
  <w:footnote w:id="17">
    <w:p w14:paraId="73DBE3AE" w14:textId="77777777" w:rsidR="00A60693" w:rsidRDefault="00A60693" w:rsidP="00274938">
      <w:pPr>
        <w:pStyle w:val="Textonotapie"/>
      </w:pPr>
      <w:r>
        <w:rPr>
          <w:rStyle w:val="Refdenotaalpie"/>
        </w:rPr>
        <w:footnoteRef/>
      </w:r>
      <w:r>
        <w:t xml:space="preserve"> Artículo 50, Ley de Transparencia y Acceso a la Información Pública del Estado de México y Municipios.</w:t>
      </w:r>
    </w:p>
  </w:footnote>
  <w:footnote w:id="18">
    <w:p w14:paraId="55BA7FFF" w14:textId="77777777" w:rsidR="00A60693" w:rsidRDefault="00A60693" w:rsidP="00274938">
      <w:pPr>
        <w:pStyle w:val="Textonotapie"/>
      </w:pPr>
      <w:r>
        <w:rPr>
          <w:rStyle w:val="Refdenotaalpie"/>
        </w:rPr>
        <w:footnoteRef/>
      </w:r>
      <w:r>
        <w:t xml:space="preserve"> Artículo 51, Ídem.</w:t>
      </w:r>
    </w:p>
  </w:footnote>
  <w:footnote w:id="19">
    <w:p w14:paraId="3DCD0BB3" w14:textId="77777777" w:rsidR="00A60693" w:rsidRDefault="00A60693" w:rsidP="00274938">
      <w:pPr>
        <w:pStyle w:val="Textonotapie"/>
      </w:pPr>
      <w:r>
        <w:rPr>
          <w:rStyle w:val="Refdenotaalpie"/>
        </w:rPr>
        <w:footnoteRef/>
      </w:r>
      <w:r>
        <w:t xml:space="preserve"> Artículo 58, Ley de Transparencia y Acceso a la Información Pública del Estado de México y Municipios.</w:t>
      </w:r>
    </w:p>
  </w:footnote>
  <w:footnote w:id="20">
    <w:p w14:paraId="7E46B574" w14:textId="77777777" w:rsidR="00A60693" w:rsidRDefault="00A60693" w:rsidP="00274938">
      <w:pPr>
        <w:pStyle w:val="Textonotapie"/>
      </w:pPr>
      <w:r>
        <w:rPr>
          <w:rStyle w:val="Refdenotaalpie"/>
        </w:rPr>
        <w:footnoteRef/>
      </w:r>
      <w:r>
        <w:t xml:space="preserve"> Artículo 59, Ídem.</w:t>
      </w:r>
    </w:p>
  </w:footnote>
  <w:footnote w:id="21">
    <w:p w14:paraId="474FAE5F" w14:textId="4C196DCB" w:rsidR="00A60693" w:rsidRDefault="00A60693">
      <w:pPr>
        <w:pStyle w:val="Textonotapie"/>
      </w:pPr>
      <w:r>
        <w:rPr>
          <w:rStyle w:val="Refdenotaalpie"/>
        </w:rPr>
        <w:footnoteRef/>
      </w:r>
      <w:r>
        <w:t xml:space="preserve"> Consultable en </w:t>
      </w:r>
      <w:r w:rsidRPr="00042E01">
        <w:t>https://www.ipomex.org.mx/ipo3/lgt/indice/ECATEPEC/art_92_vii/3.web</w:t>
      </w:r>
    </w:p>
  </w:footnote>
  <w:footnote w:id="22">
    <w:p w14:paraId="3AACE12C" w14:textId="729A7402" w:rsidR="00A60693" w:rsidRDefault="00A60693">
      <w:pPr>
        <w:pStyle w:val="Textonotapie"/>
      </w:pPr>
      <w:r>
        <w:rPr>
          <w:rStyle w:val="Refdenotaalpie"/>
        </w:rPr>
        <w:footnoteRef/>
      </w:r>
      <w:r>
        <w:t xml:space="preserve"> Artículo 35, </w:t>
      </w:r>
      <w:r w:rsidRPr="00DB1857">
        <w:t>Reglamento Interno de la Administración Pública Municipal de Ecatepec de Morelos</w:t>
      </w:r>
    </w:p>
  </w:footnote>
  <w:footnote w:id="23">
    <w:p w14:paraId="72045CDF" w14:textId="5AED58FC" w:rsidR="00A60693" w:rsidRDefault="00A60693">
      <w:pPr>
        <w:pStyle w:val="Textonotapie"/>
      </w:pPr>
      <w:r>
        <w:rPr>
          <w:rStyle w:val="Refdenotaalpie"/>
        </w:rPr>
        <w:footnoteRef/>
      </w:r>
      <w:r>
        <w:t xml:space="preserve"> Artículo 42, </w:t>
      </w:r>
      <w:r w:rsidRPr="00DB1857">
        <w:t>Reglamento Interno de la Administración Pública Municipal de Ecatepec de Morelos</w:t>
      </w:r>
    </w:p>
  </w:footnote>
  <w:footnote w:id="24">
    <w:p w14:paraId="3E8335AE" w14:textId="59F7955A" w:rsidR="00A60693" w:rsidRDefault="00A60693">
      <w:pPr>
        <w:pStyle w:val="Textonotapie"/>
      </w:pPr>
      <w:r>
        <w:rPr>
          <w:rStyle w:val="Refdenotaalpie"/>
        </w:rPr>
        <w:footnoteRef/>
      </w:r>
      <w:r>
        <w:t xml:space="preserve"> Artículo 43, </w:t>
      </w:r>
      <w:r w:rsidRPr="00DB1857">
        <w:t>Reglamento Interno de la Administración Pública Municipal de Ecatepec de Morelos</w:t>
      </w:r>
    </w:p>
  </w:footnote>
  <w:footnote w:id="25">
    <w:p w14:paraId="1C0CA634" w14:textId="3B757D8E" w:rsidR="00A60693" w:rsidRDefault="00A60693">
      <w:pPr>
        <w:pStyle w:val="Textonotapie"/>
      </w:pPr>
      <w:r>
        <w:rPr>
          <w:rStyle w:val="Refdenotaalpie"/>
        </w:rPr>
        <w:footnoteRef/>
      </w:r>
      <w:r>
        <w:t xml:space="preserve"> Artículo 34, </w:t>
      </w:r>
      <w:r w:rsidRPr="00DB1857">
        <w:t>Reglamento Interno de la Administración Pública Municipal de Ecatepec de Morelos</w:t>
      </w:r>
    </w:p>
  </w:footnote>
  <w:footnote w:id="26">
    <w:p w14:paraId="3CA23958" w14:textId="50292BE0" w:rsidR="00A60693" w:rsidRDefault="00A60693">
      <w:pPr>
        <w:pStyle w:val="Textonotapie"/>
      </w:pPr>
      <w:r>
        <w:rPr>
          <w:rStyle w:val="Refdenotaalpie"/>
        </w:rPr>
        <w:footnoteRef/>
      </w:r>
      <w:r>
        <w:t xml:space="preserve"> Artículo 26, </w:t>
      </w:r>
      <w:r w:rsidRPr="006037F9">
        <w:t>Reglamento Interno de la Administración Pública Municipal de Ecatepec de Morelos</w:t>
      </w:r>
    </w:p>
  </w:footnote>
  <w:footnote w:id="27">
    <w:p w14:paraId="6C7438AD" w14:textId="3CB00390" w:rsidR="00A60693" w:rsidRDefault="00A60693">
      <w:pPr>
        <w:pStyle w:val="Textonotapie"/>
      </w:pPr>
      <w:r>
        <w:rPr>
          <w:rStyle w:val="Refdenotaalpie"/>
        </w:rPr>
        <w:footnoteRef/>
      </w:r>
      <w:r>
        <w:t xml:space="preserve"> Artículo 32, </w:t>
      </w:r>
      <w:r w:rsidRPr="006037F9">
        <w:t>Reglamento Interno de la Administración Pública Municipal de Ecatepec de Morelos</w:t>
      </w:r>
    </w:p>
  </w:footnote>
  <w:footnote w:id="28">
    <w:p w14:paraId="3EC2E48B" w14:textId="338F2DBC" w:rsidR="00A60693" w:rsidRDefault="00A60693" w:rsidP="00DA71FB">
      <w:pPr>
        <w:pStyle w:val="Textonotapie"/>
      </w:pPr>
      <w:r>
        <w:rPr>
          <w:rStyle w:val="Refdenotaalpie"/>
        </w:rPr>
        <w:footnoteRef/>
      </w:r>
      <w:r>
        <w:t xml:space="preserve"> Lo anterior es incluso un requerimiento del Sistema Interamericano de Protección a los Derechos Humanos</w:t>
      </w:r>
      <w:r w:rsidR="00B13414">
        <w:t>.</w:t>
      </w:r>
    </w:p>
  </w:footnote>
  <w:footnote w:id="29">
    <w:p w14:paraId="7C3E2F0F" w14:textId="77777777" w:rsidR="00A60693" w:rsidRDefault="00A60693" w:rsidP="00CA7A78">
      <w:pPr>
        <w:pStyle w:val="Textonotapie"/>
      </w:pPr>
      <w:r>
        <w:rPr>
          <w:rStyle w:val="Refdenotaalpie"/>
        </w:rPr>
        <w:footnoteRef/>
      </w:r>
      <w:r>
        <w:t xml:space="preserve"> Jurisprudencia 203143, Segundo Tribunal Colegiado del Sexto Circuito, Novena Época.</w:t>
      </w:r>
    </w:p>
  </w:footnote>
  <w:footnote w:id="30">
    <w:p w14:paraId="52B14156" w14:textId="77777777" w:rsidR="00A60693" w:rsidRDefault="00A60693" w:rsidP="009B1F7B">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285393B" w:rsidR="00A60693" w:rsidRDefault="00A60693"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A60693" w:rsidRDefault="00A60693">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A60693" w:rsidRPr="00025127" w14:paraId="07F2896E" w14:textId="77777777" w:rsidTr="00616DFE">
      <w:trPr>
        <w:trHeight w:val="138"/>
        <w:jc w:val="right"/>
      </w:trPr>
      <w:tc>
        <w:tcPr>
          <w:tcW w:w="3544" w:type="dxa"/>
          <w:vAlign w:val="center"/>
        </w:tcPr>
        <w:p w14:paraId="4A5B1974" w14:textId="3B2AB4E0" w:rsidR="00A60693" w:rsidRPr="00025127" w:rsidRDefault="00A6069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6" w:type="dxa"/>
          <w:vAlign w:val="center"/>
        </w:tcPr>
        <w:p w14:paraId="3A05B4B6" w14:textId="0315A249" w:rsidR="00A60693" w:rsidRPr="00025127" w:rsidRDefault="00A60693" w:rsidP="005F1362">
          <w:pPr>
            <w:pStyle w:val="Encabezado"/>
            <w:jc w:val="both"/>
            <w:rPr>
              <w:rFonts w:ascii="Palatino Linotype" w:hAnsi="Palatino Linotype"/>
              <w:b/>
              <w:sz w:val="22"/>
              <w:szCs w:val="22"/>
            </w:rPr>
          </w:pPr>
          <w:r>
            <w:rPr>
              <w:rFonts w:ascii="Palatino Linotype" w:hAnsi="Palatino Linotype"/>
              <w:b/>
              <w:sz w:val="22"/>
              <w:szCs w:val="22"/>
            </w:rPr>
            <w:t>04253</w:t>
          </w:r>
          <w:r w:rsidRPr="00025127">
            <w:rPr>
              <w:rFonts w:ascii="Palatino Linotype" w:hAnsi="Palatino Linotype"/>
              <w:b/>
              <w:sz w:val="22"/>
              <w:szCs w:val="22"/>
            </w:rPr>
            <w:t>/INFOEM/IP/RR/</w:t>
          </w:r>
          <w:r>
            <w:rPr>
              <w:rFonts w:ascii="Palatino Linotype" w:hAnsi="Palatino Linotype"/>
              <w:b/>
              <w:sz w:val="22"/>
              <w:szCs w:val="22"/>
            </w:rPr>
            <w:t>2021</w:t>
          </w:r>
        </w:p>
      </w:tc>
    </w:tr>
    <w:tr w:rsidR="00A60693" w:rsidRPr="00025127" w14:paraId="1B5D8690" w14:textId="77777777" w:rsidTr="00616DFE">
      <w:trPr>
        <w:trHeight w:val="233"/>
        <w:jc w:val="right"/>
      </w:trPr>
      <w:tc>
        <w:tcPr>
          <w:tcW w:w="3544" w:type="dxa"/>
          <w:vAlign w:val="center"/>
        </w:tcPr>
        <w:p w14:paraId="3903F2C6" w14:textId="22D569F8" w:rsidR="00A60693" w:rsidRPr="00025127" w:rsidRDefault="00A60693" w:rsidP="00616DFE">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6" w:type="dxa"/>
          <w:vAlign w:val="center"/>
        </w:tcPr>
        <w:p w14:paraId="03C799A2" w14:textId="0DF18B0A" w:rsidR="00A60693" w:rsidRPr="00025127" w:rsidRDefault="00A60693" w:rsidP="00616DFE">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Ecatepec de Morelos</w:t>
          </w:r>
        </w:p>
      </w:tc>
    </w:tr>
    <w:tr w:rsidR="00A60693" w:rsidRPr="00025127" w14:paraId="095EB01B" w14:textId="77777777" w:rsidTr="00616DFE">
      <w:trPr>
        <w:trHeight w:val="321"/>
        <w:jc w:val="right"/>
      </w:trPr>
      <w:tc>
        <w:tcPr>
          <w:tcW w:w="3544" w:type="dxa"/>
          <w:vAlign w:val="center"/>
        </w:tcPr>
        <w:p w14:paraId="6E000A51" w14:textId="05E1861A" w:rsidR="00A60693" w:rsidRPr="00025127" w:rsidRDefault="00A6069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6" w:type="dxa"/>
          <w:vAlign w:val="center"/>
        </w:tcPr>
        <w:p w14:paraId="07560085" w14:textId="64DC8836" w:rsidR="00A60693" w:rsidRPr="00025127" w:rsidRDefault="00A6069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A60693" w:rsidRDefault="00A60693"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A60693" w:rsidRDefault="009A2F26"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6069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60693" w:rsidRPr="00025127" w14:paraId="0A3256F2" w14:textId="77777777" w:rsidTr="006E6B65">
      <w:trPr>
        <w:trHeight w:val="138"/>
        <w:jc w:val="right"/>
      </w:trPr>
      <w:tc>
        <w:tcPr>
          <w:tcW w:w="3261" w:type="dxa"/>
          <w:vAlign w:val="center"/>
        </w:tcPr>
        <w:p w14:paraId="3D80769D" w14:textId="316F11F8" w:rsidR="00A60693" w:rsidRPr="00025127" w:rsidRDefault="00A6069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09BBE590" w:rsidR="00A60693" w:rsidRPr="00025127" w:rsidRDefault="00A60693" w:rsidP="005F1362">
          <w:pPr>
            <w:pStyle w:val="Encabezado"/>
            <w:rPr>
              <w:rFonts w:ascii="Palatino Linotype" w:hAnsi="Palatino Linotype"/>
              <w:b/>
              <w:sz w:val="22"/>
              <w:szCs w:val="22"/>
            </w:rPr>
          </w:pPr>
          <w:r>
            <w:rPr>
              <w:rFonts w:ascii="Palatino Linotype" w:hAnsi="Palatino Linotype"/>
              <w:b/>
              <w:sz w:val="22"/>
              <w:szCs w:val="22"/>
            </w:rPr>
            <w:t>04253</w:t>
          </w:r>
          <w:r w:rsidRPr="00025127">
            <w:rPr>
              <w:rFonts w:ascii="Palatino Linotype" w:hAnsi="Palatino Linotype"/>
              <w:b/>
              <w:sz w:val="22"/>
              <w:szCs w:val="22"/>
            </w:rPr>
            <w:t>/INFOEM/IP/RR/</w:t>
          </w:r>
          <w:r>
            <w:rPr>
              <w:rFonts w:ascii="Palatino Linotype" w:hAnsi="Palatino Linotype"/>
              <w:b/>
              <w:sz w:val="22"/>
              <w:szCs w:val="22"/>
            </w:rPr>
            <w:t>2021</w:t>
          </w:r>
        </w:p>
      </w:tc>
    </w:tr>
    <w:tr w:rsidR="00A60693" w:rsidRPr="00025127" w14:paraId="128C8B3C" w14:textId="77777777" w:rsidTr="006E6B65">
      <w:trPr>
        <w:trHeight w:val="233"/>
        <w:jc w:val="right"/>
      </w:trPr>
      <w:tc>
        <w:tcPr>
          <w:tcW w:w="3261" w:type="dxa"/>
          <w:vAlign w:val="center"/>
        </w:tcPr>
        <w:p w14:paraId="483E3371" w14:textId="66B1BC74" w:rsidR="00A60693" w:rsidRPr="00025127" w:rsidRDefault="00A6069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A332654" w:rsidR="00A60693" w:rsidRPr="00025127" w:rsidRDefault="00D7272B" w:rsidP="0058757A">
          <w:pPr>
            <w:pStyle w:val="Encabezado"/>
            <w:rPr>
              <w:rFonts w:ascii="Palatino Linotype" w:hAnsi="Palatino Linotype"/>
              <w:b/>
              <w:sz w:val="22"/>
              <w:szCs w:val="22"/>
            </w:rPr>
          </w:pP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p>
      </w:tc>
    </w:tr>
    <w:tr w:rsidR="00A60693" w:rsidRPr="00025127" w14:paraId="41BE0704" w14:textId="77777777" w:rsidTr="006E6B65">
      <w:trPr>
        <w:trHeight w:val="321"/>
        <w:jc w:val="right"/>
      </w:trPr>
      <w:tc>
        <w:tcPr>
          <w:tcW w:w="3261" w:type="dxa"/>
          <w:vAlign w:val="center"/>
        </w:tcPr>
        <w:p w14:paraId="34C64148" w14:textId="10C6C8A9" w:rsidR="00A60693" w:rsidRPr="00025127" w:rsidRDefault="00A6069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D0AFD81" w:rsidR="00A60693" w:rsidRPr="00025127" w:rsidRDefault="00A60693" w:rsidP="00616DFE">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Ecatepec de Morelos</w:t>
          </w:r>
        </w:p>
      </w:tc>
    </w:tr>
    <w:tr w:rsidR="00A60693" w:rsidRPr="00025127" w14:paraId="0C8B6193" w14:textId="77777777" w:rsidTr="006E6B65">
      <w:trPr>
        <w:trHeight w:val="321"/>
        <w:jc w:val="right"/>
      </w:trPr>
      <w:tc>
        <w:tcPr>
          <w:tcW w:w="3261" w:type="dxa"/>
          <w:vAlign w:val="center"/>
        </w:tcPr>
        <w:p w14:paraId="321FFAFF" w14:textId="0E8C2CE7" w:rsidR="00A60693" w:rsidRPr="00025127" w:rsidRDefault="00A6069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A60693" w:rsidRPr="00025127" w:rsidRDefault="00A6069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60693" w:rsidRDefault="00A6069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152CC2"/>
    <w:multiLevelType w:val="hybridMultilevel"/>
    <w:tmpl w:val="9BF6BB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D220F4"/>
    <w:multiLevelType w:val="hybridMultilevel"/>
    <w:tmpl w:val="B34C16F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B37588"/>
    <w:multiLevelType w:val="hybridMultilevel"/>
    <w:tmpl w:val="8550D0C4"/>
    <w:lvl w:ilvl="0" w:tplc="82A09F0A">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0F31E3"/>
    <w:multiLevelType w:val="hybridMultilevel"/>
    <w:tmpl w:val="2E70CF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6A4505"/>
    <w:multiLevelType w:val="hybridMultilevel"/>
    <w:tmpl w:val="3A6A4AE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03234C"/>
    <w:multiLevelType w:val="hybridMultilevel"/>
    <w:tmpl w:val="BAD056F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16FA6"/>
    <w:multiLevelType w:val="hybridMultilevel"/>
    <w:tmpl w:val="012A09A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4310132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C44989"/>
    <w:multiLevelType w:val="hybridMultilevel"/>
    <w:tmpl w:val="9DB22304"/>
    <w:lvl w:ilvl="0" w:tplc="4310132A">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76723F"/>
    <w:multiLevelType w:val="hybridMultilevel"/>
    <w:tmpl w:val="522CD338"/>
    <w:lvl w:ilvl="0" w:tplc="927AD3B4">
      <w:start w:val="1"/>
      <w:numFmt w:val="upperRoman"/>
      <w:lvlText w:val="%1."/>
      <w:lvlJc w:val="right"/>
      <w:pPr>
        <w:ind w:left="1260" w:hanging="180"/>
      </w:pPr>
      <w:rPr>
        <w:b/>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1" w15:restartNumberingAfterBreak="0">
    <w:nsid w:val="4E9E4D62"/>
    <w:multiLevelType w:val="hybridMultilevel"/>
    <w:tmpl w:val="DBFE2B9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524D25BE"/>
    <w:multiLevelType w:val="hybridMultilevel"/>
    <w:tmpl w:val="546E75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CE7203"/>
    <w:multiLevelType w:val="hybridMultilevel"/>
    <w:tmpl w:val="49E0764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4D756B"/>
    <w:multiLevelType w:val="hybridMultilevel"/>
    <w:tmpl w:val="D8A8339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9237E2"/>
    <w:multiLevelType w:val="hybridMultilevel"/>
    <w:tmpl w:val="331AF68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4955D5"/>
    <w:multiLevelType w:val="hybridMultilevel"/>
    <w:tmpl w:val="0D0CCBF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9D33F9"/>
    <w:multiLevelType w:val="hybridMultilevel"/>
    <w:tmpl w:val="7BBC617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82A09F0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9530F"/>
    <w:multiLevelType w:val="hybridMultilevel"/>
    <w:tmpl w:val="72D23D58"/>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1"/>
  </w:num>
  <w:num w:numId="5">
    <w:abstractNumId w:val="4"/>
  </w:num>
  <w:num w:numId="6">
    <w:abstractNumId w:val="17"/>
  </w:num>
  <w:num w:numId="7">
    <w:abstractNumId w:val="2"/>
  </w:num>
  <w:num w:numId="8">
    <w:abstractNumId w:val="15"/>
  </w:num>
  <w:num w:numId="9">
    <w:abstractNumId w:val="13"/>
  </w:num>
  <w:num w:numId="10">
    <w:abstractNumId w:val="19"/>
  </w:num>
  <w:num w:numId="11">
    <w:abstractNumId w:val="14"/>
  </w:num>
  <w:num w:numId="12">
    <w:abstractNumId w:val="7"/>
  </w:num>
  <w:num w:numId="13">
    <w:abstractNumId w:val="1"/>
  </w:num>
  <w:num w:numId="14">
    <w:abstractNumId w:val="16"/>
  </w:num>
  <w:num w:numId="15">
    <w:abstractNumId w:val="6"/>
  </w:num>
  <w:num w:numId="16">
    <w:abstractNumId w:val="18"/>
  </w:num>
  <w:num w:numId="17">
    <w:abstractNumId w:val="8"/>
  </w:num>
  <w:num w:numId="18">
    <w:abstractNumId w:val="10"/>
  </w:num>
  <w:num w:numId="19">
    <w:abstractNumId w:val="3"/>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673A"/>
    <w:rsid w:val="0004072A"/>
    <w:rsid w:val="0004193F"/>
    <w:rsid w:val="00042380"/>
    <w:rsid w:val="00042E01"/>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E31"/>
    <w:rsid w:val="0008542A"/>
    <w:rsid w:val="00090D6F"/>
    <w:rsid w:val="00091C2C"/>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4F9"/>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147E"/>
    <w:rsid w:val="00102D65"/>
    <w:rsid w:val="00103662"/>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4D5D"/>
    <w:rsid w:val="001A5150"/>
    <w:rsid w:val="001A58B9"/>
    <w:rsid w:val="001A5BCD"/>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4ABA"/>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938"/>
    <w:rsid w:val="00274ED2"/>
    <w:rsid w:val="002765F2"/>
    <w:rsid w:val="00277A35"/>
    <w:rsid w:val="00280994"/>
    <w:rsid w:val="00280E3F"/>
    <w:rsid w:val="00280F05"/>
    <w:rsid w:val="0028248C"/>
    <w:rsid w:val="00286DDB"/>
    <w:rsid w:val="002871EB"/>
    <w:rsid w:val="00293397"/>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5579"/>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0FFA"/>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5E78"/>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3B5F"/>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5FFB"/>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4725"/>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1D7F"/>
    <w:rsid w:val="00593476"/>
    <w:rsid w:val="005937BC"/>
    <w:rsid w:val="005944FE"/>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0EBA"/>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37F9"/>
    <w:rsid w:val="00604AC3"/>
    <w:rsid w:val="00605865"/>
    <w:rsid w:val="00611DC1"/>
    <w:rsid w:val="00613655"/>
    <w:rsid w:val="006144EE"/>
    <w:rsid w:val="00616DFE"/>
    <w:rsid w:val="00617125"/>
    <w:rsid w:val="00617813"/>
    <w:rsid w:val="006206CC"/>
    <w:rsid w:val="00622B06"/>
    <w:rsid w:val="00624425"/>
    <w:rsid w:val="006257C2"/>
    <w:rsid w:val="00627163"/>
    <w:rsid w:val="0063034E"/>
    <w:rsid w:val="00634476"/>
    <w:rsid w:val="00637475"/>
    <w:rsid w:val="0064393B"/>
    <w:rsid w:val="006439A1"/>
    <w:rsid w:val="00644375"/>
    <w:rsid w:val="00644A5C"/>
    <w:rsid w:val="00644E13"/>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A091D"/>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586D"/>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3730A"/>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DFD"/>
    <w:rsid w:val="007753FA"/>
    <w:rsid w:val="0077544D"/>
    <w:rsid w:val="00775D67"/>
    <w:rsid w:val="00776C78"/>
    <w:rsid w:val="0078079A"/>
    <w:rsid w:val="0078249C"/>
    <w:rsid w:val="00784AA0"/>
    <w:rsid w:val="00784F3D"/>
    <w:rsid w:val="00785321"/>
    <w:rsid w:val="00785E63"/>
    <w:rsid w:val="007860B9"/>
    <w:rsid w:val="00786DD5"/>
    <w:rsid w:val="00787184"/>
    <w:rsid w:val="007914E4"/>
    <w:rsid w:val="00791E58"/>
    <w:rsid w:val="00794C2B"/>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507A"/>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4E5"/>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8B1"/>
    <w:rsid w:val="008570EB"/>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28A"/>
    <w:rsid w:val="009563A5"/>
    <w:rsid w:val="00956868"/>
    <w:rsid w:val="009572EE"/>
    <w:rsid w:val="0095765F"/>
    <w:rsid w:val="009606E6"/>
    <w:rsid w:val="009609D2"/>
    <w:rsid w:val="00960CFA"/>
    <w:rsid w:val="0096234B"/>
    <w:rsid w:val="00962F40"/>
    <w:rsid w:val="00963968"/>
    <w:rsid w:val="009670E9"/>
    <w:rsid w:val="00970F70"/>
    <w:rsid w:val="00971056"/>
    <w:rsid w:val="009716FC"/>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90B"/>
    <w:rsid w:val="009A0E2A"/>
    <w:rsid w:val="009A28A2"/>
    <w:rsid w:val="009A2F26"/>
    <w:rsid w:val="009A5191"/>
    <w:rsid w:val="009A593A"/>
    <w:rsid w:val="009A5FBB"/>
    <w:rsid w:val="009B0F5C"/>
    <w:rsid w:val="009B11D6"/>
    <w:rsid w:val="009B159A"/>
    <w:rsid w:val="009B1F7B"/>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49C7"/>
    <w:rsid w:val="00A55D2B"/>
    <w:rsid w:val="00A572BC"/>
    <w:rsid w:val="00A57A82"/>
    <w:rsid w:val="00A60693"/>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1694"/>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C47"/>
    <w:rsid w:val="00AF0E7C"/>
    <w:rsid w:val="00AF1F04"/>
    <w:rsid w:val="00AF3B55"/>
    <w:rsid w:val="00AF3D59"/>
    <w:rsid w:val="00AF526E"/>
    <w:rsid w:val="00AF6794"/>
    <w:rsid w:val="00AF6F48"/>
    <w:rsid w:val="00AF717E"/>
    <w:rsid w:val="00B016F7"/>
    <w:rsid w:val="00B02BDD"/>
    <w:rsid w:val="00B04E10"/>
    <w:rsid w:val="00B055B9"/>
    <w:rsid w:val="00B13243"/>
    <w:rsid w:val="00B13414"/>
    <w:rsid w:val="00B13511"/>
    <w:rsid w:val="00B13D85"/>
    <w:rsid w:val="00B16296"/>
    <w:rsid w:val="00B16CC7"/>
    <w:rsid w:val="00B1786A"/>
    <w:rsid w:val="00B206D8"/>
    <w:rsid w:val="00B20C75"/>
    <w:rsid w:val="00B230E5"/>
    <w:rsid w:val="00B23E88"/>
    <w:rsid w:val="00B267A4"/>
    <w:rsid w:val="00B27897"/>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444"/>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5B91"/>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7A6"/>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6EFA"/>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309D"/>
    <w:rsid w:val="00C5401F"/>
    <w:rsid w:val="00C54922"/>
    <w:rsid w:val="00C55FE8"/>
    <w:rsid w:val="00C601EF"/>
    <w:rsid w:val="00C6220B"/>
    <w:rsid w:val="00C62658"/>
    <w:rsid w:val="00C634D6"/>
    <w:rsid w:val="00C63CF2"/>
    <w:rsid w:val="00C6440A"/>
    <w:rsid w:val="00C648FC"/>
    <w:rsid w:val="00C663BE"/>
    <w:rsid w:val="00C70AB7"/>
    <w:rsid w:val="00C71858"/>
    <w:rsid w:val="00C722C5"/>
    <w:rsid w:val="00C74346"/>
    <w:rsid w:val="00C744AE"/>
    <w:rsid w:val="00C74781"/>
    <w:rsid w:val="00C76B87"/>
    <w:rsid w:val="00C76E72"/>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7E6A"/>
    <w:rsid w:val="00CF030B"/>
    <w:rsid w:val="00CF23A2"/>
    <w:rsid w:val="00CF5D77"/>
    <w:rsid w:val="00CF6EB2"/>
    <w:rsid w:val="00D00269"/>
    <w:rsid w:val="00D02F72"/>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272B"/>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1FB"/>
    <w:rsid w:val="00DA7E2F"/>
    <w:rsid w:val="00DB0C0B"/>
    <w:rsid w:val="00DB1857"/>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796B"/>
    <w:rsid w:val="00DE0FC0"/>
    <w:rsid w:val="00DE190A"/>
    <w:rsid w:val="00DE1A76"/>
    <w:rsid w:val="00DE31D8"/>
    <w:rsid w:val="00DE3A30"/>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036"/>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6D1"/>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3D29"/>
    <w:rsid w:val="00EC6F0E"/>
    <w:rsid w:val="00EC7352"/>
    <w:rsid w:val="00ED0901"/>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2E50"/>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1351"/>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4B5"/>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customStyle="1" w:styleId="m483811427706604298gmail-msolistparagraph">
    <w:name w:val="m_483811427706604298gmail-msolistparagraph"/>
    <w:basedOn w:val="Normal"/>
    <w:rsid w:val="00DA71FB"/>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298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1999E-10CB-4FE8-83AB-9F41E966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15162</Words>
  <Characters>83394</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4</cp:revision>
  <cp:lastPrinted>2019-12-11T01:19:00Z</cp:lastPrinted>
  <dcterms:created xsi:type="dcterms:W3CDTF">2021-10-28T06:08:00Z</dcterms:created>
  <dcterms:modified xsi:type="dcterms:W3CDTF">2021-10-28T06:17:00Z</dcterms:modified>
</cp:coreProperties>
</file>