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6ED5B6D5"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C26025">
        <w:rPr>
          <w:rFonts w:ascii="Palatino Linotype" w:hAnsi="Palatino Linotype"/>
          <w:color w:val="000000" w:themeColor="text1"/>
        </w:rPr>
        <w:t>ocho (08</w:t>
      </w:r>
      <w:r w:rsidR="00561DCB">
        <w:rPr>
          <w:rFonts w:ascii="Palatino Linotype" w:hAnsi="Palatino Linotype"/>
          <w:color w:val="000000" w:themeColor="text1"/>
        </w:rPr>
        <w:t>) de diciembre</w:t>
      </w:r>
      <w:r w:rsidR="002D1AA7">
        <w:rPr>
          <w:rFonts w:ascii="Palatino Linotype" w:hAnsi="Palatino Linotype"/>
          <w:color w:val="000000" w:themeColor="text1"/>
        </w:rPr>
        <w:t xml:space="preserve"> de dos mil veintiuno</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40224D24"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561DCB">
        <w:rPr>
          <w:rFonts w:ascii="Palatino Linotype" w:hAnsi="Palatino Linotype"/>
          <w:b/>
          <w:bCs/>
          <w:color w:val="000000" w:themeColor="text1"/>
        </w:rPr>
        <w:t>04798/INFOEM/IP/RR/2021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78249C">
        <w:rPr>
          <w:rFonts w:ascii="Palatino Linotype" w:eastAsia="Times New Roman" w:hAnsi="Palatino Linotype" w:cs="Times New Roman"/>
          <w:color w:val="000000" w:themeColor="text1"/>
        </w:rPr>
        <w:t xml:space="preserve"> </w:t>
      </w:r>
      <w:proofErr w:type="spellStart"/>
      <w:r w:rsidR="005F78CF">
        <w:rPr>
          <w:rFonts w:ascii="Palatino Linotype" w:eastAsia="Times New Roman" w:hAnsi="Palatino Linotype" w:cs="Times New Roman"/>
          <w:i/>
          <w:iCs/>
          <w:color w:val="000000" w:themeColor="text1"/>
        </w:rPr>
        <w:t>Xxxxx</w:t>
      </w:r>
      <w:proofErr w:type="spellEnd"/>
      <w:r w:rsidR="005F78CF">
        <w:rPr>
          <w:rFonts w:ascii="Palatino Linotype" w:eastAsia="Times New Roman" w:hAnsi="Palatino Linotype" w:cs="Times New Roman"/>
          <w:i/>
          <w:iCs/>
          <w:color w:val="000000" w:themeColor="text1"/>
        </w:rPr>
        <w:t xml:space="preserve"> </w:t>
      </w:r>
      <w:proofErr w:type="spellStart"/>
      <w:r w:rsidR="005F78CF">
        <w:rPr>
          <w:rFonts w:ascii="Palatino Linotype" w:eastAsia="Times New Roman" w:hAnsi="Palatino Linotype" w:cs="Times New Roman"/>
          <w:i/>
          <w:iCs/>
          <w:color w:val="000000" w:themeColor="text1"/>
        </w:rPr>
        <w:t>Xxxxxxxx</w:t>
      </w:r>
      <w:proofErr w:type="spellEnd"/>
      <w:r w:rsidR="00E647FF">
        <w:rPr>
          <w:rFonts w:ascii="Palatino Linotype" w:eastAsia="Times New Roman" w:hAnsi="Palatino Linotype" w:cs="Times New Roman"/>
          <w:color w:val="000000" w:themeColor="text1"/>
        </w:rPr>
        <w:t>,</w:t>
      </w:r>
      <w:r w:rsidR="0078249C">
        <w:rPr>
          <w:rFonts w:ascii="Palatino Linotype" w:eastAsia="Times New Roman" w:hAnsi="Palatino Linotype" w:cs="Times New Roman"/>
          <w:color w:val="000000" w:themeColor="text1"/>
        </w:rPr>
        <w:t xml:space="preserve"> en </w:t>
      </w:r>
      <w:r w:rsidR="00E647FF">
        <w:rPr>
          <w:rFonts w:ascii="Palatino Linotype" w:eastAsia="Times New Roman" w:hAnsi="Palatino Linotype" w:cs="Times New Roman"/>
          <w:color w:val="000000" w:themeColor="text1"/>
        </w:rPr>
        <w:t>lo</w:t>
      </w:r>
      <w:r w:rsidR="0078249C">
        <w:rPr>
          <w:rFonts w:ascii="Palatino Linotype" w:eastAsia="Times New Roman" w:hAnsi="Palatino Linotype" w:cs="Times New Roman"/>
          <w:color w:val="000000" w:themeColor="text1"/>
        </w:rPr>
        <w:t xml:space="preserve"> </w:t>
      </w:r>
      <w:r w:rsidR="00E647FF">
        <w:rPr>
          <w:rFonts w:ascii="Palatino Linotype" w:eastAsia="Times New Roman" w:hAnsi="Palatino Linotype" w:cs="Times New Roman"/>
          <w:color w:val="000000" w:themeColor="text1"/>
        </w:rPr>
        <w:t>sucesivo, el</w:t>
      </w:r>
      <w:r w:rsidR="006B31E7"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CE1B8A">
        <w:rPr>
          <w:rFonts w:ascii="Palatino Linotype" w:eastAsia="Times New Roman" w:hAnsi="Palatino Linotype" w:cs="Arial"/>
          <w:color w:val="000000" w:themeColor="text1"/>
        </w:rPr>
        <w:t xml:space="preserve"> </w:t>
      </w:r>
      <w:r w:rsidR="00561DCB">
        <w:rPr>
          <w:rFonts w:ascii="Palatino Linotype" w:eastAsia="Times New Roman" w:hAnsi="Palatino Linotype" w:cs="Arial"/>
          <w:b/>
          <w:color w:val="000000" w:themeColor="text1"/>
        </w:rPr>
        <w:t>Ayuntamiento de Chimalhuacán</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9209288"/>
      <w:r w:rsidRPr="00A85CB7">
        <w:rPr>
          <w:b/>
          <w:color w:val="000000" w:themeColor="text1"/>
        </w:rPr>
        <w:t>ANTECEDENTES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42DF9108"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DF60C0">
        <w:rPr>
          <w:rFonts w:ascii="Palatino Linotype" w:eastAsia="Calibri" w:hAnsi="Palatino Linotype" w:cs="Arial"/>
          <w:color w:val="000000" w:themeColor="text1"/>
          <w:lang w:val="es-ES"/>
        </w:rPr>
        <w:t>veintitrés (23)</w:t>
      </w:r>
      <w:r w:rsidR="00804D8D">
        <w:rPr>
          <w:rFonts w:ascii="Palatino Linotype" w:eastAsia="Calibri" w:hAnsi="Palatino Linotype" w:cs="Arial"/>
          <w:color w:val="000000" w:themeColor="text1"/>
          <w:lang w:val="es-ES"/>
        </w:rPr>
        <w:t xml:space="preserve"> de agosto</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B31E90">
        <w:rPr>
          <w:rFonts w:ascii="Palatino Linotype" w:hAnsi="Palatino Linotype"/>
          <w:color w:val="000000" w:themeColor="text1"/>
        </w:rPr>
        <w:t>el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F60C0">
        <w:rPr>
          <w:rFonts w:ascii="Palatino Linotype" w:hAnsi="Palatino Linotype"/>
          <w:bCs/>
          <w:color w:val="000000" w:themeColor="text1"/>
        </w:rPr>
        <w:t>del</w:t>
      </w:r>
      <w:r w:rsidR="00DE4F75">
        <w:rPr>
          <w:rFonts w:ascii="Palatino Linotype" w:hAnsi="Palatino Linotype"/>
          <w:bCs/>
          <w:color w:val="000000" w:themeColor="text1"/>
        </w:rPr>
        <w:t xml:space="preserve">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804D8D">
        <w:rPr>
          <w:rFonts w:ascii="Palatino Linotype" w:eastAsia="Calibri" w:hAnsi="Palatino Linotype" w:cs="Arial"/>
          <w:bCs/>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561DCB">
        <w:rPr>
          <w:rFonts w:ascii="Palatino Linotype" w:hAnsi="Palatino Linotype"/>
          <w:b/>
          <w:bCs/>
          <w:color w:val="000000" w:themeColor="text1"/>
        </w:rPr>
        <w:t>00183/CHIMALHU/IP/2021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9DA293E"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DF60C0" w:rsidRPr="00DF60C0">
        <w:rPr>
          <w:rFonts w:ascii="Palatino Linotype" w:hAnsi="Palatino Linotype"/>
          <w:i/>
          <w:iCs/>
          <w:color w:val="000000" w:themeColor="text1"/>
          <w:sz w:val="22"/>
          <w:szCs w:val="22"/>
        </w:rPr>
        <w:t>Solicito que me sea permitida la consulta directa de los planos catastrales y manzaneros correspondientes a la Villa San Agustín Atlapulco en el Municipio de Chimalhuacán</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0A54DE2F"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DF60C0">
        <w:rPr>
          <w:rFonts w:ascii="Palatino Linotype" w:eastAsia="Times New Roman" w:hAnsi="Palatino Linotype" w:cs="Arial"/>
          <w:b/>
          <w:i/>
          <w:iCs/>
          <w:color w:val="000000" w:themeColor="text1"/>
          <w:lang w:val="es-ES"/>
        </w:rPr>
        <w:t>Consulta Directa (sin costo)</w:t>
      </w:r>
      <w:r w:rsidR="00804D8D">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60AE1BB7"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053A30">
        <w:rPr>
          <w:rFonts w:ascii="Palatino Linotype" w:eastAsia="MS Mincho" w:hAnsi="Palatino Linotype" w:cs="Times New Roman"/>
          <w:color w:val="000000" w:themeColor="text1"/>
        </w:rPr>
        <w:t>trece (13</w:t>
      </w:r>
      <w:r w:rsidR="00804D8D">
        <w:rPr>
          <w:rFonts w:ascii="Palatino Linotype" w:eastAsia="MS Mincho" w:hAnsi="Palatino Linotype" w:cs="Times New Roman"/>
          <w:color w:val="000000" w:themeColor="text1"/>
        </w:rPr>
        <w:t>) de septiembre</w:t>
      </w:r>
      <w:r w:rsidR="00762697" w:rsidRPr="00022D89">
        <w:rPr>
          <w:rFonts w:ascii="Palatino Linotype" w:eastAsia="MS Mincho" w:hAnsi="Palatino Linotype" w:cs="Times New Roman"/>
          <w:color w:val="000000" w:themeColor="text1"/>
        </w:rPr>
        <w:t xml:space="preserve"> de dos mil veintiuno,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004A99B8" w14:textId="77777777" w:rsidR="00053A30" w:rsidRPr="00053A30" w:rsidRDefault="005F1362" w:rsidP="00053A3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053A30" w:rsidRPr="00053A30">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2A3F77" w14:textId="77777777" w:rsidR="00053A30" w:rsidRDefault="00053A30" w:rsidP="00053A30">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48F7E8A8" w14:textId="77777777" w:rsidR="00053A30" w:rsidRPr="00053A30" w:rsidRDefault="00053A30" w:rsidP="00053A3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53A30">
        <w:rPr>
          <w:rFonts w:ascii="Palatino Linotype" w:hAnsi="Palatino Linotype"/>
          <w:i/>
          <w:noProof/>
          <w:color w:val="000000" w:themeColor="text1"/>
          <w:sz w:val="22"/>
          <w:szCs w:val="22"/>
          <w:lang w:val="es-MX" w:eastAsia="es-MX"/>
        </w:rPr>
        <w:t>000183/CHIMALHU/IP/2021 Respuesta Atendiendo a su petición, le informo que: se debe acreditar el interés Jurídico o legítimo, para expedir certificaciones o constancias de los documentos y datos que obren en sus archivos o en el padrón catastral como lo prevé el artículo 173 del Código Financiero del Estado de México y Municipios , que refiere “……… Artículo 173.- El IGECEM y la autoridad catastral municipal, a costa del interesado, previa solicitud por escrito o por vía electrónica en los términos que precisa la Ley para el Uso de Medios Electrónicos y su Reglamento, en la que acredite su interés jurídico o legítimo, podrán expedir certificaciones o constancias de los documentos y datos que obren en sus archivos o en el padrón catastral, en la materia de su competencia ……… “Así como lo previsto en el numeral ACGC007 del Manual Catastral del Estado de México que refiere: ACGC007.- Para hacer constar el interés jurídico o legítimo, el solicitante deberá presentar ante la autoridad catastral, los siguientes documentos: • Documento que acredite la propiedad o posesión del inmueble, el cual puede ser cualesquiera de entre los siguientes: o Escritura Pública. o Contrato privado de compra-venta, cesión o donación. o Sentencia de la autoridad judicial que haya causado ejecutoria. o Manifestación de adquisición de inmuebles u otras operaciones traslativas de dominio de inmuebles, autorizada por la autoridad fiscal respectiva y el recibo de pago correspondiente. o Acta de entrega cuando se trate de inmuebles de interés social o Cédula de contratación que emita la dependencia oficial autorizada para la regularización de la tenencia de la tierra. o Título, certificado o cesión de derechos agrarios, parcelarios o comunes, así como sentencia emitida por el tribunal agrario. o In matriculación administrativa o judicial. • Carta poder en la que el propietario o poseedor del inmueble de que se trate, autoriza a otra persona para realizar en su nombre, el trámite de solicitud del producto o servicio requerido, en su caso. • Documento notarial mediante el que el propietario o poseedor del inmueble, otorga la representación legal a otra persona para la realización del trámite de solicitud del producto o servicio requerido, en su caso. Por lo que para atender su solicitud debe acreditar el interés jurídico o legítimo, no agrega ningún documento con el que acredite el interés jurídico o legítimo, lo que impide la presentación del servicio que solicita.</w:t>
      </w:r>
    </w:p>
    <w:p w14:paraId="7FD18554" w14:textId="77777777" w:rsidR="00053A30" w:rsidRDefault="00053A30" w:rsidP="00053A30">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69A55371" w14:textId="77777777" w:rsidR="00053A30" w:rsidRPr="00053A30" w:rsidRDefault="00053A30" w:rsidP="00053A3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053A30">
        <w:rPr>
          <w:rFonts w:ascii="Palatino Linotype" w:hAnsi="Palatino Linotype"/>
          <w:i/>
          <w:noProof/>
          <w:color w:val="000000" w:themeColor="text1"/>
          <w:sz w:val="22"/>
          <w:szCs w:val="22"/>
          <w:lang w:val="es-MX" w:eastAsia="es-MX"/>
        </w:rPr>
        <w:lastRenderedPageBreak/>
        <w:t>ATENTAMENTE</w:t>
      </w:r>
    </w:p>
    <w:p w14:paraId="35A36DE0" w14:textId="067EF92F" w:rsidR="0039142B" w:rsidRPr="009A593A" w:rsidRDefault="00053A30" w:rsidP="00053A30">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053A30">
        <w:rPr>
          <w:rFonts w:ascii="Palatino Linotype" w:hAnsi="Palatino Linotype"/>
          <w:i/>
          <w:noProof/>
          <w:color w:val="000000" w:themeColor="text1"/>
          <w:sz w:val="22"/>
          <w:szCs w:val="22"/>
          <w:lang w:val="es-MX" w:eastAsia="es-MX"/>
        </w:rPr>
        <w:t>LIC. CELSO ORTIZ TORRES</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5B4A1D97"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al acuse de respuesta,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B04470">
        <w:rPr>
          <w:rFonts w:ascii="Palatino Linotype" w:hAnsi="Palatino Linotype"/>
          <w:color w:val="000000" w:themeColor="text1"/>
          <w:szCs w:val="22"/>
        </w:rPr>
        <w:t>el</w:t>
      </w:r>
      <w:r>
        <w:rPr>
          <w:rFonts w:ascii="Palatino Linotype" w:hAnsi="Palatino Linotype"/>
          <w:color w:val="000000" w:themeColor="text1"/>
          <w:szCs w:val="22"/>
        </w:rPr>
        <w:t xml:space="preserve"> documento que se describe a continuación:</w:t>
      </w:r>
    </w:p>
    <w:p w14:paraId="2C96932A" w14:textId="1B6EBA47" w:rsidR="00563FC3" w:rsidRDefault="006B31E7" w:rsidP="007814CC">
      <w:pPr>
        <w:pStyle w:val="Prrafodelista"/>
        <w:numPr>
          <w:ilvl w:val="0"/>
          <w:numId w:val="8"/>
        </w:numPr>
        <w:spacing w:line="360" w:lineRule="auto"/>
        <w:contextualSpacing w:val="0"/>
        <w:jc w:val="both"/>
        <w:rPr>
          <w:rFonts w:ascii="Palatino Linotype" w:hAnsi="Palatino Linotype" w:cs="Arial"/>
        </w:rPr>
      </w:pPr>
      <w:r>
        <w:rPr>
          <w:rFonts w:ascii="Palatino Linotype" w:hAnsi="Palatino Linotype" w:cs="Arial"/>
          <w:b/>
          <w:i/>
        </w:rPr>
        <w:t>“</w:t>
      </w:r>
      <w:r w:rsidR="00053A30">
        <w:rPr>
          <w:rFonts w:ascii="Palatino Linotype" w:hAnsi="Palatino Linotype" w:cs="Arial"/>
          <w:b/>
          <w:i/>
        </w:rPr>
        <w:t>SAIMEX 00183-CHIMALHU-IP-2021.docx</w:t>
      </w:r>
      <w:r>
        <w:rPr>
          <w:rFonts w:ascii="Palatino Linotype" w:hAnsi="Palatino Linotype" w:cs="Arial"/>
          <w:b/>
          <w:i/>
        </w:rPr>
        <w:t>”</w:t>
      </w:r>
      <w:r>
        <w:rPr>
          <w:rFonts w:ascii="Palatino Linotype" w:hAnsi="Palatino Linotype" w:cs="Arial"/>
        </w:rPr>
        <w:t>: Documento</w:t>
      </w:r>
      <w:r w:rsidR="008C13E8">
        <w:rPr>
          <w:rFonts w:ascii="Palatino Linotype" w:hAnsi="Palatino Linotype" w:cs="Arial"/>
        </w:rPr>
        <w:t xml:space="preserve"> de una foja en el que se transcribe un fragmento de lo establecido por el artículo 173 del Código Financiero del Estado de México y Municipios, y el registro ACGC007 del Manual Catastral del Estado de México; asimismo, requiere al entonces </w:t>
      </w:r>
      <w:r w:rsidR="008C13E8">
        <w:rPr>
          <w:rFonts w:ascii="Palatino Linotype" w:hAnsi="Palatino Linotype" w:cs="Arial"/>
          <w:b/>
        </w:rPr>
        <w:t>SOLICITANTE</w:t>
      </w:r>
      <w:r w:rsidR="008C13E8">
        <w:rPr>
          <w:rFonts w:ascii="Palatino Linotype" w:hAnsi="Palatino Linotype" w:cs="Arial"/>
        </w:rPr>
        <w:t xml:space="preserve"> para acreditar su interés jurídico o legítimo.</w:t>
      </w:r>
    </w:p>
    <w:p w14:paraId="11423777" w14:textId="77777777" w:rsidR="00F96460" w:rsidRPr="00F96460" w:rsidRDefault="00F96460" w:rsidP="00F96460">
      <w:pPr>
        <w:spacing w:line="360" w:lineRule="auto"/>
        <w:jc w:val="both"/>
        <w:rPr>
          <w:rFonts w:ascii="Palatino Linotype" w:hAnsi="Palatino Linotype" w:cs="Arial"/>
        </w:rPr>
      </w:pPr>
    </w:p>
    <w:p w14:paraId="272B63B3" w14:textId="5403A20D"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8C13E8">
        <w:rPr>
          <w:rFonts w:ascii="Palatino Linotype" w:eastAsia="Times New Roman" w:hAnsi="Palatino Linotype" w:cs="Arial"/>
          <w:color w:val="000000" w:themeColor="text1"/>
          <w:lang w:val="es-ES"/>
        </w:rPr>
        <w:t>veintitrés (23</w:t>
      </w:r>
      <w:r w:rsidR="00B04470">
        <w:rPr>
          <w:rFonts w:ascii="Palatino Linotype" w:eastAsia="Times New Roman" w:hAnsi="Palatino Linotype" w:cs="Arial"/>
          <w:color w:val="000000" w:themeColor="text1"/>
          <w:lang w:val="es-ES"/>
        </w:rPr>
        <w:t>) de septiembre</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561DCB">
        <w:rPr>
          <w:rFonts w:ascii="Palatino Linotype" w:eastAsia="Calibri" w:hAnsi="Palatino Linotype" w:cs="Arial"/>
          <w:b/>
          <w:color w:val="000000" w:themeColor="text1"/>
          <w:lang w:val="es-ES"/>
        </w:rPr>
        <w:t>04798/INFOEM/IP/RR/2021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E412071" w:rsidR="00E34622" w:rsidRPr="00A85CB7" w:rsidRDefault="00E34622" w:rsidP="008C13E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8C13E8" w:rsidRPr="008C13E8">
        <w:rPr>
          <w:rFonts w:ascii="Palatino Linotype" w:hAnsi="Palatino Linotype"/>
          <w:i/>
          <w:iCs/>
          <w:color w:val="000000"/>
        </w:rPr>
        <w:t>El oficio 000183/CHIMALHU/IP/2021</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36B109A0" w:rsidR="00E34622" w:rsidRPr="00A85CB7" w:rsidRDefault="00E34622" w:rsidP="008C13E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8C13E8" w:rsidRPr="008C13E8">
        <w:rPr>
          <w:rFonts w:ascii="Palatino Linotype" w:hAnsi="Palatino Linotype"/>
          <w:i/>
          <w:iCs/>
          <w:color w:val="000000"/>
        </w:rPr>
        <w:t xml:space="preserve">El sujeto obligado violenta mi derecho humano de acceso a la información, ya que sin fundar ni motivar su actuación, me niega la consulta directa de los planos catastrales y manzaneros correspondientes a la Villa San Agustín Atlapulco en el Municipio de Chimalhuacán, argumentando indebidamente, que no me puede permitir dicha consulta directa, hasta que cumpla con los requisitos necesarios para solicitar la certificación o constancia de los documentos y datos que obren en sus archivos o en el padrón catastral. En este contexto cabe precisar, que en mi solicitud de acceso a la </w:t>
      </w:r>
      <w:r w:rsidR="008C13E8" w:rsidRPr="008C13E8">
        <w:rPr>
          <w:rFonts w:ascii="Palatino Linotype" w:hAnsi="Palatino Linotype"/>
          <w:i/>
          <w:iCs/>
          <w:color w:val="000000"/>
        </w:rPr>
        <w:lastRenderedPageBreak/>
        <w:t>información no solicite ni la certificación, ni la constancia que obre en algún archivo o el padrón catastral, simplemente solicite una consulta directa a documentos que obran en los archivos del sujeto obligado.</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589E85B2" w14:textId="567CD3DC" w:rsidR="00B04470" w:rsidRDefault="00B04470"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Adjunto </w:t>
      </w:r>
      <w:r w:rsidR="007C165C">
        <w:rPr>
          <w:rFonts w:ascii="Palatino Linotype" w:eastAsia="Calibri" w:hAnsi="Palatino Linotype" w:cs="Arial"/>
          <w:color w:val="000000" w:themeColor="text1"/>
          <w:lang w:val="es-ES"/>
        </w:rPr>
        <w:t xml:space="preserve">al recurso de revisión, el ahora </w:t>
      </w:r>
      <w:r w:rsidR="007C165C">
        <w:rPr>
          <w:rFonts w:ascii="Palatino Linotype" w:eastAsia="Calibri" w:hAnsi="Palatino Linotype" w:cs="Arial"/>
          <w:b/>
          <w:color w:val="000000" w:themeColor="text1"/>
          <w:lang w:val="es-ES"/>
        </w:rPr>
        <w:t>RECURRENTE</w:t>
      </w:r>
      <w:r w:rsidR="007C165C">
        <w:rPr>
          <w:rFonts w:ascii="Palatino Linotype" w:eastAsia="Calibri" w:hAnsi="Palatino Linotype" w:cs="Arial"/>
          <w:color w:val="000000" w:themeColor="text1"/>
          <w:lang w:val="es-ES"/>
        </w:rPr>
        <w:t xml:space="preserve"> presentó el archivo denominado </w:t>
      </w:r>
      <w:r w:rsidR="007C165C">
        <w:rPr>
          <w:rFonts w:ascii="Palatino Linotype" w:eastAsia="Calibri" w:hAnsi="Palatino Linotype" w:cs="Arial"/>
          <w:b/>
          <w:i/>
          <w:color w:val="000000" w:themeColor="text1"/>
          <w:lang w:val="es-ES"/>
        </w:rPr>
        <w:t>“</w:t>
      </w:r>
      <w:r w:rsidR="008C13E8">
        <w:rPr>
          <w:rFonts w:ascii="Palatino Linotype" w:eastAsia="Calibri" w:hAnsi="Palatino Linotype" w:cs="Arial"/>
          <w:b/>
          <w:i/>
          <w:color w:val="000000" w:themeColor="text1"/>
          <w:lang w:val="es-ES"/>
        </w:rPr>
        <w:t>SAIMEX 00183-CHIMALHU-IP-2021.docx</w:t>
      </w:r>
      <w:r w:rsidR="007C165C">
        <w:rPr>
          <w:rFonts w:ascii="Palatino Linotype" w:eastAsia="Calibri" w:hAnsi="Palatino Linotype" w:cs="Arial"/>
          <w:b/>
          <w:i/>
          <w:color w:val="000000" w:themeColor="text1"/>
          <w:lang w:val="es-ES"/>
        </w:rPr>
        <w:t>”</w:t>
      </w:r>
      <w:r w:rsidR="007C165C">
        <w:rPr>
          <w:rFonts w:ascii="Palatino Linotype" w:eastAsia="Calibri" w:hAnsi="Palatino Linotype" w:cs="Arial"/>
          <w:color w:val="000000" w:themeColor="text1"/>
          <w:lang w:val="es-ES"/>
        </w:rPr>
        <w:t xml:space="preserve">, </w:t>
      </w:r>
      <w:r w:rsidR="008C13E8">
        <w:rPr>
          <w:rFonts w:ascii="Palatino Linotype" w:eastAsia="Calibri" w:hAnsi="Palatino Linotype" w:cs="Arial"/>
          <w:color w:val="000000" w:themeColor="text1"/>
          <w:lang w:val="es-ES"/>
        </w:rPr>
        <w:t>consistente en el mismo documento que fuera</w:t>
      </w:r>
      <w:r w:rsidR="007C165C">
        <w:rPr>
          <w:rFonts w:ascii="Palatino Linotype" w:eastAsia="Calibri" w:hAnsi="Palatino Linotype" w:cs="Arial"/>
          <w:color w:val="000000" w:themeColor="text1"/>
          <w:lang w:val="es-ES"/>
        </w:rPr>
        <w:t xml:space="preserve"> entregado por el </w:t>
      </w:r>
      <w:r w:rsidR="007C165C">
        <w:rPr>
          <w:rFonts w:ascii="Palatino Linotype" w:eastAsia="Calibri" w:hAnsi="Palatino Linotype" w:cs="Arial"/>
          <w:b/>
          <w:color w:val="000000" w:themeColor="text1"/>
          <w:lang w:val="es-ES"/>
        </w:rPr>
        <w:t>SUJETO OBLIGADO</w:t>
      </w:r>
      <w:r w:rsidR="007C165C">
        <w:rPr>
          <w:rFonts w:ascii="Palatino Linotype" w:eastAsia="Calibri" w:hAnsi="Palatino Linotype" w:cs="Arial"/>
          <w:color w:val="000000" w:themeColor="text1"/>
          <w:lang w:val="es-ES"/>
        </w:rPr>
        <w:t xml:space="preserve"> en respuesta a la solicitud primigenia.</w:t>
      </w:r>
    </w:p>
    <w:p w14:paraId="302F28B5" w14:textId="77777777" w:rsidR="00B04470" w:rsidRPr="00B04470" w:rsidRDefault="00B04470" w:rsidP="00B0447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4071EB65"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t xml:space="preserve">se turnó </w:t>
      </w:r>
      <w:r w:rsidR="0096234B">
        <w:rPr>
          <w:rFonts w:ascii="Palatino Linotype" w:eastAsia="Times New Roman" w:hAnsi="Palatino Linotype" w:cs="Arial"/>
          <w:bCs/>
          <w:color w:val="000000" w:themeColor="text1"/>
          <w:lang w:val="es-ES"/>
        </w:rPr>
        <w:t xml:space="preserve">a la </w:t>
      </w:r>
      <w:r w:rsidR="0096234B" w:rsidRPr="006B784D">
        <w:rPr>
          <w:rFonts w:ascii="Palatino Linotype" w:eastAsia="Times New Roman" w:hAnsi="Palatino Linotype" w:cs="Arial"/>
          <w:b/>
          <w:bCs/>
          <w:color w:val="000000" w:themeColor="text1"/>
          <w:lang w:val="es-ES"/>
        </w:rPr>
        <w:t xml:space="preserve">Comisionada </w:t>
      </w:r>
      <w:r w:rsidR="007C165C" w:rsidRPr="006B784D">
        <w:rPr>
          <w:rFonts w:ascii="Palatino Linotype" w:eastAsia="Times New Roman" w:hAnsi="Palatino Linotype" w:cs="Arial"/>
          <w:b/>
          <w:bCs/>
          <w:color w:val="000000" w:themeColor="text1"/>
          <w:lang w:val="es-ES"/>
        </w:rPr>
        <w:t>María del Rosario Mejía Ayala</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637D509"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La</w:t>
      </w:r>
      <w:r w:rsidR="00E647FF">
        <w:rPr>
          <w:rFonts w:ascii="Palatino Linotype" w:eastAsia="Times New Roman" w:hAnsi="Palatino Linotype" w:cs="Arial"/>
          <w:color w:val="000000" w:themeColor="text1"/>
          <w:lang w:val="es-ES"/>
        </w:rPr>
        <w:t xml:space="preserve"> </w:t>
      </w:r>
      <w:r w:rsidR="0004686A" w:rsidRPr="00A85CB7">
        <w:rPr>
          <w:rFonts w:ascii="Palatino Linotype" w:eastAsia="Calibri" w:hAnsi="Palatino Linotype" w:cs="Arial"/>
          <w:color w:val="000000" w:themeColor="text1"/>
          <w:lang w:val="es-ES"/>
        </w:rPr>
        <w:t>Comisionad</w:t>
      </w:r>
      <w:r>
        <w:rPr>
          <w:rFonts w:ascii="Palatino Linotype" w:eastAsia="Calibri" w:hAnsi="Palatino Linotype" w:cs="Arial"/>
          <w:color w:val="000000" w:themeColor="text1"/>
          <w:lang w:val="es-ES"/>
        </w:rPr>
        <w:t>a</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8C13E8">
        <w:rPr>
          <w:rFonts w:ascii="Palatino Linotype" w:eastAsia="Calibri" w:hAnsi="Palatino Linotype" w:cs="Arial"/>
          <w:color w:val="000000" w:themeColor="text1"/>
          <w:lang w:val="es-ES"/>
        </w:rPr>
        <w:t>veintiocho (28</w:t>
      </w:r>
      <w:r w:rsidR="007C165C">
        <w:rPr>
          <w:rFonts w:ascii="Palatino Linotype" w:eastAsia="Calibri" w:hAnsi="Palatino Linotype" w:cs="Arial"/>
          <w:color w:val="000000" w:themeColor="text1"/>
          <w:lang w:val="es-ES"/>
        </w:rPr>
        <w:t>) de septiembre</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455C196B" w14:textId="77777777" w:rsidR="003F0DDA"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4764A20" w14:textId="50C538F5" w:rsidR="0096234B" w:rsidRPr="007C165C" w:rsidRDefault="007C165C" w:rsidP="007C165C">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 xml:space="preserve">De </w:t>
      </w:r>
      <w:r w:rsidRPr="0014704C">
        <w:rPr>
          <w:rFonts w:ascii="Palatino Linotype" w:hAnsi="Palatino Linotype"/>
          <w:color w:val="000000"/>
          <w:lang w:val="es-ES"/>
        </w:rPr>
        <w:t xml:space="preserve">las </w:t>
      </w:r>
      <w:r w:rsidRPr="0014704C">
        <w:rPr>
          <w:rFonts w:ascii="Palatino Linotype" w:hAnsi="Palatino Linotype"/>
          <w:color w:val="000000"/>
          <w:lang w:val="es-ES_tradnl"/>
        </w:rPr>
        <w:t xml:space="preserve">constancias que obran en el expediente digital del recurso de revisión que hoy se resuelve, se aprecia que el </w:t>
      </w:r>
      <w:r w:rsidRPr="0014704C">
        <w:rPr>
          <w:rFonts w:ascii="Palatino Linotype" w:hAnsi="Palatino Linotype"/>
          <w:b/>
          <w:color w:val="000000"/>
          <w:lang w:val="es-ES_tradnl"/>
        </w:rPr>
        <w:t xml:space="preserve">SUJETO OBLIGADO </w:t>
      </w:r>
      <w:r w:rsidRPr="0014704C">
        <w:rPr>
          <w:rFonts w:ascii="Palatino Linotype" w:hAnsi="Palatino Linotype"/>
          <w:color w:val="000000"/>
          <w:lang w:val="es-ES_tradnl"/>
        </w:rPr>
        <w:t xml:space="preserve">no rindió </w:t>
      </w:r>
      <w:r>
        <w:rPr>
          <w:rFonts w:ascii="Palatino Linotype" w:hAnsi="Palatino Linotype"/>
          <w:color w:val="000000"/>
          <w:lang w:val="es-ES_tradnl"/>
        </w:rPr>
        <w:t xml:space="preserve">su </w:t>
      </w:r>
      <w:r w:rsidRPr="0014704C">
        <w:rPr>
          <w:rFonts w:ascii="Palatino Linotype" w:hAnsi="Palatino Linotype"/>
          <w:color w:val="000000"/>
          <w:lang w:val="es-ES_tradnl"/>
        </w:rPr>
        <w:t xml:space="preserve">informe justificado para manifestar lo que a su derecho conviniera; por su parte, </w:t>
      </w:r>
      <w:r>
        <w:rPr>
          <w:rFonts w:ascii="Palatino Linotype" w:hAnsi="Palatino Linotype"/>
          <w:color w:val="000000"/>
          <w:lang w:val="es-ES_tradnl"/>
        </w:rPr>
        <w:t>el</w:t>
      </w:r>
      <w:r w:rsidRPr="0014704C">
        <w:rPr>
          <w:rFonts w:ascii="Palatino Linotype" w:hAnsi="Palatino Linotype"/>
          <w:color w:val="000000"/>
          <w:lang w:val="es-ES_tradnl"/>
        </w:rPr>
        <w:t xml:space="preserve"> </w:t>
      </w:r>
      <w:r w:rsidRPr="0014704C">
        <w:rPr>
          <w:rFonts w:ascii="Palatino Linotype" w:hAnsi="Palatino Linotype"/>
          <w:b/>
          <w:color w:val="000000"/>
          <w:lang w:val="es-ES_tradnl"/>
        </w:rPr>
        <w:t xml:space="preserve">RECURRENTE </w:t>
      </w:r>
      <w:r w:rsidRPr="0014704C">
        <w:rPr>
          <w:rFonts w:ascii="Palatino Linotype" w:hAnsi="Palatino Linotype"/>
          <w:color w:val="000000"/>
          <w:lang w:val="es-ES_tradnl"/>
        </w:rPr>
        <w:t>no presentó alegatos ni ofreció medios de prueba. Se adjunta</w:t>
      </w:r>
      <w:r>
        <w:rPr>
          <w:rFonts w:ascii="Palatino Linotype" w:hAnsi="Palatino Linotype"/>
          <w:color w:val="000000"/>
          <w:lang w:val="es-ES_tradnl"/>
        </w:rPr>
        <w:t xml:space="preserve"> </w:t>
      </w:r>
      <w:r w:rsidRPr="0014704C">
        <w:rPr>
          <w:rFonts w:ascii="Palatino Linotype" w:hAnsi="Palatino Linotype"/>
          <w:color w:val="000000"/>
          <w:lang w:val="es-ES_tradnl"/>
        </w:rPr>
        <w:t xml:space="preserve">capturas del apartado de </w:t>
      </w:r>
      <w:r w:rsidRPr="0014704C">
        <w:rPr>
          <w:rFonts w:ascii="Palatino Linotype" w:hAnsi="Palatino Linotype"/>
          <w:i/>
          <w:iCs/>
          <w:color w:val="000000"/>
          <w:lang w:val="es-ES_tradnl"/>
        </w:rPr>
        <w:t>Manifestaciones</w:t>
      </w:r>
      <w:r w:rsidRPr="0014704C">
        <w:rPr>
          <w:rFonts w:ascii="Palatino Linotype" w:hAnsi="Palatino Linotype"/>
          <w:color w:val="000000"/>
          <w:lang w:val="es-ES_tradnl"/>
        </w:rPr>
        <w:t xml:space="preserve"> del </w:t>
      </w:r>
      <w:r w:rsidRPr="0014704C">
        <w:rPr>
          <w:rFonts w:ascii="Palatino Linotype" w:hAnsi="Palatino Linotype"/>
          <w:i/>
          <w:iCs/>
          <w:color w:val="000000"/>
          <w:lang w:val="es-ES_tradnl"/>
        </w:rPr>
        <w:t>SAIMEX</w:t>
      </w:r>
      <w:r w:rsidRPr="0014704C">
        <w:rPr>
          <w:rFonts w:ascii="Palatino Linotype" w:hAnsi="Palatino Linotype"/>
          <w:color w:val="000000"/>
          <w:lang w:val="es-ES_tradnl"/>
        </w:rPr>
        <w:t xml:space="preserve"> de</w:t>
      </w:r>
      <w:r>
        <w:rPr>
          <w:rFonts w:ascii="Palatino Linotype" w:hAnsi="Palatino Linotype"/>
          <w:color w:val="000000"/>
          <w:lang w:val="es-ES_tradnl"/>
        </w:rPr>
        <w:t>l</w:t>
      </w:r>
      <w:r w:rsidRPr="0014704C">
        <w:rPr>
          <w:rFonts w:ascii="Palatino Linotype" w:hAnsi="Palatino Linotype"/>
          <w:color w:val="000000"/>
          <w:lang w:val="es-ES_tradnl"/>
        </w:rPr>
        <w:t xml:space="preserve"> expediente </w:t>
      </w:r>
      <w:r>
        <w:rPr>
          <w:rFonts w:ascii="Palatino Linotype" w:hAnsi="Palatino Linotype"/>
          <w:color w:val="000000"/>
          <w:lang w:val="es-ES_tradnl"/>
        </w:rPr>
        <w:t>a modo de</w:t>
      </w:r>
      <w:r w:rsidRPr="0014704C">
        <w:rPr>
          <w:rFonts w:ascii="Palatino Linotype" w:hAnsi="Palatino Linotype"/>
          <w:color w:val="000000"/>
          <w:lang w:val="es-ES_tradnl"/>
        </w:rPr>
        <w:t xml:space="preserve"> referencia:</w:t>
      </w:r>
    </w:p>
    <w:p w14:paraId="2154210E" w14:textId="77777777" w:rsidR="007C165C" w:rsidRDefault="007C165C" w:rsidP="007C165C">
      <w:pPr>
        <w:pStyle w:val="Prrafodelista"/>
        <w:tabs>
          <w:tab w:val="left" w:pos="426"/>
        </w:tabs>
        <w:spacing w:line="360" w:lineRule="auto"/>
        <w:ind w:left="0"/>
        <w:jc w:val="both"/>
        <w:rPr>
          <w:rFonts w:ascii="Palatino Linotype" w:hAnsi="Palatino Linotype"/>
          <w:color w:val="000000" w:themeColor="text1"/>
        </w:rPr>
      </w:pPr>
    </w:p>
    <w:p w14:paraId="3B35E34B" w14:textId="3C2D86A1" w:rsidR="007C165C" w:rsidRDefault="008C13E8" w:rsidP="007C165C">
      <w:pPr>
        <w:pStyle w:val="Prrafodelista"/>
        <w:tabs>
          <w:tab w:val="left" w:pos="426"/>
        </w:tabs>
        <w:spacing w:line="360" w:lineRule="auto"/>
        <w:ind w:left="0"/>
        <w:jc w:val="center"/>
        <w:rPr>
          <w:rFonts w:ascii="Palatino Linotype" w:hAnsi="Palatino Linotype"/>
          <w:color w:val="000000" w:themeColor="text1"/>
        </w:rPr>
      </w:pPr>
      <w:r>
        <w:object w:dxaOrig="14850" w:dyaOrig="4515" w14:anchorId="57C1C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65pt;height:113.95pt" o:ole="" o:bordertopcolor="this" o:borderleftcolor="this" o:borderbottomcolor="this" o:borderrightcolor="this">
            <v:imagedata r:id="rId8" o:title=""/>
            <w10:bordertop type="single" width="12"/>
            <w10:borderleft type="single" width="12"/>
            <w10:borderbottom type="single" width="12"/>
            <w10:borderright type="single" width="12"/>
          </v:shape>
          <o:OLEObject Type="Embed" ProgID="Paint.Picture" ShapeID="_x0000_i1025" DrawAspect="Content" ObjectID="_1703080332" r:id="rId9"/>
        </w:object>
      </w:r>
    </w:p>
    <w:p w14:paraId="1D5D83BF" w14:textId="77777777" w:rsidR="007C165C" w:rsidRPr="0096234B" w:rsidRDefault="007C165C" w:rsidP="007C165C">
      <w:pPr>
        <w:pStyle w:val="Prrafodelista"/>
        <w:tabs>
          <w:tab w:val="left" w:pos="426"/>
        </w:tabs>
        <w:spacing w:line="360" w:lineRule="auto"/>
        <w:ind w:left="0"/>
        <w:jc w:val="both"/>
        <w:rPr>
          <w:rFonts w:ascii="Palatino Linotype" w:hAnsi="Palatino Linotype"/>
          <w:color w:val="000000" w:themeColor="text1"/>
        </w:rPr>
      </w:pPr>
    </w:p>
    <w:p w14:paraId="7FB95849" w14:textId="4852B458" w:rsidR="00F2567E" w:rsidRPr="008965EF" w:rsidRDefault="00861622"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t>El</w:t>
      </w:r>
      <w:bookmarkStart w:id="3" w:name="_Toc461555889"/>
      <w:bookmarkStart w:id="4" w:name="_Toc466371858"/>
      <w:r w:rsidR="00B855AA">
        <w:rPr>
          <w:rFonts w:ascii="Palatino Linotype" w:eastAsia="Calibri" w:hAnsi="Palatino Linotype" w:cs="Arial"/>
          <w:color w:val="000000" w:themeColor="text1"/>
          <w:lang w:val="es-ES"/>
        </w:rPr>
        <w:t xml:space="preserve"> </w:t>
      </w:r>
      <w:r w:rsidR="008C13E8">
        <w:rPr>
          <w:rFonts w:ascii="Palatino Linotype" w:eastAsia="Calibri" w:hAnsi="Palatino Linotype" w:cs="Arial"/>
          <w:color w:val="000000" w:themeColor="text1"/>
          <w:lang w:val="es-ES"/>
        </w:rPr>
        <w:t>veinticinco (25</w:t>
      </w:r>
      <w:r w:rsidR="00630B0D">
        <w:rPr>
          <w:rFonts w:ascii="Palatino Linotype" w:eastAsia="Calibri" w:hAnsi="Palatino Linotype" w:cs="Arial"/>
          <w:color w:val="000000" w:themeColor="text1"/>
          <w:lang w:val="es-ES"/>
        </w:rPr>
        <w:t>) de octubre</w:t>
      </w:r>
      <w:r w:rsidR="009917E9">
        <w:rPr>
          <w:rFonts w:ascii="Palatino Linotype" w:eastAsia="Calibri" w:hAnsi="Palatino Linotype" w:cs="Arial"/>
          <w:color w:val="000000" w:themeColor="text1"/>
          <w:lang w:val="es-ES"/>
        </w:rPr>
        <w:t xml:space="preserve"> de dos mil veintiuno</w:t>
      </w:r>
      <w:r w:rsidR="00AD6AC5" w:rsidRPr="00A85CB7">
        <w:rPr>
          <w:rFonts w:ascii="Palatino Linotype" w:hAnsi="Palatino Linotype" w:cs="Arial"/>
          <w:color w:val="000000" w:themeColor="text1"/>
        </w:rPr>
        <w:t xml:space="preserve">, </w:t>
      </w:r>
      <w:r w:rsidR="0096234B">
        <w:rPr>
          <w:rFonts w:ascii="Palatino Linotype" w:hAnsi="Palatino Linotype" w:cs="Arial"/>
          <w:color w:val="000000" w:themeColor="text1"/>
        </w:rPr>
        <w:t xml:space="preserve">la </w:t>
      </w:r>
      <w:r w:rsidR="00AD6AC5" w:rsidRPr="00A85CB7">
        <w:rPr>
          <w:rFonts w:ascii="Palatino Linotype" w:hAnsi="Palatino Linotype" w:cs="Arial"/>
          <w:color w:val="000000" w:themeColor="text1"/>
        </w:rPr>
        <w:t>Comisionad</w:t>
      </w:r>
      <w:r w:rsidR="0096234B">
        <w:rPr>
          <w:rFonts w:ascii="Palatino Linotype" w:hAnsi="Palatino Linotype" w:cs="Arial"/>
          <w:color w:val="000000" w:themeColor="text1"/>
        </w:rPr>
        <w:t>a</w:t>
      </w:r>
      <w:r w:rsidR="00AD6AC5" w:rsidRPr="00A85CB7">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F2567E">
        <w:rPr>
          <w:rFonts w:ascii="Palatino Linotype" w:hAnsi="Palatino Linotype" w:cs="Arial"/>
          <w:color w:val="000000" w:themeColor="text1"/>
        </w:rPr>
        <w:t>.</w:t>
      </w:r>
    </w:p>
    <w:p w14:paraId="4AE99BB6" w14:textId="77777777" w:rsidR="008965EF" w:rsidRPr="008965EF"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3001AA57" w14:textId="1232F86F" w:rsidR="008965EF" w:rsidRPr="005C3B63" w:rsidRDefault="003F0DDA"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Luego</w:t>
      </w:r>
      <w:r w:rsidR="003522BF">
        <w:rPr>
          <w:rFonts w:ascii="Palatino Linotype" w:hAnsi="Palatino Linotype" w:cs="Arial"/>
          <w:color w:val="000000" w:themeColor="text1"/>
        </w:rPr>
        <w:t xml:space="preserve">, </w:t>
      </w:r>
      <w:r w:rsidR="003522BF" w:rsidRPr="003522BF">
        <w:rPr>
          <w:rFonts w:ascii="Palatino Linotype" w:hAnsi="Palatino Linotype" w:cs="Arial"/>
          <w:color w:val="000000" w:themeColor="text1"/>
        </w:rPr>
        <w:t xml:space="preserve">el </w:t>
      </w:r>
      <w:r w:rsidR="008C13E8">
        <w:rPr>
          <w:rFonts w:ascii="Palatino Linotype" w:hAnsi="Palatino Linotype" w:cs="Arial"/>
          <w:color w:val="000000" w:themeColor="text1"/>
        </w:rPr>
        <w:t>ocho (08</w:t>
      </w:r>
      <w:r w:rsidR="00630B0D">
        <w:rPr>
          <w:rFonts w:ascii="Palatino Linotype" w:hAnsi="Palatino Linotype" w:cs="Arial"/>
          <w:color w:val="000000" w:themeColor="text1"/>
        </w:rPr>
        <w:t>) de noviembre</w:t>
      </w:r>
      <w:r w:rsidR="00AB7AAA">
        <w:rPr>
          <w:rFonts w:ascii="Palatino Linotype" w:hAnsi="Palatino Linotype" w:cs="Arial"/>
          <w:color w:val="000000" w:themeColor="text1"/>
        </w:rPr>
        <w:t xml:space="preserve"> </w:t>
      </w:r>
      <w:r w:rsidR="003522BF" w:rsidRPr="003522BF">
        <w:rPr>
          <w:rFonts w:ascii="Palatino Linotype" w:hAnsi="Palatino Linotype" w:cs="Arial"/>
          <w:color w:val="000000" w:themeColor="text1"/>
        </w:rPr>
        <w:t xml:space="preserve">dos mil veintiuno, </w:t>
      </w:r>
      <w:r w:rsidR="003522BF" w:rsidRPr="003522BF">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3522BF" w:rsidRPr="003522BF">
        <w:rPr>
          <w:rFonts w:ascii="Palatino Linotype" w:hAnsi="Palatino Linotype" w:cs="Arial"/>
          <w:bCs/>
          <w:color w:val="000000" w:themeColor="text1"/>
          <w:lang w:val="es-ES"/>
        </w:rPr>
        <w:t xml:space="preserve"> </w:t>
      </w:r>
      <w:r w:rsidR="003522BF" w:rsidRPr="003522BF">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sidR="00630B0D">
        <w:rPr>
          <w:rFonts w:ascii="Palatino Linotype" w:hAnsi="Palatino Linotype" w:cs="Arial"/>
          <w:color w:val="000000" w:themeColor="text1"/>
          <w:lang w:val="es-ES"/>
        </w:rPr>
        <w:t>; y ---------------------------------------------------------------------</w:t>
      </w:r>
    </w:p>
    <w:p w14:paraId="76723CF0" w14:textId="1E451BB4" w:rsidR="009917E9"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5" w:name="_Toc89209289"/>
      <w:r w:rsidRPr="00A85CB7">
        <w:rPr>
          <w:b/>
          <w:color w:val="000000" w:themeColor="text1"/>
        </w:rPr>
        <w:t>CONSIDERANDO</w:t>
      </w:r>
      <w:bookmarkEnd w:id="3"/>
      <w:bookmarkEnd w:id="4"/>
      <w:bookmarkEnd w:id="5"/>
    </w:p>
    <w:p w14:paraId="435CF9A4" w14:textId="77777777" w:rsidR="00FC1DA7" w:rsidRPr="00A85CB7" w:rsidRDefault="00FC1DA7" w:rsidP="00B31E90">
      <w:pPr>
        <w:rPr>
          <w:color w:val="000000" w:themeColor="text1"/>
          <w:lang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9209290"/>
      <w:r w:rsidRPr="00A85CB7">
        <w:rPr>
          <w:rFonts w:ascii="Palatino Linotype" w:hAnsi="Palatino Linotype"/>
          <w:b/>
          <w:color w:val="000000" w:themeColor="text1"/>
          <w:sz w:val="24"/>
        </w:rPr>
        <w:t>PRIMERO. De la competencia</w:t>
      </w:r>
      <w:bookmarkEnd w:id="6"/>
      <w:bookmarkEnd w:id="7"/>
      <w:bookmarkEnd w:id="8"/>
    </w:p>
    <w:p w14:paraId="60FBD8C7" w14:textId="77777777" w:rsidR="00FC1DA7" w:rsidRPr="00826F38" w:rsidRDefault="00FC1DA7" w:rsidP="00B31E90">
      <w:pPr>
        <w:rPr>
          <w:rFonts w:ascii="Palatino Linotype" w:hAnsi="Palatino Linotype"/>
          <w:color w:val="000000" w:themeColor="text1"/>
          <w:lang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F56872D" w14:textId="77777777" w:rsidR="00751061" w:rsidRPr="00751061"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9209291"/>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9"/>
      <w:bookmarkEnd w:id="10"/>
      <w:bookmarkEnd w:id="11"/>
    </w:p>
    <w:p w14:paraId="18E22450" w14:textId="77777777" w:rsidR="00C6440A" w:rsidRPr="00A85CB7" w:rsidRDefault="00C6440A" w:rsidP="00B31E90">
      <w:pPr>
        <w:rPr>
          <w:color w:val="000000" w:themeColor="text1"/>
          <w:lang w:eastAsia="en-US"/>
        </w:rPr>
      </w:pPr>
    </w:p>
    <w:p w14:paraId="63E5A495" w14:textId="15E37518" w:rsidR="009E360A" w:rsidRPr="00740BA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8C13E8">
        <w:rPr>
          <w:rFonts w:ascii="Palatino Linotype" w:eastAsia="Calibri" w:hAnsi="Palatino Linotype" w:cs="Arial"/>
          <w:color w:val="000000" w:themeColor="text1"/>
        </w:rPr>
        <w:t>trece (13</w:t>
      </w:r>
      <w:r w:rsidR="00630B0D">
        <w:rPr>
          <w:rFonts w:ascii="Palatino Linotype" w:eastAsia="Calibri" w:hAnsi="Palatino Linotype" w:cs="Arial"/>
          <w:color w:val="000000" w:themeColor="text1"/>
        </w:rPr>
        <w:t>) de septiembre</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el recurso de revisión transcurrió del </w:t>
      </w:r>
      <w:r w:rsidR="008C13E8">
        <w:rPr>
          <w:rFonts w:ascii="Palatino Linotype" w:eastAsia="Calibri" w:hAnsi="Palatino Linotype" w:cs="Arial"/>
          <w:color w:val="000000" w:themeColor="text1"/>
        </w:rPr>
        <w:t>catorce (14) de septiembre al cinco (05) de octubre</w:t>
      </w:r>
      <w:r w:rsidR="00630B0D">
        <w:rPr>
          <w:rFonts w:ascii="Palatino Linotype" w:eastAsia="Calibri" w:hAnsi="Palatino Linotype" w:cs="Arial"/>
          <w:color w:val="000000" w:themeColor="text1"/>
        </w:rPr>
        <w:t xml:space="preserve"> de dos mil veintiuno</w:t>
      </w:r>
      <w:r w:rsidR="00740BA4" w:rsidRPr="00740BA4">
        <w:rPr>
          <w:rFonts w:ascii="Palatino Linotype" w:eastAsia="Calibri" w:hAnsi="Palatino Linotype" w:cs="Arial"/>
          <w:color w:val="000000" w:themeColor="text1"/>
        </w:rPr>
        <w:t xml:space="preserve">, sin contemplar en el cómputo los días </w:t>
      </w:r>
      <w:r w:rsidR="00630B0D">
        <w:rPr>
          <w:rFonts w:ascii="Palatino Linotype" w:eastAsia="Calibri" w:hAnsi="Palatino Linotype" w:cs="Arial"/>
          <w:color w:val="000000" w:themeColor="text1"/>
        </w:rPr>
        <w:t>dieciséis (16), dieciocho (18), diecinueve (19), veinticinco (25) y veintiséis (26) de septiembre</w:t>
      </w:r>
      <w:r w:rsidR="0065705F">
        <w:rPr>
          <w:rFonts w:ascii="Palatino Linotype" w:eastAsia="Calibri" w:hAnsi="Palatino Linotype" w:cs="Arial"/>
          <w:color w:val="000000" w:themeColor="text1"/>
        </w:rPr>
        <w:t xml:space="preserve">, así </w:t>
      </w:r>
      <w:r w:rsidR="00740BA4" w:rsidRPr="00740BA4">
        <w:rPr>
          <w:rFonts w:ascii="Palatino Linotype" w:eastAsia="Calibri" w:hAnsi="Palatino Linotype" w:cs="Arial"/>
          <w:color w:val="000000" w:themeColor="text1"/>
        </w:rPr>
        <w:t xml:space="preserve"> </w:t>
      </w:r>
      <w:r w:rsidR="0065705F">
        <w:rPr>
          <w:rFonts w:ascii="Palatino Linotype" w:eastAsia="Calibri" w:hAnsi="Palatino Linotype" w:cs="Arial"/>
          <w:color w:val="000000" w:themeColor="text1"/>
        </w:rPr>
        <w:lastRenderedPageBreak/>
        <w:t xml:space="preserve">como el dos (02) y tres (03) de octubre </w:t>
      </w:r>
      <w:r w:rsidR="00740BA4" w:rsidRPr="00740BA4">
        <w:rPr>
          <w:rFonts w:ascii="Palatino Linotype" w:eastAsia="Calibri" w:hAnsi="Palatino Linotype" w:cs="Arial"/>
          <w:color w:val="000000" w:themeColor="text1"/>
        </w:rPr>
        <w:t>por corresponder a sábados</w:t>
      </w:r>
      <w:r w:rsidR="00630B0D">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domingos </w:t>
      </w:r>
      <w:r w:rsidR="00630B0D">
        <w:rPr>
          <w:rFonts w:ascii="Palatino Linotype" w:eastAsia="Calibri" w:hAnsi="Palatino Linotype" w:cs="Arial"/>
          <w:color w:val="000000" w:themeColor="text1"/>
        </w:rPr>
        <w:t xml:space="preserve">e inhábiles </w:t>
      </w:r>
      <w:r w:rsidR="00740BA4" w:rsidRPr="00740BA4">
        <w:rPr>
          <w:rFonts w:ascii="Palatino Linotype" w:eastAsia="Calibri" w:hAnsi="Palatino Linotype" w:cs="Arial"/>
          <w:color w:val="000000" w:themeColor="text1"/>
        </w:rPr>
        <w:t>en términos del artículo 3</w:t>
      </w:r>
      <w:r w:rsidR="00630B0D">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fracción X</w:t>
      </w:r>
      <w:r w:rsidR="00630B0D">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39E2AA39" w:rsidR="00740BA4" w:rsidRPr="0065705F"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el presente recurso de revisión fue interpuesto el </w:t>
      </w:r>
      <w:r w:rsidR="0065705F">
        <w:rPr>
          <w:rFonts w:ascii="Palatino Linotype" w:hAnsi="Palatino Linotype"/>
          <w:color w:val="000000" w:themeColor="text1"/>
        </w:rPr>
        <w:t>veintitrés (23</w:t>
      </w:r>
      <w:r w:rsidR="00630B0D">
        <w:rPr>
          <w:rFonts w:ascii="Palatino Linotype" w:hAnsi="Palatino Linotype"/>
          <w:color w:val="000000" w:themeColor="text1"/>
        </w:rPr>
        <w:t>) de septiembre</w:t>
      </w:r>
      <w:r w:rsidR="00CC0B3A">
        <w:rPr>
          <w:rFonts w:ascii="Palatino Linotype" w:hAnsi="Palatino Linotype"/>
          <w:color w:val="000000" w:themeColor="text1"/>
        </w:rPr>
        <w:t xml:space="preserve"> </w:t>
      </w:r>
      <w:r w:rsidRPr="00A85CB7">
        <w:rPr>
          <w:rFonts w:ascii="Palatino Linotype" w:hAnsi="Palatino Linotype"/>
          <w:color w:val="000000" w:themeColor="text1"/>
        </w:rPr>
        <w:t xml:space="preserve">de dos mil </w:t>
      </w:r>
      <w:r>
        <w:rPr>
          <w:rFonts w:ascii="Palatino Linotype" w:hAnsi="Palatino Linotype"/>
          <w:color w:val="000000" w:themeColor="text1"/>
        </w:rPr>
        <w:t>veintiuno</w:t>
      </w:r>
      <w:r w:rsidRPr="00A85CB7">
        <w:rPr>
          <w:rFonts w:ascii="Palatino Linotype" w:hAnsi="Palatino Linotype"/>
          <w:color w:val="000000" w:themeColor="text1"/>
        </w:rPr>
        <w:t>, éste</w:t>
      </w:r>
      <w:r w:rsidRPr="00A85CB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1198BE44" w14:textId="77777777" w:rsidR="0065705F" w:rsidRPr="0065705F" w:rsidRDefault="0065705F" w:rsidP="0065705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7A92BA4" w14:textId="1CCFE23F" w:rsidR="0065705F" w:rsidRPr="0065705F" w:rsidRDefault="0065705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sidRPr="009C3AB1">
        <w:rPr>
          <w:rFonts w:ascii="Palatino Linotype" w:hAnsi="Palatino Linotype"/>
          <w:color w:val="000000" w:themeColor="text1"/>
          <w:lang w:val="es-ES"/>
        </w:rPr>
        <w:t xml:space="preserve">otro lado, de la revisión al expediente electrónico contenido en el sistema </w:t>
      </w:r>
      <w:r w:rsidRPr="009C3AB1">
        <w:rPr>
          <w:rFonts w:ascii="Palatino Linotype" w:hAnsi="Palatino Linotype"/>
          <w:b/>
          <w:color w:val="000000" w:themeColor="text1"/>
          <w:lang w:val="es-ES"/>
        </w:rPr>
        <w:t>SAIMEX,</w:t>
      </w:r>
      <w:r w:rsidRPr="009C3AB1">
        <w:rPr>
          <w:rFonts w:ascii="Palatino Linotype" w:hAnsi="Palatino Linotype"/>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9C3AB1">
        <w:rPr>
          <w:rFonts w:ascii="Palatino Linotype" w:hAnsi="Palatino Linotype"/>
          <w:b/>
          <w:color w:val="000000" w:themeColor="text1"/>
          <w:lang w:val="es-ES"/>
        </w:rPr>
        <w:t>no señaló su nombre</w:t>
      </w:r>
      <w:r>
        <w:rPr>
          <w:rFonts w:ascii="Palatino Linotype" w:hAnsi="Palatino Linotype"/>
          <w:b/>
          <w:color w:val="000000" w:themeColor="text1"/>
          <w:lang w:val="es-ES"/>
        </w:rPr>
        <w:t xml:space="preserve"> completo, ni se tiene certeza sobre su identidad.</w:t>
      </w:r>
      <w:r w:rsidRPr="009C3AB1">
        <w:rPr>
          <w:rFonts w:ascii="Palatino Linotype" w:hAnsi="Palatino Linotype"/>
          <w:color w:val="000000" w:themeColor="text1"/>
          <w:lang w:val="es-ES"/>
        </w:rPr>
        <w:t xml:space="preserve"> </w:t>
      </w:r>
      <w:r>
        <w:rPr>
          <w:rFonts w:ascii="Palatino Linotype" w:hAnsi="Palatino Linotype"/>
          <w:color w:val="000000" w:themeColor="text1"/>
          <w:lang w:val="es-ES"/>
        </w:rPr>
        <w:t>S</w:t>
      </w:r>
      <w:r w:rsidRPr="009C3AB1">
        <w:rPr>
          <w:rFonts w:ascii="Palatino Linotype" w:hAnsi="Palatino Linotype"/>
          <w:color w:val="000000" w:themeColor="text1"/>
          <w:lang w:val="es-ES"/>
        </w:rPr>
        <w:t xml:space="preserve">in embargo, es importante señalar que </w:t>
      </w:r>
      <w:r w:rsidRPr="009C3AB1">
        <w:rPr>
          <w:rFonts w:ascii="Palatino Linotype" w:hAnsi="Palatino Linotype"/>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BC7FDA9" w14:textId="77777777" w:rsidR="0065705F" w:rsidRPr="0065705F" w:rsidRDefault="0065705F" w:rsidP="0065705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FFC11BD" w14:textId="3E5D71D9" w:rsidR="0065705F" w:rsidRPr="0065705F" w:rsidRDefault="0065705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Esto </w:t>
      </w:r>
      <w:r w:rsidRPr="005F1BAD">
        <w:rPr>
          <w:rFonts w:ascii="Palatino Linotype" w:hAnsi="Palatino Linotype" w:cs="Arial"/>
          <w:color w:val="000000" w:themeColor="text1"/>
          <w:lang w:val="es-ES"/>
        </w:rPr>
        <w:t xml:space="preserve">es así, ya que de conformidad con los artículos 6, apartado A, fracciones III y IV de la </w:t>
      </w:r>
      <w:r w:rsidRPr="005F1BAD">
        <w:rPr>
          <w:rFonts w:ascii="Palatino Linotype" w:hAnsi="Palatino Linotype" w:cs="Arial"/>
          <w:b/>
          <w:color w:val="000000" w:themeColor="text1"/>
          <w:lang w:val="es-ES"/>
        </w:rPr>
        <w:t>Constitución Política de los Estados Unidos Mexicanos</w:t>
      </w:r>
      <w:r w:rsidRPr="005F1BAD">
        <w:rPr>
          <w:rFonts w:ascii="Palatino Linotype" w:hAnsi="Palatino Linotype" w:cs="Arial"/>
          <w:color w:val="000000" w:themeColor="text1"/>
          <w:lang w:val="es-ES"/>
        </w:rPr>
        <w:t xml:space="preserve">; 5, párrafos vigésimo segundo, vigésimo tercero y vigésimo cuarto, fracciones III, IV y V, de la </w:t>
      </w:r>
      <w:r w:rsidRPr="005F1BAD">
        <w:rPr>
          <w:rFonts w:ascii="Palatino Linotype" w:hAnsi="Palatino Linotype" w:cs="Arial"/>
          <w:b/>
          <w:color w:val="000000" w:themeColor="text1"/>
          <w:lang w:val="es-ES"/>
        </w:rPr>
        <w:t>Constitución Política del Estado Libre y Soberano de México</w:t>
      </w:r>
      <w:r w:rsidRPr="005F1BAD">
        <w:rPr>
          <w:rFonts w:ascii="Palatino Linotype" w:hAnsi="Palatino Linotype" w:cs="Arial"/>
          <w:color w:val="000000" w:themeColor="text1"/>
          <w:lang w:val="es-ES"/>
        </w:rPr>
        <w:t xml:space="preserve">, se establece que toda persona, sin necesidad de acreditar interés alguno o justificar su utilización, tendrá </w:t>
      </w:r>
      <w:r w:rsidRPr="005F1BAD">
        <w:rPr>
          <w:rFonts w:ascii="Palatino Linotype" w:hAnsi="Palatino Linotype" w:cs="Arial"/>
          <w:color w:val="000000" w:themeColor="text1"/>
          <w:lang w:val="es-ES"/>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25B16C2" w14:textId="77777777" w:rsidR="0065705F" w:rsidRPr="0065705F" w:rsidRDefault="0065705F" w:rsidP="0065705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7953A40" w14:textId="7F299242" w:rsidR="0065705F" w:rsidRPr="0065705F" w:rsidRDefault="0065705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sidRPr="00F43C60">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B84EC90" w14:textId="77777777" w:rsidR="0065705F" w:rsidRPr="0065705F" w:rsidRDefault="0065705F" w:rsidP="0065705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DFF975D" w14:textId="6428FF47" w:rsidR="0065705F" w:rsidRPr="0065705F" w:rsidRDefault="0065705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65743337" w14:textId="77777777" w:rsidR="0065705F" w:rsidRPr="0065705F" w:rsidRDefault="0065705F" w:rsidP="0065705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7C34D75" w14:textId="47D6FD06" w:rsidR="0065705F" w:rsidRPr="0065705F" w:rsidRDefault="0065705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De </w:t>
      </w:r>
      <w:r w:rsidRPr="00C2505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35DDBC31" w14:textId="77777777" w:rsidR="0065705F" w:rsidRPr="0065705F" w:rsidRDefault="0065705F" w:rsidP="0065705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BE97E87" w14:textId="2C0F5646" w:rsidR="0065705F" w:rsidRPr="0065705F" w:rsidRDefault="0065705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lastRenderedPageBreak/>
        <w:t xml:space="preserve">Por </w:t>
      </w:r>
      <w:r>
        <w:rPr>
          <w:rFonts w:ascii="Palatino Linotype" w:eastAsia="Calibri" w:hAnsi="Palatino Linotype" w:cs="Arial"/>
        </w:rPr>
        <w:t xml:space="preserve">lo tanto, </w:t>
      </w:r>
      <w:r w:rsidRPr="00F43C60">
        <w:rPr>
          <w:rFonts w:ascii="Palatino Linotype" w:eastAsia="Times New Roman" w:hAnsi="Palatino Linotype" w:cs="Arial"/>
          <w:color w:val="000000" w:themeColor="text1"/>
          <w:lang w:val="es-ES" w:eastAsia="es-MX"/>
        </w:rPr>
        <w:t xml:space="preserve">el nombre </w:t>
      </w:r>
      <w:r>
        <w:rPr>
          <w:rFonts w:ascii="Palatino Linotype" w:eastAsia="Times New Roman" w:hAnsi="Palatino Linotype" w:cs="Arial"/>
          <w:color w:val="000000" w:themeColor="text1"/>
          <w:lang w:val="es-ES" w:eastAsia="es-MX"/>
        </w:rPr>
        <w:t>del</w:t>
      </w:r>
      <w:r w:rsidRPr="00F43C60">
        <w:rPr>
          <w:rFonts w:ascii="Palatino Linotype" w:eastAsia="Times New Roman" w:hAnsi="Palatino Linotype" w:cs="Arial"/>
          <w:color w:val="000000" w:themeColor="text1"/>
          <w:lang w:val="es-ES" w:eastAsia="es-MX"/>
        </w:rPr>
        <w:t xml:space="preserve">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w:t>
      </w:r>
      <w:r>
        <w:rPr>
          <w:rFonts w:ascii="Palatino Linotype" w:eastAsia="Times New Roman" w:hAnsi="Palatino Linotype" w:cs="Arial"/>
          <w:color w:val="000000" w:themeColor="text1"/>
          <w:lang w:val="es-ES" w:eastAsia="es-MX"/>
        </w:rPr>
        <w:t xml:space="preserve">como </w:t>
      </w:r>
      <w:r w:rsidRPr="00F43C60">
        <w:rPr>
          <w:rFonts w:ascii="Palatino Linotype" w:eastAsia="Times New Roman" w:hAnsi="Palatino Linotype" w:cs="Arial"/>
          <w:color w:val="000000" w:themeColor="text1"/>
          <w:lang w:val="es-ES" w:eastAsia="es-MX"/>
        </w:rPr>
        <w:t>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1511F63E" w14:textId="77777777" w:rsidR="00855985" w:rsidRPr="00855985" w:rsidRDefault="00855985" w:rsidP="0085598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2C36B6F4" w:rsidR="005F1362" w:rsidRPr="00751061"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esta Ponencia Resolutora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471F3709" w14:textId="77777777" w:rsidR="00103662" w:rsidRPr="00103662"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A85CB7" w:rsidRDefault="00751061"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9209292"/>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Pr>
          <w:rFonts w:ascii="Palatino Linotype" w:hAnsi="Palatino Linotype"/>
          <w:b/>
          <w:color w:val="000000" w:themeColor="text1"/>
          <w:sz w:val="24"/>
          <w:szCs w:val="24"/>
        </w:rPr>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2"/>
      <w:bookmarkEnd w:id="13"/>
      <w:bookmarkEnd w:id="14"/>
    </w:p>
    <w:p w14:paraId="4231B8D5" w14:textId="77777777" w:rsidR="00540208" w:rsidRPr="00A85CB7" w:rsidRDefault="00540208" w:rsidP="006B784D">
      <w:pPr>
        <w:spacing w:before="240" w:after="240"/>
        <w:rPr>
          <w:rFonts w:ascii="Palatino Linotype" w:hAnsi="Palatino Linotype"/>
          <w:color w:val="000000" w:themeColor="text1"/>
          <w:lang w:eastAsia="en-US"/>
        </w:rPr>
      </w:pPr>
    </w:p>
    <w:bookmarkEnd w:id="15"/>
    <w:bookmarkEnd w:id="16"/>
    <w:p w14:paraId="573B17A6" w14:textId="24CF5085" w:rsidR="00024BCC" w:rsidRDefault="00611D21" w:rsidP="0034044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Se requirió, vía consulta directa, el acceso a los planes catastrales y manzaneros de la </w:t>
      </w:r>
      <w:r w:rsidR="00F07444">
        <w:rPr>
          <w:rFonts w:ascii="Palatino Linotype" w:hAnsi="Palatino Linotype" w:cs="Arial"/>
          <w:color w:val="000000" w:themeColor="text1"/>
        </w:rPr>
        <w:t xml:space="preserve">localidad denominada </w:t>
      </w:r>
      <w:r>
        <w:rPr>
          <w:rFonts w:ascii="Palatino Linotype" w:hAnsi="Palatino Linotype" w:cs="Arial"/>
          <w:color w:val="000000" w:themeColor="text1"/>
        </w:rPr>
        <w:t>Villa San Agustín Atlapulco</w:t>
      </w:r>
      <w:r w:rsidR="007E64B6" w:rsidRPr="00024BCC">
        <w:rPr>
          <w:rFonts w:ascii="Palatino Linotype" w:hAnsi="Palatino Linotype" w:cs="Arial"/>
          <w:color w:val="000000" w:themeColor="text1"/>
        </w:rPr>
        <w:t>.</w:t>
      </w:r>
      <w:r w:rsidR="00910076" w:rsidRPr="00024BCC">
        <w:rPr>
          <w:rFonts w:ascii="Palatino Linotype" w:hAnsi="Palatino Linotype" w:cs="Arial"/>
          <w:color w:val="000000" w:themeColor="text1"/>
        </w:rPr>
        <w:t xml:space="preserve"> El </w:t>
      </w:r>
      <w:r w:rsidR="00910076" w:rsidRPr="00024BCC">
        <w:rPr>
          <w:rFonts w:ascii="Palatino Linotype" w:hAnsi="Palatino Linotype" w:cs="Arial"/>
          <w:b/>
          <w:bCs/>
          <w:color w:val="000000" w:themeColor="text1"/>
        </w:rPr>
        <w:t>SUJETO OBLIGADO</w:t>
      </w:r>
      <w:r w:rsidR="00910076" w:rsidRPr="00024BCC">
        <w:rPr>
          <w:rFonts w:ascii="Palatino Linotype" w:hAnsi="Palatino Linotype" w:cs="Arial"/>
          <w:color w:val="000000" w:themeColor="text1"/>
        </w:rPr>
        <w:t xml:space="preserve"> </w:t>
      </w:r>
      <w:r>
        <w:rPr>
          <w:rFonts w:ascii="Palatino Linotype" w:hAnsi="Palatino Linotype" w:cs="Arial"/>
          <w:color w:val="000000" w:themeColor="text1"/>
        </w:rPr>
        <w:t>requirió al particular que acreditase su interés jurídico o legítimo para acceder a la información solicitada</w:t>
      </w:r>
      <w:r w:rsidR="00630B0D" w:rsidRPr="00024BCC">
        <w:rPr>
          <w:rFonts w:ascii="Palatino Linotype" w:hAnsi="Palatino Linotype" w:cs="Arial"/>
          <w:color w:val="000000" w:themeColor="text1"/>
        </w:rPr>
        <w:t>.</w:t>
      </w:r>
      <w:r w:rsidR="00024BCC">
        <w:rPr>
          <w:rFonts w:ascii="Palatino Linotype" w:hAnsi="Palatino Linotype" w:cs="Arial"/>
          <w:color w:val="000000" w:themeColor="text1"/>
        </w:rPr>
        <w:t xml:space="preserve"> </w:t>
      </w:r>
      <w:r w:rsidR="00826F38" w:rsidRPr="00024BCC">
        <w:rPr>
          <w:rFonts w:ascii="Palatino Linotype" w:hAnsi="Palatino Linotype" w:cs="Arial"/>
          <w:color w:val="000000" w:themeColor="text1"/>
        </w:rPr>
        <w:t xml:space="preserve">El particular impugnó </w:t>
      </w:r>
      <w:r w:rsidR="006A2EFB" w:rsidRPr="00024BCC">
        <w:rPr>
          <w:rFonts w:ascii="Palatino Linotype" w:hAnsi="Palatino Linotype" w:cs="Arial"/>
          <w:color w:val="000000" w:themeColor="text1"/>
        </w:rPr>
        <w:t>la respuesta</w:t>
      </w:r>
      <w:r w:rsidR="00826F38" w:rsidRPr="00024BCC">
        <w:rPr>
          <w:rFonts w:ascii="Palatino Linotype" w:hAnsi="Palatino Linotype" w:cs="Arial"/>
          <w:color w:val="000000" w:themeColor="text1"/>
        </w:rPr>
        <w:t xml:space="preserve"> mediante recurso de revisión, </w:t>
      </w:r>
      <w:r w:rsidR="006A2EFB" w:rsidRPr="00024BCC">
        <w:rPr>
          <w:rFonts w:ascii="Palatino Linotype" w:hAnsi="Palatino Linotype" w:cs="Arial"/>
          <w:color w:val="000000" w:themeColor="text1"/>
        </w:rPr>
        <w:t>en el que señaló</w:t>
      </w:r>
      <w:r w:rsidR="00826F38" w:rsidRPr="00024BCC">
        <w:rPr>
          <w:rFonts w:ascii="Palatino Linotype" w:hAnsi="Palatino Linotype" w:cs="Arial"/>
          <w:color w:val="000000" w:themeColor="text1"/>
        </w:rPr>
        <w:t xml:space="preserve"> por agravios</w:t>
      </w:r>
      <w:r w:rsidR="00910076" w:rsidRPr="00024BCC">
        <w:rPr>
          <w:rFonts w:ascii="Palatino Linotype" w:hAnsi="Palatino Linotype" w:cs="Arial"/>
          <w:color w:val="000000" w:themeColor="text1"/>
        </w:rPr>
        <w:t xml:space="preserve"> que</w:t>
      </w:r>
      <w:r w:rsidR="00826F38" w:rsidRPr="00024BCC">
        <w:rPr>
          <w:rFonts w:ascii="Palatino Linotype" w:hAnsi="Palatino Linotype" w:cs="Arial"/>
          <w:color w:val="000000" w:themeColor="text1"/>
        </w:rPr>
        <w:t xml:space="preserve"> </w:t>
      </w:r>
      <w:r>
        <w:rPr>
          <w:rFonts w:ascii="Palatino Linotype" w:hAnsi="Palatino Linotype" w:cs="Arial"/>
          <w:color w:val="000000" w:themeColor="text1"/>
        </w:rPr>
        <w:t xml:space="preserve">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le negó la consulta directa de la información</w:t>
      </w:r>
      <w:r w:rsidR="00024BCC">
        <w:rPr>
          <w:rFonts w:ascii="Palatino Linotype" w:hAnsi="Palatino Linotype" w:cs="Arial"/>
          <w:color w:val="000000" w:themeColor="text1"/>
        </w:rPr>
        <w:t>.</w:t>
      </w:r>
    </w:p>
    <w:p w14:paraId="5A9A3D64" w14:textId="77777777" w:rsidR="00024BCC" w:rsidRDefault="00024BCC" w:rsidP="00024BCC">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6E2DA167" w:rsidR="001A032D" w:rsidRPr="00024BCC" w:rsidRDefault="001A032D" w:rsidP="0034044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24BCC">
        <w:rPr>
          <w:rFonts w:ascii="Palatino Linotype" w:hAnsi="Palatino Linotype" w:cs="Arial"/>
          <w:color w:val="000000" w:themeColor="text1"/>
        </w:rPr>
        <w:t xml:space="preserve">En ese sentido, </w:t>
      </w:r>
      <w:r w:rsidR="002E160F" w:rsidRPr="00024BCC">
        <w:rPr>
          <w:rFonts w:ascii="Palatino Linotype" w:hAnsi="Palatino Linotype" w:cs="Arial"/>
          <w:color w:val="000000" w:themeColor="text1"/>
        </w:rPr>
        <w:t xml:space="preserve">esta Ponencia Resolutora advierte que las razones o motivos de inconformidad manifestados por el </w:t>
      </w:r>
      <w:r w:rsidRPr="00024BCC">
        <w:rPr>
          <w:rFonts w:ascii="Palatino Linotype" w:hAnsi="Palatino Linotype" w:cs="Arial"/>
          <w:b/>
          <w:bCs/>
          <w:color w:val="000000" w:themeColor="text1"/>
        </w:rPr>
        <w:t>RECURRENTE</w:t>
      </w:r>
      <w:r w:rsidRPr="00024BCC">
        <w:rPr>
          <w:rFonts w:ascii="Palatino Linotype" w:hAnsi="Palatino Linotype" w:cs="Arial"/>
          <w:color w:val="000000" w:themeColor="text1"/>
        </w:rPr>
        <w:t xml:space="preserve"> </w:t>
      </w:r>
      <w:r w:rsidR="002E160F" w:rsidRPr="00024BCC">
        <w:rPr>
          <w:rFonts w:ascii="Palatino Linotype" w:hAnsi="Palatino Linotype" w:cs="Arial"/>
          <w:color w:val="000000" w:themeColor="text1"/>
        </w:rPr>
        <w:t xml:space="preserve">sugieren que la respuesta </w:t>
      </w:r>
      <w:r w:rsidR="002E160F" w:rsidRPr="00024BCC">
        <w:rPr>
          <w:rFonts w:ascii="Palatino Linotype" w:hAnsi="Palatino Linotype" w:cs="Arial"/>
          <w:color w:val="000000" w:themeColor="text1"/>
        </w:rPr>
        <w:lastRenderedPageBreak/>
        <w:t>proporcionada</w:t>
      </w:r>
      <w:r w:rsidR="00B855AA" w:rsidRPr="00024BCC">
        <w:rPr>
          <w:rFonts w:ascii="Palatino Linotype" w:hAnsi="Palatino Linotype" w:cs="Arial"/>
          <w:color w:val="000000" w:themeColor="text1"/>
        </w:rPr>
        <w:t xml:space="preserve"> por el </w:t>
      </w:r>
      <w:r w:rsidR="00B855AA" w:rsidRPr="00024BCC">
        <w:rPr>
          <w:rFonts w:ascii="Palatino Linotype" w:hAnsi="Palatino Linotype" w:cs="Arial"/>
          <w:b/>
          <w:bCs/>
          <w:color w:val="000000" w:themeColor="text1"/>
        </w:rPr>
        <w:t>SUJETO OBLIGADO</w:t>
      </w:r>
      <w:r w:rsidR="00B855AA" w:rsidRPr="00024BCC">
        <w:rPr>
          <w:rFonts w:ascii="Palatino Linotype" w:hAnsi="Palatino Linotype" w:cs="Arial"/>
          <w:color w:val="000000" w:themeColor="text1"/>
        </w:rPr>
        <w:t xml:space="preserve"> no cumplió con </w:t>
      </w:r>
      <w:r w:rsidR="008F7752" w:rsidRPr="00024BCC">
        <w:rPr>
          <w:rFonts w:ascii="Palatino Linotype" w:hAnsi="Palatino Linotype" w:cs="Arial"/>
          <w:color w:val="000000" w:themeColor="text1"/>
        </w:rPr>
        <w:t>los</w:t>
      </w:r>
      <w:r w:rsidR="00B855AA" w:rsidRPr="00024BCC">
        <w:rPr>
          <w:rFonts w:ascii="Palatino Linotype" w:hAnsi="Palatino Linotype" w:cs="Arial"/>
          <w:color w:val="000000" w:themeColor="text1"/>
        </w:rPr>
        <w:t xml:space="preserve"> principio</w:t>
      </w:r>
      <w:r w:rsidR="008F7752" w:rsidRPr="00024BCC">
        <w:rPr>
          <w:rFonts w:ascii="Palatino Linotype" w:hAnsi="Palatino Linotype" w:cs="Arial"/>
          <w:color w:val="000000" w:themeColor="text1"/>
        </w:rPr>
        <w:t>s</w:t>
      </w:r>
      <w:r w:rsidR="00B855AA" w:rsidRPr="00024BCC">
        <w:rPr>
          <w:rFonts w:ascii="Palatino Linotype" w:hAnsi="Palatino Linotype" w:cs="Arial"/>
          <w:color w:val="000000" w:themeColor="text1"/>
        </w:rPr>
        <w:t xml:space="preserve"> contendido</w:t>
      </w:r>
      <w:r w:rsidR="008F7752" w:rsidRPr="00024BCC">
        <w:rPr>
          <w:rFonts w:ascii="Palatino Linotype" w:hAnsi="Palatino Linotype" w:cs="Arial"/>
          <w:color w:val="000000" w:themeColor="text1"/>
        </w:rPr>
        <w:t>s</w:t>
      </w:r>
      <w:r w:rsidR="00B855AA" w:rsidRPr="00024BCC">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024BCC">
        <w:rPr>
          <w:rFonts w:ascii="Palatino Linotype" w:hAnsi="Palatino Linotype" w:cs="Arial"/>
          <w:color w:val="000000" w:themeColor="text1"/>
        </w:rPr>
        <w:t>os</w:t>
      </w:r>
      <w:r w:rsidR="00B855AA" w:rsidRPr="00024BCC">
        <w:rPr>
          <w:rFonts w:ascii="Palatino Linotype" w:hAnsi="Palatino Linotype" w:cs="Arial"/>
          <w:color w:val="000000" w:themeColor="text1"/>
        </w:rPr>
        <w:t xml:space="preserve"> cual</w:t>
      </w:r>
      <w:r w:rsidR="008F7752" w:rsidRPr="00024BCC">
        <w:rPr>
          <w:rFonts w:ascii="Palatino Linotype" w:hAnsi="Palatino Linotype" w:cs="Arial"/>
          <w:color w:val="000000" w:themeColor="text1"/>
        </w:rPr>
        <w:t>es</w:t>
      </w:r>
      <w:r w:rsidR="00B855AA" w:rsidRPr="00024BCC">
        <w:rPr>
          <w:rFonts w:ascii="Palatino Linotype" w:hAnsi="Palatino Linotype" w:cs="Arial"/>
          <w:color w:val="000000" w:themeColor="text1"/>
        </w:rPr>
        <w:t xml:space="preserve"> señala</w:t>
      </w:r>
      <w:r w:rsidR="008F7752" w:rsidRPr="00024BCC">
        <w:rPr>
          <w:rFonts w:ascii="Palatino Linotype" w:hAnsi="Palatino Linotype" w:cs="Arial"/>
          <w:color w:val="000000" w:themeColor="text1"/>
        </w:rPr>
        <w:t>n</w:t>
      </w:r>
      <w:r w:rsidR="00B855AA" w:rsidRPr="00024BCC">
        <w:rPr>
          <w:rFonts w:ascii="Palatino Linotype" w:hAnsi="Palatino Linotype" w:cs="Arial"/>
          <w:color w:val="000000" w:themeColor="text1"/>
        </w:rPr>
        <w:t xml:space="preserve"> que en la generación, publicación y entrega de información se deberá garantizar que ésta </w:t>
      </w:r>
      <w:r w:rsidR="00C51671" w:rsidRPr="00024BCC">
        <w:rPr>
          <w:rFonts w:ascii="Palatino Linotype" w:hAnsi="Palatino Linotype" w:cs="Arial"/>
          <w:color w:val="000000" w:themeColor="text1"/>
        </w:rPr>
        <w:t>sea</w:t>
      </w:r>
      <w:r w:rsidR="00B855AA" w:rsidRPr="00024BCC">
        <w:rPr>
          <w:rFonts w:ascii="Palatino Linotype" w:hAnsi="Palatino Linotype" w:cs="Arial"/>
          <w:color w:val="000000" w:themeColor="text1"/>
        </w:rPr>
        <w:t xml:space="preserve"> </w:t>
      </w:r>
      <w:r w:rsidR="00611D21">
        <w:rPr>
          <w:rFonts w:ascii="Palatino Linotype" w:hAnsi="Palatino Linotype" w:cs="Arial"/>
          <w:b/>
          <w:bCs/>
          <w:color w:val="000000" w:themeColor="text1"/>
        </w:rPr>
        <w:t>accesible</w:t>
      </w:r>
      <w:r w:rsidR="00B855AA" w:rsidRPr="00024BCC">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6795EF3E"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2C6561">
        <w:rPr>
          <w:rFonts w:ascii="Palatino Linotype" w:hAnsi="Palatino Linotype" w:cs="Arial"/>
          <w:color w:val="000000" w:themeColor="text1"/>
          <w:szCs w:val="23"/>
        </w:rPr>
        <w:t>I</w:t>
      </w:r>
      <w:r w:rsidR="00390D23">
        <w:rPr>
          <w:rFonts w:ascii="Palatino Linotype" w:hAnsi="Palatino Linotype" w:cs="Arial"/>
          <w:color w:val="000000" w:themeColor="text1"/>
          <w:szCs w:val="23"/>
        </w:rPr>
        <w:t xml:space="preserve"> </w:t>
      </w:r>
      <w:r w:rsidR="00C51671">
        <w:rPr>
          <w:rFonts w:ascii="Palatino Linotype" w:hAnsi="Palatino Linotype" w:cs="Arial"/>
          <w:color w:val="000000" w:themeColor="text1"/>
          <w:szCs w:val="23"/>
        </w:rPr>
        <w:t xml:space="preserve">y </w:t>
      </w:r>
      <w:r w:rsidR="00024BCC">
        <w:rPr>
          <w:rFonts w:ascii="Palatino Linotype" w:hAnsi="Palatino Linotype" w:cs="Arial"/>
          <w:color w:val="000000" w:themeColor="text1"/>
          <w:szCs w:val="23"/>
        </w:rPr>
        <w:t>XII</w:t>
      </w:r>
      <w:r w:rsidR="00C15F97" w:rsidRPr="00A85CB7">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51671" w:rsidRDefault="00C51671"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34DC33E5" w14:textId="6743AE97" w:rsidR="008F7752" w:rsidRDefault="00515DEC" w:rsidP="008F7752">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2A8DC18E" w14:textId="278EBF66" w:rsidR="008F7752" w:rsidRPr="008F7752" w:rsidRDefault="00024BCC" w:rsidP="008F7752">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XII</w:t>
      </w:r>
      <w:r w:rsidR="008F7752">
        <w:rPr>
          <w:rFonts w:ascii="Palatino Linotype" w:hAnsi="Palatino Linotype"/>
          <w:b/>
          <w:bCs/>
          <w:i/>
          <w:color w:val="000000" w:themeColor="text1"/>
          <w:sz w:val="22"/>
        </w:rPr>
        <w:t>.</w:t>
      </w:r>
      <w:r w:rsidR="008F7752">
        <w:rPr>
          <w:rFonts w:ascii="Palatino Linotype" w:hAnsi="Palatino Linotype"/>
          <w:i/>
          <w:color w:val="000000" w:themeColor="text1"/>
          <w:sz w:val="22"/>
        </w:rPr>
        <w:t xml:space="preserve"> La </w:t>
      </w:r>
      <w:r w:rsidR="00611D21">
        <w:rPr>
          <w:rFonts w:ascii="Palatino Linotype" w:hAnsi="Palatino Linotype"/>
          <w:i/>
          <w:color w:val="000000" w:themeColor="text1"/>
          <w:sz w:val="22"/>
        </w:rPr>
        <w:t>negativa a permitir la consulta directa de la información;</w:t>
      </w:r>
    </w:p>
    <w:p w14:paraId="4FCA9B3F" w14:textId="04527850" w:rsidR="00515DEC" w:rsidRPr="00A85CB7" w:rsidRDefault="008F7752" w:rsidP="00390D2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1C5AB6B5" w14:textId="46B28510" w:rsidR="009F1566" w:rsidRDefault="009F1566" w:rsidP="00F96156">
      <w:pPr>
        <w:pStyle w:val="Ttulo2"/>
        <w:tabs>
          <w:tab w:val="left" w:pos="426"/>
        </w:tabs>
        <w:rPr>
          <w:rFonts w:ascii="Palatino Linotype" w:hAnsi="Palatino Linotype" w:cs="Arial"/>
          <w:b/>
          <w:color w:val="FF0000"/>
          <w:sz w:val="24"/>
        </w:rPr>
      </w:pPr>
    </w:p>
    <w:p w14:paraId="39915D71" w14:textId="77777777" w:rsidR="00340445" w:rsidRPr="00340445" w:rsidRDefault="00340445" w:rsidP="00340445">
      <w:pPr>
        <w:rPr>
          <w:lang w:eastAsia="en-US"/>
        </w:rPr>
      </w:pPr>
    </w:p>
    <w:p w14:paraId="5CEC2F48" w14:textId="21F2B653" w:rsidR="00EF014A" w:rsidRPr="00A85CB7" w:rsidRDefault="00751061" w:rsidP="00F96156">
      <w:pPr>
        <w:pStyle w:val="Ttulo2"/>
        <w:tabs>
          <w:tab w:val="left" w:pos="426"/>
        </w:tabs>
        <w:rPr>
          <w:rFonts w:ascii="Palatino Linotype" w:hAnsi="Palatino Linotype" w:cs="Arial"/>
          <w:b/>
          <w:color w:val="000000" w:themeColor="text1"/>
          <w:sz w:val="24"/>
        </w:rPr>
      </w:pPr>
      <w:bookmarkStart w:id="22" w:name="_Toc89209293"/>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2"/>
    </w:p>
    <w:p w14:paraId="481D9FB1" w14:textId="6B443AD7" w:rsidR="00A55D2B" w:rsidRPr="00A55D2B" w:rsidRDefault="00A55D2B"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3" w:name="_Toc89209294"/>
      <w:bookmarkStart w:id="24" w:name="_Toc466371865"/>
      <w:bookmarkStart w:id="25" w:name="_Toc466377653"/>
      <w:bookmarkEnd w:id="17"/>
      <w:bookmarkEnd w:id="18"/>
      <w:bookmarkEnd w:id="19"/>
      <w:bookmarkEnd w:id="20"/>
      <w:bookmarkEnd w:id="21"/>
      <w:r>
        <w:rPr>
          <w:rFonts w:ascii="Palatino Linotype" w:hAnsi="Palatino Linotype"/>
          <w:b/>
          <w:bCs/>
          <w:color w:val="000000" w:themeColor="text1"/>
        </w:rPr>
        <w:t xml:space="preserve">I. Del deber de las autoridades de promover, respetar, proteger y garantizar el derecho de acceso </w:t>
      </w:r>
      <w:r w:rsidR="00DA2D95">
        <w:rPr>
          <w:rFonts w:ascii="Palatino Linotype" w:hAnsi="Palatino Linotype"/>
          <w:b/>
          <w:bCs/>
          <w:color w:val="000000" w:themeColor="text1"/>
        </w:rPr>
        <w:t>a la información pública.</w:t>
      </w:r>
      <w:bookmarkEnd w:id="23"/>
    </w:p>
    <w:p w14:paraId="6E5EF818"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D3EE781" w14:textId="19E45090" w:rsidR="005937BC" w:rsidRPr="0055159A"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0055159A">
        <w:rPr>
          <w:rFonts w:ascii="Palatino Linotype" w:hAnsi="Palatino Linotype"/>
          <w:color w:val="000000" w:themeColor="text1"/>
        </w:rPr>
        <w:t>menester precisar</w:t>
      </w:r>
      <w:r w:rsidRPr="00DA2D95">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w:t>
      </w:r>
      <w:r w:rsidRPr="00DA2D95">
        <w:rPr>
          <w:rFonts w:ascii="Palatino Linotype" w:hAnsi="Palatino Linotype"/>
          <w:bCs/>
          <w:color w:val="000000" w:themeColor="text1"/>
        </w:rPr>
        <w:lastRenderedPageBreak/>
        <w:t xml:space="preserve">sobre Derechos Humanos en su artículo 13.1; en el artículo sexto de la Constitución Política de los Estados Unidos Mexicanos y en el artículo quinto de la Particular del Estado de México, por lo que al respecto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cuidadoso del debido cumplimiento de las obligaciones con</w:t>
      </w:r>
      <w:r w:rsidR="00C928FD">
        <w:rPr>
          <w:rFonts w:ascii="Palatino Linotype" w:hAnsi="Palatino Linotype"/>
          <w:bCs/>
          <w:color w:val="000000" w:themeColor="text1"/>
        </w:rPr>
        <w:t>stitucionales que se le imponen;</w:t>
      </w:r>
      <w:r w:rsidRPr="00DA2D95">
        <w:rPr>
          <w:rFonts w:ascii="Palatino Linotype" w:hAnsi="Palatino Linotype"/>
          <w:bCs/>
          <w:color w:val="000000" w:themeColor="text1"/>
        </w:rPr>
        <w:t xml:space="preserve"> en consecuencia, a todas las autoridades, en el ámbito de su competencia, según lo dispone el tercer párrafo del artículo primero de la </w:t>
      </w:r>
      <w:r w:rsidRPr="00DA2D95">
        <w:rPr>
          <w:rFonts w:ascii="Palatino Linotype" w:hAnsi="Palatino Linotype"/>
          <w:b/>
          <w:bCs/>
          <w:color w:val="000000" w:themeColor="text1"/>
        </w:rPr>
        <w:t>Constitución Política de los Estados Unidos Mexicanos</w:t>
      </w:r>
      <w:r w:rsidR="00C928FD">
        <w:rPr>
          <w:rFonts w:ascii="Palatino Linotype" w:hAnsi="Palatino Linotype"/>
          <w:bCs/>
          <w:color w:val="000000" w:themeColor="text1"/>
        </w:rPr>
        <w:t>, tienen</w:t>
      </w:r>
      <w:r w:rsidRPr="00DA2D95">
        <w:rPr>
          <w:rFonts w:ascii="Palatino Linotype" w:hAnsi="Palatino Linotype"/>
          <w:b/>
          <w:bCs/>
          <w:color w:val="000000" w:themeColor="text1"/>
        </w:rPr>
        <w:t xml:space="preserve"> </w:t>
      </w:r>
      <w:r w:rsidRPr="00DA2D95">
        <w:rPr>
          <w:rFonts w:ascii="Palatino Linotype" w:hAnsi="Palatino Linotype"/>
          <w:bCs/>
          <w:color w:val="000000" w:themeColor="text1"/>
        </w:rPr>
        <w:t xml:space="preserve">la obligación de “promover, </w:t>
      </w:r>
      <w:r w:rsidRPr="00DA2D95">
        <w:rPr>
          <w:rFonts w:ascii="Palatino Linotype" w:hAnsi="Palatino Linotype"/>
          <w:b/>
          <w:bCs/>
          <w:color w:val="000000" w:themeColor="text1"/>
        </w:rPr>
        <w:t>respetar</w:t>
      </w:r>
      <w:r w:rsidRPr="00DA2D95">
        <w:rPr>
          <w:rFonts w:ascii="Palatino Linotype" w:hAnsi="Palatino Linotype"/>
          <w:bCs/>
          <w:color w:val="000000" w:themeColor="text1"/>
        </w:rPr>
        <w:t xml:space="preserve">, proteger y </w:t>
      </w:r>
      <w:r w:rsidRPr="00DA2D95">
        <w:rPr>
          <w:rFonts w:ascii="Palatino Linotype" w:hAnsi="Palatino Linotype"/>
          <w:b/>
          <w:bCs/>
          <w:color w:val="000000" w:themeColor="text1"/>
        </w:rPr>
        <w:t>garantizar</w:t>
      </w:r>
      <w:r w:rsidRPr="00DA2D95">
        <w:rPr>
          <w:rFonts w:ascii="Palatino Linotype" w:hAnsi="Palatino Linotype"/>
          <w:bCs/>
          <w:color w:val="000000" w:themeColor="text1"/>
        </w:rPr>
        <w:t xml:space="preserve"> los derechos humanos”, entre los cuales se encuentra dicho derecho.</w:t>
      </w:r>
    </w:p>
    <w:p w14:paraId="30DF4DA3"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4827C937" w14:textId="30BDB510" w:rsidR="00A55D2B"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DA2D95">
        <w:rPr>
          <w:rFonts w:ascii="Palatino Linotype" w:hAnsi="Palatino Linotype"/>
          <w:color w:val="000000" w:themeColor="text1"/>
        </w:rPr>
        <w:t>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ABCDF96"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A4CB91B" w14:textId="05CBC681"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Así las cosas</w:t>
      </w:r>
      <w:r w:rsidR="00DA2D95">
        <w:rPr>
          <w:rFonts w:ascii="Palatino Linotype" w:hAnsi="Palatino Linotype"/>
          <w:color w:val="000000" w:themeColor="text1"/>
        </w:rPr>
        <w:t xml:space="preserve">, </w:t>
      </w:r>
      <w:r w:rsidR="00DA2D95" w:rsidRPr="00DA2D95">
        <w:rPr>
          <w:rFonts w:ascii="Palatino Linotype" w:hAnsi="Palatino Linotype"/>
          <w:color w:val="000000" w:themeColor="text1"/>
        </w:rPr>
        <w:t xml:space="preserve">podemos definir el Derecho de Acceso a la Información Pública como: </w:t>
      </w:r>
      <w:r w:rsidR="00DA2D95" w:rsidRPr="00DA2D95">
        <w:rPr>
          <w:rFonts w:ascii="Palatino Linotype" w:hAnsi="Palatino Linotype"/>
          <w:i/>
          <w:color w:val="000000" w:themeColor="text1"/>
        </w:rPr>
        <w:t>La igualdad de oportunidades para recibir, buscar e impartir información</w:t>
      </w:r>
      <w:r w:rsidR="00DA2D95" w:rsidRPr="00DA2D95">
        <w:rPr>
          <w:rFonts w:ascii="Palatino Linotype" w:hAnsi="Palatino Linotype"/>
          <w:i/>
          <w:color w:val="000000" w:themeColor="text1"/>
          <w:vertAlign w:val="superscript"/>
        </w:rPr>
        <w:footnoteReference w:id="1"/>
      </w:r>
      <w:r w:rsidR="00DA2D95" w:rsidRPr="00DA2D95">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DA2D95" w:rsidRPr="00DA2D95">
        <w:rPr>
          <w:rFonts w:ascii="Palatino Linotype" w:hAnsi="Palatino Linotype"/>
          <w:i/>
          <w:color w:val="000000" w:themeColor="text1"/>
          <w:vertAlign w:val="superscript"/>
        </w:rPr>
        <w:footnoteReference w:id="2"/>
      </w:r>
      <w:r w:rsidR="00DA2D95" w:rsidRPr="00DA2D95">
        <w:rPr>
          <w:rFonts w:ascii="Palatino Linotype" w:hAnsi="Palatino Linotype"/>
          <w:color w:val="000000" w:themeColor="text1"/>
        </w:rPr>
        <w:t>que se constituye como una herramienta fundamental para ejercer</w:t>
      </w:r>
      <w:r w:rsidR="00DA2D95" w:rsidRPr="00DA2D95">
        <w:rPr>
          <w:rFonts w:ascii="Palatino Linotype" w:hAnsi="Palatino Linotype"/>
          <w:i/>
          <w:color w:val="000000" w:themeColor="text1"/>
        </w:rPr>
        <w:t xml:space="preserve"> el control democrático de las gestiones estatales, </w:t>
      </w:r>
      <w:r w:rsidR="00DA2D95" w:rsidRPr="00DA2D95">
        <w:rPr>
          <w:rFonts w:ascii="Palatino Linotype" w:hAnsi="Palatino Linotype"/>
          <w:i/>
          <w:color w:val="000000" w:themeColor="text1"/>
        </w:rPr>
        <w:lastRenderedPageBreak/>
        <w:t>de forma tal que puedan cuestionar, indagar y considerar si se está dando un adecuado cumplimiento a las funciones públicas,</w:t>
      </w:r>
      <w:r w:rsidR="00DA2D95" w:rsidRPr="00DA2D95">
        <w:rPr>
          <w:rFonts w:ascii="Palatino Linotype" w:hAnsi="Palatino Linotype"/>
          <w:i/>
          <w:color w:val="000000" w:themeColor="text1"/>
          <w:vertAlign w:val="superscript"/>
        </w:rPr>
        <w:footnoteReference w:id="3"/>
      </w:r>
      <w:r w:rsidR="00DA2D95" w:rsidRPr="00DA2D95">
        <w:rPr>
          <w:rFonts w:ascii="Palatino Linotype" w:hAnsi="Palatino Linotype"/>
          <w:i/>
          <w:color w:val="000000" w:themeColor="text1"/>
        </w:rPr>
        <w:t xml:space="preserve"> </w:t>
      </w:r>
      <w:r w:rsidR="00DA2D95" w:rsidRPr="00DA2D95">
        <w:rPr>
          <w:rFonts w:ascii="Palatino Linotype" w:hAnsi="Palatino Linotype"/>
          <w:color w:val="000000" w:themeColor="text1"/>
        </w:rPr>
        <w:t>fomentando</w:t>
      </w:r>
      <w:r w:rsidR="00DA2D95" w:rsidRPr="00DA2D95">
        <w:rPr>
          <w:rFonts w:ascii="Palatino Linotype" w:hAnsi="Palatino Linotype"/>
          <w:i/>
          <w:color w:val="000000" w:themeColor="text1"/>
        </w:rPr>
        <w:t xml:space="preserve"> la transparencia de las actividades estatales y </w:t>
      </w:r>
      <w:r w:rsidR="00DA2D95" w:rsidRPr="00DA2D95">
        <w:rPr>
          <w:rFonts w:ascii="Palatino Linotype" w:hAnsi="Palatino Linotype"/>
          <w:color w:val="000000" w:themeColor="text1"/>
        </w:rPr>
        <w:t>promoviendo</w:t>
      </w:r>
      <w:r w:rsidR="00DA2D95" w:rsidRPr="00DA2D95">
        <w:rPr>
          <w:rFonts w:ascii="Palatino Linotype" w:hAnsi="Palatino Linotype"/>
          <w:i/>
          <w:color w:val="000000" w:themeColor="text1"/>
        </w:rPr>
        <w:t xml:space="preserve"> la responsabilidad de los funcionarios sobre su gestión pública,</w:t>
      </w:r>
      <w:r w:rsidR="00DA2D95" w:rsidRPr="00DA2D95">
        <w:rPr>
          <w:rFonts w:ascii="Palatino Linotype" w:hAnsi="Palatino Linotype"/>
          <w:i/>
          <w:color w:val="000000" w:themeColor="text1"/>
          <w:vertAlign w:val="superscript"/>
        </w:rPr>
        <w:footnoteReference w:id="4"/>
      </w:r>
      <w:r w:rsidR="00DA2D95" w:rsidRPr="00DA2D95">
        <w:rPr>
          <w:rFonts w:ascii="Palatino Linotype" w:hAnsi="Palatino Linotype"/>
          <w:color w:val="000000" w:themeColor="text1"/>
        </w:rPr>
        <w:t>que permite</w:t>
      </w:r>
      <w:r w:rsidR="00DA2D95" w:rsidRPr="00DA2D9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9547B95"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8471CFD" w14:textId="04632101"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otro lado</w:t>
      </w:r>
      <w:r w:rsidR="0055159A">
        <w:rPr>
          <w:rFonts w:ascii="Palatino Linotype" w:hAnsi="Palatino Linotype"/>
          <w:color w:val="000000" w:themeColor="text1"/>
        </w:rPr>
        <w:t xml:space="preserve">, </w:t>
      </w:r>
      <w:r w:rsidR="0055159A" w:rsidRPr="0055159A">
        <w:rPr>
          <w:rFonts w:ascii="Palatino Linotype" w:hAnsi="Palatino Linotype"/>
          <w:color w:val="000000" w:themeColor="text1"/>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846BA">
        <w:rPr>
          <w:rFonts w:ascii="Palatino Linotype" w:hAnsi="Palatino Linotype"/>
          <w:color w:val="000000" w:themeColor="text1"/>
        </w:rPr>
        <w:t>,</w:t>
      </w:r>
      <w:r w:rsidR="0055159A" w:rsidRPr="0055159A">
        <w:rPr>
          <w:rFonts w:ascii="Palatino Linotype" w:hAnsi="Palatino Linotype"/>
          <w:color w:val="000000" w:themeColor="text1"/>
        </w:rPr>
        <w:t xml:space="preserve">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0C204A57" w14:textId="2E13BFC4"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6B0833E" w14:textId="39E5242D" w:rsidR="00DA2D95" w:rsidRPr="00DA2D95" w:rsidRDefault="00FC03FD"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9209295"/>
      <w:r>
        <w:rPr>
          <w:rFonts w:ascii="Palatino Linotype" w:hAnsi="Palatino Linotype"/>
          <w:b/>
          <w:bCs/>
          <w:color w:val="000000" w:themeColor="text1"/>
        </w:rPr>
        <w:t>II. Del trámite y respuesta</w:t>
      </w:r>
      <w:r w:rsidR="00D00269">
        <w:rPr>
          <w:rFonts w:ascii="Palatino Linotype" w:hAnsi="Palatino Linotype"/>
          <w:b/>
          <w:bCs/>
          <w:color w:val="000000" w:themeColor="text1"/>
        </w:rPr>
        <w:t xml:space="preserve"> a la solicitud de información</w:t>
      </w:r>
      <w:r w:rsidR="00DA2D95">
        <w:rPr>
          <w:rFonts w:ascii="Palatino Linotype" w:hAnsi="Palatino Linotype"/>
          <w:b/>
          <w:bCs/>
          <w:color w:val="000000" w:themeColor="text1"/>
        </w:rPr>
        <w:t>.</w:t>
      </w:r>
      <w:bookmarkEnd w:id="26"/>
    </w:p>
    <w:p w14:paraId="47DD46B3"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3DD2D82" w14:textId="292C3DD0" w:rsidR="00FC03FD" w:rsidRPr="00BC7E69" w:rsidRDefault="00FC03FD" w:rsidP="00FC03F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Ley </w:t>
      </w:r>
      <w:r w:rsidRPr="00A44BE6">
        <w:rPr>
          <w:rFonts w:ascii="Palatino Linotype" w:hAnsi="Palatino Linotype"/>
          <w:color w:val="000000" w:themeColor="text1"/>
        </w:rPr>
        <w:t xml:space="preserve">de Transparencia y Acceso a la Información Pública del Estado de México y Municipios, en su artículo 150, establece que el procedimiento de acceso a la información es la garantía primaria del derecho en cuestión y se rige por los </w:t>
      </w:r>
      <w:r w:rsidRPr="00A44BE6">
        <w:rPr>
          <w:rFonts w:ascii="Palatino Linotype" w:hAnsi="Palatino Linotype"/>
          <w:color w:val="000000" w:themeColor="text1"/>
        </w:rPr>
        <w:lastRenderedPageBreak/>
        <w:t>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77279B8E" w14:textId="77777777" w:rsidR="00FC03FD" w:rsidRPr="00BC7E69" w:rsidRDefault="00FC03FD" w:rsidP="00FC03FD">
      <w:pPr>
        <w:pStyle w:val="Prrafodelista"/>
        <w:tabs>
          <w:tab w:val="left" w:pos="426"/>
        </w:tabs>
        <w:spacing w:before="240" w:after="240" w:line="360" w:lineRule="auto"/>
        <w:ind w:left="0" w:right="51"/>
        <w:jc w:val="both"/>
        <w:rPr>
          <w:rFonts w:ascii="Palatino Linotype" w:hAnsi="Palatino Linotype"/>
          <w:color w:val="000000" w:themeColor="text1"/>
        </w:rPr>
      </w:pPr>
    </w:p>
    <w:p w14:paraId="458793CB" w14:textId="77777777" w:rsidR="00FC03FD" w:rsidRPr="00BC7E69" w:rsidRDefault="00FC03FD" w:rsidP="00FC03F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956116">
        <w:rPr>
          <w:rFonts w:ascii="Palatino Linotype" w:hAnsi="Palatino Linotype" w:cs="Arial"/>
        </w:rPr>
        <w:t xml:space="preserve">atender las solicitudes de información, los Sujetos Obligados contarán con un área denominada </w:t>
      </w:r>
      <w:r w:rsidRPr="00956116">
        <w:rPr>
          <w:rFonts w:ascii="Palatino Linotype" w:hAnsi="Palatino Linotype" w:cs="Arial"/>
          <w:b/>
          <w:bCs/>
        </w:rPr>
        <w:t>Unidad de Transparencia</w:t>
      </w:r>
      <w:r w:rsidRPr="00956116">
        <w:rPr>
          <w:rFonts w:ascii="Palatino Linotype" w:hAnsi="Palatino Linotype" w:cs="Arial"/>
          <w:vertAlign w:val="superscript"/>
        </w:rPr>
        <w:footnoteReference w:id="5"/>
      </w:r>
      <w:r w:rsidRPr="00956116">
        <w:rPr>
          <w:rFonts w:ascii="Palatino Linotype" w:hAnsi="Palatino Linotype" w:cs="Arial"/>
        </w:rPr>
        <w:t xml:space="preserve">, la cual será presidida por un Titular, quien fungirá como enlace entre éstos y los solicitantes. Dicha Unidad </w:t>
      </w:r>
      <w:r w:rsidRPr="00956116">
        <w:rPr>
          <w:rFonts w:ascii="Palatino Linotype" w:hAnsi="Palatino Linotype" w:cs="Arial"/>
          <w:b/>
          <w:bCs/>
        </w:rPr>
        <w:t>será la encargada de tramitar internamente la solicitud de información</w:t>
      </w:r>
      <w:r w:rsidRPr="00956116">
        <w:rPr>
          <w:rFonts w:ascii="Palatino Linotype" w:hAnsi="Palatino Linotype" w:cs="Arial"/>
        </w:rPr>
        <w:t xml:space="preserve"> y tendrá la responsabilidad de verificar en cada caso que la misma no sea confidencial o reservada. Asimismo, contará con las facultades internas necesarias para </w:t>
      </w:r>
      <w:r w:rsidRPr="00956116">
        <w:rPr>
          <w:rFonts w:ascii="Palatino Linotype" w:hAnsi="Palatino Linotype" w:cs="Arial"/>
          <w:b/>
          <w:bCs/>
        </w:rPr>
        <w:t xml:space="preserve">gestionar la atención a las solicitudes de información </w:t>
      </w:r>
      <w:r w:rsidRPr="00956116">
        <w:rPr>
          <w:rFonts w:ascii="Palatino Linotype" w:hAnsi="Palatino Linotype" w:cs="Arial"/>
        </w:rPr>
        <w:t>en los términos de la Ley General y la Ley de Transparencia y Acceso a la Información Pública del Estado de México y Municipios</w:t>
      </w:r>
      <w:r w:rsidRPr="00956116">
        <w:rPr>
          <w:rFonts w:ascii="Palatino Linotype" w:hAnsi="Palatino Linotype" w:cs="Arial"/>
          <w:vertAlign w:val="superscript"/>
        </w:rPr>
        <w:footnoteReference w:id="6"/>
      </w:r>
      <w:r w:rsidRPr="00956116">
        <w:rPr>
          <w:rFonts w:ascii="Palatino Linotype" w:hAnsi="Palatino Linotype" w:cs="Arial"/>
        </w:rPr>
        <w:t>.</w:t>
      </w:r>
    </w:p>
    <w:p w14:paraId="7D3D9A4D" w14:textId="77777777" w:rsidR="00FC03FD" w:rsidRPr="00BC7E69" w:rsidRDefault="00FC03FD" w:rsidP="00FC03FD">
      <w:pPr>
        <w:pStyle w:val="Prrafodelista"/>
        <w:tabs>
          <w:tab w:val="left" w:pos="426"/>
        </w:tabs>
        <w:spacing w:before="240" w:after="240" w:line="360" w:lineRule="auto"/>
        <w:ind w:left="0" w:right="51"/>
        <w:jc w:val="both"/>
        <w:rPr>
          <w:rFonts w:ascii="Palatino Linotype" w:hAnsi="Palatino Linotype"/>
          <w:color w:val="000000" w:themeColor="text1"/>
        </w:rPr>
      </w:pPr>
    </w:p>
    <w:p w14:paraId="3F5567B8" w14:textId="77777777" w:rsidR="00FC03FD" w:rsidRPr="007B2587" w:rsidRDefault="00FC03FD" w:rsidP="00FC03F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4A78DF7A" w14:textId="77777777" w:rsidR="00FC03FD" w:rsidRPr="007B2587" w:rsidRDefault="00FC03FD" w:rsidP="007814CC">
      <w:pPr>
        <w:pStyle w:val="Prrafodelista"/>
        <w:numPr>
          <w:ilvl w:val="1"/>
          <w:numId w:val="6"/>
        </w:numPr>
        <w:tabs>
          <w:tab w:val="left" w:pos="426"/>
        </w:tabs>
        <w:spacing w:before="240" w:after="240" w:line="360" w:lineRule="auto"/>
        <w:ind w:left="1418" w:right="51"/>
        <w:jc w:val="both"/>
        <w:rPr>
          <w:rFonts w:ascii="Palatino Linotype" w:hAnsi="Palatino Linotype" w:cs="Arial"/>
          <w:color w:val="000000" w:themeColor="text1"/>
        </w:rPr>
      </w:pPr>
      <w:r>
        <w:rPr>
          <w:rFonts w:ascii="Palatino Linotype" w:hAnsi="Palatino Linotype" w:cs="Arial"/>
          <w:color w:val="000000" w:themeColor="text1"/>
        </w:rPr>
        <w:t xml:space="preserve">Recibir, </w:t>
      </w:r>
      <w:r w:rsidRPr="007B2587">
        <w:rPr>
          <w:rFonts w:ascii="Palatino Linotype" w:hAnsi="Palatino Linotype" w:cs="Arial"/>
          <w:color w:val="000000" w:themeColor="text1"/>
        </w:rPr>
        <w:t>tramitar y dar respuesta a las solicitudes de acceso a la información;</w:t>
      </w:r>
    </w:p>
    <w:p w14:paraId="1A2218CC" w14:textId="77777777" w:rsidR="00FC03FD" w:rsidRPr="007B2587" w:rsidRDefault="00FC03FD" w:rsidP="007814CC">
      <w:pPr>
        <w:pStyle w:val="Prrafodelista"/>
        <w:numPr>
          <w:ilvl w:val="1"/>
          <w:numId w:val="6"/>
        </w:numPr>
        <w:tabs>
          <w:tab w:val="left" w:pos="426"/>
        </w:tabs>
        <w:spacing w:before="240" w:after="240" w:line="360" w:lineRule="auto"/>
        <w:ind w:left="1418" w:right="51"/>
        <w:jc w:val="both"/>
        <w:rPr>
          <w:rFonts w:ascii="Palatino Linotype" w:hAnsi="Palatino Linotype" w:cs="Arial"/>
          <w:color w:val="000000" w:themeColor="text1"/>
        </w:rPr>
      </w:pPr>
      <w:r w:rsidRPr="007B2587">
        <w:rPr>
          <w:rFonts w:ascii="Palatino Linotype" w:hAnsi="Palatino Linotype" w:cs="Arial"/>
          <w:color w:val="000000" w:themeColor="text1"/>
        </w:rPr>
        <w:t xml:space="preserve">Realizar, con efectividad, los trámites internos necesarios para la atención de las solicitudes de acceso a la información; </w:t>
      </w:r>
    </w:p>
    <w:p w14:paraId="291E1CE8" w14:textId="77777777" w:rsidR="00FC03FD" w:rsidRPr="007B2587" w:rsidRDefault="00FC03FD" w:rsidP="007814CC">
      <w:pPr>
        <w:pStyle w:val="Prrafodelista"/>
        <w:numPr>
          <w:ilvl w:val="1"/>
          <w:numId w:val="6"/>
        </w:numPr>
        <w:tabs>
          <w:tab w:val="left" w:pos="426"/>
        </w:tabs>
        <w:spacing w:before="240" w:after="240" w:line="360" w:lineRule="auto"/>
        <w:ind w:left="1418" w:right="51"/>
        <w:jc w:val="both"/>
        <w:rPr>
          <w:rFonts w:ascii="Palatino Linotype" w:hAnsi="Palatino Linotype" w:cs="Arial"/>
          <w:color w:val="000000" w:themeColor="text1"/>
        </w:rPr>
      </w:pPr>
      <w:r w:rsidRPr="007B2587">
        <w:rPr>
          <w:rFonts w:ascii="Palatino Linotype" w:hAnsi="Palatino Linotype" w:cs="Arial"/>
          <w:color w:val="000000" w:themeColor="text1"/>
        </w:rPr>
        <w:lastRenderedPageBreak/>
        <w:t xml:space="preserve">Entregar, en su caso, a los particulares la información solicitada; y </w:t>
      </w:r>
    </w:p>
    <w:p w14:paraId="0347BF1C" w14:textId="77777777" w:rsidR="00FC03FD" w:rsidRPr="00BC7E69" w:rsidRDefault="00FC03FD" w:rsidP="007814CC">
      <w:pPr>
        <w:pStyle w:val="Prrafodelista"/>
        <w:numPr>
          <w:ilvl w:val="1"/>
          <w:numId w:val="6"/>
        </w:numPr>
        <w:tabs>
          <w:tab w:val="left" w:pos="426"/>
        </w:tabs>
        <w:spacing w:before="240" w:after="240" w:line="360" w:lineRule="auto"/>
        <w:ind w:left="1418" w:right="51"/>
        <w:jc w:val="both"/>
        <w:rPr>
          <w:rFonts w:ascii="Palatino Linotype" w:hAnsi="Palatino Linotype"/>
          <w:color w:val="000000" w:themeColor="text1"/>
        </w:rPr>
      </w:pPr>
      <w:r w:rsidRPr="007B2587">
        <w:rPr>
          <w:rFonts w:ascii="Palatino Linotype" w:hAnsi="Palatino Linotype" w:cs="Arial"/>
          <w:color w:val="000000" w:themeColor="text1"/>
        </w:rPr>
        <w:t>Hacer del conocimiento de la instancia competente la probable responsabilidad por el incumplimiento de las obligaciones previstas en la presente Ley.</w:t>
      </w:r>
    </w:p>
    <w:p w14:paraId="727B4BF1" w14:textId="77777777" w:rsidR="00FC03FD" w:rsidRPr="00BC7E69" w:rsidRDefault="00FC03FD" w:rsidP="00FC03FD">
      <w:pPr>
        <w:pStyle w:val="Prrafodelista"/>
        <w:tabs>
          <w:tab w:val="left" w:pos="426"/>
        </w:tabs>
        <w:spacing w:before="240" w:after="240" w:line="360" w:lineRule="auto"/>
        <w:ind w:left="0" w:right="51"/>
        <w:jc w:val="both"/>
        <w:rPr>
          <w:rFonts w:ascii="Palatino Linotype" w:hAnsi="Palatino Linotype"/>
          <w:color w:val="000000" w:themeColor="text1"/>
        </w:rPr>
      </w:pPr>
    </w:p>
    <w:p w14:paraId="7F1D5449" w14:textId="77777777" w:rsidR="00FC03FD" w:rsidRPr="007B2587" w:rsidRDefault="00FC03FD" w:rsidP="00FC03F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Otros </w:t>
      </w:r>
      <w:r>
        <w:rPr>
          <w:rFonts w:ascii="Palatino Linotype" w:hAnsi="Palatino Linotype" w:cs="Arial"/>
          <w:color w:val="000000" w:themeColor="text1"/>
        </w:rPr>
        <w:t xml:space="preserve">sujetos del proceso de atención a las solicitudes de información son los servidores públicos habilitados, quienes </w:t>
      </w:r>
      <w:r w:rsidRPr="00A67297">
        <w:rPr>
          <w:rFonts w:ascii="Palatino Linotype" w:hAnsi="Palatino Linotype" w:cs="Arial"/>
          <w:color w:val="000000" w:themeColor="text1"/>
        </w:rPr>
        <w:t>serán designados por el titular del Sujeto Obligado a propuesta del responsable de la Unidad de Transparencia</w:t>
      </w:r>
      <w:r>
        <w:rPr>
          <w:rStyle w:val="Refdenotaalpie"/>
          <w:rFonts w:ascii="Palatino Linotype" w:hAnsi="Palatino Linotype" w:cs="Arial"/>
          <w:color w:val="000000" w:themeColor="text1"/>
        </w:rPr>
        <w:footnoteReference w:id="7"/>
      </w:r>
      <w:r>
        <w:rPr>
          <w:rFonts w:ascii="Palatino Linotype" w:hAnsi="Palatino Linotype" w:cs="Arial"/>
          <w:color w:val="000000" w:themeColor="text1"/>
        </w:rPr>
        <w:t xml:space="preserve"> y tendrán, entre sus atribuciones, las siguientes</w:t>
      </w:r>
      <w:r>
        <w:rPr>
          <w:rStyle w:val="Refdenotaalpie"/>
          <w:rFonts w:ascii="Palatino Linotype" w:hAnsi="Palatino Linotype" w:cs="Arial"/>
          <w:color w:val="000000" w:themeColor="text1"/>
        </w:rPr>
        <w:footnoteReference w:id="8"/>
      </w:r>
      <w:r>
        <w:rPr>
          <w:rFonts w:ascii="Palatino Linotype" w:hAnsi="Palatino Linotype" w:cs="Arial"/>
          <w:color w:val="000000" w:themeColor="text1"/>
        </w:rPr>
        <w:t>:</w:t>
      </w:r>
    </w:p>
    <w:p w14:paraId="23376F7B" w14:textId="77777777" w:rsidR="00FC03FD" w:rsidRPr="00A44BE6" w:rsidRDefault="00FC03FD" w:rsidP="007814CC">
      <w:pPr>
        <w:pStyle w:val="Prrafodelista"/>
        <w:numPr>
          <w:ilvl w:val="1"/>
          <w:numId w:val="7"/>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s="Arial"/>
          <w:color w:val="000000" w:themeColor="text1"/>
        </w:rPr>
        <w:t xml:space="preserve">Localizar </w:t>
      </w:r>
      <w:r w:rsidRPr="00A44BE6">
        <w:rPr>
          <w:rFonts w:ascii="Palatino Linotype" w:hAnsi="Palatino Linotype" w:cs="Arial"/>
          <w:color w:val="000000" w:themeColor="text1"/>
        </w:rPr>
        <w:t>la información que le solicite la Unidad de Transparencia; y</w:t>
      </w:r>
    </w:p>
    <w:p w14:paraId="20BC7802" w14:textId="77777777" w:rsidR="00FC03FD" w:rsidRPr="00BC7E69" w:rsidRDefault="00FC03FD" w:rsidP="007814CC">
      <w:pPr>
        <w:pStyle w:val="Prrafodelista"/>
        <w:numPr>
          <w:ilvl w:val="1"/>
          <w:numId w:val="7"/>
        </w:numPr>
        <w:tabs>
          <w:tab w:val="left" w:pos="426"/>
        </w:tabs>
        <w:spacing w:before="240" w:after="240" w:line="360" w:lineRule="auto"/>
        <w:ind w:right="51"/>
        <w:jc w:val="both"/>
        <w:rPr>
          <w:rFonts w:ascii="Palatino Linotype" w:hAnsi="Palatino Linotype"/>
          <w:color w:val="000000" w:themeColor="text1"/>
        </w:rPr>
      </w:pPr>
      <w:r w:rsidRPr="00A44BE6">
        <w:rPr>
          <w:rFonts w:ascii="Palatino Linotype" w:hAnsi="Palatino Linotype" w:cs="Arial"/>
          <w:color w:val="000000" w:themeColor="text1"/>
        </w:rPr>
        <w:t>Proporcionar la información que obre en los archivos y que le sea solicitada por la Unidad de Transparencia.</w:t>
      </w:r>
    </w:p>
    <w:p w14:paraId="7954B2A6" w14:textId="77777777" w:rsidR="00FC03FD" w:rsidRPr="00BC7E69" w:rsidRDefault="00FC03FD" w:rsidP="00FC03FD">
      <w:pPr>
        <w:pStyle w:val="Prrafodelista"/>
        <w:tabs>
          <w:tab w:val="left" w:pos="426"/>
        </w:tabs>
        <w:spacing w:before="240" w:after="240" w:line="360" w:lineRule="auto"/>
        <w:ind w:left="0" w:right="51"/>
        <w:jc w:val="both"/>
        <w:rPr>
          <w:rFonts w:ascii="Palatino Linotype" w:hAnsi="Palatino Linotype"/>
          <w:color w:val="000000" w:themeColor="text1"/>
        </w:rPr>
      </w:pPr>
    </w:p>
    <w:p w14:paraId="415686E9" w14:textId="77777777" w:rsidR="00FC03FD" w:rsidRPr="00BC7E69" w:rsidRDefault="00FC03FD" w:rsidP="00FC03F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 xml:space="preserve">tal manera que cada una de las áreas administrativas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2F82752F" w14:textId="77777777" w:rsidR="00FC03FD" w:rsidRPr="00BC7E69" w:rsidRDefault="00FC03FD" w:rsidP="00FC03FD">
      <w:pPr>
        <w:pStyle w:val="Prrafodelista"/>
        <w:tabs>
          <w:tab w:val="left" w:pos="426"/>
        </w:tabs>
        <w:spacing w:before="240" w:after="240" w:line="360" w:lineRule="auto"/>
        <w:ind w:left="0" w:right="51"/>
        <w:jc w:val="both"/>
        <w:rPr>
          <w:rFonts w:ascii="Palatino Linotype" w:hAnsi="Palatino Linotype"/>
          <w:color w:val="000000" w:themeColor="text1"/>
        </w:rPr>
      </w:pPr>
    </w:p>
    <w:p w14:paraId="0F8F7B4B" w14:textId="19AE1495" w:rsidR="00910076" w:rsidRPr="00910076" w:rsidRDefault="00FC03F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U</w:t>
      </w:r>
      <w:r w:rsidR="00910076">
        <w:rPr>
          <w:rFonts w:ascii="Palatino Linotype" w:hAnsi="Palatino Linotype"/>
          <w:color w:val="000000" w:themeColor="text1"/>
        </w:rPr>
        <w:t xml:space="preserve">na </w:t>
      </w:r>
      <w:r w:rsidR="00910076">
        <w:rPr>
          <w:rFonts w:ascii="Palatino Linotype" w:hAnsi="Palatino Linotype"/>
        </w:rPr>
        <w:t>vez expuesto lo anterior</w:t>
      </w:r>
      <w:r w:rsidR="00910076" w:rsidRPr="0053687A">
        <w:rPr>
          <w:rFonts w:ascii="Palatino Linotype" w:hAnsi="Palatino Linotype"/>
        </w:rPr>
        <w:t xml:space="preserve">, </w:t>
      </w:r>
      <w:r w:rsidR="00910076">
        <w:rPr>
          <w:rFonts w:ascii="Palatino Linotype" w:hAnsi="Palatino Linotype"/>
        </w:rPr>
        <w:t xml:space="preserve">de la lectura a la solicitud de información </w:t>
      </w:r>
      <w:r w:rsidR="00561DCB">
        <w:rPr>
          <w:rFonts w:ascii="Palatino Linotype" w:hAnsi="Palatino Linotype"/>
          <w:b/>
          <w:bCs/>
        </w:rPr>
        <w:t>00183/CHIMALHU/IP/2021</w:t>
      </w:r>
      <w:r w:rsidR="00910076">
        <w:rPr>
          <w:rFonts w:ascii="Palatino Linotype" w:hAnsi="Palatino Linotype"/>
        </w:rPr>
        <w:t xml:space="preserve">, y como fuera señalado en el </w:t>
      </w:r>
      <w:r w:rsidR="00910076">
        <w:rPr>
          <w:rFonts w:ascii="Palatino Linotype" w:hAnsi="Palatino Linotype"/>
          <w:i/>
          <w:iCs/>
        </w:rPr>
        <w:t>Planteamiento de la Litis</w:t>
      </w:r>
      <w:r w:rsidR="00910076">
        <w:rPr>
          <w:rFonts w:ascii="Palatino Linotype" w:hAnsi="Palatino Linotype"/>
        </w:rPr>
        <w:t xml:space="preserve"> de </w:t>
      </w:r>
      <w:r w:rsidR="00910076">
        <w:rPr>
          <w:rFonts w:ascii="Palatino Linotype" w:hAnsi="Palatino Linotype"/>
        </w:rPr>
        <w:lastRenderedPageBreak/>
        <w:t xml:space="preserve">esta resolución, se advierte que el particular requirió al </w:t>
      </w:r>
      <w:r w:rsidR="00561DCB">
        <w:rPr>
          <w:rFonts w:ascii="Palatino Linotype" w:hAnsi="Palatino Linotype"/>
        </w:rPr>
        <w:t>Ayuntamiento de Chimalhuacán</w:t>
      </w:r>
      <w:r w:rsidR="006F19C2">
        <w:rPr>
          <w:rFonts w:ascii="Palatino Linotype" w:hAnsi="Palatino Linotype"/>
        </w:rPr>
        <w:t xml:space="preserve"> acceder, vía consulta directa, a la siguiente información</w:t>
      </w:r>
      <w:r w:rsidR="00437909">
        <w:rPr>
          <w:rFonts w:ascii="Palatino Linotype" w:hAnsi="Palatino Linotype"/>
        </w:rPr>
        <w:t>:</w:t>
      </w:r>
    </w:p>
    <w:p w14:paraId="7F34FA8F" w14:textId="5D125789" w:rsidR="00C24FF3" w:rsidRPr="00FC03FD" w:rsidRDefault="006F19C2" w:rsidP="00CE1B49">
      <w:pPr>
        <w:pStyle w:val="Prrafodelista"/>
        <w:numPr>
          <w:ilvl w:val="1"/>
          <w:numId w:val="5"/>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Planos catastrales y manzaneros </w:t>
      </w:r>
      <w:r w:rsidR="00CE1B49">
        <w:rPr>
          <w:rFonts w:ascii="Palatino Linotype" w:hAnsi="Palatino Linotype"/>
          <w:color w:val="000000" w:themeColor="text1"/>
        </w:rPr>
        <w:t>de la localidad denominada</w:t>
      </w:r>
      <w:r>
        <w:rPr>
          <w:rFonts w:ascii="Palatino Linotype" w:hAnsi="Palatino Linotype"/>
          <w:color w:val="000000" w:themeColor="text1"/>
        </w:rPr>
        <w:t xml:space="preserve"> Villa San Agustín Atlapulco.</w:t>
      </w:r>
    </w:p>
    <w:p w14:paraId="7B3B0A18"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63B35938" w14:textId="03EB8BDB" w:rsidR="00D67085" w:rsidRDefault="00FC03FD" w:rsidP="00D670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las constancias que obran en el expediente digital del SAIMEX, se aprecia que la Unidad de Transparencia del </w:t>
      </w:r>
      <w:r>
        <w:rPr>
          <w:rFonts w:ascii="Palatino Linotype" w:hAnsi="Palatino Linotype"/>
          <w:b/>
          <w:color w:val="000000" w:themeColor="text1"/>
        </w:rPr>
        <w:t>SUJETO OBLIGADO</w:t>
      </w:r>
      <w:r>
        <w:rPr>
          <w:rFonts w:ascii="Palatino Linotype" w:hAnsi="Palatino Linotype"/>
          <w:color w:val="000000" w:themeColor="text1"/>
        </w:rPr>
        <w:t xml:space="preserve"> turnó la solicitud de información </w:t>
      </w:r>
      <w:r w:rsidR="00561DCB">
        <w:rPr>
          <w:rFonts w:ascii="Palatino Linotype" w:hAnsi="Palatino Linotype"/>
          <w:b/>
          <w:color w:val="000000" w:themeColor="text1"/>
        </w:rPr>
        <w:t>00183/CHIMALHU/IP/2021</w:t>
      </w:r>
      <w:r>
        <w:rPr>
          <w:rFonts w:ascii="Palatino Linotype" w:hAnsi="Palatino Linotype"/>
          <w:color w:val="000000" w:themeColor="text1"/>
        </w:rPr>
        <w:t xml:space="preserve"> a</w:t>
      </w:r>
      <w:r w:rsidR="006F19C2">
        <w:rPr>
          <w:rFonts w:ascii="Palatino Linotype" w:hAnsi="Palatino Linotype"/>
          <w:color w:val="000000" w:themeColor="text1"/>
        </w:rPr>
        <w:t xml:space="preserve"> </w:t>
      </w:r>
      <w:r>
        <w:rPr>
          <w:rFonts w:ascii="Palatino Linotype" w:hAnsi="Palatino Linotype"/>
          <w:color w:val="000000" w:themeColor="text1"/>
        </w:rPr>
        <w:t>l</w:t>
      </w:r>
      <w:r w:rsidR="006F19C2">
        <w:rPr>
          <w:rFonts w:ascii="Palatino Linotype" w:hAnsi="Palatino Linotype"/>
          <w:color w:val="000000" w:themeColor="text1"/>
        </w:rPr>
        <w:t>a</w:t>
      </w:r>
      <w:r>
        <w:rPr>
          <w:rFonts w:ascii="Palatino Linotype" w:hAnsi="Palatino Linotype"/>
          <w:color w:val="000000" w:themeColor="text1"/>
        </w:rPr>
        <w:t xml:space="preserve"> Servidor</w:t>
      </w:r>
      <w:r w:rsidR="006F19C2">
        <w:rPr>
          <w:rFonts w:ascii="Palatino Linotype" w:hAnsi="Palatino Linotype"/>
          <w:color w:val="000000" w:themeColor="text1"/>
        </w:rPr>
        <w:t>a</w:t>
      </w:r>
      <w:r>
        <w:rPr>
          <w:rFonts w:ascii="Palatino Linotype" w:hAnsi="Palatino Linotype"/>
          <w:color w:val="000000" w:themeColor="text1"/>
        </w:rPr>
        <w:t xml:space="preserve"> Públic</w:t>
      </w:r>
      <w:r w:rsidR="006F19C2">
        <w:rPr>
          <w:rFonts w:ascii="Palatino Linotype" w:hAnsi="Palatino Linotype"/>
          <w:color w:val="000000" w:themeColor="text1"/>
        </w:rPr>
        <w:t>a</w:t>
      </w:r>
      <w:r>
        <w:rPr>
          <w:rFonts w:ascii="Palatino Linotype" w:hAnsi="Palatino Linotype"/>
          <w:color w:val="000000" w:themeColor="text1"/>
        </w:rPr>
        <w:t xml:space="preserve"> Habilitad</w:t>
      </w:r>
      <w:r w:rsidR="006F19C2">
        <w:rPr>
          <w:rFonts w:ascii="Palatino Linotype" w:hAnsi="Palatino Linotype"/>
          <w:color w:val="000000" w:themeColor="text1"/>
        </w:rPr>
        <w:t>a</w:t>
      </w:r>
      <w:r>
        <w:rPr>
          <w:rFonts w:ascii="Palatino Linotype" w:hAnsi="Palatino Linotype"/>
          <w:color w:val="000000" w:themeColor="text1"/>
        </w:rPr>
        <w:t xml:space="preserve"> </w:t>
      </w:r>
      <w:r w:rsidR="006F19C2">
        <w:rPr>
          <w:rFonts w:ascii="Palatino Linotype" w:hAnsi="Palatino Linotype"/>
          <w:i/>
          <w:color w:val="000000" w:themeColor="text1"/>
        </w:rPr>
        <w:t>Lic. Flor Isabel Quintal Mendoza</w:t>
      </w:r>
      <w:r>
        <w:rPr>
          <w:rFonts w:ascii="Palatino Linotype" w:hAnsi="Palatino Linotype"/>
          <w:color w:val="000000" w:themeColor="text1"/>
        </w:rPr>
        <w:t>, mism</w:t>
      </w:r>
      <w:r w:rsidR="006F19C2">
        <w:rPr>
          <w:rFonts w:ascii="Palatino Linotype" w:hAnsi="Palatino Linotype"/>
          <w:color w:val="000000" w:themeColor="text1"/>
        </w:rPr>
        <w:t>a</w:t>
      </w:r>
      <w:r w:rsidR="00E9230E">
        <w:rPr>
          <w:rFonts w:ascii="Palatino Linotype" w:hAnsi="Palatino Linotype"/>
          <w:color w:val="000000" w:themeColor="text1"/>
        </w:rPr>
        <w:t xml:space="preserve"> que,</w:t>
      </w:r>
      <w:r>
        <w:rPr>
          <w:rFonts w:ascii="Palatino Linotype" w:hAnsi="Palatino Linotype"/>
          <w:color w:val="000000" w:themeColor="text1"/>
        </w:rPr>
        <w:t xml:space="preserve"> </w:t>
      </w:r>
      <w:r w:rsidR="00AE7D9E">
        <w:rPr>
          <w:rFonts w:ascii="Palatino Linotype" w:hAnsi="Palatino Linotype"/>
          <w:color w:val="000000" w:themeColor="text1"/>
        </w:rPr>
        <w:t>de acuerdo con</w:t>
      </w:r>
      <w:r>
        <w:rPr>
          <w:rFonts w:ascii="Palatino Linotype" w:hAnsi="Palatino Linotype"/>
          <w:color w:val="000000" w:themeColor="text1"/>
        </w:rPr>
        <w:t xml:space="preserve"> </w:t>
      </w:r>
      <w:r w:rsidR="00E14FB2">
        <w:rPr>
          <w:rFonts w:ascii="Palatino Linotype" w:hAnsi="Palatino Linotype"/>
          <w:color w:val="000000" w:themeColor="text1"/>
        </w:rPr>
        <w:t>diversos documentos públicos difundidos en internet</w:t>
      </w:r>
      <w:r w:rsidR="00E14FB2">
        <w:rPr>
          <w:rStyle w:val="Refdenotaalpie"/>
          <w:rFonts w:ascii="Palatino Linotype" w:hAnsi="Palatino Linotype"/>
          <w:color w:val="000000" w:themeColor="text1"/>
        </w:rPr>
        <w:footnoteReference w:id="9"/>
      </w:r>
      <w:r>
        <w:rPr>
          <w:rFonts w:ascii="Palatino Linotype" w:hAnsi="Palatino Linotype"/>
          <w:color w:val="000000" w:themeColor="text1"/>
        </w:rPr>
        <w:t xml:space="preserve">, </w:t>
      </w:r>
      <w:r w:rsidR="00D27C47">
        <w:rPr>
          <w:rFonts w:ascii="Palatino Linotype" w:hAnsi="Palatino Linotype"/>
          <w:color w:val="000000" w:themeColor="text1"/>
        </w:rPr>
        <w:t>este Órgano Garante</w:t>
      </w:r>
      <w:r>
        <w:rPr>
          <w:rFonts w:ascii="Palatino Linotype" w:hAnsi="Palatino Linotype"/>
          <w:color w:val="000000" w:themeColor="text1"/>
        </w:rPr>
        <w:t xml:space="preserve"> </w:t>
      </w:r>
      <w:r w:rsidR="00D27C47">
        <w:rPr>
          <w:rFonts w:ascii="Palatino Linotype" w:hAnsi="Palatino Linotype"/>
          <w:color w:val="000000" w:themeColor="text1"/>
        </w:rPr>
        <w:t>advierte</w:t>
      </w:r>
      <w:r>
        <w:rPr>
          <w:rFonts w:ascii="Palatino Linotype" w:hAnsi="Palatino Linotype"/>
          <w:color w:val="000000" w:themeColor="text1"/>
        </w:rPr>
        <w:t xml:space="preserve"> que ostenta </w:t>
      </w:r>
      <w:r w:rsidR="00AE7D9E">
        <w:rPr>
          <w:rFonts w:ascii="Palatino Linotype" w:hAnsi="Palatino Linotype"/>
          <w:color w:val="000000" w:themeColor="text1"/>
        </w:rPr>
        <w:t>el</w:t>
      </w:r>
      <w:r>
        <w:rPr>
          <w:rFonts w:ascii="Palatino Linotype" w:hAnsi="Palatino Linotype"/>
          <w:color w:val="000000" w:themeColor="text1"/>
        </w:rPr>
        <w:t xml:space="preserve"> cargo de </w:t>
      </w:r>
      <w:r w:rsidR="00E14FB2">
        <w:rPr>
          <w:rFonts w:ascii="Palatino Linotype" w:hAnsi="Palatino Linotype"/>
          <w:b/>
          <w:color w:val="000000" w:themeColor="text1"/>
        </w:rPr>
        <w:t>Directora de Catastro</w:t>
      </w:r>
      <w:r w:rsidR="00403BFD">
        <w:rPr>
          <w:rFonts w:ascii="Palatino Linotype" w:hAnsi="Palatino Linotype"/>
          <w:color w:val="000000" w:themeColor="text1"/>
        </w:rPr>
        <w:t>, área administrativa que, como se verá más adelante, se encarga de controlar, actualizar</w:t>
      </w:r>
      <w:r w:rsidR="009E4417">
        <w:rPr>
          <w:rFonts w:ascii="Palatino Linotype" w:hAnsi="Palatino Linotype"/>
          <w:color w:val="000000" w:themeColor="text1"/>
        </w:rPr>
        <w:t xml:space="preserve"> y administrar los registros relacionados con el catastro.</w:t>
      </w:r>
    </w:p>
    <w:p w14:paraId="018BE508" w14:textId="77777777" w:rsidR="00D67085" w:rsidRDefault="00D67085" w:rsidP="00D67085">
      <w:pPr>
        <w:pStyle w:val="Prrafodelista"/>
        <w:tabs>
          <w:tab w:val="left" w:pos="426"/>
        </w:tabs>
        <w:spacing w:before="240" w:after="240" w:line="360" w:lineRule="auto"/>
        <w:ind w:left="0" w:right="51"/>
        <w:jc w:val="both"/>
        <w:rPr>
          <w:rFonts w:ascii="Palatino Linotype" w:hAnsi="Palatino Linotype"/>
          <w:color w:val="000000" w:themeColor="text1"/>
        </w:rPr>
      </w:pPr>
    </w:p>
    <w:p w14:paraId="2227296E" w14:textId="2E78A58A" w:rsidR="00D67085" w:rsidRDefault="00D67085"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Derivado de lo anterior, esta Ponencia Resolutora advierte que la Unidad de Transparencia turnó </w:t>
      </w:r>
      <w:r w:rsidR="00716EC8">
        <w:rPr>
          <w:rFonts w:ascii="Palatino Linotype" w:hAnsi="Palatino Linotype"/>
          <w:color w:val="000000" w:themeColor="text1"/>
        </w:rPr>
        <w:t xml:space="preserve">adecuadamente la solicitud de información </w:t>
      </w:r>
      <w:r w:rsidR="00561DCB">
        <w:rPr>
          <w:rFonts w:ascii="Palatino Linotype" w:hAnsi="Palatino Linotype"/>
          <w:b/>
          <w:color w:val="000000" w:themeColor="text1"/>
        </w:rPr>
        <w:t>00183/CHIMALHU/IP/2021</w:t>
      </w:r>
      <w:r w:rsidR="00716EC8">
        <w:rPr>
          <w:rFonts w:ascii="Palatino Linotype" w:hAnsi="Palatino Linotype"/>
          <w:color w:val="000000" w:themeColor="text1"/>
        </w:rPr>
        <w:t xml:space="preserve"> al área administrativa que por la naturaleza de sus funciones y atribuciones, es competente para poseer, generar y administrar la información solicitada respecto </w:t>
      </w:r>
      <w:r w:rsidR="009B6F85">
        <w:rPr>
          <w:rFonts w:ascii="Palatino Linotype" w:hAnsi="Palatino Linotype"/>
          <w:color w:val="000000" w:themeColor="text1"/>
        </w:rPr>
        <w:t>de planos catastrales y manzaneros de las localidades que conforman el territorio municipal</w:t>
      </w:r>
      <w:r w:rsidR="00716EC8">
        <w:rPr>
          <w:rFonts w:ascii="Palatino Linotype" w:hAnsi="Palatino Linotype"/>
          <w:color w:val="000000" w:themeColor="text1"/>
        </w:rPr>
        <w:t>.</w:t>
      </w:r>
    </w:p>
    <w:p w14:paraId="1C342D29" w14:textId="77777777" w:rsidR="00D67085" w:rsidRDefault="00D67085" w:rsidP="00D67085">
      <w:pPr>
        <w:pStyle w:val="Prrafodelista"/>
        <w:tabs>
          <w:tab w:val="left" w:pos="426"/>
        </w:tabs>
        <w:spacing w:before="240" w:after="240" w:line="360" w:lineRule="auto"/>
        <w:ind w:left="0" w:right="51"/>
        <w:jc w:val="both"/>
        <w:rPr>
          <w:rFonts w:ascii="Palatino Linotype" w:hAnsi="Palatino Linotype"/>
          <w:color w:val="000000" w:themeColor="text1"/>
        </w:rPr>
      </w:pPr>
    </w:p>
    <w:p w14:paraId="2D403DA4" w14:textId="568C3236" w:rsidR="00910076" w:rsidRDefault="00E9230E"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Ahora bien, e</w:t>
      </w:r>
      <w:r w:rsidR="00794C2B">
        <w:rPr>
          <w:rFonts w:ascii="Palatino Linotype" w:hAnsi="Palatino Linotype"/>
          <w:color w:val="000000" w:themeColor="text1"/>
        </w:rPr>
        <w:t xml:space="preserve">n </w:t>
      </w:r>
      <w:r w:rsidR="009B6F85">
        <w:rPr>
          <w:rFonts w:ascii="Palatino Linotype" w:hAnsi="Palatino Linotype"/>
          <w:color w:val="000000" w:themeColor="text1"/>
        </w:rPr>
        <w:t>respuesta al turno realizado por la Unidad de Transparencia</w:t>
      </w:r>
      <w:r w:rsidR="00794C2B" w:rsidRPr="00794C2B">
        <w:rPr>
          <w:rFonts w:ascii="Palatino Linotype" w:hAnsi="Palatino Linotype"/>
          <w:color w:val="000000" w:themeColor="text1"/>
        </w:rPr>
        <w:t xml:space="preserve">, </w:t>
      </w:r>
      <w:r w:rsidR="009B6F85">
        <w:rPr>
          <w:rFonts w:ascii="Palatino Linotype" w:hAnsi="Palatino Linotype"/>
          <w:color w:val="000000" w:themeColor="text1"/>
        </w:rPr>
        <w:t>la Directora de Catastro refirió lo siguiente</w:t>
      </w:r>
      <w:r w:rsidR="00794C2B" w:rsidRPr="00794C2B">
        <w:rPr>
          <w:rFonts w:ascii="Palatino Linotype" w:hAnsi="Palatino Linotype"/>
          <w:color w:val="000000" w:themeColor="text1"/>
        </w:rPr>
        <w:t>:</w:t>
      </w:r>
    </w:p>
    <w:p w14:paraId="33E348B9" w14:textId="6018A829" w:rsidR="00910076" w:rsidRDefault="00910076" w:rsidP="00794C2B">
      <w:pPr>
        <w:pStyle w:val="Prrafodelista"/>
        <w:tabs>
          <w:tab w:val="left" w:pos="426"/>
        </w:tabs>
        <w:spacing w:before="240" w:line="360" w:lineRule="auto"/>
        <w:ind w:left="0" w:right="51"/>
        <w:jc w:val="both"/>
        <w:rPr>
          <w:rFonts w:ascii="Palatino Linotype" w:hAnsi="Palatino Linotype"/>
          <w:color w:val="000000" w:themeColor="text1"/>
        </w:rPr>
      </w:pPr>
    </w:p>
    <w:p w14:paraId="2D62EB24" w14:textId="01A2058F" w:rsidR="00794C2B" w:rsidRDefault="00C871C7" w:rsidP="00C871C7">
      <w:pPr>
        <w:spacing w:line="276" w:lineRule="auto"/>
        <w:ind w:left="567" w:right="567"/>
        <w:jc w:val="both"/>
        <w:rPr>
          <w:rFonts w:ascii="Palatino Linotype" w:hAnsi="Palatino Linotype" w:cs="Arial"/>
          <w:noProof/>
          <w:sz w:val="22"/>
          <w:szCs w:val="22"/>
        </w:rPr>
      </w:pPr>
      <w:r>
        <w:rPr>
          <w:rFonts w:ascii="Palatino Linotype" w:hAnsi="Palatino Linotype" w:cs="Arial"/>
          <w:i/>
          <w:iCs/>
          <w:noProof/>
          <w:sz w:val="22"/>
          <w:szCs w:val="22"/>
        </w:rPr>
        <w:t>“(…)</w:t>
      </w:r>
      <w:r w:rsidR="009B6F85">
        <w:rPr>
          <w:rFonts w:ascii="Palatino Linotype" w:hAnsi="Palatino Linotype" w:cs="Arial"/>
          <w:i/>
          <w:iCs/>
          <w:noProof/>
          <w:sz w:val="22"/>
          <w:szCs w:val="22"/>
        </w:rPr>
        <w:t xml:space="preserve"> </w:t>
      </w:r>
      <w:r w:rsidR="009B6F85" w:rsidRPr="009B6F85">
        <w:rPr>
          <w:rFonts w:ascii="Palatino Linotype" w:hAnsi="Palatino Linotype" w:cs="Arial"/>
          <w:i/>
          <w:iCs/>
          <w:noProof/>
          <w:sz w:val="22"/>
          <w:szCs w:val="22"/>
        </w:rPr>
        <w:t xml:space="preserve">Atendiendo a su petición, le informo que: </w:t>
      </w:r>
      <w:r w:rsidR="009B6F85" w:rsidRPr="009B6F85">
        <w:rPr>
          <w:rFonts w:ascii="Palatino Linotype" w:hAnsi="Palatino Linotype" w:cs="Arial"/>
          <w:b/>
          <w:i/>
          <w:iCs/>
          <w:noProof/>
          <w:sz w:val="22"/>
          <w:szCs w:val="22"/>
        </w:rPr>
        <w:t>se debe acreditar el interés Jurídico o legítimo, para expedir certificaciones o constancias de los documentos y datos que obren en sus archivos o en el padrón catastral</w:t>
      </w:r>
      <w:r w:rsidR="009B6F85" w:rsidRPr="009B6F85">
        <w:rPr>
          <w:rFonts w:ascii="Palatino Linotype" w:hAnsi="Palatino Linotype" w:cs="Arial"/>
          <w:i/>
          <w:iCs/>
          <w:noProof/>
          <w:sz w:val="22"/>
          <w:szCs w:val="22"/>
        </w:rPr>
        <w:t xml:space="preserve"> como lo prevé el artículo 173 del Código Financiero del Estado de Mé</w:t>
      </w:r>
      <w:r w:rsidR="009B6F85">
        <w:rPr>
          <w:rFonts w:ascii="Palatino Linotype" w:hAnsi="Palatino Linotype" w:cs="Arial"/>
          <w:i/>
          <w:iCs/>
          <w:noProof/>
          <w:sz w:val="22"/>
          <w:szCs w:val="22"/>
        </w:rPr>
        <w:t xml:space="preserve">xico y Municipios , (…) </w:t>
      </w:r>
      <w:r w:rsidR="009B6F85">
        <w:rPr>
          <w:rFonts w:ascii="Palatino Linotype" w:hAnsi="Palatino Linotype" w:cs="Arial"/>
          <w:iCs/>
          <w:noProof/>
          <w:sz w:val="22"/>
          <w:szCs w:val="22"/>
        </w:rPr>
        <w:t>[a]</w:t>
      </w:r>
      <w:r w:rsidR="009B6F85" w:rsidRPr="009B6F85">
        <w:rPr>
          <w:rFonts w:ascii="Palatino Linotype" w:hAnsi="Palatino Linotype" w:cs="Arial"/>
          <w:i/>
          <w:iCs/>
          <w:noProof/>
          <w:sz w:val="22"/>
          <w:szCs w:val="22"/>
        </w:rPr>
        <w:t>sí como lo previsto en el numeral ACGC007 del Manual Catastral del Estado de México</w:t>
      </w:r>
      <w:r w:rsidR="009B6F85">
        <w:rPr>
          <w:rFonts w:ascii="Palatino Linotype" w:hAnsi="Palatino Linotype" w:cs="Arial"/>
          <w:i/>
          <w:iCs/>
          <w:noProof/>
          <w:sz w:val="22"/>
          <w:szCs w:val="22"/>
        </w:rPr>
        <w:t xml:space="preserve"> (…)</w:t>
      </w:r>
      <w:r w:rsidR="009B6F85" w:rsidRPr="009B6F85">
        <w:rPr>
          <w:rFonts w:ascii="Palatino Linotype" w:hAnsi="Palatino Linotype" w:cs="Arial"/>
          <w:i/>
          <w:iCs/>
          <w:noProof/>
          <w:sz w:val="22"/>
          <w:szCs w:val="22"/>
        </w:rPr>
        <w:t>. Por lo que para atender su solicitud debe acreditar el interés jurídico o legítimo, no agrega ningún documento con el que acredite el interés jurídico o legítimo, lo que impide la presentación del servicio que solicita.</w:t>
      </w:r>
      <w:r w:rsidR="00794C2B" w:rsidRPr="00794C2B">
        <w:rPr>
          <w:rFonts w:ascii="Palatino Linotype" w:hAnsi="Palatino Linotype" w:cs="Arial"/>
          <w:i/>
          <w:iCs/>
          <w:noProof/>
          <w:sz w:val="22"/>
          <w:szCs w:val="22"/>
        </w:rPr>
        <w:t>”</w:t>
      </w:r>
      <w:r w:rsidR="00437909">
        <w:rPr>
          <w:rFonts w:ascii="Palatino Linotype" w:hAnsi="Palatino Linotype" w:cs="Arial"/>
          <w:noProof/>
          <w:sz w:val="22"/>
          <w:szCs w:val="22"/>
        </w:rPr>
        <w:t xml:space="preserve"> (Sic)</w:t>
      </w:r>
    </w:p>
    <w:p w14:paraId="3FBBEA09" w14:textId="05D3EB0D" w:rsidR="009B6F85" w:rsidRPr="009B6F85" w:rsidRDefault="009B6F85" w:rsidP="00C871C7">
      <w:pPr>
        <w:spacing w:line="276" w:lineRule="auto"/>
        <w:ind w:left="567" w:right="567"/>
        <w:jc w:val="both"/>
        <w:rPr>
          <w:rFonts w:ascii="Palatino Linotype" w:hAnsi="Palatino Linotype" w:cs="Arial"/>
          <w:iCs/>
          <w:noProof/>
          <w:sz w:val="22"/>
          <w:szCs w:val="22"/>
        </w:rPr>
      </w:pPr>
      <w:r>
        <w:rPr>
          <w:rFonts w:ascii="Palatino Linotype" w:hAnsi="Palatino Linotype" w:cs="Arial"/>
          <w:iCs/>
          <w:noProof/>
          <w:sz w:val="22"/>
          <w:szCs w:val="22"/>
        </w:rPr>
        <w:t>(Énfasis añadido)</w:t>
      </w:r>
    </w:p>
    <w:p w14:paraId="78E7BD23" w14:textId="77777777" w:rsidR="00794C2B" w:rsidRDefault="00794C2B"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6FD68B8F" w14:textId="5B744564" w:rsidR="00E9230E" w:rsidRDefault="00E9230E"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00716EC8">
        <w:rPr>
          <w:rFonts w:ascii="Palatino Linotype" w:hAnsi="Palatino Linotype"/>
          <w:color w:val="000000" w:themeColor="text1"/>
        </w:rPr>
        <w:t>tal guisa</w:t>
      </w:r>
      <w:r w:rsidR="009B6F85">
        <w:rPr>
          <w:rFonts w:ascii="Palatino Linotype" w:hAnsi="Palatino Linotype"/>
          <w:color w:val="000000" w:themeColor="text1"/>
        </w:rPr>
        <w:t xml:space="preserve"> que la Directora de Catastro informó al particular que, para expedir certificaciones o constancias de documentos y datos que obren en el padrón catastral, debía primeramente acreditar su interés jurídico o legítimo</w:t>
      </w:r>
      <w:r w:rsidR="004C6919">
        <w:rPr>
          <w:rFonts w:ascii="Palatino Linotype" w:hAnsi="Palatino Linotype"/>
          <w:color w:val="000000" w:themeColor="text1"/>
        </w:rPr>
        <w:t>.</w:t>
      </w:r>
    </w:p>
    <w:p w14:paraId="77859654" w14:textId="77777777" w:rsidR="00E9230E" w:rsidRDefault="00E9230E" w:rsidP="00E9230E">
      <w:pPr>
        <w:pStyle w:val="Prrafodelista"/>
        <w:tabs>
          <w:tab w:val="left" w:pos="426"/>
        </w:tabs>
        <w:spacing w:before="240" w:after="240" w:line="360" w:lineRule="auto"/>
        <w:ind w:left="0" w:right="51"/>
        <w:jc w:val="both"/>
        <w:rPr>
          <w:rFonts w:ascii="Palatino Linotype" w:hAnsi="Palatino Linotype"/>
          <w:color w:val="000000" w:themeColor="text1"/>
        </w:rPr>
      </w:pPr>
    </w:p>
    <w:p w14:paraId="552944F4" w14:textId="1313949F" w:rsidR="00910076" w:rsidRDefault="004C6919" w:rsidP="004C691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particular impugnó la respuesta mediante el recurso de revisión </w:t>
      </w:r>
      <w:r>
        <w:rPr>
          <w:rFonts w:ascii="Palatino Linotype" w:hAnsi="Palatino Linotype"/>
          <w:b/>
          <w:color w:val="000000" w:themeColor="text1"/>
        </w:rPr>
        <w:t>04798/INFOEM/IP/RR/2021</w:t>
      </w:r>
      <w:r>
        <w:rPr>
          <w:rFonts w:ascii="Palatino Linotype" w:hAnsi="Palatino Linotype"/>
          <w:color w:val="000000" w:themeColor="text1"/>
        </w:rPr>
        <w:t>, en el que señaló por agravios lo siguiente:</w:t>
      </w:r>
    </w:p>
    <w:p w14:paraId="71394BAF" w14:textId="51B2C844" w:rsidR="004C6919" w:rsidRDefault="004C6919" w:rsidP="007814CC">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Que el </w:t>
      </w:r>
      <w:r>
        <w:rPr>
          <w:rFonts w:ascii="Palatino Linotype" w:hAnsi="Palatino Linotype"/>
          <w:b/>
          <w:color w:val="000000" w:themeColor="text1"/>
        </w:rPr>
        <w:t>SUJETO OBLIGADO</w:t>
      </w:r>
      <w:r>
        <w:rPr>
          <w:rFonts w:ascii="Palatino Linotype" w:hAnsi="Palatino Linotype"/>
          <w:color w:val="000000" w:themeColor="text1"/>
        </w:rPr>
        <w:t xml:space="preserve"> no fundó ni motivó la negativa a la consulta directa de la información;</w:t>
      </w:r>
    </w:p>
    <w:p w14:paraId="7186241C" w14:textId="2D4DBC57" w:rsidR="004C6919" w:rsidRDefault="004C6919" w:rsidP="007814CC">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Que no solicitó ninguna certificación o constancia; sino, únicamente, la consulta directa a documentos que obran en los archivos del </w:t>
      </w:r>
      <w:r>
        <w:rPr>
          <w:rFonts w:ascii="Palatino Linotype" w:hAnsi="Palatino Linotype"/>
          <w:b/>
          <w:color w:val="000000" w:themeColor="text1"/>
        </w:rPr>
        <w:t>SUJETO OBLIGADO</w:t>
      </w:r>
      <w:r>
        <w:rPr>
          <w:rFonts w:ascii="Palatino Linotype" w:hAnsi="Palatino Linotype"/>
          <w:color w:val="000000" w:themeColor="text1"/>
        </w:rPr>
        <w:t>.</w:t>
      </w:r>
    </w:p>
    <w:p w14:paraId="36CD472E" w14:textId="77777777" w:rsidR="004C6919" w:rsidRDefault="004C6919" w:rsidP="004C6919">
      <w:pPr>
        <w:pStyle w:val="Prrafodelista"/>
        <w:tabs>
          <w:tab w:val="left" w:pos="426"/>
        </w:tabs>
        <w:spacing w:before="240" w:after="240" w:line="360" w:lineRule="auto"/>
        <w:ind w:left="0" w:right="51"/>
        <w:jc w:val="both"/>
        <w:rPr>
          <w:rFonts w:ascii="Palatino Linotype" w:hAnsi="Palatino Linotype"/>
          <w:color w:val="000000" w:themeColor="text1"/>
        </w:rPr>
      </w:pPr>
    </w:p>
    <w:p w14:paraId="5547931D" w14:textId="51378FD6"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Con </w:t>
      </w:r>
      <w:r w:rsidRPr="00794C2B">
        <w:rPr>
          <w:rFonts w:ascii="Palatino Linotype" w:hAnsi="Palatino Linotype"/>
          <w:color w:val="000000" w:themeColor="text1"/>
        </w:rPr>
        <w:t xml:space="preserve">base en lo anterior, se procede a analizar </w:t>
      </w:r>
      <w:r w:rsidR="00F36760">
        <w:rPr>
          <w:rFonts w:ascii="Palatino Linotype" w:hAnsi="Palatino Linotype"/>
          <w:color w:val="000000" w:themeColor="text1"/>
        </w:rPr>
        <w:t xml:space="preserve">el marco legal que engloba a la información solicitada, a fin de determinar si, como fuera señalado por el </w:t>
      </w:r>
      <w:r w:rsidR="00F36760">
        <w:rPr>
          <w:rFonts w:ascii="Palatino Linotype" w:hAnsi="Palatino Linotype"/>
          <w:b/>
          <w:color w:val="000000" w:themeColor="text1"/>
        </w:rPr>
        <w:t xml:space="preserve">SUJETO </w:t>
      </w:r>
      <w:r w:rsidR="00F36760">
        <w:rPr>
          <w:rFonts w:ascii="Palatino Linotype" w:hAnsi="Palatino Linotype"/>
          <w:b/>
          <w:color w:val="000000" w:themeColor="text1"/>
        </w:rPr>
        <w:lastRenderedPageBreak/>
        <w:t>OBLIGADO</w:t>
      </w:r>
      <w:r w:rsidR="00F36760">
        <w:rPr>
          <w:rFonts w:ascii="Palatino Linotype" w:hAnsi="Palatino Linotype"/>
          <w:color w:val="000000" w:themeColor="text1"/>
        </w:rPr>
        <w:t xml:space="preserve">, existe una imposibilidad formal para no entregar la información hasta en tanto no se </w:t>
      </w:r>
      <w:r w:rsidR="004C6919">
        <w:rPr>
          <w:rFonts w:ascii="Palatino Linotype" w:hAnsi="Palatino Linotype"/>
          <w:color w:val="000000" w:themeColor="text1"/>
        </w:rPr>
        <w:t>haya acreditado el interés jurídico o legítimo</w:t>
      </w:r>
      <w:r w:rsidR="00F36760">
        <w:rPr>
          <w:rFonts w:ascii="Palatino Linotype" w:hAnsi="Palatino Linotype"/>
          <w:color w:val="000000" w:themeColor="text1"/>
        </w:rPr>
        <w:t>; o</w:t>
      </w:r>
      <w:r w:rsidR="001D0E86">
        <w:rPr>
          <w:rFonts w:ascii="Palatino Linotype" w:hAnsi="Palatino Linotype"/>
          <w:color w:val="000000" w:themeColor="text1"/>
        </w:rPr>
        <w:t>,</w:t>
      </w:r>
      <w:r w:rsidR="00F36760">
        <w:rPr>
          <w:rFonts w:ascii="Palatino Linotype" w:hAnsi="Palatino Linotype"/>
          <w:color w:val="000000" w:themeColor="text1"/>
        </w:rPr>
        <w:t xml:space="preserve"> si por el contrario, procede la </w:t>
      </w:r>
      <w:r w:rsidR="00CF5081">
        <w:rPr>
          <w:rFonts w:ascii="Palatino Linotype" w:hAnsi="Palatino Linotype"/>
          <w:color w:val="000000" w:themeColor="text1"/>
        </w:rPr>
        <w:t>consulta directa de la información</w:t>
      </w:r>
      <w:r w:rsidR="00F36760">
        <w:rPr>
          <w:rFonts w:ascii="Palatino Linotype" w:hAnsi="Palatino Linotype"/>
          <w:color w:val="000000" w:themeColor="text1"/>
        </w:rPr>
        <w:t>.</w:t>
      </w:r>
    </w:p>
    <w:p w14:paraId="1ED6ED93" w14:textId="7997329C"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77003A5B" w14:textId="0AA0A727" w:rsidR="00CF5081" w:rsidRPr="00CF5081" w:rsidRDefault="00261FD7" w:rsidP="00CF5081">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7" w:name="_Toc89209296"/>
      <w:r>
        <w:rPr>
          <w:rFonts w:ascii="Palatino Linotype" w:hAnsi="Palatino Linotype"/>
          <w:b/>
          <w:color w:val="000000" w:themeColor="text1"/>
        </w:rPr>
        <w:t>III</w:t>
      </w:r>
      <w:r w:rsidR="00CF5081">
        <w:rPr>
          <w:rFonts w:ascii="Palatino Linotype" w:hAnsi="Palatino Linotype"/>
          <w:b/>
          <w:color w:val="000000" w:themeColor="text1"/>
        </w:rPr>
        <w:t>. De la naturaleza de la información de la que se solicita su consulta.</w:t>
      </w:r>
      <w:bookmarkEnd w:id="27"/>
    </w:p>
    <w:p w14:paraId="5ECBA6F3" w14:textId="77777777" w:rsidR="00CF5081" w:rsidRDefault="00CF5081" w:rsidP="003531F6">
      <w:pPr>
        <w:pStyle w:val="Prrafodelista"/>
        <w:tabs>
          <w:tab w:val="left" w:pos="426"/>
        </w:tabs>
        <w:spacing w:before="240" w:after="240" w:line="360" w:lineRule="auto"/>
        <w:ind w:left="0" w:right="51"/>
        <w:jc w:val="both"/>
        <w:rPr>
          <w:rFonts w:ascii="Palatino Linotype" w:hAnsi="Palatino Linotype"/>
          <w:color w:val="000000" w:themeColor="text1"/>
        </w:rPr>
      </w:pPr>
    </w:p>
    <w:p w14:paraId="2E9E39B6" w14:textId="666E1AC9" w:rsidR="003531F6" w:rsidRDefault="00F01ED4"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artículo 115 de la Constitución Política de los Estados Unidos Mexicanos, en su párrafo II, establece que </w:t>
      </w:r>
      <w:r w:rsidRPr="00F01ED4">
        <w:rPr>
          <w:rFonts w:ascii="Palatino Linotype" w:hAnsi="Palatino Linotype"/>
          <w:b/>
          <w:color w:val="000000" w:themeColor="text1"/>
        </w:rPr>
        <w:t>los municipios estarán investidos de</w:t>
      </w:r>
      <w:r w:rsidRPr="00F01ED4">
        <w:rPr>
          <w:rFonts w:ascii="Palatino Linotype" w:hAnsi="Palatino Linotype"/>
          <w:color w:val="000000" w:themeColor="text1"/>
        </w:rPr>
        <w:t xml:space="preserve"> </w:t>
      </w:r>
      <w:r w:rsidRPr="00F01ED4">
        <w:rPr>
          <w:rFonts w:ascii="Palatino Linotype" w:hAnsi="Palatino Linotype"/>
          <w:b/>
          <w:color w:val="000000" w:themeColor="text1"/>
        </w:rPr>
        <w:t>personalidad jurídica</w:t>
      </w:r>
      <w:r w:rsidRPr="00F01ED4">
        <w:rPr>
          <w:rFonts w:ascii="Palatino Linotype" w:hAnsi="Palatino Linotype"/>
          <w:color w:val="000000" w:themeColor="text1"/>
        </w:rPr>
        <w:t xml:space="preserve"> y manejarán </w:t>
      </w:r>
      <w:r>
        <w:rPr>
          <w:rFonts w:ascii="Palatino Linotype" w:hAnsi="Palatino Linotype"/>
          <w:color w:val="000000" w:themeColor="text1"/>
        </w:rPr>
        <w:t xml:space="preserve">su patrimonio conforme a la ley; asimismo, </w:t>
      </w:r>
      <w:r w:rsidRPr="00F01ED4">
        <w:rPr>
          <w:rFonts w:ascii="Palatino Linotype" w:hAnsi="Palatino Linotype"/>
          <w:b/>
          <w:color w:val="000000" w:themeColor="text1"/>
        </w:rPr>
        <w:t>tendrán facultades para aprobar</w:t>
      </w:r>
      <w:r w:rsidRPr="00F01ED4">
        <w:rPr>
          <w:rFonts w:ascii="Palatino Linotype" w:hAnsi="Palatino Linotype"/>
          <w:color w:val="000000" w:themeColor="text1"/>
        </w:rPr>
        <w:t xml:space="preserve">, de acuerdo con las leyes en materia municipal que deberán expedir las legislaturas de los Estados, los bandos de policía y gobierno, </w:t>
      </w:r>
      <w:r w:rsidRPr="00F01ED4">
        <w:rPr>
          <w:rFonts w:ascii="Palatino Linotype" w:hAnsi="Palatino Linotype"/>
          <w:b/>
          <w:color w:val="000000" w:themeColor="text1"/>
        </w:rPr>
        <w:t>los reglamentos, circulares y disposiciones administrativas</w:t>
      </w:r>
      <w:r w:rsidRPr="00F01ED4">
        <w:rPr>
          <w:rFonts w:ascii="Palatino Linotype" w:hAnsi="Palatino Linotype"/>
          <w:color w:val="000000" w:themeColor="text1"/>
        </w:rPr>
        <w:t xml:space="preserve"> de observancia general dentro de sus respectivas jurisdicciones, </w:t>
      </w:r>
      <w:r w:rsidRPr="00F01ED4">
        <w:rPr>
          <w:rFonts w:ascii="Palatino Linotype" w:hAnsi="Palatino Linotype"/>
          <w:b/>
          <w:color w:val="000000" w:themeColor="text1"/>
        </w:rPr>
        <w:t>que</w:t>
      </w:r>
      <w:r w:rsidRPr="00F01ED4">
        <w:rPr>
          <w:rFonts w:ascii="Palatino Linotype" w:hAnsi="Palatino Linotype"/>
          <w:color w:val="000000" w:themeColor="text1"/>
        </w:rPr>
        <w:t xml:space="preserve"> organicen la administración pública municipal, </w:t>
      </w:r>
      <w:r w:rsidRPr="00F01ED4">
        <w:rPr>
          <w:rFonts w:ascii="Palatino Linotype" w:hAnsi="Palatino Linotype"/>
          <w:b/>
          <w:color w:val="000000" w:themeColor="text1"/>
        </w:rPr>
        <w:t>regulen las materias, procedimientos, funciones y servicios públicos de su competencia</w:t>
      </w:r>
      <w:r w:rsidRPr="00F01ED4">
        <w:rPr>
          <w:rFonts w:ascii="Palatino Linotype" w:hAnsi="Palatino Linotype"/>
          <w:color w:val="000000" w:themeColor="text1"/>
        </w:rPr>
        <w:t xml:space="preserve"> y aseguren la participación ciudadana y vecinal.</w:t>
      </w:r>
    </w:p>
    <w:p w14:paraId="27BDB8AA" w14:textId="77777777" w:rsidR="003531F6" w:rsidRDefault="003531F6" w:rsidP="003531F6">
      <w:pPr>
        <w:pStyle w:val="Prrafodelista"/>
        <w:tabs>
          <w:tab w:val="left" w:pos="426"/>
        </w:tabs>
        <w:spacing w:before="240" w:after="240" w:line="360" w:lineRule="auto"/>
        <w:ind w:left="0" w:right="51"/>
        <w:jc w:val="both"/>
        <w:rPr>
          <w:rFonts w:ascii="Palatino Linotype" w:hAnsi="Palatino Linotype"/>
          <w:color w:val="000000" w:themeColor="text1"/>
        </w:rPr>
      </w:pPr>
    </w:p>
    <w:p w14:paraId="5E367CF0" w14:textId="3F66CA1F" w:rsidR="003531F6" w:rsidRDefault="00F01ED4"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Correlativo a lo anterior, la fracción V del numeral 115 de nuestra </w:t>
      </w:r>
      <w:r>
        <w:rPr>
          <w:rFonts w:ascii="Palatino Linotype" w:hAnsi="Palatino Linotype"/>
          <w:i/>
          <w:color w:val="000000" w:themeColor="text1"/>
        </w:rPr>
        <w:t>Magna Carta</w:t>
      </w:r>
      <w:r>
        <w:rPr>
          <w:rFonts w:ascii="Palatino Linotype" w:hAnsi="Palatino Linotype"/>
          <w:color w:val="000000" w:themeColor="text1"/>
        </w:rPr>
        <w:t xml:space="preserve"> establece que los municipios, en términos de las leyes federales y estatales relativas, estarán facultados para:</w:t>
      </w:r>
    </w:p>
    <w:p w14:paraId="6564CAFF" w14:textId="7676AC78" w:rsidR="00F01ED4" w:rsidRDefault="00F01ED4" w:rsidP="007814CC">
      <w:pPr>
        <w:pStyle w:val="Prrafodelista"/>
        <w:numPr>
          <w:ilvl w:val="1"/>
          <w:numId w:val="13"/>
        </w:numPr>
        <w:tabs>
          <w:tab w:val="left" w:pos="426"/>
        </w:tabs>
        <w:spacing w:before="240" w:after="240" w:line="360" w:lineRule="auto"/>
        <w:ind w:left="993" w:right="51"/>
        <w:jc w:val="both"/>
        <w:rPr>
          <w:rFonts w:ascii="Palatino Linotype" w:hAnsi="Palatino Linotype"/>
          <w:color w:val="000000" w:themeColor="text1"/>
        </w:rPr>
      </w:pPr>
      <w:r w:rsidRPr="00F01ED4">
        <w:rPr>
          <w:rFonts w:ascii="Palatino Linotype" w:hAnsi="Palatino Linotype"/>
          <w:b/>
          <w:color w:val="000000" w:themeColor="text1"/>
        </w:rPr>
        <w:t>Formular, aprobar y administrar la zonificación</w:t>
      </w:r>
      <w:r w:rsidRPr="00F01ED4">
        <w:rPr>
          <w:rFonts w:ascii="Palatino Linotype" w:hAnsi="Palatino Linotype"/>
          <w:color w:val="000000" w:themeColor="text1"/>
        </w:rPr>
        <w:t xml:space="preserve"> y planes de desarrollo urbano </w:t>
      </w:r>
      <w:r w:rsidRPr="00F01ED4">
        <w:rPr>
          <w:rFonts w:ascii="Palatino Linotype" w:hAnsi="Palatino Linotype"/>
          <w:b/>
          <w:color w:val="000000" w:themeColor="text1"/>
        </w:rPr>
        <w:t>municipal</w:t>
      </w:r>
      <w:r w:rsidRPr="00F01ED4">
        <w:rPr>
          <w:rFonts w:ascii="Palatino Linotype" w:hAnsi="Palatino Linotype"/>
          <w:color w:val="000000" w:themeColor="text1"/>
        </w:rPr>
        <w:t>, así como los planes en materia de movilidad y seguridad vial;</w:t>
      </w:r>
    </w:p>
    <w:p w14:paraId="6C600DCF" w14:textId="77777777" w:rsidR="00F01ED4" w:rsidRDefault="00F01ED4" w:rsidP="007814CC">
      <w:pPr>
        <w:pStyle w:val="Prrafodelista"/>
        <w:numPr>
          <w:ilvl w:val="1"/>
          <w:numId w:val="13"/>
        </w:numPr>
        <w:tabs>
          <w:tab w:val="left" w:pos="426"/>
        </w:tabs>
        <w:spacing w:before="240" w:after="240" w:line="360" w:lineRule="auto"/>
        <w:ind w:left="993" w:right="51"/>
        <w:jc w:val="both"/>
        <w:rPr>
          <w:rFonts w:ascii="Palatino Linotype" w:hAnsi="Palatino Linotype"/>
          <w:color w:val="000000" w:themeColor="text1"/>
        </w:rPr>
      </w:pPr>
      <w:r w:rsidRPr="00F01ED4">
        <w:rPr>
          <w:rFonts w:ascii="Palatino Linotype" w:hAnsi="Palatino Linotype"/>
          <w:b/>
          <w:color w:val="000000" w:themeColor="text1"/>
        </w:rPr>
        <w:t>Autorizar, controlar y vigilar la utilización del suelo</w:t>
      </w:r>
      <w:r w:rsidRPr="00F01ED4">
        <w:rPr>
          <w:rFonts w:ascii="Palatino Linotype" w:hAnsi="Palatino Linotype"/>
          <w:color w:val="000000" w:themeColor="text1"/>
        </w:rPr>
        <w:t xml:space="preserve">, en el ámbito de su competencia, en sus jurisdicciones territoriales; </w:t>
      </w:r>
      <w:r>
        <w:rPr>
          <w:rFonts w:ascii="Palatino Linotype" w:hAnsi="Palatino Linotype"/>
          <w:color w:val="000000" w:themeColor="text1"/>
        </w:rPr>
        <w:t>e</w:t>
      </w:r>
    </w:p>
    <w:p w14:paraId="4D7B768B" w14:textId="3BFEA633" w:rsidR="00F01ED4" w:rsidRDefault="00F01ED4" w:rsidP="007814CC">
      <w:pPr>
        <w:pStyle w:val="Prrafodelista"/>
        <w:numPr>
          <w:ilvl w:val="1"/>
          <w:numId w:val="13"/>
        </w:numPr>
        <w:tabs>
          <w:tab w:val="left" w:pos="426"/>
        </w:tabs>
        <w:spacing w:before="240" w:after="240" w:line="360" w:lineRule="auto"/>
        <w:ind w:left="993" w:right="51"/>
        <w:jc w:val="both"/>
        <w:rPr>
          <w:rFonts w:ascii="Palatino Linotype" w:hAnsi="Palatino Linotype"/>
          <w:color w:val="000000" w:themeColor="text1"/>
        </w:rPr>
      </w:pPr>
      <w:r w:rsidRPr="00F01ED4">
        <w:rPr>
          <w:rFonts w:ascii="Palatino Linotype" w:hAnsi="Palatino Linotype"/>
          <w:b/>
          <w:color w:val="000000" w:themeColor="text1"/>
        </w:rPr>
        <w:lastRenderedPageBreak/>
        <w:t>Intervenir en la regularización de la tenencia de la tierra</w:t>
      </w:r>
      <w:r w:rsidRPr="00F01ED4">
        <w:rPr>
          <w:rFonts w:ascii="Palatino Linotype" w:hAnsi="Palatino Linotype"/>
          <w:color w:val="000000" w:themeColor="text1"/>
        </w:rPr>
        <w:t xml:space="preserve"> urbana</w:t>
      </w:r>
    </w:p>
    <w:p w14:paraId="34622381" w14:textId="77777777" w:rsidR="003531F6" w:rsidRDefault="003531F6" w:rsidP="003531F6">
      <w:pPr>
        <w:pStyle w:val="Prrafodelista"/>
        <w:tabs>
          <w:tab w:val="left" w:pos="426"/>
        </w:tabs>
        <w:spacing w:before="240" w:after="240" w:line="360" w:lineRule="auto"/>
        <w:ind w:left="0" w:right="51"/>
        <w:jc w:val="both"/>
        <w:rPr>
          <w:rFonts w:ascii="Palatino Linotype" w:hAnsi="Palatino Linotype"/>
          <w:color w:val="000000" w:themeColor="text1"/>
        </w:rPr>
      </w:pPr>
    </w:p>
    <w:p w14:paraId="33DD3093" w14:textId="278ECF2A" w:rsidR="003531F6" w:rsidRDefault="003165D1"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parte, el Título Quinto del Código Financiero del Estado de México y Municipios, tiene por </w:t>
      </w:r>
      <w:r w:rsidRPr="003165D1">
        <w:rPr>
          <w:rFonts w:ascii="Palatino Linotype" w:hAnsi="Palatino Linotype"/>
          <w:color w:val="000000" w:themeColor="text1"/>
        </w:rPr>
        <w:t xml:space="preserve">objeto </w:t>
      </w:r>
      <w:r w:rsidRPr="003165D1">
        <w:rPr>
          <w:rFonts w:ascii="Palatino Linotype" w:hAnsi="Palatino Linotype"/>
          <w:b/>
          <w:color w:val="000000" w:themeColor="text1"/>
        </w:rPr>
        <w:t>normar la actividad catastral en el Estado</w:t>
      </w:r>
      <w:r w:rsidRPr="003165D1">
        <w:rPr>
          <w:rFonts w:ascii="Palatino Linotype" w:hAnsi="Palatino Linotype"/>
          <w:color w:val="000000" w:themeColor="text1"/>
        </w:rPr>
        <w:t>, así como la integración y actualización de las Tablas de Valores Unita</w:t>
      </w:r>
      <w:r>
        <w:rPr>
          <w:rFonts w:ascii="Palatino Linotype" w:hAnsi="Palatino Linotype"/>
          <w:color w:val="000000" w:themeColor="text1"/>
        </w:rPr>
        <w:t>rios de Suelo y Construcciones</w:t>
      </w:r>
      <w:r>
        <w:rPr>
          <w:rStyle w:val="Refdenotaalpie"/>
          <w:rFonts w:ascii="Palatino Linotype" w:hAnsi="Palatino Linotype"/>
          <w:color w:val="000000" w:themeColor="text1"/>
        </w:rPr>
        <w:footnoteReference w:id="10"/>
      </w:r>
      <w:r w:rsidRPr="003165D1">
        <w:rPr>
          <w:rFonts w:ascii="Palatino Linotype" w:hAnsi="Palatino Linotype"/>
          <w:color w:val="000000" w:themeColor="text1"/>
        </w:rPr>
        <w:t>.</w:t>
      </w:r>
    </w:p>
    <w:p w14:paraId="56C48B80" w14:textId="77777777" w:rsidR="00F01ED4" w:rsidRDefault="00F01ED4" w:rsidP="00F01ED4">
      <w:pPr>
        <w:pStyle w:val="Prrafodelista"/>
        <w:tabs>
          <w:tab w:val="left" w:pos="426"/>
        </w:tabs>
        <w:spacing w:before="240" w:after="240" w:line="360" w:lineRule="auto"/>
        <w:ind w:left="0" w:right="51"/>
        <w:jc w:val="both"/>
        <w:rPr>
          <w:rFonts w:ascii="Palatino Linotype" w:hAnsi="Palatino Linotype"/>
          <w:color w:val="000000" w:themeColor="text1"/>
        </w:rPr>
      </w:pPr>
    </w:p>
    <w:p w14:paraId="78E66B15" w14:textId="58780661" w:rsidR="00F01ED4" w:rsidRDefault="003165D1" w:rsidP="003165D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conformidad con lo dispuesto por el artículo 168 del Código Financiero del Estado de México y Municipios, </w:t>
      </w:r>
      <w:r>
        <w:rPr>
          <w:rFonts w:ascii="Palatino Linotype" w:hAnsi="Palatino Linotype"/>
          <w:b/>
          <w:color w:val="000000" w:themeColor="text1"/>
        </w:rPr>
        <w:t>catastro</w:t>
      </w:r>
      <w:r>
        <w:rPr>
          <w:rFonts w:ascii="Palatino Linotype" w:hAnsi="Palatino Linotype"/>
          <w:color w:val="000000" w:themeColor="text1"/>
        </w:rPr>
        <w:t xml:space="preserve"> es </w:t>
      </w:r>
      <w:r w:rsidRPr="003165D1">
        <w:rPr>
          <w:rFonts w:ascii="Palatino Linotype" w:hAnsi="Palatino Linotype"/>
          <w:color w:val="000000" w:themeColor="text1"/>
        </w:rPr>
        <w:t>el sistema de información territorial, cuyo propósito es integrar, conservar y mantener actualizados el padrón catastral estatal y los padro</w:t>
      </w:r>
      <w:r>
        <w:rPr>
          <w:rFonts w:ascii="Palatino Linotype" w:hAnsi="Palatino Linotype"/>
          <w:color w:val="000000" w:themeColor="text1"/>
        </w:rPr>
        <w:t>nes municipales de la Entidad. Por su parte, e</w:t>
      </w:r>
      <w:r w:rsidRPr="003165D1">
        <w:rPr>
          <w:rFonts w:ascii="Palatino Linotype" w:hAnsi="Palatino Linotype"/>
          <w:color w:val="000000" w:themeColor="text1"/>
        </w:rPr>
        <w:t xml:space="preserve">l </w:t>
      </w:r>
      <w:r w:rsidRPr="003165D1">
        <w:rPr>
          <w:rFonts w:ascii="Palatino Linotype" w:hAnsi="Palatino Linotype"/>
          <w:b/>
          <w:color w:val="000000" w:themeColor="text1"/>
        </w:rPr>
        <w:t>padrón catastral</w:t>
      </w:r>
      <w:r w:rsidRPr="003165D1">
        <w:rPr>
          <w:rFonts w:ascii="Palatino Linotype" w:hAnsi="Palatino Linotype"/>
          <w:color w:val="000000" w:themeColor="text1"/>
        </w:rPr>
        <w:t xml:space="preserve"> es el inventario analítico que contiene los datos técnicos y administrativos de los inmuebles y está conformado por el conjunto de registros geográficos, gráficos, estadísticos, alfanuméricos y elementos y características resultantes de las actividades catastrales. </w:t>
      </w:r>
      <w:r>
        <w:rPr>
          <w:rFonts w:ascii="Palatino Linotype" w:hAnsi="Palatino Linotype"/>
          <w:color w:val="000000" w:themeColor="text1"/>
        </w:rPr>
        <w:t xml:space="preserve"> Mientras que la </w:t>
      </w:r>
      <w:r w:rsidRPr="003165D1">
        <w:rPr>
          <w:rFonts w:ascii="Palatino Linotype" w:hAnsi="Palatino Linotype"/>
          <w:b/>
          <w:color w:val="000000" w:themeColor="text1"/>
        </w:rPr>
        <w:t>actividad catastral</w:t>
      </w:r>
      <w:r w:rsidRPr="003165D1">
        <w:rPr>
          <w:rFonts w:ascii="Palatino Linotype" w:hAnsi="Palatino Linotype"/>
          <w:color w:val="000000" w:themeColor="text1"/>
        </w:rPr>
        <w:t xml:space="preserve"> se refiere al conjunto de acciones de identificación, inscripción, control y valuación, que permiten integrar, conservar y mantener actualizado el inventario analítico con las características cualitativas y cuantitativas de los inmuebles inscritos en los padrones catastrales estat</w:t>
      </w:r>
      <w:r>
        <w:rPr>
          <w:rFonts w:ascii="Palatino Linotype" w:hAnsi="Palatino Linotype"/>
          <w:color w:val="000000" w:themeColor="text1"/>
        </w:rPr>
        <w:t>al y municipales de la Entidad.</w:t>
      </w:r>
    </w:p>
    <w:p w14:paraId="4D28A3A9" w14:textId="77777777" w:rsidR="00F01ED4" w:rsidRDefault="00F01ED4" w:rsidP="00F01ED4">
      <w:pPr>
        <w:pStyle w:val="Prrafodelista"/>
        <w:tabs>
          <w:tab w:val="left" w:pos="426"/>
        </w:tabs>
        <w:spacing w:before="240" w:after="240" w:line="360" w:lineRule="auto"/>
        <w:ind w:left="0" w:right="51"/>
        <w:jc w:val="both"/>
        <w:rPr>
          <w:rFonts w:ascii="Palatino Linotype" w:hAnsi="Palatino Linotype"/>
          <w:color w:val="000000" w:themeColor="text1"/>
        </w:rPr>
      </w:pPr>
    </w:p>
    <w:p w14:paraId="3AA6FD7D" w14:textId="5E313347" w:rsidR="00F01ED4" w:rsidRDefault="003165D1"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Serán autoridades en materia de catastro, las siguientes</w:t>
      </w:r>
      <w:r>
        <w:rPr>
          <w:rStyle w:val="Refdenotaalpie"/>
          <w:rFonts w:ascii="Palatino Linotype" w:hAnsi="Palatino Linotype"/>
          <w:color w:val="000000" w:themeColor="text1"/>
        </w:rPr>
        <w:footnoteReference w:id="11"/>
      </w:r>
      <w:r>
        <w:rPr>
          <w:rFonts w:ascii="Palatino Linotype" w:hAnsi="Palatino Linotype"/>
          <w:color w:val="000000" w:themeColor="text1"/>
        </w:rPr>
        <w:t>:</w:t>
      </w:r>
    </w:p>
    <w:p w14:paraId="31F114B3" w14:textId="0CC2750D" w:rsidR="003165D1" w:rsidRDefault="003165D1" w:rsidP="007814CC">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El Gobernador del Estado;</w:t>
      </w:r>
    </w:p>
    <w:p w14:paraId="7701AACA" w14:textId="657FC4AF" w:rsidR="003165D1" w:rsidRDefault="003165D1" w:rsidP="007814CC">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El Secretario de Finanzas;</w:t>
      </w:r>
    </w:p>
    <w:p w14:paraId="7D06F138" w14:textId="633FF296" w:rsidR="003165D1" w:rsidRDefault="003165D1" w:rsidP="007814CC">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lastRenderedPageBreak/>
        <w:t xml:space="preserve">El </w:t>
      </w:r>
      <w:r w:rsidRPr="003165D1">
        <w:rPr>
          <w:rFonts w:ascii="Palatino Linotype" w:hAnsi="Palatino Linotype"/>
          <w:color w:val="000000" w:themeColor="text1"/>
        </w:rPr>
        <w:t xml:space="preserve">Director General del Instituto de Información e Investigación Geográfica, Estadística y Catastral del Estado de México y el servidor público que sea designado como titular de la Dirección de Catastro de </w:t>
      </w:r>
      <w:r>
        <w:rPr>
          <w:rFonts w:ascii="Palatino Linotype" w:hAnsi="Palatino Linotype"/>
          <w:color w:val="000000" w:themeColor="text1"/>
        </w:rPr>
        <w:t>ese Instituto; y</w:t>
      </w:r>
    </w:p>
    <w:p w14:paraId="71A955CC" w14:textId="40384D47" w:rsidR="003165D1" w:rsidRDefault="003165D1" w:rsidP="007814CC">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sidRPr="003165D1">
        <w:rPr>
          <w:rFonts w:ascii="Palatino Linotype" w:hAnsi="Palatino Linotype"/>
          <w:b/>
          <w:color w:val="000000" w:themeColor="text1"/>
        </w:rPr>
        <w:t>El Ayuntamiento y el servidor público que sea designado como titular de la unidad encargada del catastro municipal</w:t>
      </w:r>
      <w:r w:rsidRPr="003165D1">
        <w:rPr>
          <w:rFonts w:ascii="Palatino Linotype" w:hAnsi="Palatino Linotype"/>
          <w:color w:val="000000" w:themeColor="text1"/>
        </w:rPr>
        <w:t>.</w:t>
      </w:r>
    </w:p>
    <w:p w14:paraId="2B1B7565" w14:textId="77777777" w:rsidR="00F01ED4" w:rsidRDefault="00F01ED4" w:rsidP="00F01ED4">
      <w:pPr>
        <w:pStyle w:val="Prrafodelista"/>
        <w:tabs>
          <w:tab w:val="left" w:pos="426"/>
        </w:tabs>
        <w:spacing w:before="240" w:after="240" w:line="360" w:lineRule="auto"/>
        <w:ind w:left="0" w:right="51"/>
        <w:jc w:val="both"/>
        <w:rPr>
          <w:rFonts w:ascii="Palatino Linotype" w:hAnsi="Palatino Linotype"/>
          <w:color w:val="000000" w:themeColor="text1"/>
        </w:rPr>
      </w:pPr>
    </w:p>
    <w:p w14:paraId="2C7AD1A3" w14:textId="5973807A" w:rsidR="00F01ED4" w:rsidRDefault="003165D1"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Siendo de especial inter</w:t>
      </w:r>
      <w:r w:rsidR="008022B1">
        <w:rPr>
          <w:rFonts w:ascii="Palatino Linotype" w:hAnsi="Palatino Linotype"/>
          <w:color w:val="000000" w:themeColor="text1"/>
        </w:rPr>
        <w:t>és, para el presente asunto, lo relacionado con los ayuntamientos, quienes de acuerdo con lo que establece el numeral 171 del Código Financiero del Estado de México y Municipios, tendrán las siguientes atribuciones:</w:t>
      </w:r>
    </w:p>
    <w:p w14:paraId="7A7CA4A2" w14:textId="77777777" w:rsidR="00403BFD" w:rsidRDefault="00403BFD" w:rsidP="00403BFD">
      <w:pPr>
        <w:pStyle w:val="Prrafodelista"/>
        <w:tabs>
          <w:tab w:val="left" w:pos="426"/>
        </w:tabs>
        <w:spacing w:before="240" w:after="240" w:line="276" w:lineRule="auto"/>
        <w:ind w:left="567" w:right="567"/>
        <w:jc w:val="both"/>
        <w:rPr>
          <w:rFonts w:ascii="Palatino Linotype" w:hAnsi="Palatino Linotype"/>
          <w:i/>
          <w:sz w:val="22"/>
        </w:rPr>
      </w:pPr>
    </w:p>
    <w:p w14:paraId="3F84BB0D" w14:textId="0AB5C614" w:rsidR="008022B1" w:rsidRPr="00403BFD" w:rsidRDefault="00403BFD" w:rsidP="00403BFD">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008022B1" w:rsidRPr="00403BFD">
        <w:rPr>
          <w:rFonts w:ascii="Palatino Linotype" w:hAnsi="Palatino Linotype"/>
          <w:b/>
          <w:i/>
          <w:sz w:val="22"/>
        </w:rPr>
        <w:t>Artículo 171.-</w:t>
      </w:r>
      <w:r w:rsidR="008022B1" w:rsidRPr="00403BFD">
        <w:rPr>
          <w:rFonts w:ascii="Palatino Linotype" w:hAnsi="Palatino Linotype"/>
          <w:i/>
          <w:sz w:val="22"/>
        </w:rPr>
        <w:t xml:space="preserve"> Los Ayuntamientos, además de las atribuciones que este Código y otros ordenamientos les confieran en materia catastral, tendrán las facultades y obligaciones siguientes: </w:t>
      </w:r>
    </w:p>
    <w:p w14:paraId="03BCF8BD" w14:textId="738A39EF" w:rsidR="008022B1" w:rsidRPr="00403BFD" w:rsidRDefault="008022B1" w:rsidP="00403BFD">
      <w:pPr>
        <w:pStyle w:val="Prrafodelista"/>
        <w:tabs>
          <w:tab w:val="left" w:pos="426"/>
        </w:tabs>
        <w:spacing w:before="240" w:after="240" w:line="276" w:lineRule="auto"/>
        <w:ind w:left="567" w:right="567"/>
        <w:jc w:val="both"/>
        <w:rPr>
          <w:rFonts w:ascii="Palatino Linotype" w:hAnsi="Palatino Linotype"/>
          <w:i/>
          <w:sz w:val="22"/>
        </w:rPr>
      </w:pPr>
      <w:r w:rsidRPr="00403BFD">
        <w:rPr>
          <w:rFonts w:ascii="Palatino Linotype" w:hAnsi="Palatino Linotype"/>
          <w:i/>
          <w:sz w:val="22"/>
        </w:rPr>
        <w:t>(…)</w:t>
      </w:r>
    </w:p>
    <w:p w14:paraId="7089ADA9" w14:textId="46BE542F" w:rsidR="008022B1" w:rsidRPr="00403BFD" w:rsidRDefault="008022B1" w:rsidP="00403BFD">
      <w:pPr>
        <w:pStyle w:val="Prrafodelista"/>
        <w:tabs>
          <w:tab w:val="left" w:pos="426"/>
        </w:tabs>
        <w:spacing w:before="240" w:after="240" w:line="276" w:lineRule="auto"/>
        <w:ind w:left="567" w:right="567"/>
        <w:jc w:val="both"/>
        <w:rPr>
          <w:rFonts w:ascii="Palatino Linotype" w:hAnsi="Palatino Linotype"/>
          <w:i/>
          <w:sz w:val="22"/>
        </w:rPr>
      </w:pPr>
      <w:r w:rsidRPr="00403BFD">
        <w:rPr>
          <w:rFonts w:ascii="Palatino Linotype" w:hAnsi="Palatino Linotype"/>
          <w:b/>
          <w:i/>
          <w:sz w:val="22"/>
        </w:rPr>
        <w:t>II.</w:t>
      </w:r>
      <w:r w:rsidRPr="00403BFD">
        <w:rPr>
          <w:rFonts w:ascii="Palatino Linotype" w:hAnsi="Palatino Linotype"/>
          <w:i/>
          <w:sz w:val="22"/>
        </w:rPr>
        <w:t xml:space="preserve"> </w:t>
      </w:r>
      <w:r w:rsidRPr="00403BFD">
        <w:rPr>
          <w:rFonts w:ascii="Palatino Linotype" w:hAnsi="Palatino Linotype"/>
          <w:b/>
          <w:i/>
          <w:sz w:val="22"/>
        </w:rPr>
        <w:t>Identificar</w:t>
      </w:r>
      <w:r w:rsidRPr="00403BFD">
        <w:rPr>
          <w:rFonts w:ascii="Palatino Linotype" w:hAnsi="Palatino Linotype"/>
          <w:i/>
          <w:sz w:val="22"/>
        </w:rPr>
        <w:t xml:space="preserve"> en forma precisa </w:t>
      </w:r>
      <w:r w:rsidRPr="00403BFD">
        <w:rPr>
          <w:rFonts w:ascii="Palatino Linotype" w:hAnsi="Palatino Linotype"/>
          <w:b/>
          <w:i/>
          <w:sz w:val="22"/>
        </w:rPr>
        <w:t>los inmuebles ubicados dentro del territorio municipal</w:t>
      </w:r>
      <w:r w:rsidRPr="00403BFD">
        <w:rPr>
          <w:rFonts w:ascii="Palatino Linotype" w:hAnsi="Palatino Linotype"/>
          <w:i/>
          <w:sz w:val="22"/>
        </w:rPr>
        <w:t>, mediante la localización geográfica y asignación de la clave catastral que le corresponda.</w:t>
      </w:r>
    </w:p>
    <w:p w14:paraId="0EB06219" w14:textId="006B2528" w:rsidR="008022B1" w:rsidRPr="00403BFD" w:rsidRDefault="008022B1" w:rsidP="00403BFD">
      <w:pPr>
        <w:pStyle w:val="Prrafodelista"/>
        <w:tabs>
          <w:tab w:val="left" w:pos="426"/>
        </w:tabs>
        <w:spacing w:before="240" w:after="240" w:line="276" w:lineRule="auto"/>
        <w:ind w:left="567" w:right="567"/>
        <w:jc w:val="both"/>
        <w:rPr>
          <w:rFonts w:ascii="Palatino Linotype" w:hAnsi="Palatino Linotype"/>
          <w:i/>
          <w:sz w:val="22"/>
        </w:rPr>
      </w:pPr>
      <w:r w:rsidRPr="00403BFD">
        <w:rPr>
          <w:rFonts w:ascii="Palatino Linotype" w:hAnsi="Palatino Linotype"/>
          <w:i/>
          <w:sz w:val="22"/>
        </w:rPr>
        <w:t>(…)</w:t>
      </w:r>
    </w:p>
    <w:p w14:paraId="297D190B" w14:textId="4E089534" w:rsidR="008022B1" w:rsidRPr="00403BFD" w:rsidRDefault="008022B1" w:rsidP="00403BFD">
      <w:pPr>
        <w:pStyle w:val="Prrafodelista"/>
        <w:tabs>
          <w:tab w:val="left" w:pos="426"/>
        </w:tabs>
        <w:spacing w:before="240" w:after="240" w:line="276" w:lineRule="auto"/>
        <w:ind w:left="567" w:right="567"/>
        <w:jc w:val="both"/>
        <w:rPr>
          <w:rFonts w:ascii="Palatino Linotype" w:hAnsi="Palatino Linotype"/>
          <w:i/>
          <w:sz w:val="22"/>
        </w:rPr>
      </w:pPr>
      <w:r w:rsidRPr="00403BFD">
        <w:rPr>
          <w:rFonts w:ascii="Palatino Linotype" w:hAnsi="Palatino Linotype"/>
          <w:b/>
          <w:i/>
          <w:sz w:val="22"/>
        </w:rPr>
        <w:t>VI.</w:t>
      </w:r>
      <w:r w:rsidRPr="00403BFD">
        <w:rPr>
          <w:rFonts w:ascii="Palatino Linotype" w:hAnsi="Palatino Linotype"/>
          <w:i/>
          <w:sz w:val="22"/>
        </w:rPr>
        <w:t xml:space="preserve"> </w:t>
      </w:r>
      <w:r w:rsidRPr="00403BFD">
        <w:rPr>
          <w:rFonts w:ascii="Palatino Linotype" w:hAnsi="Palatino Linotype"/>
          <w:b/>
          <w:i/>
          <w:sz w:val="22"/>
        </w:rPr>
        <w:t>Integrar, conservar y mantener actualizados los registros gráfico y alfanumérico de los inmuebles</w:t>
      </w:r>
      <w:r w:rsidRPr="00403BFD">
        <w:rPr>
          <w:rFonts w:ascii="Palatino Linotype" w:hAnsi="Palatino Linotype"/>
          <w:i/>
          <w:sz w:val="22"/>
        </w:rPr>
        <w:t xml:space="preserve"> ubicados en el territorio del municipio.</w:t>
      </w:r>
    </w:p>
    <w:p w14:paraId="02ACF58A" w14:textId="2A273924" w:rsidR="008022B1" w:rsidRPr="00403BFD" w:rsidRDefault="008022B1" w:rsidP="00403BFD">
      <w:pPr>
        <w:pStyle w:val="Prrafodelista"/>
        <w:tabs>
          <w:tab w:val="left" w:pos="426"/>
        </w:tabs>
        <w:spacing w:before="240" w:after="240" w:line="276" w:lineRule="auto"/>
        <w:ind w:left="567" w:right="567"/>
        <w:jc w:val="both"/>
        <w:rPr>
          <w:rFonts w:ascii="Palatino Linotype" w:hAnsi="Palatino Linotype"/>
          <w:i/>
          <w:sz w:val="22"/>
        </w:rPr>
      </w:pPr>
      <w:r w:rsidRPr="00403BFD">
        <w:rPr>
          <w:rFonts w:ascii="Palatino Linotype" w:hAnsi="Palatino Linotype"/>
          <w:i/>
          <w:sz w:val="22"/>
        </w:rPr>
        <w:t>(…)</w:t>
      </w:r>
      <w:r w:rsidR="00403BFD" w:rsidRPr="00403BFD">
        <w:rPr>
          <w:rFonts w:ascii="Palatino Linotype" w:hAnsi="Palatino Linotype"/>
          <w:i/>
          <w:sz w:val="22"/>
        </w:rPr>
        <w:t>”</w:t>
      </w:r>
    </w:p>
    <w:p w14:paraId="174FDD0A" w14:textId="77777777" w:rsidR="008022B1" w:rsidRDefault="008022B1" w:rsidP="00F01ED4">
      <w:pPr>
        <w:pStyle w:val="Prrafodelista"/>
        <w:tabs>
          <w:tab w:val="left" w:pos="426"/>
        </w:tabs>
        <w:spacing w:before="240" w:after="240" w:line="360" w:lineRule="auto"/>
        <w:ind w:left="0" w:right="51"/>
        <w:jc w:val="both"/>
        <w:rPr>
          <w:rFonts w:ascii="Palatino Linotype" w:hAnsi="Palatino Linotype"/>
          <w:color w:val="000000" w:themeColor="text1"/>
        </w:rPr>
      </w:pPr>
    </w:p>
    <w:p w14:paraId="3FC118EB" w14:textId="780F2847" w:rsidR="009E4417" w:rsidRDefault="009E4417" w:rsidP="009E44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su parte, el Reglamento del Título Quinto del Código Financiero del Estado de México y Municipios, Denominado “Del Catastro”</w:t>
      </w:r>
      <w:r>
        <w:rPr>
          <w:rStyle w:val="Refdenotaalpie"/>
          <w:rFonts w:ascii="Palatino Linotype" w:hAnsi="Palatino Linotype"/>
          <w:color w:val="000000" w:themeColor="text1"/>
        </w:rPr>
        <w:footnoteReference w:id="12"/>
      </w:r>
      <w:r>
        <w:rPr>
          <w:rFonts w:ascii="Palatino Linotype" w:hAnsi="Palatino Linotype"/>
          <w:color w:val="000000" w:themeColor="text1"/>
        </w:rPr>
        <w:t>, señala que la autoridad catastral municipal prestará, entre otros, los siguientes trámites y servicios:</w:t>
      </w:r>
    </w:p>
    <w:p w14:paraId="2253DCDF" w14:textId="77777777" w:rsidR="00414408" w:rsidRDefault="00414408" w:rsidP="00414408">
      <w:pPr>
        <w:tabs>
          <w:tab w:val="left" w:pos="426"/>
        </w:tabs>
        <w:spacing w:line="276" w:lineRule="auto"/>
        <w:ind w:left="567" w:right="567"/>
        <w:jc w:val="both"/>
        <w:rPr>
          <w:rFonts w:ascii="Palatino Linotype" w:hAnsi="Palatino Linotype"/>
          <w:i/>
          <w:sz w:val="22"/>
        </w:rPr>
      </w:pPr>
      <w:r>
        <w:rPr>
          <w:rFonts w:ascii="Palatino Linotype" w:hAnsi="Palatino Linotype"/>
          <w:i/>
          <w:sz w:val="22"/>
        </w:rPr>
        <w:lastRenderedPageBreak/>
        <w:t>“</w:t>
      </w:r>
      <w:r w:rsidRPr="001E051A">
        <w:rPr>
          <w:rFonts w:ascii="Palatino Linotype" w:hAnsi="Palatino Linotype"/>
          <w:b/>
          <w:i/>
          <w:sz w:val="22"/>
        </w:rPr>
        <w:t>I. Trámites:</w:t>
      </w:r>
      <w:r w:rsidRPr="001E051A">
        <w:rPr>
          <w:rFonts w:ascii="Palatino Linotype" w:hAnsi="Palatino Linotype"/>
          <w:i/>
          <w:sz w:val="22"/>
        </w:rPr>
        <w:t xml:space="preserve"> </w:t>
      </w:r>
    </w:p>
    <w:p w14:paraId="064D1954" w14:textId="77777777" w:rsidR="00414408" w:rsidRDefault="00414408" w:rsidP="00414408">
      <w:pPr>
        <w:tabs>
          <w:tab w:val="left" w:pos="426"/>
        </w:tabs>
        <w:spacing w:line="276" w:lineRule="auto"/>
        <w:ind w:left="851" w:right="567"/>
        <w:jc w:val="both"/>
        <w:rPr>
          <w:rFonts w:ascii="Palatino Linotype" w:hAnsi="Palatino Linotype"/>
          <w:i/>
          <w:sz w:val="22"/>
        </w:rPr>
      </w:pPr>
      <w:r w:rsidRPr="001E051A">
        <w:rPr>
          <w:rFonts w:ascii="Palatino Linotype" w:hAnsi="Palatino Linotype"/>
          <w:b/>
          <w:i/>
          <w:sz w:val="22"/>
        </w:rPr>
        <w:t>a)</w:t>
      </w:r>
      <w:r w:rsidRPr="001E051A">
        <w:rPr>
          <w:rFonts w:ascii="Palatino Linotype" w:hAnsi="Palatino Linotype"/>
          <w:i/>
          <w:sz w:val="22"/>
        </w:rPr>
        <w:t xml:space="preserve"> </w:t>
      </w:r>
      <w:r w:rsidRPr="001E051A">
        <w:rPr>
          <w:rFonts w:ascii="Palatino Linotype" w:hAnsi="Palatino Linotype"/>
          <w:b/>
          <w:i/>
          <w:sz w:val="22"/>
        </w:rPr>
        <w:t>Inscripción de inmuebles en el Padrón Catastral</w:t>
      </w:r>
      <w:r w:rsidRPr="001E051A">
        <w:rPr>
          <w:rFonts w:ascii="Palatino Linotype" w:hAnsi="Palatino Linotype"/>
          <w:i/>
          <w:sz w:val="22"/>
        </w:rPr>
        <w:t xml:space="preserve"> Municipal; </w:t>
      </w:r>
    </w:p>
    <w:p w14:paraId="56D15579" w14:textId="77777777" w:rsidR="00414408" w:rsidRDefault="00414408" w:rsidP="00414408">
      <w:pPr>
        <w:tabs>
          <w:tab w:val="left" w:pos="426"/>
        </w:tabs>
        <w:spacing w:line="276" w:lineRule="auto"/>
        <w:ind w:left="851" w:right="567"/>
        <w:jc w:val="both"/>
        <w:rPr>
          <w:rFonts w:ascii="Palatino Linotype" w:hAnsi="Palatino Linotype"/>
          <w:i/>
          <w:sz w:val="22"/>
        </w:rPr>
      </w:pPr>
      <w:r w:rsidRPr="001E051A">
        <w:rPr>
          <w:rFonts w:ascii="Palatino Linotype" w:hAnsi="Palatino Linotype"/>
          <w:b/>
          <w:i/>
          <w:sz w:val="22"/>
        </w:rPr>
        <w:t>b)</w:t>
      </w:r>
      <w:r w:rsidRPr="001E051A">
        <w:rPr>
          <w:rFonts w:ascii="Palatino Linotype" w:hAnsi="Palatino Linotype"/>
          <w:i/>
          <w:sz w:val="22"/>
        </w:rPr>
        <w:t xml:space="preserve"> Registro de altas, bajas y modificaciones de construcciones; </w:t>
      </w:r>
    </w:p>
    <w:p w14:paraId="37C8F85F" w14:textId="77777777" w:rsidR="00414408" w:rsidRDefault="00414408" w:rsidP="00414408">
      <w:pPr>
        <w:tabs>
          <w:tab w:val="left" w:pos="426"/>
        </w:tabs>
        <w:spacing w:line="276" w:lineRule="auto"/>
        <w:ind w:left="851" w:right="567"/>
        <w:jc w:val="both"/>
        <w:rPr>
          <w:rFonts w:ascii="Palatino Linotype" w:hAnsi="Palatino Linotype"/>
          <w:i/>
          <w:sz w:val="22"/>
        </w:rPr>
      </w:pPr>
      <w:r w:rsidRPr="001E051A">
        <w:rPr>
          <w:rFonts w:ascii="Palatino Linotype" w:hAnsi="Palatino Linotype"/>
          <w:b/>
          <w:i/>
          <w:sz w:val="22"/>
        </w:rPr>
        <w:t>c)</w:t>
      </w:r>
      <w:r w:rsidRPr="001E051A">
        <w:rPr>
          <w:rFonts w:ascii="Palatino Linotype" w:hAnsi="Palatino Linotype"/>
          <w:i/>
          <w:sz w:val="22"/>
        </w:rPr>
        <w:t xml:space="preserve"> </w:t>
      </w:r>
      <w:r w:rsidRPr="001E051A">
        <w:rPr>
          <w:rFonts w:ascii="Palatino Linotype" w:hAnsi="Palatino Linotype"/>
          <w:b/>
          <w:i/>
          <w:sz w:val="22"/>
        </w:rPr>
        <w:t>Actualización del Padrón Catastral</w:t>
      </w:r>
      <w:r w:rsidRPr="001E051A">
        <w:rPr>
          <w:rFonts w:ascii="Palatino Linotype" w:hAnsi="Palatino Linotype"/>
          <w:i/>
          <w:sz w:val="22"/>
        </w:rPr>
        <w:t xml:space="preserve"> derivada de la subdivisión, fusión, lotificación; relotificación, conjuntos urbanos, afectaciones y modificación de linderos, previa autorización emitida por la autoridad competente; </w:t>
      </w:r>
    </w:p>
    <w:p w14:paraId="33ED2031" w14:textId="77777777" w:rsidR="00414408" w:rsidRDefault="00414408" w:rsidP="00414408">
      <w:pPr>
        <w:tabs>
          <w:tab w:val="left" w:pos="426"/>
        </w:tabs>
        <w:spacing w:line="276" w:lineRule="auto"/>
        <w:ind w:left="851" w:right="567"/>
        <w:jc w:val="both"/>
        <w:rPr>
          <w:rFonts w:ascii="Palatino Linotype" w:hAnsi="Palatino Linotype"/>
          <w:i/>
          <w:sz w:val="22"/>
        </w:rPr>
      </w:pPr>
      <w:r w:rsidRPr="001E051A">
        <w:rPr>
          <w:rFonts w:ascii="Palatino Linotype" w:hAnsi="Palatino Linotype"/>
          <w:b/>
          <w:i/>
          <w:sz w:val="22"/>
        </w:rPr>
        <w:t>d)</w:t>
      </w:r>
      <w:r w:rsidRPr="001E051A">
        <w:rPr>
          <w:rFonts w:ascii="Palatino Linotype" w:hAnsi="Palatino Linotype"/>
          <w:i/>
          <w:sz w:val="22"/>
        </w:rPr>
        <w:t xml:space="preserve"> </w:t>
      </w:r>
      <w:r w:rsidRPr="00455AAD">
        <w:rPr>
          <w:rFonts w:ascii="Palatino Linotype" w:hAnsi="Palatino Linotype"/>
          <w:b/>
          <w:i/>
          <w:sz w:val="22"/>
        </w:rPr>
        <w:t>Actualización al Padrón Catastral</w:t>
      </w:r>
      <w:r w:rsidRPr="001E051A">
        <w:rPr>
          <w:rFonts w:ascii="Palatino Linotype" w:hAnsi="Palatino Linotype"/>
          <w:i/>
          <w:sz w:val="22"/>
        </w:rPr>
        <w:t xml:space="preserve"> derivada de cambios técnicos y administrativos, y </w:t>
      </w:r>
    </w:p>
    <w:p w14:paraId="2AF8BCD0" w14:textId="77777777" w:rsidR="00414408" w:rsidRDefault="00414408" w:rsidP="00414408">
      <w:pPr>
        <w:tabs>
          <w:tab w:val="left" w:pos="426"/>
        </w:tabs>
        <w:spacing w:line="276" w:lineRule="auto"/>
        <w:ind w:left="851" w:right="567"/>
        <w:jc w:val="both"/>
        <w:rPr>
          <w:rFonts w:ascii="Palatino Linotype" w:hAnsi="Palatino Linotype"/>
          <w:i/>
          <w:sz w:val="22"/>
        </w:rPr>
      </w:pPr>
      <w:r w:rsidRPr="001E051A">
        <w:rPr>
          <w:rFonts w:ascii="Palatino Linotype" w:hAnsi="Palatino Linotype"/>
          <w:b/>
          <w:i/>
          <w:sz w:val="22"/>
        </w:rPr>
        <w:t>e)</w:t>
      </w:r>
      <w:r w:rsidRPr="001E051A">
        <w:rPr>
          <w:rFonts w:ascii="Palatino Linotype" w:hAnsi="Palatino Linotype"/>
          <w:i/>
          <w:sz w:val="22"/>
        </w:rPr>
        <w:t xml:space="preserve"> </w:t>
      </w:r>
      <w:r w:rsidRPr="00455AAD">
        <w:rPr>
          <w:rFonts w:ascii="Palatino Linotype" w:hAnsi="Palatino Linotype"/>
          <w:b/>
          <w:i/>
          <w:sz w:val="22"/>
        </w:rPr>
        <w:t>Asignación, bajas y reasignación de Clave Catastral</w:t>
      </w:r>
      <w:r w:rsidRPr="001E051A">
        <w:rPr>
          <w:rFonts w:ascii="Palatino Linotype" w:hAnsi="Palatino Linotype"/>
          <w:i/>
          <w:sz w:val="22"/>
        </w:rPr>
        <w:t xml:space="preserve">. </w:t>
      </w:r>
    </w:p>
    <w:p w14:paraId="23703634" w14:textId="77777777" w:rsidR="00414408" w:rsidRPr="001E051A" w:rsidRDefault="00414408" w:rsidP="00414408">
      <w:pPr>
        <w:tabs>
          <w:tab w:val="left" w:pos="426"/>
        </w:tabs>
        <w:spacing w:line="276" w:lineRule="auto"/>
        <w:ind w:left="567" w:right="567"/>
        <w:jc w:val="both"/>
        <w:rPr>
          <w:rFonts w:ascii="Palatino Linotype" w:hAnsi="Palatino Linotype"/>
          <w:b/>
          <w:i/>
          <w:sz w:val="22"/>
        </w:rPr>
      </w:pPr>
      <w:r w:rsidRPr="001E051A">
        <w:rPr>
          <w:rFonts w:ascii="Palatino Linotype" w:hAnsi="Palatino Linotype"/>
          <w:b/>
          <w:i/>
          <w:sz w:val="22"/>
        </w:rPr>
        <w:t xml:space="preserve">II. Servicios: </w:t>
      </w:r>
    </w:p>
    <w:p w14:paraId="22DC3D0A" w14:textId="77777777" w:rsidR="00414408" w:rsidRPr="001E051A" w:rsidRDefault="00414408" w:rsidP="00414408">
      <w:pPr>
        <w:tabs>
          <w:tab w:val="left" w:pos="426"/>
        </w:tabs>
        <w:spacing w:line="276" w:lineRule="auto"/>
        <w:ind w:left="851" w:right="567"/>
        <w:jc w:val="both"/>
        <w:rPr>
          <w:rFonts w:ascii="Palatino Linotype" w:hAnsi="Palatino Linotype"/>
          <w:b/>
          <w:i/>
          <w:sz w:val="22"/>
        </w:rPr>
      </w:pPr>
      <w:r w:rsidRPr="001E051A">
        <w:rPr>
          <w:rFonts w:ascii="Palatino Linotype" w:hAnsi="Palatino Linotype"/>
          <w:b/>
          <w:i/>
          <w:sz w:val="22"/>
        </w:rPr>
        <w:t>a)</w:t>
      </w:r>
      <w:r w:rsidRPr="001E051A">
        <w:rPr>
          <w:rFonts w:ascii="Palatino Linotype" w:hAnsi="Palatino Linotype"/>
          <w:i/>
          <w:sz w:val="22"/>
        </w:rPr>
        <w:t xml:space="preserve"> </w:t>
      </w:r>
      <w:r w:rsidRPr="001E051A">
        <w:rPr>
          <w:rFonts w:ascii="Palatino Linotype" w:hAnsi="Palatino Linotype"/>
          <w:b/>
          <w:i/>
          <w:sz w:val="22"/>
        </w:rPr>
        <w:t xml:space="preserve">Certificación de Clave Catastral; </w:t>
      </w:r>
    </w:p>
    <w:p w14:paraId="761E5B6E" w14:textId="77777777" w:rsidR="00414408" w:rsidRPr="001E051A" w:rsidRDefault="00414408" w:rsidP="00414408">
      <w:pPr>
        <w:tabs>
          <w:tab w:val="left" w:pos="426"/>
        </w:tabs>
        <w:spacing w:line="276" w:lineRule="auto"/>
        <w:ind w:left="851" w:right="567"/>
        <w:jc w:val="both"/>
        <w:rPr>
          <w:rFonts w:ascii="Palatino Linotype" w:hAnsi="Palatino Linotype"/>
          <w:b/>
          <w:i/>
          <w:sz w:val="22"/>
        </w:rPr>
      </w:pPr>
      <w:r w:rsidRPr="001E051A">
        <w:rPr>
          <w:rFonts w:ascii="Palatino Linotype" w:hAnsi="Palatino Linotype"/>
          <w:b/>
          <w:i/>
          <w:sz w:val="22"/>
        </w:rPr>
        <w:t xml:space="preserve">b) Certificación de Clave y Valor Catastral; </w:t>
      </w:r>
    </w:p>
    <w:p w14:paraId="05A69103" w14:textId="77777777" w:rsidR="00414408" w:rsidRPr="001E051A" w:rsidRDefault="00414408" w:rsidP="00414408">
      <w:pPr>
        <w:tabs>
          <w:tab w:val="left" w:pos="426"/>
        </w:tabs>
        <w:spacing w:line="276" w:lineRule="auto"/>
        <w:ind w:left="851" w:right="567"/>
        <w:jc w:val="both"/>
        <w:rPr>
          <w:rFonts w:ascii="Palatino Linotype" w:hAnsi="Palatino Linotype"/>
          <w:b/>
          <w:i/>
          <w:sz w:val="22"/>
        </w:rPr>
      </w:pPr>
      <w:r w:rsidRPr="001E051A">
        <w:rPr>
          <w:rFonts w:ascii="Palatino Linotype" w:hAnsi="Palatino Linotype"/>
          <w:b/>
          <w:i/>
          <w:sz w:val="22"/>
        </w:rPr>
        <w:t xml:space="preserve">c) Certificación de Plano Manzanero; </w:t>
      </w:r>
    </w:p>
    <w:p w14:paraId="6215D1EA" w14:textId="77777777" w:rsidR="00414408" w:rsidRDefault="00414408" w:rsidP="00414408">
      <w:pPr>
        <w:tabs>
          <w:tab w:val="left" w:pos="426"/>
        </w:tabs>
        <w:spacing w:line="276" w:lineRule="auto"/>
        <w:ind w:left="851" w:right="567"/>
        <w:jc w:val="both"/>
        <w:rPr>
          <w:rFonts w:ascii="Palatino Linotype" w:hAnsi="Palatino Linotype"/>
          <w:i/>
          <w:sz w:val="22"/>
        </w:rPr>
      </w:pPr>
      <w:r w:rsidRPr="001E051A">
        <w:rPr>
          <w:rFonts w:ascii="Palatino Linotype" w:hAnsi="Palatino Linotype"/>
          <w:b/>
          <w:i/>
          <w:sz w:val="22"/>
        </w:rPr>
        <w:t>d) Constancia de Identificación Catastral</w:t>
      </w:r>
      <w:r w:rsidRPr="001E051A">
        <w:rPr>
          <w:rFonts w:ascii="Palatino Linotype" w:hAnsi="Palatino Linotype"/>
          <w:i/>
          <w:sz w:val="22"/>
        </w:rPr>
        <w:t xml:space="preserve">; </w:t>
      </w:r>
    </w:p>
    <w:p w14:paraId="7A22F631" w14:textId="77777777" w:rsidR="00414408" w:rsidRDefault="00414408" w:rsidP="00414408">
      <w:pPr>
        <w:tabs>
          <w:tab w:val="left" w:pos="426"/>
        </w:tabs>
        <w:spacing w:line="276" w:lineRule="auto"/>
        <w:ind w:left="851" w:right="567"/>
        <w:jc w:val="both"/>
        <w:rPr>
          <w:rFonts w:ascii="Palatino Linotype" w:hAnsi="Palatino Linotype"/>
          <w:i/>
          <w:sz w:val="22"/>
        </w:rPr>
      </w:pPr>
      <w:r w:rsidRPr="001E051A">
        <w:rPr>
          <w:rFonts w:ascii="Palatino Linotype" w:hAnsi="Palatino Linotype"/>
          <w:b/>
          <w:i/>
          <w:sz w:val="22"/>
        </w:rPr>
        <w:t>e)</w:t>
      </w:r>
      <w:r w:rsidRPr="001E051A">
        <w:rPr>
          <w:rFonts w:ascii="Palatino Linotype" w:hAnsi="Palatino Linotype"/>
          <w:i/>
          <w:sz w:val="22"/>
        </w:rPr>
        <w:t xml:space="preserve"> Levantamiento Topográfico Catastral, y </w:t>
      </w:r>
    </w:p>
    <w:p w14:paraId="2A4B9D21" w14:textId="77777777" w:rsidR="00414408" w:rsidRDefault="00414408" w:rsidP="00414408">
      <w:pPr>
        <w:tabs>
          <w:tab w:val="left" w:pos="426"/>
        </w:tabs>
        <w:spacing w:line="276" w:lineRule="auto"/>
        <w:ind w:left="851" w:right="567"/>
        <w:jc w:val="both"/>
        <w:rPr>
          <w:rFonts w:ascii="Palatino Linotype" w:hAnsi="Palatino Linotype"/>
          <w:sz w:val="22"/>
        </w:rPr>
      </w:pPr>
      <w:r w:rsidRPr="001E051A">
        <w:rPr>
          <w:rFonts w:ascii="Palatino Linotype" w:hAnsi="Palatino Linotype"/>
          <w:b/>
          <w:i/>
          <w:sz w:val="22"/>
        </w:rPr>
        <w:t>f)</w:t>
      </w:r>
      <w:r w:rsidRPr="001E051A">
        <w:rPr>
          <w:rFonts w:ascii="Palatino Linotype" w:hAnsi="Palatino Linotype"/>
          <w:i/>
          <w:sz w:val="22"/>
        </w:rPr>
        <w:t xml:space="preserve"> Verificación de Linderos.</w:t>
      </w:r>
      <w:r>
        <w:rPr>
          <w:rFonts w:ascii="Palatino Linotype" w:hAnsi="Palatino Linotype"/>
          <w:i/>
          <w:sz w:val="22"/>
        </w:rPr>
        <w:t>”</w:t>
      </w:r>
    </w:p>
    <w:p w14:paraId="31D7C10C" w14:textId="77777777" w:rsidR="00414408" w:rsidRPr="001E051A" w:rsidRDefault="00414408" w:rsidP="00414408">
      <w:pPr>
        <w:tabs>
          <w:tab w:val="left" w:pos="426"/>
        </w:tabs>
        <w:spacing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7DFDD785" w14:textId="77777777" w:rsidR="00414408" w:rsidRDefault="00414408" w:rsidP="00414408">
      <w:pPr>
        <w:pStyle w:val="Prrafodelista"/>
        <w:tabs>
          <w:tab w:val="left" w:pos="426"/>
        </w:tabs>
        <w:spacing w:before="240" w:after="240" w:line="360" w:lineRule="auto"/>
        <w:ind w:left="0" w:right="51"/>
        <w:jc w:val="both"/>
        <w:rPr>
          <w:rFonts w:ascii="Palatino Linotype" w:hAnsi="Palatino Linotype"/>
          <w:color w:val="000000" w:themeColor="text1"/>
        </w:rPr>
      </w:pPr>
    </w:p>
    <w:p w14:paraId="011744F3" w14:textId="5361A3CD" w:rsidR="00F01ED4" w:rsidRDefault="00414408" w:rsidP="00910FE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3710C">
        <w:rPr>
          <w:rFonts w:ascii="Palatino Linotype" w:hAnsi="Palatino Linotype"/>
          <w:color w:val="000000" w:themeColor="text1"/>
        </w:rPr>
        <w:t xml:space="preserve">Mientras que el Bando Municipal de Chimalhuacán, </w:t>
      </w:r>
      <w:r w:rsidR="00D3710C" w:rsidRPr="00D3710C">
        <w:rPr>
          <w:rFonts w:ascii="Palatino Linotype" w:hAnsi="Palatino Linotype"/>
          <w:color w:val="000000" w:themeColor="text1"/>
        </w:rPr>
        <w:t>en su artículo 10, indica que el territorio del municipio ocupa una extensión territorial de 73.63 kilóm</w:t>
      </w:r>
      <w:r w:rsidR="00D3710C">
        <w:rPr>
          <w:rFonts w:ascii="Palatino Linotype" w:hAnsi="Palatino Linotype"/>
          <w:color w:val="000000" w:themeColor="text1"/>
        </w:rPr>
        <w:t xml:space="preserve">etros cuadrados de superficie, </w:t>
      </w:r>
      <w:r w:rsidR="003B1F7D">
        <w:rPr>
          <w:rFonts w:ascii="Palatino Linotype" w:hAnsi="Palatino Linotype"/>
          <w:color w:val="000000" w:themeColor="text1"/>
        </w:rPr>
        <w:t>y se</w:t>
      </w:r>
      <w:r w:rsidR="00D3710C">
        <w:rPr>
          <w:rFonts w:ascii="Palatino Linotype" w:hAnsi="Palatino Linotype"/>
          <w:color w:val="000000" w:themeColor="text1"/>
        </w:rPr>
        <w:t xml:space="preserve"> integrará de la siguiente manera</w:t>
      </w:r>
      <w:r w:rsidR="00D3710C" w:rsidRPr="00D3710C">
        <w:rPr>
          <w:rFonts w:ascii="Palatino Linotype" w:hAnsi="Palatino Linotype"/>
          <w:color w:val="000000" w:themeColor="text1"/>
        </w:rPr>
        <w:t>:</w:t>
      </w:r>
    </w:p>
    <w:p w14:paraId="310B85FE" w14:textId="77777777" w:rsidR="003B1F7D" w:rsidRDefault="003B1F7D" w:rsidP="003B1F7D">
      <w:pPr>
        <w:pStyle w:val="Prrafodelista"/>
        <w:tabs>
          <w:tab w:val="left" w:pos="426"/>
        </w:tabs>
        <w:spacing w:before="240" w:after="240" w:line="276" w:lineRule="auto"/>
        <w:ind w:left="567" w:right="567"/>
        <w:jc w:val="both"/>
        <w:rPr>
          <w:rFonts w:ascii="Palatino Linotype" w:hAnsi="Palatino Linotype"/>
          <w:b/>
          <w:i/>
          <w:sz w:val="22"/>
        </w:rPr>
      </w:pPr>
    </w:p>
    <w:p w14:paraId="1B509942" w14:textId="00DD003D" w:rsidR="00D3710C" w:rsidRPr="003B1F7D" w:rsidRDefault="003B1F7D" w:rsidP="003B1F7D">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b/>
          <w:i/>
          <w:sz w:val="22"/>
        </w:rPr>
        <w:t>“</w:t>
      </w:r>
      <w:r w:rsidR="00D3710C" w:rsidRPr="003B1F7D">
        <w:rPr>
          <w:rFonts w:ascii="Palatino Linotype" w:hAnsi="Palatino Linotype"/>
          <w:b/>
          <w:i/>
          <w:sz w:val="22"/>
        </w:rPr>
        <w:t>I.-</w:t>
      </w:r>
      <w:r w:rsidR="00D3710C" w:rsidRPr="003B1F7D">
        <w:rPr>
          <w:rFonts w:ascii="Palatino Linotype" w:hAnsi="Palatino Linotype"/>
          <w:i/>
          <w:sz w:val="22"/>
        </w:rPr>
        <w:t xml:space="preserve"> La Cabecera Municipal, denominada Santa María Chimalhuacán. </w:t>
      </w:r>
    </w:p>
    <w:p w14:paraId="6747CC52" w14:textId="77777777" w:rsidR="00D3710C" w:rsidRPr="003B1F7D" w:rsidRDefault="00D3710C" w:rsidP="003B1F7D">
      <w:pPr>
        <w:pStyle w:val="Prrafodelista"/>
        <w:tabs>
          <w:tab w:val="left" w:pos="426"/>
        </w:tabs>
        <w:spacing w:before="240" w:after="240" w:line="276" w:lineRule="auto"/>
        <w:ind w:left="567" w:right="567"/>
        <w:jc w:val="both"/>
        <w:rPr>
          <w:rFonts w:ascii="Palatino Linotype" w:hAnsi="Palatino Linotype"/>
          <w:b/>
          <w:i/>
          <w:sz w:val="22"/>
        </w:rPr>
      </w:pPr>
      <w:r w:rsidRPr="003B1F7D">
        <w:rPr>
          <w:rFonts w:ascii="Palatino Linotype" w:hAnsi="Palatino Linotype"/>
          <w:b/>
          <w:i/>
          <w:sz w:val="22"/>
        </w:rPr>
        <w:t xml:space="preserve">II.- Villas: </w:t>
      </w:r>
    </w:p>
    <w:p w14:paraId="32605911" w14:textId="77777777" w:rsidR="003B1F7D" w:rsidRPr="003B1F7D" w:rsidRDefault="00D3710C" w:rsidP="003B1F7D">
      <w:pPr>
        <w:pStyle w:val="Prrafodelista"/>
        <w:tabs>
          <w:tab w:val="left" w:pos="426"/>
        </w:tabs>
        <w:spacing w:before="240" w:after="240" w:line="276" w:lineRule="auto"/>
        <w:ind w:left="851" w:right="567"/>
        <w:jc w:val="both"/>
        <w:rPr>
          <w:rFonts w:ascii="Palatino Linotype" w:hAnsi="Palatino Linotype"/>
          <w:b/>
          <w:i/>
          <w:sz w:val="22"/>
        </w:rPr>
      </w:pPr>
      <w:r w:rsidRPr="003B1F7D">
        <w:rPr>
          <w:rFonts w:ascii="Palatino Linotype" w:hAnsi="Palatino Linotype"/>
          <w:b/>
          <w:i/>
          <w:sz w:val="22"/>
        </w:rPr>
        <w:t xml:space="preserve">1.- San Agustín Atlapulco. </w:t>
      </w:r>
    </w:p>
    <w:p w14:paraId="7BF80F35" w14:textId="4D181045" w:rsidR="00D3710C" w:rsidRPr="003B1F7D" w:rsidRDefault="003B1F7D" w:rsidP="003B1F7D">
      <w:pPr>
        <w:pStyle w:val="Prrafodelista"/>
        <w:tabs>
          <w:tab w:val="left" w:pos="426"/>
        </w:tabs>
        <w:spacing w:before="240" w:after="240" w:line="276" w:lineRule="auto"/>
        <w:ind w:left="851" w:right="567"/>
        <w:jc w:val="both"/>
        <w:rPr>
          <w:rFonts w:ascii="Palatino Linotype" w:hAnsi="Palatino Linotype"/>
          <w:i/>
          <w:sz w:val="22"/>
        </w:rPr>
      </w:pPr>
      <w:r w:rsidRPr="003B1F7D">
        <w:rPr>
          <w:rFonts w:ascii="Palatino Linotype" w:hAnsi="Palatino Linotype"/>
          <w:i/>
          <w:sz w:val="22"/>
        </w:rPr>
        <w:t>(…)</w:t>
      </w:r>
    </w:p>
    <w:p w14:paraId="75921F20" w14:textId="766C6640" w:rsidR="00D3710C" w:rsidRPr="003B1F7D" w:rsidRDefault="00D3710C" w:rsidP="003B1F7D">
      <w:pPr>
        <w:pStyle w:val="Prrafodelista"/>
        <w:tabs>
          <w:tab w:val="left" w:pos="426"/>
        </w:tabs>
        <w:spacing w:before="240" w:after="240" w:line="276" w:lineRule="auto"/>
        <w:ind w:left="567" w:right="567"/>
        <w:jc w:val="both"/>
        <w:rPr>
          <w:rFonts w:ascii="Palatino Linotype" w:hAnsi="Palatino Linotype"/>
          <w:i/>
          <w:sz w:val="22"/>
        </w:rPr>
      </w:pPr>
      <w:r w:rsidRPr="003B1F7D">
        <w:rPr>
          <w:rFonts w:ascii="Palatino Linotype" w:hAnsi="Palatino Linotype"/>
          <w:b/>
          <w:i/>
          <w:sz w:val="22"/>
        </w:rPr>
        <w:t>III.-</w:t>
      </w:r>
      <w:r w:rsidRPr="003B1F7D">
        <w:rPr>
          <w:rFonts w:ascii="Palatino Linotype" w:hAnsi="Palatino Linotype"/>
          <w:i/>
          <w:sz w:val="22"/>
        </w:rPr>
        <w:t xml:space="preserve"> Barrios Antiguos:</w:t>
      </w:r>
    </w:p>
    <w:p w14:paraId="379BAB26" w14:textId="13CA05A8" w:rsidR="00D3710C" w:rsidRPr="003B1F7D" w:rsidRDefault="00D3710C" w:rsidP="003B1F7D">
      <w:pPr>
        <w:pStyle w:val="Prrafodelista"/>
        <w:tabs>
          <w:tab w:val="left" w:pos="851"/>
        </w:tabs>
        <w:spacing w:before="240" w:after="240" w:line="276" w:lineRule="auto"/>
        <w:ind w:left="851" w:right="567"/>
        <w:jc w:val="both"/>
        <w:rPr>
          <w:rFonts w:ascii="Palatino Linotype" w:hAnsi="Palatino Linotype"/>
          <w:i/>
          <w:sz w:val="22"/>
        </w:rPr>
      </w:pPr>
      <w:r w:rsidRPr="003B1F7D">
        <w:rPr>
          <w:rFonts w:ascii="Palatino Linotype" w:hAnsi="Palatino Linotype"/>
          <w:i/>
          <w:sz w:val="22"/>
        </w:rPr>
        <w:t>(…)</w:t>
      </w:r>
    </w:p>
    <w:p w14:paraId="2F35046E" w14:textId="07DE2F33" w:rsidR="003B1F7D" w:rsidRPr="003B1F7D" w:rsidRDefault="003B1F7D" w:rsidP="003B1F7D">
      <w:pPr>
        <w:pStyle w:val="Prrafodelista"/>
        <w:tabs>
          <w:tab w:val="left" w:pos="426"/>
        </w:tabs>
        <w:spacing w:before="240" w:after="240" w:line="276" w:lineRule="auto"/>
        <w:ind w:left="567" w:right="567"/>
        <w:jc w:val="both"/>
        <w:rPr>
          <w:rFonts w:ascii="Palatino Linotype" w:hAnsi="Palatino Linotype"/>
          <w:i/>
          <w:sz w:val="22"/>
        </w:rPr>
      </w:pPr>
      <w:r w:rsidRPr="003B1F7D">
        <w:rPr>
          <w:rFonts w:ascii="Palatino Linotype" w:hAnsi="Palatino Linotype"/>
          <w:b/>
          <w:i/>
          <w:sz w:val="22"/>
        </w:rPr>
        <w:t>IV.</w:t>
      </w:r>
      <w:r w:rsidRPr="003B1F7D">
        <w:rPr>
          <w:rFonts w:ascii="Palatino Linotype" w:hAnsi="Palatino Linotype"/>
          <w:i/>
          <w:sz w:val="22"/>
        </w:rPr>
        <w:t xml:space="preserve"> Barrios Nuevos:</w:t>
      </w:r>
    </w:p>
    <w:p w14:paraId="71C573D8" w14:textId="068597E5" w:rsidR="003B1F7D" w:rsidRPr="003B1F7D" w:rsidRDefault="003B1F7D" w:rsidP="003B1F7D">
      <w:pPr>
        <w:pStyle w:val="Prrafodelista"/>
        <w:tabs>
          <w:tab w:val="left" w:pos="426"/>
        </w:tabs>
        <w:spacing w:before="240" w:after="240" w:line="276" w:lineRule="auto"/>
        <w:ind w:left="851" w:right="567"/>
        <w:jc w:val="both"/>
        <w:rPr>
          <w:rFonts w:ascii="Palatino Linotype" w:hAnsi="Palatino Linotype"/>
          <w:i/>
          <w:sz w:val="22"/>
        </w:rPr>
      </w:pPr>
      <w:r w:rsidRPr="003B1F7D">
        <w:rPr>
          <w:rFonts w:ascii="Palatino Linotype" w:hAnsi="Palatino Linotype"/>
          <w:i/>
          <w:sz w:val="22"/>
        </w:rPr>
        <w:t>(…)</w:t>
      </w:r>
    </w:p>
    <w:p w14:paraId="4E20DD92" w14:textId="5C1748EE" w:rsidR="003B1F7D" w:rsidRPr="003B1F7D" w:rsidRDefault="003B1F7D" w:rsidP="003B1F7D">
      <w:pPr>
        <w:pStyle w:val="Prrafodelista"/>
        <w:tabs>
          <w:tab w:val="left" w:pos="426"/>
        </w:tabs>
        <w:spacing w:before="240" w:after="240" w:line="276" w:lineRule="auto"/>
        <w:ind w:left="567" w:right="567"/>
        <w:jc w:val="both"/>
        <w:rPr>
          <w:rFonts w:ascii="Palatino Linotype" w:hAnsi="Palatino Linotype"/>
          <w:i/>
          <w:sz w:val="22"/>
        </w:rPr>
      </w:pPr>
      <w:r w:rsidRPr="003B1F7D">
        <w:rPr>
          <w:rFonts w:ascii="Palatino Linotype" w:hAnsi="Palatino Linotype"/>
          <w:b/>
          <w:i/>
          <w:sz w:val="22"/>
        </w:rPr>
        <w:t>V.</w:t>
      </w:r>
      <w:r w:rsidRPr="003B1F7D">
        <w:rPr>
          <w:rFonts w:ascii="Palatino Linotype" w:hAnsi="Palatino Linotype"/>
          <w:i/>
          <w:sz w:val="22"/>
        </w:rPr>
        <w:t xml:space="preserve"> Colonias:</w:t>
      </w:r>
    </w:p>
    <w:p w14:paraId="0455CBA0" w14:textId="2B84432F" w:rsidR="003B1F7D" w:rsidRPr="003B1F7D" w:rsidRDefault="003B1F7D" w:rsidP="003B1F7D">
      <w:pPr>
        <w:pStyle w:val="Prrafodelista"/>
        <w:tabs>
          <w:tab w:val="left" w:pos="426"/>
        </w:tabs>
        <w:spacing w:before="240" w:after="240" w:line="276" w:lineRule="auto"/>
        <w:ind w:left="851" w:right="567"/>
        <w:jc w:val="both"/>
        <w:rPr>
          <w:rFonts w:ascii="Palatino Linotype" w:hAnsi="Palatino Linotype"/>
          <w:i/>
          <w:sz w:val="22"/>
        </w:rPr>
      </w:pPr>
      <w:r w:rsidRPr="003B1F7D">
        <w:rPr>
          <w:rFonts w:ascii="Palatino Linotype" w:hAnsi="Palatino Linotype"/>
          <w:i/>
          <w:sz w:val="22"/>
        </w:rPr>
        <w:t>(…)</w:t>
      </w:r>
    </w:p>
    <w:p w14:paraId="0C122C55" w14:textId="4201C1D7" w:rsidR="003B1F7D" w:rsidRPr="003B1F7D" w:rsidRDefault="003B1F7D" w:rsidP="003B1F7D">
      <w:pPr>
        <w:pStyle w:val="Prrafodelista"/>
        <w:tabs>
          <w:tab w:val="left" w:pos="426"/>
        </w:tabs>
        <w:spacing w:before="240" w:after="240" w:line="276" w:lineRule="auto"/>
        <w:ind w:left="567" w:right="567"/>
        <w:jc w:val="both"/>
        <w:rPr>
          <w:rFonts w:ascii="Palatino Linotype" w:hAnsi="Palatino Linotype"/>
          <w:i/>
          <w:sz w:val="22"/>
        </w:rPr>
      </w:pPr>
      <w:r w:rsidRPr="003B1F7D">
        <w:rPr>
          <w:rFonts w:ascii="Palatino Linotype" w:hAnsi="Palatino Linotype"/>
          <w:b/>
          <w:i/>
          <w:sz w:val="22"/>
        </w:rPr>
        <w:lastRenderedPageBreak/>
        <w:t>VI.</w:t>
      </w:r>
      <w:r w:rsidRPr="003B1F7D">
        <w:rPr>
          <w:rFonts w:ascii="Palatino Linotype" w:hAnsi="Palatino Linotype"/>
          <w:i/>
          <w:sz w:val="22"/>
        </w:rPr>
        <w:t xml:space="preserve"> Fraccionamientos:</w:t>
      </w:r>
    </w:p>
    <w:p w14:paraId="5876377C" w14:textId="2544EE61" w:rsidR="003B1F7D" w:rsidRPr="003B1F7D" w:rsidRDefault="003B1F7D" w:rsidP="003B1F7D">
      <w:pPr>
        <w:pStyle w:val="Prrafodelista"/>
        <w:tabs>
          <w:tab w:val="left" w:pos="426"/>
        </w:tabs>
        <w:spacing w:before="240" w:after="240" w:line="276" w:lineRule="auto"/>
        <w:ind w:left="851" w:right="567"/>
        <w:jc w:val="both"/>
        <w:rPr>
          <w:rFonts w:ascii="Palatino Linotype" w:hAnsi="Palatino Linotype"/>
          <w:i/>
          <w:sz w:val="22"/>
        </w:rPr>
      </w:pPr>
      <w:r w:rsidRPr="003B1F7D">
        <w:rPr>
          <w:rFonts w:ascii="Palatino Linotype" w:hAnsi="Palatino Linotype"/>
          <w:i/>
          <w:sz w:val="22"/>
        </w:rPr>
        <w:t>(…)</w:t>
      </w:r>
    </w:p>
    <w:p w14:paraId="6079CF7C" w14:textId="160B2880" w:rsidR="003B1F7D" w:rsidRPr="003B1F7D" w:rsidRDefault="003B1F7D" w:rsidP="003B1F7D">
      <w:pPr>
        <w:pStyle w:val="Prrafodelista"/>
        <w:tabs>
          <w:tab w:val="left" w:pos="426"/>
        </w:tabs>
        <w:spacing w:before="240" w:after="240" w:line="276" w:lineRule="auto"/>
        <w:ind w:left="567" w:right="567"/>
        <w:jc w:val="both"/>
        <w:rPr>
          <w:rFonts w:ascii="Palatino Linotype" w:hAnsi="Palatino Linotype"/>
          <w:i/>
          <w:sz w:val="22"/>
        </w:rPr>
      </w:pPr>
      <w:r w:rsidRPr="003B1F7D">
        <w:rPr>
          <w:rFonts w:ascii="Palatino Linotype" w:hAnsi="Palatino Linotype"/>
          <w:b/>
          <w:i/>
          <w:sz w:val="22"/>
        </w:rPr>
        <w:t>VII.</w:t>
      </w:r>
      <w:r w:rsidRPr="003B1F7D">
        <w:rPr>
          <w:rFonts w:ascii="Palatino Linotype" w:hAnsi="Palatino Linotype"/>
          <w:i/>
          <w:sz w:val="22"/>
        </w:rPr>
        <w:t xml:space="preserve"> Parajes denominados:</w:t>
      </w:r>
    </w:p>
    <w:p w14:paraId="451D676E" w14:textId="57C1C6A1" w:rsidR="003B1F7D" w:rsidRPr="003B1F7D" w:rsidRDefault="003B1F7D" w:rsidP="003B1F7D">
      <w:pPr>
        <w:pStyle w:val="Prrafodelista"/>
        <w:tabs>
          <w:tab w:val="left" w:pos="426"/>
        </w:tabs>
        <w:spacing w:before="240" w:after="240" w:line="276" w:lineRule="auto"/>
        <w:ind w:left="851" w:right="567"/>
        <w:jc w:val="both"/>
        <w:rPr>
          <w:rFonts w:ascii="Palatino Linotype" w:hAnsi="Palatino Linotype"/>
          <w:i/>
          <w:sz w:val="22"/>
        </w:rPr>
      </w:pPr>
      <w:r w:rsidRPr="003B1F7D">
        <w:rPr>
          <w:rFonts w:ascii="Palatino Linotype" w:hAnsi="Palatino Linotype"/>
          <w:i/>
          <w:sz w:val="22"/>
        </w:rPr>
        <w:t>(…)</w:t>
      </w:r>
    </w:p>
    <w:p w14:paraId="3FEDFC69" w14:textId="4A609C9F" w:rsidR="003B1F7D" w:rsidRPr="003B1F7D" w:rsidRDefault="003B1F7D" w:rsidP="003B1F7D">
      <w:pPr>
        <w:pStyle w:val="Prrafodelista"/>
        <w:tabs>
          <w:tab w:val="left" w:pos="426"/>
        </w:tabs>
        <w:spacing w:before="240" w:after="240" w:line="276" w:lineRule="auto"/>
        <w:ind w:left="567" w:right="567"/>
        <w:jc w:val="both"/>
        <w:rPr>
          <w:rFonts w:ascii="Palatino Linotype" w:hAnsi="Palatino Linotype"/>
          <w:i/>
          <w:sz w:val="22"/>
        </w:rPr>
      </w:pPr>
      <w:r w:rsidRPr="003B1F7D">
        <w:rPr>
          <w:rFonts w:ascii="Palatino Linotype" w:hAnsi="Palatino Linotype"/>
          <w:b/>
          <w:i/>
          <w:sz w:val="22"/>
        </w:rPr>
        <w:t>VIII.</w:t>
      </w:r>
      <w:r w:rsidRPr="003B1F7D">
        <w:rPr>
          <w:rFonts w:ascii="Palatino Linotype" w:hAnsi="Palatino Linotype"/>
          <w:i/>
          <w:sz w:val="22"/>
        </w:rPr>
        <w:t xml:space="preserve"> Dos Ejidos:</w:t>
      </w:r>
    </w:p>
    <w:p w14:paraId="51255312" w14:textId="67D711C7" w:rsidR="003B1F7D" w:rsidRPr="003B1F7D" w:rsidRDefault="003B1F7D" w:rsidP="003B1F7D">
      <w:pPr>
        <w:pStyle w:val="Prrafodelista"/>
        <w:tabs>
          <w:tab w:val="left" w:pos="426"/>
        </w:tabs>
        <w:spacing w:before="240" w:after="240" w:line="276" w:lineRule="auto"/>
        <w:ind w:left="851" w:right="567"/>
        <w:jc w:val="both"/>
        <w:rPr>
          <w:rFonts w:ascii="Palatino Linotype" w:hAnsi="Palatino Linotype"/>
          <w:i/>
          <w:sz w:val="22"/>
        </w:rPr>
      </w:pPr>
      <w:r w:rsidRPr="003B1F7D">
        <w:rPr>
          <w:rFonts w:ascii="Palatino Linotype" w:hAnsi="Palatino Linotype"/>
          <w:i/>
          <w:sz w:val="22"/>
        </w:rPr>
        <w:t>(…)</w:t>
      </w:r>
    </w:p>
    <w:p w14:paraId="40D1E1F9" w14:textId="1155C872" w:rsidR="003B1F7D" w:rsidRPr="003B1F7D" w:rsidRDefault="003B1F7D" w:rsidP="003B1F7D">
      <w:pPr>
        <w:pStyle w:val="Prrafodelista"/>
        <w:tabs>
          <w:tab w:val="left" w:pos="426"/>
        </w:tabs>
        <w:spacing w:before="240" w:after="240" w:line="276" w:lineRule="auto"/>
        <w:ind w:left="567" w:right="567"/>
        <w:jc w:val="both"/>
        <w:rPr>
          <w:rFonts w:ascii="Palatino Linotype" w:hAnsi="Palatino Linotype"/>
          <w:i/>
          <w:sz w:val="22"/>
        </w:rPr>
      </w:pPr>
      <w:r w:rsidRPr="003B1F7D">
        <w:rPr>
          <w:rFonts w:ascii="Palatino Linotype" w:hAnsi="Palatino Linotype"/>
          <w:b/>
          <w:i/>
          <w:sz w:val="22"/>
        </w:rPr>
        <w:t>IX.</w:t>
      </w:r>
      <w:r w:rsidRPr="003B1F7D">
        <w:rPr>
          <w:rFonts w:ascii="Palatino Linotype" w:hAnsi="Palatino Linotype"/>
          <w:i/>
          <w:sz w:val="22"/>
        </w:rPr>
        <w:t xml:space="preserve"> Dos zonas comunales:</w:t>
      </w:r>
    </w:p>
    <w:p w14:paraId="22F76ECB" w14:textId="5461A201" w:rsidR="003B1F7D" w:rsidRPr="003B1F7D" w:rsidRDefault="003B1F7D" w:rsidP="003B1F7D">
      <w:pPr>
        <w:pStyle w:val="Prrafodelista"/>
        <w:tabs>
          <w:tab w:val="left" w:pos="709"/>
        </w:tabs>
        <w:spacing w:before="240" w:after="240" w:line="276" w:lineRule="auto"/>
        <w:ind w:left="851" w:right="567"/>
        <w:jc w:val="both"/>
        <w:rPr>
          <w:rFonts w:ascii="Palatino Linotype" w:hAnsi="Palatino Linotype"/>
          <w:i/>
          <w:sz w:val="22"/>
        </w:rPr>
      </w:pPr>
      <w:r w:rsidRPr="003B1F7D">
        <w:rPr>
          <w:rFonts w:ascii="Palatino Linotype" w:hAnsi="Palatino Linotype"/>
          <w:i/>
          <w:sz w:val="22"/>
        </w:rPr>
        <w:t>(…)”</w:t>
      </w:r>
    </w:p>
    <w:p w14:paraId="61E1B512" w14:textId="0C75E433" w:rsidR="003B1F7D" w:rsidRPr="003B1F7D" w:rsidRDefault="003B1F7D" w:rsidP="003B1F7D">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3B1F7D">
        <w:rPr>
          <w:rFonts w:ascii="Palatino Linotype" w:hAnsi="Palatino Linotype"/>
          <w:sz w:val="22"/>
        </w:rPr>
        <w:t>(Énfasis añadido)</w:t>
      </w:r>
    </w:p>
    <w:p w14:paraId="01C0F881" w14:textId="77777777" w:rsidR="00D3710C" w:rsidRPr="00D3710C" w:rsidRDefault="00D3710C" w:rsidP="00D3710C">
      <w:pPr>
        <w:pStyle w:val="Prrafodelista"/>
        <w:tabs>
          <w:tab w:val="left" w:pos="426"/>
        </w:tabs>
        <w:spacing w:before="240" w:after="240" w:line="360" w:lineRule="auto"/>
        <w:ind w:left="0" w:right="51"/>
        <w:jc w:val="both"/>
        <w:rPr>
          <w:rFonts w:ascii="Palatino Linotype" w:hAnsi="Palatino Linotype"/>
          <w:color w:val="000000" w:themeColor="text1"/>
        </w:rPr>
      </w:pPr>
    </w:p>
    <w:p w14:paraId="5C1B5AF7" w14:textId="29EBC448" w:rsidR="00414408" w:rsidRPr="00414408" w:rsidRDefault="00261FD7" w:rsidP="0041440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8" w:name="_Toc89209297"/>
      <w:r>
        <w:rPr>
          <w:rFonts w:ascii="Palatino Linotype" w:hAnsi="Palatino Linotype"/>
          <w:b/>
          <w:color w:val="000000" w:themeColor="text1"/>
        </w:rPr>
        <w:t>III</w:t>
      </w:r>
      <w:r w:rsidR="00414408" w:rsidRPr="00414408">
        <w:rPr>
          <w:rFonts w:ascii="Palatino Linotype" w:hAnsi="Palatino Linotype"/>
          <w:b/>
          <w:color w:val="000000" w:themeColor="text1"/>
        </w:rPr>
        <w:t>.I De los planos catastrales.</w:t>
      </w:r>
      <w:bookmarkEnd w:id="28"/>
    </w:p>
    <w:p w14:paraId="1A161474" w14:textId="77777777" w:rsidR="00414408" w:rsidRDefault="00414408" w:rsidP="00F01ED4">
      <w:pPr>
        <w:pStyle w:val="Prrafodelista"/>
        <w:tabs>
          <w:tab w:val="left" w:pos="426"/>
        </w:tabs>
        <w:spacing w:before="240" w:after="240" w:line="360" w:lineRule="auto"/>
        <w:ind w:left="0" w:right="51"/>
        <w:jc w:val="both"/>
        <w:rPr>
          <w:rFonts w:ascii="Palatino Linotype" w:hAnsi="Palatino Linotype"/>
          <w:color w:val="000000" w:themeColor="text1"/>
        </w:rPr>
      </w:pPr>
    </w:p>
    <w:p w14:paraId="71CAF099" w14:textId="34C4F478" w:rsidR="00455AAD" w:rsidRDefault="00455AAD"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Establecido lo anterior, no es ocioso señalar que el Código Financiero del Estado de México y Municipios, define a la </w:t>
      </w:r>
      <w:r>
        <w:rPr>
          <w:rFonts w:ascii="Palatino Linotype" w:hAnsi="Palatino Linotype"/>
          <w:b/>
          <w:color w:val="000000" w:themeColor="text1"/>
        </w:rPr>
        <w:t>clave catastral</w:t>
      </w:r>
      <w:r>
        <w:rPr>
          <w:rFonts w:ascii="Palatino Linotype" w:hAnsi="Palatino Linotype"/>
          <w:color w:val="000000" w:themeColor="text1"/>
        </w:rPr>
        <w:t xml:space="preserve"> como el </w:t>
      </w:r>
      <w:r w:rsidRPr="00455AAD">
        <w:rPr>
          <w:rFonts w:ascii="Palatino Linotype" w:hAnsi="Palatino Linotype"/>
          <w:color w:val="000000" w:themeColor="text1"/>
        </w:rPr>
        <w:t>código alfanumérico único e irrepetible y está compuesto de dieciséis caracteres, que se asigna para efectos de localización geográfica, identificación, inscripción, control y registro de los inmuebles; los diez primeros deben ser caracteres numéricos y los seis últimos pueden ser alfanuméricos; su integración corresponde invariablemente y en estricto orden, a esta estructura: los tres primeros identifican al código del municipio, las dos siguientes 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r>
        <w:rPr>
          <w:rStyle w:val="Refdenotaalpie"/>
          <w:rFonts w:ascii="Palatino Linotype" w:hAnsi="Palatino Linotype"/>
          <w:color w:val="000000" w:themeColor="text1"/>
        </w:rPr>
        <w:footnoteReference w:id="13"/>
      </w:r>
      <w:r w:rsidRPr="00455AAD">
        <w:rPr>
          <w:rFonts w:ascii="Palatino Linotype" w:hAnsi="Palatino Linotype"/>
          <w:color w:val="000000" w:themeColor="text1"/>
        </w:rPr>
        <w:t>.</w:t>
      </w:r>
    </w:p>
    <w:p w14:paraId="57DFB577" w14:textId="77777777" w:rsidR="00455AAD" w:rsidRDefault="00455AAD" w:rsidP="00455AAD">
      <w:pPr>
        <w:pStyle w:val="Prrafodelista"/>
        <w:tabs>
          <w:tab w:val="left" w:pos="426"/>
        </w:tabs>
        <w:spacing w:before="240" w:after="240" w:line="360" w:lineRule="auto"/>
        <w:ind w:left="0" w:right="51"/>
        <w:jc w:val="both"/>
        <w:rPr>
          <w:rFonts w:ascii="Palatino Linotype" w:hAnsi="Palatino Linotype"/>
          <w:color w:val="000000" w:themeColor="text1"/>
        </w:rPr>
      </w:pPr>
    </w:p>
    <w:p w14:paraId="117D2295" w14:textId="284EB297" w:rsidR="00455AAD" w:rsidRDefault="00414408"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Por su parte, el </w:t>
      </w:r>
      <w:r w:rsidRPr="00414408">
        <w:rPr>
          <w:rFonts w:ascii="Palatino Linotype" w:hAnsi="Palatino Linotype"/>
          <w:b/>
          <w:color w:val="000000" w:themeColor="text1"/>
        </w:rPr>
        <w:t>padrón catastral se integra por un registro alfanumérico y un registro gráfico</w:t>
      </w:r>
      <w:r w:rsidRPr="00414408">
        <w:rPr>
          <w:rFonts w:ascii="Palatino Linotype" w:hAnsi="Palatino Linotype"/>
          <w:color w:val="000000" w:themeColor="text1"/>
        </w:rPr>
        <w:t xml:space="preserve"> y deberán contener los datos, catálogos y especificaciones establecidos en el reglamento de</w:t>
      </w:r>
      <w:r>
        <w:rPr>
          <w:rFonts w:ascii="Palatino Linotype" w:hAnsi="Palatino Linotype"/>
          <w:color w:val="000000" w:themeColor="text1"/>
        </w:rPr>
        <w:t>l Título Quinto del Código Financiero del Estado de México y Municipios</w:t>
      </w:r>
      <w:r w:rsidRPr="00414408">
        <w:rPr>
          <w:rFonts w:ascii="Palatino Linotype" w:hAnsi="Palatino Linotype"/>
          <w:color w:val="000000" w:themeColor="text1"/>
        </w:rPr>
        <w:t>, el Manual Catastral y demás disposiciones aplicables a la materia</w:t>
      </w:r>
      <w:r>
        <w:rPr>
          <w:rStyle w:val="Refdenotaalpie"/>
          <w:rFonts w:ascii="Palatino Linotype" w:hAnsi="Palatino Linotype"/>
          <w:color w:val="000000" w:themeColor="text1"/>
        </w:rPr>
        <w:footnoteReference w:id="14"/>
      </w:r>
      <w:r w:rsidRPr="00414408">
        <w:rPr>
          <w:rFonts w:ascii="Palatino Linotype" w:hAnsi="Palatino Linotype"/>
          <w:color w:val="000000" w:themeColor="text1"/>
        </w:rPr>
        <w:t>.</w:t>
      </w:r>
    </w:p>
    <w:p w14:paraId="3C418DAB" w14:textId="77777777" w:rsidR="00455AAD" w:rsidRDefault="00455AAD" w:rsidP="00455AAD">
      <w:pPr>
        <w:pStyle w:val="Prrafodelista"/>
        <w:tabs>
          <w:tab w:val="left" w:pos="426"/>
        </w:tabs>
        <w:spacing w:before="240" w:after="240" w:line="360" w:lineRule="auto"/>
        <w:ind w:left="0" w:right="51"/>
        <w:jc w:val="both"/>
        <w:rPr>
          <w:rFonts w:ascii="Palatino Linotype" w:hAnsi="Palatino Linotype"/>
          <w:color w:val="000000" w:themeColor="text1"/>
        </w:rPr>
      </w:pPr>
    </w:p>
    <w:p w14:paraId="04B9E927" w14:textId="40D874E1" w:rsidR="00F01ED4" w:rsidRDefault="00414408"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Una vez acotado lo anterior</w:t>
      </w:r>
      <w:r w:rsidR="00455AAD">
        <w:rPr>
          <w:rFonts w:ascii="Palatino Linotype" w:hAnsi="Palatino Linotype"/>
          <w:color w:val="000000" w:themeColor="text1"/>
        </w:rPr>
        <w:t xml:space="preserve">, por cuanto hace a los Planos Catastrales, el apartado VI “Actualización del Registro Gráfico” del Manual Catastral del Estado de México, tiene por objetivo dar </w:t>
      </w:r>
      <w:r w:rsidR="00455AAD" w:rsidRPr="00455AAD">
        <w:rPr>
          <w:rFonts w:ascii="Palatino Linotype" w:hAnsi="Palatino Linotype"/>
          <w:color w:val="000000" w:themeColor="text1"/>
        </w:rPr>
        <w:t>a conocer las políticas, lineamientos y procedimientos para la representación y actualización del registro gráfico del padrón catastral, al personal responsable de llevar a cabo la actualización de la cartografía vectorial catastral respecto de los inmuebles y las manzanas ubicadas en los territorios municipales correspondientes.</w:t>
      </w:r>
    </w:p>
    <w:p w14:paraId="74BCCF34" w14:textId="77777777" w:rsidR="00F01ED4" w:rsidRDefault="00F01ED4" w:rsidP="00F01ED4">
      <w:pPr>
        <w:pStyle w:val="Prrafodelista"/>
        <w:tabs>
          <w:tab w:val="left" w:pos="426"/>
        </w:tabs>
        <w:spacing w:before="240" w:after="240" w:line="360" w:lineRule="auto"/>
        <w:ind w:left="0" w:right="51"/>
        <w:jc w:val="both"/>
        <w:rPr>
          <w:rFonts w:ascii="Palatino Linotype" w:hAnsi="Palatino Linotype"/>
          <w:color w:val="000000" w:themeColor="text1"/>
        </w:rPr>
      </w:pPr>
    </w:p>
    <w:p w14:paraId="71B6B5E0" w14:textId="6FCD078C" w:rsidR="00455AAD" w:rsidRDefault="00455AAD"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Dentro de las Políticas Generales de la “Actualización del Registro Gráfico”, se establece que, </w:t>
      </w:r>
      <w:r w:rsidRPr="00455AAD">
        <w:rPr>
          <w:rFonts w:ascii="Palatino Linotype" w:hAnsi="Palatino Linotype"/>
          <w:b/>
          <w:color w:val="000000" w:themeColor="text1"/>
        </w:rPr>
        <w:t>tratándose de cartografía vectorial catastral</w:t>
      </w:r>
      <w:r w:rsidRPr="00455AAD">
        <w:rPr>
          <w:rFonts w:ascii="Palatino Linotype" w:hAnsi="Palatino Linotype"/>
          <w:color w:val="000000" w:themeColor="text1"/>
        </w:rPr>
        <w:t xml:space="preserve"> a nivel predio, </w:t>
      </w:r>
      <w:r w:rsidRPr="00455AAD">
        <w:rPr>
          <w:rFonts w:ascii="Palatino Linotype" w:hAnsi="Palatino Linotype"/>
          <w:b/>
          <w:color w:val="000000" w:themeColor="text1"/>
        </w:rPr>
        <w:t>la autoridad catastral municipal deberá actualizar en medio digital, las modificaciones deriv</w:t>
      </w:r>
      <w:r>
        <w:rPr>
          <w:rFonts w:ascii="Palatino Linotype" w:hAnsi="Palatino Linotype"/>
          <w:b/>
          <w:color w:val="000000" w:themeColor="text1"/>
        </w:rPr>
        <w:t>adas de las manifestaciones cata</w:t>
      </w:r>
      <w:r w:rsidRPr="00455AAD">
        <w:rPr>
          <w:rFonts w:ascii="Palatino Linotype" w:hAnsi="Palatino Linotype"/>
          <w:b/>
          <w:color w:val="000000" w:themeColor="text1"/>
        </w:rPr>
        <w:t>strales</w:t>
      </w:r>
      <w:r w:rsidRPr="00455AAD">
        <w:rPr>
          <w:rFonts w:ascii="Palatino Linotype" w:hAnsi="Palatino Linotype"/>
          <w:color w:val="000000" w:themeColor="text1"/>
        </w:rPr>
        <w:t xml:space="preserve"> de los propietarios o poseedores de inmuebles; </w:t>
      </w:r>
      <w:r w:rsidRPr="00455AAD">
        <w:rPr>
          <w:rFonts w:ascii="Palatino Linotype" w:hAnsi="Palatino Linotype"/>
          <w:b/>
          <w:color w:val="000000" w:themeColor="text1"/>
        </w:rPr>
        <w:t>así como de los trabajos técnicos que realice para detectar los cambios que se operen en los inmuebles y que por cualquier concepto alteren los datos contenidos en el padrón catastral municipal</w:t>
      </w:r>
      <w:r w:rsidRPr="00455AAD">
        <w:rPr>
          <w:rFonts w:ascii="Palatino Linotype" w:hAnsi="Palatino Linotype"/>
          <w:color w:val="000000" w:themeColor="text1"/>
        </w:rPr>
        <w:t>, conforme a los lineamientos y procedimientos establecidos en el presente manual</w:t>
      </w:r>
      <w:r>
        <w:rPr>
          <w:rStyle w:val="Refdenotaalpie"/>
          <w:rFonts w:ascii="Palatino Linotype" w:hAnsi="Palatino Linotype"/>
          <w:color w:val="000000" w:themeColor="text1"/>
        </w:rPr>
        <w:footnoteReference w:id="15"/>
      </w:r>
      <w:r>
        <w:rPr>
          <w:rFonts w:ascii="Palatino Linotype" w:hAnsi="Palatino Linotype"/>
          <w:color w:val="000000" w:themeColor="text1"/>
        </w:rPr>
        <w:t>.</w:t>
      </w:r>
    </w:p>
    <w:p w14:paraId="19A080FF" w14:textId="77777777" w:rsidR="00455AAD" w:rsidRDefault="00455AAD" w:rsidP="00455AAD">
      <w:pPr>
        <w:pStyle w:val="Prrafodelista"/>
        <w:tabs>
          <w:tab w:val="left" w:pos="426"/>
        </w:tabs>
        <w:spacing w:before="240" w:after="240" w:line="360" w:lineRule="auto"/>
        <w:ind w:left="0" w:right="51"/>
        <w:jc w:val="both"/>
        <w:rPr>
          <w:rFonts w:ascii="Palatino Linotype" w:hAnsi="Palatino Linotype"/>
          <w:color w:val="000000" w:themeColor="text1"/>
        </w:rPr>
      </w:pPr>
    </w:p>
    <w:p w14:paraId="279AA939" w14:textId="4B08A6AB" w:rsidR="00F01ED4" w:rsidRDefault="00455AAD"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Así las cosas, cuando </w:t>
      </w:r>
      <w:r w:rsidRPr="00455AAD">
        <w:rPr>
          <w:rFonts w:ascii="Palatino Linotype" w:hAnsi="Palatino Linotype"/>
          <w:color w:val="000000" w:themeColor="text1"/>
        </w:rPr>
        <w:t xml:space="preserve">se detecten cambios en las características del terreno o de la construcción, derivados de una manifestación catastral o de un levantamiento topográfico, deberán reflejar las modificaciones </w:t>
      </w:r>
      <w:r w:rsidRPr="00455AAD">
        <w:rPr>
          <w:rFonts w:ascii="Palatino Linotype" w:hAnsi="Palatino Linotype"/>
          <w:b/>
          <w:color w:val="000000" w:themeColor="text1"/>
        </w:rPr>
        <w:t xml:space="preserve">en el </w:t>
      </w:r>
      <w:r w:rsidRPr="00455AAD">
        <w:rPr>
          <w:rFonts w:ascii="Palatino Linotype" w:hAnsi="Palatino Linotype"/>
          <w:b/>
          <w:color w:val="000000" w:themeColor="text1"/>
          <w:u w:val="single"/>
        </w:rPr>
        <w:t>plano catastral</w:t>
      </w:r>
      <w:r w:rsidRPr="00455AAD">
        <w:rPr>
          <w:rFonts w:ascii="Palatino Linotype" w:hAnsi="Palatino Linotype"/>
          <w:b/>
          <w:color w:val="000000" w:themeColor="text1"/>
        </w:rPr>
        <w:t xml:space="preserve"> correspondiente</w:t>
      </w:r>
      <w:r w:rsidR="00414408">
        <w:rPr>
          <w:rStyle w:val="Refdenotaalpie"/>
          <w:rFonts w:ascii="Palatino Linotype" w:hAnsi="Palatino Linotype"/>
          <w:b/>
          <w:color w:val="000000" w:themeColor="text1"/>
        </w:rPr>
        <w:footnoteReference w:id="16"/>
      </w:r>
      <w:r w:rsidRPr="00455AAD">
        <w:rPr>
          <w:rFonts w:ascii="Palatino Linotype" w:hAnsi="Palatino Linotype"/>
          <w:color w:val="000000" w:themeColor="text1"/>
        </w:rPr>
        <w:t>.</w:t>
      </w:r>
    </w:p>
    <w:p w14:paraId="2B23A2B2" w14:textId="77777777" w:rsidR="00414408" w:rsidRDefault="00414408" w:rsidP="00414408">
      <w:pPr>
        <w:pStyle w:val="Prrafodelista"/>
        <w:tabs>
          <w:tab w:val="left" w:pos="426"/>
        </w:tabs>
        <w:spacing w:before="240" w:after="240" w:line="360" w:lineRule="auto"/>
        <w:ind w:left="0" w:right="51"/>
        <w:jc w:val="both"/>
        <w:rPr>
          <w:rFonts w:ascii="Palatino Linotype" w:hAnsi="Palatino Linotype"/>
          <w:color w:val="000000" w:themeColor="text1"/>
        </w:rPr>
      </w:pPr>
    </w:p>
    <w:p w14:paraId="7BB37273" w14:textId="5B95F788" w:rsidR="00414408" w:rsidRDefault="00414408"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entonces, el plano catastral </w:t>
      </w:r>
      <w:r w:rsidR="003B1F7D">
        <w:rPr>
          <w:rFonts w:ascii="Palatino Linotype" w:hAnsi="Palatino Linotype"/>
          <w:color w:val="000000" w:themeColor="text1"/>
        </w:rPr>
        <w:t xml:space="preserve">solicitado, se advierte como el instrumento gráfico del padrón catastral que muestra la cartografía, a nivel predio, de los inmuebles que conforman la Villa </w:t>
      </w:r>
      <w:r w:rsidR="00B857D3">
        <w:rPr>
          <w:rFonts w:ascii="Palatino Linotype" w:hAnsi="Palatino Linotype"/>
          <w:color w:val="000000" w:themeColor="text1"/>
        </w:rPr>
        <w:t>San Agustín Atlapulco.</w:t>
      </w:r>
    </w:p>
    <w:p w14:paraId="0A65EF30" w14:textId="77777777" w:rsidR="00F01ED4" w:rsidRDefault="00F01ED4" w:rsidP="00F01ED4">
      <w:pPr>
        <w:pStyle w:val="Prrafodelista"/>
        <w:tabs>
          <w:tab w:val="left" w:pos="426"/>
        </w:tabs>
        <w:spacing w:before="240" w:after="240" w:line="360" w:lineRule="auto"/>
        <w:ind w:left="0" w:right="51"/>
        <w:jc w:val="both"/>
        <w:rPr>
          <w:rFonts w:ascii="Palatino Linotype" w:hAnsi="Palatino Linotype"/>
          <w:color w:val="000000" w:themeColor="text1"/>
        </w:rPr>
      </w:pPr>
    </w:p>
    <w:p w14:paraId="23C45A02" w14:textId="473F8C56" w:rsidR="00414408" w:rsidRPr="00414408" w:rsidRDefault="00261FD7" w:rsidP="0041440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9" w:name="_Toc89209298"/>
      <w:r>
        <w:rPr>
          <w:rFonts w:ascii="Palatino Linotype" w:hAnsi="Palatino Linotype"/>
          <w:b/>
          <w:color w:val="000000" w:themeColor="text1"/>
        </w:rPr>
        <w:t>III</w:t>
      </w:r>
      <w:r w:rsidR="00414408">
        <w:rPr>
          <w:rFonts w:ascii="Palatino Linotype" w:hAnsi="Palatino Linotype"/>
          <w:b/>
          <w:color w:val="000000" w:themeColor="text1"/>
        </w:rPr>
        <w:t>.II De los planos manzaneros.</w:t>
      </w:r>
      <w:bookmarkEnd w:id="29"/>
    </w:p>
    <w:p w14:paraId="3EBDCE13" w14:textId="77777777" w:rsidR="00414408" w:rsidRDefault="00414408" w:rsidP="00F01ED4">
      <w:pPr>
        <w:pStyle w:val="Prrafodelista"/>
        <w:tabs>
          <w:tab w:val="left" w:pos="426"/>
        </w:tabs>
        <w:spacing w:before="240" w:after="240" w:line="360" w:lineRule="auto"/>
        <w:ind w:left="0" w:right="51"/>
        <w:jc w:val="both"/>
        <w:rPr>
          <w:rFonts w:ascii="Palatino Linotype" w:hAnsi="Palatino Linotype"/>
          <w:color w:val="000000" w:themeColor="text1"/>
        </w:rPr>
      </w:pPr>
    </w:p>
    <w:p w14:paraId="264347D1" w14:textId="27F0BCDE" w:rsidR="00F01ED4" w:rsidRDefault="00B857D3"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otro lado, el</w:t>
      </w:r>
      <w:r w:rsidR="00414408">
        <w:rPr>
          <w:rFonts w:ascii="Palatino Linotype" w:hAnsi="Palatino Linotype"/>
          <w:color w:val="000000" w:themeColor="text1"/>
        </w:rPr>
        <w:t xml:space="preserve"> apartado I “Atención al Público y Control de Gestión para la Prestación de Servicios y Generación de Productos Catastrales” del Manual Catastral del Estado de México, tiene por objetivo el proporcionar </w:t>
      </w:r>
      <w:r w:rsidR="00414408" w:rsidRPr="00414408">
        <w:rPr>
          <w:rFonts w:ascii="Palatino Linotype" w:hAnsi="Palatino Linotype"/>
          <w:color w:val="000000" w:themeColor="text1"/>
        </w:rPr>
        <w:t>al personal que interviene en estas actividades catastrales, las bases técnicas y administrativas necesarias para llevar a cabo, de manera ordenada, la prestación de servicios y generación de productos; asimismo, proporcionar los conocimientos necesarios que les permita orientar y asesorar a las personas físicas y jurídicas colectivas sobre los trámites y requisitos que deberán cumplir para acceder a cualquier servicio o producto en materia catastral en los dos ámbitos de gobierno.</w:t>
      </w:r>
    </w:p>
    <w:p w14:paraId="0395B5AB" w14:textId="77777777" w:rsidR="00F01ED4" w:rsidRDefault="00F01ED4" w:rsidP="00F01ED4">
      <w:pPr>
        <w:pStyle w:val="Prrafodelista"/>
        <w:tabs>
          <w:tab w:val="left" w:pos="426"/>
        </w:tabs>
        <w:spacing w:before="240" w:after="240" w:line="360" w:lineRule="auto"/>
        <w:ind w:left="0" w:right="51"/>
        <w:jc w:val="both"/>
        <w:rPr>
          <w:rFonts w:ascii="Palatino Linotype" w:hAnsi="Palatino Linotype"/>
          <w:color w:val="000000" w:themeColor="text1"/>
        </w:rPr>
      </w:pPr>
    </w:p>
    <w:p w14:paraId="391CA4BA" w14:textId="5E6F87E1" w:rsidR="00F01ED4" w:rsidRDefault="00B857D3"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Dicho lo anterior, el registro ACGC001 del Manual Catastral, señala que </w:t>
      </w:r>
      <w:r w:rsidRPr="00B857D3">
        <w:rPr>
          <w:rFonts w:ascii="Palatino Linotype" w:hAnsi="Palatino Linotype"/>
          <w:b/>
          <w:color w:val="000000" w:themeColor="text1"/>
        </w:rPr>
        <w:t xml:space="preserve">para otorgar la prestación de servicios catastrales, el usuario deberá presentar solicitud </w:t>
      </w:r>
      <w:r w:rsidRPr="00B857D3">
        <w:rPr>
          <w:rFonts w:ascii="Palatino Linotype" w:hAnsi="Palatino Linotype"/>
          <w:color w:val="000000" w:themeColor="text1"/>
        </w:rPr>
        <w:lastRenderedPageBreak/>
        <w:t xml:space="preserve">por escrito o en el formato establecido, </w:t>
      </w:r>
      <w:r w:rsidRPr="00B857D3">
        <w:rPr>
          <w:rFonts w:ascii="Palatino Linotype" w:hAnsi="Palatino Linotype"/>
          <w:b/>
          <w:color w:val="000000" w:themeColor="text1"/>
        </w:rPr>
        <w:t xml:space="preserve">acreditar su interés jurídico o </w:t>
      </w:r>
      <w:r w:rsidR="001D0E86" w:rsidRPr="00B857D3">
        <w:rPr>
          <w:rFonts w:ascii="Palatino Linotype" w:hAnsi="Palatino Linotype"/>
          <w:b/>
          <w:color w:val="000000" w:themeColor="text1"/>
        </w:rPr>
        <w:t>legítimo</w:t>
      </w:r>
      <w:r w:rsidRPr="00B857D3">
        <w:rPr>
          <w:rFonts w:ascii="Palatino Linotype" w:hAnsi="Palatino Linotype"/>
          <w:b/>
          <w:color w:val="000000" w:themeColor="text1"/>
        </w:rPr>
        <w:t xml:space="preserve"> </w:t>
      </w:r>
      <w:r w:rsidRPr="00B857D3">
        <w:rPr>
          <w:rFonts w:ascii="Palatino Linotype" w:hAnsi="Palatino Linotype"/>
          <w:color w:val="000000" w:themeColor="text1"/>
        </w:rPr>
        <w:t>y cumplir con los requisitos establecidos en el Manual C</w:t>
      </w:r>
      <w:r>
        <w:rPr>
          <w:rFonts w:ascii="Palatino Linotype" w:hAnsi="Palatino Linotype"/>
          <w:color w:val="000000" w:themeColor="text1"/>
        </w:rPr>
        <w:t>atastral del Estado de México</w:t>
      </w:r>
      <w:r w:rsidRPr="00B857D3">
        <w:rPr>
          <w:rFonts w:ascii="Palatino Linotype" w:hAnsi="Palatino Linotype"/>
          <w:color w:val="000000" w:themeColor="text1"/>
        </w:rPr>
        <w:t>, en términos de lo que establece el artículo 173</w:t>
      </w:r>
      <w:r w:rsidR="001D0E86">
        <w:rPr>
          <w:rFonts w:ascii="Palatino Linotype" w:hAnsi="Palatino Linotype"/>
          <w:color w:val="000000" w:themeColor="text1"/>
        </w:rPr>
        <w:t xml:space="preserve"> </w:t>
      </w:r>
      <w:r w:rsidRPr="00B857D3">
        <w:rPr>
          <w:rFonts w:ascii="Palatino Linotype" w:hAnsi="Palatino Linotype"/>
          <w:color w:val="000000" w:themeColor="text1"/>
        </w:rPr>
        <w:t>del Código Financiero del Estado de México y Municipios</w:t>
      </w:r>
      <w:r w:rsidR="001D0E86">
        <w:rPr>
          <w:rStyle w:val="Refdenotaalpie"/>
          <w:rFonts w:ascii="Palatino Linotype" w:hAnsi="Palatino Linotype"/>
          <w:color w:val="000000" w:themeColor="text1"/>
        </w:rPr>
        <w:footnoteReference w:id="17"/>
      </w:r>
      <w:r w:rsidRPr="00B857D3">
        <w:rPr>
          <w:rFonts w:ascii="Palatino Linotype" w:hAnsi="Palatino Linotype"/>
          <w:color w:val="000000" w:themeColor="text1"/>
        </w:rPr>
        <w:t xml:space="preserve">. </w:t>
      </w:r>
      <w:r>
        <w:rPr>
          <w:rFonts w:ascii="Palatino Linotype" w:hAnsi="Palatino Linotype"/>
          <w:color w:val="000000" w:themeColor="text1"/>
        </w:rPr>
        <w:t>Del mismo modo, determina que las</w:t>
      </w:r>
      <w:r w:rsidRPr="00B857D3">
        <w:rPr>
          <w:rFonts w:ascii="Palatino Linotype" w:hAnsi="Palatino Linotype"/>
          <w:color w:val="000000" w:themeColor="text1"/>
        </w:rPr>
        <w:t xml:space="preserve"> áreas responsables de la atención al público usuario, deberán registrar y controlar en el formato correspondiente, cada una de las orientaciones o trámites que realicen, en el ámbito de sus respectivas competencias</w:t>
      </w:r>
    </w:p>
    <w:p w14:paraId="21672190" w14:textId="77777777" w:rsidR="00F01ED4" w:rsidRDefault="00F01ED4" w:rsidP="00F01ED4">
      <w:pPr>
        <w:pStyle w:val="Prrafodelista"/>
        <w:tabs>
          <w:tab w:val="left" w:pos="426"/>
        </w:tabs>
        <w:spacing w:before="240" w:after="240" w:line="360" w:lineRule="auto"/>
        <w:ind w:left="0" w:right="51"/>
        <w:jc w:val="both"/>
        <w:rPr>
          <w:rFonts w:ascii="Palatino Linotype" w:hAnsi="Palatino Linotype"/>
          <w:color w:val="000000" w:themeColor="text1"/>
        </w:rPr>
      </w:pPr>
    </w:p>
    <w:p w14:paraId="7999B4D7" w14:textId="6A05035A" w:rsidR="00F01ED4" w:rsidRDefault="00B857D3"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Para la soli</w:t>
      </w:r>
      <w:r w:rsidR="00CD4143">
        <w:rPr>
          <w:rFonts w:ascii="Palatino Linotype" w:hAnsi="Palatino Linotype"/>
          <w:color w:val="000000" w:themeColor="text1"/>
        </w:rPr>
        <w:t>citud de servicios catastrales, invariablemente, los usuarios deberán cubrir los siguientes requisitos</w:t>
      </w:r>
      <w:r w:rsidR="00CD4143">
        <w:rPr>
          <w:rStyle w:val="Refdenotaalpie"/>
          <w:rFonts w:ascii="Palatino Linotype" w:hAnsi="Palatino Linotype"/>
          <w:color w:val="000000" w:themeColor="text1"/>
        </w:rPr>
        <w:footnoteReference w:id="18"/>
      </w:r>
      <w:r w:rsidR="00CD4143">
        <w:rPr>
          <w:rFonts w:ascii="Palatino Linotype" w:hAnsi="Palatino Linotype"/>
          <w:color w:val="000000" w:themeColor="text1"/>
        </w:rPr>
        <w:t>:</w:t>
      </w:r>
    </w:p>
    <w:p w14:paraId="2EB77A8B" w14:textId="79B9DDD7" w:rsidR="00CD4143" w:rsidRDefault="00CD4143" w:rsidP="00CD4143">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Solicitud por escrito</w:t>
      </w:r>
    </w:p>
    <w:p w14:paraId="011F3C86" w14:textId="2525BC51" w:rsidR="00CD4143" w:rsidRPr="00CD4143" w:rsidRDefault="00CD4143" w:rsidP="00CD4143">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proofErr w:type="gramStart"/>
      <w:r w:rsidRPr="00CD4143">
        <w:rPr>
          <w:rFonts w:ascii="Palatino Linotype" w:hAnsi="Palatino Linotype"/>
          <w:color w:val="000000" w:themeColor="text1"/>
        </w:rPr>
        <w:t>Copia  de</w:t>
      </w:r>
      <w:proofErr w:type="gramEnd"/>
      <w:r w:rsidRPr="00CD4143">
        <w:rPr>
          <w:rFonts w:ascii="Palatino Linotype" w:hAnsi="Palatino Linotype"/>
          <w:color w:val="000000" w:themeColor="text1"/>
        </w:rPr>
        <w:t xml:space="preserve"> la identificación oficial del propietario o poseedor del inmueble y de la persona autorizada mediante carta poder o representación legal.</w:t>
      </w:r>
    </w:p>
    <w:p w14:paraId="1D6AAA84" w14:textId="729B8D94" w:rsidR="00CD4143" w:rsidRDefault="00CD4143" w:rsidP="00CD4143">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CD4143">
        <w:rPr>
          <w:rFonts w:ascii="Palatino Linotype" w:hAnsi="Palatino Linotype"/>
          <w:color w:val="000000" w:themeColor="text1"/>
        </w:rPr>
        <w:t>Pago correspondiente por el servicio solicitado</w:t>
      </w:r>
    </w:p>
    <w:p w14:paraId="0C7F4CE2" w14:textId="77777777" w:rsidR="00F01ED4" w:rsidRDefault="00F01ED4" w:rsidP="00F01ED4">
      <w:pPr>
        <w:pStyle w:val="Prrafodelista"/>
        <w:tabs>
          <w:tab w:val="left" w:pos="426"/>
        </w:tabs>
        <w:spacing w:before="240" w:after="240" w:line="360" w:lineRule="auto"/>
        <w:ind w:left="0" w:right="51"/>
        <w:jc w:val="both"/>
        <w:rPr>
          <w:rFonts w:ascii="Palatino Linotype" w:hAnsi="Palatino Linotype"/>
          <w:color w:val="000000" w:themeColor="text1"/>
        </w:rPr>
      </w:pPr>
    </w:p>
    <w:p w14:paraId="3F8A4115" w14:textId="600001F7" w:rsidR="00F01ED4" w:rsidRDefault="00CD4143"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cuanto hace a la certificación de </w:t>
      </w:r>
      <w:r w:rsidRPr="00AD7D0E">
        <w:rPr>
          <w:rFonts w:ascii="Palatino Linotype" w:hAnsi="Palatino Linotype"/>
          <w:b/>
          <w:color w:val="000000" w:themeColor="text1"/>
        </w:rPr>
        <w:t>plano manzanero</w:t>
      </w:r>
      <w:r>
        <w:rPr>
          <w:rFonts w:ascii="Palatino Linotype" w:hAnsi="Palatino Linotype"/>
          <w:color w:val="000000" w:themeColor="text1"/>
        </w:rPr>
        <w:t xml:space="preserve">, el Manual Catastral del Estado de México establece que ésta deberá </w:t>
      </w:r>
      <w:r w:rsidRPr="00CD4143">
        <w:rPr>
          <w:rFonts w:ascii="Palatino Linotype" w:hAnsi="Palatino Linotype"/>
          <w:color w:val="000000" w:themeColor="text1"/>
        </w:rPr>
        <w:t xml:space="preserve">constar sobre copia del gráfico en escala 1:500 </w:t>
      </w:r>
      <w:proofErr w:type="spellStart"/>
      <w:r w:rsidRPr="00CD4143">
        <w:rPr>
          <w:rFonts w:ascii="Palatino Linotype" w:hAnsi="Palatino Linotype"/>
          <w:color w:val="000000" w:themeColor="text1"/>
        </w:rPr>
        <w:t>ó</w:t>
      </w:r>
      <w:proofErr w:type="spellEnd"/>
      <w:r w:rsidRPr="00CD4143">
        <w:rPr>
          <w:rFonts w:ascii="Palatino Linotype" w:hAnsi="Palatino Linotype"/>
          <w:color w:val="000000" w:themeColor="text1"/>
        </w:rPr>
        <w:t xml:space="preserve"> 1:1000, resaltando la configuración del predio de que se trate y anotando al reverso la leyenda siguiente: “</w:t>
      </w:r>
      <w:r w:rsidRPr="00CD4143">
        <w:rPr>
          <w:rFonts w:ascii="Palatino Linotype" w:hAnsi="Palatino Linotype"/>
          <w:i/>
          <w:color w:val="000000" w:themeColor="text1"/>
        </w:rPr>
        <w:t xml:space="preserve">lugar, fecha, nombre y cargo de la autoridad catastral, con fundamento en el artículo 173 del Código Financiero del Estado de México y Municipios, certifico que el presente plano es copia fiel del original que obra en el archivo del registro </w:t>
      </w:r>
      <w:r w:rsidRPr="00CD4143">
        <w:rPr>
          <w:rFonts w:ascii="Palatino Linotype" w:hAnsi="Palatino Linotype"/>
          <w:i/>
          <w:color w:val="000000" w:themeColor="text1"/>
        </w:rPr>
        <w:lastRenderedPageBreak/>
        <w:t>gráfico del padrón catastral de este ayuntamiento. Atentamente, nombre completo, cargo, firma y sello de la autoridad catastral</w:t>
      </w:r>
      <w:r>
        <w:rPr>
          <w:rFonts w:ascii="Palatino Linotype" w:hAnsi="Palatino Linotype"/>
          <w:color w:val="000000" w:themeColor="text1"/>
        </w:rPr>
        <w:t>”</w:t>
      </w:r>
      <w:r>
        <w:rPr>
          <w:rStyle w:val="Refdenotaalpie"/>
          <w:rFonts w:ascii="Palatino Linotype" w:hAnsi="Palatino Linotype"/>
          <w:color w:val="000000" w:themeColor="text1"/>
        </w:rPr>
        <w:footnoteReference w:id="19"/>
      </w:r>
      <w:r>
        <w:rPr>
          <w:rFonts w:ascii="Palatino Linotype" w:hAnsi="Palatino Linotype"/>
          <w:color w:val="000000" w:themeColor="text1"/>
        </w:rPr>
        <w:t>.</w:t>
      </w:r>
    </w:p>
    <w:p w14:paraId="0AB53D17" w14:textId="77777777" w:rsidR="00F01ED4" w:rsidRDefault="00F01ED4" w:rsidP="00F01ED4">
      <w:pPr>
        <w:pStyle w:val="Prrafodelista"/>
        <w:tabs>
          <w:tab w:val="left" w:pos="426"/>
        </w:tabs>
        <w:spacing w:before="240" w:after="240" w:line="360" w:lineRule="auto"/>
        <w:ind w:left="0" w:right="51"/>
        <w:jc w:val="both"/>
        <w:rPr>
          <w:rFonts w:ascii="Palatino Linotype" w:hAnsi="Palatino Linotype"/>
          <w:color w:val="000000" w:themeColor="text1"/>
        </w:rPr>
      </w:pPr>
    </w:p>
    <w:p w14:paraId="4B5013AD" w14:textId="7C08CDFC" w:rsidR="00F01ED4" w:rsidRDefault="00AD7D0E"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Asimismo, se señala que en el caso </w:t>
      </w:r>
      <w:r w:rsidRPr="00AD7D0E">
        <w:rPr>
          <w:rFonts w:ascii="Palatino Linotype" w:hAnsi="Palatino Linotype"/>
          <w:color w:val="000000" w:themeColor="text1"/>
        </w:rPr>
        <w:t xml:space="preserve">de que la autoridad catastral cuente con cartografía en medios digitales, la certificación de </w:t>
      </w:r>
      <w:r w:rsidRPr="00AD7D0E">
        <w:rPr>
          <w:rFonts w:ascii="Palatino Linotype" w:hAnsi="Palatino Linotype"/>
          <w:b/>
          <w:color w:val="000000" w:themeColor="text1"/>
        </w:rPr>
        <w:t>plano manzanero</w:t>
      </w:r>
      <w:r w:rsidRPr="00AD7D0E">
        <w:rPr>
          <w:rFonts w:ascii="Palatino Linotype" w:hAnsi="Palatino Linotype"/>
          <w:color w:val="000000" w:themeColor="text1"/>
        </w:rPr>
        <w:t xml:space="preserve"> se plasmará dentro del formato que contenga la representación gráfica del inmueble de que se trate, que deberá contener las medidas y colindancias, superficie, orientación y el nombre de las vialidades que en su caso colinden con el inmueble; y la tira marginal deberá ilustrar la imagen institucional, el croquis con la ubicación dentro de la manzana a la que pertenezca, clave catastral, la leyenda de la certificación, número de recibo del pago del servicio, fecha de la expedición, nombre, firma y cargo de los responsables de la elaboración y autorización; y sello del área catastral</w:t>
      </w:r>
      <w:r>
        <w:rPr>
          <w:rStyle w:val="Refdenotaalpie"/>
          <w:rFonts w:ascii="Palatino Linotype" w:hAnsi="Palatino Linotype"/>
          <w:color w:val="000000" w:themeColor="text1"/>
        </w:rPr>
        <w:footnoteReference w:id="20"/>
      </w:r>
      <w:r>
        <w:rPr>
          <w:rFonts w:ascii="Palatino Linotype" w:hAnsi="Palatino Linotype"/>
          <w:color w:val="000000" w:themeColor="text1"/>
        </w:rPr>
        <w:t>.</w:t>
      </w:r>
    </w:p>
    <w:p w14:paraId="65F55DAA" w14:textId="77777777" w:rsidR="00F01ED4" w:rsidRDefault="00F01ED4" w:rsidP="00F01ED4">
      <w:pPr>
        <w:pStyle w:val="Prrafodelista"/>
        <w:tabs>
          <w:tab w:val="left" w:pos="426"/>
        </w:tabs>
        <w:spacing w:before="240" w:after="240" w:line="360" w:lineRule="auto"/>
        <w:ind w:left="0" w:right="51"/>
        <w:jc w:val="both"/>
        <w:rPr>
          <w:rFonts w:ascii="Palatino Linotype" w:hAnsi="Palatino Linotype"/>
          <w:color w:val="000000" w:themeColor="text1"/>
        </w:rPr>
      </w:pPr>
    </w:p>
    <w:p w14:paraId="482E37EA" w14:textId="046134E6" w:rsidR="009E4417" w:rsidRDefault="00AD7D0E" w:rsidP="009E44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entonces, </w:t>
      </w:r>
      <w:r w:rsidR="00910FE6">
        <w:rPr>
          <w:rFonts w:ascii="Palatino Linotype" w:hAnsi="Palatino Linotype"/>
          <w:color w:val="000000" w:themeColor="text1"/>
        </w:rPr>
        <w:t xml:space="preserve">podemos concluir que el trámite denominado </w:t>
      </w:r>
      <w:r w:rsidR="00910FE6">
        <w:rPr>
          <w:rFonts w:ascii="Palatino Linotype" w:hAnsi="Palatino Linotype"/>
          <w:b/>
          <w:color w:val="000000" w:themeColor="text1"/>
        </w:rPr>
        <w:t>certificación de plano manzanero</w:t>
      </w:r>
      <w:r w:rsidR="00910FE6">
        <w:rPr>
          <w:rFonts w:ascii="Palatino Linotype" w:hAnsi="Palatino Linotype"/>
          <w:color w:val="000000" w:themeColor="text1"/>
        </w:rPr>
        <w:t xml:space="preserve"> tiene como finalidad que un particular</w:t>
      </w:r>
      <w:r w:rsidR="00984E9E">
        <w:rPr>
          <w:rFonts w:ascii="Palatino Linotype" w:hAnsi="Palatino Linotype"/>
          <w:color w:val="000000" w:themeColor="text1"/>
        </w:rPr>
        <w:t>, previa acreditación de su interés jurídico o legítimo,</w:t>
      </w:r>
      <w:r w:rsidR="00910FE6">
        <w:rPr>
          <w:rFonts w:ascii="Palatino Linotype" w:hAnsi="Palatino Linotype"/>
          <w:color w:val="000000" w:themeColor="text1"/>
        </w:rPr>
        <w:t xml:space="preserve"> obtenga un plano donde se muestre la delimitación física y exacta de su predio, en relación a la manzana donde éste se ubique.</w:t>
      </w:r>
    </w:p>
    <w:p w14:paraId="0842A506" w14:textId="77777777" w:rsidR="00984E9E" w:rsidRDefault="00984E9E" w:rsidP="00984E9E">
      <w:pPr>
        <w:pStyle w:val="Prrafodelista"/>
        <w:tabs>
          <w:tab w:val="left" w:pos="426"/>
        </w:tabs>
        <w:spacing w:before="240" w:after="240" w:line="360" w:lineRule="auto"/>
        <w:ind w:left="0" w:right="51"/>
        <w:jc w:val="both"/>
        <w:rPr>
          <w:rFonts w:ascii="Palatino Linotype" w:hAnsi="Palatino Linotype"/>
          <w:color w:val="000000" w:themeColor="text1"/>
        </w:rPr>
      </w:pPr>
    </w:p>
    <w:p w14:paraId="3521629A" w14:textId="6D19A4A4" w:rsidR="00984E9E" w:rsidRPr="00984E9E" w:rsidRDefault="00261FD7" w:rsidP="00984E9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0" w:name="_Toc89209299"/>
      <w:r>
        <w:rPr>
          <w:rFonts w:ascii="Palatino Linotype" w:hAnsi="Palatino Linotype"/>
          <w:b/>
          <w:color w:val="000000" w:themeColor="text1"/>
        </w:rPr>
        <w:t>III</w:t>
      </w:r>
      <w:r w:rsidR="00984E9E">
        <w:rPr>
          <w:rFonts w:ascii="Palatino Linotype" w:hAnsi="Palatino Linotype"/>
          <w:b/>
          <w:color w:val="000000" w:themeColor="text1"/>
        </w:rPr>
        <w:t>.II.I Del interés jurídico y legítimo.</w:t>
      </w:r>
      <w:bookmarkEnd w:id="30"/>
    </w:p>
    <w:p w14:paraId="5CD08922" w14:textId="77777777" w:rsidR="00984E9E" w:rsidRDefault="00984E9E" w:rsidP="00984E9E">
      <w:pPr>
        <w:pStyle w:val="Prrafodelista"/>
        <w:tabs>
          <w:tab w:val="left" w:pos="426"/>
        </w:tabs>
        <w:spacing w:before="240" w:after="240" w:line="360" w:lineRule="auto"/>
        <w:ind w:left="0" w:right="51"/>
        <w:jc w:val="both"/>
        <w:rPr>
          <w:rFonts w:ascii="Palatino Linotype" w:hAnsi="Palatino Linotype"/>
          <w:color w:val="000000" w:themeColor="text1"/>
        </w:rPr>
      </w:pPr>
    </w:p>
    <w:p w14:paraId="659FAE9F" w14:textId="66E8BD8F" w:rsidR="00984E9E" w:rsidRDefault="001D0E86" w:rsidP="00984E9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Poe otro lado, a</w:t>
      </w:r>
      <w:r w:rsidR="00984E9E">
        <w:rPr>
          <w:rFonts w:ascii="Palatino Linotype" w:hAnsi="Palatino Linotype"/>
          <w:color w:val="000000" w:themeColor="text1"/>
        </w:rPr>
        <w:t xml:space="preserve"> </w:t>
      </w:r>
      <w:r w:rsidR="00984E9E" w:rsidRPr="00CF5081">
        <w:rPr>
          <w:rFonts w:ascii="Palatino Linotype" w:hAnsi="Palatino Linotype"/>
          <w:color w:val="000000" w:themeColor="text1"/>
          <w:lang w:val="es-ES"/>
        </w:rPr>
        <w:t xml:space="preserve">efecto de dar claridad respecto de los términos de </w:t>
      </w:r>
      <w:r w:rsidR="00984E9E" w:rsidRPr="00CF5081">
        <w:rPr>
          <w:rFonts w:ascii="Palatino Linotype" w:hAnsi="Palatino Linotype"/>
          <w:b/>
          <w:color w:val="000000" w:themeColor="text1"/>
          <w:lang w:val="es-ES"/>
        </w:rPr>
        <w:t xml:space="preserve">interés jurídico </w:t>
      </w:r>
      <w:r w:rsidR="00984E9E" w:rsidRPr="00255475">
        <w:rPr>
          <w:rFonts w:ascii="Palatino Linotype" w:hAnsi="Palatino Linotype"/>
          <w:color w:val="000000" w:themeColor="text1"/>
          <w:lang w:val="es-ES"/>
        </w:rPr>
        <w:t>e</w:t>
      </w:r>
      <w:r w:rsidR="00984E9E" w:rsidRPr="00CF5081">
        <w:rPr>
          <w:rFonts w:ascii="Palatino Linotype" w:hAnsi="Palatino Linotype"/>
          <w:b/>
          <w:color w:val="000000" w:themeColor="text1"/>
          <w:lang w:val="es-ES"/>
        </w:rPr>
        <w:t xml:space="preserve"> interés legítimo</w:t>
      </w:r>
      <w:r w:rsidR="00984E9E" w:rsidRPr="00CF5081">
        <w:rPr>
          <w:rFonts w:ascii="Palatino Linotype" w:hAnsi="Palatino Linotype"/>
          <w:color w:val="000000" w:themeColor="text1"/>
          <w:lang w:val="es-ES"/>
        </w:rPr>
        <w:t xml:space="preserve">, </w:t>
      </w:r>
      <w:r w:rsidR="00984E9E">
        <w:rPr>
          <w:rFonts w:ascii="Palatino Linotype" w:hAnsi="Palatino Linotype"/>
          <w:color w:val="000000" w:themeColor="text1"/>
          <w:lang w:val="es-ES"/>
        </w:rPr>
        <w:t>resulta conveniente remitirnos</w:t>
      </w:r>
      <w:r w:rsidR="00984E9E" w:rsidRPr="00CF5081">
        <w:rPr>
          <w:rFonts w:ascii="Palatino Linotype" w:hAnsi="Palatino Linotype"/>
          <w:color w:val="000000" w:themeColor="text1"/>
          <w:lang w:val="es-ES"/>
        </w:rPr>
        <w:t xml:space="preserve"> a la definición legal </w:t>
      </w:r>
      <w:r w:rsidR="00984E9E" w:rsidRPr="00CF5081">
        <w:rPr>
          <w:rFonts w:ascii="Palatino Linotype" w:hAnsi="Palatino Linotype"/>
          <w:color w:val="000000" w:themeColor="text1"/>
          <w:lang w:val="es-ES"/>
        </w:rPr>
        <w:lastRenderedPageBreak/>
        <w:t>prevista el artículo 231 del Código de Procedimientos Administrativos del Estado de México, que para mayor ilustración, se transcribe a continuación:</w:t>
      </w:r>
    </w:p>
    <w:p w14:paraId="39FB05EB" w14:textId="77777777" w:rsidR="00984E9E" w:rsidRDefault="00984E9E" w:rsidP="00984E9E">
      <w:pPr>
        <w:spacing w:line="276" w:lineRule="auto"/>
        <w:ind w:left="567" w:right="567"/>
        <w:jc w:val="both"/>
        <w:rPr>
          <w:rFonts w:ascii="Palatino Linotype" w:hAnsi="Palatino Linotype" w:cs="Arial"/>
          <w:sz w:val="22"/>
        </w:rPr>
      </w:pPr>
      <w:r w:rsidRPr="00365678">
        <w:rPr>
          <w:rFonts w:ascii="Palatino Linotype" w:hAnsi="Palatino Linotype" w:cs="Arial"/>
          <w:i/>
          <w:sz w:val="22"/>
        </w:rPr>
        <w:t>“</w:t>
      </w:r>
      <w:r w:rsidRPr="00365678">
        <w:rPr>
          <w:rFonts w:ascii="Palatino Linotype" w:hAnsi="Palatino Linotype" w:cs="Arial"/>
          <w:b/>
          <w:i/>
          <w:sz w:val="22"/>
        </w:rPr>
        <w:t>Artículo 231</w:t>
      </w:r>
      <w:r w:rsidRPr="00365678">
        <w:rPr>
          <w:rFonts w:ascii="Palatino Linotype" w:hAnsi="Palatino Linotype" w:cs="Arial"/>
          <w:i/>
          <w:sz w:val="22"/>
        </w:rPr>
        <w:t xml:space="preserve">.- </w:t>
      </w:r>
      <w:r w:rsidRPr="00365678">
        <w:rPr>
          <w:rFonts w:ascii="Palatino Linotype" w:hAnsi="Palatino Linotype" w:cs="Arial"/>
          <w:b/>
          <w:i/>
          <w:sz w:val="22"/>
        </w:rPr>
        <w:t xml:space="preserve">Sólo podrán intervenir en juicio los particulares que tengan un interés jurídico o legítimo </w:t>
      </w:r>
      <w:r w:rsidRPr="00365678">
        <w:rPr>
          <w:rFonts w:ascii="Palatino Linotype" w:hAnsi="Palatino Linotype" w:cs="Arial"/>
          <w:i/>
          <w:sz w:val="22"/>
        </w:rPr>
        <w:t xml:space="preserve">que funde su pretensión. </w:t>
      </w:r>
      <w:r w:rsidRPr="00365678">
        <w:rPr>
          <w:rFonts w:ascii="Palatino Linotype" w:hAnsi="Palatino Linotype" w:cs="Arial"/>
          <w:b/>
          <w:i/>
          <w:sz w:val="22"/>
        </w:rPr>
        <w:t>Tienen interés jurídico los titulares de un derecho subjetivo público</w:t>
      </w:r>
      <w:r w:rsidRPr="00365678">
        <w:rPr>
          <w:rFonts w:ascii="Palatino Linotype" w:hAnsi="Palatino Linotype" w:cs="Arial"/>
          <w:i/>
          <w:sz w:val="22"/>
        </w:rPr>
        <w:t xml:space="preserve"> e </w:t>
      </w:r>
      <w:r w:rsidRPr="00365678">
        <w:rPr>
          <w:rFonts w:ascii="Palatino Linotype" w:hAnsi="Palatino Linotype" w:cs="Arial"/>
          <w:b/>
          <w:i/>
          <w:sz w:val="22"/>
        </w:rPr>
        <w:t>interés legítimo quienes invoquen situaciones de hecho protegidas por el orden jurídico</w:t>
      </w:r>
      <w:r w:rsidRPr="00365678">
        <w:rPr>
          <w:rFonts w:ascii="Palatino Linotype" w:hAnsi="Palatino Linotype" w:cs="Arial"/>
          <w:i/>
          <w:sz w:val="22"/>
        </w:rPr>
        <w:t xml:space="preserve">, tanto de un sujeto determinado como de los integrantes de un grupo de individuos, </w:t>
      </w:r>
      <w:r w:rsidRPr="00365678">
        <w:rPr>
          <w:rFonts w:ascii="Palatino Linotype" w:hAnsi="Palatino Linotype" w:cs="Arial"/>
          <w:b/>
          <w:i/>
          <w:sz w:val="22"/>
        </w:rPr>
        <w:t>diferenciados del conjunto general de la sociedad</w:t>
      </w:r>
      <w:r w:rsidRPr="00365678">
        <w:rPr>
          <w:rFonts w:ascii="Palatino Linotype" w:hAnsi="Palatino Linotype" w:cs="Arial"/>
          <w:i/>
          <w:sz w:val="22"/>
        </w:rPr>
        <w:t>.”</w:t>
      </w:r>
    </w:p>
    <w:p w14:paraId="6E1EE162" w14:textId="77777777" w:rsidR="00984E9E" w:rsidRPr="00365678" w:rsidRDefault="00984E9E" w:rsidP="00984E9E">
      <w:pPr>
        <w:spacing w:line="276" w:lineRule="auto"/>
        <w:ind w:left="567" w:right="567"/>
        <w:jc w:val="both"/>
        <w:rPr>
          <w:rFonts w:ascii="Palatino Linotype" w:hAnsi="Palatino Linotype" w:cs="Arial"/>
          <w:sz w:val="22"/>
        </w:rPr>
      </w:pPr>
      <w:r>
        <w:rPr>
          <w:rFonts w:ascii="Palatino Linotype" w:hAnsi="Palatino Linotype" w:cs="Arial"/>
          <w:sz w:val="22"/>
        </w:rPr>
        <w:t>(Énfasis añadido)</w:t>
      </w:r>
    </w:p>
    <w:p w14:paraId="31B964B6" w14:textId="77777777" w:rsidR="00984E9E" w:rsidRDefault="00984E9E" w:rsidP="00984E9E">
      <w:pPr>
        <w:pStyle w:val="Prrafodelista"/>
        <w:tabs>
          <w:tab w:val="left" w:pos="426"/>
        </w:tabs>
        <w:spacing w:before="240" w:after="240" w:line="360" w:lineRule="auto"/>
        <w:ind w:left="0" w:right="51"/>
        <w:jc w:val="both"/>
        <w:rPr>
          <w:rFonts w:ascii="Palatino Linotype" w:hAnsi="Palatino Linotype"/>
          <w:color w:val="000000" w:themeColor="text1"/>
        </w:rPr>
      </w:pPr>
    </w:p>
    <w:p w14:paraId="30597A8D" w14:textId="77777777" w:rsidR="00984E9E" w:rsidRPr="00255475" w:rsidRDefault="00984E9E" w:rsidP="00984E9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490C9B">
        <w:rPr>
          <w:rFonts w:ascii="Palatino Linotype" w:hAnsi="Palatino Linotype" w:cs="Arial"/>
        </w:rPr>
        <w:t>desentrañar el artículo de referencia</w:t>
      </w:r>
      <w:r>
        <w:rPr>
          <w:rFonts w:ascii="Palatino Linotype" w:hAnsi="Palatino Linotype" w:cs="Arial"/>
        </w:rPr>
        <w:t>,</w:t>
      </w:r>
      <w:r w:rsidRPr="00490C9B">
        <w:rPr>
          <w:rFonts w:ascii="Palatino Linotype" w:hAnsi="Palatino Linotype" w:cs="Arial"/>
        </w:rPr>
        <w:t xml:space="preserve"> </w:t>
      </w:r>
      <w:r>
        <w:rPr>
          <w:rFonts w:ascii="Palatino Linotype" w:hAnsi="Palatino Linotype" w:cs="Arial"/>
        </w:rPr>
        <w:t>podemos advertir</w:t>
      </w:r>
      <w:r w:rsidRPr="00490C9B">
        <w:rPr>
          <w:rFonts w:ascii="Palatino Linotype" w:hAnsi="Palatino Linotype" w:cs="Arial"/>
        </w:rPr>
        <w:t xml:space="preserve"> que los elementos que integran</w:t>
      </w:r>
      <w:r>
        <w:rPr>
          <w:rFonts w:ascii="Palatino Linotype" w:hAnsi="Palatino Linotype" w:cs="Arial"/>
        </w:rPr>
        <w:t xml:space="preserve"> el interés jurídico y legítimo son los siguientes:</w:t>
      </w:r>
    </w:p>
    <w:p w14:paraId="73BF444B" w14:textId="77777777" w:rsidR="00984E9E" w:rsidRPr="00255475" w:rsidRDefault="00984E9E" w:rsidP="00984E9E">
      <w:pPr>
        <w:pStyle w:val="Prrafodelista"/>
        <w:numPr>
          <w:ilvl w:val="1"/>
          <w:numId w:val="10"/>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rPr>
        <w:t xml:space="preserve">En cuanto al </w:t>
      </w:r>
      <w:r>
        <w:rPr>
          <w:rFonts w:ascii="Palatino Linotype" w:hAnsi="Palatino Linotype" w:cs="Arial"/>
          <w:b/>
        </w:rPr>
        <w:t>interés jurídico</w:t>
      </w:r>
      <w:r>
        <w:rPr>
          <w:rFonts w:ascii="Palatino Linotype" w:hAnsi="Palatino Linotype" w:cs="Arial"/>
        </w:rPr>
        <w:t>:</w:t>
      </w:r>
    </w:p>
    <w:p w14:paraId="0BABDF9E" w14:textId="77777777" w:rsidR="00984E9E" w:rsidRPr="00255475" w:rsidRDefault="00984E9E" w:rsidP="00984E9E">
      <w:pPr>
        <w:pStyle w:val="Prrafodelista"/>
        <w:numPr>
          <w:ilvl w:val="2"/>
          <w:numId w:val="10"/>
        </w:numPr>
        <w:tabs>
          <w:tab w:val="left" w:pos="426"/>
        </w:tabs>
        <w:spacing w:before="240" w:after="240" w:line="360" w:lineRule="auto"/>
        <w:ind w:left="1418" w:right="51"/>
        <w:jc w:val="both"/>
        <w:rPr>
          <w:rFonts w:ascii="Palatino Linotype" w:hAnsi="Palatino Linotype"/>
          <w:color w:val="000000" w:themeColor="text1"/>
        </w:rPr>
      </w:pPr>
      <w:r>
        <w:rPr>
          <w:rFonts w:ascii="Palatino Linotype" w:hAnsi="Palatino Linotype" w:cs="Arial"/>
        </w:rPr>
        <w:t>Es el Titular de un derecho subjetivo público.</w:t>
      </w:r>
    </w:p>
    <w:p w14:paraId="5BAE794D" w14:textId="77777777" w:rsidR="00984E9E" w:rsidRPr="00255475" w:rsidRDefault="00984E9E" w:rsidP="00984E9E">
      <w:pPr>
        <w:pStyle w:val="Prrafodelista"/>
        <w:numPr>
          <w:ilvl w:val="1"/>
          <w:numId w:val="10"/>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rPr>
        <w:t xml:space="preserve">En cuanto al </w:t>
      </w:r>
      <w:r w:rsidRPr="00255475">
        <w:rPr>
          <w:rFonts w:ascii="Palatino Linotype" w:hAnsi="Palatino Linotype" w:cs="Arial"/>
          <w:b/>
        </w:rPr>
        <w:t>interés legítimo</w:t>
      </w:r>
      <w:r>
        <w:rPr>
          <w:rFonts w:ascii="Palatino Linotype" w:hAnsi="Palatino Linotype" w:cs="Arial"/>
        </w:rPr>
        <w:t>:</w:t>
      </w:r>
    </w:p>
    <w:p w14:paraId="4F70750F" w14:textId="77777777" w:rsidR="00984E9E" w:rsidRPr="00255475" w:rsidRDefault="00984E9E" w:rsidP="00984E9E">
      <w:pPr>
        <w:pStyle w:val="Prrafodelista"/>
        <w:numPr>
          <w:ilvl w:val="2"/>
          <w:numId w:val="10"/>
        </w:numPr>
        <w:tabs>
          <w:tab w:val="left" w:pos="426"/>
        </w:tabs>
        <w:spacing w:before="240" w:after="240" w:line="360" w:lineRule="auto"/>
        <w:ind w:left="1418" w:right="51"/>
        <w:jc w:val="both"/>
        <w:rPr>
          <w:rFonts w:ascii="Palatino Linotype" w:hAnsi="Palatino Linotype"/>
          <w:color w:val="000000" w:themeColor="text1"/>
        </w:rPr>
      </w:pPr>
      <w:r w:rsidRPr="00255475">
        <w:rPr>
          <w:rFonts w:ascii="Palatino Linotype" w:hAnsi="Palatino Linotype" w:cs="Arial"/>
        </w:rPr>
        <w:t xml:space="preserve">Es cualquier persona que invoque situaciones de hecho protegidas por el orden jurídico, y </w:t>
      </w:r>
      <w:r>
        <w:rPr>
          <w:rFonts w:ascii="Palatino Linotype" w:hAnsi="Palatino Linotype" w:cs="Arial"/>
        </w:rPr>
        <w:t>s</w:t>
      </w:r>
      <w:r w:rsidRPr="00255475">
        <w:rPr>
          <w:rFonts w:ascii="Palatino Linotype" w:hAnsi="Palatino Linotype" w:cs="Arial"/>
        </w:rPr>
        <w:t>e diferencie del conjunto general de la sociedad.</w:t>
      </w:r>
    </w:p>
    <w:p w14:paraId="2847A47B" w14:textId="77777777" w:rsidR="00984E9E" w:rsidRDefault="00984E9E" w:rsidP="00984E9E">
      <w:pPr>
        <w:pStyle w:val="Prrafodelista"/>
        <w:tabs>
          <w:tab w:val="left" w:pos="426"/>
        </w:tabs>
        <w:spacing w:before="240" w:after="240" w:line="360" w:lineRule="auto"/>
        <w:ind w:left="0" w:right="51"/>
        <w:jc w:val="both"/>
        <w:rPr>
          <w:rFonts w:ascii="Palatino Linotype" w:hAnsi="Palatino Linotype"/>
          <w:color w:val="000000" w:themeColor="text1"/>
        </w:rPr>
      </w:pPr>
    </w:p>
    <w:p w14:paraId="5F7DC8F7" w14:textId="77777777" w:rsidR="00984E9E" w:rsidRDefault="00984E9E" w:rsidP="00984E9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 anterior se robustece con base en lo establecido en </w:t>
      </w:r>
      <w:r w:rsidRPr="00490C9B">
        <w:rPr>
          <w:rFonts w:ascii="Palatino Linotype" w:hAnsi="Palatino Linotype" w:cs="Arial"/>
          <w:lang w:eastAsia="es-MX"/>
        </w:rPr>
        <w:t xml:space="preserve">las Tesis Aisladas y Jurisprudencias con números de registros 181719, 170500, 2012364, y 2004501, de la Novena y Décima Épocas, sustentadas por el Segundo Tribunal Colegiado en Materia Civil del Segundo Circuito, así como por la Primera y Segunda Salas de la </w:t>
      </w:r>
      <w:r w:rsidRPr="00490C9B">
        <w:rPr>
          <w:rFonts w:ascii="Palatino Linotype" w:hAnsi="Palatino Linotype" w:cs="Arial"/>
          <w:lang w:eastAsia="es-MX"/>
        </w:rPr>
        <w:lastRenderedPageBreak/>
        <w:t>Suprema Corte de Justicia de la Nación</w:t>
      </w:r>
      <w:r w:rsidRPr="00B32BCF">
        <w:rPr>
          <w:rFonts w:ascii="Palatino Linotype" w:hAnsi="Palatino Linotype" w:cs="Arial"/>
          <w:vertAlign w:val="superscript"/>
          <w:lang w:eastAsia="es-MX"/>
        </w:rPr>
        <w:footnoteReference w:id="21"/>
      </w:r>
      <w:r w:rsidRPr="00490C9B">
        <w:rPr>
          <w:rFonts w:ascii="Palatino Linotype" w:hAnsi="Palatino Linotype" w:cs="Arial"/>
          <w:lang w:eastAsia="es-MX"/>
        </w:rPr>
        <w:t>, las cuales prevén tanto sus definiciones como los medios para acreditarlos, y cuyo rubro y texto esgrimen:</w:t>
      </w:r>
    </w:p>
    <w:p w14:paraId="7793941A" w14:textId="77777777" w:rsidR="00984E9E" w:rsidRPr="00365678" w:rsidRDefault="00984E9E" w:rsidP="00984E9E">
      <w:pPr>
        <w:spacing w:line="276" w:lineRule="auto"/>
        <w:ind w:left="567" w:right="567"/>
        <w:jc w:val="both"/>
        <w:rPr>
          <w:rFonts w:ascii="Palatino Linotype" w:eastAsiaTheme="minorHAnsi" w:hAnsi="Palatino Linotype" w:cs="Bookman Old Style"/>
          <w:i/>
          <w:sz w:val="22"/>
          <w:lang w:eastAsia="en-US"/>
        </w:rPr>
      </w:pPr>
      <w:r w:rsidRPr="00365678">
        <w:rPr>
          <w:rFonts w:ascii="Palatino Linotype" w:eastAsiaTheme="minorHAnsi" w:hAnsi="Palatino Linotype" w:cs="Bookman Old Style"/>
          <w:b/>
          <w:i/>
          <w:sz w:val="22"/>
          <w:lang w:eastAsia="en-US"/>
        </w:rPr>
        <w:t>INTERÉS JURÍDICO, CONCEPTO DE</w:t>
      </w:r>
      <w:r w:rsidRPr="00365678">
        <w:rPr>
          <w:rFonts w:ascii="Palatino Linotype" w:eastAsiaTheme="minorHAnsi" w:hAnsi="Palatino Linotype" w:cs="Bookman Old Style"/>
          <w:i/>
          <w:sz w:val="22"/>
          <w:lang w:eastAsia="en-US"/>
        </w:rPr>
        <w:t xml:space="preserve">. </w:t>
      </w:r>
      <w:r>
        <w:rPr>
          <w:rFonts w:ascii="Palatino Linotype" w:eastAsiaTheme="minorHAnsi" w:hAnsi="Palatino Linotype" w:cs="Bookman Old Style"/>
          <w:i/>
          <w:sz w:val="22"/>
          <w:lang w:eastAsia="en-US"/>
        </w:rPr>
        <w:t>“</w:t>
      </w:r>
      <w:r w:rsidRPr="00365678">
        <w:rPr>
          <w:rFonts w:ascii="Palatino Linotype" w:eastAsiaTheme="minorHAnsi" w:hAnsi="Palatino Linotype" w:cs="Bookman Old Style"/>
          <w:i/>
          <w:sz w:val="22"/>
          <w:lang w:eastAsia="en-US"/>
        </w:rPr>
        <w:t xml:space="preserve">Tratándose del juicio de garantías, </w:t>
      </w:r>
      <w:r w:rsidRPr="00365678">
        <w:rPr>
          <w:rFonts w:ascii="Palatino Linotype" w:eastAsiaTheme="minorHAnsi" w:hAnsi="Palatino Linotype" w:cs="Bookman Old Style"/>
          <w:b/>
          <w:i/>
          <w:sz w:val="22"/>
          <w:lang w:eastAsia="en-US"/>
        </w:rPr>
        <w:t>el interés jurídico</w:t>
      </w:r>
      <w:r w:rsidRPr="00365678">
        <w:rPr>
          <w:rFonts w:ascii="Palatino Linotype" w:eastAsiaTheme="minorHAnsi" w:hAnsi="Palatino Linotype" w:cs="Bookman Old Style"/>
          <w:i/>
          <w:sz w:val="22"/>
          <w:lang w:eastAsia="en-US"/>
        </w:rPr>
        <w:t xml:space="preserve"> como noción fundamental </w:t>
      </w:r>
      <w:r w:rsidRPr="00365678">
        <w:rPr>
          <w:rFonts w:ascii="Palatino Linotype" w:eastAsiaTheme="minorHAnsi" w:hAnsi="Palatino Linotype" w:cs="Bookman Old Style"/>
          <w:b/>
          <w:i/>
          <w:sz w:val="22"/>
          <w:lang w:eastAsia="en-US"/>
        </w:rPr>
        <w:t>lo constituye la existencia o actualización de un derecho subjetivo jurídicamente tutelado que puede afectarse</w:t>
      </w:r>
      <w:r w:rsidRPr="00365678">
        <w:rPr>
          <w:rFonts w:ascii="Palatino Linotype" w:eastAsiaTheme="minorHAnsi" w:hAnsi="Palatino Linotype" w:cs="Bookman Old Style"/>
          <w:i/>
          <w:sz w:val="22"/>
          <w:lang w:eastAsia="en-US"/>
        </w:rPr>
        <w:t xml:space="preserve">, ya sea por la violación de ese derecho, o bien, por el desconocimiento del mismo </w:t>
      </w:r>
      <w:r w:rsidRPr="00365678">
        <w:rPr>
          <w:rFonts w:ascii="Palatino Linotype" w:eastAsiaTheme="minorHAnsi" w:hAnsi="Palatino Linotype" w:cs="Bookman Old Style"/>
          <w:b/>
          <w:i/>
          <w:sz w:val="22"/>
          <w:lang w:eastAsia="en-US"/>
        </w:rPr>
        <w:t>por virtud de un acto de autoridad, de ahí que sólo el titular de algún derecho legítimamente protegible pueda acudir ante el órgano jurisdiccional</w:t>
      </w:r>
      <w:r w:rsidRPr="00365678">
        <w:rPr>
          <w:rFonts w:ascii="Palatino Linotype" w:eastAsiaTheme="minorHAnsi" w:hAnsi="Palatino Linotype" w:cs="Bookman Old Style"/>
          <w:i/>
          <w:sz w:val="22"/>
          <w:lang w:eastAsia="en-US"/>
        </w:rPr>
        <w:t xml:space="preserve"> de amparo en demanda de que cese esa situación cuando se transgreda, por la actuación de cierta autoridad, determinada garantía.</w:t>
      </w:r>
      <w:r>
        <w:rPr>
          <w:rFonts w:ascii="Palatino Linotype" w:eastAsiaTheme="minorHAnsi" w:hAnsi="Palatino Linotype" w:cs="Bookman Old Style"/>
          <w:i/>
          <w:sz w:val="22"/>
          <w:lang w:eastAsia="en-US"/>
        </w:rPr>
        <w:t>”</w:t>
      </w:r>
    </w:p>
    <w:p w14:paraId="73A5AA9E" w14:textId="77777777" w:rsidR="00984E9E" w:rsidRPr="00365678" w:rsidRDefault="00984E9E" w:rsidP="00984E9E">
      <w:pPr>
        <w:spacing w:line="276" w:lineRule="auto"/>
        <w:ind w:left="567" w:right="567"/>
        <w:jc w:val="both"/>
        <w:rPr>
          <w:rFonts w:ascii="Palatino Linotype" w:eastAsiaTheme="minorHAnsi" w:hAnsi="Palatino Linotype" w:cs="Bookman Old Style"/>
          <w:i/>
          <w:sz w:val="22"/>
          <w:lang w:eastAsia="en-US"/>
        </w:rPr>
      </w:pPr>
    </w:p>
    <w:p w14:paraId="358F754C" w14:textId="77777777" w:rsidR="00984E9E" w:rsidRPr="00365678" w:rsidRDefault="00984E9E" w:rsidP="00984E9E">
      <w:pPr>
        <w:spacing w:line="276" w:lineRule="auto"/>
        <w:ind w:left="567" w:right="567"/>
        <w:jc w:val="both"/>
        <w:rPr>
          <w:rFonts w:ascii="Palatino Linotype" w:eastAsiaTheme="minorHAnsi" w:hAnsi="Palatino Linotype" w:cs="Bookman Old Style"/>
          <w:i/>
          <w:sz w:val="22"/>
          <w:lang w:eastAsia="en-US"/>
        </w:rPr>
      </w:pPr>
      <w:r w:rsidRPr="00365678">
        <w:rPr>
          <w:rFonts w:ascii="Palatino Linotype" w:eastAsiaTheme="minorHAnsi" w:hAnsi="Palatino Linotype" w:cs="Bookman Old Style"/>
          <w:b/>
          <w:i/>
          <w:sz w:val="22"/>
          <w:lang w:eastAsia="en-US"/>
        </w:rPr>
        <w:t>INTERÉS JURÍDICO EN EL AMPARO. ELEMENTOS CONSTITUTIVOS</w:t>
      </w:r>
      <w:r w:rsidRPr="00365678">
        <w:rPr>
          <w:rFonts w:ascii="Palatino Linotype" w:eastAsiaTheme="minorHAnsi" w:hAnsi="Palatino Linotype" w:cs="Bookman Old Style"/>
          <w:i/>
          <w:sz w:val="22"/>
          <w:lang w:eastAsia="en-US"/>
        </w:rPr>
        <w:t xml:space="preserve">. </w:t>
      </w:r>
      <w:r>
        <w:rPr>
          <w:rFonts w:ascii="Palatino Linotype" w:eastAsiaTheme="minorHAnsi" w:hAnsi="Palatino Linotype" w:cs="Bookman Old Style"/>
          <w:i/>
          <w:sz w:val="22"/>
          <w:lang w:eastAsia="en-US"/>
        </w:rPr>
        <w:t>“</w:t>
      </w:r>
      <w:r w:rsidRPr="00365678">
        <w:rPr>
          <w:rFonts w:ascii="Palatino Linotype" w:eastAsiaTheme="minorHAnsi" w:hAnsi="Palatino Linotype" w:cs="Bookman Old Style"/>
          <w:b/>
          <w:i/>
          <w:sz w:val="22"/>
          <w:lang w:eastAsia="en-US"/>
        </w:rPr>
        <w:t>El artículo 4o. de la Ley de Amparo contempla, para la procedencia del juicio de garantías</w:t>
      </w:r>
      <w:r w:rsidRPr="00365678">
        <w:rPr>
          <w:rFonts w:ascii="Palatino Linotype" w:eastAsiaTheme="minorHAnsi" w:hAnsi="Palatino Linotype" w:cs="Bookman Old Style"/>
          <w:i/>
          <w:sz w:val="22"/>
          <w:lang w:eastAsia="en-US"/>
        </w:rPr>
        <w:t xml:space="preserve">, </w:t>
      </w:r>
      <w:r w:rsidRPr="00365678">
        <w:rPr>
          <w:rFonts w:ascii="Palatino Linotype" w:eastAsiaTheme="minorHAnsi" w:hAnsi="Palatino Linotype" w:cs="Bookman Old Style"/>
          <w:b/>
          <w:i/>
          <w:sz w:val="22"/>
          <w:lang w:eastAsia="en-US"/>
        </w:rPr>
        <w:t>que el acto reclamado cause un perjuicio a la persona física o moral que se estime afectada, lo que ocurre cuando ese acto lesiona sus intereses jurídicos</w:t>
      </w:r>
      <w:r w:rsidRPr="00365678">
        <w:rPr>
          <w:rFonts w:ascii="Palatino Linotype" w:eastAsiaTheme="minorHAnsi" w:hAnsi="Palatino Linotype" w:cs="Bookman Old Style"/>
          <w:i/>
          <w:sz w:val="22"/>
          <w:lang w:eastAsia="en-US"/>
        </w:rPr>
        <w:t xml:space="preserve">, en su persona o en su patrimonio, y que de manera concomitante es lo que provoca la génesis de la acción constitucional. Así, como </w:t>
      </w:r>
      <w:r w:rsidRPr="00365678">
        <w:rPr>
          <w:rFonts w:ascii="Palatino Linotype" w:eastAsiaTheme="minorHAnsi" w:hAnsi="Palatino Linotype" w:cs="Bookman Old Style"/>
          <w:b/>
          <w:i/>
          <w:sz w:val="22"/>
          <w:lang w:eastAsia="en-US"/>
        </w:rPr>
        <w:t>la tutela del derecho sólo comprende a bienes jurídicos reales y objetivos</w:t>
      </w:r>
      <w:r w:rsidRPr="00365678">
        <w:rPr>
          <w:rFonts w:ascii="Palatino Linotype" w:eastAsiaTheme="minorHAnsi" w:hAnsi="Palatino Linotype" w:cs="Bookman Old Style"/>
          <w:i/>
          <w:sz w:val="22"/>
          <w:lang w:eastAsia="en-US"/>
        </w:rPr>
        <w:t xml:space="preserve">, las afectaciones deben igualmente ser </w:t>
      </w:r>
      <w:r w:rsidRPr="00365678">
        <w:rPr>
          <w:rFonts w:ascii="Palatino Linotype" w:eastAsiaTheme="minorHAnsi" w:hAnsi="Palatino Linotype" w:cs="Bookman Old Style"/>
          <w:b/>
          <w:i/>
          <w:sz w:val="22"/>
          <w:lang w:eastAsia="en-US"/>
        </w:rPr>
        <w:t>susceptibles de apreciarse en forma objetiva</w:t>
      </w:r>
      <w:r w:rsidRPr="00365678">
        <w:rPr>
          <w:rFonts w:ascii="Palatino Linotype" w:eastAsiaTheme="minorHAnsi" w:hAnsi="Palatino Linotype" w:cs="Bookman Old Style"/>
          <w:i/>
          <w:sz w:val="22"/>
          <w:lang w:eastAsia="en-US"/>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365678">
        <w:rPr>
          <w:rFonts w:ascii="Palatino Linotype" w:eastAsiaTheme="minorHAnsi" w:hAnsi="Palatino Linotype" w:cs="Bookman Old Style"/>
          <w:b/>
          <w:i/>
          <w:sz w:val="22"/>
          <w:lang w:eastAsia="en-US"/>
        </w:rPr>
        <w:t>sin que pueda hablarse entonces de agravio cuando los daños o perjuicios que una persona puede sufrir, no afecten real y efectivamente sus bienes jurídicamente amparados</w:t>
      </w:r>
      <w:r w:rsidRPr="00365678">
        <w:rPr>
          <w:rFonts w:ascii="Palatino Linotype" w:eastAsiaTheme="minorHAnsi" w:hAnsi="Palatino Linotype" w:cs="Bookman Old Style"/>
          <w:i/>
          <w:sz w:val="22"/>
          <w:lang w:eastAsia="en-US"/>
        </w:rPr>
        <w:t>.</w:t>
      </w:r>
      <w:r>
        <w:rPr>
          <w:rFonts w:ascii="Palatino Linotype" w:eastAsiaTheme="minorHAnsi" w:hAnsi="Palatino Linotype" w:cs="Bookman Old Style"/>
          <w:i/>
          <w:sz w:val="22"/>
          <w:lang w:eastAsia="en-US"/>
        </w:rPr>
        <w:t>”</w:t>
      </w:r>
    </w:p>
    <w:p w14:paraId="5B93AEDD" w14:textId="77777777" w:rsidR="00984E9E" w:rsidRPr="00365678" w:rsidRDefault="00984E9E" w:rsidP="00984E9E">
      <w:pPr>
        <w:spacing w:line="276" w:lineRule="auto"/>
        <w:ind w:left="567" w:right="567"/>
        <w:jc w:val="both"/>
        <w:rPr>
          <w:rFonts w:ascii="Palatino Linotype" w:eastAsiaTheme="minorHAnsi" w:hAnsi="Palatino Linotype" w:cs="Bookman Old Style"/>
          <w:i/>
          <w:sz w:val="22"/>
          <w:lang w:eastAsia="en-US"/>
        </w:rPr>
      </w:pPr>
    </w:p>
    <w:p w14:paraId="4BA82E59" w14:textId="77777777" w:rsidR="00984E9E" w:rsidRPr="00365678" w:rsidRDefault="00984E9E" w:rsidP="00984E9E">
      <w:pPr>
        <w:spacing w:line="276" w:lineRule="auto"/>
        <w:ind w:left="567" w:right="567"/>
        <w:jc w:val="both"/>
        <w:rPr>
          <w:rFonts w:ascii="Palatino Linotype" w:eastAsiaTheme="minorHAnsi" w:hAnsi="Palatino Linotype" w:cs="Bookman Old Style"/>
          <w:i/>
          <w:sz w:val="22"/>
          <w:lang w:eastAsia="en-US"/>
        </w:rPr>
      </w:pPr>
      <w:r w:rsidRPr="00365678">
        <w:rPr>
          <w:rFonts w:ascii="Palatino Linotype" w:eastAsiaTheme="minorHAnsi" w:hAnsi="Palatino Linotype" w:cs="Bookman Old Style"/>
          <w:b/>
          <w:i/>
          <w:sz w:val="22"/>
          <w:lang w:eastAsia="en-US"/>
        </w:rPr>
        <w:t>INTERÉS LEGÍTIMO EN EL AMPARO. SU DIFERENCIA CON EL INTERÉS SIMPLE</w:t>
      </w:r>
      <w:r w:rsidRPr="00365678">
        <w:rPr>
          <w:rFonts w:ascii="Palatino Linotype" w:eastAsiaTheme="minorHAnsi" w:hAnsi="Palatino Linotype" w:cs="Bookman Old Style"/>
          <w:i/>
          <w:sz w:val="22"/>
          <w:lang w:eastAsia="en-US"/>
        </w:rPr>
        <w:t xml:space="preserve">. </w:t>
      </w:r>
      <w:r>
        <w:rPr>
          <w:rFonts w:ascii="Palatino Linotype" w:eastAsiaTheme="minorHAnsi" w:hAnsi="Palatino Linotype" w:cs="Bookman Old Style"/>
          <w:i/>
          <w:sz w:val="22"/>
          <w:lang w:eastAsia="en-US"/>
        </w:rPr>
        <w:t>“</w:t>
      </w:r>
      <w:r w:rsidRPr="00365678">
        <w:rPr>
          <w:rFonts w:ascii="Palatino Linotype" w:eastAsiaTheme="minorHAnsi" w:hAnsi="Palatino Linotype" w:cs="Bookman Old Style"/>
          <w:i/>
          <w:sz w:val="22"/>
          <w:lang w:eastAsia="en-US"/>
        </w:rPr>
        <w:t xml:space="preserve">La reforma al artículo 107 constitucional, publicada en el Diario Oficial de la Federación el 6 de junio de 2011, además de que sustituyó el concepto de interés jurídico por el de interés legítimo, abrió las posibilidades para acudir al juicio de amparo. </w:t>
      </w:r>
      <w:r w:rsidRPr="00365678">
        <w:rPr>
          <w:rFonts w:ascii="Palatino Linotype" w:eastAsiaTheme="minorHAnsi" w:hAnsi="Palatino Linotype" w:cs="Bookman Old Style"/>
          <w:i/>
          <w:sz w:val="22"/>
          <w:lang w:eastAsia="en-US"/>
        </w:rPr>
        <w:lastRenderedPageBreak/>
        <w:t xml:space="preserve">No obstante lo anterior, dicha reforma no puede traducirse en una apertura absoluta para que por cualquier motivo se acuda al juicio de amparo, ya que el Constituyente Permanente introdujo un concepto jurídico mediante el cual se exige al quejoso que demuestre algo más que un interés simple o jurídicamente irrelevante, entendido éste como el que puede tener cualquier persona por alguna acción u omisión del Estado pero que, en caso de satisfacerse, no se traducirá en un beneficio personal para el interesado, pues no supone afectación a su esfera jurídica en algún sentido. En cambio, </w:t>
      </w:r>
      <w:r w:rsidRPr="00365678">
        <w:rPr>
          <w:rFonts w:ascii="Palatino Linotype" w:eastAsiaTheme="minorHAnsi" w:hAnsi="Palatino Linotype" w:cs="Bookman Old Style"/>
          <w:b/>
          <w:i/>
          <w:sz w:val="22"/>
          <w:lang w:eastAsia="en-US"/>
        </w:rPr>
        <w:t>el interés legítimo se define como aquel interés personal, individual o colectivo, cualificado, actual, real y jurídicamente relevante, que puede traducirse</w:t>
      </w:r>
      <w:r w:rsidRPr="00365678">
        <w:rPr>
          <w:rFonts w:ascii="Palatino Linotype" w:eastAsiaTheme="minorHAnsi" w:hAnsi="Palatino Linotype" w:cs="Bookman Old Style"/>
          <w:i/>
          <w:sz w:val="22"/>
          <w:lang w:eastAsia="en-US"/>
        </w:rPr>
        <w:t xml:space="preserve">, en caso de concederse el amparo, </w:t>
      </w:r>
      <w:r w:rsidRPr="00365678">
        <w:rPr>
          <w:rFonts w:ascii="Palatino Linotype" w:eastAsiaTheme="minorHAnsi" w:hAnsi="Palatino Linotype" w:cs="Bookman Old Style"/>
          <w:b/>
          <w:i/>
          <w:sz w:val="22"/>
          <w:lang w:eastAsia="en-US"/>
        </w:rPr>
        <w:t>en un beneficio jurídico en favor del quejoso derivado de una afectación a su esfera jurídica en sentido amplio, que puede ser de índole económica, profesional, de salud pública, o de cualquier otra</w:t>
      </w:r>
      <w:r w:rsidRPr="00365678">
        <w:rPr>
          <w:rFonts w:ascii="Palatino Linotype" w:eastAsiaTheme="minorHAnsi" w:hAnsi="Palatino Linotype" w:cs="Bookman Old Style"/>
          <w:i/>
          <w:sz w:val="22"/>
          <w:lang w:eastAsia="en-US"/>
        </w:rPr>
        <w:t>. Consecuentemente, cuando el quejoso acredita únicamente el interés simple, mas no el legítimo, se actualiza la causal de improcedencia prevista en el artículo 73, fracción XVIII, de la Ley de Amparo, en relación con el numeral 107, fracción I, de la Constitución Política de los Estados Unidos Mexicanos.</w:t>
      </w:r>
      <w:r>
        <w:rPr>
          <w:rFonts w:ascii="Palatino Linotype" w:eastAsiaTheme="minorHAnsi" w:hAnsi="Palatino Linotype" w:cs="Bookman Old Style"/>
          <w:i/>
          <w:sz w:val="22"/>
          <w:lang w:eastAsia="en-US"/>
        </w:rPr>
        <w:t>”</w:t>
      </w:r>
    </w:p>
    <w:p w14:paraId="0E06F2EA" w14:textId="77777777" w:rsidR="00984E9E" w:rsidRPr="00365678" w:rsidRDefault="00984E9E" w:rsidP="00984E9E">
      <w:pPr>
        <w:spacing w:line="276" w:lineRule="auto"/>
        <w:ind w:left="567" w:right="567"/>
        <w:jc w:val="both"/>
        <w:rPr>
          <w:rFonts w:ascii="Palatino Linotype" w:eastAsiaTheme="minorHAnsi" w:hAnsi="Palatino Linotype" w:cs="Bookman Old Style"/>
          <w:i/>
          <w:sz w:val="22"/>
          <w:lang w:eastAsia="en-US"/>
        </w:rPr>
      </w:pPr>
    </w:p>
    <w:p w14:paraId="3BA1A1AC" w14:textId="77777777" w:rsidR="00984E9E" w:rsidRPr="00365678" w:rsidRDefault="00984E9E" w:rsidP="00984E9E">
      <w:pPr>
        <w:spacing w:line="276" w:lineRule="auto"/>
        <w:ind w:left="567" w:right="567"/>
        <w:jc w:val="both"/>
        <w:rPr>
          <w:rFonts w:ascii="Palatino Linotype" w:eastAsiaTheme="minorHAnsi" w:hAnsi="Palatino Linotype" w:cs="Bookman Old Style"/>
          <w:i/>
          <w:sz w:val="22"/>
          <w:lang w:eastAsia="en-US"/>
        </w:rPr>
      </w:pPr>
      <w:r w:rsidRPr="00365678">
        <w:rPr>
          <w:rFonts w:ascii="Palatino Linotype" w:eastAsiaTheme="minorHAnsi" w:hAnsi="Palatino Linotype" w:cs="Bookman Old Style"/>
          <w:b/>
          <w:i/>
          <w:sz w:val="22"/>
          <w:lang w:eastAsia="en-US"/>
        </w:rPr>
        <w:t>INTERÉS LEGÍTIMO E INTERÉS JURÍDICO. SUS ELEMENTOS CONSTITUTIVOS</w:t>
      </w:r>
      <w:r w:rsidRPr="00365678">
        <w:rPr>
          <w:rFonts w:ascii="Palatino Linotype" w:eastAsiaTheme="minorHAnsi" w:hAnsi="Palatino Linotype" w:cs="Bookman Old Style"/>
          <w:i/>
          <w:sz w:val="22"/>
          <w:lang w:eastAsia="en-US"/>
        </w:rPr>
        <w:t xml:space="preserve"> </w:t>
      </w:r>
      <w:r w:rsidRPr="00365678">
        <w:rPr>
          <w:rFonts w:ascii="Palatino Linotype" w:eastAsiaTheme="minorHAnsi" w:hAnsi="Palatino Linotype" w:cs="Bookman Old Style"/>
          <w:b/>
          <w:i/>
          <w:sz w:val="22"/>
          <w:lang w:eastAsia="en-US"/>
        </w:rPr>
        <w:t>COMO REQUISITOS PARA PROMOVER EL JUICIO DE AMPARO INDIRECTO, CONFORME AL ARTÍCULO 107, FRACCIÓN I, DE LA CONSTITUCIÓN POLÍTICA DE LOS ESTADOS UNIDOS MEXICANOS</w:t>
      </w:r>
      <w:r w:rsidRPr="00365678">
        <w:rPr>
          <w:rFonts w:ascii="Palatino Linotype" w:eastAsiaTheme="minorHAnsi" w:hAnsi="Palatino Linotype" w:cs="Bookman Old Style"/>
          <w:i/>
          <w:sz w:val="22"/>
          <w:lang w:eastAsia="en-US"/>
        </w:rPr>
        <w:t>.</w:t>
      </w:r>
    </w:p>
    <w:p w14:paraId="42C412D5" w14:textId="77777777" w:rsidR="00984E9E" w:rsidRPr="00365678" w:rsidRDefault="00984E9E" w:rsidP="00984E9E">
      <w:pPr>
        <w:spacing w:line="276" w:lineRule="auto"/>
        <w:ind w:left="567" w:right="567"/>
        <w:jc w:val="both"/>
        <w:rPr>
          <w:rFonts w:ascii="Palatino Linotype" w:eastAsiaTheme="minorHAnsi" w:hAnsi="Palatino Linotype" w:cs="Bookman Old Style"/>
          <w:i/>
          <w:sz w:val="22"/>
          <w:lang w:eastAsia="en-US"/>
        </w:rPr>
      </w:pPr>
      <w:r>
        <w:rPr>
          <w:rFonts w:ascii="Palatino Linotype" w:eastAsiaTheme="minorHAnsi" w:hAnsi="Palatino Linotype" w:cs="Bookman Old Style"/>
          <w:i/>
          <w:sz w:val="22"/>
          <w:lang w:eastAsia="en-US"/>
        </w:rPr>
        <w:t>“</w:t>
      </w:r>
      <w:r w:rsidRPr="00365678">
        <w:rPr>
          <w:rFonts w:ascii="Palatino Linotype" w:eastAsiaTheme="minorHAnsi" w:hAnsi="Palatino Linotype" w:cs="Bookman Old Style"/>
          <w:i/>
          <w:sz w:val="22"/>
          <w:lang w:eastAsia="en-US"/>
        </w:rPr>
        <w:t xml:space="preserve">El citado precepto establece que el juicio de amparo indirecto se seguirá siempre a instancia de parte agraviada, "teniendo tal carácter quien aduce ser titular de un derecho o de un interés legítimo individual o colectivo", con lo que atribuye consecuencias de derecho, desde el punto de vista de la legitimación del promovente, tanto al interés jurídico en sentido estricto, como al legítimo, pues en ambos supuestos a la persona que se ubique dentro de ellos se le otorga legitimación para instar la acción de amparo. En tal virtud, atento a la naturaleza del acto reclamado y a la de la autoridad que lo emite, el quejoso en el juicio de amparo debe acreditar fehacientemente el interés, jurídico o legítimo, que le asiste para ello y no inferirse con base en presunciones. Así, </w:t>
      </w:r>
      <w:r w:rsidRPr="00365678">
        <w:rPr>
          <w:rFonts w:ascii="Palatino Linotype" w:eastAsiaTheme="minorHAnsi" w:hAnsi="Palatino Linotype" w:cs="Bookman Old Style"/>
          <w:b/>
          <w:i/>
          <w:sz w:val="22"/>
          <w:lang w:eastAsia="en-US"/>
        </w:rPr>
        <w:t>los elementos constitutivos del interés jurídico consisten en demostrar</w:t>
      </w:r>
      <w:r w:rsidRPr="00365678">
        <w:rPr>
          <w:rFonts w:ascii="Palatino Linotype" w:eastAsiaTheme="minorHAnsi" w:hAnsi="Palatino Linotype" w:cs="Bookman Old Style"/>
          <w:i/>
          <w:sz w:val="22"/>
          <w:lang w:eastAsia="en-US"/>
        </w:rPr>
        <w:t xml:space="preserve">: </w:t>
      </w:r>
      <w:r w:rsidRPr="00365678">
        <w:rPr>
          <w:rFonts w:ascii="Palatino Linotype" w:eastAsiaTheme="minorHAnsi" w:hAnsi="Palatino Linotype" w:cs="Bookman Old Style"/>
          <w:b/>
          <w:i/>
          <w:sz w:val="22"/>
          <w:lang w:eastAsia="en-US"/>
        </w:rPr>
        <w:t>a) la existencia del derecho subjetivo que se dice vulnerado; y, b) que el acto de autoridad afecta ese derecho</w:t>
      </w:r>
      <w:r w:rsidRPr="00365678">
        <w:rPr>
          <w:rFonts w:ascii="Palatino Linotype" w:eastAsiaTheme="minorHAnsi" w:hAnsi="Palatino Linotype" w:cs="Bookman Old Style"/>
          <w:i/>
          <w:sz w:val="22"/>
          <w:lang w:eastAsia="en-US"/>
        </w:rPr>
        <w:t xml:space="preserve">, de donde deriva el agravio correspondiente. Por su parte, </w:t>
      </w:r>
      <w:r w:rsidRPr="00365678">
        <w:rPr>
          <w:rFonts w:ascii="Palatino Linotype" w:eastAsiaTheme="minorHAnsi" w:hAnsi="Palatino Linotype" w:cs="Bookman Old Style"/>
          <w:b/>
          <w:i/>
          <w:sz w:val="22"/>
          <w:lang w:eastAsia="en-US"/>
        </w:rPr>
        <w:t>para probar el interés legítimo, deberá acreditarse que</w:t>
      </w:r>
      <w:r w:rsidRPr="00365678">
        <w:rPr>
          <w:rFonts w:ascii="Palatino Linotype" w:eastAsiaTheme="minorHAnsi" w:hAnsi="Palatino Linotype" w:cs="Bookman Old Style"/>
          <w:i/>
          <w:sz w:val="22"/>
          <w:lang w:eastAsia="en-US"/>
        </w:rPr>
        <w:t xml:space="preserve">: </w:t>
      </w:r>
      <w:r w:rsidRPr="00365678">
        <w:rPr>
          <w:rFonts w:ascii="Palatino Linotype" w:eastAsiaTheme="minorHAnsi" w:hAnsi="Palatino Linotype" w:cs="Bookman Old Style"/>
          <w:b/>
          <w:i/>
          <w:sz w:val="22"/>
          <w:lang w:eastAsia="en-US"/>
        </w:rPr>
        <w:t xml:space="preserve">a) exista una norma constitucional en la que se establezca o tutele algún interés difuso en </w:t>
      </w:r>
      <w:r w:rsidRPr="00365678">
        <w:rPr>
          <w:rFonts w:ascii="Palatino Linotype" w:eastAsiaTheme="minorHAnsi" w:hAnsi="Palatino Linotype" w:cs="Bookman Old Style"/>
          <w:b/>
          <w:i/>
          <w:sz w:val="22"/>
          <w:lang w:eastAsia="en-US"/>
        </w:rPr>
        <w:lastRenderedPageBreak/>
        <w:t>beneficio de una colectividad determinada; b) el acto reclamado transgreda ese interés difuso, ya sea de manera individual o colectiva; y, c) el promovente pertenezca a esa colectividad</w:t>
      </w:r>
      <w:r w:rsidRPr="00365678">
        <w:rPr>
          <w:rFonts w:ascii="Palatino Linotype" w:eastAsiaTheme="minorHAnsi" w:hAnsi="Palatino Linotype" w:cs="Bookman Old Style"/>
          <w:i/>
          <w:sz w:val="22"/>
          <w:lang w:eastAsia="en-US"/>
        </w:rPr>
        <w:t xml:space="preserve">. Lo anterior, porque </w:t>
      </w:r>
      <w:r w:rsidRPr="00365678">
        <w:rPr>
          <w:rFonts w:ascii="Palatino Linotype" w:eastAsiaTheme="minorHAnsi" w:hAnsi="Palatino Linotype" w:cs="Bookman Old Style"/>
          <w:b/>
          <w:i/>
          <w:sz w:val="22"/>
          <w:lang w:eastAsia="en-US"/>
        </w:rPr>
        <w:t>si el interés legítimo supone una afectación jurídica al quejoso, éste debe demostrar su pertenencia al grupo que en específico sufrió o sufre el agravio</w:t>
      </w:r>
      <w:r w:rsidRPr="00365678">
        <w:rPr>
          <w:rFonts w:ascii="Palatino Linotype" w:eastAsiaTheme="minorHAnsi" w:hAnsi="Palatino Linotype" w:cs="Bookman Old Style"/>
          <w:i/>
          <w:sz w:val="22"/>
          <w:lang w:eastAsia="en-US"/>
        </w:rPr>
        <w:t xml:space="preserve"> que se aduce en la demanda de amparo. Sobre el particular es dable indicar que los elementos constitutivos destacados son concurrentes, por tanto, basta la ausencia de alguno de ellos para que el medio de defensa intentado sea improcedente.</w:t>
      </w:r>
      <w:r>
        <w:rPr>
          <w:rFonts w:ascii="Palatino Linotype" w:eastAsiaTheme="minorHAnsi" w:hAnsi="Palatino Linotype" w:cs="Bookman Old Style"/>
          <w:i/>
          <w:sz w:val="22"/>
          <w:lang w:eastAsia="en-US"/>
        </w:rPr>
        <w:t>”</w:t>
      </w:r>
    </w:p>
    <w:p w14:paraId="77135CED" w14:textId="77777777" w:rsidR="00984E9E" w:rsidRPr="00365678" w:rsidRDefault="00984E9E" w:rsidP="00984E9E">
      <w:pPr>
        <w:spacing w:line="276" w:lineRule="auto"/>
        <w:ind w:left="567" w:right="567"/>
        <w:jc w:val="both"/>
        <w:rPr>
          <w:rFonts w:ascii="Palatino Linotype" w:hAnsi="Palatino Linotype" w:cs="Arial"/>
          <w:bCs/>
          <w:sz w:val="22"/>
        </w:rPr>
      </w:pPr>
      <w:r w:rsidRPr="00365678">
        <w:rPr>
          <w:rFonts w:ascii="Palatino Linotype" w:hAnsi="Palatino Linotype" w:cs="Arial"/>
          <w:bCs/>
          <w:sz w:val="22"/>
        </w:rPr>
        <w:t>(Énfasis añadido)</w:t>
      </w:r>
    </w:p>
    <w:p w14:paraId="3CE0F159" w14:textId="77777777" w:rsidR="00984E9E" w:rsidRDefault="00984E9E" w:rsidP="00984E9E">
      <w:pPr>
        <w:pStyle w:val="Prrafodelista"/>
        <w:tabs>
          <w:tab w:val="left" w:pos="426"/>
        </w:tabs>
        <w:spacing w:before="240" w:after="240" w:line="360" w:lineRule="auto"/>
        <w:ind w:left="0" w:right="51"/>
        <w:jc w:val="both"/>
        <w:rPr>
          <w:rFonts w:ascii="Palatino Linotype" w:hAnsi="Palatino Linotype"/>
          <w:color w:val="000000" w:themeColor="text1"/>
        </w:rPr>
      </w:pPr>
    </w:p>
    <w:p w14:paraId="1C97C9E9" w14:textId="77777777" w:rsidR="00984E9E" w:rsidRDefault="00984E9E" w:rsidP="00984E9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Amén de lo anterior, podemos entender al </w:t>
      </w:r>
      <w:r>
        <w:rPr>
          <w:rFonts w:ascii="Palatino Linotype" w:hAnsi="Palatino Linotype"/>
          <w:b/>
          <w:color w:val="000000" w:themeColor="text1"/>
        </w:rPr>
        <w:t>Interés Jurídico</w:t>
      </w:r>
      <w:r>
        <w:rPr>
          <w:rFonts w:ascii="Palatino Linotype" w:hAnsi="Palatino Linotype"/>
          <w:color w:val="000000" w:themeColor="text1"/>
        </w:rPr>
        <w:t xml:space="preserve"> como </w:t>
      </w:r>
      <w:r w:rsidRPr="00490C9B">
        <w:rPr>
          <w:rFonts w:ascii="Palatino Linotype" w:hAnsi="Palatino Linotype" w:cs="Arial"/>
          <w:b/>
        </w:rPr>
        <w:t>la existencia o actualización de un derecho subjetivo jurídicamente tutelado que puede afectarse, por comisión u omisión mediante un acto de autoridad</w:t>
      </w:r>
      <w:r w:rsidRPr="00490C9B">
        <w:rPr>
          <w:rFonts w:ascii="Palatino Linotype" w:hAnsi="Palatino Linotype" w:cs="Arial"/>
        </w:rPr>
        <w:t>, teniendo sólo el titular de algún derecho legítimamente protegible la facultad de acudir ante las autoridades que a derecho corresponda cuando se transgreda, por la actuación de cierta autoridad.</w:t>
      </w:r>
    </w:p>
    <w:p w14:paraId="0629BCAD" w14:textId="77777777" w:rsidR="00984E9E" w:rsidRDefault="00984E9E" w:rsidP="00984E9E">
      <w:pPr>
        <w:pStyle w:val="Prrafodelista"/>
        <w:tabs>
          <w:tab w:val="left" w:pos="426"/>
        </w:tabs>
        <w:spacing w:before="240" w:after="240" w:line="360" w:lineRule="auto"/>
        <w:ind w:left="0" w:right="51"/>
        <w:jc w:val="both"/>
        <w:rPr>
          <w:rFonts w:ascii="Palatino Linotype" w:hAnsi="Palatino Linotype"/>
          <w:color w:val="000000" w:themeColor="text1"/>
        </w:rPr>
      </w:pPr>
    </w:p>
    <w:p w14:paraId="0A37E1D6" w14:textId="77777777" w:rsidR="00984E9E" w:rsidRPr="002B6891" w:rsidRDefault="00984E9E" w:rsidP="00984E9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Asimismo, </w:t>
      </w:r>
      <w:r w:rsidRPr="00490C9B">
        <w:rPr>
          <w:rFonts w:ascii="Palatino Linotype" w:hAnsi="Palatino Linotype" w:cs="Arial"/>
        </w:rPr>
        <w:t xml:space="preserve">debe interpretarse que </w:t>
      </w:r>
      <w:r w:rsidRPr="00490C9B">
        <w:rPr>
          <w:rFonts w:ascii="Palatino Linotype" w:hAnsi="Palatino Linotype" w:cs="Arial"/>
          <w:b/>
        </w:rPr>
        <w:t>una persona física tiene interés jurídico cuando, en su carácter de titular de sus derechos subjetivos, se ve afectada de manera personal o directa en sus derechos</w:t>
      </w:r>
      <w:r w:rsidRPr="00490C9B">
        <w:rPr>
          <w:rFonts w:ascii="Palatino Linotype" w:hAnsi="Palatino Linotype" w:cs="Arial"/>
        </w:rPr>
        <w:t>, para lo cual debe acreditar lo siguiente:</w:t>
      </w:r>
    </w:p>
    <w:p w14:paraId="1CDF8FEF" w14:textId="77777777" w:rsidR="00984E9E" w:rsidRPr="002B6891" w:rsidRDefault="00984E9E" w:rsidP="00984E9E">
      <w:pPr>
        <w:pStyle w:val="Prrafodelista"/>
        <w:numPr>
          <w:ilvl w:val="1"/>
          <w:numId w:val="12"/>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rPr>
        <w:t>La existencia del derecho subjetivo vulnerado; y</w:t>
      </w:r>
    </w:p>
    <w:p w14:paraId="47A17859" w14:textId="77777777" w:rsidR="00984E9E" w:rsidRDefault="00984E9E" w:rsidP="00984E9E">
      <w:pPr>
        <w:pStyle w:val="Prrafodelista"/>
        <w:numPr>
          <w:ilvl w:val="1"/>
          <w:numId w:val="12"/>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rPr>
        <w:t>El acto de autoridad que afecta ese derecho.</w:t>
      </w:r>
    </w:p>
    <w:p w14:paraId="1892D4D6" w14:textId="77777777" w:rsidR="00984E9E" w:rsidRDefault="00984E9E" w:rsidP="00984E9E">
      <w:pPr>
        <w:pStyle w:val="Prrafodelista"/>
        <w:tabs>
          <w:tab w:val="left" w:pos="426"/>
        </w:tabs>
        <w:spacing w:before="240" w:after="240" w:line="360" w:lineRule="auto"/>
        <w:ind w:left="0" w:right="51"/>
        <w:jc w:val="both"/>
        <w:rPr>
          <w:rFonts w:ascii="Palatino Linotype" w:hAnsi="Palatino Linotype"/>
          <w:color w:val="000000" w:themeColor="text1"/>
        </w:rPr>
      </w:pPr>
    </w:p>
    <w:p w14:paraId="53FBDBCD" w14:textId="77777777" w:rsidR="00984E9E" w:rsidRPr="002B6891" w:rsidRDefault="00984E9E" w:rsidP="00984E9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Mientras que al </w:t>
      </w:r>
      <w:r>
        <w:rPr>
          <w:rFonts w:ascii="Palatino Linotype" w:hAnsi="Palatino Linotype"/>
          <w:b/>
          <w:color w:val="000000" w:themeColor="text1"/>
        </w:rPr>
        <w:t>Interés Legítimo</w:t>
      </w:r>
      <w:r>
        <w:rPr>
          <w:rFonts w:ascii="Palatino Linotype" w:hAnsi="Palatino Linotype"/>
          <w:color w:val="000000" w:themeColor="text1"/>
        </w:rPr>
        <w:t xml:space="preserve"> podemos reconocerlo como </w:t>
      </w:r>
      <w:proofErr w:type="gramStart"/>
      <w:r w:rsidRPr="00255475">
        <w:rPr>
          <w:rFonts w:ascii="Palatino Linotype" w:hAnsi="Palatino Linotype"/>
          <w:b/>
          <w:color w:val="000000" w:themeColor="text1"/>
          <w:lang w:val="es-ES"/>
        </w:rPr>
        <w:t>aquél</w:t>
      </w:r>
      <w:proofErr w:type="gramEnd"/>
      <w:r w:rsidRPr="00255475">
        <w:rPr>
          <w:rFonts w:ascii="Palatino Linotype" w:hAnsi="Palatino Linotype"/>
          <w:b/>
          <w:color w:val="000000" w:themeColor="text1"/>
          <w:lang w:val="es-ES"/>
        </w:rPr>
        <w:t xml:space="preserve"> interés personal</w:t>
      </w:r>
      <w:r w:rsidRPr="00255475">
        <w:rPr>
          <w:rFonts w:ascii="Palatino Linotype" w:hAnsi="Palatino Linotype"/>
          <w:color w:val="000000" w:themeColor="text1"/>
          <w:lang w:val="es-ES"/>
        </w:rPr>
        <w:t xml:space="preserve">, individual o colectivo, cualificado, actual, real y jurídicamente relevante, </w:t>
      </w:r>
      <w:r w:rsidRPr="002B6891">
        <w:rPr>
          <w:rFonts w:ascii="Palatino Linotype" w:hAnsi="Palatino Linotype"/>
          <w:b/>
          <w:color w:val="000000" w:themeColor="text1"/>
          <w:lang w:val="es-ES"/>
        </w:rPr>
        <w:t xml:space="preserve">que puede traducirse en un beneficio jurídico en favor del peticionario derivado </w:t>
      </w:r>
      <w:r w:rsidRPr="002B6891">
        <w:rPr>
          <w:rFonts w:ascii="Palatino Linotype" w:hAnsi="Palatino Linotype"/>
          <w:b/>
          <w:color w:val="000000" w:themeColor="text1"/>
          <w:lang w:val="es-ES"/>
        </w:rPr>
        <w:lastRenderedPageBreak/>
        <w:t>de una afectación a su esfera jurídica en sentido amplio</w:t>
      </w:r>
      <w:r w:rsidRPr="00255475">
        <w:rPr>
          <w:rFonts w:ascii="Palatino Linotype" w:hAnsi="Palatino Linotype"/>
          <w:b/>
          <w:color w:val="000000" w:themeColor="text1"/>
          <w:lang w:val="es-ES"/>
        </w:rPr>
        <w:t xml:space="preserve">, </w:t>
      </w:r>
      <w:r w:rsidRPr="002B6891">
        <w:rPr>
          <w:rFonts w:ascii="Palatino Linotype" w:hAnsi="Palatino Linotype"/>
          <w:color w:val="000000" w:themeColor="text1"/>
          <w:lang w:val="es-ES"/>
        </w:rPr>
        <w:t>que puede ser de índole económica, profesional, de salud, o de cualquier otra.</w:t>
      </w:r>
    </w:p>
    <w:p w14:paraId="002C1AF2" w14:textId="77777777" w:rsidR="00984E9E" w:rsidRDefault="00984E9E" w:rsidP="00984E9E">
      <w:pPr>
        <w:pStyle w:val="Prrafodelista"/>
        <w:tabs>
          <w:tab w:val="left" w:pos="426"/>
        </w:tabs>
        <w:spacing w:before="240" w:after="240" w:line="360" w:lineRule="auto"/>
        <w:ind w:left="0" w:right="51"/>
        <w:jc w:val="both"/>
        <w:rPr>
          <w:rFonts w:ascii="Palatino Linotype" w:hAnsi="Palatino Linotype"/>
          <w:color w:val="000000" w:themeColor="text1"/>
        </w:rPr>
      </w:pPr>
    </w:p>
    <w:p w14:paraId="371276BA" w14:textId="77777777" w:rsidR="00984E9E" w:rsidRPr="002B6891" w:rsidRDefault="00984E9E" w:rsidP="00984E9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490C9B">
        <w:rPr>
          <w:rFonts w:ascii="Palatino Linotype" w:hAnsi="Palatino Linotype" w:cs="Arial"/>
        </w:rPr>
        <w:t xml:space="preserve">ese sentido, una persona física goza de </w:t>
      </w:r>
      <w:r w:rsidRPr="00490C9B">
        <w:rPr>
          <w:rFonts w:ascii="Palatino Linotype" w:hAnsi="Palatino Linotype" w:cs="Arial"/>
          <w:b/>
        </w:rPr>
        <w:t xml:space="preserve">interés legítimo cuando no teniendo un derecho subjetivo </w:t>
      </w:r>
      <w:r w:rsidRPr="00490C9B">
        <w:rPr>
          <w:rFonts w:ascii="Palatino Linotype" w:hAnsi="Palatino Linotype" w:cs="Arial"/>
        </w:rPr>
        <w:t xml:space="preserve">(es decir, sin contar con un interés jurídico), por su situación objetiva y particular, y </w:t>
      </w:r>
      <w:r w:rsidRPr="00490C9B">
        <w:rPr>
          <w:rFonts w:ascii="Palatino Linotype" w:hAnsi="Palatino Linotype" w:cs="Arial"/>
          <w:b/>
        </w:rPr>
        <w:t>por razones de hecho o de derecho se ve afectada en su esfera jurídica</w:t>
      </w:r>
      <w:r w:rsidRPr="00490C9B">
        <w:rPr>
          <w:rFonts w:ascii="Palatino Linotype" w:hAnsi="Palatino Linotype" w:cs="Arial"/>
        </w:rPr>
        <w:t xml:space="preserve">. Así, para determinar que una persona cuenta con un </w:t>
      </w:r>
      <w:r w:rsidRPr="00490C9B">
        <w:rPr>
          <w:rFonts w:ascii="Palatino Linotype" w:hAnsi="Palatino Linotype" w:cs="Arial"/>
          <w:b/>
        </w:rPr>
        <w:t>interés legítimo</w:t>
      </w:r>
      <w:r w:rsidRPr="00490C9B">
        <w:rPr>
          <w:rFonts w:ascii="Palatino Linotype" w:hAnsi="Palatino Linotype" w:cs="Arial"/>
        </w:rPr>
        <w:t xml:space="preserve"> debe acreditar lo siguiente:</w:t>
      </w:r>
    </w:p>
    <w:p w14:paraId="5A619BFB" w14:textId="77777777" w:rsidR="00984E9E" w:rsidRPr="002B6891" w:rsidRDefault="00984E9E" w:rsidP="00984E9E">
      <w:pPr>
        <w:pStyle w:val="Prrafodelista"/>
        <w:numPr>
          <w:ilvl w:val="1"/>
          <w:numId w:val="1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rPr>
        <w:t xml:space="preserve">La existencia </w:t>
      </w:r>
      <w:r w:rsidRPr="00490C9B">
        <w:rPr>
          <w:rFonts w:ascii="Palatino Linotype" w:hAnsi="Palatino Linotype" w:cs="Arial"/>
        </w:rPr>
        <w:t>de una norma constitucional en la que se establezca o tutele algún interés difuso en beneficio de una colectividad determinada</w:t>
      </w:r>
      <w:r>
        <w:rPr>
          <w:rFonts w:ascii="Palatino Linotype" w:hAnsi="Palatino Linotype" w:cs="Arial"/>
        </w:rPr>
        <w:t>;</w:t>
      </w:r>
    </w:p>
    <w:p w14:paraId="6DA9CF50" w14:textId="77777777" w:rsidR="00984E9E" w:rsidRPr="002B6891" w:rsidRDefault="00984E9E" w:rsidP="00984E9E">
      <w:pPr>
        <w:pStyle w:val="Prrafodelista"/>
        <w:numPr>
          <w:ilvl w:val="1"/>
          <w:numId w:val="1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Que </w:t>
      </w:r>
      <w:r w:rsidRPr="00490C9B">
        <w:rPr>
          <w:rFonts w:ascii="Palatino Linotype" w:hAnsi="Palatino Linotype" w:cs="Arial"/>
        </w:rPr>
        <w:t>el acto reclamado transgreda ese interés difuso, ya sea d</w:t>
      </w:r>
      <w:r>
        <w:rPr>
          <w:rFonts w:ascii="Palatino Linotype" w:hAnsi="Palatino Linotype" w:cs="Arial"/>
        </w:rPr>
        <w:t>e manera individual o colectiva;</w:t>
      </w:r>
      <w:r w:rsidRPr="00490C9B">
        <w:rPr>
          <w:rFonts w:ascii="Palatino Linotype" w:hAnsi="Palatino Linotype" w:cs="Arial"/>
        </w:rPr>
        <w:t xml:space="preserve"> y</w:t>
      </w:r>
    </w:p>
    <w:p w14:paraId="268315D1" w14:textId="77777777" w:rsidR="00984E9E" w:rsidRDefault="00984E9E" w:rsidP="00984E9E">
      <w:pPr>
        <w:pStyle w:val="Prrafodelista"/>
        <w:numPr>
          <w:ilvl w:val="1"/>
          <w:numId w:val="1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rPr>
        <w:t xml:space="preserve">La </w:t>
      </w:r>
      <w:r w:rsidRPr="00490C9B">
        <w:rPr>
          <w:rFonts w:ascii="Palatino Linotype" w:hAnsi="Palatino Linotype" w:cs="Arial"/>
        </w:rPr>
        <w:t>pertenencia de la persona, a la colectividad a la cual le fue establecido o tutelado un interés difuso.</w:t>
      </w:r>
    </w:p>
    <w:p w14:paraId="11173973" w14:textId="77777777" w:rsidR="00F01ED4" w:rsidRDefault="00F01ED4" w:rsidP="00F01ED4">
      <w:pPr>
        <w:pStyle w:val="Prrafodelista"/>
        <w:tabs>
          <w:tab w:val="left" w:pos="426"/>
        </w:tabs>
        <w:spacing w:before="240" w:after="240" w:line="360" w:lineRule="auto"/>
        <w:ind w:left="0" w:right="51"/>
        <w:jc w:val="both"/>
        <w:rPr>
          <w:rFonts w:ascii="Palatino Linotype" w:hAnsi="Palatino Linotype"/>
          <w:color w:val="000000" w:themeColor="text1"/>
        </w:rPr>
      </w:pPr>
    </w:p>
    <w:p w14:paraId="136D6334" w14:textId="0BCE289C" w:rsidR="00CD60E8" w:rsidRPr="00CD60E8" w:rsidRDefault="00261FD7" w:rsidP="00CD60E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9209300"/>
      <w:r>
        <w:rPr>
          <w:rFonts w:ascii="Palatino Linotype" w:hAnsi="Palatino Linotype"/>
          <w:b/>
          <w:color w:val="000000" w:themeColor="text1"/>
        </w:rPr>
        <w:t>I</w:t>
      </w:r>
      <w:r w:rsidR="00CD60E8">
        <w:rPr>
          <w:rFonts w:ascii="Palatino Linotype" w:hAnsi="Palatino Linotype"/>
          <w:b/>
          <w:color w:val="000000" w:themeColor="text1"/>
        </w:rPr>
        <w:t>V. Del trámite específico referido por el SUJETO OBLIGADO para acceder a la información.</w:t>
      </w:r>
      <w:bookmarkEnd w:id="31"/>
    </w:p>
    <w:p w14:paraId="66837943" w14:textId="77777777" w:rsidR="00CD60E8" w:rsidRDefault="00CD60E8" w:rsidP="00F01ED4">
      <w:pPr>
        <w:pStyle w:val="Prrafodelista"/>
        <w:tabs>
          <w:tab w:val="left" w:pos="426"/>
        </w:tabs>
        <w:spacing w:before="240" w:after="240" w:line="360" w:lineRule="auto"/>
        <w:ind w:left="0" w:right="51"/>
        <w:jc w:val="both"/>
        <w:rPr>
          <w:rFonts w:ascii="Palatino Linotype" w:hAnsi="Palatino Linotype"/>
          <w:color w:val="000000" w:themeColor="text1"/>
        </w:rPr>
      </w:pPr>
    </w:p>
    <w:p w14:paraId="1EED17ED" w14:textId="65B6D732" w:rsidR="00F01ED4" w:rsidRDefault="001D0E86"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Ahora bien, el</w:t>
      </w:r>
      <w:r w:rsidR="00CD60E8">
        <w:rPr>
          <w:rFonts w:ascii="Palatino Linotype" w:hAnsi="Palatino Linotype"/>
          <w:color w:val="000000" w:themeColor="text1"/>
        </w:rPr>
        <w:t xml:space="preserve"> artículo 172 de la Ley de Transparencia y Acceso a la Información Pública del Estado de México y Municipios establece que, cuando </w:t>
      </w:r>
      <w:r w:rsidR="00CD60E8" w:rsidRPr="00CD60E8">
        <w:rPr>
          <w:rFonts w:ascii="Palatino Linotype" w:hAnsi="Palatino Linotype"/>
          <w:color w:val="000000" w:themeColor="text1"/>
        </w:rPr>
        <w:t xml:space="preserve">lo solicitado corresponda a información que sea posible obtener mediante un trámite previamente establecido y previsto en una norma, el </w:t>
      </w:r>
      <w:r w:rsidR="00CD60E8" w:rsidRPr="00CD60E8">
        <w:rPr>
          <w:rFonts w:ascii="Palatino Linotype" w:hAnsi="Palatino Linotype"/>
          <w:b/>
          <w:color w:val="000000" w:themeColor="text1"/>
        </w:rPr>
        <w:t>SUJETO OBLIGADO</w:t>
      </w:r>
      <w:r w:rsidR="00CD60E8" w:rsidRPr="00CD60E8">
        <w:rPr>
          <w:rFonts w:ascii="Palatino Linotype" w:hAnsi="Palatino Linotype"/>
          <w:color w:val="000000" w:themeColor="text1"/>
        </w:rPr>
        <w:t xml:space="preserve"> orientará al solicitante sobre el procedimiento que corresponda. En esos casos, la solicitud de información podrá desecharse por improcedente, dejando a salvo el </w:t>
      </w:r>
      <w:r w:rsidR="00CD60E8" w:rsidRPr="00CD60E8">
        <w:rPr>
          <w:rFonts w:ascii="Palatino Linotype" w:hAnsi="Palatino Linotype"/>
          <w:color w:val="000000" w:themeColor="text1"/>
        </w:rPr>
        <w:lastRenderedPageBreak/>
        <w:t>derecho del particular de interponer el recurso previsto en la presente Ley, si no estuviere conforme</w:t>
      </w:r>
    </w:p>
    <w:p w14:paraId="43039977" w14:textId="77777777" w:rsidR="00F01ED4" w:rsidRDefault="00F01ED4" w:rsidP="00F01ED4">
      <w:pPr>
        <w:pStyle w:val="Prrafodelista"/>
        <w:tabs>
          <w:tab w:val="left" w:pos="426"/>
        </w:tabs>
        <w:spacing w:before="240" w:after="240" w:line="360" w:lineRule="auto"/>
        <w:ind w:left="0" w:right="51"/>
        <w:jc w:val="both"/>
        <w:rPr>
          <w:rFonts w:ascii="Palatino Linotype" w:hAnsi="Palatino Linotype"/>
          <w:color w:val="000000" w:themeColor="text1"/>
        </w:rPr>
      </w:pPr>
    </w:p>
    <w:p w14:paraId="2B8DD698" w14:textId="752341A9" w:rsidR="00F01ED4" w:rsidRDefault="00CD60E8"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hemos analizado a lo largo del presente estudio, el </w:t>
      </w:r>
      <w:r>
        <w:rPr>
          <w:rFonts w:ascii="Palatino Linotype" w:hAnsi="Palatino Linotype"/>
          <w:b/>
          <w:color w:val="000000" w:themeColor="text1"/>
        </w:rPr>
        <w:t>RECURRENTE</w:t>
      </w:r>
      <w:r>
        <w:rPr>
          <w:rFonts w:ascii="Palatino Linotype" w:hAnsi="Palatino Linotype"/>
          <w:color w:val="000000" w:themeColor="text1"/>
        </w:rPr>
        <w:t xml:space="preserve"> busca consultar información relacionada con el catastro de la localidad denominada Villa San Agustín, específicamente los planos cata</w:t>
      </w:r>
      <w:r w:rsidR="005D458A">
        <w:rPr>
          <w:rFonts w:ascii="Palatino Linotype" w:hAnsi="Palatino Linotype"/>
          <w:color w:val="000000" w:themeColor="text1"/>
        </w:rPr>
        <w:t xml:space="preserve">strales y manzaneros; mientras que el </w:t>
      </w:r>
      <w:r w:rsidR="005D458A">
        <w:rPr>
          <w:rFonts w:ascii="Palatino Linotype" w:hAnsi="Palatino Linotype"/>
          <w:b/>
          <w:color w:val="000000" w:themeColor="text1"/>
        </w:rPr>
        <w:t>SUJETO OBLIGADO</w:t>
      </w:r>
      <w:r w:rsidR="005D458A">
        <w:rPr>
          <w:rFonts w:ascii="Palatino Linotype" w:hAnsi="Palatino Linotype"/>
          <w:color w:val="000000" w:themeColor="text1"/>
        </w:rPr>
        <w:t>, de una forma perceptiblemente débil en su fundamentación y motivación, refirió al particular que debía acreditar su interés jurídico o legítimo para expedir certificaciones o constancias de los documentos y datos que obren en sus archivos o en el padrón catastral</w:t>
      </w:r>
      <w:r w:rsidR="00984E9E">
        <w:rPr>
          <w:rFonts w:ascii="Palatino Linotype" w:hAnsi="Palatino Linotype"/>
          <w:color w:val="000000" w:themeColor="text1"/>
        </w:rPr>
        <w:t>;</w:t>
      </w:r>
      <w:r w:rsidR="005D458A">
        <w:rPr>
          <w:rFonts w:ascii="Palatino Linotype" w:hAnsi="Palatino Linotype"/>
          <w:color w:val="000000" w:themeColor="text1"/>
        </w:rPr>
        <w:t xml:space="preserve"> </w:t>
      </w:r>
      <w:r w:rsidR="005D458A">
        <w:rPr>
          <w:rFonts w:ascii="Palatino Linotype" w:hAnsi="Palatino Linotype"/>
          <w:i/>
          <w:color w:val="000000" w:themeColor="text1"/>
        </w:rPr>
        <w:t>grosso modo</w:t>
      </w:r>
      <w:r w:rsidR="005D458A">
        <w:rPr>
          <w:rFonts w:ascii="Palatino Linotype" w:hAnsi="Palatino Linotype"/>
          <w:color w:val="000000" w:themeColor="text1"/>
        </w:rPr>
        <w:t>, que existe un trámite específico para acceder a la información solicitada.</w:t>
      </w:r>
    </w:p>
    <w:p w14:paraId="2C483D34" w14:textId="77777777" w:rsidR="00CD60E8" w:rsidRDefault="00CD60E8" w:rsidP="00CD60E8">
      <w:pPr>
        <w:pStyle w:val="Prrafodelista"/>
        <w:tabs>
          <w:tab w:val="left" w:pos="426"/>
        </w:tabs>
        <w:spacing w:before="240" w:after="240" w:line="360" w:lineRule="auto"/>
        <w:ind w:left="0" w:right="51"/>
        <w:jc w:val="both"/>
        <w:rPr>
          <w:rFonts w:ascii="Palatino Linotype" w:hAnsi="Palatino Linotype"/>
          <w:color w:val="000000" w:themeColor="text1"/>
        </w:rPr>
      </w:pPr>
    </w:p>
    <w:p w14:paraId="0934BCDD" w14:textId="05DF89E5" w:rsidR="00CD60E8" w:rsidRDefault="005D458A"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razón de lo anterior, este Órgano Garante realizó un ejercicio de búsqueda en las cédulas de información respecto de los trámites y servicios que ofrece el Ayuntamiento de Chimalhuacán en su portal </w:t>
      </w:r>
      <w:r>
        <w:rPr>
          <w:rFonts w:ascii="Palatino Linotype" w:hAnsi="Palatino Linotype"/>
          <w:i/>
          <w:color w:val="000000" w:themeColor="text1"/>
        </w:rPr>
        <w:t>web</w:t>
      </w:r>
      <w:r>
        <w:rPr>
          <w:rFonts w:ascii="Palatino Linotype" w:hAnsi="Palatino Linotype"/>
          <w:color w:val="000000" w:themeColor="text1"/>
        </w:rPr>
        <w:t xml:space="preserve"> oficial</w:t>
      </w:r>
      <w:r>
        <w:rPr>
          <w:rStyle w:val="Refdenotaalpie"/>
          <w:rFonts w:ascii="Palatino Linotype" w:hAnsi="Palatino Linotype"/>
          <w:color w:val="000000" w:themeColor="text1"/>
        </w:rPr>
        <w:footnoteReference w:id="22"/>
      </w:r>
      <w:r>
        <w:rPr>
          <w:rFonts w:ascii="Palatino Linotype" w:hAnsi="Palatino Linotype"/>
          <w:color w:val="000000" w:themeColor="text1"/>
        </w:rPr>
        <w:t xml:space="preserve">, encontrándose la cédula relativa a la expedición del </w:t>
      </w:r>
      <w:r>
        <w:rPr>
          <w:rFonts w:ascii="Palatino Linotype" w:hAnsi="Palatino Linotype"/>
          <w:b/>
          <w:color w:val="000000" w:themeColor="text1"/>
        </w:rPr>
        <w:t>Plano manzanero</w:t>
      </w:r>
      <w:r w:rsidRPr="005D458A">
        <w:rPr>
          <w:rStyle w:val="Refdenotaalpie"/>
          <w:rFonts w:ascii="Palatino Linotype" w:hAnsi="Palatino Linotype"/>
          <w:color w:val="000000" w:themeColor="text1"/>
        </w:rPr>
        <w:footnoteReference w:id="23"/>
      </w:r>
      <w:r w:rsidRPr="005D458A">
        <w:rPr>
          <w:rFonts w:ascii="Palatino Linotype" w:hAnsi="Palatino Linotype"/>
          <w:color w:val="000000" w:themeColor="text1"/>
        </w:rPr>
        <w:t xml:space="preserve">, </w:t>
      </w:r>
      <w:r>
        <w:rPr>
          <w:rFonts w:ascii="Palatino Linotype" w:hAnsi="Palatino Linotype"/>
          <w:color w:val="000000" w:themeColor="text1"/>
        </w:rPr>
        <w:t>cuya descripción establece que</w:t>
      </w:r>
      <w:r w:rsidR="005955A0">
        <w:rPr>
          <w:rFonts w:ascii="Palatino Linotype" w:hAnsi="Palatino Linotype"/>
          <w:color w:val="000000" w:themeColor="text1"/>
        </w:rPr>
        <w:t xml:space="preserve"> éste</w:t>
      </w:r>
      <w:r>
        <w:rPr>
          <w:rFonts w:ascii="Palatino Linotype" w:hAnsi="Palatino Linotype"/>
          <w:color w:val="000000" w:themeColor="text1"/>
        </w:rPr>
        <w:t xml:space="preserve"> “[e]</w:t>
      </w:r>
      <w:r>
        <w:rPr>
          <w:rFonts w:ascii="Palatino Linotype" w:hAnsi="Palatino Linotype"/>
          <w:i/>
          <w:color w:val="000000" w:themeColor="text1"/>
        </w:rPr>
        <w:t>s la representación gráfica que contiene el perímetro y superficie de los inmuebles q</w:t>
      </w:r>
      <w:r>
        <w:rPr>
          <w:rFonts w:ascii="Palatino Linotype" w:hAnsi="Palatino Linotype"/>
          <w:color w:val="000000" w:themeColor="text1"/>
        </w:rPr>
        <w:t>[</w:t>
      </w:r>
      <w:proofErr w:type="spellStart"/>
      <w:r>
        <w:rPr>
          <w:rFonts w:ascii="Palatino Linotype" w:hAnsi="Palatino Linotype"/>
          <w:color w:val="000000" w:themeColor="text1"/>
        </w:rPr>
        <w:t>ue</w:t>
      </w:r>
      <w:proofErr w:type="spellEnd"/>
      <w:r>
        <w:rPr>
          <w:rFonts w:ascii="Palatino Linotype" w:hAnsi="Palatino Linotype"/>
          <w:color w:val="000000" w:themeColor="text1"/>
        </w:rPr>
        <w:t>]</w:t>
      </w:r>
      <w:r>
        <w:rPr>
          <w:rFonts w:ascii="Palatino Linotype" w:hAnsi="Palatino Linotype"/>
          <w:i/>
          <w:color w:val="000000" w:themeColor="text1"/>
        </w:rPr>
        <w:t xml:space="preserve"> conforman una manzana</w:t>
      </w:r>
      <w:r>
        <w:rPr>
          <w:rFonts w:ascii="Palatino Linotype" w:hAnsi="Palatino Linotype"/>
          <w:color w:val="000000" w:themeColor="text1"/>
        </w:rPr>
        <w:t>”.</w:t>
      </w:r>
    </w:p>
    <w:p w14:paraId="6A60C5EF" w14:textId="77777777" w:rsidR="00CD60E8" w:rsidRDefault="00CD60E8" w:rsidP="00CD60E8">
      <w:pPr>
        <w:pStyle w:val="Prrafodelista"/>
        <w:tabs>
          <w:tab w:val="left" w:pos="426"/>
        </w:tabs>
        <w:spacing w:before="240" w:after="240" w:line="360" w:lineRule="auto"/>
        <w:ind w:left="0" w:right="51"/>
        <w:jc w:val="both"/>
        <w:rPr>
          <w:rFonts w:ascii="Palatino Linotype" w:hAnsi="Palatino Linotype"/>
          <w:color w:val="000000" w:themeColor="text1"/>
        </w:rPr>
      </w:pPr>
    </w:p>
    <w:p w14:paraId="473E282D" w14:textId="658ED1B0" w:rsidR="00CD60E8" w:rsidRDefault="005D458A"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La cédula, también, señala que el trámite se realiza a solicitud del propietario y, para las personas físicas, deberán cubrir los siguientes requisitos:</w:t>
      </w:r>
    </w:p>
    <w:p w14:paraId="330F3730" w14:textId="19D06AC5" w:rsidR="005D458A" w:rsidRDefault="005D458A" w:rsidP="00F90515">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lastRenderedPageBreak/>
        <w:t>Documento</w:t>
      </w:r>
      <w:r w:rsidR="00F90515">
        <w:rPr>
          <w:rFonts w:ascii="Palatino Linotype" w:hAnsi="Palatino Linotype"/>
          <w:color w:val="000000" w:themeColor="text1"/>
        </w:rPr>
        <w:t xml:space="preserve"> que acredite la propiedad o posesión del inmueble, el cual puede ser cualquiera de entre los siguientes:</w:t>
      </w:r>
    </w:p>
    <w:p w14:paraId="6B9CD497" w14:textId="22102533" w:rsidR="00F90515" w:rsidRDefault="00F90515" w:rsidP="00F90515">
      <w:pPr>
        <w:pStyle w:val="Prrafodelista"/>
        <w:numPr>
          <w:ilvl w:val="2"/>
          <w:numId w:val="16"/>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Testimonio notarial.</w:t>
      </w:r>
    </w:p>
    <w:p w14:paraId="781A3FD7" w14:textId="78BA3A41" w:rsidR="00F90515" w:rsidRDefault="00F90515" w:rsidP="00F90515">
      <w:pPr>
        <w:pStyle w:val="Prrafodelista"/>
        <w:numPr>
          <w:ilvl w:val="2"/>
          <w:numId w:val="16"/>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Contrato privado de compra-venta, cesión o donación.</w:t>
      </w:r>
    </w:p>
    <w:p w14:paraId="1B59B5E5" w14:textId="17AE966B" w:rsidR="00F90515" w:rsidRDefault="00F90515" w:rsidP="00F90515">
      <w:pPr>
        <w:pStyle w:val="Prrafodelista"/>
        <w:numPr>
          <w:ilvl w:val="2"/>
          <w:numId w:val="16"/>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Sentencia de la autoridad judicial que haya causado ejecutoria.</w:t>
      </w:r>
    </w:p>
    <w:p w14:paraId="348CC6AC" w14:textId="484A6AE9" w:rsidR="00F90515" w:rsidRDefault="00F90515" w:rsidP="00F90515">
      <w:pPr>
        <w:pStyle w:val="Prrafodelista"/>
        <w:numPr>
          <w:ilvl w:val="2"/>
          <w:numId w:val="16"/>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Manifestación de adquisición de inmuebles u otras operaciones traslativas de dominio de inmuebles, autorizada por la autoridad fiscal respectiva y el recibo de pago correspondiente.</w:t>
      </w:r>
    </w:p>
    <w:p w14:paraId="51626F08" w14:textId="4F51AB17" w:rsidR="00F90515" w:rsidRDefault="00F90515" w:rsidP="00F90515">
      <w:pPr>
        <w:pStyle w:val="Prrafodelista"/>
        <w:numPr>
          <w:ilvl w:val="2"/>
          <w:numId w:val="16"/>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Acta de entrega cuando se trate de inmuebles de interés social.</w:t>
      </w:r>
    </w:p>
    <w:p w14:paraId="75AB7FC5" w14:textId="37229D8F" w:rsidR="00F90515" w:rsidRDefault="00F90515" w:rsidP="00F90515">
      <w:pPr>
        <w:pStyle w:val="Prrafodelista"/>
        <w:numPr>
          <w:ilvl w:val="2"/>
          <w:numId w:val="16"/>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Cédula de contratación que emita la dependencia oficial autorizada para la regularización de la tenencia de la tierra.</w:t>
      </w:r>
    </w:p>
    <w:p w14:paraId="04190F61" w14:textId="1EC14334" w:rsidR="00F90515" w:rsidRDefault="00F90515" w:rsidP="00F90515">
      <w:pPr>
        <w:pStyle w:val="Prrafodelista"/>
        <w:numPr>
          <w:ilvl w:val="2"/>
          <w:numId w:val="16"/>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Título, certificado o cesión de derechos agrarios ejidales o comunales.</w:t>
      </w:r>
    </w:p>
    <w:p w14:paraId="47A84DE6" w14:textId="42B3842F" w:rsidR="00F90515" w:rsidRDefault="00F90515" w:rsidP="00F90515">
      <w:pPr>
        <w:pStyle w:val="Prrafodelista"/>
        <w:numPr>
          <w:ilvl w:val="2"/>
          <w:numId w:val="16"/>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Inmatriculación administrativa o judicial.</w:t>
      </w:r>
    </w:p>
    <w:p w14:paraId="5C249888" w14:textId="29EF48C9" w:rsidR="00F90515" w:rsidRDefault="00F90515" w:rsidP="00F90515">
      <w:pPr>
        <w:pStyle w:val="Prrafodelista"/>
        <w:numPr>
          <w:ilvl w:val="1"/>
          <w:numId w:val="17"/>
        </w:numPr>
        <w:tabs>
          <w:tab w:val="left" w:pos="426"/>
        </w:tabs>
        <w:spacing w:before="240" w:after="240" w:line="360" w:lineRule="auto"/>
        <w:ind w:left="1134" w:right="51" w:hanging="567"/>
        <w:jc w:val="both"/>
        <w:rPr>
          <w:rFonts w:ascii="Palatino Linotype" w:hAnsi="Palatino Linotype"/>
          <w:color w:val="000000" w:themeColor="text1"/>
        </w:rPr>
      </w:pPr>
      <w:r>
        <w:rPr>
          <w:rFonts w:ascii="Palatino Linotype" w:hAnsi="Palatino Linotype"/>
          <w:color w:val="000000" w:themeColor="text1"/>
        </w:rPr>
        <w:t>Boleta predial vigente.</w:t>
      </w:r>
    </w:p>
    <w:p w14:paraId="2A1ED564" w14:textId="7DB702B5" w:rsidR="00F90515" w:rsidRDefault="00F90515" w:rsidP="00F90515">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Carta poder en la que el propietario o poseedor del inmueble de que se trate, autoriza a otro persona para realizar en su nombre, el trámite de solicitud del servicio requerido, en su caso.</w:t>
      </w:r>
    </w:p>
    <w:p w14:paraId="08534627" w14:textId="709696D0" w:rsidR="00F90515" w:rsidRDefault="00F90515" w:rsidP="00F90515">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Copia de la identificación oficial del propietario o poseedor del inmueble y de la persona autorizada mediante carta poder o representación legal.</w:t>
      </w:r>
    </w:p>
    <w:p w14:paraId="1D965E0F" w14:textId="77777777" w:rsidR="00CD60E8" w:rsidRDefault="00CD60E8" w:rsidP="00CD60E8">
      <w:pPr>
        <w:pStyle w:val="Prrafodelista"/>
        <w:tabs>
          <w:tab w:val="left" w:pos="426"/>
        </w:tabs>
        <w:spacing w:before="240" w:after="240" w:line="360" w:lineRule="auto"/>
        <w:ind w:left="0" w:right="51"/>
        <w:jc w:val="both"/>
        <w:rPr>
          <w:rFonts w:ascii="Palatino Linotype" w:hAnsi="Palatino Linotype"/>
          <w:color w:val="000000" w:themeColor="text1"/>
        </w:rPr>
      </w:pPr>
    </w:p>
    <w:p w14:paraId="43390030" w14:textId="4ED41550" w:rsidR="00CD60E8" w:rsidRDefault="00F90515"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El trámite se realizará en la Tesorería Municipal, específicamente en la Dirección de Catastro; tendrá una duración de 10 minutos, contemplará un tiempo de respuesta de tres días hábiles a partir de la fecha de recepción de la solicitud</w:t>
      </w:r>
      <w:r w:rsidR="005955A0">
        <w:rPr>
          <w:rFonts w:ascii="Palatino Linotype" w:hAnsi="Palatino Linotype"/>
          <w:color w:val="000000" w:themeColor="text1"/>
        </w:rPr>
        <w:t>,</w:t>
      </w:r>
      <w:r>
        <w:rPr>
          <w:rFonts w:ascii="Palatino Linotype" w:hAnsi="Palatino Linotype"/>
          <w:color w:val="000000" w:themeColor="text1"/>
        </w:rPr>
        <w:t xml:space="preserve"> y </w:t>
      </w:r>
      <w:r>
        <w:rPr>
          <w:rFonts w:ascii="Palatino Linotype" w:hAnsi="Palatino Linotype"/>
          <w:color w:val="000000" w:themeColor="text1"/>
        </w:rPr>
        <w:lastRenderedPageBreak/>
        <w:t>tendrá un costo de $161.00 (CIENTO SESENTA Y UNO PESOS 00/100 M.N.) de conformidad con lo establecido en el artículo 166, fracción I, del Código Financiero del Estado de México y Municipios.</w:t>
      </w:r>
    </w:p>
    <w:p w14:paraId="2CA31F12" w14:textId="77777777" w:rsidR="00CD60E8" w:rsidRDefault="00CD60E8" w:rsidP="00CD60E8">
      <w:pPr>
        <w:pStyle w:val="Prrafodelista"/>
        <w:tabs>
          <w:tab w:val="left" w:pos="426"/>
        </w:tabs>
        <w:spacing w:before="240" w:after="240" w:line="360" w:lineRule="auto"/>
        <w:ind w:left="0" w:right="51"/>
        <w:jc w:val="both"/>
        <w:rPr>
          <w:rFonts w:ascii="Palatino Linotype" w:hAnsi="Palatino Linotype"/>
          <w:color w:val="000000" w:themeColor="text1"/>
        </w:rPr>
      </w:pPr>
    </w:p>
    <w:p w14:paraId="5573C9F5" w14:textId="35DD26D2" w:rsidR="00CD60E8" w:rsidRDefault="00F90515"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Asimismo, al final de la cédula de información del trámite de mérito, aparecen las siguientes preguntas frecuentes acompañadas por sus respectivas preguntas:</w:t>
      </w:r>
    </w:p>
    <w:p w14:paraId="08EBC32B" w14:textId="77777777" w:rsidR="00CD60E8" w:rsidRDefault="00CD60E8" w:rsidP="00CD60E8">
      <w:pPr>
        <w:pStyle w:val="Prrafodelista"/>
        <w:tabs>
          <w:tab w:val="left" w:pos="426"/>
        </w:tabs>
        <w:spacing w:before="240" w:after="240" w:line="360" w:lineRule="auto"/>
        <w:ind w:left="0" w:right="51"/>
        <w:jc w:val="both"/>
        <w:rPr>
          <w:rFonts w:ascii="Palatino Linotype" w:hAnsi="Palatino Linotype"/>
          <w:color w:val="000000" w:themeColor="text1"/>
        </w:rPr>
      </w:pPr>
    </w:p>
    <w:p w14:paraId="002712A5" w14:textId="25EB213A" w:rsidR="00F90515" w:rsidRDefault="00F90515" w:rsidP="00F9051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r w:rsidRPr="00F90515">
        <w:rPr>
          <w:rFonts w:ascii="Palatino Linotype" w:hAnsi="Palatino Linotype"/>
          <w:b/>
          <w:i/>
          <w:color w:val="000000" w:themeColor="text1"/>
          <w:sz w:val="22"/>
        </w:rPr>
        <w:t>PREGUNTA FRECUENTE I:</w:t>
      </w:r>
      <w:r>
        <w:rPr>
          <w:rFonts w:ascii="Palatino Linotype" w:hAnsi="Palatino Linotype"/>
          <w:i/>
          <w:color w:val="000000" w:themeColor="text1"/>
          <w:sz w:val="22"/>
        </w:rPr>
        <w:t xml:space="preserve"> ¿Puedo solicitar plano manzanero de cualquier predio?</w:t>
      </w:r>
    </w:p>
    <w:p w14:paraId="4866868F" w14:textId="6171D229" w:rsidR="00F90515" w:rsidRDefault="00F90515" w:rsidP="00F9051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90515">
        <w:rPr>
          <w:rFonts w:ascii="Palatino Linotype" w:hAnsi="Palatino Linotype"/>
          <w:b/>
          <w:i/>
          <w:color w:val="000000" w:themeColor="text1"/>
          <w:sz w:val="22"/>
        </w:rPr>
        <w:t>RESPUESTA:</w:t>
      </w:r>
      <w:r>
        <w:rPr>
          <w:rFonts w:ascii="Palatino Linotype" w:hAnsi="Palatino Linotype"/>
          <w:i/>
          <w:color w:val="000000" w:themeColor="text1"/>
          <w:sz w:val="22"/>
        </w:rPr>
        <w:t xml:space="preserve"> No, solo se expedirá plano manzanero a quien acredite estar inscrito y acreditar su interés jurídico y legítimo.</w:t>
      </w:r>
    </w:p>
    <w:p w14:paraId="0A2FA8F7" w14:textId="77777777" w:rsidR="00F90515" w:rsidRDefault="00F90515" w:rsidP="00F90515">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20586912" w14:textId="4964C012" w:rsidR="00F90515" w:rsidRDefault="00F90515" w:rsidP="00F9051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90515">
        <w:rPr>
          <w:rFonts w:ascii="Palatino Linotype" w:hAnsi="Palatino Linotype"/>
          <w:b/>
          <w:i/>
          <w:color w:val="000000" w:themeColor="text1"/>
          <w:sz w:val="22"/>
        </w:rPr>
        <w:t>PREGUNTA FRECUENTE I</w:t>
      </w:r>
      <w:r>
        <w:rPr>
          <w:rFonts w:ascii="Palatino Linotype" w:hAnsi="Palatino Linotype"/>
          <w:b/>
          <w:i/>
          <w:color w:val="000000" w:themeColor="text1"/>
          <w:sz w:val="22"/>
        </w:rPr>
        <w:t>I</w:t>
      </w:r>
      <w:r w:rsidRPr="00F90515">
        <w:rPr>
          <w:rFonts w:ascii="Palatino Linotype" w:hAnsi="Palatino Linotype"/>
          <w:b/>
          <w:i/>
          <w:color w:val="000000" w:themeColor="text1"/>
          <w:sz w:val="22"/>
        </w:rPr>
        <w:t>:</w:t>
      </w:r>
      <w:r>
        <w:rPr>
          <w:rFonts w:ascii="Palatino Linotype" w:hAnsi="Palatino Linotype"/>
          <w:i/>
          <w:color w:val="000000" w:themeColor="text1"/>
          <w:sz w:val="22"/>
        </w:rPr>
        <w:t xml:space="preserve"> ¿Me pueden ubicar mi predio en un plano manzanero?</w:t>
      </w:r>
    </w:p>
    <w:p w14:paraId="7AC3A84F" w14:textId="2133E888" w:rsidR="00F90515" w:rsidRDefault="00F90515" w:rsidP="00F9051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90515">
        <w:rPr>
          <w:rFonts w:ascii="Palatino Linotype" w:hAnsi="Palatino Linotype"/>
          <w:b/>
          <w:i/>
          <w:color w:val="000000" w:themeColor="text1"/>
          <w:sz w:val="22"/>
        </w:rPr>
        <w:t>RESPUESTA:</w:t>
      </w:r>
      <w:r>
        <w:rPr>
          <w:rFonts w:ascii="Palatino Linotype" w:hAnsi="Palatino Linotype"/>
          <w:i/>
          <w:color w:val="000000" w:themeColor="text1"/>
          <w:sz w:val="22"/>
        </w:rPr>
        <w:t xml:space="preserve"> Sí, previa identificación mediante trabajos técnicos en campo.</w:t>
      </w:r>
    </w:p>
    <w:p w14:paraId="3F1CD78F" w14:textId="77777777" w:rsidR="00F90515" w:rsidRDefault="00F90515" w:rsidP="00F90515">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50866257" w14:textId="0F9CA369" w:rsidR="00F90515" w:rsidRDefault="00F90515" w:rsidP="00F9051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90515">
        <w:rPr>
          <w:rFonts w:ascii="Palatino Linotype" w:hAnsi="Palatino Linotype"/>
          <w:b/>
          <w:i/>
          <w:color w:val="000000" w:themeColor="text1"/>
          <w:sz w:val="22"/>
        </w:rPr>
        <w:t xml:space="preserve">PREGUNTA FRECUENTE </w:t>
      </w:r>
      <w:r>
        <w:rPr>
          <w:rFonts w:ascii="Palatino Linotype" w:hAnsi="Palatino Linotype"/>
          <w:b/>
          <w:i/>
          <w:color w:val="000000" w:themeColor="text1"/>
          <w:sz w:val="22"/>
        </w:rPr>
        <w:t>II</w:t>
      </w:r>
      <w:r w:rsidRPr="00F90515">
        <w:rPr>
          <w:rFonts w:ascii="Palatino Linotype" w:hAnsi="Palatino Linotype"/>
          <w:b/>
          <w:i/>
          <w:color w:val="000000" w:themeColor="text1"/>
          <w:sz w:val="22"/>
        </w:rPr>
        <w:t>I:</w:t>
      </w:r>
      <w:r>
        <w:rPr>
          <w:rFonts w:ascii="Palatino Linotype" w:hAnsi="Palatino Linotype"/>
          <w:i/>
          <w:color w:val="000000" w:themeColor="text1"/>
          <w:sz w:val="22"/>
        </w:rPr>
        <w:t xml:space="preserve"> ¿De dónde se toman los datos para expedir un plano manzanero?</w:t>
      </w:r>
    </w:p>
    <w:p w14:paraId="66986534" w14:textId="1DE5F8EA" w:rsidR="00F90515" w:rsidRDefault="00F90515" w:rsidP="00F90515">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F90515">
        <w:rPr>
          <w:rFonts w:ascii="Palatino Linotype" w:hAnsi="Palatino Linotype"/>
          <w:b/>
          <w:i/>
          <w:color w:val="000000" w:themeColor="text1"/>
          <w:sz w:val="22"/>
        </w:rPr>
        <w:t>RESPUESTA:</w:t>
      </w:r>
      <w:r>
        <w:rPr>
          <w:rFonts w:ascii="Palatino Linotype" w:hAnsi="Palatino Linotype"/>
          <w:i/>
          <w:color w:val="000000" w:themeColor="text1"/>
          <w:sz w:val="22"/>
        </w:rPr>
        <w:t xml:space="preserve"> </w:t>
      </w:r>
      <w:r w:rsidRPr="00F90515">
        <w:rPr>
          <w:rFonts w:ascii="Palatino Linotype" w:hAnsi="Palatino Linotype"/>
          <w:b/>
          <w:i/>
          <w:color w:val="000000" w:themeColor="text1"/>
          <w:sz w:val="22"/>
          <w:u w:val="single"/>
        </w:rPr>
        <w:t>El plano es copia fiel de los datos gráficos que obran en el archivo del padrón catastral de este ayuntamiento</w:t>
      </w:r>
      <w:r>
        <w:rPr>
          <w:rFonts w:ascii="Palatino Linotype" w:hAnsi="Palatino Linotype"/>
          <w:i/>
          <w:color w:val="000000" w:themeColor="text1"/>
          <w:sz w:val="22"/>
        </w:rPr>
        <w:t>.</w:t>
      </w:r>
      <w:r w:rsidR="00412448">
        <w:rPr>
          <w:rFonts w:ascii="Palatino Linotype" w:hAnsi="Palatino Linotype"/>
          <w:i/>
          <w:color w:val="000000" w:themeColor="text1"/>
          <w:sz w:val="22"/>
        </w:rPr>
        <w:t>”</w:t>
      </w:r>
    </w:p>
    <w:p w14:paraId="1A8AF13E" w14:textId="0EB084E7" w:rsidR="00412448" w:rsidRPr="00412448" w:rsidRDefault="00412448" w:rsidP="00F90515">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(Énfasis y subrayado añadido)</w:t>
      </w:r>
    </w:p>
    <w:p w14:paraId="7602FAF0" w14:textId="77777777" w:rsidR="00F90515" w:rsidRDefault="00F90515" w:rsidP="00CD60E8">
      <w:pPr>
        <w:pStyle w:val="Prrafodelista"/>
        <w:tabs>
          <w:tab w:val="left" w:pos="426"/>
        </w:tabs>
        <w:spacing w:before="240" w:after="240" w:line="360" w:lineRule="auto"/>
        <w:ind w:left="0" w:right="51"/>
        <w:jc w:val="both"/>
        <w:rPr>
          <w:rFonts w:ascii="Palatino Linotype" w:hAnsi="Palatino Linotype"/>
          <w:color w:val="000000" w:themeColor="text1"/>
        </w:rPr>
      </w:pPr>
    </w:p>
    <w:p w14:paraId="34CC4200" w14:textId="13E3CA48" w:rsidR="00CD60E8" w:rsidRDefault="00412448"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resulta concluyente que el </w:t>
      </w:r>
      <w:r>
        <w:rPr>
          <w:rFonts w:ascii="Palatino Linotype" w:hAnsi="Palatino Linotype"/>
          <w:b/>
          <w:color w:val="000000" w:themeColor="text1"/>
        </w:rPr>
        <w:t>SUJETO OBLIGADO</w:t>
      </w:r>
      <w:r>
        <w:rPr>
          <w:rFonts w:ascii="Palatino Linotype" w:hAnsi="Palatino Linotype"/>
          <w:color w:val="000000" w:themeColor="text1"/>
        </w:rPr>
        <w:t xml:space="preserve"> no realizó una adecuada orientación al particular para realizar el trámite específico denominado </w:t>
      </w:r>
      <w:r>
        <w:rPr>
          <w:rFonts w:ascii="Palatino Linotype" w:hAnsi="Palatino Linotype"/>
          <w:b/>
          <w:color w:val="000000" w:themeColor="text1"/>
        </w:rPr>
        <w:t>Certificación de Plano Manzanero</w:t>
      </w:r>
      <w:r>
        <w:rPr>
          <w:rFonts w:ascii="Palatino Linotype" w:hAnsi="Palatino Linotype"/>
          <w:color w:val="000000" w:themeColor="text1"/>
        </w:rPr>
        <w:t>, pues únicamente le requirió acreditar su interés jurídico o legítimo, sin siquiera señalar los costos, tiempos de duración del trámite, horarios de atención o demás detalles que se contienen en la cédula de información del trámite.</w:t>
      </w:r>
    </w:p>
    <w:p w14:paraId="57AB02FD" w14:textId="77777777" w:rsidR="00CD60E8" w:rsidRDefault="00CD60E8" w:rsidP="00CD60E8">
      <w:pPr>
        <w:pStyle w:val="Prrafodelista"/>
        <w:tabs>
          <w:tab w:val="left" w:pos="426"/>
        </w:tabs>
        <w:spacing w:before="240" w:after="240" w:line="360" w:lineRule="auto"/>
        <w:ind w:left="0" w:right="51"/>
        <w:jc w:val="both"/>
        <w:rPr>
          <w:rFonts w:ascii="Palatino Linotype" w:hAnsi="Palatino Linotype"/>
          <w:color w:val="000000" w:themeColor="text1"/>
        </w:rPr>
      </w:pPr>
    </w:p>
    <w:p w14:paraId="64619C70" w14:textId="217177B5" w:rsidR="00CD60E8" w:rsidRDefault="00412448"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Dicho lo anterior, de ser el caso que el </w:t>
      </w:r>
      <w:r>
        <w:rPr>
          <w:rFonts w:ascii="Palatino Linotype" w:hAnsi="Palatino Linotype"/>
          <w:b/>
          <w:color w:val="000000" w:themeColor="text1"/>
        </w:rPr>
        <w:t>RECURRENTE</w:t>
      </w:r>
      <w:r>
        <w:rPr>
          <w:rFonts w:ascii="Palatino Linotype" w:hAnsi="Palatino Linotype"/>
          <w:color w:val="000000" w:themeColor="text1"/>
        </w:rPr>
        <w:t xml:space="preserve"> hubiese tenido interés en realizar el multir</w:t>
      </w:r>
      <w:r w:rsidR="00984E9E">
        <w:rPr>
          <w:rFonts w:ascii="Palatino Linotype" w:hAnsi="Palatino Linotype"/>
          <w:color w:val="000000" w:themeColor="text1"/>
        </w:rPr>
        <w:t>re</w:t>
      </w:r>
      <w:r>
        <w:rPr>
          <w:rFonts w:ascii="Palatino Linotype" w:hAnsi="Palatino Linotype"/>
          <w:color w:val="000000" w:themeColor="text1"/>
        </w:rPr>
        <w:t xml:space="preserve">ferido trámite de certificación de plano manzanero, este Instituto habría determinado </w:t>
      </w:r>
      <w:r>
        <w:rPr>
          <w:rFonts w:ascii="Palatino Linotype" w:hAnsi="Palatino Linotype"/>
          <w:b/>
          <w:color w:val="000000" w:themeColor="text1"/>
        </w:rPr>
        <w:t>modificar</w:t>
      </w:r>
      <w:r>
        <w:rPr>
          <w:rFonts w:ascii="Palatino Linotype" w:hAnsi="Palatino Linotype"/>
          <w:color w:val="000000" w:themeColor="text1"/>
        </w:rPr>
        <w:t xml:space="preserve"> la respuesta y ordenar al Ayuntamiento de Chimalhuacán la entrega del o los documentos donde consten las pesquisas para realizar las diligencias</w:t>
      </w:r>
      <w:r w:rsidR="005955A0">
        <w:rPr>
          <w:rFonts w:ascii="Palatino Linotype" w:hAnsi="Palatino Linotype"/>
          <w:color w:val="000000" w:themeColor="text1"/>
        </w:rPr>
        <w:t xml:space="preserve"> correspondientes</w:t>
      </w:r>
      <w:r>
        <w:rPr>
          <w:rFonts w:ascii="Palatino Linotype" w:hAnsi="Palatino Linotype"/>
          <w:color w:val="000000" w:themeColor="text1"/>
        </w:rPr>
        <w:t xml:space="preserve"> ante la Dirección de Catastro. Empero, no debe ignorarse que el particular, dentro del recurso de revisión indicado al rubro, señaló explícitamente que </w:t>
      </w:r>
      <w:r w:rsidRPr="005955A0">
        <w:rPr>
          <w:rFonts w:ascii="Palatino Linotype" w:hAnsi="Palatino Linotype"/>
          <w:b/>
          <w:color w:val="000000" w:themeColor="text1"/>
          <w:u w:val="single"/>
        </w:rPr>
        <w:t>no solicitó ni la certificación, ni la constancia, que obre en algún archivo o, en el padrón catastral; sino, únicamente, la consulta directa a los documentos</w:t>
      </w:r>
      <w:r>
        <w:rPr>
          <w:rFonts w:ascii="Palatino Linotype" w:hAnsi="Palatino Linotype"/>
          <w:color w:val="000000" w:themeColor="text1"/>
        </w:rPr>
        <w:t xml:space="preserve">, los cuales, se ha demostrado que son parte elemental de los instrumentos gráficos que integran el </w:t>
      </w:r>
      <w:r>
        <w:rPr>
          <w:rFonts w:ascii="Palatino Linotype" w:hAnsi="Palatino Linotype"/>
          <w:b/>
          <w:color w:val="000000" w:themeColor="text1"/>
        </w:rPr>
        <w:t>padrón catastral</w:t>
      </w:r>
      <w:r w:rsidR="00307C7D">
        <w:rPr>
          <w:rFonts w:ascii="Palatino Linotype" w:hAnsi="Palatino Linotype"/>
          <w:color w:val="000000" w:themeColor="text1"/>
        </w:rPr>
        <w:t>.</w:t>
      </w:r>
    </w:p>
    <w:p w14:paraId="569E90DB" w14:textId="77777777" w:rsidR="00CD60E8" w:rsidRDefault="00CD60E8" w:rsidP="00CD60E8">
      <w:pPr>
        <w:pStyle w:val="Prrafodelista"/>
        <w:tabs>
          <w:tab w:val="left" w:pos="426"/>
        </w:tabs>
        <w:spacing w:before="240" w:after="240" w:line="360" w:lineRule="auto"/>
        <w:ind w:left="0" w:right="51"/>
        <w:jc w:val="both"/>
        <w:rPr>
          <w:rFonts w:ascii="Palatino Linotype" w:hAnsi="Palatino Linotype"/>
          <w:color w:val="000000" w:themeColor="text1"/>
        </w:rPr>
      </w:pPr>
    </w:p>
    <w:p w14:paraId="0806995A" w14:textId="7EF8940D" w:rsidR="003848B5" w:rsidRPr="00307C7D" w:rsidRDefault="00307C7D" w:rsidP="00307C7D">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9209301"/>
      <w:r w:rsidRPr="00307C7D">
        <w:rPr>
          <w:rFonts w:ascii="Palatino Linotype" w:hAnsi="Palatino Linotype"/>
          <w:b/>
          <w:color w:val="000000" w:themeColor="text1"/>
        </w:rPr>
        <w:t>V. De los alcances del derecho de acceso a la información.</w:t>
      </w:r>
      <w:bookmarkEnd w:id="32"/>
    </w:p>
    <w:p w14:paraId="0035CBB2" w14:textId="77777777" w:rsidR="003848B5" w:rsidRDefault="003848B5" w:rsidP="00CD60E8">
      <w:pPr>
        <w:pStyle w:val="Prrafodelista"/>
        <w:tabs>
          <w:tab w:val="left" w:pos="426"/>
        </w:tabs>
        <w:spacing w:before="240" w:after="240" w:line="360" w:lineRule="auto"/>
        <w:ind w:left="0" w:right="51"/>
        <w:jc w:val="both"/>
        <w:rPr>
          <w:rFonts w:ascii="Palatino Linotype" w:hAnsi="Palatino Linotype"/>
          <w:color w:val="000000" w:themeColor="text1"/>
        </w:rPr>
      </w:pPr>
    </w:p>
    <w:p w14:paraId="43E7170A" w14:textId="6ED43ACB" w:rsidR="00CD60E8" w:rsidRDefault="00307C7D"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consecuencia de lo anterior, resulta esencial citar </w:t>
      </w:r>
      <w:r w:rsidRPr="0077277D">
        <w:rPr>
          <w:rFonts w:ascii="Palatino Linotype" w:hAnsi="Palatino Linotype"/>
          <w:color w:val="000000" w:themeColor="text1"/>
          <w:lang w:val="es-ES_tradnl"/>
        </w:rPr>
        <w:t xml:space="preserve">el Criterio </w:t>
      </w:r>
      <w:r w:rsidRPr="0077277D">
        <w:rPr>
          <w:rFonts w:ascii="Palatino Linotype" w:hAnsi="Palatino Linotype"/>
          <w:bCs/>
          <w:color w:val="000000" w:themeColor="text1"/>
        </w:rPr>
        <w:t>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w:t>
      </w:r>
      <w:r>
        <w:rPr>
          <w:rFonts w:ascii="Palatino Linotype" w:hAnsi="Palatino Linotype"/>
          <w:bCs/>
          <w:color w:val="000000" w:themeColor="text1"/>
        </w:rPr>
        <w:t xml:space="preserve"> (19)</w:t>
      </w:r>
      <w:r w:rsidRPr="0077277D">
        <w:rPr>
          <w:rFonts w:ascii="Palatino Linotype" w:hAnsi="Palatino Linotype"/>
          <w:bCs/>
          <w:color w:val="000000" w:themeColor="text1"/>
        </w:rPr>
        <w:t xml:space="preserve"> de octubre de dos mil once, </w:t>
      </w:r>
      <w:r w:rsidRPr="0077277D">
        <w:rPr>
          <w:rFonts w:ascii="Palatino Linotype" w:hAnsi="Palatino Linotype"/>
          <w:color w:val="000000" w:themeColor="text1"/>
          <w:lang w:val="es-ES_tradnl"/>
        </w:rPr>
        <w:t>cuyo ru</w:t>
      </w:r>
      <w:r>
        <w:rPr>
          <w:rFonts w:ascii="Palatino Linotype" w:hAnsi="Palatino Linotype"/>
          <w:color w:val="000000" w:themeColor="text1"/>
          <w:lang w:val="es-ES_tradnl"/>
        </w:rPr>
        <w:t>b</w:t>
      </w:r>
      <w:r w:rsidRPr="0077277D">
        <w:rPr>
          <w:rFonts w:ascii="Palatino Linotype" w:hAnsi="Palatino Linotype"/>
          <w:color w:val="000000" w:themeColor="text1"/>
          <w:lang w:val="es-ES_tradnl"/>
        </w:rPr>
        <w:t>ro y texto dispone:</w:t>
      </w:r>
    </w:p>
    <w:p w14:paraId="27B0ED32" w14:textId="77777777" w:rsidR="00307C7D" w:rsidRPr="00CF20E6" w:rsidRDefault="00307C7D" w:rsidP="00307C7D">
      <w:pPr>
        <w:autoSpaceDE w:val="0"/>
        <w:autoSpaceDN w:val="0"/>
        <w:adjustRightInd w:val="0"/>
        <w:spacing w:line="276" w:lineRule="auto"/>
        <w:ind w:left="567" w:right="567"/>
        <w:jc w:val="both"/>
        <w:rPr>
          <w:rFonts w:ascii="Palatino Linotype" w:hAnsi="Palatino Linotype" w:cs="Arial"/>
          <w:i/>
          <w:sz w:val="22"/>
          <w:szCs w:val="22"/>
          <w:lang w:eastAsia="es-MX"/>
        </w:rPr>
      </w:pPr>
      <w:r w:rsidRPr="00CF20E6">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CF20E6">
        <w:rPr>
          <w:rFonts w:ascii="Palatino Linotype" w:hAnsi="Palatino Linotype" w:cs="Arial"/>
          <w:b/>
          <w:bCs/>
          <w:i/>
          <w:sz w:val="22"/>
          <w:szCs w:val="22"/>
          <w:lang w:eastAsia="es-MX"/>
        </w:rPr>
        <w:t xml:space="preserve">V, XV, Y XVI, </w:t>
      </w:r>
      <w:r w:rsidRPr="00CF20E6">
        <w:rPr>
          <w:rFonts w:ascii="Palatino Linotype" w:hAnsi="Palatino Linotype" w:cs="Arial"/>
          <w:b/>
          <w:i/>
          <w:sz w:val="22"/>
          <w:szCs w:val="22"/>
          <w:lang w:eastAsia="es-MX"/>
        </w:rPr>
        <w:t>3, 4,11 Y 41.</w:t>
      </w:r>
      <w:r w:rsidRPr="00CF20E6">
        <w:rPr>
          <w:rFonts w:ascii="Palatino Linotype" w:hAnsi="Palatino Linotype" w:cs="Arial"/>
          <w:i/>
          <w:sz w:val="22"/>
          <w:szCs w:val="22"/>
          <w:lang w:eastAsia="es-MX"/>
        </w:rPr>
        <w:t xml:space="preserve"> </w:t>
      </w:r>
      <w:r>
        <w:rPr>
          <w:rFonts w:ascii="Palatino Linotype" w:hAnsi="Palatino Linotype" w:cs="Arial"/>
          <w:i/>
          <w:sz w:val="22"/>
          <w:szCs w:val="22"/>
          <w:lang w:eastAsia="es-MX"/>
        </w:rPr>
        <w:t>“</w:t>
      </w:r>
      <w:r w:rsidRPr="00CF20E6">
        <w:rPr>
          <w:rFonts w:ascii="Palatino Linotype" w:hAnsi="Palatino Linotype" w:cs="Arial"/>
          <w:i/>
          <w:sz w:val="22"/>
          <w:szCs w:val="22"/>
          <w:lang w:eastAsia="es-MX"/>
        </w:rPr>
        <w:t xml:space="preserve">De conformidad con los artículos antes referidos, </w:t>
      </w:r>
      <w:r w:rsidRPr="00307C7D">
        <w:rPr>
          <w:rFonts w:ascii="Palatino Linotype" w:hAnsi="Palatino Linotype" w:cs="Arial"/>
          <w:b/>
          <w:i/>
          <w:sz w:val="22"/>
          <w:szCs w:val="22"/>
          <w:lang w:eastAsia="es-MX"/>
        </w:rPr>
        <w:t xml:space="preserve">el derecho de acceso a la información pública, se define en cuanto a su alcance y resultado material, el acceso a los archivos, registros y documentos públicos, administrados, generados o en posesión de los órganos u organismos </w:t>
      </w:r>
      <w:r w:rsidRPr="00307C7D">
        <w:rPr>
          <w:rFonts w:ascii="Palatino Linotype" w:hAnsi="Palatino Linotype" w:cs="Arial"/>
          <w:b/>
          <w:i/>
          <w:sz w:val="22"/>
          <w:szCs w:val="22"/>
          <w:lang w:eastAsia="es-MX"/>
        </w:rPr>
        <w:lastRenderedPageBreak/>
        <w:t xml:space="preserve">públicos, en virtud del ejercicio de sus funciones de derecho público, </w:t>
      </w:r>
      <w:r w:rsidRPr="00307C7D">
        <w:rPr>
          <w:rFonts w:ascii="Palatino Linotype" w:hAnsi="Palatino Linotype" w:cs="Arial"/>
          <w:b/>
          <w:i/>
          <w:sz w:val="22"/>
          <w:szCs w:val="22"/>
          <w:u w:val="single"/>
          <w:lang w:eastAsia="es-MX"/>
        </w:rPr>
        <w:t>sin importar su fuente</w:t>
      </w:r>
      <w:r w:rsidRPr="00CF20E6">
        <w:rPr>
          <w:rFonts w:ascii="Palatino Linotype" w:hAnsi="Palatino Linotype" w:cs="Arial"/>
          <w:i/>
          <w:sz w:val="22"/>
          <w:szCs w:val="22"/>
          <w:lang w:eastAsia="es-MX"/>
        </w:rPr>
        <w:t>, soporte o fecha de elaboración.</w:t>
      </w:r>
    </w:p>
    <w:p w14:paraId="49886D2E" w14:textId="77777777" w:rsidR="00307C7D" w:rsidRPr="00CF20E6" w:rsidRDefault="00307C7D" w:rsidP="00307C7D">
      <w:pPr>
        <w:autoSpaceDE w:val="0"/>
        <w:autoSpaceDN w:val="0"/>
        <w:adjustRightInd w:val="0"/>
        <w:spacing w:line="276" w:lineRule="auto"/>
        <w:ind w:left="567" w:right="567"/>
        <w:jc w:val="both"/>
        <w:rPr>
          <w:rFonts w:ascii="Palatino Linotype" w:hAnsi="Palatino Linotype" w:cs="Arial"/>
          <w:i/>
          <w:sz w:val="22"/>
          <w:szCs w:val="22"/>
          <w:lang w:eastAsia="es-MX"/>
        </w:rPr>
      </w:pPr>
      <w:r w:rsidRPr="00CF20E6">
        <w:rPr>
          <w:rFonts w:ascii="Palatino Linotype" w:hAnsi="Palatino Linotype" w:cs="Arial"/>
          <w:i/>
          <w:sz w:val="22"/>
          <w:szCs w:val="22"/>
          <w:lang w:eastAsia="es-MX"/>
        </w:rPr>
        <w:t>En consecuencia el acceso a la información se refiere a que se cumplan cualquiera de los siguientes tres supuestos:</w:t>
      </w:r>
    </w:p>
    <w:p w14:paraId="11D16BA2" w14:textId="77777777" w:rsidR="00307C7D" w:rsidRPr="00CF20E6" w:rsidRDefault="00307C7D" w:rsidP="00307C7D">
      <w:pPr>
        <w:autoSpaceDE w:val="0"/>
        <w:autoSpaceDN w:val="0"/>
        <w:adjustRightInd w:val="0"/>
        <w:spacing w:line="276" w:lineRule="auto"/>
        <w:ind w:left="567" w:right="567"/>
        <w:jc w:val="both"/>
        <w:rPr>
          <w:rFonts w:ascii="Palatino Linotype" w:hAnsi="Palatino Linotype" w:cs="Arial"/>
          <w:i/>
          <w:sz w:val="22"/>
          <w:szCs w:val="22"/>
          <w:lang w:eastAsia="es-MX"/>
        </w:rPr>
      </w:pPr>
      <w:r w:rsidRPr="00CF20E6">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A1AEB3D" w14:textId="77777777" w:rsidR="00307C7D" w:rsidRDefault="00307C7D" w:rsidP="00307C7D">
      <w:pPr>
        <w:autoSpaceDE w:val="0"/>
        <w:autoSpaceDN w:val="0"/>
        <w:adjustRightInd w:val="0"/>
        <w:spacing w:line="276" w:lineRule="auto"/>
        <w:ind w:left="567" w:right="567"/>
        <w:jc w:val="both"/>
        <w:rPr>
          <w:rFonts w:ascii="Palatino Linotype" w:hAnsi="Palatino Linotype" w:cs="Arial"/>
          <w:i/>
          <w:sz w:val="22"/>
          <w:szCs w:val="22"/>
          <w:lang w:eastAsia="es-MX"/>
        </w:rPr>
      </w:pPr>
      <w:r w:rsidRPr="00CF20E6">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65BF3E47" w14:textId="77777777" w:rsidR="00307C7D" w:rsidRDefault="00307C7D" w:rsidP="00307C7D">
      <w:pPr>
        <w:autoSpaceDE w:val="0"/>
        <w:autoSpaceDN w:val="0"/>
        <w:adjustRightInd w:val="0"/>
        <w:spacing w:line="276" w:lineRule="auto"/>
        <w:ind w:left="567" w:right="567"/>
        <w:jc w:val="both"/>
        <w:rPr>
          <w:rFonts w:ascii="Palatino Linotype" w:hAnsi="Palatino Linotype" w:cs="Arial"/>
          <w:sz w:val="22"/>
          <w:szCs w:val="22"/>
          <w:lang w:eastAsia="es-MX"/>
        </w:rPr>
      </w:pPr>
      <w:r w:rsidRPr="00CF20E6">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74C50FB1" w14:textId="48505041" w:rsidR="00307C7D" w:rsidRPr="00307C7D" w:rsidRDefault="00307C7D" w:rsidP="00307C7D">
      <w:pPr>
        <w:autoSpaceDE w:val="0"/>
        <w:autoSpaceDN w:val="0"/>
        <w:adjustRightInd w:val="0"/>
        <w:spacing w:line="276" w:lineRule="auto"/>
        <w:ind w:left="567" w:right="567"/>
        <w:jc w:val="both"/>
        <w:rPr>
          <w:rFonts w:ascii="Palatino Linotype" w:hAnsi="Palatino Linotype" w:cs="Arial"/>
        </w:rPr>
      </w:pPr>
      <w:r>
        <w:rPr>
          <w:rFonts w:ascii="Palatino Linotype" w:hAnsi="Palatino Linotype" w:cs="Arial"/>
          <w:sz w:val="22"/>
          <w:szCs w:val="22"/>
          <w:lang w:eastAsia="es-MX"/>
        </w:rPr>
        <w:t>(Énfasis añadido)</w:t>
      </w:r>
    </w:p>
    <w:p w14:paraId="61952976" w14:textId="77777777" w:rsidR="00307C7D" w:rsidRDefault="00307C7D" w:rsidP="00CD60E8">
      <w:pPr>
        <w:pStyle w:val="Prrafodelista"/>
        <w:tabs>
          <w:tab w:val="left" w:pos="426"/>
        </w:tabs>
        <w:spacing w:before="240" w:after="240" w:line="360" w:lineRule="auto"/>
        <w:ind w:left="0" w:right="51"/>
        <w:jc w:val="both"/>
        <w:rPr>
          <w:rFonts w:ascii="Palatino Linotype" w:hAnsi="Palatino Linotype"/>
          <w:color w:val="000000" w:themeColor="text1"/>
        </w:rPr>
      </w:pPr>
    </w:p>
    <w:p w14:paraId="5BCB2B2E" w14:textId="0EA7D5B5" w:rsidR="00CD60E8" w:rsidRDefault="00307C7D"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CF20E6">
        <w:rPr>
          <w:rFonts w:ascii="Palatino Linotype" w:hAnsi="Palatino Linotype"/>
          <w:lang w:val="es-ES"/>
        </w:rPr>
        <w:t>derecho de acceso a la información encuentra su materia elemental en los documentos, y la Ley de Transparencia local nos brinda el siguiente concepto</w:t>
      </w:r>
      <w:r>
        <w:rPr>
          <w:rStyle w:val="Refdenotaalpie"/>
          <w:rFonts w:ascii="Palatino Linotype" w:hAnsi="Palatino Linotype"/>
          <w:lang w:val="es-ES"/>
        </w:rPr>
        <w:footnoteReference w:id="24"/>
      </w:r>
      <w:r w:rsidRPr="00CF20E6">
        <w:rPr>
          <w:rFonts w:ascii="Palatino Linotype" w:hAnsi="Palatino Linotype"/>
          <w:lang w:val="es-ES"/>
        </w:rPr>
        <w:t>, para darnos un mejor panorama:</w:t>
      </w:r>
    </w:p>
    <w:p w14:paraId="64C21655" w14:textId="77777777" w:rsidR="00307C7D" w:rsidRDefault="00307C7D" w:rsidP="00307C7D">
      <w:pPr>
        <w:autoSpaceDE w:val="0"/>
        <w:autoSpaceDN w:val="0"/>
        <w:adjustRightInd w:val="0"/>
        <w:spacing w:line="276" w:lineRule="auto"/>
        <w:ind w:left="567" w:right="567"/>
        <w:jc w:val="both"/>
        <w:rPr>
          <w:rFonts w:ascii="Palatino Linotype" w:eastAsiaTheme="minorHAnsi" w:hAnsi="Palatino Linotype" w:cs="Bookman Old Style"/>
          <w:sz w:val="22"/>
          <w:szCs w:val="20"/>
          <w:lang w:eastAsia="en-US"/>
        </w:rPr>
      </w:pPr>
      <w:r>
        <w:rPr>
          <w:rFonts w:ascii="Palatino Linotype" w:eastAsiaTheme="minorHAnsi" w:hAnsi="Palatino Linotype" w:cs="Bookman Old Style,Bold"/>
          <w:b/>
          <w:bCs/>
          <w:i/>
          <w:sz w:val="22"/>
          <w:szCs w:val="20"/>
          <w:lang w:eastAsia="en-US"/>
        </w:rPr>
        <w:t>“</w:t>
      </w:r>
      <w:r w:rsidRPr="00CF20E6">
        <w:rPr>
          <w:rFonts w:ascii="Palatino Linotype" w:eastAsiaTheme="minorHAnsi" w:hAnsi="Palatino Linotype" w:cs="Bookman Old Style,Bold"/>
          <w:b/>
          <w:bCs/>
          <w:i/>
          <w:sz w:val="22"/>
          <w:szCs w:val="20"/>
          <w:lang w:eastAsia="en-US"/>
        </w:rPr>
        <w:t xml:space="preserve">XI. Documento: </w:t>
      </w:r>
      <w:r w:rsidRPr="005955A0">
        <w:rPr>
          <w:rFonts w:ascii="Palatino Linotype" w:eastAsiaTheme="minorHAnsi" w:hAnsi="Palatino Linotype" w:cs="Bookman Old Style"/>
          <w:b/>
          <w:i/>
          <w:sz w:val="22"/>
          <w:szCs w:val="20"/>
          <w:lang w:eastAsia="en-US"/>
        </w:rPr>
        <w:t>Los expedientes</w:t>
      </w:r>
      <w:r w:rsidRPr="00CF20E6">
        <w:rPr>
          <w:rFonts w:ascii="Palatino Linotype" w:eastAsiaTheme="minorHAnsi" w:hAnsi="Palatino Linotype" w:cs="Bookman Old Style"/>
          <w:i/>
          <w:sz w:val="22"/>
          <w:szCs w:val="20"/>
          <w:lang w:eastAsia="en-US"/>
        </w:rPr>
        <w:t xml:space="preserve">, reportes, </w:t>
      </w:r>
      <w:r w:rsidRPr="005955A0">
        <w:rPr>
          <w:rFonts w:ascii="Palatino Linotype" w:eastAsiaTheme="minorHAnsi" w:hAnsi="Palatino Linotype" w:cs="Bookman Old Style"/>
          <w:b/>
          <w:bCs/>
          <w:i/>
          <w:sz w:val="22"/>
          <w:szCs w:val="20"/>
          <w:lang w:eastAsia="en-US"/>
        </w:rPr>
        <w:t>estudios</w:t>
      </w:r>
      <w:r w:rsidRPr="00CF20E6">
        <w:rPr>
          <w:rFonts w:ascii="Palatino Linotype" w:eastAsiaTheme="minorHAnsi" w:hAnsi="Palatino Linotype" w:cs="Bookman Old Style"/>
          <w:i/>
          <w:sz w:val="22"/>
          <w:szCs w:val="20"/>
          <w:lang w:eastAsia="en-US"/>
        </w:rPr>
        <w:t xml:space="preserve">, actas, resoluciones, oficios, correspondencia, acuerdos, directivas, directrices, circulares, </w:t>
      </w:r>
      <w:r w:rsidRPr="005955A0">
        <w:rPr>
          <w:rFonts w:ascii="Palatino Linotype" w:eastAsiaTheme="minorHAnsi" w:hAnsi="Palatino Linotype" w:cs="Bookman Old Style"/>
          <w:bCs/>
          <w:i/>
          <w:sz w:val="22"/>
          <w:szCs w:val="20"/>
          <w:lang w:eastAsia="en-US"/>
        </w:rPr>
        <w:t>contratos, convenios</w:t>
      </w:r>
      <w:r w:rsidRPr="00CF20E6">
        <w:rPr>
          <w:rFonts w:ascii="Palatino Linotype" w:eastAsiaTheme="minorHAnsi" w:hAnsi="Palatino Linotype" w:cs="Bookman Old Style"/>
          <w:i/>
          <w:sz w:val="22"/>
          <w:szCs w:val="20"/>
          <w:lang w:eastAsia="en-US"/>
        </w:rPr>
        <w:t xml:space="preserve">, instructivos, notas, memorandos, estadísticas o bien, </w:t>
      </w:r>
      <w:r w:rsidRPr="00CF20E6">
        <w:rPr>
          <w:rFonts w:ascii="Palatino Linotype" w:eastAsiaTheme="minorHAnsi" w:hAnsi="Palatino Linotype" w:cs="Bookman Old Style"/>
          <w:b/>
          <w:i/>
          <w:sz w:val="22"/>
          <w:szCs w:val="20"/>
          <w:lang w:eastAsia="en-US"/>
        </w:rPr>
        <w:t xml:space="preserve">cualquier </w:t>
      </w:r>
      <w:r w:rsidRPr="005E76A0">
        <w:rPr>
          <w:rFonts w:ascii="Palatino Linotype" w:eastAsiaTheme="minorHAnsi" w:hAnsi="Palatino Linotype" w:cs="Bookman Old Style"/>
          <w:i/>
          <w:sz w:val="22"/>
          <w:szCs w:val="20"/>
          <w:lang w:eastAsia="en-US"/>
        </w:rPr>
        <w:t>otro</w:t>
      </w:r>
      <w:r w:rsidRPr="00CF20E6">
        <w:rPr>
          <w:rFonts w:ascii="Palatino Linotype" w:eastAsiaTheme="minorHAnsi" w:hAnsi="Palatino Linotype" w:cs="Bookman Old Style"/>
          <w:b/>
          <w:i/>
          <w:sz w:val="22"/>
          <w:szCs w:val="20"/>
          <w:lang w:eastAsia="en-US"/>
        </w:rPr>
        <w:t xml:space="preserve"> </w:t>
      </w:r>
      <w:r w:rsidRPr="005E76A0">
        <w:rPr>
          <w:rFonts w:ascii="Palatino Linotype" w:eastAsiaTheme="minorHAnsi" w:hAnsi="Palatino Linotype" w:cs="Bookman Old Style"/>
          <w:b/>
          <w:i/>
          <w:sz w:val="22"/>
          <w:szCs w:val="20"/>
          <w:lang w:eastAsia="en-US"/>
        </w:rPr>
        <w:t>registro que documente el ejercicio de las facultades, funciones y competencias de los sujetos obligados</w:t>
      </w:r>
      <w:r w:rsidRPr="00CF20E6">
        <w:rPr>
          <w:rFonts w:ascii="Palatino Linotype" w:eastAsiaTheme="minorHAnsi" w:hAnsi="Palatino Linotype" w:cs="Bookman Old Style"/>
          <w:i/>
          <w:sz w:val="22"/>
          <w:szCs w:val="20"/>
          <w:lang w:eastAsia="en-US"/>
        </w:rPr>
        <w:t xml:space="preserve">, sus servidores públicos e integrantes, </w:t>
      </w:r>
      <w:r w:rsidRPr="005955A0">
        <w:rPr>
          <w:rFonts w:ascii="Palatino Linotype" w:eastAsiaTheme="minorHAnsi" w:hAnsi="Palatino Linotype" w:cs="Bookman Old Style"/>
          <w:b/>
          <w:bCs/>
          <w:i/>
          <w:sz w:val="22"/>
          <w:szCs w:val="20"/>
          <w:lang w:eastAsia="en-US"/>
        </w:rPr>
        <w:t>sin importar su fuente</w:t>
      </w:r>
      <w:r w:rsidRPr="00CF20E6">
        <w:rPr>
          <w:rFonts w:ascii="Palatino Linotype" w:eastAsiaTheme="minorHAnsi" w:hAnsi="Palatino Linotype" w:cs="Bookman Old Style"/>
          <w:i/>
          <w:sz w:val="22"/>
          <w:szCs w:val="20"/>
          <w:lang w:eastAsia="en-US"/>
        </w:rPr>
        <w:t xml:space="preserve"> o fecha de elaboración. Los documentos podrán estar en cualquier medio, sea escrito, impreso,  sonoro, visual, electrónico, informático u holográfico;</w:t>
      </w:r>
      <w:r>
        <w:rPr>
          <w:rFonts w:ascii="Palatino Linotype" w:eastAsiaTheme="minorHAnsi" w:hAnsi="Palatino Linotype" w:cs="Bookman Old Style"/>
          <w:i/>
          <w:sz w:val="22"/>
          <w:szCs w:val="20"/>
          <w:lang w:eastAsia="en-US"/>
        </w:rPr>
        <w:t>”</w:t>
      </w:r>
    </w:p>
    <w:p w14:paraId="04DF9519" w14:textId="77777777" w:rsidR="00307C7D" w:rsidRPr="005E76A0" w:rsidRDefault="00307C7D" w:rsidP="00307C7D">
      <w:pPr>
        <w:autoSpaceDE w:val="0"/>
        <w:autoSpaceDN w:val="0"/>
        <w:adjustRightInd w:val="0"/>
        <w:spacing w:line="276" w:lineRule="auto"/>
        <w:ind w:left="567" w:right="567"/>
        <w:jc w:val="both"/>
        <w:rPr>
          <w:rFonts w:ascii="Palatino Linotype" w:hAnsi="Palatino Linotype"/>
          <w:sz w:val="28"/>
          <w:lang w:val="es-ES"/>
        </w:rPr>
      </w:pPr>
      <w:r>
        <w:rPr>
          <w:rFonts w:ascii="Palatino Linotype" w:eastAsiaTheme="minorHAnsi" w:hAnsi="Palatino Linotype" w:cs="Bookman Old Style"/>
          <w:sz w:val="22"/>
          <w:szCs w:val="20"/>
          <w:lang w:eastAsia="en-US"/>
        </w:rPr>
        <w:t>(Énfasis añadido)</w:t>
      </w:r>
    </w:p>
    <w:p w14:paraId="5573B323" w14:textId="32BEAF27" w:rsidR="00307C7D" w:rsidRDefault="00FC3E83" w:rsidP="00CD60E8">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58522815" wp14:editId="1E14631C">
                <wp:simplePos x="0" y="0"/>
                <wp:positionH relativeFrom="margin">
                  <wp:align>right</wp:align>
                </wp:positionH>
                <wp:positionV relativeFrom="paragraph">
                  <wp:posOffset>195592</wp:posOffset>
                </wp:positionV>
                <wp:extent cx="5517311" cy="1233314"/>
                <wp:effectExtent l="38100" t="38100" r="64770" b="81280"/>
                <wp:wrapNone/>
                <wp:docPr id="1" name="Conector recto 1"/>
                <wp:cNvGraphicFramePr/>
                <a:graphic xmlns:a="http://schemas.openxmlformats.org/drawingml/2006/main">
                  <a:graphicData uri="http://schemas.microsoft.com/office/word/2010/wordprocessingShape">
                    <wps:wsp>
                      <wps:cNvCnPr/>
                      <wps:spPr>
                        <a:xfrm flipV="1">
                          <a:off x="0" y="0"/>
                          <a:ext cx="5517311" cy="1233314"/>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1B90A" id="Conector recto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25pt,15.4pt" to="817.7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" strokecolor="black [3200]" strokeweight="1pt">
                <v:shadow on="t" color="black" opacity="24903f" origin=",.5" offset="0,.55556mm"/>
                <w10:wrap anchorx="margin"/>
              </v:line>
            </w:pict>
          </mc:Fallback>
        </mc:AlternateContent>
      </w:r>
    </w:p>
    <w:p w14:paraId="0E555FE0" w14:textId="0DC6D952" w:rsidR="00CD60E8" w:rsidRDefault="00307C7D"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Correlativo a lo anterior, </w:t>
      </w:r>
      <w:r w:rsidRPr="00CF20E6">
        <w:rPr>
          <w:rFonts w:ascii="Palatino Linotype" w:eastAsia="Times New Roman" w:hAnsi="Palatino Linotype" w:cs="Arial"/>
          <w:color w:val="000000"/>
        </w:rPr>
        <w:t>debemos tomar en cuenta los artículos 4 y 12, de la Ley de Transparencia y Acceso a la Información Pública del Estado de México y Municipios, los cuales establecen lo siguiente:</w:t>
      </w:r>
    </w:p>
    <w:p w14:paraId="7B0F23E4" w14:textId="77777777" w:rsidR="00307C7D" w:rsidRPr="00CF20E6" w:rsidRDefault="00307C7D" w:rsidP="00307C7D">
      <w:pPr>
        <w:autoSpaceDE w:val="0"/>
        <w:autoSpaceDN w:val="0"/>
        <w:adjustRightInd w:val="0"/>
        <w:spacing w:line="276" w:lineRule="auto"/>
        <w:ind w:left="567" w:right="567"/>
        <w:jc w:val="both"/>
        <w:rPr>
          <w:rFonts w:ascii="Palatino Linotype" w:hAnsi="Palatino Linotype" w:cs="Bookman Old Style"/>
          <w:i/>
          <w:sz w:val="22"/>
          <w:szCs w:val="20"/>
        </w:rPr>
      </w:pPr>
      <w:r>
        <w:rPr>
          <w:rFonts w:ascii="Palatino Linotype" w:hAnsi="Palatino Linotype" w:cs="Bookman Old Style,Bold"/>
          <w:b/>
          <w:bCs/>
          <w:i/>
          <w:sz w:val="22"/>
          <w:szCs w:val="20"/>
        </w:rPr>
        <w:t>“</w:t>
      </w:r>
      <w:r w:rsidRPr="00CF20E6">
        <w:rPr>
          <w:rFonts w:ascii="Palatino Linotype" w:hAnsi="Palatino Linotype" w:cs="Bookman Old Style,Bold"/>
          <w:b/>
          <w:bCs/>
          <w:i/>
          <w:sz w:val="22"/>
          <w:szCs w:val="20"/>
        </w:rPr>
        <w:t xml:space="preserve">Artículo 4. </w:t>
      </w:r>
      <w:r w:rsidRPr="00CF20E6">
        <w:rPr>
          <w:rFonts w:ascii="Palatino Linotype" w:hAnsi="Palatino Linotype" w:cs="Bookman Old Style"/>
          <w:i/>
          <w:sz w:val="22"/>
          <w:szCs w:val="20"/>
        </w:rPr>
        <w:t>El derecho humano de acceso a la información pública es la prerrogativa de las personas para buscar, difundir, investigar, recabar, recibir y solicitar información pública, sin necesidad de acreditar personalidad ni interés jurídico.</w:t>
      </w:r>
    </w:p>
    <w:p w14:paraId="0EE0DD77" w14:textId="77777777" w:rsidR="00307C7D" w:rsidRPr="00CF20E6" w:rsidRDefault="00307C7D" w:rsidP="00307C7D">
      <w:pPr>
        <w:autoSpaceDE w:val="0"/>
        <w:autoSpaceDN w:val="0"/>
        <w:adjustRightInd w:val="0"/>
        <w:spacing w:line="276" w:lineRule="auto"/>
        <w:ind w:left="567" w:right="567"/>
        <w:jc w:val="both"/>
        <w:rPr>
          <w:rFonts w:ascii="Palatino Linotype" w:hAnsi="Palatino Linotype" w:cs="Bookman Old Style"/>
          <w:i/>
          <w:sz w:val="22"/>
          <w:szCs w:val="20"/>
        </w:rPr>
      </w:pPr>
      <w:r w:rsidRPr="008C6A24">
        <w:rPr>
          <w:rFonts w:ascii="Palatino Linotype" w:hAnsi="Palatino Linotype" w:cs="Bookman Old Style"/>
          <w:b/>
          <w:bCs/>
          <w:i/>
          <w:sz w:val="22"/>
          <w:szCs w:val="20"/>
        </w:rPr>
        <w:t>Toda la información generada, obtenida, adquirida, transformada, administrada o en posesión de los sujetos obligados es pública y accesible de manera permanente a cualquier persona</w:t>
      </w:r>
      <w:r w:rsidRPr="00CF20E6">
        <w:rPr>
          <w:rFonts w:ascii="Palatino Linotype" w:hAnsi="Palatino Linotype" w:cs="Bookman Old Style"/>
          <w:i/>
          <w:sz w:val="22"/>
          <w:szCs w:val="20"/>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9CC69D" w14:textId="77777777" w:rsidR="00307C7D" w:rsidRPr="008C6A24" w:rsidRDefault="00307C7D" w:rsidP="00307C7D">
      <w:pPr>
        <w:autoSpaceDE w:val="0"/>
        <w:autoSpaceDN w:val="0"/>
        <w:adjustRightInd w:val="0"/>
        <w:spacing w:line="276" w:lineRule="auto"/>
        <w:ind w:left="567" w:right="567"/>
        <w:jc w:val="both"/>
        <w:rPr>
          <w:rFonts w:ascii="Palatino Linotype" w:hAnsi="Palatino Linotype" w:cs="Bookman Old Style"/>
          <w:b/>
          <w:bCs/>
          <w:i/>
          <w:sz w:val="22"/>
          <w:szCs w:val="20"/>
        </w:rPr>
      </w:pPr>
      <w:r w:rsidRPr="008C6A24">
        <w:rPr>
          <w:rFonts w:ascii="Palatino Linotype" w:hAnsi="Palatino Linotype" w:cs="Bookman Old Style"/>
          <w:b/>
          <w:bCs/>
          <w:i/>
          <w:sz w:val="22"/>
          <w:szCs w:val="20"/>
        </w:rPr>
        <w:t>Los sujetos obligados deben poner en práctica, políticas y programas de acceso a la información que se apeguen a criterios de publicidad, veracidad, oportunidad, precisión y suficiencia en beneficio de los solicitantes.</w:t>
      </w:r>
    </w:p>
    <w:p w14:paraId="107C7192" w14:textId="77777777" w:rsidR="00307C7D" w:rsidRPr="00CF20E6" w:rsidRDefault="00307C7D" w:rsidP="00307C7D">
      <w:pPr>
        <w:autoSpaceDE w:val="0"/>
        <w:autoSpaceDN w:val="0"/>
        <w:adjustRightInd w:val="0"/>
        <w:spacing w:line="276" w:lineRule="auto"/>
        <w:ind w:right="567"/>
        <w:jc w:val="both"/>
        <w:rPr>
          <w:rFonts w:ascii="Palatino Linotype" w:eastAsia="Times New Roman" w:hAnsi="Palatino Linotype" w:cs="Arial"/>
          <w:i/>
          <w:color w:val="000000"/>
          <w:sz w:val="28"/>
        </w:rPr>
      </w:pPr>
    </w:p>
    <w:p w14:paraId="111D9D2C" w14:textId="77777777" w:rsidR="00307C7D" w:rsidRPr="00CF20E6" w:rsidRDefault="00307C7D" w:rsidP="00307C7D">
      <w:pPr>
        <w:autoSpaceDE w:val="0"/>
        <w:autoSpaceDN w:val="0"/>
        <w:adjustRightInd w:val="0"/>
        <w:spacing w:line="276" w:lineRule="auto"/>
        <w:ind w:left="567" w:right="567"/>
        <w:jc w:val="both"/>
        <w:rPr>
          <w:rFonts w:ascii="Palatino Linotype" w:hAnsi="Palatino Linotype" w:cs="Bookman Old Style"/>
          <w:i/>
          <w:sz w:val="22"/>
          <w:szCs w:val="20"/>
        </w:rPr>
      </w:pPr>
      <w:r w:rsidRPr="00CF20E6">
        <w:rPr>
          <w:rFonts w:ascii="Palatino Linotype" w:hAnsi="Palatino Linotype" w:cs="Bookman Old Style,Bold"/>
          <w:b/>
          <w:bCs/>
          <w:i/>
          <w:sz w:val="22"/>
          <w:szCs w:val="20"/>
        </w:rPr>
        <w:t xml:space="preserve">Artículo 12. </w:t>
      </w:r>
      <w:r w:rsidRPr="008C6A24">
        <w:rPr>
          <w:rFonts w:ascii="Palatino Linotype" w:hAnsi="Palatino Linotype" w:cs="Bookman Old Style"/>
          <w:b/>
          <w:bCs/>
          <w:i/>
          <w:sz w:val="22"/>
          <w:szCs w:val="20"/>
        </w:rPr>
        <w:t>Quienes generen, recopilen, administren, manejen, procesen, archiven o conserven información pública serán responsables de la misma en los términos de las disposiciones jurídicas aplicables</w:t>
      </w:r>
      <w:r w:rsidRPr="00CF20E6">
        <w:rPr>
          <w:rFonts w:ascii="Palatino Linotype" w:hAnsi="Palatino Linotype" w:cs="Bookman Old Style"/>
          <w:i/>
          <w:sz w:val="22"/>
          <w:szCs w:val="20"/>
        </w:rPr>
        <w:t xml:space="preserve">. </w:t>
      </w:r>
    </w:p>
    <w:p w14:paraId="38235E20" w14:textId="77777777" w:rsidR="00307C7D" w:rsidRDefault="00307C7D" w:rsidP="00307C7D">
      <w:pPr>
        <w:autoSpaceDE w:val="0"/>
        <w:autoSpaceDN w:val="0"/>
        <w:adjustRightInd w:val="0"/>
        <w:spacing w:line="276" w:lineRule="auto"/>
        <w:ind w:left="567" w:right="567"/>
        <w:jc w:val="both"/>
        <w:rPr>
          <w:rFonts w:ascii="Palatino Linotype" w:hAnsi="Palatino Linotype" w:cs="Bookman Old Style"/>
          <w:i/>
          <w:sz w:val="22"/>
          <w:szCs w:val="20"/>
        </w:rPr>
      </w:pPr>
      <w:r w:rsidRPr="00CF20E6">
        <w:rPr>
          <w:rFonts w:ascii="Palatino Linotype" w:hAnsi="Palatino Linotype" w:cs="Bookman Old Style"/>
          <w:i/>
          <w:sz w:val="22"/>
          <w:szCs w:val="20"/>
        </w:rPr>
        <w:t xml:space="preserve">Los sujetos obligados sólo proporcionarán la información pública que se les requiera y que obre en sus archivos y en el estado en que ésta se </w:t>
      </w:r>
      <w:r w:rsidRPr="008C6A24">
        <w:rPr>
          <w:rFonts w:ascii="Palatino Linotype" w:hAnsi="Palatino Linotype" w:cs="Bookman Old Style"/>
          <w:i/>
          <w:sz w:val="22"/>
          <w:szCs w:val="20"/>
        </w:rPr>
        <w:t xml:space="preserve">encuentre. La obligación de proporcionar información no comprende el procesamiento de </w:t>
      </w:r>
      <w:proofErr w:type="gramStart"/>
      <w:r w:rsidRPr="008C6A24">
        <w:rPr>
          <w:rFonts w:ascii="Palatino Linotype" w:hAnsi="Palatino Linotype" w:cs="Bookman Old Style"/>
          <w:i/>
          <w:sz w:val="22"/>
          <w:szCs w:val="20"/>
        </w:rPr>
        <w:t>la misma</w:t>
      </w:r>
      <w:proofErr w:type="gramEnd"/>
      <w:r w:rsidRPr="008C6A24">
        <w:rPr>
          <w:rFonts w:ascii="Palatino Linotype" w:hAnsi="Palatino Linotype" w:cs="Bookman Old Style"/>
          <w:i/>
          <w:sz w:val="22"/>
          <w:szCs w:val="20"/>
        </w:rPr>
        <w:t>, ni el presentarla conforme al interés del solicitante; no estarán obligados a generarla, resumirla, efectuar cálculos o practicar investigaciones.</w:t>
      </w:r>
      <w:r>
        <w:rPr>
          <w:rFonts w:ascii="Palatino Linotype" w:hAnsi="Palatino Linotype" w:cs="Bookman Old Style"/>
          <w:i/>
          <w:sz w:val="22"/>
          <w:szCs w:val="20"/>
        </w:rPr>
        <w:t>”</w:t>
      </w:r>
    </w:p>
    <w:p w14:paraId="3FDED3DB" w14:textId="77777777" w:rsidR="00307C7D" w:rsidRPr="008C6A24" w:rsidRDefault="00307C7D" w:rsidP="00307C7D">
      <w:pPr>
        <w:autoSpaceDE w:val="0"/>
        <w:autoSpaceDN w:val="0"/>
        <w:adjustRightInd w:val="0"/>
        <w:spacing w:line="276" w:lineRule="auto"/>
        <w:ind w:left="567" w:right="567"/>
        <w:jc w:val="both"/>
        <w:rPr>
          <w:rFonts w:ascii="Palatino Linotype" w:hAnsi="Palatino Linotype" w:cs="Bookman Old Style"/>
          <w:iCs/>
          <w:sz w:val="22"/>
          <w:szCs w:val="20"/>
        </w:rPr>
      </w:pPr>
      <w:r>
        <w:rPr>
          <w:rFonts w:ascii="Palatino Linotype" w:hAnsi="Palatino Linotype" w:cs="Bookman Old Style"/>
          <w:iCs/>
          <w:sz w:val="22"/>
          <w:szCs w:val="20"/>
        </w:rPr>
        <w:t>(Énfasis añadido)</w:t>
      </w:r>
    </w:p>
    <w:p w14:paraId="313073CE" w14:textId="77777777" w:rsidR="00307C7D" w:rsidRDefault="00307C7D" w:rsidP="00CD60E8">
      <w:pPr>
        <w:pStyle w:val="Prrafodelista"/>
        <w:tabs>
          <w:tab w:val="left" w:pos="426"/>
        </w:tabs>
        <w:spacing w:before="240" w:after="240" w:line="360" w:lineRule="auto"/>
        <w:ind w:left="0" w:right="51"/>
        <w:jc w:val="both"/>
        <w:rPr>
          <w:rFonts w:ascii="Palatino Linotype" w:hAnsi="Palatino Linotype"/>
          <w:color w:val="000000" w:themeColor="text1"/>
        </w:rPr>
      </w:pPr>
    </w:p>
    <w:p w14:paraId="4408F07D" w14:textId="77777777" w:rsidR="00307C7D" w:rsidRPr="00B27897" w:rsidRDefault="00307C7D" w:rsidP="00307C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Pr="00CF20E6">
        <w:rPr>
          <w:rFonts w:ascii="Palatino Linotype" w:hAnsi="Palatino Linotype"/>
          <w:lang w:val="es-ES"/>
        </w:rPr>
        <w:t xml:space="preserve">así </w:t>
      </w:r>
      <w:proofErr w:type="gramStart"/>
      <w:r w:rsidRPr="00CF20E6">
        <w:rPr>
          <w:rFonts w:ascii="Palatino Linotype" w:hAnsi="Palatino Linotype"/>
          <w:lang w:val="es-ES"/>
        </w:rPr>
        <w:t>que</w:t>
      </w:r>
      <w:proofErr w:type="gramEnd"/>
      <w:r w:rsidRPr="00CF20E6">
        <w:rPr>
          <w:rFonts w:ascii="Palatino Linotype" w:hAnsi="Palatino Linotype"/>
          <w:lang w:val="es-ES"/>
        </w:rPr>
        <w:t xml:space="preserve"> todos los actos de autoridad que realicen los Sujetos Obligados deben estar documentados y, bajo el más alto estándar de transparencia</w:t>
      </w:r>
      <w:r>
        <w:rPr>
          <w:rFonts w:ascii="Palatino Linotype" w:hAnsi="Palatino Linotype"/>
          <w:lang w:val="es-ES"/>
        </w:rPr>
        <w:t>,</w:t>
      </w:r>
      <w:r w:rsidRPr="00CF20E6">
        <w:rPr>
          <w:rFonts w:ascii="Palatino Linotype" w:hAnsi="Palatino Linotype"/>
          <w:lang w:val="es-ES"/>
        </w:rPr>
        <w:t xml:space="preserve"> deberán poner </w:t>
      </w:r>
      <w:r w:rsidRPr="00CF20E6">
        <w:rPr>
          <w:rFonts w:ascii="Palatino Linotype" w:hAnsi="Palatino Linotype"/>
          <w:lang w:val="es-ES"/>
        </w:rPr>
        <w:lastRenderedPageBreak/>
        <w:t xml:space="preserve">toda la información </w:t>
      </w:r>
      <w:r>
        <w:rPr>
          <w:rFonts w:ascii="Palatino Linotype" w:hAnsi="Palatino Linotype"/>
          <w:lang w:val="es-ES"/>
        </w:rPr>
        <w:t>que se encuentre en su posesión, de manera permanente y actualizada,</w:t>
      </w:r>
      <w:r w:rsidRPr="00CF20E6">
        <w:rPr>
          <w:rFonts w:ascii="Palatino Linotype" w:hAnsi="Palatino Linotype"/>
          <w:lang w:val="es-ES"/>
        </w:rPr>
        <w:t xml:space="preserve"> a disposición de los particulares que la soliciten.</w:t>
      </w:r>
    </w:p>
    <w:p w14:paraId="25FECE8B" w14:textId="77777777" w:rsidR="00307C7D" w:rsidRPr="00B27897" w:rsidRDefault="00307C7D" w:rsidP="00307C7D">
      <w:pPr>
        <w:pStyle w:val="Prrafodelista"/>
        <w:tabs>
          <w:tab w:val="left" w:pos="426"/>
        </w:tabs>
        <w:spacing w:before="240" w:after="240" w:line="360" w:lineRule="auto"/>
        <w:ind w:left="0" w:right="51"/>
        <w:jc w:val="both"/>
        <w:rPr>
          <w:rFonts w:ascii="Palatino Linotype" w:hAnsi="Palatino Linotype"/>
          <w:color w:val="000000" w:themeColor="text1"/>
        </w:rPr>
      </w:pPr>
    </w:p>
    <w:p w14:paraId="3B4669E3" w14:textId="77777777" w:rsidR="00307C7D" w:rsidRPr="00B27897" w:rsidRDefault="00307C7D" w:rsidP="00307C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Por </w:t>
      </w:r>
      <w:r>
        <w:rPr>
          <w:rFonts w:ascii="Palatino Linotype" w:hAnsi="Palatino Linotype"/>
          <w:lang w:val="es-ES"/>
        </w:rPr>
        <w:t xml:space="preserve">otro lado, la Ley de la materia establece que en </w:t>
      </w:r>
      <w:r w:rsidRPr="005E76A0">
        <w:rPr>
          <w:rFonts w:ascii="Palatino Linotype" w:hAnsi="Palatino Linotype"/>
        </w:rPr>
        <w:t>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Pr>
          <w:rStyle w:val="Refdenotaalpie"/>
          <w:rFonts w:ascii="Palatino Linotype" w:hAnsi="Palatino Linotype"/>
        </w:rPr>
        <w:footnoteReference w:id="25"/>
      </w:r>
      <w:r w:rsidRPr="005E76A0">
        <w:rPr>
          <w:rFonts w:ascii="Palatino Linotype" w:hAnsi="Palatino Linotype"/>
        </w:rPr>
        <w:t>.</w:t>
      </w:r>
    </w:p>
    <w:p w14:paraId="1758F692" w14:textId="77777777" w:rsidR="00307C7D" w:rsidRPr="00B27897" w:rsidRDefault="00307C7D" w:rsidP="00307C7D">
      <w:pPr>
        <w:pStyle w:val="Prrafodelista"/>
        <w:tabs>
          <w:tab w:val="left" w:pos="426"/>
        </w:tabs>
        <w:spacing w:before="240" w:after="240" w:line="360" w:lineRule="auto"/>
        <w:ind w:left="0" w:right="51"/>
        <w:jc w:val="both"/>
        <w:rPr>
          <w:rFonts w:ascii="Palatino Linotype" w:hAnsi="Palatino Linotype"/>
          <w:color w:val="000000" w:themeColor="text1"/>
        </w:rPr>
      </w:pPr>
    </w:p>
    <w:p w14:paraId="4AF7EEFE" w14:textId="77777777" w:rsidR="00307C7D" w:rsidRPr="00B27897" w:rsidRDefault="00307C7D" w:rsidP="00307C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En </w:t>
      </w:r>
      <w:r w:rsidRPr="00CF20E6">
        <w:rPr>
          <w:rFonts w:ascii="Palatino Linotype" w:eastAsia="MS Gothic" w:hAnsi="Palatino Linotype" w:cs="Times New Roman"/>
          <w:szCs w:val="26"/>
        </w:rPr>
        <w:t>ese sentido</w:t>
      </w:r>
      <w:r w:rsidRPr="00CF20E6">
        <w:rPr>
          <w:rFonts w:ascii="Palatino Linotype" w:hAnsi="Palatino Linotype"/>
          <w:lang w:val="es-ES"/>
        </w:rPr>
        <w:t>,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F20E6">
        <w:rPr>
          <w:rStyle w:val="Refdenotaalpie"/>
          <w:rFonts w:ascii="Palatino Linotype" w:hAnsi="Palatino Linotype"/>
          <w:lang w:val="es-ES"/>
        </w:rPr>
        <w:footnoteReference w:id="26"/>
      </w:r>
      <w:r w:rsidRPr="00CF20E6">
        <w:rPr>
          <w:rFonts w:ascii="Palatino Linotype" w:hAnsi="Palatino Linotype"/>
          <w:lang w:val="es-ES"/>
        </w:rPr>
        <w:t xml:space="preserve"> y máxima publicidad, sobre éste último se debe poner mayor énfasis, puesto que establece que </w:t>
      </w:r>
      <w:r w:rsidRPr="00701218">
        <w:rPr>
          <w:rFonts w:ascii="Palatino Linotype" w:hAnsi="Palatino Linotype"/>
          <w:b/>
          <w:u w:val="double"/>
          <w:lang w:val="es-ES"/>
        </w:rPr>
        <w:t xml:space="preserve">toda la información en posesión de los Sujetos Obligados </w:t>
      </w:r>
      <w:r w:rsidRPr="005955A0">
        <w:rPr>
          <w:rFonts w:ascii="Palatino Linotype" w:hAnsi="Palatino Linotype"/>
          <w:b/>
          <w:u w:val="double"/>
          <w:lang w:val="es-ES"/>
        </w:rPr>
        <w:t>será pública</w:t>
      </w:r>
      <w:r w:rsidRPr="00CF20E6">
        <w:rPr>
          <w:rFonts w:ascii="Palatino Linotype" w:hAnsi="Palatino Linotype"/>
          <w:lang w:val="es-ES"/>
        </w:rPr>
        <w:t xml:space="preserve">, </w:t>
      </w:r>
      <w:r w:rsidRPr="009B1F7B">
        <w:rPr>
          <w:rFonts w:ascii="Palatino Linotype" w:hAnsi="Palatino Linotype"/>
          <w:bCs/>
          <w:lang w:val="es-ES"/>
        </w:rPr>
        <w:t>completa</w:t>
      </w:r>
      <w:r w:rsidRPr="00CF20E6">
        <w:rPr>
          <w:rFonts w:ascii="Palatino Linotype" w:hAnsi="Palatino Linotype"/>
          <w:lang w:val="es-ES"/>
        </w:rPr>
        <w:t xml:space="preserve">, </w:t>
      </w:r>
      <w:r w:rsidRPr="005955A0">
        <w:rPr>
          <w:rFonts w:ascii="Palatino Linotype" w:hAnsi="Palatino Linotype"/>
          <w:lang w:val="es-ES"/>
        </w:rPr>
        <w:t>oportuna</w:t>
      </w:r>
      <w:r w:rsidRPr="00CF20E6">
        <w:rPr>
          <w:rFonts w:ascii="Palatino Linotype" w:hAnsi="Palatino Linotype"/>
          <w:lang w:val="es-ES"/>
        </w:rPr>
        <w:t xml:space="preserve"> </w:t>
      </w:r>
      <w:r w:rsidRPr="005955A0">
        <w:rPr>
          <w:rFonts w:ascii="Palatino Linotype" w:hAnsi="Palatino Linotype"/>
          <w:b/>
          <w:bCs/>
          <w:u w:val="double"/>
          <w:lang w:val="es-ES"/>
        </w:rPr>
        <w:t>y accesible</w:t>
      </w:r>
      <w:r w:rsidRPr="00CF20E6">
        <w:rPr>
          <w:rFonts w:ascii="Palatino Linotype" w:hAnsi="Palatino Linotype"/>
          <w:lang w:val="es-ES"/>
        </w:rPr>
        <w:t xml:space="preserve">, </w:t>
      </w:r>
      <w:r w:rsidRPr="005E76A0">
        <w:rPr>
          <w:rFonts w:ascii="Palatino Linotype" w:hAnsi="Palatino Linotype"/>
          <w:b/>
          <w:lang w:val="es-ES"/>
        </w:rPr>
        <w:t>lo que permite que la ciudadanía tenga un amplio acceso sobre lo que es el actuar de las autoridades</w:t>
      </w:r>
      <w:r w:rsidRPr="00CF20E6">
        <w:rPr>
          <w:rFonts w:ascii="Palatino Linotype" w:hAnsi="Palatino Linotype"/>
          <w:lang w:val="es-ES"/>
        </w:rPr>
        <w:t>.</w:t>
      </w:r>
    </w:p>
    <w:p w14:paraId="249869B5" w14:textId="77777777" w:rsidR="00307C7D" w:rsidRPr="00B27897" w:rsidRDefault="00307C7D" w:rsidP="00307C7D">
      <w:pPr>
        <w:pStyle w:val="Prrafodelista"/>
        <w:tabs>
          <w:tab w:val="left" w:pos="426"/>
        </w:tabs>
        <w:spacing w:before="240" w:after="240" w:line="360" w:lineRule="auto"/>
        <w:ind w:left="0" w:right="51"/>
        <w:jc w:val="both"/>
        <w:rPr>
          <w:rFonts w:ascii="Palatino Linotype" w:hAnsi="Palatino Linotype"/>
          <w:color w:val="000000" w:themeColor="text1"/>
        </w:rPr>
      </w:pPr>
    </w:p>
    <w:p w14:paraId="707CBBBE" w14:textId="061BF9A8" w:rsidR="00CD60E8" w:rsidRDefault="00307C7D" w:rsidP="00307C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Robustece </w:t>
      </w:r>
      <w:r w:rsidRPr="00CF20E6">
        <w:rPr>
          <w:rFonts w:ascii="Palatino Linotype" w:hAnsi="Palatino Linotype"/>
          <w:lang w:val="es-ES"/>
        </w:rPr>
        <w:t xml:space="preserve">lo anterior la Tesis aislada identificada con la clave I.4º.A.40 A del Cuarto Tribunal colegiado en Materia Administrativa del Primer Circuito, </w:t>
      </w:r>
      <w:r w:rsidRPr="00CF20E6">
        <w:rPr>
          <w:rFonts w:ascii="Palatino Linotype" w:hAnsi="Palatino Linotype"/>
          <w:lang w:val="es-ES"/>
        </w:rPr>
        <w:lastRenderedPageBreak/>
        <w:t>publicada en el Seminario Judicial de la Federación y su Gaceta en el libro XVIII, Marzo 2013, Página 1899</w:t>
      </w:r>
      <w:r>
        <w:rPr>
          <w:rFonts w:ascii="Palatino Linotype" w:hAnsi="Palatino Linotype"/>
          <w:lang w:val="es-ES"/>
        </w:rPr>
        <w:t>:</w:t>
      </w:r>
    </w:p>
    <w:p w14:paraId="4E87BF8B" w14:textId="77777777" w:rsidR="00CD60E8" w:rsidRDefault="00CD60E8" w:rsidP="00CD60E8">
      <w:pPr>
        <w:pStyle w:val="Prrafodelista"/>
        <w:tabs>
          <w:tab w:val="left" w:pos="426"/>
        </w:tabs>
        <w:spacing w:before="240" w:after="240" w:line="360" w:lineRule="auto"/>
        <w:ind w:left="0" w:right="51"/>
        <w:jc w:val="both"/>
        <w:rPr>
          <w:rFonts w:ascii="Palatino Linotype" w:hAnsi="Palatino Linotype"/>
          <w:color w:val="000000" w:themeColor="text1"/>
        </w:rPr>
      </w:pPr>
    </w:p>
    <w:p w14:paraId="6393B727" w14:textId="77777777" w:rsidR="00307C7D" w:rsidRPr="00CF20E6" w:rsidRDefault="00307C7D" w:rsidP="00307C7D">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szCs w:val="26"/>
        </w:rPr>
      </w:pPr>
      <w:r w:rsidRPr="00CF20E6">
        <w:rPr>
          <w:rFonts w:ascii="Palatino Linotype" w:hAnsi="Palatino Linotype"/>
          <w:b/>
          <w:i/>
          <w:sz w:val="22"/>
        </w:rPr>
        <w:t>ACCESO A LA INFORMACIÓN. IMPLICACIÓN DEL PRINCIPIO DE MÁXIMA PUBLICIDAD EN EL DERECHO FUNDAMENTAL RELATIVO.</w:t>
      </w:r>
      <w:r w:rsidRPr="00CF20E6">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1E7F94C9" w14:textId="77777777" w:rsidR="00307C7D" w:rsidRDefault="00307C7D" w:rsidP="00CD60E8">
      <w:pPr>
        <w:pStyle w:val="Prrafodelista"/>
        <w:tabs>
          <w:tab w:val="left" w:pos="426"/>
        </w:tabs>
        <w:spacing w:before="240" w:after="240" w:line="360" w:lineRule="auto"/>
        <w:ind w:left="0" w:right="51"/>
        <w:jc w:val="both"/>
        <w:rPr>
          <w:rFonts w:ascii="Palatino Linotype" w:hAnsi="Palatino Linotype"/>
          <w:color w:val="000000" w:themeColor="text1"/>
        </w:rPr>
      </w:pPr>
    </w:p>
    <w:p w14:paraId="38876CE3" w14:textId="0D27D3A2" w:rsidR="00CD60E8" w:rsidRDefault="00307C7D"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Tal </w:t>
      </w:r>
      <w:r w:rsidRPr="00CF20E6">
        <w:rPr>
          <w:rFonts w:ascii="Palatino Linotype" w:hAnsi="Palatino Linotype"/>
          <w:lang w:val="es-ES"/>
        </w:rPr>
        <w:t xml:space="preserve">y como se ha señalado el derecho de acceso a la información se basa en permitir que la ciudadanía conozca de primera mano </w:t>
      </w:r>
      <w:r w:rsidRPr="00307C7D">
        <w:rPr>
          <w:rFonts w:ascii="Palatino Linotype" w:hAnsi="Palatino Linotype"/>
          <w:b/>
          <w:u w:val="single"/>
          <w:lang w:val="es-ES"/>
        </w:rPr>
        <w:t>toda</w:t>
      </w:r>
      <w:r w:rsidRPr="00307C7D">
        <w:rPr>
          <w:rFonts w:ascii="Palatino Linotype" w:hAnsi="Palatino Linotype"/>
          <w:b/>
          <w:lang w:val="es-ES"/>
        </w:rPr>
        <w:t xml:space="preserve"> aquella información que se encuentra en posesión de los Sujetos Obligados, ya sea porque la genera, posee o administra</w:t>
      </w:r>
      <w:r w:rsidRPr="00CF20E6">
        <w:rPr>
          <w:rFonts w:ascii="Palatino Linotype" w:hAnsi="Palatino Linotype"/>
          <w:lang w:val="es-ES"/>
        </w:rPr>
        <w:t xml:space="preserve">, toda vez que, </w:t>
      </w:r>
      <w:r w:rsidRPr="00307C7D">
        <w:rPr>
          <w:rFonts w:ascii="Palatino Linotype" w:hAnsi="Palatino Linotype"/>
          <w:b/>
          <w:lang w:val="es-ES"/>
        </w:rPr>
        <w:t xml:space="preserve">a través de dicha acción permite que las personas </w:t>
      </w:r>
      <w:r w:rsidRPr="00307C7D">
        <w:rPr>
          <w:rFonts w:ascii="Palatino Linotype" w:hAnsi="Palatino Linotype"/>
          <w:b/>
          <w:lang w:val="es-ES"/>
        </w:rPr>
        <w:lastRenderedPageBreak/>
        <w:t>ejerzan un medio de control sobre las acciones que se están ejerciendo y evaluar su desempeño</w:t>
      </w:r>
      <w:r w:rsidRPr="00CF20E6">
        <w:rPr>
          <w:rFonts w:ascii="Palatino Linotype" w:hAnsi="Palatino Linotype"/>
          <w:lang w:val="es-ES"/>
        </w:rPr>
        <w:t>.</w:t>
      </w:r>
    </w:p>
    <w:p w14:paraId="48CC04E6" w14:textId="77777777" w:rsidR="00CD60E8" w:rsidRDefault="00CD60E8" w:rsidP="00CD60E8">
      <w:pPr>
        <w:pStyle w:val="Prrafodelista"/>
        <w:tabs>
          <w:tab w:val="left" w:pos="426"/>
        </w:tabs>
        <w:spacing w:before="240" w:after="240" w:line="360" w:lineRule="auto"/>
        <w:ind w:left="0" w:right="51"/>
        <w:jc w:val="both"/>
        <w:rPr>
          <w:rFonts w:ascii="Palatino Linotype" w:hAnsi="Palatino Linotype"/>
          <w:color w:val="000000" w:themeColor="text1"/>
        </w:rPr>
      </w:pPr>
    </w:p>
    <w:p w14:paraId="139B2087" w14:textId="4241B4A6" w:rsidR="00CD60E8" w:rsidRDefault="00307C7D"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Derivado de lo anterior, ya que el </w:t>
      </w:r>
      <w:r>
        <w:rPr>
          <w:rFonts w:ascii="Palatino Linotype" w:hAnsi="Palatino Linotype"/>
          <w:b/>
          <w:color w:val="000000" w:themeColor="text1"/>
        </w:rPr>
        <w:t>RECURRENTE</w:t>
      </w:r>
      <w:r>
        <w:rPr>
          <w:rFonts w:ascii="Palatino Linotype" w:hAnsi="Palatino Linotype"/>
          <w:color w:val="000000" w:themeColor="text1"/>
        </w:rPr>
        <w:t xml:space="preserve"> no busca realizar un trámite específico ante el Ayuntamiento de Chimalhuacán, pues su objetivo no es, en absoluto, el obtener un certificado o constancia del plano manzanero y catastral de la localidad denominada Villa San Agustín Atlapulco, sino </w:t>
      </w:r>
      <w:r>
        <w:rPr>
          <w:rFonts w:ascii="Palatino Linotype" w:hAnsi="Palatino Linotype"/>
          <w:b/>
          <w:color w:val="000000" w:themeColor="text1"/>
        </w:rPr>
        <w:t>únicamente</w:t>
      </w:r>
      <w:r>
        <w:rPr>
          <w:rFonts w:ascii="Palatino Linotype" w:hAnsi="Palatino Linotype"/>
          <w:color w:val="000000" w:themeColor="text1"/>
        </w:rPr>
        <w:t xml:space="preserve"> ejercer su derecho de acceso a la información mediante la </w:t>
      </w:r>
      <w:r>
        <w:rPr>
          <w:rFonts w:ascii="Palatino Linotype" w:hAnsi="Palatino Linotype"/>
          <w:b/>
          <w:color w:val="000000" w:themeColor="text1"/>
        </w:rPr>
        <w:t>consulta de los documentos</w:t>
      </w:r>
      <w:r>
        <w:rPr>
          <w:rFonts w:ascii="Palatino Linotype" w:hAnsi="Palatino Linotype"/>
          <w:color w:val="000000" w:themeColor="text1"/>
        </w:rPr>
        <w:t xml:space="preserve">, este Instituto </w:t>
      </w:r>
      <w:r w:rsidR="00261FD7">
        <w:rPr>
          <w:rFonts w:ascii="Palatino Linotype" w:hAnsi="Palatino Linotype"/>
          <w:color w:val="000000" w:themeColor="text1"/>
        </w:rPr>
        <w:t>concluye que</w:t>
      </w:r>
      <w:r>
        <w:rPr>
          <w:rFonts w:ascii="Palatino Linotype" w:hAnsi="Palatino Linotype"/>
          <w:color w:val="000000" w:themeColor="text1"/>
        </w:rPr>
        <w:t xml:space="preserve"> la respuesta emitida por el </w:t>
      </w:r>
      <w:r>
        <w:rPr>
          <w:rFonts w:ascii="Palatino Linotype" w:hAnsi="Palatino Linotype"/>
          <w:b/>
          <w:color w:val="000000" w:themeColor="text1"/>
        </w:rPr>
        <w:t>SUJETO OBLIGADO</w:t>
      </w:r>
      <w:r>
        <w:rPr>
          <w:rFonts w:ascii="Palatino Linotype" w:hAnsi="Palatino Linotype"/>
          <w:color w:val="000000" w:themeColor="text1"/>
        </w:rPr>
        <w:t xml:space="preserve"> </w:t>
      </w:r>
      <w:r w:rsidR="00261FD7">
        <w:rPr>
          <w:rFonts w:ascii="Palatino Linotype" w:hAnsi="Palatino Linotype"/>
          <w:color w:val="000000" w:themeColor="text1"/>
        </w:rPr>
        <w:t xml:space="preserve">no colmó el derecho ejercido por aquél </w:t>
      </w:r>
      <w:r>
        <w:rPr>
          <w:rFonts w:ascii="Palatino Linotype" w:hAnsi="Palatino Linotype"/>
          <w:color w:val="000000" w:themeColor="text1"/>
        </w:rPr>
        <w:t xml:space="preserve">y, por consiguiente, se </w:t>
      </w:r>
      <w:r>
        <w:rPr>
          <w:rFonts w:ascii="Palatino Linotype" w:hAnsi="Palatino Linotype"/>
          <w:b/>
          <w:color w:val="000000" w:themeColor="text1"/>
        </w:rPr>
        <w:t xml:space="preserve">ordena permitir la Consulta Directa de la información </w:t>
      </w:r>
      <w:r w:rsidR="00CE1B49">
        <w:rPr>
          <w:rFonts w:ascii="Palatino Linotype" w:hAnsi="Palatino Linotype"/>
          <w:b/>
          <w:color w:val="000000" w:themeColor="text1"/>
        </w:rPr>
        <w:t>requerida a través de la solicitud 00183/CHIMALHU/IP/2021</w:t>
      </w:r>
      <w:r w:rsidR="00CE1B49">
        <w:rPr>
          <w:rFonts w:ascii="Palatino Linotype" w:hAnsi="Palatino Linotype"/>
          <w:color w:val="000000" w:themeColor="text1"/>
        </w:rPr>
        <w:t xml:space="preserve">, </w:t>
      </w:r>
      <w:r w:rsidR="00CE1B49" w:rsidRPr="00CE1B49">
        <w:rPr>
          <w:rFonts w:ascii="Palatino Linotype" w:hAnsi="Palatino Linotype"/>
          <w:b/>
          <w:color w:val="000000" w:themeColor="text1"/>
        </w:rPr>
        <w:t>en versión pública</w:t>
      </w:r>
      <w:r w:rsidR="00CE1B49">
        <w:rPr>
          <w:rFonts w:ascii="Palatino Linotype" w:hAnsi="Palatino Linotype"/>
          <w:color w:val="000000" w:themeColor="text1"/>
        </w:rPr>
        <w:t xml:space="preserve">, atendiendo los fundamentos </w:t>
      </w:r>
      <w:r w:rsidR="00292C38">
        <w:rPr>
          <w:rFonts w:ascii="Palatino Linotype" w:hAnsi="Palatino Linotype"/>
          <w:color w:val="000000" w:themeColor="text1"/>
        </w:rPr>
        <w:t>expuestos</w:t>
      </w:r>
      <w:r w:rsidR="00CE1B49">
        <w:rPr>
          <w:rFonts w:ascii="Palatino Linotype" w:hAnsi="Palatino Linotype"/>
          <w:color w:val="000000" w:themeColor="text1"/>
        </w:rPr>
        <w:t xml:space="preserve"> en el Considerando QUINTO de la presente resolución.</w:t>
      </w:r>
    </w:p>
    <w:p w14:paraId="55E4B762" w14:textId="77777777" w:rsidR="00CD60E8" w:rsidRDefault="00CD60E8" w:rsidP="00CD60E8">
      <w:pPr>
        <w:pStyle w:val="Prrafodelista"/>
        <w:tabs>
          <w:tab w:val="left" w:pos="426"/>
        </w:tabs>
        <w:spacing w:before="240" w:after="240" w:line="360" w:lineRule="auto"/>
        <w:ind w:left="0" w:right="51"/>
        <w:jc w:val="both"/>
        <w:rPr>
          <w:rFonts w:ascii="Palatino Linotype" w:hAnsi="Palatino Linotype"/>
          <w:color w:val="000000" w:themeColor="text1"/>
        </w:rPr>
      </w:pPr>
    </w:p>
    <w:p w14:paraId="7044C557" w14:textId="63FFED12" w:rsidR="00CD60E8" w:rsidRDefault="00CE1B49" w:rsidP="003531F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razón de lo anterior, el </w:t>
      </w:r>
      <w:r>
        <w:rPr>
          <w:rFonts w:ascii="Palatino Linotype" w:hAnsi="Palatino Linotype"/>
          <w:b/>
          <w:color w:val="000000" w:themeColor="text1"/>
        </w:rPr>
        <w:t>SUJETO OBLIGADO</w:t>
      </w:r>
      <w:r>
        <w:rPr>
          <w:rFonts w:ascii="Palatino Linotype" w:hAnsi="Palatino Linotype"/>
          <w:color w:val="000000" w:themeColor="text1"/>
        </w:rPr>
        <w:t xml:space="preserve"> deberá hacer del conocimiento del </w:t>
      </w:r>
      <w:r>
        <w:rPr>
          <w:rFonts w:ascii="Palatino Linotype" w:hAnsi="Palatino Linotype"/>
          <w:b/>
          <w:color w:val="000000" w:themeColor="text1"/>
        </w:rPr>
        <w:t>RECURRENTE</w:t>
      </w:r>
      <w:r>
        <w:rPr>
          <w:rFonts w:ascii="Palatino Linotype" w:hAnsi="Palatino Linotype"/>
          <w:color w:val="000000" w:themeColor="text1"/>
        </w:rPr>
        <w:t xml:space="preserve"> la fecha, horario y domicilio donde se llevará a cabo la Consulta Directa de la información, así como el nombre de las y/o los servidores públicos que lo atenderán, junto con las recomendaciones de seguridad sanitaria que, por motivos de la pandemia provocada por el virus </w:t>
      </w:r>
      <w:r>
        <w:rPr>
          <w:rFonts w:ascii="Palatino Linotype" w:hAnsi="Palatino Linotype"/>
          <w:i/>
          <w:color w:val="000000" w:themeColor="text1"/>
        </w:rPr>
        <w:t xml:space="preserve">SARS-COV-2 </w:t>
      </w:r>
      <w:r>
        <w:rPr>
          <w:rFonts w:ascii="Palatino Linotype" w:hAnsi="Palatino Linotype"/>
          <w:color w:val="000000" w:themeColor="text1"/>
        </w:rPr>
        <w:t>(COVID-19) se estén implementando en el ayuntamiento, de ser el caso.</w:t>
      </w:r>
    </w:p>
    <w:p w14:paraId="59532746" w14:textId="524F0A83" w:rsidR="00F36760" w:rsidRDefault="00FC3E83" w:rsidP="00F36760">
      <w:pPr>
        <w:pStyle w:val="Prrafodelista"/>
        <w:tabs>
          <w:tab w:val="left" w:pos="426"/>
        </w:tabs>
        <w:spacing w:before="240" w:after="240" w:line="360" w:lineRule="auto"/>
        <w:ind w:left="0" w:right="51"/>
        <w:jc w:val="both"/>
        <w:rPr>
          <w:rFonts w:ascii="Palatino Linotype" w:hAnsi="Palatino Linotype"/>
          <w:color w:val="000000" w:themeColor="text1"/>
        </w:rPr>
      </w:pPr>
      <w:r>
        <w:rPr>
          <w:rFonts w:ascii="Palatino Linotype" w:hAnsi="Palatino Linotype"/>
          <w:noProof/>
          <w:color w:val="000000" w:themeColor="text1"/>
          <w:lang w:eastAsia="es-MX"/>
        </w:rPr>
        <mc:AlternateContent>
          <mc:Choice Requires="wps">
            <w:drawing>
              <wp:anchor distT="0" distB="0" distL="114300" distR="114300" simplePos="0" relativeHeight="251660288" behindDoc="0" locked="0" layoutInCell="1" allowOverlap="1" wp14:anchorId="3D5333AF" wp14:editId="0BCDC70B">
                <wp:simplePos x="0" y="0"/>
                <wp:positionH relativeFrom="margin">
                  <wp:align>right</wp:align>
                </wp:positionH>
                <wp:positionV relativeFrom="paragraph">
                  <wp:posOffset>69630</wp:posOffset>
                </wp:positionV>
                <wp:extent cx="5511362" cy="1245323"/>
                <wp:effectExtent l="38100" t="38100" r="70485" b="88265"/>
                <wp:wrapNone/>
                <wp:docPr id="3" name="Conector recto 3"/>
                <wp:cNvGraphicFramePr/>
                <a:graphic xmlns:a="http://schemas.openxmlformats.org/drawingml/2006/main">
                  <a:graphicData uri="http://schemas.microsoft.com/office/word/2010/wordprocessingShape">
                    <wps:wsp>
                      <wps:cNvCnPr/>
                      <wps:spPr>
                        <a:xfrm flipV="1">
                          <a:off x="0" y="0"/>
                          <a:ext cx="5511362" cy="1245323"/>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2FCCDF" id="Conector recto 3"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75pt,5.5pt" to="816.7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" strokecolor="black [3200]" strokeweight="1pt">
                <v:shadow on="t" color="black" opacity="24903f" origin=",.5" offset="0,.55556mm"/>
                <w10:wrap anchorx="margin"/>
              </v:line>
            </w:pict>
          </mc:Fallback>
        </mc:AlternateContent>
      </w:r>
    </w:p>
    <w:p w14:paraId="7D9B78BA" w14:textId="507379B8" w:rsidR="00FC3E83" w:rsidRDefault="00FC3E83"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79117550" w14:textId="5F2BF124" w:rsidR="00FC3E83" w:rsidRDefault="00FC3E83"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33CEE23F" w14:textId="77777777" w:rsidR="00FC3E83" w:rsidRPr="00DD3902" w:rsidRDefault="00FC3E83"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168673E3" w14:textId="67008571" w:rsidR="00F01443" w:rsidRPr="00F01443" w:rsidRDefault="00751061" w:rsidP="00F0144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3" w:name="_Toc89209302"/>
      <w:r>
        <w:rPr>
          <w:rFonts w:ascii="Palatino Linotype" w:hAnsi="Palatino Linotype"/>
          <w:b/>
          <w:bCs/>
          <w:color w:val="000000" w:themeColor="text1"/>
        </w:rPr>
        <w:lastRenderedPageBreak/>
        <w:t>QUINTO</w:t>
      </w:r>
      <w:r w:rsidR="00F01443">
        <w:rPr>
          <w:rFonts w:ascii="Palatino Linotype" w:hAnsi="Palatino Linotype"/>
          <w:b/>
          <w:bCs/>
          <w:color w:val="000000" w:themeColor="text1"/>
        </w:rPr>
        <w:t>. De la versión pública.</w:t>
      </w:r>
      <w:bookmarkEnd w:id="33"/>
    </w:p>
    <w:p w14:paraId="294C3AEA"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7CB31F7" w14:textId="77777777" w:rsidR="00CA7A78" w:rsidRDefault="00F01443"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Debe </w:t>
      </w:r>
      <w:r w:rsidRPr="00F01443">
        <w:rPr>
          <w:rFonts w:ascii="Palatino Linotype" w:hAnsi="Palatino Linotype"/>
          <w:color w:val="000000" w:themeColor="text1"/>
        </w:rPr>
        <w:t xml:space="preserve">destacarse que, </w:t>
      </w:r>
      <w:r w:rsidR="00CA7A78" w:rsidRPr="00F01443">
        <w:rPr>
          <w:rFonts w:ascii="Palatino Linotype" w:hAnsi="Palatino Linotype"/>
          <w:color w:val="000000" w:themeColor="text1"/>
        </w:rPr>
        <w:t>debido a la naturaleza de la información solicitada</w:t>
      </w:r>
      <w:r w:rsidR="00CA7A78">
        <w:rPr>
          <w:rFonts w:ascii="Palatino Linotype" w:hAnsi="Palatino Linotype"/>
          <w:b/>
          <w:color w:val="000000" w:themeColor="text1"/>
        </w:rPr>
        <w:t xml:space="preserve"> </w:t>
      </w:r>
      <w:r w:rsidR="00CA7A78" w:rsidRPr="00F01443">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948AF97"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54850C0C"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Pr>
          <w:rFonts w:ascii="Palatino Linotype" w:hAnsi="Palatino Linotype" w:cs="Arial"/>
          <w:color w:val="000000" w:themeColor="text1"/>
        </w:rPr>
        <w:t>,</w:t>
      </w:r>
      <w:r w:rsidRPr="006232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F2BFA2F"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E9CF202" w14:textId="25299E0A" w:rsidR="009D13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El </w:t>
      </w:r>
      <w:r w:rsidRPr="0062325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0E208AB"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B572C4C" w14:textId="2C984B22" w:rsidR="00CA7A78" w:rsidRPr="00CA7A78" w:rsidRDefault="00CA7A78" w:rsidP="00CA7A7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4" w:name="_Toc89209303"/>
      <w:r>
        <w:rPr>
          <w:rFonts w:ascii="Palatino Linotype" w:hAnsi="Palatino Linotype"/>
          <w:b/>
          <w:color w:val="000000" w:themeColor="text1"/>
        </w:rPr>
        <w:t>I. Requisitos previos.</w:t>
      </w:r>
      <w:bookmarkEnd w:id="34"/>
    </w:p>
    <w:p w14:paraId="7A4B0F56"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77FAE175"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EA835D2"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6259DEB"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Además, </w:t>
      </w:r>
      <w:r w:rsidRPr="0062325E">
        <w:rPr>
          <w:rFonts w:ascii="Palatino Linotype" w:eastAsia="MS Mincho" w:hAnsi="Palatino Linotype" w:cs="Times New Roman"/>
        </w:rPr>
        <w:t>se debe señalar el procedimiento</w:t>
      </w:r>
      <w:r>
        <w:rPr>
          <w:rFonts w:ascii="Palatino Linotype" w:eastAsia="MS Mincho" w:hAnsi="Palatino Linotype" w:cs="Times New Roman"/>
        </w:rPr>
        <w:t xml:space="preserve"> </w:t>
      </w:r>
      <w:r w:rsidRPr="0062325E">
        <w:rPr>
          <w:rFonts w:ascii="Palatino Linotype" w:eastAsia="MS Mincho" w:hAnsi="Palatino Linotype" w:cs="Times New Roman"/>
        </w:rPr>
        <w:t>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C28181D"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CFA3F53" w14:textId="1931DEEA"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El </w:t>
      </w:r>
      <w:r w:rsidRPr="0062325E">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D694AAA"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9416A56" w14:textId="4D408F9E" w:rsidR="00CA7A78" w:rsidRPr="00CA7A78" w:rsidRDefault="00CA7A78" w:rsidP="00CA7A7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5" w:name="_Toc89209304"/>
      <w:r>
        <w:rPr>
          <w:rFonts w:ascii="Palatino Linotype" w:hAnsi="Palatino Linotype"/>
          <w:b/>
          <w:color w:val="000000" w:themeColor="text1"/>
        </w:rPr>
        <w:t>II. Supuestos de clasificación.</w:t>
      </w:r>
      <w:bookmarkEnd w:id="35"/>
    </w:p>
    <w:p w14:paraId="4D9928FA"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6FC7D98D"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60F1F287"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108251F" w14:textId="3CF20C12"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6B621959" w14:textId="77777777" w:rsidR="00CA7A78" w:rsidRDefault="00CA7A78" w:rsidP="00CA7A78">
      <w:pPr>
        <w:pStyle w:val="Prrafodelista"/>
        <w:tabs>
          <w:tab w:val="left" w:pos="426"/>
        </w:tabs>
        <w:spacing w:before="240" w:line="360" w:lineRule="auto"/>
        <w:ind w:left="0" w:right="51"/>
        <w:jc w:val="both"/>
        <w:rPr>
          <w:rFonts w:ascii="Palatino Linotype" w:hAnsi="Palatino Linotype"/>
          <w:color w:val="000000" w:themeColor="text1"/>
        </w:rPr>
      </w:pPr>
    </w:p>
    <w:p w14:paraId="35F08CB3"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w:t>
      </w:r>
      <w:r w:rsidRPr="00261FD7">
        <w:rPr>
          <w:rFonts w:ascii="Palatino Linotype" w:hAnsi="Palatino Linotype" w:cs="Bookman Old Style"/>
          <w:b/>
          <w:bCs/>
          <w:i/>
          <w:color w:val="000000"/>
          <w:sz w:val="22"/>
          <w:szCs w:val="22"/>
        </w:rPr>
        <w:t>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68528C9C"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61FD7">
        <w:rPr>
          <w:rFonts w:ascii="Palatino Linotype" w:hAnsi="Palatino Linotype" w:cs="Bookman Old Style"/>
          <w:b/>
          <w:bCs/>
          <w:i/>
          <w:color w:val="000000"/>
          <w:sz w:val="22"/>
          <w:szCs w:val="22"/>
        </w:rPr>
        <w:t>II.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1E937DB"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261FD7">
        <w:rPr>
          <w:rFonts w:ascii="Palatino Linotype" w:hAnsi="Palatino Linotype" w:cs="Bookman Old Style"/>
          <w:b/>
          <w:bCs/>
          <w:i/>
          <w:color w:val="000000"/>
          <w:sz w:val="22"/>
          <w:szCs w:val="22"/>
        </w:rPr>
        <w:t>III.</w:t>
      </w:r>
      <w:r w:rsidRPr="00F01443">
        <w:rPr>
          <w:rFonts w:ascii="Palatino Linotype" w:hAnsi="Palatino Linotype" w:cs="Bookman Old Style"/>
          <w:bCs/>
          <w:i/>
          <w:color w:val="000000"/>
          <w:sz w:val="22"/>
          <w:szCs w:val="22"/>
        </w:rPr>
        <w:t xml:space="preserve">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2B1097B7"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i/>
          <w:color w:val="000000"/>
          <w:sz w:val="22"/>
          <w:szCs w:val="22"/>
        </w:rPr>
        <w:t xml:space="preserve">La información confidencial no estará sujeta a temporalidad alguna y sólo podrán tener acceso a ella los titulares de </w:t>
      </w:r>
      <w:proofErr w:type="gramStart"/>
      <w:r w:rsidRPr="00F01443">
        <w:rPr>
          <w:rFonts w:ascii="Palatino Linotype" w:hAnsi="Palatino Linotype" w:cs="Bookman Old Style"/>
          <w:i/>
          <w:color w:val="000000"/>
          <w:sz w:val="22"/>
          <w:szCs w:val="22"/>
        </w:rPr>
        <w:t>la misma</w:t>
      </w:r>
      <w:proofErr w:type="gramEnd"/>
      <w:r w:rsidRPr="00F01443">
        <w:rPr>
          <w:rFonts w:ascii="Palatino Linotype" w:hAnsi="Palatino Linotype" w:cs="Bookman Old Style"/>
          <w:i/>
          <w:color w:val="000000"/>
          <w:sz w:val="22"/>
          <w:szCs w:val="22"/>
        </w:rPr>
        <w:t xml:space="preserve">, sus representantes y los servidores públicos </w:t>
      </w:r>
      <w:r w:rsidRPr="00F01443">
        <w:rPr>
          <w:rFonts w:ascii="Palatino Linotype" w:hAnsi="Palatino Linotype" w:cs="Bookman Old Style"/>
          <w:i/>
          <w:color w:val="000000"/>
          <w:sz w:val="22"/>
          <w:szCs w:val="22"/>
        </w:rPr>
        <w:lastRenderedPageBreak/>
        <w:t xml:space="preserve">facultados para ello. </w:t>
      </w:r>
    </w:p>
    <w:p w14:paraId="36990213"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3E095314"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E539678" w14:textId="20F78DC0" w:rsidR="00261FD7" w:rsidRPr="00261FD7"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Mientras </w:t>
      </w:r>
      <w:r w:rsidRPr="0062325E">
        <w:rPr>
          <w:rFonts w:ascii="Palatino Linotype" w:eastAsia="MS Mincho" w:hAnsi="Palatino Linotype" w:cs="Times New Roman"/>
        </w:rPr>
        <w:t xml:space="preserve">que los artículos </w:t>
      </w:r>
      <w:r w:rsidR="003E61A6">
        <w:rPr>
          <w:rFonts w:ascii="Palatino Linotype" w:eastAsia="MS Mincho" w:hAnsi="Palatino Linotype" w:cs="Times New Roman"/>
        </w:rPr>
        <w:t>140 y XXX respectivamente, establecen los supuestos que podrán actualizar la necesidad de reservar información:</w:t>
      </w:r>
    </w:p>
    <w:p w14:paraId="4B5B1F5E" w14:textId="77777777" w:rsidR="00261FD7" w:rsidRDefault="00261FD7" w:rsidP="00261FD7">
      <w:pPr>
        <w:pStyle w:val="Prrafodelista"/>
        <w:tabs>
          <w:tab w:val="left" w:pos="426"/>
        </w:tabs>
        <w:spacing w:before="240" w:after="240" w:line="360" w:lineRule="auto"/>
        <w:ind w:left="0" w:right="51"/>
        <w:jc w:val="both"/>
        <w:rPr>
          <w:rFonts w:ascii="Palatino Linotype" w:hAnsi="Palatino Linotype"/>
          <w:color w:val="000000" w:themeColor="text1"/>
        </w:rPr>
      </w:pPr>
    </w:p>
    <w:p w14:paraId="74EE5B39" w14:textId="77777777" w:rsidR="003E61A6" w:rsidRDefault="003E61A6" w:rsidP="003E61A6">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3E61A6">
        <w:rPr>
          <w:rFonts w:ascii="Palatino Linotype" w:hAnsi="Palatino Linotype"/>
          <w:b/>
          <w:i/>
          <w:sz w:val="22"/>
        </w:rPr>
        <w:t>Artículo 140.</w:t>
      </w:r>
      <w:r w:rsidRPr="003E61A6">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522F4D41" w14:textId="77777777" w:rsidR="003E61A6" w:rsidRDefault="003E61A6" w:rsidP="003E61A6">
      <w:pPr>
        <w:pStyle w:val="Prrafodelista"/>
        <w:tabs>
          <w:tab w:val="left" w:pos="426"/>
        </w:tabs>
        <w:spacing w:before="240" w:after="240" w:line="276" w:lineRule="auto"/>
        <w:ind w:left="567" w:right="567"/>
        <w:jc w:val="both"/>
        <w:rPr>
          <w:rFonts w:ascii="Palatino Linotype" w:hAnsi="Palatino Linotype"/>
          <w:i/>
          <w:sz w:val="22"/>
        </w:rPr>
      </w:pPr>
      <w:r w:rsidRPr="003E61A6">
        <w:rPr>
          <w:rFonts w:ascii="Palatino Linotype" w:hAnsi="Palatino Linotype"/>
          <w:b/>
          <w:i/>
          <w:sz w:val="22"/>
        </w:rPr>
        <w:t>I.</w:t>
      </w:r>
      <w:r w:rsidRPr="003E61A6">
        <w:rPr>
          <w:rFonts w:ascii="Palatino Linotype" w:hAnsi="Palatino Linotype"/>
          <w:i/>
          <w:sz w:val="22"/>
        </w:rPr>
        <w:t xml:space="preserve"> Comprometa la seguridad pública y cuente con un propósito genuino y un efecto demostrable; </w:t>
      </w:r>
    </w:p>
    <w:p w14:paraId="31329567" w14:textId="77777777" w:rsidR="003E61A6" w:rsidRDefault="003E61A6" w:rsidP="003E61A6">
      <w:pPr>
        <w:pStyle w:val="Prrafodelista"/>
        <w:tabs>
          <w:tab w:val="left" w:pos="426"/>
        </w:tabs>
        <w:spacing w:before="240" w:after="240" w:line="276" w:lineRule="auto"/>
        <w:ind w:left="567" w:right="567"/>
        <w:jc w:val="both"/>
        <w:rPr>
          <w:rFonts w:ascii="Palatino Linotype" w:hAnsi="Palatino Linotype"/>
          <w:i/>
          <w:sz w:val="22"/>
        </w:rPr>
      </w:pPr>
      <w:r w:rsidRPr="003E61A6">
        <w:rPr>
          <w:rFonts w:ascii="Palatino Linotype" w:hAnsi="Palatino Linotype"/>
          <w:b/>
          <w:i/>
          <w:sz w:val="22"/>
        </w:rPr>
        <w:t>II.</w:t>
      </w:r>
      <w:r w:rsidRPr="003E61A6">
        <w:rPr>
          <w:rFonts w:ascii="Palatino Linotype" w:hAnsi="Palatino Linotype"/>
          <w:i/>
          <w:sz w:val="22"/>
        </w:rPr>
        <w:t xml:space="preserve"> Pueda menoscabar la conducción de las negociaciones y relaciones internacionales; </w:t>
      </w:r>
    </w:p>
    <w:p w14:paraId="48A0D208" w14:textId="77777777" w:rsidR="003E61A6" w:rsidRDefault="003E61A6" w:rsidP="003E61A6">
      <w:pPr>
        <w:pStyle w:val="Prrafodelista"/>
        <w:tabs>
          <w:tab w:val="left" w:pos="426"/>
        </w:tabs>
        <w:spacing w:before="240" w:after="240" w:line="276" w:lineRule="auto"/>
        <w:ind w:left="567" w:right="567"/>
        <w:jc w:val="both"/>
        <w:rPr>
          <w:rFonts w:ascii="Palatino Linotype" w:hAnsi="Palatino Linotype"/>
          <w:i/>
          <w:sz w:val="22"/>
        </w:rPr>
      </w:pPr>
      <w:r w:rsidRPr="003E61A6">
        <w:rPr>
          <w:rFonts w:ascii="Palatino Linotype" w:hAnsi="Palatino Linotype"/>
          <w:b/>
          <w:i/>
          <w:sz w:val="22"/>
        </w:rPr>
        <w:t>III.</w:t>
      </w:r>
      <w:r w:rsidRPr="003E61A6">
        <w:rPr>
          <w:rFonts w:ascii="Palatino Linotype" w:hAnsi="Palatino Linotype"/>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73D0B543" w14:textId="77777777" w:rsidR="003E61A6" w:rsidRDefault="003E61A6" w:rsidP="003E61A6">
      <w:pPr>
        <w:pStyle w:val="Prrafodelista"/>
        <w:tabs>
          <w:tab w:val="left" w:pos="426"/>
        </w:tabs>
        <w:spacing w:before="240" w:after="240" w:line="276" w:lineRule="auto"/>
        <w:ind w:left="567" w:right="567"/>
        <w:jc w:val="both"/>
        <w:rPr>
          <w:rFonts w:ascii="Palatino Linotype" w:hAnsi="Palatino Linotype"/>
          <w:i/>
          <w:sz w:val="22"/>
        </w:rPr>
      </w:pPr>
      <w:r w:rsidRPr="003E61A6">
        <w:rPr>
          <w:rFonts w:ascii="Palatino Linotype" w:hAnsi="Palatino Linotype"/>
          <w:b/>
          <w:i/>
          <w:sz w:val="22"/>
        </w:rPr>
        <w:t>IV.</w:t>
      </w:r>
      <w:r w:rsidRPr="003E61A6">
        <w:rPr>
          <w:rFonts w:ascii="Palatino Linotype" w:hAnsi="Palatino Linotype"/>
          <w:i/>
          <w:sz w:val="22"/>
        </w:rPr>
        <w:t xml:space="preserve"> Ponga en riesgo la vida, la seguridad o la salud de una persona física; </w:t>
      </w:r>
    </w:p>
    <w:p w14:paraId="6E501BAC" w14:textId="77777777" w:rsidR="003E61A6" w:rsidRDefault="003E61A6" w:rsidP="003E61A6">
      <w:pPr>
        <w:pStyle w:val="Prrafodelista"/>
        <w:tabs>
          <w:tab w:val="left" w:pos="426"/>
        </w:tabs>
        <w:spacing w:before="240" w:after="240" w:line="276" w:lineRule="auto"/>
        <w:ind w:left="567" w:right="567"/>
        <w:jc w:val="both"/>
        <w:rPr>
          <w:rFonts w:ascii="Palatino Linotype" w:hAnsi="Palatino Linotype"/>
          <w:i/>
          <w:sz w:val="22"/>
        </w:rPr>
      </w:pPr>
      <w:r w:rsidRPr="003E61A6">
        <w:rPr>
          <w:rFonts w:ascii="Palatino Linotype" w:hAnsi="Palatino Linotype"/>
          <w:b/>
          <w:i/>
          <w:sz w:val="22"/>
        </w:rPr>
        <w:t>V.</w:t>
      </w:r>
      <w:r w:rsidRPr="003E61A6">
        <w:rPr>
          <w:rFonts w:ascii="Palatino Linotype" w:hAnsi="Palatino Linotype"/>
          <w:i/>
          <w:sz w:val="22"/>
        </w:rPr>
        <w:t xml:space="preserve"> Aquella cuya divulgación obstruya o pueda causar un serio perjuicio a: </w:t>
      </w:r>
    </w:p>
    <w:p w14:paraId="207E39ED" w14:textId="77777777" w:rsidR="003E61A6" w:rsidRDefault="003E61A6" w:rsidP="003E61A6">
      <w:pPr>
        <w:pStyle w:val="Prrafodelista"/>
        <w:tabs>
          <w:tab w:val="left" w:pos="426"/>
        </w:tabs>
        <w:spacing w:before="240" w:after="240" w:line="276" w:lineRule="auto"/>
        <w:ind w:left="851" w:right="567"/>
        <w:jc w:val="both"/>
        <w:rPr>
          <w:rFonts w:ascii="Palatino Linotype" w:hAnsi="Palatino Linotype"/>
          <w:i/>
          <w:sz w:val="22"/>
        </w:rPr>
      </w:pPr>
      <w:r w:rsidRPr="003E61A6">
        <w:rPr>
          <w:rFonts w:ascii="Palatino Linotype" w:hAnsi="Palatino Linotype"/>
          <w:b/>
          <w:i/>
          <w:sz w:val="22"/>
        </w:rPr>
        <w:t>1.</w:t>
      </w:r>
      <w:r w:rsidRPr="003E61A6">
        <w:rPr>
          <w:rFonts w:ascii="Palatino Linotype" w:hAnsi="Palatino Linotype"/>
          <w:i/>
          <w:sz w:val="22"/>
        </w:rPr>
        <w:t xml:space="preserve"> Las actividades de fiscalización, verificación, inspección, comprobación y auditoría sobre el cumplimiento de las Leyes; o </w:t>
      </w:r>
    </w:p>
    <w:p w14:paraId="61E8E811" w14:textId="77777777" w:rsidR="003E61A6" w:rsidRDefault="003E61A6" w:rsidP="003E61A6">
      <w:pPr>
        <w:pStyle w:val="Prrafodelista"/>
        <w:tabs>
          <w:tab w:val="left" w:pos="426"/>
        </w:tabs>
        <w:spacing w:before="240" w:after="240" w:line="276" w:lineRule="auto"/>
        <w:ind w:left="851" w:right="567"/>
        <w:jc w:val="both"/>
        <w:rPr>
          <w:rFonts w:ascii="Palatino Linotype" w:hAnsi="Palatino Linotype"/>
          <w:i/>
          <w:sz w:val="22"/>
        </w:rPr>
      </w:pPr>
      <w:r w:rsidRPr="003E61A6">
        <w:rPr>
          <w:rFonts w:ascii="Palatino Linotype" w:hAnsi="Palatino Linotype"/>
          <w:b/>
          <w:i/>
          <w:sz w:val="22"/>
        </w:rPr>
        <w:t>2.</w:t>
      </w:r>
      <w:r w:rsidRPr="003E61A6">
        <w:rPr>
          <w:rFonts w:ascii="Palatino Linotype" w:hAnsi="Palatino Linotype"/>
          <w:i/>
          <w:sz w:val="22"/>
        </w:rPr>
        <w:t xml:space="preserve"> La recaudación de las contribuciones. </w:t>
      </w:r>
    </w:p>
    <w:p w14:paraId="276AB909" w14:textId="77777777" w:rsidR="003E61A6" w:rsidRDefault="003E61A6" w:rsidP="003E61A6">
      <w:pPr>
        <w:pStyle w:val="Prrafodelista"/>
        <w:tabs>
          <w:tab w:val="left" w:pos="426"/>
        </w:tabs>
        <w:spacing w:before="240" w:after="240" w:line="276" w:lineRule="auto"/>
        <w:ind w:left="567" w:right="567"/>
        <w:jc w:val="both"/>
        <w:rPr>
          <w:rFonts w:ascii="Palatino Linotype" w:hAnsi="Palatino Linotype"/>
          <w:i/>
          <w:sz w:val="22"/>
        </w:rPr>
      </w:pPr>
      <w:r w:rsidRPr="003E61A6">
        <w:rPr>
          <w:rFonts w:ascii="Palatino Linotype" w:hAnsi="Palatino Linotype"/>
          <w:b/>
          <w:i/>
          <w:sz w:val="22"/>
        </w:rPr>
        <w:t>VI.</w:t>
      </w:r>
      <w:r w:rsidRPr="003E61A6">
        <w:rPr>
          <w:rFonts w:ascii="Palatino Linotype" w:hAnsi="Palatino Linotype"/>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4D5FE089" w14:textId="77777777" w:rsidR="003E61A6" w:rsidRDefault="003E61A6" w:rsidP="003E61A6">
      <w:pPr>
        <w:pStyle w:val="Prrafodelista"/>
        <w:tabs>
          <w:tab w:val="left" w:pos="426"/>
        </w:tabs>
        <w:spacing w:before="240" w:after="240" w:line="276" w:lineRule="auto"/>
        <w:ind w:left="567" w:right="567"/>
        <w:jc w:val="both"/>
        <w:rPr>
          <w:rFonts w:ascii="Palatino Linotype" w:hAnsi="Palatino Linotype"/>
          <w:i/>
          <w:sz w:val="22"/>
        </w:rPr>
      </w:pPr>
      <w:r w:rsidRPr="003E61A6">
        <w:rPr>
          <w:rFonts w:ascii="Palatino Linotype" w:hAnsi="Palatino Linotype"/>
          <w:b/>
          <w:i/>
          <w:sz w:val="22"/>
        </w:rPr>
        <w:lastRenderedPageBreak/>
        <w:t>VII.</w:t>
      </w:r>
      <w:r w:rsidRPr="003E61A6">
        <w:rPr>
          <w:rFonts w:ascii="Palatino Linotype" w:hAnsi="Palatino Linotype"/>
          <w:i/>
          <w:sz w:val="22"/>
        </w:rPr>
        <w:t xml:space="preserve"> La que contengan las opiniones, recomendaciones o puntos de vista que formen parte del proceso deliberativo de los servidores públicos, hasta en tanto sea adoptada la decisión definitiva, la cual deberá estar documentada; </w:t>
      </w:r>
    </w:p>
    <w:p w14:paraId="145403B5" w14:textId="77777777" w:rsidR="003E61A6" w:rsidRDefault="003E61A6" w:rsidP="003E61A6">
      <w:pPr>
        <w:pStyle w:val="Prrafodelista"/>
        <w:tabs>
          <w:tab w:val="left" w:pos="426"/>
        </w:tabs>
        <w:spacing w:before="240" w:after="240" w:line="276" w:lineRule="auto"/>
        <w:ind w:left="567" w:right="567"/>
        <w:jc w:val="both"/>
        <w:rPr>
          <w:rFonts w:ascii="Palatino Linotype" w:hAnsi="Palatino Linotype"/>
          <w:i/>
          <w:sz w:val="22"/>
        </w:rPr>
      </w:pPr>
      <w:r w:rsidRPr="003E61A6">
        <w:rPr>
          <w:rFonts w:ascii="Palatino Linotype" w:hAnsi="Palatino Linotype"/>
          <w:b/>
          <w:i/>
          <w:sz w:val="22"/>
        </w:rPr>
        <w:t>VIII.</w:t>
      </w:r>
      <w:r w:rsidRPr="003E61A6">
        <w:rPr>
          <w:rFonts w:ascii="Palatino Linotype" w:hAnsi="Palatino Linotype"/>
          <w:i/>
          <w:sz w:val="22"/>
        </w:rPr>
        <w:t xml:space="preserve"> Vulnere la conducción de los expedientes judiciales o de los procedimientos administrativos seguidos en forma de juicio, en tanto no hayan quedado firmes;</w:t>
      </w:r>
    </w:p>
    <w:p w14:paraId="7528DA6A" w14:textId="77777777" w:rsidR="003E61A6" w:rsidRDefault="003E61A6" w:rsidP="003E61A6">
      <w:pPr>
        <w:pStyle w:val="Prrafodelista"/>
        <w:tabs>
          <w:tab w:val="left" w:pos="426"/>
        </w:tabs>
        <w:spacing w:before="240" w:after="240" w:line="276" w:lineRule="auto"/>
        <w:ind w:left="567" w:right="567"/>
        <w:jc w:val="both"/>
        <w:rPr>
          <w:rFonts w:ascii="Palatino Linotype" w:hAnsi="Palatino Linotype"/>
          <w:i/>
          <w:sz w:val="22"/>
        </w:rPr>
      </w:pPr>
      <w:r w:rsidRPr="003E61A6">
        <w:rPr>
          <w:rFonts w:ascii="Palatino Linotype" w:hAnsi="Palatino Linotype"/>
          <w:b/>
          <w:i/>
          <w:sz w:val="22"/>
        </w:rPr>
        <w:t>IX.</w:t>
      </w:r>
      <w:r w:rsidRPr="003E61A6">
        <w:rPr>
          <w:rFonts w:ascii="Palatino Linotype" w:hAnsi="Palatino Linotype"/>
          <w:i/>
          <w:sz w:val="22"/>
        </w:rPr>
        <w:t xml:space="preserve"> Se encuentre contenida dentro de las investigaciones de hechos que la Ley señale como delitos y se tramiten ante el Ministerio Público; </w:t>
      </w:r>
    </w:p>
    <w:p w14:paraId="08461251" w14:textId="77777777" w:rsidR="003E61A6" w:rsidRDefault="003E61A6" w:rsidP="003E61A6">
      <w:pPr>
        <w:pStyle w:val="Prrafodelista"/>
        <w:tabs>
          <w:tab w:val="left" w:pos="426"/>
        </w:tabs>
        <w:spacing w:before="240" w:after="240" w:line="276" w:lineRule="auto"/>
        <w:ind w:left="567" w:right="567"/>
        <w:jc w:val="both"/>
        <w:rPr>
          <w:rFonts w:ascii="Palatino Linotype" w:hAnsi="Palatino Linotype"/>
          <w:i/>
          <w:sz w:val="22"/>
        </w:rPr>
      </w:pPr>
      <w:r w:rsidRPr="003E61A6">
        <w:rPr>
          <w:rFonts w:ascii="Palatino Linotype" w:hAnsi="Palatino Linotype"/>
          <w:b/>
          <w:i/>
          <w:sz w:val="22"/>
        </w:rPr>
        <w:t>X.</w:t>
      </w:r>
      <w:r w:rsidRPr="003E61A6">
        <w:rPr>
          <w:rFonts w:ascii="Palatino Linotype" w:hAnsi="Palatino Linotype"/>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5405CC99" w14:textId="03395E6F" w:rsidR="003E61A6" w:rsidRPr="003E61A6" w:rsidRDefault="003E61A6" w:rsidP="003E61A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E61A6">
        <w:rPr>
          <w:rFonts w:ascii="Palatino Linotype" w:hAnsi="Palatino Linotype"/>
          <w:b/>
          <w:i/>
          <w:sz w:val="22"/>
        </w:rPr>
        <w:t>XI.</w:t>
      </w:r>
      <w:r w:rsidRPr="003E61A6">
        <w:rPr>
          <w:rFonts w:ascii="Palatino Linotype" w:hAnsi="Palatino Linotype"/>
          <w:i/>
          <w:sz w:val="22"/>
        </w:rPr>
        <w:t xml:space="preserve"> Las que por disposición expresa de una ley tengan tal carácter, siempre que sean acordes con las bases, principios y disposiciones establecidos en esta Ley y no la contravengan; así como las previstas en tratados internacionales.</w:t>
      </w:r>
      <w:r>
        <w:rPr>
          <w:rFonts w:ascii="Palatino Linotype" w:hAnsi="Palatino Linotype"/>
          <w:i/>
          <w:sz w:val="22"/>
        </w:rPr>
        <w:t>”</w:t>
      </w:r>
    </w:p>
    <w:p w14:paraId="7D86FF37" w14:textId="77777777" w:rsidR="003E61A6" w:rsidRPr="00261FD7" w:rsidRDefault="003E61A6" w:rsidP="00261FD7">
      <w:pPr>
        <w:pStyle w:val="Prrafodelista"/>
        <w:tabs>
          <w:tab w:val="left" w:pos="426"/>
        </w:tabs>
        <w:spacing w:before="240" w:after="240" w:line="360" w:lineRule="auto"/>
        <w:ind w:left="0" w:right="51"/>
        <w:jc w:val="both"/>
        <w:rPr>
          <w:rFonts w:ascii="Palatino Linotype" w:hAnsi="Palatino Linotype"/>
          <w:color w:val="000000" w:themeColor="text1"/>
        </w:rPr>
      </w:pPr>
    </w:p>
    <w:p w14:paraId="0E0AD7B1" w14:textId="13E82188" w:rsidR="00CA7A78" w:rsidRDefault="00261FD7"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imes New Roman"/>
        </w:rPr>
        <w:t xml:space="preserve">Por su parte, los numerales </w:t>
      </w:r>
      <w:r w:rsidR="00CA7A78" w:rsidRPr="0062325E">
        <w:rPr>
          <w:rFonts w:ascii="Palatino Linotype" w:eastAsia="MS Mincho" w:hAnsi="Palatino Linotype" w:cs="Times New Roman"/>
        </w:rPr>
        <w:t>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1014D6F"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A0474A4"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eastAsia="MS Mincho" w:hAnsi="Palatino Linotype" w:cs="Times New Roman"/>
        </w:rPr>
        <w:t xml:space="preserve">consecuencia de lo anterior, el </w:t>
      </w:r>
      <w:r w:rsidRPr="0062325E">
        <w:rPr>
          <w:rFonts w:ascii="Palatino Linotype" w:eastAsia="MS Mincho" w:hAnsi="Palatino Linotype" w:cs="Times New Roman"/>
          <w:b/>
          <w:bCs/>
        </w:rPr>
        <w:t>SUJETO OBLIGADO</w:t>
      </w:r>
      <w:r w:rsidRPr="0062325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57FB7ED5"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435E710" w14:textId="663DA79D"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Al </w:t>
      </w:r>
      <w:r w:rsidRPr="0062325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2D735103"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D232830"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w:t>
      </w:r>
      <w:r w:rsidRPr="00F01443">
        <w:rPr>
          <w:rFonts w:ascii="Palatino Linotype" w:hAnsi="Palatino Linotype" w:cs="Arial"/>
          <w:b/>
          <w:i/>
          <w:sz w:val="22"/>
          <w:szCs w:val="22"/>
        </w:rPr>
        <w:t>Quincuagésimo.</w:t>
      </w:r>
      <w:r w:rsidRPr="00F0144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8C97D54"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4D9A25C"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primero.</w:t>
      </w:r>
      <w:r w:rsidRPr="00F01443">
        <w:rPr>
          <w:rFonts w:ascii="Palatino Linotype" w:hAnsi="Palatino Linotype" w:cs="Arial"/>
          <w:i/>
          <w:sz w:val="22"/>
          <w:szCs w:val="22"/>
        </w:rPr>
        <w:t xml:space="preserve"> La leyenda en los documentos clasificados indicará:</w:t>
      </w:r>
    </w:p>
    <w:p w14:paraId="1C3668A8"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 La fecha de sesión del Comité de Transparencia en donde se confirmó la clasificación, en su caso;</w:t>
      </w:r>
    </w:p>
    <w:p w14:paraId="6E59C893"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 El nombre del área;</w:t>
      </w:r>
    </w:p>
    <w:p w14:paraId="05709D8D"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III. La palabra reservado o confidencial;</w:t>
      </w:r>
    </w:p>
    <w:p w14:paraId="4C58DE4C"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IV. Las partes o secciones reservadas o confidenciales, en su caso;</w:t>
      </w:r>
    </w:p>
    <w:p w14:paraId="0854ECAB"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 El fundamento legal;</w:t>
      </w:r>
    </w:p>
    <w:p w14:paraId="3D08148B"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 El periodo de reserva, y</w:t>
      </w:r>
    </w:p>
    <w:p w14:paraId="7A08E9B7"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VII. La rúbrica del titular del área.</w:t>
      </w:r>
    </w:p>
    <w:p w14:paraId="42FB0DC9"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44CBF0C"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segundo.</w:t>
      </w:r>
      <w:r w:rsidRPr="00F0144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7F49FFD4"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54E86B5D"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36BB8A8" w14:textId="77777777" w:rsidR="00CA7A78"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tercero.</w:t>
      </w:r>
      <w:r w:rsidRPr="00F01443">
        <w:rPr>
          <w:rFonts w:ascii="Palatino Linotype" w:hAnsi="Palatino Linotype" w:cs="Arial"/>
          <w:i/>
          <w:sz w:val="22"/>
          <w:szCs w:val="22"/>
        </w:rPr>
        <w:t xml:space="preserve"> El formato para señalar la clasificación parcial de un documento, es el siguiente:</w:t>
      </w:r>
    </w:p>
    <w:p w14:paraId="66542400" w14:textId="3B9B39FD" w:rsidR="00CA7A78" w:rsidRDefault="00CA7A78" w:rsidP="00CA7A78">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cs="Arial"/>
          <w:i/>
          <w:noProof/>
          <w:lang w:eastAsia="es-MX"/>
        </w:rPr>
        <w:lastRenderedPageBreak/>
        <w:drawing>
          <wp:inline distT="0" distB="0" distL="0" distR="0" wp14:anchorId="4D0C6FE8" wp14:editId="138BF4A5">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F5F867"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5329B9E5" w14:textId="6E84C657" w:rsidR="00CA7A78" w:rsidRPr="00514553"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w:t>
      </w:r>
      <w:r w:rsidRPr="0062325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61F17870" w14:textId="77777777" w:rsidR="00514553" w:rsidRDefault="00514553" w:rsidP="00514553">
      <w:pPr>
        <w:pStyle w:val="Prrafodelista"/>
        <w:tabs>
          <w:tab w:val="left" w:pos="426"/>
        </w:tabs>
        <w:spacing w:before="240" w:after="240" w:line="360" w:lineRule="auto"/>
        <w:ind w:left="0" w:right="51"/>
        <w:jc w:val="both"/>
        <w:rPr>
          <w:rFonts w:ascii="Palatino Linotype" w:eastAsia="MS Mincho" w:hAnsi="Palatino Linotype" w:cs="Times New Roman"/>
        </w:rPr>
      </w:pPr>
    </w:p>
    <w:p w14:paraId="07A65761" w14:textId="10F46AF9" w:rsidR="00514553" w:rsidRPr="00514553" w:rsidRDefault="00514553" w:rsidP="00485810">
      <w:pPr>
        <w:pStyle w:val="Prrafodelista"/>
        <w:tabs>
          <w:tab w:val="left" w:pos="426"/>
        </w:tabs>
        <w:spacing w:before="240" w:after="240" w:line="360" w:lineRule="auto"/>
        <w:ind w:left="0" w:right="51"/>
        <w:jc w:val="both"/>
        <w:outlineLvl w:val="2"/>
        <w:rPr>
          <w:rFonts w:ascii="Palatino Linotype" w:eastAsia="MS Mincho" w:hAnsi="Palatino Linotype" w:cs="Times New Roman"/>
          <w:b/>
        </w:rPr>
      </w:pPr>
      <w:bookmarkStart w:id="36" w:name="_Toc89209305"/>
      <w:r>
        <w:rPr>
          <w:rFonts w:ascii="Palatino Linotype" w:eastAsia="MS Mincho" w:hAnsi="Palatino Linotype" w:cs="Times New Roman"/>
          <w:b/>
        </w:rPr>
        <w:t>III. De las claves catastrales.</w:t>
      </w:r>
      <w:bookmarkEnd w:id="36"/>
    </w:p>
    <w:p w14:paraId="1372CCED" w14:textId="77777777" w:rsidR="00514553" w:rsidRPr="00514553" w:rsidRDefault="00514553" w:rsidP="00514553">
      <w:pPr>
        <w:pStyle w:val="Prrafodelista"/>
        <w:tabs>
          <w:tab w:val="left" w:pos="426"/>
        </w:tabs>
        <w:spacing w:before="240" w:after="240" w:line="360" w:lineRule="auto"/>
        <w:ind w:left="0" w:right="51"/>
        <w:jc w:val="both"/>
        <w:rPr>
          <w:rFonts w:ascii="Palatino Linotype" w:hAnsi="Palatino Linotype"/>
          <w:color w:val="000000" w:themeColor="text1"/>
        </w:rPr>
      </w:pPr>
    </w:p>
    <w:p w14:paraId="75B1D99E" w14:textId="5BFC7A20" w:rsidR="00514553" w:rsidRPr="007B5971" w:rsidRDefault="00514553" w:rsidP="00F050A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B5971">
        <w:rPr>
          <w:rFonts w:ascii="Palatino Linotype" w:eastAsia="MS Mincho" w:hAnsi="Palatino Linotype" w:cs="Times New Roman"/>
        </w:rPr>
        <w:t xml:space="preserve">Por otro lado, con relación a los instrumentos requeridos por el </w:t>
      </w:r>
      <w:r w:rsidRPr="007B5971">
        <w:rPr>
          <w:rFonts w:ascii="Palatino Linotype" w:eastAsia="MS Mincho" w:hAnsi="Palatino Linotype" w:cs="Times New Roman"/>
          <w:b/>
        </w:rPr>
        <w:t>RECURRENTE</w:t>
      </w:r>
      <w:r w:rsidRPr="007B5971">
        <w:rPr>
          <w:rFonts w:ascii="Palatino Linotype" w:eastAsia="MS Mincho" w:hAnsi="Palatino Linotype" w:cs="Times New Roman"/>
        </w:rPr>
        <w:t xml:space="preserve">, </w:t>
      </w:r>
      <w:r w:rsidRPr="007B5971">
        <w:rPr>
          <w:rFonts w:ascii="Palatino Linotype" w:eastAsia="MS Mincho" w:hAnsi="Palatino Linotype" w:cs="Times New Roman"/>
          <w:iCs/>
        </w:rPr>
        <w:t>se observa que en éstos obra, invariablemente, información catastral de diversos bienes inmuebles</w:t>
      </w:r>
      <w:r w:rsidR="007B5971" w:rsidRPr="007B5971">
        <w:rPr>
          <w:rFonts w:ascii="Palatino Linotype" w:eastAsia="MS Mincho" w:hAnsi="Palatino Linotype" w:cs="Times New Roman"/>
          <w:iCs/>
        </w:rPr>
        <w:t xml:space="preserve"> que</w:t>
      </w:r>
      <w:r w:rsidRPr="007B5971">
        <w:rPr>
          <w:rFonts w:ascii="Palatino Linotype" w:eastAsia="MS Mincho" w:hAnsi="Palatino Linotype" w:cs="Times New Roman"/>
          <w:iCs/>
        </w:rPr>
        <w:t xml:space="preserve">, como fuera analizado a lo largo del estudio de fondo de la resolución, determina los aspectos que comprende </w:t>
      </w:r>
      <w:r w:rsidR="007B5971" w:rsidRPr="007B5971">
        <w:rPr>
          <w:rFonts w:ascii="Palatino Linotype" w:eastAsia="MS Mincho" w:hAnsi="Palatino Linotype" w:cs="Times New Roman"/>
          <w:iCs/>
        </w:rPr>
        <w:t>el c</w:t>
      </w:r>
      <w:r w:rsidRPr="007B5971">
        <w:rPr>
          <w:rFonts w:ascii="Palatino Linotype" w:eastAsia="MS Mincho" w:hAnsi="Palatino Linotype" w:cs="Times New Roman"/>
          <w:iCs/>
        </w:rPr>
        <w:t xml:space="preserve">atastro, y define al padrón </w:t>
      </w:r>
      <w:r w:rsidRPr="007B5971">
        <w:rPr>
          <w:rFonts w:ascii="Palatino Linotype" w:eastAsia="MS Mincho" w:hAnsi="Palatino Linotype" w:cs="Times New Roman"/>
          <w:iCs/>
        </w:rPr>
        <w:lastRenderedPageBreak/>
        <w:t xml:space="preserve">catastral como </w:t>
      </w:r>
      <w:r w:rsidR="007B5971" w:rsidRPr="007B5971">
        <w:rPr>
          <w:rFonts w:ascii="Palatino Linotype" w:eastAsia="MS Mincho" w:hAnsi="Palatino Linotype" w:cs="Times New Roman"/>
          <w:iCs/>
        </w:rPr>
        <w:t>el</w:t>
      </w:r>
      <w:r w:rsidRPr="007B5971">
        <w:rPr>
          <w:rFonts w:ascii="Palatino Linotype" w:eastAsia="MS Mincho" w:hAnsi="Palatino Linotype" w:cs="Times New Roman"/>
          <w:iCs/>
        </w:rPr>
        <w:t xml:space="preserve"> inventario analítico</w:t>
      </w:r>
      <w:r w:rsidR="007B5971" w:rsidRPr="007B5971">
        <w:rPr>
          <w:rFonts w:ascii="Palatino Linotype" w:eastAsia="MS Mincho" w:hAnsi="Palatino Linotype" w:cs="Times New Roman"/>
          <w:iCs/>
        </w:rPr>
        <w:t xml:space="preserve"> que contiene los datos técnicos y administrativos de los inmuebles</w:t>
      </w:r>
      <w:r w:rsidR="007B5971">
        <w:rPr>
          <w:rFonts w:ascii="Palatino Linotype" w:eastAsia="MS Mincho" w:hAnsi="Palatino Linotype" w:cs="Times New Roman"/>
          <w:iCs/>
        </w:rPr>
        <w:t>.</w:t>
      </w:r>
    </w:p>
    <w:p w14:paraId="7FE60386" w14:textId="77777777" w:rsidR="007B5971" w:rsidRPr="007B5971" w:rsidRDefault="007B5971" w:rsidP="007B5971">
      <w:pPr>
        <w:pStyle w:val="Prrafodelista"/>
        <w:tabs>
          <w:tab w:val="left" w:pos="426"/>
        </w:tabs>
        <w:spacing w:before="240" w:after="240" w:line="360" w:lineRule="auto"/>
        <w:ind w:left="0" w:right="51"/>
        <w:jc w:val="both"/>
        <w:rPr>
          <w:rFonts w:ascii="Palatino Linotype" w:hAnsi="Palatino Linotype"/>
          <w:color w:val="000000" w:themeColor="text1"/>
        </w:rPr>
      </w:pPr>
    </w:p>
    <w:p w14:paraId="0BB892D3" w14:textId="78932A61" w:rsidR="00514553" w:rsidRPr="00514553" w:rsidRDefault="007B5971"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imes New Roman"/>
        </w:rPr>
        <w:t xml:space="preserve">Es </w:t>
      </w:r>
      <w:r w:rsidRPr="003F047F">
        <w:rPr>
          <w:rFonts w:ascii="Palatino Linotype" w:eastAsia="Calibri" w:hAnsi="Palatino Linotype" w:cs="Tahoma"/>
          <w:iCs/>
          <w:lang w:eastAsia="es-ES_tradnl"/>
        </w:rPr>
        <w:t xml:space="preserve">así </w:t>
      </w:r>
      <w:r w:rsidRPr="00A561C8">
        <w:rPr>
          <w:rFonts w:ascii="Palatino Linotype" w:eastAsia="Calibri" w:hAnsi="Palatino Linotype"/>
          <w:color w:val="000000"/>
          <w:lang w:eastAsia="en-US"/>
        </w:rPr>
        <w:t>como</w:t>
      </w:r>
      <w:r>
        <w:rPr>
          <w:rFonts w:ascii="Palatino Linotype" w:eastAsia="Calibri" w:hAnsi="Palatino Linotype" w:cs="Tahoma"/>
          <w:iCs/>
          <w:lang w:eastAsia="es-ES_tradnl"/>
        </w:rPr>
        <w:t xml:space="preserve"> podemos determinar</w:t>
      </w:r>
      <w:r w:rsidRPr="003F047F">
        <w:rPr>
          <w:rFonts w:ascii="Palatino Linotype" w:eastAsia="Calibri" w:hAnsi="Palatino Linotype" w:cs="Tahoma"/>
          <w:iCs/>
          <w:lang w:eastAsia="es-ES_tradnl"/>
        </w:rPr>
        <w:t xml:space="preserve"> que Catastro es un sistema de información territorial, que resguarda y actualiza el padrón catastral; que a su vez puede ser entendido como un inventario analítico en el que se encuentran los datos técnicos y administrativos de los inmuebles y que concentran la actividad catastral; asimismo faculta para que los ayuntamientos cuenten con una área encargada del Catastro.</w:t>
      </w:r>
    </w:p>
    <w:p w14:paraId="42F67A6F" w14:textId="77777777" w:rsidR="00514553" w:rsidRPr="00514553" w:rsidRDefault="00514553" w:rsidP="00514553">
      <w:pPr>
        <w:pStyle w:val="Prrafodelista"/>
        <w:tabs>
          <w:tab w:val="left" w:pos="426"/>
        </w:tabs>
        <w:spacing w:before="240" w:after="240" w:line="360" w:lineRule="auto"/>
        <w:ind w:left="0" w:right="51"/>
        <w:jc w:val="both"/>
        <w:rPr>
          <w:rFonts w:ascii="Palatino Linotype" w:hAnsi="Palatino Linotype"/>
          <w:color w:val="000000" w:themeColor="text1"/>
        </w:rPr>
      </w:pPr>
    </w:p>
    <w:p w14:paraId="08AD7426" w14:textId="618A36F7" w:rsidR="00514553" w:rsidRPr="00514553" w:rsidRDefault="007B5971"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imes New Roman"/>
        </w:rPr>
        <w:t xml:space="preserve">Asimismo, establecimos que la clave catastral es el </w:t>
      </w:r>
      <w:r w:rsidRPr="007B5971">
        <w:rPr>
          <w:rFonts w:ascii="Palatino Linotype" w:eastAsia="MS Mincho" w:hAnsi="Palatino Linotype" w:cs="Times New Roman"/>
        </w:rPr>
        <w:t>código alfanumérico único e irrepetible y está compuesto de dieciséis caracteres, que se asigna para efectos de localización geográfica, identificación, inscripción, control y registro de los inmuebles; los diez primeros deben ser caracteres numéricos y los seis últimos pueden ser alfanuméricos; su integración corresponde invariablemente y en estricto orden, a esta estructura: los tres primeros identifican al código del municipio, las dos siguientes 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r>
        <w:rPr>
          <w:rStyle w:val="Refdenotaalpie"/>
          <w:rFonts w:ascii="Palatino Linotype" w:eastAsia="MS Mincho" w:hAnsi="Palatino Linotype" w:cs="Times New Roman"/>
        </w:rPr>
        <w:footnoteReference w:id="27"/>
      </w:r>
      <w:r>
        <w:rPr>
          <w:rFonts w:ascii="Palatino Linotype" w:eastAsia="MS Mincho" w:hAnsi="Palatino Linotype" w:cs="Times New Roman"/>
        </w:rPr>
        <w:t>.</w:t>
      </w:r>
    </w:p>
    <w:p w14:paraId="04C3CDDE" w14:textId="77777777" w:rsidR="00514553" w:rsidRPr="00514553" w:rsidRDefault="00514553" w:rsidP="00514553">
      <w:pPr>
        <w:pStyle w:val="Prrafodelista"/>
        <w:tabs>
          <w:tab w:val="left" w:pos="426"/>
        </w:tabs>
        <w:spacing w:before="240" w:after="240" w:line="360" w:lineRule="auto"/>
        <w:ind w:left="0" w:right="51"/>
        <w:jc w:val="both"/>
        <w:rPr>
          <w:rFonts w:ascii="Palatino Linotype" w:hAnsi="Palatino Linotype"/>
          <w:color w:val="000000" w:themeColor="text1"/>
        </w:rPr>
      </w:pPr>
    </w:p>
    <w:p w14:paraId="6E702549" w14:textId="2805C0D1" w:rsidR="00514553" w:rsidRPr="00514553" w:rsidRDefault="007B5971"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imes New Roman"/>
        </w:rPr>
        <w:t xml:space="preserve">En consecuencia de lo anterior, </w:t>
      </w:r>
      <w:r w:rsidRPr="003F047F">
        <w:rPr>
          <w:rFonts w:ascii="Palatino Linotype" w:eastAsia="MS Mincho" w:hAnsi="Palatino Linotype" w:cs="Arial"/>
        </w:rPr>
        <w:t xml:space="preserve">se advierte que la calve catastral contiene datos que hacen identificable el patrimonio del propietario o poseedor de un bien </w:t>
      </w:r>
      <w:r w:rsidRPr="003F047F">
        <w:rPr>
          <w:rFonts w:ascii="Palatino Linotype" w:eastAsia="MS Mincho" w:hAnsi="Palatino Linotype" w:cs="Arial"/>
        </w:rPr>
        <w:lastRenderedPageBreak/>
        <w:t>inmueble, lo que aunado a la circunstancia que para la inscripción de cada inmueble, es necesario que los propietarios o poseedores tengan que presentar su respectiva manifestación catastral, para lo cual deberán proporcionar los datos previstos en el artículo 25, conforme a lo dispuesto en los artículos 26 y 27 del Reglamento del Título  Quinto  del Código  Financiero  multicitado,  que dispone</w:t>
      </w:r>
      <w:r w:rsidR="00485810">
        <w:rPr>
          <w:rFonts w:ascii="Palatino Linotype" w:eastAsia="MS Mincho" w:hAnsi="Palatino Linotype" w:cs="Arial"/>
        </w:rPr>
        <w:t>:</w:t>
      </w:r>
    </w:p>
    <w:p w14:paraId="22A34CD0" w14:textId="77777777" w:rsidR="00485810" w:rsidRDefault="00485810" w:rsidP="00485810">
      <w:pPr>
        <w:autoSpaceDE w:val="0"/>
        <w:autoSpaceDN w:val="0"/>
        <w:adjustRightInd w:val="0"/>
        <w:spacing w:line="276" w:lineRule="auto"/>
        <w:ind w:left="567" w:right="567"/>
        <w:jc w:val="both"/>
        <w:rPr>
          <w:rFonts w:ascii="Palatino Linotype" w:hAnsi="Palatino Linotype"/>
          <w:i/>
          <w:iCs/>
          <w:sz w:val="22"/>
          <w:lang w:val="es-ES"/>
        </w:rPr>
      </w:pPr>
      <w:r>
        <w:rPr>
          <w:rFonts w:ascii="Palatino Linotype" w:hAnsi="Palatino Linotype"/>
          <w:i/>
          <w:iCs/>
          <w:sz w:val="22"/>
          <w:lang w:val="es-ES"/>
        </w:rPr>
        <w:t>“</w:t>
      </w:r>
      <w:r w:rsidRPr="00DE13B8">
        <w:rPr>
          <w:rFonts w:ascii="Palatino Linotype" w:hAnsi="Palatino Linotype"/>
          <w:b/>
          <w:i/>
          <w:iCs/>
          <w:sz w:val="22"/>
          <w:lang w:val="es-ES"/>
        </w:rPr>
        <w:t>Artículo 25.-</w:t>
      </w:r>
      <w:r w:rsidRPr="00DE13B8">
        <w:rPr>
          <w:rFonts w:ascii="Palatino Linotype" w:hAnsi="Palatino Linotype"/>
          <w:i/>
          <w:iCs/>
          <w:sz w:val="22"/>
          <w:lang w:val="es-ES"/>
        </w:rPr>
        <w:t xml:space="preserve"> La manifestación catastral deberá emitirse por duplicado y contener como mínimo, los siguientes datos: </w:t>
      </w:r>
    </w:p>
    <w:p w14:paraId="6DC69A35" w14:textId="77777777" w:rsidR="00485810" w:rsidRDefault="00485810" w:rsidP="00485810">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I.</w:t>
      </w:r>
      <w:r w:rsidRPr="00DE13B8">
        <w:rPr>
          <w:rFonts w:ascii="Palatino Linotype" w:hAnsi="Palatino Linotype"/>
          <w:i/>
          <w:iCs/>
          <w:sz w:val="22"/>
          <w:lang w:val="es-ES"/>
        </w:rPr>
        <w:t xml:space="preserve"> Clave catastral del inmueble. </w:t>
      </w:r>
    </w:p>
    <w:p w14:paraId="7716CA81" w14:textId="77777777" w:rsidR="00485810" w:rsidRDefault="00485810" w:rsidP="00485810">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II.</w:t>
      </w:r>
      <w:r w:rsidRPr="00DE13B8">
        <w:rPr>
          <w:rFonts w:ascii="Palatino Linotype" w:hAnsi="Palatino Linotype"/>
          <w:i/>
          <w:iCs/>
          <w:sz w:val="22"/>
          <w:lang w:val="es-ES"/>
        </w:rPr>
        <w:t xml:space="preserve"> Nombre del propietario o poseedor. </w:t>
      </w:r>
    </w:p>
    <w:p w14:paraId="40639C64" w14:textId="77777777" w:rsidR="00485810" w:rsidRDefault="00485810" w:rsidP="00485810">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III.</w:t>
      </w:r>
      <w:r w:rsidRPr="00DE13B8">
        <w:rPr>
          <w:rFonts w:ascii="Palatino Linotype" w:hAnsi="Palatino Linotype"/>
          <w:i/>
          <w:iCs/>
          <w:sz w:val="22"/>
          <w:lang w:val="es-ES"/>
        </w:rPr>
        <w:t xml:space="preserve"> Clave única de Registro de Población (CURP). </w:t>
      </w:r>
    </w:p>
    <w:p w14:paraId="487386F6" w14:textId="77777777" w:rsidR="00485810" w:rsidRDefault="00485810" w:rsidP="00485810">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IV.</w:t>
      </w:r>
      <w:r w:rsidRPr="00DE13B8">
        <w:rPr>
          <w:rFonts w:ascii="Palatino Linotype" w:hAnsi="Palatino Linotype"/>
          <w:i/>
          <w:iCs/>
          <w:sz w:val="22"/>
          <w:lang w:val="es-ES"/>
        </w:rPr>
        <w:t xml:space="preserve"> Ubicación del inmueble. </w:t>
      </w:r>
    </w:p>
    <w:p w14:paraId="130D7505" w14:textId="77777777" w:rsidR="00485810" w:rsidRDefault="00485810" w:rsidP="00485810">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V.</w:t>
      </w:r>
      <w:r w:rsidRPr="00DE13B8">
        <w:rPr>
          <w:rFonts w:ascii="Palatino Linotype" w:hAnsi="Palatino Linotype"/>
          <w:i/>
          <w:iCs/>
          <w:sz w:val="22"/>
          <w:lang w:val="es-ES"/>
        </w:rPr>
        <w:t xml:space="preserve"> Domicilio para oír y recibir notificaciones. </w:t>
      </w:r>
    </w:p>
    <w:p w14:paraId="064EF8A4" w14:textId="77777777" w:rsidR="00485810" w:rsidRDefault="00485810" w:rsidP="00485810">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VI.</w:t>
      </w:r>
      <w:r w:rsidRPr="00DE13B8">
        <w:rPr>
          <w:rFonts w:ascii="Palatino Linotype" w:hAnsi="Palatino Linotype"/>
          <w:i/>
          <w:iCs/>
          <w:sz w:val="22"/>
          <w:lang w:val="es-ES"/>
        </w:rPr>
        <w:t xml:space="preserve"> Superficie del terreno. </w:t>
      </w:r>
    </w:p>
    <w:p w14:paraId="1EA56B6B" w14:textId="77777777" w:rsidR="00485810" w:rsidRDefault="00485810" w:rsidP="00485810">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VII.</w:t>
      </w:r>
      <w:r w:rsidRPr="00DE13B8">
        <w:rPr>
          <w:rFonts w:ascii="Palatino Linotype" w:hAnsi="Palatino Linotype"/>
          <w:i/>
          <w:iCs/>
          <w:sz w:val="22"/>
          <w:lang w:val="es-ES"/>
        </w:rPr>
        <w:t xml:space="preserve"> Superficie de la construcción. </w:t>
      </w:r>
    </w:p>
    <w:p w14:paraId="4B16B86B" w14:textId="77777777" w:rsidR="00485810" w:rsidRDefault="00485810" w:rsidP="00485810">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VIII.</w:t>
      </w:r>
      <w:r w:rsidRPr="00DE13B8">
        <w:rPr>
          <w:rFonts w:ascii="Palatino Linotype" w:hAnsi="Palatino Linotype"/>
          <w:i/>
          <w:iCs/>
          <w:sz w:val="22"/>
          <w:lang w:val="es-ES"/>
        </w:rPr>
        <w:t xml:space="preserve"> En caso de condominio, superficies comunes de terreno y construcción, así como el indiviso. </w:t>
      </w:r>
    </w:p>
    <w:p w14:paraId="41ADC4D3" w14:textId="77777777" w:rsidR="00485810" w:rsidRDefault="00485810" w:rsidP="00485810">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IX.</w:t>
      </w:r>
      <w:r w:rsidRPr="00DE13B8">
        <w:rPr>
          <w:rFonts w:ascii="Palatino Linotype" w:hAnsi="Palatino Linotype"/>
          <w:i/>
          <w:iCs/>
          <w:sz w:val="22"/>
          <w:lang w:val="es-ES"/>
        </w:rPr>
        <w:t xml:space="preserve"> Uso y destino. </w:t>
      </w:r>
    </w:p>
    <w:p w14:paraId="4264B855" w14:textId="77777777" w:rsidR="00485810" w:rsidRDefault="00485810" w:rsidP="00485810">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X.</w:t>
      </w:r>
      <w:r w:rsidRPr="00DE13B8">
        <w:rPr>
          <w:rFonts w:ascii="Palatino Linotype" w:hAnsi="Palatino Linotype"/>
          <w:i/>
          <w:iCs/>
          <w:sz w:val="22"/>
          <w:lang w:val="es-ES"/>
        </w:rPr>
        <w:t xml:space="preserve"> Reserva, provisión, en su caso si cuenta con hipoteca y embargo. </w:t>
      </w:r>
    </w:p>
    <w:p w14:paraId="2D005B03" w14:textId="77777777" w:rsidR="00485810" w:rsidRDefault="00485810" w:rsidP="00485810">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XI.</w:t>
      </w:r>
      <w:r w:rsidRPr="00DE13B8">
        <w:rPr>
          <w:rFonts w:ascii="Palatino Linotype" w:hAnsi="Palatino Linotype"/>
          <w:i/>
          <w:iCs/>
          <w:sz w:val="22"/>
          <w:lang w:val="es-ES"/>
        </w:rPr>
        <w:t xml:space="preserve"> Régimen jurídico de la propiedad o posesión. </w:t>
      </w:r>
    </w:p>
    <w:p w14:paraId="01B05C88" w14:textId="77777777" w:rsidR="00485810" w:rsidRDefault="00485810" w:rsidP="00485810">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XII.</w:t>
      </w:r>
      <w:r w:rsidRPr="00DE13B8">
        <w:rPr>
          <w:rFonts w:ascii="Palatino Linotype" w:hAnsi="Palatino Linotype"/>
          <w:i/>
          <w:iCs/>
          <w:sz w:val="22"/>
          <w:lang w:val="es-ES"/>
        </w:rPr>
        <w:t xml:space="preserve"> Valor de terreno, de construcción y valor total catastral o de avalúo. </w:t>
      </w:r>
    </w:p>
    <w:p w14:paraId="65DA8A19" w14:textId="77777777" w:rsidR="00485810" w:rsidRDefault="00485810" w:rsidP="00485810">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XIII.</w:t>
      </w:r>
      <w:r w:rsidRPr="00DE13B8">
        <w:rPr>
          <w:rFonts w:ascii="Palatino Linotype" w:hAnsi="Palatino Linotype"/>
          <w:i/>
          <w:iCs/>
          <w:sz w:val="22"/>
          <w:lang w:val="es-ES"/>
        </w:rPr>
        <w:t xml:space="preserve"> Fecha de elaboración. </w:t>
      </w:r>
    </w:p>
    <w:p w14:paraId="0BF0BFDF" w14:textId="77777777" w:rsidR="00485810" w:rsidRDefault="00485810" w:rsidP="00485810">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XIV.</w:t>
      </w:r>
      <w:r w:rsidRPr="00DE13B8">
        <w:rPr>
          <w:rFonts w:ascii="Palatino Linotype" w:hAnsi="Palatino Linotype"/>
          <w:i/>
          <w:iCs/>
          <w:sz w:val="22"/>
          <w:lang w:val="es-ES"/>
        </w:rPr>
        <w:t xml:space="preserve"> Nombre y firma del propietario, poseedor o representante legal. </w:t>
      </w:r>
    </w:p>
    <w:p w14:paraId="2DFD8FE0" w14:textId="77777777" w:rsidR="00485810" w:rsidRDefault="00485810" w:rsidP="00485810">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XV</w:t>
      </w:r>
      <w:r w:rsidRPr="00DE13B8">
        <w:rPr>
          <w:rFonts w:ascii="Palatino Linotype" w:hAnsi="Palatino Linotype"/>
          <w:i/>
          <w:iCs/>
          <w:sz w:val="22"/>
          <w:lang w:val="es-ES"/>
        </w:rPr>
        <w:t xml:space="preserve">. Nombre, firma y sello de la autoridad catastral. </w:t>
      </w:r>
    </w:p>
    <w:p w14:paraId="73855140" w14:textId="77777777" w:rsidR="00485810" w:rsidRPr="00DE13B8" w:rsidRDefault="00485810" w:rsidP="00485810">
      <w:pPr>
        <w:autoSpaceDE w:val="0"/>
        <w:autoSpaceDN w:val="0"/>
        <w:adjustRightInd w:val="0"/>
        <w:spacing w:line="276" w:lineRule="auto"/>
        <w:ind w:left="567" w:right="567"/>
        <w:jc w:val="both"/>
        <w:rPr>
          <w:rFonts w:ascii="Palatino Linotype" w:hAnsi="Palatino Linotype"/>
          <w:i/>
          <w:iCs/>
          <w:sz w:val="22"/>
          <w:lang w:val="es-ES"/>
        </w:rPr>
      </w:pPr>
    </w:p>
    <w:p w14:paraId="5C8AEC06" w14:textId="77777777" w:rsidR="00485810" w:rsidRPr="00DE13B8" w:rsidRDefault="00485810" w:rsidP="00485810">
      <w:pPr>
        <w:autoSpaceDE w:val="0"/>
        <w:autoSpaceDN w:val="0"/>
        <w:adjustRightInd w:val="0"/>
        <w:spacing w:line="276" w:lineRule="auto"/>
        <w:ind w:left="567" w:right="567"/>
        <w:jc w:val="both"/>
        <w:rPr>
          <w:rFonts w:ascii="Palatino Linotype" w:hAnsi="Palatino Linotype"/>
          <w:i/>
          <w:iCs/>
          <w:sz w:val="22"/>
          <w:lang w:val="es-ES"/>
        </w:rPr>
      </w:pPr>
      <w:r w:rsidRPr="00A656BA">
        <w:rPr>
          <w:rFonts w:ascii="Palatino Linotype" w:hAnsi="Palatino Linotype"/>
          <w:b/>
          <w:i/>
          <w:iCs/>
          <w:sz w:val="22"/>
          <w:lang w:val="es-ES"/>
        </w:rPr>
        <w:t>Artículo 26.-</w:t>
      </w:r>
      <w:r w:rsidRPr="00DE13B8">
        <w:rPr>
          <w:rFonts w:ascii="Palatino Linotype" w:hAnsi="Palatino Linotype"/>
          <w:i/>
          <w:iCs/>
          <w:sz w:val="22"/>
          <w:lang w:val="es-ES"/>
        </w:rPr>
        <w:t xml:space="preserve"> Para la inscripción inicial de un inmueble en el padrón catastral municipal, el Catastro Municipal asignará la clave catastral conforme a la estructura determinada en la fracción I del artículo 179 del Código y en todo caso atenderá a los lineamientos y procedimientos establecidos en el Manual Catastral.</w:t>
      </w:r>
    </w:p>
    <w:p w14:paraId="588D920C" w14:textId="77777777" w:rsidR="00485810" w:rsidRDefault="00485810" w:rsidP="00485810">
      <w:pPr>
        <w:autoSpaceDE w:val="0"/>
        <w:autoSpaceDN w:val="0"/>
        <w:adjustRightInd w:val="0"/>
        <w:spacing w:line="276" w:lineRule="auto"/>
        <w:ind w:left="567" w:right="567"/>
        <w:jc w:val="both"/>
        <w:rPr>
          <w:rFonts w:ascii="Palatino Linotype" w:hAnsi="Palatino Linotype"/>
          <w:i/>
          <w:iCs/>
          <w:sz w:val="22"/>
          <w:lang w:val="es-ES"/>
        </w:rPr>
      </w:pPr>
    </w:p>
    <w:p w14:paraId="4A28B777" w14:textId="77777777" w:rsidR="00485810" w:rsidRPr="00DE13B8" w:rsidRDefault="00485810" w:rsidP="00485810">
      <w:pPr>
        <w:autoSpaceDE w:val="0"/>
        <w:autoSpaceDN w:val="0"/>
        <w:adjustRightInd w:val="0"/>
        <w:spacing w:line="276" w:lineRule="auto"/>
        <w:ind w:left="567" w:right="567"/>
        <w:jc w:val="both"/>
        <w:rPr>
          <w:rFonts w:ascii="Palatino Linotype" w:eastAsia="MS Mincho" w:hAnsi="Palatino Linotype" w:cs="Arial"/>
          <w:i/>
          <w:iCs/>
          <w:sz w:val="22"/>
        </w:rPr>
      </w:pPr>
      <w:r w:rsidRPr="00DE13B8">
        <w:rPr>
          <w:rFonts w:ascii="Palatino Linotype" w:hAnsi="Palatino Linotype"/>
          <w:i/>
          <w:iCs/>
          <w:sz w:val="22"/>
          <w:lang w:val="es-ES"/>
        </w:rPr>
        <w:t xml:space="preserve"> </w:t>
      </w:r>
      <w:r w:rsidRPr="00A656BA">
        <w:rPr>
          <w:rFonts w:ascii="Palatino Linotype" w:hAnsi="Palatino Linotype"/>
          <w:b/>
          <w:i/>
          <w:iCs/>
          <w:sz w:val="22"/>
          <w:lang w:val="es-ES"/>
        </w:rPr>
        <w:t>Artículo 27.-</w:t>
      </w:r>
      <w:r w:rsidRPr="00DE13B8">
        <w:rPr>
          <w:rFonts w:ascii="Palatino Linotype" w:hAnsi="Palatino Linotype"/>
          <w:i/>
          <w:iCs/>
          <w:sz w:val="22"/>
          <w:lang w:val="es-ES"/>
        </w:rPr>
        <w:t xml:space="preserve"> La clave catastral invariablemente se inscribirá tanto en el registro gráfico como en el alfanumérico y en su asignación no se permitirán duplicidades.</w:t>
      </w:r>
      <w:r>
        <w:rPr>
          <w:rFonts w:ascii="Palatino Linotype" w:hAnsi="Palatino Linotype"/>
          <w:i/>
          <w:iCs/>
          <w:sz w:val="22"/>
          <w:lang w:val="es-ES"/>
        </w:rPr>
        <w:t>”</w:t>
      </w:r>
    </w:p>
    <w:p w14:paraId="35373970" w14:textId="77777777" w:rsidR="00485810" w:rsidRPr="00514553" w:rsidRDefault="00485810" w:rsidP="00514553">
      <w:pPr>
        <w:pStyle w:val="Prrafodelista"/>
        <w:tabs>
          <w:tab w:val="left" w:pos="426"/>
        </w:tabs>
        <w:spacing w:before="240" w:after="240" w:line="360" w:lineRule="auto"/>
        <w:ind w:left="0" w:right="51"/>
        <w:jc w:val="both"/>
        <w:rPr>
          <w:rFonts w:ascii="Palatino Linotype" w:hAnsi="Palatino Linotype"/>
          <w:color w:val="000000" w:themeColor="text1"/>
        </w:rPr>
      </w:pPr>
    </w:p>
    <w:p w14:paraId="43215399" w14:textId="55E257B8" w:rsidR="00514553" w:rsidRPr="00514553" w:rsidRDefault="00485810"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imes New Roman"/>
        </w:rPr>
        <w:t xml:space="preserve">De </w:t>
      </w:r>
      <w:r w:rsidRPr="003F047F">
        <w:rPr>
          <w:rFonts w:ascii="Palatino Linotype" w:eastAsia="MS Mincho" w:hAnsi="Palatino Linotype" w:cs="Arial"/>
        </w:rPr>
        <w:t xml:space="preserve">los dispositivos legales en mención se advierte que </w:t>
      </w:r>
      <w:r>
        <w:rPr>
          <w:rFonts w:ascii="Palatino Linotype" w:eastAsia="MS Mincho" w:hAnsi="Palatino Linotype" w:cs="Arial"/>
        </w:rPr>
        <w:t xml:space="preserve">para </w:t>
      </w:r>
      <w:r w:rsidRPr="003F047F">
        <w:rPr>
          <w:rFonts w:ascii="Palatino Linotype" w:eastAsia="MS Mincho" w:hAnsi="Palatino Linotype" w:cs="Arial"/>
        </w:rPr>
        <w:t>inscri</w:t>
      </w:r>
      <w:r>
        <w:rPr>
          <w:rFonts w:ascii="Palatino Linotype" w:eastAsia="MS Mincho" w:hAnsi="Palatino Linotype" w:cs="Arial"/>
        </w:rPr>
        <w:t>bir</w:t>
      </w:r>
      <w:r w:rsidRPr="003F047F">
        <w:rPr>
          <w:rFonts w:ascii="Palatino Linotype" w:eastAsia="MS Mincho" w:hAnsi="Palatino Linotype" w:cs="Arial"/>
        </w:rPr>
        <w:t xml:space="preserve"> un inmueble en el padrón catastral, el catastro deberá asignarle una clave conforme a la estructura establecida en el Código Financiero, atendiendo los lineamientos establecido en el Manual Catastral.</w:t>
      </w:r>
    </w:p>
    <w:p w14:paraId="0D02C64B" w14:textId="77777777" w:rsidR="00514553" w:rsidRPr="00514553" w:rsidRDefault="00514553" w:rsidP="00514553">
      <w:pPr>
        <w:pStyle w:val="Prrafodelista"/>
        <w:tabs>
          <w:tab w:val="left" w:pos="426"/>
        </w:tabs>
        <w:spacing w:before="240" w:after="240" w:line="360" w:lineRule="auto"/>
        <w:ind w:left="0" w:right="51"/>
        <w:jc w:val="both"/>
        <w:rPr>
          <w:rFonts w:ascii="Palatino Linotype" w:hAnsi="Palatino Linotype"/>
          <w:color w:val="000000" w:themeColor="text1"/>
        </w:rPr>
      </w:pPr>
    </w:p>
    <w:p w14:paraId="36BACA2A" w14:textId="51354672" w:rsidR="00514553" w:rsidRPr="00485810" w:rsidRDefault="00485810"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imes New Roman"/>
        </w:rPr>
        <w:t xml:space="preserve">En </w:t>
      </w:r>
      <w:r w:rsidRPr="003F047F">
        <w:rPr>
          <w:rFonts w:ascii="Palatino Linotype" w:eastAsia="MS Mincho" w:hAnsi="Palatino Linotype" w:cs="Arial"/>
        </w:rPr>
        <w:t>consecuencia, debe precisarse que si bien la clave catastral es un código alfanumérico único e irrepetible y está compuesto de dieciséis caracteres, que se asigna para efectos de localización geográfica, identificación, inscripción, control y registro de los inmuebles</w:t>
      </w:r>
      <w:r>
        <w:rPr>
          <w:rFonts w:ascii="Palatino Linotype" w:eastAsia="MS Mincho" w:hAnsi="Palatino Linotype" w:cs="Arial"/>
        </w:rPr>
        <w:t>;</w:t>
      </w:r>
      <w:r w:rsidRPr="003F047F">
        <w:rPr>
          <w:rFonts w:ascii="Palatino Linotype" w:eastAsia="MS Mincho" w:hAnsi="Palatino Linotype" w:cs="Arial"/>
        </w:rPr>
        <w:t xml:space="preserve"> </w:t>
      </w:r>
      <w:r w:rsidRPr="00A656BA">
        <w:rPr>
          <w:rFonts w:ascii="Palatino Linotype" w:eastAsia="MS Mincho" w:hAnsi="Palatino Linotype" w:cs="Arial"/>
          <w:b/>
        </w:rPr>
        <w:t xml:space="preserve">a través </w:t>
      </w:r>
      <w:r>
        <w:rPr>
          <w:rFonts w:ascii="Palatino Linotype" w:eastAsia="MS Mincho" w:hAnsi="Palatino Linotype" w:cs="Arial"/>
          <w:b/>
        </w:rPr>
        <w:t>de este</w:t>
      </w:r>
      <w:r w:rsidRPr="00A656BA">
        <w:rPr>
          <w:rFonts w:ascii="Palatino Linotype" w:eastAsia="MS Mincho" w:hAnsi="Palatino Linotype" w:cs="Arial"/>
          <w:b/>
        </w:rPr>
        <w:t xml:space="preserve"> dato se pueden saber datos relativos al patrimonio del propietario y/o poseedor de un bien inmueble</w:t>
      </w:r>
      <w:r w:rsidRPr="003F047F">
        <w:rPr>
          <w:rFonts w:ascii="Palatino Linotype" w:eastAsia="MS Mincho" w:hAnsi="Palatino Linotype" w:cs="Arial"/>
        </w:rPr>
        <w:t>.</w:t>
      </w:r>
    </w:p>
    <w:p w14:paraId="5C71B7C1" w14:textId="77777777" w:rsidR="00485810" w:rsidRPr="00485810" w:rsidRDefault="00485810" w:rsidP="00485810">
      <w:pPr>
        <w:pStyle w:val="Prrafodelista"/>
        <w:tabs>
          <w:tab w:val="left" w:pos="426"/>
        </w:tabs>
        <w:spacing w:before="240" w:after="240" w:line="360" w:lineRule="auto"/>
        <w:ind w:left="0" w:right="51"/>
        <w:jc w:val="both"/>
        <w:rPr>
          <w:rFonts w:ascii="Palatino Linotype" w:hAnsi="Palatino Linotype"/>
          <w:color w:val="000000" w:themeColor="text1"/>
        </w:rPr>
      </w:pPr>
    </w:p>
    <w:p w14:paraId="646D07FA" w14:textId="4985E843" w:rsidR="00485810" w:rsidRPr="00485810" w:rsidRDefault="00485810"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Lo </w:t>
      </w:r>
      <w:r w:rsidRPr="003F047F">
        <w:rPr>
          <w:rFonts w:ascii="Palatino Linotype" w:eastAsia="MS Mincho" w:hAnsi="Palatino Linotype" w:cs="Arial"/>
        </w:rPr>
        <w:t xml:space="preserve">anterior se sustenta del análisis a la legislación en materia catastral, toda vez que a través </w:t>
      </w:r>
      <w:r w:rsidRPr="00A656BA">
        <w:rPr>
          <w:rFonts w:ascii="Palatino Linotype" w:eastAsia="MS Mincho" w:hAnsi="Palatino Linotype" w:cs="Arial"/>
          <w:b/>
        </w:rPr>
        <w:t>de  la  clave  catastral  se  puede  determinar  el  importe  a  pagar  por  concepto  de   impuesto  predial, uso de suelo que le corresponde a la fracción  de terreno  en que se encuentra  ubicado el inmueble, superficie total del terreno, características del terreno, superficie total de construcción y características de la misma, uso específico del predio, valor  catastral  del terreno y de la construcción, información que constituyen  datos patrimoniales</w:t>
      </w:r>
      <w:r w:rsidRPr="003F047F">
        <w:rPr>
          <w:rFonts w:ascii="Palatino Linotype" w:eastAsia="MS Mincho" w:hAnsi="Palatino Linotype" w:cs="Arial"/>
        </w:rPr>
        <w:t>.</w:t>
      </w:r>
    </w:p>
    <w:p w14:paraId="4318D31C" w14:textId="77777777" w:rsidR="00485810" w:rsidRPr="00485810" w:rsidRDefault="00485810" w:rsidP="00485810">
      <w:pPr>
        <w:pStyle w:val="Prrafodelista"/>
        <w:tabs>
          <w:tab w:val="left" w:pos="426"/>
        </w:tabs>
        <w:spacing w:before="240" w:after="240" w:line="360" w:lineRule="auto"/>
        <w:ind w:left="0" w:right="51"/>
        <w:jc w:val="both"/>
        <w:rPr>
          <w:rFonts w:ascii="Palatino Linotype" w:hAnsi="Palatino Linotype"/>
          <w:color w:val="000000" w:themeColor="text1"/>
        </w:rPr>
      </w:pPr>
    </w:p>
    <w:p w14:paraId="50465D39" w14:textId="03FE7CCC" w:rsidR="00485810" w:rsidRPr="00485810" w:rsidRDefault="00485810"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Arial"/>
        </w:rPr>
        <w:t xml:space="preserve">Bajo </w:t>
      </w:r>
      <w:r w:rsidRPr="003F047F">
        <w:rPr>
          <w:rFonts w:ascii="Palatino Linotype" w:eastAsia="Calibri" w:hAnsi="Palatino Linotype" w:cs="Tahoma"/>
          <w:iCs/>
          <w:lang w:eastAsia="es-ES_tradnl"/>
        </w:rPr>
        <w:t xml:space="preserve">este orden de ideas, al tratarse de información relacionada con el patrimonio de </w:t>
      </w:r>
      <w:r w:rsidRPr="00A561C8">
        <w:rPr>
          <w:rFonts w:ascii="Palatino Linotype" w:eastAsia="MS Mincho" w:hAnsi="Palatino Linotype" w:cs="Arial"/>
        </w:rPr>
        <w:t>una</w:t>
      </w:r>
      <w:r w:rsidRPr="003F047F">
        <w:rPr>
          <w:rFonts w:ascii="Palatino Linotype" w:eastAsia="Calibri" w:hAnsi="Palatino Linotype" w:cs="Tahoma"/>
          <w:iCs/>
          <w:lang w:eastAsia="es-ES_tradnl"/>
        </w:rPr>
        <w:t xml:space="preserve"> persona física, sin ninguna intervención de recursos públicos, se considera que no es procedente </w:t>
      </w:r>
      <w:r>
        <w:rPr>
          <w:rFonts w:ascii="Palatino Linotype" w:eastAsia="Calibri" w:hAnsi="Palatino Linotype" w:cs="Tahoma"/>
          <w:iCs/>
          <w:lang w:eastAsia="es-ES_tradnl"/>
        </w:rPr>
        <w:t>su difusión</w:t>
      </w:r>
      <w:r w:rsidRPr="003F047F">
        <w:rPr>
          <w:rFonts w:ascii="Palatino Linotype" w:eastAsia="Calibri" w:hAnsi="Palatino Linotype" w:cs="Tahoma"/>
          <w:iCs/>
          <w:lang w:eastAsia="es-ES_tradnl"/>
        </w:rPr>
        <w:t>, al tratarse de los datos personales de un particular</w:t>
      </w:r>
      <w:r>
        <w:rPr>
          <w:rFonts w:ascii="Palatino Linotype" w:eastAsia="Calibri" w:hAnsi="Palatino Linotype" w:cs="Tahoma"/>
          <w:iCs/>
          <w:lang w:eastAsia="es-ES_tradnl"/>
        </w:rPr>
        <w:t xml:space="preserve">, </w:t>
      </w:r>
      <w:r w:rsidRPr="003F047F">
        <w:rPr>
          <w:rFonts w:ascii="Palatino Linotype" w:eastAsia="Calibri" w:hAnsi="Palatino Linotype" w:cs="Tahoma"/>
          <w:iCs/>
          <w:lang w:eastAsia="es-ES_tradnl"/>
        </w:rPr>
        <w:t>por lo que se deberá proceder a su tratamiento</w:t>
      </w:r>
      <w:r>
        <w:rPr>
          <w:rFonts w:ascii="Palatino Linotype" w:eastAsia="Calibri" w:hAnsi="Palatino Linotype" w:cs="Tahoma"/>
          <w:iCs/>
          <w:lang w:eastAsia="es-ES_tradnl"/>
        </w:rPr>
        <w:t xml:space="preserve"> de clasificación previo </w:t>
      </w:r>
      <w:r>
        <w:rPr>
          <w:rFonts w:ascii="Palatino Linotype" w:eastAsia="Calibri" w:hAnsi="Palatino Linotype" w:cs="Tahoma"/>
          <w:iCs/>
          <w:lang w:eastAsia="es-ES_tradnl"/>
        </w:rPr>
        <w:lastRenderedPageBreak/>
        <w:t xml:space="preserve">a la exhibición de los documentos solicitados por el particular para ser consultados vía </w:t>
      </w:r>
      <w:r>
        <w:rPr>
          <w:rFonts w:ascii="Palatino Linotype" w:eastAsia="Calibri" w:hAnsi="Palatino Linotype" w:cs="Tahoma"/>
          <w:i/>
          <w:lang w:eastAsia="es-ES_tradnl"/>
        </w:rPr>
        <w:t>in situ</w:t>
      </w:r>
      <w:r>
        <w:rPr>
          <w:rFonts w:ascii="Palatino Linotype" w:eastAsia="Calibri" w:hAnsi="Palatino Linotype" w:cs="Tahoma"/>
          <w:iCs/>
          <w:lang w:eastAsia="es-ES_tradnl"/>
        </w:rPr>
        <w:t>.</w:t>
      </w:r>
    </w:p>
    <w:p w14:paraId="3BF7A64C"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76B9F57B" w14:textId="630E2A1D" w:rsidR="00CA7A78" w:rsidRDefault="00CA7A78" w:rsidP="00CA7A7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7" w:name="_Toc89209306"/>
      <w:r>
        <w:rPr>
          <w:rFonts w:ascii="Palatino Linotype" w:hAnsi="Palatino Linotype"/>
          <w:b/>
          <w:color w:val="000000" w:themeColor="text1"/>
        </w:rPr>
        <w:t>I</w:t>
      </w:r>
      <w:r w:rsidR="00514553">
        <w:rPr>
          <w:rFonts w:ascii="Palatino Linotype" w:hAnsi="Palatino Linotype"/>
          <w:b/>
          <w:color w:val="000000" w:themeColor="text1"/>
        </w:rPr>
        <w:t>V</w:t>
      </w:r>
      <w:r>
        <w:rPr>
          <w:rFonts w:ascii="Palatino Linotype" w:hAnsi="Palatino Linotype"/>
          <w:b/>
          <w:color w:val="000000" w:themeColor="text1"/>
        </w:rPr>
        <w:t>. La intervención del Comité de Transparencia.</w:t>
      </w:r>
      <w:bookmarkEnd w:id="37"/>
    </w:p>
    <w:p w14:paraId="4B083D4C" w14:textId="2F89BEF9" w:rsidR="00CA7A78" w:rsidRPr="00CA7A78" w:rsidRDefault="00CA7A78" w:rsidP="00CA7A78">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a) Formalidades para emitir el Acuerdo de clasificación.</w:t>
      </w:r>
    </w:p>
    <w:p w14:paraId="570B75E1"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9095867"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6913A11"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0C6D5F11"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Evidentemente, </w:t>
      </w:r>
      <w:r w:rsidRPr="0062325E">
        <w:rPr>
          <w:rFonts w:ascii="Palatino Linotype" w:eastAsia="MS Mincho" w:hAnsi="Palatino Linotype" w:cs="Times New Roman"/>
        </w:rPr>
        <w:t xml:space="preserve">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w:t>
      </w:r>
      <w:r w:rsidRPr="0062325E">
        <w:rPr>
          <w:rFonts w:ascii="Palatino Linotype" w:eastAsia="MS Mincho" w:hAnsi="Palatino Linotype" w:cs="Times New Roman"/>
        </w:rPr>
        <w:lastRenderedPageBreak/>
        <w:t>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AE4CE30"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D0F1764" w14:textId="16C6FE6D"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6B39305"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6B1B6028" w14:textId="4422CCF2" w:rsidR="00CA7A78" w:rsidRPr="00CA7A78" w:rsidRDefault="00CA7A78" w:rsidP="00CA7A78">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b) Requisitos de fondo del Acuerdo de Clasificación.</w:t>
      </w:r>
    </w:p>
    <w:p w14:paraId="1444C017"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125EFA8"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767A7BD"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5E9B0833"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62325E">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C96872E"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5CCFD2D"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Han </w:t>
      </w:r>
      <w:r w:rsidRPr="0062325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62325E">
        <w:rPr>
          <w:rFonts w:ascii="Palatino Linotype" w:eastAsia="MS Mincho" w:hAnsi="Palatino Linotype" w:cs="Times New Roman"/>
          <w:i/>
          <w:iCs/>
        </w:rPr>
        <w:t xml:space="preserv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proofErr w:type="gramStart"/>
      <w:r w:rsidRPr="0062325E">
        <w:rPr>
          <w:rFonts w:ascii="Palatino Linotype" w:eastAsia="MS Mincho" w:hAnsi="Palatino Linotype" w:cs="Times New Roman"/>
          <w:i/>
          <w:iCs/>
        </w:rPr>
        <w:t>(....</w:t>
      </w:r>
      <w:proofErr w:type="gramEnd"/>
      <w:r w:rsidRPr="0062325E">
        <w:rPr>
          <w:rFonts w:ascii="Palatino Linotype" w:eastAsia="MS Mincho" w:hAnsi="Palatino Linotype" w:cs="Times New Roman"/>
          <w:i/>
          <w:iCs/>
        </w:rPr>
        <w:t>)”</w:t>
      </w:r>
      <w:r>
        <w:rPr>
          <w:rFonts w:ascii="Palatino Linotype" w:eastAsia="MS Mincho" w:hAnsi="Palatino Linotype" w:cs="Times New Roman"/>
        </w:rPr>
        <w:t>.</w:t>
      </w:r>
    </w:p>
    <w:p w14:paraId="14197ECB"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E366771" w14:textId="3121E440"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62325E">
        <w:rPr>
          <w:rFonts w:ascii="Palatino Linotype" w:eastAsia="MS Mincho" w:hAnsi="Palatino Linotype" w:cs="Times New Roman"/>
        </w:rPr>
        <w:t>su parte, el intérprete judicial del país ha establecido una jurisprudencia</w:t>
      </w:r>
      <w:r>
        <w:rPr>
          <w:rStyle w:val="Refdenotaalpie"/>
          <w:rFonts w:ascii="Palatino Linotype" w:eastAsia="MS Mincho" w:hAnsi="Palatino Linotype" w:cs="Times New Roman"/>
        </w:rPr>
        <w:footnoteReference w:id="28"/>
      </w:r>
      <w:r w:rsidRPr="0062325E">
        <w:rPr>
          <w:rFonts w:ascii="Palatino Linotype" w:eastAsia="MS Mincho" w:hAnsi="Palatino Linotype" w:cs="Times New Roman"/>
        </w:rPr>
        <w:t xml:space="preserve"> respecto a qué debe entenderse por fundamentación y motivación, en los siguientes términos:</w:t>
      </w:r>
    </w:p>
    <w:p w14:paraId="521BDF63" w14:textId="77777777" w:rsidR="00CA7A78" w:rsidRDefault="00CA7A78" w:rsidP="00CA7A78">
      <w:pPr>
        <w:pStyle w:val="Prrafodelista"/>
        <w:tabs>
          <w:tab w:val="left" w:pos="426"/>
        </w:tabs>
        <w:spacing w:before="240" w:line="360" w:lineRule="auto"/>
        <w:ind w:left="0" w:right="51"/>
        <w:jc w:val="both"/>
        <w:rPr>
          <w:rFonts w:ascii="Palatino Linotype" w:hAnsi="Palatino Linotype"/>
          <w:color w:val="000000" w:themeColor="text1"/>
        </w:rPr>
      </w:pPr>
    </w:p>
    <w:p w14:paraId="333662B2" w14:textId="77777777" w:rsidR="00CA7A78" w:rsidRPr="003E6079" w:rsidRDefault="00CA7A78" w:rsidP="00CA7A78">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6062B14"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42ABFE6"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sidRPr="000D2150">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7108AF5"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60AFBFE1"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16103A3"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1D56972"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433AFD1A"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CA3614E" w14:textId="490C9B3F"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 </w:t>
      </w:r>
      <w:r w:rsidRPr="00F4286A">
        <w:rPr>
          <w:rFonts w:ascii="Palatino Linotype" w:eastAsia="Times New Roman" w:hAnsi="Palatino Linotype" w:cs="Arial"/>
        </w:rPr>
        <w:t xml:space="preserve">tipo de información confidencial constituyen los secretos bancario, fiduciario, industrial, comercial, fiscal, bursátil y postal, cuya titularidad corresponda a particulares, sujetos de derecho internacional o a Sujetos Obligados </w:t>
      </w:r>
      <w:r w:rsidRPr="00F4286A">
        <w:rPr>
          <w:rFonts w:ascii="Palatino Linotype" w:eastAsia="Times New Roman" w:hAnsi="Palatino Linotype" w:cs="Arial"/>
        </w:rPr>
        <w:lastRenderedPageBreak/>
        <w:t>cuando no involucren el ejercicio de recursos públicos, así lo define la fracción XXI del artículo 3 de la Ley Estatal.</w:t>
      </w:r>
    </w:p>
    <w:p w14:paraId="1B0C35AD" w14:textId="77777777" w:rsidR="00CA7A78" w:rsidRPr="009D13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0EA71506" w:rsidR="00953B03" w:rsidRPr="00953B03" w:rsidRDefault="00E066DF"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8" w:name="_Toc89209307"/>
      <w:r>
        <w:rPr>
          <w:rFonts w:ascii="Palatino Linotype" w:hAnsi="Palatino Linotype"/>
          <w:b/>
          <w:bCs/>
          <w:color w:val="000000" w:themeColor="text1"/>
        </w:rPr>
        <w:t>SEXTO</w:t>
      </w:r>
      <w:r w:rsidR="00953B03" w:rsidRPr="00953B03">
        <w:rPr>
          <w:rFonts w:ascii="Palatino Linotype" w:hAnsi="Palatino Linotype"/>
          <w:b/>
          <w:bCs/>
          <w:color w:val="000000" w:themeColor="text1"/>
        </w:rPr>
        <w:t>. Decisión</w:t>
      </w:r>
      <w:bookmarkEnd w:id="38"/>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377B6348" w:rsidR="00953B03" w:rsidRPr="00EF75DE" w:rsidRDefault="00A4053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Una vez analizada la naturaleza de la inform</w:t>
      </w:r>
      <w:r w:rsidR="0075703E">
        <w:rPr>
          <w:rFonts w:ascii="Palatino Linotype" w:hAnsi="Palatino Linotype"/>
          <w:color w:val="000000" w:themeColor="text1"/>
        </w:rPr>
        <w:t xml:space="preserve">ación, así como la solicitud de información, se estableció que el </w:t>
      </w:r>
      <w:r w:rsidR="0075703E">
        <w:rPr>
          <w:rFonts w:ascii="Palatino Linotype" w:hAnsi="Palatino Linotype"/>
          <w:b/>
          <w:bCs/>
          <w:color w:val="000000" w:themeColor="text1"/>
        </w:rPr>
        <w:t>RECURRENTE</w:t>
      </w:r>
      <w:r w:rsidR="0075703E">
        <w:rPr>
          <w:rFonts w:ascii="Palatino Linotype" w:hAnsi="Palatino Linotype"/>
          <w:color w:val="000000" w:themeColor="text1"/>
        </w:rPr>
        <w:t xml:space="preserve"> no buscaba conocer el procedimiento establecido para realizar algún trámite relacionado con el catastro municipal, sino que, únicamente, tenía intención de ejercer su derecho de acceso a la información pública generada, poseída y administrada por el </w:t>
      </w:r>
      <w:r w:rsidR="0075703E">
        <w:rPr>
          <w:rFonts w:ascii="Palatino Linotype" w:hAnsi="Palatino Linotype"/>
          <w:b/>
          <w:bCs/>
          <w:color w:val="000000" w:themeColor="text1"/>
        </w:rPr>
        <w:t>SUJETO OBLIGADO</w:t>
      </w:r>
      <w:r w:rsidR="0075703E">
        <w:rPr>
          <w:rFonts w:ascii="Palatino Linotype" w:hAnsi="Palatino Linotype"/>
          <w:color w:val="000000" w:themeColor="text1"/>
        </w:rPr>
        <w:t xml:space="preserve"> en materia de catastro, a través de la consulta vía </w:t>
      </w:r>
      <w:r w:rsidR="0075703E">
        <w:rPr>
          <w:rFonts w:ascii="Palatino Linotype" w:hAnsi="Palatino Linotype"/>
          <w:i/>
          <w:iCs/>
          <w:color w:val="000000" w:themeColor="text1"/>
        </w:rPr>
        <w:t>in situ</w:t>
      </w:r>
      <w:r w:rsidR="0075703E">
        <w:rPr>
          <w:rFonts w:ascii="Palatino Linotype" w:hAnsi="Palatino Linotype"/>
          <w:color w:val="000000" w:themeColor="text1"/>
        </w:rPr>
        <w:t xml:space="preserve"> de los planos catastrales y manzaneros de la localidad conocida como Villa San Agustín Atlapulco. Por lo anterior, se determinó </w:t>
      </w:r>
      <w:r w:rsidR="0075703E">
        <w:rPr>
          <w:rFonts w:ascii="Palatino Linotype" w:hAnsi="Palatino Linotype"/>
          <w:b/>
          <w:bCs/>
          <w:color w:val="000000" w:themeColor="text1"/>
        </w:rPr>
        <w:t>ordenar</w:t>
      </w:r>
      <w:r w:rsidR="0075703E">
        <w:rPr>
          <w:rFonts w:ascii="Palatino Linotype" w:hAnsi="Palatino Linotype"/>
          <w:color w:val="000000" w:themeColor="text1"/>
        </w:rPr>
        <w:t xml:space="preserve"> al </w:t>
      </w:r>
      <w:r w:rsidR="0075703E">
        <w:rPr>
          <w:rFonts w:ascii="Palatino Linotype" w:hAnsi="Palatino Linotype"/>
          <w:b/>
          <w:bCs/>
          <w:color w:val="000000" w:themeColor="text1"/>
        </w:rPr>
        <w:t>SUJETO OBLIGADO</w:t>
      </w:r>
      <w:r w:rsidR="0075703E">
        <w:rPr>
          <w:rFonts w:ascii="Palatino Linotype" w:hAnsi="Palatino Linotype"/>
          <w:color w:val="000000" w:themeColor="text1"/>
        </w:rPr>
        <w:t xml:space="preserve"> informar sobre la fecha, horario y lugar donde el particular podría presentarse a consultar la información en versión pública, pues </w:t>
      </w:r>
      <w:r w:rsidR="00EC7EB4">
        <w:rPr>
          <w:rFonts w:ascii="Palatino Linotype" w:hAnsi="Palatino Linotype"/>
          <w:color w:val="000000" w:themeColor="text1"/>
        </w:rPr>
        <w:t>se demostró que ésta contenía datos personales de terceros susceptibles de ser clasificados.</w:t>
      </w:r>
    </w:p>
    <w:p w14:paraId="07E67D9C" w14:textId="306D7B6D" w:rsidR="00F6300E"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613D0D16"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w:t>
      </w:r>
      <w:r w:rsidRPr="0028241C">
        <w:rPr>
          <w:rFonts w:ascii="Palatino Linotype" w:eastAsia="MS Mincho" w:hAnsi="Palatino Linotype" w:cstheme="majorBidi"/>
          <w:lang w:val="es-ES"/>
        </w:rPr>
        <w:t xml:space="preserve">fundadas las razones o motivos de inconformidad hechos valer por el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sidR="00561DCB">
        <w:rPr>
          <w:rFonts w:ascii="Palatino Linotype" w:eastAsia="MS Mincho" w:hAnsi="Palatino Linotype" w:cstheme="majorBidi"/>
          <w:b/>
          <w:bCs/>
          <w:lang w:val="es-ES"/>
        </w:rPr>
        <w:t>04798/INFOEM/IP/RR/2021</w:t>
      </w:r>
      <w:r w:rsidRPr="0028241C">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E91BFE">
        <w:rPr>
          <w:rFonts w:ascii="Palatino Linotype" w:eastAsia="MS Mincho" w:hAnsi="Palatino Linotype" w:cstheme="majorBidi"/>
          <w:b/>
          <w:lang w:val="es-ES"/>
        </w:rPr>
        <w:t>REVOCA</w:t>
      </w:r>
      <w:r w:rsidRPr="0028241C">
        <w:rPr>
          <w:rFonts w:ascii="Palatino Linotype" w:eastAsia="MS Mincho" w:hAnsi="Palatino Linotype" w:cstheme="majorBidi"/>
          <w:lang w:val="es-ES"/>
        </w:rPr>
        <w:t xml:space="preserve"> la respuesta a la solicitud de información número </w:t>
      </w:r>
      <w:r w:rsidR="00561DCB">
        <w:rPr>
          <w:rFonts w:ascii="Palatino Linotype" w:eastAsia="MS Mincho" w:hAnsi="Palatino Linotype" w:cstheme="majorBidi"/>
          <w:b/>
          <w:lang w:val="es-ES"/>
        </w:rPr>
        <w:t>00183/CHIMALHU/IP/2021</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80CDA6A" w:rsidR="00266588"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lastRenderedPageBreak/>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19A111DC" w14:textId="77777777" w:rsidR="00266588" w:rsidRDefault="00266588">
      <w:pPr>
        <w:rPr>
          <w:rFonts w:ascii="Palatino Linotype" w:hAnsi="Palatino Linotype"/>
          <w:color w:val="000000" w:themeColor="text1"/>
        </w:rPr>
      </w:pPr>
      <w:r>
        <w:rPr>
          <w:rFonts w:ascii="Palatino Linotype" w:hAnsi="Palatino Linotype"/>
          <w:color w:val="000000" w:themeColor="text1"/>
        </w:rPr>
        <w:br w:type="page"/>
      </w:r>
    </w:p>
    <w:p w14:paraId="18C7D92B" w14:textId="77777777" w:rsidR="009959DB" w:rsidRDefault="009959DB" w:rsidP="007E2870">
      <w:pPr>
        <w:pStyle w:val="Ttulo1"/>
        <w:spacing w:after="240" w:line="360" w:lineRule="auto"/>
        <w:jc w:val="center"/>
        <w:rPr>
          <w:b/>
          <w:color w:val="000000" w:themeColor="text1"/>
          <w:szCs w:val="24"/>
        </w:rPr>
      </w:pPr>
      <w:bookmarkStart w:id="39" w:name="_Toc495427547"/>
      <w:bookmarkStart w:id="40" w:name="_Toc497905366"/>
      <w:bookmarkStart w:id="41" w:name="_Toc89209308"/>
      <w:r w:rsidRPr="008C6062">
        <w:rPr>
          <w:b/>
          <w:color w:val="000000" w:themeColor="text1"/>
          <w:szCs w:val="24"/>
        </w:rPr>
        <w:lastRenderedPageBreak/>
        <w:t>R E S O L U T I V O S</w:t>
      </w:r>
      <w:bookmarkEnd w:id="24"/>
      <w:bookmarkEnd w:id="25"/>
      <w:bookmarkEnd w:id="39"/>
      <w:bookmarkEnd w:id="40"/>
      <w:bookmarkEnd w:id="41"/>
    </w:p>
    <w:p w14:paraId="67A78F7D" w14:textId="6B92127A" w:rsidR="00CA0640" w:rsidRPr="00D020D3" w:rsidRDefault="00CA0640" w:rsidP="00CA0640">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w:t>
      </w:r>
      <w:r w:rsidR="00892AB9">
        <w:rPr>
          <w:rFonts w:ascii="Palatino Linotype" w:eastAsia="Times New Roman" w:hAnsi="Palatino Linotype" w:cs="Arial"/>
        </w:rPr>
        <w:t xml:space="preserve">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 xml:space="preserve">el </w:t>
      </w:r>
      <w:r w:rsidRPr="001607E7">
        <w:rPr>
          <w:rFonts w:ascii="Palatino Linotype" w:eastAsia="Calibri" w:hAnsi="Palatino Linotype" w:cs="Arial"/>
          <w:lang w:val="es-ES"/>
        </w:rPr>
        <w:t xml:space="preserve">recurso de revisión </w:t>
      </w:r>
      <w:r w:rsidR="00561DCB">
        <w:rPr>
          <w:rFonts w:ascii="Palatino Linotype" w:eastAsia="Times New Roman" w:hAnsi="Palatino Linotype" w:cs="Times New Roman"/>
          <w:b/>
        </w:rPr>
        <w:t>04798/INFOEM/IP/RR/2021</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w:t>
      </w:r>
      <w:r>
        <w:rPr>
          <w:rFonts w:ascii="Palatino Linotype" w:eastAsia="Times New Roman" w:hAnsi="Palatino Linotype" w:cs="Times New Roman"/>
        </w:rPr>
        <w:t xml:space="preserve"> </w:t>
      </w:r>
      <w:r w:rsidRPr="001607E7">
        <w:rPr>
          <w:rFonts w:ascii="Palatino Linotype" w:eastAsia="Times New Roman" w:hAnsi="Palatino Linotype" w:cs="Times New Roman"/>
        </w:rPr>
        <w:t>l</w:t>
      </w:r>
      <w:r>
        <w:rPr>
          <w:rFonts w:ascii="Palatino Linotype" w:eastAsia="Times New Roman" w:hAnsi="Palatino Linotype" w:cs="Times New Roman"/>
        </w:rPr>
        <w:t>os</w:t>
      </w:r>
      <w:r w:rsidRPr="001607E7">
        <w:rPr>
          <w:rFonts w:ascii="Palatino Linotype" w:eastAsia="Times New Roman" w:hAnsi="Palatino Linotype" w:cs="Times New Roman"/>
          <w:b/>
          <w:bCs/>
        </w:rPr>
        <w:t xml:space="preserve"> Considerando</w:t>
      </w:r>
      <w:r>
        <w:rPr>
          <w:rFonts w:ascii="Palatino Linotype" w:eastAsia="Times New Roman" w:hAnsi="Palatino Linotype" w:cs="Times New Roman"/>
          <w:b/>
          <w:bCs/>
        </w:rPr>
        <w:t>s</w:t>
      </w:r>
      <w:r w:rsidRPr="001607E7">
        <w:rPr>
          <w:rFonts w:ascii="Palatino Linotype" w:eastAsia="Times New Roman" w:hAnsi="Palatino Linotype" w:cs="Times New Roman"/>
        </w:rPr>
        <w:t xml:space="preserve"> </w:t>
      </w:r>
      <w:r>
        <w:rPr>
          <w:rFonts w:ascii="Palatino Linotype" w:eastAsia="Times New Roman" w:hAnsi="Palatino Linotype" w:cs="Times New Roman"/>
          <w:b/>
        </w:rPr>
        <w:t xml:space="preserve">CUARTO </w:t>
      </w:r>
      <w:r>
        <w:rPr>
          <w:rFonts w:ascii="Palatino Linotype" w:eastAsia="Times New Roman" w:hAnsi="Palatino Linotype" w:cs="Times New Roman"/>
          <w:bCs/>
        </w:rPr>
        <w:t xml:space="preserve">y </w:t>
      </w:r>
      <w:r>
        <w:rPr>
          <w:rFonts w:ascii="Palatino Linotype" w:eastAsia="Times New Roman" w:hAnsi="Palatino Linotype" w:cs="Times New Roman"/>
          <w:b/>
        </w:rPr>
        <w:t>QUINTO</w:t>
      </w:r>
      <w:r w:rsidRPr="001607E7">
        <w:rPr>
          <w:rFonts w:ascii="Palatino Linotype" w:eastAsia="Times New Roman" w:hAnsi="Palatino Linotype" w:cs="Times New Roman"/>
          <w:b/>
        </w:rPr>
        <w:t xml:space="preserve"> </w:t>
      </w:r>
      <w:r w:rsidRPr="001607E7">
        <w:rPr>
          <w:rFonts w:ascii="Palatino Linotype" w:eastAsia="Times New Roman" w:hAnsi="Palatino Linotype" w:cs="Times New Roman"/>
        </w:rPr>
        <w:t>de la presente resolución.</w:t>
      </w:r>
    </w:p>
    <w:p w14:paraId="223895AA" w14:textId="77777777" w:rsidR="00CA0640" w:rsidRDefault="00CA0640" w:rsidP="00CA0640">
      <w:pPr>
        <w:spacing w:line="360" w:lineRule="auto"/>
        <w:contextualSpacing/>
        <w:jc w:val="both"/>
        <w:rPr>
          <w:rFonts w:ascii="Palatino Linotype" w:eastAsia="Calibri" w:hAnsi="Palatino Linotype" w:cs="Arial"/>
          <w:b/>
          <w:bCs/>
          <w:lang w:val="es-ES"/>
        </w:rPr>
      </w:pPr>
    </w:p>
    <w:p w14:paraId="6FD259C5" w14:textId="44A4F7A4" w:rsidR="00CA0640" w:rsidRDefault="00CA0640" w:rsidP="00CA0640">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E91BFE">
        <w:rPr>
          <w:rFonts w:ascii="Palatino Linotype" w:eastAsia="Calibri" w:hAnsi="Palatino Linotype" w:cs="Arial"/>
          <w:b/>
          <w:lang w:val="es-ES"/>
        </w:rPr>
        <w:t>REVOCA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emitida por el</w:t>
      </w:r>
      <w:r w:rsidRPr="00D92794">
        <w:rPr>
          <w:rFonts w:ascii="Palatino Linotype" w:eastAsia="Calibri" w:hAnsi="Palatino Linotype" w:cs="Arial"/>
          <w:lang w:val="es-ES"/>
        </w:rPr>
        <w:t xml:space="preserve"> </w:t>
      </w:r>
      <w:r w:rsidR="00561DCB">
        <w:rPr>
          <w:rFonts w:ascii="Palatino Linotype" w:eastAsia="Calibri" w:hAnsi="Palatino Linotype" w:cs="Arial"/>
          <w:b/>
        </w:rPr>
        <w:t>Ayuntamiento de Chimalhuacán</w:t>
      </w:r>
      <w:r>
        <w:rPr>
          <w:rFonts w:ascii="Palatino Linotype" w:eastAsia="Calibri" w:hAnsi="Palatino Linotype" w:cs="Arial"/>
          <w:bCs/>
        </w:rPr>
        <w:t xml:space="preserve"> a la solicitud </w:t>
      </w:r>
      <w:r w:rsidR="00561DCB">
        <w:rPr>
          <w:rFonts w:ascii="Palatino Linotype" w:eastAsia="Calibri" w:hAnsi="Palatino Linotype" w:cs="Arial"/>
          <w:b/>
        </w:rPr>
        <w:t>00183/CHIMALHU/IP/2021</w:t>
      </w:r>
      <w:r>
        <w:rPr>
          <w:rFonts w:ascii="Palatino Linotype" w:eastAsia="Calibri" w:hAnsi="Palatino Linotype" w:cs="Arial"/>
          <w:b/>
        </w:rPr>
        <w:t xml:space="preserve">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42" w:name="_Toc460947013"/>
      <w:r w:rsidR="00E91BFE">
        <w:rPr>
          <w:rFonts w:ascii="Palatino Linotype" w:eastAsia="Calibri" w:hAnsi="Palatino Linotype" w:cs="Arial"/>
          <w:lang w:val="es-ES"/>
        </w:rPr>
        <w:t>vía</w:t>
      </w:r>
      <w:r w:rsidR="008705E1">
        <w:rPr>
          <w:rFonts w:ascii="Palatino Linotype" w:eastAsia="Calibri" w:hAnsi="Palatino Linotype" w:cs="Arial"/>
          <w:lang w:val="es-ES"/>
        </w:rPr>
        <w:t xml:space="preserve"> </w:t>
      </w:r>
      <w:r w:rsidR="00EC7EB4">
        <w:rPr>
          <w:rFonts w:ascii="Palatino Linotype" w:eastAsia="Calibri" w:hAnsi="Palatino Linotype" w:cs="Arial"/>
          <w:lang w:val="es-ES"/>
        </w:rPr>
        <w:t>Consulta Directa</w:t>
      </w:r>
      <w:r>
        <w:rPr>
          <w:rFonts w:ascii="Palatino Linotype" w:eastAsia="Times New Roman" w:hAnsi="Palatino Linotype" w:cs="Arial"/>
          <w:color w:val="000000"/>
        </w:rPr>
        <w:t xml:space="preserve">, en versión pública, </w:t>
      </w:r>
      <w:r w:rsidR="00E91BFE">
        <w:rPr>
          <w:rFonts w:ascii="Palatino Linotype" w:eastAsia="Times New Roman" w:hAnsi="Palatino Linotype" w:cs="Arial"/>
          <w:color w:val="000000"/>
        </w:rPr>
        <w:t>la</w:t>
      </w:r>
      <w:r w:rsidR="00266588">
        <w:rPr>
          <w:rFonts w:ascii="Palatino Linotype" w:eastAsia="Times New Roman" w:hAnsi="Palatino Linotype" w:cs="Arial"/>
          <w:color w:val="000000"/>
        </w:rPr>
        <w:t xml:space="preserve"> siguiente información</w:t>
      </w:r>
      <w:r>
        <w:rPr>
          <w:rFonts w:ascii="Palatino Linotype" w:eastAsia="Times New Roman" w:hAnsi="Palatino Linotype" w:cs="Arial"/>
          <w:color w:val="000000"/>
        </w:rPr>
        <w:t xml:space="preserve">: </w:t>
      </w:r>
    </w:p>
    <w:p w14:paraId="73CAD18D" w14:textId="77777777" w:rsidR="00CA0640" w:rsidRPr="00226963" w:rsidRDefault="00CA0640" w:rsidP="00CA0640">
      <w:pPr>
        <w:spacing w:line="360" w:lineRule="auto"/>
        <w:ind w:right="616"/>
        <w:jc w:val="both"/>
        <w:rPr>
          <w:rFonts w:ascii="Palatino Linotype" w:hAnsi="Palatino Linotype"/>
          <w:b/>
          <w:bCs/>
        </w:rPr>
      </w:pPr>
      <w:bookmarkStart w:id="43" w:name="_Hlk22229143"/>
    </w:p>
    <w:bookmarkEnd w:id="43"/>
    <w:p w14:paraId="0A22003E" w14:textId="29DD88C3" w:rsidR="00E91BFE" w:rsidRPr="00EC7EB4" w:rsidRDefault="00EC7EB4" w:rsidP="00EC7EB4">
      <w:pPr>
        <w:pStyle w:val="Prrafodelista"/>
        <w:numPr>
          <w:ilvl w:val="0"/>
          <w:numId w:val="3"/>
        </w:numPr>
        <w:spacing w:after="240" w:line="360" w:lineRule="auto"/>
        <w:ind w:left="851" w:right="567" w:hanging="284"/>
        <w:jc w:val="both"/>
        <w:rPr>
          <w:rFonts w:ascii="Palatino Linotype" w:hAnsi="Palatino Linotype"/>
          <w:b/>
          <w:bCs/>
          <w:color w:val="000000"/>
          <w:u w:val="double"/>
        </w:rPr>
      </w:pPr>
      <w:r>
        <w:rPr>
          <w:rFonts w:ascii="Palatino Linotype" w:hAnsi="Palatino Linotype"/>
          <w:b/>
          <w:bCs/>
          <w:color w:val="000000"/>
        </w:rPr>
        <w:t>Planos catastrales y manzaneros de la localidad denominada Villa San Agustín Atlapulco.</w:t>
      </w:r>
    </w:p>
    <w:p w14:paraId="19C3E213" w14:textId="32D4737D" w:rsidR="00CA0640" w:rsidRDefault="00CA0640" w:rsidP="0046340E">
      <w:pPr>
        <w:tabs>
          <w:tab w:val="left" w:pos="993"/>
        </w:tabs>
        <w:spacing w:line="360" w:lineRule="auto"/>
        <w:jc w:val="both"/>
        <w:rPr>
          <w:rFonts w:ascii="Palatino Linotype" w:eastAsia="Calibri" w:hAnsi="Palatino Linotype" w:cs="Arial"/>
        </w:rPr>
      </w:pPr>
      <w:r>
        <w:rPr>
          <w:rFonts w:ascii="Palatino Linotype" w:hAnsi="Palatino Linotype"/>
          <w:color w:val="000000"/>
        </w:rPr>
        <w:t xml:space="preserve">Para </w:t>
      </w:r>
      <w:r w:rsidRPr="00EF01CE">
        <w:rPr>
          <w:rFonts w:ascii="Palatino Linotype" w:eastAsia="Calibri" w:hAnsi="Palatino Linotype" w:cs="Arial"/>
        </w:rPr>
        <w:t>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Pr>
          <w:rFonts w:ascii="Palatino Linotype" w:eastAsia="Calibri" w:hAnsi="Palatino Linotype" w:cs="Arial"/>
        </w:rPr>
        <w:t xml:space="preserve"> y se ponga a disposición del </w:t>
      </w:r>
      <w:r>
        <w:rPr>
          <w:rFonts w:ascii="Palatino Linotype" w:eastAsia="Calibri" w:hAnsi="Palatino Linotype" w:cs="Arial"/>
          <w:b/>
        </w:rPr>
        <w:t>RECURRENTE</w:t>
      </w:r>
      <w:r w:rsidRPr="00EF01CE">
        <w:rPr>
          <w:rFonts w:ascii="Palatino Linotype" w:eastAsia="Calibri" w:hAnsi="Palatino Linotype" w:cs="Arial"/>
        </w:rPr>
        <w:t>.</w:t>
      </w:r>
    </w:p>
    <w:p w14:paraId="1B5F434D" w14:textId="30A59FFD" w:rsidR="00EC7EB4" w:rsidRDefault="00EC7EB4" w:rsidP="0046340E">
      <w:pPr>
        <w:tabs>
          <w:tab w:val="left" w:pos="993"/>
        </w:tabs>
        <w:spacing w:line="360" w:lineRule="auto"/>
        <w:jc w:val="both"/>
        <w:rPr>
          <w:rFonts w:ascii="Palatino Linotype" w:eastAsia="Calibri" w:hAnsi="Palatino Linotype" w:cs="Arial"/>
        </w:rPr>
      </w:pPr>
    </w:p>
    <w:p w14:paraId="5CF77D88" w14:textId="6ACDAB3F" w:rsidR="00EC7EB4" w:rsidRDefault="006105B3" w:rsidP="0046340E">
      <w:pPr>
        <w:tabs>
          <w:tab w:val="left" w:pos="993"/>
        </w:tabs>
        <w:spacing w:line="360" w:lineRule="auto"/>
        <w:jc w:val="both"/>
        <w:rPr>
          <w:rFonts w:ascii="Palatino Linotype" w:eastAsia="Calibri" w:hAnsi="Palatino Linotype" w:cs="Arial"/>
        </w:rPr>
      </w:pPr>
      <w:r>
        <w:rPr>
          <w:rFonts w:ascii="Palatino Linotype" w:eastAsia="Calibri" w:hAnsi="Palatino Linotype" w:cs="Arial"/>
        </w:rPr>
        <w:t>Asimismo</w:t>
      </w:r>
      <w:r w:rsidR="00EC7EB4">
        <w:rPr>
          <w:rFonts w:ascii="Palatino Linotype" w:eastAsia="Calibri" w:hAnsi="Palatino Linotype" w:cs="Arial"/>
        </w:rPr>
        <w:t xml:space="preserve">, </w:t>
      </w:r>
      <w:r w:rsidR="00EC7EB4">
        <w:rPr>
          <w:rFonts w:ascii="Palatino Linotype" w:hAnsi="Palatino Linotype"/>
          <w:color w:val="000000" w:themeColor="text1"/>
        </w:rPr>
        <w:t xml:space="preserve">el </w:t>
      </w:r>
      <w:r w:rsidR="00EC7EB4">
        <w:rPr>
          <w:rFonts w:ascii="Palatino Linotype" w:hAnsi="Palatino Linotype"/>
          <w:b/>
          <w:color w:val="000000" w:themeColor="text1"/>
        </w:rPr>
        <w:t>SUJETO OBLIGADO</w:t>
      </w:r>
      <w:r w:rsidR="00EC7EB4">
        <w:rPr>
          <w:rFonts w:ascii="Palatino Linotype" w:hAnsi="Palatino Linotype"/>
          <w:color w:val="000000" w:themeColor="text1"/>
        </w:rPr>
        <w:t xml:space="preserve"> deberá hacer del conocimiento del </w:t>
      </w:r>
      <w:r w:rsidR="00EC7EB4">
        <w:rPr>
          <w:rFonts w:ascii="Palatino Linotype" w:hAnsi="Palatino Linotype"/>
          <w:b/>
          <w:color w:val="000000" w:themeColor="text1"/>
        </w:rPr>
        <w:t>RECURRENTE</w:t>
      </w:r>
      <w:r w:rsidR="00F050AD">
        <w:rPr>
          <w:rFonts w:ascii="Palatino Linotype" w:hAnsi="Palatino Linotype"/>
          <w:color w:val="000000" w:themeColor="text1"/>
        </w:rPr>
        <w:t xml:space="preserve">, vía </w:t>
      </w:r>
      <w:r w:rsidR="00F050AD">
        <w:rPr>
          <w:rFonts w:ascii="Palatino Linotype" w:eastAsia="Calibri" w:hAnsi="Palatino Linotype" w:cs="Arial"/>
          <w:lang w:val="es-ES"/>
        </w:rPr>
        <w:t xml:space="preserve">Sistema de Acceso a la Información Pública Mexiquense (SAIMEX), </w:t>
      </w:r>
      <w:r w:rsidR="00EC7EB4">
        <w:rPr>
          <w:rFonts w:ascii="Palatino Linotype" w:hAnsi="Palatino Linotype"/>
          <w:color w:val="000000" w:themeColor="text1"/>
        </w:rPr>
        <w:t xml:space="preserve">la fecha, horario y domicilio donde se llevará a cabo la Consulta Directa de la información, así como el nombre de las y/o los servidores públicos que lo atenderán, junto con las recomendaciones de seguridad sanitaria que, por motivos </w:t>
      </w:r>
      <w:r w:rsidR="00EC7EB4">
        <w:rPr>
          <w:rFonts w:ascii="Palatino Linotype" w:hAnsi="Palatino Linotype"/>
          <w:color w:val="000000" w:themeColor="text1"/>
        </w:rPr>
        <w:lastRenderedPageBreak/>
        <w:t xml:space="preserve">de la pandemia provocada por el virus </w:t>
      </w:r>
      <w:r w:rsidR="00EC7EB4">
        <w:rPr>
          <w:rFonts w:ascii="Palatino Linotype" w:hAnsi="Palatino Linotype"/>
          <w:i/>
          <w:color w:val="000000" w:themeColor="text1"/>
        </w:rPr>
        <w:t xml:space="preserve">SARS-COV-2 </w:t>
      </w:r>
      <w:r w:rsidR="00EC7EB4">
        <w:rPr>
          <w:rFonts w:ascii="Palatino Linotype" w:hAnsi="Palatino Linotype"/>
          <w:color w:val="000000" w:themeColor="text1"/>
        </w:rPr>
        <w:t>(COVID-19) se estén implementando en el ayuntamiento, de ser el caso.</w:t>
      </w:r>
    </w:p>
    <w:p w14:paraId="75CA2A2B" w14:textId="77777777" w:rsidR="0046340E" w:rsidRDefault="0046340E" w:rsidP="00CA0640">
      <w:pPr>
        <w:tabs>
          <w:tab w:val="left" w:pos="993"/>
        </w:tabs>
        <w:spacing w:line="360" w:lineRule="auto"/>
        <w:ind w:right="567"/>
        <w:jc w:val="both"/>
        <w:rPr>
          <w:rFonts w:ascii="Palatino Linotype" w:eastAsia="Calibri" w:hAnsi="Palatino Linotype" w:cs="Arial"/>
        </w:rPr>
      </w:pPr>
    </w:p>
    <w:p w14:paraId="5463F9DB" w14:textId="75C8BC41"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al Titular de la Unidad de Transparencia del</w:t>
      </w:r>
      <w:r w:rsidRPr="007B222D">
        <w:rPr>
          <w:rFonts w:ascii="Palatino Linotype" w:eastAsia="MS Mincho" w:hAnsi="Palatino Linotype" w:cs="Times New Roman"/>
          <w:b/>
          <w:color w:val="000000"/>
        </w:rPr>
        <w:t xml:space="preserve"> </w:t>
      </w:r>
      <w:r w:rsidR="007C7D43" w:rsidRPr="007C7D43">
        <w:rPr>
          <w:rFonts w:ascii="Palatino Linotype" w:eastAsia="MS Mincho" w:hAnsi="Palatino Linotype" w:cs="Times New Roman"/>
          <w:b/>
          <w:color w:val="000000"/>
        </w:rPr>
        <w:t>SUJETO OBLIGADO</w:t>
      </w:r>
      <w:r w:rsidRPr="007B222D">
        <w:rPr>
          <w:rFonts w:ascii="Palatino Linotype" w:eastAsia="MS Mincho" w:hAnsi="Palatino Linotype" w:cs="Times New Roman"/>
          <w:color w:val="000000"/>
        </w:rPr>
        <w:t xml:space="preserve">, </w:t>
      </w:r>
      <w:r w:rsidR="00512DCC">
        <w:rPr>
          <w:rFonts w:ascii="Palatino Linotype" w:eastAsia="MS Mincho" w:hAnsi="Palatino Linotype" w:cs="Times New Roman"/>
          <w:color w:val="000000"/>
        </w:rPr>
        <w:t xml:space="preserve">vía Sistema de Acceso a la Información Mexiquense (SAIMEX), </w:t>
      </w:r>
      <w:r w:rsidRPr="007B222D">
        <w:rPr>
          <w:rFonts w:ascii="Palatino Linotype" w:eastAsia="MS Mincho" w:hAnsi="Palatino Linotype" w:cs="Times New Roman"/>
          <w:color w:val="000000"/>
        </w:rPr>
        <w:t xml:space="preserve">para que conforme a los artículos 186 último párrafo, 189 párrafo segundo y 199 de la Ley de Transparencia y Acceso a la Información Pública del Estado de México y Municipios, vigente, dé cumplimiento a lo ordenado dentro del plazo de </w:t>
      </w:r>
      <w:r>
        <w:rPr>
          <w:rFonts w:ascii="Palatino Linotype" w:eastAsia="MS Mincho" w:hAnsi="Palatino Linotype" w:cs="Times New Roman"/>
          <w:color w:val="000000"/>
        </w:rPr>
        <w:t>diez</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1A751802" w14:textId="77777777" w:rsidR="00CA0640" w:rsidRDefault="00CA0640" w:rsidP="00CA0640">
      <w:pPr>
        <w:spacing w:line="360" w:lineRule="auto"/>
        <w:jc w:val="both"/>
        <w:rPr>
          <w:rFonts w:ascii="Palatino Linotype" w:eastAsia="MS Mincho" w:hAnsi="Palatino Linotype" w:cs="Times New Roman"/>
          <w:color w:val="000000"/>
        </w:rPr>
      </w:pPr>
    </w:p>
    <w:p w14:paraId="1926C937" w14:textId="77777777"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bCs/>
          <w:color w:val="000000"/>
          <w:sz w:val="28"/>
          <w:szCs w:val="28"/>
        </w:rPr>
        <w:t>CUARTO</w:t>
      </w:r>
      <w:r w:rsidRPr="005142A8">
        <w:rPr>
          <w:rFonts w:ascii="Palatino Linotype" w:eastAsia="MS Mincho" w:hAnsi="Palatino Linotype" w:cs="Times New Roman"/>
          <w:b/>
          <w:bCs/>
          <w:color w:val="000000"/>
        </w:rPr>
        <w:t>.</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001F736" w14:textId="77777777" w:rsidR="00CA0640" w:rsidRPr="007B222D" w:rsidRDefault="00CA0640" w:rsidP="00CA0640">
      <w:pPr>
        <w:spacing w:line="360" w:lineRule="auto"/>
        <w:jc w:val="both"/>
        <w:rPr>
          <w:rFonts w:ascii="Palatino Linotype" w:eastAsia="MS Mincho" w:hAnsi="Palatino Linotype" w:cs="Times New Roman"/>
          <w:color w:val="000000"/>
        </w:rPr>
      </w:pPr>
    </w:p>
    <w:p w14:paraId="667576E1" w14:textId="27D8F624"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Pr>
          <w:rFonts w:ascii="Palatino Linotype" w:eastAsia="MS Mincho" w:hAnsi="Palatino Linotype" w:cs="Times New Roman"/>
          <w:color w:val="000000"/>
        </w:rPr>
        <w:t xml:space="preserve">al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xml:space="preserve"> la p</w:t>
      </w:r>
      <w:r w:rsidRPr="007B222D">
        <w:rPr>
          <w:rFonts w:ascii="Palatino Linotype" w:eastAsia="MS Mincho" w:hAnsi="Palatino Linotype" w:cs="Times New Roman"/>
          <w:color w:val="000000"/>
        </w:rPr>
        <w:t>resente resolución</w:t>
      </w:r>
      <w:r w:rsidR="00512DCC">
        <w:rPr>
          <w:rFonts w:ascii="Palatino Linotype" w:eastAsia="MS Mincho" w:hAnsi="Palatino Linotype" w:cs="Times New Roman"/>
          <w:color w:val="000000"/>
        </w:rPr>
        <w:t xml:space="preserve"> vía Sistema de Acceso a la Información Mexiquense (SAIMEX).</w:t>
      </w:r>
    </w:p>
    <w:p w14:paraId="435E92A5" w14:textId="77777777" w:rsidR="00CA0640" w:rsidRPr="00970362" w:rsidRDefault="00CA0640" w:rsidP="00CA0640">
      <w:pPr>
        <w:spacing w:line="360" w:lineRule="auto"/>
        <w:jc w:val="both"/>
        <w:rPr>
          <w:rFonts w:ascii="Palatino Linotype" w:hAnsi="Palatino Linotype"/>
          <w:b/>
        </w:rPr>
      </w:pPr>
    </w:p>
    <w:p w14:paraId="1E2CA3C7" w14:textId="77777777" w:rsidR="00CA0640" w:rsidRDefault="00CA0640" w:rsidP="00CA0640">
      <w:pPr>
        <w:spacing w:line="360" w:lineRule="auto"/>
        <w:jc w:val="both"/>
        <w:rPr>
          <w:rFonts w:ascii="Palatino Linotype" w:eastAsia="MS Mincho" w:hAnsi="Palatino Linotype" w:cs="Times New Roman"/>
          <w:color w:val="000000"/>
          <w:lang w:val="es-ES"/>
        </w:rPr>
      </w:pPr>
      <w:r w:rsidRPr="00CA0640">
        <w:rPr>
          <w:rFonts w:ascii="Palatino Linotype" w:eastAsia="MS Mincho" w:hAnsi="Palatino Linotype" w:cs="Times New Roman"/>
          <w:b/>
          <w:sz w:val="28"/>
          <w:szCs w:val="28"/>
        </w:rPr>
        <w:t>SEXTO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Se hace del conocimiento </w:t>
      </w:r>
      <w:r>
        <w:rPr>
          <w:rFonts w:ascii="Palatino Linotype" w:eastAsia="MS Mincho" w:hAnsi="Palatino Linotype" w:cs="Times New Roman"/>
          <w:color w:val="000000"/>
        </w:rPr>
        <w:t xml:space="preserve">del </w:t>
      </w:r>
      <w:r>
        <w:rPr>
          <w:rFonts w:ascii="Palatino Linotype" w:eastAsia="MS Mincho" w:hAnsi="Palatino Linotype" w:cs="Times New Roman"/>
          <w:b/>
          <w:bCs/>
          <w:color w:val="000000"/>
        </w:rPr>
        <w:t>RECURRENTE</w:t>
      </w:r>
      <w:r>
        <w:rPr>
          <w:rFonts w:ascii="Palatino Linotype" w:hAnsi="Palatino Linotype"/>
          <w:b/>
        </w:rPr>
        <w:t xml:space="preserve"> </w:t>
      </w:r>
      <w:r w:rsidRPr="007B222D">
        <w:rPr>
          <w:rFonts w:ascii="Palatino Linotype" w:eastAsia="MS Mincho" w:hAnsi="Palatino Linotype" w:cs="Times New Roman"/>
          <w:color w:val="000000"/>
        </w:rPr>
        <w:t>que</w:t>
      </w:r>
      <w:r>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w:t>
      </w:r>
      <w:bookmarkEnd w:id="42"/>
      <w:r w:rsidRPr="007B222D">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w:t>
      </w:r>
      <w:r w:rsidRPr="009339CF">
        <w:rPr>
          <w:rFonts w:ascii="Palatino Linotype" w:eastAsia="MS Mincho" w:hAnsi="Palatino Linotype" w:cs="Times New Roman"/>
          <w:color w:val="000000"/>
        </w:rPr>
        <w:t xml:space="preserve">en caso de que considere que la resolución le cause algún perjuicio podrá impugnarla vía </w:t>
      </w:r>
      <w:r w:rsidRPr="009339CF">
        <w:rPr>
          <w:rFonts w:ascii="Palatino Linotype" w:eastAsia="MS Mincho" w:hAnsi="Palatino Linotype" w:cs="Times New Roman"/>
          <w:bCs/>
          <w:color w:val="000000"/>
          <w:lang w:val="es-ES"/>
        </w:rPr>
        <w:t>juicio de amparo</w:t>
      </w:r>
      <w:r>
        <w:rPr>
          <w:rFonts w:ascii="Palatino Linotype" w:eastAsia="MS Mincho" w:hAnsi="Palatino Linotype" w:cs="Times New Roman"/>
          <w:bCs/>
          <w:color w:val="000000"/>
          <w:lang w:val="es-ES"/>
        </w:rPr>
        <w:t xml:space="preserve"> </w:t>
      </w:r>
      <w:r w:rsidRPr="009339CF">
        <w:rPr>
          <w:rFonts w:ascii="Palatino Linotype" w:eastAsia="MS Mincho" w:hAnsi="Palatino Linotype" w:cs="Times New Roman"/>
          <w:color w:val="000000"/>
          <w:lang w:val="es-ES"/>
        </w:rPr>
        <w:t>en los términos de las Leyes aplicables.</w:t>
      </w:r>
    </w:p>
    <w:p w14:paraId="3193C8FC" w14:textId="77777777" w:rsidR="00CA0640" w:rsidRDefault="00CA0640" w:rsidP="00CA0640">
      <w:pPr>
        <w:spacing w:line="360" w:lineRule="auto"/>
        <w:jc w:val="both"/>
        <w:rPr>
          <w:rFonts w:ascii="Palatino Linotype" w:eastAsia="MS Mincho" w:hAnsi="Palatino Linotype" w:cs="Times New Roman"/>
          <w:color w:val="000000"/>
          <w:lang w:val="es-ES"/>
        </w:rPr>
      </w:pPr>
    </w:p>
    <w:p w14:paraId="326A712A" w14:textId="5AEB6C77" w:rsidR="00895335" w:rsidRDefault="00025266" w:rsidP="00025266">
      <w:pPr>
        <w:pStyle w:val="Prrafodelista"/>
        <w:spacing w:line="360" w:lineRule="auto"/>
        <w:ind w:left="0"/>
        <w:jc w:val="both"/>
        <w:rPr>
          <w:rFonts w:ascii="Palatino Linotype" w:hAnsi="Palatino Linotype" w:cs="Arial"/>
          <w:color w:val="000000" w:themeColor="text1"/>
        </w:rPr>
      </w:pPr>
      <w:r w:rsidRPr="002D6F4B">
        <w:rPr>
          <w:rFonts w:ascii="Palatino Linotype" w:hAnsi="Palatino Linotype"/>
          <w:color w:val="000000" w:themeColor="text1"/>
        </w:rPr>
        <w:t xml:space="preserve">ASÍ LO </w:t>
      </w:r>
      <w:r w:rsidRPr="00DB51AE">
        <w:rPr>
          <w:rFonts w:ascii="Palatino Linotype" w:hAnsi="Palatino Linotype"/>
          <w:color w:val="000000" w:themeColor="text1"/>
        </w:rPr>
        <w:t xml:space="preserve">RESUELVE, POR UNANIMIDAD DE VOTOS, EL PLENO DEL INSTITUTO DE TRANSPARENCIA, ACCESO A LA INFORMACIÓN PÚBLICA Y PROTECCIÓN DE DATOS PERSONALES DEL ESTADO DE MÉXICO Y MUNICIPIOS, CONFORMADO POR LOS COMISIONADOS </w:t>
      </w:r>
      <w:r w:rsidR="00A24131" w:rsidRPr="00DB51AE">
        <w:rPr>
          <w:rFonts w:ascii="Palatino Linotype" w:hAnsi="Palatino Linotype"/>
          <w:color w:val="000000" w:themeColor="text1"/>
        </w:rPr>
        <w:t xml:space="preserve">JOSÉ MARTÍNEZ VILCHIS, MARÍA DEL ROSARIO MEJÍA AYALA, SHARON </w:t>
      </w:r>
      <w:r w:rsidR="00656FFF">
        <w:rPr>
          <w:rFonts w:ascii="Palatino Linotype" w:hAnsi="Palatino Linotype"/>
          <w:color w:val="000000" w:themeColor="text1"/>
        </w:rPr>
        <w:t xml:space="preserve">CRISTINA </w:t>
      </w:r>
      <w:r w:rsidR="00A24131" w:rsidRPr="00DB51AE">
        <w:rPr>
          <w:rFonts w:ascii="Palatino Linotype" w:hAnsi="Palatino Linotype"/>
          <w:color w:val="000000" w:themeColor="text1"/>
        </w:rPr>
        <w:t>MORALES MARTÍNEZ, LUIS GUSTAVO PARRA NORIEGA Y GUADALUPE RAMÍREZ PEÑA</w:t>
      </w:r>
      <w:r w:rsidRPr="00DB51AE">
        <w:rPr>
          <w:rFonts w:ascii="Palatino Linotype" w:hAnsi="Palatino Linotype"/>
          <w:color w:val="000000" w:themeColor="text1"/>
        </w:rPr>
        <w:t xml:space="preserve">; EN LA </w:t>
      </w:r>
      <w:r w:rsidR="00512DCC">
        <w:rPr>
          <w:rFonts w:ascii="Palatino Linotype" w:hAnsi="Palatino Linotype"/>
          <w:color w:val="000000" w:themeColor="text1"/>
        </w:rPr>
        <w:t xml:space="preserve">CUADRAGÉSIMA </w:t>
      </w:r>
      <w:r w:rsidR="006105B3">
        <w:rPr>
          <w:rFonts w:ascii="Palatino Linotype" w:hAnsi="Palatino Linotype"/>
          <w:color w:val="000000" w:themeColor="text1"/>
        </w:rPr>
        <w:t>CUARTA</w:t>
      </w:r>
      <w:r w:rsidRPr="00DB51AE">
        <w:rPr>
          <w:rFonts w:ascii="Palatino Linotype" w:hAnsi="Palatino Linotype"/>
          <w:color w:val="000000" w:themeColor="text1"/>
        </w:rPr>
        <w:t xml:space="preserve"> SESIÓN ORDINARIA CELEBRADA EL </w:t>
      </w:r>
      <w:r w:rsidR="006105B3">
        <w:rPr>
          <w:rFonts w:ascii="Palatino Linotype" w:hAnsi="Palatino Linotype"/>
          <w:color w:val="000000" w:themeColor="text1"/>
        </w:rPr>
        <w:t>OCHO (08) DE DICIEMBRE</w:t>
      </w:r>
      <w:r w:rsidR="00A24131" w:rsidRPr="00DB51AE">
        <w:rPr>
          <w:rFonts w:ascii="Palatino Linotype" w:hAnsi="Palatino Linotype"/>
          <w:color w:val="000000" w:themeColor="text1"/>
        </w:rPr>
        <w:t xml:space="preserve"> </w:t>
      </w:r>
      <w:r w:rsidR="0072445A" w:rsidRPr="00DB51AE">
        <w:rPr>
          <w:rFonts w:ascii="Palatino Linotype" w:hAnsi="Palatino Linotype"/>
          <w:color w:val="000000" w:themeColor="text1"/>
        </w:rPr>
        <w:t>DE DOS MIL VEINTIUNO</w:t>
      </w:r>
      <w:r w:rsidRPr="00DB51AE">
        <w:rPr>
          <w:rFonts w:ascii="Palatino Linotype" w:hAnsi="Palatino Linotype"/>
          <w:color w:val="000000" w:themeColor="text1"/>
        </w:rPr>
        <w:t>, ANTE EL SECRETARIO TÉCNICO DEL PLENO ALEXIS TAPIA RAMÍREZ.</w:t>
      </w:r>
      <w:r w:rsidRPr="002D6F4B">
        <w:rPr>
          <w:rFonts w:ascii="Palatino Linotype" w:hAnsi="Palatino Linotype" w:cs="Arial"/>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35889" w14:textId="77777777" w:rsidR="00F050AD" w:rsidRDefault="00F050AD" w:rsidP="00587366">
      <w:r>
        <w:separator/>
      </w:r>
    </w:p>
  </w:endnote>
  <w:endnote w:type="continuationSeparator" w:id="0">
    <w:p w14:paraId="485E7D34" w14:textId="77777777" w:rsidR="00F050AD" w:rsidRDefault="00F050A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F050AD" w:rsidRPr="00883450" w:rsidRDefault="00F050A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76DA9">
              <w:rPr>
                <w:rFonts w:ascii="Palatino Linotype" w:hAnsi="Palatino Linotype"/>
                <w:b/>
                <w:bCs/>
                <w:noProof/>
                <w:sz w:val="22"/>
                <w:szCs w:val="20"/>
              </w:rPr>
              <w:t>58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76DA9">
              <w:rPr>
                <w:rFonts w:ascii="Palatino Linotype" w:hAnsi="Palatino Linotype"/>
                <w:b/>
                <w:bCs/>
                <w:noProof/>
                <w:sz w:val="22"/>
                <w:szCs w:val="20"/>
              </w:rPr>
              <w:t>60</w:t>
            </w:r>
            <w:r w:rsidRPr="00883450">
              <w:rPr>
                <w:rFonts w:ascii="Palatino Linotype" w:hAnsi="Palatino Linotype"/>
                <w:b/>
                <w:bCs/>
                <w:sz w:val="22"/>
                <w:szCs w:val="20"/>
              </w:rPr>
              <w:fldChar w:fldCharType="end"/>
            </w:r>
          </w:p>
        </w:sdtContent>
      </w:sdt>
    </w:sdtContent>
  </w:sdt>
  <w:p w14:paraId="6243EC1B" w14:textId="47B193F0" w:rsidR="00F050AD" w:rsidRDefault="00F050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F050AD" w:rsidRPr="00883450" w:rsidRDefault="00F050A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76DA9" w:rsidRPr="00A76DA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76DA9" w:rsidRPr="00A76DA9">
      <w:rPr>
        <w:rFonts w:ascii="Palatino Linotype" w:hAnsi="Palatino Linotype"/>
        <w:noProof/>
        <w:sz w:val="22"/>
        <w:szCs w:val="22"/>
        <w:lang w:val="es-ES"/>
      </w:rPr>
      <w:t>60</w:t>
    </w:r>
    <w:r w:rsidRPr="00883450">
      <w:rPr>
        <w:rFonts w:ascii="Palatino Linotype" w:hAnsi="Palatino Linotype"/>
        <w:sz w:val="22"/>
        <w:szCs w:val="22"/>
      </w:rPr>
      <w:fldChar w:fldCharType="end"/>
    </w:r>
  </w:p>
  <w:p w14:paraId="5F5C4865" w14:textId="0A9A2B26" w:rsidR="00F050AD" w:rsidRPr="00883450" w:rsidRDefault="00F050AD">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2E927" w14:textId="77777777" w:rsidR="00F050AD" w:rsidRDefault="00F050AD" w:rsidP="00587366">
      <w:r>
        <w:separator/>
      </w:r>
    </w:p>
  </w:footnote>
  <w:footnote w:type="continuationSeparator" w:id="0">
    <w:p w14:paraId="19E8677F" w14:textId="77777777" w:rsidR="00F050AD" w:rsidRDefault="00F050AD" w:rsidP="00587366">
      <w:r>
        <w:continuationSeparator/>
      </w:r>
    </w:p>
  </w:footnote>
  <w:footnote w:id="1">
    <w:p w14:paraId="31C71B15" w14:textId="77777777" w:rsidR="00F050AD" w:rsidRPr="009C43C2" w:rsidRDefault="00F050AD"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E66C088" w14:textId="77777777" w:rsidR="00F050AD" w:rsidRPr="009C43C2" w:rsidRDefault="00F050AD"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6F4FB53" w14:textId="77777777" w:rsidR="00F050AD" w:rsidRPr="009C43C2" w:rsidRDefault="00F050AD"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F5A516D" w14:textId="77777777" w:rsidR="00F050AD" w:rsidRDefault="00F050AD" w:rsidP="00DA2D95">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4A30E04C" w14:textId="77777777" w:rsidR="00F050AD" w:rsidRDefault="00F050AD" w:rsidP="00FC03FD">
      <w:pPr>
        <w:pStyle w:val="Textonotapie"/>
      </w:pPr>
      <w:r>
        <w:rPr>
          <w:rStyle w:val="Refdenotaalpie"/>
        </w:rPr>
        <w:footnoteRef/>
      </w:r>
      <w:r>
        <w:t xml:space="preserve"> Artículo 50, Ley de Transparencia y Acceso a la Información Pública del Estado de México y Municipios.</w:t>
      </w:r>
    </w:p>
  </w:footnote>
  <w:footnote w:id="6">
    <w:p w14:paraId="50199F52" w14:textId="77777777" w:rsidR="00F050AD" w:rsidRDefault="00F050AD" w:rsidP="00FC03FD">
      <w:pPr>
        <w:pStyle w:val="Textonotapie"/>
      </w:pPr>
      <w:r>
        <w:rPr>
          <w:rStyle w:val="Refdenotaalpie"/>
        </w:rPr>
        <w:footnoteRef/>
      </w:r>
      <w:r>
        <w:t xml:space="preserve"> Artículo 51, Ídem.</w:t>
      </w:r>
    </w:p>
  </w:footnote>
  <w:footnote w:id="7">
    <w:p w14:paraId="0201F338" w14:textId="77777777" w:rsidR="00F050AD" w:rsidRDefault="00F050AD" w:rsidP="00FC03FD">
      <w:pPr>
        <w:pStyle w:val="Textonotapie"/>
      </w:pPr>
      <w:r>
        <w:rPr>
          <w:rStyle w:val="Refdenotaalpie"/>
        </w:rPr>
        <w:footnoteRef/>
      </w:r>
      <w:r>
        <w:t xml:space="preserve"> Artículo 58, Ley de Transparencia y Acceso a la Información Pública del Estado de México y Municipios.</w:t>
      </w:r>
    </w:p>
  </w:footnote>
  <w:footnote w:id="8">
    <w:p w14:paraId="1FDC6A70" w14:textId="77777777" w:rsidR="00F050AD" w:rsidRDefault="00F050AD" w:rsidP="00FC03FD">
      <w:pPr>
        <w:pStyle w:val="Textonotapie"/>
      </w:pPr>
      <w:r>
        <w:rPr>
          <w:rStyle w:val="Refdenotaalpie"/>
        </w:rPr>
        <w:footnoteRef/>
      </w:r>
      <w:r>
        <w:t xml:space="preserve"> Artículo 59, Ídem.</w:t>
      </w:r>
    </w:p>
  </w:footnote>
  <w:footnote w:id="9">
    <w:p w14:paraId="12355B5C" w14:textId="634A49EF" w:rsidR="00F050AD" w:rsidRDefault="00F050AD">
      <w:pPr>
        <w:pStyle w:val="Textonotapie"/>
      </w:pPr>
      <w:r>
        <w:rPr>
          <w:rStyle w:val="Refdenotaalpie"/>
        </w:rPr>
        <w:footnoteRef/>
      </w:r>
      <w:r>
        <w:t xml:space="preserve"> Por ejemplo, la Gaceta Municipal de doce (12) de septiembre de dos mil diecinueve, consultable en </w:t>
      </w:r>
      <w:r w:rsidRPr="00E14FB2">
        <w:t>https://chimalhuacan.gob.mx/Olimpo/Recursos/cfakepath32manualdeorganizaciondelaoficinadecatastrono3-1q5oyz.pdf</w:t>
      </w:r>
    </w:p>
  </w:footnote>
  <w:footnote w:id="10">
    <w:p w14:paraId="0AD273EE" w14:textId="4BC03D5F" w:rsidR="00F050AD" w:rsidRDefault="00F050AD">
      <w:pPr>
        <w:pStyle w:val="Textonotapie"/>
      </w:pPr>
      <w:r>
        <w:rPr>
          <w:rStyle w:val="Refdenotaalpie"/>
        </w:rPr>
        <w:footnoteRef/>
      </w:r>
      <w:r>
        <w:t xml:space="preserve"> Artículo 167, Código Financiero del Estado de México y Municipios.</w:t>
      </w:r>
    </w:p>
  </w:footnote>
  <w:footnote w:id="11">
    <w:p w14:paraId="20891FFC" w14:textId="15F519A1" w:rsidR="00F050AD" w:rsidRDefault="00F050AD">
      <w:pPr>
        <w:pStyle w:val="Textonotapie"/>
      </w:pPr>
      <w:r>
        <w:rPr>
          <w:rStyle w:val="Refdenotaalpie"/>
        </w:rPr>
        <w:footnoteRef/>
      </w:r>
      <w:r>
        <w:t xml:space="preserve"> Artículo 169, Ídem.</w:t>
      </w:r>
    </w:p>
  </w:footnote>
  <w:footnote w:id="12">
    <w:p w14:paraId="62DFCBF1" w14:textId="4B85352A" w:rsidR="00F050AD" w:rsidRDefault="00F050AD" w:rsidP="009E4417">
      <w:pPr>
        <w:pStyle w:val="Textonotapie"/>
      </w:pPr>
      <w:r>
        <w:rPr>
          <w:rStyle w:val="Refdenotaalpie"/>
        </w:rPr>
        <w:footnoteRef/>
      </w:r>
      <w:r>
        <w:t xml:space="preserve"> Artículo 22, </w:t>
      </w:r>
      <w:r w:rsidRPr="00CA39D4">
        <w:t>Reglamento del Título Quinto del Código Financiero del Estado de México y Municipios, Denominado “Del Catastro”</w:t>
      </w:r>
      <w:r>
        <w:t>.</w:t>
      </w:r>
    </w:p>
  </w:footnote>
  <w:footnote w:id="13">
    <w:p w14:paraId="02E367AE" w14:textId="798F6322" w:rsidR="00F050AD" w:rsidRDefault="00F050AD">
      <w:pPr>
        <w:pStyle w:val="Textonotapie"/>
      </w:pPr>
      <w:r>
        <w:rPr>
          <w:rStyle w:val="Refdenotaalpie"/>
        </w:rPr>
        <w:footnoteRef/>
      </w:r>
      <w:r>
        <w:t xml:space="preserve"> Artículo 179, fracción I, Código Financiero del Estado de México y Municipios.</w:t>
      </w:r>
    </w:p>
  </w:footnote>
  <w:footnote w:id="14">
    <w:p w14:paraId="6E26207F" w14:textId="395739AB" w:rsidR="00F050AD" w:rsidRDefault="00F050AD">
      <w:pPr>
        <w:pStyle w:val="Textonotapie"/>
      </w:pPr>
      <w:r>
        <w:rPr>
          <w:rStyle w:val="Refdenotaalpie"/>
        </w:rPr>
        <w:footnoteRef/>
      </w:r>
      <w:r>
        <w:t xml:space="preserve"> Artículo 180, Código Financiero del Estado de México y Municipios.</w:t>
      </w:r>
    </w:p>
  </w:footnote>
  <w:footnote w:id="15">
    <w:p w14:paraId="27A77B33" w14:textId="0A21AF8B" w:rsidR="00F050AD" w:rsidRDefault="00F050AD">
      <w:pPr>
        <w:pStyle w:val="Textonotapie"/>
      </w:pPr>
      <w:r>
        <w:rPr>
          <w:rStyle w:val="Refdenotaalpie"/>
        </w:rPr>
        <w:footnoteRef/>
      </w:r>
      <w:r>
        <w:t xml:space="preserve"> Registro ARG001, Manual Catastral del Estado de México.</w:t>
      </w:r>
    </w:p>
  </w:footnote>
  <w:footnote w:id="16">
    <w:p w14:paraId="25EEBA2D" w14:textId="1B293110" w:rsidR="00F050AD" w:rsidRDefault="00F050AD">
      <w:pPr>
        <w:pStyle w:val="Textonotapie"/>
      </w:pPr>
      <w:r>
        <w:rPr>
          <w:rStyle w:val="Refdenotaalpie"/>
        </w:rPr>
        <w:footnoteRef/>
      </w:r>
      <w:r>
        <w:t xml:space="preserve"> Registro ARG002, Manual Catastral del Estado de México.</w:t>
      </w:r>
    </w:p>
  </w:footnote>
  <w:footnote w:id="17">
    <w:p w14:paraId="77BCA318" w14:textId="77777777" w:rsidR="00F050AD" w:rsidRDefault="00F050AD" w:rsidP="001D0E86">
      <w:pPr>
        <w:pStyle w:val="Textonotapie"/>
        <w:jc w:val="both"/>
      </w:pPr>
      <w:r>
        <w:rPr>
          <w:rStyle w:val="Refdenotaalpie"/>
        </w:rPr>
        <w:footnoteRef/>
      </w:r>
      <w:r>
        <w:t xml:space="preserve"> Artículo 173.- </w:t>
      </w:r>
      <w:r w:rsidRPr="00B857D3">
        <w:t>El IGECEM y la autoridad catastral municipal, a costa del interesado, previa solicitud por escrito o por vía electrónica en los términos que precisa la Ley de Gobierno Digital del Estado de México y Municipios y su Reglamento, en la que acredite su interés jurídico o legítimo, podrán expedir certificaciones o constancias de los documentos y datos que obren en sus archivos o en el padrón catastral, en la materia de su competencia.</w:t>
      </w:r>
    </w:p>
  </w:footnote>
  <w:footnote w:id="18">
    <w:p w14:paraId="5D5E91E0" w14:textId="41BA9A1F" w:rsidR="00F050AD" w:rsidRDefault="00F050AD">
      <w:pPr>
        <w:pStyle w:val="Textonotapie"/>
      </w:pPr>
      <w:r>
        <w:rPr>
          <w:rStyle w:val="Refdenotaalpie"/>
        </w:rPr>
        <w:footnoteRef/>
      </w:r>
      <w:r>
        <w:t xml:space="preserve"> Registro ACGC004, Manual Catastral del Estado de México.</w:t>
      </w:r>
    </w:p>
  </w:footnote>
  <w:footnote w:id="19">
    <w:p w14:paraId="7B583EC3" w14:textId="0F83AECF" w:rsidR="00F050AD" w:rsidRDefault="00F050AD">
      <w:pPr>
        <w:pStyle w:val="Textonotapie"/>
      </w:pPr>
      <w:r>
        <w:rPr>
          <w:rStyle w:val="Refdenotaalpie"/>
        </w:rPr>
        <w:footnoteRef/>
      </w:r>
      <w:r>
        <w:t xml:space="preserve"> Registro ACGC008, Manual Catastral del Estado de México.</w:t>
      </w:r>
    </w:p>
  </w:footnote>
  <w:footnote w:id="20">
    <w:p w14:paraId="78D32D76" w14:textId="55DAA029" w:rsidR="00F050AD" w:rsidRDefault="00F050AD">
      <w:pPr>
        <w:pStyle w:val="Textonotapie"/>
      </w:pPr>
      <w:r>
        <w:rPr>
          <w:rStyle w:val="Refdenotaalpie"/>
        </w:rPr>
        <w:footnoteRef/>
      </w:r>
      <w:r>
        <w:t xml:space="preserve"> Registro ACGC009, Ídem.</w:t>
      </w:r>
    </w:p>
  </w:footnote>
  <w:footnote w:id="21">
    <w:p w14:paraId="0DE8C02E" w14:textId="77777777" w:rsidR="00F050AD" w:rsidRDefault="00F050AD" w:rsidP="00984E9E">
      <w:pPr>
        <w:pStyle w:val="Textonotapie"/>
        <w:jc w:val="both"/>
      </w:pPr>
      <w:r>
        <w:rPr>
          <w:rStyle w:val="Refdenotaalpie"/>
        </w:rPr>
        <w:footnoteRef/>
      </w:r>
      <w:r>
        <w:t xml:space="preserve"> </w:t>
      </w:r>
      <w:r w:rsidRPr="003149D8">
        <w:rPr>
          <w:rFonts w:ascii="Palatino Linotype" w:hAnsi="Palatino Linotype"/>
          <w:sz w:val="16"/>
          <w:szCs w:val="16"/>
        </w:rPr>
        <w:t>Página 1428, Tomo XIX, abril de 2004; página 225, Tomo XXVII, enero de 2008; página 690, Libro 33, agosto de 2016, Tomo II; y página 1854, Libro XXIV, septiembre de 2013, Tomo 3, del Semanario Judicial de la Federación y su Gaceta, respectivamente</w:t>
      </w:r>
      <w:r>
        <w:rPr>
          <w:rFonts w:ascii="Palatino Linotype" w:hAnsi="Palatino Linotype"/>
          <w:sz w:val="16"/>
          <w:szCs w:val="16"/>
        </w:rPr>
        <w:t>.</w:t>
      </w:r>
    </w:p>
  </w:footnote>
  <w:footnote w:id="22">
    <w:p w14:paraId="791E9EFC" w14:textId="50B9A4E6" w:rsidR="00F050AD" w:rsidRDefault="00F050AD">
      <w:pPr>
        <w:pStyle w:val="Textonotapie"/>
      </w:pPr>
      <w:r>
        <w:rPr>
          <w:rStyle w:val="Refdenotaalpie"/>
        </w:rPr>
        <w:footnoteRef/>
      </w:r>
      <w:r>
        <w:t xml:space="preserve"> Consultable en </w:t>
      </w:r>
      <w:r w:rsidRPr="005D458A">
        <w:t>https://chimalhuacan.gob.mx/Mejora-Regulatoria</w:t>
      </w:r>
    </w:p>
  </w:footnote>
  <w:footnote w:id="23">
    <w:p w14:paraId="20DF9721" w14:textId="603CD809" w:rsidR="00F050AD" w:rsidRDefault="00F050AD">
      <w:pPr>
        <w:pStyle w:val="Textonotapie"/>
      </w:pPr>
      <w:r>
        <w:rPr>
          <w:rStyle w:val="Refdenotaalpie"/>
        </w:rPr>
        <w:footnoteRef/>
      </w:r>
      <w:r>
        <w:t xml:space="preserve"> Consultable en </w:t>
      </w:r>
      <w:r w:rsidRPr="005D458A">
        <w:t>https://chimalhuacan.gob.mx/Olimpo/Recursos/Biblioteca/Mejora%20Regulatoria%202018/04-PLANO-MANZANERO_gs8wbhwk.pdf</w:t>
      </w:r>
    </w:p>
  </w:footnote>
  <w:footnote w:id="24">
    <w:p w14:paraId="57BE3654" w14:textId="77777777" w:rsidR="00F050AD" w:rsidRDefault="00F050AD" w:rsidP="00307C7D">
      <w:pPr>
        <w:pStyle w:val="Textonotapie"/>
      </w:pPr>
      <w:r>
        <w:rPr>
          <w:rStyle w:val="Refdenotaalpie"/>
        </w:rPr>
        <w:footnoteRef/>
      </w:r>
      <w:r>
        <w:t xml:space="preserve"> Artículo 3, fracción XI, Ley de Transparencia y Acceso a la Información Pública del Estado de México y Municipios.</w:t>
      </w:r>
    </w:p>
  </w:footnote>
  <w:footnote w:id="25">
    <w:p w14:paraId="7A455EA5" w14:textId="77777777" w:rsidR="00F050AD" w:rsidRDefault="00F050AD" w:rsidP="00307C7D">
      <w:pPr>
        <w:pStyle w:val="Textonotapie"/>
      </w:pPr>
      <w:r>
        <w:rPr>
          <w:rStyle w:val="Refdenotaalpie"/>
        </w:rPr>
        <w:footnoteRef/>
      </w:r>
      <w:r>
        <w:t xml:space="preserve"> Artículo 11, Ley de Transparencia y Acceso a la Información Pública del Estado de México y Municipios.</w:t>
      </w:r>
    </w:p>
  </w:footnote>
  <w:footnote w:id="26">
    <w:p w14:paraId="524CDE1F" w14:textId="77777777" w:rsidR="00F050AD" w:rsidRDefault="00F050AD" w:rsidP="00307C7D">
      <w:pPr>
        <w:pStyle w:val="Textonotapie"/>
        <w:rPr>
          <w:rFonts w:ascii="Palatino Linotype" w:hAnsi="Palatino Linotype"/>
          <w:sz w:val="18"/>
        </w:rPr>
      </w:pPr>
      <w:r>
        <w:rPr>
          <w:rStyle w:val="Refdenotaalpie"/>
        </w:rPr>
        <w:footnoteRef/>
      </w:r>
      <w:r>
        <w:t xml:space="preserve"> </w:t>
      </w:r>
      <w:r w:rsidRPr="008E29C5">
        <w:rPr>
          <w:rFonts w:ascii="Palatino Linotype" w:hAnsi="Palatino Linotype"/>
          <w:sz w:val="18"/>
        </w:rPr>
        <w:t xml:space="preserve">Ley de Transparencia y Acceso a la Información Pública del Estado de México y Municipios. </w:t>
      </w:r>
    </w:p>
    <w:p w14:paraId="69F2209A" w14:textId="77777777" w:rsidR="00F050AD" w:rsidRPr="008E29C5" w:rsidRDefault="00F050AD" w:rsidP="00307C7D">
      <w:pPr>
        <w:pStyle w:val="Textonotapie"/>
        <w:rPr>
          <w:rFonts w:ascii="Palatino Linotype" w:hAnsi="Palatino Linotype"/>
          <w:sz w:val="18"/>
        </w:rPr>
      </w:pPr>
      <w:r>
        <w:rPr>
          <w:rFonts w:ascii="Palatino Linotype" w:hAnsi="Palatino Linotype"/>
          <w:sz w:val="18"/>
        </w:rPr>
        <w:t>“Artículo 9.(…)</w:t>
      </w:r>
    </w:p>
    <w:p w14:paraId="08D9AFE1" w14:textId="77777777" w:rsidR="00F050AD" w:rsidRPr="008E29C5" w:rsidRDefault="00F050AD" w:rsidP="00307C7D">
      <w:pPr>
        <w:pStyle w:val="Textonotapie"/>
        <w:rPr>
          <w:rFonts w:ascii="Palatino Linotype" w:hAnsi="Palatino Linotype"/>
          <w:sz w:val="18"/>
        </w:rPr>
      </w:pPr>
      <w:r w:rsidRPr="008E29C5">
        <w:rPr>
          <w:rFonts w:ascii="Palatino Linotype" w:hAnsi="Palatino Linotype"/>
          <w:sz w:val="18"/>
        </w:rPr>
        <w:t>II. Eficacia: Obligación del Instituto para tutelar, de manera efectiva, el derecho de acceso a la información;</w:t>
      </w:r>
    </w:p>
    <w:p w14:paraId="223D0EDA" w14:textId="77777777" w:rsidR="00F050AD" w:rsidRDefault="00F050AD" w:rsidP="00307C7D">
      <w:pPr>
        <w:pStyle w:val="Textonotapie"/>
      </w:pPr>
      <w:r>
        <w:t>(…)”</w:t>
      </w:r>
    </w:p>
  </w:footnote>
  <w:footnote w:id="27">
    <w:p w14:paraId="0E6B8B9C" w14:textId="19375B51" w:rsidR="00F050AD" w:rsidRDefault="00F050AD">
      <w:pPr>
        <w:pStyle w:val="Textonotapie"/>
      </w:pPr>
      <w:r>
        <w:rPr>
          <w:rStyle w:val="Refdenotaalpie"/>
        </w:rPr>
        <w:footnoteRef/>
      </w:r>
      <w:r>
        <w:t xml:space="preserve"> Artículo 179, fracción I, Código Financiero del Estado de México y Municipios.</w:t>
      </w:r>
    </w:p>
  </w:footnote>
  <w:footnote w:id="28">
    <w:p w14:paraId="7C3E2F0F" w14:textId="77777777" w:rsidR="00F050AD" w:rsidRDefault="00F050AD" w:rsidP="00CA7A78">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5A6E" w14:textId="0285393B" w:rsidR="00F050AD" w:rsidRDefault="00F050AD" w:rsidP="001C6012">
    <w:pPr>
      <w:pStyle w:val="Encabezado"/>
      <w:tabs>
        <w:tab w:val="clear" w:pos="4252"/>
        <w:tab w:val="clear" w:pos="8504"/>
        <w:tab w:val="left" w:pos="8460"/>
      </w:tabs>
    </w:pPr>
    <w:r>
      <w:rPr>
        <w:noProof/>
        <w:lang w:eastAsia="es-MX"/>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F050AD" w:rsidRDefault="00F050AD">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F050AD" w:rsidRPr="00025127" w14:paraId="07F2896E" w14:textId="77777777" w:rsidTr="00FA0F09">
      <w:trPr>
        <w:trHeight w:val="138"/>
        <w:jc w:val="right"/>
      </w:trPr>
      <w:tc>
        <w:tcPr>
          <w:tcW w:w="3260" w:type="dxa"/>
          <w:vAlign w:val="center"/>
        </w:tcPr>
        <w:p w14:paraId="4A5B1974" w14:textId="3B2AB4E0" w:rsidR="00F050AD" w:rsidRPr="00025127" w:rsidRDefault="00F050AD"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23F0AA4" w:rsidR="00F050AD" w:rsidRPr="00025127" w:rsidRDefault="00F050AD" w:rsidP="005F1362">
          <w:pPr>
            <w:pStyle w:val="Encabezado"/>
            <w:jc w:val="both"/>
            <w:rPr>
              <w:rFonts w:ascii="Palatino Linotype" w:hAnsi="Palatino Linotype"/>
              <w:b/>
              <w:sz w:val="22"/>
              <w:szCs w:val="22"/>
            </w:rPr>
          </w:pPr>
          <w:r>
            <w:rPr>
              <w:rFonts w:ascii="Palatino Linotype" w:hAnsi="Palatino Linotype"/>
              <w:b/>
              <w:sz w:val="22"/>
              <w:szCs w:val="22"/>
            </w:rPr>
            <w:t>04798</w:t>
          </w:r>
          <w:r w:rsidRPr="00025127">
            <w:rPr>
              <w:rFonts w:ascii="Palatino Linotype" w:hAnsi="Palatino Linotype"/>
              <w:b/>
              <w:sz w:val="22"/>
              <w:szCs w:val="22"/>
            </w:rPr>
            <w:t>/INFOEM/IP/RR/</w:t>
          </w:r>
          <w:r>
            <w:rPr>
              <w:rFonts w:ascii="Palatino Linotype" w:hAnsi="Palatino Linotype"/>
              <w:b/>
              <w:sz w:val="22"/>
              <w:szCs w:val="22"/>
            </w:rPr>
            <w:t>2021</w:t>
          </w:r>
        </w:p>
      </w:tc>
    </w:tr>
    <w:tr w:rsidR="00F050AD" w:rsidRPr="00025127" w14:paraId="1B5D8690" w14:textId="77777777" w:rsidTr="00FA0F09">
      <w:trPr>
        <w:trHeight w:val="233"/>
        <w:jc w:val="right"/>
      </w:trPr>
      <w:tc>
        <w:tcPr>
          <w:tcW w:w="3260" w:type="dxa"/>
          <w:vAlign w:val="center"/>
        </w:tcPr>
        <w:p w14:paraId="3903F2C6" w14:textId="22D569F8" w:rsidR="00F050AD" w:rsidRPr="00025127" w:rsidRDefault="00F050AD" w:rsidP="00F96460">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927ECED" w:rsidR="00F050AD" w:rsidRPr="00025127" w:rsidRDefault="00F050AD" w:rsidP="00561DCB">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Chimalhuacán</w:t>
          </w:r>
        </w:p>
      </w:tc>
    </w:tr>
    <w:tr w:rsidR="00F050AD" w:rsidRPr="00025127" w14:paraId="095EB01B" w14:textId="77777777" w:rsidTr="00FA0F09">
      <w:trPr>
        <w:trHeight w:val="321"/>
        <w:jc w:val="right"/>
      </w:trPr>
      <w:tc>
        <w:tcPr>
          <w:tcW w:w="3260" w:type="dxa"/>
          <w:vAlign w:val="center"/>
        </w:tcPr>
        <w:p w14:paraId="6E000A51" w14:textId="05E1861A" w:rsidR="00F050AD" w:rsidRPr="00025127" w:rsidRDefault="00F050AD"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F050AD" w:rsidRPr="00025127" w:rsidRDefault="00F050AD"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F050AD" w:rsidRDefault="00F050AD"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F050AD" w:rsidRDefault="00FF2644"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F050A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F050AD" w:rsidRPr="00025127" w14:paraId="0A3256F2" w14:textId="77777777" w:rsidTr="006E6B65">
      <w:trPr>
        <w:trHeight w:val="138"/>
        <w:jc w:val="right"/>
      </w:trPr>
      <w:tc>
        <w:tcPr>
          <w:tcW w:w="3261" w:type="dxa"/>
          <w:vAlign w:val="center"/>
        </w:tcPr>
        <w:p w14:paraId="3D80769D" w14:textId="316F11F8" w:rsidR="00F050AD" w:rsidRPr="00025127" w:rsidRDefault="00F050AD"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37662D4C" w:rsidR="00F050AD" w:rsidRPr="00025127" w:rsidRDefault="00F050AD" w:rsidP="005F1362">
          <w:pPr>
            <w:pStyle w:val="Encabezado"/>
            <w:rPr>
              <w:rFonts w:ascii="Palatino Linotype" w:hAnsi="Palatino Linotype"/>
              <w:b/>
              <w:sz w:val="22"/>
              <w:szCs w:val="22"/>
            </w:rPr>
          </w:pPr>
          <w:r>
            <w:rPr>
              <w:rFonts w:ascii="Palatino Linotype" w:hAnsi="Palatino Linotype"/>
              <w:b/>
              <w:sz w:val="22"/>
              <w:szCs w:val="22"/>
            </w:rPr>
            <w:t>04798</w:t>
          </w:r>
          <w:r w:rsidRPr="00025127">
            <w:rPr>
              <w:rFonts w:ascii="Palatino Linotype" w:hAnsi="Palatino Linotype"/>
              <w:b/>
              <w:sz w:val="22"/>
              <w:szCs w:val="22"/>
            </w:rPr>
            <w:t>/INFOEM/IP/RR/</w:t>
          </w:r>
          <w:r>
            <w:rPr>
              <w:rFonts w:ascii="Palatino Linotype" w:hAnsi="Palatino Linotype"/>
              <w:b/>
              <w:sz w:val="22"/>
              <w:szCs w:val="22"/>
            </w:rPr>
            <w:t>2021</w:t>
          </w:r>
        </w:p>
      </w:tc>
    </w:tr>
    <w:tr w:rsidR="00F050AD" w:rsidRPr="00025127" w14:paraId="128C8B3C" w14:textId="77777777" w:rsidTr="006E6B65">
      <w:trPr>
        <w:trHeight w:val="233"/>
        <w:jc w:val="right"/>
      </w:trPr>
      <w:tc>
        <w:tcPr>
          <w:tcW w:w="3261" w:type="dxa"/>
          <w:vAlign w:val="center"/>
        </w:tcPr>
        <w:p w14:paraId="483E3371" w14:textId="66B1BC74" w:rsidR="00F050AD" w:rsidRPr="00025127" w:rsidRDefault="00F050AD"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162633D8" w:rsidR="00F050AD" w:rsidRPr="00025127" w:rsidRDefault="005F78CF" w:rsidP="0058757A">
          <w:pPr>
            <w:pStyle w:val="Encabezado"/>
            <w:rPr>
              <w:rFonts w:ascii="Palatino Linotype" w:hAnsi="Palatino Linotype"/>
              <w:b/>
              <w:sz w:val="22"/>
              <w:szCs w:val="22"/>
            </w:rPr>
          </w:pPr>
          <w:proofErr w:type="spellStart"/>
          <w:r>
            <w:rPr>
              <w:rFonts w:ascii="Palatino Linotype" w:hAnsi="Palatino Linotype"/>
              <w:b/>
              <w:sz w:val="22"/>
              <w:szCs w:val="22"/>
            </w:rPr>
            <w:t>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p>
      </w:tc>
    </w:tr>
    <w:tr w:rsidR="00F050AD" w:rsidRPr="00025127" w14:paraId="41BE0704" w14:textId="77777777" w:rsidTr="006E6B65">
      <w:trPr>
        <w:trHeight w:val="321"/>
        <w:jc w:val="right"/>
      </w:trPr>
      <w:tc>
        <w:tcPr>
          <w:tcW w:w="3261" w:type="dxa"/>
          <w:vAlign w:val="center"/>
        </w:tcPr>
        <w:p w14:paraId="34C64148" w14:textId="10C6C8A9" w:rsidR="00F050AD" w:rsidRPr="00025127" w:rsidRDefault="00F050AD"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66F0E5CB" w:rsidR="00F050AD" w:rsidRPr="00025127" w:rsidRDefault="00F050AD" w:rsidP="00561DCB">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Chimalhuacán</w:t>
          </w:r>
        </w:p>
      </w:tc>
    </w:tr>
    <w:tr w:rsidR="00F050AD" w:rsidRPr="00025127" w14:paraId="0C8B6193" w14:textId="77777777" w:rsidTr="006E6B65">
      <w:trPr>
        <w:trHeight w:val="321"/>
        <w:jc w:val="right"/>
      </w:trPr>
      <w:tc>
        <w:tcPr>
          <w:tcW w:w="3261" w:type="dxa"/>
          <w:vAlign w:val="center"/>
        </w:tcPr>
        <w:p w14:paraId="321FFAFF" w14:textId="0E8C2CE7" w:rsidR="00F050AD" w:rsidRPr="00025127" w:rsidRDefault="00F050AD"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F050AD" w:rsidRPr="00025127" w:rsidRDefault="00F050AD"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F050AD" w:rsidRDefault="00F050A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8F07DCA"/>
    <w:multiLevelType w:val="hybridMultilevel"/>
    <w:tmpl w:val="27FAFAB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832462"/>
    <w:multiLevelType w:val="hybridMultilevel"/>
    <w:tmpl w:val="0AF4B74E"/>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5177E"/>
    <w:multiLevelType w:val="hybridMultilevel"/>
    <w:tmpl w:val="D3FE671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92555E"/>
    <w:multiLevelType w:val="hybridMultilevel"/>
    <w:tmpl w:val="85048FD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2B7BFE"/>
    <w:multiLevelType w:val="hybridMultilevel"/>
    <w:tmpl w:val="41B8890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41010BF0"/>
    <w:multiLevelType w:val="hybridMultilevel"/>
    <w:tmpl w:val="628CF4E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E86385E"/>
    <w:multiLevelType w:val="hybridMultilevel"/>
    <w:tmpl w:val="437A066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277C3666">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5BC723DB"/>
    <w:multiLevelType w:val="hybridMultilevel"/>
    <w:tmpl w:val="7AC694B8"/>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i w:val="0"/>
        <w:iCs w:val="0"/>
      </w:rPr>
    </w:lvl>
    <w:lvl w:ilvl="2" w:tplc="080A0017">
      <w:start w:val="1"/>
      <w:numFmt w:val="low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B37318"/>
    <w:multiLevelType w:val="hybridMultilevel"/>
    <w:tmpl w:val="6818BC5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144154D"/>
    <w:multiLevelType w:val="hybridMultilevel"/>
    <w:tmpl w:val="D8105E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4DA2C4E"/>
    <w:multiLevelType w:val="hybridMultilevel"/>
    <w:tmpl w:val="F26E141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0"/>
  </w:num>
  <w:num w:numId="3">
    <w:abstractNumId w:val="7"/>
  </w:num>
  <w:num w:numId="4">
    <w:abstractNumId w:val="0"/>
  </w:num>
  <w:num w:numId="5">
    <w:abstractNumId w:val="12"/>
  </w:num>
  <w:num w:numId="6">
    <w:abstractNumId w:val="13"/>
  </w:num>
  <w:num w:numId="7">
    <w:abstractNumId w:val="16"/>
  </w:num>
  <w:num w:numId="8">
    <w:abstractNumId w:val="2"/>
  </w:num>
  <w:num w:numId="9">
    <w:abstractNumId w:val="8"/>
  </w:num>
  <w:num w:numId="10">
    <w:abstractNumId w:val="1"/>
  </w:num>
  <w:num w:numId="11">
    <w:abstractNumId w:val="4"/>
  </w:num>
  <w:num w:numId="12">
    <w:abstractNumId w:val="3"/>
  </w:num>
  <w:num w:numId="13">
    <w:abstractNumId w:val="14"/>
  </w:num>
  <w:num w:numId="14">
    <w:abstractNumId w:val="5"/>
  </w:num>
  <w:num w:numId="15">
    <w:abstractNumId w:val="15"/>
  </w:num>
  <w:num w:numId="16">
    <w:abstractNumId w:val="9"/>
  </w:num>
  <w:num w:numId="1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98B"/>
    <w:rsid w:val="000203D3"/>
    <w:rsid w:val="000204A6"/>
    <w:rsid w:val="000211F8"/>
    <w:rsid w:val="0002146F"/>
    <w:rsid w:val="00022D89"/>
    <w:rsid w:val="000236A3"/>
    <w:rsid w:val="00024BCC"/>
    <w:rsid w:val="00024F35"/>
    <w:rsid w:val="00025127"/>
    <w:rsid w:val="00025266"/>
    <w:rsid w:val="0003063D"/>
    <w:rsid w:val="00031D37"/>
    <w:rsid w:val="00031F10"/>
    <w:rsid w:val="00031F98"/>
    <w:rsid w:val="00032493"/>
    <w:rsid w:val="00033CB5"/>
    <w:rsid w:val="0004072A"/>
    <w:rsid w:val="0004193F"/>
    <w:rsid w:val="00042380"/>
    <w:rsid w:val="00044DB9"/>
    <w:rsid w:val="0004686A"/>
    <w:rsid w:val="000468E2"/>
    <w:rsid w:val="00046CEE"/>
    <w:rsid w:val="000478BA"/>
    <w:rsid w:val="0005237C"/>
    <w:rsid w:val="00052A3C"/>
    <w:rsid w:val="00053A30"/>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230A"/>
    <w:rsid w:val="00082D11"/>
    <w:rsid w:val="00082E28"/>
    <w:rsid w:val="000834FE"/>
    <w:rsid w:val="0008465D"/>
    <w:rsid w:val="00084E31"/>
    <w:rsid w:val="0008542A"/>
    <w:rsid w:val="00090D6F"/>
    <w:rsid w:val="00091C2C"/>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2D65"/>
    <w:rsid w:val="00103662"/>
    <w:rsid w:val="00103888"/>
    <w:rsid w:val="00107499"/>
    <w:rsid w:val="00107557"/>
    <w:rsid w:val="0011167C"/>
    <w:rsid w:val="00111F02"/>
    <w:rsid w:val="0011279B"/>
    <w:rsid w:val="00112B02"/>
    <w:rsid w:val="00114A21"/>
    <w:rsid w:val="00117441"/>
    <w:rsid w:val="0012006D"/>
    <w:rsid w:val="001202BF"/>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B6B"/>
    <w:rsid w:val="00161E95"/>
    <w:rsid w:val="00163780"/>
    <w:rsid w:val="00163B1F"/>
    <w:rsid w:val="001648EE"/>
    <w:rsid w:val="00164B65"/>
    <w:rsid w:val="001656F2"/>
    <w:rsid w:val="00166794"/>
    <w:rsid w:val="0017273C"/>
    <w:rsid w:val="001732E3"/>
    <w:rsid w:val="00174E02"/>
    <w:rsid w:val="0017653A"/>
    <w:rsid w:val="001775DF"/>
    <w:rsid w:val="00185460"/>
    <w:rsid w:val="001862A3"/>
    <w:rsid w:val="00192E4B"/>
    <w:rsid w:val="00194D62"/>
    <w:rsid w:val="00196407"/>
    <w:rsid w:val="00197091"/>
    <w:rsid w:val="001972CC"/>
    <w:rsid w:val="001A032D"/>
    <w:rsid w:val="001A138D"/>
    <w:rsid w:val="001A2857"/>
    <w:rsid w:val="001A2A89"/>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0E86"/>
    <w:rsid w:val="001D3AB5"/>
    <w:rsid w:val="001D7D8F"/>
    <w:rsid w:val="001D7DF0"/>
    <w:rsid w:val="001D7E82"/>
    <w:rsid w:val="001E018C"/>
    <w:rsid w:val="001E051A"/>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79AC"/>
    <w:rsid w:val="00220ADB"/>
    <w:rsid w:val="002217BA"/>
    <w:rsid w:val="00221E74"/>
    <w:rsid w:val="00223507"/>
    <w:rsid w:val="00223ACC"/>
    <w:rsid w:val="0022448D"/>
    <w:rsid w:val="002275DE"/>
    <w:rsid w:val="00230170"/>
    <w:rsid w:val="002305CF"/>
    <w:rsid w:val="002321C6"/>
    <w:rsid w:val="00233E08"/>
    <w:rsid w:val="002345FF"/>
    <w:rsid w:val="00237611"/>
    <w:rsid w:val="002408D7"/>
    <w:rsid w:val="002426EA"/>
    <w:rsid w:val="00244476"/>
    <w:rsid w:val="002457CF"/>
    <w:rsid w:val="002507D8"/>
    <w:rsid w:val="00252A20"/>
    <w:rsid w:val="00252B41"/>
    <w:rsid w:val="0025524F"/>
    <w:rsid w:val="00255475"/>
    <w:rsid w:val="00257E5F"/>
    <w:rsid w:val="00260C1D"/>
    <w:rsid w:val="00261001"/>
    <w:rsid w:val="00261A42"/>
    <w:rsid w:val="00261D84"/>
    <w:rsid w:val="00261FD7"/>
    <w:rsid w:val="002629A6"/>
    <w:rsid w:val="00263F23"/>
    <w:rsid w:val="00264D02"/>
    <w:rsid w:val="0026500D"/>
    <w:rsid w:val="00265252"/>
    <w:rsid w:val="00265CD7"/>
    <w:rsid w:val="00266588"/>
    <w:rsid w:val="002665BD"/>
    <w:rsid w:val="00271B06"/>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90C13"/>
    <w:rsid w:val="00292C38"/>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B689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07C7D"/>
    <w:rsid w:val="003105D0"/>
    <w:rsid w:val="003105D6"/>
    <w:rsid w:val="00310B1D"/>
    <w:rsid w:val="00310D66"/>
    <w:rsid w:val="003111C5"/>
    <w:rsid w:val="00311481"/>
    <w:rsid w:val="003116A6"/>
    <w:rsid w:val="00311863"/>
    <w:rsid w:val="00312733"/>
    <w:rsid w:val="00316065"/>
    <w:rsid w:val="003165D1"/>
    <w:rsid w:val="00317883"/>
    <w:rsid w:val="00317EFF"/>
    <w:rsid w:val="00321AA3"/>
    <w:rsid w:val="00321AE9"/>
    <w:rsid w:val="00321EEE"/>
    <w:rsid w:val="00323895"/>
    <w:rsid w:val="0032586C"/>
    <w:rsid w:val="00326579"/>
    <w:rsid w:val="00327D79"/>
    <w:rsid w:val="00332E6B"/>
    <w:rsid w:val="003337F3"/>
    <w:rsid w:val="00333BE8"/>
    <w:rsid w:val="003344DB"/>
    <w:rsid w:val="00335898"/>
    <w:rsid w:val="00335BFE"/>
    <w:rsid w:val="00335E9C"/>
    <w:rsid w:val="0033608B"/>
    <w:rsid w:val="0033675D"/>
    <w:rsid w:val="00337941"/>
    <w:rsid w:val="00340445"/>
    <w:rsid w:val="003407D0"/>
    <w:rsid w:val="0034181B"/>
    <w:rsid w:val="00342C51"/>
    <w:rsid w:val="00345856"/>
    <w:rsid w:val="0034595C"/>
    <w:rsid w:val="00345B79"/>
    <w:rsid w:val="00345D0F"/>
    <w:rsid w:val="0034614E"/>
    <w:rsid w:val="00346885"/>
    <w:rsid w:val="003472B3"/>
    <w:rsid w:val="0035104F"/>
    <w:rsid w:val="003522BF"/>
    <w:rsid w:val="00352901"/>
    <w:rsid w:val="003531F6"/>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132B"/>
    <w:rsid w:val="00383E66"/>
    <w:rsid w:val="003848B5"/>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417"/>
    <w:rsid w:val="003A65FE"/>
    <w:rsid w:val="003A6A5A"/>
    <w:rsid w:val="003A7221"/>
    <w:rsid w:val="003A730E"/>
    <w:rsid w:val="003B1CEE"/>
    <w:rsid w:val="003B1F7D"/>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701"/>
    <w:rsid w:val="003E6079"/>
    <w:rsid w:val="003E6128"/>
    <w:rsid w:val="003E61A6"/>
    <w:rsid w:val="003E6679"/>
    <w:rsid w:val="003E6D0F"/>
    <w:rsid w:val="003E712E"/>
    <w:rsid w:val="003F0DDA"/>
    <w:rsid w:val="003F140F"/>
    <w:rsid w:val="003F15DB"/>
    <w:rsid w:val="003F2702"/>
    <w:rsid w:val="003F2778"/>
    <w:rsid w:val="003F36A4"/>
    <w:rsid w:val="003F4900"/>
    <w:rsid w:val="003F70CA"/>
    <w:rsid w:val="003F7823"/>
    <w:rsid w:val="00400E76"/>
    <w:rsid w:val="0040137F"/>
    <w:rsid w:val="00402179"/>
    <w:rsid w:val="0040278D"/>
    <w:rsid w:val="00403249"/>
    <w:rsid w:val="00403BFD"/>
    <w:rsid w:val="004078C8"/>
    <w:rsid w:val="004102DE"/>
    <w:rsid w:val="00412448"/>
    <w:rsid w:val="00412696"/>
    <w:rsid w:val="00412E24"/>
    <w:rsid w:val="00414408"/>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5AAD"/>
    <w:rsid w:val="00456317"/>
    <w:rsid w:val="00456348"/>
    <w:rsid w:val="004572A1"/>
    <w:rsid w:val="00457886"/>
    <w:rsid w:val="00457F74"/>
    <w:rsid w:val="004613B1"/>
    <w:rsid w:val="00461F2A"/>
    <w:rsid w:val="0046231E"/>
    <w:rsid w:val="0046340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10"/>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6919"/>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DCC"/>
    <w:rsid w:val="00512F22"/>
    <w:rsid w:val="005140E4"/>
    <w:rsid w:val="00514343"/>
    <w:rsid w:val="00514426"/>
    <w:rsid w:val="00514553"/>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FBD"/>
    <w:rsid w:val="0055159A"/>
    <w:rsid w:val="005516E0"/>
    <w:rsid w:val="00551A9B"/>
    <w:rsid w:val="005520BF"/>
    <w:rsid w:val="00552213"/>
    <w:rsid w:val="005526F4"/>
    <w:rsid w:val="0055544F"/>
    <w:rsid w:val="00556B04"/>
    <w:rsid w:val="00556F72"/>
    <w:rsid w:val="00556F82"/>
    <w:rsid w:val="00560C00"/>
    <w:rsid w:val="00561DCB"/>
    <w:rsid w:val="00561ED1"/>
    <w:rsid w:val="00562B0A"/>
    <w:rsid w:val="00562CCE"/>
    <w:rsid w:val="00563FC3"/>
    <w:rsid w:val="0056555A"/>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55A0"/>
    <w:rsid w:val="00596514"/>
    <w:rsid w:val="0059679B"/>
    <w:rsid w:val="00597B44"/>
    <w:rsid w:val="00597D18"/>
    <w:rsid w:val="005A1FAB"/>
    <w:rsid w:val="005A228F"/>
    <w:rsid w:val="005A2A65"/>
    <w:rsid w:val="005A2F65"/>
    <w:rsid w:val="005A3513"/>
    <w:rsid w:val="005A3581"/>
    <w:rsid w:val="005A3BD7"/>
    <w:rsid w:val="005A60E1"/>
    <w:rsid w:val="005A6788"/>
    <w:rsid w:val="005A786F"/>
    <w:rsid w:val="005B169C"/>
    <w:rsid w:val="005B18FF"/>
    <w:rsid w:val="005B2DD1"/>
    <w:rsid w:val="005B3A49"/>
    <w:rsid w:val="005B6ADF"/>
    <w:rsid w:val="005B773D"/>
    <w:rsid w:val="005B7C5D"/>
    <w:rsid w:val="005C02B5"/>
    <w:rsid w:val="005C0821"/>
    <w:rsid w:val="005C1A74"/>
    <w:rsid w:val="005C287E"/>
    <w:rsid w:val="005C3294"/>
    <w:rsid w:val="005C347F"/>
    <w:rsid w:val="005C3B63"/>
    <w:rsid w:val="005C450C"/>
    <w:rsid w:val="005C6961"/>
    <w:rsid w:val="005C6F55"/>
    <w:rsid w:val="005D0EB4"/>
    <w:rsid w:val="005D18A6"/>
    <w:rsid w:val="005D27DD"/>
    <w:rsid w:val="005D3493"/>
    <w:rsid w:val="005D458A"/>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5F78CF"/>
    <w:rsid w:val="006010DA"/>
    <w:rsid w:val="006017AB"/>
    <w:rsid w:val="00604AC3"/>
    <w:rsid w:val="00605865"/>
    <w:rsid w:val="006105B3"/>
    <w:rsid w:val="00611D21"/>
    <w:rsid w:val="00611DC1"/>
    <w:rsid w:val="00613655"/>
    <w:rsid w:val="006144EE"/>
    <w:rsid w:val="00617125"/>
    <w:rsid w:val="00617813"/>
    <w:rsid w:val="006206CC"/>
    <w:rsid w:val="00622B06"/>
    <w:rsid w:val="00624425"/>
    <w:rsid w:val="006257C2"/>
    <w:rsid w:val="00627163"/>
    <w:rsid w:val="00627DB0"/>
    <w:rsid w:val="0063034E"/>
    <w:rsid w:val="00630B0D"/>
    <w:rsid w:val="00634476"/>
    <w:rsid w:val="00637475"/>
    <w:rsid w:val="0064393B"/>
    <w:rsid w:val="006439A1"/>
    <w:rsid w:val="00644375"/>
    <w:rsid w:val="00644A5C"/>
    <w:rsid w:val="00646A08"/>
    <w:rsid w:val="00650392"/>
    <w:rsid w:val="0065061D"/>
    <w:rsid w:val="00651701"/>
    <w:rsid w:val="00655146"/>
    <w:rsid w:val="00656FFF"/>
    <w:rsid w:val="0065705F"/>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A1047"/>
    <w:rsid w:val="006A11C8"/>
    <w:rsid w:val="006A2CF3"/>
    <w:rsid w:val="006A2D34"/>
    <w:rsid w:val="006A2EDE"/>
    <w:rsid w:val="006A2EFB"/>
    <w:rsid w:val="006A32B6"/>
    <w:rsid w:val="006A3D7A"/>
    <w:rsid w:val="006A79C3"/>
    <w:rsid w:val="006B004E"/>
    <w:rsid w:val="006B0198"/>
    <w:rsid w:val="006B12E8"/>
    <w:rsid w:val="006B1C19"/>
    <w:rsid w:val="006B31E7"/>
    <w:rsid w:val="006B65D4"/>
    <w:rsid w:val="006B784D"/>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9C2"/>
    <w:rsid w:val="006F1E31"/>
    <w:rsid w:val="006F2C12"/>
    <w:rsid w:val="006F2F92"/>
    <w:rsid w:val="006F3266"/>
    <w:rsid w:val="006F51AA"/>
    <w:rsid w:val="006F69E5"/>
    <w:rsid w:val="007050B1"/>
    <w:rsid w:val="00705527"/>
    <w:rsid w:val="00707096"/>
    <w:rsid w:val="007127BB"/>
    <w:rsid w:val="007136BC"/>
    <w:rsid w:val="00714576"/>
    <w:rsid w:val="00714FEC"/>
    <w:rsid w:val="00715A04"/>
    <w:rsid w:val="00715B7D"/>
    <w:rsid w:val="00716EC8"/>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03E"/>
    <w:rsid w:val="00757995"/>
    <w:rsid w:val="00760BAE"/>
    <w:rsid w:val="00762511"/>
    <w:rsid w:val="00762697"/>
    <w:rsid w:val="007644E6"/>
    <w:rsid w:val="007652EA"/>
    <w:rsid w:val="00766CDD"/>
    <w:rsid w:val="007674F3"/>
    <w:rsid w:val="00767CD2"/>
    <w:rsid w:val="00770859"/>
    <w:rsid w:val="00774A5F"/>
    <w:rsid w:val="00774DFD"/>
    <w:rsid w:val="007753FA"/>
    <w:rsid w:val="0077544D"/>
    <w:rsid w:val="00775D67"/>
    <w:rsid w:val="00776C78"/>
    <w:rsid w:val="0078079A"/>
    <w:rsid w:val="007814CC"/>
    <w:rsid w:val="0078249C"/>
    <w:rsid w:val="00784AA0"/>
    <w:rsid w:val="00784F3D"/>
    <w:rsid w:val="00785321"/>
    <w:rsid w:val="00785E63"/>
    <w:rsid w:val="007860B9"/>
    <w:rsid w:val="00786DD5"/>
    <w:rsid w:val="00787184"/>
    <w:rsid w:val="007914E4"/>
    <w:rsid w:val="00791E58"/>
    <w:rsid w:val="00794C2B"/>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587"/>
    <w:rsid w:val="007B26B2"/>
    <w:rsid w:val="007B30F3"/>
    <w:rsid w:val="007B5971"/>
    <w:rsid w:val="007B5AF0"/>
    <w:rsid w:val="007B6317"/>
    <w:rsid w:val="007B694D"/>
    <w:rsid w:val="007B79A9"/>
    <w:rsid w:val="007C0013"/>
    <w:rsid w:val="007C0CBC"/>
    <w:rsid w:val="007C165C"/>
    <w:rsid w:val="007C255D"/>
    <w:rsid w:val="007C37D2"/>
    <w:rsid w:val="007C3985"/>
    <w:rsid w:val="007C6110"/>
    <w:rsid w:val="007C6AE2"/>
    <w:rsid w:val="007C7154"/>
    <w:rsid w:val="007C7D43"/>
    <w:rsid w:val="007D0C01"/>
    <w:rsid w:val="007D26D2"/>
    <w:rsid w:val="007D3FBD"/>
    <w:rsid w:val="007D49A0"/>
    <w:rsid w:val="007D7EF3"/>
    <w:rsid w:val="007E0553"/>
    <w:rsid w:val="007E1992"/>
    <w:rsid w:val="007E2870"/>
    <w:rsid w:val="007E5125"/>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2B1"/>
    <w:rsid w:val="00802BFE"/>
    <w:rsid w:val="00803827"/>
    <w:rsid w:val="0080391F"/>
    <w:rsid w:val="008039C2"/>
    <w:rsid w:val="008046E4"/>
    <w:rsid w:val="00804992"/>
    <w:rsid w:val="00804D8D"/>
    <w:rsid w:val="008055FF"/>
    <w:rsid w:val="00806782"/>
    <w:rsid w:val="00810302"/>
    <w:rsid w:val="00810F94"/>
    <w:rsid w:val="008118AF"/>
    <w:rsid w:val="00814A17"/>
    <w:rsid w:val="008167F5"/>
    <w:rsid w:val="0081794B"/>
    <w:rsid w:val="00817D8E"/>
    <w:rsid w:val="008200A3"/>
    <w:rsid w:val="00820BF2"/>
    <w:rsid w:val="00824C4E"/>
    <w:rsid w:val="00826125"/>
    <w:rsid w:val="00826F38"/>
    <w:rsid w:val="00830D70"/>
    <w:rsid w:val="00831969"/>
    <w:rsid w:val="00833CE6"/>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24B"/>
    <w:rsid w:val="008523BA"/>
    <w:rsid w:val="00852B26"/>
    <w:rsid w:val="0085480B"/>
    <w:rsid w:val="00855985"/>
    <w:rsid w:val="008560F4"/>
    <w:rsid w:val="008568B1"/>
    <w:rsid w:val="008570EB"/>
    <w:rsid w:val="00860A1E"/>
    <w:rsid w:val="00861622"/>
    <w:rsid w:val="00863125"/>
    <w:rsid w:val="008662C0"/>
    <w:rsid w:val="008704DF"/>
    <w:rsid w:val="008705E1"/>
    <w:rsid w:val="0087153F"/>
    <w:rsid w:val="00872938"/>
    <w:rsid w:val="00873ABF"/>
    <w:rsid w:val="0087459A"/>
    <w:rsid w:val="00875167"/>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5335"/>
    <w:rsid w:val="00895536"/>
    <w:rsid w:val="008965EF"/>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13E8"/>
    <w:rsid w:val="008C2B3C"/>
    <w:rsid w:val="008C41A7"/>
    <w:rsid w:val="008C4571"/>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AE8"/>
    <w:rsid w:val="008E3E12"/>
    <w:rsid w:val="008E4DCD"/>
    <w:rsid w:val="008E5767"/>
    <w:rsid w:val="008E580D"/>
    <w:rsid w:val="008F12E6"/>
    <w:rsid w:val="008F1558"/>
    <w:rsid w:val="008F2B44"/>
    <w:rsid w:val="008F5927"/>
    <w:rsid w:val="008F5F96"/>
    <w:rsid w:val="008F7752"/>
    <w:rsid w:val="0090174A"/>
    <w:rsid w:val="00902E52"/>
    <w:rsid w:val="009036B3"/>
    <w:rsid w:val="00906061"/>
    <w:rsid w:val="0090620F"/>
    <w:rsid w:val="009071FE"/>
    <w:rsid w:val="00907761"/>
    <w:rsid w:val="00907A46"/>
    <w:rsid w:val="00910076"/>
    <w:rsid w:val="00910FE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4A97"/>
    <w:rsid w:val="009750AA"/>
    <w:rsid w:val="00977D37"/>
    <w:rsid w:val="00980837"/>
    <w:rsid w:val="009813EA"/>
    <w:rsid w:val="009830D3"/>
    <w:rsid w:val="00983B8F"/>
    <w:rsid w:val="00984E9E"/>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5191"/>
    <w:rsid w:val="009A593A"/>
    <w:rsid w:val="009A5FBB"/>
    <w:rsid w:val="009B0F5C"/>
    <w:rsid w:val="009B11D6"/>
    <w:rsid w:val="009B2EE9"/>
    <w:rsid w:val="009B3771"/>
    <w:rsid w:val="009B4864"/>
    <w:rsid w:val="009B5504"/>
    <w:rsid w:val="009B5D1A"/>
    <w:rsid w:val="009B649B"/>
    <w:rsid w:val="009B6F16"/>
    <w:rsid w:val="009B6F85"/>
    <w:rsid w:val="009C0940"/>
    <w:rsid w:val="009C0950"/>
    <w:rsid w:val="009C1D99"/>
    <w:rsid w:val="009C1F8B"/>
    <w:rsid w:val="009C20A8"/>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417"/>
    <w:rsid w:val="009E4942"/>
    <w:rsid w:val="009E6E48"/>
    <w:rsid w:val="009F0B67"/>
    <w:rsid w:val="009F1566"/>
    <w:rsid w:val="009F1E4B"/>
    <w:rsid w:val="009F307E"/>
    <w:rsid w:val="009F37D5"/>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276A"/>
    <w:rsid w:val="00A33754"/>
    <w:rsid w:val="00A349D2"/>
    <w:rsid w:val="00A34C05"/>
    <w:rsid w:val="00A35492"/>
    <w:rsid w:val="00A4044E"/>
    <w:rsid w:val="00A40535"/>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76DA9"/>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D7D0E"/>
    <w:rsid w:val="00AE48E8"/>
    <w:rsid w:val="00AE7D9E"/>
    <w:rsid w:val="00AE7F20"/>
    <w:rsid w:val="00AF0E7C"/>
    <w:rsid w:val="00AF1F04"/>
    <w:rsid w:val="00AF3B55"/>
    <w:rsid w:val="00AF3D59"/>
    <w:rsid w:val="00AF6794"/>
    <w:rsid w:val="00AF6F48"/>
    <w:rsid w:val="00AF717E"/>
    <w:rsid w:val="00B016F7"/>
    <w:rsid w:val="00B02BDD"/>
    <w:rsid w:val="00B04470"/>
    <w:rsid w:val="00B04E10"/>
    <w:rsid w:val="00B055B9"/>
    <w:rsid w:val="00B12C62"/>
    <w:rsid w:val="00B13243"/>
    <w:rsid w:val="00B13511"/>
    <w:rsid w:val="00B13D85"/>
    <w:rsid w:val="00B16296"/>
    <w:rsid w:val="00B16CC7"/>
    <w:rsid w:val="00B1786A"/>
    <w:rsid w:val="00B206D8"/>
    <w:rsid w:val="00B20C75"/>
    <w:rsid w:val="00B230E5"/>
    <w:rsid w:val="00B23E88"/>
    <w:rsid w:val="00B267A4"/>
    <w:rsid w:val="00B312C7"/>
    <w:rsid w:val="00B316B9"/>
    <w:rsid w:val="00B31E90"/>
    <w:rsid w:val="00B32E58"/>
    <w:rsid w:val="00B335A2"/>
    <w:rsid w:val="00B342D1"/>
    <w:rsid w:val="00B34371"/>
    <w:rsid w:val="00B357DD"/>
    <w:rsid w:val="00B36BEC"/>
    <w:rsid w:val="00B37104"/>
    <w:rsid w:val="00B406E3"/>
    <w:rsid w:val="00B41516"/>
    <w:rsid w:val="00B42A4C"/>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57F54"/>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57D3"/>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818"/>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68"/>
    <w:rsid w:val="00C203F6"/>
    <w:rsid w:val="00C20EB1"/>
    <w:rsid w:val="00C2139F"/>
    <w:rsid w:val="00C24101"/>
    <w:rsid w:val="00C24FF3"/>
    <w:rsid w:val="00C2575E"/>
    <w:rsid w:val="00C26025"/>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63BE"/>
    <w:rsid w:val="00C70AB7"/>
    <w:rsid w:val="00C71858"/>
    <w:rsid w:val="00C722C5"/>
    <w:rsid w:val="00C74346"/>
    <w:rsid w:val="00C744AE"/>
    <w:rsid w:val="00C74781"/>
    <w:rsid w:val="00C76AEB"/>
    <w:rsid w:val="00C76B87"/>
    <w:rsid w:val="00C80034"/>
    <w:rsid w:val="00C828E8"/>
    <w:rsid w:val="00C82F4B"/>
    <w:rsid w:val="00C83579"/>
    <w:rsid w:val="00C83EA7"/>
    <w:rsid w:val="00C84559"/>
    <w:rsid w:val="00C84E31"/>
    <w:rsid w:val="00C862C4"/>
    <w:rsid w:val="00C86977"/>
    <w:rsid w:val="00C86B34"/>
    <w:rsid w:val="00C86FFF"/>
    <w:rsid w:val="00C871C7"/>
    <w:rsid w:val="00C91060"/>
    <w:rsid w:val="00C928FD"/>
    <w:rsid w:val="00C95593"/>
    <w:rsid w:val="00CA0640"/>
    <w:rsid w:val="00CA2022"/>
    <w:rsid w:val="00CA39D4"/>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4143"/>
    <w:rsid w:val="00CD5036"/>
    <w:rsid w:val="00CD60E8"/>
    <w:rsid w:val="00CD6866"/>
    <w:rsid w:val="00CD76D4"/>
    <w:rsid w:val="00CD7893"/>
    <w:rsid w:val="00CE03CC"/>
    <w:rsid w:val="00CE1B49"/>
    <w:rsid w:val="00CE1B8A"/>
    <w:rsid w:val="00CE7E6A"/>
    <w:rsid w:val="00CF030B"/>
    <w:rsid w:val="00CF23A2"/>
    <w:rsid w:val="00CF5081"/>
    <w:rsid w:val="00CF5D77"/>
    <w:rsid w:val="00CF6EB2"/>
    <w:rsid w:val="00D00269"/>
    <w:rsid w:val="00D02F72"/>
    <w:rsid w:val="00D10AB0"/>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C47"/>
    <w:rsid w:val="00D27F25"/>
    <w:rsid w:val="00D30003"/>
    <w:rsid w:val="00D306AB"/>
    <w:rsid w:val="00D31B93"/>
    <w:rsid w:val="00D31D5F"/>
    <w:rsid w:val="00D32293"/>
    <w:rsid w:val="00D33323"/>
    <w:rsid w:val="00D33F79"/>
    <w:rsid w:val="00D3469A"/>
    <w:rsid w:val="00D3478C"/>
    <w:rsid w:val="00D34A5C"/>
    <w:rsid w:val="00D35986"/>
    <w:rsid w:val="00D36CE3"/>
    <w:rsid w:val="00D3710C"/>
    <w:rsid w:val="00D37494"/>
    <w:rsid w:val="00D3789A"/>
    <w:rsid w:val="00D407B7"/>
    <w:rsid w:val="00D409B3"/>
    <w:rsid w:val="00D41B84"/>
    <w:rsid w:val="00D41E2D"/>
    <w:rsid w:val="00D42588"/>
    <w:rsid w:val="00D4287D"/>
    <w:rsid w:val="00D42957"/>
    <w:rsid w:val="00D446E7"/>
    <w:rsid w:val="00D47265"/>
    <w:rsid w:val="00D47500"/>
    <w:rsid w:val="00D4793C"/>
    <w:rsid w:val="00D5517B"/>
    <w:rsid w:val="00D60582"/>
    <w:rsid w:val="00D61222"/>
    <w:rsid w:val="00D63800"/>
    <w:rsid w:val="00D63990"/>
    <w:rsid w:val="00D65068"/>
    <w:rsid w:val="00D65243"/>
    <w:rsid w:val="00D658A1"/>
    <w:rsid w:val="00D65BBD"/>
    <w:rsid w:val="00D67085"/>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1AE"/>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60C0"/>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4FB2"/>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6E7"/>
    <w:rsid w:val="00E507A5"/>
    <w:rsid w:val="00E51A57"/>
    <w:rsid w:val="00E528D2"/>
    <w:rsid w:val="00E54E89"/>
    <w:rsid w:val="00E57E0F"/>
    <w:rsid w:val="00E601CE"/>
    <w:rsid w:val="00E602CF"/>
    <w:rsid w:val="00E60B1D"/>
    <w:rsid w:val="00E61EE8"/>
    <w:rsid w:val="00E62061"/>
    <w:rsid w:val="00E62441"/>
    <w:rsid w:val="00E63879"/>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6BA"/>
    <w:rsid w:val="00E84D6B"/>
    <w:rsid w:val="00E856B0"/>
    <w:rsid w:val="00E85D85"/>
    <w:rsid w:val="00E86868"/>
    <w:rsid w:val="00E86C2A"/>
    <w:rsid w:val="00E86CA1"/>
    <w:rsid w:val="00E87711"/>
    <w:rsid w:val="00E87F07"/>
    <w:rsid w:val="00E91BFE"/>
    <w:rsid w:val="00E91E35"/>
    <w:rsid w:val="00E9230E"/>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C7EB4"/>
    <w:rsid w:val="00ED2270"/>
    <w:rsid w:val="00ED3818"/>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1ED4"/>
    <w:rsid w:val="00F02412"/>
    <w:rsid w:val="00F026B4"/>
    <w:rsid w:val="00F0292D"/>
    <w:rsid w:val="00F02E9D"/>
    <w:rsid w:val="00F04044"/>
    <w:rsid w:val="00F046C8"/>
    <w:rsid w:val="00F047AB"/>
    <w:rsid w:val="00F050AD"/>
    <w:rsid w:val="00F05DE1"/>
    <w:rsid w:val="00F06D58"/>
    <w:rsid w:val="00F07353"/>
    <w:rsid w:val="00F07444"/>
    <w:rsid w:val="00F104AB"/>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6760"/>
    <w:rsid w:val="00F37B6F"/>
    <w:rsid w:val="00F40C05"/>
    <w:rsid w:val="00F40E86"/>
    <w:rsid w:val="00F42168"/>
    <w:rsid w:val="00F425B3"/>
    <w:rsid w:val="00F44C78"/>
    <w:rsid w:val="00F44F38"/>
    <w:rsid w:val="00F452C0"/>
    <w:rsid w:val="00F459E6"/>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515"/>
    <w:rsid w:val="00F906D0"/>
    <w:rsid w:val="00F90CC8"/>
    <w:rsid w:val="00F93FEB"/>
    <w:rsid w:val="00F94E43"/>
    <w:rsid w:val="00F96156"/>
    <w:rsid w:val="00F96460"/>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76C5"/>
    <w:rsid w:val="00FB7FBE"/>
    <w:rsid w:val="00FC03FD"/>
    <w:rsid w:val="00FC0824"/>
    <w:rsid w:val="00FC0C57"/>
    <w:rsid w:val="00FC16B9"/>
    <w:rsid w:val="00FC1DA7"/>
    <w:rsid w:val="00FC2414"/>
    <w:rsid w:val="00FC2C4D"/>
    <w:rsid w:val="00FC2E20"/>
    <w:rsid w:val="00FC3E83"/>
    <w:rsid w:val="00FC44A1"/>
    <w:rsid w:val="00FC4BCF"/>
    <w:rsid w:val="00FC4DEB"/>
    <w:rsid w:val="00FC50CE"/>
    <w:rsid w:val="00FC62AC"/>
    <w:rsid w:val="00FC6AC7"/>
    <w:rsid w:val="00FC77FF"/>
    <w:rsid w:val="00FC7E40"/>
    <w:rsid w:val="00FD1351"/>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644"/>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4"/>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9985200">
      <w:bodyDiv w:val="1"/>
      <w:marLeft w:val="0"/>
      <w:marRight w:val="0"/>
      <w:marTop w:val="0"/>
      <w:marBottom w:val="0"/>
      <w:divBdr>
        <w:top w:val="none" w:sz="0" w:space="0" w:color="auto"/>
        <w:left w:val="none" w:sz="0" w:space="0" w:color="auto"/>
        <w:bottom w:val="none" w:sz="0" w:space="0" w:color="auto"/>
        <w:right w:val="none" w:sz="0" w:space="0" w:color="auto"/>
      </w:divBdr>
    </w:div>
    <w:div w:id="496462178">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6400448">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8108293">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19865-E782-4254-ADB8-A3E6604D2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59</Pages>
  <Words>13223</Words>
  <Characters>72729</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Antonio Alarcón Valerio</cp:lastModifiedBy>
  <cp:revision>4</cp:revision>
  <cp:lastPrinted>2019-12-11T01:19:00Z</cp:lastPrinted>
  <dcterms:created xsi:type="dcterms:W3CDTF">2022-01-07T23:02:00Z</dcterms:created>
  <dcterms:modified xsi:type="dcterms:W3CDTF">2022-01-07T23:06:00Z</dcterms:modified>
</cp:coreProperties>
</file>