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EADB8DD"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22288C">
        <w:rPr>
          <w:rFonts w:ascii="Palatino Linotype" w:hAnsi="Palatino Linotype"/>
        </w:rPr>
        <w:t>quince de septiembre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188C9ACC"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F82E89">
        <w:rPr>
          <w:rFonts w:ascii="Palatino Linotype" w:eastAsiaTheme="minorEastAsia" w:hAnsi="Palatino Linotype" w:cs="Arial"/>
          <w:b/>
          <w:bCs/>
          <w:sz w:val="22"/>
          <w:szCs w:val="22"/>
          <w:lang w:val="es-MX"/>
        </w:rPr>
        <w:t>02064/INFOEM/IP/RR/2021</w:t>
      </w:r>
      <w:r w:rsidR="003C4F18" w:rsidRPr="00143EC9">
        <w:rPr>
          <w:rFonts w:ascii="Palatino Linotype" w:hAnsi="Palatino Linotype" w:cs="Arial"/>
        </w:rPr>
        <w:t xml:space="preserve">, interpuesto por </w:t>
      </w:r>
      <w:r w:rsidR="00F82E89">
        <w:rPr>
          <w:rFonts w:ascii="Palatino Linotype" w:hAnsi="Palatino Linotype" w:cs="Arial"/>
          <w:b/>
        </w:rPr>
        <w:t>ciudadano - -</w:t>
      </w:r>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F82E89">
        <w:rPr>
          <w:rFonts w:ascii="Palatino Linotype" w:eastAsiaTheme="minorEastAsia" w:hAnsi="Palatino Linotype" w:cs="Arial"/>
          <w:b/>
          <w:sz w:val="22"/>
          <w:szCs w:val="22"/>
          <w:lang w:val="es-MX"/>
        </w:rPr>
        <w:t>00013/PMCIU/IP/2021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F82E89">
        <w:rPr>
          <w:rFonts w:ascii="Palatino Linotype" w:eastAsiaTheme="minorEastAsia" w:hAnsi="Palatino Linotype" w:cs="Arial"/>
          <w:b/>
          <w:lang w:val="es-MX"/>
        </w:rPr>
        <w:t>Partido Movimiento Ciudadano</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41931427"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F82E89">
        <w:rPr>
          <w:rFonts w:ascii="Palatino Linotype" w:hAnsi="Palatino Linotype" w:cs="Arial"/>
        </w:rPr>
        <w:t>cinco de abril</w:t>
      </w:r>
      <w:r w:rsidR="000C1F3B">
        <w:rPr>
          <w:rFonts w:ascii="Palatino Linotype" w:hAnsi="Palatino Linotype" w:cs="Arial"/>
        </w:rPr>
        <w:t xml:space="preserve"> de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58732A6C"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F82E89" w:rsidRPr="00F82E89">
        <w:rPr>
          <w:rFonts w:ascii="Palatino Linotype" w:hAnsi="Palatino Linotype"/>
          <w:i/>
          <w:color w:val="000000"/>
        </w:rPr>
        <w:t xml:space="preserve">Monto del ingreso que se obtuvo en 2018, 2019 y 2020 para actividades ordinarias y mujer, acuerdo en el que se sustenta el monto de dichos ingresos. PAT y PAT mujeres que se presenta ante la UTF de del INE de los años 2018, 2019 y 2020. De los años 2018, 2019 y 2020 Cuáles son cursos, talleres o cualquier similar que por motivo a la prerrogativa especial para mujeres, el partido ejerce para este fin, identificarlo con fecha de realización, proveedor que se contrato para tal fin; y los datos generales que se encuentran en el archivo que se adjunta a la presente solicitud de </w:t>
      </w:r>
      <w:r w:rsidR="00F82E89" w:rsidRPr="00F82E89">
        <w:rPr>
          <w:rFonts w:ascii="Palatino Linotype" w:hAnsi="Palatino Linotype"/>
          <w:i/>
          <w:color w:val="000000"/>
        </w:rPr>
        <w:lastRenderedPageBreak/>
        <w:t>información; cabe destacar que los datos solicitados no afectan los datos personales de las y los asistentes.</w:t>
      </w:r>
      <w:r w:rsidRPr="00143EC9">
        <w:rPr>
          <w:rFonts w:ascii="Palatino Linotype" w:hAnsi="Palatino Linotype" w:cs="Arial"/>
          <w:i/>
        </w:rPr>
        <w:t>”</w:t>
      </w:r>
      <w:r w:rsidR="00C673D1" w:rsidRPr="00143EC9">
        <w:rPr>
          <w:rFonts w:ascii="Palatino Linotype" w:hAnsi="Palatino Linotype" w:cs="Arial"/>
          <w:i/>
        </w:rPr>
        <w:t xml:space="preserve"> (sic)</w:t>
      </w:r>
    </w:p>
    <w:p w14:paraId="649BFEDD" w14:textId="405E2D6A" w:rsidR="00293DE5" w:rsidRPr="00143EC9" w:rsidRDefault="00293DE5" w:rsidP="007E09E9">
      <w:pPr>
        <w:spacing w:before="240" w:after="240" w:line="360" w:lineRule="auto"/>
        <w:jc w:val="both"/>
        <w:rPr>
          <w:rFonts w:ascii="Palatino Linotype" w:hAnsi="Palatino Linotype" w:cs="Arial"/>
          <w:b/>
        </w:rPr>
      </w:pPr>
      <w:r w:rsidRPr="00143EC9">
        <w:rPr>
          <w:rFonts w:ascii="Palatino Linotype" w:hAnsi="Palatino Linotype" w:cs="Arial"/>
        </w:rPr>
        <w:t xml:space="preserve">El solicitante </w:t>
      </w:r>
      <w:r w:rsidR="007E09E9">
        <w:rPr>
          <w:rFonts w:ascii="Palatino Linotype" w:hAnsi="Palatino Linotype" w:cs="Arial"/>
        </w:rPr>
        <w:t xml:space="preserve">adjuntó el archivo </w:t>
      </w:r>
      <w:hyperlink r:id="rId8" w:tgtFrame="_blank" w:history="1">
        <w:r w:rsidR="007E09E9" w:rsidRPr="007E09E9">
          <w:rPr>
            <w:rStyle w:val="Hipervnculo"/>
            <w:rFonts w:ascii="Palatino Linotype" w:hAnsi="Palatino Linotype" w:cs="Arial"/>
            <w:b/>
            <w:bCs/>
            <w:color w:val="auto"/>
            <w:u w:val="none"/>
          </w:rPr>
          <w:t>partida mujeres partidos.xlsx</w:t>
        </w:r>
      </w:hyperlink>
      <w:r w:rsidR="007E09E9">
        <w:rPr>
          <w:rFonts w:ascii="Palatino Linotype" w:hAnsi="Palatino Linotype" w:cs="Arial"/>
        </w:rPr>
        <w:t xml:space="preserve">, además de indicar </w:t>
      </w:r>
      <w:r w:rsidRPr="00143EC9">
        <w:rPr>
          <w:rFonts w:ascii="Palatino Linotype" w:hAnsi="Palatino Linotype" w:cs="Arial"/>
        </w:rPr>
        <w:t>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49533C88"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F82E89">
        <w:rPr>
          <w:rFonts w:ascii="Palatino Linotype" w:hAnsi="Palatino Linotype" w:cs="Arial"/>
        </w:rPr>
        <w:t>dieciséis de abril</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2E07F7E2" w:rsidR="00543F2A" w:rsidRPr="00143EC9"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F82E89" w:rsidRPr="00F82E89">
        <w:rPr>
          <w:rFonts w:ascii="Palatino Linotype" w:hAnsi="Palatino Linotype"/>
          <w:i/>
          <w:color w:val="000000"/>
        </w:rPr>
        <w:t>Estimado solicitante, se anexan archivos con respuesta a su solicitud de información.</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555D652E" w14:textId="1889984B" w:rsidR="000E32E4" w:rsidRPr="00143EC9" w:rsidRDefault="000E32E4" w:rsidP="000E32E4">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 xml:space="preserve">Asimismo, adjuntó el archivo denominado </w:t>
      </w:r>
      <w:hyperlink r:id="rId9" w:tgtFrame="_blank" w:history="1">
        <w:r w:rsidR="00F82E89" w:rsidRPr="00F82E89">
          <w:rPr>
            <w:rStyle w:val="Hipervnculo"/>
            <w:rFonts w:ascii="Palatino Linotype" w:hAnsi="Palatino Linotype" w:cs="Arial"/>
            <w:b/>
            <w:bCs/>
            <w:color w:val="auto"/>
            <w:u w:val="none"/>
          </w:rPr>
          <w:t>TESORERIA001620.pdf</w:t>
        </w:r>
      </w:hyperlink>
      <w:r w:rsidR="00F82E89">
        <w:rPr>
          <w:rFonts w:ascii="Palatino Linotype" w:hAnsi="Palatino Linotype"/>
        </w:rPr>
        <w:t xml:space="preserve">, </w:t>
      </w:r>
      <w:hyperlink r:id="rId10" w:tgtFrame="_blank" w:history="1">
        <w:r w:rsidR="00F82E89" w:rsidRPr="00F82E89">
          <w:rPr>
            <w:rStyle w:val="Hipervnculo"/>
            <w:rFonts w:ascii="Palatino Linotype" w:hAnsi="Palatino Linotype" w:cs="Arial"/>
            <w:b/>
            <w:bCs/>
            <w:color w:val="auto"/>
            <w:u w:val="none"/>
          </w:rPr>
          <w:t>PAT 2020.pdf</w:t>
        </w:r>
      </w:hyperlink>
      <w:r w:rsidR="00F82E89">
        <w:rPr>
          <w:rFonts w:ascii="Palatino Linotype" w:hAnsi="Palatino Linotype"/>
        </w:rPr>
        <w:t xml:space="preserve">, </w:t>
      </w:r>
      <w:hyperlink r:id="rId11" w:tgtFrame="_blank" w:history="1">
        <w:r w:rsidR="00F82E89" w:rsidRPr="00F82E89">
          <w:rPr>
            <w:rStyle w:val="Hipervnculo"/>
            <w:rFonts w:ascii="Palatino Linotype" w:hAnsi="Palatino Linotype" w:cs="Arial"/>
            <w:b/>
            <w:bCs/>
            <w:color w:val="auto"/>
            <w:u w:val="none"/>
          </w:rPr>
          <w:t>TESORERIA01818.pdf</w:t>
        </w:r>
      </w:hyperlink>
      <w:r w:rsidR="00F82E89">
        <w:rPr>
          <w:rFonts w:ascii="Palatino Linotype" w:hAnsi="Palatino Linotype"/>
        </w:rPr>
        <w:t xml:space="preserve">, </w:t>
      </w:r>
      <w:hyperlink r:id="rId12" w:tgtFrame="_blank" w:history="1">
        <w:r w:rsidR="00F82E89" w:rsidRPr="00F82E89">
          <w:rPr>
            <w:rStyle w:val="Hipervnculo"/>
            <w:rFonts w:ascii="Palatino Linotype" w:hAnsi="Palatino Linotype" w:cs="Arial"/>
            <w:b/>
            <w:bCs/>
            <w:color w:val="auto"/>
            <w:u w:val="none"/>
          </w:rPr>
          <w:t>TESORERIA000819.pdf</w:t>
        </w:r>
      </w:hyperlink>
      <w:r w:rsidR="00F82E89">
        <w:rPr>
          <w:rFonts w:ascii="Palatino Linotype" w:hAnsi="Palatino Linotype"/>
        </w:rPr>
        <w:t xml:space="preserve">, </w:t>
      </w:r>
      <w:hyperlink r:id="rId13" w:tgtFrame="_blank" w:history="1">
        <w:r w:rsidR="00F82E89" w:rsidRPr="00F82E89">
          <w:rPr>
            <w:rStyle w:val="Hipervnculo"/>
            <w:rFonts w:ascii="Palatino Linotype" w:hAnsi="Palatino Linotype" w:cs="Arial"/>
            <w:b/>
            <w:bCs/>
            <w:color w:val="auto"/>
            <w:u w:val="none"/>
          </w:rPr>
          <w:t>PAT 2018.pdf</w:t>
        </w:r>
      </w:hyperlink>
      <w:r w:rsidR="00F82E89">
        <w:rPr>
          <w:rFonts w:ascii="Palatino Linotype" w:hAnsi="Palatino Linotype"/>
        </w:rPr>
        <w:t xml:space="preserve">, </w:t>
      </w:r>
      <w:hyperlink r:id="rId14" w:tgtFrame="_blank" w:history="1">
        <w:r w:rsidR="00F82E89" w:rsidRPr="00F82E89">
          <w:rPr>
            <w:rStyle w:val="Hipervnculo"/>
            <w:rFonts w:ascii="Palatino Linotype" w:hAnsi="Palatino Linotype" w:cs="Arial"/>
            <w:b/>
            <w:bCs/>
            <w:color w:val="auto"/>
            <w:u w:val="none"/>
          </w:rPr>
          <w:t>RESPUESTA SOLICITUD 00013.pdf</w:t>
        </w:r>
      </w:hyperlink>
      <w:r w:rsidR="00F82E89">
        <w:rPr>
          <w:rFonts w:ascii="Palatino Linotype" w:hAnsi="Palatino Linotype"/>
        </w:rPr>
        <w:t xml:space="preserve"> </w:t>
      </w:r>
      <w:r w:rsidR="00F82E89">
        <w:rPr>
          <w:rFonts w:ascii="Palatino Linotype" w:hAnsi="Palatino Linotype"/>
          <w:b/>
        </w:rPr>
        <w:t xml:space="preserve">y </w:t>
      </w:r>
      <w:hyperlink r:id="rId15" w:tgtFrame="_blank" w:history="1">
        <w:r w:rsidR="00F82E89" w:rsidRPr="00F82E89">
          <w:rPr>
            <w:rStyle w:val="Hipervnculo"/>
            <w:rFonts w:ascii="Palatino Linotype" w:hAnsi="Palatino Linotype" w:cs="Arial"/>
            <w:b/>
            <w:bCs/>
            <w:color w:val="auto"/>
            <w:u w:val="none"/>
          </w:rPr>
          <w:t>PAT 2019.pdf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que no se inserta</w:t>
      </w:r>
      <w:r w:rsidR="00F82E89">
        <w:rPr>
          <w:rFonts w:ascii="Palatino Linotype" w:hAnsi="Palatino Linotype" w:cs="Arial"/>
          <w:lang w:eastAsia="es-MX"/>
        </w:rPr>
        <w:t>n</w:t>
      </w:r>
      <w:r w:rsidRPr="00143EC9">
        <w:rPr>
          <w:rFonts w:ascii="Palatino Linotype" w:hAnsi="Palatino Linotype" w:cs="Arial"/>
          <w:lang w:eastAsia="es-MX"/>
        </w:rPr>
        <w:t xml:space="preserve"> por economía procesal, al ser del conocimiento de las partes, y toda vez que será</w:t>
      </w:r>
      <w:r w:rsidR="00F82E89">
        <w:rPr>
          <w:rFonts w:ascii="Palatino Linotype" w:hAnsi="Palatino Linotype" w:cs="Arial"/>
          <w:lang w:eastAsia="es-MX"/>
        </w:rPr>
        <w:t>n</w:t>
      </w:r>
      <w:r w:rsidRPr="00143EC9">
        <w:rPr>
          <w:rFonts w:ascii="Palatino Linotype" w:hAnsi="Palatino Linotype" w:cs="Arial"/>
          <w:lang w:eastAsia="es-MX"/>
        </w:rPr>
        <w:t xml:space="preserve"> materia de análisis de la presente resolución.</w:t>
      </w:r>
    </w:p>
    <w:p w14:paraId="7056C445" w14:textId="508E7CC2"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F82E89">
        <w:rPr>
          <w:rFonts w:ascii="Palatino Linotype" w:hAnsi="Palatino Linotype" w:cs="Arial"/>
        </w:rPr>
        <w:t>veintiuno de abril</w:t>
      </w:r>
      <w:r w:rsidR="00547B11">
        <w:rPr>
          <w:rFonts w:ascii="Palatino Linotype" w:hAnsi="Palatino Linotype" w:cs="Arial"/>
        </w:rPr>
        <w:t xml:space="preserve"> 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01EBC802"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F82E89">
        <w:rPr>
          <w:rFonts w:ascii="Verdana" w:hAnsi="Verdana"/>
          <w:color w:val="000000"/>
          <w:sz w:val="14"/>
          <w:szCs w:val="14"/>
        </w:rPr>
        <w:t>S</w:t>
      </w:r>
      <w:r w:rsidR="00F82E89" w:rsidRPr="00F82E89">
        <w:rPr>
          <w:rFonts w:ascii="Palatino Linotype" w:hAnsi="Palatino Linotype"/>
          <w:i/>
          <w:color w:val="000000"/>
        </w:rPr>
        <w:t xml:space="preserve">i bien, el sujeto obligado, entrega parte de la información solicitada; no entrega la información correspondiente ya que se adjuntó un archivo en formato excel en el cual se solicitan datos de los cuales no se pronuncia el partido. Por lo anterior, y atendiendo a lo dispuesto en el </w:t>
      </w:r>
      <w:r w:rsidR="00F82E89" w:rsidRPr="00F82E89">
        <w:rPr>
          <w:rFonts w:ascii="Palatino Linotype" w:hAnsi="Palatino Linotype"/>
          <w:i/>
          <w:color w:val="000000"/>
        </w:rPr>
        <w:lastRenderedPageBreak/>
        <w:t>art. 12 de la ley de transparencia local, solicito amablemente entregue la información que complementa la atención a la solicitud de acceso a la información pública de la cual se desprende el presente Recurso de Revisión.</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073C7308"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r w:rsidR="00F82E89" w:rsidRPr="00F82E89">
        <w:rPr>
          <w:rFonts w:ascii="Palatino Linotype" w:hAnsi="Palatino Linotype"/>
          <w:i/>
          <w:color w:val="000000"/>
        </w:rPr>
        <w:t>Entrega de información incompleta; ya que si bien el partido no esta obligado a entregar la información en el sentido que la ciudadanía solicita; sí obra en sus archivos la información requerida y no representa información que requiera ser clasificada como confidencial.</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(sic)</w:t>
      </w:r>
    </w:p>
    <w:p w14:paraId="1D62F603" w14:textId="1E3A73E3"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Comisionado </w:t>
      </w:r>
      <w:r w:rsidR="00D41D70" w:rsidRPr="00143EC9">
        <w:rPr>
          <w:rFonts w:ascii="Palatino Linotype" w:eastAsia="Calibri" w:hAnsi="Palatino Linotype" w:cs="Arial"/>
          <w:b/>
        </w:rPr>
        <w:t>Javier Martínez Cruz</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1D5EDFF5"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 xml:space="preserve">Mediante auto de fecha </w:t>
      </w:r>
      <w:r w:rsidR="00F82E89">
        <w:rPr>
          <w:rFonts w:ascii="Palatino Linotype" w:hAnsi="Palatino Linotype" w:cs="Arial"/>
        </w:rPr>
        <w:t>veintiséis de abril del año en cur</w:t>
      </w:r>
      <w:r w:rsidR="00547B11">
        <w:rPr>
          <w:rFonts w:ascii="Palatino Linotype" w:hAnsi="Palatino Linotype" w:cs="Arial"/>
        </w:rPr>
        <w:t>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2CF89CE6" w14:textId="55739C52" w:rsidR="00764BEC" w:rsidRPr="002450C8" w:rsidRDefault="00543F2A" w:rsidP="00764BEC">
      <w:pPr>
        <w:spacing w:before="240" w:after="240" w:line="360" w:lineRule="auto"/>
        <w:jc w:val="both"/>
        <w:rPr>
          <w:rFonts w:ascii="Palatino Linotype" w:hAnsi="Palatino Linotype"/>
        </w:rPr>
      </w:pPr>
      <w:r w:rsidRPr="00143EC9">
        <w:rPr>
          <w:rFonts w:ascii="Palatino Linotype" w:hAnsi="Palatino Linotype" w:cs="Arial"/>
          <w:b/>
          <w:sz w:val="28"/>
          <w:szCs w:val="28"/>
        </w:rPr>
        <w:lastRenderedPageBreak/>
        <w:t>6</w:t>
      </w:r>
      <w:r w:rsidR="004E4987" w:rsidRPr="00143EC9">
        <w:rPr>
          <w:rFonts w:ascii="Palatino Linotype" w:hAnsi="Palatino Linotype" w:cs="Arial"/>
          <w:b/>
          <w:sz w:val="28"/>
          <w:szCs w:val="28"/>
        </w:rPr>
        <w:t>. Manifestaciones.</w:t>
      </w:r>
      <w:r w:rsidR="004E4987" w:rsidRPr="00143EC9">
        <w:t xml:space="preserve"> </w:t>
      </w:r>
      <w:r w:rsidR="00764BEC" w:rsidRPr="004B58D3">
        <w:rPr>
          <w:rFonts w:ascii="Palatino Linotype" w:hAnsi="Palatino Linotype"/>
        </w:rPr>
        <w:t>De las constancias del expediente electrónico del</w:t>
      </w:r>
      <w:r w:rsidR="00764BEC" w:rsidRPr="004B58D3">
        <w:rPr>
          <w:rFonts w:ascii="Palatino Linotype" w:hAnsi="Palatino Linotype" w:cs="Arial"/>
          <w:b/>
        </w:rPr>
        <w:t xml:space="preserve"> Saimex</w:t>
      </w:r>
      <w:r w:rsidR="00764BEC" w:rsidRPr="004B58D3">
        <w:rPr>
          <w:rFonts w:ascii="Palatino Linotype" w:hAnsi="Palatino Linotype"/>
        </w:rPr>
        <w:t xml:space="preserve">, se observa que el </w:t>
      </w:r>
      <w:r w:rsidR="00764BEC" w:rsidRPr="004B58D3">
        <w:rPr>
          <w:rFonts w:ascii="Palatino Linotype" w:hAnsi="Palatino Linotype"/>
          <w:b/>
        </w:rPr>
        <w:t xml:space="preserve">Sujeto Obligado </w:t>
      </w:r>
      <w:r w:rsidR="00764BEC" w:rsidRPr="004B58D3">
        <w:rPr>
          <w:rFonts w:ascii="Palatino Linotype" w:hAnsi="Palatino Linotype"/>
        </w:rPr>
        <w:t xml:space="preserve">envió en fecha </w:t>
      </w:r>
      <w:r w:rsidR="00F82E89">
        <w:rPr>
          <w:rFonts w:ascii="Palatino Linotype" w:hAnsi="Palatino Linotype"/>
        </w:rPr>
        <w:t>veintisiete de abril</w:t>
      </w:r>
      <w:r w:rsidR="00764BEC">
        <w:rPr>
          <w:rFonts w:ascii="Palatino Linotype" w:hAnsi="Palatino Linotype"/>
        </w:rPr>
        <w:t xml:space="preserve"> de </w:t>
      </w:r>
      <w:r w:rsidR="00764BEC" w:rsidRPr="004B58D3">
        <w:rPr>
          <w:rFonts w:ascii="Palatino Linotype" w:hAnsi="Palatino Linotype"/>
        </w:rPr>
        <w:t>dos mil veint</w:t>
      </w:r>
      <w:r w:rsidR="00547B11">
        <w:rPr>
          <w:rFonts w:ascii="Palatino Linotype" w:hAnsi="Palatino Linotype"/>
        </w:rPr>
        <w:t>iuno</w:t>
      </w:r>
      <w:r w:rsidR="00764BEC" w:rsidRPr="004B58D3">
        <w:rPr>
          <w:rFonts w:ascii="Palatino Linotype" w:hAnsi="Palatino Linotype"/>
        </w:rPr>
        <w:t xml:space="preserve">, </w:t>
      </w:r>
      <w:r w:rsidR="00764BEC">
        <w:rPr>
          <w:rFonts w:ascii="Palatino Linotype" w:hAnsi="Palatino Linotype"/>
        </w:rPr>
        <w:t>l</w:t>
      </w:r>
      <w:r w:rsidR="00AC4727">
        <w:rPr>
          <w:rFonts w:ascii="Palatino Linotype" w:hAnsi="Palatino Linotype"/>
        </w:rPr>
        <w:t>os</w:t>
      </w:r>
      <w:r w:rsidR="00764BEC" w:rsidRPr="004B58D3">
        <w:rPr>
          <w:rFonts w:ascii="Palatino Linotype" w:hAnsi="Palatino Linotype"/>
        </w:rPr>
        <w:t xml:space="preserve"> archivo</w:t>
      </w:r>
      <w:r w:rsidR="00AC4727">
        <w:rPr>
          <w:rFonts w:ascii="Palatino Linotype" w:hAnsi="Palatino Linotype"/>
        </w:rPr>
        <w:t>s</w:t>
      </w:r>
      <w:r w:rsidR="00764BEC">
        <w:rPr>
          <w:rFonts w:ascii="Palatino Linotype" w:hAnsi="Palatino Linotype"/>
        </w:rPr>
        <w:t xml:space="preserve"> denominado</w:t>
      </w:r>
      <w:r w:rsidR="00AC4727">
        <w:rPr>
          <w:rFonts w:ascii="Palatino Linotype" w:hAnsi="Palatino Linotype"/>
        </w:rPr>
        <w:t>s</w:t>
      </w:r>
      <w:r w:rsidR="00764BEC" w:rsidRPr="004B58D3">
        <w:rPr>
          <w:rFonts w:ascii="Palatino Linotype" w:hAnsi="Palatino Linotype"/>
        </w:rPr>
        <w:t xml:space="preserve"> </w:t>
      </w:r>
      <w:r w:rsidR="00F82E89">
        <w:rPr>
          <w:rFonts w:ascii="Palatino Linotype" w:hAnsi="Palatino Linotype"/>
          <w:b/>
        </w:rPr>
        <w:t xml:space="preserve">ASISTENCIA 2019.pdf, TRANSPARENCIA 00041.pdf, ASISTENCIA 2020.pdf </w:t>
      </w:r>
      <w:r w:rsidR="00F82E89">
        <w:rPr>
          <w:rFonts w:ascii="Palatino Linotype" w:hAnsi="Palatino Linotype"/>
        </w:rPr>
        <w:t xml:space="preserve">Y </w:t>
      </w:r>
      <w:r w:rsidR="00F82E89">
        <w:rPr>
          <w:rFonts w:ascii="Palatino Linotype" w:hAnsi="Palatino Linotype"/>
          <w:b/>
        </w:rPr>
        <w:t>ASISTENCIA 2018.pdf</w:t>
      </w:r>
      <w:r w:rsidR="00547B11">
        <w:rPr>
          <w:rFonts w:ascii="Palatino Linotype" w:hAnsi="Palatino Linotype"/>
          <w:b/>
        </w:rPr>
        <w:t xml:space="preserve">, </w:t>
      </w:r>
      <w:r w:rsidR="00547B11" w:rsidRPr="006B59F2">
        <w:rPr>
          <w:rFonts w:ascii="Palatino Linotype" w:hAnsi="Palatino Linotype"/>
        </w:rPr>
        <w:t>mis</w:t>
      </w:r>
      <w:r w:rsidR="002450C8" w:rsidRPr="006B59F2">
        <w:rPr>
          <w:rFonts w:ascii="Palatino Linotype" w:hAnsi="Palatino Linotype"/>
        </w:rPr>
        <w:t>mo</w:t>
      </w:r>
      <w:r w:rsidR="00AC4727" w:rsidRPr="006B59F2">
        <w:rPr>
          <w:rFonts w:ascii="Palatino Linotype" w:hAnsi="Palatino Linotype"/>
        </w:rPr>
        <w:t>s</w:t>
      </w:r>
      <w:r w:rsidR="002450C8" w:rsidRPr="006B59F2">
        <w:rPr>
          <w:rFonts w:ascii="Palatino Linotype" w:hAnsi="Palatino Linotype"/>
        </w:rPr>
        <w:t xml:space="preserve"> que no fue</w:t>
      </w:r>
      <w:r w:rsidR="00AC4727" w:rsidRPr="006B59F2">
        <w:rPr>
          <w:rFonts w:ascii="Palatino Linotype" w:hAnsi="Palatino Linotype"/>
        </w:rPr>
        <w:t>ron</w:t>
      </w:r>
      <w:r w:rsidR="002450C8" w:rsidRPr="006B59F2">
        <w:rPr>
          <w:rFonts w:ascii="Palatino Linotype" w:hAnsi="Palatino Linotype"/>
        </w:rPr>
        <w:t xml:space="preserve"> hecho</w:t>
      </w:r>
      <w:r w:rsidR="00AC4727" w:rsidRPr="006B59F2">
        <w:rPr>
          <w:rFonts w:ascii="Palatino Linotype" w:hAnsi="Palatino Linotype"/>
        </w:rPr>
        <w:t>s</w:t>
      </w:r>
      <w:r w:rsidR="002450C8" w:rsidRPr="006B59F2">
        <w:rPr>
          <w:rFonts w:ascii="Palatino Linotype" w:hAnsi="Palatino Linotype"/>
        </w:rPr>
        <w:t xml:space="preserve"> del conocimiento del particular por </w:t>
      </w:r>
      <w:r w:rsidR="00AC4727" w:rsidRPr="006B59F2">
        <w:rPr>
          <w:rFonts w:ascii="Palatino Linotype" w:hAnsi="Palatino Linotype"/>
        </w:rPr>
        <w:t>las razones que se expondrán en el considerando cuarto.</w:t>
      </w:r>
    </w:p>
    <w:p w14:paraId="67240F1F" w14:textId="77777777" w:rsidR="00547B11" w:rsidRPr="004A5599" w:rsidRDefault="00547B11" w:rsidP="00547B11">
      <w:pPr>
        <w:spacing w:before="240" w:after="240" w:line="360" w:lineRule="auto"/>
        <w:jc w:val="both"/>
        <w:rPr>
          <w:rFonts w:ascii="Palatino Linotype" w:hAnsi="Palatino Linotype"/>
        </w:rPr>
      </w:pPr>
      <w:r w:rsidRPr="004A5599">
        <w:rPr>
          <w:rFonts w:ascii="Palatino Linotype" w:hAnsi="Palatino Linotype"/>
        </w:rPr>
        <w:t xml:space="preserve">Cabe precisar que el particular hoy </w:t>
      </w:r>
      <w:r w:rsidRPr="004A5599">
        <w:rPr>
          <w:rFonts w:ascii="Palatino Linotype" w:hAnsi="Palatino Linotype"/>
          <w:b/>
          <w:i/>
        </w:rPr>
        <w:t xml:space="preserve">Recurrente </w:t>
      </w:r>
      <w:r w:rsidRPr="004A5599">
        <w:rPr>
          <w:rFonts w:ascii="Palatino Linotype" w:hAnsi="Palatino Linotype"/>
        </w:rPr>
        <w:t>fue omiso en manifestar alegatos u ofrecer pruebas en el momento procesal determinado para ello.</w:t>
      </w:r>
    </w:p>
    <w:p w14:paraId="5126E0CC" w14:textId="01D52F72" w:rsidR="006031FE" w:rsidRDefault="00543F2A" w:rsidP="008C0B20">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F82E89">
        <w:rPr>
          <w:rFonts w:ascii="Palatino Linotype" w:hAnsi="Palatino Linotype"/>
        </w:rPr>
        <w:t>dos de agosto</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56C7B2E0" w14:textId="77777777" w:rsidR="0022288C" w:rsidRDefault="0022288C" w:rsidP="0022288C">
      <w:pPr>
        <w:widowControl w:val="0"/>
        <w:autoSpaceDE w:val="0"/>
        <w:autoSpaceDN w:val="0"/>
        <w:adjustRightInd w:val="0"/>
        <w:spacing w:before="240" w:after="240" w:line="360" w:lineRule="auto"/>
        <w:jc w:val="both"/>
        <w:rPr>
          <w:rFonts w:ascii="Palatino Linotype" w:hAnsi="Palatino Linotype"/>
        </w:rPr>
      </w:pPr>
      <w:r w:rsidRPr="00EA6BB2">
        <w:rPr>
          <w:rFonts w:ascii="Palatino Linotype" w:hAnsi="Palatino Linotype" w:cs="Arial"/>
          <w:b/>
          <w:bCs/>
          <w:sz w:val="28"/>
          <w:szCs w:val="28"/>
        </w:rPr>
        <w:t>8. Returno.</w:t>
      </w:r>
      <w:r w:rsidRPr="00EA6BB2">
        <w:rPr>
          <w:rFonts w:ascii="Palatino Linotype" w:hAnsi="Palatino Linotype" w:cs="Arial"/>
          <w:sz w:val="28"/>
          <w:szCs w:val="28"/>
        </w:rPr>
        <w:t xml:space="preserve"> </w:t>
      </w:r>
      <w:r>
        <w:rPr>
          <w:rFonts w:ascii="Palatino Linotype" w:hAnsi="Palatino Linotype" w:cs="Arial"/>
        </w:rPr>
        <w:t xml:space="preserve">En la </w:t>
      </w:r>
      <w:r>
        <w:rPr>
          <w:rFonts w:ascii="Palatino Linotype" w:hAnsi="Palatino Linotype"/>
        </w:rPr>
        <w:t xml:space="preserve">Segunda Sesión Extraordinaria, de fecha </w:t>
      </w:r>
      <w:r>
        <w:rPr>
          <w:rFonts w:ascii="Palatino Linotype" w:hAnsi="Palatino Linotype"/>
          <w:b/>
          <w:bCs/>
        </w:rPr>
        <w:t>veintitrés de agosto de dos mil veintiuno</w:t>
      </w:r>
      <w:r>
        <w:rPr>
          <w:rFonts w:ascii="Palatino Linotype" w:hAnsi="Palatino Linotype"/>
        </w:rPr>
        <w:t xml:space="preserve">, </w:t>
      </w:r>
      <w:r>
        <w:rPr>
          <w:rFonts w:ascii="Palatino Linotype" w:hAnsi="Palatino Linotype" w:cs="Arial"/>
        </w:rPr>
        <w:t xml:space="preserve">el Pleno de este Órgano Autónomo, </w:t>
      </w:r>
      <w:r>
        <w:rPr>
          <w:rFonts w:ascii="Palatino Linotype" w:hAnsi="Palatino Linotype"/>
        </w:rPr>
        <w:t xml:space="preserve">ordenó el returno del Recurso de Revisión a la </w:t>
      </w:r>
      <w:r>
        <w:rPr>
          <w:rFonts w:ascii="Palatino Linotype" w:hAnsi="Palatino Linotype"/>
          <w:bCs/>
        </w:rPr>
        <w:t>Comisionada</w:t>
      </w:r>
      <w:r>
        <w:rPr>
          <w:rFonts w:ascii="Palatino Linotype" w:hAnsi="Palatino Linotype"/>
          <w:b/>
        </w:rPr>
        <w:t xml:space="preserve"> Guadalupe Ramírez Peña</w:t>
      </w:r>
      <w:r>
        <w:rPr>
          <w:rFonts w:ascii="Palatino Linotype" w:hAnsi="Palatino Linotype"/>
        </w:rPr>
        <w:t>, a fin de que presentara el proyecto de resolución correspondiente.</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4B6717F3"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w:t>
      </w:r>
      <w:r w:rsidR="00A5404F" w:rsidRPr="00143EC9">
        <w:rPr>
          <w:rFonts w:ascii="Palatino Linotype" w:hAnsi="Palatino Linotype"/>
          <w:shd w:val="clear" w:color="auto" w:fill="FFFFFF"/>
        </w:rPr>
        <w:lastRenderedPageBreak/>
        <w:t xml:space="preserve">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6E7CA3">
        <w:rPr>
          <w:rFonts w:ascii="Palatino Linotype" w:hAnsi="Palatino Linotype"/>
          <w:shd w:val="clear" w:color="auto" w:fill="FFFFFF"/>
        </w:rPr>
        <w:t>vigésimo</w:t>
      </w:r>
      <w:r w:rsidR="00D61AAA">
        <w:rPr>
          <w:rFonts w:ascii="Palatino Linotype" w:hAnsi="Palatino Linotype"/>
          <w:shd w:val="clear" w:color="auto" w:fill="FFFFFF"/>
        </w:rPr>
        <w:t xml:space="preserve"> noveno,</w:t>
      </w:r>
      <w:r w:rsidR="006E7CA3">
        <w:rPr>
          <w:rFonts w:ascii="Palatino Linotype" w:hAnsi="Palatino Linotype"/>
          <w:shd w:val="clear" w:color="auto" w:fill="FFFFFF"/>
        </w:rPr>
        <w:t xml:space="preserve"> trigésimo y trigésimo primero</w:t>
      </w:r>
      <w:r w:rsidR="00CE0756">
        <w:rPr>
          <w:rFonts w:ascii="Palatino Linotype" w:hAnsi="Palatino Linotype"/>
          <w:shd w:val="clear" w:color="auto" w:fill="FFFFFF"/>
        </w:rPr>
        <w:t>,</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Procediblidad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r w:rsidR="00A9255B" w:rsidRPr="00143EC9">
        <w:rPr>
          <w:rFonts w:ascii="Palatino Linotype" w:hAnsi="Palatino Linotype" w:cs="Arial"/>
        </w:rPr>
        <w:t xml:space="preserve">procedibilidad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014CFB52"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CE0756">
        <w:rPr>
          <w:rFonts w:ascii="Palatino Linotype" w:hAnsi="Palatino Linotype" w:cs="Arial"/>
        </w:rPr>
        <w:t>dieciséis de abril</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CE0756">
        <w:rPr>
          <w:rFonts w:ascii="Palatino Linotype" w:hAnsi="Palatino Linotype" w:cs="Arial"/>
        </w:rPr>
        <w:t>veintiuno de abril</w:t>
      </w:r>
      <w:r w:rsidR="00952606">
        <w:rPr>
          <w:rFonts w:ascii="Palatino Linotype" w:hAnsi="Palatino Linotype" w:cs="Arial"/>
        </w:rPr>
        <w:t xml:space="preserve"> del mismo 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xml:space="preserve">; así como, en la que se interpuso el recurso </w:t>
      </w:r>
      <w:r w:rsidRPr="00143EC9">
        <w:rPr>
          <w:rFonts w:ascii="Palatino Linotype" w:hAnsi="Palatino Linotype" w:cs="Arial"/>
        </w:rPr>
        <w:lastRenderedPageBreak/>
        <w:t>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0D24C2DC" w14:textId="77777777" w:rsidR="00CE0756" w:rsidRPr="00E01594" w:rsidRDefault="00CE0756" w:rsidP="00CE0756">
      <w:pPr>
        <w:spacing w:before="240" w:after="240" w:line="360" w:lineRule="auto"/>
        <w:jc w:val="both"/>
        <w:rPr>
          <w:rStyle w:val="normaltextrun"/>
          <w:rFonts w:ascii="Palatino Linotype" w:hAnsi="Palatino Linotype" w:cs="Segoe UI"/>
        </w:rPr>
      </w:pPr>
      <w:r w:rsidRPr="00E01594">
        <w:rPr>
          <w:rFonts w:ascii="Palatino Linotype" w:hAnsi="Palatino Linotype" w:cs="Arial"/>
        </w:rPr>
        <w:t>Así también, por cuanto hace a la procedibilidad del recurso de revisión una vez realizado el análisis del formato de interposición</w:t>
      </w:r>
      <w:r w:rsidRPr="00E01594">
        <w:rPr>
          <w:rStyle w:val="normaltextrun"/>
          <w:rFonts w:ascii="Palatino Linotype" w:hAnsi="Palatino Linotype" w:cs="Segoe UI"/>
        </w:rPr>
        <w:t xml:space="preserve"> del recurso, se advierte que el artículo 180 de la</w:t>
      </w:r>
      <w:r w:rsidRPr="00E01594">
        <w:rPr>
          <w:rStyle w:val="apple-converted-space"/>
          <w:rFonts w:ascii="Palatino Linotype" w:eastAsiaTheme="minorHAnsi" w:hAnsi="Palatino Linotype" w:cs="Segoe UI"/>
        </w:rPr>
        <w:t> </w:t>
      </w:r>
      <w:r w:rsidRPr="00E01594">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56541BBB"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b/>
          <w:i/>
          <w:sz w:val="20"/>
        </w:rPr>
        <w:t>“Artículo 180.</w:t>
      </w:r>
      <w:r w:rsidRPr="00E01594">
        <w:rPr>
          <w:rFonts w:ascii="Palatino Linotype" w:hAnsi="Palatino Linotype" w:cs="Arial"/>
          <w:i/>
          <w:sz w:val="20"/>
        </w:rPr>
        <w:t xml:space="preserve"> El recurso de revisión contendrá: </w:t>
      </w:r>
    </w:p>
    <w:p w14:paraId="73B8BC68" w14:textId="77777777" w:rsidR="00CE0756" w:rsidRPr="00E01594" w:rsidRDefault="00CE0756" w:rsidP="00CE0756">
      <w:pPr>
        <w:autoSpaceDE w:val="0"/>
        <w:autoSpaceDN w:val="0"/>
        <w:adjustRightInd w:val="0"/>
        <w:spacing w:after="120"/>
        <w:ind w:left="1134" w:right="902"/>
        <w:jc w:val="both"/>
        <w:rPr>
          <w:rFonts w:ascii="Palatino Linotype" w:hAnsi="Palatino Linotype" w:cs="Arial"/>
          <w:i/>
          <w:sz w:val="20"/>
        </w:rPr>
      </w:pPr>
      <w:r w:rsidRPr="00E01594">
        <w:rPr>
          <w:rFonts w:ascii="Palatino Linotype" w:hAnsi="Palatino Linotype" w:cs="Arial"/>
          <w:i/>
          <w:sz w:val="20"/>
        </w:rPr>
        <w:t>(…)</w:t>
      </w:r>
    </w:p>
    <w:p w14:paraId="1120DC11" w14:textId="77777777" w:rsidR="00CE0756" w:rsidRPr="00E01594" w:rsidRDefault="00CE0756" w:rsidP="00CE0756">
      <w:pPr>
        <w:autoSpaceDE w:val="0"/>
        <w:autoSpaceDN w:val="0"/>
        <w:adjustRightInd w:val="0"/>
        <w:spacing w:after="120"/>
        <w:ind w:left="1134" w:right="902"/>
        <w:jc w:val="both"/>
        <w:rPr>
          <w:rFonts w:ascii="Palatino Linotype" w:hAnsi="Palatino Linotype" w:cs="Arial"/>
          <w:i/>
          <w:sz w:val="20"/>
        </w:rPr>
      </w:pPr>
      <w:r w:rsidRPr="00E01594">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34A73C70"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w:t>
      </w:r>
    </w:p>
    <w:p w14:paraId="0EC65A60"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En caso de que el recurso se interponga de manera electrónica no será indispensable que contengan los requisitos establecidos en las fracciones II, IV, VII y VIII.”</w:t>
      </w:r>
    </w:p>
    <w:p w14:paraId="6A85C580" w14:textId="77777777" w:rsidR="00CE0756" w:rsidRPr="00E01594" w:rsidRDefault="00CE0756" w:rsidP="00CE0756">
      <w:pPr>
        <w:spacing w:before="240" w:after="240" w:line="360" w:lineRule="auto"/>
        <w:jc w:val="both"/>
        <w:rPr>
          <w:rStyle w:val="normaltextrun"/>
          <w:rFonts w:ascii="Palatino Linotype" w:hAnsi="Palatino Linotype" w:cs="Segoe UI"/>
        </w:rPr>
      </w:pPr>
      <w:r w:rsidRPr="00E01594">
        <w:rPr>
          <w:rStyle w:val="normaltextrun"/>
          <w:rFonts w:ascii="Palatino Linotype" w:hAnsi="Palatino Linotype" w:cs="Segoe UI"/>
        </w:rPr>
        <w:t>Por su parte, el artículo 181 del citado ordenamiento dispone, que:</w:t>
      </w:r>
    </w:p>
    <w:p w14:paraId="28F6BB49"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szCs w:val="20"/>
        </w:rPr>
      </w:pPr>
      <w:r w:rsidRPr="00E01594">
        <w:rPr>
          <w:rFonts w:ascii="Palatino Linotype" w:hAnsi="Palatino Linotype" w:cs="Arial"/>
          <w:b/>
          <w:i/>
          <w:sz w:val="20"/>
          <w:szCs w:val="20"/>
        </w:rPr>
        <w:t>“Artículo 181.</w:t>
      </w:r>
      <w:r w:rsidRPr="00E01594">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1C7B95B2"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szCs w:val="20"/>
        </w:rPr>
      </w:pPr>
      <w:r w:rsidRPr="00E01594">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4C2A8DA7"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szCs w:val="20"/>
        </w:rPr>
      </w:pPr>
      <w:r w:rsidRPr="00E01594">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17891E28"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szCs w:val="20"/>
        </w:rPr>
      </w:pPr>
      <w:r w:rsidRPr="00E01594">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025699E2" w14:textId="77777777" w:rsidR="00CE0756" w:rsidRPr="00E01594" w:rsidRDefault="00CE0756" w:rsidP="00CE0756">
      <w:pPr>
        <w:spacing w:after="120"/>
        <w:ind w:left="851" w:right="902"/>
        <w:jc w:val="both"/>
        <w:rPr>
          <w:rStyle w:val="normaltextrun"/>
          <w:rFonts w:ascii="Palatino Linotype" w:hAnsi="Palatino Linotype" w:cs="Segoe UI"/>
          <w:sz w:val="20"/>
          <w:szCs w:val="20"/>
        </w:rPr>
      </w:pPr>
      <w:r w:rsidRPr="00E01594">
        <w:rPr>
          <w:rFonts w:ascii="Palatino Linotype" w:hAnsi="Palatino Linotype" w:cs="Arial"/>
          <w:i/>
          <w:sz w:val="20"/>
          <w:szCs w:val="20"/>
        </w:rPr>
        <w:lastRenderedPageBreak/>
        <w:t>Para el caso de interposición del recurso de revisión a través de la Plataforma Nacional o la plataforma que para tales efectos habilite el Instituto, éste podrá solicitar al particular subsane las deficiencias por ese medio.”</w:t>
      </w:r>
    </w:p>
    <w:p w14:paraId="4F5A332A"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5269B7B6" w14:textId="5E86C05B"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 xml:space="preserve">Sobre el particular, de la revisión al expediente electrónico del SAIMEX se desprende que la parte solicitante, en ejercicio de su derecho de acceso a la información pública, proporcionó </w:t>
      </w:r>
      <w:r>
        <w:rPr>
          <w:rFonts w:ascii="Palatino Linotype" w:hAnsi="Palatino Linotype" w:cs="Arial"/>
        </w:rPr>
        <w:t xml:space="preserve">un seudónimo, pero no así </w:t>
      </w:r>
      <w:r w:rsidRPr="00E01594">
        <w:rPr>
          <w:rFonts w:ascii="Palatino Linotype" w:hAnsi="Palatino Linotype" w:cs="Arial"/>
        </w:rPr>
        <w:t>nombre</w:t>
      </w:r>
      <w:r>
        <w:rPr>
          <w:rFonts w:ascii="Palatino Linotype" w:hAnsi="Palatino Linotype" w:cs="Arial"/>
        </w:rPr>
        <w:t xml:space="preserve">, </w:t>
      </w:r>
      <w:r w:rsidRPr="00E01594">
        <w:rPr>
          <w:rFonts w:ascii="Palatino Linotype" w:hAnsi="Palatino Linotype" w:cs="Arial"/>
        </w:rPr>
        <w:t>apellido paterno</w:t>
      </w:r>
      <w:r>
        <w:rPr>
          <w:rFonts w:ascii="Palatino Linotype" w:hAnsi="Palatino Linotype" w:cs="Arial"/>
        </w:rPr>
        <w:t xml:space="preserve"> y </w:t>
      </w:r>
      <w:r w:rsidRPr="00E01594">
        <w:rPr>
          <w:rFonts w:ascii="Palatino Linotype" w:hAnsi="Palatino Linotype" w:cs="Arial"/>
        </w:rPr>
        <w:t>materno, por ende, no se tiene certeza sobre su identidad, lo que en estricto sentido provoca que no se colmen los requisitos establecidos en el citado artículo 180 de la Ley de Transparencia.</w:t>
      </w:r>
    </w:p>
    <w:p w14:paraId="3CB9AFB6"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 xml:space="preserve">Empero lo anterior, debe destacarse que el artículo 15 de </w:t>
      </w:r>
      <w:r w:rsidRPr="00E01594">
        <w:rPr>
          <w:rFonts w:ascii="Palatino Linotype" w:hAnsi="Palatino Linotype" w:cs="Arial"/>
          <w:lang w:val="es-MX"/>
        </w:rPr>
        <w:t xml:space="preserve">Ley de Transparencia y Acceso a la Información Pública del Estado de México y Municipios </w:t>
      </w:r>
      <w:r w:rsidRPr="00E01594">
        <w:rPr>
          <w:rFonts w:ascii="Palatino Linotype" w:hAnsi="Palatino Linotype" w:cs="Arial"/>
          <w:iCs/>
        </w:rPr>
        <w:t xml:space="preserve">prevé que </w:t>
      </w:r>
      <w:r w:rsidRPr="00E01594">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E01594">
        <w:rPr>
          <w:rFonts w:ascii="Palatino Linotype" w:hAnsi="Palatino Linotype" w:cs="Arial"/>
          <w:i/>
        </w:rPr>
        <w:t>sine qua non</w:t>
      </w:r>
      <w:r w:rsidRPr="00E01594">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3A96B6DA"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 xml:space="preserve">Correlativo a ello, cabe mencionar que los artículos 6, apartado A, fracciones I, II, III y IV de la Constitución Política de los Estados Unidos Mexicanos y 5 vigésimo, </w:t>
      </w:r>
      <w:r w:rsidRPr="00E01594">
        <w:rPr>
          <w:rFonts w:ascii="Palatino Linotype" w:hAnsi="Palatino Linotype" w:cs="Arial"/>
        </w:rPr>
        <w:lastRenderedPageBreak/>
        <w:t>vigésimo tercero y cuarto segundo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F1ABF3"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5E728D"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w:t>
      </w:r>
    </w:p>
    <w:p w14:paraId="5E5D6CED"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 Para efectos de lo dispuesto en el presente artículo se observará lo siguiente: </w:t>
      </w:r>
    </w:p>
    <w:p w14:paraId="4128BAE8"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529724F5"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719A35"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20359682"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42DBB5FE"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01E1B708"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 xml:space="preserve"> “Artículo 5.- En el Estado de México todos los individuos son iguales y tienen las libertades, derechos y garantías que la Constitución Federal, esta Constitución, los </w:t>
      </w:r>
      <w:r w:rsidRPr="00E01594">
        <w:rPr>
          <w:rFonts w:ascii="Palatino Linotype" w:hAnsi="Palatino Linotype" w:cs="Arial"/>
          <w:i/>
          <w:sz w:val="20"/>
        </w:rPr>
        <w:lastRenderedPageBreak/>
        <w:t>Tratados Internacionales en materia de derechos fundamentales de los que el Estado Mexicano sea parte y las leyes del Estado establecen.</w:t>
      </w:r>
    </w:p>
    <w:p w14:paraId="4B3754A5"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w:t>
      </w:r>
    </w:p>
    <w:p w14:paraId="24B71443"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912269"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Este derecho se regirá por los principios y bases siguientes:</w:t>
      </w:r>
    </w:p>
    <w:p w14:paraId="40E1E857"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9B3569"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w:t>
      </w:r>
    </w:p>
    <w:p w14:paraId="1E5CD4E3"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6A5FD6D6"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w:t>
      </w:r>
    </w:p>
    <w:p w14:paraId="79C1CFCB" w14:textId="77777777" w:rsidR="00CE0756" w:rsidRPr="00E01594" w:rsidRDefault="00CE0756" w:rsidP="00CE0756">
      <w:pPr>
        <w:autoSpaceDE w:val="0"/>
        <w:autoSpaceDN w:val="0"/>
        <w:adjustRightInd w:val="0"/>
        <w:spacing w:after="120"/>
        <w:ind w:left="851" w:right="900"/>
        <w:jc w:val="both"/>
        <w:rPr>
          <w:rFonts w:ascii="Palatino Linotype" w:hAnsi="Palatino Linotype" w:cs="Arial"/>
          <w:i/>
          <w:sz w:val="20"/>
        </w:rPr>
      </w:pPr>
      <w:r w:rsidRPr="00E01594">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B4D88D9"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Por otra parte, del contenido del artículo 1 de la Constitución Política de los Estados Unidos Mexicanos, se destaca lo siguiente:</w:t>
      </w:r>
    </w:p>
    <w:p w14:paraId="0887A81B"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748BAEC"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lastRenderedPageBreak/>
        <w:t>Las normas relativas a los derechos humanos se interpretarán de conformidad con esta Constitución y con los tratados internacionales de la materia favoreciendo en todo tiempo a las personas la protección más amplia.</w:t>
      </w:r>
    </w:p>
    <w:p w14:paraId="1C37C288"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0"/>
        </w:rPr>
      </w:pPr>
      <w:r w:rsidRPr="00E01594">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2EAA3C"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457691"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Robustece lo anterior, el Criterio 6/2014 del entonces Instituto Federal de Acceso a la Información y Protección de Datos, el cual se reproduce para una mayor referencia:</w:t>
      </w:r>
    </w:p>
    <w:p w14:paraId="4AE29069" w14:textId="77777777" w:rsidR="00CE0756" w:rsidRPr="00E01594" w:rsidRDefault="00CE0756" w:rsidP="00CE0756">
      <w:pPr>
        <w:autoSpaceDE w:val="0"/>
        <w:autoSpaceDN w:val="0"/>
        <w:adjustRightInd w:val="0"/>
        <w:spacing w:after="120"/>
        <w:ind w:left="851" w:right="902"/>
        <w:jc w:val="both"/>
        <w:rPr>
          <w:rFonts w:ascii="Palatino Linotype" w:hAnsi="Palatino Linotype" w:cs="Arial"/>
          <w:i/>
          <w:sz w:val="22"/>
        </w:rPr>
      </w:pPr>
      <w:r w:rsidRPr="00E01594">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0CAF02C"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 xml:space="preserve">En ese orden de ideas, se estima que el requerimiento relativo al nombre como presupuesto de procedibilidad podría limitar el ejercicio del derecho de acceso a la </w:t>
      </w:r>
      <w:r w:rsidRPr="00E01594">
        <w:rPr>
          <w:rFonts w:ascii="Palatino Linotype" w:hAnsi="Palatino Linotype" w:cs="Arial"/>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46CB4A2"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95A6D03" w14:textId="77777777" w:rsidR="00CE0756" w:rsidRPr="00E01594" w:rsidRDefault="00CE0756" w:rsidP="00CE0756">
      <w:pPr>
        <w:autoSpaceDE w:val="0"/>
        <w:autoSpaceDN w:val="0"/>
        <w:adjustRightInd w:val="0"/>
        <w:spacing w:before="240" w:after="240" w:line="360" w:lineRule="auto"/>
        <w:ind w:right="-91"/>
        <w:jc w:val="both"/>
        <w:rPr>
          <w:rFonts w:ascii="Palatino Linotype" w:hAnsi="Palatino Linotype" w:cs="Arial"/>
        </w:rPr>
      </w:pPr>
      <w:r w:rsidRPr="00E01594">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42A5290" w14:textId="329F3F5A"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lastRenderedPageBreak/>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4016DE">
        <w:rPr>
          <w:rStyle w:val="apple-converted-space"/>
          <w:rFonts w:ascii="Palatino Linotype" w:eastAsiaTheme="minorHAnsi" w:hAnsi="Palatino Linotype" w:cs="Segoe UI"/>
        </w:rPr>
        <w:t>V</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372CBB4F" w14:textId="77777777" w:rsidR="002317AF" w:rsidRDefault="002317AF" w:rsidP="0080653E">
      <w:pPr>
        <w:autoSpaceDE w:val="0"/>
        <w:autoSpaceDN w:val="0"/>
        <w:adjustRightInd w:val="0"/>
        <w:spacing w:before="120" w:after="120" w:line="360" w:lineRule="auto"/>
        <w:ind w:left="1134" w:right="941"/>
        <w:jc w:val="both"/>
        <w:rPr>
          <w:rFonts w:ascii="Palatino Linotype" w:hAnsi="Palatino Linotype"/>
          <w:b/>
          <w:i/>
        </w:rPr>
      </w:pPr>
      <w:r>
        <w:rPr>
          <w:rFonts w:ascii="Palatino Linotype" w:hAnsi="Palatino Linotype"/>
          <w:b/>
          <w:i/>
        </w:rPr>
        <w:t>(…)</w:t>
      </w:r>
    </w:p>
    <w:p w14:paraId="2B0B0C58" w14:textId="202653BE" w:rsidR="00C77922" w:rsidRPr="004016DE" w:rsidRDefault="004016DE" w:rsidP="004016DE">
      <w:pPr>
        <w:ind w:left="1134"/>
        <w:jc w:val="both"/>
        <w:rPr>
          <w:rFonts w:ascii="Palatino Linotype" w:hAnsi="Palatino Linotype"/>
          <w:b/>
          <w:i/>
        </w:rPr>
      </w:pPr>
      <w:r w:rsidRPr="00405A74">
        <w:rPr>
          <w:rFonts w:ascii="Palatino Linotype" w:hAnsi="Palatino Linotype"/>
          <w:b/>
          <w:i/>
        </w:rPr>
        <w:t>V. La ent</w:t>
      </w:r>
      <w:r>
        <w:rPr>
          <w:rFonts w:ascii="Palatino Linotype" w:hAnsi="Palatino Linotype"/>
          <w:b/>
          <w:i/>
        </w:rPr>
        <w:t>rega de información incompleta;</w:t>
      </w:r>
      <w:r w:rsidR="008C2572" w:rsidRPr="00143EC9">
        <w:rPr>
          <w:rFonts w:ascii="Palatino Linotype" w:eastAsiaTheme="minorEastAsia" w:hAnsi="Palatino Linotype" w:cs="Bookman Old Style"/>
          <w:b/>
          <w:i/>
          <w:sz w:val="22"/>
          <w:szCs w:val="20"/>
        </w:rPr>
        <w:t xml:space="preserve"> </w:t>
      </w:r>
      <w:r w:rsidR="00C77922" w:rsidRPr="00143EC9">
        <w:rPr>
          <w:rFonts w:ascii="Palatino Linotype" w:eastAsiaTheme="minorEastAsia" w:hAnsi="Palatino Linotype" w:cs="Bookman Old Style"/>
          <w:b/>
          <w:i/>
          <w:sz w:val="22"/>
          <w:szCs w:val="20"/>
        </w:rPr>
        <w:t>…”</w:t>
      </w:r>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lastRenderedPageBreak/>
        <w:t>CUARTO. Estudio del asunto.</w:t>
      </w:r>
    </w:p>
    <w:p w14:paraId="2F28704D" w14:textId="1A00878C" w:rsidR="007B25EC" w:rsidRDefault="007B25EC" w:rsidP="007B25EC">
      <w:pPr>
        <w:spacing w:before="240" w:after="240" w:line="360" w:lineRule="auto"/>
        <w:jc w:val="both"/>
        <w:rPr>
          <w:rFonts w:ascii="Palatino Linotype" w:hAnsi="Palatino Linotype" w:cs="Arial"/>
        </w:rPr>
      </w:pPr>
      <w:r>
        <w:rPr>
          <w:rFonts w:ascii="Palatino Linotype" w:hAnsi="Palatino Linotype"/>
        </w:rPr>
        <w:t>E</w:t>
      </w:r>
      <w:r w:rsidRPr="00BF1799">
        <w:rPr>
          <w:rFonts w:ascii="Palatino Linotype" w:hAnsi="Palatino Linotype"/>
        </w:rPr>
        <w:t xml:space="preserve">n este apartado se expondrán las razones y </w:t>
      </w:r>
      <w:r>
        <w:rPr>
          <w:rFonts w:ascii="Palatino Linotype" w:hAnsi="Palatino Linotype"/>
        </w:rPr>
        <w:t xml:space="preserve">fundamentos de orden jurídico nacional y estatal que soportan la decisión de este Órgano Garante en el asunto que no ocupa, tras analizar </w:t>
      </w:r>
      <w:r w:rsidRPr="0006113D">
        <w:rPr>
          <w:rFonts w:ascii="Palatino Linotype" w:hAnsi="Palatino Linotype" w:cs="Arial"/>
        </w:rPr>
        <w:t>los motivos de inconformidad del</w:t>
      </w:r>
      <w:r w:rsidRPr="0006113D">
        <w:rPr>
          <w:rFonts w:ascii="Palatino Linotype" w:hAnsi="Palatino Linotype" w:cs="Arial"/>
          <w:b/>
        </w:rPr>
        <w:t xml:space="preserve"> </w:t>
      </w:r>
      <w:r w:rsidRPr="0006113D">
        <w:rPr>
          <w:rFonts w:ascii="Palatino Linotype" w:hAnsi="Palatino Linotype" w:cs="Arial"/>
        </w:rPr>
        <w:t>Recurrente, los argumentos del Sujeto</w:t>
      </w:r>
      <w:r w:rsidRPr="0006113D">
        <w:rPr>
          <w:rFonts w:ascii="Palatino Linotype" w:hAnsi="Palatino Linotype" w:cs="Arial"/>
          <w:b/>
        </w:rPr>
        <w:t xml:space="preserve"> </w:t>
      </w:r>
      <w:r w:rsidRPr="0006113D">
        <w:rPr>
          <w:rFonts w:ascii="Palatino Linotype" w:hAnsi="Palatino Linotype" w:cs="Arial"/>
        </w:rPr>
        <w:t>Obligado</w:t>
      </w:r>
      <w:r w:rsidRPr="0006113D">
        <w:rPr>
          <w:rFonts w:ascii="Palatino Linotype" w:hAnsi="Palatino Linotype" w:cs="Arial"/>
          <w:b/>
        </w:rPr>
        <w:t xml:space="preserve"> </w:t>
      </w:r>
      <w:r w:rsidRPr="0006113D">
        <w:rPr>
          <w:rFonts w:ascii="Palatino Linotype" w:hAnsi="Palatino Linotype" w:cs="Arial"/>
        </w:rPr>
        <w:t>y</w:t>
      </w:r>
      <w:r w:rsidRPr="0006113D">
        <w:rPr>
          <w:rFonts w:ascii="Palatino Linotype" w:hAnsi="Palatino Linotype" w:cs="Arial"/>
          <w:b/>
        </w:rPr>
        <w:t xml:space="preserve"> </w:t>
      </w:r>
      <w:r w:rsidRPr="0006113D">
        <w:rPr>
          <w:rFonts w:ascii="Palatino Linotype" w:hAnsi="Palatino Linotype" w:cs="Arial"/>
        </w:rPr>
        <w:t>el marco j</w:t>
      </w:r>
      <w:r>
        <w:rPr>
          <w:rFonts w:ascii="Palatino Linotype" w:hAnsi="Palatino Linotype" w:cs="Arial"/>
        </w:rPr>
        <w:t>urídico aplicable.</w:t>
      </w:r>
    </w:p>
    <w:p w14:paraId="7EE2B581" w14:textId="4F0594FF" w:rsidR="007B25EC" w:rsidRDefault="007B25EC" w:rsidP="007B25EC">
      <w:pPr>
        <w:spacing w:before="240" w:after="240" w:line="360" w:lineRule="auto"/>
        <w:jc w:val="both"/>
        <w:rPr>
          <w:rFonts w:ascii="Palatino Linotype" w:hAnsi="Palatino Linotype"/>
        </w:rPr>
      </w:pPr>
      <w:r>
        <w:rPr>
          <w:rFonts w:ascii="Palatino Linotype" w:hAnsi="Palatino Linotype" w:cs="Arial"/>
        </w:rPr>
        <w:t xml:space="preserve">El </w:t>
      </w:r>
      <w:r>
        <w:rPr>
          <w:rFonts w:ascii="Palatino Linotype" w:hAnsi="Palatino Linotype" w:cs="Arial"/>
          <w:b/>
          <w:i/>
        </w:rPr>
        <w:t xml:space="preserve">Recurrente </w:t>
      </w:r>
      <w:r>
        <w:rPr>
          <w:rFonts w:ascii="Palatino Linotype" w:hAnsi="Palatino Linotype" w:cs="Arial"/>
        </w:rPr>
        <w:t xml:space="preserve">impugnó la respuesta proporcionada al considerar que la misma se encuentra incompleta, actualizando así la fracción V del artículo 179 de la Ley de Transparencia y Acceso a la Información Pública del Estado de México y Municipios, en virtud de que los artículos 6 de la Constitución Política de los Estados Unidos Mexicanos y 5 de la Constitución Política del Estado Libre y Soberano de México, determinan que el derecho de acceso a la información pública se traduce </w:t>
      </w:r>
      <w:r w:rsidRPr="00F90A03">
        <w:rPr>
          <w:rFonts w:ascii="Palatino Linotype" w:hAnsi="Palatino Linotype"/>
        </w:rPr>
        <w:t xml:space="preserve">en la facultad que tiene todas las personas de solicitar, investigar, difundir, buscar y recibir información </w:t>
      </w:r>
      <w:r>
        <w:rPr>
          <w:rFonts w:ascii="Palatino Linotype" w:hAnsi="Palatino Linotype"/>
        </w:rPr>
        <w:t xml:space="preserve">en posesión de cualquier entidad, órgano u organismos </w:t>
      </w:r>
      <w:r w:rsidRPr="00F90A03">
        <w:rPr>
          <w:rFonts w:ascii="Palatino Linotype" w:hAnsi="Palatino Linotype"/>
        </w:rPr>
        <w:t>de los Poderes Ejecutivo, Legislativo y Judicial, órganos autónomos, partidos políticos, fideicomisos y fondos públicos, así como de cualquier persona física, moral o sindicato que reciba y ejerza recursos públicos o realice actos de autoridad en el ámbit</w:t>
      </w:r>
      <w:r>
        <w:rPr>
          <w:rFonts w:ascii="Palatino Linotype" w:hAnsi="Palatino Linotype"/>
        </w:rPr>
        <w:t>o federal, estatal y municipal.</w:t>
      </w:r>
    </w:p>
    <w:p w14:paraId="5A5A12D8" w14:textId="77777777" w:rsidR="007B25EC" w:rsidRDefault="007B25EC" w:rsidP="007B25EC">
      <w:pPr>
        <w:spacing w:before="240" w:after="240" w:line="360" w:lineRule="auto"/>
        <w:jc w:val="both"/>
        <w:rPr>
          <w:rFonts w:ascii="Palatino Linotype" w:hAnsi="Palatino Linotype"/>
        </w:rPr>
      </w:pPr>
      <w:r>
        <w:rPr>
          <w:rFonts w:ascii="Palatino Linotype" w:hAnsi="Palatino Linotype"/>
        </w:rPr>
        <w:t xml:space="preserve">Por su parte, el artículo 4 de la Ley de Transparencia y Acceso a la Información Pública del Estado de México y Municipios establece que toda la información generada, obtenida, adquirida, transformada o en posesión de los sujetos obligados </w:t>
      </w:r>
      <w:r>
        <w:rPr>
          <w:rFonts w:ascii="Palatino Linotype" w:hAnsi="Palatino Linotype"/>
        </w:rPr>
        <w:lastRenderedPageBreak/>
        <w:t>es pública y sólo podrá ser clasificada como reservada temporalmente por razones de interés público</w:t>
      </w:r>
      <w:r>
        <w:rPr>
          <w:rStyle w:val="Refdenotaalpie"/>
          <w:rFonts w:ascii="Palatino Linotype" w:hAnsi="Palatino Linotype"/>
        </w:rPr>
        <w:footnoteReference w:id="1"/>
      </w:r>
      <w:r>
        <w:rPr>
          <w:rFonts w:ascii="Palatino Linotype" w:hAnsi="Palatino Linotype"/>
        </w:rPr>
        <w:t>.</w:t>
      </w:r>
    </w:p>
    <w:p w14:paraId="103D2E5A" w14:textId="7F76BFB0" w:rsidR="008D742E" w:rsidRDefault="008D742E" w:rsidP="007B25EC">
      <w:pPr>
        <w:spacing w:before="240" w:after="240" w:line="360" w:lineRule="auto"/>
        <w:jc w:val="both"/>
        <w:rPr>
          <w:rFonts w:ascii="Palatino Linotype" w:hAnsi="Palatino Linotype"/>
        </w:rPr>
      </w:pPr>
      <w:r>
        <w:rPr>
          <w:rFonts w:ascii="Palatino Linotype" w:hAnsi="Palatino Linotype"/>
        </w:rPr>
        <w:t>Bajo dichas consideraciones, cabe recordar que en el ejercicio de su derecho de acceso a la información el particular solicitó, lo siguiente:</w:t>
      </w:r>
    </w:p>
    <w:p w14:paraId="61BAB54C" w14:textId="2BA2A1F4" w:rsidR="008D742E" w:rsidRPr="008D742E" w:rsidRDefault="008D742E" w:rsidP="008D742E">
      <w:pPr>
        <w:pStyle w:val="Prrafodelista"/>
        <w:numPr>
          <w:ilvl w:val="0"/>
          <w:numId w:val="30"/>
        </w:numPr>
        <w:spacing w:before="240" w:after="240" w:line="360" w:lineRule="auto"/>
        <w:jc w:val="both"/>
        <w:rPr>
          <w:rFonts w:ascii="Palatino Linotype" w:hAnsi="Palatino Linotype"/>
          <w:b/>
        </w:rPr>
      </w:pPr>
      <w:r w:rsidRPr="008D742E">
        <w:rPr>
          <w:rFonts w:ascii="Palatino Linotype" w:hAnsi="Palatino Linotype"/>
          <w:b/>
          <w:color w:val="000000"/>
        </w:rPr>
        <w:t>Monto del ingreso que se obtuvo en 2018, 2019 y 2020 para</w:t>
      </w:r>
      <w:r>
        <w:rPr>
          <w:rFonts w:ascii="Palatino Linotype" w:hAnsi="Palatino Linotype"/>
          <w:b/>
          <w:color w:val="000000"/>
        </w:rPr>
        <w:t xml:space="preserve"> actividades ordinarias y mujer.</w:t>
      </w:r>
      <w:r w:rsidR="00430A98">
        <w:rPr>
          <w:rFonts w:ascii="Palatino Linotype" w:hAnsi="Palatino Linotype"/>
          <w:b/>
          <w:color w:val="000000"/>
        </w:rPr>
        <w:t xml:space="preserve"> </w:t>
      </w:r>
    </w:p>
    <w:p w14:paraId="7D87F7A6" w14:textId="77777777" w:rsidR="008D742E" w:rsidRPr="008D742E" w:rsidRDefault="008D742E" w:rsidP="008D742E">
      <w:pPr>
        <w:pStyle w:val="Prrafodelista"/>
        <w:numPr>
          <w:ilvl w:val="0"/>
          <w:numId w:val="30"/>
        </w:numPr>
        <w:spacing w:before="240" w:after="240" w:line="360" w:lineRule="auto"/>
        <w:jc w:val="both"/>
        <w:rPr>
          <w:rFonts w:ascii="Palatino Linotype" w:hAnsi="Palatino Linotype"/>
          <w:b/>
        </w:rPr>
      </w:pPr>
      <w:r>
        <w:rPr>
          <w:rFonts w:ascii="Palatino Linotype" w:hAnsi="Palatino Linotype"/>
          <w:b/>
          <w:color w:val="000000"/>
        </w:rPr>
        <w:t>A</w:t>
      </w:r>
      <w:r w:rsidRPr="008D742E">
        <w:rPr>
          <w:rFonts w:ascii="Palatino Linotype" w:hAnsi="Palatino Linotype"/>
          <w:b/>
          <w:color w:val="000000"/>
        </w:rPr>
        <w:t xml:space="preserve">cuerdo en el que se sustenta el monto de dichos ingresos. </w:t>
      </w:r>
    </w:p>
    <w:p w14:paraId="52191225" w14:textId="77777777" w:rsidR="008D742E" w:rsidRPr="008D742E" w:rsidRDefault="008D742E" w:rsidP="008D742E">
      <w:pPr>
        <w:pStyle w:val="Prrafodelista"/>
        <w:numPr>
          <w:ilvl w:val="0"/>
          <w:numId w:val="30"/>
        </w:numPr>
        <w:spacing w:before="240" w:after="240" w:line="360" w:lineRule="auto"/>
        <w:jc w:val="both"/>
        <w:rPr>
          <w:rFonts w:ascii="Palatino Linotype" w:hAnsi="Palatino Linotype"/>
          <w:b/>
        </w:rPr>
      </w:pPr>
      <w:r w:rsidRPr="008D742E">
        <w:rPr>
          <w:rFonts w:ascii="Palatino Linotype" w:hAnsi="Palatino Linotype"/>
          <w:b/>
          <w:color w:val="000000"/>
        </w:rPr>
        <w:t xml:space="preserve">PAT y PAT mujeres que se presenta ante la UTF de del INE de los años 2018, 2019 y 2020. </w:t>
      </w:r>
    </w:p>
    <w:p w14:paraId="09A4BD73" w14:textId="1328BA6D" w:rsidR="008D742E" w:rsidRPr="008D742E" w:rsidRDefault="008D742E" w:rsidP="008D742E">
      <w:pPr>
        <w:pStyle w:val="Prrafodelista"/>
        <w:numPr>
          <w:ilvl w:val="0"/>
          <w:numId w:val="30"/>
        </w:numPr>
        <w:spacing w:before="240" w:after="240" w:line="360" w:lineRule="auto"/>
        <w:jc w:val="both"/>
        <w:rPr>
          <w:rFonts w:ascii="Palatino Linotype" w:hAnsi="Palatino Linotype"/>
          <w:b/>
        </w:rPr>
      </w:pPr>
      <w:r w:rsidRPr="008D742E">
        <w:rPr>
          <w:rFonts w:ascii="Palatino Linotype" w:hAnsi="Palatino Linotype"/>
          <w:b/>
          <w:color w:val="000000"/>
        </w:rPr>
        <w:t>De los años 2018, 2019 y 2020</w:t>
      </w:r>
      <w:r>
        <w:rPr>
          <w:rFonts w:ascii="Palatino Linotype" w:hAnsi="Palatino Linotype"/>
          <w:b/>
          <w:color w:val="000000"/>
        </w:rPr>
        <w:t xml:space="preserve">, los </w:t>
      </w:r>
      <w:r w:rsidRPr="008D742E">
        <w:rPr>
          <w:rFonts w:ascii="Palatino Linotype" w:hAnsi="Palatino Linotype"/>
          <w:b/>
          <w:color w:val="000000"/>
        </w:rPr>
        <w:t>cursos, talleres o cualquier similar que por motivo a la prerrogativa especial para mujeres, el partido ejerce para este fin, identificarlo con fecha de realización, proveedor que se contrató para tal fin; y los datos generales que se encuentran en el archivo que se adjunta a la presente solicitud de información; cabe destacar que los datos solicitados no afectan los datos personales de las y los asistentes.</w:t>
      </w:r>
    </w:p>
    <w:p w14:paraId="1C84942F" w14:textId="7C4FB0DB" w:rsidR="008D742E" w:rsidRDefault="008D742E" w:rsidP="008D742E">
      <w:pPr>
        <w:spacing w:before="240" w:after="240" w:line="360" w:lineRule="auto"/>
        <w:jc w:val="both"/>
        <w:rPr>
          <w:rFonts w:ascii="Palatino Linotype" w:hAnsi="Palatino Linotype"/>
        </w:rPr>
      </w:pPr>
      <w:r w:rsidRPr="008D742E">
        <w:rPr>
          <w:rFonts w:ascii="Palatino Linotype" w:hAnsi="Palatino Linotype"/>
        </w:rPr>
        <w:t>Para efec</w:t>
      </w:r>
      <w:r w:rsidR="00E859DD">
        <w:rPr>
          <w:rFonts w:ascii="Palatino Linotype" w:hAnsi="Palatino Linotype"/>
        </w:rPr>
        <w:t xml:space="preserve">tos del requerimiento 4, se agrega </w:t>
      </w:r>
      <w:r w:rsidR="00E859DD" w:rsidRPr="008D742E">
        <w:rPr>
          <w:rFonts w:ascii="Palatino Linotype" w:hAnsi="Palatino Linotype"/>
        </w:rPr>
        <w:t>mediante captura de pantalla</w:t>
      </w:r>
      <w:r w:rsidR="00E859DD">
        <w:rPr>
          <w:rFonts w:ascii="Palatino Linotype" w:hAnsi="Palatino Linotype"/>
        </w:rPr>
        <w:t xml:space="preserve">, </w:t>
      </w:r>
      <w:r w:rsidRPr="008D742E">
        <w:rPr>
          <w:rFonts w:ascii="Palatino Linotype" w:hAnsi="Palatino Linotype"/>
        </w:rPr>
        <w:t>l</w:t>
      </w:r>
      <w:r w:rsidR="004C7235">
        <w:rPr>
          <w:rFonts w:ascii="Palatino Linotype" w:hAnsi="Palatino Linotype"/>
        </w:rPr>
        <w:t>os</w:t>
      </w:r>
      <w:r w:rsidRPr="008D742E">
        <w:rPr>
          <w:rFonts w:ascii="Palatino Linotype" w:hAnsi="Palatino Linotype"/>
        </w:rPr>
        <w:t xml:space="preserve"> documento</w:t>
      </w:r>
      <w:r w:rsidR="004C7235">
        <w:rPr>
          <w:rFonts w:ascii="Palatino Linotype" w:hAnsi="Palatino Linotype"/>
        </w:rPr>
        <w:t>s</w:t>
      </w:r>
      <w:r w:rsidRPr="008D742E">
        <w:rPr>
          <w:rFonts w:ascii="Palatino Linotype" w:hAnsi="Palatino Linotype"/>
        </w:rPr>
        <w:t xml:space="preserve"> que adjuntó el particular:</w:t>
      </w:r>
    </w:p>
    <w:p w14:paraId="6CB9E94A" w14:textId="02D7D7ED" w:rsidR="008D742E" w:rsidRDefault="008D742E" w:rsidP="008D742E">
      <w:pPr>
        <w:spacing w:before="240" w:after="240" w:line="360" w:lineRule="auto"/>
        <w:jc w:val="both"/>
        <w:rPr>
          <w:rFonts w:ascii="Palatino Linotype" w:hAnsi="Palatino Linotype"/>
        </w:rPr>
      </w:pPr>
      <w:r w:rsidRPr="008D742E">
        <w:rPr>
          <w:rFonts w:ascii="Palatino Linotype" w:hAnsi="Palatino Linotype"/>
          <w:noProof/>
          <w:lang w:val="es-MX" w:eastAsia="es-MX"/>
        </w:rPr>
        <w:lastRenderedPageBreak/>
        <w:drawing>
          <wp:inline distT="0" distB="0" distL="0" distR="0" wp14:anchorId="2D8347A3" wp14:editId="795A0644">
            <wp:extent cx="5612130" cy="1083945"/>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083945"/>
                    </a:xfrm>
                    <a:prstGeom prst="rect">
                      <a:avLst/>
                    </a:prstGeom>
                  </pic:spPr>
                </pic:pic>
              </a:graphicData>
            </a:graphic>
          </wp:inline>
        </w:drawing>
      </w:r>
    </w:p>
    <w:p w14:paraId="1840AA50" w14:textId="18968B31" w:rsidR="004C7235" w:rsidRPr="008D742E" w:rsidRDefault="004C7235" w:rsidP="008D742E">
      <w:pPr>
        <w:spacing w:before="240" w:after="240" w:line="360" w:lineRule="auto"/>
        <w:jc w:val="both"/>
        <w:rPr>
          <w:rFonts w:ascii="Palatino Linotype" w:hAnsi="Palatino Linotype"/>
        </w:rPr>
      </w:pPr>
      <w:r w:rsidRPr="004C7235">
        <w:rPr>
          <w:rFonts w:ascii="Palatino Linotype" w:hAnsi="Palatino Linotype"/>
          <w:noProof/>
          <w:lang w:val="es-MX" w:eastAsia="es-MX"/>
        </w:rPr>
        <w:drawing>
          <wp:inline distT="0" distB="0" distL="0" distR="0" wp14:anchorId="626683AE" wp14:editId="04C3BB32">
            <wp:extent cx="5612130" cy="5657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65785"/>
                    </a:xfrm>
                    <a:prstGeom prst="rect">
                      <a:avLst/>
                    </a:prstGeom>
                  </pic:spPr>
                </pic:pic>
              </a:graphicData>
            </a:graphic>
          </wp:inline>
        </w:drawing>
      </w:r>
    </w:p>
    <w:p w14:paraId="22B2556A" w14:textId="77777777" w:rsidR="008D742E" w:rsidRPr="008D742E" w:rsidRDefault="008D742E" w:rsidP="008D742E">
      <w:pPr>
        <w:spacing w:before="240" w:after="240" w:line="360" w:lineRule="auto"/>
        <w:jc w:val="both"/>
        <w:rPr>
          <w:rFonts w:ascii="Palatino Linotype" w:hAnsi="Palatino Linotype"/>
          <w:b/>
        </w:rPr>
      </w:pPr>
    </w:p>
    <w:p w14:paraId="2AAE3D59" w14:textId="77777777" w:rsidR="008D742E" w:rsidRDefault="008D742E" w:rsidP="007B25EC">
      <w:pPr>
        <w:spacing w:before="240" w:after="240" w:line="360" w:lineRule="auto"/>
        <w:jc w:val="both"/>
        <w:rPr>
          <w:rFonts w:ascii="Palatino Linotype" w:hAnsi="Palatino Linotype"/>
        </w:rPr>
      </w:pPr>
    </w:p>
    <w:p w14:paraId="39CFE7D0" w14:textId="77777777" w:rsidR="00E859DD"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E859DD">
        <w:rPr>
          <w:rFonts w:ascii="Palatino Linotype" w:hAnsi="Palatino Linotype"/>
          <w:color w:val="000000"/>
        </w:rPr>
        <w:t xml:space="preserve">el </w:t>
      </w:r>
      <w:r w:rsidR="00E859DD">
        <w:rPr>
          <w:rFonts w:ascii="Palatino Linotype" w:hAnsi="Palatino Linotype"/>
          <w:b/>
          <w:color w:val="000000"/>
        </w:rPr>
        <w:t xml:space="preserve">Sujeto Obligado </w:t>
      </w:r>
      <w:r w:rsidR="00E859DD">
        <w:rPr>
          <w:rFonts w:ascii="Palatino Linotype" w:hAnsi="Palatino Linotype"/>
          <w:color w:val="000000"/>
        </w:rPr>
        <w:t>adjunto los archivos que se relacionan a continuación:</w:t>
      </w:r>
    </w:p>
    <w:p w14:paraId="45F338BE" w14:textId="69403DC0" w:rsidR="00E859DD" w:rsidRDefault="00F8277C" w:rsidP="00E859DD">
      <w:pPr>
        <w:pStyle w:val="Prrafodelista"/>
        <w:numPr>
          <w:ilvl w:val="0"/>
          <w:numId w:val="31"/>
        </w:numPr>
        <w:spacing w:before="240" w:after="240" w:line="360" w:lineRule="auto"/>
        <w:jc w:val="both"/>
        <w:rPr>
          <w:rFonts w:ascii="Palatino Linotype" w:hAnsi="Palatino Linotype"/>
        </w:rPr>
      </w:pPr>
      <w:hyperlink r:id="rId18" w:tgtFrame="_blank" w:history="1">
        <w:r w:rsidR="00E859DD" w:rsidRPr="00E859DD">
          <w:rPr>
            <w:rStyle w:val="Hipervnculo"/>
            <w:rFonts w:ascii="Palatino Linotype" w:hAnsi="Palatino Linotype" w:cs="Arial"/>
            <w:b/>
            <w:bCs/>
            <w:color w:val="auto"/>
            <w:u w:val="none"/>
          </w:rPr>
          <w:t>TESORERIA001620.pdf</w:t>
        </w:r>
      </w:hyperlink>
      <w:r w:rsidR="00E859DD">
        <w:rPr>
          <w:rFonts w:ascii="Palatino Linotype" w:hAnsi="Palatino Linotype"/>
        </w:rPr>
        <w:t>.-</w:t>
      </w:r>
      <w:r w:rsidR="00F83D96">
        <w:rPr>
          <w:rFonts w:ascii="Palatino Linotype" w:hAnsi="Palatino Linotype"/>
        </w:rPr>
        <w:t xml:space="preserve"> Oficio mediante el cual se informó al Responsable de la Unidad Técnica de Fiscalización del Instituto Nacional Electoral, de las actividades correspondientes al Plan de Trabajo Anual relativas a Liderazgo de la Mujer en el proyecto B.1 denominado “Capacitación y Formación para el Liderazgo Político de la Mujer”.</w:t>
      </w:r>
    </w:p>
    <w:p w14:paraId="06872C94" w14:textId="08B73E6F" w:rsidR="00E859DD" w:rsidRDefault="00F8277C" w:rsidP="00E859DD">
      <w:pPr>
        <w:pStyle w:val="Prrafodelista"/>
        <w:numPr>
          <w:ilvl w:val="0"/>
          <w:numId w:val="31"/>
        </w:numPr>
        <w:spacing w:before="240" w:after="240" w:line="360" w:lineRule="auto"/>
        <w:jc w:val="both"/>
        <w:rPr>
          <w:rFonts w:ascii="Palatino Linotype" w:hAnsi="Palatino Linotype"/>
        </w:rPr>
      </w:pPr>
      <w:hyperlink r:id="rId19" w:tgtFrame="_blank" w:history="1">
        <w:r w:rsidR="00E859DD" w:rsidRPr="00E859DD">
          <w:rPr>
            <w:rStyle w:val="Hipervnculo"/>
            <w:rFonts w:ascii="Palatino Linotype" w:hAnsi="Palatino Linotype" w:cs="Arial"/>
            <w:b/>
            <w:bCs/>
            <w:color w:val="auto"/>
            <w:u w:val="none"/>
          </w:rPr>
          <w:t>PAT 2020.pdf</w:t>
        </w:r>
      </w:hyperlink>
      <w:r w:rsidR="00E859DD">
        <w:rPr>
          <w:rFonts w:ascii="Palatino Linotype" w:hAnsi="Palatino Linotype"/>
        </w:rPr>
        <w:t>.-</w:t>
      </w:r>
      <w:r w:rsidR="00F83D96">
        <w:rPr>
          <w:rFonts w:ascii="Palatino Linotype" w:hAnsi="Palatino Linotype"/>
        </w:rPr>
        <w:t xml:space="preserve"> Programa Anual de Trabajo 2020 del Partido Movimiento Ciudadano del Estado de México, “Capacitación, Promoción y Liderazgo Político de las Mujeres”.</w:t>
      </w:r>
      <w:r w:rsidR="00DB46EB">
        <w:rPr>
          <w:rFonts w:ascii="Palatino Linotype" w:hAnsi="Palatino Linotype"/>
        </w:rPr>
        <w:t xml:space="preserve"> </w:t>
      </w:r>
    </w:p>
    <w:p w14:paraId="5491A53C" w14:textId="67D9FAE6" w:rsidR="00513B5B" w:rsidRDefault="00F8277C" w:rsidP="00513B5B">
      <w:pPr>
        <w:pStyle w:val="Prrafodelista"/>
        <w:numPr>
          <w:ilvl w:val="0"/>
          <w:numId w:val="31"/>
        </w:numPr>
        <w:spacing w:before="240" w:after="240" w:line="360" w:lineRule="auto"/>
        <w:jc w:val="both"/>
        <w:rPr>
          <w:rFonts w:ascii="Palatino Linotype" w:hAnsi="Palatino Linotype"/>
        </w:rPr>
      </w:pPr>
      <w:hyperlink r:id="rId20" w:tgtFrame="_blank" w:history="1">
        <w:r w:rsidR="00E859DD" w:rsidRPr="00E859DD">
          <w:rPr>
            <w:rStyle w:val="Hipervnculo"/>
            <w:rFonts w:ascii="Palatino Linotype" w:hAnsi="Palatino Linotype" w:cs="Arial"/>
            <w:b/>
            <w:bCs/>
            <w:color w:val="auto"/>
            <w:u w:val="none"/>
          </w:rPr>
          <w:t>TESORERIA01818.pdf</w:t>
        </w:r>
      </w:hyperlink>
      <w:r w:rsidR="00E859DD">
        <w:rPr>
          <w:rFonts w:ascii="Palatino Linotype" w:hAnsi="Palatino Linotype"/>
        </w:rPr>
        <w:t>.-</w:t>
      </w:r>
      <w:r w:rsidR="00513B5B">
        <w:rPr>
          <w:rFonts w:ascii="Palatino Linotype" w:hAnsi="Palatino Linotype"/>
        </w:rPr>
        <w:t xml:space="preserve"> Oficio COE/TESORERIA/018/18, de fecha 26 de febrero de 2018, mediante el cual se informó al Director de la Unidad Técnica de Fiscalización del Instituto Nacional Electoral, de las actividades </w:t>
      </w:r>
      <w:r w:rsidR="00513B5B">
        <w:rPr>
          <w:rFonts w:ascii="Palatino Linotype" w:hAnsi="Palatino Linotype"/>
        </w:rPr>
        <w:lastRenderedPageBreak/>
        <w:t>correspondientes al Plan de Trabajo Anual relativas a Liderazgo de la Mujer en el proyecto B.1 denominado “Capacitación y Formación para el Liderazgo Político de la Mujer”.</w:t>
      </w:r>
    </w:p>
    <w:p w14:paraId="7A811E97" w14:textId="6039C418" w:rsidR="009C5D00" w:rsidRDefault="00F8277C" w:rsidP="009C5D00">
      <w:pPr>
        <w:pStyle w:val="Prrafodelista"/>
        <w:numPr>
          <w:ilvl w:val="0"/>
          <w:numId w:val="31"/>
        </w:numPr>
        <w:spacing w:before="240" w:after="240" w:line="360" w:lineRule="auto"/>
        <w:jc w:val="both"/>
        <w:rPr>
          <w:rFonts w:ascii="Palatino Linotype" w:hAnsi="Palatino Linotype"/>
        </w:rPr>
      </w:pPr>
      <w:hyperlink r:id="rId21" w:tgtFrame="_blank" w:history="1">
        <w:r w:rsidR="00E859DD" w:rsidRPr="00E859DD">
          <w:rPr>
            <w:rStyle w:val="Hipervnculo"/>
            <w:rFonts w:ascii="Palatino Linotype" w:hAnsi="Palatino Linotype" w:cs="Arial"/>
            <w:b/>
            <w:bCs/>
            <w:color w:val="auto"/>
            <w:u w:val="none"/>
          </w:rPr>
          <w:t>TESORERIA000819.pdf</w:t>
        </w:r>
      </w:hyperlink>
      <w:r w:rsidR="00E859DD">
        <w:rPr>
          <w:rFonts w:ascii="Palatino Linotype" w:hAnsi="Palatino Linotype"/>
        </w:rPr>
        <w:t>.-</w:t>
      </w:r>
      <w:r w:rsidR="009C5D00">
        <w:rPr>
          <w:rFonts w:ascii="Palatino Linotype" w:hAnsi="Palatino Linotype"/>
        </w:rPr>
        <w:t xml:space="preserve"> Oficio COE/TESORERIA/018/19, de fecha 3 de abril de 2019, mediante el cual se informó al Director de la Unidad Técnica de Fiscalización del Instituto Nacional Electoral, de las actividades correspondientes al Plan de Trabajo Anual relativas a Liderazgo de la Mujer en el proyecto B.1 denominado “Capacitación y Formación para el Liderazgo Político de la Mujer”.</w:t>
      </w:r>
    </w:p>
    <w:p w14:paraId="3A455A2C" w14:textId="78E2E6D0" w:rsidR="00AD7C1B" w:rsidRDefault="00F8277C" w:rsidP="00AD7C1B">
      <w:pPr>
        <w:pStyle w:val="Prrafodelista"/>
        <w:numPr>
          <w:ilvl w:val="0"/>
          <w:numId w:val="31"/>
        </w:numPr>
        <w:spacing w:before="240" w:after="240" w:line="360" w:lineRule="auto"/>
        <w:jc w:val="both"/>
        <w:rPr>
          <w:rFonts w:ascii="Palatino Linotype" w:hAnsi="Palatino Linotype"/>
        </w:rPr>
      </w:pPr>
      <w:hyperlink r:id="rId22" w:tgtFrame="_blank" w:history="1">
        <w:r w:rsidR="00E859DD" w:rsidRPr="00E859DD">
          <w:rPr>
            <w:rStyle w:val="Hipervnculo"/>
            <w:rFonts w:ascii="Palatino Linotype" w:hAnsi="Palatino Linotype" w:cs="Arial"/>
            <w:b/>
            <w:bCs/>
            <w:color w:val="auto"/>
            <w:u w:val="none"/>
          </w:rPr>
          <w:t>PAT 2018.pdf</w:t>
        </w:r>
      </w:hyperlink>
      <w:r w:rsidR="00E859DD">
        <w:rPr>
          <w:rFonts w:ascii="Palatino Linotype" w:hAnsi="Palatino Linotype"/>
        </w:rPr>
        <w:t>.-</w:t>
      </w:r>
      <w:r w:rsidR="00AD7C1B">
        <w:rPr>
          <w:rFonts w:ascii="Palatino Linotype" w:hAnsi="Palatino Linotype"/>
        </w:rPr>
        <w:t xml:space="preserve"> Programa Anual de Trabajo 20</w:t>
      </w:r>
      <w:r w:rsidR="00CC7492">
        <w:rPr>
          <w:rFonts w:ascii="Palatino Linotype" w:hAnsi="Palatino Linotype"/>
        </w:rPr>
        <w:t>18</w:t>
      </w:r>
      <w:r w:rsidR="00AD7C1B">
        <w:rPr>
          <w:rFonts w:ascii="Palatino Linotype" w:hAnsi="Palatino Linotype"/>
        </w:rPr>
        <w:t xml:space="preserve"> del Partido Movimiento Ciudadano del Estado de México, “Capacitación, Promoción y Liderazgo Político de las Mujeres”. </w:t>
      </w:r>
    </w:p>
    <w:p w14:paraId="12AD765F" w14:textId="77777777" w:rsidR="00E859DD" w:rsidRDefault="00F8277C" w:rsidP="00E859DD">
      <w:pPr>
        <w:pStyle w:val="Prrafodelista"/>
        <w:numPr>
          <w:ilvl w:val="0"/>
          <w:numId w:val="31"/>
        </w:numPr>
        <w:spacing w:before="240" w:after="240" w:line="360" w:lineRule="auto"/>
        <w:jc w:val="both"/>
        <w:rPr>
          <w:rFonts w:ascii="Palatino Linotype" w:hAnsi="Palatino Linotype"/>
        </w:rPr>
      </w:pPr>
      <w:hyperlink r:id="rId23" w:tgtFrame="_blank" w:history="1">
        <w:r w:rsidR="00E859DD" w:rsidRPr="00E859DD">
          <w:rPr>
            <w:rStyle w:val="Hipervnculo"/>
            <w:rFonts w:ascii="Palatino Linotype" w:hAnsi="Palatino Linotype" w:cs="Arial"/>
            <w:b/>
            <w:bCs/>
            <w:color w:val="auto"/>
            <w:u w:val="none"/>
          </w:rPr>
          <w:t>RESPUESTA SOLICITUD 00013.pdf</w:t>
        </w:r>
      </w:hyperlink>
      <w:r w:rsidR="00E859DD">
        <w:rPr>
          <w:rFonts w:ascii="Palatino Linotype" w:hAnsi="Palatino Linotype"/>
        </w:rPr>
        <w:t>.-</w:t>
      </w:r>
    </w:p>
    <w:p w14:paraId="24C11EC5" w14:textId="77777777" w:rsidR="00CC7492" w:rsidRDefault="00CC7492" w:rsidP="00CC7492">
      <w:pPr>
        <w:pStyle w:val="Prrafodelista"/>
        <w:numPr>
          <w:ilvl w:val="0"/>
          <w:numId w:val="33"/>
        </w:numPr>
        <w:spacing w:before="240" w:after="240" w:line="360" w:lineRule="auto"/>
        <w:ind w:left="1134"/>
        <w:jc w:val="both"/>
        <w:rPr>
          <w:rFonts w:ascii="Palatino Linotype" w:hAnsi="Palatino Linotype"/>
        </w:rPr>
      </w:pPr>
      <w:r w:rsidRPr="00CC7492">
        <w:rPr>
          <w:rFonts w:ascii="Palatino Linotype" w:eastAsia="Arial" w:hAnsi="Palatino Linotype" w:cs="Arial"/>
          <w:b/>
        </w:rPr>
        <w:t xml:space="preserve">Requerimiento identificado con el número 1, </w:t>
      </w:r>
      <w:r w:rsidRPr="00CC7492">
        <w:rPr>
          <w:rFonts w:ascii="Palatino Linotype" w:hAnsi="Palatino Linotype"/>
        </w:rPr>
        <w:t xml:space="preserve">a información requerida en su solicitud, puede ser consultada en el siguiente hipervínculo: </w:t>
      </w:r>
      <w:hyperlink r:id="rId24">
        <w:r w:rsidRPr="00CC7492">
          <w:rPr>
            <w:rFonts w:ascii="Palatino Linotype" w:hAnsi="Palatino Linotype"/>
            <w:color w:val="0563C1"/>
            <w:u w:val="single" w:color="0563C1"/>
          </w:rPr>
          <w:t>https://www.ipomex.org.mx/ipo3/lgt/indice/PMCIU/art_100_xxii.web</w:t>
        </w:r>
      </w:hyperlink>
      <w:hyperlink r:id="rId25">
        <w:r w:rsidRPr="00CC7492">
          <w:rPr>
            <w:rFonts w:ascii="Palatino Linotype" w:hAnsi="Palatino Linotype"/>
          </w:rPr>
          <w:t xml:space="preserve"> </w:t>
        </w:r>
      </w:hyperlink>
    </w:p>
    <w:p w14:paraId="0E0629E1" w14:textId="1FC63D17" w:rsidR="00CC7492" w:rsidRPr="00CC7492" w:rsidRDefault="00CC7492" w:rsidP="00CC7492">
      <w:pPr>
        <w:spacing w:before="240" w:after="240" w:line="360" w:lineRule="auto"/>
        <w:ind w:left="1134"/>
        <w:jc w:val="both"/>
        <w:rPr>
          <w:rFonts w:ascii="Palatino Linotype" w:hAnsi="Palatino Linotype"/>
        </w:rPr>
      </w:pPr>
      <w:r w:rsidRPr="00CC7492">
        <w:rPr>
          <w:rFonts w:ascii="Palatino Linotype" w:hAnsi="Palatino Linotype"/>
        </w:rPr>
        <w:t xml:space="preserve">El hipervínculo antes citado acorde a lo establecido por las Tablas de Actualización del INFOEM, solo contiene información de los ejercicios 2019 y 2020, por lo que hago de su conocimiento que para el 2018 Movimiento Ciudadano destino un monto de $ 1,242,000.00, para la capacitación, promoción y el desarrollo del liderazgo político de las mujeres. </w:t>
      </w:r>
    </w:p>
    <w:p w14:paraId="70DD1BEE" w14:textId="752762B6" w:rsidR="00CC7492" w:rsidRPr="00CC7492" w:rsidRDefault="00CC7492" w:rsidP="00CC7492">
      <w:pPr>
        <w:pStyle w:val="Prrafodelista"/>
        <w:numPr>
          <w:ilvl w:val="0"/>
          <w:numId w:val="33"/>
        </w:numPr>
        <w:spacing w:before="240" w:after="240" w:line="360" w:lineRule="auto"/>
        <w:ind w:left="1134"/>
        <w:jc w:val="both"/>
        <w:rPr>
          <w:rFonts w:ascii="Palatino Linotype" w:hAnsi="Palatino Linotype"/>
        </w:rPr>
      </w:pPr>
      <w:r>
        <w:rPr>
          <w:rFonts w:ascii="Palatino Linotype" w:eastAsia="Arial" w:hAnsi="Palatino Linotype" w:cs="Arial"/>
          <w:b/>
        </w:rPr>
        <w:lastRenderedPageBreak/>
        <w:t>S</w:t>
      </w:r>
      <w:r w:rsidRPr="00CC7492">
        <w:rPr>
          <w:rFonts w:ascii="Palatino Linotype" w:eastAsia="Arial" w:hAnsi="Palatino Linotype" w:cs="Arial"/>
          <w:b/>
        </w:rPr>
        <w:t xml:space="preserve">olicitud identificada con el número 2, </w:t>
      </w:r>
      <w:r w:rsidRPr="00CC7492">
        <w:rPr>
          <w:rFonts w:ascii="Palatino Linotype" w:hAnsi="Palatino Linotype"/>
        </w:rPr>
        <w:t xml:space="preserve">la información requerida en su solicitud, puede ser consultada en el siguiente hipervínculo: </w:t>
      </w:r>
      <w:hyperlink r:id="rId26">
        <w:r w:rsidRPr="00CC7492">
          <w:rPr>
            <w:rFonts w:ascii="Palatino Linotype" w:hAnsi="Palatino Linotype"/>
            <w:color w:val="0563C1"/>
            <w:u w:val="single" w:color="0563C1"/>
          </w:rPr>
          <w:t>https://www.ipomex.org.mx/ipo3/lgt/indice/PMCIU/art_100_xxiv_a/0.web</w:t>
        </w:r>
      </w:hyperlink>
      <w:hyperlink r:id="rId27">
        <w:r w:rsidRPr="00CC7492">
          <w:rPr>
            <w:rFonts w:ascii="Palatino Linotype" w:hAnsi="Palatino Linotype"/>
          </w:rPr>
          <w:t xml:space="preserve"> </w:t>
        </w:r>
      </w:hyperlink>
    </w:p>
    <w:p w14:paraId="3082EF95" w14:textId="436C8AAD" w:rsidR="00CC7492" w:rsidRPr="00CC7492" w:rsidRDefault="00CC7492" w:rsidP="00CC7492">
      <w:pPr>
        <w:pStyle w:val="Prrafodelista"/>
        <w:numPr>
          <w:ilvl w:val="0"/>
          <w:numId w:val="33"/>
        </w:numPr>
        <w:spacing w:before="240" w:after="240" w:line="360" w:lineRule="auto"/>
        <w:ind w:left="1134"/>
        <w:jc w:val="both"/>
        <w:rPr>
          <w:rFonts w:ascii="Palatino Linotype" w:hAnsi="Palatino Linotype"/>
        </w:rPr>
      </w:pPr>
      <w:r>
        <w:rPr>
          <w:rFonts w:ascii="Palatino Linotype" w:eastAsia="Arial" w:hAnsi="Palatino Linotype" w:cs="Arial"/>
          <w:b/>
        </w:rPr>
        <w:t>S</w:t>
      </w:r>
      <w:r w:rsidRPr="00CC7492">
        <w:rPr>
          <w:rFonts w:ascii="Palatino Linotype" w:eastAsia="Arial" w:hAnsi="Palatino Linotype" w:cs="Arial"/>
          <w:b/>
        </w:rPr>
        <w:t>olicitud identificada con el número 3,</w:t>
      </w:r>
      <w:r w:rsidRPr="00CC7492">
        <w:rPr>
          <w:rFonts w:ascii="Palatino Linotype" w:hAnsi="Palatino Linotype"/>
        </w:rPr>
        <w:t xml:space="preserve"> adjunto a la presente copia simple de los Programas Anuales de Trabajo de Actividades Específicas y para la Capacitación Promoción y el Desarrollo del Liderazgo Político de las Mujeres correspondiente a los ejercicios 2018, 2019 y 2020. </w:t>
      </w:r>
    </w:p>
    <w:p w14:paraId="5180D18A" w14:textId="4E531A72" w:rsidR="00CC7492" w:rsidRPr="00CC7492" w:rsidRDefault="00CC7492" w:rsidP="00CC7492">
      <w:pPr>
        <w:pStyle w:val="Prrafodelista"/>
        <w:numPr>
          <w:ilvl w:val="0"/>
          <w:numId w:val="33"/>
        </w:numPr>
        <w:spacing w:before="240" w:after="240" w:line="360" w:lineRule="auto"/>
        <w:ind w:left="1276"/>
        <w:jc w:val="both"/>
        <w:rPr>
          <w:rFonts w:ascii="Palatino Linotype" w:hAnsi="Palatino Linotype"/>
        </w:rPr>
      </w:pPr>
      <w:r>
        <w:rPr>
          <w:rFonts w:ascii="Palatino Linotype" w:eastAsia="Arial" w:hAnsi="Palatino Linotype" w:cs="Arial"/>
          <w:b/>
        </w:rPr>
        <w:t>R</w:t>
      </w:r>
      <w:r w:rsidRPr="00CC7492">
        <w:rPr>
          <w:rFonts w:ascii="Palatino Linotype" w:eastAsia="Arial" w:hAnsi="Palatino Linotype" w:cs="Arial"/>
          <w:b/>
        </w:rPr>
        <w:t>especto de la solicitud identificada con el número 4,</w:t>
      </w:r>
      <w:r w:rsidRPr="00CC7492">
        <w:rPr>
          <w:rFonts w:ascii="Palatino Linotype" w:hAnsi="Palatino Linotype"/>
        </w:rPr>
        <w:t xml:space="preserve"> </w:t>
      </w:r>
      <w:r>
        <w:rPr>
          <w:rFonts w:ascii="Palatino Linotype" w:hAnsi="Palatino Linotype"/>
        </w:rPr>
        <w:t>hizo del</w:t>
      </w:r>
      <w:r w:rsidRPr="00CC7492">
        <w:rPr>
          <w:rFonts w:ascii="Palatino Linotype" w:hAnsi="Palatino Linotype"/>
        </w:rPr>
        <w:t xml:space="preserve"> conocimiento que los cursos, talleres y cualquier similar realizados por esta Comisión Operativa Estatal, vienen desglosados por proyecto en los documentos identificados como Programa Anual de Trabajo para la Capacitación Promoción y el Desarrollo del Liderazgo Político de las Mujeres 2018, 2019 y 2020, que son adjuntados a la presente respuesta, asimismo que la información requerida podía ser consultada en el siguiente hipervínculo: </w:t>
      </w:r>
      <w:hyperlink r:id="rId28">
        <w:r w:rsidRPr="00CC7492">
          <w:rPr>
            <w:rFonts w:ascii="Palatino Linotype" w:hAnsi="Palatino Linotype"/>
            <w:color w:val="0563C1"/>
            <w:u w:val="single" w:color="0563C1"/>
          </w:rPr>
          <w:t>https://www.ipomex.org.mx/ipo3/lgt/indice/PMCIU/art_100_iv.web</w:t>
        </w:r>
      </w:hyperlink>
      <w:hyperlink r:id="rId29">
        <w:r w:rsidRPr="00CC7492">
          <w:rPr>
            <w:rFonts w:ascii="Palatino Linotype" w:hAnsi="Palatino Linotype"/>
          </w:rPr>
          <w:t xml:space="preserve"> </w:t>
        </w:r>
      </w:hyperlink>
    </w:p>
    <w:p w14:paraId="6B4895D5" w14:textId="33BDA622" w:rsidR="00B42489" w:rsidRDefault="00F8277C" w:rsidP="00B42489">
      <w:pPr>
        <w:pStyle w:val="Prrafodelista"/>
        <w:numPr>
          <w:ilvl w:val="0"/>
          <w:numId w:val="31"/>
        </w:numPr>
        <w:spacing w:before="240" w:after="240" w:line="360" w:lineRule="auto"/>
        <w:jc w:val="both"/>
        <w:rPr>
          <w:rFonts w:ascii="Palatino Linotype" w:hAnsi="Palatino Linotype"/>
        </w:rPr>
      </w:pPr>
      <w:hyperlink r:id="rId30" w:tgtFrame="_blank" w:history="1">
        <w:r w:rsidR="00E859DD" w:rsidRPr="00E859DD">
          <w:rPr>
            <w:rStyle w:val="Hipervnculo"/>
            <w:rFonts w:ascii="Palatino Linotype" w:hAnsi="Palatino Linotype" w:cs="Arial"/>
            <w:b/>
            <w:bCs/>
            <w:color w:val="auto"/>
            <w:u w:val="none"/>
          </w:rPr>
          <w:t>PAT 2019.pdf</w:t>
        </w:r>
      </w:hyperlink>
      <w:r w:rsidR="00E859DD">
        <w:rPr>
          <w:rFonts w:ascii="Palatino Linotype" w:hAnsi="Palatino Linotype"/>
        </w:rPr>
        <w:t>.-</w:t>
      </w:r>
      <w:r w:rsidR="00B42489">
        <w:rPr>
          <w:rFonts w:ascii="Palatino Linotype" w:hAnsi="Palatino Linotype"/>
        </w:rPr>
        <w:t xml:space="preserve"> Programa Anual de Trabajo 201</w:t>
      </w:r>
      <w:r w:rsidR="00C34D4E">
        <w:rPr>
          <w:rFonts w:ascii="Palatino Linotype" w:hAnsi="Palatino Linotype"/>
        </w:rPr>
        <w:t>9</w:t>
      </w:r>
      <w:r w:rsidR="00B42489">
        <w:rPr>
          <w:rFonts w:ascii="Palatino Linotype" w:hAnsi="Palatino Linotype"/>
        </w:rPr>
        <w:t xml:space="preserve"> del Partido Movimiento Ciudadano del Estado de México, “Capacitación, Promoción y Liderazgo Político de las Mujeres”. </w:t>
      </w:r>
    </w:p>
    <w:p w14:paraId="7431AF29" w14:textId="6F7F1461" w:rsidR="00DF5079" w:rsidRPr="00DF5079" w:rsidRDefault="00DF5079" w:rsidP="00DF5079">
      <w:pPr>
        <w:spacing w:before="240" w:after="240" w:line="360" w:lineRule="auto"/>
        <w:jc w:val="both"/>
        <w:rPr>
          <w:rFonts w:ascii="Palatino Linotype" w:hAnsi="Palatino Linotype"/>
          <w:lang w:val="es-MX" w:eastAsia="es-MX"/>
        </w:rPr>
      </w:pPr>
      <w:r w:rsidRPr="00DF5079">
        <w:rPr>
          <w:rFonts w:ascii="Palatino Linotype" w:hAnsi="Palatino Linotype"/>
        </w:rPr>
        <w:t>Inconforme con la respuesta, el particular interpuso el medio de defensa que nos ocupa, señalando como “ACTO IMPUGNADO” que s</w:t>
      </w:r>
      <w:r w:rsidRPr="00DF5079">
        <w:rPr>
          <w:rFonts w:ascii="Palatino Linotype" w:hAnsi="Palatino Linotype"/>
          <w:color w:val="000000"/>
        </w:rPr>
        <w:t xml:space="preserve">i bien, el </w:t>
      </w:r>
      <w:r w:rsidRPr="00DF5079">
        <w:rPr>
          <w:rFonts w:ascii="Palatino Linotype" w:hAnsi="Palatino Linotype"/>
          <w:b/>
          <w:color w:val="000000"/>
        </w:rPr>
        <w:t>Sujeto Obligado</w:t>
      </w:r>
      <w:r w:rsidRPr="00DF5079">
        <w:rPr>
          <w:rFonts w:ascii="Palatino Linotype" w:hAnsi="Palatino Linotype"/>
          <w:color w:val="000000"/>
        </w:rPr>
        <w:t xml:space="preserve">, entrega parte de la información solicitada; no atendió lo correspondiente al archivo </w:t>
      </w:r>
      <w:r w:rsidRPr="00DF5079">
        <w:rPr>
          <w:rFonts w:ascii="Palatino Linotype" w:hAnsi="Palatino Linotype"/>
          <w:color w:val="000000"/>
        </w:rPr>
        <w:lastRenderedPageBreak/>
        <w:t>en formato Excel agregado en la solicitud</w:t>
      </w:r>
      <w:r w:rsidRPr="00DF5079">
        <w:rPr>
          <w:rFonts w:ascii="Palatino Linotype" w:hAnsi="Palatino Linotype"/>
        </w:rPr>
        <w:t xml:space="preserve">, mientras que, como “RAZONES O MOTIVOS DE INCONFORMIDAD”, </w:t>
      </w:r>
      <w:r w:rsidRPr="00DF5079">
        <w:rPr>
          <w:rFonts w:ascii="Palatino Linotype" w:hAnsi="Palatino Linotype"/>
          <w:color w:val="000000"/>
        </w:rPr>
        <w:t> </w:t>
      </w:r>
      <w:r w:rsidRPr="00DF5079">
        <w:rPr>
          <w:rFonts w:ascii="Palatino Linotype" w:hAnsi="Palatino Linotype"/>
          <w:lang w:val="es-MX" w:eastAsia="es-MX"/>
        </w:rPr>
        <w:t>e</w:t>
      </w:r>
      <w:r>
        <w:rPr>
          <w:rFonts w:ascii="Palatino Linotype" w:hAnsi="Palatino Linotype"/>
          <w:lang w:val="es-MX" w:eastAsia="es-MX"/>
        </w:rPr>
        <w:t>ntrega de información incompleta,</w:t>
      </w:r>
      <w:r w:rsidRPr="00DF5079">
        <w:rPr>
          <w:rFonts w:ascii="Palatino Linotype" w:hAnsi="Palatino Linotype"/>
          <w:lang w:val="es-MX" w:eastAsia="es-MX"/>
        </w:rPr>
        <w:t xml:space="preserve"> ya que si bien el partido no está obligado a entregar la información en el sentido que la ciudadanía solicita; sí obra en sus archivos la información requerida y no representa información que requiera ser clasificada como confidencial.</w:t>
      </w:r>
    </w:p>
    <w:p w14:paraId="27957DEE" w14:textId="5339AD5A" w:rsidR="003D550C"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vía de informe justificado, el </w:t>
      </w:r>
      <w:r w:rsidR="003D550C">
        <w:rPr>
          <w:rFonts w:ascii="Palatino Linotype" w:hAnsi="Palatino Linotype"/>
          <w:b/>
          <w:color w:val="000000"/>
        </w:rPr>
        <w:t xml:space="preserve">Sujeto Obligado </w:t>
      </w:r>
      <w:r w:rsidR="003D550C">
        <w:rPr>
          <w:rFonts w:ascii="Palatino Linotype" w:hAnsi="Palatino Linotype"/>
          <w:color w:val="000000"/>
        </w:rPr>
        <w:t xml:space="preserve">remitió los archivos </w:t>
      </w:r>
      <w:r w:rsidR="006B59F2">
        <w:rPr>
          <w:rFonts w:ascii="Palatino Linotype" w:hAnsi="Palatino Linotype"/>
          <w:b/>
        </w:rPr>
        <w:t xml:space="preserve">ASISTENCIA 2019.pdf, TRANSPARENCIA 00041.pdf, ASISTENCIA 2020.pdf </w:t>
      </w:r>
      <w:r w:rsidR="006B59F2">
        <w:rPr>
          <w:rFonts w:ascii="Palatino Linotype" w:hAnsi="Palatino Linotype"/>
        </w:rPr>
        <w:t xml:space="preserve">Y </w:t>
      </w:r>
      <w:r w:rsidR="006B59F2">
        <w:rPr>
          <w:rFonts w:ascii="Palatino Linotype" w:hAnsi="Palatino Linotype"/>
          <w:b/>
        </w:rPr>
        <w:t>ASISTENCIA 2018.pdf</w:t>
      </w:r>
      <w:r w:rsidR="003D550C">
        <w:rPr>
          <w:rFonts w:ascii="Palatino Linotype" w:hAnsi="Palatino Linotype"/>
          <w:color w:val="000000"/>
        </w:rPr>
        <w:t xml:space="preserve">, </w:t>
      </w:r>
      <w:r w:rsidR="003D550C" w:rsidRPr="003D550C">
        <w:rPr>
          <w:rFonts w:ascii="Palatino Linotype" w:hAnsi="Palatino Linotype"/>
          <w:color w:val="000000"/>
        </w:rPr>
        <w:t xml:space="preserve">los cuales serán analizadas </w:t>
      </w:r>
      <w:r w:rsidR="006B59F2" w:rsidRPr="003D550C">
        <w:rPr>
          <w:rFonts w:ascii="Palatino Linotype" w:hAnsi="Palatino Linotype"/>
          <w:color w:val="000000"/>
        </w:rPr>
        <w:t>más</w:t>
      </w:r>
      <w:r w:rsidR="003D550C" w:rsidRPr="003D550C">
        <w:rPr>
          <w:rFonts w:ascii="Palatino Linotype" w:hAnsi="Palatino Linotype"/>
          <w:color w:val="000000"/>
        </w:rPr>
        <w:t xml:space="preserve"> adelante.</w:t>
      </w:r>
    </w:p>
    <w:p w14:paraId="15F0F8AA" w14:textId="4621FCFF" w:rsidR="006B59F2" w:rsidRDefault="006B59F2" w:rsidP="006B59F2">
      <w:pPr>
        <w:spacing w:before="240" w:after="240" w:line="360" w:lineRule="auto"/>
        <w:jc w:val="both"/>
        <w:rPr>
          <w:rFonts w:ascii="Palatino Linotype" w:hAnsi="Palatino Linotype" w:cs="Arial"/>
        </w:rPr>
      </w:pPr>
      <w:r w:rsidRPr="006B59F2">
        <w:rPr>
          <w:rFonts w:ascii="Palatino Linotype" w:hAnsi="Palatino Linotype"/>
        </w:rPr>
        <w:t xml:space="preserve">Una vez apuntado lo anterior, a fin de constatar si le asiste la razón a la parte </w:t>
      </w:r>
      <w:r w:rsidRPr="006B59F2">
        <w:rPr>
          <w:rFonts w:ascii="Palatino Linotype" w:hAnsi="Palatino Linotype"/>
          <w:b/>
          <w:i/>
        </w:rPr>
        <w:t xml:space="preserve">Recurrente </w:t>
      </w:r>
      <w:r w:rsidRPr="006B59F2">
        <w:rPr>
          <w:rFonts w:ascii="Palatino Linotype" w:hAnsi="Palatino Linotype"/>
        </w:rPr>
        <w:t xml:space="preserve">se procede a valorar el expediente electrónico del presente medio impugnación a fin de concluir si en efecto se vulnera el derecho de acceso a la información de la particular, con base a las razones expuestas por el mismo al interponer el recurso de revisión, quien se adoleció de que no le fue entregado </w:t>
      </w:r>
      <w:r w:rsidRPr="006B59F2">
        <w:rPr>
          <w:rFonts w:ascii="Palatino Linotype" w:hAnsi="Palatino Linotype"/>
          <w:color w:val="000000"/>
        </w:rPr>
        <w:t xml:space="preserve">lo correspondiente al archivo en formato </w:t>
      </w:r>
      <w:r w:rsidR="004C7235" w:rsidRPr="006B59F2">
        <w:rPr>
          <w:rFonts w:ascii="Palatino Linotype" w:hAnsi="Palatino Linotype"/>
          <w:color w:val="000000"/>
        </w:rPr>
        <w:t>Excel</w:t>
      </w:r>
      <w:r w:rsidRPr="006B59F2">
        <w:rPr>
          <w:rFonts w:ascii="Palatino Linotype" w:hAnsi="Palatino Linotype"/>
          <w:color w:val="000000"/>
        </w:rPr>
        <w:t xml:space="preserve"> agregado en la solicitud</w:t>
      </w:r>
      <w:r w:rsidRPr="006B59F2">
        <w:rPr>
          <w:rFonts w:ascii="Palatino Linotype" w:hAnsi="Palatino Linotype" w:cs="Arial"/>
          <w:i/>
        </w:rPr>
        <w:t xml:space="preserve">, </w:t>
      </w:r>
      <w:r w:rsidRPr="006B59F2">
        <w:rPr>
          <w:rFonts w:ascii="Palatino Linotype" w:hAnsi="Palatino Linotype" w:cs="Arial"/>
        </w:rPr>
        <w:t xml:space="preserve">por lo que se entiende que se encuentra satisfecho con la respuesta que el </w:t>
      </w:r>
      <w:r w:rsidRPr="006B59F2">
        <w:rPr>
          <w:rFonts w:ascii="Palatino Linotype" w:hAnsi="Palatino Linotype" w:cs="Arial"/>
          <w:b/>
        </w:rPr>
        <w:t>Sujeto Obligado</w:t>
      </w:r>
      <w:r w:rsidRPr="006B59F2">
        <w:rPr>
          <w:rFonts w:ascii="Palatino Linotype" w:hAnsi="Palatino Linotype" w:cs="Arial"/>
        </w:rPr>
        <w:t xml:space="preserve"> le entregó en lo que se refiere al</w:t>
      </w:r>
      <w:r>
        <w:rPr>
          <w:rFonts w:ascii="Palatino Linotype" w:hAnsi="Palatino Linotype" w:cs="Arial"/>
        </w:rPr>
        <w:t xml:space="preserve"> </w:t>
      </w:r>
      <w:r w:rsidRPr="006B59F2">
        <w:rPr>
          <w:rFonts w:ascii="Palatino Linotype" w:hAnsi="Palatino Linotype" w:cs="Arial"/>
        </w:rPr>
        <w:t>m</w:t>
      </w:r>
      <w:r w:rsidRPr="006B59F2">
        <w:rPr>
          <w:rFonts w:ascii="Palatino Linotype" w:hAnsi="Palatino Linotype"/>
          <w:color w:val="000000"/>
        </w:rPr>
        <w:t>onto del ingreso que se obtuvo en 2018, 2019 y 2020 para actividades ordinarias y mujer; acuerdo en el que se sustenta el monto de dichos ingresos; PAT y PAT mujeres que se presenta ante la UTF de del INE de los años 2018, 2019 y 2020; y de los años 2018, 2019 y 2020, los cursos, talleres o cualquier similar que por motivo a la prerrogativa especial para mujeres, el partido ejerce para este fin, identificarlo con fecha de realización, proveedor que se contrató para tal fin</w:t>
      </w:r>
      <w:r>
        <w:rPr>
          <w:rFonts w:ascii="Palatino Linotype" w:hAnsi="Palatino Linotype" w:cs="Arial"/>
        </w:rPr>
        <w:t xml:space="preserve">. </w:t>
      </w:r>
      <w:r w:rsidRPr="00F43E88">
        <w:rPr>
          <w:rFonts w:ascii="Palatino Linotype" w:hAnsi="Palatino Linotype" w:cs="Arial"/>
        </w:rPr>
        <w:t>Por lo tanto su estudio no formará parte del análisis que se efectuará en la presente resolución, al ser actos consentidos.</w:t>
      </w:r>
    </w:p>
    <w:p w14:paraId="588060F5" w14:textId="239EAE57" w:rsidR="006B59F2" w:rsidRPr="00F43E88" w:rsidRDefault="006B59F2" w:rsidP="006B59F2">
      <w:pPr>
        <w:spacing w:before="240" w:after="240" w:line="360" w:lineRule="auto"/>
        <w:jc w:val="both"/>
        <w:rPr>
          <w:rFonts w:ascii="Palatino Linotype" w:hAnsi="Palatino Linotype" w:cs="Arial"/>
          <w:color w:val="222222"/>
          <w:lang w:eastAsia="es-MX"/>
        </w:rPr>
      </w:pPr>
      <w:r w:rsidRPr="00F43E88">
        <w:rPr>
          <w:rFonts w:ascii="Palatino Linotype" w:hAnsi="Palatino Linotype" w:cs="Arial"/>
        </w:rPr>
        <w:lastRenderedPageBreak/>
        <w:t xml:space="preserve">Dicho de otra manera, no se advierten manifestaciones que puedan producir efectos jurídicos tendentes a revocar, confirmar o modificar la respuesta del </w:t>
      </w:r>
      <w:r w:rsidRPr="00F43E88">
        <w:rPr>
          <w:rFonts w:ascii="Palatino Linotype" w:hAnsi="Palatino Linotype" w:cs="Arial"/>
          <w:b/>
        </w:rPr>
        <w:t xml:space="preserve">Sujeto Obligado </w:t>
      </w:r>
      <w:r w:rsidRPr="00F43E88">
        <w:rPr>
          <w:rFonts w:ascii="Palatino Linotype" w:hAnsi="Palatino Linotype" w:cs="Arial"/>
        </w:rPr>
        <w:t xml:space="preserve">respecto </w:t>
      </w:r>
      <w:r>
        <w:rPr>
          <w:rFonts w:ascii="Palatino Linotype" w:hAnsi="Palatino Linotype" w:cs="Arial"/>
        </w:rPr>
        <w:t>a los requerimientos señalados en el párrafo que precede</w:t>
      </w:r>
      <w:r w:rsidRPr="00F43E88">
        <w:rPr>
          <w:rFonts w:ascii="Palatino Linotype" w:hAnsi="Palatino Linotype" w:cs="Arial"/>
        </w:rPr>
        <w:t>; toda vez que</w:t>
      </w:r>
      <w:r>
        <w:rPr>
          <w:rFonts w:ascii="Palatino Linotype" w:hAnsi="Palatino Linotype" w:cs="Arial"/>
          <w:color w:val="222222"/>
          <w:lang w:eastAsia="es-MX"/>
        </w:rPr>
        <w:t xml:space="preserve"> ha sido criterio para esta Ponencia</w:t>
      </w:r>
      <w:r w:rsidRPr="00F43E88">
        <w:rPr>
          <w:rFonts w:ascii="Palatino Linotype" w:hAnsi="Palatino Linotype" w:cs="Arial"/>
          <w:color w:val="222222"/>
          <w:lang w:eastAsia="es-MX"/>
        </w:rPr>
        <w:t xml:space="preserve"> que aquello que no es impugnado mediante el presente recurso debe declararse consentido por </w:t>
      </w:r>
      <w:r>
        <w:rPr>
          <w:rFonts w:ascii="Palatino Linotype" w:hAnsi="Palatino Linotype" w:cs="Arial"/>
          <w:color w:val="222222"/>
          <w:lang w:eastAsia="es-MX"/>
        </w:rPr>
        <w:t>el</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Recurrente</w:t>
      </w:r>
      <w:r w:rsidRPr="00F43E88">
        <w:rPr>
          <w:rFonts w:ascii="Palatino Linotype" w:hAnsi="Palatino Linotype" w:cs="Arial"/>
          <w:color w:val="222222"/>
          <w:lang w:eastAsia="es-MX"/>
        </w:rPr>
        <w:t>, toda vez que no se realizaron manifestaciones de inconformidad se infiere un consentimiento del particular ante la falta de impugnación eficaz.</w:t>
      </w:r>
    </w:p>
    <w:p w14:paraId="5014879F" w14:textId="77777777" w:rsidR="006B59F2" w:rsidRPr="00F43E88" w:rsidRDefault="006B59F2" w:rsidP="006B59F2">
      <w:pPr>
        <w:shd w:val="clear" w:color="auto" w:fill="FFFFFF"/>
        <w:spacing w:before="240" w:after="240" w:line="360" w:lineRule="auto"/>
        <w:jc w:val="both"/>
        <w:rPr>
          <w:rFonts w:ascii="Palatino Linotype" w:hAnsi="Palatino Linotype"/>
        </w:rPr>
      </w:pPr>
      <w:r w:rsidRPr="00F43E88">
        <w:rPr>
          <w:rFonts w:ascii="Palatino Linotype" w:hAnsi="Palatino Linotype" w:cs="Arial"/>
          <w:color w:val="222222"/>
          <w:lang w:eastAsia="es-MX"/>
        </w:rPr>
        <w:t>Al respecto debe tenerse en consideración que de acuerdo con la</w:t>
      </w:r>
      <w:r w:rsidRPr="00F43E88">
        <w:rPr>
          <w:rFonts w:ascii="Palatino Linotype" w:hAnsi="Palatino Linotype"/>
        </w:rPr>
        <w:t xml:space="preserve"> doctrina sobre consentimiento de los actos reclamados, conduce a formular estas nítidas proposiciones: </w:t>
      </w:r>
    </w:p>
    <w:p w14:paraId="3EA3B8D3" w14:textId="77777777" w:rsidR="006B59F2" w:rsidRPr="00F43E88" w:rsidRDefault="006B59F2" w:rsidP="006B59F2">
      <w:pPr>
        <w:pStyle w:val="Prrafodelista"/>
        <w:numPr>
          <w:ilvl w:val="1"/>
          <w:numId w:val="35"/>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 xml:space="preserve">Cuando directamente se exterioriza que se está de acuerdo o conforme con dicho acto; </w:t>
      </w:r>
    </w:p>
    <w:p w14:paraId="29F65D3B" w14:textId="77777777" w:rsidR="006B59F2" w:rsidRPr="00F43E88" w:rsidRDefault="006B59F2" w:rsidP="006B59F2">
      <w:pPr>
        <w:pStyle w:val="Prrafodelista"/>
        <w:numPr>
          <w:ilvl w:val="1"/>
          <w:numId w:val="35"/>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 xml:space="preserve">Cuando media una manifestación de voluntad que entrañe ese consentimiento; y </w:t>
      </w:r>
    </w:p>
    <w:p w14:paraId="6B636D75" w14:textId="77777777" w:rsidR="006B59F2" w:rsidRPr="00F43E88" w:rsidRDefault="006B59F2" w:rsidP="006B59F2">
      <w:pPr>
        <w:pStyle w:val="Prrafodelista"/>
        <w:numPr>
          <w:ilvl w:val="1"/>
          <w:numId w:val="35"/>
        </w:numPr>
        <w:shd w:val="clear" w:color="auto" w:fill="FFFFFF"/>
        <w:spacing w:before="240" w:after="240" w:line="360" w:lineRule="auto"/>
        <w:ind w:left="567" w:firstLine="0"/>
        <w:jc w:val="both"/>
        <w:rPr>
          <w:rFonts w:ascii="Palatino Linotype" w:hAnsi="Palatino Linotype"/>
        </w:rPr>
      </w:pPr>
      <w:r w:rsidRPr="00F43E88">
        <w:rPr>
          <w:rFonts w:ascii="Palatino Linotype" w:hAnsi="Palatino Linotype"/>
        </w:rPr>
        <w:t>Cuando el medio de impugnación deja de promoverse dentro de los términos que señalan los artículos de ley aplicable.</w:t>
      </w:r>
      <w:r w:rsidRPr="00F43E88">
        <w:rPr>
          <w:rStyle w:val="Refdenotaalpie"/>
          <w:rFonts w:ascii="Palatino Linotype" w:hAnsi="Palatino Linotype"/>
        </w:rPr>
        <w:footnoteReference w:id="2"/>
      </w:r>
    </w:p>
    <w:p w14:paraId="606B1737" w14:textId="05D7BACE" w:rsidR="006B59F2" w:rsidRPr="00F43E88" w:rsidRDefault="006B59F2" w:rsidP="006B59F2">
      <w:pPr>
        <w:shd w:val="clear" w:color="auto" w:fill="FFFFFF"/>
        <w:spacing w:before="240" w:after="240" w:line="360" w:lineRule="auto"/>
        <w:jc w:val="both"/>
        <w:rPr>
          <w:rFonts w:ascii="Palatino Linotype" w:hAnsi="Palatino Linotype" w:cs="Arial"/>
          <w:color w:val="222222"/>
          <w:lang w:eastAsia="es-MX"/>
        </w:rPr>
      </w:pPr>
      <w:r w:rsidRPr="00F43E88">
        <w:rPr>
          <w:rFonts w:ascii="Palatino Linotype" w:hAnsi="Palatino Linotype" w:cs="Arial"/>
          <w:color w:val="222222"/>
          <w:lang w:eastAsia="es-MX"/>
        </w:rPr>
        <w:t>En tal</w:t>
      </w:r>
      <w:r>
        <w:rPr>
          <w:rFonts w:ascii="Palatino Linotype" w:hAnsi="Palatino Linotype" w:cs="Arial"/>
          <w:color w:val="222222"/>
          <w:lang w:eastAsia="es-MX"/>
        </w:rPr>
        <w:t xml:space="preserve"> consideración, y toda vez que el</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 xml:space="preserve">Recurrente </w:t>
      </w:r>
      <w:r w:rsidRPr="00F43E88">
        <w:rPr>
          <w:rFonts w:ascii="Palatino Linotype" w:hAnsi="Palatino Linotype" w:cs="Arial"/>
          <w:color w:val="222222"/>
          <w:lang w:eastAsia="es-MX"/>
        </w:rPr>
        <w:t xml:space="preserve">no impugnó en el momento procesal oportuno el pronunciamiento del </w:t>
      </w:r>
      <w:r w:rsidRPr="00F43E88">
        <w:rPr>
          <w:rFonts w:ascii="Palatino Linotype" w:hAnsi="Palatino Linotype" w:cs="Arial"/>
          <w:b/>
          <w:color w:val="222222"/>
          <w:lang w:eastAsia="es-MX"/>
        </w:rPr>
        <w:t xml:space="preserve">Sujeto Obligado, </w:t>
      </w:r>
      <w:r w:rsidRPr="00F43E88">
        <w:rPr>
          <w:rFonts w:ascii="Palatino Linotype" w:hAnsi="Palatino Linotype" w:cs="Arial"/>
          <w:color w:val="222222"/>
          <w:lang w:eastAsia="es-MX"/>
        </w:rPr>
        <w:t xml:space="preserve">se colige que los extremos de la mismos fueron actos consentidos de manera tacita, ello de conformidad con el artículo 195 fracción IV del Código de Procedimientos </w:t>
      </w:r>
      <w:r w:rsidRPr="00F43E88">
        <w:rPr>
          <w:rFonts w:ascii="Palatino Linotype" w:hAnsi="Palatino Linotype" w:cs="Arial"/>
          <w:color w:val="222222"/>
          <w:lang w:eastAsia="es-MX"/>
        </w:rPr>
        <w:lastRenderedPageBreak/>
        <w:t>Administrativos del Estado de México</w:t>
      </w:r>
      <w:r w:rsidRPr="00F43E88">
        <w:rPr>
          <w:rStyle w:val="Refdenotaalpie"/>
          <w:rFonts w:ascii="Palatino Linotype" w:hAnsi="Palatino Linotype" w:cs="Arial"/>
          <w:color w:val="222222"/>
          <w:lang w:eastAsia="es-MX"/>
        </w:rPr>
        <w:footnoteReference w:id="3"/>
      </w:r>
      <w:r w:rsidRPr="00F43E88">
        <w:rPr>
          <w:rFonts w:ascii="Palatino Linotype" w:hAnsi="Palatino Linotype" w:cs="Arial"/>
          <w:color w:val="222222"/>
          <w:lang w:eastAsia="es-MX"/>
        </w:rPr>
        <w:t xml:space="preserve"> que prevé que es improcedente el recurso </w:t>
      </w:r>
      <w:r w:rsidRPr="00F43E88">
        <w:rPr>
          <w:rFonts w:ascii="Palatino Linotype" w:hAnsi="Palatino Linotype" w:cs="Arial"/>
          <w:i/>
          <w:color w:val="222222"/>
          <w:lang w:eastAsia="es-MX"/>
        </w:rPr>
        <w:t>contra actos consentidos tácitamente</w:t>
      </w:r>
      <w:r w:rsidRPr="00F43E88">
        <w:rPr>
          <w:rFonts w:ascii="Palatino Linotype" w:hAnsi="Palatino Linotype" w:cs="Arial"/>
          <w:color w:val="222222"/>
          <w:lang w:eastAsia="es-MX"/>
        </w:rPr>
        <w:t xml:space="preserve">, </w:t>
      </w:r>
      <w:r>
        <w:rPr>
          <w:rFonts w:ascii="Palatino Linotype" w:hAnsi="Palatino Linotype" w:cs="Arial"/>
          <w:color w:val="222222"/>
          <w:lang w:eastAsia="es-MX"/>
        </w:rPr>
        <w:t>robustece lo dicho</w:t>
      </w:r>
      <w:r w:rsidRPr="00F43E88">
        <w:rPr>
          <w:rFonts w:ascii="Palatino Linotype" w:hAnsi="Palatino Linotype" w:cs="Arial"/>
          <w:color w:val="222222"/>
          <w:lang w:eastAsia="es-MX"/>
        </w:rPr>
        <w:t xml:space="preserve"> la jurisprudencia siguiente:</w:t>
      </w:r>
    </w:p>
    <w:p w14:paraId="0766809C" w14:textId="77777777" w:rsidR="006B59F2" w:rsidRPr="00F43E88" w:rsidRDefault="006B59F2" w:rsidP="006B59F2">
      <w:pPr>
        <w:shd w:val="clear" w:color="auto" w:fill="FFFFFF"/>
        <w:spacing w:after="120"/>
        <w:ind w:left="851" w:right="900"/>
        <w:jc w:val="both"/>
        <w:rPr>
          <w:rFonts w:ascii="Palatino Linotype" w:hAnsi="Palatino Linotype" w:cs="Arial"/>
          <w:i/>
          <w:color w:val="222222"/>
          <w:sz w:val="20"/>
          <w:szCs w:val="20"/>
          <w:lang w:eastAsia="es-MX"/>
        </w:rPr>
      </w:pPr>
      <w:r w:rsidRPr="00F43E88">
        <w:rPr>
          <w:rFonts w:ascii="Palatino Linotype" w:hAnsi="Palatino Linotype" w:cs="Arial"/>
          <w:b/>
          <w:bCs/>
          <w:i/>
          <w:iCs/>
          <w:caps/>
          <w:color w:val="222222"/>
          <w:sz w:val="20"/>
          <w:szCs w:val="20"/>
          <w:lang w:eastAsia="es-MX"/>
        </w:rPr>
        <w:t xml:space="preserve">“ACTOS CONSENTIDOS TACITAMENTE. </w:t>
      </w:r>
      <w:r w:rsidRPr="00F43E88">
        <w:rPr>
          <w:rFonts w:ascii="Palatino Linotype" w:hAnsi="Palatino Linotype" w:cs="Arial"/>
          <w:bCs/>
          <w:i/>
          <w:iCs/>
          <w:color w:val="222222"/>
          <w:sz w:val="20"/>
          <w:szCs w:val="20"/>
          <w:lang w:eastAsia="es-MX"/>
        </w:rPr>
        <w:t>Se presumen así, para los efectos del amparo, los actos del orden civil y administrativo, que no hubieren sido reclamados en esa vía dentro de los plazos que la ley señala.”</w:t>
      </w:r>
      <w:r w:rsidRPr="00F43E88">
        <w:rPr>
          <w:rStyle w:val="Refdenotaalpie"/>
          <w:rFonts w:ascii="Palatino Linotype" w:hAnsi="Palatino Linotype" w:cs="Arial"/>
          <w:i/>
          <w:iCs/>
          <w:color w:val="222222"/>
          <w:sz w:val="20"/>
          <w:szCs w:val="20"/>
          <w:lang w:eastAsia="es-MX"/>
        </w:rPr>
        <w:footnoteReference w:id="4"/>
      </w:r>
    </w:p>
    <w:p w14:paraId="449B3D3B" w14:textId="5AC72182" w:rsidR="006B59F2" w:rsidRPr="00F43E88" w:rsidRDefault="006B59F2" w:rsidP="006B59F2">
      <w:pPr>
        <w:spacing w:before="240" w:after="240" w:line="360" w:lineRule="auto"/>
        <w:jc w:val="both"/>
        <w:rPr>
          <w:rFonts w:ascii="Palatino Linotype" w:hAnsi="Palatino Linotype" w:cs="Arial"/>
        </w:rPr>
      </w:pPr>
      <w:r w:rsidRPr="00F43E88">
        <w:rPr>
          <w:rFonts w:ascii="Palatino Linotype" w:hAnsi="Palatino Linotype" w:cs="Arial"/>
        </w:rPr>
        <w:t>Razón por la cual este Órgano Garante no analizará las cuestiones de fondo, respecto de los requerimientos señalados</w:t>
      </w:r>
      <w:r>
        <w:rPr>
          <w:rFonts w:ascii="Palatino Linotype" w:hAnsi="Palatino Linotype" w:cs="Arial"/>
        </w:rPr>
        <w:t xml:space="preserve">, </w:t>
      </w:r>
      <w:r w:rsidRPr="00F43E88">
        <w:rPr>
          <w:rFonts w:ascii="Palatino Linotype" w:hAnsi="Palatino Linotype" w:cs="Arial"/>
        </w:rPr>
        <w:t xml:space="preserve">considerando que </w:t>
      </w:r>
      <w:r>
        <w:rPr>
          <w:rFonts w:ascii="Palatino Linotype" w:hAnsi="Palatino Linotype" w:cs="Arial"/>
        </w:rPr>
        <w:t>el</w:t>
      </w:r>
      <w:r w:rsidRPr="00F43E88">
        <w:rPr>
          <w:rFonts w:ascii="Palatino Linotype" w:hAnsi="Palatino Linotype" w:cs="Arial"/>
        </w:rPr>
        <w:t xml:space="preserve"> particular</w:t>
      </w:r>
      <w:r w:rsidRPr="00F43E88">
        <w:rPr>
          <w:rFonts w:ascii="Palatino Linotype" w:hAnsi="Palatino Linotype" w:cs="Arial"/>
          <w:b/>
        </w:rPr>
        <w:t xml:space="preserve"> </w:t>
      </w:r>
      <w:r w:rsidRPr="00F43E88">
        <w:rPr>
          <w:rFonts w:ascii="Palatino Linotype" w:hAnsi="Palatino Linotype" w:cs="Arial"/>
        </w:rPr>
        <w:t xml:space="preserve">no hizo manifestación alguna al momento de interponer el recurso de revisión materia de la presente resolución. </w:t>
      </w:r>
    </w:p>
    <w:p w14:paraId="20F3A4DF" w14:textId="37513BAF" w:rsidR="004C7235" w:rsidRDefault="006B59F2" w:rsidP="006B59F2">
      <w:pPr>
        <w:shd w:val="clear" w:color="auto" w:fill="FFFFFF"/>
        <w:spacing w:before="240" w:after="240" w:line="360" w:lineRule="auto"/>
        <w:jc w:val="both"/>
        <w:rPr>
          <w:rFonts w:ascii="Palatino Linotype" w:hAnsi="Palatino Linotype" w:cs="Arial"/>
          <w:color w:val="222222"/>
          <w:lang w:eastAsia="es-MX"/>
        </w:rPr>
      </w:pPr>
      <w:r>
        <w:rPr>
          <w:rFonts w:ascii="Palatino Linotype" w:hAnsi="Palatino Linotype" w:cs="Arial"/>
          <w:color w:val="222222"/>
          <w:lang w:eastAsia="es-MX"/>
        </w:rPr>
        <w:t>Después de las apuntaciones hechas, es oportuno realizar el estudio de los agravios planteados, en relación directa con la respuesta proporcionada, que medularmente se traduce en la falta información</w:t>
      </w:r>
      <w:r w:rsidR="004C7235">
        <w:rPr>
          <w:rFonts w:ascii="Palatino Linotype" w:hAnsi="Palatino Linotype" w:cs="Arial"/>
          <w:color w:val="222222"/>
          <w:lang w:eastAsia="es-MX"/>
        </w:rPr>
        <w:t>, sin embargo, cabe resaltar que de los documentos en Excel, del denominado “Información Cursos” se desprende una hoja de cálculo con cinco filas y cinco columnas; mientras que del denominado “Información Asistentes” se desprende una hoja de cálculo con cinco filas y nueve columnas</w:t>
      </w:r>
      <w:r w:rsidR="004E117E">
        <w:rPr>
          <w:rFonts w:ascii="Palatino Linotype" w:hAnsi="Palatino Linotype" w:cs="Arial"/>
          <w:color w:val="222222"/>
          <w:lang w:eastAsia="es-MX"/>
        </w:rPr>
        <w:t>.</w:t>
      </w:r>
    </w:p>
    <w:p w14:paraId="05CBDA8B" w14:textId="74C559CF" w:rsidR="005157E1" w:rsidRPr="007F2ED3" w:rsidRDefault="005157E1" w:rsidP="005157E1">
      <w:pPr>
        <w:autoSpaceDE w:val="0"/>
        <w:autoSpaceDN w:val="0"/>
        <w:adjustRightInd w:val="0"/>
        <w:spacing w:line="360" w:lineRule="auto"/>
        <w:jc w:val="both"/>
        <w:rPr>
          <w:rFonts w:ascii="Palatino Linotype" w:hAnsi="Palatino Linotype" w:cs="Arial"/>
          <w:b/>
          <w:color w:val="222222"/>
          <w:lang w:eastAsia="es-MX"/>
        </w:rPr>
      </w:pPr>
      <w:r>
        <w:rPr>
          <w:rFonts w:ascii="Palatino Linotype" w:hAnsi="Palatino Linotype" w:cs="Arial"/>
          <w:color w:val="222222"/>
          <w:lang w:eastAsia="es-MX"/>
        </w:rPr>
        <w:t>Por lo que n</w:t>
      </w:r>
      <w:r w:rsidRPr="00102700">
        <w:rPr>
          <w:rFonts w:ascii="Palatino Linotype" w:hAnsi="Palatino Linotype" w:cs="Arial"/>
          <w:color w:val="222222"/>
          <w:lang w:eastAsia="es-MX"/>
        </w:rPr>
        <w:t xml:space="preserve">o se omite comentar que el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xml:space="preserve"> y que </w:t>
      </w:r>
      <w:r w:rsidRPr="00102700">
        <w:rPr>
          <w:rFonts w:ascii="Palatino Linotype" w:hAnsi="Palatino Linotype" w:cs="Arial"/>
          <w:color w:val="222222"/>
          <w:lang w:eastAsia="es-MX"/>
        </w:rPr>
        <w:t>conform</w:t>
      </w:r>
      <w:r>
        <w:rPr>
          <w:rFonts w:ascii="Palatino Linotype" w:hAnsi="Palatino Linotype" w:cs="Arial"/>
          <w:color w:val="222222"/>
          <w:lang w:eastAsia="es-MX"/>
        </w:rPr>
        <w:t>e al</w:t>
      </w:r>
      <w:r w:rsidRPr="00102700">
        <w:rPr>
          <w:rFonts w:ascii="Palatino Linotype" w:hAnsi="Palatino Linotype" w:cs="Arial"/>
          <w:color w:val="222222"/>
          <w:lang w:eastAsia="es-MX"/>
        </w:rPr>
        <w:t xml:space="preserve"> artículo 12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 y 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procesamiento de la misma, </w:t>
      </w:r>
      <w:r w:rsidRPr="007D1F27">
        <w:rPr>
          <w:rFonts w:ascii="Palatino Linotype" w:eastAsiaTheme="minorHAnsi" w:hAnsi="Palatino Linotype" w:cs="Bookman Old Style"/>
          <w:lang w:val="es-MX" w:eastAsia="en-US"/>
        </w:rPr>
        <w:t xml:space="preserve">ni el presentarla conforme al interés </w:t>
      </w:r>
      <w:r w:rsidRPr="007D1F27">
        <w:rPr>
          <w:rFonts w:ascii="Palatino Linotype" w:eastAsiaTheme="minorHAnsi" w:hAnsi="Palatino Linotype" w:cs="Bookman Old Style"/>
          <w:lang w:val="es-MX" w:eastAsia="en-US"/>
        </w:rPr>
        <w:lastRenderedPageBreak/>
        <w:t>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w:t>
      </w:r>
    </w:p>
    <w:p w14:paraId="788BBA91" w14:textId="77777777" w:rsidR="005157E1" w:rsidRPr="00336E2E" w:rsidRDefault="005157E1" w:rsidP="005157E1">
      <w:pPr>
        <w:autoSpaceDE w:val="0"/>
        <w:autoSpaceDN w:val="0"/>
        <w:adjustRightInd w:val="0"/>
        <w:spacing w:line="360" w:lineRule="auto"/>
        <w:jc w:val="both"/>
        <w:rPr>
          <w:rFonts w:ascii="Palatino Linotype" w:hAnsi="Palatino Linotype" w:cs="Arial"/>
          <w:color w:val="222222"/>
          <w:sz w:val="4"/>
          <w:lang w:eastAsia="es-MX"/>
        </w:rPr>
      </w:pPr>
    </w:p>
    <w:p w14:paraId="23815619" w14:textId="77777777" w:rsidR="005157E1" w:rsidRPr="00416661" w:rsidRDefault="005157E1" w:rsidP="005157E1">
      <w:pPr>
        <w:spacing w:after="20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33D0B5A7" w14:textId="77777777" w:rsidR="005157E1" w:rsidRDefault="005157E1" w:rsidP="005157E1">
      <w:pPr>
        <w:shd w:val="clear" w:color="auto" w:fill="FFFFFF"/>
        <w:tabs>
          <w:tab w:val="left" w:pos="8647"/>
        </w:tabs>
        <w:spacing w:before="240" w:after="240"/>
        <w:ind w:left="567" w:right="900"/>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7E906DA9" w14:textId="68D5A6D3" w:rsidR="005157E1" w:rsidRDefault="005157E1" w:rsidP="005157E1">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50CDFAEF" w14:textId="0CB4BECB" w:rsidR="006867CC" w:rsidRDefault="00B34ED3" w:rsidP="006B59F2">
      <w:pPr>
        <w:shd w:val="clear" w:color="auto" w:fill="FFFFFF"/>
        <w:spacing w:before="240" w:after="240" w:line="360" w:lineRule="auto"/>
        <w:jc w:val="both"/>
        <w:rPr>
          <w:rFonts w:ascii="Palatino Linotype" w:hAnsi="Palatino Linotype" w:cs="Arial"/>
          <w:color w:val="222222"/>
          <w:lang w:eastAsia="es-MX"/>
        </w:rPr>
      </w:pPr>
      <w:r>
        <w:rPr>
          <w:rFonts w:ascii="Palatino Linotype" w:hAnsi="Palatino Linotype" w:cs="Arial"/>
          <w:szCs w:val="19"/>
          <w:lang w:eastAsia="es-MX"/>
        </w:rPr>
        <w:t xml:space="preserve">Conforme lo anterior, cabe resaltar que de los documentos en Excel, se desprende en uno de sus rubros que el particular solicitó el año, así como el nombre </w:t>
      </w:r>
      <w:r>
        <w:rPr>
          <w:rFonts w:ascii="Palatino Linotype" w:hAnsi="Palatino Linotype" w:cs="Arial"/>
          <w:color w:val="222222"/>
          <w:lang w:eastAsia="es-MX"/>
        </w:rPr>
        <w:t xml:space="preserve">del curso, taller y/o capacitación, información que se desprende de los programas PAT 2018, 2019, </w:t>
      </w:r>
      <w:r w:rsidR="00934127">
        <w:rPr>
          <w:rFonts w:ascii="Palatino Linotype" w:hAnsi="Palatino Linotype" w:cs="Arial"/>
          <w:color w:val="222222"/>
          <w:lang w:eastAsia="es-MX"/>
        </w:rPr>
        <w:t xml:space="preserve">2020 </w:t>
      </w:r>
      <w:r>
        <w:rPr>
          <w:rFonts w:ascii="Palatino Linotype" w:hAnsi="Palatino Linotype" w:cs="Arial"/>
          <w:color w:val="222222"/>
          <w:lang w:eastAsia="es-MX"/>
        </w:rPr>
        <w:t xml:space="preserve">y de su calendarización, por lo que no es procedente ordenar su entrega. </w:t>
      </w:r>
    </w:p>
    <w:p w14:paraId="49DF60BE" w14:textId="77777777" w:rsidR="00CD265F" w:rsidRDefault="006867CC" w:rsidP="006B59F2">
      <w:pPr>
        <w:shd w:val="clear" w:color="auto" w:fill="FFFFFF"/>
        <w:spacing w:before="240" w:after="240" w:line="360" w:lineRule="auto"/>
        <w:jc w:val="both"/>
        <w:rPr>
          <w:rFonts w:ascii="Palatino Linotype" w:hAnsi="Palatino Linotype" w:cs="Arial"/>
          <w:color w:val="222222"/>
          <w:lang w:eastAsia="es-MX"/>
        </w:rPr>
      </w:pPr>
      <w:r w:rsidRPr="00B34ED3">
        <w:rPr>
          <w:rFonts w:ascii="Palatino Linotype" w:hAnsi="Palatino Linotype" w:cs="Arial"/>
          <w:color w:val="222222"/>
          <w:lang w:eastAsia="es-MX"/>
        </w:rPr>
        <w:t xml:space="preserve">Ahora bien, con relación al número de asistentes hombres-mujeres, </w:t>
      </w:r>
      <w:r w:rsidR="00B34ED3">
        <w:rPr>
          <w:rFonts w:ascii="Palatino Linotype" w:hAnsi="Palatino Linotype" w:cs="Arial"/>
          <w:color w:val="222222"/>
          <w:lang w:eastAsia="es-MX"/>
        </w:rPr>
        <w:t>nombre completo de las y los asistentes, Candidato 2021 (si) (no), y en caso de ser afirmativa la respuesta anterior, Federal, Local o Municipal según sea</w:t>
      </w:r>
      <w:r w:rsidR="00CD265F">
        <w:rPr>
          <w:rFonts w:ascii="Palatino Linotype" w:hAnsi="Palatino Linotype" w:cs="Arial"/>
          <w:color w:val="222222"/>
          <w:lang w:eastAsia="es-MX"/>
        </w:rPr>
        <w:t xml:space="preserve"> el caso.</w:t>
      </w:r>
    </w:p>
    <w:p w14:paraId="3C1C88C8" w14:textId="669E6B15" w:rsidR="000F22AD" w:rsidRDefault="00CD265F" w:rsidP="000F22AD">
      <w:pPr>
        <w:spacing w:before="240" w:after="240" w:line="360" w:lineRule="auto"/>
        <w:jc w:val="both"/>
        <w:rPr>
          <w:rFonts w:ascii="Palatino Linotype" w:hAnsi="Palatino Linotype"/>
        </w:rPr>
      </w:pPr>
      <w:r>
        <w:rPr>
          <w:rFonts w:ascii="Palatino Linotype" w:hAnsi="Palatino Linotype" w:cs="Arial"/>
          <w:color w:val="222222"/>
          <w:lang w:eastAsia="es-MX"/>
        </w:rPr>
        <w:t xml:space="preserve">Cabe resaltar que el nombre de los </w:t>
      </w:r>
      <w:r w:rsidR="00DC5FA9">
        <w:rPr>
          <w:rFonts w:ascii="Palatino Linotype" w:hAnsi="Palatino Linotype" w:cs="Arial"/>
          <w:color w:val="222222"/>
          <w:lang w:eastAsia="es-MX"/>
        </w:rPr>
        <w:t>asistentes</w:t>
      </w:r>
      <w:r w:rsidR="00B34ED3">
        <w:rPr>
          <w:rFonts w:ascii="Palatino Linotype" w:hAnsi="Palatino Linotype" w:cs="Arial"/>
          <w:color w:val="222222"/>
          <w:lang w:eastAsia="es-MX"/>
        </w:rPr>
        <w:t xml:space="preserve">, </w:t>
      </w:r>
      <w:r w:rsidRPr="00CD265F">
        <w:rPr>
          <w:rFonts w:ascii="Palatino Linotype" w:hAnsi="Palatino Linotype"/>
        </w:rPr>
        <w:t>const</w:t>
      </w:r>
      <w:r w:rsidR="00DC5FA9">
        <w:rPr>
          <w:rFonts w:ascii="Palatino Linotype" w:hAnsi="Palatino Linotype"/>
        </w:rPr>
        <w:t xml:space="preserve">ituyen información confidencial, esto es así, si se toma en consideración que </w:t>
      </w:r>
      <w:r w:rsidRPr="00CD265F">
        <w:rPr>
          <w:rFonts w:ascii="Palatino Linotype" w:hAnsi="Palatino Linotype"/>
        </w:rPr>
        <w:t xml:space="preserve">se refiere a datos personales que se </w:t>
      </w:r>
      <w:r w:rsidRPr="00CD265F">
        <w:rPr>
          <w:rFonts w:ascii="Palatino Linotype" w:hAnsi="Palatino Linotype"/>
        </w:rPr>
        <w:lastRenderedPageBreak/>
        <w:t>encuentran tutelados por el derecho a la privacidad</w:t>
      </w:r>
      <w:r w:rsidR="000F22AD">
        <w:rPr>
          <w:rFonts w:ascii="Palatino Linotype" w:hAnsi="Palatino Linotype"/>
        </w:rPr>
        <w:t>, si se toma en cuenta, que en términos de los artículos 2.3 y 2.4 del Código Civil del Estado de México, son atributos de la personalidad, los siguientes:</w:t>
      </w:r>
    </w:p>
    <w:p w14:paraId="2DB82B49" w14:textId="77777777" w:rsidR="000F22AD" w:rsidRPr="00387E09" w:rsidRDefault="000F22AD" w:rsidP="000F22AD">
      <w:pPr>
        <w:spacing w:after="120"/>
        <w:ind w:left="851" w:right="900"/>
        <w:jc w:val="both"/>
        <w:rPr>
          <w:rFonts w:ascii="Palatino Linotype" w:hAnsi="Palatino Linotype"/>
          <w:i/>
          <w:sz w:val="20"/>
          <w:szCs w:val="20"/>
        </w:rPr>
      </w:pPr>
      <w:r>
        <w:rPr>
          <w:rFonts w:ascii="Palatino Linotype" w:hAnsi="Palatino Linotype"/>
          <w:b/>
          <w:i/>
          <w:sz w:val="20"/>
          <w:szCs w:val="20"/>
        </w:rPr>
        <w:t>“Art</w:t>
      </w:r>
      <w:r w:rsidRPr="00387E09">
        <w:rPr>
          <w:rFonts w:ascii="Palatino Linotype" w:hAnsi="Palatino Linotype"/>
          <w:b/>
          <w:i/>
          <w:sz w:val="20"/>
          <w:szCs w:val="20"/>
        </w:rPr>
        <w:t xml:space="preserve">ículo 2.3.- </w:t>
      </w:r>
      <w:r w:rsidRPr="00387E09">
        <w:rPr>
          <w:rFonts w:ascii="Palatino Linotype" w:hAnsi="Palatino Linotype"/>
          <w:i/>
          <w:sz w:val="20"/>
          <w:szCs w:val="20"/>
        </w:rPr>
        <w:t>Los atributos de la personalidad son el nombre, domicilio, estado civil y patrimonio.</w:t>
      </w:r>
    </w:p>
    <w:p w14:paraId="0D616611" w14:textId="77777777" w:rsidR="000F22AD" w:rsidRDefault="000F22AD" w:rsidP="000F22AD">
      <w:pPr>
        <w:spacing w:after="120"/>
        <w:ind w:left="851" w:right="900"/>
        <w:jc w:val="both"/>
        <w:rPr>
          <w:rFonts w:ascii="Palatino Linotype" w:hAnsi="Palatino Linotype"/>
          <w:i/>
          <w:sz w:val="20"/>
          <w:szCs w:val="20"/>
        </w:rPr>
      </w:pPr>
      <w:r w:rsidRPr="00387E09">
        <w:rPr>
          <w:rFonts w:ascii="Palatino Linotype" w:hAnsi="Palatino Linotype"/>
          <w:b/>
          <w:i/>
          <w:sz w:val="20"/>
          <w:szCs w:val="20"/>
        </w:rPr>
        <w:t>Artículo 2.4.-</w:t>
      </w:r>
      <w:r w:rsidRPr="00387E09">
        <w:rPr>
          <w:rFonts w:ascii="Palatino Linotype" w:hAnsi="Palatino Linotype"/>
          <w:i/>
          <w:sz w:val="20"/>
          <w:szCs w:val="20"/>
        </w:rPr>
        <w:t xml:space="preserve"> Los derechos de la personalidad constituyen el patrimonio moral o afectivo de las personas físicas. Son inalienables, imprescriptibles e irrenunciables, y goza de ellos también la persona jurídica colectiva en lo que sea compatible con su naturaleza. </w:t>
      </w:r>
    </w:p>
    <w:p w14:paraId="6C9545C8" w14:textId="77777777" w:rsidR="000F22AD" w:rsidRPr="00387E09" w:rsidRDefault="000F22AD" w:rsidP="000F22AD">
      <w:pPr>
        <w:spacing w:after="120"/>
        <w:ind w:left="851" w:right="900"/>
        <w:jc w:val="both"/>
        <w:rPr>
          <w:rFonts w:ascii="Palatino Linotype" w:hAnsi="Palatino Linotype"/>
          <w:i/>
          <w:sz w:val="20"/>
          <w:szCs w:val="20"/>
        </w:rPr>
      </w:pPr>
      <w:r w:rsidRPr="00387E09">
        <w:rPr>
          <w:rFonts w:ascii="Palatino Linotype" w:hAnsi="Palatino Linotype"/>
          <w:i/>
          <w:sz w:val="20"/>
          <w:szCs w:val="20"/>
        </w:rPr>
        <w:t>Es deber del Estado proteger, fomentar y desarrollar estos derechos.</w:t>
      </w:r>
      <w:r>
        <w:rPr>
          <w:rFonts w:ascii="Palatino Linotype" w:hAnsi="Palatino Linotype"/>
          <w:i/>
          <w:sz w:val="20"/>
          <w:szCs w:val="20"/>
        </w:rPr>
        <w:t>”</w:t>
      </w:r>
    </w:p>
    <w:p w14:paraId="17C29087" w14:textId="2E3FEA0B" w:rsidR="00CD265F" w:rsidRDefault="000F22AD" w:rsidP="006B59F2">
      <w:pPr>
        <w:shd w:val="clear" w:color="auto" w:fill="FFFFFF"/>
        <w:spacing w:before="240" w:after="240" w:line="360" w:lineRule="auto"/>
        <w:jc w:val="both"/>
        <w:rPr>
          <w:rFonts w:ascii="Palatino Linotype" w:hAnsi="Palatino Linotype"/>
        </w:rPr>
      </w:pPr>
      <w:r>
        <w:rPr>
          <w:rFonts w:ascii="Palatino Linotype" w:hAnsi="Palatino Linotype"/>
        </w:rPr>
        <w:t xml:space="preserve">No obstante, que </w:t>
      </w:r>
      <w:r w:rsidR="00CD265F">
        <w:rPr>
          <w:rFonts w:ascii="Palatino Linotype" w:hAnsi="Palatino Linotype"/>
        </w:rPr>
        <w:t xml:space="preserve">son los propios ciudadanos los que deciden acudir o no, a un </w:t>
      </w:r>
      <w:r w:rsidR="00CD265F">
        <w:rPr>
          <w:rFonts w:ascii="Palatino Linotype" w:hAnsi="Palatino Linotype" w:cs="Arial"/>
          <w:color w:val="222222"/>
          <w:lang w:eastAsia="es-MX"/>
        </w:rPr>
        <w:t>curso, taller y/o capacitación, i</w:t>
      </w:r>
      <w:r w:rsidR="00CD265F">
        <w:rPr>
          <w:rFonts w:ascii="Palatino Linotype" w:hAnsi="Palatino Linotype"/>
        </w:rPr>
        <w:t>ndependientemente del objetivo y/o finalidad del mismo.</w:t>
      </w:r>
      <w:r w:rsidR="008D3743">
        <w:rPr>
          <w:rFonts w:ascii="Palatino Linotype" w:hAnsi="Palatino Linotype"/>
        </w:rPr>
        <w:t xml:space="preserve"> P</w:t>
      </w:r>
      <w:r w:rsidR="00CD265F">
        <w:rPr>
          <w:rFonts w:ascii="Palatino Linotype" w:hAnsi="Palatino Linotype"/>
        </w:rPr>
        <w:t xml:space="preserve">or ello, en el ejercicio del derecho de acceso a la información debe </w:t>
      </w:r>
      <w:r w:rsidR="00CD265F" w:rsidRPr="00CD265F">
        <w:rPr>
          <w:rFonts w:ascii="Palatino Linotype" w:hAnsi="Palatino Linotype"/>
        </w:rPr>
        <w:t xml:space="preserve">tomarse en cuenta que otorgar el acceso a la información solicitada implicaría hacer del conocimiento público un dato que permite identificar </w:t>
      </w:r>
      <w:r w:rsidR="00CD265F">
        <w:rPr>
          <w:rFonts w:ascii="Palatino Linotype" w:hAnsi="Palatino Linotype"/>
        </w:rPr>
        <w:t xml:space="preserve">o hacer identificable </w:t>
      </w:r>
      <w:r w:rsidR="00CD265F" w:rsidRPr="00CD265F">
        <w:rPr>
          <w:rFonts w:ascii="Palatino Linotype" w:hAnsi="Palatino Linotype"/>
        </w:rPr>
        <w:t xml:space="preserve">a </w:t>
      </w:r>
      <w:r w:rsidR="00CD265F">
        <w:rPr>
          <w:rFonts w:ascii="Palatino Linotype" w:hAnsi="Palatino Linotype"/>
        </w:rPr>
        <w:t>u</w:t>
      </w:r>
      <w:r w:rsidR="00CD265F" w:rsidRPr="00CD265F">
        <w:rPr>
          <w:rFonts w:ascii="Palatino Linotype" w:hAnsi="Palatino Linotype"/>
        </w:rPr>
        <w:t>na persona</w:t>
      </w:r>
      <w:r w:rsidR="00CD265F">
        <w:rPr>
          <w:rFonts w:ascii="Palatino Linotype" w:hAnsi="Palatino Linotype"/>
        </w:rPr>
        <w:t xml:space="preserve">, por una </w:t>
      </w:r>
      <w:r w:rsidR="00CD265F" w:rsidRPr="00CD265F">
        <w:rPr>
          <w:rFonts w:ascii="Palatino Linotype" w:hAnsi="Palatino Linotype"/>
        </w:rPr>
        <w:t xml:space="preserve">decisión propia y que pertenece a su ámbito </w:t>
      </w:r>
      <w:r w:rsidR="00CD265F">
        <w:rPr>
          <w:rFonts w:ascii="Palatino Linotype" w:hAnsi="Palatino Linotype"/>
        </w:rPr>
        <w:t>privado.</w:t>
      </w:r>
    </w:p>
    <w:p w14:paraId="0785740E" w14:textId="375EE46C" w:rsidR="007C5EE3" w:rsidRPr="00A4521A" w:rsidRDefault="007C5EE3" w:rsidP="007C5EE3">
      <w:pPr>
        <w:shd w:val="clear" w:color="auto" w:fill="FFFFFF"/>
        <w:spacing w:before="240" w:after="240" w:line="360" w:lineRule="auto"/>
        <w:ind w:right="-93"/>
        <w:jc w:val="both"/>
        <w:rPr>
          <w:rFonts w:ascii="Palatino Linotype" w:hAnsi="Palatino Linotype" w:cs="Arial"/>
        </w:rPr>
      </w:pPr>
      <w:r>
        <w:rPr>
          <w:rFonts w:ascii="Palatino Linotype" w:hAnsi="Palatino Linotype"/>
        </w:rPr>
        <w:t xml:space="preserve">Consecuentemente, resulta alusivo  que en </w:t>
      </w:r>
      <w:r w:rsidRPr="00A4521A">
        <w:rPr>
          <w:rFonts w:ascii="Palatino Linotype" w:hAnsi="Palatino Linotype"/>
        </w:rPr>
        <w:t>términos</w:t>
      </w:r>
      <w:r>
        <w:rPr>
          <w:rFonts w:ascii="Palatino Linotype" w:hAnsi="Palatino Linotype"/>
        </w:rPr>
        <w:t xml:space="preserve"> de Ley, bajo </w:t>
      </w:r>
      <w:r w:rsidRPr="00A4521A">
        <w:rPr>
          <w:rFonts w:ascii="Palatino Linotype" w:hAnsi="Palatino Linotype"/>
        </w:rPr>
        <w:t xml:space="preserve">causas legítimas y estrictamente necesarias </w:t>
      </w:r>
      <w:r w:rsidRPr="00A4521A">
        <w:rPr>
          <w:rFonts w:ascii="Palatino Linotype" w:hAnsi="Palatino Linotype"/>
          <w:iCs/>
          <w:lang w:eastAsia="es-MX"/>
        </w:rPr>
        <w:t xml:space="preserve">el Comité de </w:t>
      </w:r>
      <w:r>
        <w:rPr>
          <w:rFonts w:ascii="Palatino Linotype" w:hAnsi="Palatino Linotype"/>
          <w:iCs/>
          <w:lang w:eastAsia="es-MX"/>
        </w:rPr>
        <w:t>T</w:t>
      </w:r>
      <w:r w:rsidRPr="00A4521A">
        <w:rPr>
          <w:rFonts w:ascii="Palatino Linotype" w:hAnsi="Palatino Linotype"/>
          <w:iCs/>
          <w:lang w:eastAsia="es-MX"/>
        </w:rPr>
        <w:t>ransparencia</w:t>
      </w:r>
      <w:r>
        <w:rPr>
          <w:rFonts w:ascii="Palatino Linotype" w:hAnsi="Palatino Linotype"/>
          <w:iCs/>
          <w:lang w:eastAsia="es-MX"/>
        </w:rPr>
        <w:t xml:space="preserve"> podrá</w:t>
      </w:r>
      <w:r w:rsidRPr="00A4521A">
        <w:rPr>
          <w:rFonts w:ascii="Palatino Linotype" w:hAnsi="Palatino Linotype"/>
          <w:iCs/>
          <w:lang w:eastAsia="es-MX"/>
        </w:rPr>
        <w:t xml:space="preserve"> </w:t>
      </w:r>
      <w:r w:rsidRPr="00A4521A">
        <w:rPr>
          <w:rFonts w:ascii="Palatino Linotype" w:hAnsi="Palatino Linotype"/>
        </w:rPr>
        <w:t>clasifica</w:t>
      </w:r>
      <w:r>
        <w:rPr>
          <w:rFonts w:ascii="Palatino Linotype" w:hAnsi="Palatino Linotype"/>
        </w:rPr>
        <w:t xml:space="preserve">r la información, conforme a lo previsto por el </w:t>
      </w:r>
      <w:r w:rsidRPr="00A4521A">
        <w:rPr>
          <w:rFonts w:ascii="Palatino Linotype" w:hAnsi="Palatino Linotype"/>
        </w:rPr>
        <w:t>artículo 1</w:t>
      </w:r>
      <w:r>
        <w:rPr>
          <w:rFonts w:ascii="Palatino Linotype" w:hAnsi="Palatino Linotype"/>
        </w:rPr>
        <w:t>2</w:t>
      </w:r>
      <w:r w:rsidRPr="00A4521A">
        <w:rPr>
          <w:rFonts w:ascii="Palatino Linotype" w:hAnsi="Palatino Linotype"/>
        </w:rPr>
        <w:t xml:space="preserve">2 de la Ley Adjetiva, en el que se prevé, que la </w:t>
      </w:r>
      <w:r w:rsidRPr="00A4521A">
        <w:rPr>
          <w:rFonts w:ascii="Palatino Linotype" w:hAnsi="Palatino Linotype" w:cs="Arial"/>
        </w:rPr>
        <w:t>clasificación es el proceso mediante el cual el Sujeto Obligado</w:t>
      </w:r>
      <w:r w:rsidRPr="00A4521A">
        <w:rPr>
          <w:rFonts w:ascii="Palatino Linotype" w:hAnsi="Palatino Linotype" w:cs="Arial"/>
          <w:b/>
        </w:rPr>
        <w:t xml:space="preserve"> </w:t>
      </w:r>
      <w:r w:rsidRPr="00A4521A">
        <w:rPr>
          <w:rFonts w:ascii="Palatino Linotype" w:hAnsi="Palatino Linotype" w:cs="Arial"/>
        </w:rPr>
        <w:t>deberá determinar que la información en su poder actualiza alguno de los supuestos de reserva o confidencialidad de conformidad con el Titulo Sexto, lo cual no se hace por simple mandado de la Ley, sino que es necesario que se emita el acuerdo de clasificación de información.</w:t>
      </w:r>
    </w:p>
    <w:p w14:paraId="2A5B125B" w14:textId="60A77E57" w:rsidR="007C5EE3" w:rsidRPr="00A4521A" w:rsidRDefault="007C5EE3" w:rsidP="007C5EE3">
      <w:pPr>
        <w:tabs>
          <w:tab w:val="left" w:pos="709"/>
        </w:tabs>
        <w:spacing w:before="240" w:after="240" w:line="360" w:lineRule="auto"/>
        <w:jc w:val="both"/>
        <w:rPr>
          <w:rFonts w:ascii="Palatino Linotype" w:hAnsi="Palatino Linotype" w:cs="Arial"/>
        </w:rPr>
      </w:pPr>
      <w:r w:rsidRPr="00A4521A">
        <w:rPr>
          <w:rFonts w:ascii="Palatino Linotype" w:hAnsi="Palatino Linotype" w:cs="Arial"/>
        </w:rPr>
        <w:t xml:space="preserve">En el supuesto de actualizarse alguna de las hipótesis de clasificación de la información como confidencial, </w:t>
      </w:r>
      <w:r>
        <w:rPr>
          <w:rFonts w:ascii="Palatino Linotype" w:hAnsi="Palatino Linotype" w:cs="Arial"/>
        </w:rPr>
        <w:t xml:space="preserve">entendiendo por ésta, </w:t>
      </w:r>
      <w:r w:rsidRPr="00A4521A">
        <w:rPr>
          <w:rFonts w:ascii="Palatino Linotype" w:hAnsi="Palatino Linotype" w:cs="Arial"/>
        </w:rPr>
        <w:t xml:space="preserve">la que se refiere a la vida </w:t>
      </w:r>
      <w:r w:rsidRPr="00A4521A">
        <w:rPr>
          <w:rFonts w:ascii="Palatino Linotype" w:hAnsi="Palatino Linotype" w:cs="Arial"/>
        </w:rPr>
        <w:lastRenderedPageBreak/>
        <w:t>privada y los datos personales de una persona que la haga identificada o identific</w:t>
      </w:r>
      <w:r w:rsidR="00DC5FA9">
        <w:rPr>
          <w:rFonts w:ascii="Palatino Linotype" w:hAnsi="Palatino Linotype" w:cs="Arial"/>
        </w:rPr>
        <w:t>able, la cual debe ser protegida</w:t>
      </w:r>
      <w:r w:rsidRPr="00A4521A">
        <w:rPr>
          <w:rFonts w:ascii="Palatino Linotype" w:hAnsi="Palatino Linotype" w:cs="Arial"/>
        </w:rPr>
        <w:t xml:space="preserve"> en los términos y con las excepciones que fijen las leyes, conforme a lo previsto en el artículo 6, apartado A, fracción II de la Constitución Política de los Estados Unidos Mexicanos.</w:t>
      </w:r>
    </w:p>
    <w:p w14:paraId="02DC0939" w14:textId="77777777" w:rsidR="007C5EE3" w:rsidRPr="00A4521A" w:rsidRDefault="007C5EE3" w:rsidP="007C5EE3">
      <w:pPr>
        <w:spacing w:before="240" w:after="240" w:line="360" w:lineRule="auto"/>
        <w:jc w:val="both"/>
        <w:rPr>
          <w:rFonts w:ascii="Palatino Linotype" w:hAnsi="Palatino Linotype" w:cs="Arial"/>
        </w:rPr>
      </w:pPr>
      <w:r w:rsidRPr="00A4521A">
        <w:rPr>
          <w:rFonts w:ascii="Palatino Linotype" w:hAnsi="Palatino Linotype" w:cs="Arial"/>
        </w:rPr>
        <w:t>Bajo tal argumento, se tiene que el artículo 12 de la Declaración Universal de los Derechos Humanos, así como el diverso 17, párrafo primero, del Pacto Internacional de Derechos Civiles y Políticos, reconocen la protección del derecho a la intimidad de toda persona, en el sentido de que nadie puede ser objeto de injerencias arbitrarias en su vida privada, su familia, domicilio o correspondencia, ni de ataques a su honra o reputación, teniendo derecho toda persona a la protección de la ley contra tales injerencias o ataques</w:t>
      </w:r>
      <w:r w:rsidRPr="00A4521A">
        <w:rPr>
          <w:rStyle w:val="Refdenotaalpie"/>
          <w:rFonts w:ascii="Palatino Linotype" w:hAnsi="Palatino Linotype" w:cs="Arial"/>
        </w:rPr>
        <w:footnoteReference w:id="5"/>
      </w:r>
      <w:r w:rsidRPr="00A4521A">
        <w:rPr>
          <w:rFonts w:ascii="Palatino Linotype" w:hAnsi="Palatino Linotype" w:cs="Arial"/>
        </w:rPr>
        <w:t>.</w:t>
      </w:r>
    </w:p>
    <w:p w14:paraId="4E5A9338" w14:textId="77777777" w:rsidR="007C5EE3" w:rsidRPr="00A4521A" w:rsidRDefault="007C5EE3" w:rsidP="007C5EE3">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Se entiende por “datos personales” la información concerniente a una persona física identificada o identificable, se considera que una persona es identificable cuando su identidad pueda determinarse </w:t>
      </w:r>
      <w:r>
        <w:rPr>
          <w:rFonts w:ascii="Palatino Linotype" w:eastAsiaTheme="minorEastAsia" w:hAnsi="Palatino Linotype" w:cs="Arial"/>
          <w:lang w:val="es-MX"/>
        </w:rPr>
        <w:t xml:space="preserve">directa </w:t>
      </w:r>
      <w:r w:rsidRPr="00A4521A">
        <w:rPr>
          <w:rFonts w:ascii="Palatino Linotype" w:eastAsiaTheme="minorEastAsia" w:hAnsi="Palatino Linotype" w:cs="Arial"/>
          <w:lang w:val="es-MX"/>
        </w:rPr>
        <w:t>o indirectamente a través de cualquier información.</w:t>
      </w:r>
    </w:p>
    <w:p w14:paraId="03CE9814" w14:textId="77777777" w:rsidR="007C5EE3" w:rsidRPr="00A4521A" w:rsidRDefault="007C5EE3" w:rsidP="007C5EE3">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En ese sentido, el derecho de acceso a la información pública, como derecho humano encuentra un límite en el también derecho humano a la protección de datos </w:t>
      </w:r>
      <w:r w:rsidRPr="00A4521A">
        <w:rPr>
          <w:rFonts w:ascii="Palatino Linotype" w:eastAsiaTheme="minorEastAsia" w:hAnsi="Palatino Linotype" w:cs="Arial"/>
          <w:lang w:val="es-MX"/>
        </w:rPr>
        <w:lastRenderedPageBreak/>
        <w:t>personales, que obliga a los sujetos obligados que manejen información confidencial o datos personales a negar el acceso a ello, bajo motivos fundados y legitimo relativos a concreta situación personal que genera un perjuicio al titular del dato personal.</w:t>
      </w:r>
    </w:p>
    <w:p w14:paraId="27ACDB62" w14:textId="724D9FDB" w:rsidR="007C5EE3" w:rsidRPr="00A4521A" w:rsidRDefault="007C5EE3" w:rsidP="007C5EE3">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 xml:space="preserve">Así, para efectos de emitir el acuerdo de clasificación de la información como confidencial, el sujeto obligado deberá atender lo dispuesto en los </w:t>
      </w:r>
      <w:r w:rsidRPr="00A4521A">
        <w:rPr>
          <w:rFonts w:ascii="Palatino Linotype" w:hAnsi="Palatino Linotype" w:cs="Arial"/>
        </w:rPr>
        <w:t xml:space="preserve">artículos 3 fracciones IX, XX, XXI, XLV, 91, 132 fracciones </w:t>
      </w:r>
      <w:r w:rsidR="00DC5FA9">
        <w:rPr>
          <w:rFonts w:ascii="Palatino Linotype" w:hAnsi="Palatino Linotype" w:cs="Arial"/>
        </w:rPr>
        <w:t xml:space="preserve">I, II </w:t>
      </w:r>
      <w:r w:rsidRPr="00A4521A">
        <w:rPr>
          <w:rFonts w:ascii="Palatino Linotype" w:hAnsi="Palatino Linotype" w:cs="Arial"/>
        </w:rPr>
        <w:t>y 143 de la Ley de Transparencia y Acceso a la Información Pública del Estado de México y Municipios que establecen:</w:t>
      </w:r>
    </w:p>
    <w:p w14:paraId="2D690735"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31465678"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727007BE"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4EE5EF2C"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 Información clasificada: Aquella considerada por la presente Ley como reservada o confidencial;</w:t>
      </w:r>
    </w:p>
    <w:p w14:paraId="66153B3B"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8E34E0" w14:textId="77777777" w:rsidR="007C5EE3" w:rsidRPr="00A4521A" w:rsidRDefault="007C5EE3" w:rsidP="007C5EE3">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1D6B4BB"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24E02C52"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47111D15"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7695908F"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62D7A74C" w14:textId="1474FC48"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w:t>
      </w:r>
      <w:r w:rsidR="00DC5FA9">
        <w:rPr>
          <w:rFonts w:ascii="Palatino Linotype" w:hAnsi="Palatino Linotype" w:cs="Arial"/>
          <w:i/>
          <w:sz w:val="20"/>
          <w:szCs w:val="20"/>
        </w:rPr>
        <w:t>ución de autoridad competente; …</w:t>
      </w:r>
    </w:p>
    <w:p w14:paraId="1B9D27F6"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7712C7E7"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lastRenderedPageBreak/>
        <w:t>I. Se refiera a la información privada y los datos personales concernientes a una persona física o jurídico colectiva identificada o identificable;</w:t>
      </w:r>
    </w:p>
    <w:p w14:paraId="268BEA52"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60A919F0" w14:textId="77777777" w:rsidR="007C5EE3" w:rsidRPr="00A4521A" w:rsidRDefault="007C5EE3" w:rsidP="007C5EE3">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5254F756"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0A16E58"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6C12E01C" w14:textId="77777777" w:rsidR="007C5EE3" w:rsidRPr="00A4521A" w:rsidRDefault="007C5EE3" w:rsidP="007C5EE3">
      <w:pPr>
        <w:spacing w:before="240" w:after="240" w:line="360" w:lineRule="auto"/>
        <w:jc w:val="both"/>
        <w:rPr>
          <w:rFonts w:ascii="Palatino Linotype" w:hAnsi="Palatino Linotype" w:cs="Arial"/>
        </w:rPr>
      </w:pPr>
      <w:r w:rsidRPr="00A4521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2C9094" w14:textId="77777777" w:rsidR="007C5EE3" w:rsidRPr="00A4521A" w:rsidRDefault="007C5EE3" w:rsidP="007C5EE3">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67B341B9"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2ED4CBE"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44A5FC80"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 xml:space="preserve">I. La relativa a las Obligaciones de Transparencia que contempla el Título V de la Ley General y las demás disposiciones legales aplicables; </w:t>
      </w:r>
    </w:p>
    <w:p w14:paraId="2ED48E6C"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2B68897F"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646F92D1"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27605948" w14:textId="77777777" w:rsidR="007C5EE3" w:rsidRPr="00A4521A" w:rsidRDefault="007C5EE3" w:rsidP="007C5EE3">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4F9DAF22" w14:textId="4D34CD21" w:rsidR="00DC5FA9" w:rsidRDefault="00DC5FA9" w:rsidP="006C60B5">
      <w:pPr>
        <w:shd w:val="clear" w:color="auto" w:fill="FFFFFF"/>
        <w:spacing w:before="240" w:after="240" w:line="360" w:lineRule="auto"/>
        <w:jc w:val="both"/>
        <w:rPr>
          <w:rFonts w:ascii="Palatino Linotype" w:hAnsi="Palatino Linotype" w:cs="Arial"/>
          <w:color w:val="222222"/>
          <w:lang w:eastAsia="es-MX"/>
        </w:rPr>
      </w:pPr>
      <w:r>
        <w:rPr>
          <w:rFonts w:ascii="Palatino Linotype" w:hAnsi="Palatino Linotype" w:cs="Arial"/>
          <w:lang w:eastAsia="es-MX"/>
        </w:rPr>
        <w:t xml:space="preserve">No obstante, si es posible que el </w:t>
      </w:r>
      <w:r>
        <w:rPr>
          <w:rFonts w:ascii="Palatino Linotype" w:hAnsi="Palatino Linotype" w:cs="Arial"/>
          <w:b/>
          <w:lang w:eastAsia="es-MX"/>
        </w:rPr>
        <w:t xml:space="preserve">Sujeto Obligado </w:t>
      </w:r>
      <w:r>
        <w:rPr>
          <w:rFonts w:ascii="Palatino Linotype" w:hAnsi="Palatino Linotype" w:cs="Arial"/>
          <w:lang w:eastAsia="es-MX"/>
        </w:rPr>
        <w:t xml:space="preserve">entregue el número de hombres y mujeres que asistieron a los </w:t>
      </w:r>
      <w:r>
        <w:rPr>
          <w:rFonts w:ascii="Palatino Linotype" w:hAnsi="Palatino Linotype" w:cs="Arial"/>
          <w:color w:val="222222"/>
          <w:lang w:eastAsia="es-MX"/>
        </w:rPr>
        <w:t>cursos, talleres y/o capacitaciones</w:t>
      </w:r>
      <w:r w:rsidR="006701CE">
        <w:rPr>
          <w:rFonts w:ascii="Palatino Linotype" w:hAnsi="Palatino Linotype" w:cs="Arial"/>
          <w:color w:val="222222"/>
          <w:lang w:eastAsia="es-MX"/>
        </w:rPr>
        <w:t>, en versión pública de ser necesario, de conformidad con el considerando siguiente.</w:t>
      </w:r>
    </w:p>
    <w:p w14:paraId="61336F8D" w14:textId="77777777" w:rsidR="00A66828" w:rsidRDefault="000F22AD" w:rsidP="00A66828">
      <w:pPr>
        <w:autoSpaceDE w:val="0"/>
        <w:autoSpaceDN w:val="0"/>
        <w:adjustRightInd w:val="0"/>
        <w:spacing w:before="240" w:after="360" w:line="360" w:lineRule="auto"/>
        <w:jc w:val="both"/>
        <w:rPr>
          <w:rFonts w:ascii="Palatino Linotype" w:eastAsiaTheme="minorHAnsi" w:hAnsi="Palatino Linotype" w:cs="Bookman Old Style"/>
          <w:lang w:val="es-MX" w:eastAsia="en-US"/>
        </w:rPr>
      </w:pPr>
      <w:r>
        <w:rPr>
          <w:rFonts w:ascii="Palatino Linotype" w:hAnsi="Palatino Linotype" w:cs="Arial"/>
          <w:color w:val="222222"/>
          <w:lang w:eastAsia="es-MX"/>
        </w:rPr>
        <w:t xml:space="preserve">Ahora bien, en lo que se refiere a los rubros Candidato 2021 (si) (no), y en caso de ser afirmativa la respuesta anterior, Federal, Local o Municipal según sea el caso; cabe </w:t>
      </w:r>
      <w:r w:rsidR="00A66828">
        <w:rPr>
          <w:rFonts w:ascii="Palatino Linotype" w:hAnsi="Palatino Linotype" w:cs="Arial"/>
          <w:color w:val="222222"/>
          <w:lang w:eastAsia="es-MX"/>
        </w:rPr>
        <w:t>reafirmar que lo</w:t>
      </w:r>
      <w:r w:rsidR="00A66828" w:rsidRPr="00102700">
        <w:rPr>
          <w:rFonts w:ascii="Palatino Linotype" w:eastAsiaTheme="minorHAnsi" w:hAnsi="Palatino Linotype" w:cs="Bookman Old Style"/>
          <w:lang w:val="es-MX" w:eastAsia="en-US"/>
        </w:rPr>
        <w:t>s sujetos obligados sólo proporcionarán la información pública que se les requiera y que obre en sus</w:t>
      </w:r>
      <w:r w:rsidR="00A66828">
        <w:rPr>
          <w:rFonts w:ascii="Palatino Linotype" w:eastAsiaTheme="minorHAnsi" w:hAnsi="Palatino Linotype" w:cs="Bookman Old Style"/>
          <w:lang w:val="es-MX" w:eastAsia="en-US"/>
        </w:rPr>
        <w:t xml:space="preserve"> </w:t>
      </w:r>
      <w:r w:rsidR="00A66828" w:rsidRPr="00102700">
        <w:rPr>
          <w:rFonts w:ascii="Palatino Linotype" w:eastAsiaTheme="minorHAnsi" w:hAnsi="Palatino Linotype" w:cs="Bookman Old Style"/>
          <w:lang w:val="es-MX" w:eastAsia="en-US"/>
        </w:rPr>
        <w:t>archivos y en el estado en que ésta se encuentre</w:t>
      </w:r>
      <w:r w:rsidR="00A66828">
        <w:rPr>
          <w:rFonts w:ascii="Palatino Linotype" w:eastAsiaTheme="minorHAnsi" w:hAnsi="Palatino Linotype" w:cs="Bookman Old Style"/>
          <w:lang w:val="es-MX" w:eastAsia="en-US"/>
        </w:rPr>
        <w:t>.</w:t>
      </w:r>
    </w:p>
    <w:p w14:paraId="34A6A981" w14:textId="0D4B576E" w:rsidR="00A66828" w:rsidRPr="002B15A9" w:rsidRDefault="00A66828" w:rsidP="00A66828">
      <w:pPr>
        <w:autoSpaceDE w:val="0"/>
        <w:autoSpaceDN w:val="0"/>
        <w:adjustRightInd w:val="0"/>
        <w:spacing w:before="240" w:after="360" w:line="360" w:lineRule="auto"/>
        <w:jc w:val="both"/>
        <w:rPr>
          <w:rFonts w:ascii="Palatino Linotype" w:hAnsi="Palatino Linotype" w:cs="Arial"/>
        </w:rPr>
      </w:pPr>
      <w:r w:rsidRPr="00A66828">
        <w:rPr>
          <w:rFonts w:ascii="Palatino Linotype" w:hAnsi="Palatino Linotype" w:cs="Arial"/>
        </w:rPr>
        <w:t xml:space="preserve"> </w:t>
      </w:r>
      <w:r w:rsidRPr="002B15A9">
        <w:rPr>
          <w:rFonts w:ascii="Palatino Linotype" w:hAnsi="Palatino Linotype" w:cs="Arial"/>
        </w:rPr>
        <w:t>Así, es importante dejar en claro lo que debe entenderse por derecho de petición y por derecho de acceso a la información pública.</w:t>
      </w:r>
    </w:p>
    <w:p w14:paraId="78C18816" w14:textId="77777777" w:rsidR="00A66828" w:rsidRPr="002B15A9" w:rsidRDefault="00A66828" w:rsidP="00A66828">
      <w:pPr>
        <w:autoSpaceDE w:val="0"/>
        <w:autoSpaceDN w:val="0"/>
        <w:adjustRightInd w:val="0"/>
        <w:spacing w:before="240" w:after="360" w:line="360" w:lineRule="auto"/>
        <w:jc w:val="both"/>
        <w:rPr>
          <w:rFonts w:ascii="Palatino Linotype" w:hAnsi="Palatino Linotype" w:cs="Arial"/>
          <w:i/>
        </w:rPr>
      </w:pPr>
      <w:r w:rsidRPr="002B15A9">
        <w:rPr>
          <w:rFonts w:ascii="Palatino Linotype" w:hAnsi="Palatino Linotype" w:cs="Arial"/>
        </w:rPr>
        <w:t>Por lo que respecta a la definición de Derecho de Petición, el Maestro Ignacio Burgoa Orihuela refiere: “…</w:t>
      </w:r>
      <w:r w:rsidRPr="002B15A9">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2B15A9">
        <w:rPr>
          <w:rFonts w:ascii="Palatino Linotype" w:hAnsi="Palatino Linotype" w:cs="Arial"/>
          <w:i/>
        </w:rPr>
        <w:lastRenderedPageBreak/>
        <w:t>índole, la cual adopta, específicamente, el carácter de simple petición administrativa, acción o recurso, etc.</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6"/>
      </w:r>
      <w:r w:rsidRPr="002B15A9">
        <w:rPr>
          <w:rFonts w:ascii="Palatino Linotype" w:hAnsi="Palatino Linotype"/>
          <w:i/>
        </w:rPr>
        <w:t>“</w:t>
      </w:r>
      <w:r w:rsidRPr="002B15A9">
        <w:rPr>
          <w:rFonts w:ascii="Palatino Linotype" w:hAnsi="Palatino Linotype" w:cs="Arial"/>
          <w:i/>
        </w:rPr>
        <w:t xml:space="preserve"> (Sic)</w:t>
      </w:r>
    </w:p>
    <w:p w14:paraId="338EA61C" w14:textId="77777777" w:rsidR="00A66828" w:rsidRPr="002B15A9" w:rsidRDefault="00A66828" w:rsidP="00A66828">
      <w:pPr>
        <w:autoSpaceDE w:val="0"/>
        <w:autoSpaceDN w:val="0"/>
        <w:adjustRightInd w:val="0"/>
        <w:spacing w:before="240" w:after="360" w:line="360" w:lineRule="auto"/>
        <w:jc w:val="both"/>
        <w:rPr>
          <w:rFonts w:ascii="Palatino Linotype" w:hAnsi="Palatino Linotype" w:cs="Arial"/>
          <w:i/>
        </w:rPr>
      </w:pPr>
      <w:r w:rsidRPr="002B15A9">
        <w:rPr>
          <w:rFonts w:ascii="Palatino Linotype" w:hAnsi="Palatino Linotype" w:cs="Arial"/>
        </w:rPr>
        <w:t xml:space="preserve">Por su parte, David Cienfuegos Salgado, concibe al derecho de petición como </w:t>
      </w:r>
      <w:r w:rsidRPr="002B15A9">
        <w:rPr>
          <w:rFonts w:ascii="Palatino Linotype" w:hAnsi="Palatino Linotype" w:cs="Arial"/>
          <w:i/>
        </w:rPr>
        <w:t>“el derecho de toda persona a ser escuchado por quienes ejercen el poder público.</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7"/>
      </w:r>
      <w:r w:rsidRPr="002B15A9">
        <w:rPr>
          <w:rFonts w:ascii="Palatino Linotype" w:hAnsi="Palatino Linotype" w:cs="Arial"/>
          <w:i/>
        </w:rPr>
        <w:t xml:space="preserve">” (Sic) </w:t>
      </w:r>
    </w:p>
    <w:p w14:paraId="02874C3A" w14:textId="77777777" w:rsidR="00A66828" w:rsidRPr="002B15A9" w:rsidRDefault="00A66828" w:rsidP="00A66828">
      <w:pPr>
        <w:spacing w:before="240" w:after="360" w:line="360" w:lineRule="auto"/>
        <w:jc w:val="both"/>
        <w:rPr>
          <w:rFonts w:ascii="Palatino Linotype" w:hAnsi="Palatino Linotype" w:cs="Arial"/>
          <w:i/>
        </w:rPr>
      </w:pPr>
      <w:r w:rsidRPr="002B15A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2B15A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8"/>
      </w:r>
      <w:r w:rsidRPr="002B15A9">
        <w:rPr>
          <w:rFonts w:ascii="Palatino Linotype" w:hAnsi="Palatino Linotype" w:cs="Arial"/>
          <w:i/>
        </w:rPr>
        <w:t xml:space="preserve">“(Sic) </w:t>
      </w:r>
    </w:p>
    <w:p w14:paraId="1B840E8F" w14:textId="77777777" w:rsidR="00A66828" w:rsidRPr="002B15A9" w:rsidRDefault="00A66828" w:rsidP="00A66828">
      <w:pPr>
        <w:spacing w:before="240" w:after="360" w:line="360" w:lineRule="auto"/>
        <w:jc w:val="both"/>
        <w:rPr>
          <w:rFonts w:ascii="Palatino Linotype" w:hAnsi="Palatino Linotype" w:cs="Arial"/>
          <w:i/>
        </w:rPr>
      </w:pPr>
      <w:r w:rsidRPr="002B15A9">
        <w:rPr>
          <w:rFonts w:ascii="Palatino Linotype"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2B15A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w:t>
      </w:r>
      <w:r w:rsidRPr="002B15A9">
        <w:rPr>
          <w:rFonts w:ascii="Palatino Linotype" w:hAnsi="Palatino Linotype" w:cs="Arial"/>
          <w:i/>
          <w:lang w:eastAsia="es-MX"/>
        </w:rPr>
        <w:lastRenderedPageBreak/>
        <w:t xml:space="preserve">funciones de autoridad, con las excepciones taxativas que establezca la ley en una sociedad democrática.” (Sic) </w:t>
      </w:r>
      <w:r w:rsidRPr="002B15A9">
        <w:rPr>
          <w:rFonts w:ascii="Palatino Linotype" w:hAnsi="Palatino Linotype" w:cs="Arial"/>
          <w:i/>
          <w:vertAlign w:val="superscript"/>
          <w:lang w:eastAsia="es-MX"/>
        </w:rPr>
        <w:footnoteReference w:id="9"/>
      </w:r>
    </w:p>
    <w:p w14:paraId="342F545A" w14:textId="77777777" w:rsidR="00A66828" w:rsidRPr="002B15A9" w:rsidRDefault="00A66828" w:rsidP="00A66828">
      <w:pPr>
        <w:spacing w:before="240" w:after="360" w:line="360" w:lineRule="auto"/>
        <w:jc w:val="both"/>
        <w:rPr>
          <w:rFonts w:ascii="Palatino Linotype" w:hAnsi="Palatino Linotype" w:cs="Arial"/>
        </w:rPr>
      </w:pPr>
      <w:r w:rsidRPr="002B15A9">
        <w:rPr>
          <w:rFonts w:ascii="Palatino Linotype" w:hAnsi="Palatino Linotype" w:cs="Arial"/>
        </w:rPr>
        <w:t xml:space="preserve">De lo anterior, se puede concluir que la distinción entre el derecho de petición y el derecho de acceso a la información estriba, principalmente, en que </w:t>
      </w:r>
      <w:r w:rsidRPr="002B15A9">
        <w:rPr>
          <w:rFonts w:ascii="Palatino Linotype" w:hAnsi="Palatino Linotype" w:cs="Arial"/>
          <w:color w:val="000000"/>
          <w:lang w:eastAsia="es-MX"/>
        </w:rPr>
        <w:t>la pretensión del peticionario consiste generalmente en obligar a la autoridad responsable a que actúe en el sentido de contestar lo solicitado.</w:t>
      </w:r>
    </w:p>
    <w:p w14:paraId="5F625AFB" w14:textId="21CC7434" w:rsidR="00A66828" w:rsidRPr="002B15A9" w:rsidRDefault="00A66828" w:rsidP="00A66828">
      <w:pPr>
        <w:spacing w:before="240" w:after="360" w:line="360" w:lineRule="auto"/>
        <w:jc w:val="both"/>
        <w:rPr>
          <w:rFonts w:ascii="Palatino Linotype" w:hAnsi="Palatino Linotype" w:cs="Arial"/>
          <w:szCs w:val="22"/>
        </w:rPr>
      </w:pPr>
      <w:r w:rsidRPr="002B15A9">
        <w:rPr>
          <w:rFonts w:ascii="Palatino Linotype" w:hAnsi="Palatino Linotype" w:cs="Arial"/>
        </w:rPr>
        <w:t xml:space="preserve">Así las cosas, debe señalarse que en su solicitud presentada </w:t>
      </w:r>
      <w:r>
        <w:rPr>
          <w:rFonts w:ascii="Palatino Linotype" w:hAnsi="Palatino Linotype" w:cs="Arial"/>
        </w:rPr>
        <w:t>en el SAIMEX el hoy recurrente pretende que se genere un documento</w:t>
      </w:r>
      <w:r w:rsidRPr="002B15A9">
        <w:rPr>
          <w:rFonts w:ascii="Palatino Linotype" w:hAnsi="Palatino Linotype" w:cs="Arial"/>
        </w:rPr>
        <w:t xml:space="preserve"> por parte del </w:t>
      </w:r>
      <w:r w:rsidRPr="00A66828">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lo cual no</w:t>
      </w:r>
      <w:r w:rsidRPr="002B15A9">
        <w:rPr>
          <w:rFonts w:ascii="Palatino Linotype" w:hAnsi="Palatino Linotype" w:cs="Arial"/>
        </w:rPr>
        <w:t xml:space="preserve"> es algo que la ley establezca como atribución, derecho, o facultad; </w:t>
      </w:r>
      <w:r>
        <w:rPr>
          <w:rFonts w:ascii="Palatino Linotype" w:hAnsi="Palatino Linotype" w:cs="Arial"/>
        </w:rPr>
        <w:t xml:space="preserve">de modo que, </w:t>
      </w:r>
      <w:r w:rsidRPr="002B15A9">
        <w:rPr>
          <w:rFonts w:ascii="Palatino Linotype" w:hAnsi="Palatino Linotype" w:cs="Arial"/>
        </w:rPr>
        <w:t xml:space="preserve">es importante precisar que este Instituto de Transparencia como Órgano Garante </w:t>
      </w:r>
      <w:r w:rsidRPr="002B15A9">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a las atribuciones previstas en los artículos 29 y 36 de la Ley de Transparencia y Acceso a la Información Pública del Estado de México y Municipios, </w:t>
      </w:r>
      <w:r w:rsidRPr="002B15A9">
        <w:rPr>
          <w:rFonts w:ascii="Palatino Linotype" w:hAnsi="Palatino Linotype" w:cs="Arial"/>
          <w:szCs w:val="22"/>
        </w:rPr>
        <w:t>es competente para resolver los recursos de revisión, cuando se niegue la información solicitada, se les entregue la información incompleta, no corresponda a la solicitada y/o el particular considere que la respuesta es desfavorable a su solicitud, no así cuando se trate de un derecho de petición ejercido por un gobernado.</w:t>
      </w:r>
    </w:p>
    <w:p w14:paraId="5B493250" w14:textId="5C5D7165" w:rsidR="00A66828" w:rsidRDefault="00A66828" w:rsidP="00A66828">
      <w:pPr>
        <w:spacing w:before="240" w:after="360" w:line="360" w:lineRule="auto"/>
        <w:jc w:val="both"/>
        <w:rPr>
          <w:rFonts w:ascii="Palatino Linotype" w:eastAsiaTheme="minorHAnsi" w:hAnsi="Palatino Linotype" w:cs="Arial"/>
          <w:szCs w:val="22"/>
          <w:lang w:val="es-MX" w:eastAsia="en-US"/>
        </w:rPr>
      </w:pPr>
      <w:r w:rsidRPr="002B15A9">
        <w:rPr>
          <w:rFonts w:ascii="Palatino Linotype" w:eastAsiaTheme="minorHAnsi" w:hAnsi="Palatino Linotype" w:cs="Arial"/>
          <w:szCs w:val="22"/>
          <w:lang w:val="es-MX" w:eastAsia="en-US"/>
        </w:rPr>
        <w:lastRenderedPageBreak/>
        <w:t>En conclusión, en cuanto</w:t>
      </w:r>
      <w:r>
        <w:rPr>
          <w:rFonts w:ascii="Palatino Linotype" w:eastAsiaTheme="minorHAnsi" w:hAnsi="Palatino Linotype" w:cs="Arial"/>
          <w:szCs w:val="22"/>
          <w:lang w:val="es-MX" w:eastAsia="en-US"/>
        </w:rPr>
        <w:t xml:space="preserve"> a este</w:t>
      </w:r>
      <w:r w:rsidRPr="002B15A9">
        <w:rPr>
          <w:rFonts w:ascii="Palatino Linotype" w:eastAsiaTheme="minorHAnsi" w:hAnsi="Palatino Linotype" w:cs="Arial"/>
          <w:szCs w:val="22"/>
          <w:lang w:val="es-MX" w:eastAsia="en-US"/>
        </w:rPr>
        <w:t xml:space="preserve"> punto de la solicitud</w:t>
      </w:r>
      <w:r>
        <w:rPr>
          <w:rFonts w:ascii="Palatino Linotype" w:eastAsiaTheme="minorHAnsi" w:hAnsi="Palatino Linotype" w:cs="Arial"/>
          <w:szCs w:val="22"/>
          <w:lang w:val="es-MX" w:eastAsia="en-US"/>
        </w:rPr>
        <w:t>, se reitera que no constituye</w:t>
      </w:r>
      <w:r w:rsidRPr="002B15A9">
        <w:rPr>
          <w:rFonts w:ascii="Palatino Linotype" w:eastAsiaTheme="minorHAnsi" w:hAnsi="Palatino Linotype" w:cs="Arial"/>
          <w:szCs w:val="22"/>
          <w:lang w:val="es-MX" w:eastAsia="en-US"/>
        </w:rPr>
        <w:t xml:space="preserve"> el ejercicio </w:t>
      </w:r>
      <w:r w:rsidR="00BD2651" w:rsidRPr="002B15A9">
        <w:rPr>
          <w:rFonts w:ascii="Palatino Linotype" w:eastAsiaTheme="minorHAnsi" w:hAnsi="Palatino Linotype" w:cs="Arial"/>
          <w:szCs w:val="22"/>
          <w:lang w:val="es-MX" w:eastAsia="en-US"/>
        </w:rPr>
        <w:t>del derecho</w:t>
      </w:r>
      <w:r w:rsidRPr="002B15A9">
        <w:rPr>
          <w:rFonts w:ascii="Palatino Linotype" w:eastAsiaTheme="minorHAnsi" w:hAnsi="Palatino Linotype" w:cs="Arial"/>
          <w:szCs w:val="22"/>
          <w:lang w:val="es-MX" w:eastAsia="en-US"/>
        </w:rPr>
        <w:t xml:space="preserve"> de acceso a la información del particular sino más bien un derecho de petición, por lo tanto, resulta inatendible por este Órgano Garante.</w:t>
      </w:r>
    </w:p>
    <w:p w14:paraId="32018AC9" w14:textId="77777777" w:rsidR="007A7D77" w:rsidRPr="0035532A" w:rsidRDefault="007A7D77" w:rsidP="007A7D77">
      <w:pPr>
        <w:spacing w:before="240" w:after="240" w:line="360" w:lineRule="auto"/>
        <w:jc w:val="both"/>
        <w:rPr>
          <w:rFonts w:ascii="Palatino Linotype" w:eastAsiaTheme="minorEastAsia" w:hAnsi="Palatino Linotype" w:cs="Bookman Old Style"/>
          <w:b/>
          <w:sz w:val="28"/>
          <w:szCs w:val="28"/>
          <w:lang w:val="es-MX"/>
        </w:rPr>
      </w:pPr>
      <w:r w:rsidRPr="000F49A2">
        <w:rPr>
          <w:rFonts w:ascii="Palatino Linotype" w:eastAsiaTheme="minorEastAsia" w:hAnsi="Palatino Linotype" w:cs="Bookman Old Style"/>
          <w:b/>
          <w:sz w:val="28"/>
          <w:szCs w:val="28"/>
          <w:lang w:val="es-MX"/>
        </w:rPr>
        <w:t>QUINTO. Versión Pública.</w:t>
      </w:r>
    </w:p>
    <w:p w14:paraId="00361864" w14:textId="77777777" w:rsidR="007A7D77" w:rsidRPr="00AE31F1" w:rsidRDefault="007A7D77" w:rsidP="007A7D77">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color w:val="222222"/>
          <w:lang w:eastAsia="es-MX"/>
        </w:rPr>
        <w:t xml:space="preserve">De </w:t>
      </w:r>
      <w:r w:rsidRPr="001B192A">
        <w:rPr>
          <w:rFonts w:ascii="Palatino Linotype" w:hAnsi="Palatino Linotype"/>
          <w:color w:val="222222"/>
          <w:lang w:eastAsia="es-MX"/>
        </w:rPr>
        <w:t>la documentación referida en el considerando anterior</w:t>
      </w:r>
      <w:r>
        <w:rPr>
          <w:rFonts w:ascii="Palatino Linotype" w:hAnsi="Palatino Linotype"/>
          <w:color w:val="222222"/>
          <w:lang w:eastAsia="es-MX"/>
        </w:rPr>
        <w:t>,</w:t>
      </w:r>
      <w:r w:rsidRPr="001B192A">
        <w:rPr>
          <w:rFonts w:ascii="Palatino Linotype" w:hAnsi="Palatino Linotype"/>
          <w:color w:val="222222"/>
          <w:lang w:eastAsia="es-MX"/>
        </w:rPr>
        <w:t xml:space="preserve"> de la cual se ordena su entrega, se deberá realizar una versión pública, </w:t>
      </w:r>
      <w:r>
        <w:rPr>
          <w:rFonts w:ascii="Palatino Linotype" w:hAnsi="Palatino Linotype" w:cs="Arial"/>
        </w:rPr>
        <w:t>atendiendo</w:t>
      </w:r>
      <w:r w:rsidRPr="008731C6">
        <w:rPr>
          <w:rFonts w:ascii="Palatino Linotype" w:hAnsi="Palatino Linotype" w:cs="Arial"/>
        </w:rPr>
        <w:t xml:space="preserve">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deberá ser en versión pública </w:t>
      </w:r>
      <w:r w:rsidRPr="00AE31F1">
        <w:rPr>
          <w:rFonts w:ascii="Palatino Linotype" w:eastAsiaTheme="minorEastAsia" w:hAnsi="Palatino Linotype" w:cs="Arial"/>
          <w:lang w:val="es-MX"/>
        </w:rPr>
        <w:t>sigui</w:t>
      </w:r>
      <w:r>
        <w:rPr>
          <w:rFonts w:ascii="Palatino Linotype" w:eastAsiaTheme="minorEastAsia" w:hAnsi="Palatino Linotype" w:cs="Arial"/>
          <w:lang w:val="es-MX"/>
        </w:rPr>
        <w:t>endo</w:t>
      </w:r>
      <w:r w:rsidRPr="00AE31F1">
        <w:rPr>
          <w:rFonts w:ascii="Palatino Linotype" w:eastAsiaTheme="minorEastAsia" w:hAnsi="Palatino Linotype" w:cs="Arial"/>
          <w:lang w:val="es-MX"/>
        </w:rPr>
        <w:t xml:space="preserve"> el procedimiento legal establecido para tales efectos respecto a la clasificación de la información confidencial </w:t>
      </w:r>
      <w:r w:rsidRPr="00AE31F1">
        <w:rPr>
          <w:rFonts w:ascii="Palatino Linotype" w:hAnsi="Palatino Linotype" w:cs="Arial"/>
          <w:lang w:val="es-MX" w:eastAsia="es-MX"/>
        </w:rPr>
        <w:t xml:space="preserve">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preferencia sexual; el nombre cuando se relacione con alguna de los supuestos anteriores; y otras análogas que afecten su intimidad; por tanto, la referida entrega deberá realizarse en </w:t>
      </w:r>
      <w:r w:rsidRPr="00AE31F1">
        <w:rPr>
          <w:rFonts w:ascii="Palatino Linotype" w:eastAsia="Arial Unicode MS" w:hAnsi="Palatino Linotype" w:cs="Arial"/>
        </w:rPr>
        <w:t>versión pública, en la que se omita, elimine o suprima la información personal que ponga en riesgo la vida, seguridad o salud de los servidores públicos, atento a lo siguiente:</w:t>
      </w:r>
    </w:p>
    <w:p w14:paraId="36525FDD" w14:textId="77777777" w:rsidR="007A7D77" w:rsidRPr="008731C6" w:rsidRDefault="007A7D77" w:rsidP="007A7D77">
      <w:pPr>
        <w:autoSpaceDE w:val="0"/>
        <w:autoSpaceDN w:val="0"/>
        <w:adjustRightInd w:val="0"/>
        <w:spacing w:before="240" w:after="240" w:line="360" w:lineRule="auto"/>
        <w:ind w:right="-91"/>
        <w:jc w:val="both"/>
        <w:rPr>
          <w:rFonts w:ascii="Palatino Linotype" w:hAnsi="Palatino Linotype" w:cs="Arial"/>
        </w:rPr>
      </w:pPr>
      <w:r w:rsidRPr="008731C6">
        <w:rPr>
          <w:rFonts w:ascii="Palatino Linotype" w:hAnsi="Palatino Linotype" w:cs="Arial"/>
        </w:rPr>
        <w:t xml:space="preserve">Por ello, los Sujetos Obligados deben observar que los datos personales en su posesión estén protegidos, adoptando las medidas de seguridad administrativa, </w:t>
      </w:r>
      <w:r w:rsidRPr="008731C6">
        <w:rPr>
          <w:rFonts w:ascii="Palatino Linotype" w:hAnsi="Palatino Linotype" w:cs="Arial"/>
        </w:rPr>
        <w:lastRenderedPageBreak/>
        <w:t xml:space="preserve">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w:t>
      </w:r>
      <w:r>
        <w:rPr>
          <w:rFonts w:ascii="Palatino Linotype" w:hAnsi="Palatino Linotype" w:cs="Arial"/>
        </w:rPr>
        <w:t>38</w:t>
      </w:r>
      <w:r w:rsidRPr="008731C6">
        <w:rPr>
          <w:rFonts w:ascii="Palatino Linotype" w:hAnsi="Palatino Linotype" w:cs="Arial"/>
        </w:rPr>
        <w:t xml:space="preserve"> de la Ley de Protección de Datos Personales </w:t>
      </w:r>
      <w:r>
        <w:rPr>
          <w:rFonts w:ascii="Palatino Linotype" w:hAnsi="Palatino Linotype" w:cs="Arial"/>
        </w:rPr>
        <w:t>en Posesión de Sujetos Obligados del Estado de México y Municipios.</w:t>
      </w:r>
    </w:p>
    <w:p w14:paraId="11346939" w14:textId="77777777" w:rsidR="007A7D77" w:rsidRPr="00AE31F1" w:rsidRDefault="007A7D77" w:rsidP="007A7D77">
      <w:pPr>
        <w:autoSpaceDE w:val="0"/>
        <w:autoSpaceDN w:val="0"/>
        <w:adjustRightInd w:val="0"/>
        <w:spacing w:before="240" w:after="240" w:line="360" w:lineRule="auto"/>
        <w:jc w:val="both"/>
        <w:rPr>
          <w:rFonts w:ascii="Palatino Linotype" w:hAnsi="Palatino Linotype" w:cs="Arial"/>
        </w:rPr>
      </w:pPr>
      <w:r w:rsidRPr="00AE31F1">
        <w:rPr>
          <w:rFonts w:ascii="Palatino Linotype" w:hAnsi="Palatino Linotype" w:cs="Arial"/>
        </w:rPr>
        <w:t xml:space="preserve">En resumen, toda la información relativa a una persona física que la pueda hacer identificada o identificable, constituye un dato personal y por consiguiente, se trata de información confidencial, que tienen el carácter de sensibles, porque afectan a la esfera, más íntima de su titular o cuya utilización indebida pueda dar origen a la discriminación o conlleven a un </w:t>
      </w:r>
      <w:r w:rsidRPr="00AE31F1">
        <w:rPr>
          <w:rFonts w:ascii="Palatino Linotype" w:hAnsi="Palatino Linotype" w:cs="Arial"/>
          <w:b/>
        </w:rPr>
        <w:t>riesgo grave</w:t>
      </w:r>
      <w:r w:rsidRPr="00AE31F1">
        <w:rPr>
          <w:rFonts w:ascii="Palatino Linotype" w:hAnsi="Palatino Linotype" w:cs="Arial"/>
        </w:rPr>
        <w:t xml:space="preserve"> conform</w:t>
      </w:r>
      <w:r>
        <w:rPr>
          <w:rFonts w:ascii="Palatino Linotype" w:hAnsi="Palatino Linotype" w:cs="Arial"/>
        </w:rPr>
        <w:t>e a lo previsto en la fracción XII</w:t>
      </w:r>
      <w:r w:rsidRPr="00AE31F1">
        <w:rPr>
          <w:rFonts w:ascii="Palatino Linotype" w:hAnsi="Palatino Linotype" w:cs="Arial"/>
        </w:rPr>
        <w:t xml:space="preserve"> del artículo 4 de la Ley de Protección de Datos Personales </w:t>
      </w:r>
      <w:r>
        <w:rPr>
          <w:rFonts w:ascii="Palatino Linotype" w:hAnsi="Palatino Linotype" w:cs="Arial"/>
        </w:rPr>
        <w:t xml:space="preserve">en Posesión de Sujetos Obligados </w:t>
      </w:r>
      <w:r w:rsidRPr="00AE31F1">
        <w:rPr>
          <w:rFonts w:ascii="Palatino Linotype" w:hAnsi="Palatino Linotype" w:cs="Arial"/>
        </w:rPr>
        <w:t>del Estado de México</w:t>
      </w:r>
      <w:r>
        <w:rPr>
          <w:rFonts w:ascii="Palatino Linotype" w:hAnsi="Palatino Linotype" w:cs="Arial"/>
        </w:rPr>
        <w:t xml:space="preserve"> y Municipios</w:t>
      </w:r>
      <w:r w:rsidRPr="00AE31F1">
        <w:rPr>
          <w:rFonts w:ascii="Palatino Linotype" w:hAnsi="Palatino Linotype" w:cs="Arial"/>
        </w:rPr>
        <w:t>.</w:t>
      </w:r>
    </w:p>
    <w:p w14:paraId="22B55998" w14:textId="77777777" w:rsidR="007A7D77" w:rsidRPr="00AE31F1" w:rsidRDefault="007A7D77" w:rsidP="007A7D77">
      <w:pPr>
        <w:spacing w:before="240" w:after="360" w:line="360" w:lineRule="auto"/>
        <w:jc w:val="both"/>
        <w:rPr>
          <w:rFonts w:ascii="Palatino Linotype" w:hAnsi="Palatino Linotype" w:cs="Arial"/>
        </w:rPr>
      </w:pPr>
      <w:r w:rsidRPr="00AE31F1">
        <w:rPr>
          <w:rFonts w:ascii="Palatino Linotype" w:eastAsiaTheme="minorHAnsi" w:hAnsi="Palatino Linotype" w:cstheme="minorBidi"/>
          <w:lang w:val="es-MX" w:eastAsia="en-US"/>
        </w:rPr>
        <w:t>Por lo anterior, la versión pública debe ir acompañada del Acuerdo del Comité de Transparencia por el que se clasifiquen los datos personales, es decir, deberá emitir el acuerdo correspondiente de manera fundada y motivada, mediante el cual testó y/o disoció</w:t>
      </w:r>
      <w:r w:rsidRPr="00AE31F1">
        <w:rPr>
          <w:rFonts w:ascii="Palatino Linotype" w:hAnsi="Palatino Linotype" w:cs="Arial"/>
        </w:rPr>
        <w:t xml:space="preserve"> aquellos elementos señalados en la presente resolución, en el entendido de que debe ser pública toda la demás información relacionada que no encuadre en los conceptos anteriores.</w:t>
      </w:r>
    </w:p>
    <w:p w14:paraId="223AE44D" w14:textId="77777777" w:rsidR="007A7D77" w:rsidRPr="00AE31F1" w:rsidRDefault="007A7D77" w:rsidP="007A7D77">
      <w:pPr>
        <w:widowControl w:val="0"/>
        <w:autoSpaceDE w:val="0"/>
        <w:autoSpaceDN w:val="0"/>
        <w:adjustRightInd w:val="0"/>
        <w:spacing w:line="360" w:lineRule="auto"/>
        <w:jc w:val="both"/>
        <w:rPr>
          <w:rFonts w:ascii="Palatino Linotype" w:hAnsi="Palatino Linotype"/>
        </w:rPr>
      </w:pPr>
      <w:r w:rsidRPr="00AE31F1">
        <w:rPr>
          <w:rFonts w:ascii="Palatino Linotype" w:hAnsi="Palatino Linotype" w:cs="Arial"/>
        </w:rPr>
        <w:t xml:space="preserve">El Acuerdo de Clasificación de Información confidencial se deberá atender a lo que señala el artículo 149 de </w:t>
      </w:r>
      <w:r w:rsidRPr="00AE31F1">
        <w:rPr>
          <w:rFonts w:ascii="Palatino Linotype" w:hAnsi="Palatino Linotype"/>
        </w:rPr>
        <w:t>la Ley de Transparencia y Acceso a la Información Pública del Estado de México y Municipios, que prevé lo siguiente:</w:t>
      </w:r>
    </w:p>
    <w:p w14:paraId="48552DC5" w14:textId="77777777" w:rsidR="007A7D77" w:rsidRPr="00AE31F1" w:rsidRDefault="007A7D77" w:rsidP="007A7D77">
      <w:pPr>
        <w:autoSpaceDE w:val="0"/>
        <w:autoSpaceDN w:val="0"/>
        <w:adjustRightInd w:val="0"/>
        <w:spacing w:after="120"/>
        <w:ind w:left="851" w:right="902"/>
        <w:jc w:val="both"/>
        <w:rPr>
          <w:rFonts w:ascii="Palatino Linotype" w:hAnsi="Palatino Linotype"/>
          <w:i/>
          <w:sz w:val="20"/>
          <w:szCs w:val="20"/>
        </w:rPr>
      </w:pPr>
      <w:r w:rsidRPr="00AE31F1">
        <w:rPr>
          <w:rFonts w:ascii="Palatino Linotype" w:eastAsiaTheme="minorEastAsia" w:hAnsi="Palatino Linotype" w:cs="Bookman Old Style,Bold"/>
          <w:b/>
          <w:bCs/>
          <w:i/>
          <w:sz w:val="20"/>
          <w:szCs w:val="20"/>
          <w:lang w:val="es-MX"/>
        </w:rPr>
        <w:lastRenderedPageBreak/>
        <w:t xml:space="preserve">“Artículo 149. </w:t>
      </w:r>
      <w:r w:rsidRPr="00AE31F1">
        <w:rPr>
          <w:rFonts w:ascii="Palatino Linotype" w:eastAsiaTheme="minorEastAsia" w:hAnsi="Palatino Linotype" w:cs="Bookman Old Style"/>
          <w:i/>
          <w:sz w:val="20"/>
          <w:szCs w:val="20"/>
          <w:lang w:val="es-MX"/>
        </w:rPr>
        <w:t>El acuerdo que clasifique la información como confidencial deberá contener un razonamiento lógico en el que demuestre que la información se encuentra en alguna o algunas de las hipótesis previstas en la presente Ley.</w:t>
      </w:r>
      <w:r w:rsidRPr="00AE31F1">
        <w:rPr>
          <w:rFonts w:ascii="Palatino Linotype" w:hAnsi="Palatino Linotype"/>
          <w:i/>
          <w:sz w:val="20"/>
          <w:szCs w:val="20"/>
        </w:rPr>
        <w:t xml:space="preserve"> “</w:t>
      </w:r>
    </w:p>
    <w:p w14:paraId="06C9C991" w14:textId="77777777" w:rsidR="007A7D77" w:rsidRPr="00AE31F1" w:rsidRDefault="007A7D77" w:rsidP="007A7D77">
      <w:pPr>
        <w:widowControl w:val="0"/>
        <w:autoSpaceDE w:val="0"/>
        <w:autoSpaceDN w:val="0"/>
        <w:adjustRightInd w:val="0"/>
        <w:spacing w:before="240" w:after="240" w:line="360" w:lineRule="auto"/>
        <w:jc w:val="both"/>
        <w:rPr>
          <w:rFonts w:ascii="Palatino Linotype" w:hAnsi="Palatino Linotype"/>
        </w:rPr>
      </w:pPr>
      <w:r w:rsidRPr="00AE31F1">
        <w:rPr>
          <w:rFonts w:ascii="Palatino Linotype" w:hAnsi="Palatino Linotype"/>
        </w:rPr>
        <w:t>Caso contrario, se crearía la incertidumbre jurídica en lo que se refiere a lo 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064681D7" w14:textId="77777777" w:rsidR="007A7D77" w:rsidRPr="00AE31F1" w:rsidRDefault="007A7D77" w:rsidP="007A7D77">
      <w:pPr>
        <w:widowControl w:val="0"/>
        <w:autoSpaceDE w:val="0"/>
        <w:autoSpaceDN w:val="0"/>
        <w:adjustRightInd w:val="0"/>
        <w:spacing w:before="240" w:after="240" w:line="360" w:lineRule="auto"/>
        <w:jc w:val="both"/>
        <w:rPr>
          <w:rFonts w:ascii="Palatino Linotype" w:hAnsi="Palatino Linotype"/>
        </w:rPr>
      </w:pPr>
      <w:r w:rsidRPr="00AE31F1">
        <w:rPr>
          <w:rFonts w:ascii="Palatino Linotype" w:hAnsi="Palatino Linotype" w:cs="Arial"/>
        </w:rPr>
        <w:t xml:space="preserve">El Acuerdo de Clasificación de Información Confidencial, se emitirá en términos de lo dispuesto tanto como en los en </w:t>
      </w:r>
      <w:r w:rsidRPr="00AE31F1">
        <w:rPr>
          <w:rFonts w:ascii="Palatino Linotype" w:hAnsi="Palatino Linotype"/>
        </w:rPr>
        <w:t>los artículos 143 y 149 de la Ley de Transparencia y Acceso a la Información Pública del Estado de México y Municipios, como en los</w:t>
      </w:r>
      <w:r w:rsidRPr="00AE31F1">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del dos mil dieciséis, mediante ACUERDO del Consejo Nacional del Sistema Nacional de Transparencia, Acceso a la Información Pública y Protección de Datos Personales, </w:t>
      </w:r>
      <w:r w:rsidRPr="00AE31F1">
        <w:rPr>
          <w:rFonts w:ascii="Palatino Linotype" w:hAnsi="Palatino Linotype"/>
        </w:rPr>
        <w:t xml:space="preserve">motivando la referida clasificación al señalar las </w:t>
      </w:r>
      <w:r w:rsidRPr="00AE31F1">
        <w:rPr>
          <w:rFonts w:ascii="Palatino Linotype" w:hAnsi="Palatino Linotype"/>
          <w:b/>
          <w:u w:val="single"/>
        </w:rPr>
        <w:t>razones, motivos o circunstancias especiales</w:t>
      </w:r>
      <w:r w:rsidRPr="00AE31F1">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w:t>
      </w:r>
      <w:r w:rsidRPr="00AE31F1">
        <w:rPr>
          <w:rFonts w:ascii="Palatino Linotype" w:hAnsi="Palatino Linotype"/>
        </w:rPr>
        <w:lastRenderedPageBreak/>
        <w:t>para evitar el perjuicio.</w:t>
      </w:r>
    </w:p>
    <w:p w14:paraId="59EFD77E" w14:textId="77777777" w:rsidR="007A7D77" w:rsidRDefault="007A7D77" w:rsidP="007A7D77">
      <w:pPr>
        <w:spacing w:before="240" w:after="240" w:line="360" w:lineRule="auto"/>
        <w:jc w:val="both"/>
        <w:rPr>
          <w:rFonts w:ascii="Palatino Linotype" w:hAnsi="Palatino Linotype"/>
        </w:rPr>
      </w:pPr>
      <w:r>
        <w:rPr>
          <w:rFonts w:ascii="Palatino Linotype" w:hAnsi="Palatino Linotype" w:cs="Arial"/>
        </w:rPr>
        <w:t>Así, los Lineamientos Generales en Materia de Clasificación y Desclasificación de la Información, así como para la elaboración de versiones públicas,</w:t>
      </w:r>
      <w:r w:rsidRPr="00FC4060">
        <w:rPr>
          <w:rFonts w:ascii="Palatino Linotype" w:hAnsi="Palatino Linotype" w:cs="Arial"/>
          <w:bCs/>
          <w:iCs/>
          <w:color w:val="222222"/>
          <w:lang w:eastAsia="es-MX"/>
        </w:rPr>
        <w:t xml:space="preserve"> </w:t>
      </w:r>
      <w:r w:rsidRPr="001863D2">
        <w:rPr>
          <w:rFonts w:ascii="Palatino Linotype" w:hAnsi="Palatino Linotype" w:cs="Arial"/>
          <w:bCs/>
          <w:iCs/>
          <w:color w:val="222222"/>
          <w:lang w:eastAsia="es-MX"/>
        </w:rPr>
        <w:t xml:space="preserve">que fueron </w:t>
      </w:r>
      <w:r>
        <w:rPr>
          <w:rFonts w:ascii="Palatino Linotype" w:hAnsi="Palatino Linotype" w:cs="Arial"/>
          <w:bCs/>
          <w:iCs/>
          <w:color w:val="222222"/>
          <w:lang w:eastAsia="es-MX"/>
        </w:rPr>
        <w:t>emitidos</w:t>
      </w:r>
      <w:r w:rsidRPr="001863D2">
        <w:rPr>
          <w:rFonts w:ascii="Palatino Linotype" w:hAnsi="Palatino Linotype" w:cs="Arial"/>
          <w:bCs/>
          <w:iCs/>
          <w:color w:val="222222"/>
          <w:lang w:eastAsia="es-MX"/>
        </w:rPr>
        <w:t xml:space="preserve">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w:t>
      </w:r>
      <w:r>
        <w:rPr>
          <w:rFonts w:ascii="Palatino Linotype" w:hAnsi="Palatino Linotype" w:cs="Arial"/>
          <w:bCs/>
          <w:iCs/>
          <w:color w:val="222222"/>
          <w:lang w:val="es-MX" w:eastAsia="es-MX"/>
        </w:rPr>
        <w:t>,</w:t>
      </w:r>
      <w:r>
        <w:rPr>
          <w:rFonts w:ascii="Palatino Linotype" w:hAnsi="Palatino Linotype" w:cs="Arial"/>
        </w:rPr>
        <w:t xml:space="preserve"> establecen en sus numerales </w:t>
      </w:r>
      <w:r>
        <w:rPr>
          <w:rFonts w:ascii="Palatino Linotype" w:hAnsi="Palatino Linotype"/>
        </w:rPr>
        <w:t xml:space="preserve">Quincuagésimo tercero y Quincuagésimo quinto de los </w:t>
      </w:r>
      <w:r w:rsidRPr="008F2EE4">
        <w:rPr>
          <w:rFonts w:ascii="Palatino Linotype" w:hAnsi="Palatino Linotype"/>
        </w:rPr>
        <w:t xml:space="preserve">Lineamientos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7A7D77" w:rsidRPr="00A850E0" w14:paraId="4BB1E6DC" w14:textId="77777777" w:rsidTr="00CD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12AD410" w14:textId="77777777" w:rsidR="007A7D77" w:rsidRPr="00A850E0" w:rsidRDefault="007A7D77" w:rsidP="00CD6163">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43165B1B" w14:textId="77777777" w:rsidR="007A7D77" w:rsidRPr="00A850E0" w:rsidRDefault="007A7D77" w:rsidP="00CD616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7A7D77" w:rsidRPr="00A850E0" w14:paraId="098BBC33"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2F26DC7" w14:textId="77777777" w:rsidR="007A7D77" w:rsidRPr="00A850E0" w:rsidRDefault="007A7D77" w:rsidP="00CD6163">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296A1554" w14:textId="77777777" w:rsidR="007A7D77" w:rsidRPr="00A850E0" w:rsidRDefault="007A7D77" w:rsidP="00CD616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65C10D89" w14:textId="77777777" w:rsidR="007A7D77" w:rsidRPr="00A850E0" w:rsidRDefault="007A7D77" w:rsidP="00CD616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3A311F54" w14:textId="77777777" w:rsidR="007A7D77" w:rsidRPr="00A850E0" w:rsidRDefault="007A7D77" w:rsidP="00CD616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7A7D77" w:rsidRPr="00A850E0" w14:paraId="64485D6B" w14:textId="77777777" w:rsidTr="00CD6163">
        <w:tc>
          <w:tcPr>
            <w:cnfStyle w:val="001000000000" w:firstRow="0" w:lastRow="0" w:firstColumn="1" w:lastColumn="0" w:oddVBand="0" w:evenVBand="0" w:oddHBand="0" w:evenHBand="0" w:firstRowFirstColumn="0" w:firstRowLastColumn="0" w:lastRowFirstColumn="0" w:lastRowLastColumn="0"/>
            <w:tcW w:w="8828" w:type="dxa"/>
            <w:gridSpan w:val="4"/>
          </w:tcPr>
          <w:p w14:paraId="50BFAC78" w14:textId="77777777" w:rsidR="007A7D77" w:rsidRPr="00A850E0" w:rsidRDefault="007A7D77" w:rsidP="00CD6163">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7A7D77" w:rsidRPr="00A850E0" w14:paraId="1878ADCD"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734CC4E"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4F8E9E88"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2D64AB36"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0A090E5D"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7A7D77" w:rsidRPr="00A850E0" w14:paraId="5698AF7F"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68B044CC"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4D4C3035"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7EE242E2"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492CCBF1"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7A7D77" w:rsidRPr="00A850E0" w14:paraId="05E63432"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9177E6"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79B18772"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AA618E6"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41160C64"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7A7D77" w:rsidRPr="00A850E0" w14:paraId="0753094B"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6B6D09CC"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511DDAAF"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15B43EB"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254947C5"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A7D77" w:rsidRPr="00A850E0" w14:paraId="6C0EC5D8"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7982E1F"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442E0901"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51C543A"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1AD80399"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7A7D77" w:rsidRPr="00A850E0" w14:paraId="2F77D5D3"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0DC8D154"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C133FAE"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97EF0F2"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55EE3BC5"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A7D77" w:rsidRPr="00A850E0" w14:paraId="7D164B05"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352D0A7"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3B1B57B5"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30087B5"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6662F322"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7A7D77" w:rsidRPr="00A850E0" w14:paraId="1C4F171A"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5B48FFB1"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1A861354"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24A031D1"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0A3F086"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A7D77" w:rsidRPr="00A850E0" w14:paraId="30DF0266"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13612CB"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327BC120"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50ACB820"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0D2072C1"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7A7D77" w:rsidRPr="00A850E0" w14:paraId="0A720CAC"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766BC3F1" w14:textId="77777777" w:rsidR="007A7D77" w:rsidRPr="00A850E0" w:rsidRDefault="007A7D77" w:rsidP="00CD6163">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1F48D9EE"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8DD5029"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6D59006B"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7A7D77" w:rsidRPr="00A850E0" w14:paraId="5F4FB279" w14:textId="77777777" w:rsidTr="00CD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45CE971" w14:textId="77777777" w:rsidR="007A7D77" w:rsidRPr="00A850E0" w:rsidRDefault="007A7D77" w:rsidP="00CD6163">
            <w:pPr>
              <w:jc w:val="both"/>
              <w:rPr>
                <w:rFonts w:ascii="Palatino Linotype" w:hAnsi="Palatino Linotype"/>
                <w:sz w:val="12"/>
                <w:szCs w:val="12"/>
              </w:rPr>
            </w:pPr>
          </w:p>
        </w:tc>
        <w:tc>
          <w:tcPr>
            <w:tcW w:w="3568" w:type="dxa"/>
          </w:tcPr>
          <w:p w14:paraId="0B746E6B"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CBCB499"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3E690E20" w14:textId="77777777" w:rsidR="007A7D77" w:rsidRPr="00A850E0" w:rsidRDefault="007A7D77" w:rsidP="00CD616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7A7D77" w:rsidRPr="00A850E0" w14:paraId="59CA8966" w14:textId="77777777" w:rsidTr="00CD6163">
        <w:tc>
          <w:tcPr>
            <w:cnfStyle w:val="001000000000" w:firstRow="0" w:lastRow="0" w:firstColumn="1" w:lastColumn="0" w:oddVBand="0" w:evenVBand="0" w:oddHBand="0" w:evenHBand="0" w:firstRowFirstColumn="0" w:firstRowLastColumn="0" w:lastRowFirstColumn="0" w:lastRowLastColumn="0"/>
            <w:tcW w:w="846" w:type="dxa"/>
          </w:tcPr>
          <w:p w14:paraId="0F7EA56D" w14:textId="77777777" w:rsidR="007A7D77" w:rsidRPr="00A850E0" w:rsidRDefault="007A7D77" w:rsidP="00CD6163">
            <w:pPr>
              <w:jc w:val="both"/>
              <w:rPr>
                <w:rFonts w:ascii="Palatino Linotype" w:hAnsi="Palatino Linotype"/>
                <w:sz w:val="12"/>
                <w:szCs w:val="12"/>
              </w:rPr>
            </w:pPr>
          </w:p>
        </w:tc>
        <w:tc>
          <w:tcPr>
            <w:tcW w:w="3568" w:type="dxa"/>
          </w:tcPr>
          <w:p w14:paraId="089CF56E"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08804499"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3BD44792" w14:textId="77777777" w:rsidR="007A7D77" w:rsidRPr="00A850E0" w:rsidRDefault="007A7D77" w:rsidP="00CD616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4FDCD430" w14:textId="4F2F5A86" w:rsidR="00516E6A" w:rsidRPr="00143EC9" w:rsidRDefault="007A7D77" w:rsidP="007A7D77">
      <w:pPr>
        <w:spacing w:before="240" w:after="360" w:line="360" w:lineRule="auto"/>
        <w:jc w:val="both"/>
        <w:rPr>
          <w:rFonts w:ascii="Arial" w:hAnsi="Arial" w:cs="Arial"/>
          <w:lang w:val="es-MX" w:eastAsia="es-MX"/>
        </w:rPr>
      </w:pPr>
      <w:r w:rsidRPr="0040233B">
        <w:rPr>
          <w:rFonts w:ascii="Palatino Linotype" w:hAnsi="Palatino Linotype" w:cs="Arial"/>
          <w:lang w:eastAsia="es-MX"/>
        </w:rPr>
        <w:lastRenderedPageBreak/>
        <w:t>A</w:t>
      </w:r>
      <w:r w:rsidR="001708DC" w:rsidRPr="00143EC9">
        <w:rPr>
          <w:rFonts w:ascii="Palatino Linotype" w:hAnsi="Palatino Linotype" w:cs="Arial"/>
          <w:lang w:eastAsia="es-MX"/>
        </w:rPr>
        <w:t>sí</w:t>
      </w:r>
      <w:r w:rsidR="00516E6A" w:rsidRPr="00143EC9">
        <w:rPr>
          <w:rFonts w:ascii="Palatino Linotype" w:hAnsi="Palatino Linotype" w:cs="Arial"/>
          <w:lang w:eastAsia="es-MX"/>
        </w:rPr>
        <w:t xml:space="preserve">, con fundamento en lo prescrito en los artículos 5 párrafos </w:t>
      </w:r>
      <w:r w:rsidR="00D61AAA">
        <w:rPr>
          <w:rFonts w:ascii="Palatino Linotype" w:hAnsi="Palatino Linotype"/>
          <w:shd w:val="clear" w:color="auto" w:fill="FFFFFF"/>
        </w:rPr>
        <w:t>vigésimo noveno, trigésimo y trigésimo primero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3B92A7B0"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w:t>
      </w:r>
      <w:r w:rsidR="00A66828">
        <w:rPr>
          <w:rFonts w:ascii="Palatino Linotype" w:hAnsi="Palatino Linotype" w:cs="Arial"/>
        </w:rPr>
        <w:t xml:space="preserve">parcialmente </w:t>
      </w:r>
      <w:r w:rsidR="009F6FCD" w:rsidRPr="00143EC9">
        <w:rPr>
          <w:rFonts w:ascii="Palatino Linotype" w:hAnsi="Palatino Linotype" w:cs="Arial"/>
        </w:rPr>
        <w:t xml:space="preserve">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la </w:t>
      </w:r>
      <w:r w:rsidR="00F82E89">
        <w:rPr>
          <w:rFonts w:ascii="Palatino Linotype" w:hAnsi="Palatino Linotype" w:cs="Arial"/>
        </w:rPr>
        <w:t>Partido Movimiento Ciudadano</w:t>
      </w:r>
      <w:r w:rsidR="009F6FCD" w:rsidRPr="00143EC9">
        <w:rPr>
          <w:rFonts w:ascii="Palatino Linotype" w:hAnsi="Palatino Linotype" w:cs="Arial"/>
        </w:rPr>
        <w:t>.</w:t>
      </w:r>
    </w:p>
    <w:p w14:paraId="1B9613A1" w14:textId="22DF6AE9"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F82E89">
        <w:rPr>
          <w:rFonts w:ascii="Palatino Linotype" w:hAnsi="Palatino Linotype" w:cs="Arial"/>
          <w:b/>
        </w:rPr>
        <w:t>Partido Movimiento Ciudadano</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F82E89">
        <w:rPr>
          <w:rFonts w:ascii="Palatino Linotype" w:hAnsi="Palatino Linotype" w:cs="Arial"/>
          <w:b/>
        </w:rPr>
        <w:t>00013/PMCIU/IP/2021</w:t>
      </w:r>
      <w:r w:rsidRPr="00143EC9">
        <w:rPr>
          <w:rFonts w:ascii="Palatino Linotype" w:hAnsi="Palatino Linotype"/>
          <w:bCs/>
        </w:rPr>
        <w:t xml:space="preserve">, y </w:t>
      </w:r>
      <w:r w:rsidRPr="00143EC9">
        <w:rPr>
          <w:rFonts w:ascii="Palatino Linotype" w:hAnsi="Palatino Linotype" w:cs="Arial"/>
        </w:rPr>
        <w:t>haga entrega vía SAIMEX, en términos del Considerando CUARTO</w:t>
      </w:r>
      <w:r w:rsidR="00F77067">
        <w:rPr>
          <w:rFonts w:ascii="Palatino Linotype" w:hAnsi="Palatino Linotype" w:cs="Arial"/>
        </w:rPr>
        <w:t xml:space="preserve"> </w:t>
      </w:r>
      <w:r w:rsidR="007A7D77">
        <w:rPr>
          <w:rFonts w:ascii="Palatino Linotype" w:hAnsi="Palatino Linotype" w:cs="Arial"/>
        </w:rPr>
        <w:t xml:space="preserve">y QUINTO </w:t>
      </w:r>
      <w:r w:rsidRPr="00143EC9">
        <w:rPr>
          <w:rFonts w:ascii="Palatino Linotype" w:hAnsi="Palatino Linotype" w:cs="Arial"/>
        </w:rPr>
        <w:t>de esta resolución, lo siguiente:</w:t>
      </w:r>
    </w:p>
    <w:p w14:paraId="35359DD8" w14:textId="5C1DBF9C" w:rsidR="001E38B1" w:rsidRPr="001E38B1" w:rsidRDefault="001E38B1" w:rsidP="001E38B1">
      <w:pPr>
        <w:pStyle w:val="Prrafodelista"/>
        <w:numPr>
          <w:ilvl w:val="0"/>
          <w:numId w:val="31"/>
        </w:numPr>
        <w:shd w:val="clear" w:color="auto" w:fill="FFFFFF"/>
        <w:spacing w:before="240" w:after="240" w:line="360" w:lineRule="auto"/>
        <w:jc w:val="both"/>
        <w:rPr>
          <w:rFonts w:ascii="Palatino Linotype" w:hAnsi="Palatino Linotype" w:cs="Arial"/>
          <w:b/>
          <w:color w:val="222222"/>
          <w:lang w:eastAsia="es-MX"/>
        </w:rPr>
      </w:pPr>
      <w:r>
        <w:rPr>
          <w:rFonts w:ascii="Palatino Linotype" w:hAnsi="Palatino Linotype" w:cs="Arial"/>
          <w:b/>
          <w:color w:val="222222"/>
          <w:lang w:eastAsia="es-MX"/>
        </w:rPr>
        <w:t xml:space="preserve">De la </w:t>
      </w:r>
      <w:r w:rsidRPr="001E38B1">
        <w:rPr>
          <w:rFonts w:ascii="Palatino Linotype" w:hAnsi="Palatino Linotype"/>
          <w:b/>
        </w:rPr>
        <w:t>“Capacitación, Promoción y Liderazgo Político de las Mujeres”</w:t>
      </w:r>
      <w:r>
        <w:rPr>
          <w:rFonts w:ascii="Palatino Linotype" w:hAnsi="Palatino Linotype"/>
          <w:b/>
        </w:rPr>
        <w:t>,</w:t>
      </w:r>
      <w:r w:rsidRPr="001E38B1">
        <w:rPr>
          <w:rFonts w:ascii="Palatino Linotype" w:hAnsi="Palatino Linotype"/>
          <w:b/>
        </w:rPr>
        <w:t xml:space="preserve"> </w:t>
      </w:r>
      <w:r>
        <w:rPr>
          <w:rFonts w:ascii="Palatino Linotype" w:hAnsi="Palatino Linotype"/>
          <w:b/>
        </w:rPr>
        <w:t xml:space="preserve">efectuadas </w:t>
      </w:r>
      <w:r w:rsidRPr="001E38B1">
        <w:rPr>
          <w:rFonts w:ascii="Palatino Linotype" w:hAnsi="Palatino Linotype"/>
          <w:b/>
        </w:rPr>
        <w:t xml:space="preserve">en los años </w:t>
      </w:r>
      <w:r w:rsidRPr="001E38B1">
        <w:rPr>
          <w:rFonts w:ascii="Palatino Linotype" w:hAnsi="Palatino Linotype" w:cs="Arial"/>
          <w:b/>
          <w:color w:val="222222"/>
          <w:lang w:eastAsia="es-MX"/>
        </w:rPr>
        <w:t>2018, 2019 y 2020.</w:t>
      </w:r>
    </w:p>
    <w:p w14:paraId="029E8603" w14:textId="77777777" w:rsidR="00FE18FF" w:rsidRDefault="00A66828" w:rsidP="00003A63">
      <w:pPr>
        <w:pStyle w:val="Prrafodelista"/>
        <w:numPr>
          <w:ilvl w:val="0"/>
          <w:numId w:val="28"/>
        </w:numPr>
        <w:shd w:val="clear" w:color="auto" w:fill="FFFFFF"/>
        <w:spacing w:before="240" w:after="240" w:line="360" w:lineRule="auto"/>
        <w:jc w:val="both"/>
        <w:rPr>
          <w:rFonts w:ascii="Palatino Linotype" w:hAnsi="Palatino Linotype" w:cs="Arial"/>
          <w:b/>
          <w:color w:val="222222"/>
          <w:lang w:eastAsia="es-MX"/>
        </w:rPr>
      </w:pPr>
      <w:r w:rsidRPr="00FE18FF">
        <w:rPr>
          <w:rFonts w:ascii="Palatino Linotype" w:hAnsi="Palatino Linotype" w:cs="Arial"/>
          <w:b/>
          <w:color w:val="222222"/>
          <w:lang w:eastAsia="es-MX"/>
        </w:rPr>
        <w:t>El Acuerdo del Comité de Transparencia que clasifique como información confidencial, el nombre completo de las y los asistentes</w:t>
      </w:r>
      <w:r w:rsidR="001E38B1" w:rsidRPr="00FE18FF">
        <w:rPr>
          <w:rFonts w:ascii="Palatino Linotype" w:hAnsi="Palatino Linotype" w:cs="Arial"/>
          <w:b/>
          <w:color w:val="222222"/>
          <w:lang w:eastAsia="es-MX"/>
        </w:rPr>
        <w:t>.</w:t>
      </w:r>
      <w:r w:rsidR="00FE18FF" w:rsidRPr="00FE18FF">
        <w:rPr>
          <w:rFonts w:ascii="Palatino Linotype" w:hAnsi="Palatino Linotype" w:cs="Arial"/>
          <w:b/>
          <w:color w:val="222222"/>
          <w:lang w:eastAsia="es-MX"/>
        </w:rPr>
        <w:t xml:space="preserve"> </w:t>
      </w:r>
    </w:p>
    <w:p w14:paraId="2235F1E2" w14:textId="3E980F73" w:rsidR="00A66828" w:rsidRDefault="001E38B1" w:rsidP="00003A63">
      <w:pPr>
        <w:pStyle w:val="Prrafodelista"/>
        <w:numPr>
          <w:ilvl w:val="0"/>
          <w:numId w:val="28"/>
        </w:numPr>
        <w:shd w:val="clear" w:color="auto" w:fill="FFFFFF"/>
        <w:spacing w:before="240" w:after="240" w:line="360" w:lineRule="auto"/>
        <w:jc w:val="both"/>
        <w:rPr>
          <w:rFonts w:ascii="Palatino Linotype" w:hAnsi="Palatino Linotype" w:cs="Arial"/>
          <w:b/>
          <w:color w:val="222222"/>
          <w:lang w:eastAsia="es-MX"/>
        </w:rPr>
      </w:pPr>
      <w:r w:rsidRPr="00FE18FF">
        <w:rPr>
          <w:rFonts w:ascii="Palatino Linotype" w:hAnsi="Palatino Linotype" w:cs="Arial"/>
          <w:b/>
          <w:color w:val="222222"/>
          <w:lang w:eastAsia="es-MX"/>
        </w:rPr>
        <w:t>El soporte documental en el que conste el número de m</w:t>
      </w:r>
      <w:r w:rsidR="007A7D77">
        <w:rPr>
          <w:rFonts w:ascii="Palatino Linotype" w:hAnsi="Palatino Linotype" w:cs="Arial"/>
          <w:b/>
          <w:color w:val="222222"/>
          <w:lang w:eastAsia="es-MX"/>
        </w:rPr>
        <w:t>ujeres y hombres que asistieron, en versión pública de resultar procedente.</w:t>
      </w:r>
    </w:p>
    <w:p w14:paraId="77CB2CAE" w14:textId="77777777" w:rsidR="00C644A3" w:rsidRPr="00C644A3" w:rsidRDefault="00C644A3" w:rsidP="00C644A3">
      <w:pPr>
        <w:spacing w:before="120" w:after="120"/>
        <w:jc w:val="both"/>
        <w:rPr>
          <w:rFonts w:ascii="Palatino Linotype" w:hAnsi="Palatino Linotype" w:cs="Arial"/>
          <w:i/>
          <w:sz w:val="20"/>
          <w:szCs w:val="20"/>
        </w:rPr>
      </w:pPr>
      <w:r w:rsidRPr="00C644A3">
        <w:rPr>
          <w:rFonts w:ascii="Palatino Linotype" w:hAnsi="Palatino Linotype" w:cs="Arial"/>
          <w:i/>
          <w:sz w:val="20"/>
          <w:szCs w:val="20"/>
        </w:rPr>
        <w:lastRenderedPageBreak/>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C644A3">
        <w:rPr>
          <w:rFonts w:ascii="Palatino Linotype" w:hAnsi="Palatino Linotype" w:cs="Arial"/>
          <w:b/>
          <w:i/>
          <w:sz w:val="20"/>
          <w:szCs w:val="20"/>
        </w:rPr>
        <w:t>Recurrente</w:t>
      </w:r>
      <w:r w:rsidRPr="00C644A3">
        <w:rPr>
          <w:rFonts w:ascii="Palatino Linotype" w:hAnsi="Palatino Linotype" w:cs="Arial"/>
          <w:i/>
          <w:sz w:val="20"/>
          <w:szCs w:val="20"/>
        </w:rPr>
        <w:t>.</w:t>
      </w:r>
    </w:p>
    <w:p w14:paraId="0046599C" w14:textId="41F70488"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7473A5">
        <w:rPr>
          <w:rFonts w:ascii="Palatino Linotype" w:hAnsi="Palatino Linotype" w:cs="Arial"/>
          <w:lang w:val="es-MX" w:eastAsia="es-MX"/>
        </w:rPr>
        <w:t>veinte</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4EEA4E" w14:textId="1744AB57" w:rsidR="003353EE" w:rsidRPr="001E38B1" w:rsidRDefault="007473A5" w:rsidP="001E38B1">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F21FD26" w14:textId="6F403C9A" w:rsidR="00393325" w:rsidRDefault="00393325" w:rsidP="0039332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22288C">
        <w:rPr>
          <w:rFonts w:ascii="Palatino Linotype" w:hAnsi="Palatino Linotype" w:cs="Arial"/>
        </w:rPr>
        <w:t>TRIGÉSIMA SEGUNDA</w:t>
      </w:r>
      <w:r w:rsidRPr="00201EE7">
        <w:rPr>
          <w:rFonts w:ascii="Palatino Linotype" w:hAnsi="Palatino Linotype" w:cs="Arial"/>
        </w:rPr>
        <w:t xml:space="preserve"> SESIÓN ORDINARIA </w:t>
      </w:r>
      <w:r w:rsidRPr="00201EE7">
        <w:rPr>
          <w:rFonts w:ascii="Palatino Linotype" w:hAnsi="Palatino Linotype" w:cs="Arial"/>
        </w:rPr>
        <w:lastRenderedPageBreak/>
        <w:t xml:space="preserve">CELEBRADA EL </w:t>
      </w:r>
      <w:r w:rsidR="0022288C">
        <w:rPr>
          <w:rFonts w:ascii="Palatino Linotype" w:hAnsi="Palatino Linotype" w:cs="Arial"/>
        </w:rPr>
        <w:t>QUINCE DE SEPTIEMBRE</w:t>
      </w:r>
      <w:bookmarkStart w:id="0" w:name="_GoBack"/>
      <w:bookmarkEnd w:id="0"/>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56892518" w14:textId="00210DFB" w:rsidR="00143EC9" w:rsidRPr="00201EE7" w:rsidRDefault="00143EC9" w:rsidP="00143EC9">
      <w:pPr>
        <w:autoSpaceDE w:val="0"/>
        <w:autoSpaceDN w:val="0"/>
        <w:adjustRightInd w:val="0"/>
        <w:spacing w:before="240" w:after="240" w:line="360" w:lineRule="auto"/>
        <w:jc w:val="both"/>
        <w:rPr>
          <w:rFonts w:ascii="Palatino Linotype" w:hAnsi="Palatino Linotype" w:cs="Arial"/>
        </w:rPr>
      </w:pP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31"/>
      <w:footerReference w:type="default" r:id="rId32"/>
      <w:headerReference w:type="first" r:id="rId33"/>
      <w:footerReference w:type="first" r:id="rId34"/>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3A11F" w14:textId="77777777" w:rsidR="00F8277C" w:rsidRDefault="00F8277C" w:rsidP="00C80F8C">
      <w:r>
        <w:separator/>
      </w:r>
    </w:p>
  </w:endnote>
  <w:endnote w:type="continuationSeparator" w:id="0">
    <w:p w14:paraId="2A33E5B9" w14:textId="77777777" w:rsidR="00F8277C" w:rsidRDefault="00F827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98FED6D" w:rsidR="00F83D96" w:rsidRDefault="00F83D9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2288C">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2288C">
      <w:rPr>
        <w:rFonts w:ascii="Arial" w:hAnsi="Arial" w:cs="Arial"/>
        <w:b/>
        <w:bCs/>
        <w:noProof/>
        <w:sz w:val="20"/>
        <w:szCs w:val="20"/>
      </w:rPr>
      <w:t>36</w:t>
    </w:r>
    <w:r>
      <w:rPr>
        <w:rFonts w:ascii="Arial" w:hAnsi="Arial" w:cs="Arial"/>
        <w:b/>
        <w:bCs/>
        <w:sz w:val="20"/>
        <w:szCs w:val="20"/>
      </w:rPr>
      <w:fldChar w:fldCharType="end"/>
    </w:r>
  </w:p>
  <w:p w14:paraId="1192A578" w14:textId="77777777" w:rsidR="00F83D96" w:rsidRDefault="00F83D96" w:rsidP="00935A0D">
    <w:pPr>
      <w:pStyle w:val="Piedepgina"/>
      <w:rPr>
        <w:rFonts w:ascii="Times New Roman" w:hAnsi="Times New Roman" w:cs="Times New Roman"/>
      </w:rPr>
    </w:pPr>
  </w:p>
  <w:p w14:paraId="14A770F8" w14:textId="77777777" w:rsidR="00F83D96" w:rsidRDefault="00F83D9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C480D9" w:rsidR="00F83D96" w:rsidRDefault="00F83D9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2288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2288C">
      <w:rPr>
        <w:rFonts w:ascii="Arial" w:hAnsi="Arial" w:cs="Arial"/>
        <w:b/>
        <w:bCs/>
        <w:noProof/>
        <w:sz w:val="20"/>
        <w:szCs w:val="20"/>
      </w:rPr>
      <w:t>36</w:t>
    </w:r>
    <w:r>
      <w:rPr>
        <w:rFonts w:ascii="Arial" w:hAnsi="Arial" w:cs="Arial"/>
        <w:b/>
        <w:bCs/>
        <w:sz w:val="20"/>
        <w:szCs w:val="20"/>
      </w:rPr>
      <w:fldChar w:fldCharType="end"/>
    </w:r>
  </w:p>
  <w:p w14:paraId="5D98ABD5" w14:textId="77777777" w:rsidR="00F83D96" w:rsidRDefault="00F83D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BED78" w14:textId="77777777" w:rsidR="00F8277C" w:rsidRDefault="00F8277C" w:rsidP="00C80F8C">
      <w:r>
        <w:separator/>
      </w:r>
    </w:p>
  </w:footnote>
  <w:footnote w:type="continuationSeparator" w:id="0">
    <w:p w14:paraId="3951B782" w14:textId="77777777" w:rsidR="00F8277C" w:rsidRDefault="00F8277C" w:rsidP="00C80F8C">
      <w:r>
        <w:continuationSeparator/>
      </w:r>
    </w:p>
  </w:footnote>
  <w:footnote w:id="1">
    <w:p w14:paraId="0EB5A3ED" w14:textId="77777777" w:rsidR="00F83D96" w:rsidRPr="000E20F0" w:rsidRDefault="00F83D96" w:rsidP="007B25EC">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4F53D9A3" w14:textId="77777777" w:rsidR="006B59F2" w:rsidRPr="00304DB0" w:rsidRDefault="006B59F2" w:rsidP="006B59F2">
      <w:pPr>
        <w:pStyle w:val="Textonotapie"/>
        <w:jc w:val="both"/>
        <w:rPr>
          <w:rFonts w:ascii="Palatino Linotype" w:hAnsi="Palatino Linotype"/>
          <w:sz w:val="16"/>
          <w:szCs w:val="16"/>
        </w:rPr>
      </w:pPr>
      <w:r w:rsidRPr="0062710B">
        <w:rPr>
          <w:rStyle w:val="Refdenotaalpie"/>
          <w:rFonts w:ascii="Palatino Linotype" w:hAnsi="Palatino Linotype"/>
        </w:rPr>
        <w:footnoteRef/>
      </w:r>
      <w:r w:rsidRPr="0062710B">
        <w:rPr>
          <w:rFonts w:ascii="Palatino Linotype" w:hAnsi="Palatino Linotype"/>
        </w:rPr>
        <w:t xml:space="preserve"> </w:t>
      </w:r>
      <w:r w:rsidRPr="00304DB0">
        <w:rPr>
          <w:rFonts w:ascii="Palatino Linotype" w:hAnsi="Palatino Linotype"/>
          <w:sz w:val="16"/>
          <w:szCs w:val="16"/>
        </w:rPr>
        <w:t>Ver criterio del Poder Judicial de la Federación con rubro: ACTOS CONSENTIDOS, NATURALEZA DEL CONSENTIMIENTO EN LOS.</w:t>
      </w:r>
    </w:p>
    <w:p w14:paraId="5ED12F03" w14:textId="77777777" w:rsidR="006B59F2" w:rsidRPr="00304DB0" w:rsidRDefault="006B59F2" w:rsidP="006B59F2">
      <w:pPr>
        <w:pStyle w:val="Textonotapie"/>
        <w:jc w:val="both"/>
        <w:rPr>
          <w:sz w:val="16"/>
          <w:szCs w:val="16"/>
        </w:rPr>
      </w:pPr>
      <w:r w:rsidRPr="00304DB0">
        <w:rPr>
          <w:rFonts w:ascii="Palatino Linotype" w:hAnsi="Palatino Linotype"/>
          <w:sz w:val="16"/>
          <w:szCs w:val="16"/>
        </w:rPr>
        <w:t>Localización 918176. 13. Sala Auxiliar. Séptima Época. Apéndice 2000. Tomo VI, Común, P.R. SCJN, Pág. 11.</w:t>
      </w:r>
    </w:p>
  </w:footnote>
  <w:footnote w:id="3">
    <w:p w14:paraId="1A056D0B" w14:textId="77777777" w:rsidR="006B59F2" w:rsidRPr="00304DB0" w:rsidRDefault="006B59F2" w:rsidP="006B59F2">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4">
    <w:p w14:paraId="5D350880" w14:textId="77777777" w:rsidR="006B59F2" w:rsidRPr="00304DB0" w:rsidRDefault="006B59F2" w:rsidP="006B59F2">
      <w:pPr>
        <w:pStyle w:val="Textonotapie"/>
        <w:jc w:val="both"/>
        <w:rPr>
          <w:sz w:val="16"/>
          <w:szCs w:val="16"/>
        </w:rPr>
      </w:pPr>
      <w:r w:rsidRPr="00304DB0">
        <w:rPr>
          <w:rStyle w:val="Refdenotaalpie"/>
          <w:sz w:val="16"/>
          <w:szCs w:val="16"/>
        </w:rPr>
        <w:footnoteRef/>
      </w:r>
      <w:r w:rsidRPr="00304DB0">
        <w:rPr>
          <w:sz w:val="16"/>
          <w:szCs w:val="16"/>
        </w:rPr>
        <w:t xml:space="preserve"> Localización: 223340.  Tribunales Colegiados de Circuito. Octava Época. Semanario Judicial de la Federación. Tomo VII, Marzo de 1991, Pág. 106</w:t>
      </w:r>
    </w:p>
  </w:footnote>
  <w:footnote w:id="5">
    <w:p w14:paraId="45718E47" w14:textId="77777777" w:rsidR="007C5EE3" w:rsidRPr="00810ACD" w:rsidRDefault="007C5EE3" w:rsidP="007C5EE3">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306C185B" w14:textId="77777777" w:rsidR="007C5EE3" w:rsidRPr="00810ACD" w:rsidRDefault="007C5EE3" w:rsidP="007C5EE3">
      <w:pPr>
        <w:pStyle w:val="Textonotapie"/>
        <w:rPr>
          <w:lang w:val="es-ES"/>
        </w:rPr>
      </w:pPr>
    </w:p>
  </w:footnote>
  <w:footnote w:id="6">
    <w:p w14:paraId="221C0CD1" w14:textId="77777777" w:rsidR="00A66828" w:rsidRPr="00E70844" w:rsidRDefault="00A66828" w:rsidP="00A6682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7">
    <w:p w14:paraId="29247B07" w14:textId="77777777" w:rsidR="00A66828" w:rsidRPr="009064F6" w:rsidRDefault="00A66828" w:rsidP="00A66828">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8">
    <w:p w14:paraId="779091DB" w14:textId="77777777" w:rsidR="00A66828" w:rsidRPr="00E70844" w:rsidRDefault="00A66828" w:rsidP="00A66828">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9">
    <w:p w14:paraId="0038885B" w14:textId="77777777" w:rsidR="00A66828" w:rsidRPr="00E70844" w:rsidRDefault="00A66828" w:rsidP="00A6682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13D3C009" w14:textId="77777777" w:rsidR="00A66828" w:rsidRPr="00CE236E" w:rsidRDefault="00A66828" w:rsidP="00A66828">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F83D96" w14:paraId="6B4E3B81" w14:textId="77777777" w:rsidTr="009D4854">
      <w:tc>
        <w:tcPr>
          <w:tcW w:w="2553" w:type="dxa"/>
          <w:vAlign w:val="center"/>
          <w:hideMark/>
        </w:tcPr>
        <w:p w14:paraId="0ABBC6C0" w14:textId="3D35EB5A" w:rsidR="00F83D96" w:rsidRDefault="00F83D9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FA733A1" w:rsidR="00F83D96" w:rsidRDefault="00F83D96"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02064/INFOEM/IP/RR/2021</w:t>
          </w:r>
        </w:p>
      </w:tc>
    </w:tr>
    <w:tr w:rsidR="00F83D96" w14:paraId="31CB780F" w14:textId="77777777" w:rsidTr="009D4854">
      <w:trPr>
        <w:trHeight w:val="228"/>
      </w:trPr>
      <w:tc>
        <w:tcPr>
          <w:tcW w:w="2553" w:type="dxa"/>
          <w:vAlign w:val="center"/>
          <w:hideMark/>
        </w:tcPr>
        <w:p w14:paraId="4F49CB4A" w14:textId="6966D32E" w:rsidR="00F83D96" w:rsidRDefault="00F83D9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51CC964E" w:rsidR="00F83D96" w:rsidRDefault="00F83D96" w:rsidP="00547B11">
          <w:pPr>
            <w:rPr>
              <w:rFonts w:ascii="Palatino Linotype" w:hAnsi="Palatino Linotype"/>
              <w:b/>
              <w:sz w:val="22"/>
              <w:szCs w:val="22"/>
              <w:lang w:val="es-ES_tradnl"/>
            </w:rPr>
          </w:pPr>
          <w:r>
            <w:rPr>
              <w:rFonts w:ascii="Palatino Linotype" w:eastAsiaTheme="minorEastAsia" w:hAnsi="Palatino Linotype" w:cs="Arial"/>
              <w:b/>
              <w:sz w:val="22"/>
              <w:szCs w:val="22"/>
              <w:lang w:val="es-MX"/>
            </w:rPr>
            <w:t>Partido Movimiento Ciudadano</w:t>
          </w:r>
        </w:p>
      </w:tc>
    </w:tr>
    <w:tr w:rsidR="00F83D96" w14:paraId="69050F56" w14:textId="77777777" w:rsidTr="009D4854">
      <w:tc>
        <w:tcPr>
          <w:tcW w:w="2553" w:type="dxa"/>
          <w:vAlign w:val="center"/>
          <w:hideMark/>
        </w:tcPr>
        <w:p w14:paraId="65C9B735" w14:textId="36A41F4E" w:rsidR="00F83D96" w:rsidRDefault="00F83D96"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208E241" w:rsidR="00F83D96" w:rsidRDefault="00F83D96"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F83D96" w:rsidRDefault="00F83D9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83D96" w:rsidRDefault="00F83D9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F83D96" w:rsidRDefault="00F83D96"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F83D96" w14:paraId="477E149B" w14:textId="77777777" w:rsidTr="00C47D1B">
      <w:tc>
        <w:tcPr>
          <w:tcW w:w="2553" w:type="dxa"/>
          <w:vAlign w:val="center"/>
          <w:hideMark/>
        </w:tcPr>
        <w:p w14:paraId="5C0586E4" w14:textId="77777777" w:rsidR="00F83D96" w:rsidRDefault="00F83D9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DF972BA" w:rsidR="00F83D96" w:rsidRPr="004440AC" w:rsidRDefault="00F83D96"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02064/INFOEM/IP/RR/2021</w:t>
          </w:r>
        </w:p>
      </w:tc>
    </w:tr>
    <w:tr w:rsidR="00F83D96" w14:paraId="5B5BE21C" w14:textId="77777777" w:rsidTr="00C47D1B">
      <w:tc>
        <w:tcPr>
          <w:tcW w:w="2553" w:type="dxa"/>
          <w:vAlign w:val="center"/>
          <w:hideMark/>
        </w:tcPr>
        <w:p w14:paraId="4AE96902" w14:textId="4E063913" w:rsidR="00F83D96" w:rsidRDefault="00F83D9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9BD8708" w:rsidR="00F83D96" w:rsidRPr="004440AC" w:rsidRDefault="00F83D96" w:rsidP="00F82E89">
          <w:pPr>
            <w:rPr>
              <w:rFonts w:ascii="Palatino Linotype" w:hAnsi="Palatino Linotype"/>
              <w:b/>
              <w:sz w:val="22"/>
              <w:szCs w:val="22"/>
              <w:lang w:val="es-ES_tradnl"/>
            </w:rPr>
          </w:pPr>
          <w:r>
            <w:rPr>
              <w:rFonts w:ascii="Palatino Linotype" w:hAnsi="Palatino Linotype"/>
              <w:b/>
              <w:sz w:val="22"/>
              <w:szCs w:val="22"/>
              <w:lang w:val="es-ES_tradnl"/>
            </w:rPr>
            <w:t>ciudadano - -</w:t>
          </w:r>
        </w:p>
      </w:tc>
    </w:tr>
    <w:tr w:rsidR="00F83D96" w14:paraId="22601A11" w14:textId="77777777" w:rsidTr="00C47D1B">
      <w:trPr>
        <w:trHeight w:val="228"/>
      </w:trPr>
      <w:tc>
        <w:tcPr>
          <w:tcW w:w="2553" w:type="dxa"/>
          <w:vAlign w:val="center"/>
          <w:hideMark/>
        </w:tcPr>
        <w:p w14:paraId="6EFE221D" w14:textId="49C5F800" w:rsidR="00F83D96" w:rsidRDefault="00F83D9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FB91575" w:rsidR="00F83D96" w:rsidRPr="004440AC" w:rsidRDefault="00F83D96" w:rsidP="00547B11">
          <w:pPr>
            <w:rPr>
              <w:rFonts w:ascii="Palatino Linotype" w:hAnsi="Palatino Linotype"/>
              <w:b/>
              <w:sz w:val="22"/>
              <w:szCs w:val="22"/>
              <w:lang w:val="es-ES_tradnl"/>
            </w:rPr>
          </w:pPr>
          <w:r>
            <w:rPr>
              <w:rFonts w:ascii="Palatino Linotype" w:eastAsiaTheme="minorEastAsia" w:hAnsi="Palatino Linotype" w:cs="Arial"/>
              <w:b/>
              <w:sz w:val="22"/>
              <w:szCs w:val="22"/>
              <w:lang w:val="es-MX"/>
            </w:rPr>
            <w:t>Partido Movimiento Ciudadano</w:t>
          </w:r>
        </w:p>
      </w:tc>
    </w:tr>
    <w:tr w:rsidR="00F83D96" w14:paraId="2D6C630E" w14:textId="77777777" w:rsidTr="00C47D1B">
      <w:tc>
        <w:tcPr>
          <w:tcW w:w="2553" w:type="dxa"/>
          <w:vAlign w:val="center"/>
          <w:hideMark/>
        </w:tcPr>
        <w:p w14:paraId="5BD4C6DB" w14:textId="3C33D2B9" w:rsidR="00F83D96" w:rsidRDefault="00F83D96"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4B7D5A2" w:rsidR="00F83D96" w:rsidRPr="004440AC" w:rsidRDefault="00F83D96"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F83D96" w:rsidRDefault="00F83D9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E775A60"/>
    <w:multiLevelType w:val="hybridMultilevel"/>
    <w:tmpl w:val="9B36E5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FC3AC4"/>
    <w:multiLevelType w:val="multilevel"/>
    <w:tmpl w:val="853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3E5316B"/>
    <w:multiLevelType w:val="hybridMultilevel"/>
    <w:tmpl w:val="BD3C3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5" w15:restartNumberingAfterBreak="0">
    <w:nsid w:val="5E3C775F"/>
    <w:multiLevelType w:val="hybridMultilevel"/>
    <w:tmpl w:val="B176A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131251"/>
    <w:multiLevelType w:val="hybridMultilevel"/>
    <w:tmpl w:val="36F6D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E9470A"/>
    <w:multiLevelType w:val="hybridMultilevel"/>
    <w:tmpl w:val="F84E8DD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A77416"/>
    <w:multiLevelType w:val="hybridMultilevel"/>
    <w:tmpl w:val="60344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073A38"/>
    <w:multiLevelType w:val="hybridMultilevel"/>
    <w:tmpl w:val="60344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9"/>
  </w:num>
  <w:num w:numId="3">
    <w:abstractNumId w:val="24"/>
  </w:num>
  <w:num w:numId="4">
    <w:abstractNumId w:val="11"/>
  </w:num>
  <w:num w:numId="5">
    <w:abstractNumId w:val="20"/>
  </w:num>
  <w:num w:numId="6">
    <w:abstractNumId w:val="33"/>
  </w:num>
  <w:num w:numId="7">
    <w:abstractNumId w:val="29"/>
  </w:num>
  <w:num w:numId="8">
    <w:abstractNumId w:val="19"/>
  </w:num>
  <w:num w:numId="9">
    <w:abstractNumId w:val="17"/>
  </w:num>
  <w:num w:numId="10">
    <w:abstractNumId w:val="5"/>
  </w:num>
  <w:num w:numId="11">
    <w:abstractNumId w:val="0"/>
  </w:num>
  <w:num w:numId="12">
    <w:abstractNumId w:val="15"/>
  </w:num>
  <w:num w:numId="13">
    <w:abstractNumId w:val="27"/>
  </w:num>
  <w:num w:numId="14">
    <w:abstractNumId w:val="30"/>
  </w:num>
  <w:num w:numId="15">
    <w:abstractNumId w:val="7"/>
  </w:num>
  <w:num w:numId="16">
    <w:abstractNumId w:val="4"/>
  </w:num>
  <w:num w:numId="17">
    <w:abstractNumId w:val="6"/>
  </w:num>
  <w:num w:numId="18">
    <w:abstractNumId w:val="26"/>
  </w:num>
  <w:num w:numId="19">
    <w:abstractNumId w:val="2"/>
  </w:num>
  <w:num w:numId="20">
    <w:abstractNumId w:val="10"/>
  </w:num>
  <w:num w:numId="21">
    <w:abstractNumId w:val="32"/>
  </w:num>
  <w:num w:numId="22">
    <w:abstractNumId w:val="3"/>
  </w:num>
  <w:num w:numId="23">
    <w:abstractNumId w:val="21"/>
  </w:num>
  <w:num w:numId="24">
    <w:abstractNumId w:val="13"/>
  </w:num>
  <w:num w:numId="25">
    <w:abstractNumId w:val="12"/>
  </w:num>
  <w:num w:numId="26">
    <w:abstractNumId w:val="36"/>
  </w:num>
  <w:num w:numId="27">
    <w:abstractNumId w:val="8"/>
  </w:num>
  <w:num w:numId="28">
    <w:abstractNumId w:val="1"/>
  </w:num>
  <w:num w:numId="29">
    <w:abstractNumId w:val="16"/>
  </w:num>
  <w:num w:numId="30">
    <w:abstractNumId w:val="35"/>
  </w:num>
  <w:num w:numId="31">
    <w:abstractNumId w:val="14"/>
  </w:num>
  <w:num w:numId="32">
    <w:abstractNumId w:val="25"/>
  </w:num>
  <w:num w:numId="33">
    <w:abstractNumId w:val="28"/>
  </w:num>
  <w:num w:numId="34">
    <w:abstractNumId w:val="22"/>
  </w:num>
  <w:num w:numId="35">
    <w:abstractNumId w:val="18"/>
  </w:num>
  <w:num w:numId="36">
    <w:abstractNumId w:val="34"/>
  </w:num>
  <w:num w:numId="37">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7714"/>
    <w:rsid w:val="000C77C6"/>
    <w:rsid w:val="000C7C04"/>
    <w:rsid w:val="000D33E5"/>
    <w:rsid w:val="000D3579"/>
    <w:rsid w:val="000D687E"/>
    <w:rsid w:val="000E32E4"/>
    <w:rsid w:val="000F22AD"/>
    <w:rsid w:val="000F2A42"/>
    <w:rsid w:val="00101C1A"/>
    <w:rsid w:val="00104E08"/>
    <w:rsid w:val="00105D51"/>
    <w:rsid w:val="0010696A"/>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86DFF"/>
    <w:rsid w:val="001911CC"/>
    <w:rsid w:val="00191815"/>
    <w:rsid w:val="0019215B"/>
    <w:rsid w:val="00194D46"/>
    <w:rsid w:val="001978D4"/>
    <w:rsid w:val="001A113F"/>
    <w:rsid w:val="001A1810"/>
    <w:rsid w:val="001A2A37"/>
    <w:rsid w:val="001A2FF3"/>
    <w:rsid w:val="001A373A"/>
    <w:rsid w:val="001A4A26"/>
    <w:rsid w:val="001B5099"/>
    <w:rsid w:val="001B6BAF"/>
    <w:rsid w:val="001B6BDC"/>
    <w:rsid w:val="001C0C3F"/>
    <w:rsid w:val="001C4BAC"/>
    <w:rsid w:val="001C4C05"/>
    <w:rsid w:val="001C7229"/>
    <w:rsid w:val="001D064E"/>
    <w:rsid w:val="001D54C7"/>
    <w:rsid w:val="001E1C02"/>
    <w:rsid w:val="001E38B1"/>
    <w:rsid w:val="001E39C4"/>
    <w:rsid w:val="001E5309"/>
    <w:rsid w:val="001E64BE"/>
    <w:rsid w:val="001F1B46"/>
    <w:rsid w:val="001F1F7D"/>
    <w:rsid w:val="001F501F"/>
    <w:rsid w:val="0020054B"/>
    <w:rsid w:val="00201E21"/>
    <w:rsid w:val="00204C2A"/>
    <w:rsid w:val="00205DAE"/>
    <w:rsid w:val="00212FE4"/>
    <w:rsid w:val="00214B37"/>
    <w:rsid w:val="00215922"/>
    <w:rsid w:val="00220958"/>
    <w:rsid w:val="00221545"/>
    <w:rsid w:val="0022288C"/>
    <w:rsid w:val="00222F65"/>
    <w:rsid w:val="00223D0B"/>
    <w:rsid w:val="002317AF"/>
    <w:rsid w:val="0023264F"/>
    <w:rsid w:val="00233157"/>
    <w:rsid w:val="0023380E"/>
    <w:rsid w:val="00233F8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42F7"/>
    <w:rsid w:val="002D508B"/>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3ADB"/>
    <w:rsid w:val="00333C7C"/>
    <w:rsid w:val="003349F4"/>
    <w:rsid w:val="00335047"/>
    <w:rsid w:val="003353EE"/>
    <w:rsid w:val="00340B86"/>
    <w:rsid w:val="00340D76"/>
    <w:rsid w:val="0034200B"/>
    <w:rsid w:val="0034256E"/>
    <w:rsid w:val="00343057"/>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3325"/>
    <w:rsid w:val="00396E0C"/>
    <w:rsid w:val="00397C2A"/>
    <w:rsid w:val="003A11DD"/>
    <w:rsid w:val="003A2B96"/>
    <w:rsid w:val="003A43BF"/>
    <w:rsid w:val="003A5A6E"/>
    <w:rsid w:val="003A6186"/>
    <w:rsid w:val="003A622D"/>
    <w:rsid w:val="003A7920"/>
    <w:rsid w:val="003B72E9"/>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16DE"/>
    <w:rsid w:val="0040233B"/>
    <w:rsid w:val="00405F96"/>
    <w:rsid w:val="00410650"/>
    <w:rsid w:val="004106C1"/>
    <w:rsid w:val="004126F7"/>
    <w:rsid w:val="00414EE8"/>
    <w:rsid w:val="00416AAC"/>
    <w:rsid w:val="0042006D"/>
    <w:rsid w:val="00423786"/>
    <w:rsid w:val="00424241"/>
    <w:rsid w:val="00430A98"/>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2417"/>
    <w:rsid w:val="00464624"/>
    <w:rsid w:val="004654E0"/>
    <w:rsid w:val="004677F9"/>
    <w:rsid w:val="0047775E"/>
    <w:rsid w:val="00482731"/>
    <w:rsid w:val="0048286C"/>
    <w:rsid w:val="00483A0F"/>
    <w:rsid w:val="0048589D"/>
    <w:rsid w:val="00487F15"/>
    <w:rsid w:val="004912A0"/>
    <w:rsid w:val="004928DE"/>
    <w:rsid w:val="00493188"/>
    <w:rsid w:val="00493E2F"/>
    <w:rsid w:val="00494BE7"/>
    <w:rsid w:val="0049576C"/>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235"/>
    <w:rsid w:val="004C7701"/>
    <w:rsid w:val="004D0A26"/>
    <w:rsid w:val="004D0EE4"/>
    <w:rsid w:val="004D3B80"/>
    <w:rsid w:val="004D47C8"/>
    <w:rsid w:val="004D5AC0"/>
    <w:rsid w:val="004D5FEF"/>
    <w:rsid w:val="004D7199"/>
    <w:rsid w:val="004E117E"/>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3B5B"/>
    <w:rsid w:val="005157E1"/>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1BA4"/>
    <w:rsid w:val="00552D59"/>
    <w:rsid w:val="0056588E"/>
    <w:rsid w:val="00571374"/>
    <w:rsid w:val="00571391"/>
    <w:rsid w:val="00573516"/>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7EC"/>
    <w:rsid w:val="005F0F9A"/>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7094"/>
    <w:rsid w:val="00655B83"/>
    <w:rsid w:val="00656C59"/>
    <w:rsid w:val="00660909"/>
    <w:rsid w:val="006614CB"/>
    <w:rsid w:val="00666655"/>
    <w:rsid w:val="006701CE"/>
    <w:rsid w:val="00672DF8"/>
    <w:rsid w:val="006747B5"/>
    <w:rsid w:val="00675974"/>
    <w:rsid w:val="00677B4A"/>
    <w:rsid w:val="006803E8"/>
    <w:rsid w:val="00680886"/>
    <w:rsid w:val="00682656"/>
    <w:rsid w:val="00683EAC"/>
    <w:rsid w:val="00684EF6"/>
    <w:rsid w:val="00686279"/>
    <w:rsid w:val="00686388"/>
    <w:rsid w:val="006867CC"/>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59F2"/>
    <w:rsid w:val="006B77D6"/>
    <w:rsid w:val="006C24A5"/>
    <w:rsid w:val="006C24CD"/>
    <w:rsid w:val="006C399A"/>
    <w:rsid w:val="006C60B5"/>
    <w:rsid w:val="006C636A"/>
    <w:rsid w:val="006C7242"/>
    <w:rsid w:val="006D64F9"/>
    <w:rsid w:val="006E2EA9"/>
    <w:rsid w:val="006E6278"/>
    <w:rsid w:val="006E6389"/>
    <w:rsid w:val="006E662E"/>
    <w:rsid w:val="006E69AA"/>
    <w:rsid w:val="006E7CA3"/>
    <w:rsid w:val="006F30F8"/>
    <w:rsid w:val="006F3144"/>
    <w:rsid w:val="006F5B9E"/>
    <w:rsid w:val="006F6E1B"/>
    <w:rsid w:val="007049AF"/>
    <w:rsid w:val="007061DF"/>
    <w:rsid w:val="00711B09"/>
    <w:rsid w:val="0071646D"/>
    <w:rsid w:val="00716CE1"/>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158D"/>
    <w:rsid w:val="0077203A"/>
    <w:rsid w:val="0077266E"/>
    <w:rsid w:val="00773601"/>
    <w:rsid w:val="00775CB2"/>
    <w:rsid w:val="00776527"/>
    <w:rsid w:val="0077689F"/>
    <w:rsid w:val="0078083D"/>
    <w:rsid w:val="00782DD9"/>
    <w:rsid w:val="007830E3"/>
    <w:rsid w:val="00787DB5"/>
    <w:rsid w:val="00794305"/>
    <w:rsid w:val="0079652C"/>
    <w:rsid w:val="007A11F1"/>
    <w:rsid w:val="007A35F6"/>
    <w:rsid w:val="007A4E83"/>
    <w:rsid w:val="007A5F1A"/>
    <w:rsid w:val="007A7D77"/>
    <w:rsid w:val="007B25EC"/>
    <w:rsid w:val="007B5B76"/>
    <w:rsid w:val="007B755C"/>
    <w:rsid w:val="007C025F"/>
    <w:rsid w:val="007C09AA"/>
    <w:rsid w:val="007C0AFD"/>
    <w:rsid w:val="007C3D29"/>
    <w:rsid w:val="007C3E67"/>
    <w:rsid w:val="007C5EE3"/>
    <w:rsid w:val="007C6783"/>
    <w:rsid w:val="007C7E5A"/>
    <w:rsid w:val="007C7E63"/>
    <w:rsid w:val="007D0C6E"/>
    <w:rsid w:val="007D112D"/>
    <w:rsid w:val="007D1598"/>
    <w:rsid w:val="007D2308"/>
    <w:rsid w:val="007D37E3"/>
    <w:rsid w:val="007D5B23"/>
    <w:rsid w:val="007D7334"/>
    <w:rsid w:val="007D7351"/>
    <w:rsid w:val="007E07A7"/>
    <w:rsid w:val="007E09E9"/>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7493"/>
    <w:rsid w:val="008900BC"/>
    <w:rsid w:val="00892AFC"/>
    <w:rsid w:val="0089436A"/>
    <w:rsid w:val="00895C62"/>
    <w:rsid w:val="00896C9F"/>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34A"/>
    <w:rsid w:val="008D3743"/>
    <w:rsid w:val="008D4B2A"/>
    <w:rsid w:val="008D742E"/>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31F1"/>
    <w:rsid w:val="0092433B"/>
    <w:rsid w:val="009243B2"/>
    <w:rsid w:val="00926B57"/>
    <w:rsid w:val="009279BF"/>
    <w:rsid w:val="00927E2E"/>
    <w:rsid w:val="00930F79"/>
    <w:rsid w:val="009318D5"/>
    <w:rsid w:val="00931EF0"/>
    <w:rsid w:val="00932F08"/>
    <w:rsid w:val="0093359E"/>
    <w:rsid w:val="00933F41"/>
    <w:rsid w:val="00934127"/>
    <w:rsid w:val="00935A0D"/>
    <w:rsid w:val="00936419"/>
    <w:rsid w:val="0093658F"/>
    <w:rsid w:val="00936724"/>
    <w:rsid w:val="00937DBE"/>
    <w:rsid w:val="00940FFE"/>
    <w:rsid w:val="009411A0"/>
    <w:rsid w:val="00943B74"/>
    <w:rsid w:val="0094486F"/>
    <w:rsid w:val="00944CA2"/>
    <w:rsid w:val="00947905"/>
    <w:rsid w:val="009500DD"/>
    <w:rsid w:val="00951F0F"/>
    <w:rsid w:val="00952606"/>
    <w:rsid w:val="009573BD"/>
    <w:rsid w:val="0096089C"/>
    <w:rsid w:val="00964E79"/>
    <w:rsid w:val="00964F37"/>
    <w:rsid w:val="00965BF0"/>
    <w:rsid w:val="009702F7"/>
    <w:rsid w:val="0097252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1F69"/>
    <w:rsid w:val="009A3ADA"/>
    <w:rsid w:val="009A3F8E"/>
    <w:rsid w:val="009A78A9"/>
    <w:rsid w:val="009B031B"/>
    <w:rsid w:val="009B299F"/>
    <w:rsid w:val="009B29BB"/>
    <w:rsid w:val="009B55C4"/>
    <w:rsid w:val="009B6587"/>
    <w:rsid w:val="009B6C33"/>
    <w:rsid w:val="009C3731"/>
    <w:rsid w:val="009C5D00"/>
    <w:rsid w:val="009D00FC"/>
    <w:rsid w:val="009D4854"/>
    <w:rsid w:val="009D5847"/>
    <w:rsid w:val="009D605C"/>
    <w:rsid w:val="009D6900"/>
    <w:rsid w:val="009E006C"/>
    <w:rsid w:val="009E0E68"/>
    <w:rsid w:val="009E11BB"/>
    <w:rsid w:val="009E1E5F"/>
    <w:rsid w:val="009E2235"/>
    <w:rsid w:val="009E266B"/>
    <w:rsid w:val="009E32E3"/>
    <w:rsid w:val="009E7036"/>
    <w:rsid w:val="009E77F5"/>
    <w:rsid w:val="009F19E6"/>
    <w:rsid w:val="009F3151"/>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6828"/>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7491"/>
    <w:rsid w:val="00AC0315"/>
    <w:rsid w:val="00AC08A3"/>
    <w:rsid w:val="00AC4727"/>
    <w:rsid w:val="00AC6E31"/>
    <w:rsid w:val="00AD091C"/>
    <w:rsid w:val="00AD1D3D"/>
    <w:rsid w:val="00AD7C1B"/>
    <w:rsid w:val="00AE013D"/>
    <w:rsid w:val="00AE34E5"/>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5363"/>
    <w:rsid w:val="00B21982"/>
    <w:rsid w:val="00B25A6F"/>
    <w:rsid w:val="00B26ECA"/>
    <w:rsid w:val="00B33C6F"/>
    <w:rsid w:val="00B34ED3"/>
    <w:rsid w:val="00B35432"/>
    <w:rsid w:val="00B373AD"/>
    <w:rsid w:val="00B4134E"/>
    <w:rsid w:val="00B42489"/>
    <w:rsid w:val="00B42812"/>
    <w:rsid w:val="00B42B2D"/>
    <w:rsid w:val="00B42DA0"/>
    <w:rsid w:val="00B44DA3"/>
    <w:rsid w:val="00B453A9"/>
    <w:rsid w:val="00B460AA"/>
    <w:rsid w:val="00B5061D"/>
    <w:rsid w:val="00B509A2"/>
    <w:rsid w:val="00B5114C"/>
    <w:rsid w:val="00B518F7"/>
    <w:rsid w:val="00B5328A"/>
    <w:rsid w:val="00B5510F"/>
    <w:rsid w:val="00B623CE"/>
    <w:rsid w:val="00B662AD"/>
    <w:rsid w:val="00B82000"/>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2651"/>
    <w:rsid w:val="00BD3AD2"/>
    <w:rsid w:val="00BD428D"/>
    <w:rsid w:val="00BD6BED"/>
    <w:rsid w:val="00BD7483"/>
    <w:rsid w:val="00BE0E74"/>
    <w:rsid w:val="00BE21E1"/>
    <w:rsid w:val="00BE226E"/>
    <w:rsid w:val="00BE67A1"/>
    <w:rsid w:val="00BF0748"/>
    <w:rsid w:val="00C0130F"/>
    <w:rsid w:val="00C0590E"/>
    <w:rsid w:val="00C06D03"/>
    <w:rsid w:val="00C1122F"/>
    <w:rsid w:val="00C134E5"/>
    <w:rsid w:val="00C16490"/>
    <w:rsid w:val="00C17535"/>
    <w:rsid w:val="00C20E42"/>
    <w:rsid w:val="00C22635"/>
    <w:rsid w:val="00C22842"/>
    <w:rsid w:val="00C23048"/>
    <w:rsid w:val="00C23621"/>
    <w:rsid w:val="00C265CC"/>
    <w:rsid w:val="00C273AE"/>
    <w:rsid w:val="00C34D4E"/>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44A3"/>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66DF"/>
    <w:rsid w:val="00CA7476"/>
    <w:rsid w:val="00CB2A57"/>
    <w:rsid w:val="00CC0147"/>
    <w:rsid w:val="00CC0C5D"/>
    <w:rsid w:val="00CC0EE1"/>
    <w:rsid w:val="00CC22DD"/>
    <w:rsid w:val="00CC2620"/>
    <w:rsid w:val="00CC2BF2"/>
    <w:rsid w:val="00CC30A8"/>
    <w:rsid w:val="00CC5E23"/>
    <w:rsid w:val="00CC6DCA"/>
    <w:rsid w:val="00CC7492"/>
    <w:rsid w:val="00CD265F"/>
    <w:rsid w:val="00CD2AE3"/>
    <w:rsid w:val="00CD3541"/>
    <w:rsid w:val="00CD7601"/>
    <w:rsid w:val="00CE0756"/>
    <w:rsid w:val="00CE101F"/>
    <w:rsid w:val="00CE1592"/>
    <w:rsid w:val="00CE46FC"/>
    <w:rsid w:val="00CE4AA8"/>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71C6"/>
    <w:rsid w:val="00D372B2"/>
    <w:rsid w:val="00D4136B"/>
    <w:rsid w:val="00D41D70"/>
    <w:rsid w:val="00D42175"/>
    <w:rsid w:val="00D42497"/>
    <w:rsid w:val="00D4555A"/>
    <w:rsid w:val="00D47351"/>
    <w:rsid w:val="00D50580"/>
    <w:rsid w:val="00D50608"/>
    <w:rsid w:val="00D518E8"/>
    <w:rsid w:val="00D53645"/>
    <w:rsid w:val="00D61AAA"/>
    <w:rsid w:val="00D63660"/>
    <w:rsid w:val="00D649B8"/>
    <w:rsid w:val="00D7015C"/>
    <w:rsid w:val="00D712A2"/>
    <w:rsid w:val="00D71585"/>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46EB"/>
    <w:rsid w:val="00DB78B5"/>
    <w:rsid w:val="00DC215D"/>
    <w:rsid w:val="00DC3E83"/>
    <w:rsid w:val="00DC4C29"/>
    <w:rsid w:val="00DC5FA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079"/>
    <w:rsid w:val="00DF5AB3"/>
    <w:rsid w:val="00DF7EEE"/>
    <w:rsid w:val="00DF7FDB"/>
    <w:rsid w:val="00E01862"/>
    <w:rsid w:val="00E020A1"/>
    <w:rsid w:val="00E16244"/>
    <w:rsid w:val="00E16369"/>
    <w:rsid w:val="00E16404"/>
    <w:rsid w:val="00E16AC1"/>
    <w:rsid w:val="00E2091D"/>
    <w:rsid w:val="00E2092A"/>
    <w:rsid w:val="00E2306B"/>
    <w:rsid w:val="00E26425"/>
    <w:rsid w:val="00E33DC1"/>
    <w:rsid w:val="00E34890"/>
    <w:rsid w:val="00E4041D"/>
    <w:rsid w:val="00E43330"/>
    <w:rsid w:val="00E45A3C"/>
    <w:rsid w:val="00E45F6B"/>
    <w:rsid w:val="00E5532F"/>
    <w:rsid w:val="00E55D85"/>
    <w:rsid w:val="00E64143"/>
    <w:rsid w:val="00E6514E"/>
    <w:rsid w:val="00E663D1"/>
    <w:rsid w:val="00E66AC9"/>
    <w:rsid w:val="00E66CA0"/>
    <w:rsid w:val="00E67C01"/>
    <w:rsid w:val="00E71476"/>
    <w:rsid w:val="00E7373D"/>
    <w:rsid w:val="00E74285"/>
    <w:rsid w:val="00E81221"/>
    <w:rsid w:val="00E8169E"/>
    <w:rsid w:val="00E82A53"/>
    <w:rsid w:val="00E859DD"/>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C0103"/>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4A62"/>
    <w:rsid w:val="00F16172"/>
    <w:rsid w:val="00F172EE"/>
    <w:rsid w:val="00F179D8"/>
    <w:rsid w:val="00F2098F"/>
    <w:rsid w:val="00F21A5B"/>
    <w:rsid w:val="00F30F7B"/>
    <w:rsid w:val="00F310E7"/>
    <w:rsid w:val="00F32440"/>
    <w:rsid w:val="00F32BCB"/>
    <w:rsid w:val="00F32DB1"/>
    <w:rsid w:val="00F41380"/>
    <w:rsid w:val="00F414B3"/>
    <w:rsid w:val="00F427FF"/>
    <w:rsid w:val="00F4364A"/>
    <w:rsid w:val="00F44F29"/>
    <w:rsid w:val="00F45839"/>
    <w:rsid w:val="00F4715B"/>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277C"/>
    <w:rsid w:val="00F82E89"/>
    <w:rsid w:val="00F83D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7A72"/>
    <w:rsid w:val="00FD0C88"/>
    <w:rsid w:val="00FD1DE6"/>
    <w:rsid w:val="00FD5243"/>
    <w:rsid w:val="00FD5E21"/>
    <w:rsid w:val="00FD6EAB"/>
    <w:rsid w:val="00FD7CD2"/>
    <w:rsid w:val="00FE021A"/>
    <w:rsid w:val="00FE188B"/>
    <w:rsid w:val="00FE18FF"/>
    <w:rsid w:val="00FE1A69"/>
    <w:rsid w:val="00FE1A6D"/>
    <w:rsid w:val="00FE1B57"/>
    <w:rsid w:val="00FE43BA"/>
    <w:rsid w:val="00FE5006"/>
    <w:rsid w:val="00FE50E8"/>
    <w:rsid w:val="00FE5219"/>
    <w:rsid w:val="00FE6C02"/>
    <w:rsid w:val="00FE71F9"/>
    <w:rsid w:val="00FE78A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6282023">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2769544">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110462.page" TargetMode="External"/><Relationship Id="rId18" Type="http://schemas.openxmlformats.org/officeDocument/2006/relationships/hyperlink" Target="https://www.saimex.org.mx/saimex/solicitud/downloadAttach/1110458.page" TargetMode="External"/><Relationship Id="rId26" Type="http://schemas.openxmlformats.org/officeDocument/2006/relationships/hyperlink" Target="https://www.ipomex.org.mx/ipo3/lgt/indice/PMCIU/art_100_xxiv_a/0.web" TargetMode="External"/><Relationship Id="rId3" Type="http://schemas.openxmlformats.org/officeDocument/2006/relationships/styles" Target="styles.xml"/><Relationship Id="rId21" Type="http://schemas.openxmlformats.org/officeDocument/2006/relationships/hyperlink" Target="https://www.saimex.org.mx/saimex/solicitud/downloadAttach/1110461.pag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110461.page" TargetMode="External"/><Relationship Id="rId17" Type="http://schemas.openxmlformats.org/officeDocument/2006/relationships/image" Target="media/image2.png"/><Relationship Id="rId25" Type="http://schemas.openxmlformats.org/officeDocument/2006/relationships/hyperlink" Target="https://www.ipomex.org.mx/ipo3/lgt/indice/PMCIU/art_100_xxii.web"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saimex.org.mx/saimex/solicitud/downloadAttach/1110460.page" TargetMode="External"/><Relationship Id="rId29" Type="http://schemas.openxmlformats.org/officeDocument/2006/relationships/hyperlink" Target="https://www.ipomex.org.mx/ipo3/lgt/indice/PMCIU/art_100_iv.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10460.page" TargetMode="External"/><Relationship Id="rId24" Type="http://schemas.openxmlformats.org/officeDocument/2006/relationships/hyperlink" Target="https://www.ipomex.org.mx/ipo3/lgt/indice/PMCIU/art_100_xxii.web"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110464.page" TargetMode="External"/><Relationship Id="rId23" Type="http://schemas.openxmlformats.org/officeDocument/2006/relationships/hyperlink" Target="https://www.saimex.org.mx/saimex/solicitud/downloadAttach/1110463.page" TargetMode="External"/><Relationship Id="rId28" Type="http://schemas.openxmlformats.org/officeDocument/2006/relationships/hyperlink" Target="https://www.ipomex.org.mx/ipo3/lgt/indice/PMCIU/art_100_iv.web" TargetMode="External"/><Relationship Id="rId36" Type="http://schemas.openxmlformats.org/officeDocument/2006/relationships/theme" Target="theme/theme1.xml"/><Relationship Id="rId10" Type="http://schemas.openxmlformats.org/officeDocument/2006/relationships/hyperlink" Target="https://www.saimex.org.mx/saimex/solicitud/downloadAttach/1110459.page" TargetMode="External"/><Relationship Id="rId19" Type="http://schemas.openxmlformats.org/officeDocument/2006/relationships/hyperlink" Target="https://www.saimex.org.mx/saimex/solicitud/downloadAttach/1110459.pag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10458.page" TargetMode="External"/><Relationship Id="rId14" Type="http://schemas.openxmlformats.org/officeDocument/2006/relationships/hyperlink" Target="https://www.saimex.org.mx/saimex/solicitud/downloadAttach/1110463.page" TargetMode="External"/><Relationship Id="rId22" Type="http://schemas.openxmlformats.org/officeDocument/2006/relationships/hyperlink" Target="https://www.saimex.org.mx/saimex/solicitud/downloadAttach/1110462.page" TargetMode="External"/><Relationship Id="rId27" Type="http://schemas.openxmlformats.org/officeDocument/2006/relationships/hyperlink" Target="https://www.ipomex.org.mx/ipo3/lgt/indice/PMCIU/art_100_xxiv_a/0.web" TargetMode="External"/><Relationship Id="rId30" Type="http://schemas.openxmlformats.org/officeDocument/2006/relationships/hyperlink" Target="https://www.saimex.org.mx/saimex/solicitud/downloadAttach/1110464.page" TargetMode="External"/><Relationship Id="rId35" Type="http://schemas.openxmlformats.org/officeDocument/2006/relationships/fontTable" Target="fontTable.xml"/><Relationship Id="rId8" Type="http://schemas.openxmlformats.org/officeDocument/2006/relationships/hyperlink" Target="https://www.saimex.org.mx/saimex/solicitud/downloadAttach/109898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DBEA-0374-43BA-B4AE-BAA33342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36</Pages>
  <Words>9576</Words>
  <Characters>52668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99</cp:revision>
  <cp:lastPrinted>2020-01-10T17:24:00Z</cp:lastPrinted>
  <dcterms:created xsi:type="dcterms:W3CDTF">2020-01-10T16:21:00Z</dcterms:created>
  <dcterms:modified xsi:type="dcterms:W3CDTF">2021-09-14T15:34:00Z</dcterms:modified>
</cp:coreProperties>
</file>