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25" w:rsidRPr="0024200F" w:rsidRDefault="000B5E25" w:rsidP="000B5E2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6B321A">
        <w:rPr>
          <w:rFonts w:ascii="Palatino Linotype" w:hAnsi="Palatino Linotype"/>
        </w:rPr>
        <w:t xml:space="preserve"> veintinueve de septiembre </w:t>
      </w:r>
      <w:r>
        <w:rPr>
          <w:rFonts w:ascii="Palatino Linotype" w:hAnsi="Palatino Linotype"/>
        </w:rPr>
        <w:t>de dos mil veintiuno</w:t>
      </w:r>
      <w:r w:rsidRPr="0024200F">
        <w:rPr>
          <w:rFonts w:ascii="Palatino Linotype" w:hAnsi="Palatino Linotype"/>
        </w:rPr>
        <w:t>.</w:t>
      </w:r>
    </w:p>
    <w:p w:rsidR="000B5E25" w:rsidRPr="0024200F" w:rsidRDefault="000B5E25" w:rsidP="000B5E25">
      <w:pPr>
        <w:spacing w:line="360" w:lineRule="auto"/>
        <w:jc w:val="both"/>
        <w:rPr>
          <w:rFonts w:ascii="Palatino Linotype" w:hAnsi="Palatino Linotype"/>
        </w:rPr>
      </w:pPr>
    </w:p>
    <w:p w:rsidR="000B5E25" w:rsidRPr="0024200F" w:rsidRDefault="000B5E25" w:rsidP="000B5E2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4015/INFOEM/IP/RR/2021 </w:t>
      </w:r>
      <w:r w:rsidRPr="0024200F">
        <w:rPr>
          <w:rFonts w:ascii="Palatino Linotype" w:hAnsi="Palatino Linotype"/>
        </w:rPr>
        <w:t>promovido por</w:t>
      </w:r>
      <w:r>
        <w:rPr>
          <w:rFonts w:ascii="Palatino Linotype" w:hAnsi="Palatino Linotype"/>
        </w:rPr>
        <w:t xml:space="preserve"> </w:t>
      </w:r>
      <w:proofErr w:type="spellStart"/>
      <w:r w:rsidR="000F2C5C">
        <w:rPr>
          <w:rFonts w:ascii="Palatino Linotype" w:hAnsi="Palatino Linotype"/>
          <w:b/>
          <w:sz w:val="22"/>
          <w:szCs w:val="22"/>
          <w:lang w:val="es-ES_tradnl"/>
        </w:rPr>
        <w:t>xxxxxxxxxxxxxxxxxxxxxxxxxxxxxxxxxxxx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0B5E25">
        <w:rPr>
          <w:rFonts w:ascii="Palatino Linotype" w:hAnsi="Palatino Linotype"/>
          <w:b/>
        </w:rPr>
        <w:t>Ayuntamiento de Ixtlahuaca</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0B5E25" w:rsidRPr="002478BC" w:rsidRDefault="000B5E25" w:rsidP="000B5E25">
      <w:pPr>
        <w:spacing w:line="360" w:lineRule="auto"/>
        <w:jc w:val="center"/>
        <w:rPr>
          <w:rFonts w:ascii="Palatino Linotype" w:hAnsi="Palatino Linotype"/>
          <w:b/>
          <w:bCs/>
          <w:spacing w:val="60"/>
          <w:lang w:val="es-ES_tradnl"/>
        </w:rPr>
      </w:pPr>
    </w:p>
    <w:p w:rsidR="000B5E25" w:rsidRPr="0024200F" w:rsidRDefault="000B5E25" w:rsidP="000B5E2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0B5E25" w:rsidRPr="0024200F" w:rsidRDefault="000B5E25" w:rsidP="000B5E25">
      <w:pPr>
        <w:spacing w:line="360" w:lineRule="auto"/>
        <w:jc w:val="center"/>
        <w:rPr>
          <w:rFonts w:ascii="Palatino Linotype" w:hAnsi="Palatino Linotype"/>
          <w:b/>
          <w:bCs/>
          <w:spacing w:val="60"/>
          <w:lang w:val="es-ES_tradnl"/>
        </w:rPr>
      </w:pPr>
    </w:p>
    <w:p w:rsidR="000B5E25" w:rsidRPr="0024200F" w:rsidRDefault="000B5E25" w:rsidP="000B5E25">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dieciséis de julio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0B5E25">
        <w:rPr>
          <w:rFonts w:ascii="Palatino Linotype" w:hAnsi="Palatino Linotype"/>
          <w:b/>
          <w:bCs/>
        </w:rPr>
        <w:t>00107/IXTLAHUA/IP/2021</w:t>
      </w:r>
      <w:r w:rsidRPr="000B5E25">
        <w:rPr>
          <w:rFonts w:ascii="Palatino Linotype" w:hAnsi="Palatino Linotype"/>
          <w:bCs/>
        </w:rPr>
        <w:t xml:space="preserve"> </w:t>
      </w:r>
      <w:r w:rsidRPr="0024200F">
        <w:rPr>
          <w:rFonts w:ascii="Palatino Linotype" w:hAnsi="Palatino Linotype"/>
        </w:rPr>
        <w:t>mediante la cual solicitó, lo siguiente:</w:t>
      </w:r>
    </w:p>
    <w:p w:rsidR="000B5E25" w:rsidRDefault="000B5E25" w:rsidP="000B5E25">
      <w:pPr>
        <w:spacing w:line="360" w:lineRule="auto"/>
        <w:jc w:val="both"/>
        <w:rPr>
          <w:rFonts w:ascii="Palatino Linotype" w:hAnsi="Palatino Linotype" w:cs="Arial"/>
        </w:rPr>
      </w:pPr>
    </w:p>
    <w:p w:rsidR="000B5E25" w:rsidRPr="00157DDD" w:rsidRDefault="000B5E25" w:rsidP="000B5E25">
      <w:pPr>
        <w:ind w:left="567" w:right="616"/>
        <w:jc w:val="both"/>
        <w:rPr>
          <w:rFonts w:ascii="Palatino Linotype" w:hAnsi="Palatino Linotype"/>
          <w:bCs/>
          <w:i/>
          <w:sz w:val="22"/>
        </w:rPr>
      </w:pPr>
      <w:r w:rsidRPr="00157DDD">
        <w:rPr>
          <w:rFonts w:ascii="Palatino Linotype" w:hAnsi="Palatino Linotype"/>
          <w:bCs/>
          <w:i/>
          <w:sz w:val="22"/>
        </w:rPr>
        <w:t>“</w:t>
      </w:r>
      <w:r w:rsidR="002E3085" w:rsidRPr="002E3085">
        <w:rPr>
          <w:rFonts w:ascii="Palatino Linotype" w:hAnsi="Palatino Linotype"/>
          <w:bCs/>
          <w:i/>
          <w:sz w:val="22"/>
        </w:rPr>
        <w:t xml:space="preserve">Con fundamento en lo dispuesto en los artículos 1°, 6°, 8° párrafo primero y 35 fracción V de la Constitución Federal; 5 párrafos primero, tercero, vigésimo cuarto, trigésimo y trigésimo primero de la Constitución Local; 4, 7, 15, 23 fracción IV, 92 fracción XX, 150, 152, 155 y 160 de la Ley de Transparencia y Acceso a la Información Pública del Estado de México y Municipios; 45, 49 y 220 K fracción I de la Ley del Trabajo de los Servidores Públicos del Estado y Municipios y demás disposiciones relativas y aplicables, solicito se me proporcione vía SAIMEX de la versión pública de todos y cada uno de los nombramientos, formatos únicos de movimiento de personal, contratos o convenios que </w:t>
      </w:r>
      <w:r w:rsidR="002E3085" w:rsidRPr="002E3085">
        <w:rPr>
          <w:rFonts w:ascii="Palatino Linotype" w:hAnsi="Palatino Linotype"/>
          <w:bCs/>
          <w:i/>
          <w:sz w:val="22"/>
        </w:rPr>
        <w:lastRenderedPageBreak/>
        <w:t>regulen las relaciones laborales de todo el personal de base y de confianza del Ayuntamiento de Ixtlahuaca que estén o hayan estado activos durante el periodo comprendido del primero de enero del año dos mil veintiuno al quince de julio del año dos mil veintiuno, con excepción del personal adscrito a la Dirección de Seguridad Pública y Tránsito Municipal.</w:t>
      </w:r>
      <w:r>
        <w:rPr>
          <w:rFonts w:ascii="Palatino Linotype" w:hAnsi="Palatino Linotype"/>
          <w:bCs/>
          <w:i/>
          <w:sz w:val="22"/>
        </w:rPr>
        <w:t>”</w:t>
      </w:r>
    </w:p>
    <w:p w:rsidR="000B5E25" w:rsidRPr="00B02F4C" w:rsidRDefault="000B5E25" w:rsidP="000B5E25">
      <w:pPr>
        <w:spacing w:line="360" w:lineRule="auto"/>
        <w:ind w:left="567" w:right="616"/>
        <w:jc w:val="both"/>
        <w:rPr>
          <w:rFonts w:ascii="Palatino Linotype" w:hAnsi="Palatino Linotype"/>
          <w:bCs/>
        </w:rPr>
      </w:pPr>
    </w:p>
    <w:p w:rsidR="000B5E25" w:rsidRDefault="000B5E25" w:rsidP="002E308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002E3085">
        <w:rPr>
          <w:rFonts w:ascii="Palatino Linotype" w:hAnsi="Palatino Linotype"/>
          <w:b/>
          <w:i/>
          <w:szCs w:val="28"/>
          <w:lang w:val="es-MX"/>
        </w:rPr>
        <w:t>a través del SAIMEX</w:t>
      </w:r>
    </w:p>
    <w:p w:rsidR="000B5E25" w:rsidRDefault="000B5E25" w:rsidP="000B5E25">
      <w:pPr>
        <w:spacing w:line="360" w:lineRule="auto"/>
        <w:jc w:val="both"/>
        <w:rPr>
          <w:rFonts w:ascii="Palatino Linotype" w:hAnsi="Palatino Linotype"/>
          <w:szCs w:val="28"/>
          <w:lang w:val="es-MX"/>
        </w:rPr>
      </w:pPr>
    </w:p>
    <w:p w:rsidR="000B5E25" w:rsidRDefault="000B5E25" w:rsidP="000B5E25">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2E3085">
        <w:rPr>
          <w:rFonts w:ascii="Palatino Linotype" w:hAnsi="Palatino Linotype"/>
        </w:rPr>
        <w:t xml:space="preserve">once de agosto </w:t>
      </w:r>
      <w:r>
        <w:rPr>
          <w:rFonts w:ascii="Palatino Linotype" w:hAnsi="Palatino Linotype"/>
        </w:rPr>
        <w:t>de dos mil veintiuno,</w:t>
      </w:r>
      <w:r w:rsidRPr="0024200F">
        <w:rPr>
          <w:rFonts w:ascii="Palatino Linotype" w:hAnsi="Palatino Linotype"/>
        </w:rPr>
        <w:t xml:space="preserve"> en </w:t>
      </w:r>
      <w:r>
        <w:rPr>
          <w:rFonts w:ascii="Palatino Linotype" w:hAnsi="Palatino Linotype"/>
        </w:rPr>
        <w:t>los términos siguientes:</w:t>
      </w:r>
    </w:p>
    <w:p w:rsidR="000B5E25" w:rsidRDefault="000B5E25" w:rsidP="000B5E25">
      <w:pPr>
        <w:spacing w:line="360" w:lineRule="auto"/>
        <w:jc w:val="both"/>
        <w:rPr>
          <w:rFonts w:ascii="Palatino Linotype" w:hAnsi="Palatino Linotype"/>
        </w:rPr>
      </w:pPr>
    </w:p>
    <w:p w:rsidR="000B5E25" w:rsidRPr="00157DDD" w:rsidRDefault="000B5E25" w:rsidP="002E3085">
      <w:pPr>
        <w:ind w:left="567" w:right="616"/>
        <w:jc w:val="both"/>
        <w:rPr>
          <w:rFonts w:ascii="Palatino Linotype" w:hAnsi="Palatino Linotype"/>
          <w:bCs/>
          <w:i/>
          <w:sz w:val="22"/>
        </w:rPr>
      </w:pPr>
      <w:r w:rsidRPr="00157DDD">
        <w:rPr>
          <w:rFonts w:ascii="Palatino Linotype" w:hAnsi="Palatino Linotype"/>
          <w:bCs/>
          <w:i/>
          <w:sz w:val="22"/>
        </w:rPr>
        <w:t>“</w:t>
      </w:r>
      <w:r w:rsidR="002E3085" w:rsidRPr="002E3085">
        <w:rPr>
          <w:rFonts w:ascii="Palatino Linotype" w:hAnsi="Palatino Linotype"/>
          <w:bCs/>
          <w:i/>
          <w:sz w:val="22"/>
        </w:rPr>
        <w:t xml:space="preserve">Ixtlahuaca de Rayón; México, a 11 de agosto de 2021 C. </w:t>
      </w:r>
      <w:proofErr w:type="spellStart"/>
      <w:r w:rsidR="000F2C5C">
        <w:rPr>
          <w:rFonts w:ascii="Palatino Linotype" w:hAnsi="Palatino Linotype"/>
          <w:bCs/>
          <w:i/>
          <w:sz w:val="22"/>
        </w:rPr>
        <w:t>xxxxxxxxxxxxxxxxxxxxxxxxxxx</w:t>
      </w:r>
      <w:proofErr w:type="spellEnd"/>
      <w:r w:rsidR="002E3085" w:rsidRPr="002E3085">
        <w:rPr>
          <w:rFonts w:ascii="Palatino Linotype" w:hAnsi="Palatino Linotype"/>
          <w:bCs/>
          <w:i/>
          <w:sz w:val="22"/>
        </w:rPr>
        <w:t xml:space="preserve"> </w:t>
      </w:r>
      <w:r w:rsidR="000F2C5C">
        <w:rPr>
          <w:rFonts w:ascii="Palatino Linotype" w:hAnsi="Palatino Linotype"/>
          <w:bCs/>
          <w:i/>
          <w:sz w:val="22"/>
        </w:rPr>
        <w:t>xxxxxxxxxxxxxxx</w:t>
      </w:r>
      <w:bookmarkStart w:id="0" w:name="_GoBack"/>
      <w:bookmarkEnd w:id="0"/>
      <w:r w:rsidR="002E3085" w:rsidRPr="002E3085">
        <w:rPr>
          <w:rFonts w:ascii="Palatino Linotype" w:hAnsi="Palatino Linotype"/>
          <w:bCs/>
          <w:i/>
          <w:sz w:val="22"/>
        </w:rPr>
        <w:t xml:space="preserve"> P R E S E N T E Por medio del presente me permito enviarle un cordial y afectuoso saludo, al mismo tiempo y en atención a su solicitud 00107/IXTLAHUA/IP/2021 de fecha dieciséis de julio de dos mil veintiuno; donde solicita lo siguiente: “…Con fundamento en lo dispuesto en los artículos 1°, 6°, 8° párrafo primero y 35 fracción V de la Constitución Federal; 5 párrafos primero, tercero, vigésimo cuarto, trigésimo y trigésimo primero de la Constitución Local; 4, 7, 15, 23 fracción IV, 92 fracción XX, 150, 152, 155 y 160 de la Ley de Transparencia y Acceso a la Información Pública del Estado de México y Municipios; 45, 49 y 220 K fracción I de la Ley del Trabajo de los Servidores Públicos del Estado y Municipios y demás disposiciones relativas y aplicables, solicito se me proporcione vía SAIMEX de la versión pública de todos y cada uno de los nombramientos, formatos únicos de movimiento de personal, contratos o convenios que regulen las relaciones laborales de todo el personal de base y de confianza del Ayuntamiento de Ixtlahuaca que estén o hayan estado activos durante el periodo comprendido del primero de enero del año dos mil veintiuno al quince de julio del año dos mil veintiuno, con excepción del personal adscrito a la Dirección de Seguridad Pública y Tránsito Municipal...”;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 SOL. 107, ACTA COMITÉ, VERSIÓN </w:t>
      </w:r>
      <w:r w:rsidR="002E3085" w:rsidRPr="002E3085">
        <w:rPr>
          <w:rFonts w:ascii="Palatino Linotype" w:hAnsi="Palatino Linotype"/>
          <w:bCs/>
          <w:i/>
          <w:sz w:val="22"/>
        </w:rPr>
        <w:lastRenderedPageBreak/>
        <w:t>PÚBLICA DE FORMATO) Sin otro particular por el momento quedo de Usted; para cualquier duda y/o aclaración al respecto. A T E N T A M E N T E LIC. LUDIVINA ERIKA VIEYRA URBINA TITULAR DE LA UNIDAD DE TRANSPARENCIA Y ACCESO A LA INFORMACIÓN MUNICIPAL</w:t>
      </w:r>
      <w:r>
        <w:rPr>
          <w:rFonts w:ascii="Palatino Linotype" w:hAnsi="Palatino Linotype"/>
          <w:bCs/>
          <w:i/>
          <w:sz w:val="22"/>
        </w:rPr>
        <w:t>”</w:t>
      </w:r>
    </w:p>
    <w:p w:rsidR="000B5E25" w:rsidRDefault="000B5E25" w:rsidP="000B5E25">
      <w:pPr>
        <w:spacing w:line="360" w:lineRule="auto"/>
        <w:ind w:right="616"/>
        <w:jc w:val="both"/>
        <w:rPr>
          <w:rFonts w:ascii="Palatino Linotype" w:hAnsi="Palatino Linotype"/>
          <w:bCs/>
        </w:rPr>
      </w:pPr>
    </w:p>
    <w:p w:rsidR="000B5E25" w:rsidRDefault="000B5E25" w:rsidP="002E3085">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002E3085" w:rsidRPr="002E3085">
        <w:rPr>
          <w:rFonts w:ascii="Palatino Linotype" w:hAnsi="Palatino Linotype"/>
          <w:bCs/>
        </w:rPr>
        <w:t>RESP.SOL.107.pdf</w:t>
      </w:r>
      <w:r w:rsidR="002E3085">
        <w:rPr>
          <w:rFonts w:ascii="Palatino Linotype" w:hAnsi="Palatino Linotype"/>
          <w:bCs/>
        </w:rPr>
        <w:t xml:space="preserve">, </w:t>
      </w:r>
      <w:r w:rsidR="002E3085" w:rsidRPr="002E3085">
        <w:rPr>
          <w:rFonts w:ascii="Palatino Linotype" w:hAnsi="Palatino Linotype"/>
          <w:bCs/>
        </w:rPr>
        <w:t>VERSIÓN PÚBLICA FORMATO UNICO.pdf</w:t>
      </w:r>
      <w:r w:rsidR="002E3085">
        <w:rPr>
          <w:rFonts w:ascii="Palatino Linotype" w:hAnsi="Palatino Linotype"/>
          <w:bCs/>
        </w:rPr>
        <w:t xml:space="preserve"> y </w:t>
      </w:r>
      <w:r w:rsidR="002E3085" w:rsidRPr="002E3085">
        <w:rPr>
          <w:rFonts w:ascii="Palatino Linotype" w:hAnsi="Palatino Linotype"/>
          <w:bCs/>
        </w:rPr>
        <w:t>ACTA COMITE CLASIFICACIÓN.pdf</w:t>
      </w:r>
      <w:r>
        <w:rPr>
          <w:rFonts w:ascii="Palatino Linotype" w:hAnsi="Palatino Linotype"/>
          <w:bCs/>
        </w:rPr>
        <w:t>”, que al ser del conocimiento de las partes no se insertan en este apartado, en obvio de repeticiones innecesarias, máxime que serán objeto de estudio en párrafos posteriores.</w:t>
      </w:r>
    </w:p>
    <w:p w:rsidR="000B5E25" w:rsidRDefault="000B5E25" w:rsidP="000B5E25">
      <w:pPr>
        <w:spacing w:line="360" w:lineRule="auto"/>
        <w:ind w:right="616"/>
        <w:jc w:val="both"/>
        <w:rPr>
          <w:rFonts w:ascii="Palatino Linotype" w:hAnsi="Palatino Linotype"/>
          <w:bCs/>
        </w:rPr>
      </w:pPr>
    </w:p>
    <w:p w:rsidR="000B5E25" w:rsidRDefault="000B5E25" w:rsidP="000B5E25">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2A4B43">
        <w:rPr>
          <w:rFonts w:ascii="Palatino Linotype" w:hAnsi="Palatino Linotype" w:cs="Arial"/>
        </w:rPr>
        <w:t xml:space="preserve">trece de agosto </w:t>
      </w:r>
      <w:r>
        <w:rPr>
          <w:rFonts w:ascii="Palatino Linotype" w:hAnsi="Palatino Linotype" w:cs="Arial"/>
        </w:rPr>
        <w:t>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2A4B43">
        <w:rPr>
          <w:rFonts w:ascii="Palatino Linotype" w:hAnsi="Palatino Linotype"/>
          <w:b/>
        </w:rPr>
        <w:t>4015</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0B5E25" w:rsidRDefault="000B5E25" w:rsidP="000B5E25">
      <w:pPr>
        <w:spacing w:line="360" w:lineRule="auto"/>
        <w:ind w:right="51"/>
        <w:jc w:val="both"/>
        <w:rPr>
          <w:rFonts w:ascii="Palatino Linotype" w:hAnsi="Palatino Linotype" w:cs="Arial"/>
        </w:rPr>
      </w:pPr>
    </w:p>
    <w:p w:rsidR="000B5E25" w:rsidRDefault="000B5E25" w:rsidP="000B5E25">
      <w:pPr>
        <w:spacing w:line="276" w:lineRule="auto"/>
        <w:ind w:right="616"/>
        <w:jc w:val="both"/>
        <w:rPr>
          <w:rFonts w:ascii="Palatino Linotype" w:hAnsi="Palatino Linotype"/>
        </w:rPr>
      </w:pPr>
      <w:r>
        <w:rPr>
          <w:rFonts w:ascii="Palatino Linotype" w:hAnsi="Palatino Linotype"/>
          <w:b/>
        </w:rPr>
        <w:t xml:space="preserve">Acto Impugnado: </w:t>
      </w:r>
    </w:p>
    <w:p w:rsidR="000B5E25" w:rsidRPr="00807CDA" w:rsidRDefault="000B5E25" w:rsidP="000B5E25">
      <w:pPr>
        <w:spacing w:line="276" w:lineRule="auto"/>
        <w:ind w:right="616"/>
        <w:jc w:val="both"/>
        <w:rPr>
          <w:rFonts w:ascii="Palatino Linotype" w:hAnsi="Palatino Linotype"/>
        </w:rPr>
      </w:pPr>
    </w:p>
    <w:p w:rsidR="000B5E25" w:rsidRPr="00591A86" w:rsidRDefault="000B5E25" w:rsidP="000B5E25">
      <w:pPr>
        <w:spacing w:line="276" w:lineRule="auto"/>
        <w:ind w:left="567" w:right="616"/>
        <w:jc w:val="both"/>
        <w:rPr>
          <w:rFonts w:ascii="Palatino Linotype" w:hAnsi="Palatino Linotype"/>
          <w:i/>
        </w:rPr>
      </w:pPr>
      <w:r>
        <w:rPr>
          <w:rFonts w:ascii="Palatino Linotype" w:hAnsi="Palatino Linotype"/>
          <w:i/>
        </w:rPr>
        <w:t>“</w:t>
      </w:r>
      <w:r w:rsidR="002A4B43" w:rsidRPr="002A4B43">
        <w:rPr>
          <w:rFonts w:ascii="Palatino Linotype" w:hAnsi="Palatino Linotype"/>
          <w:i/>
        </w:rPr>
        <w:t>LA RESPUESTA DEL SUJETO OBLIGADO A LA SOLICITUD DE INFORMACIÓN NÚMERO 00107/IXTLAHUA/IP/2021</w:t>
      </w:r>
      <w:r>
        <w:rPr>
          <w:rFonts w:ascii="Palatino Linotype" w:hAnsi="Palatino Linotype"/>
          <w:i/>
        </w:rPr>
        <w:t>” (sic)</w:t>
      </w:r>
    </w:p>
    <w:p w:rsidR="000B5E25" w:rsidRDefault="000B5E25" w:rsidP="000B5E25">
      <w:pPr>
        <w:spacing w:line="276" w:lineRule="auto"/>
        <w:ind w:right="616"/>
        <w:jc w:val="both"/>
        <w:rPr>
          <w:rFonts w:ascii="Palatino Linotype" w:hAnsi="Palatino Linotype"/>
          <w:b/>
        </w:rPr>
      </w:pPr>
    </w:p>
    <w:p w:rsidR="000B5E25" w:rsidRDefault="000B5E25" w:rsidP="000B5E25">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0B5E25" w:rsidRDefault="000B5E25" w:rsidP="000B5E25">
      <w:pPr>
        <w:spacing w:line="276" w:lineRule="auto"/>
        <w:ind w:right="616"/>
        <w:jc w:val="both"/>
        <w:rPr>
          <w:rFonts w:ascii="Palatino Linotype" w:hAnsi="Palatino Linotype"/>
          <w:b/>
        </w:rPr>
      </w:pPr>
    </w:p>
    <w:p w:rsidR="000B5E25" w:rsidRPr="00591A86" w:rsidRDefault="000B5E25" w:rsidP="000B5E25">
      <w:pPr>
        <w:spacing w:line="276" w:lineRule="auto"/>
        <w:ind w:left="567" w:right="616"/>
        <w:jc w:val="both"/>
        <w:rPr>
          <w:rFonts w:ascii="Palatino Linotype" w:hAnsi="Palatino Linotype"/>
          <w:i/>
        </w:rPr>
      </w:pPr>
      <w:r w:rsidRPr="00591A86">
        <w:rPr>
          <w:rFonts w:ascii="Palatino Linotype" w:hAnsi="Palatino Linotype"/>
          <w:i/>
          <w:sz w:val="22"/>
        </w:rPr>
        <w:t>“</w:t>
      </w:r>
      <w:r w:rsidR="002A4B43" w:rsidRPr="002A4B43">
        <w:rPr>
          <w:rFonts w:ascii="Palatino Linotype" w:hAnsi="Palatino Linotype"/>
          <w:i/>
          <w:sz w:val="22"/>
        </w:rPr>
        <w:t xml:space="preserve">El Sujeto Obligado se limita a proporcionar la versión pública de los Formatos Únicos de Movimiento de Personal de sesenta y tres personas físicas, omitiendo proporcionar la información solicitada consistente en los nombramientos, formatos únicos de movimiento de personal, contratos o convenios que regulan las relaciones laborales de TODO el personal de base y de confianza del Ayuntamiento de Ixtlahuaca que estén o hayan estado ACTIVOS durante el periodo comprendido del primero de enero del año dos mil veintiuno al quince de julio del año dos mil veintiuno; es decir, la documentación que compruebe la </w:t>
      </w:r>
      <w:r w:rsidR="002A4B43" w:rsidRPr="002A4B43">
        <w:rPr>
          <w:rFonts w:ascii="Palatino Linotype" w:hAnsi="Palatino Linotype"/>
          <w:i/>
          <w:sz w:val="22"/>
        </w:rPr>
        <w:lastRenderedPageBreak/>
        <w:t>relación laboral que sostiene el Sujeto Obligado con las personas físicas que mantienen o hayan mantenido una relación laboral durante el periodo referido.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0B5E25" w:rsidRDefault="000B5E25" w:rsidP="000B5E25">
      <w:pPr>
        <w:spacing w:line="360" w:lineRule="auto"/>
        <w:ind w:right="51"/>
        <w:jc w:val="both"/>
        <w:rPr>
          <w:rFonts w:ascii="Palatino Linotype" w:hAnsi="Palatino Linotype"/>
        </w:rPr>
      </w:pPr>
    </w:p>
    <w:p w:rsidR="000B5E25" w:rsidRDefault="000B5E25" w:rsidP="000B5E25">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2A4B43">
        <w:rPr>
          <w:rFonts w:ascii="Palatino Linotype" w:hAnsi="Palatino Linotype" w:cs="Arial"/>
        </w:rPr>
        <w:t>trece de agosto</w:t>
      </w:r>
      <w:r>
        <w:rPr>
          <w:rFonts w:ascii="Palatino Linotype" w:hAnsi="Palatino Linotype" w:cs="Arial"/>
        </w:rPr>
        <w:t xml:space="preserve">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rPr>
        <w:t xml:space="preserve">entonces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0B5E25" w:rsidRDefault="000B5E25" w:rsidP="000B5E25">
      <w:pPr>
        <w:spacing w:line="360" w:lineRule="auto"/>
        <w:ind w:right="49"/>
        <w:jc w:val="both"/>
        <w:rPr>
          <w:rFonts w:ascii="Palatino Linotype" w:hAnsi="Palatino Linotype" w:cs="Arial"/>
          <w:lang w:val="es-ES_tradnl"/>
        </w:rPr>
      </w:pPr>
    </w:p>
    <w:p w:rsidR="000B5E25" w:rsidRDefault="000B5E25" w:rsidP="000B5E25">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2A4B43">
        <w:rPr>
          <w:rFonts w:ascii="Palatino Linotype" w:hAnsi="Palatino Linotype" w:cs="Arial"/>
        </w:rPr>
        <w:t>veinte</w:t>
      </w:r>
      <w:r>
        <w:rPr>
          <w:rFonts w:ascii="Palatino Linotype" w:hAnsi="Palatino Linotype" w:cs="Arial"/>
        </w:rPr>
        <w:t xml:space="preserve"> de agosto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0B5E25" w:rsidRDefault="000B5E25" w:rsidP="000B5E25">
      <w:pPr>
        <w:spacing w:line="360" w:lineRule="auto"/>
        <w:ind w:right="49"/>
        <w:jc w:val="both"/>
        <w:rPr>
          <w:rFonts w:ascii="Palatino Linotype" w:hAnsi="Palatino Linotype" w:cs="Arial"/>
        </w:rPr>
      </w:pPr>
    </w:p>
    <w:p w:rsidR="002A4B43" w:rsidRPr="002A4B43" w:rsidRDefault="000B5E25" w:rsidP="000B5E25">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sidR="002A4B43">
        <w:rPr>
          <w:rFonts w:ascii="Palatino Linotype" w:hAnsi="Palatino Linotype" w:cs="Arial"/>
          <w:lang w:val="es-ES_tradnl"/>
        </w:rPr>
        <w:t>rindió su informe justificado por medio del archivo electrónico “</w:t>
      </w:r>
      <w:r w:rsidR="002A4B43" w:rsidRPr="002A4B43">
        <w:rPr>
          <w:rFonts w:ascii="Palatino Linotype" w:hAnsi="Palatino Linotype" w:cs="Arial"/>
          <w:lang w:val="es-ES_tradnl"/>
        </w:rPr>
        <w:t>INFORME JUSTIFICADO SOL.107.pdf</w:t>
      </w:r>
      <w:r w:rsidR="002A4B43">
        <w:rPr>
          <w:rFonts w:ascii="Palatino Linotype" w:hAnsi="Palatino Linotype" w:cs="Arial"/>
          <w:lang w:val="es-ES_tradnl"/>
        </w:rPr>
        <w:t xml:space="preserve">”, que fue puesto a la vista del </w:t>
      </w:r>
      <w:r w:rsidR="002A4B43" w:rsidRPr="002A4B43">
        <w:rPr>
          <w:rFonts w:ascii="Palatino Linotype" w:hAnsi="Palatino Linotype" w:cs="Arial"/>
          <w:b/>
          <w:lang w:val="es-ES_tradnl"/>
        </w:rPr>
        <w:t>Recurrente</w:t>
      </w:r>
      <w:r w:rsidR="002A4B43">
        <w:rPr>
          <w:rFonts w:ascii="Palatino Linotype" w:hAnsi="Palatino Linotype" w:cs="Arial"/>
          <w:lang w:val="es-ES_tradnl"/>
        </w:rPr>
        <w:t xml:space="preserve">, de igual manera </w:t>
      </w:r>
    </w:p>
    <w:p w:rsidR="002A4B43" w:rsidRDefault="002A4B43" w:rsidP="000B5E25">
      <w:pPr>
        <w:spacing w:line="360" w:lineRule="auto"/>
        <w:jc w:val="both"/>
        <w:rPr>
          <w:rFonts w:ascii="Palatino Linotype" w:hAnsi="Palatino Linotype" w:cs="Arial"/>
          <w:lang w:val="es-ES_tradnl"/>
        </w:rPr>
      </w:pPr>
      <w:r>
        <w:rPr>
          <w:rFonts w:ascii="Palatino Linotype" w:hAnsi="Palatino Linotype" w:cs="Arial"/>
          <w:lang w:val="es-ES_tradnl"/>
        </w:rPr>
        <w:t>Se observa que éste rindió sus manifestaciones por medio de los archivos “</w:t>
      </w:r>
      <w:r w:rsidR="005A6216" w:rsidRPr="005A6216">
        <w:rPr>
          <w:rFonts w:ascii="Palatino Linotype" w:hAnsi="Palatino Linotype" w:cs="Arial"/>
          <w:lang w:val="es-ES_tradnl"/>
        </w:rPr>
        <w:t>Prueba marcada con el inciso a).pdf</w:t>
      </w:r>
      <w:r w:rsidR="005A6216">
        <w:rPr>
          <w:rFonts w:ascii="Palatino Linotype" w:hAnsi="Palatino Linotype" w:cs="Arial"/>
          <w:lang w:val="es-ES_tradnl"/>
        </w:rPr>
        <w:t xml:space="preserve">, </w:t>
      </w:r>
      <w:r w:rsidR="005A6216" w:rsidRPr="005A6216">
        <w:rPr>
          <w:rFonts w:ascii="Palatino Linotype" w:hAnsi="Palatino Linotype" w:cs="Arial"/>
          <w:lang w:val="es-ES_tradnl"/>
        </w:rPr>
        <w:t xml:space="preserve">Prueba marcada con el inciso </w:t>
      </w:r>
      <w:r w:rsidR="005A6216">
        <w:rPr>
          <w:rFonts w:ascii="Palatino Linotype" w:hAnsi="Palatino Linotype" w:cs="Arial"/>
          <w:lang w:val="es-ES_tradnl"/>
        </w:rPr>
        <w:t>b</w:t>
      </w:r>
      <w:r w:rsidR="005A6216" w:rsidRPr="005A6216">
        <w:rPr>
          <w:rFonts w:ascii="Palatino Linotype" w:hAnsi="Palatino Linotype" w:cs="Arial"/>
          <w:lang w:val="es-ES_tradnl"/>
        </w:rPr>
        <w:t>).pdf</w:t>
      </w:r>
      <w:r w:rsidR="005A6216">
        <w:rPr>
          <w:rFonts w:ascii="Palatino Linotype" w:hAnsi="Palatino Linotype" w:cs="Arial"/>
          <w:lang w:val="es-ES_tradnl"/>
        </w:rPr>
        <w:t xml:space="preserve">, </w:t>
      </w:r>
      <w:r w:rsidR="005A6216" w:rsidRPr="005A6216">
        <w:rPr>
          <w:rFonts w:ascii="Palatino Linotype" w:hAnsi="Palatino Linotype" w:cs="Arial"/>
          <w:lang w:val="es-ES_tradnl"/>
        </w:rPr>
        <w:t xml:space="preserve">Prueba marcada con el inciso </w:t>
      </w:r>
      <w:r w:rsidR="005A6216">
        <w:rPr>
          <w:rFonts w:ascii="Palatino Linotype" w:hAnsi="Palatino Linotype" w:cs="Arial"/>
          <w:lang w:val="es-ES_tradnl"/>
        </w:rPr>
        <w:t>c</w:t>
      </w:r>
      <w:r w:rsidR="005A6216" w:rsidRPr="005A6216">
        <w:rPr>
          <w:rFonts w:ascii="Palatino Linotype" w:hAnsi="Palatino Linotype" w:cs="Arial"/>
          <w:lang w:val="es-ES_tradnl"/>
        </w:rPr>
        <w:t>).pdf</w:t>
      </w:r>
      <w:r w:rsidR="005A6216">
        <w:rPr>
          <w:rFonts w:ascii="Palatino Linotype" w:hAnsi="Palatino Linotype" w:cs="Arial"/>
          <w:lang w:val="es-ES_tradnl"/>
        </w:rPr>
        <w:t xml:space="preserve">, </w:t>
      </w:r>
      <w:r w:rsidR="005A6216" w:rsidRPr="005A6216">
        <w:rPr>
          <w:rFonts w:ascii="Palatino Linotype" w:hAnsi="Palatino Linotype" w:cs="Arial"/>
          <w:lang w:val="es-ES_tradnl"/>
        </w:rPr>
        <w:t xml:space="preserve">Prueba marcada con el inciso </w:t>
      </w:r>
      <w:r w:rsidR="005A6216">
        <w:rPr>
          <w:rFonts w:ascii="Palatino Linotype" w:hAnsi="Palatino Linotype" w:cs="Arial"/>
          <w:lang w:val="es-ES_tradnl"/>
        </w:rPr>
        <w:t>d</w:t>
      </w:r>
      <w:r w:rsidR="005A6216" w:rsidRPr="005A6216">
        <w:rPr>
          <w:rFonts w:ascii="Palatino Linotype" w:hAnsi="Palatino Linotype" w:cs="Arial"/>
          <w:lang w:val="es-ES_tradnl"/>
        </w:rPr>
        <w:t>).pdf</w:t>
      </w:r>
      <w:r w:rsidR="005A6216">
        <w:rPr>
          <w:rFonts w:ascii="Palatino Linotype" w:hAnsi="Palatino Linotype" w:cs="Arial"/>
          <w:lang w:val="es-ES_tradnl"/>
        </w:rPr>
        <w:t xml:space="preserve">, </w:t>
      </w:r>
      <w:r w:rsidR="005A6216" w:rsidRPr="005A6216">
        <w:rPr>
          <w:rFonts w:ascii="Palatino Linotype" w:hAnsi="Palatino Linotype" w:cs="Arial"/>
          <w:lang w:val="es-ES_tradnl"/>
        </w:rPr>
        <w:t xml:space="preserve">Prueba marcada con el inciso </w:t>
      </w:r>
      <w:r w:rsidR="005A6216">
        <w:rPr>
          <w:rFonts w:ascii="Palatino Linotype" w:hAnsi="Palatino Linotype" w:cs="Arial"/>
          <w:lang w:val="es-ES_tradnl"/>
        </w:rPr>
        <w:lastRenderedPageBreak/>
        <w:t>e</w:t>
      </w:r>
      <w:r w:rsidR="005A6216" w:rsidRPr="005A6216">
        <w:rPr>
          <w:rFonts w:ascii="Palatino Linotype" w:hAnsi="Palatino Linotype" w:cs="Arial"/>
          <w:lang w:val="es-ES_tradnl"/>
        </w:rPr>
        <w:t>).pdf</w:t>
      </w:r>
      <w:r w:rsidR="005A6216">
        <w:rPr>
          <w:rFonts w:ascii="Palatino Linotype" w:hAnsi="Palatino Linotype" w:cs="Arial"/>
          <w:lang w:val="es-ES_tradnl"/>
        </w:rPr>
        <w:t>, Prueba marcada con el inciso f</w:t>
      </w:r>
      <w:r w:rsidR="005A6216" w:rsidRPr="005A6216">
        <w:rPr>
          <w:rFonts w:ascii="Palatino Linotype" w:hAnsi="Palatino Linotype" w:cs="Arial"/>
          <w:lang w:val="es-ES_tradnl"/>
        </w:rPr>
        <w:t>).pdf</w:t>
      </w:r>
      <w:r w:rsidR="005A6216">
        <w:rPr>
          <w:rFonts w:ascii="Palatino Linotype" w:hAnsi="Palatino Linotype" w:cs="Arial"/>
          <w:lang w:val="es-ES_tradnl"/>
        </w:rPr>
        <w:t xml:space="preserve"> y </w:t>
      </w:r>
      <w:r w:rsidR="005A6216" w:rsidRPr="005A6216">
        <w:rPr>
          <w:rFonts w:ascii="Palatino Linotype" w:hAnsi="Palatino Linotype" w:cs="Arial"/>
          <w:lang w:val="es-ES_tradnl"/>
        </w:rPr>
        <w:t>ESCRITO DE MANIFESTACIONES Y OFRECIMIENTO DE PRUEBAS.pdf</w:t>
      </w:r>
      <w:r w:rsidR="005A6216">
        <w:rPr>
          <w:rFonts w:ascii="Palatino Linotype" w:hAnsi="Palatino Linotype" w:cs="Arial"/>
          <w:lang w:val="es-ES_tradnl"/>
        </w:rPr>
        <w:t>”.</w:t>
      </w:r>
    </w:p>
    <w:p w:rsidR="002A4B43" w:rsidRDefault="002A4B43" w:rsidP="000B5E25">
      <w:pPr>
        <w:spacing w:line="360" w:lineRule="auto"/>
        <w:jc w:val="both"/>
        <w:rPr>
          <w:rFonts w:ascii="Palatino Linotype" w:hAnsi="Palatino Linotype" w:cs="Arial"/>
          <w:lang w:val="es-ES_tradnl"/>
        </w:rPr>
      </w:pPr>
    </w:p>
    <w:p w:rsidR="000B5E25" w:rsidRDefault="005A6216" w:rsidP="000B5E25">
      <w:pPr>
        <w:spacing w:line="360" w:lineRule="auto"/>
        <w:jc w:val="both"/>
        <w:rPr>
          <w:rFonts w:ascii="Palatino Linotype" w:hAnsi="Palatino Linotype" w:cs="Arial"/>
          <w:lang w:val="es-ES_tradnl"/>
        </w:rPr>
      </w:pPr>
      <w:r>
        <w:rPr>
          <w:rFonts w:ascii="Palatino Linotype" w:hAnsi="Palatino Linotype" w:cs="Arial"/>
          <w:lang w:val="es-ES_tradnl"/>
        </w:rPr>
        <w:t>P</w:t>
      </w:r>
      <w:r w:rsidR="000B5E25">
        <w:rPr>
          <w:rFonts w:ascii="Palatino Linotype" w:hAnsi="Palatino Linotype" w:cs="Arial"/>
          <w:lang w:val="es-ES_tradnl"/>
        </w:rPr>
        <w:t xml:space="preserve">or lo que al no existir prueba alguna o diligencia que desahogar en el expediente citado al rubro, </w:t>
      </w:r>
      <w:r w:rsidR="000B5E25">
        <w:rPr>
          <w:rFonts w:ascii="Palatino Linotype" w:hAnsi="Palatino Linotype" w:cs="Arial"/>
        </w:rPr>
        <w:t>el Comisionado</w:t>
      </w:r>
      <w:r w:rsidR="000B5E25" w:rsidRPr="00CC33DA">
        <w:rPr>
          <w:rFonts w:ascii="Palatino Linotype" w:hAnsi="Palatino Linotype" w:cs="Arial"/>
        </w:rPr>
        <w:t xml:space="preserve"> Ponente acordó </w:t>
      </w:r>
      <w:r w:rsidR="000B5E25" w:rsidRPr="0024200F">
        <w:rPr>
          <w:rFonts w:ascii="Palatino Linotype" w:hAnsi="Palatino Linotype" w:cs="Arial"/>
        </w:rPr>
        <w:t>el cierre de instrucción, así como la remisión d</w:t>
      </w:r>
      <w:r w:rsidR="000B5E25">
        <w:rPr>
          <w:rFonts w:ascii="Palatino Linotype" w:hAnsi="Palatino Linotype" w:cs="Arial"/>
        </w:rPr>
        <w:t>el</w:t>
      </w:r>
      <w:r w:rsidR="000B5E25" w:rsidRPr="0024200F">
        <w:rPr>
          <w:rFonts w:ascii="Palatino Linotype" w:hAnsi="Palatino Linotype" w:cs="Arial"/>
        </w:rPr>
        <w:t xml:space="preserve"> mismo a efecto </w:t>
      </w:r>
      <w:r w:rsidR="000B5E25" w:rsidRPr="0024200F">
        <w:rPr>
          <w:rFonts w:ascii="Palatino Linotype" w:hAnsi="Palatino Linotype" w:cs="Arial"/>
          <w:lang w:val="es-ES_tradnl"/>
        </w:rPr>
        <w:t>de</w:t>
      </w:r>
      <w:r w:rsidR="000B5E25" w:rsidRPr="0024200F">
        <w:rPr>
          <w:rFonts w:ascii="Palatino Linotype" w:hAnsi="Palatino Linotype" w:cs="Arial"/>
        </w:rPr>
        <w:t xml:space="preserve"> ser resuelto, de conformidad con lo establecido en el artículo 185 fracciones VI y VIII </w:t>
      </w:r>
      <w:r w:rsidR="000B5E25" w:rsidRPr="00177B0B">
        <w:rPr>
          <w:rFonts w:ascii="Palatino Linotype" w:hAnsi="Palatino Linotype" w:cs="Arial"/>
        </w:rPr>
        <w:t>de la Ley de Transparencia y Acceso a la Información Pública del Estado de México y Municipios</w:t>
      </w:r>
      <w:r w:rsidR="000B5E25" w:rsidRPr="00177B0B">
        <w:rPr>
          <w:rFonts w:ascii="Palatino Linotype" w:hAnsi="Palatino Linotype" w:cs="Arial"/>
          <w:lang w:val="es-ES_tradnl"/>
        </w:rPr>
        <w:t>;</w:t>
      </w:r>
      <w:r w:rsidR="000B5E25">
        <w:rPr>
          <w:rFonts w:ascii="Palatino Linotype" w:hAnsi="Palatino Linotype" w:cs="Arial"/>
          <w:lang w:val="es-ES_tradnl"/>
        </w:rPr>
        <w:t xml:space="preserve"> </w:t>
      </w:r>
    </w:p>
    <w:p w:rsidR="000B5E25" w:rsidRDefault="000B5E25" w:rsidP="000B5E25">
      <w:pPr>
        <w:pStyle w:val="Prrafodelista"/>
        <w:spacing w:line="360" w:lineRule="auto"/>
        <w:ind w:left="0"/>
        <w:jc w:val="both"/>
        <w:rPr>
          <w:rFonts w:ascii="Palatino Linotype" w:hAnsi="Palatino Linotype" w:cs="Arial"/>
          <w:lang w:val="es-ES_tradnl"/>
        </w:rPr>
      </w:pPr>
    </w:p>
    <w:p w:rsidR="000B5E25" w:rsidRDefault="000B5E25" w:rsidP="000B5E25">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5A6216">
        <w:rPr>
          <w:rFonts w:ascii="Palatino Linotype" w:eastAsiaTheme="minorHAnsi" w:hAnsi="Palatino Linotype" w:cs="Arial"/>
          <w:lang w:val="es-MX" w:eastAsia="en-US"/>
        </w:rPr>
        <w:t>ocho de septiembre</w:t>
      </w:r>
      <w:r>
        <w:rPr>
          <w:rFonts w:ascii="Palatino Linotype" w:eastAsiaTheme="minorHAnsi" w:hAnsi="Palatino Linotype" w:cs="Arial"/>
          <w:lang w:val="es-MX" w:eastAsia="en-US"/>
        </w:rPr>
        <w:t xml:space="preserv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0B5E25" w:rsidRDefault="000B5E25" w:rsidP="000B5E25">
      <w:pPr>
        <w:pStyle w:val="Prrafodelista"/>
        <w:spacing w:line="360" w:lineRule="auto"/>
        <w:ind w:left="0"/>
        <w:jc w:val="both"/>
        <w:rPr>
          <w:rFonts w:ascii="Palatino Linotype" w:eastAsiaTheme="minorHAnsi" w:hAnsi="Palatino Linotype" w:cs="Arial"/>
          <w:lang w:val="es-MX" w:eastAsia="en-US"/>
        </w:rPr>
      </w:pPr>
    </w:p>
    <w:p w:rsidR="000B5E25" w:rsidRDefault="000B5E25" w:rsidP="000B5E25">
      <w:pPr>
        <w:spacing w:line="360" w:lineRule="auto"/>
        <w:jc w:val="both"/>
        <w:rPr>
          <w:rFonts w:ascii="Palatino Linotype" w:hAnsi="Palatino Linotype" w:cs="Arial"/>
          <w:szCs w:val="28"/>
        </w:rPr>
      </w:pPr>
      <w:r>
        <w:rPr>
          <w:rFonts w:ascii="Palatino Linotype" w:hAnsi="Palatino Linotype" w:cs="Arial"/>
          <w:b/>
          <w:sz w:val="28"/>
          <w:szCs w:val="28"/>
        </w:rPr>
        <w:t>OCTAVO</w:t>
      </w:r>
      <w:r w:rsidRPr="000E591D">
        <w:rPr>
          <w:rFonts w:ascii="Palatino Linotype" w:hAnsi="Palatino Linotype" w:cs="Arial"/>
          <w:b/>
          <w:sz w:val="28"/>
          <w:szCs w:val="28"/>
        </w:rPr>
        <w:t xml:space="preserve">. </w:t>
      </w:r>
      <w:r w:rsidRPr="007D7AA2">
        <w:rPr>
          <w:rFonts w:ascii="Palatino Linotype" w:hAnsi="Palatino Linotype" w:cs="Arial"/>
          <w:szCs w:val="28"/>
        </w:rPr>
        <w:t>En fecha veintitrés de agosto de dos mil veintiuno por acuerdo del Pleno de este Órgano Garante, en la Segunda Sesión Extraordinaria fue</w:t>
      </w:r>
      <w:r>
        <w:rPr>
          <w:rFonts w:ascii="Palatino Linotype" w:hAnsi="Palatino Linotype" w:cs="Arial"/>
          <w:szCs w:val="28"/>
        </w:rPr>
        <w:t xml:space="preserve"> </w:t>
      </w:r>
      <w:r w:rsidRPr="007D7AA2">
        <w:rPr>
          <w:rFonts w:ascii="Palatino Linotype" w:hAnsi="Palatino Linotype" w:cs="Arial"/>
          <w:szCs w:val="28"/>
        </w:rPr>
        <w:t>returnado</w:t>
      </w:r>
      <w:r>
        <w:rPr>
          <w:rFonts w:ascii="Palatino Linotype" w:hAnsi="Palatino Linotype" w:cs="Arial"/>
          <w:szCs w:val="28"/>
        </w:rPr>
        <w:t xml:space="preserve"> e</w:t>
      </w:r>
      <w:r w:rsidRPr="007D7AA2">
        <w:rPr>
          <w:rFonts w:ascii="Palatino Linotype" w:hAnsi="Palatino Linotype" w:cs="Arial"/>
          <w:szCs w:val="28"/>
        </w:rPr>
        <w:t xml:space="preserve">l recurso de revisión </w:t>
      </w:r>
      <w:r w:rsidRPr="000E591D">
        <w:rPr>
          <w:rFonts w:ascii="Palatino Linotype" w:hAnsi="Palatino Linotype"/>
          <w:b/>
        </w:rPr>
        <w:t>0</w:t>
      </w:r>
      <w:r w:rsidR="005A6216">
        <w:rPr>
          <w:rFonts w:ascii="Palatino Linotype" w:hAnsi="Palatino Linotype"/>
          <w:b/>
        </w:rPr>
        <w:t>4015</w:t>
      </w:r>
      <w:r w:rsidRPr="000E591D">
        <w:rPr>
          <w:rFonts w:ascii="Palatino Linotype" w:hAnsi="Palatino Linotype"/>
          <w:b/>
        </w:rPr>
        <w:t>/INFOEM/IP/RR/2021</w:t>
      </w:r>
      <w:r w:rsidRPr="007D7AA2">
        <w:rPr>
          <w:rFonts w:ascii="Palatino Linotype" w:hAnsi="Palatino Linotype" w:cs="Arial"/>
          <w:szCs w:val="28"/>
        </w:rPr>
        <w:t xml:space="preserve">, al Comisionado </w:t>
      </w:r>
      <w:r w:rsidRPr="008F7D14">
        <w:rPr>
          <w:rFonts w:ascii="Palatino Linotype" w:hAnsi="Palatino Linotype" w:cs="Arial"/>
          <w:b/>
          <w:szCs w:val="28"/>
        </w:rPr>
        <w:t>JOSÉ MARTÍNEZ VILCHIS</w:t>
      </w:r>
      <w:r w:rsidRPr="007D7AA2">
        <w:rPr>
          <w:rFonts w:ascii="Palatino Linotype" w:hAnsi="Palatino Linotype" w:cs="Arial"/>
          <w:szCs w:val="28"/>
        </w:rPr>
        <w:t xml:space="preserve"> para su resolución y presentación al Pleno.</w:t>
      </w:r>
    </w:p>
    <w:p w:rsidR="000B5E25" w:rsidRPr="00D3600E" w:rsidRDefault="000B5E25" w:rsidP="000B5E25">
      <w:pPr>
        <w:pStyle w:val="Prrafodelista"/>
        <w:spacing w:line="360" w:lineRule="auto"/>
        <w:ind w:left="0"/>
        <w:jc w:val="both"/>
        <w:rPr>
          <w:rFonts w:ascii="Palatino Linotype" w:eastAsiaTheme="minorHAnsi" w:hAnsi="Palatino Linotype" w:cs="Arial"/>
          <w:lang w:eastAsia="en-US"/>
        </w:rPr>
      </w:pPr>
    </w:p>
    <w:p w:rsidR="000B5E25" w:rsidRPr="0024200F" w:rsidRDefault="000B5E25" w:rsidP="000B5E2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0B5E25" w:rsidRDefault="000B5E25" w:rsidP="000B5E25">
      <w:pPr>
        <w:spacing w:line="360" w:lineRule="auto"/>
        <w:ind w:right="49"/>
        <w:jc w:val="both"/>
        <w:rPr>
          <w:rFonts w:ascii="Palatino Linotype" w:hAnsi="Palatino Linotype"/>
          <w:szCs w:val="28"/>
        </w:rPr>
      </w:pPr>
    </w:p>
    <w:p w:rsidR="009F62C3" w:rsidRPr="00825F67" w:rsidRDefault="009F62C3" w:rsidP="000B5E25">
      <w:pPr>
        <w:spacing w:line="360" w:lineRule="auto"/>
        <w:ind w:right="49"/>
        <w:jc w:val="both"/>
        <w:rPr>
          <w:rFonts w:ascii="Palatino Linotype" w:hAnsi="Palatino Linotype"/>
          <w:szCs w:val="28"/>
        </w:rPr>
      </w:pPr>
    </w:p>
    <w:p w:rsidR="000B5E25" w:rsidRPr="00FB3150" w:rsidRDefault="000B5E25" w:rsidP="000B5E25">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B5E25" w:rsidRDefault="000B5E25" w:rsidP="000B5E25">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B5E25" w:rsidRDefault="000B5E25" w:rsidP="000B5E25">
      <w:pPr>
        <w:spacing w:line="360" w:lineRule="auto"/>
        <w:jc w:val="both"/>
        <w:rPr>
          <w:rFonts w:ascii="Palatino Linotype" w:hAnsi="Palatino Linotype" w:cs="Arial"/>
        </w:rPr>
      </w:pPr>
    </w:p>
    <w:p w:rsidR="000B5E25" w:rsidRPr="001D77CB" w:rsidRDefault="000B5E25" w:rsidP="000B5E25">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0B5E25" w:rsidRDefault="000B5E25" w:rsidP="000B5E25">
      <w:pPr>
        <w:spacing w:line="360" w:lineRule="auto"/>
        <w:ind w:right="49"/>
        <w:jc w:val="both"/>
        <w:rPr>
          <w:rFonts w:ascii="Palatino Linotype" w:hAnsi="Palatino Linotype" w:cs="Arial"/>
        </w:rPr>
      </w:pPr>
    </w:p>
    <w:p w:rsidR="000B5E25" w:rsidRPr="00FB3150" w:rsidRDefault="000B5E25" w:rsidP="000B5E25">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0B5E25" w:rsidRDefault="000B5E25" w:rsidP="000B5E25">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w:t>
      </w:r>
      <w:r w:rsidRPr="0024200F">
        <w:rPr>
          <w:rFonts w:ascii="Palatino Linotype" w:hAnsi="Palatino Linotype" w:cs="Arial"/>
        </w:rPr>
        <w:lastRenderedPageBreak/>
        <w:t>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0B5E25" w:rsidRDefault="000B5E25" w:rsidP="000B5E25">
      <w:pPr>
        <w:spacing w:line="360" w:lineRule="auto"/>
        <w:ind w:right="49"/>
        <w:jc w:val="both"/>
        <w:rPr>
          <w:rFonts w:ascii="Palatino Linotype" w:hAnsi="Palatino Linotype" w:cs="Arial"/>
        </w:rPr>
      </w:pPr>
    </w:p>
    <w:p w:rsidR="000B5E25" w:rsidRPr="00FB3150" w:rsidRDefault="000B5E25" w:rsidP="000B5E2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0B5E25" w:rsidRDefault="000B5E25" w:rsidP="000B5E25">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0B5E25" w:rsidRDefault="000B5E25" w:rsidP="000B5E2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0B5E25" w:rsidRDefault="000B5E25" w:rsidP="000B5E25">
      <w:pPr>
        <w:pStyle w:val="Prrafodelista"/>
        <w:autoSpaceDE w:val="0"/>
        <w:autoSpaceDN w:val="0"/>
        <w:adjustRightInd w:val="0"/>
        <w:spacing w:line="360" w:lineRule="auto"/>
        <w:ind w:left="0"/>
        <w:jc w:val="both"/>
        <w:rPr>
          <w:rFonts w:ascii="Palatino Linotype" w:hAnsi="Palatino Linotype" w:cs="Arial"/>
        </w:rPr>
      </w:pPr>
    </w:p>
    <w:p w:rsidR="000B5E25" w:rsidRPr="00FB3150" w:rsidRDefault="000B5E25" w:rsidP="000B5E2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0B5E25" w:rsidRDefault="000B5E25" w:rsidP="000B5E2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0B5E25" w:rsidRPr="0024200F" w:rsidRDefault="000B5E25" w:rsidP="000B5E25">
      <w:pPr>
        <w:pStyle w:val="Prrafodelista"/>
        <w:autoSpaceDE w:val="0"/>
        <w:autoSpaceDN w:val="0"/>
        <w:adjustRightInd w:val="0"/>
        <w:spacing w:line="360" w:lineRule="auto"/>
        <w:ind w:left="0"/>
        <w:jc w:val="both"/>
        <w:rPr>
          <w:rFonts w:ascii="Palatino Linotype" w:hAnsi="Palatino Linotype" w:cs="Arial"/>
        </w:rPr>
      </w:pPr>
    </w:p>
    <w:p w:rsidR="000B5E25" w:rsidRDefault="000B5E25" w:rsidP="000B5E25">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w:t>
      </w:r>
      <w:r w:rsidRPr="007D7352">
        <w:rPr>
          <w:rFonts w:ascii="Palatino Linotype" w:hAnsi="Palatino Linotype"/>
          <w:bCs/>
        </w:rPr>
        <w:t xml:space="preserve">información el </w:t>
      </w:r>
      <w:r w:rsidRPr="007D7352">
        <w:rPr>
          <w:rFonts w:ascii="Palatino Linotype" w:hAnsi="Palatino Linotype"/>
          <w:b/>
          <w:bCs/>
        </w:rPr>
        <w:t xml:space="preserve">Recurrente </w:t>
      </w:r>
      <w:r w:rsidRPr="007D7352">
        <w:rPr>
          <w:rFonts w:ascii="Palatino Linotype" w:hAnsi="Palatino Linotype"/>
          <w:bCs/>
        </w:rPr>
        <w:t xml:space="preserve">peticiona </w:t>
      </w:r>
      <w:r w:rsidR="005A6216">
        <w:rPr>
          <w:rFonts w:ascii="Palatino Linotype" w:hAnsi="Palatino Linotype"/>
          <w:bCs/>
        </w:rPr>
        <w:t>de todo el personal de base y confianza</w:t>
      </w:r>
      <w:r w:rsidR="00B8098B">
        <w:rPr>
          <w:rFonts w:ascii="Palatino Linotype" w:hAnsi="Palatino Linotype"/>
          <w:bCs/>
        </w:rPr>
        <w:t>, excepto del personal adscrito a la Dirección de Seguridad Pública y Tránsito Municipal,</w:t>
      </w:r>
      <w:r w:rsidR="005A6216">
        <w:rPr>
          <w:rFonts w:ascii="Palatino Linotype" w:hAnsi="Palatino Linotype"/>
          <w:bCs/>
        </w:rPr>
        <w:t xml:space="preserve"> que estén o hayan estado activos en el periodo del uno de enero al quince de julio de dos mil veintiuno</w:t>
      </w:r>
      <w:r>
        <w:rPr>
          <w:rFonts w:ascii="Palatino Linotype" w:hAnsi="Palatino Linotype" w:cs="Arial"/>
          <w:color w:val="000000" w:themeColor="text1"/>
        </w:rPr>
        <w:t>,</w:t>
      </w:r>
      <w:r>
        <w:rPr>
          <w:rFonts w:ascii="Palatino Linotype" w:hAnsi="Palatino Linotype"/>
          <w:bCs/>
        </w:rPr>
        <w:t xml:space="preserve"> </w:t>
      </w:r>
      <w:r w:rsidRPr="007D7352">
        <w:rPr>
          <w:rFonts w:ascii="Palatino Linotype" w:hAnsi="Palatino Linotype"/>
          <w:bCs/>
        </w:rPr>
        <w:t>lo siguiente:</w:t>
      </w:r>
      <w:r>
        <w:rPr>
          <w:rFonts w:ascii="Palatino Linotype" w:hAnsi="Palatino Linotype"/>
          <w:bCs/>
        </w:rPr>
        <w:t xml:space="preserve"> </w:t>
      </w:r>
    </w:p>
    <w:p w:rsidR="000B5E25" w:rsidRDefault="000B5E25" w:rsidP="000B5E25">
      <w:pPr>
        <w:pStyle w:val="Prrafodelista"/>
        <w:spacing w:line="360" w:lineRule="auto"/>
        <w:ind w:left="0" w:right="49"/>
        <w:jc w:val="both"/>
        <w:rPr>
          <w:rFonts w:ascii="Palatino Linotype" w:hAnsi="Palatino Linotype" w:cs="Arial"/>
          <w:color w:val="000000" w:themeColor="text1"/>
        </w:rPr>
      </w:pPr>
    </w:p>
    <w:p w:rsidR="005A6216" w:rsidRDefault="006B418F" w:rsidP="005A6216">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Nombramientos;</w:t>
      </w:r>
    </w:p>
    <w:p w:rsidR="005A6216" w:rsidRDefault="005A6216" w:rsidP="005A6216">
      <w:pPr>
        <w:pStyle w:val="Prrafodelista"/>
        <w:numPr>
          <w:ilvl w:val="0"/>
          <w:numId w:val="2"/>
        </w:numPr>
        <w:spacing w:line="360" w:lineRule="auto"/>
        <w:ind w:right="616"/>
        <w:jc w:val="both"/>
        <w:rPr>
          <w:rFonts w:ascii="Palatino Linotype" w:hAnsi="Palatino Linotype" w:cs="Arial"/>
          <w:color w:val="000000" w:themeColor="text1"/>
        </w:rPr>
      </w:pPr>
      <w:r w:rsidRPr="005A6216">
        <w:rPr>
          <w:rFonts w:ascii="Palatino Linotype" w:hAnsi="Palatino Linotype" w:cs="Arial"/>
          <w:color w:val="000000" w:themeColor="text1"/>
        </w:rPr>
        <w:lastRenderedPageBreak/>
        <w:t>formatos ún</w:t>
      </w:r>
      <w:r w:rsidR="006B418F">
        <w:rPr>
          <w:rFonts w:ascii="Palatino Linotype" w:hAnsi="Palatino Linotype" w:cs="Arial"/>
          <w:color w:val="000000" w:themeColor="text1"/>
        </w:rPr>
        <w:t>icos de movimiento de personal; y</w:t>
      </w:r>
    </w:p>
    <w:p w:rsidR="000B5E25" w:rsidRDefault="005A6216" w:rsidP="00B8098B">
      <w:pPr>
        <w:pStyle w:val="Prrafodelista"/>
        <w:numPr>
          <w:ilvl w:val="0"/>
          <w:numId w:val="2"/>
        </w:numPr>
        <w:spacing w:line="360" w:lineRule="auto"/>
        <w:ind w:right="616"/>
        <w:jc w:val="both"/>
        <w:rPr>
          <w:rFonts w:ascii="Palatino Linotype" w:hAnsi="Palatino Linotype" w:cs="Arial"/>
          <w:color w:val="000000" w:themeColor="text1"/>
        </w:rPr>
      </w:pPr>
      <w:r w:rsidRPr="005A6216">
        <w:rPr>
          <w:rFonts w:ascii="Palatino Linotype" w:hAnsi="Palatino Linotype" w:cs="Arial"/>
          <w:color w:val="000000" w:themeColor="text1"/>
        </w:rPr>
        <w:t>contratos o convenios que r</w:t>
      </w:r>
      <w:r w:rsidR="006B418F">
        <w:rPr>
          <w:rFonts w:ascii="Palatino Linotype" w:hAnsi="Palatino Linotype" w:cs="Arial"/>
          <w:color w:val="000000" w:themeColor="text1"/>
        </w:rPr>
        <w:t>egulen las relaciones laborales.</w:t>
      </w:r>
    </w:p>
    <w:p w:rsidR="00B8098B" w:rsidRDefault="00B8098B" w:rsidP="000B5E25">
      <w:pPr>
        <w:spacing w:line="360" w:lineRule="auto"/>
        <w:jc w:val="both"/>
        <w:rPr>
          <w:rFonts w:ascii="Palatino Linotype" w:hAnsi="Palatino Linotype" w:cs="Arial"/>
          <w:color w:val="000000" w:themeColor="text1"/>
        </w:rPr>
      </w:pPr>
    </w:p>
    <w:p w:rsidR="000B5E25" w:rsidRDefault="000B5E25" w:rsidP="000B5E25">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006F5F93" w:rsidRPr="002E3085">
        <w:rPr>
          <w:rFonts w:ascii="Palatino Linotype" w:hAnsi="Palatino Linotype"/>
          <w:bCs/>
        </w:rPr>
        <w:t>RESP.SOL.107.pdf</w:t>
      </w:r>
      <w:r w:rsidR="006F5F93">
        <w:rPr>
          <w:rFonts w:ascii="Palatino Linotype" w:hAnsi="Palatino Linotype"/>
          <w:bCs/>
        </w:rPr>
        <w:t xml:space="preserve">, </w:t>
      </w:r>
      <w:r w:rsidR="006F5F93" w:rsidRPr="002E3085">
        <w:rPr>
          <w:rFonts w:ascii="Palatino Linotype" w:hAnsi="Palatino Linotype"/>
          <w:bCs/>
        </w:rPr>
        <w:t>VERSIÓN PÚBLICA FORMATO UNICO.pdf</w:t>
      </w:r>
      <w:r w:rsidR="006F5F93">
        <w:rPr>
          <w:rFonts w:ascii="Palatino Linotype" w:hAnsi="Palatino Linotype"/>
          <w:bCs/>
        </w:rPr>
        <w:t xml:space="preserve"> y </w:t>
      </w:r>
      <w:r w:rsidR="006F5F93" w:rsidRPr="002E3085">
        <w:rPr>
          <w:rFonts w:ascii="Palatino Linotype" w:hAnsi="Palatino Linotype"/>
          <w:bCs/>
        </w:rPr>
        <w:t>ACTA COMITE CLASIFICACIÓN.pdf</w:t>
      </w:r>
      <w:r w:rsidRPr="008B5F49">
        <w:rPr>
          <w:rFonts w:ascii="Palatino Linotype" w:hAnsi="Palatino Linotype"/>
          <w:bCs/>
        </w:rPr>
        <w:t>”, del que se desprende el contenido siguiente:</w:t>
      </w:r>
    </w:p>
    <w:p w:rsidR="000B5E25" w:rsidRDefault="000B5E25" w:rsidP="000B5E25">
      <w:pPr>
        <w:spacing w:line="360" w:lineRule="auto"/>
        <w:jc w:val="both"/>
        <w:rPr>
          <w:rFonts w:ascii="Palatino Linotype" w:hAnsi="Palatino Linotype"/>
          <w:bCs/>
        </w:rPr>
      </w:pPr>
    </w:p>
    <w:p w:rsidR="000B5E25" w:rsidRDefault="006F5F93" w:rsidP="006F5F93">
      <w:pPr>
        <w:pStyle w:val="Prrafodelista"/>
        <w:numPr>
          <w:ilvl w:val="0"/>
          <w:numId w:val="1"/>
        </w:numPr>
        <w:spacing w:line="360" w:lineRule="auto"/>
        <w:jc w:val="both"/>
        <w:rPr>
          <w:rFonts w:ascii="Palatino Linotype" w:hAnsi="Palatino Linotype"/>
          <w:bCs/>
        </w:rPr>
      </w:pPr>
      <w:r w:rsidRPr="006F5F93">
        <w:rPr>
          <w:rFonts w:ascii="Palatino Linotype" w:hAnsi="Palatino Linotype"/>
          <w:b/>
          <w:bCs/>
        </w:rPr>
        <w:t>RESP.SOL.107.pdf</w:t>
      </w:r>
      <w:r w:rsidR="000B5E25" w:rsidRPr="008D6A2E">
        <w:rPr>
          <w:rFonts w:ascii="Palatino Linotype" w:hAnsi="Palatino Linotype"/>
          <w:b/>
          <w:bCs/>
        </w:rPr>
        <w:t>:</w:t>
      </w:r>
      <w:r w:rsidR="000B5E25">
        <w:rPr>
          <w:rFonts w:ascii="Palatino Linotype" w:hAnsi="Palatino Linotype"/>
          <w:bCs/>
        </w:rPr>
        <w:t xml:space="preserve"> consistente en el oficio </w:t>
      </w:r>
      <w:r>
        <w:rPr>
          <w:rFonts w:ascii="Palatino Linotype" w:hAnsi="Palatino Linotype"/>
          <w:bCs/>
        </w:rPr>
        <w:t>PMIX/DA/RH/795/2021</w:t>
      </w:r>
      <w:r w:rsidR="000B5E25">
        <w:rPr>
          <w:rFonts w:ascii="Palatino Linotype" w:hAnsi="Palatino Linotype"/>
          <w:bCs/>
        </w:rPr>
        <w:t xml:space="preserve"> del </w:t>
      </w:r>
      <w:r>
        <w:rPr>
          <w:rFonts w:ascii="Palatino Linotype" w:hAnsi="Palatino Linotype"/>
          <w:bCs/>
        </w:rPr>
        <w:t>09</w:t>
      </w:r>
      <w:r w:rsidR="000B5E25">
        <w:rPr>
          <w:rFonts w:ascii="Palatino Linotype" w:hAnsi="Palatino Linotype"/>
          <w:bCs/>
        </w:rPr>
        <w:t xml:space="preserve"> de </w:t>
      </w:r>
      <w:r>
        <w:rPr>
          <w:rFonts w:ascii="Palatino Linotype" w:hAnsi="Palatino Linotype"/>
          <w:bCs/>
        </w:rPr>
        <w:t xml:space="preserve">agosto </w:t>
      </w:r>
      <w:r w:rsidR="000B5E25">
        <w:rPr>
          <w:rFonts w:ascii="Palatino Linotype" w:hAnsi="Palatino Linotype"/>
          <w:bCs/>
        </w:rPr>
        <w:t xml:space="preserve">dos mil veintiuno, mediante el cual la </w:t>
      </w:r>
      <w:r>
        <w:rPr>
          <w:rFonts w:ascii="Palatino Linotype" w:hAnsi="Palatino Linotype"/>
          <w:bCs/>
        </w:rPr>
        <w:t>Directora de Administración</w:t>
      </w:r>
      <w:r w:rsidR="000B5E25">
        <w:rPr>
          <w:rFonts w:ascii="Palatino Linotype" w:hAnsi="Palatino Linotype"/>
          <w:bCs/>
        </w:rPr>
        <w:t xml:space="preserve"> </w:t>
      </w:r>
      <w:r>
        <w:rPr>
          <w:rFonts w:ascii="Palatino Linotype" w:hAnsi="Palatino Linotype"/>
          <w:bCs/>
        </w:rPr>
        <w:t>manifiesta remitir</w:t>
      </w:r>
      <w:r w:rsidR="000B5E25">
        <w:rPr>
          <w:rFonts w:ascii="Palatino Linotype" w:hAnsi="Palatino Linotype"/>
          <w:bCs/>
        </w:rPr>
        <w:t xml:space="preserve"> a la </w:t>
      </w:r>
      <w:r>
        <w:rPr>
          <w:rFonts w:ascii="Palatino Linotype" w:hAnsi="Palatino Linotype"/>
          <w:bCs/>
        </w:rPr>
        <w:t xml:space="preserve">Titular de la Unidad de Transparencia y Acceso a la </w:t>
      </w:r>
      <w:r w:rsidR="000B5E25">
        <w:rPr>
          <w:rFonts w:ascii="Palatino Linotype" w:hAnsi="Palatino Linotype"/>
          <w:bCs/>
        </w:rPr>
        <w:t xml:space="preserve">Información Pública, </w:t>
      </w:r>
      <w:r>
        <w:rPr>
          <w:rFonts w:ascii="Palatino Linotype" w:hAnsi="Palatino Linotype"/>
          <w:bCs/>
        </w:rPr>
        <w:t>los formatos únicos de movimiento de personal que esta o estuvo actico en el periodo del primero de enero al quince de julio de dos mil veintiuno.</w:t>
      </w:r>
    </w:p>
    <w:p w:rsidR="009F62C3" w:rsidRDefault="009F62C3" w:rsidP="009F62C3">
      <w:pPr>
        <w:pStyle w:val="Prrafodelista"/>
        <w:spacing w:line="360" w:lineRule="auto"/>
        <w:ind w:left="720"/>
        <w:jc w:val="both"/>
        <w:rPr>
          <w:rFonts w:ascii="Palatino Linotype" w:hAnsi="Palatino Linotype"/>
          <w:bCs/>
        </w:rPr>
      </w:pPr>
    </w:p>
    <w:p w:rsidR="000B5E25" w:rsidRDefault="006F5F93" w:rsidP="006F5F93">
      <w:pPr>
        <w:pStyle w:val="Prrafodelista"/>
        <w:numPr>
          <w:ilvl w:val="0"/>
          <w:numId w:val="1"/>
        </w:numPr>
        <w:spacing w:line="360" w:lineRule="auto"/>
        <w:jc w:val="both"/>
        <w:rPr>
          <w:rFonts w:ascii="Palatino Linotype" w:hAnsi="Palatino Linotype"/>
          <w:bCs/>
        </w:rPr>
      </w:pPr>
      <w:r w:rsidRPr="006B418F">
        <w:rPr>
          <w:rFonts w:ascii="Palatino Linotype" w:hAnsi="Palatino Linotype"/>
          <w:b/>
          <w:bCs/>
        </w:rPr>
        <w:t>VERSIÓN PÚBLICA FORMATO</w:t>
      </w:r>
      <w:r w:rsidRPr="006F5F93">
        <w:rPr>
          <w:rFonts w:ascii="Palatino Linotype" w:hAnsi="Palatino Linotype"/>
          <w:b/>
          <w:bCs/>
        </w:rPr>
        <w:t xml:space="preserve"> UNICO.pdf</w:t>
      </w:r>
      <w:r w:rsidR="000B5E25" w:rsidRPr="00AA03B0">
        <w:rPr>
          <w:rFonts w:ascii="Palatino Linotype" w:hAnsi="Palatino Linotype"/>
          <w:b/>
          <w:bCs/>
        </w:rPr>
        <w:t>:</w:t>
      </w:r>
      <w:r w:rsidR="000B5E25">
        <w:rPr>
          <w:rFonts w:ascii="Palatino Linotype" w:hAnsi="Palatino Linotype"/>
          <w:bCs/>
        </w:rPr>
        <w:t xml:space="preserve"> </w:t>
      </w:r>
      <w:r w:rsidR="006B418F">
        <w:rPr>
          <w:rFonts w:ascii="Palatino Linotype" w:hAnsi="Palatino Linotype"/>
          <w:bCs/>
        </w:rPr>
        <w:t>consistente en la versión pública de 63 (sesenta y tres) Avisos de Movimientos de personal por Alta, apreciándose fueron testados los datos de: 3. Clave ISSEMyM, 4. CURP</w:t>
      </w:r>
      <w:r w:rsidR="00B01BD5">
        <w:rPr>
          <w:rFonts w:ascii="Palatino Linotype" w:hAnsi="Palatino Linotype"/>
          <w:bCs/>
        </w:rPr>
        <w:t>; 5. Clave de la Institución; 11. Sello Digital.</w:t>
      </w:r>
    </w:p>
    <w:p w:rsidR="000B5E25" w:rsidRDefault="000B5E25" w:rsidP="000B5E25">
      <w:pPr>
        <w:pStyle w:val="Prrafodelista"/>
        <w:spacing w:line="360" w:lineRule="auto"/>
        <w:ind w:left="0"/>
        <w:jc w:val="both"/>
        <w:rPr>
          <w:rFonts w:ascii="Palatino Linotype" w:hAnsi="Palatino Linotype"/>
          <w:bCs/>
        </w:rPr>
      </w:pPr>
    </w:p>
    <w:p w:rsidR="009F62C3" w:rsidRDefault="009F62C3" w:rsidP="009F62C3">
      <w:pPr>
        <w:pStyle w:val="Prrafodelista"/>
        <w:numPr>
          <w:ilvl w:val="0"/>
          <w:numId w:val="1"/>
        </w:numPr>
        <w:spacing w:line="360" w:lineRule="auto"/>
        <w:jc w:val="both"/>
        <w:rPr>
          <w:rFonts w:ascii="Palatino Linotype" w:hAnsi="Palatino Linotype"/>
          <w:bCs/>
        </w:rPr>
      </w:pPr>
      <w:r w:rsidRPr="009F62C3">
        <w:rPr>
          <w:rFonts w:ascii="Palatino Linotype" w:hAnsi="Palatino Linotype"/>
          <w:b/>
          <w:bCs/>
        </w:rPr>
        <w:t>ACTA COMITE CLASIFICACIÓN.pdf</w:t>
      </w:r>
      <w:r>
        <w:rPr>
          <w:rFonts w:ascii="Palatino Linotype" w:hAnsi="Palatino Linotype"/>
          <w:bCs/>
        </w:rPr>
        <w:t>: consistente en el Acta de la Vigésima Primera Sesión Ordinaria del Comité de Transparencia del Sujeto Obligado, de fecha once de agosto de dos mil veintiuno, mediante la cual se aprueba, mediante el acuerdo UTAIPM/0026/2021, la clasificación de los datos personales contenidos en los Formatos Únicos de Movimiento, para dar respuesta a la solicitud de información 00107/IXTLAHUA/IP/2021.</w:t>
      </w:r>
    </w:p>
    <w:p w:rsidR="000B5E25" w:rsidRDefault="000B5E25" w:rsidP="000B5E25">
      <w:pPr>
        <w:spacing w:line="360" w:lineRule="auto"/>
        <w:jc w:val="both"/>
        <w:rPr>
          <w:rFonts w:ascii="Palatino Linotype" w:hAnsi="Palatino Linotype"/>
          <w:bCs/>
        </w:rPr>
      </w:pPr>
      <w:r>
        <w:rPr>
          <w:rFonts w:ascii="Palatino Linotype" w:hAnsi="Palatino Linotype"/>
          <w:bCs/>
        </w:rPr>
        <w:lastRenderedPageBreak/>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w:t>
      </w:r>
      <w:r>
        <w:rPr>
          <w:rFonts w:ascii="Palatino Linotype" w:hAnsi="Palatino Linotype"/>
          <w:bCs/>
          <w:i/>
        </w:rPr>
        <w:t>“</w:t>
      </w:r>
      <w:r w:rsidR="00B01BD5">
        <w:rPr>
          <w:rFonts w:ascii="Palatino Linotype" w:hAnsi="Palatino Linotype"/>
          <w:bCs/>
          <w:i/>
        </w:rPr>
        <w:t>…</w:t>
      </w:r>
      <w:r w:rsidR="00B01BD5" w:rsidRPr="00B01BD5">
        <w:rPr>
          <w:rFonts w:ascii="Palatino Linotype" w:hAnsi="Palatino Linotype"/>
          <w:bCs/>
          <w:i/>
        </w:rPr>
        <w:t>omitiendo proporcionar la información solicitada</w:t>
      </w:r>
      <w:r w:rsidR="00B01BD5">
        <w:rPr>
          <w:rFonts w:ascii="Palatino Linotype" w:hAnsi="Palatino Linotype"/>
          <w:bCs/>
          <w:i/>
        </w:rPr>
        <w:t>…</w:t>
      </w:r>
      <w:r>
        <w:rPr>
          <w:rFonts w:ascii="Palatino Linotype" w:hAnsi="Palatino Linotype"/>
          <w:bCs/>
          <w:i/>
        </w:rPr>
        <w:t>”</w:t>
      </w:r>
      <w:r>
        <w:rPr>
          <w:rFonts w:ascii="Palatino Linotype" w:hAnsi="Palatino Linotype"/>
          <w:bCs/>
        </w:rPr>
        <w:t>, que encuadran en la hipótesis normativa señalada en la fracción V</w:t>
      </w:r>
      <w:r w:rsidR="00B01BD5">
        <w:rPr>
          <w:rFonts w:ascii="Palatino Linotype" w:hAnsi="Palatino Linotype"/>
          <w:bCs/>
        </w:rPr>
        <w:t>I</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2"/>
      </w:r>
      <w:r>
        <w:rPr>
          <w:rFonts w:ascii="Palatino Linotype" w:hAnsi="Palatino Linotype"/>
          <w:bCs/>
        </w:rPr>
        <w:t>, resultando procedente la interposición del recurso.</w:t>
      </w:r>
    </w:p>
    <w:p w:rsidR="000B5E25" w:rsidRDefault="000B5E25" w:rsidP="000B5E25">
      <w:pPr>
        <w:spacing w:line="360" w:lineRule="auto"/>
        <w:jc w:val="both"/>
        <w:rPr>
          <w:rFonts w:ascii="Palatino Linotype" w:hAnsi="Palatino Linotype"/>
          <w:bCs/>
        </w:rPr>
      </w:pPr>
    </w:p>
    <w:p w:rsidR="000B5E25" w:rsidRPr="005D7038" w:rsidRDefault="000B5E25" w:rsidP="000B5E25">
      <w:pPr>
        <w:spacing w:line="360" w:lineRule="auto"/>
        <w:jc w:val="both"/>
        <w:rPr>
          <w:rFonts w:ascii="Palatino Linotype" w:eastAsia="Calibri" w:hAnsi="Palatino Linotype"/>
          <w:lang w:val="es-ES_tradnl"/>
        </w:rPr>
      </w:pPr>
      <w:r>
        <w:rPr>
          <w:rFonts w:ascii="Palatino Linotype" w:hAnsi="Palatino Linotype"/>
        </w:rPr>
        <w:t xml:space="preserve">Señalado lo anterior, </w:t>
      </w:r>
      <w:r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Pr="005D7038">
        <w:rPr>
          <w:rFonts w:ascii="Palatino Linotype" w:eastAsia="Calibri" w:hAnsi="Palatino Linotype"/>
          <w:vertAlign w:val="superscript"/>
          <w:lang w:val="es-ES_tradnl"/>
        </w:rPr>
        <w:footnoteReference w:id="3"/>
      </w:r>
      <w:r w:rsidRPr="005D7038">
        <w:rPr>
          <w:rFonts w:ascii="Palatino Linotype" w:eastAsia="Calibri" w:hAnsi="Palatino Linotype"/>
          <w:lang w:val="es-ES_tradnl"/>
        </w:rPr>
        <w:t xml:space="preserve">, el derecho de acceso a la información pública, es la prerrogativa de las </w:t>
      </w:r>
      <w:r w:rsidRPr="005D7038">
        <w:rPr>
          <w:rFonts w:ascii="Palatino Linotype" w:eastAsia="Calibri" w:hAnsi="Palatino Linotype"/>
          <w:lang w:val="es-ES_tradnl"/>
        </w:rPr>
        <w:lastRenderedPageBreak/>
        <w:t xml:space="preserve">personas para buscar, difundir, investigar, recabar, recibir y solicitar información pública, sin acreditar personalidad o interés jurídico. </w:t>
      </w:r>
    </w:p>
    <w:p w:rsidR="000B5E25" w:rsidRPr="005D7038" w:rsidRDefault="000B5E25" w:rsidP="000B5E25">
      <w:pPr>
        <w:spacing w:line="360" w:lineRule="auto"/>
        <w:jc w:val="both"/>
        <w:rPr>
          <w:rFonts w:ascii="Palatino Linotype" w:eastAsia="Calibri" w:hAnsi="Palatino Linotype"/>
          <w:lang w:val="es-ES_tradnl"/>
        </w:rPr>
      </w:pPr>
    </w:p>
    <w:p w:rsidR="000B5E25" w:rsidRDefault="000B5E25" w:rsidP="000B5E25">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9F62C3" w:rsidRDefault="009F62C3" w:rsidP="000B5E25">
      <w:pPr>
        <w:spacing w:line="360" w:lineRule="auto"/>
        <w:jc w:val="both"/>
        <w:rPr>
          <w:rFonts w:ascii="Palatino Linotype" w:eastAsia="Calibri" w:hAnsi="Palatino Linotype"/>
          <w:lang w:val="es-ES_tradnl"/>
        </w:rPr>
      </w:pPr>
    </w:p>
    <w:p w:rsidR="000B5E25" w:rsidRPr="008E2053" w:rsidRDefault="000B5E25" w:rsidP="000B5E25">
      <w:pPr>
        <w:spacing w:line="360" w:lineRule="auto"/>
        <w:jc w:val="both"/>
        <w:rPr>
          <w:rFonts w:ascii="Palatino Linotype" w:hAnsi="Palatino Linotype" w:cs="Arial"/>
          <w:color w:val="000000" w:themeColor="text1"/>
        </w:rPr>
      </w:pPr>
      <w:r>
        <w:rPr>
          <w:rFonts w:ascii="Palatino Linotype" w:eastAsia="Calibri" w:hAnsi="Palatino Linotype"/>
          <w:lang w:val="es-ES_tradnl"/>
        </w:rPr>
        <w:t xml:space="preserve">Atentos a lo anterior, como quedó precisado en líneas anteriores, el </w:t>
      </w:r>
      <w:r w:rsidRPr="009E21AC">
        <w:rPr>
          <w:rFonts w:ascii="Palatino Linotype" w:eastAsia="Calibri" w:hAnsi="Palatino Linotype"/>
          <w:b/>
          <w:lang w:val="es-ES_tradnl"/>
        </w:rPr>
        <w:t>Recurrente</w:t>
      </w:r>
      <w:r w:rsidR="005B36A8">
        <w:rPr>
          <w:rFonts w:ascii="Palatino Linotype" w:eastAsia="Calibri" w:hAnsi="Palatino Linotype"/>
          <w:lang w:val="es-ES_tradnl"/>
        </w:rPr>
        <w:t xml:space="preserve"> peticionó le fuera entregada información de </w:t>
      </w:r>
      <w:r w:rsidRPr="00FC2FDF">
        <w:rPr>
          <w:rFonts w:ascii="Palatino Linotype" w:hAnsi="Palatino Linotype" w:cs="Arial"/>
          <w:color w:val="000000" w:themeColor="text1"/>
        </w:rPr>
        <w:t xml:space="preserve">todos los </w:t>
      </w:r>
      <w:r w:rsidR="005B36A8">
        <w:rPr>
          <w:rFonts w:ascii="Palatino Linotype" w:hAnsi="Palatino Linotype" w:cs="Arial"/>
          <w:color w:val="000000" w:themeColor="text1"/>
        </w:rPr>
        <w:t xml:space="preserve">servidores públicos adscritos al Ayuntamiento, con excepción de los adscritos a la Dirección de </w:t>
      </w:r>
      <w:r w:rsidR="002C0BE5">
        <w:rPr>
          <w:rFonts w:ascii="Palatino Linotype" w:hAnsi="Palatino Linotype" w:cs="Arial"/>
          <w:color w:val="000000" w:themeColor="text1"/>
        </w:rPr>
        <w:t>Seguridad Pública y Tránsito Municipal, relativa a los nombramientos</w:t>
      </w:r>
      <w:r w:rsidR="009B23B7">
        <w:rPr>
          <w:rFonts w:ascii="Palatino Linotype" w:hAnsi="Palatino Linotype" w:cs="Arial"/>
          <w:color w:val="000000" w:themeColor="text1"/>
        </w:rPr>
        <w:t>, Formatos Únicos de Movimiento</w:t>
      </w:r>
      <w:r w:rsidR="002C0BE5">
        <w:rPr>
          <w:rFonts w:ascii="Palatino Linotype" w:hAnsi="Palatino Linotype" w:cs="Arial"/>
          <w:color w:val="000000" w:themeColor="text1"/>
        </w:rPr>
        <w:t>s</w:t>
      </w:r>
      <w:r w:rsidR="009B23B7">
        <w:rPr>
          <w:rFonts w:ascii="Palatino Linotype" w:hAnsi="Palatino Linotype" w:cs="Arial"/>
          <w:color w:val="000000" w:themeColor="text1"/>
        </w:rPr>
        <w:t xml:space="preserve"> </w:t>
      </w:r>
      <w:r w:rsidR="002C0BE5">
        <w:rPr>
          <w:rFonts w:ascii="Palatino Linotype" w:hAnsi="Palatino Linotype" w:cs="Arial"/>
          <w:color w:val="000000" w:themeColor="text1"/>
        </w:rPr>
        <w:t>de Personal FUMP</w:t>
      </w:r>
      <w:r w:rsidR="009B23B7">
        <w:rPr>
          <w:rFonts w:ascii="Palatino Linotype" w:hAnsi="Palatino Linotype" w:cs="Arial"/>
          <w:color w:val="000000" w:themeColor="text1"/>
        </w:rPr>
        <w:t xml:space="preserve"> y contratos o convenios que regulan las relaciones laborales</w:t>
      </w:r>
      <w:r>
        <w:rPr>
          <w:rFonts w:ascii="Palatino Linotype" w:hAnsi="Palatino Linotype" w:cs="Arial"/>
          <w:color w:val="000000" w:themeColor="text1"/>
        </w:rPr>
        <w:t xml:space="preserve">; </w:t>
      </w:r>
      <w:r>
        <w:rPr>
          <w:rFonts w:ascii="Palatino Linotype" w:eastAsia="Calibri" w:hAnsi="Palatino Linotype"/>
          <w:lang w:val="es-ES_tradnl"/>
        </w:rPr>
        <w:t xml:space="preserve">en ese orden de ideas, </w:t>
      </w:r>
      <w:r w:rsidRPr="008E2053">
        <w:rPr>
          <w:rFonts w:ascii="Palatino Linotype" w:hAnsi="Palatino Linotype" w:cs="Arial"/>
          <w:color w:val="000000" w:themeColor="text1"/>
        </w:rPr>
        <w:t xml:space="preserve">para satisfacer el derecho de acceso a la información, los </w:t>
      </w:r>
      <w:r w:rsidRPr="008B5A23">
        <w:rPr>
          <w:rFonts w:ascii="Palatino Linotype" w:hAnsi="Palatino Linotype" w:cs="Arial"/>
          <w:b/>
          <w:color w:val="000000" w:themeColor="text1"/>
        </w:rPr>
        <w:t>Sujetos Obligados</w:t>
      </w:r>
      <w:r w:rsidRPr="008E2053">
        <w:rPr>
          <w:rFonts w:ascii="Palatino Linotype" w:hAnsi="Palatino Linotype" w:cs="Arial"/>
          <w:color w:val="000000" w:themeColor="text1"/>
        </w:rPr>
        <w:t xml:space="preserve"> deben hacer entrega de los documentos en los cuales conste la información</w:t>
      </w:r>
      <w:r>
        <w:rPr>
          <w:rFonts w:ascii="Palatino Linotype" w:hAnsi="Palatino Linotype" w:cs="Arial"/>
          <w:color w:val="000000" w:themeColor="text1"/>
        </w:rPr>
        <w:t>.</w:t>
      </w:r>
      <w:r w:rsidRPr="008E2053">
        <w:rPr>
          <w:rFonts w:ascii="Palatino Linotype" w:hAnsi="Palatino Linotype" w:cs="Arial"/>
          <w:color w:val="000000" w:themeColor="text1"/>
        </w:rPr>
        <w:t xml:space="preserve"> </w:t>
      </w:r>
    </w:p>
    <w:p w:rsidR="000B5E25" w:rsidRPr="008E2053" w:rsidRDefault="000B5E25" w:rsidP="009B23B7">
      <w:pPr>
        <w:spacing w:line="360" w:lineRule="auto"/>
        <w:jc w:val="both"/>
        <w:rPr>
          <w:rFonts w:ascii="Palatino Linotype" w:eastAsia="Calibri" w:hAnsi="Palatino Linotype" w:cs="Arial"/>
        </w:rPr>
      </w:pPr>
      <w:r>
        <w:rPr>
          <w:rFonts w:ascii="Palatino Linotype" w:eastAsia="Calibri" w:hAnsi="Palatino Linotype" w:cs="Arial"/>
        </w:rPr>
        <w:t>D</w:t>
      </w:r>
      <w:r w:rsidRPr="008E2053">
        <w:rPr>
          <w:rFonts w:ascii="Palatino Linotype" w:eastAsia="Calibri" w:hAnsi="Palatino Linotype" w:cs="Arial"/>
        </w:rPr>
        <w:t>e acuerdo a la naturaleza de la información solicitada</w:t>
      </w:r>
      <w:r w:rsidR="009B23B7" w:rsidRPr="009B23B7">
        <w:rPr>
          <w:rFonts w:ascii="Palatino Linotype" w:eastAsia="Calibri" w:hAnsi="Palatino Linotype"/>
          <w:lang w:val="es-MX"/>
        </w:rPr>
        <w:t xml:space="preserve">, </w:t>
      </w:r>
      <w:r w:rsidR="009B23B7">
        <w:rPr>
          <w:rFonts w:ascii="Palatino Linotype" w:eastAsia="Calibri" w:hAnsi="Palatino Linotype"/>
          <w:lang w:val="es-MX"/>
        </w:rPr>
        <w:t xml:space="preserve">por </w:t>
      </w:r>
      <w:r w:rsidRPr="008E2053">
        <w:rPr>
          <w:rFonts w:ascii="Palatino Linotype" w:eastAsia="Calibri" w:hAnsi="Palatino Linotype" w:cs="Arial"/>
        </w:rPr>
        <w:t xml:space="preserve">ello conforme a lo dispuesto por los artículos 7 y 23 de la Ley de Transparencia y Acceso a la Información Pública del Estado de México y Municipios, que establece como deber de los </w:t>
      </w:r>
      <w:r w:rsidR="009B23B7" w:rsidRPr="009B23B7">
        <w:rPr>
          <w:rFonts w:ascii="Palatino Linotype" w:eastAsia="Calibri" w:hAnsi="Palatino Linotype" w:cs="Arial"/>
          <w:b/>
        </w:rPr>
        <w:t>Sujetos</w:t>
      </w:r>
      <w:r w:rsidR="009B23B7" w:rsidRPr="008E2053">
        <w:rPr>
          <w:rFonts w:ascii="Palatino Linotype" w:eastAsia="Calibri" w:hAnsi="Palatino Linotype" w:cs="Arial"/>
        </w:rPr>
        <w:t xml:space="preserve"> </w:t>
      </w:r>
      <w:r w:rsidR="009B23B7" w:rsidRPr="009B23B7">
        <w:rPr>
          <w:rFonts w:ascii="Palatino Linotype" w:eastAsia="Calibri" w:hAnsi="Palatino Linotype" w:cs="Arial"/>
          <w:b/>
        </w:rPr>
        <w:t>Obligados</w:t>
      </w:r>
      <w:r w:rsidR="009B23B7" w:rsidRPr="008E2053">
        <w:rPr>
          <w:rFonts w:ascii="Palatino Linotype" w:eastAsia="Calibri" w:hAnsi="Palatino Linotype" w:cs="Arial"/>
        </w:rPr>
        <w:t xml:space="preserve"> </w:t>
      </w:r>
      <w:r w:rsidRPr="008E2053">
        <w:rPr>
          <w:rFonts w:ascii="Palatino Linotype" w:eastAsia="Calibri" w:hAnsi="Palatino Linotype" w:cs="Arial"/>
        </w:rPr>
        <w:t>el hacer pública toda la información; precepto</w:t>
      </w:r>
      <w:r w:rsidR="009B23B7">
        <w:rPr>
          <w:rFonts w:ascii="Palatino Linotype" w:eastAsia="Calibri" w:hAnsi="Palatino Linotype" w:cs="Arial"/>
        </w:rPr>
        <w:t>s</w:t>
      </w:r>
      <w:r w:rsidRPr="008E2053">
        <w:rPr>
          <w:rFonts w:ascii="Palatino Linotype" w:eastAsia="Calibri" w:hAnsi="Palatino Linotype" w:cs="Arial"/>
        </w:rPr>
        <w:t xml:space="preserve"> legal</w:t>
      </w:r>
      <w:r w:rsidR="009B23B7">
        <w:rPr>
          <w:rFonts w:ascii="Palatino Linotype" w:eastAsia="Calibri" w:hAnsi="Palatino Linotype" w:cs="Arial"/>
        </w:rPr>
        <w:t>es</w:t>
      </w:r>
      <w:r w:rsidRPr="008E2053">
        <w:rPr>
          <w:rFonts w:ascii="Palatino Linotype" w:eastAsia="Calibri" w:hAnsi="Palatino Linotype" w:cs="Arial"/>
        </w:rPr>
        <w:t xml:space="preserve"> que </w:t>
      </w:r>
      <w:r w:rsidR="009B23B7">
        <w:rPr>
          <w:rFonts w:ascii="Palatino Linotype" w:eastAsia="Calibri" w:hAnsi="Palatino Linotype" w:cs="Arial"/>
        </w:rPr>
        <w:t>son</w:t>
      </w:r>
      <w:r w:rsidRPr="008E2053">
        <w:rPr>
          <w:rFonts w:ascii="Palatino Linotype" w:eastAsia="Calibri" w:hAnsi="Palatino Linotype" w:cs="Arial"/>
        </w:rPr>
        <w:t xml:space="preserve"> del tenor siguiente:</w:t>
      </w:r>
    </w:p>
    <w:p w:rsidR="000B5E25" w:rsidRPr="008E2053" w:rsidRDefault="000B5E25" w:rsidP="000B5E25">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lastRenderedPageBreak/>
        <w:t>“</w:t>
      </w:r>
      <w:r w:rsidRPr="008E2053">
        <w:rPr>
          <w:rFonts w:ascii="Palatino Linotype" w:eastAsia="Calibri" w:hAnsi="Palatino Linotype" w:cs="Arial"/>
          <w:b/>
          <w:i/>
          <w:sz w:val="22"/>
          <w:szCs w:val="22"/>
        </w:rPr>
        <w:t>Artículo 7. El Estado de México garantizará el efectivo acceso de toda persona a la información en posesión de cualquier entidad,</w:t>
      </w:r>
      <w:r w:rsidRPr="008E2053">
        <w:rPr>
          <w:rFonts w:ascii="Palatino Linotype" w:eastAsia="Calibri"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8E2053">
        <w:rPr>
          <w:rFonts w:ascii="Palatino Linotype" w:eastAsia="Calibri" w:hAnsi="Palatino Linotype" w:cs="Arial"/>
          <w:b/>
          <w:i/>
          <w:sz w:val="22"/>
          <w:szCs w:val="22"/>
        </w:rPr>
        <w:t>que reciba y ejerza recursos públicos</w:t>
      </w:r>
      <w:r w:rsidRPr="008E2053">
        <w:rPr>
          <w:rFonts w:ascii="Palatino Linotype" w:eastAsia="Calibri" w:hAnsi="Palatino Linotype" w:cs="Arial"/>
          <w:i/>
          <w:sz w:val="22"/>
          <w:szCs w:val="22"/>
        </w:rPr>
        <w:t xml:space="preserve"> o realice actos de autoridad </w:t>
      </w:r>
      <w:r w:rsidRPr="008E2053">
        <w:rPr>
          <w:rFonts w:ascii="Palatino Linotype" w:eastAsia="Calibri" w:hAnsi="Palatino Linotype" w:cs="Arial"/>
          <w:b/>
          <w:i/>
          <w:sz w:val="22"/>
          <w:szCs w:val="22"/>
        </w:rPr>
        <w:t>en el ámbito de competencia del Estado de México y sus municipios</w:t>
      </w:r>
      <w:r w:rsidRPr="008E2053">
        <w:rPr>
          <w:rFonts w:ascii="Palatino Linotype" w:eastAsia="Calibri" w:hAnsi="Palatino Linotype" w:cs="Arial"/>
          <w:i/>
          <w:sz w:val="22"/>
          <w:szCs w:val="22"/>
        </w:rPr>
        <w:t>.</w:t>
      </w:r>
    </w:p>
    <w:p w:rsidR="000B5E25" w:rsidRPr="008E2053" w:rsidRDefault="000B5E25" w:rsidP="000B5E25">
      <w:pPr>
        <w:autoSpaceDE w:val="0"/>
        <w:autoSpaceDN w:val="0"/>
        <w:adjustRightInd w:val="0"/>
        <w:ind w:left="567" w:right="567"/>
        <w:jc w:val="both"/>
        <w:rPr>
          <w:rFonts w:ascii="Palatino Linotype" w:eastAsia="Calibri" w:hAnsi="Palatino Linotype" w:cs="Arial"/>
          <w:i/>
          <w:sz w:val="22"/>
          <w:szCs w:val="22"/>
        </w:rPr>
      </w:pPr>
    </w:p>
    <w:p w:rsidR="000B5E25" w:rsidRPr="008E2053" w:rsidRDefault="000B5E25" w:rsidP="000B5E25">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Artículo 23.</w:t>
      </w:r>
      <w:r w:rsidRPr="008E2053">
        <w:rPr>
          <w:rFonts w:ascii="Palatino Linotype" w:eastAsia="Calibri" w:hAnsi="Palatino Linotype" w:cs="Arial"/>
          <w:i/>
          <w:sz w:val="22"/>
          <w:szCs w:val="22"/>
        </w:rPr>
        <w:t xml:space="preserve"> Son sujetos obligados a transparentar y permitir el acceso a su información y proteger los datos personales que obren en su poder:</w:t>
      </w:r>
    </w:p>
    <w:p w:rsidR="000B5E25" w:rsidRPr="008E2053" w:rsidRDefault="000B5E25" w:rsidP="000B5E25">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0B5E25" w:rsidRPr="008E2053" w:rsidRDefault="000B5E25" w:rsidP="000B5E25">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IV. Los ayuntamientos</w:t>
      </w:r>
      <w:r w:rsidRPr="008E2053">
        <w:rPr>
          <w:rFonts w:ascii="Palatino Linotype" w:eastAsia="Calibri" w:hAnsi="Palatino Linotype" w:cs="Arial"/>
          <w:i/>
          <w:sz w:val="22"/>
          <w:szCs w:val="22"/>
        </w:rPr>
        <w:t xml:space="preserve"> y las dependencias, organismos, órganos y entidades de la administración municipal;</w:t>
      </w:r>
    </w:p>
    <w:p w:rsidR="000B5E25" w:rsidRPr="008E2053" w:rsidRDefault="000B5E25" w:rsidP="000B5E25">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0B5E25" w:rsidRPr="008E2053" w:rsidRDefault="000B5E25" w:rsidP="000B5E25">
      <w:pPr>
        <w:autoSpaceDE w:val="0"/>
        <w:autoSpaceDN w:val="0"/>
        <w:adjustRightInd w:val="0"/>
        <w:ind w:left="567" w:right="567"/>
        <w:jc w:val="both"/>
        <w:rPr>
          <w:rFonts w:ascii="Palatino Linotype" w:eastAsia="Calibri" w:hAnsi="Palatino Linotype" w:cs="Arial"/>
          <w:b/>
          <w:i/>
          <w:sz w:val="22"/>
          <w:szCs w:val="22"/>
        </w:rPr>
      </w:pPr>
      <w:r w:rsidRPr="008E2053">
        <w:rPr>
          <w:rFonts w:ascii="Palatino Linotype" w:eastAsia="Calibri" w:hAnsi="Palatino Linotype" w:cs="Arial"/>
          <w:b/>
          <w:i/>
          <w:sz w:val="22"/>
          <w:szCs w:val="22"/>
        </w:rPr>
        <w:t xml:space="preserve">Los servidores públicos deberán transparentar sus acciones así como garantizar y respetar el derecho de acceso a la información pública. </w:t>
      </w:r>
    </w:p>
    <w:p w:rsidR="000B5E25" w:rsidRPr="008E2053" w:rsidRDefault="000B5E25" w:rsidP="000B5E25">
      <w:pPr>
        <w:autoSpaceDE w:val="0"/>
        <w:autoSpaceDN w:val="0"/>
        <w:adjustRightInd w:val="0"/>
        <w:ind w:left="567" w:right="567"/>
        <w:jc w:val="right"/>
        <w:rPr>
          <w:rFonts w:ascii="Palatino Linotype" w:eastAsia="Calibri" w:hAnsi="Palatino Linotype" w:cs="Arial"/>
          <w:sz w:val="22"/>
          <w:szCs w:val="22"/>
        </w:rPr>
      </w:pPr>
      <w:r w:rsidRPr="008E2053">
        <w:rPr>
          <w:rFonts w:ascii="Palatino Linotype" w:eastAsia="Calibri" w:hAnsi="Palatino Linotype" w:cs="Arial"/>
          <w:sz w:val="22"/>
          <w:szCs w:val="22"/>
        </w:rPr>
        <w:t>(Énfasis añadido)</w:t>
      </w:r>
    </w:p>
    <w:p w:rsidR="000B5E25" w:rsidRPr="008E2053" w:rsidRDefault="000B5E25" w:rsidP="000B5E25">
      <w:pPr>
        <w:autoSpaceDE w:val="0"/>
        <w:autoSpaceDN w:val="0"/>
        <w:adjustRightInd w:val="0"/>
        <w:spacing w:line="360" w:lineRule="auto"/>
        <w:jc w:val="both"/>
        <w:rPr>
          <w:rFonts w:ascii="Palatino Linotype" w:eastAsia="Calibri" w:hAnsi="Palatino Linotype" w:cs="Arial"/>
        </w:rPr>
      </w:pPr>
    </w:p>
    <w:p w:rsidR="00442FD8" w:rsidRPr="009B23B7" w:rsidRDefault="00442FD8" w:rsidP="00442FD8">
      <w:pPr>
        <w:spacing w:line="360" w:lineRule="auto"/>
        <w:jc w:val="both"/>
        <w:rPr>
          <w:rFonts w:ascii="Palatino Linotype" w:eastAsia="Calibri" w:hAnsi="Palatino Linotype"/>
          <w:lang w:val="es-MX"/>
        </w:rPr>
      </w:pPr>
      <w:r>
        <w:rPr>
          <w:rFonts w:ascii="Palatino Linotype" w:eastAsia="Calibri" w:hAnsi="Palatino Linotype"/>
          <w:lang w:val="es-MX"/>
        </w:rPr>
        <w:t xml:space="preserve">Correlativo a los artículos citados, </w:t>
      </w:r>
      <w:r w:rsidRPr="009B23B7">
        <w:rPr>
          <w:rFonts w:ascii="Palatino Linotype" w:eastAsia="Calibri" w:hAnsi="Palatino Linotype"/>
          <w:lang w:val="es-MX"/>
        </w:rPr>
        <w:t xml:space="preserve">resultan de nuestro interés los numerales 5, 45, 48, 49 y 50 de la Ley del Trabajo de los Servidores Públicos del Estado de México y Municipios, normatividad invocada que señala a la literalidad: </w:t>
      </w:r>
    </w:p>
    <w:p w:rsidR="00442FD8" w:rsidRPr="009B23B7" w:rsidRDefault="00442FD8" w:rsidP="00442FD8">
      <w:pPr>
        <w:spacing w:line="360" w:lineRule="auto"/>
        <w:jc w:val="both"/>
        <w:rPr>
          <w:rFonts w:ascii="Palatino Linotype" w:eastAsia="Calibri" w:hAnsi="Palatino Linotype"/>
          <w:lang w:val="es-MX"/>
        </w:rPr>
      </w:pP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w:t>
      </w:r>
      <w:r w:rsidRPr="009B23B7">
        <w:rPr>
          <w:rFonts w:ascii="Palatino Linotype" w:eastAsia="Calibri" w:hAnsi="Palatino Linotype"/>
          <w:b/>
          <w:i/>
          <w:sz w:val="22"/>
          <w:szCs w:val="22"/>
          <w:lang w:val="es-MX"/>
        </w:rPr>
        <w:t>ARTÍCULO 5.-</w:t>
      </w:r>
      <w:r w:rsidRPr="009B23B7">
        <w:rPr>
          <w:rFonts w:ascii="Palatino Linotype" w:eastAsia="Calibri" w:hAnsi="Palatino Linotype"/>
          <w:i/>
          <w:sz w:val="22"/>
          <w:szCs w:val="22"/>
          <w:lang w:val="es-MX"/>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rsidR="00442FD8" w:rsidRPr="009B23B7" w:rsidRDefault="00442FD8" w:rsidP="00442FD8">
      <w:pPr>
        <w:ind w:left="567" w:right="567"/>
        <w:jc w:val="both"/>
        <w:rPr>
          <w:rFonts w:ascii="Palatino Linotype" w:eastAsia="Calibri" w:hAnsi="Palatino Linotype"/>
          <w:i/>
          <w:sz w:val="22"/>
          <w:szCs w:val="22"/>
          <w:lang w:val="es-MX"/>
        </w:rPr>
      </w:pP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b/>
          <w:i/>
          <w:sz w:val="22"/>
          <w:szCs w:val="22"/>
          <w:lang w:val="es-MX"/>
        </w:rPr>
        <w:t>ARTÍCULO 45.-</w:t>
      </w:r>
      <w:r w:rsidRPr="009B23B7">
        <w:rPr>
          <w:rFonts w:ascii="Palatino Linotype" w:eastAsia="Calibri" w:hAnsi="Palatino Linotype"/>
          <w:i/>
          <w:sz w:val="22"/>
          <w:szCs w:val="22"/>
          <w:u w:val="single"/>
          <w:lang w:val="es-MX"/>
        </w:rPr>
        <w:t>Los servidores públicos prestarán sus servicios mediante nombramiento, contrato o formato único de Movimientos de Personal expedidos por quien estuviere facultado legalmente para extenderlo</w:t>
      </w:r>
      <w:r w:rsidRPr="009B23B7">
        <w:rPr>
          <w:rFonts w:ascii="Palatino Linotype" w:eastAsia="Calibri" w:hAnsi="Palatino Linotype"/>
          <w:i/>
          <w:sz w:val="22"/>
          <w:szCs w:val="22"/>
          <w:lang w:val="es-MX"/>
        </w:rPr>
        <w:t>.</w:t>
      </w:r>
    </w:p>
    <w:p w:rsidR="00442FD8" w:rsidRPr="009B23B7" w:rsidRDefault="00442FD8" w:rsidP="00442FD8">
      <w:pPr>
        <w:ind w:left="567" w:right="567"/>
        <w:jc w:val="both"/>
        <w:rPr>
          <w:rFonts w:ascii="Palatino Linotype" w:eastAsia="Calibri" w:hAnsi="Palatino Linotype"/>
          <w:i/>
          <w:sz w:val="22"/>
          <w:szCs w:val="22"/>
          <w:lang w:val="es-MX"/>
        </w:rPr>
      </w:pP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b/>
          <w:i/>
          <w:sz w:val="22"/>
          <w:szCs w:val="22"/>
          <w:lang w:val="es-MX"/>
        </w:rPr>
        <w:t xml:space="preserve">ARTÍCULO 48. </w:t>
      </w:r>
      <w:r w:rsidRPr="009B23B7">
        <w:rPr>
          <w:rFonts w:ascii="Palatino Linotype" w:eastAsia="Calibri" w:hAnsi="Palatino Linotype"/>
          <w:i/>
          <w:sz w:val="22"/>
          <w:szCs w:val="22"/>
          <w:lang w:val="es-MX"/>
        </w:rPr>
        <w:t xml:space="preserve">Para iniciar la prestación de los servicios se requiere: </w:t>
      </w:r>
    </w:p>
    <w:p w:rsidR="00442FD8" w:rsidRPr="009B23B7" w:rsidRDefault="00442FD8" w:rsidP="00442FD8">
      <w:pPr>
        <w:numPr>
          <w:ilvl w:val="0"/>
          <w:numId w:val="6"/>
        </w:numPr>
        <w:spacing w:after="160" w:line="259" w:lineRule="auto"/>
        <w:ind w:right="567"/>
        <w:jc w:val="both"/>
        <w:rPr>
          <w:rFonts w:ascii="Palatino Linotype" w:eastAsia="Calibri" w:hAnsi="Palatino Linotype"/>
          <w:i/>
          <w:sz w:val="22"/>
          <w:szCs w:val="22"/>
          <w:u w:val="single"/>
        </w:rPr>
      </w:pPr>
      <w:r w:rsidRPr="009B23B7">
        <w:rPr>
          <w:rFonts w:ascii="Palatino Linotype" w:eastAsia="Calibri" w:hAnsi="Palatino Linotype"/>
          <w:i/>
          <w:sz w:val="22"/>
          <w:szCs w:val="22"/>
          <w:u w:val="single"/>
        </w:rPr>
        <w:t xml:space="preserve">Tener conferido el nombramiento, contrato respectivo o formato único de Movimientos de Personal; </w:t>
      </w: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II.</w:t>
      </w:r>
      <w:r w:rsidRPr="009B23B7">
        <w:rPr>
          <w:rFonts w:ascii="Palatino Linotype" w:eastAsia="Calibri" w:hAnsi="Palatino Linotype"/>
          <w:i/>
          <w:sz w:val="22"/>
          <w:szCs w:val="22"/>
          <w:lang w:val="es-MX"/>
        </w:rPr>
        <w:tab/>
        <w:t>Rendir la protesta de ley en caso de nombramiento; y</w:t>
      </w: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III.</w:t>
      </w:r>
      <w:r w:rsidRPr="009B23B7">
        <w:rPr>
          <w:rFonts w:ascii="Palatino Linotype" w:eastAsia="Calibri" w:hAnsi="Palatino Linotype"/>
          <w:i/>
          <w:sz w:val="22"/>
          <w:szCs w:val="22"/>
          <w:lang w:val="es-MX"/>
        </w:rPr>
        <w:tab/>
        <w:t xml:space="preserve"> Tomar posesión del cargo.</w:t>
      </w:r>
    </w:p>
    <w:p w:rsidR="00442FD8" w:rsidRPr="009B23B7" w:rsidRDefault="00442FD8" w:rsidP="00442FD8">
      <w:pPr>
        <w:ind w:left="567" w:right="567"/>
        <w:jc w:val="both"/>
        <w:rPr>
          <w:rFonts w:ascii="Palatino Linotype" w:eastAsia="Calibri" w:hAnsi="Palatino Linotype"/>
          <w:i/>
          <w:sz w:val="22"/>
          <w:szCs w:val="22"/>
          <w:lang w:val="es-MX"/>
        </w:rPr>
      </w:pP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b/>
          <w:i/>
          <w:sz w:val="22"/>
          <w:szCs w:val="22"/>
          <w:lang w:val="es-MX"/>
        </w:rPr>
        <w:lastRenderedPageBreak/>
        <w:t>ARTÍCULO 49.-</w:t>
      </w:r>
      <w:r w:rsidRPr="009B23B7">
        <w:rPr>
          <w:rFonts w:ascii="Palatino Linotype" w:eastAsia="Calibri" w:hAnsi="Palatino Linotype"/>
          <w:i/>
          <w:sz w:val="22"/>
          <w:szCs w:val="22"/>
          <w:lang w:val="es-MX"/>
        </w:rPr>
        <w:t xml:space="preserve"> Los nombramientos, contratos o formato único de Movimientos de Personal de los servidores públicos deberán contener:</w:t>
      </w: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I</w:t>
      </w:r>
      <w:r w:rsidRPr="009B23B7">
        <w:rPr>
          <w:rFonts w:ascii="Palatino Linotype" w:eastAsia="Calibri" w:hAnsi="Palatino Linotype"/>
          <w:i/>
          <w:sz w:val="22"/>
          <w:szCs w:val="22"/>
          <w:lang w:val="es-MX"/>
        </w:rPr>
        <w:tab/>
      </w:r>
      <w:r w:rsidRPr="009B23B7">
        <w:rPr>
          <w:rFonts w:ascii="Palatino Linotype" w:eastAsia="Calibri" w:hAnsi="Palatino Linotype"/>
          <w:i/>
          <w:sz w:val="22"/>
          <w:szCs w:val="22"/>
          <w:lang w:val="es-MX"/>
        </w:rPr>
        <w:tab/>
        <w:t xml:space="preserve">Nombre completo del servidor público; </w:t>
      </w: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II.</w:t>
      </w:r>
      <w:r w:rsidRPr="009B23B7">
        <w:rPr>
          <w:rFonts w:ascii="Palatino Linotype" w:eastAsia="Calibri" w:hAnsi="Palatino Linotype"/>
          <w:i/>
          <w:sz w:val="22"/>
          <w:szCs w:val="22"/>
          <w:lang w:val="es-MX"/>
        </w:rPr>
        <w:tab/>
      </w:r>
      <w:r w:rsidRPr="009B23B7">
        <w:rPr>
          <w:rFonts w:ascii="Palatino Linotype" w:eastAsia="Calibri" w:hAnsi="Palatino Linotype"/>
          <w:i/>
          <w:sz w:val="22"/>
          <w:szCs w:val="22"/>
          <w:u w:val="single"/>
          <w:lang w:val="es-MX"/>
        </w:rPr>
        <w:t>Cargo para el que es designado, fecha de inicio de sus servicios y lugar de adscripción;</w:t>
      </w:r>
      <w:r w:rsidRPr="009B23B7">
        <w:rPr>
          <w:rFonts w:ascii="Palatino Linotype" w:eastAsia="Calibri" w:hAnsi="Palatino Linotype"/>
          <w:i/>
          <w:sz w:val="22"/>
          <w:szCs w:val="22"/>
          <w:lang w:val="es-MX"/>
        </w:rPr>
        <w:t xml:space="preserve"> </w:t>
      </w:r>
    </w:p>
    <w:p w:rsidR="00442FD8" w:rsidRPr="009B23B7" w:rsidRDefault="00442FD8" w:rsidP="008C3B24">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III.</w:t>
      </w:r>
      <w:r w:rsidRPr="009B23B7">
        <w:rPr>
          <w:rFonts w:ascii="Palatino Linotype" w:eastAsia="Calibri" w:hAnsi="Palatino Linotype"/>
          <w:i/>
          <w:sz w:val="22"/>
          <w:szCs w:val="22"/>
          <w:lang w:val="es-MX"/>
        </w:rPr>
        <w:tab/>
        <w:t xml:space="preserve">Carácter del nombramiento, ya sea de servidores públicos generales o de confianza, así como la temporalidad del mismo; </w:t>
      </w:r>
    </w:p>
    <w:p w:rsidR="00442FD8" w:rsidRPr="009B23B7" w:rsidRDefault="00442FD8" w:rsidP="008C3B24">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IV.</w:t>
      </w:r>
      <w:r w:rsidRPr="009B23B7">
        <w:rPr>
          <w:rFonts w:ascii="Palatino Linotype" w:eastAsia="Calibri" w:hAnsi="Palatino Linotype"/>
          <w:i/>
          <w:sz w:val="22"/>
          <w:szCs w:val="22"/>
          <w:lang w:val="es-MX"/>
        </w:rPr>
        <w:tab/>
        <w:t xml:space="preserve">Remuneración correspondiente al puesto; </w:t>
      </w:r>
    </w:p>
    <w:p w:rsidR="00442FD8" w:rsidRPr="009B23B7" w:rsidRDefault="00442FD8" w:rsidP="008C3B24">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V.</w:t>
      </w:r>
      <w:r w:rsidRPr="009B23B7">
        <w:rPr>
          <w:rFonts w:ascii="Palatino Linotype" w:eastAsia="Calibri" w:hAnsi="Palatino Linotype"/>
          <w:i/>
          <w:sz w:val="22"/>
          <w:szCs w:val="22"/>
          <w:lang w:val="es-MX"/>
        </w:rPr>
        <w:tab/>
        <w:t xml:space="preserve"> Jornada de trabajo; </w:t>
      </w:r>
    </w:p>
    <w:p w:rsidR="00442FD8" w:rsidRPr="009B23B7" w:rsidRDefault="00442FD8" w:rsidP="008C3B24">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VI.</w:t>
      </w:r>
      <w:r w:rsidRPr="009B23B7">
        <w:rPr>
          <w:rFonts w:ascii="Palatino Linotype" w:eastAsia="Calibri" w:hAnsi="Palatino Linotype"/>
          <w:i/>
          <w:sz w:val="22"/>
          <w:szCs w:val="22"/>
          <w:lang w:val="es-MX"/>
        </w:rPr>
        <w:tab/>
        <w:t xml:space="preserve">Derogada; </w:t>
      </w:r>
    </w:p>
    <w:p w:rsidR="00442FD8" w:rsidRPr="009B23B7" w:rsidRDefault="00442FD8" w:rsidP="008C3B24">
      <w:pPr>
        <w:ind w:left="567" w:right="567"/>
        <w:jc w:val="both"/>
        <w:rPr>
          <w:rFonts w:ascii="Palatino Linotype" w:eastAsia="Calibri" w:hAnsi="Palatino Linotype"/>
          <w:i/>
          <w:sz w:val="22"/>
          <w:szCs w:val="22"/>
          <w:lang w:val="es-MX"/>
        </w:rPr>
      </w:pPr>
      <w:r w:rsidRPr="009B23B7">
        <w:rPr>
          <w:rFonts w:ascii="Palatino Linotype" w:eastAsia="Calibri" w:hAnsi="Palatino Linotype"/>
          <w:i/>
          <w:sz w:val="22"/>
          <w:szCs w:val="22"/>
          <w:lang w:val="es-MX"/>
        </w:rPr>
        <w:t>VII.</w:t>
      </w:r>
      <w:r w:rsidRPr="009B23B7">
        <w:rPr>
          <w:rFonts w:ascii="Palatino Linotype" w:eastAsia="Calibri" w:hAnsi="Palatino Linotype"/>
          <w:i/>
          <w:sz w:val="22"/>
          <w:szCs w:val="22"/>
          <w:lang w:val="es-MX"/>
        </w:rPr>
        <w:tab/>
        <w:t>Firma del servidor público autorizado para emitir el nombramiento, contrato o formato único de Movimientos de Personal, así como el fundamento legal de esa atribución.</w:t>
      </w:r>
    </w:p>
    <w:p w:rsidR="00442FD8" w:rsidRPr="009B23B7" w:rsidRDefault="00442FD8" w:rsidP="00442FD8">
      <w:pPr>
        <w:ind w:left="567" w:right="567"/>
        <w:jc w:val="both"/>
        <w:rPr>
          <w:rFonts w:ascii="Palatino Linotype" w:eastAsia="Calibri" w:hAnsi="Palatino Linotype"/>
          <w:i/>
          <w:sz w:val="22"/>
          <w:szCs w:val="22"/>
          <w:lang w:val="es-MX"/>
        </w:rPr>
      </w:pPr>
    </w:p>
    <w:p w:rsidR="00442FD8" w:rsidRPr="009B23B7" w:rsidRDefault="00442FD8" w:rsidP="00442FD8">
      <w:pPr>
        <w:ind w:left="567" w:right="567"/>
        <w:jc w:val="both"/>
        <w:rPr>
          <w:rFonts w:ascii="Palatino Linotype" w:eastAsia="Calibri" w:hAnsi="Palatino Linotype"/>
          <w:i/>
          <w:sz w:val="22"/>
          <w:szCs w:val="22"/>
          <w:lang w:val="es-MX"/>
        </w:rPr>
      </w:pPr>
      <w:r w:rsidRPr="009B23B7">
        <w:rPr>
          <w:rFonts w:ascii="Palatino Linotype" w:eastAsia="Calibri" w:hAnsi="Palatino Linotype"/>
          <w:b/>
          <w:i/>
          <w:sz w:val="22"/>
          <w:szCs w:val="22"/>
          <w:lang w:val="es-MX"/>
        </w:rPr>
        <w:t>ARTÍCULO 50.-</w:t>
      </w:r>
      <w:r w:rsidRPr="009B23B7">
        <w:rPr>
          <w:rFonts w:ascii="Palatino Linotype" w:eastAsia="Calibri" w:hAnsi="Palatino Linotype"/>
          <w:i/>
          <w:sz w:val="22"/>
          <w:szCs w:val="22"/>
          <w:lang w:val="es-MX"/>
        </w:rPr>
        <w:t xml:space="preserve">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 [Sic]</w:t>
      </w:r>
    </w:p>
    <w:p w:rsidR="009F62C3" w:rsidRDefault="009F62C3" w:rsidP="00442FD8">
      <w:pPr>
        <w:spacing w:line="360" w:lineRule="auto"/>
        <w:jc w:val="both"/>
        <w:rPr>
          <w:rFonts w:ascii="Palatino Linotype" w:eastAsia="Calibri" w:hAnsi="Palatino Linotype"/>
          <w:lang w:val="es-MX"/>
        </w:rPr>
      </w:pPr>
    </w:p>
    <w:p w:rsidR="00442FD8" w:rsidRPr="009B23B7" w:rsidRDefault="00442FD8" w:rsidP="00442FD8">
      <w:pPr>
        <w:spacing w:line="360" w:lineRule="auto"/>
        <w:jc w:val="both"/>
        <w:rPr>
          <w:rFonts w:ascii="Palatino Linotype" w:eastAsia="Calibri" w:hAnsi="Palatino Linotype"/>
          <w:lang w:val="es-MX"/>
        </w:rPr>
      </w:pPr>
      <w:r w:rsidRPr="009B23B7">
        <w:rPr>
          <w:rFonts w:ascii="Palatino Linotype" w:eastAsia="Calibri" w:hAnsi="Palatino Linotype"/>
          <w:lang w:val="es-MX"/>
        </w:rPr>
        <w:t xml:space="preserve">Del análisis sistemático de la normatividad previamente plasmada se desprende que los servidores públicos inician y ejercen sus funciones una vez que ha sido expedido el nombramiento, contrato o formato único de movimientos de personal, al ser los documentos que rigen el inicio y término de la relación laboral entre el servidor público y el Estado, mismos en los que se establece entre otros el puesto o cargo y el lugar de adscripción. </w:t>
      </w:r>
    </w:p>
    <w:p w:rsidR="00442FD8" w:rsidRPr="00442FD8" w:rsidRDefault="00442FD8" w:rsidP="000B5E25">
      <w:pPr>
        <w:autoSpaceDE w:val="0"/>
        <w:autoSpaceDN w:val="0"/>
        <w:adjustRightInd w:val="0"/>
        <w:spacing w:line="360" w:lineRule="auto"/>
        <w:jc w:val="both"/>
        <w:rPr>
          <w:rFonts w:ascii="Palatino Linotype" w:eastAsia="Calibri" w:hAnsi="Palatino Linotype" w:cs="Arial"/>
          <w:lang w:val="es-MX"/>
        </w:rPr>
      </w:pPr>
    </w:p>
    <w:p w:rsidR="000B5E25" w:rsidRPr="008E2053" w:rsidRDefault="000B5E25" w:rsidP="000B5E25">
      <w:pPr>
        <w:spacing w:line="360" w:lineRule="auto"/>
        <w:ind w:right="51"/>
        <w:jc w:val="both"/>
        <w:rPr>
          <w:rFonts w:ascii="Palatino Linotype" w:eastAsia="Calibri" w:hAnsi="Palatino Linotype" w:cs="Arial"/>
        </w:rPr>
      </w:pPr>
      <w:r w:rsidRPr="008E2053">
        <w:rPr>
          <w:rFonts w:ascii="Palatino Linotype" w:eastAsia="Calibri" w:hAnsi="Palatino Linotype" w:cs="Arial"/>
        </w:rPr>
        <w:t xml:space="preserve">Aunado a lo anterior, debe destacarse que dicho término es mencionado en diferentes ordenamientos legales, tal es el caso del artículo 804 de la Ley Federal de Trabajo, fracción II que establece: </w:t>
      </w:r>
    </w:p>
    <w:p w:rsidR="000B5E25" w:rsidRPr="008E2053" w:rsidRDefault="000B5E25" w:rsidP="000B5E25">
      <w:pPr>
        <w:spacing w:line="360" w:lineRule="auto"/>
        <w:ind w:right="51"/>
        <w:jc w:val="both"/>
        <w:rPr>
          <w:rFonts w:ascii="Palatino Linotype" w:eastAsia="Calibri" w:hAnsi="Palatino Linotype" w:cs="Arial"/>
        </w:rPr>
      </w:pPr>
    </w:p>
    <w:p w:rsidR="000B5E25" w:rsidRPr="008E2053" w:rsidRDefault="000B5E25" w:rsidP="00901487">
      <w:pPr>
        <w:tabs>
          <w:tab w:val="right" w:leader="dot" w:pos="8505"/>
        </w:tabs>
        <w:ind w:left="567" w:right="567"/>
        <w:jc w:val="both"/>
        <w:rPr>
          <w:rFonts w:ascii="Palatino Linotype" w:eastAsia="MS Mincho" w:hAnsi="Palatino Linotype" w:cs="Arial"/>
          <w:b/>
          <w:i/>
          <w:sz w:val="22"/>
          <w:szCs w:val="22"/>
        </w:rPr>
      </w:pPr>
      <w:r w:rsidRPr="008E2053">
        <w:rPr>
          <w:rFonts w:ascii="Palatino Linotype" w:eastAsia="MS Mincho" w:hAnsi="Palatino Linotype" w:cs="Arial"/>
          <w:b/>
          <w:bCs/>
          <w:i/>
          <w:sz w:val="22"/>
          <w:szCs w:val="22"/>
        </w:rPr>
        <w:t>“Artículo 804.-</w:t>
      </w:r>
      <w:r w:rsidRPr="008E2053">
        <w:rPr>
          <w:rFonts w:ascii="Palatino Linotype" w:eastAsia="MS Mincho" w:hAnsi="Palatino Linotype" w:cs="Arial"/>
          <w:i/>
          <w:sz w:val="22"/>
          <w:szCs w:val="22"/>
        </w:rPr>
        <w:t xml:space="preserve"> </w:t>
      </w:r>
      <w:r w:rsidRPr="008E2053">
        <w:rPr>
          <w:rFonts w:ascii="Palatino Linotype" w:eastAsia="MS Mincho" w:hAnsi="Palatino Linotype" w:cs="Arial"/>
          <w:b/>
          <w:i/>
          <w:sz w:val="22"/>
          <w:szCs w:val="22"/>
        </w:rPr>
        <w:t>El patrón tiene obligación de conservar y exhibir en juicio los documentos que a continuación se precisan:</w:t>
      </w:r>
    </w:p>
    <w:p w:rsidR="00901487" w:rsidRPr="00901487" w:rsidRDefault="00901487" w:rsidP="00901487">
      <w:pPr>
        <w:tabs>
          <w:tab w:val="right" w:leader="dot" w:pos="8505"/>
        </w:tabs>
        <w:ind w:left="567" w:right="567"/>
        <w:jc w:val="both"/>
        <w:rPr>
          <w:rFonts w:ascii="Palatino Linotype" w:eastAsia="MS Mincho" w:hAnsi="Palatino Linotype" w:cs="Arial"/>
          <w:i/>
          <w:sz w:val="22"/>
          <w:szCs w:val="22"/>
          <w:u w:val="single"/>
        </w:rPr>
      </w:pPr>
      <w:r w:rsidRPr="00901487">
        <w:rPr>
          <w:rFonts w:ascii="Palatino Linotype" w:eastAsia="MS Mincho" w:hAnsi="Palatino Linotype" w:cs="Arial"/>
          <w:i/>
          <w:sz w:val="22"/>
          <w:szCs w:val="22"/>
        </w:rPr>
        <w:t>I</w:t>
      </w:r>
      <w:r w:rsidRPr="00901487">
        <w:rPr>
          <w:rFonts w:ascii="Palatino Linotype" w:eastAsia="MS Mincho" w:hAnsi="Palatino Linotype" w:cs="Arial"/>
          <w:i/>
          <w:sz w:val="22"/>
          <w:szCs w:val="22"/>
          <w:u w:val="single"/>
        </w:rPr>
        <w:t>. Contratos individuales de trabajo que se celebren, cuando no exista contrato colectivo o contrato Ley aplicable;</w:t>
      </w:r>
    </w:p>
    <w:p w:rsidR="00901487" w:rsidRPr="00901487" w:rsidRDefault="00901487" w:rsidP="00901487">
      <w:pPr>
        <w:tabs>
          <w:tab w:val="right" w:leader="dot" w:pos="8505"/>
        </w:tabs>
        <w:ind w:left="567" w:right="567"/>
        <w:jc w:val="both"/>
        <w:rPr>
          <w:rFonts w:ascii="Palatino Linotype" w:eastAsia="MS Mincho" w:hAnsi="Palatino Linotype" w:cs="Arial"/>
          <w:i/>
          <w:sz w:val="22"/>
          <w:szCs w:val="22"/>
        </w:rPr>
      </w:pPr>
      <w:r w:rsidRPr="00901487">
        <w:rPr>
          <w:rFonts w:ascii="Palatino Linotype" w:eastAsia="MS Mincho" w:hAnsi="Palatino Linotype" w:cs="Arial"/>
          <w:i/>
          <w:sz w:val="22"/>
          <w:szCs w:val="22"/>
        </w:rPr>
        <w:lastRenderedPageBreak/>
        <w:t>II. Listas de raya o nómina de personal, cuando se lleven en el centro de trabajo; o recibos de</w:t>
      </w:r>
      <w:r>
        <w:rPr>
          <w:rFonts w:ascii="Palatino Linotype" w:eastAsia="MS Mincho" w:hAnsi="Palatino Linotype" w:cs="Arial"/>
          <w:i/>
          <w:sz w:val="22"/>
          <w:szCs w:val="22"/>
        </w:rPr>
        <w:t xml:space="preserve"> </w:t>
      </w:r>
      <w:r w:rsidRPr="00901487">
        <w:rPr>
          <w:rFonts w:ascii="Palatino Linotype" w:eastAsia="MS Mincho" w:hAnsi="Palatino Linotype" w:cs="Arial"/>
          <w:i/>
          <w:sz w:val="22"/>
          <w:szCs w:val="22"/>
        </w:rPr>
        <w:t>pagos de salarios;</w:t>
      </w:r>
    </w:p>
    <w:p w:rsidR="00901487" w:rsidRPr="00901487" w:rsidRDefault="00901487" w:rsidP="00901487">
      <w:pPr>
        <w:tabs>
          <w:tab w:val="right" w:leader="dot" w:pos="8505"/>
        </w:tabs>
        <w:ind w:left="567" w:right="567"/>
        <w:jc w:val="both"/>
        <w:rPr>
          <w:rFonts w:ascii="Palatino Linotype" w:eastAsia="MS Mincho" w:hAnsi="Palatino Linotype" w:cs="Arial"/>
          <w:i/>
          <w:sz w:val="22"/>
          <w:szCs w:val="22"/>
        </w:rPr>
      </w:pPr>
      <w:r w:rsidRPr="00901487">
        <w:rPr>
          <w:rFonts w:ascii="Palatino Linotype" w:eastAsia="MS Mincho" w:hAnsi="Palatino Linotype" w:cs="Arial"/>
          <w:i/>
          <w:sz w:val="22"/>
          <w:szCs w:val="22"/>
        </w:rPr>
        <w:t>III. Controles de asistencia, cuando se lleven en el centro de trabajo;</w:t>
      </w:r>
    </w:p>
    <w:p w:rsidR="00901487" w:rsidRPr="00901487" w:rsidRDefault="00901487" w:rsidP="00901487">
      <w:pPr>
        <w:tabs>
          <w:tab w:val="right" w:leader="dot" w:pos="8505"/>
        </w:tabs>
        <w:ind w:left="567" w:right="567"/>
        <w:jc w:val="both"/>
        <w:rPr>
          <w:rFonts w:ascii="Palatino Linotype" w:eastAsia="MS Mincho" w:hAnsi="Palatino Linotype" w:cs="Arial"/>
          <w:i/>
          <w:sz w:val="22"/>
          <w:szCs w:val="22"/>
        </w:rPr>
      </w:pPr>
      <w:r w:rsidRPr="00901487">
        <w:rPr>
          <w:rFonts w:ascii="Palatino Linotype" w:eastAsia="MS Mincho" w:hAnsi="Palatino Linotype" w:cs="Arial"/>
          <w:i/>
          <w:sz w:val="22"/>
          <w:szCs w:val="22"/>
        </w:rPr>
        <w:t>IV. Comprobantes de pago de participación de utilidades, de vacaciones y de aguinaldos, así como</w:t>
      </w:r>
      <w:r>
        <w:rPr>
          <w:rFonts w:ascii="Palatino Linotype" w:eastAsia="MS Mincho" w:hAnsi="Palatino Linotype" w:cs="Arial"/>
          <w:i/>
          <w:sz w:val="22"/>
          <w:szCs w:val="22"/>
        </w:rPr>
        <w:t xml:space="preserve"> </w:t>
      </w:r>
      <w:r w:rsidRPr="00901487">
        <w:rPr>
          <w:rFonts w:ascii="Palatino Linotype" w:eastAsia="MS Mincho" w:hAnsi="Palatino Linotype" w:cs="Arial"/>
          <w:i/>
          <w:sz w:val="22"/>
          <w:szCs w:val="22"/>
        </w:rPr>
        <w:t>las primas a que se refiere esta Ley, y pagos, aportaciones y cuotas de seguridad social; y</w:t>
      </w:r>
    </w:p>
    <w:p w:rsidR="00901487" w:rsidRDefault="00901487" w:rsidP="00901487">
      <w:pPr>
        <w:tabs>
          <w:tab w:val="right" w:leader="dot" w:pos="8505"/>
        </w:tabs>
        <w:ind w:left="567" w:right="567"/>
        <w:jc w:val="both"/>
        <w:rPr>
          <w:rFonts w:ascii="Palatino Linotype" w:eastAsia="MS Mincho" w:hAnsi="Palatino Linotype" w:cs="Arial"/>
          <w:i/>
          <w:sz w:val="22"/>
          <w:szCs w:val="22"/>
        </w:rPr>
      </w:pPr>
      <w:r w:rsidRPr="00901487">
        <w:rPr>
          <w:rFonts w:ascii="Palatino Linotype" w:eastAsia="MS Mincho" w:hAnsi="Palatino Linotype" w:cs="Arial"/>
          <w:i/>
          <w:sz w:val="22"/>
          <w:szCs w:val="22"/>
        </w:rPr>
        <w:t>V. L</w:t>
      </w:r>
      <w:r>
        <w:rPr>
          <w:rFonts w:ascii="Palatino Linotype" w:eastAsia="MS Mincho" w:hAnsi="Palatino Linotype" w:cs="Arial"/>
          <w:i/>
          <w:sz w:val="22"/>
          <w:szCs w:val="22"/>
        </w:rPr>
        <w:t>os demás que señalen las leyes.</w:t>
      </w:r>
    </w:p>
    <w:p w:rsidR="000B5E25" w:rsidRPr="008E2053" w:rsidRDefault="000B5E25" w:rsidP="00901487">
      <w:pPr>
        <w:tabs>
          <w:tab w:val="right" w:leader="dot" w:pos="8505"/>
        </w:tabs>
        <w:ind w:left="567" w:right="567"/>
        <w:jc w:val="right"/>
        <w:rPr>
          <w:rFonts w:ascii="Palatino Linotype" w:hAnsi="Palatino Linotype" w:cs="Arial"/>
          <w:sz w:val="22"/>
          <w:szCs w:val="22"/>
          <w:lang w:val="es-MX"/>
        </w:rPr>
      </w:pPr>
      <w:r w:rsidRPr="008E2053">
        <w:rPr>
          <w:rFonts w:ascii="Palatino Linotype" w:hAnsi="Palatino Linotype" w:cs="Arial"/>
          <w:sz w:val="22"/>
          <w:szCs w:val="22"/>
          <w:lang w:val="es-MX"/>
        </w:rPr>
        <w:t>(Énfasis añadido)</w:t>
      </w:r>
    </w:p>
    <w:p w:rsidR="00442FD8" w:rsidRDefault="00442FD8" w:rsidP="000B5E25">
      <w:pPr>
        <w:spacing w:line="360" w:lineRule="auto"/>
        <w:ind w:right="51"/>
        <w:jc w:val="both"/>
        <w:rPr>
          <w:rFonts w:ascii="Palatino Linotype" w:eastAsia="Calibri" w:hAnsi="Palatino Linotype" w:cs="Arial"/>
        </w:rPr>
      </w:pPr>
    </w:p>
    <w:p w:rsidR="000B5E25" w:rsidRPr="008E2053" w:rsidRDefault="000B5E25" w:rsidP="000B5E25">
      <w:pPr>
        <w:spacing w:line="360" w:lineRule="auto"/>
        <w:ind w:right="51"/>
        <w:jc w:val="both"/>
        <w:rPr>
          <w:rFonts w:ascii="Palatino Linotype" w:eastAsia="Calibri" w:hAnsi="Palatino Linotype" w:cs="Arial"/>
        </w:rPr>
      </w:pPr>
      <w:r w:rsidRPr="008E2053">
        <w:rPr>
          <w:rFonts w:ascii="Palatino Linotype" w:eastAsia="Calibri" w:hAnsi="Palatino Linotype" w:cs="Arial"/>
        </w:rPr>
        <w:t>Tratándose de servidores públicos de los Municipios la Ley del Trabajo de los Servidores Públicos del Estado y Municipios, en su artículo 220-K fracciones II y IV y último párrafo, establecen lo siguiente:</w:t>
      </w:r>
    </w:p>
    <w:p w:rsidR="000B5E25" w:rsidRPr="008E2053" w:rsidRDefault="000B5E25" w:rsidP="000B5E25">
      <w:pPr>
        <w:spacing w:line="360" w:lineRule="auto"/>
        <w:ind w:right="51"/>
        <w:jc w:val="both"/>
        <w:rPr>
          <w:rFonts w:ascii="Palatino Linotype" w:eastAsia="Calibri" w:hAnsi="Palatino Linotype" w:cs="Arial"/>
        </w:rPr>
      </w:pPr>
    </w:p>
    <w:p w:rsidR="000B5E25" w:rsidRPr="008E2053" w:rsidRDefault="000B5E25" w:rsidP="000B5E25">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“ARTÍCULO 220 K.-</w:t>
      </w:r>
      <w:r w:rsidRPr="008E2053">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0B5E25" w:rsidRPr="008E2053" w:rsidRDefault="00901487" w:rsidP="00901487">
      <w:pPr>
        <w:tabs>
          <w:tab w:val="left" w:pos="9072"/>
        </w:tabs>
        <w:ind w:left="567" w:right="567"/>
        <w:jc w:val="both"/>
        <w:rPr>
          <w:rFonts w:ascii="Palatino Linotype" w:hAnsi="Palatino Linotype"/>
          <w:bCs/>
          <w:i/>
          <w:sz w:val="22"/>
          <w:szCs w:val="22"/>
        </w:rPr>
      </w:pPr>
      <w:r w:rsidRPr="00901487">
        <w:rPr>
          <w:rFonts w:ascii="Palatino Linotype" w:hAnsi="Palatino Linotype"/>
          <w:b/>
          <w:bCs/>
          <w:i/>
          <w:sz w:val="22"/>
          <w:szCs w:val="22"/>
        </w:rPr>
        <w:t xml:space="preserve">I. </w:t>
      </w:r>
      <w:r w:rsidRPr="00901487">
        <w:rPr>
          <w:rFonts w:ascii="Palatino Linotype" w:hAnsi="Palatino Linotype"/>
          <w:bCs/>
          <w:i/>
          <w:sz w:val="22"/>
          <w:szCs w:val="22"/>
        </w:rPr>
        <w:t>Contratos, Nombramientos o Formato Único de Movimientos de Personal, cuando no exista Convenio de condiciones generales de trabajo aplicable;</w:t>
      </w:r>
      <w:r w:rsidRPr="00901487">
        <w:rPr>
          <w:rFonts w:ascii="Palatino Linotype" w:hAnsi="Palatino Linotype"/>
          <w:bCs/>
          <w:i/>
          <w:sz w:val="22"/>
          <w:szCs w:val="22"/>
        </w:rPr>
        <w:cr/>
      </w:r>
    </w:p>
    <w:p w:rsidR="000B5E25" w:rsidRPr="008E2053" w:rsidRDefault="000B5E25" w:rsidP="000B5E25">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Los documentos señalados en la fracción I de este artículo, deberán conservarse mientras dure la relación laboral y hasta un año después;</w:t>
      </w:r>
      <w:r w:rsidRPr="008E2053">
        <w:rPr>
          <w:rFonts w:ascii="Palatino Linotype" w:hAnsi="Palatino Linotype"/>
          <w:bCs/>
          <w:i/>
          <w:sz w:val="22"/>
          <w:szCs w:val="22"/>
        </w:rPr>
        <w:t xml:space="preserve"> los señalados por las fracciones II, III, IV durante el último año y un año después de que se extinga la relación laboral, y los mencionados en la fracción V, conforme lo señalen las leyes que los rijan.</w:t>
      </w:r>
    </w:p>
    <w:p w:rsidR="000B5E25" w:rsidRPr="008E2053" w:rsidRDefault="000B5E25" w:rsidP="000B5E25">
      <w:pPr>
        <w:tabs>
          <w:tab w:val="left" w:pos="9072"/>
        </w:tabs>
        <w:ind w:left="567" w:right="567"/>
        <w:jc w:val="both"/>
        <w:rPr>
          <w:rFonts w:ascii="Palatino Linotype" w:hAnsi="Palatino Linotype"/>
          <w:bCs/>
          <w:i/>
          <w:sz w:val="22"/>
          <w:szCs w:val="22"/>
        </w:rPr>
      </w:pPr>
      <w:r w:rsidRPr="008E2053">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B5E25" w:rsidRPr="008E2053" w:rsidRDefault="000B5E25" w:rsidP="000B5E25">
      <w:pPr>
        <w:ind w:left="567" w:right="567"/>
        <w:jc w:val="both"/>
        <w:rPr>
          <w:rFonts w:ascii="Palatino Linotype" w:hAnsi="Palatino Linotype"/>
          <w:bCs/>
          <w:i/>
          <w:sz w:val="22"/>
          <w:szCs w:val="22"/>
        </w:rPr>
      </w:pPr>
      <w:r w:rsidRPr="008E2053">
        <w:rPr>
          <w:rFonts w:ascii="Palatino Linotype" w:hAnsi="Palatino Linotype"/>
          <w:bCs/>
          <w:i/>
          <w:sz w:val="22"/>
          <w:szCs w:val="22"/>
        </w:rPr>
        <w:t>El incumplimiento por lo dispuesto por este artículo, establecerá la presunción de ser ciertos los hechos que el actor exprese en su demanda, en relación con tales documentos, salvo prueba en contrario.” (Sic)</w:t>
      </w:r>
    </w:p>
    <w:p w:rsidR="000B5E25" w:rsidRPr="008E2053" w:rsidRDefault="000B5E25" w:rsidP="000B5E25">
      <w:pPr>
        <w:ind w:left="567" w:right="567"/>
        <w:jc w:val="right"/>
        <w:rPr>
          <w:rFonts w:ascii="Palatino Linotype" w:eastAsia="Calibri" w:hAnsi="Palatino Linotype"/>
          <w:sz w:val="22"/>
          <w:szCs w:val="22"/>
        </w:rPr>
      </w:pPr>
      <w:r w:rsidRPr="008E2053">
        <w:rPr>
          <w:rFonts w:ascii="Palatino Linotype" w:eastAsia="Calibri" w:hAnsi="Palatino Linotype"/>
          <w:sz w:val="22"/>
          <w:szCs w:val="22"/>
        </w:rPr>
        <w:t>(Énfasis añadido).</w:t>
      </w:r>
    </w:p>
    <w:p w:rsidR="000B5E25" w:rsidRDefault="000B5E25" w:rsidP="000B5E25">
      <w:pPr>
        <w:spacing w:line="360" w:lineRule="auto"/>
        <w:ind w:right="51"/>
        <w:jc w:val="both"/>
        <w:rPr>
          <w:rFonts w:ascii="Palatino Linotype" w:eastAsia="Calibri" w:hAnsi="Palatino Linotype" w:cs="Arial"/>
        </w:rPr>
      </w:pPr>
    </w:p>
    <w:p w:rsidR="000B5E25" w:rsidRPr="007523B6" w:rsidRDefault="00852668" w:rsidP="00307006">
      <w:pPr>
        <w:spacing w:line="360" w:lineRule="auto"/>
        <w:ind w:right="51"/>
        <w:jc w:val="both"/>
        <w:rPr>
          <w:rFonts w:ascii="Palatino Linotype" w:hAnsi="Palatino Linotype" w:cs="Arial"/>
        </w:rPr>
      </w:pPr>
      <w:r>
        <w:rPr>
          <w:rFonts w:ascii="Palatino Linotype" w:eastAsia="Calibri" w:hAnsi="Palatino Linotype" w:cs="Arial"/>
        </w:rPr>
        <w:t xml:space="preserve">Ordenamientos normativos que </w:t>
      </w:r>
      <w:r w:rsidR="00BD14B3">
        <w:rPr>
          <w:rFonts w:ascii="Palatino Linotype" w:eastAsia="Calibri" w:hAnsi="Palatino Linotype" w:cs="Arial"/>
        </w:rPr>
        <w:t xml:space="preserve">consagran que las relaciones laborales entre Entes de Gobierno y los servidores públicos, se harán constar a través de contratos, nombramientos o formatos únicos de movimientos de personal, es decir, que no pueden subsistir los 3 (tres) documentos al mismo tiempo, en consecuencia, pueden </w:t>
      </w:r>
      <w:r w:rsidR="00BD14B3">
        <w:rPr>
          <w:rFonts w:ascii="Palatino Linotype" w:eastAsia="Calibri" w:hAnsi="Palatino Linotype" w:cs="Arial"/>
        </w:rPr>
        <w:lastRenderedPageBreak/>
        <w:t>existir relaciones de trabajo sujetas bajo contrato, otras mediante nombramiento y algunas otras a través de formato único de movimiento de personal</w:t>
      </w:r>
      <w:r w:rsidR="00EA61B9">
        <w:rPr>
          <w:rFonts w:ascii="Palatino Linotype" w:eastAsia="Calibri" w:hAnsi="Palatino Linotype" w:cs="Arial"/>
        </w:rPr>
        <w:t xml:space="preserve">. Precisado lo anterior, </w:t>
      </w:r>
      <w:r w:rsidR="000B5E25" w:rsidRPr="008E2053">
        <w:rPr>
          <w:rFonts w:ascii="Palatino Linotype" w:eastAsia="Calibri" w:hAnsi="Palatino Linotype" w:cs="Arial"/>
        </w:rPr>
        <w:t xml:space="preserve">se advierte que toda institución o dependencia pública del Estado de México debe conservar </w:t>
      </w:r>
      <w:r w:rsidR="00901487">
        <w:rPr>
          <w:rFonts w:ascii="Palatino Linotype" w:eastAsia="Calibri" w:hAnsi="Palatino Linotype" w:cs="Arial"/>
          <w:b/>
        </w:rPr>
        <w:t>los contratos, nombramientos o formatos únicos de movimiento de personal</w:t>
      </w:r>
      <w:r w:rsidR="000B5E25" w:rsidRPr="008E2053">
        <w:rPr>
          <w:rFonts w:ascii="Palatino Linotype" w:eastAsia="Calibri" w:hAnsi="Palatino Linotype" w:cs="Arial"/>
        </w:rPr>
        <w:t xml:space="preserve">; es decir, </w:t>
      </w:r>
      <w:r w:rsidR="000B5E25" w:rsidRPr="007523B6">
        <w:rPr>
          <w:rFonts w:ascii="Palatino Linotype" w:hAnsi="Palatino Linotype" w:cs="Arial"/>
        </w:rPr>
        <w:t xml:space="preserve">la información solicitada por </w:t>
      </w:r>
      <w:r w:rsidR="00307006">
        <w:rPr>
          <w:rFonts w:ascii="Palatino Linotype" w:hAnsi="Palatino Linotype" w:cs="Arial"/>
        </w:rPr>
        <w:t>el</w:t>
      </w:r>
      <w:r w:rsidR="000B5E25" w:rsidRPr="007523B6">
        <w:rPr>
          <w:rFonts w:ascii="Palatino Linotype" w:hAnsi="Palatino Linotype" w:cs="Arial"/>
        </w:rPr>
        <w:t xml:space="preserve"> hoy </w:t>
      </w:r>
      <w:r w:rsidR="00307006" w:rsidRPr="007523B6">
        <w:rPr>
          <w:rFonts w:ascii="Palatino Linotype" w:hAnsi="Palatino Linotype" w:cs="Arial"/>
          <w:b/>
        </w:rPr>
        <w:t>Recurrente</w:t>
      </w:r>
      <w:r w:rsidR="00307006" w:rsidRPr="007523B6">
        <w:rPr>
          <w:rFonts w:ascii="Palatino Linotype" w:hAnsi="Palatino Linotype" w:cs="Arial"/>
        </w:rPr>
        <w:t xml:space="preserve"> </w:t>
      </w:r>
      <w:r w:rsidR="000B5E25" w:rsidRPr="007523B6">
        <w:rPr>
          <w:rFonts w:ascii="Palatino Linotype" w:hAnsi="Palatino Linotype" w:cs="Arial"/>
        </w:rPr>
        <w:t xml:space="preserve">debe obrar de forma digitalizada en los archivos del </w:t>
      </w:r>
      <w:r w:rsidR="000B5E25" w:rsidRPr="007523B6">
        <w:rPr>
          <w:rFonts w:ascii="Palatino Linotype" w:hAnsi="Palatino Linotype" w:cs="Arial"/>
          <w:b/>
        </w:rPr>
        <w:t>Sujeto Obligado</w:t>
      </w:r>
      <w:r w:rsidR="000B5E25" w:rsidRPr="007523B6">
        <w:rPr>
          <w:rFonts w:ascii="Palatino Linotype" w:hAnsi="Palatino Linotype" w:cs="Arial"/>
        </w:rPr>
        <w:t xml:space="preserve"> y, por lo tanto, es dable ordenar la entrega de la misma.</w:t>
      </w:r>
    </w:p>
    <w:p w:rsidR="000B5E25" w:rsidRDefault="000B5E25" w:rsidP="000B5E25">
      <w:pPr>
        <w:spacing w:line="360" w:lineRule="auto"/>
        <w:jc w:val="both"/>
        <w:rPr>
          <w:rFonts w:ascii="Palatino Linotype" w:eastAsia="Calibri" w:hAnsi="Palatino Linotype"/>
          <w:lang w:val="es-ES_tradnl"/>
        </w:rPr>
      </w:pPr>
    </w:p>
    <w:p w:rsidR="000B5E25" w:rsidRDefault="000B5E25" w:rsidP="000B5E25">
      <w:pPr>
        <w:spacing w:line="360" w:lineRule="auto"/>
        <w:jc w:val="both"/>
        <w:rPr>
          <w:rFonts w:ascii="Palatino Linotype" w:eastAsia="Calibri" w:hAnsi="Palatino Linotype"/>
          <w:lang w:val="es-MX" w:eastAsia="es-MX"/>
        </w:rPr>
      </w:pPr>
      <w:r>
        <w:rPr>
          <w:rFonts w:ascii="Palatino Linotype" w:eastAsia="Calibri" w:hAnsi="Palatino Linotype"/>
          <w:lang w:val="es-ES_tradnl"/>
        </w:rPr>
        <w:t xml:space="preserve">No pasa desapercibido que el </w:t>
      </w:r>
      <w:r w:rsidRPr="00B62C04">
        <w:rPr>
          <w:rFonts w:ascii="Palatino Linotype" w:eastAsia="Calibri" w:hAnsi="Palatino Linotype"/>
          <w:b/>
          <w:lang w:val="es-ES_tradnl"/>
        </w:rPr>
        <w:t>Sujeto Obligado</w:t>
      </w:r>
      <w:r>
        <w:rPr>
          <w:rFonts w:ascii="Palatino Linotype" w:eastAsia="Calibri" w:hAnsi="Palatino Linotype"/>
          <w:lang w:val="es-ES_tradnl"/>
        </w:rPr>
        <w:t xml:space="preserve">, </w:t>
      </w:r>
      <w:r w:rsidR="00D4431A">
        <w:rPr>
          <w:rFonts w:ascii="Palatino Linotype" w:eastAsia="Calibri" w:hAnsi="Palatino Linotype"/>
          <w:lang w:val="es-ES_tradnl"/>
        </w:rPr>
        <w:t>en informe justificado, manifestó que emitió respuesta conforme a derecho, al no haber turnado la solicitud al área correspondiente, haciendo entrega de la información, empero como quedó acreditado a previamente, la información entregada, no corresponde con la requerida</w:t>
      </w:r>
      <w:r>
        <w:rPr>
          <w:rFonts w:ascii="Palatino Linotype" w:eastAsia="Calibri" w:hAnsi="Palatino Linotype"/>
          <w:lang w:val="es-MX" w:eastAsia="es-MX"/>
        </w:rPr>
        <w:t xml:space="preserve">, como quedó acreditado en párrafos anteriores, de conformidad con la Ley del Trabajo de los Servidores Públicos del Estado de México y Municipios, concatenada con </w:t>
      </w:r>
      <w:r w:rsidR="00D4431A">
        <w:rPr>
          <w:rFonts w:ascii="Palatino Linotype" w:eastAsia="Calibri" w:hAnsi="Palatino Linotype"/>
          <w:lang w:val="es-MX" w:eastAsia="es-MX"/>
        </w:rPr>
        <w:t>la Ley de Transparencia y Acceso a la Información Pública del Estado de México y Municipios</w:t>
      </w:r>
      <w:r>
        <w:rPr>
          <w:rFonts w:ascii="Palatino Linotype" w:eastAsia="Calibri" w:hAnsi="Palatino Linotype"/>
          <w:lang w:val="es-MX" w:eastAsia="es-MX"/>
        </w:rPr>
        <w:t xml:space="preserve">; existe fuente obligacional a cargo del </w:t>
      </w:r>
      <w:r w:rsidRPr="005B63F4">
        <w:rPr>
          <w:rFonts w:ascii="Palatino Linotype" w:eastAsia="Calibri" w:hAnsi="Palatino Linotype"/>
          <w:b/>
          <w:lang w:val="es-MX" w:eastAsia="es-MX"/>
        </w:rPr>
        <w:t>Sujeto Obligado</w:t>
      </w:r>
      <w:r>
        <w:rPr>
          <w:rFonts w:ascii="Palatino Linotype" w:eastAsia="Calibri" w:hAnsi="Palatino Linotype"/>
          <w:lang w:val="es-MX" w:eastAsia="es-MX"/>
        </w:rPr>
        <w:t xml:space="preserve"> para tener en sus archivos la información </w:t>
      </w:r>
      <w:r w:rsidR="00D4431A">
        <w:rPr>
          <w:rFonts w:ascii="Palatino Linotype" w:eastAsia="Calibri" w:hAnsi="Palatino Linotype"/>
          <w:lang w:val="es-MX" w:eastAsia="es-MX"/>
        </w:rPr>
        <w:t>peticionada</w:t>
      </w:r>
      <w:r>
        <w:rPr>
          <w:rFonts w:ascii="Palatino Linotype" w:eastAsia="Calibri" w:hAnsi="Palatino Linotype"/>
          <w:lang w:val="es-MX" w:eastAsia="es-MX"/>
        </w:rPr>
        <w:t>,</w:t>
      </w:r>
      <w:r w:rsidR="00D4431A">
        <w:rPr>
          <w:rFonts w:ascii="Palatino Linotype" w:eastAsia="Calibri" w:hAnsi="Palatino Linotype"/>
          <w:lang w:val="es-MX" w:eastAsia="es-MX"/>
        </w:rPr>
        <w:t xml:space="preserve"> consecuentemente</w:t>
      </w:r>
      <w:r>
        <w:rPr>
          <w:rFonts w:ascii="Palatino Linotype" w:eastAsia="Calibri" w:hAnsi="Palatino Linotype"/>
          <w:lang w:val="es-MX" w:eastAsia="es-MX"/>
        </w:rPr>
        <w:t xml:space="preserve"> resulta dable ordenar su entrega.</w:t>
      </w:r>
    </w:p>
    <w:p w:rsidR="000B5E25" w:rsidRDefault="000B5E25" w:rsidP="000B5E25">
      <w:pPr>
        <w:autoSpaceDE w:val="0"/>
        <w:autoSpaceDN w:val="0"/>
        <w:adjustRightInd w:val="0"/>
        <w:spacing w:line="360" w:lineRule="auto"/>
        <w:jc w:val="both"/>
        <w:rPr>
          <w:rFonts w:ascii="Palatino Linotype" w:hAnsi="Palatino Linotype" w:cs="Arial"/>
        </w:rPr>
      </w:pPr>
    </w:p>
    <w:p w:rsidR="000B5E25" w:rsidRPr="00A97F43" w:rsidRDefault="000B5E25" w:rsidP="000B5E25">
      <w:pPr>
        <w:numPr>
          <w:ilvl w:val="0"/>
          <w:numId w:val="3"/>
        </w:numPr>
        <w:autoSpaceDE w:val="0"/>
        <w:autoSpaceDN w:val="0"/>
        <w:adjustRightInd w:val="0"/>
        <w:spacing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0B5E25" w:rsidRPr="00A97F43" w:rsidRDefault="000B5E25" w:rsidP="000B5E25">
      <w:pPr>
        <w:tabs>
          <w:tab w:val="left" w:pos="8647"/>
        </w:tabs>
        <w:spacing w:line="360" w:lineRule="auto"/>
        <w:ind w:right="51"/>
        <w:jc w:val="both"/>
        <w:rPr>
          <w:rFonts w:ascii="Palatino Linotype" w:eastAsiaTheme="minorHAnsi" w:hAnsi="Palatino Linotype" w:cs="Arial"/>
          <w:lang w:val="es-MX" w:eastAsia="en-US"/>
        </w:rPr>
      </w:pPr>
    </w:p>
    <w:p w:rsidR="000B5E25" w:rsidRPr="00A97F43" w:rsidRDefault="000B5E25" w:rsidP="000B5E25">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w:t>
      </w:r>
      <w:r w:rsidRPr="00A97F43">
        <w:rPr>
          <w:rFonts w:ascii="Palatino Linotype" w:hAnsi="Palatino Linotype" w:cs="Arial"/>
          <w:lang w:val="es-ES_tradnl"/>
        </w:rPr>
        <w:lastRenderedPageBreak/>
        <w:t>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B5E25" w:rsidRPr="00A97F43" w:rsidRDefault="000B5E25" w:rsidP="000B5E25">
      <w:pPr>
        <w:spacing w:line="360" w:lineRule="auto"/>
        <w:contextualSpacing/>
        <w:jc w:val="both"/>
        <w:rPr>
          <w:rFonts w:ascii="Palatino Linotype" w:hAnsi="Palatino Linotype" w:cs="Arial"/>
          <w:lang w:val="es-ES_tradnl"/>
        </w:rPr>
      </w:pPr>
    </w:p>
    <w:p w:rsidR="000B5E25" w:rsidRPr="00A97F43" w:rsidRDefault="000B5E25" w:rsidP="000B5E25">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t>Ley de Transparencia y Acceso a la Información Pública del Estado de México y Municipios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0B5E25" w:rsidRPr="00A97F43" w:rsidRDefault="000B5E25" w:rsidP="000B5E25">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0B5E25" w:rsidRPr="00A97F43" w:rsidRDefault="000B5E25" w:rsidP="000B5E25">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0B5E25" w:rsidRPr="00A97F43" w:rsidRDefault="000B5E25" w:rsidP="000B5E25">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0B5E25" w:rsidRPr="00A97F43" w:rsidRDefault="000B5E25" w:rsidP="000B5E25">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w:t>
      </w:r>
      <w:r w:rsidRPr="00A97F43">
        <w:rPr>
          <w:rFonts w:ascii="Palatino Linotype" w:hAnsi="Palatino Linotype" w:cs="Arial"/>
          <w:i/>
          <w:sz w:val="22"/>
          <w:szCs w:val="22"/>
          <w:lang w:val="es-MX"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Default="000B5E25" w:rsidP="000B5E25">
      <w:pPr>
        <w:ind w:left="567" w:right="567"/>
        <w:contextualSpacing/>
        <w:jc w:val="center"/>
        <w:rPr>
          <w:rFonts w:ascii="Palatino Linotype" w:hAnsi="Palatino Linotype" w:cs="Arial"/>
          <w:b/>
          <w:i/>
          <w:sz w:val="22"/>
          <w:szCs w:val="22"/>
          <w:lang w:val="es-MX" w:eastAsia="es-MX"/>
        </w:rPr>
      </w:pPr>
    </w:p>
    <w:p w:rsidR="000B5E25" w:rsidRPr="00A97F43" w:rsidRDefault="000B5E25" w:rsidP="000B5E25">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0B5E25" w:rsidRPr="00A97F43" w:rsidRDefault="000B5E25" w:rsidP="000B5E25">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0B5E25" w:rsidRPr="00A97F43" w:rsidRDefault="000B5E25" w:rsidP="000B5E25">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0B5E25" w:rsidRPr="00A97F43" w:rsidTr="00162209">
        <w:trPr>
          <w:trHeight w:val="597"/>
        </w:trPr>
        <w:tc>
          <w:tcPr>
            <w:tcW w:w="1275" w:type="dxa"/>
            <w:tcBorders>
              <w:top w:val="nil"/>
              <w:left w:val="nil"/>
              <w:bottom w:val="single" w:sz="4" w:space="0" w:color="auto"/>
              <w:right w:val="single" w:sz="4" w:space="0" w:color="auto"/>
            </w:tcBorders>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0B5E25" w:rsidRPr="00A97F43" w:rsidRDefault="000B5E25" w:rsidP="00162209">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0B5E25" w:rsidRPr="00A97F43" w:rsidRDefault="000B5E25" w:rsidP="00162209">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0B5E25" w:rsidRPr="00A97F43" w:rsidTr="00162209">
        <w:tc>
          <w:tcPr>
            <w:tcW w:w="1275" w:type="dxa"/>
            <w:vMerge w:val="restart"/>
            <w:tcBorders>
              <w:top w:val="single" w:sz="4" w:space="0" w:color="auto"/>
            </w:tcBorders>
            <w:shd w:val="clear" w:color="auto" w:fill="auto"/>
            <w:vAlign w:val="center"/>
          </w:tcPr>
          <w:p w:rsidR="000B5E25" w:rsidRPr="00A97F43" w:rsidRDefault="000B5E25" w:rsidP="00162209">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A97F43">
              <w:rPr>
                <w:rFonts w:ascii="Palatino Linotype" w:hAnsi="Palatino Linotype" w:cs="Arial"/>
                <w:i/>
                <w:sz w:val="22"/>
                <w:szCs w:val="22"/>
                <w:lang w:val="es-MX" w:eastAsia="es-MX"/>
              </w:rPr>
              <w:t>anotarán</w:t>
            </w:r>
            <w:proofErr w:type="gramEnd"/>
            <w:r w:rsidRPr="00A97F43">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0B5E25" w:rsidRPr="00A97F43" w:rsidTr="00162209">
        <w:tc>
          <w:tcPr>
            <w:tcW w:w="1275" w:type="dxa"/>
            <w:vMerge/>
            <w:shd w:val="clear" w:color="auto" w:fill="auto"/>
          </w:tcPr>
          <w:p w:rsidR="000B5E25" w:rsidRPr="00A97F43" w:rsidRDefault="000B5E25" w:rsidP="00162209">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162209">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0B5E25" w:rsidRPr="00A97F43" w:rsidRDefault="000B5E25" w:rsidP="00162209">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0B5E25" w:rsidRPr="00A97F43" w:rsidRDefault="000B5E25" w:rsidP="000B5E25">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Pr="00A97F43" w:rsidRDefault="000B5E25" w:rsidP="000B5E25">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0B5E25" w:rsidRDefault="000B5E25"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9F62C3" w:rsidRPr="00A97F43" w:rsidRDefault="009F62C3"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0B5E25" w:rsidRDefault="000B5E25"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A97F43">
        <w:rPr>
          <w:rFonts w:ascii="Palatino Linotype" w:hAnsi="Palatino Linotype" w:cs="Arial"/>
          <w:lang w:val="es-MX"/>
        </w:rPr>
        <w:lastRenderedPageBreak/>
        <w:t>no se exponen de manera puntual las razones de ello se estaría violentando desde un inicio el derecho de acceso a la información del solicitante.</w:t>
      </w:r>
    </w:p>
    <w:p w:rsidR="000B5E25" w:rsidRPr="00A97F43" w:rsidRDefault="000B5E25"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0B5E25" w:rsidRDefault="000B5E25" w:rsidP="000B5E25">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sidR="00852668">
        <w:rPr>
          <w:rFonts w:ascii="Palatino Linotype" w:eastAsiaTheme="minorHAnsi" w:hAnsi="Palatino Linotype" w:cstheme="minorBidi"/>
          <w:lang w:val="es-MX" w:eastAsia="en-US"/>
        </w:rPr>
        <w:t>primera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852668">
        <w:rPr>
          <w:rFonts w:ascii="Palatino Linotype" w:eastAsiaTheme="minorHAnsi" w:hAnsi="Palatino Linotype" w:cstheme="minorBidi"/>
          <w:b/>
          <w:lang w:val="es-MX" w:eastAsia="en-US"/>
        </w:rPr>
        <w:t>REVOCA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852668" w:rsidRPr="00852668">
        <w:rPr>
          <w:rFonts w:ascii="Palatino Linotype" w:hAnsi="Palatino Linotype"/>
          <w:b/>
          <w:bCs/>
        </w:rPr>
        <w:t>00107/IXTLAHUA/IP/2021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0B5E25" w:rsidRPr="00A97F43" w:rsidRDefault="000B5E25" w:rsidP="000B5E25">
      <w:pPr>
        <w:spacing w:line="360" w:lineRule="auto"/>
        <w:jc w:val="both"/>
        <w:rPr>
          <w:rFonts w:ascii="Palatino Linotype" w:eastAsiaTheme="minorHAnsi" w:hAnsi="Palatino Linotype" w:cstheme="minorBidi"/>
          <w:lang w:val="es-MX" w:eastAsia="en-US"/>
        </w:rPr>
      </w:pPr>
    </w:p>
    <w:p w:rsidR="000B5E25" w:rsidRPr="00A97F43" w:rsidRDefault="000B5E25" w:rsidP="000B5E25">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0B5E25" w:rsidRPr="00A97F43" w:rsidRDefault="000B5E25" w:rsidP="000B5E25">
      <w:pPr>
        <w:spacing w:line="360" w:lineRule="auto"/>
        <w:jc w:val="both"/>
        <w:rPr>
          <w:rFonts w:ascii="Palatino Linotype" w:hAnsi="Palatino Linotype"/>
          <w:lang w:val="es-MX"/>
        </w:rPr>
      </w:pPr>
    </w:p>
    <w:p w:rsidR="000B5E25" w:rsidRPr="00A97F43" w:rsidRDefault="000B5E25" w:rsidP="000B5E25">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0B5E25" w:rsidRPr="00A97F43" w:rsidRDefault="000B5E25" w:rsidP="000B5E25">
      <w:pPr>
        <w:spacing w:line="360" w:lineRule="auto"/>
        <w:jc w:val="center"/>
        <w:rPr>
          <w:rFonts w:ascii="Palatino Linotype" w:hAnsi="Palatino Linotype"/>
          <w:bCs/>
          <w:spacing w:val="60"/>
          <w:lang w:val="es-ES_tradnl"/>
        </w:rPr>
      </w:pPr>
    </w:p>
    <w:p w:rsidR="000B5E25"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sidR="00852668">
        <w:rPr>
          <w:rFonts w:ascii="Palatino Linotype" w:eastAsiaTheme="minorHAnsi" w:hAnsi="Palatino Linotype" w:cs="Arial"/>
          <w:b/>
          <w:lang w:val="es-MX" w:eastAsia="en-US"/>
        </w:rPr>
        <w:t>REVOCA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852668" w:rsidRPr="00852668">
        <w:rPr>
          <w:rFonts w:ascii="Palatino Linotype" w:hAnsi="Palatino Linotype"/>
          <w:b/>
          <w:bCs/>
        </w:rPr>
        <w:t>00107/IXTLAHUA/IP/2021</w:t>
      </w:r>
      <w:r w:rsidRPr="00A97F43">
        <w:rPr>
          <w:rFonts w:ascii="Palatino Linotype" w:eastAsiaTheme="minorHAnsi" w:hAnsi="Palatino Linotype" w:cs="Arial"/>
          <w:lang w:val="es-MX" w:eastAsia="en-US"/>
        </w:rPr>
        <w:t xml:space="preserve">, por </w:t>
      </w:r>
      <w:r>
        <w:rPr>
          <w:rFonts w:ascii="Palatino Linotype" w:eastAsiaTheme="minorHAnsi" w:hAnsi="Palatino Linotype" w:cs="Arial"/>
          <w:lang w:val="es-MX" w:eastAsia="en-US"/>
        </w:rPr>
        <w:t>parcialmente</w:t>
      </w:r>
      <w:r w:rsidRPr="00A97F43">
        <w:rPr>
          <w:rFonts w:ascii="Palatino Linotype" w:eastAsiaTheme="minorHAnsi" w:hAnsi="Palatino Linotype" w:cs="Arial"/>
          <w:lang w:val="es-MX" w:eastAsia="en-US"/>
        </w:rPr>
        <w:t xml:space="preserve"> 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9F62C3" w:rsidRPr="00A97F43" w:rsidRDefault="009F62C3" w:rsidP="000B5E25">
      <w:pPr>
        <w:autoSpaceDE w:val="0"/>
        <w:autoSpaceDN w:val="0"/>
        <w:adjustRightInd w:val="0"/>
        <w:spacing w:line="360" w:lineRule="auto"/>
        <w:ind w:right="49"/>
        <w:jc w:val="both"/>
        <w:rPr>
          <w:rFonts w:ascii="Palatino Linotype" w:eastAsiaTheme="minorHAnsi" w:hAnsi="Palatino Linotype" w:cs="Arial"/>
          <w:lang w:val="es-MX" w:eastAsia="en-US"/>
        </w:rPr>
      </w:pPr>
    </w:p>
    <w:p w:rsidR="00852668" w:rsidRDefault="000B5E25" w:rsidP="00852668">
      <w:pPr>
        <w:pStyle w:val="Prrafodelista"/>
        <w:spacing w:line="360" w:lineRule="auto"/>
        <w:ind w:left="0" w:right="49"/>
        <w:jc w:val="both"/>
        <w:rPr>
          <w:rFonts w:ascii="Palatino Linotype" w:hAnsi="Palatino Linotype" w:cs="Arial"/>
          <w:color w:val="000000" w:themeColor="text1"/>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00852668"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w:t>
      </w:r>
      <w:r w:rsidR="00852668">
        <w:rPr>
          <w:rFonts w:ascii="Palatino Linotype" w:eastAsiaTheme="minorHAnsi" w:hAnsi="Palatino Linotype" w:cs="Arial"/>
          <w:lang w:val="es-MX" w:eastAsia="en-US"/>
        </w:rPr>
        <w:t xml:space="preserve">istema de </w:t>
      </w:r>
      <w:r w:rsidRPr="00A97F43">
        <w:rPr>
          <w:rFonts w:ascii="Palatino Linotype" w:eastAsiaTheme="minorHAnsi" w:hAnsi="Palatino Linotype" w:cs="Arial"/>
          <w:lang w:val="es-MX" w:eastAsia="en-US"/>
        </w:rPr>
        <w:t>A</w:t>
      </w:r>
      <w:r w:rsidR="00852668">
        <w:rPr>
          <w:rFonts w:ascii="Palatino Linotype" w:eastAsiaTheme="minorHAnsi" w:hAnsi="Palatino Linotype" w:cs="Arial"/>
          <w:lang w:val="es-MX" w:eastAsia="en-US"/>
        </w:rPr>
        <w:t xml:space="preserve">cceso a la </w:t>
      </w:r>
      <w:r w:rsidRPr="00A97F43">
        <w:rPr>
          <w:rFonts w:ascii="Palatino Linotype" w:eastAsiaTheme="minorHAnsi" w:hAnsi="Palatino Linotype" w:cs="Arial"/>
          <w:lang w:val="es-MX" w:eastAsia="en-US"/>
        </w:rPr>
        <w:t>I</w:t>
      </w:r>
      <w:r w:rsidR="00852668">
        <w:rPr>
          <w:rFonts w:ascii="Palatino Linotype" w:eastAsiaTheme="minorHAnsi" w:hAnsi="Palatino Linotype" w:cs="Arial"/>
          <w:lang w:val="es-MX" w:eastAsia="en-US"/>
        </w:rPr>
        <w:t xml:space="preserve">nformación </w:t>
      </w:r>
      <w:r w:rsidRPr="00A97F43">
        <w:rPr>
          <w:rFonts w:ascii="Palatino Linotype" w:eastAsiaTheme="minorHAnsi" w:hAnsi="Palatino Linotype" w:cs="Arial"/>
          <w:lang w:val="es-MX" w:eastAsia="en-US"/>
        </w:rPr>
        <w:t>M</w:t>
      </w:r>
      <w:r w:rsidR="00852668">
        <w:rPr>
          <w:rFonts w:ascii="Palatino Linotype" w:eastAsiaTheme="minorHAnsi" w:hAnsi="Palatino Linotype" w:cs="Arial"/>
          <w:lang w:val="es-MX" w:eastAsia="en-US"/>
        </w:rPr>
        <w:t>exiquense (SAIMEX)</w:t>
      </w:r>
      <w:r>
        <w:rPr>
          <w:rFonts w:ascii="Palatino Linotype" w:eastAsiaTheme="minorHAnsi" w:hAnsi="Palatino Linotype" w:cs="Arial"/>
          <w:lang w:val="es-MX" w:eastAsia="en-US"/>
        </w:rPr>
        <w:t xml:space="preserve">, en </w:t>
      </w:r>
      <w:r w:rsidR="00852668">
        <w:rPr>
          <w:rFonts w:ascii="Palatino Linotype" w:eastAsiaTheme="minorHAnsi" w:hAnsi="Palatino Linotype" w:cs="Arial"/>
          <w:lang w:val="es-MX" w:eastAsia="en-US"/>
        </w:rPr>
        <w:t xml:space="preserve">versión pública de </w:t>
      </w:r>
      <w:r w:rsidR="00852668">
        <w:rPr>
          <w:rFonts w:ascii="Palatino Linotype" w:hAnsi="Palatino Linotype"/>
          <w:bCs/>
        </w:rPr>
        <w:t xml:space="preserve">todo </w:t>
      </w:r>
      <w:r w:rsidR="00B05B83">
        <w:rPr>
          <w:rFonts w:ascii="Palatino Linotype" w:hAnsi="Palatino Linotype"/>
          <w:bCs/>
        </w:rPr>
        <w:t>su</w:t>
      </w:r>
      <w:r w:rsidR="00852668">
        <w:rPr>
          <w:rFonts w:ascii="Palatino Linotype" w:hAnsi="Palatino Linotype"/>
          <w:bCs/>
        </w:rPr>
        <w:t xml:space="preserve"> personal de base y confianza, excepto del personal adscrito a la Dirección de Seguridad Pública y Tránsito Municipal, </w:t>
      </w:r>
      <w:r w:rsidR="00B05B83">
        <w:rPr>
          <w:rFonts w:ascii="Palatino Linotype" w:hAnsi="Palatino Linotype"/>
          <w:bCs/>
        </w:rPr>
        <w:t>de</w:t>
      </w:r>
      <w:r w:rsidR="00852668">
        <w:rPr>
          <w:rFonts w:ascii="Palatino Linotype" w:hAnsi="Palatino Linotype"/>
          <w:bCs/>
        </w:rPr>
        <w:t xml:space="preserve"> </w:t>
      </w:r>
      <w:r w:rsidR="00852668" w:rsidRPr="007D7352">
        <w:rPr>
          <w:rFonts w:ascii="Palatino Linotype" w:hAnsi="Palatino Linotype"/>
          <w:bCs/>
        </w:rPr>
        <w:t>lo siguiente:</w:t>
      </w:r>
      <w:r w:rsidR="00852668">
        <w:rPr>
          <w:rFonts w:ascii="Palatino Linotype" w:hAnsi="Palatino Linotype"/>
          <w:bCs/>
        </w:rPr>
        <w:t xml:space="preserve"> </w:t>
      </w:r>
    </w:p>
    <w:p w:rsidR="00852668" w:rsidRDefault="00852668" w:rsidP="00852668">
      <w:pPr>
        <w:pStyle w:val="Prrafodelista"/>
        <w:spacing w:line="360" w:lineRule="auto"/>
        <w:ind w:left="0" w:right="49"/>
        <w:jc w:val="both"/>
        <w:rPr>
          <w:rFonts w:ascii="Palatino Linotype" w:hAnsi="Palatino Linotype" w:cs="Arial"/>
          <w:color w:val="000000" w:themeColor="text1"/>
        </w:rPr>
      </w:pPr>
    </w:p>
    <w:p w:rsidR="00852668" w:rsidRPr="00B05B83" w:rsidRDefault="00852668" w:rsidP="00B05B83">
      <w:pPr>
        <w:pStyle w:val="Prrafodelista"/>
        <w:numPr>
          <w:ilvl w:val="0"/>
          <w:numId w:val="7"/>
        </w:numPr>
        <w:spacing w:line="360" w:lineRule="auto"/>
        <w:ind w:right="616"/>
        <w:jc w:val="both"/>
        <w:rPr>
          <w:rFonts w:ascii="Palatino Linotype" w:hAnsi="Palatino Linotype" w:cs="Arial"/>
          <w:color w:val="000000" w:themeColor="text1"/>
        </w:rPr>
      </w:pPr>
      <w:r w:rsidRPr="00B05B83">
        <w:rPr>
          <w:rFonts w:ascii="Palatino Linotype" w:hAnsi="Palatino Linotype" w:cs="Arial"/>
          <w:color w:val="000000" w:themeColor="text1"/>
        </w:rPr>
        <w:lastRenderedPageBreak/>
        <w:t>Nombramientos</w:t>
      </w:r>
      <w:r w:rsidR="00B05B83" w:rsidRPr="00B05B83">
        <w:rPr>
          <w:rFonts w:ascii="Palatino Linotype" w:hAnsi="Palatino Linotype" w:cs="Arial"/>
          <w:color w:val="000000" w:themeColor="text1"/>
        </w:rPr>
        <w:t xml:space="preserve"> o contratos o f</w:t>
      </w:r>
      <w:r w:rsidRPr="00B05B83">
        <w:rPr>
          <w:rFonts w:ascii="Palatino Linotype" w:hAnsi="Palatino Linotype" w:cs="Arial"/>
          <w:color w:val="000000" w:themeColor="text1"/>
        </w:rPr>
        <w:t xml:space="preserve">ormatos únicos de movimiento de </w:t>
      </w:r>
      <w:r w:rsidR="00B05B83" w:rsidRPr="00B05B83">
        <w:rPr>
          <w:rFonts w:ascii="Palatino Linotype" w:hAnsi="Palatino Linotype" w:cs="Arial"/>
          <w:color w:val="000000" w:themeColor="text1"/>
        </w:rPr>
        <w:t>personal, que estén o hayan estado activos en el periodo del uno de enero al quince de julio de dos mil veintiuno</w:t>
      </w:r>
      <w:r w:rsidR="00B05B83">
        <w:rPr>
          <w:rFonts w:ascii="Palatino Linotype" w:hAnsi="Palatino Linotype" w:cs="Arial"/>
          <w:color w:val="000000" w:themeColor="text1"/>
        </w:rPr>
        <w:t>.</w:t>
      </w:r>
    </w:p>
    <w:p w:rsidR="000B5E25" w:rsidRPr="00B001EC" w:rsidRDefault="000B5E25" w:rsidP="00852668">
      <w:pPr>
        <w:autoSpaceDE w:val="0"/>
        <w:autoSpaceDN w:val="0"/>
        <w:adjustRightInd w:val="0"/>
        <w:spacing w:line="360" w:lineRule="auto"/>
        <w:ind w:right="49"/>
        <w:jc w:val="both"/>
        <w:rPr>
          <w:rFonts w:ascii="Palatino Linotype" w:eastAsiaTheme="minorHAnsi" w:hAnsi="Palatino Linotype" w:cs="Arial"/>
          <w:lang w:eastAsia="en-US"/>
        </w:rPr>
      </w:pPr>
    </w:p>
    <w:p w:rsidR="000B5E25" w:rsidRDefault="000B5E25" w:rsidP="000B5E2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Debiendo </w:t>
      </w:r>
      <w:r w:rsidRPr="00A97F43">
        <w:rPr>
          <w:rFonts w:ascii="Palatino Linotype" w:eastAsiaTheme="minorHAnsi" w:hAnsi="Palatino Linotype" w:cs="Arial"/>
          <w:lang w:val="es-MX" w:eastAsia="en-US"/>
        </w:rPr>
        <w:t xml:space="preserve">emitir y hacer entrega del Acuerdo del Comité de Transparencia en términos de los artículos 49, fracción VIII y 132 </w:t>
      </w:r>
      <w:proofErr w:type="gramStart"/>
      <w:r w:rsidRPr="00A97F43">
        <w:rPr>
          <w:rFonts w:ascii="Palatino Linotype" w:eastAsiaTheme="minorHAnsi" w:hAnsi="Palatino Linotype" w:cs="Arial"/>
          <w:lang w:val="es-MX" w:eastAsia="en-US"/>
        </w:rPr>
        <w:t>fracción</w:t>
      </w:r>
      <w:proofErr w:type="gramEnd"/>
      <w:r w:rsidRPr="00A97F43">
        <w:rPr>
          <w:rFonts w:ascii="Palatino Linotype" w:eastAsiaTheme="minorHAnsi" w:hAnsi="Palatino Linotype" w:cs="Arial"/>
          <w:lang w:val="es-MX" w:eastAsia="en-US"/>
        </w:rPr>
        <w:t xml:space="preserve"> II de la Ley de Transparencia y Acceso a la Información Pública del Estado de México y Municipios, en el que funde y motive la clasificación de los datos contenidos en la información proporcionada.</w:t>
      </w:r>
    </w:p>
    <w:p w:rsidR="000B5E25" w:rsidRPr="00A97F43" w:rsidRDefault="000B5E25" w:rsidP="000B5E25">
      <w:pPr>
        <w:spacing w:line="360" w:lineRule="auto"/>
        <w:jc w:val="both"/>
        <w:rPr>
          <w:rFonts w:ascii="Palatino Linotype" w:eastAsiaTheme="minorHAnsi" w:hAnsi="Palatino Linotype" w:cs="Arial"/>
          <w:lang w:val="es-MX" w:eastAsia="en-US"/>
        </w:rPr>
      </w:pPr>
    </w:p>
    <w:p w:rsidR="000B5E25" w:rsidRPr="00A97F43"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15 (quince)</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0B5E25" w:rsidRPr="00A97F43"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p>
    <w:p w:rsidR="000B5E25" w:rsidRPr="00A97F43" w:rsidRDefault="000B5E25" w:rsidP="000B5E25">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Pr>
          <w:rFonts w:ascii="Palatino Linotype" w:hAnsi="Palatino Linotype" w:cs="Arial"/>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0B5E25" w:rsidRPr="00A97F43" w:rsidRDefault="000B5E25" w:rsidP="000B5E25">
      <w:pPr>
        <w:autoSpaceDE w:val="0"/>
        <w:autoSpaceDN w:val="0"/>
        <w:adjustRightInd w:val="0"/>
        <w:spacing w:line="360" w:lineRule="auto"/>
        <w:jc w:val="both"/>
        <w:rPr>
          <w:rFonts w:ascii="Palatino Linotype" w:hAnsi="Palatino Linotype" w:cs="Arial"/>
          <w:lang w:val="es-MX"/>
        </w:rPr>
      </w:pPr>
    </w:p>
    <w:p w:rsidR="000B5E25"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w:t>
      </w:r>
      <w:r w:rsidR="006B321A" w:rsidRPr="00A97F43">
        <w:rPr>
          <w:rFonts w:ascii="Palatino Linotype" w:eastAsiaTheme="minorHAnsi" w:hAnsi="Palatino Linotype" w:cs="Arial"/>
          <w:lang w:val="es-MX" w:eastAsia="en-US"/>
        </w:rPr>
        <w:t>S</w:t>
      </w:r>
      <w:r w:rsidR="006B321A">
        <w:rPr>
          <w:rFonts w:ascii="Palatino Linotype" w:eastAsiaTheme="minorHAnsi" w:hAnsi="Palatino Linotype" w:cs="Arial"/>
          <w:lang w:val="es-MX" w:eastAsia="en-US"/>
        </w:rPr>
        <w:t xml:space="preserve">istema de </w:t>
      </w:r>
      <w:r w:rsidR="006B321A" w:rsidRPr="00A97F43">
        <w:rPr>
          <w:rFonts w:ascii="Palatino Linotype" w:eastAsiaTheme="minorHAnsi" w:hAnsi="Palatino Linotype" w:cs="Arial"/>
          <w:lang w:val="es-MX" w:eastAsia="en-US"/>
        </w:rPr>
        <w:t>A</w:t>
      </w:r>
      <w:r w:rsidR="006B321A">
        <w:rPr>
          <w:rFonts w:ascii="Palatino Linotype" w:eastAsiaTheme="minorHAnsi" w:hAnsi="Palatino Linotype" w:cs="Arial"/>
          <w:lang w:val="es-MX" w:eastAsia="en-US"/>
        </w:rPr>
        <w:t xml:space="preserve">cceso a la </w:t>
      </w:r>
      <w:r w:rsidR="006B321A" w:rsidRPr="00A97F43">
        <w:rPr>
          <w:rFonts w:ascii="Palatino Linotype" w:eastAsiaTheme="minorHAnsi" w:hAnsi="Palatino Linotype" w:cs="Arial"/>
          <w:lang w:val="es-MX" w:eastAsia="en-US"/>
        </w:rPr>
        <w:t>I</w:t>
      </w:r>
      <w:r w:rsidR="006B321A">
        <w:rPr>
          <w:rFonts w:ascii="Palatino Linotype" w:eastAsiaTheme="minorHAnsi" w:hAnsi="Palatino Linotype" w:cs="Arial"/>
          <w:lang w:val="es-MX" w:eastAsia="en-US"/>
        </w:rPr>
        <w:t xml:space="preserve">nformación </w:t>
      </w:r>
      <w:r w:rsidR="006B321A" w:rsidRPr="00A97F43">
        <w:rPr>
          <w:rFonts w:ascii="Palatino Linotype" w:eastAsiaTheme="minorHAnsi" w:hAnsi="Palatino Linotype" w:cs="Arial"/>
          <w:lang w:val="es-MX" w:eastAsia="en-US"/>
        </w:rPr>
        <w:t>M</w:t>
      </w:r>
      <w:r w:rsidR="006B321A">
        <w:rPr>
          <w:rFonts w:ascii="Palatino Linotype" w:eastAsiaTheme="minorHAnsi" w:hAnsi="Palatino Linotype" w:cs="Arial"/>
          <w:lang w:val="es-MX" w:eastAsia="en-US"/>
        </w:rPr>
        <w:t>exiquense (SAIMEX)</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w:t>
      </w:r>
      <w:r w:rsidRPr="00A97F43">
        <w:rPr>
          <w:rFonts w:ascii="Palatino Linotype" w:eastAsiaTheme="minorHAnsi" w:hAnsi="Palatino Linotype" w:cs="Arial"/>
          <w:lang w:val="es-MX" w:eastAsia="en-US"/>
        </w:rPr>
        <w:lastRenderedPageBreak/>
        <w:t>a la Información Pública del Estado de México y Municipios podrá promover el Juicio de Amparo en los términos de las leyes aplicables.</w:t>
      </w:r>
    </w:p>
    <w:p w:rsidR="000B5E25"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p>
    <w:p w:rsidR="000B5E25" w:rsidRDefault="000B5E25" w:rsidP="000B5E25">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Pr="006B321A">
        <w:rPr>
          <w:rFonts w:ascii="Palatino Linotype" w:eastAsiaTheme="minorHAnsi" w:hAnsi="Palatino Linotype" w:cs="Arial"/>
          <w:lang w:val="es-MX" w:eastAsia="en-US"/>
        </w:rPr>
        <w:t xml:space="preserve">TRIGÉSIMA </w:t>
      </w:r>
      <w:r w:rsidR="006B321A" w:rsidRPr="006B321A">
        <w:rPr>
          <w:rFonts w:ascii="Palatino Linotype" w:eastAsiaTheme="minorHAnsi" w:hAnsi="Palatino Linotype" w:cs="Arial"/>
          <w:lang w:val="es-MX" w:eastAsia="en-US"/>
        </w:rPr>
        <w:t>CUARTA</w:t>
      </w:r>
      <w:r w:rsidRPr="006B321A">
        <w:rPr>
          <w:rFonts w:ascii="Palatino Linotype" w:eastAsiaTheme="minorHAnsi" w:hAnsi="Palatino Linotype" w:cs="Arial"/>
          <w:lang w:val="es-MX" w:eastAsia="en-US"/>
        </w:rPr>
        <w:t xml:space="preserve"> SESIÓN ORDINARIA CELEBRADA EL </w:t>
      </w:r>
      <w:r w:rsidR="006B321A" w:rsidRPr="006B321A">
        <w:rPr>
          <w:rFonts w:ascii="Palatino Linotype" w:eastAsiaTheme="minorHAnsi" w:hAnsi="Palatino Linotype" w:cs="Arial"/>
          <w:lang w:val="es-MX" w:eastAsia="en-US"/>
        </w:rPr>
        <w:t xml:space="preserve">VEINTINUEVE </w:t>
      </w:r>
      <w:r w:rsidRPr="006B321A">
        <w:rPr>
          <w:rFonts w:ascii="Palatino Linotype" w:eastAsiaTheme="minorHAnsi" w:hAnsi="Palatino Linotype" w:cs="Arial"/>
          <w:lang w:val="es-MX" w:eastAsia="en-US"/>
        </w:rPr>
        <w:t>DE SEPTIEMBRE 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rsidR="000B5E25" w:rsidRDefault="000B5E25" w:rsidP="000B5E25">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9F62C3" w:rsidRDefault="009F62C3" w:rsidP="009F62C3">
      <w:pPr>
        <w:spacing w:line="360" w:lineRule="auto"/>
        <w:jc w:val="both"/>
        <w:rPr>
          <w:rFonts w:ascii="Palatino Linotype" w:hAnsi="Palatino Linotype" w:cs="Arial"/>
        </w:rPr>
      </w:pPr>
      <w:r>
        <w:rPr>
          <w:rFonts w:ascii="Palatino Linotype" w:hAnsi="Palatino Linotype" w:cs="Arial"/>
        </w:rPr>
        <w:t>------------------------------------------------------------------------------------------------------------------</w:t>
      </w:r>
    </w:p>
    <w:p w:rsidR="000B5E25" w:rsidRPr="00DE4568" w:rsidRDefault="00B31853" w:rsidP="000B5E25">
      <w:pPr>
        <w:spacing w:line="360" w:lineRule="auto"/>
        <w:jc w:val="both"/>
        <w:rPr>
          <w:rFonts w:ascii="Palatino Linotype" w:hAnsi="Palatino Linotype" w:cs="Arial"/>
          <w:sz w:val="20"/>
        </w:rPr>
      </w:pPr>
      <w:r>
        <w:rPr>
          <w:rFonts w:ascii="Palatino Linotype" w:hAnsi="Palatino Linotype" w:cs="Arial"/>
          <w:sz w:val="20"/>
        </w:rPr>
        <w:t>CCR/</w:t>
      </w:r>
      <w:r w:rsidR="000B5E25" w:rsidRPr="00DE4568">
        <w:rPr>
          <w:rFonts w:ascii="Palatino Linotype" w:hAnsi="Palatino Linotype" w:cs="Arial"/>
          <w:sz w:val="20"/>
        </w:rPr>
        <w:t>HAP</w:t>
      </w:r>
    </w:p>
    <w:p w:rsidR="000B5E25" w:rsidRDefault="000B5E25" w:rsidP="000B5E25">
      <w:pPr>
        <w:spacing w:line="360" w:lineRule="auto"/>
        <w:jc w:val="both"/>
        <w:rPr>
          <w:rFonts w:ascii="Palatino Linotype" w:hAnsi="Palatino Linotype" w:cs="Arial"/>
        </w:rPr>
      </w:pPr>
    </w:p>
    <w:p w:rsidR="000B5E25" w:rsidRDefault="000B5E25" w:rsidP="000B5E25">
      <w:pPr>
        <w:spacing w:line="360" w:lineRule="auto"/>
        <w:jc w:val="both"/>
        <w:rPr>
          <w:rFonts w:ascii="Palatino Linotype" w:hAnsi="Palatino Linotype" w:cs="Arial"/>
        </w:rPr>
      </w:pPr>
    </w:p>
    <w:p w:rsidR="000B5E25" w:rsidRDefault="000B5E25" w:rsidP="000B5E25">
      <w:pPr>
        <w:spacing w:line="360" w:lineRule="auto"/>
        <w:jc w:val="both"/>
        <w:rPr>
          <w:rFonts w:ascii="Palatino Linotype" w:hAnsi="Palatino Linotype" w:cs="Arial"/>
        </w:rPr>
      </w:pPr>
    </w:p>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EF5006" w:rsidRDefault="007D0119"/>
    <w:sectPr w:rsidR="00EF5006" w:rsidSect="00203650">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19" w:rsidRDefault="007D0119" w:rsidP="000B5E25">
      <w:r>
        <w:separator/>
      </w:r>
    </w:p>
  </w:endnote>
  <w:endnote w:type="continuationSeparator" w:id="0">
    <w:p w:rsidR="007D0119" w:rsidRDefault="007D011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52" w:rsidRPr="00A2780F" w:rsidRDefault="005C6646"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2C5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2C5C">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52" w:rsidRPr="00070856" w:rsidRDefault="005C6646"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2C5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2C5C">
      <w:rPr>
        <w:rFonts w:ascii="Arial" w:hAnsi="Arial" w:cs="Arial"/>
        <w:b/>
        <w:bCs/>
        <w:noProof/>
        <w:sz w:val="20"/>
        <w:szCs w:val="20"/>
      </w:rPr>
      <w:t>23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19" w:rsidRDefault="007D0119" w:rsidP="000B5E25">
      <w:r>
        <w:separator/>
      </w:r>
    </w:p>
  </w:footnote>
  <w:footnote w:type="continuationSeparator" w:id="0">
    <w:p w:rsidR="007D0119" w:rsidRDefault="007D0119" w:rsidP="000B5E25">
      <w:r>
        <w:continuationSeparator/>
      </w:r>
    </w:p>
  </w:footnote>
  <w:footnote w:id="1">
    <w:p w:rsidR="000B5E25" w:rsidRPr="00946E1F" w:rsidRDefault="000B5E25" w:rsidP="000B5E2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B5E25" w:rsidRPr="00CC03D4" w:rsidRDefault="000B5E25" w:rsidP="000B5E25">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0B5E25" w:rsidRPr="00CC03D4" w:rsidRDefault="000B5E25" w:rsidP="000B5E25">
      <w:pPr>
        <w:pStyle w:val="Textonotapie"/>
        <w:jc w:val="both"/>
        <w:rPr>
          <w:rFonts w:ascii="Palatino Linotype" w:hAnsi="Palatino Linotype"/>
          <w:i/>
        </w:rPr>
      </w:pPr>
      <w:r w:rsidRPr="00CC03D4">
        <w:rPr>
          <w:rFonts w:ascii="Palatino Linotype" w:hAnsi="Palatino Linotype"/>
          <w:i/>
        </w:rPr>
        <w:t>(…)</w:t>
      </w:r>
    </w:p>
    <w:p w:rsidR="000B5E25" w:rsidRDefault="00B01BD5" w:rsidP="000B5E25">
      <w:pPr>
        <w:pStyle w:val="Textonotapie"/>
        <w:jc w:val="both"/>
        <w:rPr>
          <w:rFonts w:ascii="Palatino Linotype" w:hAnsi="Palatino Linotype"/>
          <w:i/>
        </w:rPr>
      </w:pPr>
      <w:r w:rsidRPr="00B01BD5">
        <w:rPr>
          <w:rFonts w:ascii="Palatino Linotype" w:hAnsi="Palatino Linotype"/>
          <w:b/>
          <w:i/>
        </w:rPr>
        <w:t xml:space="preserve">VI. </w:t>
      </w:r>
      <w:r w:rsidRPr="00B01BD5">
        <w:rPr>
          <w:rFonts w:ascii="Palatino Linotype" w:hAnsi="Palatino Linotype"/>
          <w:i/>
        </w:rPr>
        <w:t>La entrega de información que no corresponda con lo solicitado</w:t>
      </w:r>
      <w:r>
        <w:rPr>
          <w:rFonts w:ascii="Palatino Linotype" w:hAnsi="Palatino Linotype"/>
          <w:i/>
        </w:rPr>
        <w:t>;</w:t>
      </w:r>
    </w:p>
    <w:p w:rsidR="00B01BD5" w:rsidRPr="009E21AC" w:rsidRDefault="00B01BD5" w:rsidP="000B5E25">
      <w:pPr>
        <w:pStyle w:val="Textonotapie"/>
        <w:jc w:val="both"/>
      </w:pPr>
    </w:p>
  </w:footnote>
  <w:footnote w:id="3">
    <w:p w:rsidR="000B5E25" w:rsidRPr="00A8601B" w:rsidRDefault="000B5E25" w:rsidP="000B5E25">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0B5E25" w:rsidRPr="00A8601B" w:rsidRDefault="000B5E25" w:rsidP="000B5E25">
      <w:pPr>
        <w:pStyle w:val="Textonotapie"/>
        <w:jc w:val="both"/>
        <w:rPr>
          <w:rFonts w:ascii="Palatino Linotype" w:hAnsi="Palatino Linotype"/>
          <w:i/>
        </w:rPr>
      </w:pPr>
    </w:p>
    <w:p w:rsidR="000B5E25" w:rsidRPr="00A8601B" w:rsidRDefault="000B5E25" w:rsidP="000B5E25">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B5E25" w:rsidRPr="00A8601B" w:rsidRDefault="000B5E25" w:rsidP="000B5E25">
      <w:pPr>
        <w:pStyle w:val="Textonotapie"/>
        <w:jc w:val="both"/>
        <w:rPr>
          <w:rFonts w:ascii="Palatino Linotype" w:hAnsi="Palatino Linotype"/>
          <w:i/>
        </w:rPr>
      </w:pPr>
      <w:r w:rsidRPr="00A8601B">
        <w:rPr>
          <w:rFonts w:ascii="Palatino Linotype" w:hAnsi="Palatino Linotype"/>
          <w:i/>
        </w:rPr>
        <w:t>[…]</w:t>
      </w:r>
    </w:p>
    <w:p w:rsidR="000B5E25" w:rsidRPr="00A8601B" w:rsidRDefault="000B5E25" w:rsidP="000B5E25">
      <w:pPr>
        <w:pStyle w:val="Textonotapie"/>
        <w:jc w:val="both"/>
        <w:rPr>
          <w:rFonts w:ascii="Palatino Linotype" w:hAnsi="Palatino Linotype"/>
          <w:i/>
        </w:rPr>
      </w:pPr>
    </w:p>
    <w:p w:rsidR="000B5E25" w:rsidRPr="00A8601B" w:rsidRDefault="000B5E25" w:rsidP="000B5E25">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B5E25" w:rsidRPr="00A8601B" w:rsidRDefault="000B5E25" w:rsidP="000B5E25">
      <w:pPr>
        <w:pStyle w:val="Textonotapie"/>
        <w:jc w:val="both"/>
        <w:rPr>
          <w:rFonts w:ascii="Palatino Linotype" w:hAnsi="Palatino Linotype"/>
          <w:i/>
        </w:rPr>
      </w:pPr>
    </w:p>
    <w:p w:rsidR="000B5E25" w:rsidRPr="00A8601B" w:rsidRDefault="000B5E25" w:rsidP="000B5E25">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0B5E25" w:rsidRDefault="000B5E25" w:rsidP="000B5E25">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C7" w:rsidRDefault="007D011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1817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835"/>
      <w:gridCol w:w="3260"/>
    </w:tblGrid>
    <w:tr w:rsidR="007D7352" w:rsidRPr="008F2CCC" w:rsidTr="005C08C7">
      <w:tc>
        <w:tcPr>
          <w:tcW w:w="2835" w:type="dxa"/>
          <w:shd w:val="clear" w:color="auto" w:fill="auto"/>
        </w:tcPr>
        <w:p w:rsidR="007D7352" w:rsidRPr="00807CDA" w:rsidRDefault="005C6646" w:rsidP="00203650">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260" w:type="dxa"/>
          <w:shd w:val="clear" w:color="auto" w:fill="auto"/>
          <w:vAlign w:val="center"/>
        </w:tcPr>
        <w:p w:rsidR="007D7352" w:rsidRPr="00664658" w:rsidRDefault="005C6646" w:rsidP="000B5E25">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0B5E25">
            <w:rPr>
              <w:rFonts w:ascii="Palatino Linotype" w:hAnsi="Palatino Linotype"/>
              <w:b/>
              <w:sz w:val="22"/>
              <w:szCs w:val="22"/>
              <w:lang w:val="es-ES_tradnl"/>
            </w:rPr>
            <w:t>4015</w:t>
          </w:r>
          <w:r>
            <w:rPr>
              <w:rFonts w:ascii="Palatino Linotype" w:hAnsi="Palatino Linotype"/>
              <w:b/>
              <w:sz w:val="22"/>
              <w:szCs w:val="22"/>
              <w:lang w:val="es-ES_tradnl"/>
            </w:rPr>
            <w:t>/INFOEM/IP/RR/2021</w:t>
          </w:r>
        </w:p>
      </w:tc>
    </w:tr>
    <w:tr w:rsidR="007D7352" w:rsidRPr="008F2CCC" w:rsidTr="005C08C7">
      <w:tc>
        <w:tcPr>
          <w:tcW w:w="2835" w:type="dxa"/>
          <w:shd w:val="clear" w:color="auto" w:fill="auto"/>
        </w:tcPr>
        <w:p w:rsidR="007D7352" w:rsidRPr="00807CDA" w:rsidRDefault="005C6646" w:rsidP="00203650">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260" w:type="dxa"/>
          <w:shd w:val="clear" w:color="auto" w:fill="auto"/>
          <w:vAlign w:val="center"/>
        </w:tcPr>
        <w:p w:rsidR="007D7352" w:rsidRPr="00664658" w:rsidRDefault="000B5E25" w:rsidP="00203650">
          <w:pPr>
            <w:spacing w:line="276" w:lineRule="auto"/>
            <w:jc w:val="right"/>
            <w:rPr>
              <w:rFonts w:ascii="Palatino Linotype" w:hAnsi="Palatino Linotype"/>
              <w:b/>
              <w:sz w:val="22"/>
              <w:szCs w:val="22"/>
              <w:lang w:val="es-ES_tradnl"/>
            </w:rPr>
          </w:pPr>
          <w:r w:rsidRPr="000B5E25">
            <w:rPr>
              <w:rFonts w:ascii="Palatino Linotype" w:hAnsi="Palatino Linotype"/>
              <w:b/>
              <w:sz w:val="22"/>
              <w:szCs w:val="22"/>
            </w:rPr>
            <w:t>Ayuntamiento de Ixtlahuaca</w:t>
          </w:r>
        </w:p>
      </w:tc>
    </w:tr>
    <w:tr w:rsidR="007D7352" w:rsidRPr="008F2CCC" w:rsidTr="005C08C7">
      <w:trPr>
        <w:trHeight w:val="228"/>
      </w:trPr>
      <w:tc>
        <w:tcPr>
          <w:tcW w:w="2835" w:type="dxa"/>
          <w:shd w:val="clear" w:color="auto" w:fill="auto"/>
        </w:tcPr>
        <w:p w:rsidR="007D7352" w:rsidRPr="00807CDA" w:rsidRDefault="005C6646" w:rsidP="008F7D14">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260" w:type="dxa"/>
          <w:shd w:val="clear" w:color="auto" w:fill="auto"/>
        </w:tcPr>
        <w:p w:rsidR="007D7352" w:rsidRPr="00664658" w:rsidRDefault="005C6646" w:rsidP="0020365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D7352" w:rsidRPr="001779E0" w:rsidRDefault="007D0119" w:rsidP="00203650">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181783" o:spid="_x0000_s2051" type="#_x0000_t75" style="position:absolute;margin-left:-85.1pt;margin-top:-99.1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1985" w:type="dxa"/>
      <w:tblLayout w:type="fixed"/>
      <w:tblLook w:val="04A0" w:firstRow="1" w:lastRow="0" w:firstColumn="1" w:lastColumn="0" w:noHBand="0" w:noVBand="1"/>
    </w:tblPr>
    <w:tblGrid>
      <w:gridCol w:w="2410"/>
      <w:gridCol w:w="4677"/>
    </w:tblGrid>
    <w:tr w:rsidR="007D7352" w:rsidRPr="008F2CCC" w:rsidTr="005C08C7">
      <w:tc>
        <w:tcPr>
          <w:tcW w:w="2410" w:type="dxa"/>
          <w:shd w:val="clear" w:color="auto" w:fill="auto"/>
        </w:tcPr>
        <w:p w:rsidR="007D7352" w:rsidRPr="00807CDA" w:rsidRDefault="005C6646" w:rsidP="00203650">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77" w:type="dxa"/>
          <w:shd w:val="clear" w:color="auto" w:fill="auto"/>
          <w:vAlign w:val="center"/>
        </w:tcPr>
        <w:p w:rsidR="007D7352" w:rsidRPr="008F2CCC" w:rsidRDefault="005C6646" w:rsidP="000B5E2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0B5E25">
            <w:rPr>
              <w:rFonts w:ascii="Palatino Linotype" w:hAnsi="Palatino Linotype"/>
              <w:b/>
              <w:sz w:val="22"/>
              <w:szCs w:val="22"/>
              <w:lang w:val="es-ES_tradnl"/>
            </w:rPr>
            <w:t>4015</w:t>
          </w:r>
          <w:r>
            <w:rPr>
              <w:rFonts w:ascii="Palatino Linotype" w:hAnsi="Palatino Linotype"/>
              <w:b/>
              <w:sz w:val="22"/>
              <w:szCs w:val="22"/>
              <w:lang w:val="es-ES_tradnl"/>
            </w:rPr>
            <w:t>/INFOEM/IP/RR/2021</w:t>
          </w:r>
        </w:p>
      </w:tc>
    </w:tr>
    <w:tr w:rsidR="007D7352" w:rsidRPr="008F2CCC" w:rsidTr="005C08C7">
      <w:tc>
        <w:tcPr>
          <w:tcW w:w="2410" w:type="dxa"/>
          <w:shd w:val="clear" w:color="auto" w:fill="auto"/>
          <w:vAlign w:val="center"/>
        </w:tcPr>
        <w:p w:rsidR="007D7352" w:rsidRPr="00807CDA" w:rsidRDefault="005C6646"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77" w:type="dxa"/>
          <w:shd w:val="clear" w:color="auto" w:fill="auto"/>
          <w:vAlign w:val="center"/>
        </w:tcPr>
        <w:p w:rsidR="007D7352" w:rsidRPr="008F2CCC" w:rsidRDefault="000F2C5C" w:rsidP="00203650">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w:t>
          </w:r>
          <w:proofErr w:type="spellEnd"/>
        </w:p>
      </w:tc>
    </w:tr>
    <w:tr w:rsidR="007D7352" w:rsidRPr="008F2CCC" w:rsidTr="005C08C7">
      <w:trPr>
        <w:trHeight w:val="228"/>
      </w:trPr>
      <w:tc>
        <w:tcPr>
          <w:tcW w:w="2410" w:type="dxa"/>
          <w:shd w:val="clear" w:color="auto" w:fill="auto"/>
        </w:tcPr>
        <w:p w:rsidR="007D7352" w:rsidRPr="00807CDA" w:rsidRDefault="005C6646"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77" w:type="dxa"/>
          <w:shd w:val="clear" w:color="auto" w:fill="auto"/>
          <w:vAlign w:val="center"/>
        </w:tcPr>
        <w:p w:rsidR="007D7352" w:rsidRPr="00DC41C8" w:rsidRDefault="000B5E25" w:rsidP="00203650">
          <w:pPr>
            <w:spacing w:line="360" w:lineRule="auto"/>
            <w:jc w:val="right"/>
            <w:rPr>
              <w:rFonts w:ascii="Palatino Linotype" w:hAnsi="Palatino Linotype"/>
              <w:b/>
              <w:sz w:val="22"/>
              <w:szCs w:val="22"/>
            </w:rPr>
          </w:pPr>
          <w:r w:rsidRPr="000B5E25">
            <w:rPr>
              <w:rFonts w:ascii="Palatino Linotype" w:hAnsi="Palatino Linotype"/>
              <w:b/>
              <w:sz w:val="22"/>
              <w:szCs w:val="22"/>
            </w:rPr>
            <w:t>Ayuntamiento de Ixtlahuaca</w:t>
          </w:r>
        </w:p>
      </w:tc>
    </w:tr>
    <w:tr w:rsidR="007D7352" w:rsidRPr="008F2CCC" w:rsidTr="005C08C7">
      <w:tc>
        <w:tcPr>
          <w:tcW w:w="2410" w:type="dxa"/>
          <w:shd w:val="clear" w:color="auto" w:fill="auto"/>
        </w:tcPr>
        <w:p w:rsidR="007D7352" w:rsidRPr="00807CDA" w:rsidRDefault="005C6646" w:rsidP="008F7D14">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77" w:type="dxa"/>
          <w:shd w:val="clear" w:color="auto" w:fill="auto"/>
        </w:tcPr>
        <w:p w:rsidR="007D7352" w:rsidRPr="008F2CCC" w:rsidRDefault="005C6646" w:rsidP="002036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D7352" w:rsidRPr="009F1AB6" w:rsidRDefault="007D0119">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181781" o:spid="_x0000_s2049" type="#_x0000_t75" style="position:absolute;margin-left:-84.35pt;margin-top:-119.6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B5E25"/>
    <w:rsid w:val="000F2C5C"/>
    <w:rsid w:val="00123996"/>
    <w:rsid w:val="0020249A"/>
    <w:rsid w:val="002A4B43"/>
    <w:rsid w:val="002C0BE5"/>
    <w:rsid w:val="002E3085"/>
    <w:rsid w:val="00307006"/>
    <w:rsid w:val="003B1C85"/>
    <w:rsid w:val="00442FD8"/>
    <w:rsid w:val="005A6216"/>
    <w:rsid w:val="005B36A8"/>
    <w:rsid w:val="005C08C7"/>
    <w:rsid w:val="005C6646"/>
    <w:rsid w:val="006B321A"/>
    <w:rsid w:val="006B418F"/>
    <w:rsid w:val="006F5F93"/>
    <w:rsid w:val="007D0119"/>
    <w:rsid w:val="00852668"/>
    <w:rsid w:val="008C3B24"/>
    <w:rsid w:val="00901487"/>
    <w:rsid w:val="009B23B7"/>
    <w:rsid w:val="009F62C3"/>
    <w:rsid w:val="00AE1A47"/>
    <w:rsid w:val="00B01BD5"/>
    <w:rsid w:val="00B05B83"/>
    <w:rsid w:val="00B31853"/>
    <w:rsid w:val="00B8098B"/>
    <w:rsid w:val="00BD14B3"/>
    <w:rsid w:val="00D4431A"/>
    <w:rsid w:val="00EA61B9"/>
    <w:rsid w:val="00F8513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6102</Words>
  <Characters>33566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2021-09-10T16:35:00Z</dcterms:created>
  <dcterms:modified xsi:type="dcterms:W3CDTF">2021-10-07T20:19:00Z</dcterms:modified>
</cp:coreProperties>
</file>