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FDB85" w14:textId="77777777" w:rsidR="009B3353" w:rsidRPr="00481B31" w:rsidRDefault="009B3353" w:rsidP="000C1184">
      <w:pPr>
        <w:tabs>
          <w:tab w:val="left" w:pos="0"/>
          <w:tab w:val="left" w:pos="3720"/>
          <w:tab w:val="center" w:pos="4419"/>
        </w:tabs>
        <w:spacing w:line="360" w:lineRule="auto"/>
        <w:jc w:val="center"/>
        <w:rPr>
          <w:rFonts w:ascii="Palatino Linotype" w:eastAsia="MS Mincho" w:hAnsi="Palatino Linotype"/>
          <w:lang w:val="es-ES_tradnl"/>
        </w:rPr>
      </w:pPr>
      <w:r w:rsidRPr="00481B31">
        <w:rPr>
          <w:rFonts w:ascii="Palatino Linotype" w:eastAsia="MS Mincho" w:hAnsi="Palatino Linotype"/>
          <w:b/>
          <w:lang w:val="es-ES_tradnl"/>
        </w:rPr>
        <w:t>ÍNDICE</w:t>
      </w:r>
      <w:r w:rsidRPr="00481B31">
        <w:rPr>
          <w:rFonts w:ascii="Palatino Linotype" w:eastAsia="MS Mincho" w:hAnsi="Palatino Linotype"/>
          <w:lang w:val="es-ES_tradnl"/>
        </w:rPr>
        <w:t>.</w:t>
      </w:r>
    </w:p>
    <w:sdt>
      <w:sdtPr>
        <w:rPr>
          <w:rFonts w:ascii="Palatino Linotype" w:eastAsia="Calibri" w:hAnsi="Palatino Linotype"/>
          <w:b/>
          <w:lang w:eastAsia="en-US"/>
        </w:rPr>
        <w:id w:val="-1091387415"/>
        <w:docPartObj>
          <w:docPartGallery w:val="Table of Contents"/>
          <w:docPartUnique/>
        </w:docPartObj>
      </w:sdtPr>
      <w:sdtEndPr>
        <w:rPr>
          <w:bCs/>
        </w:rPr>
      </w:sdtEndPr>
      <w:sdtContent>
        <w:p w14:paraId="2D557F05" w14:textId="77777777" w:rsidR="009B3353" w:rsidRPr="00481B31" w:rsidRDefault="009B3353" w:rsidP="000C1184">
          <w:pPr>
            <w:keepNext/>
            <w:keepLines/>
            <w:tabs>
              <w:tab w:val="left" w:pos="0"/>
            </w:tabs>
            <w:spacing w:line="360" w:lineRule="auto"/>
            <w:rPr>
              <w:rFonts w:ascii="Palatino Linotype" w:hAnsi="Palatino Linotype"/>
              <w:b/>
              <w:color w:val="000000" w:themeColor="text1"/>
              <w:lang w:val="es-MX" w:eastAsia="es-MX"/>
            </w:rPr>
          </w:pPr>
        </w:p>
        <w:p w14:paraId="1AC874F2" w14:textId="77777777" w:rsidR="00CC00CA" w:rsidRDefault="009B3353" w:rsidP="00CC00CA">
          <w:pPr>
            <w:pStyle w:val="TDC1"/>
            <w:tabs>
              <w:tab w:val="right" w:leader="dot" w:pos="8828"/>
            </w:tabs>
            <w:spacing w:after="0"/>
            <w:rPr>
              <w:rFonts w:asciiTheme="minorHAnsi" w:eastAsiaTheme="minorEastAsia" w:hAnsiTheme="minorHAnsi" w:cstheme="minorBidi"/>
              <w:noProof/>
              <w:sz w:val="22"/>
              <w:szCs w:val="22"/>
              <w:lang w:val="es-MX" w:eastAsia="es-MX"/>
            </w:rPr>
          </w:pPr>
          <w:r w:rsidRPr="00481B31">
            <w:rPr>
              <w:rFonts w:ascii="Palatino Linotype" w:eastAsia="Calibri" w:hAnsi="Palatino Linotype"/>
              <w:color w:val="000000" w:themeColor="text1"/>
              <w:lang w:val="es-MX" w:eastAsia="en-US"/>
            </w:rPr>
            <w:fldChar w:fldCharType="begin"/>
          </w:r>
          <w:r w:rsidRPr="00481B31">
            <w:rPr>
              <w:rFonts w:ascii="Palatino Linotype" w:eastAsia="Calibri" w:hAnsi="Palatino Linotype"/>
              <w:color w:val="000000" w:themeColor="text1"/>
              <w:lang w:val="es-MX" w:eastAsia="en-US"/>
            </w:rPr>
            <w:instrText xml:space="preserve"> TOC \o "1-3" \h \z \u </w:instrText>
          </w:r>
          <w:r w:rsidRPr="00481B31">
            <w:rPr>
              <w:rFonts w:ascii="Palatino Linotype" w:eastAsia="Calibri" w:hAnsi="Palatino Linotype"/>
              <w:color w:val="000000" w:themeColor="text1"/>
              <w:lang w:val="es-MX" w:eastAsia="en-US"/>
            </w:rPr>
            <w:fldChar w:fldCharType="separate"/>
          </w:r>
          <w:hyperlink w:anchor="_Toc85137155" w:history="1">
            <w:r w:rsidR="00CC00CA" w:rsidRPr="0036697C">
              <w:rPr>
                <w:rStyle w:val="Hipervnculo"/>
                <w:rFonts w:ascii="Palatino Linotype" w:hAnsi="Palatino Linotype"/>
                <w:b/>
                <w:noProof/>
                <w:lang w:val="es-MX" w:eastAsia="en-US"/>
              </w:rPr>
              <w:t>ANTECEDENTES</w:t>
            </w:r>
            <w:r w:rsidR="00CC00CA">
              <w:rPr>
                <w:noProof/>
                <w:webHidden/>
              </w:rPr>
              <w:tab/>
            </w:r>
            <w:r w:rsidR="00CC00CA">
              <w:rPr>
                <w:noProof/>
                <w:webHidden/>
              </w:rPr>
              <w:fldChar w:fldCharType="begin"/>
            </w:r>
            <w:r w:rsidR="00CC00CA">
              <w:rPr>
                <w:noProof/>
                <w:webHidden/>
              </w:rPr>
              <w:instrText xml:space="preserve"> PAGEREF _Toc85137155 \h </w:instrText>
            </w:r>
            <w:r w:rsidR="00CC00CA">
              <w:rPr>
                <w:noProof/>
                <w:webHidden/>
              </w:rPr>
            </w:r>
            <w:r w:rsidR="00CC00CA">
              <w:rPr>
                <w:noProof/>
                <w:webHidden/>
              </w:rPr>
              <w:fldChar w:fldCharType="separate"/>
            </w:r>
            <w:r w:rsidR="00CC00CA">
              <w:rPr>
                <w:noProof/>
                <w:webHidden/>
              </w:rPr>
              <w:t>2</w:t>
            </w:r>
            <w:r w:rsidR="00CC00CA">
              <w:rPr>
                <w:noProof/>
                <w:webHidden/>
              </w:rPr>
              <w:fldChar w:fldCharType="end"/>
            </w:r>
          </w:hyperlink>
        </w:p>
        <w:p w14:paraId="173B2CC7" w14:textId="77777777" w:rsidR="00CC00CA" w:rsidRDefault="008C7CE0" w:rsidP="00CC00CA">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137156" w:history="1">
            <w:r w:rsidR="00CC00CA" w:rsidRPr="0036697C">
              <w:rPr>
                <w:rStyle w:val="Hipervnculo"/>
                <w:rFonts w:ascii="Palatino Linotype" w:hAnsi="Palatino Linotype"/>
                <w:b/>
                <w:noProof/>
                <w:lang w:val="es-MX" w:eastAsia="en-US"/>
              </w:rPr>
              <w:t>CONSIDERANDO</w:t>
            </w:r>
            <w:r w:rsidR="00CC00CA">
              <w:rPr>
                <w:noProof/>
                <w:webHidden/>
              </w:rPr>
              <w:tab/>
            </w:r>
            <w:r w:rsidR="00CC00CA">
              <w:rPr>
                <w:noProof/>
                <w:webHidden/>
              </w:rPr>
              <w:fldChar w:fldCharType="begin"/>
            </w:r>
            <w:r w:rsidR="00CC00CA">
              <w:rPr>
                <w:noProof/>
                <w:webHidden/>
              </w:rPr>
              <w:instrText xml:space="preserve"> PAGEREF _Toc85137156 \h </w:instrText>
            </w:r>
            <w:r w:rsidR="00CC00CA">
              <w:rPr>
                <w:noProof/>
                <w:webHidden/>
              </w:rPr>
            </w:r>
            <w:r w:rsidR="00CC00CA">
              <w:rPr>
                <w:noProof/>
                <w:webHidden/>
              </w:rPr>
              <w:fldChar w:fldCharType="separate"/>
            </w:r>
            <w:r w:rsidR="00CC00CA">
              <w:rPr>
                <w:noProof/>
                <w:webHidden/>
              </w:rPr>
              <w:t>6</w:t>
            </w:r>
            <w:r w:rsidR="00CC00CA">
              <w:rPr>
                <w:noProof/>
                <w:webHidden/>
              </w:rPr>
              <w:fldChar w:fldCharType="end"/>
            </w:r>
          </w:hyperlink>
        </w:p>
        <w:p w14:paraId="54317EFF" w14:textId="77777777" w:rsidR="00CC00CA" w:rsidRDefault="008C7CE0" w:rsidP="00CC00CA">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137157" w:history="1">
            <w:r w:rsidR="00CC00CA" w:rsidRPr="0036697C">
              <w:rPr>
                <w:rStyle w:val="Hipervnculo"/>
                <w:rFonts w:ascii="Palatino Linotype" w:hAnsi="Palatino Linotype"/>
                <w:b/>
                <w:noProof/>
                <w:lang w:val="es-MX" w:eastAsia="en-US"/>
              </w:rPr>
              <w:t>PRIMERO. De la competencia.</w:t>
            </w:r>
            <w:r w:rsidR="00CC00CA">
              <w:rPr>
                <w:noProof/>
                <w:webHidden/>
              </w:rPr>
              <w:tab/>
            </w:r>
            <w:r w:rsidR="00CC00CA">
              <w:rPr>
                <w:noProof/>
                <w:webHidden/>
              </w:rPr>
              <w:fldChar w:fldCharType="begin"/>
            </w:r>
            <w:r w:rsidR="00CC00CA">
              <w:rPr>
                <w:noProof/>
                <w:webHidden/>
              </w:rPr>
              <w:instrText xml:space="preserve"> PAGEREF _Toc85137157 \h </w:instrText>
            </w:r>
            <w:r w:rsidR="00CC00CA">
              <w:rPr>
                <w:noProof/>
                <w:webHidden/>
              </w:rPr>
            </w:r>
            <w:r w:rsidR="00CC00CA">
              <w:rPr>
                <w:noProof/>
                <w:webHidden/>
              </w:rPr>
              <w:fldChar w:fldCharType="separate"/>
            </w:r>
            <w:r w:rsidR="00CC00CA">
              <w:rPr>
                <w:noProof/>
                <w:webHidden/>
              </w:rPr>
              <w:t>7</w:t>
            </w:r>
            <w:r w:rsidR="00CC00CA">
              <w:rPr>
                <w:noProof/>
                <w:webHidden/>
              </w:rPr>
              <w:fldChar w:fldCharType="end"/>
            </w:r>
          </w:hyperlink>
        </w:p>
        <w:p w14:paraId="09E1D907" w14:textId="77777777" w:rsidR="00CC00CA" w:rsidRDefault="008C7CE0" w:rsidP="00CC00CA">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137158" w:history="1">
            <w:r w:rsidR="00CC00CA" w:rsidRPr="0036697C">
              <w:rPr>
                <w:rStyle w:val="Hipervnculo"/>
                <w:rFonts w:ascii="Palatino Linotype" w:hAnsi="Palatino Linotype"/>
                <w:b/>
                <w:noProof/>
                <w:lang w:val="es-MX" w:eastAsia="en-US"/>
              </w:rPr>
              <w:t>SEGUNDO. De la oportunidad y procedencia.</w:t>
            </w:r>
            <w:r w:rsidR="00CC00CA">
              <w:rPr>
                <w:noProof/>
                <w:webHidden/>
              </w:rPr>
              <w:tab/>
            </w:r>
            <w:r w:rsidR="00CC00CA">
              <w:rPr>
                <w:noProof/>
                <w:webHidden/>
              </w:rPr>
              <w:fldChar w:fldCharType="begin"/>
            </w:r>
            <w:r w:rsidR="00CC00CA">
              <w:rPr>
                <w:noProof/>
                <w:webHidden/>
              </w:rPr>
              <w:instrText xml:space="preserve"> PAGEREF _Toc85137158 \h </w:instrText>
            </w:r>
            <w:r w:rsidR="00CC00CA">
              <w:rPr>
                <w:noProof/>
                <w:webHidden/>
              </w:rPr>
            </w:r>
            <w:r w:rsidR="00CC00CA">
              <w:rPr>
                <w:noProof/>
                <w:webHidden/>
              </w:rPr>
              <w:fldChar w:fldCharType="separate"/>
            </w:r>
            <w:r w:rsidR="00CC00CA">
              <w:rPr>
                <w:noProof/>
                <w:webHidden/>
              </w:rPr>
              <w:t>7</w:t>
            </w:r>
            <w:r w:rsidR="00CC00CA">
              <w:rPr>
                <w:noProof/>
                <w:webHidden/>
              </w:rPr>
              <w:fldChar w:fldCharType="end"/>
            </w:r>
          </w:hyperlink>
        </w:p>
        <w:p w14:paraId="384F9399" w14:textId="77777777" w:rsidR="00CC00CA" w:rsidRDefault="008C7CE0" w:rsidP="00CC00CA">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137159" w:history="1">
            <w:r w:rsidR="00CC00CA" w:rsidRPr="0036697C">
              <w:rPr>
                <w:rStyle w:val="Hipervnculo"/>
                <w:rFonts w:ascii="Palatino Linotype" w:hAnsi="Palatino Linotype"/>
                <w:b/>
                <w:noProof/>
                <w:lang w:val="es-MX" w:eastAsia="en-US"/>
              </w:rPr>
              <w:t>I. De la interposición del recurso.</w:t>
            </w:r>
            <w:r w:rsidR="00CC00CA">
              <w:rPr>
                <w:noProof/>
                <w:webHidden/>
              </w:rPr>
              <w:tab/>
            </w:r>
            <w:r w:rsidR="00CC00CA">
              <w:rPr>
                <w:noProof/>
                <w:webHidden/>
              </w:rPr>
              <w:fldChar w:fldCharType="begin"/>
            </w:r>
            <w:r w:rsidR="00CC00CA">
              <w:rPr>
                <w:noProof/>
                <w:webHidden/>
              </w:rPr>
              <w:instrText xml:space="preserve"> PAGEREF _Toc85137159 \h </w:instrText>
            </w:r>
            <w:r w:rsidR="00CC00CA">
              <w:rPr>
                <w:noProof/>
                <w:webHidden/>
              </w:rPr>
            </w:r>
            <w:r w:rsidR="00CC00CA">
              <w:rPr>
                <w:noProof/>
                <w:webHidden/>
              </w:rPr>
              <w:fldChar w:fldCharType="separate"/>
            </w:r>
            <w:r w:rsidR="00CC00CA">
              <w:rPr>
                <w:noProof/>
                <w:webHidden/>
              </w:rPr>
              <w:t>7</w:t>
            </w:r>
            <w:r w:rsidR="00CC00CA">
              <w:rPr>
                <w:noProof/>
                <w:webHidden/>
              </w:rPr>
              <w:fldChar w:fldCharType="end"/>
            </w:r>
          </w:hyperlink>
        </w:p>
        <w:p w14:paraId="5FDE14F2" w14:textId="77777777" w:rsidR="00CC00CA" w:rsidRDefault="008C7CE0" w:rsidP="00CC00CA">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137160" w:history="1">
            <w:r w:rsidR="00CC00CA" w:rsidRPr="0036697C">
              <w:rPr>
                <w:rStyle w:val="Hipervnculo"/>
                <w:rFonts w:ascii="Palatino Linotype" w:eastAsia="Calibri" w:hAnsi="Palatino Linotype" w:cstheme="majorBidi"/>
                <w:b/>
                <w:noProof/>
              </w:rPr>
              <w:t>II. La interposición del recurso de revisión el mismo día que se tiene conocimiento de la respuesta otorgada, no es determinante para su improcedencia.</w:t>
            </w:r>
            <w:r w:rsidR="00CC00CA">
              <w:rPr>
                <w:noProof/>
                <w:webHidden/>
              </w:rPr>
              <w:tab/>
            </w:r>
            <w:r w:rsidR="00CC00CA">
              <w:rPr>
                <w:noProof/>
                <w:webHidden/>
              </w:rPr>
              <w:fldChar w:fldCharType="begin"/>
            </w:r>
            <w:r w:rsidR="00CC00CA">
              <w:rPr>
                <w:noProof/>
                <w:webHidden/>
              </w:rPr>
              <w:instrText xml:space="preserve"> PAGEREF _Toc85137160 \h </w:instrText>
            </w:r>
            <w:r w:rsidR="00CC00CA">
              <w:rPr>
                <w:noProof/>
                <w:webHidden/>
              </w:rPr>
            </w:r>
            <w:r w:rsidR="00CC00CA">
              <w:rPr>
                <w:noProof/>
                <w:webHidden/>
              </w:rPr>
              <w:fldChar w:fldCharType="separate"/>
            </w:r>
            <w:r w:rsidR="00CC00CA">
              <w:rPr>
                <w:noProof/>
                <w:webHidden/>
              </w:rPr>
              <w:t>8</w:t>
            </w:r>
            <w:r w:rsidR="00CC00CA">
              <w:rPr>
                <w:noProof/>
                <w:webHidden/>
              </w:rPr>
              <w:fldChar w:fldCharType="end"/>
            </w:r>
          </w:hyperlink>
        </w:p>
        <w:p w14:paraId="65D662E0" w14:textId="77777777" w:rsidR="00CC00CA" w:rsidRDefault="008C7CE0" w:rsidP="00CC00CA">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137161" w:history="1">
            <w:r w:rsidR="00CC00CA" w:rsidRPr="0036697C">
              <w:rPr>
                <w:rStyle w:val="Hipervnculo"/>
                <w:rFonts w:ascii="Palatino Linotype" w:hAnsi="Palatino Linotype"/>
                <w:b/>
                <w:noProof/>
                <w:lang w:val="es-MX" w:eastAsia="en-US"/>
              </w:rPr>
              <w:t>III. De la determinación sobre la procedibilidad del recurso.</w:t>
            </w:r>
            <w:r w:rsidR="00CC00CA">
              <w:rPr>
                <w:noProof/>
                <w:webHidden/>
              </w:rPr>
              <w:tab/>
            </w:r>
            <w:r w:rsidR="00CC00CA">
              <w:rPr>
                <w:noProof/>
                <w:webHidden/>
              </w:rPr>
              <w:fldChar w:fldCharType="begin"/>
            </w:r>
            <w:r w:rsidR="00CC00CA">
              <w:rPr>
                <w:noProof/>
                <w:webHidden/>
              </w:rPr>
              <w:instrText xml:space="preserve"> PAGEREF _Toc85137161 \h </w:instrText>
            </w:r>
            <w:r w:rsidR="00CC00CA">
              <w:rPr>
                <w:noProof/>
                <w:webHidden/>
              </w:rPr>
            </w:r>
            <w:r w:rsidR="00CC00CA">
              <w:rPr>
                <w:noProof/>
                <w:webHidden/>
              </w:rPr>
              <w:fldChar w:fldCharType="separate"/>
            </w:r>
            <w:r w:rsidR="00CC00CA">
              <w:rPr>
                <w:noProof/>
                <w:webHidden/>
              </w:rPr>
              <w:t>9</w:t>
            </w:r>
            <w:r w:rsidR="00CC00CA">
              <w:rPr>
                <w:noProof/>
                <w:webHidden/>
              </w:rPr>
              <w:fldChar w:fldCharType="end"/>
            </w:r>
          </w:hyperlink>
        </w:p>
        <w:p w14:paraId="6C9C18D8" w14:textId="77777777" w:rsidR="00CC00CA" w:rsidRDefault="008C7CE0" w:rsidP="00CC00CA">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137162" w:history="1">
            <w:r w:rsidR="00CC00CA" w:rsidRPr="0036697C">
              <w:rPr>
                <w:rStyle w:val="Hipervnculo"/>
                <w:rFonts w:ascii="Palatino Linotype" w:eastAsia="MS Mincho" w:hAnsi="Palatino Linotype"/>
                <w:b/>
                <w:noProof/>
                <w:lang w:val="es-ES_tradnl"/>
              </w:rPr>
              <w:t>TERCERO</w:t>
            </w:r>
            <w:r w:rsidR="00CC00CA" w:rsidRPr="0036697C">
              <w:rPr>
                <w:rStyle w:val="Hipervnculo"/>
                <w:rFonts w:ascii="Palatino Linotype" w:hAnsi="Palatino Linotype"/>
                <w:b/>
                <w:noProof/>
              </w:rPr>
              <w:t xml:space="preserve">. </w:t>
            </w:r>
            <w:r w:rsidR="00CC00CA" w:rsidRPr="0036697C">
              <w:rPr>
                <w:rStyle w:val="Hipervnculo"/>
                <w:rFonts w:ascii="Palatino Linotype" w:hAnsi="Palatino Linotype"/>
                <w:b/>
                <w:noProof/>
                <w:lang w:val="es-MX" w:eastAsia="en-US"/>
              </w:rPr>
              <w:t xml:space="preserve">Del planteamiento de la </w:t>
            </w:r>
            <w:r w:rsidR="00CC00CA" w:rsidRPr="0036697C">
              <w:rPr>
                <w:rStyle w:val="Hipervnculo"/>
                <w:rFonts w:ascii="Palatino Linotype" w:hAnsi="Palatino Linotype"/>
                <w:b/>
                <w:i/>
                <w:noProof/>
                <w:lang w:val="es-MX" w:eastAsia="en-US"/>
              </w:rPr>
              <w:t>Litis.</w:t>
            </w:r>
            <w:r w:rsidR="00CC00CA">
              <w:rPr>
                <w:noProof/>
                <w:webHidden/>
              </w:rPr>
              <w:tab/>
            </w:r>
            <w:r w:rsidR="00CC00CA">
              <w:rPr>
                <w:noProof/>
                <w:webHidden/>
              </w:rPr>
              <w:fldChar w:fldCharType="begin"/>
            </w:r>
            <w:r w:rsidR="00CC00CA">
              <w:rPr>
                <w:noProof/>
                <w:webHidden/>
              </w:rPr>
              <w:instrText xml:space="preserve"> PAGEREF _Toc85137162 \h </w:instrText>
            </w:r>
            <w:r w:rsidR="00CC00CA">
              <w:rPr>
                <w:noProof/>
                <w:webHidden/>
              </w:rPr>
            </w:r>
            <w:r w:rsidR="00CC00CA">
              <w:rPr>
                <w:noProof/>
                <w:webHidden/>
              </w:rPr>
              <w:fldChar w:fldCharType="separate"/>
            </w:r>
            <w:r w:rsidR="00CC00CA">
              <w:rPr>
                <w:noProof/>
                <w:webHidden/>
              </w:rPr>
              <w:t>9</w:t>
            </w:r>
            <w:r w:rsidR="00CC00CA">
              <w:rPr>
                <w:noProof/>
                <w:webHidden/>
              </w:rPr>
              <w:fldChar w:fldCharType="end"/>
            </w:r>
          </w:hyperlink>
        </w:p>
        <w:p w14:paraId="3B71FEC5" w14:textId="77777777" w:rsidR="00CC00CA" w:rsidRDefault="008C7CE0" w:rsidP="00CC00CA">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137163" w:history="1">
            <w:r w:rsidR="00CC00CA" w:rsidRPr="0036697C">
              <w:rPr>
                <w:rStyle w:val="Hipervnculo"/>
                <w:rFonts w:ascii="Palatino Linotype" w:hAnsi="Palatino Linotype"/>
                <w:b/>
                <w:noProof/>
                <w:lang w:val="es-MX" w:eastAsia="en-US"/>
              </w:rPr>
              <w:t>CUARTO. Estudio y resolución del asunto.</w:t>
            </w:r>
            <w:r w:rsidR="00CC00CA">
              <w:rPr>
                <w:noProof/>
                <w:webHidden/>
              </w:rPr>
              <w:tab/>
            </w:r>
            <w:r w:rsidR="00CC00CA">
              <w:rPr>
                <w:noProof/>
                <w:webHidden/>
              </w:rPr>
              <w:fldChar w:fldCharType="begin"/>
            </w:r>
            <w:r w:rsidR="00CC00CA">
              <w:rPr>
                <w:noProof/>
                <w:webHidden/>
              </w:rPr>
              <w:instrText xml:space="preserve"> PAGEREF _Toc85137163 \h </w:instrText>
            </w:r>
            <w:r w:rsidR="00CC00CA">
              <w:rPr>
                <w:noProof/>
                <w:webHidden/>
              </w:rPr>
            </w:r>
            <w:r w:rsidR="00CC00CA">
              <w:rPr>
                <w:noProof/>
                <w:webHidden/>
              </w:rPr>
              <w:fldChar w:fldCharType="separate"/>
            </w:r>
            <w:r w:rsidR="00CC00CA">
              <w:rPr>
                <w:noProof/>
                <w:webHidden/>
              </w:rPr>
              <w:t>11</w:t>
            </w:r>
            <w:r w:rsidR="00CC00CA">
              <w:rPr>
                <w:noProof/>
                <w:webHidden/>
              </w:rPr>
              <w:fldChar w:fldCharType="end"/>
            </w:r>
          </w:hyperlink>
        </w:p>
        <w:p w14:paraId="1F479F6A" w14:textId="092DF465" w:rsidR="00CC00CA" w:rsidRDefault="008C7CE0" w:rsidP="00CC00CA">
          <w:pPr>
            <w:pStyle w:val="TDC3"/>
            <w:tabs>
              <w:tab w:val="left" w:pos="880"/>
              <w:tab w:val="right" w:leader="dot" w:pos="8828"/>
            </w:tabs>
            <w:spacing w:after="0"/>
            <w:ind w:left="0"/>
            <w:rPr>
              <w:rFonts w:asciiTheme="minorHAnsi" w:eastAsiaTheme="minorEastAsia" w:hAnsiTheme="minorHAnsi" w:cstheme="minorBidi"/>
              <w:noProof/>
              <w:sz w:val="22"/>
              <w:szCs w:val="22"/>
              <w:lang w:val="es-MX" w:eastAsia="es-MX"/>
            </w:rPr>
          </w:pPr>
          <w:hyperlink w:anchor="_Toc85137164" w:history="1">
            <w:r w:rsidR="00CC00CA" w:rsidRPr="0036697C">
              <w:rPr>
                <w:rStyle w:val="Hipervnculo"/>
                <w:rFonts w:ascii="Palatino Linotype" w:hAnsi="Palatino Linotype"/>
                <w:b/>
                <w:bCs/>
                <w:noProof/>
                <w:lang w:val="es-MX"/>
              </w:rPr>
              <w:t>I.</w:t>
            </w:r>
            <w:r w:rsidR="00CC00CA">
              <w:rPr>
                <w:rFonts w:asciiTheme="minorHAnsi" w:eastAsiaTheme="minorEastAsia" w:hAnsiTheme="minorHAnsi" w:cstheme="minorBidi"/>
                <w:noProof/>
                <w:sz w:val="22"/>
                <w:szCs w:val="22"/>
                <w:lang w:val="es-MX" w:eastAsia="es-MX"/>
              </w:rPr>
              <w:t xml:space="preserve"> </w:t>
            </w:r>
            <w:r w:rsidR="00CC00CA" w:rsidRPr="0036697C">
              <w:rPr>
                <w:rStyle w:val="Hipervnculo"/>
                <w:rFonts w:ascii="Palatino Linotype" w:hAnsi="Palatino Linotype"/>
                <w:b/>
                <w:bCs/>
                <w:noProof/>
                <w:lang w:val="es-MX"/>
              </w:rPr>
              <w:t>Del deber de las autoridades de promover, respetar, proteger y garantizar el derecho de acceso a la información pública.</w:t>
            </w:r>
            <w:r w:rsidR="00CC00CA">
              <w:rPr>
                <w:noProof/>
                <w:webHidden/>
              </w:rPr>
              <w:tab/>
            </w:r>
            <w:r w:rsidR="00CC00CA">
              <w:rPr>
                <w:noProof/>
                <w:webHidden/>
              </w:rPr>
              <w:fldChar w:fldCharType="begin"/>
            </w:r>
            <w:r w:rsidR="00CC00CA">
              <w:rPr>
                <w:noProof/>
                <w:webHidden/>
              </w:rPr>
              <w:instrText xml:space="preserve"> PAGEREF _Toc85137164 \h </w:instrText>
            </w:r>
            <w:r w:rsidR="00CC00CA">
              <w:rPr>
                <w:noProof/>
                <w:webHidden/>
              </w:rPr>
            </w:r>
            <w:r w:rsidR="00CC00CA">
              <w:rPr>
                <w:noProof/>
                <w:webHidden/>
              </w:rPr>
              <w:fldChar w:fldCharType="separate"/>
            </w:r>
            <w:r w:rsidR="00CC00CA">
              <w:rPr>
                <w:noProof/>
                <w:webHidden/>
              </w:rPr>
              <w:t>11</w:t>
            </w:r>
            <w:r w:rsidR="00CC00CA">
              <w:rPr>
                <w:noProof/>
                <w:webHidden/>
              </w:rPr>
              <w:fldChar w:fldCharType="end"/>
            </w:r>
          </w:hyperlink>
        </w:p>
        <w:p w14:paraId="19BB62CD" w14:textId="77777777" w:rsidR="00CC00CA" w:rsidRDefault="008C7CE0" w:rsidP="00CC00CA">
          <w:pPr>
            <w:pStyle w:val="TDC1"/>
            <w:tabs>
              <w:tab w:val="left" w:pos="480"/>
              <w:tab w:val="right" w:leader="dot" w:pos="8828"/>
            </w:tabs>
            <w:spacing w:after="0"/>
            <w:rPr>
              <w:rFonts w:asciiTheme="minorHAnsi" w:eastAsiaTheme="minorEastAsia" w:hAnsiTheme="minorHAnsi" w:cstheme="minorBidi"/>
              <w:noProof/>
              <w:sz w:val="22"/>
              <w:szCs w:val="22"/>
              <w:lang w:val="es-MX" w:eastAsia="es-MX"/>
            </w:rPr>
          </w:pPr>
          <w:hyperlink w:anchor="_Toc85137165" w:history="1">
            <w:r w:rsidR="00CC00CA" w:rsidRPr="0036697C">
              <w:rPr>
                <w:rStyle w:val="Hipervnculo"/>
                <w:rFonts w:ascii="Palatino Linotype" w:hAnsi="Palatino Linotype"/>
                <w:b/>
                <w:noProof/>
              </w:rPr>
              <w:t>II.</w:t>
            </w:r>
            <w:r w:rsidR="00CC00CA">
              <w:rPr>
                <w:rFonts w:asciiTheme="minorHAnsi" w:eastAsiaTheme="minorEastAsia" w:hAnsiTheme="minorHAnsi" w:cstheme="minorBidi"/>
                <w:noProof/>
                <w:sz w:val="22"/>
                <w:szCs w:val="22"/>
                <w:lang w:val="es-MX" w:eastAsia="es-MX"/>
              </w:rPr>
              <w:tab/>
            </w:r>
            <w:r w:rsidR="00CC00CA" w:rsidRPr="0036697C">
              <w:rPr>
                <w:rStyle w:val="Hipervnculo"/>
                <w:rFonts w:ascii="Palatino Linotype" w:hAnsi="Palatino Linotype"/>
                <w:b/>
                <w:noProof/>
              </w:rPr>
              <w:t>De la solicitud de información y la respuesta otorgada.</w:t>
            </w:r>
            <w:r w:rsidR="00CC00CA">
              <w:rPr>
                <w:noProof/>
                <w:webHidden/>
              </w:rPr>
              <w:tab/>
            </w:r>
            <w:r w:rsidR="00CC00CA">
              <w:rPr>
                <w:noProof/>
                <w:webHidden/>
              </w:rPr>
              <w:fldChar w:fldCharType="begin"/>
            </w:r>
            <w:r w:rsidR="00CC00CA">
              <w:rPr>
                <w:noProof/>
                <w:webHidden/>
              </w:rPr>
              <w:instrText xml:space="preserve"> PAGEREF _Toc85137165 \h </w:instrText>
            </w:r>
            <w:r w:rsidR="00CC00CA">
              <w:rPr>
                <w:noProof/>
                <w:webHidden/>
              </w:rPr>
            </w:r>
            <w:r w:rsidR="00CC00CA">
              <w:rPr>
                <w:noProof/>
                <w:webHidden/>
              </w:rPr>
              <w:fldChar w:fldCharType="separate"/>
            </w:r>
            <w:r w:rsidR="00CC00CA">
              <w:rPr>
                <w:noProof/>
                <w:webHidden/>
              </w:rPr>
              <w:t>13</w:t>
            </w:r>
            <w:r w:rsidR="00CC00CA">
              <w:rPr>
                <w:noProof/>
                <w:webHidden/>
              </w:rPr>
              <w:fldChar w:fldCharType="end"/>
            </w:r>
          </w:hyperlink>
        </w:p>
        <w:p w14:paraId="44CA1C47" w14:textId="77777777" w:rsidR="00CC00CA" w:rsidRDefault="008C7CE0" w:rsidP="00CC00CA">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137166" w:history="1">
            <w:r w:rsidR="00CC00CA" w:rsidRPr="0036697C">
              <w:rPr>
                <w:rStyle w:val="Hipervnculo"/>
                <w:rFonts w:ascii="Palatino Linotype" w:hAnsi="Palatino Linotype"/>
                <w:b/>
                <w:noProof/>
                <w:lang w:val="es-MX" w:eastAsia="en-US"/>
              </w:rPr>
              <w:t>III. De la clasificación de la información solicitada.</w:t>
            </w:r>
            <w:r w:rsidR="00CC00CA">
              <w:rPr>
                <w:noProof/>
                <w:webHidden/>
              </w:rPr>
              <w:tab/>
            </w:r>
            <w:r w:rsidR="00CC00CA">
              <w:rPr>
                <w:noProof/>
                <w:webHidden/>
              </w:rPr>
              <w:fldChar w:fldCharType="begin"/>
            </w:r>
            <w:r w:rsidR="00CC00CA">
              <w:rPr>
                <w:noProof/>
                <w:webHidden/>
              </w:rPr>
              <w:instrText xml:space="preserve"> PAGEREF _Toc85137166 \h </w:instrText>
            </w:r>
            <w:r w:rsidR="00CC00CA">
              <w:rPr>
                <w:noProof/>
                <w:webHidden/>
              </w:rPr>
            </w:r>
            <w:r w:rsidR="00CC00CA">
              <w:rPr>
                <w:noProof/>
                <w:webHidden/>
              </w:rPr>
              <w:fldChar w:fldCharType="separate"/>
            </w:r>
            <w:r w:rsidR="00CC00CA">
              <w:rPr>
                <w:noProof/>
                <w:webHidden/>
              </w:rPr>
              <w:t>14</w:t>
            </w:r>
            <w:r w:rsidR="00CC00CA">
              <w:rPr>
                <w:noProof/>
                <w:webHidden/>
              </w:rPr>
              <w:fldChar w:fldCharType="end"/>
            </w:r>
          </w:hyperlink>
        </w:p>
        <w:p w14:paraId="18ABA66A" w14:textId="77777777" w:rsidR="00CC00CA" w:rsidRDefault="008C7CE0" w:rsidP="00CC00CA">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137167" w:history="1">
            <w:r w:rsidR="00CC00CA" w:rsidRPr="0036697C">
              <w:rPr>
                <w:rStyle w:val="Hipervnculo"/>
                <w:rFonts w:ascii="Palatino Linotype" w:eastAsia="MS Gothic" w:hAnsi="Palatino Linotype"/>
                <w:b/>
                <w:noProof/>
                <w:lang w:val="es-ES_tradnl" w:eastAsia="es-ES_tradnl"/>
              </w:rPr>
              <w:t xml:space="preserve">QUINTO. </w:t>
            </w:r>
            <w:r w:rsidR="00CC00CA" w:rsidRPr="0036697C">
              <w:rPr>
                <w:rStyle w:val="Hipervnculo"/>
                <w:rFonts w:ascii="Palatino Linotype" w:eastAsia="MS Mincho" w:hAnsi="Palatino Linotype"/>
                <w:b/>
                <w:noProof/>
                <w:lang w:val="es-ES_tradnl"/>
              </w:rPr>
              <w:t>De la elaboración de la versión pública y el acuerdo de clasificación como información confidencial.</w:t>
            </w:r>
            <w:r w:rsidR="00CC00CA">
              <w:rPr>
                <w:noProof/>
                <w:webHidden/>
              </w:rPr>
              <w:tab/>
            </w:r>
            <w:r w:rsidR="00CC00CA">
              <w:rPr>
                <w:noProof/>
                <w:webHidden/>
              </w:rPr>
              <w:fldChar w:fldCharType="begin"/>
            </w:r>
            <w:r w:rsidR="00CC00CA">
              <w:rPr>
                <w:noProof/>
                <w:webHidden/>
              </w:rPr>
              <w:instrText xml:space="preserve"> PAGEREF _Toc85137167 \h </w:instrText>
            </w:r>
            <w:r w:rsidR="00CC00CA">
              <w:rPr>
                <w:noProof/>
                <w:webHidden/>
              </w:rPr>
            </w:r>
            <w:r w:rsidR="00CC00CA">
              <w:rPr>
                <w:noProof/>
                <w:webHidden/>
              </w:rPr>
              <w:fldChar w:fldCharType="separate"/>
            </w:r>
            <w:r w:rsidR="00CC00CA">
              <w:rPr>
                <w:noProof/>
                <w:webHidden/>
              </w:rPr>
              <w:t>47</w:t>
            </w:r>
            <w:r w:rsidR="00CC00CA">
              <w:rPr>
                <w:noProof/>
                <w:webHidden/>
              </w:rPr>
              <w:fldChar w:fldCharType="end"/>
            </w:r>
          </w:hyperlink>
        </w:p>
        <w:p w14:paraId="0C1BE317" w14:textId="77777777" w:rsidR="00CC00CA" w:rsidRDefault="008C7CE0" w:rsidP="00CC00CA">
          <w:pPr>
            <w:pStyle w:val="TDC1"/>
            <w:tabs>
              <w:tab w:val="left" w:pos="480"/>
              <w:tab w:val="right" w:leader="dot" w:pos="8828"/>
            </w:tabs>
            <w:spacing w:after="0"/>
            <w:rPr>
              <w:rFonts w:asciiTheme="minorHAnsi" w:eastAsiaTheme="minorEastAsia" w:hAnsiTheme="minorHAnsi" w:cstheme="minorBidi"/>
              <w:noProof/>
              <w:sz w:val="22"/>
              <w:szCs w:val="22"/>
              <w:lang w:val="es-MX" w:eastAsia="es-MX"/>
            </w:rPr>
          </w:pPr>
          <w:hyperlink w:anchor="_Toc85137168" w:history="1">
            <w:r w:rsidR="00CC00CA" w:rsidRPr="0036697C">
              <w:rPr>
                <w:rStyle w:val="Hipervnculo"/>
                <w:rFonts w:ascii="Palatino Linotype" w:hAnsi="Palatino Linotype"/>
                <w:b/>
                <w:noProof/>
                <w:lang w:val="es-ES_tradnl"/>
              </w:rPr>
              <w:t>I.</w:t>
            </w:r>
            <w:r w:rsidR="00CC00CA">
              <w:rPr>
                <w:rFonts w:asciiTheme="minorHAnsi" w:eastAsiaTheme="minorEastAsia" w:hAnsiTheme="minorHAnsi" w:cstheme="minorBidi"/>
                <w:noProof/>
                <w:sz w:val="22"/>
                <w:szCs w:val="22"/>
                <w:lang w:val="es-MX" w:eastAsia="es-MX"/>
              </w:rPr>
              <w:tab/>
            </w:r>
            <w:r w:rsidR="00CC00CA" w:rsidRPr="0036697C">
              <w:rPr>
                <w:rStyle w:val="Hipervnculo"/>
                <w:rFonts w:ascii="Palatino Linotype" w:hAnsi="Palatino Linotype"/>
                <w:b/>
                <w:noProof/>
                <w:lang w:val="es-ES_tradnl"/>
              </w:rPr>
              <w:t>De la clasificación de la información.</w:t>
            </w:r>
            <w:r w:rsidR="00CC00CA">
              <w:rPr>
                <w:noProof/>
                <w:webHidden/>
              </w:rPr>
              <w:tab/>
            </w:r>
            <w:r w:rsidR="00CC00CA">
              <w:rPr>
                <w:noProof/>
                <w:webHidden/>
              </w:rPr>
              <w:fldChar w:fldCharType="begin"/>
            </w:r>
            <w:r w:rsidR="00CC00CA">
              <w:rPr>
                <w:noProof/>
                <w:webHidden/>
              </w:rPr>
              <w:instrText xml:space="preserve"> PAGEREF _Toc85137168 \h </w:instrText>
            </w:r>
            <w:r w:rsidR="00CC00CA">
              <w:rPr>
                <w:noProof/>
                <w:webHidden/>
              </w:rPr>
            </w:r>
            <w:r w:rsidR="00CC00CA">
              <w:rPr>
                <w:noProof/>
                <w:webHidden/>
              </w:rPr>
              <w:fldChar w:fldCharType="separate"/>
            </w:r>
            <w:r w:rsidR="00CC00CA">
              <w:rPr>
                <w:noProof/>
                <w:webHidden/>
              </w:rPr>
              <w:t>48</w:t>
            </w:r>
            <w:r w:rsidR="00CC00CA">
              <w:rPr>
                <w:noProof/>
                <w:webHidden/>
              </w:rPr>
              <w:fldChar w:fldCharType="end"/>
            </w:r>
          </w:hyperlink>
        </w:p>
        <w:p w14:paraId="24E38DC6" w14:textId="77777777" w:rsidR="00CC00CA" w:rsidRDefault="008C7CE0" w:rsidP="00CC00CA">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137169" w:history="1">
            <w:r w:rsidR="00CC00CA" w:rsidRPr="0036697C">
              <w:rPr>
                <w:rStyle w:val="Hipervnculo"/>
                <w:rFonts w:ascii="Palatino Linotype" w:hAnsi="Palatino Linotype"/>
                <w:b/>
                <w:noProof/>
                <w:lang w:val="es-MX" w:eastAsia="en-US"/>
              </w:rPr>
              <w:t>II. Requisitos previos.</w:t>
            </w:r>
            <w:r w:rsidR="00CC00CA">
              <w:rPr>
                <w:noProof/>
                <w:webHidden/>
              </w:rPr>
              <w:tab/>
            </w:r>
            <w:r w:rsidR="00CC00CA">
              <w:rPr>
                <w:noProof/>
                <w:webHidden/>
              </w:rPr>
              <w:fldChar w:fldCharType="begin"/>
            </w:r>
            <w:r w:rsidR="00CC00CA">
              <w:rPr>
                <w:noProof/>
                <w:webHidden/>
              </w:rPr>
              <w:instrText xml:space="preserve"> PAGEREF _Toc85137169 \h </w:instrText>
            </w:r>
            <w:r w:rsidR="00CC00CA">
              <w:rPr>
                <w:noProof/>
                <w:webHidden/>
              </w:rPr>
            </w:r>
            <w:r w:rsidR="00CC00CA">
              <w:rPr>
                <w:noProof/>
                <w:webHidden/>
              </w:rPr>
              <w:fldChar w:fldCharType="separate"/>
            </w:r>
            <w:r w:rsidR="00CC00CA">
              <w:rPr>
                <w:noProof/>
                <w:webHidden/>
              </w:rPr>
              <w:t>49</w:t>
            </w:r>
            <w:r w:rsidR="00CC00CA">
              <w:rPr>
                <w:noProof/>
                <w:webHidden/>
              </w:rPr>
              <w:fldChar w:fldCharType="end"/>
            </w:r>
          </w:hyperlink>
        </w:p>
        <w:p w14:paraId="48C2A30C" w14:textId="77777777" w:rsidR="00CC00CA" w:rsidRDefault="008C7CE0" w:rsidP="00CC00CA">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137170" w:history="1">
            <w:r w:rsidR="00CC00CA" w:rsidRPr="0036697C">
              <w:rPr>
                <w:rStyle w:val="Hipervnculo"/>
                <w:rFonts w:ascii="Palatino Linotype" w:hAnsi="Palatino Linotype"/>
                <w:b/>
                <w:noProof/>
                <w:lang w:val="es-MX" w:eastAsia="en-US"/>
              </w:rPr>
              <w:t>III. La intervención del comité de transparencia.</w:t>
            </w:r>
            <w:r w:rsidR="00CC00CA">
              <w:rPr>
                <w:noProof/>
                <w:webHidden/>
              </w:rPr>
              <w:tab/>
            </w:r>
            <w:r w:rsidR="00CC00CA">
              <w:rPr>
                <w:noProof/>
                <w:webHidden/>
              </w:rPr>
              <w:fldChar w:fldCharType="begin"/>
            </w:r>
            <w:r w:rsidR="00CC00CA">
              <w:rPr>
                <w:noProof/>
                <w:webHidden/>
              </w:rPr>
              <w:instrText xml:space="preserve"> PAGEREF _Toc85137170 \h </w:instrText>
            </w:r>
            <w:r w:rsidR="00CC00CA">
              <w:rPr>
                <w:noProof/>
                <w:webHidden/>
              </w:rPr>
            </w:r>
            <w:r w:rsidR="00CC00CA">
              <w:rPr>
                <w:noProof/>
                <w:webHidden/>
              </w:rPr>
              <w:fldChar w:fldCharType="separate"/>
            </w:r>
            <w:r w:rsidR="00CC00CA">
              <w:rPr>
                <w:noProof/>
                <w:webHidden/>
              </w:rPr>
              <w:t>50</w:t>
            </w:r>
            <w:r w:rsidR="00CC00CA">
              <w:rPr>
                <w:noProof/>
                <w:webHidden/>
              </w:rPr>
              <w:fldChar w:fldCharType="end"/>
            </w:r>
          </w:hyperlink>
        </w:p>
        <w:p w14:paraId="6DF5CD16" w14:textId="77777777" w:rsidR="00CC00CA" w:rsidRDefault="008C7CE0" w:rsidP="00CC00CA">
          <w:pPr>
            <w:pStyle w:val="TDC1"/>
            <w:tabs>
              <w:tab w:val="left" w:pos="480"/>
              <w:tab w:val="right" w:leader="dot" w:pos="8828"/>
            </w:tabs>
            <w:spacing w:after="0"/>
            <w:rPr>
              <w:rFonts w:asciiTheme="minorHAnsi" w:eastAsiaTheme="minorEastAsia" w:hAnsiTheme="minorHAnsi" w:cstheme="minorBidi"/>
              <w:noProof/>
              <w:sz w:val="22"/>
              <w:szCs w:val="22"/>
              <w:lang w:val="es-MX" w:eastAsia="es-MX"/>
            </w:rPr>
          </w:pPr>
          <w:hyperlink w:anchor="_Toc85137171" w:history="1">
            <w:r w:rsidR="00CC00CA" w:rsidRPr="0036697C">
              <w:rPr>
                <w:rStyle w:val="Hipervnculo"/>
                <w:rFonts w:ascii="Palatino Linotype" w:hAnsi="Palatino Linotype"/>
                <w:b/>
                <w:noProof/>
                <w:lang w:val="es-MX" w:eastAsia="en-US"/>
              </w:rPr>
              <w:t>a)</w:t>
            </w:r>
            <w:r w:rsidR="00CC00CA">
              <w:rPr>
                <w:rFonts w:asciiTheme="minorHAnsi" w:eastAsiaTheme="minorEastAsia" w:hAnsiTheme="minorHAnsi" w:cstheme="minorBidi"/>
                <w:noProof/>
                <w:sz w:val="22"/>
                <w:szCs w:val="22"/>
                <w:lang w:val="es-MX" w:eastAsia="es-MX"/>
              </w:rPr>
              <w:tab/>
            </w:r>
            <w:r w:rsidR="00CC00CA" w:rsidRPr="0036697C">
              <w:rPr>
                <w:rStyle w:val="Hipervnculo"/>
                <w:rFonts w:ascii="Palatino Linotype" w:hAnsi="Palatino Linotype"/>
                <w:b/>
                <w:noProof/>
                <w:lang w:val="es-MX" w:eastAsia="en-US"/>
              </w:rPr>
              <w:t>Formalidades para emitir el acuerdo de clasificación.</w:t>
            </w:r>
            <w:r w:rsidR="00CC00CA">
              <w:rPr>
                <w:noProof/>
                <w:webHidden/>
              </w:rPr>
              <w:tab/>
            </w:r>
            <w:r w:rsidR="00CC00CA">
              <w:rPr>
                <w:noProof/>
                <w:webHidden/>
              </w:rPr>
              <w:fldChar w:fldCharType="begin"/>
            </w:r>
            <w:r w:rsidR="00CC00CA">
              <w:rPr>
                <w:noProof/>
                <w:webHidden/>
              </w:rPr>
              <w:instrText xml:space="preserve"> PAGEREF _Toc85137171 \h </w:instrText>
            </w:r>
            <w:r w:rsidR="00CC00CA">
              <w:rPr>
                <w:noProof/>
                <w:webHidden/>
              </w:rPr>
            </w:r>
            <w:r w:rsidR="00CC00CA">
              <w:rPr>
                <w:noProof/>
                <w:webHidden/>
              </w:rPr>
              <w:fldChar w:fldCharType="separate"/>
            </w:r>
            <w:r w:rsidR="00CC00CA">
              <w:rPr>
                <w:noProof/>
                <w:webHidden/>
              </w:rPr>
              <w:t>50</w:t>
            </w:r>
            <w:r w:rsidR="00CC00CA">
              <w:rPr>
                <w:noProof/>
                <w:webHidden/>
              </w:rPr>
              <w:fldChar w:fldCharType="end"/>
            </w:r>
          </w:hyperlink>
        </w:p>
        <w:p w14:paraId="09C9BB02" w14:textId="77777777" w:rsidR="00CC00CA" w:rsidRDefault="008C7CE0" w:rsidP="00CC00CA">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137172" w:history="1">
            <w:r w:rsidR="00CC00CA" w:rsidRPr="0036697C">
              <w:rPr>
                <w:rStyle w:val="Hipervnculo"/>
                <w:rFonts w:ascii="Palatino Linotype" w:hAnsi="Palatino Linotype"/>
                <w:b/>
                <w:noProof/>
                <w:lang w:val="es-MX" w:eastAsia="en-US"/>
              </w:rPr>
              <w:t>b) Requisitos de fondo del acuerdo de clasificación.</w:t>
            </w:r>
            <w:r w:rsidR="00CC00CA">
              <w:rPr>
                <w:noProof/>
                <w:webHidden/>
              </w:rPr>
              <w:tab/>
            </w:r>
            <w:r w:rsidR="00CC00CA">
              <w:rPr>
                <w:noProof/>
                <w:webHidden/>
              </w:rPr>
              <w:fldChar w:fldCharType="begin"/>
            </w:r>
            <w:r w:rsidR="00CC00CA">
              <w:rPr>
                <w:noProof/>
                <w:webHidden/>
              </w:rPr>
              <w:instrText xml:space="preserve"> PAGEREF _Toc85137172 \h </w:instrText>
            </w:r>
            <w:r w:rsidR="00CC00CA">
              <w:rPr>
                <w:noProof/>
                <w:webHidden/>
              </w:rPr>
            </w:r>
            <w:r w:rsidR="00CC00CA">
              <w:rPr>
                <w:noProof/>
                <w:webHidden/>
              </w:rPr>
              <w:fldChar w:fldCharType="separate"/>
            </w:r>
            <w:r w:rsidR="00CC00CA">
              <w:rPr>
                <w:noProof/>
                <w:webHidden/>
              </w:rPr>
              <w:t>52</w:t>
            </w:r>
            <w:r w:rsidR="00CC00CA">
              <w:rPr>
                <w:noProof/>
                <w:webHidden/>
              </w:rPr>
              <w:fldChar w:fldCharType="end"/>
            </w:r>
          </w:hyperlink>
        </w:p>
        <w:p w14:paraId="1B17F280" w14:textId="77777777" w:rsidR="00CC00CA" w:rsidRDefault="008C7CE0" w:rsidP="00CC00CA">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137173" w:history="1">
            <w:r w:rsidR="00CC00CA" w:rsidRPr="0036697C">
              <w:rPr>
                <w:rStyle w:val="Hipervnculo"/>
                <w:rFonts w:ascii="Palatino Linotype" w:hAnsi="Palatino Linotype"/>
                <w:b/>
                <w:noProof/>
                <w:lang w:val="es-MX" w:eastAsia="en-US"/>
              </w:rPr>
              <w:t>IV. Condiciones especiales de la clasificación de la información como confidencial.</w:t>
            </w:r>
            <w:r w:rsidR="00CC00CA">
              <w:rPr>
                <w:noProof/>
                <w:webHidden/>
              </w:rPr>
              <w:tab/>
            </w:r>
            <w:r w:rsidR="00CC00CA">
              <w:rPr>
                <w:noProof/>
                <w:webHidden/>
              </w:rPr>
              <w:fldChar w:fldCharType="begin"/>
            </w:r>
            <w:r w:rsidR="00CC00CA">
              <w:rPr>
                <w:noProof/>
                <w:webHidden/>
              </w:rPr>
              <w:instrText xml:space="preserve"> PAGEREF _Toc85137173 \h </w:instrText>
            </w:r>
            <w:r w:rsidR="00CC00CA">
              <w:rPr>
                <w:noProof/>
                <w:webHidden/>
              </w:rPr>
            </w:r>
            <w:r w:rsidR="00CC00CA">
              <w:rPr>
                <w:noProof/>
                <w:webHidden/>
              </w:rPr>
              <w:fldChar w:fldCharType="separate"/>
            </w:r>
            <w:r w:rsidR="00CC00CA">
              <w:rPr>
                <w:noProof/>
                <w:webHidden/>
              </w:rPr>
              <w:t>56</w:t>
            </w:r>
            <w:r w:rsidR="00CC00CA">
              <w:rPr>
                <w:noProof/>
                <w:webHidden/>
              </w:rPr>
              <w:fldChar w:fldCharType="end"/>
            </w:r>
          </w:hyperlink>
        </w:p>
        <w:p w14:paraId="00BEE9E0" w14:textId="77777777" w:rsidR="00CC00CA" w:rsidRDefault="008C7CE0" w:rsidP="00CC00CA">
          <w:pPr>
            <w:pStyle w:val="TDC1"/>
            <w:tabs>
              <w:tab w:val="left" w:pos="480"/>
              <w:tab w:val="right" w:leader="dot" w:pos="8828"/>
            </w:tabs>
            <w:spacing w:after="0"/>
            <w:rPr>
              <w:rFonts w:asciiTheme="minorHAnsi" w:eastAsiaTheme="minorEastAsia" w:hAnsiTheme="minorHAnsi" w:cstheme="minorBidi"/>
              <w:noProof/>
              <w:sz w:val="22"/>
              <w:szCs w:val="22"/>
              <w:lang w:val="es-MX" w:eastAsia="es-MX"/>
            </w:rPr>
          </w:pPr>
          <w:hyperlink w:anchor="_Toc85137174" w:history="1">
            <w:r w:rsidR="00CC00CA" w:rsidRPr="0036697C">
              <w:rPr>
                <w:rStyle w:val="Hipervnculo"/>
                <w:rFonts w:ascii="Palatino Linotype" w:eastAsia="MS Gothic" w:hAnsi="Palatino Linotype"/>
                <w:b/>
                <w:noProof/>
                <w:lang w:val="es-MX" w:eastAsia="en-US"/>
              </w:rPr>
              <w:t>a)</w:t>
            </w:r>
            <w:r w:rsidR="00CC00CA">
              <w:rPr>
                <w:rFonts w:asciiTheme="minorHAnsi" w:eastAsiaTheme="minorEastAsia" w:hAnsiTheme="minorHAnsi" w:cstheme="minorBidi"/>
                <w:noProof/>
                <w:sz w:val="22"/>
                <w:szCs w:val="22"/>
                <w:lang w:val="es-MX" w:eastAsia="es-MX"/>
              </w:rPr>
              <w:tab/>
            </w:r>
            <w:r w:rsidR="00CC00CA" w:rsidRPr="0036697C">
              <w:rPr>
                <w:rStyle w:val="Hipervnculo"/>
                <w:rFonts w:ascii="Palatino Linotype" w:eastAsia="MS Gothic" w:hAnsi="Palatino Linotype"/>
                <w:b/>
                <w:noProof/>
                <w:lang w:val="es-MX" w:eastAsia="en-US"/>
              </w:rPr>
              <w:t>Del consentimiento.</w:t>
            </w:r>
            <w:r w:rsidR="00CC00CA">
              <w:rPr>
                <w:noProof/>
                <w:webHidden/>
              </w:rPr>
              <w:tab/>
            </w:r>
            <w:r w:rsidR="00CC00CA">
              <w:rPr>
                <w:noProof/>
                <w:webHidden/>
              </w:rPr>
              <w:fldChar w:fldCharType="begin"/>
            </w:r>
            <w:r w:rsidR="00CC00CA">
              <w:rPr>
                <w:noProof/>
                <w:webHidden/>
              </w:rPr>
              <w:instrText xml:space="preserve"> PAGEREF _Toc85137174 \h </w:instrText>
            </w:r>
            <w:r w:rsidR="00CC00CA">
              <w:rPr>
                <w:noProof/>
                <w:webHidden/>
              </w:rPr>
            </w:r>
            <w:r w:rsidR="00CC00CA">
              <w:rPr>
                <w:noProof/>
                <w:webHidden/>
              </w:rPr>
              <w:fldChar w:fldCharType="separate"/>
            </w:r>
            <w:r w:rsidR="00CC00CA">
              <w:rPr>
                <w:noProof/>
                <w:webHidden/>
              </w:rPr>
              <w:t>58</w:t>
            </w:r>
            <w:r w:rsidR="00CC00CA">
              <w:rPr>
                <w:noProof/>
                <w:webHidden/>
              </w:rPr>
              <w:fldChar w:fldCharType="end"/>
            </w:r>
          </w:hyperlink>
        </w:p>
        <w:p w14:paraId="371EF3E4" w14:textId="77777777" w:rsidR="00CC00CA" w:rsidRDefault="008C7CE0" w:rsidP="00CC00CA">
          <w:pPr>
            <w:pStyle w:val="TDC1"/>
            <w:tabs>
              <w:tab w:val="left" w:pos="480"/>
              <w:tab w:val="right" w:leader="dot" w:pos="8828"/>
            </w:tabs>
            <w:spacing w:after="0"/>
            <w:rPr>
              <w:rFonts w:asciiTheme="minorHAnsi" w:eastAsiaTheme="minorEastAsia" w:hAnsiTheme="minorHAnsi" w:cstheme="minorBidi"/>
              <w:noProof/>
              <w:sz w:val="22"/>
              <w:szCs w:val="22"/>
              <w:lang w:val="es-MX" w:eastAsia="es-MX"/>
            </w:rPr>
          </w:pPr>
          <w:hyperlink w:anchor="_Toc85137175" w:history="1">
            <w:r w:rsidR="00CC00CA" w:rsidRPr="0036697C">
              <w:rPr>
                <w:rStyle w:val="Hipervnculo"/>
                <w:rFonts w:ascii="Palatino Linotype" w:hAnsi="Palatino Linotype"/>
                <w:b/>
                <w:noProof/>
                <w:lang w:val="es-ES_tradnl"/>
              </w:rPr>
              <w:t>b)</w:t>
            </w:r>
            <w:r w:rsidR="00CC00CA">
              <w:rPr>
                <w:rFonts w:asciiTheme="minorHAnsi" w:eastAsiaTheme="minorEastAsia" w:hAnsiTheme="minorHAnsi" w:cstheme="minorBidi"/>
                <w:noProof/>
                <w:sz w:val="22"/>
                <w:szCs w:val="22"/>
                <w:lang w:val="es-MX" w:eastAsia="es-MX"/>
              </w:rPr>
              <w:tab/>
            </w:r>
            <w:r w:rsidR="00CC00CA" w:rsidRPr="0036697C">
              <w:rPr>
                <w:rStyle w:val="Hipervnculo"/>
                <w:rFonts w:ascii="Palatino Linotype" w:hAnsi="Palatino Linotype"/>
                <w:b/>
                <w:noProof/>
                <w:lang w:val="es-MX" w:eastAsia="en-US"/>
              </w:rPr>
              <w:t>De la firma de los servidores públicos.</w:t>
            </w:r>
            <w:r w:rsidR="00CC00CA">
              <w:rPr>
                <w:noProof/>
                <w:webHidden/>
              </w:rPr>
              <w:tab/>
            </w:r>
            <w:r w:rsidR="00CC00CA">
              <w:rPr>
                <w:noProof/>
                <w:webHidden/>
              </w:rPr>
              <w:fldChar w:fldCharType="begin"/>
            </w:r>
            <w:r w:rsidR="00CC00CA">
              <w:rPr>
                <w:noProof/>
                <w:webHidden/>
              </w:rPr>
              <w:instrText xml:space="preserve"> PAGEREF _Toc85137175 \h </w:instrText>
            </w:r>
            <w:r w:rsidR="00CC00CA">
              <w:rPr>
                <w:noProof/>
                <w:webHidden/>
              </w:rPr>
            </w:r>
            <w:r w:rsidR="00CC00CA">
              <w:rPr>
                <w:noProof/>
                <w:webHidden/>
              </w:rPr>
              <w:fldChar w:fldCharType="separate"/>
            </w:r>
            <w:r w:rsidR="00CC00CA">
              <w:rPr>
                <w:noProof/>
                <w:webHidden/>
              </w:rPr>
              <w:t>59</w:t>
            </w:r>
            <w:r w:rsidR="00CC00CA">
              <w:rPr>
                <w:noProof/>
                <w:webHidden/>
              </w:rPr>
              <w:fldChar w:fldCharType="end"/>
            </w:r>
          </w:hyperlink>
        </w:p>
        <w:p w14:paraId="397F508A" w14:textId="77777777" w:rsidR="00CC00CA" w:rsidRDefault="008C7CE0" w:rsidP="00CC00CA">
          <w:pPr>
            <w:pStyle w:val="TDC2"/>
            <w:tabs>
              <w:tab w:val="right" w:leader="dot" w:pos="8828"/>
            </w:tabs>
            <w:spacing w:after="0"/>
            <w:ind w:left="0"/>
            <w:rPr>
              <w:rFonts w:asciiTheme="minorHAnsi" w:eastAsiaTheme="minorEastAsia" w:hAnsiTheme="minorHAnsi" w:cstheme="minorBidi"/>
              <w:noProof/>
              <w:sz w:val="22"/>
              <w:szCs w:val="22"/>
              <w:lang w:val="es-MX" w:eastAsia="es-MX"/>
            </w:rPr>
          </w:pPr>
          <w:hyperlink w:anchor="_Toc85137176" w:history="1">
            <w:r w:rsidR="00CC00CA" w:rsidRPr="0036697C">
              <w:rPr>
                <w:rStyle w:val="Hipervnculo"/>
                <w:rFonts w:ascii="Palatino Linotype" w:eastAsia="MS Mincho" w:hAnsi="Palatino Linotype"/>
                <w:b/>
                <w:noProof/>
                <w:lang w:val="es-ES_tradnl"/>
              </w:rPr>
              <w:t>SEXTO. De la decisión.</w:t>
            </w:r>
            <w:r w:rsidR="00CC00CA">
              <w:rPr>
                <w:noProof/>
                <w:webHidden/>
              </w:rPr>
              <w:tab/>
            </w:r>
            <w:r w:rsidR="00CC00CA">
              <w:rPr>
                <w:noProof/>
                <w:webHidden/>
              </w:rPr>
              <w:fldChar w:fldCharType="begin"/>
            </w:r>
            <w:r w:rsidR="00CC00CA">
              <w:rPr>
                <w:noProof/>
                <w:webHidden/>
              </w:rPr>
              <w:instrText xml:space="preserve"> PAGEREF _Toc85137176 \h </w:instrText>
            </w:r>
            <w:r w:rsidR="00CC00CA">
              <w:rPr>
                <w:noProof/>
                <w:webHidden/>
              </w:rPr>
            </w:r>
            <w:r w:rsidR="00CC00CA">
              <w:rPr>
                <w:noProof/>
                <w:webHidden/>
              </w:rPr>
              <w:fldChar w:fldCharType="separate"/>
            </w:r>
            <w:r w:rsidR="00CC00CA">
              <w:rPr>
                <w:noProof/>
                <w:webHidden/>
              </w:rPr>
              <w:t>61</w:t>
            </w:r>
            <w:r w:rsidR="00CC00CA">
              <w:rPr>
                <w:noProof/>
                <w:webHidden/>
              </w:rPr>
              <w:fldChar w:fldCharType="end"/>
            </w:r>
          </w:hyperlink>
        </w:p>
        <w:p w14:paraId="644193D9" w14:textId="77777777" w:rsidR="00CC00CA" w:rsidRDefault="008C7CE0" w:rsidP="00CC00CA">
          <w:pPr>
            <w:pStyle w:val="TDC1"/>
            <w:tabs>
              <w:tab w:val="right" w:leader="dot" w:pos="8828"/>
            </w:tabs>
            <w:spacing w:after="0"/>
            <w:rPr>
              <w:rFonts w:asciiTheme="minorHAnsi" w:eastAsiaTheme="minorEastAsia" w:hAnsiTheme="minorHAnsi" w:cstheme="minorBidi"/>
              <w:noProof/>
              <w:sz w:val="22"/>
              <w:szCs w:val="22"/>
              <w:lang w:val="es-MX" w:eastAsia="es-MX"/>
            </w:rPr>
          </w:pPr>
          <w:hyperlink w:anchor="_Toc85137177" w:history="1">
            <w:r w:rsidR="00CC00CA" w:rsidRPr="0036697C">
              <w:rPr>
                <w:rStyle w:val="Hipervnculo"/>
                <w:rFonts w:ascii="Palatino Linotype" w:hAnsi="Palatino Linotype"/>
                <w:b/>
                <w:noProof/>
                <w:lang w:val="es-ES_tradnl"/>
              </w:rPr>
              <w:t>R E S O L U T I V O S</w:t>
            </w:r>
            <w:r w:rsidR="00CC00CA">
              <w:rPr>
                <w:noProof/>
                <w:webHidden/>
              </w:rPr>
              <w:tab/>
            </w:r>
            <w:r w:rsidR="00CC00CA">
              <w:rPr>
                <w:noProof/>
                <w:webHidden/>
              </w:rPr>
              <w:fldChar w:fldCharType="begin"/>
            </w:r>
            <w:r w:rsidR="00CC00CA">
              <w:rPr>
                <w:noProof/>
                <w:webHidden/>
              </w:rPr>
              <w:instrText xml:space="preserve"> PAGEREF _Toc85137177 \h </w:instrText>
            </w:r>
            <w:r w:rsidR="00CC00CA">
              <w:rPr>
                <w:noProof/>
                <w:webHidden/>
              </w:rPr>
            </w:r>
            <w:r w:rsidR="00CC00CA">
              <w:rPr>
                <w:noProof/>
                <w:webHidden/>
              </w:rPr>
              <w:fldChar w:fldCharType="separate"/>
            </w:r>
            <w:r w:rsidR="00CC00CA">
              <w:rPr>
                <w:noProof/>
                <w:webHidden/>
              </w:rPr>
              <w:t>61</w:t>
            </w:r>
            <w:r w:rsidR="00CC00CA">
              <w:rPr>
                <w:noProof/>
                <w:webHidden/>
              </w:rPr>
              <w:fldChar w:fldCharType="end"/>
            </w:r>
          </w:hyperlink>
        </w:p>
        <w:p w14:paraId="074C737F" w14:textId="02C80A98" w:rsidR="009B3353" w:rsidRPr="00481B31" w:rsidRDefault="009B3353" w:rsidP="000C1184">
          <w:pPr>
            <w:tabs>
              <w:tab w:val="left" w:pos="0"/>
            </w:tabs>
            <w:spacing w:line="360" w:lineRule="auto"/>
            <w:rPr>
              <w:rFonts w:ascii="Palatino Linotype" w:eastAsia="Calibri" w:hAnsi="Palatino Linotype"/>
              <w:b/>
              <w:bCs/>
              <w:lang w:eastAsia="en-US"/>
            </w:rPr>
          </w:pPr>
          <w:r w:rsidRPr="00481B31">
            <w:rPr>
              <w:rFonts w:ascii="Palatino Linotype" w:eastAsia="Calibri" w:hAnsi="Palatino Linotype"/>
              <w:b/>
              <w:bCs/>
              <w:color w:val="000000" w:themeColor="text1"/>
              <w:lang w:eastAsia="en-US"/>
            </w:rPr>
            <w:fldChar w:fldCharType="end"/>
          </w:r>
        </w:p>
      </w:sdtContent>
    </w:sdt>
    <w:p w14:paraId="4F6A6BD6" w14:textId="6332B505" w:rsidR="00EA0165" w:rsidRPr="00481B31" w:rsidRDefault="00EA0165" w:rsidP="000C1184">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481B31">
        <w:rPr>
          <w:rFonts w:ascii="Palatino Linotype" w:eastAsiaTheme="minorEastAsia" w:hAnsi="Palatino Linotype" w:cstheme="minorBidi"/>
          <w:color w:val="000000" w:themeColor="text1"/>
          <w:lang w:val="es-ES_tradnl"/>
        </w:rPr>
        <w:lastRenderedPageBreak/>
        <w:t>Resolución del Pleno del Instituto de Transparencia, Acceso a la Información Pública y Protección de Datos Personales del Estado de México y Municipios, con domicilio e</w:t>
      </w:r>
      <w:r w:rsidR="009B3353" w:rsidRPr="00481B31">
        <w:rPr>
          <w:rFonts w:ascii="Palatino Linotype" w:eastAsiaTheme="minorEastAsia" w:hAnsi="Palatino Linotype" w:cstheme="minorBidi"/>
          <w:color w:val="000000" w:themeColor="text1"/>
          <w:lang w:val="es-ES_tradnl"/>
        </w:rPr>
        <w:t xml:space="preserve">n Metepec, Estado </w:t>
      </w:r>
      <w:r w:rsidR="00B4299A" w:rsidRPr="00481B31">
        <w:rPr>
          <w:rFonts w:ascii="Palatino Linotype" w:eastAsiaTheme="minorEastAsia" w:hAnsi="Palatino Linotype" w:cstheme="minorBidi"/>
          <w:color w:val="000000" w:themeColor="text1"/>
          <w:lang w:val="es-ES_tradnl"/>
        </w:rPr>
        <w:t>de México; de veinte</w:t>
      </w:r>
      <w:r w:rsidRPr="00481B31">
        <w:rPr>
          <w:rFonts w:ascii="Palatino Linotype" w:eastAsiaTheme="minorEastAsia" w:hAnsi="Palatino Linotype" w:cstheme="minorBidi"/>
          <w:color w:val="000000" w:themeColor="text1"/>
          <w:lang w:val="es-MX"/>
        </w:rPr>
        <w:t xml:space="preserve"> (</w:t>
      </w:r>
      <w:r w:rsidR="00B4299A" w:rsidRPr="00481B31">
        <w:rPr>
          <w:rFonts w:ascii="Palatino Linotype" w:eastAsiaTheme="minorEastAsia" w:hAnsi="Palatino Linotype" w:cstheme="minorBidi"/>
          <w:color w:val="000000" w:themeColor="text1"/>
          <w:lang w:val="es-MX"/>
        </w:rPr>
        <w:t>20</w:t>
      </w:r>
      <w:r w:rsidRPr="00481B31">
        <w:rPr>
          <w:rFonts w:ascii="Palatino Linotype" w:eastAsiaTheme="minorEastAsia" w:hAnsi="Palatino Linotype" w:cstheme="minorBidi"/>
          <w:color w:val="000000" w:themeColor="text1"/>
          <w:lang w:val="es-MX"/>
        </w:rPr>
        <w:t>) de</w:t>
      </w:r>
      <w:r w:rsidR="00F03AFC" w:rsidRPr="00481B31">
        <w:rPr>
          <w:rFonts w:ascii="Palatino Linotype" w:eastAsiaTheme="minorEastAsia" w:hAnsi="Palatino Linotype" w:cstheme="minorBidi"/>
          <w:color w:val="000000" w:themeColor="text1"/>
          <w:lang w:val="es-MX"/>
        </w:rPr>
        <w:t xml:space="preserve"> octubre </w:t>
      </w:r>
      <w:r w:rsidRPr="00481B31">
        <w:rPr>
          <w:rFonts w:ascii="Palatino Linotype" w:eastAsiaTheme="minorEastAsia" w:hAnsi="Palatino Linotype" w:cstheme="minorBidi"/>
          <w:color w:val="000000" w:themeColor="text1"/>
          <w:lang w:val="es-MX"/>
        </w:rPr>
        <w:t>de dos mil veintiuno</w:t>
      </w:r>
      <w:r w:rsidRPr="00481B31">
        <w:rPr>
          <w:rFonts w:ascii="Palatino Linotype" w:eastAsiaTheme="minorEastAsia" w:hAnsi="Palatino Linotype" w:cstheme="minorBidi"/>
          <w:color w:val="000000" w:themeColor="text1"/>
          <w:lang w:val="es-ES_tradnl"/>
        </w:rPr>
        <w:t xml:space="preserve">. </w:t>
      </w:r>
    </w:p>
    <w:p w14:paraId="68E5E524" w14:textId="37C4507A" w:rsidR="00EA0165" w:rsidRPr="00481B31" w:rsidRDefault="00EA0165" w:rsidP="000C1184">
      <w:pPr>
        <w:pStyle w:val="Prrafodelista"/>
        <w:tabs>
          <w:tab w:val="left" w:pos="0"/>
        </w:tabs>
        <w:spacing w:line="360" w:lineRule="auto"/>
        <w:ind w:left="0"/>
        <w:jc w:val="both"/>
        <w:rPr>
          <w:rFonts w:ascii="Palatino Linotype" w:eastAsia="MS Mincho" w:hAnsi="Palatino Linotype"/>
          <w:lang w:val="es-ES_tradnl"/>
        </w:rPr>
      </w:pPr>
      <w:r w:rsidRPr="00481B31">
        <w:rPr>
          <w:rFonts w:ascii="Palatino Linotype" w:eastAsia="MS Mincho" w:hAnsi="Palatino Linotype"/>
          <w:b/>
          <w:lang w:val="es-ES_tradnl"/>
        </w:rPr>
        <w:t>VISTO</w:t>
      </w:r>
      <w:r w:rsidRPr="00481B31">
        <w:rPr>
          <w:rFonts w:ascii="Palatino Linotype" w:eastAsia="MS Mincho" w:hAnsi="Palatino Linotype"/>
          <w:lang w:val="es-ES_tradnl"/>
        </w:rPr>
        <w:t xml:space="preserve"> el expediente electrónico formado con motivo del recurso de revisión </w:t>
      </w:r>
      <w:r w:rsidR="0006001D" w:rsidRPr="00481B31">
        <w:rPr>
          <w:rFonts w:ascii="Palatino Linotype" w:eastAsia="MS Mincho" w:hAnsi="Palatino Linotype"/>
          <w:b/>
          <w:bCs/>
          <w:lang w:val="es-ES_tradnl"/>
        </w:rPr>
        <w:t>03898</w:t>
      </w:r>
      <w:r w:rsidRPr="00481B31">
        <w:rPr>
          <w:rFonts w:ascii="Palatino Linotype" w:eastAsia="MS Mincho" w:hAnsi="Palatino Linotype"/>
          <w:b/>
          <w:bCs/>
          <w:lang w:val="es-ES_tradnl"/>
        </w:rPr>
        <w:t xml:space="preserve">/INFOEM/IP/RR/2021, </w:t>
      </w:r>
      <w:r w:rsidRPr="00481B31">
        <w:rPr>
          <w:rFonts w:ascii="Palatino Linotype" w:eastAsia="MS Mincho" w:hAnsi="Palatino Linotype"/>
          <w:lang w:val="es-ES_tradnl"/>
        </w:rPr>
        <w:t>promovido por</w:t>
      </w:r>
      <w:r w:rsidR="00B4299A" w:rsidRPr="00481B31">
        <w:rPr>
          <w:rFonts w:ascii="Palatino Linotype" w:eastAsia="MS Mincho" w:hAnsi="Palatino Linotype"/>
          <w:lang w:val="es-ES_tradnl"/>
        </w:rPr>
        <w:t xml:space="preserve"> </w:t>
      </w:r>
      <w:r w:rsidR="00A219D8" w:rsidRPr="00A219D8">
        <w:rPr>
          <w:rFonts w:ascii="Palatino Linotype" w:eastAsia="MS Mincho" w:hAnsi="Palatino Linotype"/>
          <w:b/>
          <w:lang w:val="es-ES_tradnl"/>
        </w:rPr>
        <w:t>XXXX XXXXX XXXX XXXX</w:t>
      </w:r>
      <w:r w:rsidR="00A219D8" w:rsidRPr="00A219D8">
        <w:rPr>
          <w:rFonts w:ascii="Palatino Linotype" w:eastAsia="MS Mincho" w:hAnsi="Palatino Linotype"/>
          <w:lang w:val="es-ES_tradnl"/>
        </w:rPr>
        <w:t xml:space="preserve"> </w:t>
      </w:r>
      <w:r w:rsidRPr="00481B31">
        <w:rPr>
          <w:rFonts w:ascii="Palatino Linotype" w:eastAsia="MS Mincho" w:hAnsi="Palatino Linotype"/>
          <w:lang w:val="es-ES_tradnl"/>
        </w:rPr>
        <w:t xml:space="preserve">en su calidad de </w:t>
      </w:r>
      <w:r w:rsidRPr="00481B31">
        <w:rPr>
          <w:rFonts w:ascii="Palatino Linotype" w:eastAsia="MS Mincho" w:hAnsi="Palatino Linotype"/>
          <w:b/>
          <w:lang w:val="es-ES_tradnl"/>
        </w:rPr>
        <w:t>RECURRENTE</w:t>
      </w:r>
      <w:r w:rsidR="00B4299A" w:rsidRPr="00481B31">
        <w:rPr>
          <w:rFonts w:ascii="Palatino Linotype" w:eastAsia="MS Mincho" w:hAnsi="Palatino Linotype"/>
          <w:lang w:val="es-ES_tradnl"/>
        </w:rPr>
        <w:t xml:space="preserve">, en contra de la respuesta de la </w:t>
      </w:r>
      <w:r w:rsidR="0006001D" w:rsidRPr="00481B31">
        <w:rPr>
          <w:rFonts w:ascii="Palatino Linotype" w:eastAsia="MS Mincho" w:hAnsi="Palatino Linotype"/>
          <w:b/>
          <w:lang w:val="es-ES_tradnl"/>
        </w:rPr>
        <w:t>Poder Legislativo</w:t>
      </w:r>
      <w:r w:rsidR="00B4299A" w:rsidRPr="00481B31">
        <w:rPr>
          <w:rFonts w:ascii="Palatino Linotype" w:eastAsia="MS Mincho" w:hAnsi="Palatino Linotype"/>
          <w:b/>
          <w:lang w:val="es-ES_tradnl"/>
        </w:rPr>
        <w:t xml:space="preserve"> </w:t>
      </w:r>
      <w:r w:rsidRPr="00481B31">
        <w:rPr>
          <w:rFonts w:ascii="Palatino Linotype" w:eastAsia="MS Mincho" w:hAnsi="Palatino Linotype"/>
          <w:lang w:val="es-ES_tradnl"/>
        </w:rPr>
        <w:t>en lo sucesivo el</w:t>
      </w:r>
      <w:r w:rsidRPr="00481B31">
        <w:rPr>
          <w:rFonts w:ascii="Palatino Linotype" w:eastAsia="MS Mincho" w:hAnsi="Palatino Linotype"/>
          <w:b/>
          <w:lang w:val="es-ES_tradnl"/>
        </w:rPr>
        <w:t xml:space="preserve"> SUJETO OBLIGADO, </w:t>
      </w:r>
      <w:r w:rsidRPr="00481B31">
        <w:rPr>
          <w:rFonts w:ascii="Palatino Linotype" w:eastAsia="MS Mincho" w:hAnsi="Palatino Linotype"/>
          <w:lang w:val="es-ES_tradnl"/>
        </w:rPr>
        <w:t xml:space="preserve">se procede a dictar la presente resolución, con base en los siguientes: </w:t>
      </w:r>
    </w:p>
    <w:p w14:paraId="64D30E95" w14:textId="2F57A823" w:rsidR="00F216D7" w:rsidRPr="00481B31" w:rsidRDefault="00EA0165" w:rsidP="000C1184">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5137155"/>
      <w:r w:rsidRPr="00481B31">
        <w:rPr>
          <w:rFonts w:ascii="Palatino Linotype" w:hAnsi="Palatino Linotype"/>
          <w:b/>
          <w:color w:val="000000" w:themeColor="text1"/>
          <w:sz w:val="24"/>
          <w:szCs w:val="24"/>
          <w:lang w:val="es-MX" w:eastAsia="en-US"/>
        </w:rPr>
        <w:t>ANTECEDENTES</w:t>
      </w:r>
      <w:bookmarkEnd w:id="0"/>
      <w:bookmarkEnd w:id="1"/>
      <w:bookmarkEnd w:id="2"/>
      <w:bookmarkEnd w:id="3"/>
    </w:p>
    <w:p w14:paraId="18BB8EDB" w14:textId="53EDDBD4" w:rsidR="00EA0165" w:rsidRPr="00481B31" w:rsidRDefault="00EA0165" w:rsidP="0006001D">
      <w:pPr>
        <w:pStyle w:val="Prrafodelista"/>
        <w:numPr>
          <w:ilvl w:val="0"/>
          <w:numId w:val="17"/>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481B31">
        <w:rPr>
          <w:rFonts w:ascii="Palatino Linotype" w:eastAsia="Calibri" w:hAnsi="Palatino Linotype" w:cs="Arial"/>
          <w:color w:val="000000" w:themeColor="text1"/>
        </w:rPr>
        <w:t>El</w:t>
      </w:r>
      <w:r w:rsidR="00F216D7" w:rsidRPr="00481B31">
        <w:rPr>
          <w:rFonts w:ascii="Palatino Linotype" w:eastAsia="Calibri" w:hAnsi="Palatino Linotype" w:cs="Arial"/>
          <w:color w:val="000000" w:themeColor="text1"/>
        </w:rPr>
        <w:t xml:space="preserve"> </w:t>
      </w:r>
      <w:r w:rsidR="0006001D" w:rsidRPr="00481B31">
        <w:rPr>
          <w:rFonts w:ascii="Palatino Linotype" w:eastAsia="Calibri" w:hAnsi="Palatino Linotype" w:cs="Arial"/>
          <w:color w:val="000000" w:themeColor="text1"/>
        </w:rPr>
        <w:t>cinco</w:t>
      </w:r>
      <w:r w:rsidRPr="00481B31">
        <w:rPr>
          <w:rFonts w:ascii="Palatino Linotype" w:eastAsia="Calibri" w:hAnsi="Palatino Linotype" w:cs="Arial"/>
          <w:color w:val="000000" w:themeColor="text1"/>
        </w:rPr>
        <w:t xml:space="preserve"> (</w:t>
      </w:r>
      <w:r w:rsidR="0006001D" w:rsidRPr="00481B31">
        <w:rPr>
          <w:rFonts w:ascii="Palatino Linotype" w:eastAsia="Calibri" w:hAnsi="Palatino Linotype" w:cs="Arial"/>
          <w:color w:val="000000" w:themeColor="text1"/>
        </w:rPr>
        <w:t>05</w:t>
      </w:r>
      <w:r w:rsidRPr="00481B31">
        <w:rPr>
          <w:rFonts w:ascii="Palatino Linotype" w:eastAsia="Calibri" w:hAnsi="Palatino Linotype" w:cs="Arial"/>
          <w:color w:val="000000" w:themeColor="text1"/>
        </w:rPr>
        <w:t>) de</w:t>
      </w:r>
      <w:r w:rsidR="00F00FF2" w:rsidRPr="00481B31">
        <w:rPr>
          <w:rFonts w:ascii="Palatino Linotype" w:eastAsia="Calibri" w:hAnsi="Palatino Linotype" w:cs="Arial"/>
          <w:color w:val="000000" w:themeColor="text1"/>
        </w:rPr>
        <w:t xml:space="preserve"> jul</w:t>
      </w:r>
      <w:r w:rsidR="007300F7" w:rsidRPr="00481B31">
        <w:rPr>
          <w:rFonts w:ascii="Palatino Linotype" w:eastAsia="Calibri" w:hAnsi="Palatino Linotype" w:cs="Arial"/>
          <w:color w:val="000000" w:themeColor="text1"/>
        </w:rPr>
        <w:t>io</w:t>
      </w:r>
      <w:r w:rsidRPr="00481B31">
        <w:rPr>
          <w:rFonts w:ascii="Palatino Linotype" w:eastAsia="Calibri" w:hAnsi="Palatino Linotype" w:cs="Arial"/>
          <w:color w:val="000000" w:themeColor="text1"/>
        </w:rPr>
        <w:t xml:space="preserve"> de dos mil </w:t>
      </w:r>
      <w:r w:rsidR="002B2B24" w:rsidRPr="00481B31">
        <w:rPr>
          <w:rFonts w:ascii="Palatino Linotype" w:eastAsia="Calibri" w:hAnsi="Palatino Linotype" w:cs="Arial"/>
          <w:color w:val="000000" w:themeColor="text1"/>
        </w:rPr>
        <w:t>veintiuno</w:t>
      </w:r>
      <w:r w:rsidRPr="00481B31">
        <w:rPr>
          <w:rFonts w:ascii="Palatino Linotype" w:eastAsia="Calibri" w:hAnsi="Palatino Linotype" w:cs="Arial"/>
          <w:color w:val="000000" w:themeColor="text1"/>
        </w:rPr>
        <w:t xml:space="preserve">, </w:t>
      </w:r>
      <w:r w:rsidRPr="00481B31">
        <w:rPr>
          <w:rFonts w:ascii="Palatino Linotype" w:eastAsiaTheme="minorEastAsia" w:hAnsi="Palatino Linotype" w:cstheme="minorBidi"/>
          <w:color w:val="000000" w:themeColor="text1"/>
          <w:lang w:val="es-ES_tradnl"/>
        </w:rPr>
        <w:t>el particular presentó</w:t>
      </w:r>
      <w:r w:rsidRPr="00481B31">
        <w:rPr>
          <w:rFonts w:ascii="Palatino Linotype" w:eastAsiaTheme="minorEastAsia" w:hAnsi="Palatino Linotype" w:cstheme="minorBidi"/>
          <w:b/>
          <w:color w:val="000000" w:themeColor="text1"/>
          <w:lang w:val="es-ES_tradnl"/>
        </w:rPr>
        <w:t xml:space="preserve"> </w:t>
      </w:r>
      <w:r w:rsidRPr="00481B31">
        <w:rPr>
          <w:rFonts w:ascii="Palatino Linotype" w:eastAsiaTheme="minorEastAsia" w:hAnsi="Palatino Linotype" w:cstheme="minorBidi"/>
          <w:bCs/>
          <w:color w:val="000000" w:themeColor="text1"/>
          <w:lang w:val="es-ES_tradnl"/>
        </w:rPr>
        <w:t xml:space="preserve">a través del </w:t>
      </w:r>
      <w:r w:rsidR="00DD24BD" w:rsidRPr="00481B31">
        <w:rPr>
          <w:rFonts w:ascii="Palatino Linotype" w:eastAsia="Calibri" w:hAnsi="Palatino Linotype" w:cs="Arial"/>
          <w:color w:val="000000" w:themeColor="text1"/>
        </w:rPr>
        <w:t>Sistema de Acceso</w:t>
      </w:r>
      <w:r w:rsidRPr="00481B31">
        <w:rPr>
          <w:rFonts w:ascii="Palatino Linotype" w:eastAsia="Calibri" w:hAnsi="Palatino Linotype" w:cs="Arial"/>
          <w:color w:val="000000" w:themeColor="text1"/>
        </w:rPr>
        <w:t xml:space="preserve"> a la Información Mexiquense</w:t>
      </w:r>
      <w:r w:rsidRPr="00481B31">
        <w:rPr>
          <w:rFonts w:ascii="Palatino Linotype" w:eastAsia="Calibri" w:hAnsi="Palatino Linotype" w:cs="Arial"/>
          <w:b/>
          <w:color w:val="000000" w:themeColor="text1"/>
        </w:rPr>
        <w:t xml:space="preserve"> </w:t>
      </w:r>
      <w:r w:rsidRPr="00481B31">
        <w:rPr>
          <w:rFonts w:ascii="Palatino Linotype" w:eastAsia="Calibri" w:hAnsi="Palatino Linotype" w:cs="Arial"/>
          <w:b/>
          <w:bCs/>
          <w:color w:val="000000" w:themeColor="text1"/>
        </w:rPr>
        <w:t>(SAIMEX)</w:t>
      </w:r>
      <w:r w:rsidRPr="00481B31">
        <w:rPr>
          <w:rFonts w:ascii="Palatino Linotype" w:eastAsia="Calibri" w:hAnsi="Palatino Linotype" w:cs="Arial"/>
          <w:b/>
          <w:color w:val="000000" w:themeColor="text1"/>
        </w:rPr>
        <w:t xml:space="preserve">, </w:t>
      </w:r>
      <w:r w:rsidRPr="00481B31">
        <w:rPr>
          <w:rFonts w:ascii="Palatino Linotype" w:eastAsia="Calibri" w:hAnsi="Palatino Linotype" w:cs="Arial"/>
          <w:color w:val="000000" w:themeColor="text1"/>
        </w:rPr>
        <w:t>la solicitud de información pública registrada con el número</w:t>
      </w:r>
      <w:r w:rsidR="0006001D" w:rsidRPr="00481B31">
        <w:rPr>
          <w:rFonts w:ascii="Palatino Linotype" w:hAnsi="Palatino Linotype"/>
          <w:b/>
          <w:bCs/>
          <w:color w:val="FF0000"/>
        </w:rPr>
        <w:t xml:space="preserve"> </w:t>
      </w:r>
      <w:r w:rsidR="0006001D" w:rsidRPr="00481B31">
        <w:rPr>
          <w:rFonts w:ascii="Palatino Linotype" w:eastAsia="Calibri" w:hAnsi="Palatino Linotype" w:cs="Arial"/>
          <w:b/>
          <w:bCs/>
          <w:color w:val="000000" w:themeColor="text1"/>
        </w:rPr>
        <w:t>00395/PLEGISLA/IP/2021</w:t>
      </w:r>
      <w:r w:rsidRPr="00481B31">
        <w:rPr>
          <w:rFonts w:ascii="Palatino Linotype" w:eastAsiaTheme="minorEastAsia" w:hAnsi="Palatino Linotype" w:cstheme="minorBidi"/>
          <w:b/>
          <w:bCs/>
          <w:color w:val="000000" w:themeColor="text1"/>
          <w:lang w:val="es-ES_tradnl"/>
        </w:rPr>
        <w:t>,</w:t>
      </w:r>
      <w:r w:rsidRPr="00481B31">
        <w:rPr>
          <w:rFonts w:ascii="Palatino Linotype" w:eastAsia="Calibri" w:hAnsi="Palatino Linotype" w:cs="Arial"/>
          <w:color w:val="000000" w:themeColor="text1"/>
        </w:rPr>
        <w:t xml:space="preserve"> mediante la cual requirió:</w:t>
      </w:r>
    </w:p>
    <w:p w14:paraId="6E641C3B" w14:textId="77777777" w:rsidR="00EA0165" w:rsidRPr="00481B31" w:rsidRDefault="00EA0165" w:rsidP="000C1184">
      <w:pPr>
        <w:tabs>
          <w:tab w:val="left" w:pos="426"/>
        </w:tabs>
        <w:spacing w:line="360" w:lineRule="auto"/>
        <w:contextualSpacing/>
        <w:jc w:val="both"/>
        <w:rPr>
          <w:rFonts w:ascii="Palatino Linotype" w:eastAsia="Calibri" w:hAnsi="Palatino Linotype" w:cs="Arial"/>
          <w:color w:val="000000" w:themeColor="text1"/>
        </w:rPr>
      </w:pPr>
    </w:p>
    <w:p w14:paraId="119BF7E0" w14:textId="06E911C9" w:rsidR="00EA0165" w:rsidRPr="00481B31" w:rsidRDefault="00EA0165" w:rsidP="000C1184">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481B31">
        <w:rPr>
          <w:rFonts w:ascii="Palatino Linotype" w:eastAsiaTheme="minorEastAsia" w:hAnsi="Palatino Linotype" w:cstheme="minorBidi"/>
          <w:i/>
          <w:color w:val="000000" w:themeColor="text1"/>
          <w:lang w:val="es-ES_tradnl"/>
        </w:rPr>
        <w:t>“</w:t>
      </w:r>
      <w:r w:rsidR="0006001D" w:rsidRPr="00481B31">
        <w:rPr>
          <w:rFonts w:ascii="Palatino Linotype" w:eastAsiaTheme="minorEastAsia" w:hAnsi="Palatino Linotype" w:cstheme="minorBidi"/>
          <w:i/>
          <w:color w:val="000000" w:themeColor="text1"/>
          <w:lang w:val="es-ES_tradnl"/>
        </w:rPr>
        <w:t xml:space="preserve">Con fundamento por lo establecido en el articulo sexto de la Constitución Política de los Estados Unidos Mexicanos, respetuosamente solicito de la Legislatura del Estado de México, la siguiente información pública: 1.- Solicito del Presidente de la Comision Legislativa de Limites Territoriales del Estado de México y sus Municipios, me proporcione en version publica, toda la informacion relativa al diferendo limitrofe del Municipio de Teoloyucan vs Municipio de Cuautitlán y Cuautitlán Izcalli. 2.-Todos y cada uno de los documentos </w:t>
      </w:r>
      <w:r w:rsidR="0006001D" w:rsidRPr="00481B31">
        <w:rPr>
          <w:rFonts w:ascii="Palatino Linotype" w:eastAsiaTheme="minorEastAsia" w:hAnsi="Palatino Linotype" w:cstheme="minorBidi"/>
          <w:i/>
          <w:color w:val="000000" w:themeColor="text1"/>
          <w:lang w:val="es-ES_tradnl"/>
        </w:rPr>
        <w:lastRenderedPageBreak/>
        <w:t>considerados como anexos de la presente solicitud de acceso a la información pública</w:t>
      </w:r>
      <w:r w:rsidRPr="00481B31">
        <w:rPr>
          <w:rFonts w:ascii="Palatino Linotype" w:eastAsiaTheme="minorEastAsia" w:hAnsi="Palatino Linotype" w:cstheme="minorBidi"/>
          <w:i/>
          <w:color w:val="000000" w:themeColor="text1"/>
          <w:lang w:val="es-ES_tradnl"/>
        </w:rPr>
        <w:t xml:space="preserve">.” </w:t>
      </w:r>
      <w:r w:rsidRPr="00481B31">
        <w:rPr>
          <w:rFonts w:ascii="Palatino Linotype" w:eastAsiaTheme="minorEastAsia" w:hAnsi="Palatino Linotype" w:cstheme="minorBidi"/>
          <w:color w:val="000000" w:themeColor="text1"/>
          <w:lang w:val="es-ES_tradnl"/>
        </w:rPr>
        <w:t>(Sic).</w:t>
      </w:r>
    </w:p>
    <w:p w14:paraId="1046CCE1" w14:textId="304A6F03" w:rsidR="00A415DB" w:rsidRPr="00481B31" w:rsidRDefault="00A415DB" w:rsidP="000C1184">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0B2949BC" w14:textId="23CFBF42" w:rsidR="00EA0165" w:rsidRPr="00481B31" w:rsidRDefault="00EA0165" w:rsidP="000C1184">
      <w:pPr>
        <w:pStyle w:val="Prrafodelista"/>
        <w:numPr>
          <w:ilvl w:val="0"/>
          <w:numId w:val="17"/>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81B31">
        <w:rPr>
          <w:rFonts w:ascii="Palatino Linotype" w:eastAsiaTheme="minorEastAsia" w:hAnsi="Palatino Linotype" w:cs="Arial"/>
          <w:color w:val="000000" w:themeColor="text1"/>
          <w:lang w:val="es-ES_tradnl"/>
        </w:rPr>
        <w:t xml:space="preserve">Se hace constar que </w:t>
      </w:r>
      <w:r w:rsidRPr="00481B31">
        <w:rPr>
          <w:rFonts w:ascii="Palatino Linotype" w:hAnsi="Palatino Linotype" w:cs="Arial"/>
          <w:color w:val="000000" w:themeColor="text1"/>
        </w:rPr>
        <w:t xml:space="preserve">el entonces </w:t>
      </w:r>
      <w:r w:rsidRPr="00481B31">
        <w:rPr>
          <w:rFonts w:ascii="Palatino Linotype" w:hAnsi="Palatino Linotype" w:cs="Arial"/>
          <w:b/>
          <w:color w:val="000000" w:themeColor="text1"/>
        </w:rPr>
        <w:t>SOLICITANTE</w:t>
      </w:r>
      <w:r w:rsidRPr="00481B31">
        <w:rPr>
          <w:rFonts w:ascii="Palatino Linotype" w:hAnsi="Palatino Linotype" w:cs="Arial"/>
          <w:color w:val="000000" w:themeColor="text1"/>
        </w:rPr>
        <w:t xml:space="preserve"> señaló como modalidad de entrega de la información</w:t>
      </w:r>
      <w:r w:rsidRPr="00481B31">
        <w:rPr>
          <w:rFonts w:ascii="Palatino Linotype" w:hAnsi="Palatino Linotype" w:cs="Arial"/>
          <w:b/>
          <w:color w:val="000000" w:themeColor="text1"/>
        </w:rPr>
        <w:t>:</w:t>
      </w:r>
      <w:r w:rsidRPr="00481B31">
        <w:rPr>
          <w:rFonts w:ascii="Palatino Linotype" w:hAnsi="Palatino Linotype" w:cs="Arial"/>
          <w:color w:val="000000" w:themeColor="text1"/>
        </w:rPr>
        <w:t xml:space="preserve"> </w:t>
      </w:r>
      <w:r w:rsidRPr="00481B31">
        <w:rPr>
          <w:rFonts w:ascii="Palatino Linotype" w:hAnsi="Palatino Linotype" w:cs="Arial"/>
          <w:b/>
          <w:color w:val="000000" w:themeColor="text1"/>
        </w:rPr>
        <w:t>A través del SAIMEX</w:t>
      </w:r>
      <w:r w:rsidRPr="00481B31">
        <w:rPr>
          <w:rFonts w:ascii="Palatino Linotype" w:eastAsia="Calibri" w:hAnsi="Palatino Linotype" w:cs="Arial"/>
          <w:color w:val="000000" w:themeColor="text1"/>
          <w:lang w:val="es-AR"/>
        </w:rPr>
        <w:t>.</w:t>
      </w:r>
    </w:p>
    <w:p w14:paraId="73E918B8" w14:textId="77777777" w:rsidR="0042021B" w:rsidRPr="00481B31" w:rsidRDefault="0042021B" w:rsidP="000C1184">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49FE673F" w14:textId="53FF10FF" w:rsidR="00EA0165" w:rsidRPr="00481B31" w:rsidRDefault="001A0598" w:rsidP="000C1184">
      <w:pPr>
        <w:pStyle w:val="Prrafodelista"/>
        <w:numPr>
          <w:ilvl w:val="0"/>
          <w:numId w:val="17"/>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481B31">
        <w:rPr>
          <w:rFonts w:ascii="Palatino Linotype" w:eastAsiaTheme="minorEastAsia" w:hAnsi="Palatino Linotype" w:cstheme="minorBidi"/>
          <w:color w:val="000000" w:themeColor="text1"/>
          <w:lang w:val="es-ES_tradnl"/>
        </w:rPr>
        <w:t xml:space="preserve">El </w:t>
      </w:r>
      <w:r w:rsidR="0006001D" w:rsidRPr="00481B31">
        <w:rPr>
          <w:rFonts w:ascii="Palatino Linotype" w:eastAsiaTheme="minorEastAsia" w:hAnsi="Palatino Linotype" w:cstheme="minorBidi"/>
          <w:color w:val="000000" w:themeColor="text1"/>
          <w:lang w:val="es-ES_tradnl"/>
        </w:rPr>
        <w:t>tres (03</w:t>
      </w:r>
      <w:r w:rsidR="00BA3CDE" w:rsidRPr="00481B31">
        <w:rPr>
          <w:rFonts w:ascii="Palatino Linotype" w:eastAsiaTheme="minorEastAsia" w:hAnsi="Palatino Linotype" w:cstheme="minorBidi"/>
          <w:color w:val="000000" w:themeColor="text1"/>
          <w:lang w:val="es-ES_tradnl"/>
        </w:rPr>
        <w:t>) de</w:t>
      </w:r>
      <w:r w:rsidR="0006001D" w:rsidRPr="00481B31">
        <w:rPr>
          <w:rFonts w:ascii="Palatino Linotype" w:eastAsiaTheme="minorEastAsia" w:hAnsi="Palatino Linotype" w:cstheme="minorBidi"/>
          <w:color w:val="000000" w:themeColor="text1"/>
          <w:lang w:val="es-ES_tradnl"/>
        </w:rPr>
        <w:t xml:space="preserve"> agosto </w:t>
      </w:r>
      <w:r w:rsidR="00EA0165" w:rsidRPr="00481B31">
        <w:rPr>
          <w:rFonts w:ascii="Palatino Linotype" w:eastAsiaTheme="minorEastAsia" w:hAnsi="Palatino Linotype" w:cstheme="minorBidi"/>
          <w:color w:val="000000" w:themeColor="text1"/>
          <w:lang w:val="es-ES_tradnl"/>
        </w:rPr>
        <w:t xml:space="preserve">de dos mil veintiuno, el </w:t>
      </w:r>
      <w:r w:rsidR="00EA0165" w:rsidRPr="00481B31">
        <w:rPr>
          <w:rFonts w:ascii="Palatino Linotype" w:eastAsiaTheme="minorEastAsia" w:hAnsi="Palatino Linotype" w:cstheme="minorBidi"/>
          <w:b/>
          <w:color w:val="000000" w:themeColor="text1"/>
          <w:lang w:val="es-ES_tradnl"/>
        </w:rPr>
        <w:t>SUJETO OBLIGADO</w:t>
      </w:r>
      <w:r w:rsidR="00EA0165" w:rsidRPr="00481B31">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3A130D6D" w14:textId="77777777" w:rsidR="002B2B24" w:rsidRPr="00481B31" w:rsidRDefault="002B2B24" w:rsidP="000C1184">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402A1B4D" w14:textId="2F96E0E7" w:rsidR="0006001D" w:rsidRPr="00481B31" w:rsidRDefault="00EA0165" w:rsidP="0006001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81B31">
        <w:rPr>
          <w:rFonts w:ascii="Palatino Linotype" w:eastAsiaTheme="minorEastAsia" w:hAnsi="Palatino Linotype" w:cstheme="minorBidi"/>
          <w:i/>
          <w:noProof/>
          <w:color w:val="000000" w:themeColor="text1"/>
          <w:lang w:val="es-MX" w:eastAsia="es-MX"/>
        </w:rPr>
        <w:t>“</w:t>
      </w:r>
      <w:r w:rsidR="0006001D" w:rsidRPr="00481B31">
        <w:rPr>
          <w:rFonts w:ascii="Palatino Linotype" w:eastAsiaTheme="minorEastAsia" w:hAnsi="Palatino Linotype" w:cstheme="minorBidi"/>
          <w:i/>
          <w:noProof/>
          <w:color w:val="000000" w:themeColor="text1"/>
          <w:lang w:val="es-MX" w:eastAsia="es-MX"/>
        </w:rPr>
        <w:t>Metepec, México a 03 de Agosto de 2021</w:t>
      </w:r>
    </w:p>
    <w:p w14:paraId="2A66246D" w14:textId="5CA98A56" w:rsidR="0006001D" w:rsidRPr="00481B31" w:rsidRDefault="0006001D" w:rsidP="0006001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81B31">
        <w:rPr>
          <w:rFonts w:ascii="Palatino Linotype" w:eastAsiaTheme="minorEastAsia" w:hAnsi="Palatino Linotype" w:cstheme="minorBidi"/>
          <w:i/>
          <w:noProof/>
          <w:color w:val="000000" w:themeColor="text1"/>
          <w:lang w:val="es-MX" w:eastAsia="es-MX"/>
        </w:rPr>
        <w:t xml:space="preserve">Nombre del solicitante: </w:t>
      </w:r>
      <w:r w:rsidR="00A219D8" w:rsidRPr="00A219D8">
        <w:rPr>
          <w:rFonts w:ascii="Palatino Linotype" w:eastAsiaTheme="minorEastAsia" w:hAnsi="Palatino Linotype" w:cstheme="minorBidi"/>
          <w:i/>
          <w:noProof/>
          <w:color w:val="000000" w:themeColor="text1"/>
          <w:lang w:val="es-MX" w:eastAsia="es-MX"/>
        </w:rPr>
        <w:t>XXXX XXXXX XXXX XXXX</w:t>
      </w:r>
    </w:p>
    <w:p w14:paraId="2B904011" w14:textId="77777777" w:rsidR="0006001D" w:rsidRPr="00481B31" w:rsidRDefault="0006001D" w:rsidP="0006001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481B31">
        <w:rPr>
          <w:rFonts w:ascii="Palatino Linotype" w:eastAsiaTheme="minorEastAsia" w:hAnsi="Palatino Linotype" w:cstheme="minorBidi"/>
          <w:i/>
          <w:noProof/>
          <w:color w:val="000000" w:themeColor="text1"/>
          <w:lang w:val="es-MX" w:eastAsia="es-MX"/>
        </w:rPr>
        <w:t>Folio de la solicitud: 00395/PLEGISLA/IP/2021</w:t>
      </w:r>
    </w:p>
    <w:p w14:paraId="57F6972E" w14:textId="77777777" w:rsidR="0006001D" w:rsidRPr="00481B31" w:rsidRDefault="0006001D" w:rsidP="0006001D">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481B31">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3ED73B" w14:textId="77777777" w:rsidR="0006001D" w:rsidRPr="00481B31" w:rsidRDefault="0006001D" w:rsidP="0006001D">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2A1292BC" w14:textId="77777777" w:rsidR="0006001D" w:rsidRPr="00481B31" w:rsidRDefault="0006001D" w:rsidP="0006001D">
      <w:pPr>
        <w:spacing w:line="360" w:lineRule="auto"/>
        <w:ind w:left="567" w:right="567"/>
        <w:rPr>
          <w:rFonts w:ascii="Palatino Linotype" w:eastAsiaTheme="minorEastAsia" w:hAnsi="Palatino Linotype" w:cstheme="minorBidi"/>
          <w:i/>
          <w:noProof/>
          <w:color w:val="000000" w:themeColor="text1"/>
          <w:lang w:val="es-MX" w:eastAsia="es-MX"/>
        </w:rPr>
      </w:pPr>
      <w:r w:rsidRPr="00481B31">
        <w:rPr>
          <w:rFonts w:ascii="Palatino Linotype" w:eastAsiaTheme="minorEastAsia" w:hAnsi="Palatino Linotype" w:cstheme="minorBidi"/>
          <w:i/>
          <w:noProof/>
          <w:color w:val="000000" w:themeColor="text1"/>
          <w:lang w:val="es-MX" w:eastAsia="es-MX"/>
        </w:rPr>
        <w:t>Envío respuesta en archivos adjuntos.</w:t>
      </w:r>
    </w:p>
    <w:p w14:paraId="2593F3AA" w14:textId="77777777" w:rsidR="0006001D" w:rsidRPr="00481B31" w:rsidRDefault="0006001D" w:rsidP="0006001D">
      <w:pPr>
        <w:spacing w:line="360" w:lineRule="auto"/>
        <w:ind w:left="567" w:right="567"/>
        <w:rPr>
          <w:rFonts w:ascii="Palatino Linotype" w:eastAsiaTheme="minorEastAsia" w:hAnsi="Palatino Linotype" w:cstheme="minorBidi"/>
          <w:i/>
          <w:noProof/>
          <w:color w:val="000000" w:themeColor="text1"/>
          <w:lang w:val="es-MX" w:eastAsia="es-MX"/>
        </w:rPr>
      </w:pPr>
      <w:r w:rsidRPr="00481B31">
        <w:rPr>
          <w:rFonts w:ascii="Palatino Linotype" w:eastAsiaTheme="minorEastAsia" w:hAnsi="Palatino Linotype" w:cstheme="minorBidi"/>
          <w:i/>
          <w:noProof/>
          <w:color w:val="000000" w:themeColor="text1"/>
          <w:lang w:val="es-MX" w:eastAsia="es-MX"/>
        </w:rPr>
        <w:t>ATENTAMENTE</w:t>
      </w:r>
    </w:p>
    <w:p w14:paraId="373EF026" w14:textId="67D3E00D" w:rsidR="002B2B24" w:rsidRPr="00481B31" w:rsidRDefault="0006001D" w:rsidP="0006001D">
      <w:pPr>
        <w:spacing w:line="360" w:lineRule="auto"/>
        <w:ind w:left="567" w:right="567"/>
        <w:rPr>
          <w:rFonts w:ascii="Palatino Linotype" w:eastAsiaTheme="minorEastAsia" w:hAnsi="Palatino Linotype" w:cstheme="minorBidi"/>
          <w:i/>
          <w:noProof/>
          <w:color w:val="000000" w:themeColor="text1"/>
          <w:lang w:val="es-MX" w:eastAsia="es-MX"/>
        </w:rPr>
      </w:pPr>
      <w:r w:rsidRPr="00481B31">
        <w:rPr>
          <w:rFonts w:ascii="Palatino Linotype" w:eastAsiaTheme="minorEastAsia" w:hAnsi="Palatino Linotype" w:cstheme="minorBidi"/>
          <w:i/>
          <w:noProof/>
          <w:color w:val="000000" w:themeColor="text1"/>
          <w:lang w:val="es-MX" w:eastAsia="es-MX"/>
        </w:rPr>
        <w:t>Jesús Felipe Borja Coronel</w:t>
      </w:r>
      <w:r w:rsidR="001A0598" w:rsidRPr="00481B31">
        <w:rPr>
          <w:rFonts w:ascii="Palatino Linotype" w:eastAsiaTheme="minorEastAsia" w:hAnsi="Palatino Linotype" w:cstheme="minorBidi"/>
          <w:i/>
          <w:noProof/>
          <w:color w:val="000000" w:themeColor="text1"/>
          <w:lang w:val="es-MX" w:eastAsia="es-MX"/>
        </w:rPr>
        <w:t>.” (Sic)</w:t>
      </w:r>
    </w:p>
    <w:p w14:paraId="1CD10B41" w14:textId="77777777" w:rsidR="00EA0165" w:rsidRPr="00481B31" w:rsidRDefault="00EA0165" w:rsidP="000C1184">
      <w:pPr>
        <w:spacing w:after="240" w:line="360" w:lineRule="auto"/>
        <w:ind w:right="567"/>
        <w:jc w:val="both"/>
        <w:rPr>
          <w:rFonts w:ascii="Palatino Linotype" w:eastAsiaTheme="minorEastAsia" w:hAnsi="Palatino Linotype" w:cstheme="minorBidi"/>
          <w:noProof/>
          <w:color w:val="000000" w:themeColor="text1"/>
          <w:lang w:val="es-MX" w:eastAsia="es-MX"/>
        </w:rPr>
      </w:pPr>
    </w:p>
    <w:p w14:paraId="1AA97197" w14:textId="649AE7EA" w:rsidR="00EA0165" w:rsidRPr="00481B31" w:rsidRDefault="00EA0165" w:rsidP="000C1184">
      <w:pPr>
        <w:pStyle w:val="Prrafodelista"/>
        <w:numPr>
          <w:ilvl w:val="0"/>
          <w:numId w:val="17"/>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81B31">
        <w:rPr>
          <w:rFonts w:ascii="Palatino Linotype" w:eastAsiaTheme="minorEastAsia" w:hAnsi="Palatino Linotype" w:cstheme="minorBidi"/>
          <w:color w:val="000000" w:themeColor="text1"/>
          <w:lang w:val="es-ES_tradnl"/>
        </w:rPr>
        <w:t xml:space="preserve">Asimismo, el </w:t>
      </w:r>
      <w:r w:rsidRPr="00481B31">
        <w:rPr>
          <w:rFonts w:ascii="Palatino Linotype" w:eastAsiaTheme="minorEastAsia" w:hAnsi="Palatino Linotype" w:cstheme="minorBidi"/>
          <w:b/>
          <w:bCs/>
          <w:color w:val="000000" w:themeColor="text1"/>
          <w:lang w:val="es-ES_tradnl"/>
        </w:rPr>
        <w:t>SUJETO OBLIGADO</w:t>
      </w:r>
      <w:r w:rsidRPr="00481B31">
        <w:rPr>
          <w:rFonts w:ascii="Palatino Linotype" w:eastAsiaTheme="minorEastAsia" w:hAnsi="Palatino Linotype" w:cstheme="minorBidi"/>
          <w:color w:val="000000" w:themeColor="text1"/>
          <w:lang w:val="es-ES_tradnl"/>
        </w:rPr>
        <w:t xml:space="preserve"> adjuntó a su respuesta </w:t>
      </w:r>
      <w:r w:rsidR="00376142" w:rsidRPr="00481B31">
        <w:rPr>
          <w:rFonts w:ascii="Palatino Linotype" w:eastAsiaTheme="minorEastAsia" w:hAnsi="Palatino Linotype" w:cstheme="minorBidi"/>
          <w:color w:val="000000" w:themeColor="text1"/>
          <w:lang w:val="es-ES_tradnl"/>
        </w:rPr>
        <w:t>el</w:t>
      </w:r>
      <w:r w:rsidR="00F11AAF" w:rsidRPr="00481B31">
        <w:rPr>
          <w:rFonts w:ascii="Palatino Linotype" w:eastAsiaTheme="minorEastAsia" w:hAnsi="Palatino Linotype" w:cstheme="minorBidi"/>
          <w:color w:val="000000" w:themeColor="text1"/>
          <w:lang w:val="es-ES_tradnl"/>
        </w:rPr>
        <w:t xml:space="preserve"> archivo</w:t>
      </w:r>
      <w:r w:rsidR="00376142" w:rsidRPr="00481B31">
        <w:rPr>
          <w:rFonts w:ascii="Palatino Linotype" w:eastAsiaTheme="minorEastAsia" w:hAnsi="Palatino Linotype" w:cstheme="minorBidi"/>
          <w:color w:val="000000" w:themeColor="text1"/>
          <w:lang w:val="es-ES_tradnl"/>
        </w:rPr>
        <w:t xml:space="preserve"> </w:t>
      </w:r>
      <w:r w:rsidRPr="00481B31">
        <w:rPr>
          <w:rFonts w:ascii="Palatino Linotype" w:eastAsiaTheme="minorEastAsia" w:hAnsi="Palatino Linotype" w:cstheme="minorBidi"/>
          <w:color w:val="000000" w:themeColor="text1"/>
          <w:lang w:val="es-ES_tradnl"/>
        </w:rPr>
        <w:t>electrónico</w:t>
      </w:r>
      <w:r w:rsidR="00AE125E" w:rsidRPr="00481B31">
        <w:rPr>
          <w:rFonts w:ascii="Palatino Linotype" w:eastAsiaTheme="minorEastAsia" w:hAnsi="Palatino Linotype" w:cstheme="minorBidi"/>
          <w:color w:val="000000" w:themeColor="text1"/>
          <w:lang w:val="es-ES_tradnl"/>
        </w:rPr>
        <w:t>s</w:t>
      </w:r>
      <w:r w:rsidRPr="00481B31">
        <w:rPr>
          <w:rFonts w:ascii="Palatino Linotype" w:eastAsiaTheme="minorEastAsia" w:hAnsi="Palatino Linotype" w:cstheme="minorBidi"/>
          <w:color w:val="000000" w:themeColor="text1"/>
          <w:lang w:val="es-ES_tradnl"/>
        </w:rPr>
        <w:t xml:space="preserve"> que se describe a continuación:</w:t>
      </w:r>
    </w:p>
    <w:p w14:paraId="71777170" w14:textId="77777777" w:rsidR="00EA0165" w:rsidRPr="00481B31" w:rsidRDefault="00EA0165" w:rsidP="000C1184">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12B7DDB3" w14:textId="02915B2A" w:rsidR="0006001D" w:rsidRPr="00481B31" w:rsidRDefault="0006001D" w:rsidP="0006001D">
      <w:pPr>
        <w:pStyle w:val="Prrafodelista"/>
        <w:numPr>
          <w:ilvl w:val="0"/>
          <w:numId w:val="31"/>
        </w:numPr>
        <w:tabs>
          <w:tab w:val="left" w:pos="284"/>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r w:rsidRPr="00481B31">
        <w:rPr>
          <w:rFonts w:ascii="Palatino Linotype" w:eastAsiaTheme="minorEastAsia" w:hAnsi="Palatino Linotype" w:cstheme="minorBidi"/>
          <w:b/>
          <w:color w:val="000000" w:themeColor="text1"/>
        </w:rPr>
        <w:lastRenderedPageBreak/>
        <w:t>395 ACTA DEL COMITE.pdf</w:t>
      </w:r>
      <w:r w:rsidR="00EA0165" w:rsidRPr="00481B31">
        <w:rPr>
          <w:rFonts w:ascii="Palatino Linotype" w:eastAsiaTheme="minorEastAsia" w:hAnsi="Palatino Linotype" w:cstheme="minorBidi"/>
          <w:b/>
          <w:color w:val="000000" w:themeColor="text1"/>
          <w:lang w:val="es-ES_tradnl"/>
        </w:rPr>
        <w:t>:</w:t>
      </w:r>
      <w:r w:rsidR="00EA0165" w:rsidRPr="00481B31">
        <w:rPr>
          <w:rFonts w:ascii="Palatino Linotype" w:eastAsiaTheme="minorEastAsia" w:hAnsi="Palatino Linotype" w:cstheme="minorBidi"/>
          <w:color w:val="000000" w:themeColor="text1"/>
          <w:lang w:val="es-ES_tradnl"/>
        </w:rPr>
        <w:t xml:space="preserve"> Documento electrónico</w:t>
      </w:r>
      <w:r w:rsidRPr="00481B31">
        <w:rPr>
          <w:rFonts w:ascii="Palatino Linotype" w:eastAsiaTheme="minorEastAsia" w:hAnsi="Palatino Linotype" w:cstheme="minorBidi"/>
          <w:color w:val="000000" w:themeColor="text1"/>
          <w:lang w:val="es-ES_tradnl"/>
        </w:rPr>
        <w:t xml:space="preserve"> que en veinticuatro (24</w:t>
      </w:r>
      <w:r w:rsidR="00AE125E" w:rsidRPr="00481B31">
        <w:rPr>
          <w:rFonts w:ascii="Palatino Linotype" w:eastAsiaTheme="minorEastAsia" w:hAnsi="Palatino Linotype" w:cstheme="minorBidi"/>
          <w:color w:val="000000" w:themeColor="text1"/>
          <w:lang w:val="es-ES_tradnl"/>
        </w:rPr>
        <w:t xml:space="preserve">) hojas </w:t>
      </w:r>
      <w:r w:rsidR="00F11AAF" w:rsidRPr="00481B31">
        <w:rPr>
          <w:rFonts w:ascii="Palatino Linotype" w:eastAsiaTheme="minorEastAsia" w:hAnsi="Palatino Linotype" w:cstheme="minorBidi"/>
          <w:color w:val="000000" w:themeColor="text1"/>
          <w:lang w:val="es-ES_tradnl"/>
        </w:rPr>
        <w:t>contiene</w:t>
      </w:r>
      <w:r w:rsidR="00676566" w:rsidRPr="00481B31">
        <w:rPr>
          <w:rFonts w:ascii="Palatino Linotype" w:eastAsiaTheme="minorEastAsia" w:hAnsi="Palatino Linotype" w:cstheme="minorBidi"/>
          <w:color w:val="000000" w:themeColor="text1"/>
          <w:lang w:val="es-ES_tradnl"/>
        </w:rPr>
        <w:t>, el</w:t>
      </w:r>
      <w:r w:rsidRPr="00481B31">
        <w:rPr>
          <w:rFonts w:ascii="Palatino Linotype" w:eastAsiaTheme="minorEastAsia" w:hAnsi="Palatino Linotype" w:cstheme="minorBidi"/>
          <w:color w:val="000000" w:themeColor="text1"/>
          <w:lang w:val="es-ES_tradnl"/>
        </w:rPr>
        <w:t xml:space="preserve"> “Acta de la Décima Novena Sesión Extraordinaria del Comité de Transparencia del Poder Legislativo del Estado de México, Celebrada el 30 de Julio de 2021”</w:t>
      </w:r>
      <w:r w:rsidR="00640D71" w:rsidRPr="00481B31">
        <w:rPr>
          <w:rFonts w:ascii="Palatino Linotype" w:eastAsiaTheme="minorEastAsia" w:hAnsi="Palatino Linotype" w:cstheme="minorBidi"/>
          <w:color w:val="000000" w:themeColor="text1"/>
          <w:lang w:val="es-ES_tradnl"/>
        </w:rPr>
        <w:t xml:space="preserve">, </w:t>
      </w:r>
      <w:r w:rsidRPr="00481B31">
        <w:rPr>
          <w:rFonts w:ascii="Palatino Linotype" w:eastAsiaTheme="minorEastAsia" w:hAnsi="Palatino Linotype" w:cstheme="minorBidi"/>
          <w:color w:val="000000" w:themeColor="text1"/>
          <w:lang w:val="es-ES_tradnl"/>
        </w:rPr>
        <w:t>suscrito</w:t>
      </w:r>
      <w:r w:rsidR="00640D71" w:rsidRPr="00481B31">
        <w:rPr>
          <w:rFonts w:ascii="Palatino Linotype" w:eastAsiaTheme="minorEastAsia" w:hAnsi="Palatino Linotype" w:cstheme="minorBidi"/>
          <w:color w:val="000000" w:themeColor="text1"/>
          <w:lang w:val="es-ES_tradnl"/>
        </w:rPr>
        <w:t xml:space="preserve"> por </w:t>
      </w:r>
      <w:r w:rsidRPr="00481B31">
        <w:rPr>
          <w:rFonts w:ascii="Palatino Linotype" w:eastAsiaTheme="minorEastAsia" w:hAnsi="Palatino Linotype" w:cstheme="minorBidi"/>
          <w:color w:val="000000" w:themeColor="text1"/>
          <w:lang w:val="es-ES_tradnl"/>
        </w:rPr>
        <w:t>los integrantes del comité de transparencia</w:t>
      </w:r>
      <w:r w:rsidR="00050D22" w:rsidRPr="00481B31">
        <w:rPr>
          <w:rFonts w:ascii="Palatino Linotype" w:eastAsiaTheme="minorEastAsia" w:hAnsi="Palatino Linotype" w:cstheme="minorBidi"/>
          <w:color w:val="000000" w:themeColor="text1"/>
          <w:lang w:val="es-ES_tradnl"/>
        </w:rPr>
        <w:t xml:space="preserve"> mediante la cual se registró el acuerdo PLEGISLA/LX/CT/19aext/2021/SÉPTIMO, en el que se califica como reservada la información relacionada al expediente y los anexos del diferendo limítrofe intermunicipal entre los municipios de Teoloyucan, Cuautitlán, Cuautitlán Izcalli.    </w:t>
      </w:r>
    </w:p>
    <w:p w14:paraId="2C85FB46" w14:textId="77777777" w:rsidR="0006001D" w:rsidRPr="00481B31" w:rsidRDefault="0006001D" w:rsidP="0006001D">
      <w:pPr>
        <w:pStyle w:val="Prrafodelista"/>
        <w:tabs>
          <w:tab w:val="left" w:pos="284"/>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37F616DD" w14:textId="77777777" w:rsidR="00050D22" w:rsidRPr="00481B31" w:rsidRDefault="00050D22" w:rsidP="0006001D">
      <w:pPr>
        <w:pStyle w:val="Prrafodelista"/>
        <w:tabs>
          <w:tab w:val="left" w:pos="284"/>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0D4A9DB8" w14:textId="3B20667E" w:rsidR="00050D22" w:rsidRPr="00481B31" w:rsidRDefault="00050D22" w:rsidP="00567BCA">
      <w:pPr>
        <w:pStyle w:val="Prrafodelista"/>
        <w:numPr>
          <w:ilvl w:val="0"/>
          <w:numId w:val="31"/>
        </w:numPr>
        <w:tabs>
          <w:tab w:val="left" w:pos="284"/>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r w:rsidRPr="00481B31">
        <w:rPr>
          <w:rFonts w:ascii="Palatino Linotype" w:eastAsiaTheme="minorEastAsia" w:hAnsi="Palatino Linotype" w:cstheme="minorBidi"/>
          <w:b/>
          <w:color w:val="000000" w:themeColor="text1"/>
        </w:rPr>
        <w:t>395 RESPUESTA.pdf</w:t>
      </w:r>
      <w:r w:rsidRPr="00481B31">
        <w:rPr>
          <w:rFonts w:ascii="Palatino Linotype" w:eastAsiaTheme="minorEastAsia" w:hAnsi="Palatino Linotype" w:cstheme="minorBidi"/>
          <w:color w:val="000000" w:themeColor="text1"/>
        </w:rPr>
        <w:t xml:space="preserve">: </w:t>
      </w:r>
      <w:r w:rsidRPr="00481B31">
        <w:rPr>
          <w:rFonts w:ascii="Palatino Linotype" w:eastAsiaTheme="minorEastAsia" w:hAnsi="Palatino Linotype" w:cstheme="minorBidi"/>
          <w:color w:val="000000" w:themeColor="text1"/>
          <w:lang w:val="es-ES_tradnl"/>
        </w:rPr>
        <w:t xml:space="preserve">Documento electrónico que en dos (02) hojas contiene el oficio de fecha tres (03) de agosto de 2021, suscrito por el Servidor Público Habilitado mediante el cual  se refiere que no es posible poner a disposición del particular la información solicitad toda vez que se observan causales de reserva. </w:t>
      </w:r>
    </w:p>
    <w:p w14:paraId="0ABE0EEA" w14:textId="77777777" w:rsidR="00050D22" w:rsidRPr="00481B31" w:rsidRDefault="00050D22" w:rsidP="00050D22">
      <w:pPr>
        <w:tabs>
          <w:tab w:val="left" w:pos="284"/>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7562FBB7" w14:textId="77777777" w:rsidR="00050D22" w:rsidRPr="00481B31" w:rsidRDefault="00050D22" w:rsidP="00050D22">
      <w:pPr>
        <w:tabs>
          <w:tab w:val="left" w:pos="284"/>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F686D2A" w14:textId="24DF8DDC" w:rsidR="005171DE" w:rsidRPr="00481B31" w:rsidRDefault="00050D22" w:rsidP="00567BCA">
      <w:pPr>
        <w:pStyle w:val="Prrafodelista"/>
        <w:numPr>
          <w:ilvl w:val="0"/>
          <w:numId w:val="31"/>
        </w:numPr>
        <w:tabs>
          <w:tab w:val="left" w:pos="284"/>
          <w:tab w:val="left" w:pos="993"/>
          <w:tab w:val="left" w:pos="1134"/>
        </w:tabs>
        <w:spacing w:line="360" w:lineRule="auto"/>
        <w:ind w:left="567" w:right="616" w:firstLine="0"/>
        <w:contextualSpacing/>
        <w:jc w:val="both"/>
        <w:rPr>
          <w:rFonts w:ascii="Palatino Linotype" w:eastAsiaTheme="minorEastAsia" w:hAnsi="Palatino Linotype" w:cstheme="minorBidi"/>
          <w:b/>
          <w:color w:val="000000" w:themeColor="text1"/>
          <w:lang w:val="es-ES_tradnl"/>
        </w:rPr>
      </w:pPr>
      <w:r w:rsidRPr="00481B31">
        <w:rPr>
          <w:rFonts w:ascii="Palatino Linotype" w:eastAsiaTheme="minorEastAsia" w:hAnsi="Palatino Linotype" w:cstheme="minorBidi"/>
          <w:b/>
          <w:color w:val="000000" w:themeColor="text1"/>
        </w:rPr>
        <w:t>395 RESPUESTA SAP .pdf</w:t>
      </w:r>
      <w:r w:rsidRPr="00481B31">
        <w:rPr>
          <w:rFonts w:ascii="Palatino Linotype" w:eastAsiaTheme="minorEastAsia" w:hAnsi="Palatino Linotype" w:cstheme="minorBidi"/>
          <w:color w:val="000000" w:themeColor="text1"/>
        </w:rPr>
        <w:t xml:space="preserve">: </w:t>
      </w:r>
      <w:r w:rsidRPr="00481B31">
        <w:rPr>
          <w:rFonts w:ascii="Palatino Linotype" w:eastAsiaTheme="minorEastAsia" w:hAnsi="Palatino Linotype" w:cstheme="minorBidi"/>
          <w:color w:val="000000" w:themeColor="text1"/>
          <w:lang w:val="es-ES_tradnl"/>
        </w:rPr>
        <w:t xml:space="preserve">Documento electrónico que en una  (01) hoja contiene el oficio UIPL/PLEGISLA/IP/2021, suscrito por el Titular de la Unidad de Transparencia mediante el cual  se </w:t>
      </w:r>
      <w:r w:rsidR="00A87DA3" w:rsidRPr="00481B31">
        <w:rPr>
          <w:rFonts w:ascii="Palatino Linotype" w:eastAsiaTheme="minorEastAsia" w:hAnsi="Palatino Linotype" w:cstheme="minorBidi"/>
          <w:color w:val="000000" w:themeColor="text1"/>
          <w:lang w:val="es-ES_tradnl"/>
        </w:rPr>
        <w:t xml:space="preserve"> pone a </w:t>
      </w:r>
      <w:r w:rsidRPr="00481B31">
        <w:rPr>
          <w:rFonts w:ascii="Palatino Linotype" w:eastAsiaTheme="minorEastAsia" w:hAnsi="Palatino Linotype" w:cstheme="minorBidi"/>
          <w:color w:val="000000" w:themeColor="text1"/>
          <w:lang w:val="es-ES_tradnl"/>
        </w:rPr>
        <w:t xml:space="preserve"> </w:t>
      </w:r>
      <w:r w:rsidR="00A87DA3" w:rsidRPr="00481B31">
        <w:rPr>
          <w:rFonts w:ascii="Palatino Linotype" w:eastAsiaTheme="minorEastAsia" w:hAnsi="Palatino Linotype" w:cstheme="minorBidi"/>
          <w:color w:val="000000" w:themeColor="text1"/>
          <w:lang w:val="es-ES_tradnl"/>
        </w:rPr>
        <w:t>disposición la respuesta otorgada por el Servidor Público Habilitado.</w:t>
      </w:r>
    </w:p>
    <w:p w14:paraId="73F9A82D" w14:textId="77777777" w:rsidR="00EA0165" w:rsidRPr="00481B31" w:rsidRDefault="00EA0165" w:rsidP="000C1184">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4BB5C5BA" w14:textId="0D1F14A8" w:rsidR="00EA0165" w:rsidRPr="00481B31" w:rsidRDefault="00EA0165" w:rsidP="00A87DA3">
      <w:pPr>
        <w:pStyle w:val="Prrafodelista"/>
        <w:numPr>
          <w:ilvl w:val="0"/>
          <w:numId w:val="17"/>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81B31">
        <w:rPr>
          <w:rFonts w:ascii="Palatino Linotype" w:hAnsi="Palatino Linotype" w:cs="Arial"/>
          <w:color w:val="000000" w:themeColor="text1"/>
        </w:rPr>
        <w:lastRenderedPageBreak/>
        <w:t xml:space="preserve">Derivado de la respuesta emitida por el </w:t>
      </w:r>
      <w:r w:rsidRPr="00481B31">
        <w:rPr>
          <w:rFonts w:ascii="Palatino Linotype" w:hAnsi="Palatino Linotype" w:cs="Arial"/>
          <w:b/>
          <w:color w:val="000000" w:themeColor="text1"/>
        </w:rPr>
        <w:t>SUJETO OBLIGADO</w:t>
      </w:r>
      <w:r w:rsidRPr="00481B31">
        <w:rPr>
          <w:rFonts w:ascii="Palatino Linotype" w:hAnsi="Palatino Linotype" w:cs="Arial"/>
          <w:color w:val="000000" w:themeColor="text1"/>
        </w:rPr>
        <w:t>, e</w:t>
      </w:r>
      <w:r w:rsidR="00A87DA3" w:rsidRPr="00481B31">
        <w:rPr>
          <w:rFonts w:ascii="Palatino Linotype" w:hAnsi="Palatino Linotype" w:cs="Arial"/>
          <w:color w:val="000000" w:themeColor="text1"/>
        </w:rPr>
        <w:t>l tres (03</w:t>
      </w:r>
      <w:r w:rsidR="003D1DF9" w:rsidRPr="00481B31">
        <w:rPr>
          <w:rFonts w:ascii="Palatino Linotype" w:hAnsi="Palatino Linotype" w:cs="Arial"/>
          <w:color w:val="000000" w:themeColor="text1"/>
        </w:rPr>
        <w:t xml:space="preserve">) agosto </w:t>
      </w:r>
      <w:r w:rsidRPr="00481B31">
        <w:rPr>
          <w:rFonts w:ascii="Palatino Linotype" w:hAnsi="Palatino Linotype" w:cs="Arial"/>
          <w:color w:val="000000" w:themeColor="text1"/>
        </w:rPr>
        <w:t>de dos mil veintiuno, el particular interpuso el recurso de revisión</w:t>
      </w:r>
      <w:r w:rsidR="00A87DA3" w:rsidRPr="00481B31">
        <w:rPr>
          <w:rFonts w:ascii="Palatino Linotype" w:hAnsi="Palatino Linotype"/>
        </w:rPr>
        <w:t xml:space="preserve"> </w:t>
      </w:r>
      <w:r w:rsidR="00A87DA3" w:rsidRPr="00481B31">
        <w:rPr>
          <w:rFonts w:ascii="Palatino Linotype" w:hAnsi="Palatino Linotype" w:cs="Arial"/>
          <w:b/>
          <w:color w:val="000000" w:themeColor="text1"/>
        </w:rPr>
        <w:t>03898/INFOEM/IP/RR/2021</w:t>
      </w:r>
      <w:r w:rsidRPr="00481B31">
        <w:rPr>
          <w:rFonts w:ascii="Palatino Linotype" w:eastAsia="Calibri" w:hAnsi="Palatino Linotype" w:cs="Arial"/>
          <w:b/>
          <w:color w:val="000000" w:themeColor="text1"/>
        </w:rPr>
        <w:t>;</w:t>
      </w:r>
      <w:r w:rsidRPr="00481B31">
        <w:rPr>
          <w:rFonts w:ascii="Palatino Linotype" w:hAnsi="Palatino Linotype" w:cs="Arial"/>
          <w:color w:val="000000" w:themeColor="text1"/>
        </w:rPr>
        <w:t xml:space="preserve"> impugnación en la que refirió lo siguiente:</w:t>
      </w:r>
    </w:p>
    <w:p w14:paraId="176F4252" w14:textId="77777777" w:rsidR="00EA0165" w:rsidRPr="00481B31" w:rsidRDefault="00EA0165" w:rsidP="000C1184">
      <w:pPr>
        <w:tabs>
          <w:tab w:val="left" w:pos="426"/>
        </w:tabs>
        <w:spacing w:line="360" w:lineRule="auto"/>
        <w:ind w:left="284"/>
        <w:contextualSpacing/>
        <w:jc w:val="both"/>
        <w:rPr>
          <w:rFonts w:ascii="Palatino Linotype" w:hAnsi="Palatino Linotype" w:cs="Arial"/>
          <w:color w:val="000000" w:themeColor="text1"/>
        </w:rPr>
      </w:pPr>
    </w:p>
    <w:p w14:paraId="224FFDC9" w14:textId="7BBB9441" w:rsidR="00EA0165" w:rsidRPr="00481B31" w:rsidRDefault="00EA0165" w:rsidP="00A87DA3">
      <w:pPr>
        <w:numPr>
          <w:ilvl w:val="0"/>
          <w:numId w:val="3"/>
        </w:numPr>
        <w:tabs>
          <w:tab w:val="left" w:pos="426"/>
          <w:tab w:val="left" w:pos="567"/>
        </w:tabs>
        <w:spacing w:line="360" w:lineRule="auto"/>
        <w:ind w:left="567" w:right="616" w:firstLine="0"/>
        <w:contextualSpacing/>
        <w:jc w:val="both"/>
        <w:rPr>
          <w:rFonts w:ascii="Palatino Linotype" w:hAnsi="Palatino Linotype" w:cs="Arial"/>
          <w:color w:val="000000" w:themeColor="text1"/>
        </w:rPr>
      </w:pPr>
      <w:r w:rsidRPr="00481B31">
        <w:rPr>
          <w:rFonts w:ascii="Palatino Linotype" w:hAnsi="Palatino Linotype" w:cs="Arial"/>
          <w:b/>
          <w:color w:val="000000" w:themeColor="text1"/>
        </w:rPr>
        <w:t>Acto impugnado:</w:t>
      </w:r>
      <w:r w:rsidRPr="00481B31">
        <w:rPr>
          <w:rFonts w:ascii="Palatino Linotype" w:hAnsi="Palatino Linotype" w:cs="Arial"/>
          <w:color w:val="000000" w:themeColor="text1"/>
        </w:rPr>
        <w:t xml:space="preserve"> </w:t>
      </w:r>
      <w:r w:rsidRPr="00481B31">
        <w:rPr>
          <w:rFonts w:ascii="Palatino Linotype" w:hAnsi="Palatino Linotype" w:cs="Arial"/>
          <w:i/>
          <w:color w:val="000000" w:themeColor="text1"/>
        </w:rPr>
        <w:t>“</w:t>
      </w:r>
      <w:r w:rsidR="00A87DA3" w:rsidRPr="00481B31">
        <w:rPr>
          <w:rFonts w:ascii="Palatino Linotype" w:hAnsi="Palatino Linotype" w:cs="Arial"/>
          <w:i/>
          <w:color w:val="000000" w:themeColor="text1"/>
        </w:rPr>
        <w:t>La respuesta del sujeto obligado.</w:t>
      </w:r>
      <w:r w:rsidR="008426D8" w:rsidRPr="00481B31">
        <w:rPr>
          <w:rFonts w:ascii="Palatino Linotype" w:hAnsi="Palatino Linotype" w:cs="Arial"/>
          <w:i/>
          <w:color w:val="000000" w:themeColor="text1"/>
        </w:rPr>
        <w:t>.</w:t>
      </w:r>
      <w:r w:rsidRPr="00481B31">
        <w:rPr>
          <w:rFonts w:ascii="Palatino Linotype" w:hAnsi="Palatino Linotype" w:cs="Arial"/>
          <w:i/>
          <w:color w:val="000000" w:themeColor="text1"/>
        </w:rPr>
        <w:t>”</w:t>
      </w:r>
      <w:r w:rsidRPr="00481B31">
        <w:rPr>
          <w:rFonts w:ascii="Palatino Linotype" w:hAnsi="Palatino Linotype" w:cs="Arial"/>
          <w:color w:val="000000" w:themeColor="text1"/>
        </w:rPr>
        <w:t xml:space="preserve"> (Sic).</w:t>
      </w:r>
    </w:p>
    <w:p w14:paraId="71C7D21F" w14:textId="77777777" w:rsidR="00EA0165" w:rsidRPr="00481B31" w:rsidRDefault="00EA0165" w:rsidP="000C1184">
      <w:pPr>
        <w:tabs>
          <w:tab w:val="left" w:pos="0"/>
        </w:tabs>
        <w:spacing w:line="360" w:lineRule="auto"/>
        <w:ind w:left="709" w:right="616" w:hanging="142"/>
        <w:contextualSpacing/>
        <w:jc w:val="both"/>
        <w:rPr>
          <w:rFonts w:ascii="Palatino Linotype" w:hAnsi="Palatino Linotype" w:cs="Arial"/>
          <w:color w:val="000000" w:themeColor="text1"/>
        </w:rPr>
      </w:pPr>
    </w:p>
    <w:p w14:paraId="19D4E1C1" w14:textId="05C6A934" w:rsidR="00EA0165" w:rsidRPr="00481B31" w:rsidRDefault="00EA0165" w:rsidP="00A87DA3">
      <w:pPr>
        <w:numPr>
          <w:ilvl w:val="0"/>
          <w:numId w:val="3"/>
        </w:numPr>
        <w:tabs>
          <w:tab w:val="left" w:pos="0"/>
        </w:tabs>
        <w:spacing w:line="360" w:lineRule="auto"/>
        <w:ind w:left="567" w:right="616" w:firstLine="0"/>
        <w:contextualSpacing/>
        <w:jc w:val="both"/>
        <w:rPr>
          <w:rFonts w:ascii="Palatino Linotype" w:hAnsi="Palatino Linotype" w:cs="Arial"/>
          <w:color w:val="000000" w:themeColor="text1"/>
        </w:rPr>
      </w:pPr>
      <w:r w:rsidRPr="00481B31">
        <w:rPr>
          <w:rFonts w:ascii="Palatino Linotype" w:hAnsi="Palatino Linotype" w:cs="Arial"/>
          <w:b/>
          <w:color w:val="000000" w:themeColor="text1"/>
        </w:rPr>
        <w:t>Razones o motivos de inconformidad:</w:t>
      </w:r>
      <w:r w:rsidRPr="00481B31">
        <w:rPr>
          <w:rFonts w:ascii="Palatino Linotype" w:hAnsi="Palatino Linotype" w:cs="Arial"/>
          <w:color w:val="000000" w:themeColor="text1"/>
        </w:rPr>
        <w:t xml:space="preserve"> </w:t>
      </w:r>
      <w:r w:rsidRPr="00481B31">
        <w:rPr>
          <w:rFonts w:ascii="Palatino Linotype" w:hAnsi="Palatino Linotype" w:cs="Arial"/>
          <w:i/>
          <w:color w:val="000000" w:themeColor="text1"/>
        </w:rPr>
        <w:t>“</w:t>
      </w:r>
      <w:r w:rsidR="00A87DA3" w:rsidRPr="00481B31">
        <w:rPr>
          <w:rFonts w:ascii="Palatino Linotype" w:hAnsi="Palatino Linotype" w:cs="Arial"/>
          <w:i/>
          <w:color w:val="000000" w:themeColor="text1"/>
        </w:rPr>
        <w:t>El sujeto obligado no elaboro la verion publica de la informacion solicitada.</w:t>
      </w:r>
      <w:r w:rsidR="008426D8" w:rsidRPr="00481B31">
        <w:rPr>
          <w:rFonts w:ascii="Palatino Linotype" w:hAnsi="Palatino Linotype" w:cs="Arial"/>
          <w:i/>
          <w:color w:val="000000" w:themeColor="text1"/>
        </w:rPr>
        <w:t>.</w:t>
      </w:r>
      <w:r w:rsidR="00F62E09" w:rsidRPr="00481B31">
        <w:rPr>
          <w:rFonts w:ascii="Palatino Linotype" w:hAnsi="Palatino Linotype" w:cs="Arial"/>
          <w:i/>
          <w:color w:val="000000" w:themeColor="text1"/>
        </w:rPr>
        <w:t>.</w:t>
      </w:r>
      <w:r w:rsidRPr="00481B31">
        <w:rPr>
          <w:rFonts w:ascii="Palatino Linotype" w:hAnsi="Palatino Linotype" w:cs="Arial"/>
          <w:i/>
          <w:color w:val="000000" w:themeColor="text1"/>
        </w:rPr>
        <w:t xml:space="preserve">” </w:t>
      </w:r>
      <w:r w:rsidRPr="00481B31">
        <w:rPr>
          <w:rFonts w:ascii="Palatino Linotype" w:hAnsi="Palatino Linotype" w:cs="Arial"/>
          <w:color w:val="000000" w:themeColor="text1"/>
        </w:rPr>
        <w:t>(Sic).</w:t>
      </w:r>
    </w:p>
    <w:p w14:paraId="16E57192" w14:textId="77777777" w:rsidR="00EA0165" w:rsidRPr="00481B31" w:rsidRDefault="00EA0165" w:rsidP="000C1184">
      <w:pPr>
        <w:tabs>
          <w:tab w:val="left" w:pos="426"/>
        </w:tabs>
        <w:spacing w:line="360" w:lineRule="auto"/>
        <w:ind w:left="284"/>
        <w:contextualSpacing/>
        <w:jc w:val="both"/>
        <w:rPr>
          <w:rFonts w:ascii="Palatino Linotype" w:eastAsiaTheme="minorEastAsia" w:hAnsi="Palatino Linotype" w:cstheme="minorBidi"/>
          <w:color w:val="000000" w:themeColor="text1"/>
          <w:lang w:val="es-ES_tradnl"/>
        </w:rPr>
      </w:pPr>
    </w:p>
    <w:p w14:paraId="7B42BA50" w14:textId="369A2E90" w:rsidR="00EA0165" w:rsidRPr="00481B31" w:rsidRDefault="00EA0165" w:rsidP="000C1184">
      <w:pPr>
        <w:pStyle w:val="Prrafodelista"/>
        <w:numPr>
          <w:ilvl w:val="0"/>
          <w:numId w:val="17"/>
        </w:numPr>
        <w:tabs>
          <w:tab w:val="left" w:pos="426"/>
        </w:tabs>
        <w:spacing w:line="360" w:lineRule="auto"/>
        <w:ind w:left="0" w:firstLine="0"/>
        <w:contextualSpacing/>
        <w:jc w:val="both"/>
        <w:rPr>
          <w:rFonts w:ascii="Palatino Linotype" w:eastAsia="Calibri" w:hAnsi="Palatino Linotype" w:cs="Arial"/>
          <w:color w:val="000000" w:themeColor="text1"/>
        </w:rPr>
      </w:pPr>
      <w:r w:rsidRPr="00481B31">
        <w:rPr>
          <w:rFonts w:ascii="Palatino Linotype" w:hAnsi="Palatino Linotype" w:cs="Arial"/>
          <w:color w:val="000000" w:themeColor="text1"/>
        </w:rPr>
        <w:t xml:space="preserve">Se registró el recurso de revisión bajo el número de expediente </w:t>
      </w:r>
      <w:r w:rsidRPr="00481B31">
        <w:rPr>
          <w:rFonts w:ascii="Palatino Linotype" w:eastAsiaTheme="minorEastAsia" w:hAnsi="Palatino Linotype" w:cs="Arial"/>
          <w:bCs/>
          <w:color w:val="000000" w:themeColor="text1"/>
          <w:lang w:val="es-ES_tradnl"/>
        </w:rPr>
        <w:t xml:space="preserve">al rubro indicado, asimismo, con fundamento en lo dispuesto por el </w:t>
      </w:r>
      <w:r w:rsidRPr="00481B31">
        <w:rPr>
          <w:rFonts w:ascii="Palatino Linotype" w:eastAsia="Calibri" w:hAnsi="Palatino Linotype" w:cs="Arial"/>
          <w:color w:val="000000" w:themeColor="text1"/>
        </w:rPr>
        <w:t xml:space="preserve">artículo 185 fracción I de la </w:t>
      </w:r>
      <w:r w:rsidRPr="00481B31">
        <w:rPr>
          <w:rFonts w:ascii="Palatino Linotype" w:eastAsia="Calibri" w:hAnsi="Palatino Linotype" w:cs="Arial"/>
          <w:b/>
          <w:color w:val="000000" w:themeColor="text1"/>
        </w:rPr>
        <w:t xml:space="preserve">Ley de Transparencia y Acceso a la Información Pública del Estado de México y Municipios </w:t>
      </w:r>
      <w:r w:rsidR="005E6282" w:rsidRPr="00481B31">
        <w:rPr>
          <w:rFonts w:ascii="Palatino Linotype" w:hAnsi="Palatino Linotype" w:cs="Arial"/>
          <w:color w:val="000000" w:themeColor="text1"/>
        </w:rPr>
        <w:t>se tur</w:t>
      </w:r>
      <w:r w:rsidR="00A87DA3" w:rsidRPr="00481B31">
        <w:rPr>
          <w:rFonts w:ascii="Palatino Linotype" w:hAnsi="Palatino Linotype" w:cs="Arial"/>
          <w:color w:val="000000" w:themeColor="text1"/>
        </w:rPr>
        <w:t xml:space="preserve">nó al entonces </w:t>
      </w:r>
      <w:r w:rsidR="00E3149E" w:rsidRPr="00481B31">
        <w:rPr>
          <w:rFonts w:ascii="Palatino Linotype" w:hAnsi="Palatino Linotype" w:cs="Arial"/>
          <w:b/>
          <w:color w:val="000000" w:themeColor="text1"/>
        </w:rPr>
        <w:t>C</w:t>
      </w:r>
      <w:r w:rsidR="00A87DA3" w:rsidRPr="00481B31">
        <w:rPr>
          <w:rFonts w:ascii="Palatino Linotype" w:hAnsi="Palatino Linotype" w:cs="Arial"/>
          <w:b/>
          <w:color w:val="000000" w:themeColor="text1"/>
        </w:rPr>
        <w:t>omisionado Javier Martínez Cruz</w:t>
      </w:r>
      <w:r w:rsidRPr="00481B31">
        <w:rPr>
          <w:rFonts w:ascii="Palatino Linotype" w:hAnsi="Palatino Linotype" w:cs="Arial"/>
          <w:b/>
          <w:color w:val="000000" w:themeColor="text1"/>
        </w:rPr>
        <w:t xml:space="preserve">, </w:t>
      </w:r>
      <w:r w:rsidRPr="00481B31">
        <w:rPr>
          <w:rFonts w:ascii="Palatino Linotype" w:hAnsi="Palatino Linotype" w:cs="Arial"/>
          <w:color w:val="000000" w:themeColor="text1"/>
        </w:rPr>
        <w:t xml:space="preserve">con el objeto de </w:t>
      </w:r>
      <w:r w:rsidRPr="00481B31">
        <w:rPr>
          <w:rFonts w:ascii="Palatino Linotype" w:hAnsi="Palatino Linotype" w:cs="Arial"/>
          <w:color w:val="000000" w:themeColor="text1"/>
          <w:lang w:val="es-MX"/>
        </w:rPr>
        <w:t>su análisis.</w:t>
      </w:r>
    </w:p>
    <w:p w14:paraId="49F28BD1" w14:textId="77777777" w:rsidR="00EA0165" w:rsidRPr="00481B31" w:rsidRDefault="00EA0165" w:rsidP="000C1184">
      <w:pPr>
        <w:tabs>
          <w:tab w:val="left" w:pos="426"/>
        </w:tabs>
        <w:spacing w:line="360" w:lineRule="auto"/>
        <w:contextualSpacing/>
        <w:jc w:val="both"/>
        <w:rPr>
          <w:rFonts w:ascii="Palatino Linotype" w:eastAsia="Calibri" w:hAnsi="Palatino Linotype" w:cs="Arial"/>
          <w:color w:val="000000" w:themeColor="text1"/>
        </w:rPr>
      </w:pPr>
    </w:p>
    <w:p w14:paraId="78EABB65" w14:textId="3DB3C4AF" w:rsidR="00EA0165" w:rsidRPr="00481B31" w:rsidRDefault="00A87DA3" w:rsidP="000C1184">
      <w:pPr>
        <w:pStyle w:val="Prrafodelista"/>
        <w:numPr>
          <w:ilvl w:val="0"/>
          <w:numId w:val="17"/>
        </w:numPr>
        <w:tabs>
          <w:tab w:val="left" w:pos="426"/>
        </w:tabs>
        <w:spacing w:line="360" w:lineRule="auto"/>
        <w:ind w:left="0" w:firstLine="0"/>
        <w:contextualSpacing/>
        <w:jc w:val="both"/>
        <w:rPr>
          <w:rFonts w:ascii="Palatino Linotype" w:eastAsia="Calibri" w:hAnsi="Palatino Linotype" w:cs="Arial"/>
          <w:color w:val="000000" w:themeColor="text1"/>
        </w:rPr>
      </w:pPr>
      <w:r w:rsidRPr="00481B31">
        <w:rPr>
          <w:rFonts w:ascii="Palatino Linotype" w:hAnsi="Palatino Linotype" w:cs="Arial"/>
          <w:color w:val="000000" w:themeColor="text1"/>
        </w:rPr>
        <w:t xml:space="preserve">El entonces </w:t>
      </w:r>
      <w:r w:rsidRPr="00481B31">
        <w:rPr>
          <w:rFonts w:ascii="Palatino Linotype" w:hAnsi="Palatino Linotype" w:cs="Arial"/>
          <w:b/>
          <w:color w:val="000000" w:themeColor="text1"/>
        </w:rPr>
        <w:t>Comisionado Javier Martínez Cruz</w:t>
      </w:r>
      <w:r w:rsidR="00EA0165" w:rsidRPr="00481B31">
        <w:rPr>
          <w:rFonts w:ascii="Palatino Linotype" w:eastAsia="Calibri" w:hAnsi="Palatino Linotype" w:cs="Arial"/>
          <w:color w:val="000000" w:themeColor="text1"/>
        </w:rPr>
        <w:t>, con fundamento en lo dispuesto por el artículo 185 fracción II de la ley de la materia, a través del acuerdo de admisión de</w:t>
      </w:r>
      <w:r w:rsidRPr="00481B31">
        <w:rPr>
          <w:rFonts w:ascii="Palatino Linotype" w:eastAsia="Calibri" w:hAnsi="Palatino Linotype" w:cs="Arial"/>
          <w:color w:val="000000" w:themeColor="text1"/>
        </w:rPr>
        <w:t xml:space="preserve"> seis</w:t>
      </w:r>
      <w:r w:rsidR="008426D8" w:rsidRPr="00481B31">
        <w:rPr>
          <w:rFonts w:ascii="Palatino Linotype" w:eastAsia="Calibri" w:hAnsi="Palatino Linotype" w:cs="Arial"/>
          <w:color w:val="000000" w:themeColor="text1"/>
        </w:rPr>
        <w:t xml:space="preserve"> </w:t>
      </w:r>
      <w:r w:rsidR="00EA0165" w:rsidRPr="00481B31">
        <w:rPr>
          <w:rFonts w:ascii="Palatino Linotype" w:eastAsia="Calibri" w:hAnsi="Palatino Linotype" w:cs="Arial"/>
          <w:color w:val="000000" w:themeColor="text1"/>
        </w:rPr>
        <w:t>(</w:t>
      </w:r>
      <w:r w:rsidRPr="00481B31">
        <w:rPr>
          <w:rFonts w:ascii="Palatino Linotype" w:eastAsia="Calibri" w:hAnsi="Palatino Linotype" w:cs="Arial"/>
          <w:color w:val="000000" w:themeColor="text1"/>
        </w:rPr>
        <w:t>06</w:t>
      </w:r>
      <w:r w:rsidR="00EA0165" w:rsidRPr="00481B31">
        <w:rPr>
          <w:rFonts w:ascii="Palatino Linotype" w:eastAsia="Calibri" w:hAnsi="Palatino Linotype" w:cs="Arial"/>
          <w:color w:val="000000" w:themeColor="text1"/>
        </w:rPr>
        <w:t>) de</w:t>
      </w:r>
      <w:r w:rsidR="008426D8" w:rsidRPr="00481B31">
        <w:rPr>
          <w:rFonts w:ascii="Palatino Linotype" w:eastAsia="Calibri" w:hAnsi="Palatino Linotype" w:cs="Arial"/>
          <w:color w:val="000000" w:themeColor="text1"/>
        </w:rPr>
        <w:t xml:space="preserve"> agosto</w:t>
      </w:r>
      <w:r w:rsidR="00EA0165" w:rsidRPr="00481B31">
        <w:rPr>
          <w:rFonts w:ascii="Palatino Linotype" w:eastAsia="Calibri" w:hAnsi="Palatino Linotype" w:cs="Arial"/>
          <w:color w:val="000000" w:themeColor="text1"/>
        </w:rPr>
        <w:t xml:space="preserve"> de dos mil veintiuno, puso a disposición de las partes el expediente electrónico </w:t>
      </w:r>
      <w:r w:rsidR="00EA0165" w:rsidRPr="00481B31">
        <w:rPr>
          <w:rFonts w:ascii="Palatino Linotype" w:eastAsia="Calibri" w:hAnsi="Palatino Linotype" w:cs="Arial"/>
          <w:color w:val="000000" w:themeColor="text1"/>
          <w:lang w:val="es-ES_tradnl"/>
        </w:rPr>
        <w:t xml:space="preserve">vía </w:t>
      </w:r>
      <w:r w:rsidR="00EA0165" w:rsidRPr="00481B31">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481B31">
        <w:rPr>
          <w:rFonts w:ascii="Palatino Linotype" w:eastAsia="Calibri" w:hAnsi="Palatino Linotype" w:cs="Arial"/>
          <w:b/>
          <w:color w:val="000000" w:themeColor="text1"/>
        </w:rPr>
        <w:t>SUJETO OBLIGADO</w:t>
      </w:r>
      <w:r w:rsidR="00EA0165" w:rsidRPr="00481B31">
        <w:rPr>
          <w:rFonts w:ascii="Palatino Linotype" w:eastAsia="Calibri" w:hAnsi="Palatino Linotype" w:cs="Arial"/>
          <w:color w:val="000000" w:themeColor="text1"/>
        </w:rPr>
        <w:t xml:space="preserve"> presentara el</w:t>
      </w:r>
      <w:r w:rsidR="00266490" w:rsidRPr="00481B31">
        <w:rPr>
          <w:rFonts w:ascii="Palatino Linotype" w:eastAsia="Calibri" w:hAnsi="Palatino Linotype" w:cs="Arial"/>
          <w:color w:val="000000" w:themeColor="text1"/>
        </w:rPr>
        <w:t xml:space="preserve"> </w:t>
      </w:r>
      <w:r w:rsidR="00D75922" w:rsidRPr="00481B31">
        <w:rPr>
          <w:rFonts w:ascii="Palatino Linotype" w:eastAsia="Calibri" w:hAnsi="Palatino Linotype" w:cs="Arial"/>
          <w:color w:val="000000" w:themeColor="text1"/>
        </w:rPr>
        <w:t>informe justificado procedente.</w:t>
      </w:r>
    </w:p>
    <w:p w14:paraId="1A8BF10D" w14:textId="77777777" w:rsidR="00D75922" w:rsidRPr="00481B31" w:rsidRDefault="00D75922" w:rsidP="000C1184">
      <w:pPr>
        <w:tabs>
          <w:tab w:val="left" w:pos="426"/>
        </w:tabs>
        <w:spacing w:line="360" w:lineRule="auto"/>
        <w:contextualSpacing/>
        <w:jc w:val="both"/>
        <w:rPr>
          <w:rFonts w:ascii="Palatino Linotype" w:eastAsia="Calibri" w:hAnsi="Palatino Linotype" w:cs="Arial"/>
          <w:color w:val="000000" w:themeColor="text1"/>
        </w:rPr>
      </w:pPr>
    </w:p>
    <w:p w14:paraId="55303F5B" w14:textId="52D46617" w:rsidR="005079B9" w:rsidRPr="00481B31" w:rsidRDefault="00C83B36" w:rsidP="00A87DA3">
      <w:pPr>
        <w:pStyle w:val="Prrafodelista"/>
        <w:numPr>
          <w:ilvl w:val="0"/>
          <w:numId w:val="17"/>
        </w:numPr>
        <w:tabs>
          <w:tab w:val="left" w:pos="426"/>
        </w:tabs>
        <w:spacing w:line="360" w:lineRule="auto"/>
        <w:ind w:left="0" w:firstLine="0"/>
        <w:contextualSpacing/>
        <w:jc w:val="both"/>
        <w:rPr>
          <w:rFonts w:ascii="Palatino Linotype" w:hAnsi="Palatino Linotype"/>
          <w:i/>
        </w:rPr>
      </w:pPr>
      <w:r w:rsidRPr="00481B31">
        <w:rPr>
          <w:rFonts w:ascii="Palatino Linotype" w:eastAsia="Calibri" w:hAnsi="Palatino Linotype" w:cs="Arial"/>
          <w:color w:val="000000" w:themeColor="text1"/>
        </w:rPr>
        <w:lastRenderedPageBreak/>
        <w:t xml:space="preserve">En fecha </w:t>
      </w:r>
      <w:r w:rsidR="00A87DA3" w:rsidRPr="00481B31">
        <w:rPr>
          <w:rFonts w:ascii="Palatino Linotype" w:eastAsia="Calibri" w:hAnsi="Palatino Linotype" w:cs="Arial"/>
          <w:color w:val="000000" w:themeColor="text1"/>
        </w:rPr>
        <w:t>dieciocho (18</w:t>
      </w:r>
      <w:r w:rsidR="00D75922" w:rsidRPr="00481B31">
        <w:rPr>
          <w:rFonts w:ascii="Palatino Linotype" w:eastAsia="Calibri" w:hAnsi="Palatino Linotype" w:cs="Arial"/>
          <w:color w:val="000000" w:themeColor="text1"/>
        </w:rPr>
        <w:t>) de</w:t>
      </w:r>
      <w:r w:rsidRPr="00481B31">
        <w:rPr>
          <w:rFonts w:ascii="Palatino Linotype" w:eastAsia="Calibri" w:hAnsi="Palatino Linotype" w:cs="Arial"/>
          <w:color w:val="000000" w:themeColor="text1"/>
        </w:rPr>
        <w:t xml:space="preserve"> agosto </w:t>
      </w:r>
      <w:r w:rsidR="00D75922" w:rsidRPr="00481B31">
        <w:rPr>
          <w:rFonts w:ascii="Palatino Linotype" w:eastAsia="Calibri" w:hAnsi="Palatino Linotype" w:cs="Arial"/>
          <w:color w:val="000000" w:themeColor="text1"/>
        </w:rPr>
        <w:t xml:space="preserve">de dos mil veintiuno el </w:t>
      </w:r>
      <w:r w:rsidR="00D75922" w:rsidRPr="00481B31">
        <w:rPr>
          <w:rFonts w:ascii="Palatino Linotype" w:eastAsia="Calibri" w:hAnsi="Palatino Linotype" w:cs="Arial"/>
          <w:b/>
          <w:color w:val="000000" w:themeColor="text1"/>
        </w:rPr>
        <w:t xml:space="preserve">SUJETO OBLIGADO </w:t>
      </w:r>
      <w:r w:rsidR="00A87DA3" w:rsidRPr="00481B31">
        <w:rPr>
          <w:rFonts w:ascii="Palatino Linotype" w:eastAsia="Calibri" w:hAnsi="Palatino Linotype" w:cs="Arial"/>
          <w:color w:val="000000" w:themeColor="text1"/>
        </w:rPr>
        <w:t>realizó entrega de dos</w:t>
      </w:r>
      <w:r w:rsidR="00EC5949" w:rsidRPr="00481B31">
        <w:rPr>
          <w:rFonts w:ascii="Palatino Linotype" w:eastAsia="Calibri" w:hAnsi="Palatino Linotype" w:cs="Arial"/>
          <w:color w:val="000000" w:themeColor="text1"/>
        </w:rPr>
        <w:t xml:space="preserve"> documento</w:t>
      </w:r>
      <w:r w:rsidR="00A87DA3" w:rsidRPr="00481B31">
        <w:rPr>
          <w:rFonts w:ascii="Palatino Linotype" w:eastAsia="Calibri" w:hAnsi="Palatino Linotype" w:cs="Arial"/>
          <w:color w:val="000000" w:themeColor="text1"/>
        </w:rPr>
        <w:t>s</w:t>
      </w:r>
      <w:r w:rsidR="00D75922" w:rsidRPr="00481B31">
        <w:rPr>
          <w:rFonts w:ascii="Palatino Linotype" w:eastAsia="Calibri" w:hAnsi="Palatino Linotype" w:cs="Arial"/>
          <w:color w:val="000000" w:themeColor="text1"/>
        </w:rPr>
        <w:t xml:space="preserve"> en calidad de in</w:t>
      </w:r>
      <w:r w:rsidRPr="00481B31">
        <w:rPr>
          <w:rFonts w:ascii="Palatino Linotype" w:eastAsia="Calibri" w:hAnsi="Palatino Linotype" w:cs="Arial"/>
          <w:color w:val="000000" w:themeColor="text1"/>
        </w:rPr>
        <w:t>forme justificado</w:t>
      </w:r>
      <w:r w:rsidR="00FA5E21">
        <w:rPr>
          <w:rFonts w:ascii="Palatino Linotype" w:eastAsia="Calibri" w:hAnsi="Palatino Linotype" w:cs="Arial"/>
          <w:color w:val="000000" w:themeColor="text1"/>
        </w:rPr>
        <w:t xml:space="preserve"> mediante los cuales confirma la respuesta otorgada</w:t>
      </w:r>
      <w:r w:rsidRPr="00481B31">
        <w:rPr>
          <w:rFonts w:ascii="Palatino Linotype" w:eastAsia="Calibri" w:hAnsi="Palatino Linotype" w:cs="Arial"/>
          <w:color w:val="000000" w:themeColor="text1"/>
        </w:rPr>
        <w:t xml:space="preserve">, mismos que </w:t>
      </w:r>
      <w:r w:rsidR="00EC5949" w:rsidRPr="00481B31">
        <w:rPr>
          <w:rFonts w:ascii="Palatino Linotype" w:eastAsia="Calibri" w:hAnsi="Palatino Linotype" w:cs="Arial"/>
          <w:color w:val="000000" w:themeColor="text1"/>
        </w:rPr>
        <w:t>se hizo</w:t>
      </w:r>
      <w:r w:rsidR="00D75922" w:rsidRPr="00481B31">
        <w:rPr>
          <w:rFonts w:ascii="Palatino Linotype" w:eastAsia="Calibri" w:hAnsi="Palatino Linotype" w:cs="Arial"/>
          <w:color w:val="000000" w:themeColor="text1"/>
        </w:rPr>
        <w:t xml:space="preserve"> de conocimiento </w:t>
      </w:r>
      <w:r w:rsidR="006E2585" w:rsidRPr="00481B31">
        <w:rPr>
          <w:rFonts w:ascii="Palatino Linotype" w:eastAsia="Calibri" w:hAnsi="Palatino Linotype" w:cs="Arial"/>
          <w:color w:val="000000" w:themeColor="text1"/>
        </w:rPr>
        <w:t xml:space="preserve">del Recurrente </w:t>
      </w:r>
      <w:r w:rsidR="00EC5949" w:rsidRPr="00481B31">
        <w:rPr>
          <w:rFonts w:ascii="Palatino Linotype" w:eastAsia="Calibri" w:hAnsi="Palatino Linotype" w:cs="Arial"/>
          <w:color w:val="000000" w:themeColor="text1"/>
        </w:rPr>
        <w:t>mediante acuerdo de</w:t>
      </w:r>
      <w:r w:rsidR="00A87DA3" w:rsidRPr="00481B31">
        <w:rPr>
          <w:rFonts w:ascii="Palatino Linotype" w:eastAsia="Calibri" w:hAnsi="Palatino Linotype" w:cs="Arial"/>
          <w:color w:val="000000" w:themeColor="text1"/>
        </w:rPr>
        <w:t xml:space="preserve"> fecha doce (12</w:t>
      </w:r>
      <w:r w:rsidRPr="00481B31">
        <w:rPr>
          <w:rFonts w:ascii="Palatino Linotype" w:eastAsia="Calibri" w:hAnsi="Palatino Linotype" w:cs="Arial"/>
          <w:color w:val="000000" w:themeColor="text1"/>
        </w:rPr>
        <w:t>) de septiembre de dos mil veintiuno</w:t>
      </w:r>
      <w:r w:rsidR="00A87DA3" w:rsidRPr="00481B31">
        <w:rPr>
          <w:rFonts w:ascii="Palatino Linotype" w:eastAsia="Calibri" w:hAnsi="Palatino Linotype" w:cs="Arial"/>
          <w:color w:val="000000" w:themeColor="text1"/>
        </w:rPr>
        <w:t xml:space="preserve">. </w:t>
      </w:r>
      <w:r w:rsidR="00C24F5E" w:rsidRPr="00481B31">
        <w:rPr>
          <w:rFonts w:ascii="Palatino Linotype" w:eastAsia="Calibri" w:hAnsi="Palatino Linotype" w:cs="Arial"/>
          <w:color w:val="000000" w:themeColor="text1"/>
        </w:rPr>
        <w:t xml:space="preserve"> </w:t>
      </w:r>
    </w:p>
    <w:p w14:paraId="333BBEA7" w14:textId="77777777" w:rsidR="00A87DA3" w:rsidRPr="00481B31" w:rsidRDefault="00A87DA3" w:rsidP="00A87DA3">
      <w:pPr>
        <w:pStyle w:val="Prrafodelista"/>
        <w:tabs>
          <w:tab w:val="left" w:pos="426"/>
        </w:tabs>
        <w:spacing w:line="360" w:lineRule="auto"/>
        <w:ind w:left="0"/>
        <w:contextualSpacing/>
        <w:jc w:val="both"/>
        <w:rPr>
          <w:rFonts w:ascii="Palatino Linotype" w:hAnsi="Palatino Linotype"/>
          <w:i/>
        </w:rPr>
      </w:pPr>
    </w:p>
    <w:p w14:paraId="60F22725" w14:textId="50EFB563" w:rsidR="00B13EF8" w:rsidRPr="00481B31" w:rsidRDefault="00B13EF8" w:rsidP="000C1184">
      <w:pPr>
        <w:pStyle w:val="Prrafodelista"/>
        <w:numPr>
          <w:ilvl w:val="0"/>
          <w:numId w:val="36"/>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bookmarkStart w:id="4" w:name="_Toc461555889"/>
      <w:bookmarkStart w:id="5" w:name="_Toc466371858"/>
      <w:r w:rsidRPr="00481B31">
        <w:rPr>
          <w:rFonts w:ascii="Palatino Linotype" w:eastAsiaTheme="minorEastAsia" w:hAnsi="Palatino Linotype" w:cstheme="minorBidi"/>
          <w:color w:val="000000" w:themeColor="text1"/>
          <w:lang w:val="es-ES_tradnl"/>
        </w:rPr>
        <w:t xml:space="preserve">El veintitrés (23) de agosto de dos mil veintiuno, en la Segunda Sesión Extraordinaria, el Pleno de este Órgano Garante aprobó el returno del recurso de revisión que se trata, a la Ponencia de la </w:t>
      </w:r>
      <w:r w:rsidRPr="00481B31">
        <w:rPr>
          <w:rFonts w:ascii="Palatino Linotype" w:eastAsiaTheme="minorEastAsia" w:hAnsi="Palatino Linotype" w:cstheme="minorBidi"/>
          <w:b/>
          <w:color w:val="000000" w:themeColor="text1"/>
          <w:lang w:val="es-ES_tradnl"/>
        </w:rPr>
        <w:t>Comisionada María del Rosario Mejía Ayala</w:t>
      </w:r>
      <w:r w:rsidRPr="00481B31">
        <w:rPr>
          <w:rFonts w:ascii="Palatino Linotype" w:eastAsiaTheme="minorEastAsia" w:hAnsi="Palatino Linotype" w:cstheme="minorBidi"/>
          <w:color w:val="000000" w:themeColor="text1"/>
          <w:lang w:val="es-ES_tradnl"/>
        </w:rPr>
        <w:t>.</w:t>
      </w:r>
    </w:p>
    <w:p w14:paraId="33988708" w14:textId="77777777" w:rsidR="00346090" w:rsidRPr="00481B31" w:rsidRDefault="00346090" w:rsidP="000C1184">
      <w:pPr>
        <w:tabs>
          <w:tab w:val="left" w:pos="709"/>
        </w:tabs>
        <w:spacing w:line="360" w:lineRule="auto"/>
        <w:ind w:right="616"/>
        <w:contextualSpacing/>
        <w:jc w:val="both"/>
        <w:rPr>
          <w:rFonts w:ascii="Palatino Linotype" w:eastAsia="Calibri" w:hAnsi="Palatino Linotype" w:cs="Arial"/>
          <w:color w:val="000000" w:themeColor="text1"/>
        </w:rPr>
      </w:pPr>
    </w:p>
    <w:p w14:paraId="1F97DBB1" w14:textId="3B578563" w:rsidR="00B13EF8" w:rsidRPr="00481B31" w:rsidRDefault="00B13EF8" w:rsidP="000C1184">
      <w:pPr>
        <w:pStyle w:val="Prrafodelista"/>
        <w:numPr>
          <w:ilvl w:val="0"/>
          <w:numId w:val="36"/>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481B31">
        <w:rPr>
          <w:rFonts w:ascii="Palatino Linotype" w:eastAsiaTheme="minorEastAsia" w:hAnsi="Palatino Linotype" w:cstheme="minorBidi"/>
          <w:color w:val="000000" w:themeColor="text1"/>
          <w:lang w:val="es-ES_tradnl"/>
        </w:rPr>
        <w:t>Así las cosas</w:t>
      </w:r>
      <w:r w:rsidR="00E3149E" w:rsidRPr="00481B31">
        <w:rPr>
          <w:rFonts w:ascii="Palatino Linotype" w:eastAsiaTheme="minorEastAsia" w:hAnsi="Palatino Linotype" w:cstheme="minorBidi"/>
          <w:color w:val="000000" w:themeColor="text1"/>
          <w:lang w:val="es-ES_tradnl"/>
        </w:rPr>
        <w:t>,</w:t>
      </w:r>
      <w:r w:rsidRPr="00481B31">
        <w:rPr>
          <w:rFonts w:ascii="Palatino Linotype" w:eastAsiaTheme="minorEastAsia" w:hAnsi="Palatino Linotype" w:cstheme="minorBidi"/>
          <w:color w:val="000000" w:themeColor="text1"/>
          <w:lang w:val="es-ES_tradnl"/>
        </w:rPr>
        <w:t xml:space="preserve"> la</w:t>
      </w:r>
      <w:r w:rsidRPr="00481B31">
        <w:rPr>
          <w:rFonts w:ascii="Palatino Linotype" w:eastAsiaTheme="minorEastAsia" w:hAnsi="Palatino Linotype" w:cstheme="minorBidi"/>
          <w:b/>
          <w:color w:val="000000" w:themeColor="text1"/>
          <w:lang w:val="es-ES_tradnl"/>
        </w:rPr>
        <w:t xml:space="preserve"> Comisionada María del Rosario Mejía Ayala</w:t>
      </w:r>
      <w:r w:rsidRPr="00481B31">
        <w:rPr>
          <w:rFonts w:ascii="Palatino Linotype" w:eastAsiaTheme="minorEastAsia" w:hAnsi="Palatino Linotype" w:cstheme="minorBidi"/>
          <w:color w:val="000000" w:themeColor="text1"/>
          <w:lang w:val="es-ES_tradnl"/>
        </w:rPr>
        <w:t xml:space="preserve"> decretó el cierre de instrucción me</w:t>
      </w:r>
      <w:r w:rsidR="005079B9" w:rsidRPr="00481B31">
        <w:rPr>
          <w:rFonts w:ascii="Palatino Linotype" w:eastAsiaTheme="minorEastAsia" w:hAnsi="Palatino Linotype" w:cstheme="minorBidi"/>
          <w:color w:val="000000" w:themeColor="text1"/>
          <w:lang w:val="es-ES_tradnl"/>
        </w:rPr>
        <w:t>di</w:t>
      </w:r>
      <w:r w:rsidR="00A87DA3" w:rsidRPr="00481B31">
        <w:rPr>
          <w:rFonts w:ascii="Palatino Linotype" w:eastAsiaTheme="minorEastAsia" w:hAnsi="Palatino Linotype" w:cstheme="minorBidi"/>
          <w:color w:val="000000" w:themeColor="text1"/>
          <w:lang w:val="es-ES_tradnl"/>
        </w:rPr>
        <w:t>ante acuerdo de fecha ocho (08</w:t>
      </w:r>
      <w:r w:rsidR="005079B9" w:rsidRPr="00481B31">
        <w:rPr>
          <w:rFonts w:ascii="Palatino Linotype" w:eastAsiaTheme="minorEastAsia" w:hAnsi="Palatino Linotype" w:cstheme="minorBidi"/>
          <w:color w:val="000000" w:themeColor="text1"/>
          <w:lang w:val="es-ES_tradnl"/>
        </w:rPr>
        <w:t xml:space="preserve">) de </w:t>
      </w:r>
      <w:r w:rsidR="00A87DA3" w:rsidRPr="00481B31">
        <w:rPr>
          <w:rFonts w:ascii="Palatino Linotype" w:eastAsiaTheme="minorEastAsia" w:hAnsi="Palatino Linotype" w:cstheme="minorBidi"/>
          <w:color w:val="000000" w:themeColor="text1"/>
          <w:lang w:val="es-ES_tradnl"/>
        </w:rPr>
        <w:t>septiembre</w:t>
      </w:r>
      <w:r w:rsidRPr="00481B31">
        <w:rPr>
          <w:rFonts w:ascii="Palatino Linotype" w:eastAsiaTheme="minorEastAsia" w:hAnsi="Palatino Linotype" w:cstheme="minorBidi"/>
          <w:color w:val="000000" w:themeColor="text1"/>
          <w:lang w:val="es-ES_tradnl"/>
        </w:rPr>
        <w:t xml:space="preserve"> de 2021.</w:t>
      </w:r>
    </w:p>
    <w:p w14:paraId="0B120FD0" w14:textId="77777777" w:rsidR="00F62E09" w:rsidRPr="00481B31" w:rsidRDefault="00F62E09" w:rsidP="000C1184">
      <w:pPr>
        <w:spacing w:line="360" w:lineRule="auto"/>
        <w:rPr>
          <w:rFonts w:ascii="Palatino Linotype" w:eastAsiaTheme="minorEastAsia" w:hAnsi="Palatino Linotype" w:cstheme="minorBidi"/>
          <w:color w:val="000000" w:themeColor="text1"/>
          <w:lang w:val="es-MX"/>
        </w:rPr>
      </w:pPr>
    </w:p>
    <w:p w14:paraId="3B4E2360" w14:textId="29E53C9A" w:rsidR="00C24F5E" w:rsidRPr="00481B31" w:rsidRDefault="00C24F5E" w:rsidP="000C1184">
      <w:pPr>
        <w:pStyle w:val="Prrafodelista"/>
        <w:numPr>
          <w:ilvl w:val="0"/>
          <w:numId w:val="36"/>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481B31">
        <w:rPr>
          <w:rFonts w:ascii="Palatino Linotype" w:eastAsiaTheme="minorEastAsia" w:hAnsi="Palatino Linotype" w:cstheme="minorBidi"/>
          <w:color w:val="000000" w:themeColor="text1"/>
          <w:lang w:val="es-MX"/>
        </w:rPr>
        <w:t xml:space="preserve">El </w:t>
      </w:r>
      <w:r w:rsidR="00A87DA3" w:rsidRPr="00481B31">
        <w:rPr>
          <w:rFonts w:ascii="Palatino Linotype" w:eastAsiaTheme="minorEastAsia" w:hAnsi="Palatino Linotype" w:cstheme="minorBidi"/>
          <w:color w:val="000000" w:themeColor="text1"/>
          <w:lang w:val="es-MX"/>
        </w:rPr>
        <w:t>catorce (14</w:t>
      </w:r>
      <w:r w:rsidRPr="00481B31">
        <w:rPr>
          <w:rFonts w:ascii="Palatino Linotype" w:eastAsiaTheme="minorEastAsia" w:hAnsi="Palatino Linotype" w:cstheme="minorBidi"/>
          <w:color w:val="000000" w:themeColor="text1"/>
          <w:lang w:val="es-MX"/>
        </w:rPr>
        <w:t>) de</w:t>
      </w:r>
      <w:r w:rsidR="00B13EF8" w:rsidRPr="00481B31">
        <w:rPr>
          <w:rFonts w:ascii="Palatino Linotype" w:eastAsiaTheme="minorEastAsia" w:hAnsi="Palatino Linotype" w:cstheme="minorBidi"/>
          <w:color w:val="000000" w:themeColor="text1"/>
          <w:lang w:val="es-MX"/>
        </w:rPr>
        <w:t xml:space="preserve"> octubre</w:t>
      </w:r>
      <w:r w:rsidRPr="00481B31">
        <w:rPr>
          <w:rFonts w:ascii="Palatino Linotype" w:eastAsiaTheme="minorEastAsia" w:hAnsi="Palatino Linotype" w:cstheme="minorBidi"/>
          <w:color w:val="000000" w:themeColor="text1"/>
          <w:lang w:val="es-MX"/>
        </w:rPr>
        <w:t xml:space="preserve"> 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r w:rsidR="009C61F1" w:rsidRPr="00481B31">
        <w:rPr>
          <w:rFonts w:ascii="Palatino Linotype" w:eastAsiaTheme="minorEastAsia" w:hAnsi="Palatino Linotype" w:cstheme="minorBidi"/>
          <w:color w:val="000000" w:themeColor="text1"/>
          <w:lang w:val="es-MX"/>
        </w:rPr>
        <w:t>-----------------------------</w:t>
      </w:r>
    </w:p>
    <w:p w14:paraId="1A06EC63" w14:textId="77777777" w:rsidR="0028674A" w:rsidRPr="00481B31" w:rsidRDefault="0028674A" w:rsidP="000C1184">
      <w:pPr>
        <w:spacing w:line="360" w:lineRule="auto"/>
        <w:rPr>
          <w:rFonts w:ascii="Palatino Linotype" w:hAnsi="Palatino Linotype"/>
          <w:lang w:val="es-MX" w:eastAsia="en-US"/>
        </w:rPr>
      </w:pPr>
      <w:bookmarkStart w:id="6" w:name="_Toc68804758"/>
    </w:p>
    <w:p w14:paraId="494F97AD" w14:textId="77777777" w:rsidR="00EA0165" w:rsidRPr="00481B31" w:rsidRDefault="00EA0165" w:rsidP="000C1184">
      <w:pPr>
        <w:pStyle w:val="Ttulo1"/>
        <w:spacing w:line="360" w:lineRule="auto"/>
        <w:jc w:val="center"/>
        <w:rPr>
          <w:rFonts w:ascii="Palatino Linotype" w:hAnsi="Palatino Linotype"/>
          <w:b/>
          <w:color w:val="000000" w:themeColor="text1"/>
          <w:sz w:val="24"/>
          <w:szCs w:val="24"/>
          <w:lang w:val="es-MX" w:eastAsia="en-US"/>
        </w:rPr>
      </w:pPr>
      <w:bookmarkStart w:id="7" w:name="_Toc85137156"/>
      <w:r w:rsidRPr="00481B31">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481B31" w:rsidRDefault="00EA0165" w:rsidP="000C1184">
      <w:pPr>
        <w:spacing w:line="360" w:lineRule="auto"/>
        <w:rPr>
          <w:rFonts w:ascii="Palatino Linotype" w:eastAsiaTheme="minorEastAsia" w:hAnsi="Palatino Linotype" w:cstheme="minorBidi"/>
          <w:color w:val="000000" w:themeColor="text1"/>
          <w:lang w:val="es-MX" w:eastAsia="en-US"/>
        </w:rPr>
      </w:pPr>
    </w:p>
    <w:p w14:paraId="5A52BC08" w14:textId="77777777" w:rsidR="00A87DA3" w:rsidRPr="00481B31" w:rsidRDefault="00A87DA3" w:rsidP="000C1184">
      <w:pPr>
        <w:spacing w:line="360" w:lineRule="auto"/>
        <w:rPr>
          <w:rFonts w:ascii="Palatino Linotype" w:eastAsiaTheme="minorEastAsia" w:hAnsi="Palatino Linotype" w:cstheme="minorBidi"/>
          <w:color w:val="000000" w:themeColor="text1"/>
          <w:lang w:val="es-MX" w:eastAsia="en-US"/>
        </w:rPr>
      </w:pPr>
    </w:p>
    <w:p w14:paraId="330461D0" w14:textId="77777777" w:rsidR="00A87DA3" w:rsidRPr="00481B31" w:rsidRDefault="00A87DA3" w:rsidP="000C1184">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481B31" w:rsidRDefault="00EA0165" w:rsidP="000C1184">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5137157"/>
      <w:r w:rsidRPr="00481B31">
        <w:rPr>
          <w:rFonts w:ascii="Palatino Linotype" w:hAnsi="Palatino Linotype"/>
          <w:b/>
          <w:color w:val="000000" w:themeColor="text1"/>
          <w:sz w:val="24"/>
          <w:szCs w:val="24"/>
          <w:lang w:val="es-MX" w:eastAsia="en-US"/>
        </w:rPr>
        <w:lastRenderedPageBreak/>
        <w:t>PRIMERO. De la competencia</w:t>
      </w:r>
      <w:bookmarkEnd w:id="8"/>
      <w:bookmarkEnd w:id="9"/>
      <w:bookmarkEnd w:id="10"/>
      <w:r w:rsidR="00537427" w:rsidRPr="00481B31">
        <w:rPr>
          <w:rFonts w:ascii="Palatino Linotype" w:hAnsi="Palatino Linotype"/>
          <w:b/>
          <w:color w:val="000000" w:themeColor="text1"/>
          <w:sz w:val="24"/>
          <w:szCs w:val="24"/>
          <w:lang w:val="es-MX" w:eastAsia="en-US"/>
        </w:rPr>
        <w:t>.</w:t>
      </w:r>
      <w:bookmarkEnd w:id="11"/>
    </w:p>
    <w:p w14:paraId="341F67EC" w14:textId="77777777" w:rsidR="00EA0165" w:rsidRPr="00481B31" w:rsidRDefault="00EA0165" w:rsidP="000C1184">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481B31" w:rsidRDefault="00EA0165" w:rsidP="000C1184">
      <w:pPr>
        <w:pStyle w:val="Prrafodelista"/>
        <w:numPr>
          <w:ilvl w:val="0"/>
          <w:numId w:val="36"/>
        </w:numPr>
        <w:tabs>
          <w:tab w:val="left" w:pos="0"/>
        </w:tabs>
        <w:spacing w:after="160" w:line="360" w:lineRule="auto"/>
        <w:ind w:left="0" w:hanging="11"/>
        <w:contextualSpacing/>
        <w:jc w:val="both"/>
        <w:rPr>
          <w:rFonts w:ascii="Palatino Linotype" w:eastAsia="MS Mincho" w:hAnsi="Palatino Linotype"/>
          <w:lang w:val="es-ES_tradnl"/>
        </w:rPr>
      </w:pPr>
      <w:r w:rsidRPr="00481B31">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1B31">
        <w:rPr>
          <w:rFonts w:ascii="Palatino Linotype" w:eastAsia="Calibri" w:hAnsi="Palatino Linotype"/>
          <w:b/>
        </w:rPr>
        <w:t>Constitución Política de los Estados Unidos Mexicanos</w:t>
      </w:r>
      <w:r w:rsidRPr="00481B31">
        <w:rPr>
          <w:rFonts w:ascii="Palatino Linotype" w:eastAsia="Calibri" w:hAnsi="Palatino Linotype"/>
        </w:rPr>
        <w:t xml:space="preserve">; </w:t>
      </w:r>
      <w:r w:rsidRPr="00481B31">
        <w:rPr>
          <w:rFonts w:ascii="Palatino Linotype" w:eastAsia="Calibri" w:hAnsi="Palatino Linotype" w:cs="Arial"/>
          <w:bCs/>
          <w:color w:val="222222"/>
          <w:shd w:val="clear" w:color="auto" w:fill="FFFFFF"/>
          <w:lang w:eastAsia="en-US"/>
        </w:rPr>
        <w:t>5, párrafo</w:t>
      </w:r>
      <w:r w:rsidR="00543BF9" w:rsidRPr="00481B31">
        <w:rPr>
          <w:rFonts w:ascii="Palatino Linotype" w:eastAsia="Calibri" w:hAnsi="Palatino Linotype"/>
          <w:lang w:val="es-MX" w:eastAsia="en-US"/>
        </w:rPr>
        <w:t xml:space="preserve"> trigésimo, trigésimo primero y trigésimo segundo, fracciones I, II, III, IV y V</w:t>
      </w:r>
      <w:r w:rsidR="00543BF9" w:rsidRPr="00481B31">
        <w:rPr>
          <w:rFonts w:ascii="Palatino Linotype" w:eastAsia="MS Mincho" w:hAnsi="Palatino Linotype"/>
          <w:lang w:val="es-ES_tradnl"/>
        </w:rPr>
        <w:t xml:space="preserve"> </w:t>
      </w:r>
      <w:r w:rsidRPr="00481B31">
        <w:rPr>
          <w:rFonts w:ascii="Palatino Linotype" w:eastAsia="Calibri" w:hAnsi="Palatino Linotype"/>
        </w:rPr>
        <w:t xml:space="preserve">de la </w:t>
      </w:r>
      <w:r w:rsidRPr="00481B31">
        <w:rPr>
          <w:rFonts w:ascii="Palatino Linotype" w:eastAsia="Calibri" w:hAnsi="Palatino Linotype"/>
          <w:b/>
        </w:rPr>
        <w:t>Constitución Política del Estado Libre y Soberano de México</w:t>
      </w:r>
      <w:r w:rsidRPr="00481B31">
        <w:rPr>
          <w:rFonts w:ascii="Palatino Linotype" w:eastAsia="Calibri" w:hAnsi="Palatino Linotype"/>
        </w:rPr>
        <w:t xml:space="preserve">; artículos 1, 2 fracción II, 13, 29, 36 fracciones I y II, 176, 178, 179, 181 párrafo tercero y 185 </w:t>
      </w:r>
      <w:r w:rsidRPr="00481B31">
        <w:rPr>
          <w:rFonts w:ascii="Palatino Linotype" w:eastAsia="Calibri" w:hAnsi="Palatino Linotype" w:cs="Arial"/>
        </w:rPr>
        <w:t xml:space="preserve">de la </w:t>
      </w:r>
      <w:r w:rsidRPr="00481B31">
        <w:rPr>
          <w:rFonts w:ascii="Palatino Linotype" w:eastAsia="Calibri" w:hAnsi="Palatino Linotype" w:cs="Arial"/>
          <w:b/>
        </w:rPr>
        <w:t>Ley de Transparencia y Acceso a la Información Pública del Estado de México y Municipios</w:t>
      </w:r>
      <w:r w:rsidRPr="00481B31">
        <w:rPr>
          <w:rFonts w:ascii="Palatino Linotype" w:eastAsia="Calibri" w:hAnsi="Palatino Linotype" w:cs="Arial"/>
        </w:rPr>
        <w:t xml:space="preserve">; </w:t>
      </w:r>
      <w:r w:rsidRPr="00481B31">
        <w:rPr>
          <w:rFonts w:ascii="Palatino Linotype" w:eastAsia="Calibri" w:hAnsi="Palatino Linotype" w:cs="Arial"/>
          <w:b/>
        </w:rPr>
        <w:t>7, 9 fracciones I y XXIV, y 11</w:t>
      </w:r>
      <w:r w:rsidRPr="00481B31">
        <w:rPr>
          <w:rFonts w:ascii="Palatino Linotype" w:eastAsia="Calibri" w:hAnsi="Palatino Linotype" w:cs="Arial"/>
        </w:rPr>
        <w:t xml:space="preserve"> del </w:t>
      </w:r>
      <w:r w:rsidRPr="00481B31">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481B31">
        <w:rPr>
          <w:rFonts w:ascii="Palatino Linotype" w:eastAsia="Calibri" w:hAnsi="Palatino Linotype" w:cs="Arial"/>
          <w:b/>
        </w:rPr>
        <w:t>.</w:t>
      </w:r>
    </w:p>
    <w:p w14:paraId="4A293969" w14:textId="77777777" w:rsidR="00A87DA3" w:rsidRPr="00481B31" w:rsidRDefault="00A87DA3" w:rsidP="00A87DA3">
      <w:pPr>
        <w:pStyle w:val="Prrafodelista"/>
        <w:tabs>
          <w:tab w:val="left" w:pos="0"/>
        </w:tabs>
        <w:spacing w:after="160" w:line="360" w:lineRule="auto"/>
        <w:ind w:left="0"/>
        <w:contextualSpacing/>
        <w:jc w:val="both"/>
        <w:rPr>
          <w:rFonts w:ascii="Palatino Linotype" w:eastAsia="MS Mincho" w:hAnsi="Palatino Linotype"/>
          <w:lang w:val="es-ES_tradnl"/>
        </w:rPr>
      </w:pPr>
    </w:p>
    <w:p w14:paraId="2D767389" w14:textId="4E4CCC64" w:rsidR="00EA0165" w:rsidRPr="00481B31" w:rsidRDefault="00EA0165" w:rsidP="000C1184">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5137158"/>
      <w:r w:rsidRPr="00481B31">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343B0FCF" w14:textId="77777777" w:rsidR="00EA0165" w:rsidRPr="00481B31" w:rsidRDefault="00EA0165" w:rsidP="000C1184">
      <w:pPr>
        <w:keepNext/>
        <w:keepLines/>
        <w:tabs>
          <w:tab w:val="left" w:pos="0"/>
        </w:tabs>
        <w:spacing w:line="360" w:lineRule="auto"/>
        <w:outlineLvl w:val="0"/>
        <w:rPr>
          <w:rFonts w:ascii="Palatino Linotype" w:eastAsia="MS Gothic" w:hAnsi="Palatino Linotype"/>
          <w:b/>
          <w:lang w:val="es-MX" w:eastAsia="en-US"/>
        </w:rPr>
      </w:pPr>
    </w:p>
    <w:p w14:paraId="58DA4526" w14:textId="77777777" w:rsidR="00EA0165" w:rsidRPr="00481B31" w:rsidRDefault="00EA0165" w:rsidP="000C1184">
      <w:pPr>
        <w:pStyle w:val="Ttulo1"/>
        <w:spacing w:line="360" w:lineRule="auto"/>
        <w:rPr>
          <w:rFonts w:ascii="Palatino Linotype" w:hAnsi="Palatino Linotype"/>
          <w:b/>
          <w:color w:val="000000" w:themeColor="text1"/>
          <w:sz w:val="24"/>
          <w:szCs w:val="24"/>
          <w:lang w:val="es-MX" w:eastAsia="en-US"/>
        </w:rPr>
      </w:pPr>
      <w:bookmarkStart w:id="16" w:name="_Toc67587985"/>
      <w:bookmarkStart w:id="17" w:name="_Toc68804761"/>
      <w:bookmarkStart w:id="18" w:name="_Toc85137159"/>
      <w:r w:rsidRPr="00481B31">
        <w:rPr>
          <w:rFonts w:ascii="Palatino Linotype" w:hAnsi="Palatino Linotype"/>
          <w:b/>
          <w:color w:val="000000" w:themeColor="text1"/>
          <w:sz w:val="24"/>
          <w:szCs w:val="24"/>
          <w:lang w:val="es-MX" w:eastAsia="en-US"/>
        </w:rPr>
        <w:t>I. De la interposición del recurso.</w:t>
      </w:r>
      <w:bookmarkEnd w:id="16"/>
      <w:bookmarkEnd w:id="17"/>
      <w:bookmarkEnd w:id="18"/>
      <w:r w:rsidRPr="00481B31">
        <w:rPr>
          <w:rFonts w:ascii="Palatino Linotype" w:hAnsi="Palatino Linotype"/>
          <w:b/>
          <w:color w:val="000000" w:themeColor="text1"/>
          <w:sz w:val="24"/>
          <w:szCs w:val="24"/>
          <w:lang w:val="es-MX" w:eastAsia="en-US"/>
        </w:rPr>
        <w:t xml:space="preserve"> </w:t>
      </w:r>
    </w:p>
    <w:p w14:paraId="489BB18C" w14:textId="77777777" w:rsidR="00EA0165" w:rsidRPr="00481B31" w:rsidRDefault="00EA0165" w:rsidP="000C1184">
      <w:pPr>
        <w:keepNext/>
        <w:keepLines/>
        <w:tabs>
          <w:tab w:val="left" w:pos="0"/>
        </w:tabs>
        <w:spacing w:line="360" w:lineRule="auto"/>
        <w:contextualSpacing/>
        <w:outlineLvl w:val="0"/>
        <w:rPr>
          <w:rFonts w:ascii="Palatino Linotype" w:eastAsia="MS Gothic" w:hAnsi="Palatino Linotype"/>
          <w:b/>
          <w:lang w:val="es-MX" w:eastAsia="en-US"/>
        </w:rPr>
      </w:pPr>
    </w:p>
    <w:p w14:paraId="367B1661" w14:textId="6A70F94A" w:rsidR="00EA0165" w:rsidRPr="00481B31" w:rsidRDefault="00EA0165" w:rsidP="000C1184">
      <w:pPr>
        <w:pStyle w:val="Prrafodelista"/>
        <w:numPr>
          <w:ilvl w:val="0"/>
          <w:numId w:val="36"/>
        </w:numPr>
        <w:spacing w:after="160" w:line="360" w:lineRule="auto"/>
        <w:ind w:left="0" w:right="49" w:firstLine="0"/>
        <w:contextualSpacing/>
        <w:jc w:val="both"/>
        <w:rPr>
          <w:rFonts w:ascii="Palatino Linotype" w:hAnsi="Palatino Linotype"/>
          <w:lang w:val="es-ES_tradnl"/>
        </w:rPr>
      </w:pPr>
      <w:r w:rsidRPr="00481B31">
        <w:rPr>
          <w:rFonts w:ascii="Palatino Linotype" w:eastAsia="Calibri" w:hAnsi="Palatino Linotype" w:cs="Arial"/>
          <w:lang w:val="es-ES_tradnl"/>
        </w:rPr>
        <w:t xml:space="preserve">El medio de impugnación fue presentado a través del </w:t>
      </w:r>
      <w:r w:rsidRPr="00481B31">
        <w:rPr>
          <w:rFonts w:ascii="Palatino Linotype" w:eastAsia="Calibri" w:hAnsi="Palatino Linotype" w:cs="Arial"/>
          <w:b/>
          <w:lang w:val="es-ES_tradnl"/>
        </w:rPr>
        <w:t>SAIMEX,</w:t>
      </w:r>
      <w:r w:rsidRPr="00481B31">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481B31">
        <w:rPr>
          <w:rFonts w:ascii="Palatino Linotype" w:eastAsia="Calibri" w:hAnsi="Palatino Linotype" w:cs="Arial"/>
          <w:lang w:val="es-ES_tradnl"/>
        </w:rPr>
        <w:t xml:space="preserve">particular es de señalar que si el </w:t>
      </w:r>
      <w:r w:rsidRPr="00481B31">
        <w:rPr>
          <w:rFonts w:ascii="Palatino Linotype" w:eastAsia="Calibri" w:hAnsi="Palatino Linotype" w:cs="Arial"/>
          <w:b/>
          <w:lang w:val="es-ES_tradnl"/>
        </w:rPr>
        <w:t>SUJETO OBLIGADO</w:t>
      </w:r>
      <w:r w:rsidRPr="00481B31">
        <w:rPr>
          <w:rFonts w:ascii="Palatino Linotype" w:eastAsia="Calibri" w:hAnsi="Palatino Linotype" w:cs="Arial"/>
          <w:lang w:val="es-ES_tradnl"/>
        </w:rPr>
        <w:t xml:space="preserve"> entregó respuesta el d</w:t>
      </w:r>
      <w:r w:rsidR="00567BCA" w:rsidRPr="00481B31">
        <w:rPr>
          <w:rFonts w:ascii="Palatino Linotype" w:eastAsia="Calibri" w:hAnsi="Palatino Linotype" w:cs="Arial"/>
          <w:lang w:val="es-ES_tradnl"/>
        </w:rPr>
        <w:t>ía tres (03</w:t>
      </w:r>
      <w:r w:rsidRPr="00481B31">
        <w:rPr>
          <w:rFonts w:ascii="Palatino Linotype" w:eastAsia="Calibri" w:hAnsi="Palatino Linotype" w:cs="Arial"/>
          <w:lang w:val="es-ES_tradnl"/>
        </w:rPr>
        <w:t>) de</w:t>
      </w:r>
      <w:r w:rsidR="00567BCA" w:rsidRPr="00481B31">
        <w:rPr>
          <w:rFonts w:ascii="Palatino Linotype" w:eastAsia="Calibri" w:hAnsi="Palatino Linotype" w:cs="Arial"/>
          <w:lang w:val="es-ES_tradnl"/>
        </w:rPr>
        <w:t xml:space="preserve"> agosto</w:t>
      </w:r>
      <w:r w:rsidRPr="00481B31">
        <w:rPr>
          <w:rFonts w:ascii="Palatino Linotype" w:eastAsia="Calibri" w:hAnsi="Palatino Linotype" w:cs="Arial"/>
          <w:lang w:val="es-ES_tradnl"/>
        </w:rPr>
        <w:t xml:space="preserve"> de dos mil veintiuno</w:t>
      </w:r>
      <w:r w:rsidRPr="00481B31">
        <w:rPr>
          <w:rFonts w:ascii="Palatino Linotype" w:eastAsia="Calibri" w:hAnsi="Palatino Linotype" w:cs="Arial"/>
          <w:lang w:val="es-MX" w:eastAsia="en-US"/>
        </w:rPr>
        <w:t>, el plazo para interponer el recurso de rev</w:t>
      </w:r>
      <w:r w:rsidR="00E62DC6" w:rsidRPr="00481B31">
        <w:rPr>
          <w:rFonts w:ascii="Palatino Linotype" w:eastAsia="Calibri" w:hAnsi="Palatino Linotype" w:cs="Arial"/>
          <w:lang w:val="es-MX" w:eastAsia="en-US"/>
        </w:rPr>
        <w:t xml:space="preserve">isión </w:t>
      </w:r>
      <w:r w:rsidR="00567BCA" w:rsidRPr="00481B31">
        <w:rPr>
          <w:rFonts w:ascii="Palatino Linotype" w:eastAsia="Calibri" w:hAnsi="Palatino Linotype" w:cs="Arial"/>
          <w:lang w:val="es-MX" w:eastAsia="en-US"/>
        </w:rPr>
        <w:t>trascurrió del cuatro (04</w:t>
      </w:r>
      <w:r w:rsidRPr="00481B31">
        <w:rPr>
          <w:rFonts w:ascii="Palatino Linotype" w:eastAsia="Calibri" w:hAnsi="Palatino Linotype" w:cs="Arial"/>
          <w:lang w:val="es-MX" w:eastAsia="en-US"/>
        </w:rPr>
        <w:t>)</w:t>
      </w:r>
      <w:r w:rsidR="00BD6857" w:rsidRPr="00481B31">
        <w:rPr>
          <w:rFonts w:ascii="Palatino Linotype" w:eastAsia="Calibri" w:hAnsi="Palatino Linotype" w:cs="Arial"/>
          <w:lang w:val="es-MX" w:eastAsia="en-US"/>
        </w:rPr>
        <w:t xml:space="preserve"> </w:t>
      </w:r>
      <w:r w:rsidR="00567BCA" w:rsidRPr="00481B31">
        <w:rPr>
          <w:rFonts w:ascii="Palatino Linotype" w:eastAsia="Calibri" w:hAnsi="Palatino Linotype" w:cs="Arial"/>
          <w:lang w:val="es-MX" w:eastAsia="en-US"/>
        </w:rPr>
        <w:t>al veinticuatro (24</w:t>
      </w:r>
      <w:r w:rsidR="00543427" w:rsidRPr="00481B31">
        <w:rPr>
          <w:rFonts w:ascii="Palatino Linotype" w:eastAsia="Calibri" w:hAnsi="Palatino Linotype" w:cs="Arial"/>
          <w:lang w:val="es-MX" w:eastAsia="en-US"/>
        </w:rPr>
        <w:t>) de</w:t>
      </w:r>
      <w:r w:rsidR="00BD6857" w:rsidRPr="00481B31">
        <w:rPr>
          <w:rFonts w:ascii="Palatino Linotype" w:eastAsia="Calibri" w:hAnsi="Palatino Linotype" w:cs="Arial"/>
          <w:lang w:val="es-MX" w:eastAsia="en-US"/>
        </w:rPr>
        <w:t xml:space="preserve"> </w:t>
      </w:r>
      <w:r w:rsidR="00BD6857" w:rsidRPr="00481B31">
        <w:rPr>
          <w:rFonts w:ascii="Palatino Linotype" w:eastAsia="Calibri" w:hAnsi="Palatino Linotype" w:cs="Arial"/>
          <w:lang w:val="es-MX" w:eastAsia="en-US"/>
        </w:rPr>
        <w:lastRenderedPageBreak/>
        <w:t>agosto</w:t>
      </w:r>
      <w:r w:rsidR="00E62DC6" w:rsidRPr="00481B31">
        <w:rPr>
          <w:rFonts w:ascii="Palatino Linotype" w:eastAsia="Calibri" w:hAnsi="Palatino Linotype" w:cs="Arial"/>
          <w:lang w:val="es-MX" w:eastAsia="en-US"/>
        </w:rPr>
        <w:t xml:space="preserve"> de dos mil veintiuno, </w:t>
      </w:r>
      <w:r w:rsidRPr="00481B31">
        <w:rPr>
          <w:rFonts w:ascii="Palatino Linotype" w:eastAsia="Calibri" w:hAnsi="Palatino Linotype" w:cs="Arial"/>
          <w:lang w:val="es-MX" w:eastAsia="en-US"/>
        </w:rPr>
        <w:t>por lo que si el particular i</w:t>
      </w:r>
      <w:r w:rsidR="00392E2B" w:rsidRPr="00481B31">
        <w:rPr>
          <w:rFonts w:ascii="Palatino Linotype" w:eastAsia="Calibri" w:hAnsi="Palatino Linotype" w:cs="Arial"/>
          <w:lang w:val="es-MX" w:eastAsia="en-US"/>
        </w:rPr>
        <w:t>nterpus</w:t>
      </w:r>
      <w:r w:rsidR="003D1DF9" w:rsidRPr="00481B31">
        <w:rPr>
          <w:rFonts w:ascii="Palatino Linotype" w:eastAsia="Calibri" w:hAnsi="Palatino Linotype" w:cs="Arial"/>
          <w:lang w:val="es-MX" w:eastAsia="en-US"/>
        </w:rPr>
        <w:t xml:space="preserve">o recurso de revisión el </w:t>
      </w:r>
      <w:r w:rsidR="00C3134B" w:rsidRPr="00481B31">
        <w:rPr>
          <w:rFonts w:ascii="Palatino Linotype" w:eastAsia="Calibri" w:hAnsi="Palatino Linotype" w:cs="Arial"/>
          <w:lang w:val="es-MX" w:eastAsia="en-US"/>
        </w:rPr>
        <w:t>tres (03</w:t>
      </w:r>
      <w:r w:rsidR="00BD6857" w:rsidRPr="00481B31">
        <w:rPr>
          <w:rFonts w:ascii="Palatino Linotype" w:eastAsia="Calibri" w:hAnsi="Palatino Linotype" w:cs="Arial"/>
          <w:lang w:val="es-MX" w:eastAsia="en-US"/>
        </w:rPr>
        <w:t>) de</w:t>
      </w:r>
      <w:r w:rsidR="00C3134B" w:rsidRPr="00481B31">
        <w:rPr>
          <w:rFonts w:ascii="Palatino Linotype" w:eastAsia="Calibri" w:hAnsi="Palatino Linotype" w:cs="Arial"/>
          <w:lang w:val="es-MX" w:eastAsia="en-US"/>
        </w:rPr>
        <w:t xml:space="preserve"> agosto</w:t>
      </w:r>
      <w:r w:rsidR="00BD6857" w:rsidRPr="00481B31">
        <w:rPr>
          <w:rFonts w:ascii="Palatino Linotype" w:eastAsia="Calibri" w:hAnsi="Palatino Linotype" w:cs="Arial"/>
          <w:lang w:val="es-MX" w:eastAsia="en-US"/>
        </w:rPr>
        <w:t>,</w:t>
      </w:r>
      <w:r w:rsidRPr="00481B31">
        <w:rPr>
          <w:rFonts w:ascii="Palatino Linotype" w:eastAsia="Calibri" w:hAnsi="Palatino Linotype" w:cs="Arial"/>
          <w:lang w:val="es-MX" w:eastAsia="en-US"/>
        </w:rPr>
        <w:t xml:space="preserve"> </w:t>
      </w:r>
      <w:r w:rsidRPr="00481B31">
        <w:rPr>
          <w:rFonts w:ascii="Palatino Linotype" w:hAnsi="Palatino Linotype"/>
          <w:lang w:val="es-ES_tradnl"/>
        </w:rPr>
        <w:t xml:space="preserve">se encuentra dentro del periodo establecido por la Ley. </w:t>
      </w:r>
    </w:p>
    <w:p w14:paraId="20E42598" w14:textId="1CDFB32B" w:rsidR="00C3134B" w:rsidRPr="00481B31" w:rsidRDefault="00C3134B" w:rsidP="00C3134B">
      <w:pPr>
        <w:keepNext/>
        <w:keepLines/>
        <w:spacing w:before="240" w:line="360" w:lineRule="auto"/>
        <w:ind w:right="49"/>
        <w:jc w:val="both"/>
        <w:outlineLvl w:val="0"/>
        <w:rPr>
          <w:rFonts w:ascii="Palatino Linotype" w:eastAsia="Calibri" w:hAnsi="Palatino Linotype" w:cstheme="majorBidi"/>
          <w:b/>
        </w:rPr>
      </w:pPr>
      <w:bookmarkStart w:id="19" w:name="_Toc85137160"/>
      <w:r w:rsidRPr="00481B31">
        <w:rPr>
          <w:rFonts w:ascii="Palatino Linotype" w:eastAsia="Calibri" w:hAnsi="Palatino Linotype" w:cstheme="majorBidi"/>
          <w:b/>
        </w:rPr>
        <w:t>II. La interposición del recurso de revisión el mismo día que se tiene conocimiento de la respuesta otorgada, no es determinante para su improcedencia.</w:t>
      </w:r>
      <w:bookmarkEnd w:id="19"/>
      <w:r w:rsidRPr="00481B31">
        <w:rPr>
          <w:rFonts w:ascii="Palatino Linotype" w:eastAsia="Calibri" w:hAnsi="Palatino Linotype" w:cstheme="majorBidi"/>
          <w:b/>
        </w:rPr>
        <w:t xml:space="preserve"> </w:t>
      </w:r>
    </w:p>
    <w:p w14:paraId="6B82FCC7" w14:textId="77777777" w:rsidR="00C3134B" w:rsidRPr="00481B31" w:rsidRDefault="00C3134B" w:rsidP="00C3134B">
      <w:pPr>
        <w:spacing w:line="360" w:lineRule="auto"/>
        <w:ind w:right="49"/>
        <w:contextualSpacing/>
        <w:jc w:val="both"/>
        <w:rPr>
          <w:rFonts w:ascii="Palatino Linotype" w:eastAsia="Calibri" w:hAnsi="Palatino Linotype" w:cs="Arial"/>
          <w:b/>
        </w:rPr>
      </w:pPr>
    </w:p>
    <w:p w14:paraId="1B283FDA" w14:textId="2A449620" w:rsidR="00C3134B" w:rsidRPr="00481B31" w:rsidRDefault="00C3134B" w:rsidP="00C3134B">
      <w:pPr>
        <w:pStyle w:val="Prrafodelista"/>
        <w:numPr>
          <w:ilvl w:val="0"/>
          <w:numId w:val="36"/>
        </w:numPr>
        <w:spacing w:line="360" w:lineRule="auto"/>
        <w:ind w:left="0" w:right="49" w:firstLine="0"/>
        <w:contextualSpacing/>
        <w:jc w:val="both"/>
        <w:rPr>
          <w:rFonts w:ascii="Palatino Linotype" w:hAnsi="Palatino Linotype"/>
          <w:lang w:val="es-ES_tradnl"/>
        </w:rPr>
      </w:pPr>
      <w:r w:rsidRPr="00481B31">
        <w:rPr>
          <w:rFonts w:ascii="Palatino Linotype" w:eastAsia="Calibri" w:hAnsi="Palatino Linotype" w:cs="Arial"/>
          <w:lang w:val="es-ES_tradnl"/>
        </w:rPr>
        <w:t>Como se observa, el particular presentó su inconformidad el mismo día en que tuvo conocimiento de la respuesta, y un día antes de que iniciara el plazo de quince (15) días para la interposición del recurso,  así es de señalar que  dicha situación no es determinante para declarar el recurso interpuesto extemporáneo, toda vez que el tiempo concedido es para delimitar el término en que pueden impugnarse las respuestas, lo cual no impide  que se presenten antes de iniciado el plazo previsto.</w:t>
      </w:r>
    </w:p>
    <w:p w14:paraId="722654DA" w14:textId="77777777" w:rsidR="00C3134B" w:rsidRPr="00481B31" w:rsidRDefault="00C3134B" w:rsidP="00C3134B">
      <w:pPr>
        <w:spacing w:line="360" w:lineRule="auto"/>
        <w:ind w:right="49"/>
        <w:contextualSpacing/>
        <w:jc w:val="both"/>
        <w:rPr>
          <w:rFonts w:ascii="Palatino Linotype" w:hAnsi="Palatino Linotype"/>
          <w:lang w:val="es-ES_tradnl"/>
        </w:rPr>
      </w:pPr>
    </w:p>
    <w:p w14:paraId="4392140D" w14:textId="77777777" w:rsidR="00C3134B" w:rsidRPr="00481B31" w:rsidRDefault="00C3134B" w:rsidP="00C3134B">
      <w:pPr>
        <w:numPr>
          <w:ilvl w:val="0"/>
          <w:numId w:val="36"/>
        </w:numPr>
        <w:spacing w:before="240" w:after="240" w:line="360" w:lineRule="auto"/>
        <w:ind w:left="0" w:right="49" w:firstLine="0"/>
        <w:contextualSpacing/>
        <w:jc w:val="both"/>
        <w:rPr>
          <w:rFonts w:ascii="Palatino Linotype" w:eastAsiaTheme="minorEastAsia" w:hAnsi="Palatino Linotype"/>
          <w:lang w:val="es-ES_tradnl"/>
        </w:rPr>
      </w:pPr>
      <w:r w:rsidRPr="00481B31">
        <w:rPr>
          <w:rFonts w:ascii="Palatino Linotype" w:eastAsia="Calibri" w:hAnsi="Palatino Linotype" w:cs="Arial"/>
        </w:rPr>
        <w:t xml:space="preserve">Discernimiento </w:t>
      </w:r>
      <w:r w:rsidRPr="00481B31">
        <w:rPr>
          <w:rFonts w:ascii="Palatino Linotype" w:eastAsia="Calibri" w:hAnsi="Palatino Linotype" w:cs="Arial"/>
          <w:lang w:val="es-ES_tradn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5617FD14" w14:textId="77777777" w:rsidR="00C3134B" w:rsidRPr="00481B31" w:rsidRDefault="00C3134B" w:rsidP="00C3134B">
      <w:pPr>
        <w:contextualSpacing/>
        <w:rPr>
          <w:rFonts w:ascii="Palatino Linotype" w:eastAsia="Calibri" w:hAnsi="Palatino Linotype" w:cs="Arial"/>
          <w:i/>
        </w:rPr>
      </w:pPr>
    </w:p>
    <w:p w14:paraId="7154D79B" w14:textId="77777777" w:rsidR="00C3134B" w:rsidRPr="00481B31" w:rsidRDefault="00C3134B" w:rsidP="00C3134B">
      <w:pPr>
        <w:spacing w:line="360" w:lineRule="auto"/>
        <w:ind w:left="567" w:right="616"/>
        <w:contextualSpacing/>
        <w:jc w:val="both"/>
        <w:rPr>
          <w:rFonts w:ascii="Palatino Linotype" w:eastAsia="Calibri" w:hAnsi="Palatino Linotype" w:cs="Arial"/>
        </w:rPr>
      </w:pPr>
      <w:r w:rsidRPr="00481B31">
        <w:rPr>
          <w:rFonts w:ascii="Palatino Linotype" w:eastAsia="Calibri" w:hAnsi="Palatino Linotype" w:cs="Arial"/>
          <w:b/>
          <w:i/>
        </w:rPr>
        <w:t>RECURSO DE RECLAMACIÓN. SU INTERPOSICIÓN NO ES EXTEMPORÁNEA SI SE REALIZA ANTES DE QUE INICIE EL PLAZO PARA HACERLO.</w:t>
      </w:r>
      <w:r w:rsidRPr="00481B31">
        <w:rPr>
          <w:rFonts w:ascii="Palatino Linotype" w:eastAsia="Calibri" w:hAnsi="Palatino Linotype" w:cs="Arial"/>
          <w:i/>
        </w:rPr>
        <w:t xml:space="preserve"> “Conforme al artículo 104, párrafo segundo, de la Ley de Amparo, el recurso de reclamación podrá interponerse por cualquiera de las </w:t>
      </w:r>
      <w:r w:rsidRPr="00481B31">
        <w:rPr>
          <w:rFonts w:ascii="Palatino Linotype" w:eastAsia="Calibri" w:hAnsi="Palatino Linotype" w:cs="Arial"/>
          <w:i/>
        </w:rPr>
        <w:lastRenderedPageBreak/>
        <w:t>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AE80FB5" w14:textId="77777777" w:rsidR="00C3134B" w:rsidRPr="00481B31" w:rsidRDefault="00C3134B" w:rsidP="00C3134B">
      <w:pPr>
        <w:pStyle w:val="Prrafodelista"/>
        <w:spacing w:after="160" w:line="360" w:lineRule="auto"/>
        <w:ind w:left="0" w:right="49"/>
        <w:contextualSpacing/>
        <w:jc w:val="both"/>
        <w:rPr>
          <w:rFonts w:ascii="Palatino Linotype" w:hAnsi="Palatino Linotype"/>
          <w:lang w:val="es-ES_tradnl"/>
        </w:rPr>
      </w:pPr>
    </w:p>
    <w:p w14:paraId="3667250E" w14:textId="2B0297AF" w:rsidR="00D217A4" w:rsidRPr="00481B31" w:rsidRDefault="00EA0165" w:rsidP="00C3134B">
      <w:pPr>
        <w:pStyle w:val="Ttulo1"/>
        <w:spacing w:line="360" w:lineRule="auto"/>
        <w:rPr>
          <w:rFonts w:ascii="Palatino Linotype" w:hAnsi="Palatino Linotype"/>
          <w:b/>
          <w:color w:val="000000" w:themeColor="text1"/>
          <w:sz w:val="24"/>
          <w:szCs w:val="24"/>
          <w:lang w:val="es-MX" w:eastAsia="en-US"/>
        </w:rPr>
      </w:pPr>
      <w:bookmarkStart w:id="20" w:name="_Toc67587987"/>
      <w:bookmarkStart w:id="21" w:name="_Toc68804763"/>
      <w:bookmarkStart w:id="22" w:name="_Toc85137161"/>
      <w:r w:rsidRPr="00481B31">
        <w:rPr>
          <w:rFonts w:ascii="Palatino Linotype" w:hAnsi="Palatino Linotype"/>
          <w:b/>
          <w:color w:val="000000" w:themeColor="text1"/>
          <w:sz w:val="24"/>
          <w:szCs w:val="24"/>
          <w:lang w:val="es-MX" w:eastAsia="en-US"/>
        </w:rPr>
        <w:t>II</w:t>
      </w:r>
      <w:r w:rsidR="00C3134B" w:rsidRPr="00481B31">
        <w:rPr>
          <w:rFonts w:ascii="Palatino Linotype" w:hAnsi="Palatino Linotype"/>
          <w:b/>
          <w:color w:val="000000" w:themeColor="text1"/>
          <w:sz w:val="24"/>
          <w:szCs w:val="24"/>
          <w:lang w:val="es-MX" w:eastAsia="en-US"/>
        </w:rPr>
        <w:t>I</w:t>
      </w:r>
      <w:r w:rsidRPr="00481B31">
        <w:rPr>
          <w:rFonts w:ascii="Palatino Linotype" w:hAnsi="Palatino Linotype"/>
          <w:b/>
          <w:color w:val="000000" w:themeColor="text1"/>
          <w:sz w:val="24"/>
          <w:szCs w:val="24"/>
          <w:lang w:val="es-MX" w:eastAsia="en-US"/>
        </w:rPr>
        <w:t>. De la determinación sobre la procedibilidad del recurso.</w:t>
      </w:r>
      <w:bookmarkEnd w:id="20"/>
      <w:bookmarkEnd w:id="21"/>
      <w:bookmarkEnd w:id="22"/>
      <w:r w:rsidRPr="00481B31">
        <w:rPr>
          <w:rFonts w:ascii="Palatino Linotype" w:hAnsi="Palatino Linotype"/>
          <w:b/>
          <w:color w:val="000000" w:themeColor="text1"/>
          <w:sz w:val="24"/>
          <w:szCs w:val="24"/>
          <w:lang w:val="es-MX" w:eastAsia="en-US"/>
        </w:rPr>
        <w:t xml:space="preserve"> </w:t>
      </w:r>
    </w:p>
    <w:p w14:paraId="46F47393" w14:textId="77777777" w:rsidR="00C3134B" w:rsidRPr="00481B31" w:rsidRDefault="00C3134B" w:rsidP="00C3134B">
      <w:pPr>
        <w:rPr>
          <w:rFonts w:ascii="Palatino Linotype" w:hAnsi="Palatino Linotype"/>
          <w:lang w:val="es-MX" w:eastAsia="en-US"/>
        </w:rPr>
      </w:pPr>
    </w:p>
    <w:p w14:paraId="7DF2873B" w14:textId="0EC6D713" w:rsidR="00EA0165" w:rsidRPr="00481B31" w:rsidRDefault="00EA0165" w:rsidP="000C1184">
      <w:pPr>
        <w:pStyle w:val="Prrafodelista"/>
        <w:numPr>
          <w:ilvl w:val="0"/>
          <w:numId w:val="36"/>
        </w:numPr>
        <w:spacing w:after="160" w:line="360" w:lineRule="auto"/>
        <w:ind w:left="0" w:right="49" w:firstLine="0"/>
        <w:contextualSpacing/>
        <w:jc w:val="both"/>
        <w:rPr>
          <w:rFonts w:ascii="Palatino Linotype" w:hAnsi="Palatino Linotype"/>
          <w:lang w:val="es-ES_tradnl"/>
        </w:rPr>
      </w:pPr>
      <w:r w:rsidRPr="00481B31">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481B31" w:rsidRDefault="00992BC7" w:rsidP="000C1184">
      <w:pPr>
        <w:pStyle w:val="Ttulo1"/>
        <w:spacing w:line="360" w:lineRule="auto"/>
        <w:rPr>
          <w:rFonts w:ascii="Palatino Linotype" w:hAnsi="Palatino Linotype"/>
          <w:sz w:val="24"/>
          <w:szCs w:val="24"/>
          <w:lang w:eastAsia="es-ES_tradnl"/>
        </w:rPr>
      </w:pPr>
      <w:bookmarkStart w:id="23" w:name="_Toc85137162"/>
      <w:r w:rsidRPr="00481B31">
        <w:rPr>
          <w:rFonts w:ascii="Palatino Linotype" w:eastAsia="MS Mincho" w:hAnsi="Palatino Linotype"/>
          <w:b/>
          <w:color w:val="000000" w:themeColor="text1"/>
          <w:sz w:val="24"/>
          <w:szCs w:val="24"/>
          <w:lang w:val="es-ES_tradnl"/>
        </w:rPr>
        <w:t>TERCERO</w:t>
      </w:r>
      <w:r w:rsidRPr="00481B31">
        <w:rPr>
          <w:rFonts w:ascii="Palatino Linotype" w:hAnsi="Palatino Linotype" w:cs="Times New Roman"/>
          <w:b/>
          <w:color w:val="000000" w:themeColor="text1"/>
          <w:sz w:val="24"/>
          <w:szCs w:val="24"/>
        </w:rPr>
        <w:t>.</w:t>
      </w:r>
      <w:bookmarkStart w:id="24" w:name="_Toc67587990"/>
      <w:bookmarkStart w:id="25" w:name="_Toc68804766"/>
      <w:bookmarkStart w:id="26" w:name="_Toc455991148"/>
      <w:bookmarkStart w:id="27" w:name="_Toc450120669"/>
      <w:bookmarkStart w:id="28" w:name="_Toc461555896"/>
      <w:bookmarkStart w:id="29" w:name="_Toc462154385"/>
      <w:bookmarkStart w:id="30" w:name="_Toc462660376"/>
      <w:bookmarkStart w:id="31" w:name="_Toc462660687"/>
      <w:bookmarkStart w:id="32" w:name="_Toc462660766"/>
      <w:bookmarkStart w:id="33" w:name="_Toc465264624"/>
      <w:bookmarkStart w:id="34" w:name="_Toc465264870"/>
      <w:bookmarkStart w:id="35" w:name="_Toc465266520"/>
      <w:bookmarkStart w:id="36" w:name="_Toc466302258"/>
      <w:bookmarkStart w:id="37" w:name="_Toc466371866"/>
      <w:bookmarkStart w:id="38" w:name="_Toc466371925"/>
      <w:bookmarkStart w:id="39" w:name="_Toc466377654"/>
      <w:bookmarkStart w:id="40" w:name="_Toc478549736"/>
      <w:bookmarkStart w:id="41" w:name="_Toc478572850"/>
      <w:bookmarkStart w:id="42" w:name="_Toc479238537"/>
      <w:r w:rsidR="0065578F" w:rsidRPr="00481B31">
        <w:rPr>
          <w:rFonts w:ascii="Palatino Linotype" w:hAnsi="Palatino Linotype" w:cs="Times New Roman"/>
          <w:b/>
          <w:color w:val="000000" w:themeColor="text1"/>
          <w:sz w:val="24"/>
          <w:szCs w:val="24"/>
        </w:rPr>
        <w:t xml:space="preserve"> </w:t>
      </w:r>
      <w:r w:rsidR="00EA0165" w:rsidRPr="00481B31">
        <w:rPr>
          <w:rFonts w:ascii="Palatino Linotype" w:hAnsi="Palatino Linotype"/>
          <w:b/>
          <w:color w:val="000000" w:themeColor="text1"/>
          <w:sz w:val="24"/>
          <w:szCs w:val="24"/>
          <w:lang w:val="es-MX" w:eastAsia="en-US"/>
        </w:rPr>
        <w:t xml:space="preserve">Del planteamiento de la </w:t>
      </w:r>
      <w:r w:rsidR="00EA0165" w:rsidRPr="00481B31">
        <w:rPr>
          <w:rFonts w:ascii="Palatino Linotype" w:hAnsi="Palatino Linotype"/>
          <w:b/>
          <w:i/>
          <w:color w:val="000000" w:themeColor="text1"/>
          <w:sz w:val="24"/>
          <w:szCs w:val="24"/>
          <w:lang w:val="es-MX" w:eastAsia="en-US"/>
        </w:rPr>
        <w:t>Litis.</w:t>
      </w:r>
      <w:bookmarkEnd w:id="23"/>
      <w:bookmarkEnd w:id="24"/>
      <w:bookmarkEnd w:id="25"/>
    </w:p>
    <w:p w14:paraId="6B097BE2" w14:textId="0929F460" w:rsidR="00D217A4" w:rsidRPr="00481B31" w:rsidRDefault="00EA0165" w:rsidP="000C1184">
      <w:pPr>
        <w:pStyle w:val="Prrafodelista"/>
        <w:numPr>
          <w:ilvl w:val="0"/>
          <w:numId w:val="36"/>
        </w:numPr>
        <w:spacing w:before="240" w:after="240" w:line="360" w:lineRule="auto"/>
        <w:ind w:left="0" w:firstLine="0"/>
        <w:contextualSpacing/>
        <w:jc w:val="both"/>
        <w:rPr>
          <w:rFonts w:ascii="Palatino Linotype" w:hAnsi="Palatino Linotype"/>
          <w:i/>
          <w:lang w:val="es-ES_tradnl"/>
        </w:rPr>
      </w:pPr>
      <w:r w:rsidRPr="00481B31">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481B31">
        <w:rPr>
          <w:rFonts w:ascii="Palatino Linotype" w:eastAsia="Calibri" w:hAnsi="Palatino Linotype" w:cs="Arial"/>
          <w:b/>
        </w:rPr>
        <w:t>Ley de Transparencia y Acceso a la Información Pública del Estado de México y Municipios</w:t>
      </w:r>
      <w:r w:rsidRPr="00481B31">
        <w:rPr>
          <w:rFonts w:ascii="Palatino Linotype" w:hAnsi="Palatino Linotype" w:cs="Arial"/>
          <w:lang w:val="es-ES_tradnl"/>
        </w:rPr>
        <w:t xml:space="preserve"> y determinar la confirmación; revocación o modificación; desechamiento o sobreseimiento; y en su </w:t>
      </w:r>
      <w:r w:rsidRPr="00481B31">
        <w:rPr>
          <w:rFonts w:ascii="Palatino Linotype" w:hAnsi="Palatino Linotype" w:cs="Arial"/>
          <w:b/>
          <w:lang w:val="es-ES_tradnl"/>
        </w:rPr>
        <w:t>caso ordenar la entrega de la información,</w:t>
      </w:r>
      <w:r w:rsidRPr="00481B31">
        <w:rPr>
          <w:rFonts w:ascii="Palatino Linotype" w:hAnsi="Palatino Linotype" w:cs="Arial"/>
          <w:lang w:val="es-ES_tradnl"/>
        </w:rPr>
        <w:t xml:space="preserve"> respecto a las respuestas o falta de ellas de los Sujetos Obligados.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E5F6627" w14:textId="77777777" w:rsidR="00D217A4" w:rsidRPr="00481B31" w:rsidRDefault="00D217A4" w:rsidP="000C1184">
      <w:pPr>
        <w:pStyle w:val="Prrafodelista"/>
        <w:spacing w:before="240" w:after="240" w:line="360" w:lineRule="auto"/>
        <w:ind w:left="0"/>
        <w:contextualSpacing/>
        <w:jc w:val="both"/>
        <w:rPr>
          <w:rFonts w:ascii="Palatino Linotype" w:hAnsi="Palatino Linotype"/>
          <w:i/>
          <w:lang w:val="es-ES_tradnl"/>
        </w:rPr>
      </w:pPr>
    </w:p>
    <w:p w14:paraId="22E5B958" w14:textId="76CE6A4F" w:rsidR="00D217A4" w:rsidRPr="00481B31" w:rsidRDefault="00EA0165" w:rsidP="000B7AD7">
      <w:pPr>
        <w:pStyle w:val="Prrafodelista"/>
        <w:numPr>
          <w:ilvl w:val="0"/>
          <w:numId w:val="36"/>
        </w:numPr>
        <w:spacing w:before="240" w:after="240" w:line="360" w:lineRule="auto"/>
        <w:ind w:left="0" w:firstLine="0"/>
        <w:contextualSpacing/>
        <w:jc w:val="both"/>
        <w:rPr>
          <w:rFonts w:ascii="Palatino Linotype" w:eastAsia="MS Mincho" w:hAnsi="Palatino Linotype"/>
          <w:lang w:val="es-ES_tradnl"/>
        </w:rPr>
      </w:pPr>
      <w:r w:rsidRPr="00481B31">
        <w:rPr>
          <w:rFonts w:ascii="Palatino Linotype" w:eastAsia="MS Mincho" w:hAnsi="Palatino Linotype"/>
          <w:lang w:val="es-ES_tradnl"/>
        </w:rPr>
        <w:lastRenderedPageBreak/>
        <w:t xml:space="preserve">De las constancias en el expediente al rubro indicado, se desprende que el particular solicitó </w:t>
      </w:r>
      <w:r w:rsidR="003669E8" w:rsidRPr="00481B31">
        <w:rPr>
          <w:rFonts w:ascii="Palatino Linotype" w:eastAsia="MS Mincho" w:hAnsi="Palatino Linotype"/>
          <w:lang w:val="es-ES_tradnl"/>
        </w:rPr>
        <w:t xml:space="preserve">acceso </w:t>
      </w:r>
      <w:r w:rsidR="003D1DF9" w:rsidRPr="00481B31">
        <w:rPr>
          <w:rFonts w:ascii="Palatino Linotype" w:eastAsia="MS Mincho" w:hAnsi="Palatino Linotype"/>
          <w:lang w:val="es-ES_tradnl"/>
        </w:rPr>
        <w:t>a</w:t>
      </w:r>
      <w:r w:rsidR="00C3134B" w:rsidRPr="00481B31">
        <w:rPr>
          <w:rFonts w:ascii="Palatino Linotype" w:eastAsia="MS Mincho" w:hAnsi="Palatino Linotype"/>
          <w:lang w:val="es-ES_tradnl"/>
        </w:rPr>
        <w:t xml:space="preserve"> </w:t>
      </w:r>
      <w:r w:rsidR="00C3134B" w:rsidRPr="00481B31">
        <w:rPr>
          <w:rFonts w:ascii="Palatino Linotype" w:eastAsia="MS Mincho" w:hAnsi="Palatino Linotype"/>
        </w:rPr>
        <w:t xml:space="preserve">toda la información relativa al diferendo </w:t>
      </w:r>
      <w:r w:rsidR="000B7AD7" w:rsidRPr="00481B31">
        <w:rPr>
          <w:rFonts w:ascii="Palatino Linotype" w:eastAsia="MS Mincho" w:hAnsi="Palatino Linotype"/>
        </w:rPr>
        <w:t>limítrofe</w:t>
      </w:r>
      <w:r w:rsidR="00C3134B" w:rsidRPr="00481B31">
        <w:rPr>
          <w:rFonts w:ascii="Palatino Linotype" w:eastAsia="MS Mincho" w:hAnsi="Palatino Linotype"/>
        </w:rPr>
        <w:t xml:space="preserve"> del Municipio de Teoloyucan vs Municipio de C</w:t>
      </w:r>
      <w:r w:rsidR="000B7AD7" w:rsidRPr="00481B31">
        <w:rPr>
          <w:rFonts w:ascii="Palatino Linotype" w:eastAsia="MS Mincho" w:hAnsi="Palatino Linotype"/>
        </w:rPr>
        <w:t>uautitlán y Cuautitlán Izcalli, así como todos</w:t>
      </w:r>
      <w:r w:rsidR="00C3134B" w:rsidRPr="00481B31">
        <w:rPr>
          <w:rFonts w:ascii="Palatino Linotype" w:eastAsia="MS Mincho" w:hAnsi="Palatino Linotype"/>
        </w:rPr>
        <w:t xml:space="preserve"> y cada uno de los documentos considerados como anexos</w:t>
      </w:r>
      <w:r w:rsidRPr="00481B31">
        <w:rPr>
          <w:rFonts w:ascii="Palatino Linotype" w:eastAsia="MS Mincho" w:hAnsi="Palatino Linotype"/>
          <w:lang w:val="es-ES_tradnl"/>
        </w:rPr>
        <w:t>, re</w:t>
      </w:r>
      <w:r w:rsidR="00562ACE" w:rsidRPr="00481B31">
        <w:rPr>
          <w:rFonts w:ascii="Palatino Linotype" w:eastAsia="MS Mincho" w:hAnsi="Palatino Linotype"/>
          <w:lang w:val="es-ES_tradnl"/>
        </w:rPr>
        <w:t>querimiento</w:t>
      </w:r>
      <w:r w:rsidR="00E00BFD" w:rsidRPr="00481B31">
        <w:rPr>
          <w:rFonts w:ascii="Palatino Linotype" w:eastAsia="MS Mincho" w:hAnsi="Palatino Linotype"/>
          <w:lang w:val="es-ES_tradnl"/>
        </w:rPr>
        <w:t>s</w:t>
      </w:r>
      <w:r w:rsidR="00562ACE" w:rsidRPr="00481B31">
        <w:rPr>
          <w:rFonts w:ascii="Palatino Linotype" w:eastAsia="MS Mincho" w:hAnsi="Palatino Linotype"/>
          <w:lang w:val="es-ES_tradnl"/>
        </w:rPr>
        <w:t>, a</w:t>
      </w:r>
      <w:r w:rsidR="000B7AD7" w:rsidRPr="00481B31">
        <w:rPr>
          <w:rFonts w:ascii="Palatino Linotype" w:eastAsia="MS Mincho" w:hAnsi="Palatino Linotype"/>
          <w:lang w:val="es-ES_tradnl"/>
        </w:rPr>
        <w:t xml:space="preserve"> los</w:t>
      </w:r>
      <w:r w:rsidR="00562ACE" w:rsidRPr="00481B31">
        <w:rPr>
          <w:rFonts w:ascii="Palatino Linotype" w:eastAsia="MS Mincho" w:hAnsi="Palatino Linotype"/>
          <w:lang w:val="es-ES_tradnl"/>
        </w:rPr>
        <w:t xml:space="preserve"> que se respondió</w:t>
      </w:r>
      <w:r w:rsidR="00EC6134" w:rsidRPr="00481B31">
        <w:rPr>
          <w:rFonts w:ascii="Palatino Linotype" w:eastAsia="MS Mincho" w:hAnsi="Palatino Linotype"/>
          <w:lang w:val="es-ES_tradnl"/>
        </w:rPr>
        <w:t xml:space="preserve"> a través de</w:t>
      </w:r>
      <w:r w:rsidR="00E00BFD" w:rsidRPr="00481B31">
        <w:rPr>
          <w:rFonts w:ascii="Palatino Linotype" w:eastAsia="MS Mincho" w:hAnsi="Palatino Linotype"/>
          <w:lang w:val="es-ES_tradnl"/>
        </w:rPr>
        <w:t xml:space="preserve">l </w:t>
      </w:r>
      <w:r w:rsidR="000B7AD7" w:rsidRPr="00481B31">
        <w:rPr>
          <w:rFonts w:ascii="Palatino Linotype" w:eastAsia="MS Mincho" w:hAnsi="Palatino Linotype"/>
          <w:lang w:val="es-ES_tradnl"/>
        </w:rPr>
        <w:t>Comité de Transparencia refiriendo la clasificación como  reservada  de la información solicitada, toda vez que a su decir no se había concluido el procedimiento</w:t>
      </w:r>
      <w:r w:rsidR="00EC6134" w:rsidRPr="00481B31">
        <w:rPr>
          <w:rFonts w:ascii="Palatino Linotype" w:eastAsia="MS Mincho" w:hAnsi="Palatino Linotype"/>
          <w:lang w:val="es-ES_tradnl"/>
        </w:rPr>
        <w:t xml:space="preserve">, </w:t>
      </w:r>
      <w:r w:rsidR="000B7AD7" w:rsidRPr="00481B31">
        <w:rPr>
          <w:rFonts w:ascii="Palatino Linotype" w:eastAsia="MS Mincho" w:hAnsi="Palatino Linotype"/>
          <w:lang w:val="es-ES_tradnl"/>
        </w:rPr>
        <w:t>así</w:t>
      </w:r>
      <w:r w:rsidR="009C61F1" w:rsidRPr="00481B31">
        <w:rPr>
          <w:rFonts w:ascii="Palatino Linotype" w:eastAsia="MS Mincho" w:hAnsi="Palatino Linotype"/>
          <w:lang w:val="es-ES_tradnl"/>
        </w:rPr>
        <w:t xml:space="preserve">, </w:t>
      </w:r>
      <w:r w:rsidR="00EC6134" w:rsidRPr="00481B31">
        <w:rPr>
          <w:rFonts w:ascii="Palatino Linotype" w:eastAsia="MS Mincho" w:hAnsi="Palatino Linotype"/>
          <w:lang w:val="es-ES_tradnl"/>
        </w:rPr>
        <w:t xml:space="preserve">el </w:t>
      </w:r>
      <w:r w:rsidR="00543427" w:rsidRPr="00481B31">
        <w:rPr>
          <w:rFonts w:ascii="Palatino Linotype" w:eastAsia="MS Mincho" w:hAnsi="Palatino Linotype"/>
          <w:lang w:val="es-ES_tradnl"/>
        </w:rPr>
        <w:t>particular</w:t>
      </w:r>
      <w:r w:rsidR="009C61F1" w:rsidRPr="00481B31">
        <w:rPr>
          <w:rFonts w:ascii="Palatino Linotype" w:eastAsia="MS Mincho" w:hAnsi="Palatino Linotype"/>
          <w:lang w:val="es-ES_tradnl"/>
        </w:rPr>
        <w:t xml:space="preserve"> </w:t>
      </w:r>
      <w:r w:rsidRPr="00481B31">
        <w:rPr>
          <w:rFonts w:ascii="Palatino Linotype" w:eastAsia="MS Mincho" w:hAnsi="Palatino Linotype"/>
          <w:lang w:val="es-ES_tradnl"/>
        </w:rPr>
        <w:t>se inconforma e interpone el presente recurso de revisión, argumentado como raz</w:t>
      </w:r>
      <w:r w:rsidR="00B153AD" w:rsidRPr="00481B31">
        <w:rPr>
          <w:rFonts w:ascii="Palatino Linotype" w:eastAsia="MS Mincho" w:hAnsi="Palatino Linotype"/>
          <w:lang w:val="es-ES_tradnl"/>
        </w:rPr>
        <w:t xml:space="preserve">ones o motivos de inconformidad la falta de fundamentación en la respuesta. </w:t>
      </w:r>
    </w:p>
    <w:p w14:paraId="44EC49A6" w14:textId="77777777" w:rsidR="00B153AD" w:rsidRPr="00481B31" w:rsidRDefault="00B153AD" w:rsidP="000C1184">
      <w:pPr>
        <w:pStyle w:val="Prrafodelista"/>
        <w:spacing w:before="240" w:after="240" w:line="360" w:lineRule="auto"/>
        <w:ind w:left="0"/>
        <w:contextualSpacing/>
        <w:jc w:val="both"/>
        <w:rPr>
          <w:rFonts w:ascii="Palatino Linotype" w:hAnsi="Palatino Linotype"/>
          <w:i/>
          <w:lang w:val="es-ES_tradnl"/>
        </w:rPr>
      </w:pPr>
    </w:p>
    <w:p w14:paraId="4F030FC3" w14:textId="4DEB0566" w:rsidR="00D217A4" w:rsidRPr="00481B31" w:rsidRDefault="00EA0165" w:rsidP="000C1184">
      <w:pPr>
        <w:pStyle w:val="Prrafodelista"/>
        <w:numPr>
          <w:ilvl w:val="0"/>
          <w:numId w:val="36"/>
        </w:numPr>
        <w:spacing w:before="240" w:after="240" w:line="360" w:lineRule="auto"/>
        <w:ind w:left="0" w:firstLine="0"/>
        <w:contextualSpacing/>
        <w:jc w:val="both"/>
        <w:rPr>
          <w:rFonts w:ascii="Palatino Linotype" w:hAnsi="Palatino Linotype"/>
          <w:i/>
          <w:lang w:val="es-ES_tradnl"/>
        </w:rPr>
      </w:pPr>
      <w:r w:rsidRPr="00481B31">
        <w:rPr>
          <w:rFonts w:ascii="Palatino Linotype" w:eastAsia="MS Mincho" w:hAnsi="Palatino Linotype"/>
          <w:lang w:val="es-ES_tradnl"/>
        </w:rPr>
        <w:t xml:space="preserve">En ese sentido, el agravio del recurrente consiste en que la respuesta proporcionada por el </w:t>
      </w:r>
      <w:r w:rsidRPr="00481B31">
        <w:rPr>
          <w:rFonts w:ascii="Palatino Linotype" w:eastAsia="MS Mincho" w:hAnsi="Palatino Linotype"/>
          <w:b/>
          <w:lang w:val="es-ES_tradnl"/>
        </w:rPr>
        <w:t>SUJETO OBLIGADO</w:t>
      </w:r>
      <w:r w:rsidRPr="00481B31">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481B31">
        <w:rPr>
          <w:rFonts w:ascii="Palatino Linotype" w:eastAsia="MS Mincho" w:hAnsi="Palatino Linotype"/>
          <w:lang w:val="es-ES_tradnl"/>
        </w:rPr>
        <w:t xml:space="preserve"> se deberá garantiza</w:t>
      </w:r>
      <w:r w:rsidR="00543427" w:rsidRPr="00481B31">
        <w:rPr>
          <w:rFonts w:ascii="Palatino Linotype" w:eastAsia="MS Mincho" w:hAnsi="Palatino Linotype"/>
          <w:lang w:val="es-ES_tradnl"/>
        </w:rPr>
        <w:t>r que sea congruente</w:t>
      </w:r>
      <w:r w:rsidR="000B7AD7" w:rsidRPr="00481B31">
        <w:rPr>
          <w:rFonts w:ascii="Palatino Linotype" w:eastAsia="MS Mincho" w:hAnsi="Palatino Linotype"/>
          <w:lang w:val="es-ES_tradnl"/>
        </w:rPr>
        <w:t xml:space="preserve"> y que el derecho de acceso a la información se encuentra bajo en régimen limitado de restricciones. </w:t>
      </w:r>
    </w:p>
    <w:p w14:paraId="35853B1F" w14:textId="77777777" w:rsidR="00D217A4" w:rsidRPr="00481B31" w:rsidRDefault="00D217A4" w:rsidP="000C1184">
      <w:pPr>
        <w:pStyle w:val="Prrafodelista"/>
        <w:spacing w:line="360" w:lineRule="auto"/>
        <w:rPr>
          <w:rFonts w:ascii="Palatino Linotype" w:eastAsia="MS Mincho" w:hAnsi="Palatino Linotype"/>
          <w:lang w:val="es-ES_tradnl"/>
        </w:rPr>
      </w:pPr>
    </w:p>
    <w:p w14:paraId="566EE704" w14:textId="2D453891" w:rsidR="0006184D" w:rsidRPr="00481B31" w:rsidRDefault="00EA0165" w:rsidP="0006184D">
      <w:pPr>
        <w:pStyle w:val="Prrafodelista"/>
        <w:numPr>
          <w:ilvl w:val="0"/>
          <w:numId w:val="36"/>
        </w:numPr>
        <w:spacing w:before="240" w:after="240" w:line="360" w:lineRule="auto"/>
        <w:ind w:left="0" w:firstLine="0"/>
        <w:contextualSpacing/>
        <w:jc w:val="both"/>
        <w:rPr>
          <w:rFonts w:ascii="Palatino Linotype" w:hAnsi="Palatino Linotype"/>
          <w:i/>
          <w:lang w:val="es-ES_tradnl"/>
        </w:rPr>
      </w:pPr>
      <w:r w:rsidRPr="00481B31">
        <w:rPr>
          <w:rFonts w:ascii="Palatino Linotype" w:eastAsia="MS Mincho" w:hAnsi="Palatino Linotype"/>
          <w:lang w:val="es-ES_tradnl"/>
        </w:rPr>
        <w:t xml:space="preserve">Por lo que de este modo, el presente recurso de revisión se circunscribe a determinar si el </w:t>
      </w:r>
      <w:r w:rsidRPr="00481B31">
        <w:rPr>
          <w:rFonts w:ascii="Palatino Linotype" w:eastAsia="MS Mincho" w:hAnsi="Palatino Linotype"/>
          <w:b/>
          <w:lang w:val="es-ES_tradnl"/>
        </w:rPr>
        <w:t>SUJETO OBLIGADO</w:t>
      </w:r>
      <w:r w:rsidR="009C4F62" w:rsidRPr="00481B31">
        <w:rPr>
          <w:rFonts w:ascii="Palatino Linotype" w:eastAsia="MS Mincho" w:hAnsi="Palatino Linotype"/>
          <w:lang w:val="es-ES_tradnl"/>
        </w:rPr>
        <w:t xml:space="preserve"> con la respuesta otorgada</w:t>
      </w:r>
      <w:r w:rsidR="00562ACE" w:rsidRPr="00481B31">
        <w:rPr>
          <w:rFonts w:ascii="Palatino Linotype" w:eastAsia="MS Mincho" w:hAnsi="Palatino Linotype"/>
          <w:lang w:val="es-ES_tradnl"/>
        </w:rPr>
        <w:t xml:space="preserve">, </w:t>
      </w:r>
      <w:r w:rsidRPr="00481B31">
        <w:rPr>
          <w:rFonts w:ascii="Palatino Linotype" w:eastAsia="MS Mincho" w:hAnsi="Palatino Linotype"/>
          <w:lang w:val="es-ES_tradnl"/>
        </w:rPr>
        <w:t>vulnera el derecho de acceso a la información accionado por el particular a</w:t>
      </w:r>
      <w:r w:rsidR="005F7AD4" w:rsidRPr="00481B31">
        <w:rPr>
          <w:rFonts w:ascii="Palatino Linotype" w:eastAsia="MS Mincho" w:hAnsi="Palatino Linotype"/>
          <w:lang w:val="es-ES_tradnl"/>
        </w:rPr>
        <w:t>ctualizando la causal</w:t>
      </w:r>
      <w:r w:rsidRPr="00481B31">
        <w:rPr>
          <w:rFonts w:ascii="Palatino Linotype" w:eastAsia="MS Mincho" w:hAnsi="Palatino Linotype"/>
          <w:lang w:val="es-ES_tradnl"/>
        </w:rPr>
        <w:t xml:space="preserve"> de procedencia prevista</w:t>
      </w:r>
      <w:r w:rsidR="00E00BFD" w:rsidRPr="00481B31">
        <w:rPr>
          <w:rFonts w:ascii="Palatino Linotype" w:eastAsia="MS Mincho" w:hAnsi="Palatino Linotype"/>
          <w:lang w:val="es-ES_tradnl"/>
        </w:rPr>
        <w:t xml:space="preserve"> </w:t>
      </w:r>
      <w:r w:rsidR="000B7AD7" w:rsidRPr="00481B31">
        <w:rPr>
          <w:rFonts w:ascii="Palatino Linotype" w:eastAsia="MS Mincho" w:hAnsi="Palatino Linotype"/>
          <w:lang w:val="es-ES_tradnl"/>
        </w:rPr>
        <w:t>en el artículo 179 fracciones I</w:t>
      </w:r>
      <w:r w:rsidR="00794261" w:rsidRPr="00481B31">
        <w:rPr>
          <w:rFonts w:ascii="Palatino Linotype" w:eastAsia="MS Mincho" w:hAnsi="Palatino Linotype"/>
          <w:lang w:val="es-ES_tradnl"/>
        </w:rPr>
        <w:t xml:space="preserve"> y</w:t>
      </w:r>
      <w:r w:rsidR="000B7AD7" w:rsidRPr="00481B31">
        <w:rPr>
          <w:rFonts w:ascii="Palatino Linotype" w:eastAsia="MS Mincho" w:hAnsi="Palatino Linotype"/>
          <w:lang w:val="es-ES_tradnl"/>
        </w:rPr>
        <w:t xml:space="preserve"> </w:t>
      </w:r>
      <w:r w:rsidR="00B153AD" w:rsidRPr="00481B31">
        <w:rPr>
          <w:rFonts w:ascii="Palatino Linotype" w:eastAsia="MS Mincho" w:hAnsi="Palatino Linotype"/>
          <w:lang w:val="es-ES_tradnl"/>
        </w:rPr>
        <w:t>I</w:t>
      </w:r>
      <w:r w:rsidR="009C4F62" w:rsidRPr="00481B31">
        <w:rPr>
          <w:rFonts w:ascii="Palatino Linotype" w:eastAsia="MS Mincho" w:hAnsi="Palatino Linotype"/>
          <w:lang w:val="es-ES_tradnl"/>
        </w:rPr>
        <w:t>I</w:t>
      </w:r>
      <w:r w:rsidR="009C4F62" w:rsidRPr="00481B31">
        <w:rPr>
          <w:rStyle w:val="Refdenotaalpie"/>
          <w:rFonts w:ascii="Palatino Linotype" w:eastAsia="MS Mincho" w:hAnsi="Palatino Linotype"/>
          <w:lang w:val="es-ES_tradnl"/>
        </w:rPr>
        <w:footnoteReference w:id="1"/>
      </w:r>
      <w:r w:rsidR="00562ACE" w:rsidRPr="00481B31">
        <w:rPr>
          <w:rFonts w:ascii="Palatino Linotype" w:eastAsia="MS Mincho" w:hAnsi="Palatino Linotype"/>
          <w:lang w:val="es-ES_tradnl"/>
        </w:rPr>
        <w:t xml:space="preserve"> </w:t>
      </w:r>
      <w:r w:rsidRPr="00481B31">
        <w:rPr>
          <w:rFonts w:ascii="Palatino Linotype" w:eastAsia="MS Mincho" w:hAnsi="Palatino Linotype"/>
          <w:lang w:val="es-ES_tradnl"/>
        </w:rPr>
        <w:t>de la Ley de Transparencia y Acceso a la Información del Estado de México y Municipios.</w:t>
      </w:r>
    </w:p>
    <w:p w14:paraId="5162A17C" w14:textId="71549F44" w:rsidR="00286C23" w:rsidRPr="00481B31" w:rsidRDefault="009A1E3F" w:rsidP="0006184D">
      <w:pPr>
        <w:pStyle w:val="Ttulo1"/>
        <w:spacing w:line="360" w:lineRule="auto"/>
        <w:rPr>
          <w:rFonts w:ascii="Palatino Linotype" w:hAnsi="Palatino Linotype"/>
          <w:b/>
          <w:color w:val="000000" w:themeColor="text1"/>
          <w:sz w:val="24"/>
          <w:szCs w:val="24"/>
          <w:lang w:val="es-MX" w:eastAsia="en-US"/>
        </w:rPr>
      </w:pPr>
      <w:bookmarkStart w:id="43" w:name="_Toc68804767"/>
      <w:bookmarkStart w:id="44" w:name="_Toc85137163"/>
      <w:bookmarkStart w:id="45" w:name="_Toc459174366"/>
      <w:bookmarkStart w:id="46" w:name="_Toc459659884"/>
      <w:bookmarkStart w:id="47" w:name="_Toc461687280"/>
      <w:bookmarkStart w:id="48" w:name="_Toc462771051"/>
      <w:bookmarkStart w:id="49" w:name="_Toc464139201"/>
      <w:r w:rsidRPr="00481B31">
        <w:rPr>
          <w:rFonts w:ascii="Palatino Linotype" w:hAnsi="Palatino Linotype"/>
          <w:b/>
          <w:color w:val="000000" w:themeColor="text1"/>
          <w:sz w:val="24"/>
          <w:szCs w:val="24"/>
          <w:lang w:val="es-MX" w:eastAsia="en-US"/>
        </w:rPr>
        <w:lastRenderedPageBreak/>
        <w:t>CUARTO</w:t>
      </w:r>
      <w:r w:rsidR="00F041CF" w:rsidRPr="00481B31">
        <w:rPr>
          <w:rFonts w:ascii="Palatino Linotype" w:hAnsi="Palatino Linotype"/>
          <w:b/>
          <w:color w:val="000000" w:themeColor="text1"/>
          <w:sz w:val="24"/>
          <w:szCs w:val="24"/>
          <w:lang w:val="es-MX" w:eastAsia="en-US"/>
        </w:rPr>
        <w:t>. Estudio y r</w:t>
      </w:r>
      <w:r w:rsidR="00EA0165" w:rsidRPr="00481B31">
        <w:rPr>
          <w:rFonts w:ascii="Palatino Linotype" w:hAnsi="Palatino Linotype"/>
          <w:b/>
          <w:color w:val="000000" w:themeColor="text1"/>
          <w:sz w:val="24"/>
          <w:szCs w:val="24"/>
          <w:lang w:val="es-MX" w:eastAsia="en-US"/>
        </w:rPr>
        <w:t>esolución del asunto.</w:t>
      </w:r>
      <w:bookmarkEnd w:id="43"/>
      <w:bookmarkEnd w:id="44"/>
    </w:p>
    <w:p w14:paraId="06F00F11" w14:textId="766B338E" w:rsidR="00286C23" w:rsidRPr="00481B31" w:rsidRDefault="00286C23" w:rsidP="000C1184">
      <w:pPr>
        <w:pStyle w:val="Prrafodelista"/>
        <w:numPr>
          <w:ilvl w:val="0"/>
          <w:numId w:val="43"/>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0" w:name="_Toc85137164"/>
      <w:r w:rsidRPr="00481B31">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0"/>
    </w:p>
    <w:p w14:paraId="09A5BF5B" w14:textId="77777777" w:rsidR="00286C23" w:rsidRPr="00481B31" w:rsidRDefault="00286C23" w:rsidP="000C1184">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481B31" w:rsidRDefault="00286C23" w:rsidP="000C1184">
      <w:pPr>
        <w:pStyle w:val="Prrafodelista"/>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81B31">
        <w:rPr>
          <w:rFonts w:ascii="Palatino Linotype" w:eastAsiaTheme="minorEastAsia" w:hAnsi="Palatino Linotype" w:cstheme="minorBidi"/>
          <w:color w:val="000000" w:themeColor="text1"/>
          <w:lang w:val="es-MX"/>
        </w:rPr>
        <w:t>Es menester precisar</w:t>
      </w:r>
      <w:r w:rsidRPr="00481B31">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481B31">
        <w:rPr>
          <w:rFonts w:ascii="Palatino Linotype" w:eastAsiaTheme="minorEastAsia" w:hAnsi="Palatino Linotype" w:cstheme="minorBidi"/>
          <w:b/>
          <w:bCs/>
          <w:color w:val="000000" w:themeColor="text1"/>
          <w:lang w:val="es-MX"/>
        </w:rPr>
        <w:t>SUJETO OBLIGADO</w:t>
      </w:r>
      <w:r w:rsidRPr="00481B31">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81B31">
        <w:rPr>
          <w:rFonts w:ascii="Palatino Linotype" w:eastAsiaTheme="minorEastAsia" w:hAnsi="Palatino Linotype" w:cstheme="minorBidi"/>
          <w:b/>
          <w:bCs/>
          <w:color w:val="000000" w:themeColor="text1"/>
          <w:lang w:val="es-MX"/>
        </w:rPr>
        <w:t>Constitución Política de los Estados Unidos Mexicanos</w:t>
      </w:r>
      <w:r w:rsidRPr="00481B31">
        <w:rPr>
          <w:rFonts w:ascii="Palatino Linotype" w:eastAsiaTheme="minorEastAsia" w:hAnsi="Palatino Linotype" w:cstheme="minorBidi"/>
          <w:bCs/>
          <w:color w:val="000000" w:themeColor="text1"/>
          <w:lang w:val="es-MX"/>
        </w:rPr>
        <w:t>, tienen</w:t>
      </w:r>
      <w:r w:rsidRPr="00481B31">
        <w:rPr>
          <w:rFonts w:ascii="Palatino Linotype" w:eastAsiaTheme="minorEastAsia" w:hAnsi="Palatino Linotype" w:cstheme="minorBidi"/>
          <w:b/>
          <w:bCs/>
          <w:color w:val="000000" w:themeColor="text1"/>
          <w:lang w:val="es-MX"/>
        </w:rPr>
        <w:t xml:space="preserve"> </w:t>
      </w:r>
      <w:r w:rsidRPr="00481B31">
        <w:rPr>
          <w:rFonts w:ascii="Palatino Linotype" w:eastAsiaTheme="minorEastAsia" w:hAnsi="Palatino Linotype" w:cstheme="minorBidi"/>
          <w:bCs/>
          <w:color w:val="000000" w:themeColor="text1"/>
          <w:lang w:val="es-MX"/>
        </w:rPr>
        <w:t xml:space="preserve">la obligación de “promover, </w:t>
      </w:r>
      <w:r w:rsidRPr="00481B31">
        <w:rPr>
          <w:rFonts w:ascii="Palatino Linotype" w:eastAsiaTheme="minorEastAsia" w:hAnsi="Palatino Linotype" w:cstheme="minorBidi"/>
          <w:b/>
          <w:bCs/>
          <w:color w:val="000000" w:themeColor="text1"/>
          <w:lang w:val="es-MX"/>
        </w:rPr>
        <w:t>respetar</w:t>
      </w:r>
      <w:r w:rsidRPr="00481B31">
        <w:rPr>
          <w:rFonts w:ascii="Palatino Linotype" w:eastAsiaTheme="minorEastAsia" w:hAnsi="Palatino Linotype" w:cstheme="minorBidi"/>
          <w:bCs/>
          <w:color w:val="000000" w:themeColor="text1"/>
          <w:lang w:val="es-MX"/>
        </w:rPr>
        <w:t xml:space="preserve">, proteger y </w:t>
      </w:r>
      <w:r w:rsidRPr="00481B31">
        <w:rPr>
          <w:rFonts w:ascii="Palatino Linotype" w:eastAsiaTheme="minorEastAsia" w:hAnsi="Palatino Linotype" w:cstheme="minorBidi"/>
          <w:b/>
          <w:bCs/>
          <w:color w:val="000000" w:themeColor="text1"/>
          <w:lang w:val="es-MX"/>
        </w:rPr>
        <w:t>garantizar</w:t>
      </w:r>
      <w:r w:rsidRPr="00481B31">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481B31"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481B31" w:rsidRDefault="00286C23" w:rsidP="000C1184">
      <w:pPr>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81B31">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481B31"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481B31" w:rsidRDefault="00286C23" w:rsidP="000C1184">
      <w:pPr>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81B31">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481B31">
        <w:rPr>
          <w:rFonts w:ascii="Palatino Linotype" w:eastAsiaTheme="minorEastAsia" w:hAnsi="Palatino Linotype" w:cstheme="minorBidi"/>
          <w:i/>
          <w:color w:val="000000" w:themeColor="text1"/>
          <w:lang w:val="es-MX"/>
        </w:rPr>
        <w:t>La igualdad de oportunidades para recibir, buscar e impartir información</w:t>
      </w:r>
      <w:r w:rsidRPr="00481B31">
        <w:rPr>
          <w:rFonts w:ascii="Palatino Linotype" w:eastAsiaTheme="minorEastAsia" w:hAnsi="Palatino Linotype" w:cstheme="minorBidi"/>
          <w:i/>
          <w:color w:val="000000" w:themeColor="text1"/>
          <w:vertAlign w:val="superscript"/>
          <w:lang w:val="es-MX"/>
        </w:rPr>
        <w:footnoteReference w:id="2"/>
      </w:r>
      <w:r w:rsidRPr="00481B31">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1B31">
        <w:rPr>
          <w:rFonts w:ascii="Palatino Linotype" w:eastAsiaTheme="minorEastAsia" w:hAnsi="Palatino Linotype" w:cstheme="minorBidi"/>
          <w:i/>
          <w:color w:val="000000" w:themeColor="text1"/>
          <w:vertAlign w:val="superscript"/>
          <w:lang w:val="es-MX"/>
        </w:rPr>
        <w:footnoteReference w:id="3"/>
      </w:r>
      <w:r w:rsidRPr="00481B31">
        <w:rPr>
          <w:rFonts w:ascii="Palatino Linotype" w:eastAsiaTheme="minorEastAsia" w:hAnsi="Palatino Linotype" w:cstheme="minorBidi"/>
          <w:color w:val="000000" w:themeColor="text1"/>
          <w:lang w:val="es-MX"/>
        </w:rPr>
        <w:t>que se constituye como una herramienta fundamental para ejercer</w:t>
      </w:r>
      <w:r w:rsidRPr="00481B31">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481B31">
        <w:rPr>
          <w:rFonts w:ascii="Palatino Linotype" w:eastAsiaTheme="minorEastAsia" w:hAnsi="Palatino Linotype" w:cstheme="minorBidi"/>
          <w:i/>
          <w:color w:val="000000" w:themeColor="text1"/>
          <w:vertAlign w:val="superscript"/>
          <w:lang w:val="es-MX"/>
        </w:rPr>
        <w:footnoteReference w:id="4"/>
      </w:r>
      <w:r w:rsidRPr="00481B31">
        <w:rPr>
          <w:rFonts w:ascii="Palatino Linotype" w:eastAsiaTheme="minorEastAsia" w:hAnsi="Palatino Linotype" w:cstheme="minorBidi"/>
          <w:i/>
          <w:color w:val="000000" w:themeColor="text1"/>
          <w:lang w:val="es-MX"/>
        </w:rPr>
        <w:t xml:space="preserve"> </w:t>
      </w:r>
      <w:r w:rsidRPr="00481B31">
        <w:rPr>
          <w:rFonts w:ascii="Palatino Linotype" w:eastAsiaTheme="minorEastAsia" w:hAnsi="Palatino Linotype" w:cstheme="minorBidi"/>
          <w:color w:val="000000" w:themeColor="text1"/>
          <w:lang w:val="es-MX"/>
        </w:rPr>
        <w:t>fomentando</w:t>
      </w:r>
      <w:r w:rsidRPr="00481B31">
        <w:rPr>
          <w:rFonts w:ascii="Palatino Linotype" w:eastAsiaTheme="minorEastAsia" w:hAnsi="Palatino Linotype" w:cstheme="minorBidi"/>
          <w:i/>
          <w:color w:val="000000" w:themeColor="text1"/>
          <w:lang w:val="es-MX"/>
        </w:rPr>
        <w:t xml:space="preserve"> la transparencia de las actividades estatales y </w:t>
      </w:r>
      <w:r w:rsidRPr="00481B31">
        <w:rPr>
          <w:rFonts w:ascii="Palatino Linotype" w:eastAsiaTheme="minorEastAsia" w:hAnsi="Palatino Linotype" w:cstheme="minorBidi"/>
          <w:color w:val="000000" w:themeColor="text1"/>
          <w:lang w:val="es-MX"/>
        </w:rPr>
        <w:t>promoviendo</w:t>
      </w:r>
      <w:r w:rsidRPr="00481B31">
        <w:rPr>
          <w:rFonts w:ascii="Palatino Linotype" w:eastAsiaTheme="minorEastAsia" w:hAnsi="Palatino Linotype" w:cstheme="minorBidi"/>
          <w:i/>
          <w:color w:val="000000" w:themeColor="text1"/>
          <w:lang w:val="es-MX"/>
        </w:rPr>
        <w:t xml:space="preserve"> la responsabilidad de los funcionarios sobre su gestión pública,</w:t>
      </w:r>
      <w:r w:rsidRPr="00481B31">
        <w:rPr>
          <w:rFonts w:ascii="Palatino Linotype" w:eastAsiaTheme="minorEastAsia" w:hAnsi="Palatino Linotype" w:cstheme="minorBidi"/>
          <w:i/>
          <w:color w:val="000000" w:themeColor="text1"/>
          <w:vertAlign w:val="superscript"/>
          <w:lang w:val="es-MX"/>
        </w:rPr>
        <w:footnoteReference w:id="5"/>
      </w:r>
      <w:r w:rsidRPr="00481B31">
        <w:rPr>
          <w:rFonts w:ascii="Palatino Linotype" w:eastAsiaTheme="minorEastAsia" w:hAnsi="Palatino Linotype" w:cstheme="minorBidi"/>
          <w:color w:val="000000" w:themeColor="text1"/>
          <w:lang w:val="es-MX"/>
        </w:rPr>
        <w:t>que permite</w:t>
      </w:r>
      <w:r w:rsidRPr="00481B31">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481B31" w:rsidRDefault="00286C23" w:rsidP="000C118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C0FDD31" w14:textId="77777777" w:rsidR="00286C23" w:rsidRPr="00481B31" w:rsidRDefault="00286C23" w:rsidP="000C1184">
      <w:pPr>
        <w:numPr>
          <w:ilvl w:val="0"/>
          <w:numId w:val="36"/>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481B31">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w:t>
      </w:r>
      <w:r w:rsidRPr="00481B31">
        <w:rPr>
          <w:rFonts w:ascii="Palatino Linotype" w:eastAsiaTheme="minorEastAsia" w:hAnsi="Palatino Linotype" w:cstheme="minorBidi"/>
          <w:color w:val="000000" w:themeColor="text1"/>
          <w:lang w:val="es-MX"/>
        </w:rPr>
        <w:lastRenderedPageBreak/>
        <w:t>después de realizar el análisis al procedimiento de acceso a la información, podrá determinar la posible afectación y, de ser el caso, ordenar la reparación a la violación del derecho en cuestión.</w:t>
      </w:r>
    </w:p>
    <w:p w14:paraId="74F65A52" w14:textId="77777777" w:rsidR="001D60A4" w:rsidRPr="00CC00CA" w:rsidRDefault="001D60A4" w:rsidP="00CC00CA">
      <w:pPr>
        <w:tabs>
          <w:tab w:val="left" w:pos="426"/>
        </w:tabs>
        <w:spacing w:before="240" w:after="240" w:line="360" w:lineRule="auto"/>
        <w:ind w:left="142" w:right="51" w:hanging="142"/>
        <w:contextualSpacing/>
        <w:jc w:val="both"/>
        <w:rPr>
          <w:rFonts w:ascii="Palatino Linotype" w:eastAsiaTheme="minorEastAsia" w:hAnsi="Palatino Linotype" w:cstheme="minorBidi"/>
          <w:b/>
          <w:color w:val="000000" w:themeColor="text1"/>
          <w:lang w:val="es-MX"/>
        </w:rPr>
      </w:pPr>
    </w:p>
    <w:p w14:paraId="4C48BE97" w14:textId="1CC33F57" w:rsidR="003523DE" w:rsidRPr="00CC00CA" w:rsidRDefault="00D91C33" w:rsidP="00CC00CA">
      <w:pPr>
        <w:pStyle w:val="Ttulo1"/>
        <w:numPr>
          <w:ilvl w:val="0"/>
          <w:numId w:val="43"/>
        </w:numPr>
        <w:ind w:left="142" w:hanging="142"/>
        <w:rPr>
          <w:rFonts w:ascii="Palatino Linotype" w:hAnsi="Palatino Linotype"/>
          <w:b/>
          <w:color w:val="000000" w:themeColor="text1"/>
          <w:sz w:val="24"/>
          <w:szCs w:val="24"/>
        </w:rPr>
      </w:pPr>
      <w:bookmarkStart w:id="51" w:name="_Toc85137165"/>
      <w:r w:rsidRPr="00CC00CA">
        <w:rPr>
          <w:rFonts w:ascii="Palatino Linotype" w:hAnsi="Palatino Linotype"/>
          <w:b/>
          <w:color w:val="000000" w:themeColor="text1"/>
          <w:sz w:val="24"/>
          <w:szCs w:val="24"/>
        </w:rPr>
        <w:t>De la solicitud de información y la respuesta otorgada.</w:t>
      </w:r>
      <w:bookmarkEnd w:id="51"/>
      <w:r w:rsidRPr="00CC00CA">
        <w:rPr>
          <w:rFonts w:ascii="Palatino Linotype" w:hAnsi="Palatino Linotype"/>
          <w:b/>
          <w:color w:val="000000" w:themeColor="text1"/>
          <w:sz w:val="24"/>
          <w:szCs w:val="24"/>
        </w:rPr>
        <w:t xml:space="preserve"> </w:t>
      </w:r>
    </w:p>
    <w:p w14:paraId="4BF3BCA3" w14:textId="77777777" w:rsidR="00D91C33" w:rsidRPr="00481B31" w:rsidRDefault="00D91C33" w:rsidP="000C1184">
      <w:pPr>
        <w:pStyle w:val="Prrafodelista"/>
        <w:spacing w:line="360" w:lineRule="auto"/>
        <w:ind w:left="1080"/>
        <w:rPr>
          <w:rFonts w:ascii="Palatino Linotype" w:hAnsi="Palatino Linotype"/>
          <w:lang w:val="es-MX" w:eastAsia="en-US"/>
        </w:rPr>
      </w:pPr>
    </w:p>
    <w:p w14:paraId="113D11EC" w14:textId="77777777" w:rsidR="00D91C33" w:rsidRPr="00481B31" w:rsidRDefault="00EA0165" w:rsidP="000C1184">
      <w:pPr>
        <w:pStyle w:val="Prrafodelista"/>
        <w:numPr>
          <w:ilvl w:val="0"/>
          <w:numId w:val="36"/>
        </w:numPr>
        <w:spacing w:before="240" w:after="360" w:line="360" w:lineRule="auto"/>
        <w:ind w:left="0" w:firstLine="0"/>
        <w:contextualSpacing/>
        <w:jc w:val="both"/>
        <w:rPr>
          <w:rFonts w:ascii="Palatino Linotype" w:eastAsia="MS Mincho" w:hAnsi="Palatino Linotype" w:cs="Arial"/>
          <w:i/>
          <w:lang w:val="es-MX"/>
        </w:rPr>
      </w:pPr>
      <w:r w:rsidRPr="00481B31">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481B31">
        <w:rPr>
          <w:rFonts w:ascii="Palatino Linotype" w:eastAsia="Calibri" w:hAnsi="Palatino Linotype" w:cs="Arial"/>
          <w:b/>
          <w:lang w:eastAsia="en-US"/>
        </w:rPr>
        <w:t>Ley de Transparencia y Acceso a la Información Pública del Estado de México y Municipios</w:t>
      </w:r>
      <w:r w:rsidR="006C693D" w:rsidRPr="00481B31">
        <w:rPr>
          <w:rFonts w:ascii="Palatino Linotype" w:hAnsi="Palatino Linotype" w:cs="Arial"/>
          <w:lang w:eastAsia="es-MX"/>
        </w:rPr>
        <w:t>.</w:t>
      </w:r>
    </w:p>
    <w:p w14:paraId="6DCC758D" w14:textId="77777777" w:rsidR="00D91C33" w:rsidRPr="00481B31" w:rsidRDefault="00D91C33" w:rsidP="000C1184">
      <w:pPr>
        <w:pStyle w:val="Prrafodelista"/>
        <w:spacing w:before="240" w:after="360" w:line="360" w:lineRule="auto"/>
        <w:ind w:left="0"/>
        <w:contextualSpacing/>
        <w:jc w:val="both"/>
        <w:rPr>
          <w:rFonts w:ascii="Palatino Linotype" w:eastAsia="MS Mincho" w:hAnsi="Palatino Linotype" w:cs="Arial"/>
          <w:i/>
          <w:lang w:val="es-MX"/>
        </w:rPr>
      </w:pPr>
    </w:p>
    <w:p w14:paraId="28C431FD" w14:textId="39E77D89" w:rsidR="0006184D" w:rsidRPr="00481B31" w:rsidRDefault="00D91C33" w:rsidP="000B7AD7">
      <w:pPr>
        <w:pStyle w:val="Prrafodelista"/>
        <w:numPr>
          <w:ilvl w:val="0"/>
          <w:numId w:val="36"/>
        </w:numPr>
        <w:spacing w:before="240" w:after="360" w:line="360" w:lineRule="auto"/>
        <w:ind w:left="0" w:firstLine="0"/>
        <w:contextualSpacing/>
        <w:jc w:val="both"/>
        <w:rPr>
          <w:rFonts w:ascii="Palatino Linotype" w:eastAsia="MS Mincho" w:hAnsi="Palatino Linotype" w:cs="Arial"/>
          <w:i/>
          <w:lang w:val="es-MX"/>
        </w:rPr>
      </w:pPr>
      <w:r w:rsidRPr="00481B31">
        <w:rPr>
          <w:rFonts w:ascii="Palatino Linotype" w:eastAsia="MS Mincho" w:hAnsi="Palatino Linotype" w:cs="Arial"/>
          <w:lang w:val="es-MX"/>
        </w:rPr>
        <w:t>Así, de la lectura a la solicitud de información se observa que el particular requirió a</w:t>
      </w:r>
      <w:r w:rsidR="000B7AD7" w:rsidRPr="00481B31">
        <w:rPr>
          <w:rFonts w:ascii="Palatino Linotype" w:eastAsia="MS Mincho" w:hAnsi="Palatino Linotype" w:cs="Arial"/>
          <w:lang w:val="es-MX"/>
        </w:rPr>
        <w:t xml:space="preserve">l </w:t>
      </w:r>
      <w:r w:rsidR="000B7AD7" w:rsidRPr="00481B31">
        <w:rPr>
          <w:rFonts w:ascii="Palatino Linotype" w:eastAsia="MS Mincho" w:hAnsi="Palatino Linotype" w:cs="Arial"/>
          <w:b/>
          <w:lang w:val="es-MX"/>
        </w:rPr>
        <w:t>Poder Legislativo</w:t>
      </w:r>
      <w:r w:rsidR="000B7AD7" w:rsidRPr="00481B31">
        <w:rPr>
          <w:rFonts w:ascii="Palatino Linotype" w:eastAsia="MS Mincho" w:hAnsi="Palatino Linotype" w:cs="Arial"/>
          <w:lang w:val="es-MX"/>
        </w:rPr>
        <w:t xml:space="preserve"> </w:t>
      </w:r>
      <w:r w:rsidRPr="00481B31">
        <w:rPr>
          <w:rFonts w:ascii="Palatino Linotype" w:eastAsia="MS Mincho" w:hAnsi="Palatino Linotype" w:cs="Arial"/>
          <w:lang w:val="es-MX"/>
        </w:rPr>
        <w:t xml:space="preserve"> acceder a la </w:t>
      </w:r>
      <w:r w:rsidR="000B7AD7" w:rsidRPr="00481B31">
        <w:rPr>
          <w:rFonts w:ascii="Palatino Linotype" w:eastAsia="MS Mincho" w:hAnsi="Palatino Linotype" w:cs="Arial"/>
          <w:lang w:val="es-MX"/>
        </w:rPr>
        <w:t xml:space="preserve">toda la información relacionada con </w:t>
      </w:r>
      <w:r w:rsidRPr="00481B31">
        <w:rPr>
          <w:rFonts w:ascii="Palatino Linotype" w:eastAsia="MS Mincho" w:hAnsi="Palatino Linotype" w:cs="Arial"/>
          <w:lang w:val="es-MX"/>
        </w:rPr>
        <w:t xml:space="preserve"> </w:t>
      </w:r>
      <w:r w:rsidR="000B7AD7" w:rsidRPr="00481B31">
        <w:rPr>
          <w:rFonts w:ascii="Palatino Linotype" w:eastAsia="MS Mincho" w:hAnsi="Palatino Linotype" w:cs="Arial"/>
          <w:i/>
        </w:rPr>
        <w:t>el diferendo limítrofe del Municipio de Teoloyucan vs Municipio de Cuautitlán y Cuautitlán Izcalli, así como todos y cada uno de los documentos considerados como anexos.</w:t>
      </w:r>
    </w:p>
    <w:p w14:paraId="00C7C31F" w14:textId="77777777" w:rsidR="000B7AD7" w:rsidRPr="00481B31" w:rsidRDefault="000B7AD7" w:rsidP="000B7AD7">
      <w:pPr>
        <w:pStyle w:val="Prrafodelista"/>
        <w:spacing w:before="240" w:after="360" w:line="360" w:lineRule="auto"/>
        <w:ind w:left="0"/>
        <w:contextualSpacing/>
        <w:jc w:val="both"/>
        <w:rPr>
          <w:rFonts w:ascii="Palatino Linotype" w:eastAsia="MS Mincho" w:hAnsi="Palatino Linotype" w:cs="Arial"/>
          <w:i/>
          <w:lang w:val="es-MX"/>
        </w:rPr>
      </w:pPr>
    </w:p>
    <w:p w14:paraId="21D9BAD9" w14:textId="5A39AF88" w:rsidR="000B7AD7" w:rsidRPr="00481B31" w:rsidRDefault="00D91C33" w:rsidP="000C1184">
      <w:pPr>
        <w:pStyle w:val="Prrafodelista"/>
        <w:numPr>
          <w:ilvl w:val="0"/>
          <w:numId w:val="36"/>
        </w:numPr>
        <w:spacing w:before="240" w:after="240" w:line="360" w:lineRule="auto"/>
        <w:ind w:left="0" w:right="49" w:firstLine="0"/>
        <w:contextualSpacing/>
        <w:jc w:val="both"/>
        <w:rPr>
          <w:rFonts w:ascii="Palatino Linotype" w:eastAsia="MS Mincho" w:hAnsi="Palatino Linotype" w:cs="Arial"/>
          <w:lang w:val="es-MX"/>
        </w:rPr>
      </w:pPr>
      <w:r w:rsidRPr="00481B31">
        <w:rPr>
          <w:rFonts w:ascii="Palatino Linotype" w:eastAsia="MS Mincho" w:hAnsi="Palatino Linotype" w:cs="Arial"/>
          <w:lang w:val="es-MX"/>
        </w:rPr>
        <w:t xml:space="preserve">En calidad de respuesta a </w:t>
      </w:r>
      <w:r w:rsidR="00A917E6" w:rsidRPr="00481B31">
        <w:rPr>
          <w:rFonts w:ascii="Palatino Linotype" w:eastAsia="MS Mincho" w:hAnsi="Palatino Linotype" w:cs="Arial"/>
          <w:lang w:val="es-MX"/>
        </w:rPr>
        <w:t>la solicitud de información, la Titular de la unidad de Transparencia</w:t>
      </w:r>
      <w:r w:rsidR="00B0148A" w:rsidRPr="00481B31">
        <w:rPr>
          <w:rFonts w:ascii="Palatino Linotype" w:eastAsia="MS Mincho" w:hAnsi="Palatino Linotype" w:cs="Arial"/>
          <w:lang w:val="es-MX"/>
        </w:rPr>
        <w:t xml:space="preserve"> </w:t>
      </w:r>
      <w:r w:rsidRPr="00481B31">
        <w:rPr>
          <w:rFonts w:ascii="Palatino Linotype" w:eastAsia="MS Mincho" w:hAnsi="Palatino Linotype" w:cs="Arial"/>
          <w:lang w:val="es-MX"/>
        </w:rPr>
        <w:t xml:space="preserve">refirió al entonces </w:t>
      </w:r>
      <w:r w:rsidRPr="00481B31">
        <w:rPr>
          <w:rFonts w:ascii="Palatino Linotype" w:eastAsia="MS Mincho" w:hAnsi="Palatino Linotype" w:cs="Arial"/>
          <w:b/>
          <w:lang w:val="es-MX"/>
        </w:rPr>
        <w:t>SOLICITANTE</w:t>
      </w:r>
      <w:r w:rsidR="000B7AD7" w:rsidRPr="00481B31">
        <w:rPr>
          <w:rFonts w:ascii="Palatino Linotype" w:eastAsia="MS Mincho" w:hAnsi="Palatino Linotype" w:cs="Arial"/>
          <w:lang w:val="es-MX"/>
        </w:rPr>
        <w:t xml:space="preserve">  que el Comité de Transparencia del Poder Legislativo a través del </w:t>
      </w:r>
      <w:r w:rsidR="000B7AD7" w:rsidRPr="00481B31">
        <w:rPr>
          <w:rFonts w:ascii="Palatino Linotype" w:eastAsiaTheme="minorEastAsia" w:hAnsi="Palatino Linotype" w:cstheme="minorBidi"/>
          <w:color w:val="000000" w:themeColor="text1"/>
          <w:lang w:val="es-ES_tradnl"/>
        </w:rPr>
        <w:t xml:space="preserve">“Acta de la Décima Novena Sesión Extraordinaria del Comité de Transparencia del Poder Legislativo del Estado de México, Celebrada el 30 de Julio de 2021”, suscrito por los integrantes del comité de </w:t>
      </w:r>
      <w:r w:rsidR="000B7AD7" w:rsidRPr="00481B31">
        <w:rPr>
          <w:rFonts w:ascii="Palatino Linotype" w:eastAsiaTheme="minorEastAsia" w:hAnsi="Palatino Linotype" w:cstheme="minorBidi"/>
          <w:color w:val="000000" w:themeColor="text1"/>
          <w:lang w:val="es-ES_tradnl"/>
        </w:rPr>
        <w:lastRenderedPageBreak/>
        <w:t xml:space="preserve">transparencia mediante la cual se registró el acuerdo PLEGISLA/LX/CT/19aext/2021/SÉPTIMO, se acoró la clasificación como reservada de la información solicitada. </w:t>
      </w:r>
    </w:p>
    <w:p w14:paraId="4B68118F" w14:textId="77777777" w:rsidR="000B7AD7" w:rsidRPr="00481B31" w:rsidRDefault="000B7AD7" w:rsidP="000B7AD7">
      <w:pPr>
        <w:pStyle w:val="Prrafodelista"/>
        <w:spacing w:before="240" w:after="240" w:line="360" w:lineRule="auto"/>
        <w:ind w:left="0" w:right="49"/>
        <w:contextualSpacing/>
        <w:jc w:val="both"/>
        <w:rPr>
          <w:rFonts w:ascii="Palatino Linotype" w:eastAsia="MS Mincho" w:hAnsi="Palatino Linotype" w:cs="Arial"/>
          <w:lang w:val="es-MX"/>
        </w:rPr>
      </w:pPr>
    </w:p>
    <w:p w14:paraId="6C515FDC" w14:textId="51672E80" w:rsidR="00E5288E" w:rsidRPr="00481B31" w:rsidRDefault="00C548CF" w:rsidP="000C1184">
      <w:pPr>
        <w:numPr>
          <w:ilvl w:val="0"/>
          <w:numId w:val="36"/>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bookmarkStart w:id="52" w:name="_Toc84264165"/>
      <w:r w:rsidRPr="00481B31">
        <w:rPr>
          <w:rFonts w:ascii="Palatino Linotype" w:eastAsia="MS Mincho" w:hAnsi="Palatino Linotype" w:cs="Arial"/>
          <w:color w:val="000000"/>
          <w:lang w:val="es-ES_tradnl"/>
        </w:rPr>
        <w:t>Así las cosas, este Instituto de Transparencia, de conformidad con los principios de eficacia y profesionalismo</w:t>
      </w:r>
      <w:r w:rsidRPr="00481B31">
        <w:rPr>
          <w:rStyle w:val="Refdenotaalpie"/>
          <w:rFonts w:ascii="Palatino Linotype" w:eastAsia="MS Mincho" w:hAnsi="Palatino Linotype" w:cs="Arial"/>
          <w:color w:val="000000"/>
          <w:lang w:val="es-ES_tradnl"/>
        </w:rPr>
        <w:footnoteReference w:id="6"/>
      </w:r>
      <w:r w:rsidRPr="00481B31">
        <w:rPr>
          <w:rFonts w:ascii="Palatino Linotype" w:eastAsia="MS Mincho" w:hAnsi="Palatino Linotype" w:cs="Arial"/>
          <w:color w:val="000000"/>
          <w:lang w:val="es-ES_tradnl"/>
        </w:rPr>
        <w:t xml:space="preserve">, procederá a verificar </w:t>
      </w:r>
      <w:r w:rsidR="003E4F89" w:rsidRPr="00481B31">
        <w:rPr>
          <w:rFonts w:ascii="Palatino Linotype" w:eastAsia="MS Mincho" w:hAnsi="Palatino Linotype" w:cs="Arial"/>
          <w:color w:val="000000"/>
          <w:lang w:val="es-ES_tradnl"/>
        </w:rPr>
        <w:t xml:space="preserve">si la reserva aducida por el </w:t>
      </w:r>
      <w:r w:rsidR="003E4F89" w:rsidRPr="00481B31">
        <w:rPr>
          <w:rFonts w:ascii="Palatino Linotype" w:eastAsia="MS Mincho" w:hAnsi="Palatino Linotype" w:cs="Arial"/>
          <w:b/>
          <w:color w:val="000000"/>
          <w:lang w:val="es-ES_tradnl"/>
        </w:rPr>
        <w:t xml:space="preserve">SUJETO OBLIGADO </w:t>
      </w:r>
      <w:r w:rsidR="003E4F89" w:rsidRPr="00481B31">
        <w:rPr>
          <w:rFonts w:ascii="Palatino Linotype" w:eastAsia="MS Mincho" w:hAnsi="Palatino Linotype" w:cs="Arial"/>
          <w:color w:val="000000"/>
          <w:lang w:val="es-ES_tradnl"/>
        </w:rPr>
        <w:t>resulta procedente.</w:t>
      </w:r>
    </w:p>
    <w:p w14:paraId="0E973E8E" w14:textId="77777777" w:rsidR="003E4F89" w:rsidRPr="00481B31" w:rsidRDefault="003E4F89" w:rsidP="003E4F89">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65694028" w14:textId="75BEFBED" w:rsidR="00E5288E" w:rsidRPr="00CC00CA" w:rsidRDefault="00E5288E" w:rsidP="00CC00CA">
      <w:pPr>
        <w:pStyle w:val="Ttulo1"/>
        <w:rPr>
          <w:rFonts w:ascii="Palatino Linotype" w:eastAsia="MS Mincho" w:hAnsi="Palatino Linotype" w:cs="Arial"/>
          <w:b/>
          <w:color w:val="000000" w:themeColor="text1"/>
          <w:sz w:val="24"/>
          <w:szCs w:val="24"/>
          <w:lang w:val="es-MX"/>
        </w:rPr>
      </w:pPr>
      <w:bookmarkStart w:id="53" w:name="_Toc85137166"/>
      <w:r w:rsidRPr="00CC00CA">
        <w:rPr>
          <w:rFonts w:ascii="Palatino Linotype" w:hAnsi="Palatino Linotype"/>
          <w:b/>
          <w:color w:val="000000" w:themeColor="text1"/>
          <w:sz w:val="24"/>
          <w:szCs w:val="24"/>
          <w:lang w:val="es-MX" w:eastAsia="en-US"/>
        </w:rPr>
        <w:t>I</w:t>
      </w:r>
      <w:r w:rsidR="0006184D" w:rsidRPr="00CC00CA">
        <w:rPr>
          <w:rFonts w:ascii="Palatino Linotype" w:hAnsi="Palatino Linotype"/>
          <w:b/>
          <w:color w:val="000000" w:themeColor="text1"/>
          <w:sz w:val="24"/>
          <w:szCs w:val="24"/>
          <w:lang w:val="es-MX" w:eastAsia="en-US"/>
        </w:rPr>
        <w:t>I</w:t>
      </w:r>
      <w:r w:rsidR="00CC00CA" w:rsidRPr="00CC00CA">
        <w:rPr>
          <w:rFonts w:ascii="Palatino Linotype" w:hAnsi="Palatino Linotype"/>
          <w:b/>
          <w:color w:val="000000" w:themeColor="text1"/>
          <w:sz w:val="24"/>
          <w:szCs w:val="24"/>
          <w:lang w:val="es-MX" w:eastAsia="en-US"/>
        </w:rPr>
        <w:t>I</w:t>
      </w:r>
      <w:r w:rsidRPr="00CC00CA">
        <w:rPr>
          <w:rFonts w:ascii="Palatino Linotype" w:hAnsi="Palatino Linotype"/>
          <w:b/>
          <w:color w:val="000000" w:themeColor="text1"/>
          <w:sz w:val="24"/>
          <w:szCs w:val="24"/>
          <w:lang w:val="es-MX" w:eastAsia="en-US"/>
        </w:rPr>
        <w:t xml:space="preserve">. De </w:t>
      </w:r>
      <w:bookmarkEnd w:id="52"/>
      <w:r w:rsidR="003E4F89" w:rsidRPr="00CC00CA">
        <w:rPr>
          <w:rFonts w:ascii="Palatino Linotype" w:hAnsi="Palatino Linotype"/>
          <w:b/>
          <w:color w:val="000000" w:themeColor="text1"/>
          <w:sz w:val="24"/>
          <w:szCs w:val="24"/>
          <w:lang w:val="es-MX" w:eastAsia="en-US"/>
        </w:rPr>
        <w:t>la clasificación de la información solicitada.</w:t>
      </w:r>
      <w:bookmarkEnd w:id="53"/>
      <w:r w:rsidR="003E4F89" w:rsidRPr="00CC00CA">
        <w:rPr>
          <w:rFonts w:ascii="Palatino Linotype" w:hAnsi="Palatino Linotype"/>
          <w:b/>
          <w:color w:val="000000" w:themeColor="text1"/>
          <w:sz w:val="24"/>
          <w:szCs w:val="24"/>
          <w:lang w:val="es-MX" w:eastAsia="en-US"/>
        </w:rPr>
        <w:t xml:space="preserve"> </w:t>
      </w:r>
    </w:p>
    <w:p w14:paraId="7A9004CE" w14:textId="77777777" w:rsidR="003C4A72" w:rsidRPr="00481B31" w:rsidRDefault="003C4A72" w:rsidP="000C1184">
      <w:pPr>
        <w:pStyle w:val="Prrafodelista"/>
        <w:spacing w:before="240" w:after="360" w:line="360" w:lineRule="auto"/>
        <w:ind w:left="0"/>
        <w:contextualSpacing/>
        <w:jc w:val="both"/>
        <w:rPr>
          <w:rFonts w:ascii="Palatino Linotype" w:eastAsia="MS Mincho" w:hAnsi="Palatino Linotype" w:cs="Arial"/>
          <w:i/>
          <w:lang w:val="es-MX"/>
        </w:rPr>
      </w:pPr>
    </w:p>
    <w:p w14:paraId="02153D77" w14:textId="332B0608" w:rsidR="003C4A72" w:rsidRPr="00481B31" w:rsidRDefault="003C4A72" w:rsidP="000C1184">
      <w:pPr>
        <w:pStyle w:val="Prrafodelista"/>
        <w:numPr>
          <w:ilvl w:val="0"/>
          <w:numId w:val="17"/>
        </w:numPr>
        <w:spacing w:before="240" w:after="360" w:line="360" w:lineRule="auto"/>
        <w:ind w:left="0" w:firstLine="0"/>
        <w:contextualSpacing/>
        <w:jc w:val="both"/>
        <w:rPr>
          <w:rFonts w:ascii="Palatino Linotype" w:eastAsia="MS Mincho" w:hAnsi="Palatino Linotype" w:cs="Arial"/>
          <w:i/>
          <w:lang w:val="es-MX"/>
        </w:rPr>
      </w:pPr>
      <w:r w:rsidRPr="00481B31">
        <w:rPr>
          <w:rFonts w:ascii="Palatino Linotype" w:hAnsi="Palatino Linotype" w:cs="Arial"/>
          <w:lang w:eastAsia="es-MX"/>
        </w:rPr>
        <w:t xml:space="preserve">Precisado lo anterior, </w:t>
      </w:r>
      <w:r w:rsidRPr="00481B31">
        <w:rPr>
          <w:rFonts w:ascii="Palatino Linotype" w:eastAsia="MS Mincho" w:hAnsi="Palatino Linotype"/>
          <w:lang w:val="es-ES_tradnl"/>
        </w:rPr>
        <w:t>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03E39DA1" w14:textId="77777777" w:rsidR="003C4A72" w:rsidRPr="00481B31" w:rsidRDefault="003C4A72" w:rsidP="000C1184">
      <w:pPr>
        <w:pStyle w:val="Prrafodelista"/>
        <w:spacing w:line="360" w:lineRule="auto"/>
        <w:rPr>
          <w:rFonts w:ascii="Palatino Linotype" w:eastAsia="MS Mincho" w:hAnsi="Palatino Linotype" w:cs="Arial"/>
          <w:i/>
          <w:lang w:val="es-MX"/>
        </w:rPr>
      </w:pPr>
    </w:p>
    <w:p w14:paraId="4E22E116" w14:textId="35F796BA" w:rsidR="003C4A72" w:rsidRPr="00481B31" w:rsidRDefault="003C4A72" w:rsidP="000C1184">
      <w:pPr>
        <w:pStyle w:val="Prrafodelista"/>
        <w:numPr>
          <w:ilvl w:val="0"/>
          <w:numId w:val="17"/>
        </w:numPr>
        <w:spacing w:before="240" w:after="360" w:line="360" w:lineRule="auto"/>
        <w:ind w:left="0" w:firstLine="0"/>
        <w:contextualSpacing/>
        <w:jc w:val="both"/>
        <w:rPr>
          <w:rFonts w:ascii="Palatino Linotype" w:eastAsia="MS Mincho" w:hAnsi="Palatino Linotype" w:cs="Arial"/>
          <w:i/>
          <w:lang w:val="es-MX"/>
        </w:rPr>
      </w:pPr>
      <w:r w:rsidRPr="00481B31">
        <w:rPr>
          <w:rFonts w:ascii="Palatino Linotype" w:eastAsia="MS Mincho" w:hAnsi="Palatino Linotype" w:cs="Arial"/>
          <w:lang w:val="es-MX"/>
        </w:rPr>
        <w:lastRenderedPageBreak/>
        <w:t xml:space="preserve">En ese sentido, </w:t>
      </w:r>
      <w:r w:rsidRPr="00481B31">
        <w:rPr>
          <w:rFonts w:ascii="Palatino Linotype" w:eastAsiaTheme="minorEastAsia" w:hAnsi="Palatino Linotype" w:cs="Arial"/>
          <w:lang w:val="es-ES_tradnl"/>
        </w:rPr>
        <w:t xml:space="preserve">del análisis efectuado a los requerimientos realizados por el particular se advierte la procedencia del </w:t>
      </w:r>
      <w:r w:rsidRPr="00481B31">
        <w:rPr>
          <w:rFonts w:ascii="Palatino Linotype" w:eastAsiaTheme="minorEastAsia" w:hAnsi="Palatino Linotype" w:cstheme="minorBidi"/>
          <w:lang w:val="es-ES_tradnl"/>
        </w:rPr>
        <w:t>recurso</w:t>
      </w:r>
      <w:r w:rsidRPr="00481B31">
        <w:rPr>
          <w:rFonts w:ascii="Palatino Linotype" w:eastAsiaTheme="minorEastAsia" w:hAnsi="Palatino Linotype" w:cs="Arial"/>
          <w:lang w:val="es-ES_tradnl"/>
        </w:rPr>
        <w:t xml:space="preserve"> de revisión, toda vez que se actualizaron las hipótesis previstas en las fracciones  IV y XIII, del artículo 179 de la Ley de Transparencia y Acceso a la Información Pública del Estado de México y Municipios, que a la letra indican:</w:t>
      </w:r>
    </w:p>
    <w:p w14:paraId="2B21F149" w14:textId="77777777" w:rsidR="003C4A72" w:rsidRPr="00481B31" w:rsidRDefault="003C4A72" w:rsidP="000C1184">
      <w:pPr>
        <w:spacing w:before="240" w:after="240" w:line="360" w:lineRule="auto"/>
        <w:contextualSpacing/>
        <w:jc w:val="both"/>
        <w:rPr>
          <w:rFonts w:ascii="Palatino Linotype" w:eastAsia="Calibri" w:hAnsi="Palatino Linotype"/>
          <w:lang w:eastAsia="en-US"/>
        </w:rPr>
      </w:pPr>
    </w:p>
    <w:p w14:paraId="50324214" w14:textId="77777777" w:rsidR="003C4A72" w:rsidRPr="00481B31" w:rsidRDefault="003C4A72" w:rsidP="000C1184">
      <w:pPr>
        <w:spacing w:line="360" w:lineRule="auto"/>
        <w:ind w:left="709" w:right="709"/>
        <w:jc w:val="both"/>
        <w:rPr>
          <w:rFonts w:ascii="Palatino Linotype" w:eastAsiaTheme="minorEastAsia" w:hAnsi="Palatino Linotype" w:cs="Arial"/>
          <w:i/>
          <w:lang w:val="es-ES_tradnl"/>
        </w:rPr>
      </w:pPr>
      <w:r w:rsidRPr="00481B31">
        <w:rPr>
          <w:rFonts w:ascii="Palatino Linotype" w:eastAsiaTheme="minorEastAsia" w:hAnsi="Palatino Linotype" w:cs="Arial"/>
          <w:bCs/>
          <w:i/>
          <w:lang w:val="es-ES_tradnl"/>
        </w:rPr>
        <w:t>“</w:t>
      </w:r>
      <w:r w:rsidRPr="00481B31">
        <w:rPr>
          <w:rFonts w:ascii="Palatino Linotype" w:eastAsiaTheme="minorEastAsia" w:hAnsi="Palatino Linotype" w:cs="Arial"/>
          <w:b/>
          <w:bCs/>
          <w:i/>
          <w:lang w:val="es-ES_tradnl"/>
        </w:rPr>
        <w:t>Artículo 179.</w:t>
      </w:r>
      <w:r w:rsidRPr="00481B31">
        <w:rPr>
          <w:rFonts w:ascii="Palatino Linotype" w:eastAsiaTheme="minorEastAsia" w:hAnsi="Palatino Linotype" w:cs="Arial"/>
          <w:bCs/>
          <w:i/>
          <w:lang w:val="es-ES_tradnl"/>
        </w:rPr>
        <w:t xml:space="preserve"> </w:t>
      </w:r>
      <w:r w:rsidRPr="00481B31">
        <w:rPr>
          <w:rFonts w:ascii="Palatino Linotype" w:eastAsiaTheme="minorEastAsia" w:hAnsi="Palatino Linotype" w:cs="Arial"/>
          <w:b/>
          <w:i/>
          <w:lang w:val="es-ES_tradnl"/>
        </w:rPr>
        <w:t>El recurso de revisión</w:t>
      </w:r>
      <w:r w:rsidRPr="00481B31">
        <w:rPr>
          <w:rFonts w:ascii="Palatino Linotype" w:eastAsiaTheme="minorEastAsia" w:hAnsi="Palatino Linotype" w:cs="Arial"/>
          <w:i/>
          <w:lang w:val="es-ES_tradnl"/>
        </w:rPr>
        <w:t xml:space="preserve"> es un medio de protección que la Ley otorga a los particulares, para hacer valer su derecho de acceso a la información pública, y </w:t>
      </w:r>
      <w:r w:rsidRPr="00481B31">
        <w:rPr>
          <w:rFonts w:ascii="Palatino Linotype" w:eastAsiaTheme="minorEastAsia" w:hAnsi="Palatino Linotype" w:cs="Arial"/>
          <w:b/>
          <w:i/>
          <w:lang w:val="es-ES_tradnl"/>
        </w:rPr>
        <w:t>procederá en contra de las siguientes causas</w:t>
      </w:r>
      <w:r w:rsidRPr="00481B31">
        <w:rPr>
          <w:rFonts w:ascii="Palatino Linotype" w:eastAsiaTheme="minorEastAsia" w:hAnsi="Palatino Linotype" w:cs="Arial"/>
          <w:i/>
          <w:lang w:val="es-ES_tradnl"/>
        </w:rPr>
        <w:t>:</w:t>
      </w:r>
    </w:p>
    <w:p w14:paraId="2DD52E7E" w14:textId="77777777" w:rsidR="003C4A72" w:rsidRPr="00481B31" w:rsidRDefault="003C4A72" w:rsidP="000C1184">
      <w:pPr>
        <w:spacing w:line="360" w:lineRule="auto"/>
        <w:ind w:left="709" w:right="709"/>
        <w:jc w:val="both"/>
        <w:rPr>
          <w:rFonts w:ascii="Palatino Linotype" w:eastAsiaTheme="minorEastAsia" w:hAnsi="Palatino Linotype" w:cs="Arial"/>
          <w:i/>
          <w:lang w:val="es-ES_tradnl"/>
        </w:rPr>
      </w:pPr>
    </w:p>
    <w:p w14:paraId="331DDAD3" w14:textId="7567E550" w:rsidR="003C4A72" w:rsidRPr="00481B31" w:rsidRDefault="003C4A72" w:rsidP="000C1184">
      <w:pPr>
        <w:spacing w:line="360" w:lineRule="auto"/>
        <w:ind w:left="709" w:right="709"/>
        <w:jc w:val="both"/>
        <w:rPr>
          <w:rFonts w:ascii="Palatino Linotype" w:eastAsiaTheme="minorEastAsia" w:hAnsi="Palatino Linotype" w:cs="Arial"/>
          <w:i/>
          <w:lang w:val="es-ES_tradnl"/>
        </w:rPr>
      </w:pPr>
      <w:r w:rsidRPr="00481B31">
        <w:rPr>
          <w:rFonts w:ascii="Palatino Linotype" w:eastAsiaTheme="minorEastAsia" w:hAnsi="Palatino Linotype" w:cs="Arial"/>
          <w:i/>
          <w:lang w:val="es-ES_tradnl"/>
        </w:rPr>
        <w:t>(…)</w:t>
      </w:r>
    </w:p>
    <w:p w14:paraId="227BC94F" w14:textId="77777777" w:rsidR="003E4F89" w:rsidRPr="00481B31" w:rsidRDefault="003E4F89" w:rsidP="003E4F89">
      <w:pPr>
        <w:spacing w:line="360" w:lineRule="auto"/>
        <w:ind w:left="709" w:right="709"/>
        <w:jc w:val="both"/>
        <w:rPr>
          <w:rFonts w:ascii="Palatino Linotype" w:eastAsiaTheme="minorEastAsia" w:hAnsi="Palatino Linotype" w:cs="Arial"/>
          <w:i/>
          <w:lang w:val="es-ES_tradnl"/>
        </w:rPr>
      </w:pPr>
      <w:r w:rsidRPr="00481B31">
        <w:rPr>
          <w:rFonts w:ascii="Palatino Linotype" w:eastAsiaTheme="minorEastAsia" w:hAnsi="Palatino Linotype" w:cs="Arial"/>
          <w:i/>
          <w:lang w:val="es-ES_tradnl"/>
        </w:rPr>
        <w:t>I. La negativa a la información solicitada;</w:t>
      </w:r>
    </w:p>
    <w:p w14:paraId="66655823" w14:textId="01E6A6A2" w:rsidR="003C4A72" w:rsidRPr="00481B31" w:rsidRDefault="003E4F89" w:rsidP="003E4F89">
      <w:pPr>
        <w:spacing w:line="360" w:lineRule="auto"/>
        <w:ind w:left="709" w:right="709"/>
        <w:jc w:val="both"/>
        <w:rPr>
          <w:rFonts w:ascii="Palatino Linotype" w:eastAsiaTheme="minorEastAsia" w:hAnsi="Palatino Linotype" w:cs="Arial"/>
          <w:i/>
          <w:lang w:val="es-ES_tradnl"/>
        </w:rPr>
      </w:pPr>
      <w:r w:rsidRPr="00481B31">
        <w:rPr>
          <w:rFonts w:ascii="Palatino Linotype" w:eastAsiaTheme="minorEastAsia" w:hAnsi="Palatino Linotype" w:cs="Arial"/>
          <w:i/>
          <w:lang w:val="es-ES_tradnl"/>
        </w:rPr>
        <w:t>II. La clasificación de la información;</w:t>
      </w:r>
    </w:p>
    <w:p w14:paraId="0F7F245E" w14:textId="35598AA1" w:rsidR="003C4A72" w:rsidRPr="00481B31" w:rsidRDefault="003E4F89" w:rsidP="000C1184">
      <w:pPr>
        <w:tabs>
          <w:tab w:val="left" w:pos="1276"/>
        </w:tabs>
        <w:spacing w:line="360" w:lineRule="auto"/>
        <w:ind w:left="709" w:right="709"/>
        <w:jc w:val="both"/>
        <w:rPr>
          <w:rFonts w:ascii="Palatino Linotype" w:eastAsiaTheme="minorEastAsia" w:hAnsi="Palatino Linotype" w:cs="Arial"/>
          <w:i/>
          <w:lang w:val="es-ES_tradnl"/>
        </w:rPr>
      </w:pPr>
      <w:r w:rsidRPr="00481B31">
        <w:rPr>
          <w:rFonts w:ascii="Palatino Linotype" w:eastAsiaTheme="minorEastAsia" w:hAnsi="Palatino Linotype" w:cs="Arial"/>
          <w:i/>
          <w:lang w:val="es-ES_tradnl"/>
        </w:rPr>
        <w:t xml:space="preserve"> </w:t>
      </w:r>
      <w:r w:rsidR="003C4A72" w:rsidRPr="00481B31">
        <w:rPr>
          <w:rFonts w:ascii="Palatino Linotype" w:eastAsiaTheme="minorEastAsia" w:hAnsi="Palatino Linotype" w:cs="Arial"/>
          <w:i/>
          <w:lang w:val="es-ES_tradnl"/>
        </w:rPr>
        <w:t>(…)”</w:t>
      </w:r>
    </w:p>
    <w:p w14:paraId="49F26A9D" w14:textId="656F4CAD" w:rsidR="003C4A72" w:rsidRPr="00481B31" w:rsidRDefault="003C4A72" w:rsidP="000C1184">
      <w:pPr>
        <w:spacing w:line="360" w:lineRule="auto"/>
        <w:ind w:left="709" w:right="709"/>
        <w:jc w:val="both"/>
        <w:rPr>
          <w:rFonts w:ascii="Palatino Linotype" w:eastAsiaTheme="minorEastAsia" w:hAnsi="Palatino Linotype" w:cs="Arial"/>
          <w:lang w:val="es-ES_tradnl" w:eastAsia="es-MX"/>
        </w:rPr>
      </w:pPr>
      <w:r w:rsidRPr="00481B31">
        <w:rPr>
          <w:rFonts w:ascii="Palatino Linotype" w:eastAsiaTheme="minorEastAsia" w:hAnsi="Palatino Linotype" w:cs="Arial"/>
          <w:lang w:val="es-ES_tradnl" w:eastAsia="es-MX"/>
        </w:rPr>
        <w:t>(Énfasis añadido)</w:t>
      </w:r>
    </w:p>
    <w:p w14:paraId="73F0DE60" w14:textId="77777777" w:rsidR="003C4A72" w:rsidRPr="00481B31" w:rsidRDefault="003C4A72" w:rsidP="000C1184">
      <w:pPr>
        <w:pStyle w:val="Prrafodelista"/>
        <w:spacing w:line="360" w:lineRule="auto"/>
        <w:rPr>
          <w:rFonts w:ascii="Palatino Linotype" w:eastAsia="Calibri" w:hAnsi="Palatino Linotype"/>
          <w:lang w:val="es-ES_tradnl"/>
        </w:rPr>
      </w:pPr>
    </w:p>
    <w:p w14:paraId="0633E68C" w14:textId="6A323732" w:rsidR="00E77205" w:rsidRPr="00481B31" w:rsidRDefault="00C548CF" w:rsidP="00E77205">
      <w:pPr>
        <w:pStyle w:val="Prrafodelista"/>
        <w:numPr>
          <w:ilvl w:val="0"/>
          <w:numId w:val="36"/>
        </w:numPr>
        <w:spacing w:before="240" w:after="360" w:line="360" w:lineRule="auto"/>
        <w:ind w:left="0" w:firstLine="0"/>
        <w:contextualSpacing/>
        <w:jc w:val="both"/>
        <w:rPr>
          <w:rFonts w:ascii="Palatino Linotype" w:eastAsia="Calibri" w:hAnsi="Palatino Linotype"/>
          <w:b/>
        </w:rPr>
      </w:pPr>
      <w:r w:rsidRPr="00481B31">
        <w:rPr>
          <w:rFonts w:ascii="Palatino Linotype" w:eastAsia="Calibri" w:hAnsi="Palatino Linotype"/>
          <w:lang w:val="es-ES_tradnl"/>
        </w:rPr>
        <w:t xml:space="preserve">Así, </w:t>
      </w:r>
      <w:r w:rsidR="00E77205" w:rsidRPr="00481B31">
        <w:rPr>
          <w:rFonts w:ascii="Palatino Linotype" w:hAnsi="Palatino Linotype"/>
        </w:rPr>
        <w:t xml:space="preserve">se debe resaltar que con las manifestaciones hechas valer por el Sujeto Obligado en su respuesta, proporcionada en el </w:t>
      </w:r>
      <w:r w:rsidR="00E77205" w:rsidRPr="00481B31">
        <w:rPr>
          <w:rFonts w:ascii="Palatino Linotype" w:hAnsi="Palatino Linotype"/>
          <w:b/>
        </w:rPr>
        <w:t>SAIMEX</w:t>
      </w:r>
      <w:r w:rsidR="00E77205" w:rsidRPr="00481B31">
        <w:rPr>
          <w:rFonts w:ascii="Palatino Linotype" w:hAnsi="Palatino Linotype"/>
        </w:rPr>
        <w:t xml:space="preserve">, éste no niega contar con la información solicitada por el recurrente, sino por el contrario, asume que la tiene al pretender reservarla por un periodo de cinco años. </w:t>
      </w:r>
    </w:p>
    <w:p w14:paraId="3CF180DC" w14:textId="77777777" w:rsidR="00E77205" w:rsidRPr="00481B31" w:rsidRDefault="00E77205" w:rsidP="00E77205">
      <w:pPr>
        <w:pStyle w:val="Prrafodelista"/>
        <w:spacing w:before="240" w:after="360" w:line="360" w:lineRule="auto"/>
        <w:ind w:left="0"/>
        <w:contextualSpacing/>
        <w:jc w:val="both"/>
        <w:rPr>
          <w:rFonts w:ascii="Palatino Linotype" w:eastAsia="Calibri" w:hAnsi="Palatino Linotype"/>
          <w:b/>
        </w:rPr>
      </w:pPr>
    </w:p>
    <w:p w14:paraId="237C5EC5" w14:textId="77777777" w:rsidR="00E77205" w:rsidRPr="00481B31" w:rsidRDefault="00E77205" w:rsidP="00E77205">
      <w:pPr>
        <w:pStyle w:val="Prrafodelista"/>
        <w:numPr>
          <w:ilvl w:val="0"/>
          <w:numId w:val="36"/>
        </w:numPr>
        <w:spacing w:before="240" w:after="360" w:line="360" w:lineRule="auto"/>
        <w:ind w:left="0" w:firstLine="0"/>
        <w:contextualSpacing/>
        <w:jc w:val="both"/>
        <w:rPr>
          <w:rFonts w:ascii="Palatino Linotype" w:eastAsia="Calibri" w:hAnsi="Palatino Linotype"/>
          <w:b/>
        </w:rPr>
      </w:pPr>
      <w:r w:rsidRPr="00481B31">
        <w:rPr>
          <w:rFonts w:ascii="Palatino Linotype" w:hAnsi="Palatino Linotype"/>
        </w:rPr>
        <w:t xml:space="preserve">Lo anterior es así, ya que el estudio enunciado tiene por objeto determinar si el Sujeto Obligado genera, posee o administra la información solicitada; sin embargo, en aquellos casos en que éste la asume, ello efectivamente está en su poder; </w:t>
      </w:r>
      <w:r w:rsidRPr="00481B31">
        <w:rPr>
          <w:rFonts w:ascii="Palatino Linotype" w:hAnsi="Palatino Linotype"/>
        </w:rPr>
        <w:lastRenderedPageBreak/>
        <w:t>por consiguiente, sería ocioso y a nada práctico nos conduciría su estudio, ya que se insiste, la información pública solicitada fue asumida por el Sujeto Obligado.</w:t>
      </w:r>
    </w:p>
    <w:p w14:paraId="0FA7667F" w14:textId="77777777" w:rsidR="00E77205" w:rsidRPr="00481B31" w:rsidRDefault="00E77205" w:rsidP="00E77205">
      <w:pPr>
        <w:pStyle w:val="Prrafodelista"/>
        <w:rPr>
          <w:rFonts w:ascii="Palatino Linotype" w:hAnsi="Palatino Linotype"/>
        </w:rPr>
      </w:pPr>
    </w:p>
    <w:p w14:paraId="59F454AC" w14:textId="77777777" w:rsidR="00E77205" w:rsidRPr="00481B31" w:rsidRDefault="00E77205" w:rsidP="00E77205">
      <w:pPr>
        <w:pStyle w:val="Prrafodelista"/>
        <w:numPr>
          <w:ilvl w:val="0"/>
          <w:numId w:val="36"/>
        </w:numPr>
        <w:spacing w:before="240" w:after="360" w:line="360" w:lineRule="auto"/>
        <w:ind w:left="0" w:firstLine="0"/>
        <w:contextualSpacing/>
        <w:jc w:val="both"/>
        <w:rPr>
          <w:rFonts w:ascii="Palatino Linotype" w:eastAsia="Calibri" w:hAnsi="Palatino Linotype"/>
          <w:b/>
        </w:rPr>
      </w:pPr>
      <w:r w:rsidRPr="00481B31">
        <w:rPr>
          <w:rFonts w:ascii="Palatino Linotype" w:hAnsi="Palatino Linotype"/>
        </w:rPr>
        <w:t xml:space="preserve"> A efecto de robustecer lo anterior, dado que el sujeto obligado manifestó que el Comité de Transparencia aprobó la clasificación de la información relativa al diferendo limítrofe del Municipio de Teoloyucan, Cuautitlán y Cuautitlán Izcalli, así como los documentos considerados como anexos, sirve de sustento el criterio orientador 29/10 emitido por el Instituto Nacional de Transparencia, Acceso a la Información y Protección de Datos Personales, INAI, el cual refiere lo siguiente:</w:t>
      </w:r>
    </w:p>
    <w:p w14:paraId="64E05D1F" w14:textId="77777777" w:rsidR="00E77205" w:rsidRPr="00481B31" w:rsidRDefault="00E77205" w:rsidP="00E77205">
      <w:pPr>
        <w:pStyle w:val="Prrafodelista"/>
        <w:rPr>
          <w:rFonts w:ascii="Palatino Linotype" w:hAnsi="Palatino Linotype"/>
        </w:rPr>
      </w:pPr>
    </w:p>
    <w:p w14:paraId="624FC987" w14:textId="77777777" w:rsidR="00E77205" w:rsidRPr="00481B31" w:rsidRDefault="00E77205" w:rsidP="00E77205">
      <w:pPr>
        <w:pStyle w:val="Prrafodelista"/>
        <w:spacing w:before="240" w:after="360" w:line="360" w:lineRule="auto"/>
        <w:ind w:left="567" w:right="616"/>
        <w:contextualSpacing/>
        <w:jc w:val="both"/>
        <w:rPr>
          <w:rFonts w:ascii="Palatino Linotype" w:hAnsi="Palatino Linotype"/>
          <w:i/>
        </w:rPr>
      </w:pPr>
      <w:r w:rsidRPr="00481B31">
        <w:rPr>
          <w:rFonts w:ascii="Palatino Linotype" w:hAnsi="Palatino Linotype"/>
          <w:i/>
        </w:rPr>
        <w:t xml:space="preserve"> “</w:t>
      </w:r>
      <w:r w:rsidRPr="00481B31">
        <w:rPr>
          <w:rFonts w:ascii="Palatino Linotype" w:hAnsi="Palatino Linotype"/>
          <w:b/>
          <w:i/>
        </w:rPr>
        <w:t>La clasificación y la inexistencia de información son conceptos que no pueden coexistir.</w:t>
      </w:r>
      <w:r w:rsidRPr="00481B31">
        <w:rPr>
          <w:rFonts w:ascii="Palatino Linotype" w:hAnsi="Palatino Linotype"/>
          <w:i/>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6DECE801" w14:textId="77777777" w:rsidR="00E77205" w:rsidRPr="00481B31" w:rsidRDefault="00E77205" w:rsidP="00E77205">
      <w:pPr>
        <w:pStyle w:val="Prrafodelista"/>
        <w:spacing w:before="240" w:after="360" w:line="360" w:lineRule="auto"/>
        <w:ind w:left="0"/>
        <w:contextualSpacing/>
        <w:jc w:val="both"/>
        <w:rPr>
          <w:rFonts w:ascii="Palatino Linotype" w:hAnsi="Palatino Linotype"/>
        </w:rPr>
      </w:pPr>
    </w:p>
    <w:p w14:paraId="348D620E" w14:textId="77777777" w:rsidR="00E77205" w:rsidRPr="00481B31" w:rsidRDefault="00E77205" w:rsidP="00E77205">
      <w:pPr>
        <w:pStyle w:val="Prrafodelista"/>
        <w:spacing w:before="240" w:after="360" w:line="360" w:lineRule="auto"/>
        <w:ind w:left="0"/>
        <w:contextualSpacing/>
        <w:jc w:val="both"/>
        <w:rPr>
          <w:rFonts w:ascii="Palatino Linotype" w:hAnsi="Palatino Linotype"/>
        </w:rPr>
      </w:pPr>
    </w:p>
    <w:p w14:paraId="7CE6334C" w14:textId="77777777" w:rsidR="00E77205" w:rsidRPr="00481B31" w:rsidRDefault="00E77205" w:rsidP="00E77205">
      <w:pPr>
        <w:pStyle w:val="Prrafodelista"/>
        <w:numPr>
          <w:ilvl w:val="0"/>
          <w:numId w:val="36"/>
        </w:numPr>
        <w:spacing w:before="240" w:after="360" w:line="360" w:lineRule="auto"/>
        <w:ind w:left="0" w:firstLine="0"/>
        <w:contextualSpacing/>
        <w:jc w:val="both"/>
        <w:rPr>
          <w:rFonts w:ascii="Palatino Linotype" w:eastAsia="Calibri" w:hAnsi="Palatino Linotype"/>
          <w:b/>
        </w:rPr>
      </w:pPr>
      <w:r w:rsidRPr="00481B31">
        <w:rPr>
          <w:rFonts w:ascii="Palatino Linotype" w:hAnsi="Palatino Linotype"/>
        </w:rPr>
        <w:t xml:space="preserve"> De esta manera, se procede al análisis de la información proporcionada por el Sujeto Obligado, a efecto de determinar si es suficiente para tener por colmado el derecho de acceso a la información de la parte recurrente.</w:t>
      </w:r>
    </w:p>
    <w:p w14:paraId="20A3BBF8" w14:textId="77777777" w:rsidR="00E77205" w:rsidRPr="00481B31" w:rsidRDefault="00E77205" w:rsidP="00E77205">
      <w:pPr>
        <w:pStyle w:val="Prrafodelista"/>
        <w:spacing w:before="240" w:after="360" w:line="360" w:lineRule="auto"/>
        <w:ind w:left="0"/>
        <w:contextualSpacing/>
        <w:jc w:val="both"/>
        <w:rPr>
          <w:rFonts w:ascii="Palatino Linotype" w:eastAsia="Calibri" w:hAnsi="Palatino Linotype"/>
          <w:b/>
        </w:rPr>
      </w:pPr>
    </w:p>
    <w:p w14:paraId="1984E9C4" w14:textId="77777777" w:rsidR="00E77205" w:rsidRPr="00481B31" w:rsidRDefault="00E77205" w:rsidP="00E77205">
      <w:pPr>
        <w:pStyle w:val="Prrafodelista"/>
        <w:numPr>
          <w:ilvl w:val="0"/>
          <w:numId w:val="36"/>
        </w:numPr>
        <w:spacing w:before="240" w:after="360" w:line="360" w:lineRule="auto"/>
        <w:ind w:left="0" w:firstLine="0"/>
        <w:contextualSpacing/>
        <w:jc w:val="both"/>
        <w:rPr>
          <w:rFonts w:ascii="Palatino Linotype" w:eastAsia="Calibri" w:hAnsi="Palatino Linotype"/>
          <w:b/>
        </w:rPr>
      </w:pPr>
      <w:r w:rsidRPr="00481B31">
        <w:rPr>
          <w:rFonts w:ascii="Palatino Linotype" w:hAnsi="Palatino Linotype"/>
        </w:rPr>
        <w:t>Así, primer lugar, es conveniente señalar en primera instancia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A24CCBE" w14:textId="77777777" w:rsidR="00E77205" w:rsidRPr="00481B31" w:rsidRDefault="00E77205" w:rsidP="00E77205">
      <w:pPr>
        <w:pStyle w:val="Prrafodelista"/>
        <w:rPr>
          <w:rFonts w:ascii="Palatino Linotype" w:hAnsi="Palatino Linotype"/>
        </w:rPr>
      </w:pPr>
    </w:p>
    <w:p w14:paraId="2F28AB71" w14:textId="77777777" w:rsidR="00E77205" w:rsidRPr="00481B31" w:rsidRDefault="00E77205" w:rsidP="00E77205">
      <w:pPr>
        <w:pStyle w:val="Prrafodelista"/>
        <w:spacing w:before="240" w:after="360" w:line="360" w:lineRule="auto"/>
        <w:ind w:left="567" w:right="616"/>
        <w:contextualSpacing/>
        <w:jc w:val="both"/>
        <w:rPr>
          <w:rFonts w:ascii="Palatino Linotype" w:hAnsi="Palatino Linotype"/>
          <w:i/>
        </w:rPr>
      </w:pPr>
      <w:r w:rsidRPr="00481B31">
        <w:rPr>
          <w:rFonts w:ascii="Palatino Linotype" w:hAnsi="Palatino Linotype"/>
        </w:rPr>
        <w:t xml:space="preserve"> </w:t>
      </w:r>
      <w:r w:rsidRPr="00481B31">
        <w:rPr>
          <w:rFonts w:ascii="Palatino Linotype" w:hAnsi="Palatino Linotype"/>
          <w:i/>
        </w:rPr>
        <w:t>“</w:t>
      </w:r>
      <w:r w:rsidRPr="00481B31">
        <w:rPr>
          <w:rFonts w:ascii="Palatino Linotype" w:hAnsi="Palatino Linotype"/>
          <w:b/>
          <w:i/>
        </w:rPr>
        <w:t>Artículo 4.</w:t>
      </w:r>
      <w:r w:rsidRPr="00481B31">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w:t>
      </w:r>
      <w:r w:rsidRPr="00481B31">
        <w:rPr>
          <w:rFonts w:ascii="Palatino Linotype" w:hAnsi="Palatino Linotype"/>
          <w:i/>
        </w:rPr>
        <w:lastRenderedPageBreak/>
        <w:t>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(Sic)</w:t>
      </w:r>
    </w:p>
    <w:p w14:paraId="7E818421" w14:textId="77777777" w:rsidR="00E77205" w:rsidRPr="00481B31" w:rsidRDefault="00E77205" w:rsidP="00E77205">
      <w:pPr>
        <w:pStyle w:val="Prrafodelista"/>
        <w:spacing w:before="240" w:after="360" w:line="360" w:lineRule="auto"/>
        <w:ind w:left="567" w:right="616"/>
        <w:contextualSpacing/>
        <w:jc w:val="both"/>
        <w:rPr>
          <w:rFonts w:ascii="Palatino Linotype" w:hAnsi="Palatino Linotype"/>
          <w:i/>
        </w:rPr>
      </w:pPr>
    </w:p>
    <w:p w14:paraId="0F2BB3A8" w14:textId="7017F717" w:rsidR="00E77205" w:rsidRPr="00481B31" w:rsidRDefault="00E77205" w:rsidP="00E77205">
      <w:pPr>
        <w:pStyle w:val="Prrafodelista"/>
        <w:numPr>
          <w:ilvl w:val="0"/>
          <w:numId w:val="36"/>
        </w:numPr>
        <w:spacing w:before="240" w:after="360" w:line="360" w:lineRule="auto"/>
        <w:ind w:left="0" w:right="616" w:firstLine="0"/>
        <w:contextualSpacing/>
        <w:jc w:val="both"/>
        <w:rPr>
          <w:rFonts w:ascii="Palatino Linotype" w:eastAsia="Calibri" w:hAnsi="Palatino Linotype"/>
          <w:b/>
        </w:rPr>
      </w:pPr>
      <w:r w:rsidRPr="00481B31">
        <w:rPr>
          <w:rFonts w:ascii="Palatino Linotype" w:hAnsi="Palatino Linotype"/>
        </w:rPr>
        <w:t xml:space="preserve"> 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1A97F526" w14:textId="77777777" w:rsidR="00E77205" w:rsidRPr="00481B31" w:rsidRDefault="00E77205" w:rsidP="00E77205">
      <w:pPr>
        <w:pStyle w:val="Prrafodelista"/>
        <w:spacing w:before="240" w:after="360" w:line="360" w:lineRule="auto"/>
        <w:ind w:left="0"/>
        <w:contextualSpacing/>
        <w:jc w:val="both"/>
        <w:rPr>
          <w:rFonts w:ascii="Palatino Linotype" w:eastAsia="Calibri" w:hAnsi="Palatino Linotype"/>
          <w:b/>
        </w:rPr>
      </w:pPr>
    </w:p>
    <w:p w14:paraId="0C295999" w14:textId="77777777" w:rsidR="00E77205" w:rsidRPr="00481B31" w:rsidRDefault="00E77205" w:rsidP="00E77205">
      <w:pPr>
        <w:pStyle w:val="Prrafodelista"/>
        <w:spacing w:before="240" w:after="360" w:line="360" w:lineRule="auto"/>
        <w:ind w:left="567" w:right="616"/>
        <w:contextualSpacing/>
        <w:jc w:val="both"/>
        <w:rPr>
          <w:rFonts w:ascii="Palatino Linotype" w:hAnsi="Palatino Linotype"/>
          <w:i/>
        </w:rPr>
      </w:pPr>
      <w:r w:rsidRPr="00481B31">
        <w:rPr>
          <w:rFonts w:ascii="Palatino Linotype" w:hAnsi="Palatino Linotype"/>
          <w:i/>
        </w:rPr>
        <w:t>“</w:t>
      </w:r>
      <w:r w:rsidRPr="00481B31">
        <w:rPr>
          <w:rFonts w:ascii="Palatino Linotype" w:hAnsi="Palatino Linotype"/>
          <w:b/>
          <w:i/>
        </w:rPr>
        <w:t>Artículo12.-</w:t>
      </w:r>
      <w:r w:rsidRPr="00481B31">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 </w:t>
      </w:r>
    </w:p>
    <w:p w14:paraId="39BC5E83" w14:textId="77777777" w:rsidR="00E77205" w:rsidRPr="00481B31" w:rsidRDefault="00E77205" w:rsidP="00E77205">
      <w:pPr>
        <w:pStyle w:val="Prrafodelista"/>
        <w:spacing w:before="240" w:after="360" w:line="360" w:lineRule="auto"/>
        <w:ind w:left="0"/>
        <w:contextualSpacing/>
        <w:jc w:val="both"/>
        <w:rPr>
          <w:rFonts w:ascii="Palatino Linotype" w:hAnsi="Palatino Linotype"/>
        </w:rPr>
      </w:pPr>
    </w:p>
    <w:p w14:paraId="2C004333" w14:textId="77777777" w:rsidR="00E77205" w:rsidRPr="00481B31" w:rsidRDefault="00E77205" w:rsidP="00E77205">
      <w:pPr>
        <w:pStyle w:val="Prrafodelista"/>
        <w:numPr>
          <w:ilvl w:val="0"/>
          <w:numId w:val="36"/>
        </w:numPr>
        <w:spacing w:before="240" w:after="360" w:line="360" w:lineRule="auto"/>
        <w:ind w:left="0" w:firstLine="0"/>
        <w:contextualSpacing/>
        <w:jc w:val="both"/>
        <w:rPr>
          <w:rFonts w:ascii="Palatino Linotype" w:eastAsia="Calibri" w:hAnsi="Palatino Linotype"/>
          <w:b/>
        </w:rPr>
      </w:pPr>
      <w:r w:rsidRPr="00481B31">
        <w:rPr>
          <w:rFonts w:ascii="Palatino Linotype" w:hAnsi="Palatino Linotype"/>
        </w:rPr>
        <w:t xml:space="preserve">Es decir, todo Sujeto Obligado que genere, recopile, administre, procese, archive, posea o conserve información es responsables de la misma, teniendo a su </w:t>
      </w:r>
      <w:r w:rsidRPr="00481B31">
        <w:rPr>
          <w:rFonts w:ascii="Palatino Linotype" w:hAnsi="Palatino Linotype"/>
        </w:rPr>
        <w:lastRenderedPageBreak/>
        <w:t>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w:t>
      </w:r>
      <w:r w:rsidRPr="00481B31">
        <w:rPr>
          <w:rFonts w:ascii="Palatino Linotype" w:eastAsia="Calibri" w:hAnsi="Palatino Linotype"/>
          <w:b/>
        </w:rPr>
        <w:t xml:space="preserve"> </w:t>
      </w:r>
      <w:r w:rsidRPr="00481B31">
        <w:rPr>
          <w:rFonts w:ascii="Palatino Linotype" w:hAnsi="Palatino Linotype"/>
        </w:rPr>
        <w:t xml:space="preserve">Sirve de apoyo a lo anterior, el criterio 03-17, expuesto por el Instituto Nacional de Transparencia, Acceso a la Información y Protección de Datos Personales, que dice: </w:t>
      </w:r>
    </w:p>
    <w:p w14:paraId="342C0882" w14:textId="77777777" w:rsidR="00E77205" w:rsidRPr="00481B31" w:rsidRDefault="00E77205" w:rsidP="00E77205">
      <w:pPr>
        <w:pStyle w:val="Prrafodelista"/>
        <w:spacing w:before="240" w:after="360" w:line="360" w:lineRule="auto"/>
        <w:ind w:left="0"/>
        <w:contextualSpacing/>
        <w:jc w:val="both"/>
        <w:rPr>
          <w:rFonts w:ascii="Palatino Linotype" w:eastAsia="Calibri" w:hAnsi="Palatino Linotype"/>
          <w:b/>
        </w:rPr>
      </w:pPr>
    </w:p>
    <w:p w14:paraId="184F2278" w14:textId="77777777" w:rsidR="00E77205" w:rsidRPr="00481B31" w:rsidRDefault="00E77205" w:rsidP="00E77205">
      <w:pPr>
        <w:pStyle w:val="Prrafodelista"/>
        <w:spacing w:before="240" w:after="360" w:line="360" w:lineRule="auto"/>
        <w:ind w:left="0"/>
        <w:contextualSpacing/>
        <w:jc w:val="both"/>
        <w:rPr>
          <w:rFonts w:ascii="Palatino Linotype" w:eastAsia="Calibri" w:hAnsi="Palatino Linotype"/>
          <w:b/>
        </w:rPr>
      </w:pPr>
    </w:p>
    <w:p w14:paraId="1325CF69" w14:textId="77777777" w:rsidR="00E77205" w:rsidRPr="00481B31" w:rsidRDefault="00E77205" w:rsidP="00E77205">
      <w:pPr>
        <w:pStyle w:val="Prrafodelista"/>
        <w:spacing w:before="240" w:after="360" w:line="360" w:lineRule="auto"/>
        <w:ind w:left="567" w:right="616"/>
        <w:contextualSpacing/>
        <w:jc w:val="both"/>
        <w:rPr>
          <w:rFonts w:ascii="Palatino Linotype" w:hAnsi="Palatino Linotype"/>
          <w:i/>
        </w:rPr>
      </w:pPr>
      <w:r w:rsidRPr="00481B31">
        <w:rPr>
          <w:rFonts w:ascii="Palatino Linotype" w:hAnsi="Palatino Linotype"/>
          <w:b/>
          <w:i/>
        </w:rPr>
        <w:t>“No existe obligación de elaborar documentos ad hoc para atender las solicitudes de acceso a la información.</w:t>
      </w:r>
      <w:r w:rsidRPr="00481B31">
        <w:rPr>
          <w:rFonts w:ascii="Palatino Linotype" w:hAnsi="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debengarantizar el derecho de acceso a la información del particular, proporcionando la información con la que cuentan en el formato en que la misma obre en sus archivos; sin necesidad de elaborar documentos ad hoc para atender las solicitudes de información. </w:t>
      </w:r>
    </w:p>
    <w:p w14:paraId="626F2384" w14:textId="2C929ECD" w:rsidR="00E77205" w:rsidRPr="00481B31" w:rsidRDefault="00E77205" w:rsidP="00E77205">
      <w:pPr>
        <w:pStyle w:val="Prrafodelista"/>
        <w:spacing w:before="240" w:after="360" w:line="360" w:lineRule="auto"/>
        <w:ind w:left="567" w:right="616"/>
        <w:contextualSpacing/>
        <w:jc w:val="both"/>
        <w:rPr>
          <w:rFonts w:ascii="Palatino Linotype" w:eastAsia="Calibri" w:hAnsi="Palatino Linotype"/>
          <w:b/>
          <w:i/>
        </w:rPr>
      </w:pPr>
      <w:r w:rsidRPr="00481B31">
        <w:rPr>
          <w:rFonts w:ascii="Palatino Linotype" w:hAnsi="Palatino Linotype"/>
          <w:i/>
        </w:rPr>
        <w:t xml:space="preserve">Resoluciones: </w:t>
      </w:r>
      <w:r w:rsidRPr="00481B31">
        <w:rPr>
          <w:rFonts w:ascii="Palatino Linotype" w:hAnsi="Palatino Linotype"/>
          <w:i/>
        </w:rPr>
        <w:sym w:font="Symbol" w:char="F0B7"/>
      </w:r>
      <w:r w:rsidRPr="00481B31">
        <w:rPr>
          <w:rFonts w:ascii="Palatino Linotype" w:hAnsi="Palatino Linotype"/>
          <w:i/>
        </w:rPr>
        <w:t xml:space="preserve"> RRA 0050/16. Instituto Nacional para la Evaluación de la Educación. 13 julio de 2016. Por unanimidad. Comisionado Ponente: Francisco Javier Acuña Llamas. </w:t>
      </w:r>
      <w:r w:rsidRPr="00481B31">
        <w:rPr>
          <w:rFonts w:ascii="Palatino Linotype" w:hAnsi="Palatino Linotype"/>
          <w:i/>
        </w:rPr>
        <w:sym w:font="Symbol" w:char="F0B7"/>
      </w:r>
      <w:r w:rsidRPr="00481B31">
        <w:rPr>
          <w:rFonts w:ascii="Palatino Linotype" w:hAnsi="Palatino Linotype"/>
          <w:i/>
        </w:rPr>
        <w:t xml:space="preserve"> RRA 0310/16. Instituto Nacional de Transparencia, Acceso a la Información y Protección de Datos Personales. 10 de agosto de 2016. </w:t>
      </w:r>
      <w:r w:rsidRPr="00481B31">
        <w:rPr>
          <w:rFonts w:ascii="Palatino Linotype" w:hAnsi="Palatino Linotype"/>
          <w:i/>
        </w:rPr>
        <w:lastRenderedPageBreak/>
        <w:t xml:space="preserve">Por unanimidad. Comisionada Ponente. Areli Cano Guadiana. </w:t>
      </w:r>
      <w:r w:rsidRPr="00481B31">
        <w:rPr>
          <w:rFonts w:ascii="Palatino Linotype" w:hAnsi="Palatino Linotype"/>
          <w:i/>
        </w:rPr>
        <w:sym w:font="Symbol" w:char="F0B7"/>
      </w:r>
      <w:r w:rsidRPr="00481B31">
        <w:rPr>
          <w:rFonts w:ascii="Palatino Linotype" w:hAnsi="Palatino Linotype"/>
          <w:i/>
        </w:rPr>
        <w:t xml:space="preserve"> RRA 1889/16. Secretaría de Hacienda y Crédito Público. 05 de octubre de 2016. Por unanimidad. Comisionada Ponente. Ximena Puente de la Mora.”</w:t>
      </w:r>
    </w:p>
    <w:p w14:paraId="52A4605C" w14:textId="77777777" w:rsidR="00E77205" w:rsidRPr="00481B31" w:rsidRDefault="00E77205" w:rsidP="00E77205">
      <w:pPr>
        <w:pStyle w:val="Prrafodelista"/>
        <w:spacing w:before="240" w:after="360" w:line="360" w:lineRule="auto"/>
        <w:ind w:left="0"/>
        <w:contextualSpacing/>
        <w:jc w:val="both"/>
        <w:rPr>
          <w:rFonts w:ascii="Palatino Linotype" w:eastAsia="Calibri" w:hAnsi="Palatino Linotype"/>
          <w:b/>
        </w:rPr>
      </w:pPr>
    </w:p>
    <w:p w14:paraId="1CBEA3BF" w14:textId="77777777" w:rsidR="00AD1C7C" w:rsidRPr="00481B31" w:rsidRDefault="00E77205" w:rsidP="00AD1C7C">
      <w:pPr>
        <w:pStyle w:val="Prrafodelista"/>
        <w:numPr>
          <w:ilvl w:val="0"/>
          <w:numId w:val="36"/>
        </w:numPr>
        <w:spacing w:before="240" w:after="360" w:line="360" w:lineRule="auto"/>
        <w:ind w:left="0" w:firstLine="0"/>
        <w:contextualSpacing/>
        <w:jc w:val="both"/>
        <w:rPr>
          <w:rFonts w:ascii="Palatino Linotype" w:eastAsia="Calibri" w:hAnsi="Palatino Linotype"/>
          <w:b/>
        </w:rPr>
      </w:pPr>
      <w:r w:rsidRPr="00481B31">
        <w:rPr>
          <w:rFonts w:ascii="Palatino Linotype" w:hAnsi="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 </w:t>
      </w:r>
    </w:p>
    <w:p w14:paraId="4850D153" w14:textId="77777777" w:rsidR="00AD1C7C" w:rsidRPr="00481B31" w:rsidRDefault="00AD1C7C" w:rsidP="00AD1C7C">
      <w:pPr>
        <w:pStyle w:val="Prrafodelista"/>
        <w:spacing w:before="240" w:after="360" w:line="360" w:lineRule="auto"/>
        <w:ind w:left="0"/>
        <w:contextualSpacing/>
        <w:jc w:val="both"/>
        <w:rPr>
          <w:rFonts w:ascii="Palatino Linotype" w:eastAsia="Calibri" w:hAnsi="Palatino Linotype"/>
          <w:b/>
        </w:rPr>
      </w:pPr>
    </w:p>
    <w:p w14:paraId="5B98E34B" w14:textId="77777777" w:rsidR="00AD1C7C" w:rsidRPr="00481B31" w:rsidRDefault="00E77205" w:rsidP="00AD1C7C">
      <w:pPr>
        <w:pStyle w:val="Prrafodelista"/>
        <w:numPr>
          <w:ilvl w:val="0"/>
          <w:numId w:val="36"/>
        </w:numPr>
        <w:spacing w:before="240" w:after="360" w:line="360" w:lineRule="auto"/>
        <w:ind w:left="0" w:firstLine="0"/>
        <w:contextualSpacing/>
        <w:jc w:val="both"/>
        <w:rPr>
          <w:rFonts w:ascii="Palatino Linotype" w:eastAsia="Calibri" w:hAnsi="Palatino Linotype"/>
          <w:b/>
        </w:rPr>
      </w:pPr>
      <w:r w:rsidRPr="00481B31">
        <w:rPr>
          <w:rFonts w:ascii="Palatino Linotype" w:hAnsi="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E8DEBA6" w14:textId="77777777" w:rsidR="00AD1C7C" w:rsidRPr="00481B31" w:rsidRDefault="00AD1C7C" w:rsidP="00AD1C7C">
      <w:pPr>
        <w:pStyle w:val="Prrafodelista"/>
        <w:rPr>
          <w:rFonts w:ascii="Palatino Linotype" w:hAnsi="Palatino Linotype"/>
        </w:rPr>
      </w:pPr>
    </w:p>
    <w:p w14:paraId="46848071" w14:textId="77777777" w:rsidR="00AD1C7C" w:rsidRPr="00481B31" w:rsidRDefault="00AD1C7C" w:rsidP="00AD1C7C">
      <w:pPr>
        <w:pStyle w:val="Prrafodelista"/>
        <w:numPr>
          <w:ilvl w:val="0"/>
          <w:numId w:val="36"/>
        </w:numPr>
        <w:spacing w:before="240" w:after="360" w:line="360" w:lineRule="auto"/>
        <w:ind w:left="0" w:firstLine="0"/>
        <w:contextualSpacing/>
        <w:jc w:val="both"/>
        <w:rPr>
          <w:rFonts w:ascii="Palatino Linotype" w:eastAsia="Calibri" w:hAnsi="Palatino Linotype"/>
          <w:b/>
        </w:rPr>
      </w:pPr>
      <w:r w:rsidRPr="00481B31">
        <w:rPr>
          <w:rFonts w:ascii="Palatino Linotype" w:hAnsi="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481B31">
        <w:rPr>
          <w:rFonts w:ascii="Palatino Linotype" w:hAnsi="Palatino Linotype"/>
        </w:rPr>
        <w:lastRenderedPageBreak/>
        <w:t xml:space="preserve">podrán estar en cualquier medio, sea escrito, impreso, sonoro, visual, electrónico, informático u holográfico de conformidad con el artículo 3, fracción XI de la Ley de la materia, el cual señala lo siguiente: </w:t>
      </w:r>
    </w:p>
    <w:p w14:paraId="13780AA3" w14:textId="77777777" w:rsidR="00AD1C7C" w:rsidRPr="00481B31" w:rsidRDefault="00AD1C7C" w:rsidP="00AD1C7C">
      <w:pPr>
        <w:pStyle w:val="Prrafodelista"/>
        <w:rPr>
          <w:rFonts w:ascii="Palatino Linotype" w:hAnsi="Palatino Linotype"/>
        </w:rPr>
      </w:pPr>
    </w:p>
    <w:p w14:paraId="5F7B4A06" w14:textId="644057E0" w:rsidR="00AD1C7C" w:rsidRPr="00481B31" w:rsidRDefault="00AD1C7C" w:rsidP="00AD1C7C">
      <w:pPr>
        <w:pStyle w:val="Prrafodelista"/>
        <w:spacing w:before="240" w:after="360" w:line="360" w:lineRule="auto"/>
        <w:ind w:left="567" w:right="616"/>
        <w:contextualSpacing/>
        <w:jc w:val="both"/>
        <w:rPr>
          <w:rFonts w:ascii="Palatino Linotype" w:hAnsi="Palatino Linotype"/>
          <w:i/>
        </w:rPr>
      </w:pPr>
      <w:r w:rsidRPr="00481B31">
        <w:rPr>
          <w:rFonts w:ascii="Palatino Linotype" w:hAnsi="Palatino Linotype"/>
          <w:i/>
        </w:rPr>
        <w:t>“</w:t>
      </w:r>
      <w:r w:rsidRPr="00481B31">
        <w:rPr>
          <w:rFonts w:ascii="Palatino Linotype" w:hAnsi="Palatino Linotype"/>
          <w:b/>
          <w:i/>
        </w:rPr>
        <w:t>Artículo 3</w:t>
      </w:r>
      <w:r w:rsidRPr="00481B31">
        <w:rPr>
          <w:rFonts w:ascii="Palatino Linotype" w:hAnsi="Palatino Linotype"/>
          <w:i/>
        </w:rPr>
        <w:t>. Para los efectos de la presente Ley se entenderá por: … 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7C4F379" w14:textId="77777777" w:rsidR="00AD1C7C" w:rsidRPr="00481B31" w:rsidRDefault="00AD1C7C" w:rsidP="00AD1C7C">
      <w:pPr>
        <w:pStyle w:val="Prrafodelista"/>
        <w:spacing w:before="240" w:after="360" w:line="360" w:lineRule="auto"/>
        <w:ind w:left="567" w:right="616"/>
        <w:contextualSpacing/>
        <w:jc w:val="both"/>
        <w:rPr>
          <w:rFonts w:ascii="Palatino Linotype" w:eastAsia="Calibri" w:hAnsi="Palatino Linotype"/>
          <w:b/>
          <w:i/>
        </w:rPr>
      </w:pPr>
    </w:p>
    <w:p w14:paraId="17D39F19" w14:textId="06866F79" w:rsidR="00AD1C7C" w:rsidRPr="00481B31" w:rsidRDefault="00AD1C7C" w:rsidP="00AD1C7C">
      <w:pPr>
        <w:pStyle w:val="Prrafodelista"/>
        <w:numPr>
          <w:ilvl w:val="0"/>
          <w:numId w:val="36"/>
        </w:numPr>
        <w:spacing w:before="240" w:after="360" w:line="360" w:lineRule="auto"/>
        <w:ind w:left="0" w:firstLine="0"/>
        <w:contextualSpacing/>
        <w:jc w:val="both"/>
        <w:rPr>
          <w:rFonts w:ascii="Palatino Linotype" w:eastAsia="Calibri" w:hAnsi="Palatino Linotype"/>
          <w:b/>
        </w:rPr>
      </w:pPr>
      <w:r w:rsidRPr="00481B31">
        <w:rPr>
          <w:rFonts w:ascii="Palatino Linotype" w:hAnsi="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261B4B8" w14:textId="77777777" w:rsidR="00AD1C7C" w:rsidRPr="00481B31" w:rsidRDefault="00AD1C7C" w:rsidP="00AD1C7C">
      <w:pPr>
        <w:pStyle w:val="Prrafodelista"/>
        <w:spacing w:before="240" w:after="360" w:line="360" w:lineRule="auto"/>
        <w:ind w:left="0"/>
        <w:contextualSpacing/>
        <w:jc w:val="both"/>
        <w:rPr>
          <w:rFonts w:ascii="Palatino Linotype" w:eastAsia="Calibri" w:hAnsi="Palatino Linotype"/>
          <w:b/>
        </w:rPr>
      </w:pPr>
    </w:p>
    <w:p w14:paraId="29BD2640" w14:textId="77777777" w:rsidR="00AD1C7C" w:rsidRPr="00481B31" w:rsidRDefault="00AD1C7C" w:rsidP="00AD1C7C">
      <w:pPr>
        <w:pStyle w:val="Prrafodelista"/>
        <w:spacing w:before="240" w:after="360" w:line="360" w:lineRule="auto"/>
        <w:ind w:left="0"/>
        <w:contextualSpacing/>
        <w:jc w:val="both"/>
        <w:rPr>
          <w:rFonts w:ascii="Palatino Linotype" w:eastAsia="Calibri" w:hAnsi="Palatino Linotype"/>
          <w:b/>
        </w:rPr>
      </w:pPr>
    </w:p>
    <w:p w14:paraId="58712F0E" w14:textId="45DE547C" w:rsidR="00AD1C7C" w:rsidRPr="00481B31" w:rsidRDefault="00AD1C7C" w:rsidP="00AD1C7C">
      <w:pPr>
        <w:pStyle w:val="Prrafodelista"/>
        <w:spacing w:before="240" w:after="360" w:line="360" w:lineRule="auto"/>
        <w:ind w:left="567" w:right="616"/>
        <w:contextualSpacing/>
        <w:jc w:val="both"/>
        <w:rPr>
          <w:rFonts w:ascii="Palatino Linotype" w:eastAsia="Calibri" w:hAnsi="Palatino Linotype"/>
          <w:b/>
          <w:i/>
        </w:rPr>
      </w:pPr>
      <w:r w:rsidRPr="00481B31">
        <w:rPr>
          <w:rFonts w:ascii="Palatino Linotype" w:eastAsia="Calibri" w:hAnsi="Palatino Linotype"/>
          <w:b/>
          <w:i/>
        </w:rPr>
        <w:t xml:space="preserve">“CRITERIO 0002-11 INFORMACIÓN PÚBLICA, CONCEPTO DE, EN MATERIA DE TRANSPARENCIA. INTERPRETACIÓN SISTEMÁTICA DE LOS ARTÍCULOS 2°, FRACCIÓN V, XV, Y XVI, 3°, 4°, 11 Y 41. </w:t>
      </w:r>
      <w:r w:rsidRPr="00481B31">
        <w:rPr>
          <w:rFonts w:ascii="Palatino Linotype" w:eastAsia="Calibri" w:hAnsi="Palatino Linotype"/>
          <w:i/>
        </w:rPr>
        <w:t xml:space="preserve">De </w:t>
      </w:r>
      <w:r w:rsidRPr="00481B31">
        <w:rPr>
          <w:rFonts w:ascii="Palatino Linotype" w:eastAsia="Calibri" w:hAnsi="Palatino Linotype"/>
          <w:i/>
        </w:rPr>
        <w:lastRenderedPageBreak/>
        <w:t>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r w:rsidRPr="00481B31">
        <w:rPr>
          <w:rFonts w:ascii="Palatino Linotype" w:eastAsia="Calibri" w:hAnsi="Palatino Linotype"/>
          <w:b/>
          <w:i/>
        </w:rPr>
        <w:t>.”</w:t>
      </w:r>
    </w:p>
    <w:p w14:paraId="389F8C55" w14:textId="77777777" w:rsidR="00AD1C7C" w:rsidRPr="00481B31" w:rsidRDefault="00AD1C7C" w:rsidP="00AD1C7C">
      <w:pPr>
        <w:pStyle w:val="Prrafodelista"/>
        <w:spacing w:before="240" w:after="360" w:line="360" w:lineRule="auto"/>
        <w:ind w:left="0"/>
        <w:contextualSpacing/>
        <w:jc w:val="both"/>
        <w:rPr>
          <w:rFonts w:ascii="Palatino Linotype" w:eastAsia="Calibri" w:hAnsi="Palatino Linotype"/>
          <w:b/>
        </w:rPr>
      </w:pPr>
    </w:p>
    <w:p w14:paraId="48727199" w14:textId="77777777" w:rsidR="00AD1C7C" w:rsidRPr="00481B31" w:rsidRDefault="00AD1C7C" w:rsidP="00AD1C7C">
      <w:pPr>
        <w:pStyle w:val="Prrafodelista"/>
        <w:numPr>
          <w:ilvl w:val="0"/>
          <w:numId w:val="36"/>
        </w:numPr>
        <w:spacing w:before="240" w:after="360" w:line="360" w:lineRule="auto"/>
        <w:ind w:left="0" w:firstLine="0"/>
        <w:contextualSpacing/>
        <w:jc w:val="both"/>
        <w:rPr>
          <w:rFonts w:ascii="Palatino Linotype" w:eastAsia="Calibri" w:hAnsi="Palatino Linotype"/>
          <w:b/>
        </w:rPr>
      </w:pPr>
      <w:r w:rsidRPr="00481B31">
        <w:rPr>
          <w:rFonts w:ascii="Palatino Linotype" w:hAnsi="Palatino Linotype"/>
        </w:rPr>
        <w:t>Con base en lo precedente, se determina que la información emitida por el Sujeto Obligado en su respuesta no cumple con lo establecido por los artículos 4, 12 y 24 último párrafo de la Ley de Transparencia y Acceso a la Información Pública del Estado de México y Municipios.</w:t>
      </w:r>
    </w:p>
    <w:p w14:paraId="7752495B" w14:textId="77777777" w:rsidR="00AD1C7C" w:rsidRPr="00481B31" w:rsidRDefault="00AD1C7C" w:rsidP="00AD1C7C">
      <w:pPr>
        <w:pStyle w:val="Prrafodelista"/>
        <w:spacing w:before="240" w:after="360" w:line="360" w:lineRule="auto"/>
        <w:ind w:left="0"/>
        <w:contextualSpacing/>
        <w:jc w:val="both"/>
        <w:rPr>
          <w:rFonts w:ascii="Palatino Linotype" w:eastAsia="Calibri" w:hAnsi="Palatino Linotype"/>
          <w:b/>
        </w:rPr>
      </w:pPr>
    </w:p>
    <w:p w14:paraId="1BDD69C4" w14:textId="77777777" w:rsidR="00481B31" w:rsidRPr="00481B31" w:rsidRDefault="00AD1C7C" w:rsidP="00481B31">
      <w:pPr>
        <w:pStyle w:val="Prrafodelista"/>
        <w:numPr>
          <w:ilvl w:val="0"/>
          <w:numId w:val="36"/>
        </w:numPr>
        <w:spacing w:before="240" w:after="360" w:line="360" w:lineRule="auto"/>
        <w:ind w:left="0" w:firstLine="0"/>
        <w:contextualSpacing/>
        <w:jc w:val="both"/>
        <w:rPr>
          <w:rFonts w:ascii="Palatino Linotype" w:eastAsia="Calibri" w:hAnsi="Palatino Linotype"/>
          <w:b/>
        </w:rPr>
      </w:pPr>
      <w:r w:rsidRPr="00481B31">
        <w:rPr>
          <w:rFonts w:ascii="Palatino Linotype" w:hAnsi="Palatino Linotype"/>
        </w:rPr>
        <w:t xml:space="preserve"> En segundo lugar, es importante 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w:t>
      </w:r>
      <w:r w:rsidRPr="00481B31">
        <w:rPr>
          <w:rFonts w:ascii="Palatino Linotype" w:hAnsi="Palatino Linotype"/>
        </w:rPr>
        <w:lastRenderedPageBreak/>
        <w:t>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w:t>
      </w:r>
      <w:r w:rsidRPr="00481B31">
        <w:rPr>
          <w:rFonts w:ascii="Palatino Linotype" w:eastAsia="Calibri" w:hAnsi="Palatino Linotype"/>
          <w:b/>
        </w:rPr>
        <w:t xml:space="preserve"> </w:t>
      </w:r>
      <w:r w:rsidRPr="00481B31">
        <w:rPr>
          <w:rFonts w:ascii="Palatino Linotype" w:hAnsi="Palatino Linotype"/>
        </w:rPr>
        <w:t>previstas en la Constitución Federal por interés público y seguridad, en los términos que fijen las leyes de la materia.</w:t>
      </w:r>
    </w:p>
    <w:p w14:paraId="6707996A" w14:textId="77777777" w:rsidR="00481B31" w:rsidRPr="00481B31" w:rsidRDefault="00481B31" w:rsidP="00481B31">
      <w:pPr>
        <w:pStyle w:val="Prrafodelista"/>
        <w:rPr>
          <w:rFonts w:ascii="Palatino Linotype" w:hAnsi="Palatino Linotype"/>
        </w:rPr>
      </w:pPr>
    </w:p>
    <w:p w14:paraId="6E77695B" w14:textId="232FA0BD" w:rsidR="00481B31" w:rsidRPr="00481B31" w:rsidRDefault="00481B31" w:rsidP="00481B31">
      <w:pPr>
        <w:pStyle w:val="Prrafodelista"/>
        <w:numPr>
          <w:ilvl w:val="0"/>
          <w:numId w:val="36"/>
        </w:numPr>
        <w:spacing w:before="240" w:after="360" w:line="360" w:lineRule="auto"/>
        <w:ind w:left="0" w:firstLine="0"/>
        <w:contextualSpacing/>
        <w:jc w:val="both"/>
        <w:rPr>
          <w:rFonts w:ascii="Palatino Linotype" w:eastAsia="Calibri" w:hAnsi="Palatino Linotype"/>
          <w:b/>
        </w:rPr>
      </w:pPr>
      <w:r w:rsidRPr="00481B31">
        <w:rPr>
          <w:rFonts w:ascii="Palatino Linotype" w:hAnsi="Palatino Linotype"/>
        </w:rPr>
        <w:t xml:space="preserve">Luego entonces, al ser el diferendo limítrofe un proceso legal como en el punto anterior, es información susceptible de ser clasificada hasta en tanto haya causado estado el procedimiento de solución del diferendo limítrofe, que de acuerdo al </w:t>
      </w:r>
      <w:r w:rsidRPr="00481B31">
        <w:rPr>
          <w:rFonts w:ascii="Palatino Linotype" w:hAnsi="Palatino Linotype"/>
          <w:b/>
        </w:rPr>
        <w:t>Procedimiento para la solución de Diferendos Limítrofes Intermunicipales</w:t>
      </w:r>
      <w:r w:rsidRPr="00481B31">
        <w:rPr>
          <w:rFonts w:ascii="Palatino Linotype" w:hAnsi="Palatino Linotype"/>
        </w:rPr>
        <w:t xml:space="preserve"> establecido en los artículos 40 al 52 de la Ley Reglamentaria de las Fracciones XXV y XXVI del Artículo 61 de la Constitución Política del Estado Libre y Soberano de México, el expediente contiene las siguientes documentales: </w:t>
      </w:r>
      <w:r w:rsidRPr="00481B31">
        <w:rPr>
          <w:rFonts w:ascii="Palatino Linotype" w:hAnsi="Palatino Linotype"/>
          <w:b/>
        </w:rPr>
        <w:t>acuerdos, puntos de vista, argumentos, pruebas, desahogo de pruebas, dictámenes técnicos, informes, aclaraciones, diligencias probatorias, etc</w:t>
      </w:r>
      <w:r w:rsidRPr="00481B31">
        <w:rPr>
          <w:rFonts w:ascii="Palatino Linotype" w:hAnsi="Palatino Linotype"/>
        </w:rPr>
        <w:t>.</w:t>
      </w:r>
    </w:p>
    <w:p w14:paraId="399E3BAC" w14:textId="77777777" w:rsidR="00481B31" w:rsidRPr="00481B31" w:rsidRDefault="00481B31" w:rsidP="00481B31">
      <w:pPr>
        <w:pStyle w:val="Prrafodelista"/>
        <w:rPr>
          <w:rFonts w:ascii="Palatino Linotype" w:eastAsia="Calibri" w:hAnsi="Palatino Linotype"/>
          <w:b/>
        </w:rPr>
      </w:pPr>
    </w:p>
    <w:p w14:paraId="753627B5" w14:textId="77777777" w:rsidR="00481B31" w:rsidRPr="00481B31" w:rsidRDefault="00481B31" w:rsidP="00481B31">
      <w:pPr>
        <w:pStyle w:val="Prrafodelista"/>
        <w:spacing w:before="240" w:after="360" w:line="360" w:lineRule="auto"/>
        <w:ind w:left="0"/>
        <w:contextualSpacing/>
        <w:jc w:val="both"/>
        <w:rPr>
          <w:rFonts w:ascii="Palatino Linotype" w:eastAsia="Calibri" w:hAnsi="Palatino Linotype"/>
          <w:b/>
        </w:rPr>
      </w:pPr>
    </w:p>
    <w:p w14:paraId="100FBE81" w14:textId="44F9BF64" w:rsidR="00481B31" w:rsidRPr="00481B31" w:rsidRDefault="00481B31" w:rsidP="00481B31">
      <w:pPr>
        <w:pStyle w:val="Prrafodelista"/>
        <w:numPr>
          <w:ilvl w:val="0"/>
          <w:numId w:val="36"/>
        </w:numPr>
        <w:spacing w:line="360" w:lineRule="auto"/>
        <w:ind w:left="0" w:firstLine="0"/>
        <w:contextualSpacing/>
        <w:jc w:val="both"/>
        <w:rPr>
          <w:rFonts w:ascii="Palatino Linotype" w:hAnsi="Palatino Linotype"/>
        </w:rPr>
      </w:pPr>
      <w:r w:rsidRPr="00481B31">
        <w:rPr>
          <w:rFonts w:ascii="Palatino Linotype" w:hAnsi="Palatino Linotype"/>
        </w:rPr>
        <w:t>Por lo que dicho soporte documental no puede ser entregado hasta en tanto no se emita una resolución de la Legislatura que ponga fin a los conflictos; toda vez que dicha resolución ya no admite medios de impugnación de conformidad con el artículo 57 de la Ley Reglamentaria de las Fracciones XXV y XXVI del Artículo 61 de la Constitución Política del Estado Libre y Soberano de México, a saber:</w:t>
      </w:r>
    </w:p>
    <w:p w14:paraId="470C183B" w14:textId="77777777" w:rsidR="00481B31" w:rsidRPr="00481B31" w:rsidRDefault="00481B31" w:rsidP="00481B31">
      <w:pPr>
        <w:pStyle w:val="Prrafodelista"/>
        <w:spacing w:line="360" w:lineRule="auto"/>
        <w:rPr>
          <w:rFonts w:ascii="Palatino Linotype" w:hAnsi="Palatino Linotype"/>
        </w:rPr>
      </w:pPr>
    </w:p>
    <w:p w14:paraId="360A6035" w14:textId="77777777" w:rsidR="00481B31" w:rsidRPr="00481B31" w:rsidRDefault="00481B31" w:rsidP="00481B31">
      <w:pPr>
        <w:spacing w:line="360" w:lineRule="auto"/>
        <w:ind w:left="567" w:right="474"/>
        <w:contextualSpacing/>
        <w:jc w:val="both"/>
        <w:rPr>
          <w:rFonts w:ascii="Palatino Linotype" w:hAnsi="Palatino Linotype"/>
          <w:i/>
        </w:rPr>
      </w:pPr>
      <w:r w:rsidRPr="00481B31">
        <w:rPr>
          <w:rFonts w:ascii="Palatino Linotype" w:hAnsi="Palatino Linotype"/>
          <w:i/>
        </w:rPr>
        <w:lastRenderedPageBreak/>
        <w:t>“</w:t>
      </w:r>
      <w:r w:rsidRPr="00481B31">
        <w:rPr>
          <w:rFonts w:ascii="Palatino Linotype" w:hAnsi="Palatino Linotype"/>
          <w:b/>
          <w:i/>
        </w:rPr>
        <w:t>Artículo 57.-</w:t>
      </w:r>
      <w:r w:rsidRPr="00481B31">
        <w:rPr>
          <w:rFonts w:ascii="Palatino Linotype" w:hAnsi="Palatino Linotype"/>
          <w:i/>
        </w:rPr>
        <w:t xml:space="preserve"> Las resoluciones de la Legislatura, por las que se ponga fin a los diferendos de límites intermunicipales y los convenios que sean aprobados por ésta no admitirán recurso o medio de defensa legal alguno.”</w:t>
      </w:r>
    </w:p>
    <w:p w14:paraId="4719A3C0" w14:textId="77777777" w:rsidR="00481B31" w:rsidRPr="00481B31" w:rsidRDefault="00481B31" w:rsidP="00481B31">
      <w:pPr>
        <w:spacing w:line="360" w:lineRule="auto"/>
        <w:contextualSpacing/>
        <w:jc w:val="both"/>
        <w:rPr>
          <w:rFonts w:ascii="Palatino Linotype" w:hAnsi="Palatino Linotype"/>
        </w:rPr>
      </w:pPr>
    </w:p>
    <w:p w14:paraId="3DABD611"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No obstante la Suprema Corte de Justicia de la Nación podrá conocer a través de controversia constitucional, a instancia de parte interesada. Así las cosas, al igual que el caso anterior, se colige que se trata de información reservada aquella que vulnere la conducción de los expedientes judiciales o de los procedimientos administrativos seguidos en forma de juicio, en tanto no hayan quedado firmes. </w:t>
      </w:r>
    </w:p>
    <w:p w14:paraId="04401170" w14:textId="77777777" w:rsidR="00481B31" w:rsidRPr="00481B31" w:rsidRDefault="00481B31" w:rsidP="00481B31">
      <w:pPr>
        <w:pStyle w:val="Prrafodelista"/>
        <w:spacing w:line="360" w:lineRule="auto"/>
        <w:ind w:left="360" w:right="34"/>
        <w:jc w:val="both"/>
        <w:rPr>
          <w:rFonts w:ascii="Palatino Linotype" w:hAnsi="Palatino Linotype"/>
        </w:rPr>
      </w:pPr>
    </w:p>
    <w:p w14:paraId="28E99F33" w14:textId="33B17C06"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Sin embargo, dada la propia y especial naturaleza de lo requerido, es necesario acreditar el daño de la divulgación, por lo que se procede a desarrollar la prueba de daño con la finalidad, de determinar si la información, es susceptible de ser reservada o en su caso, es información de</w:t>
      </w:r>
      <w:r>
        <w:rPr>
          <w:rFonts w:ascii="Palatino Linotype" w:hAnsi="Palatino Linotype"/>
        </w:rPr>
        <w:t xml:space="preserve"> naturaleza pública, así el artículo 140 de la Ley de Transparencia establece: </w:t>
      </w:r>
    </w:p>
    <w:p w14:paraId="258D3322" w14:textId="77777777" w:rsidR="00481B31" w:rsidRPr="00481B31" w:rsidRDefault="00481B31" w:rsidP="00481B31">
      <w:pPr>
        <w:spacing w:line="360" w:lineRule="auto"/>
        <w:jc w:val="both"/>
        <w:rPr>
          <w:rFonts w:ascii="Palatino Linotype" w:hAnsi="Palatino Linotype"/>
        </w:rPr>
      </w:pPr>
    </w:p>
    <w:p w14:paraId="5DDEAE73" w14:textId="193112FF"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t>“</w:t>
      </w:r>
      <w:r w:rsidRPr="00481B31">
        <w:rPr>
          <w:rFonts w:ascii="Palatino Linotype" w:eastAsia="Calibri" w:hAnsi="Palatino Linotype" w:cs="Tahoma"/>
          <w:b/>
          <w:bCs/>
          <w:i/>
          <w:iCs/>
          <w:color w:val="000000"/>
          <w:lang w:eastAsia="es-ES_tradnl"/>
        </w:rPr>
        <w:t>Artículo 140.</w:t>
      </w:r>
      <w:r w:rsidRPr="00481B31">
        <w:rPr>
          <w:rFonts w:ascii="Palatino Linotype" w:eastAsia="Calibri" w:hAnsi="Palatino Linotype" w:cs="Tahoma"/>
          <w:bCs/>
          <w:i/>
          <w:iCs/>
          <w:color w:val="000000"/>
          <w:lang w:eastAsia="es-ES_tradnl"/>
        </w:rPr>
        <w:t xml:space="preserve"> El acceso a la información pública será restringido excepcionalmente, cuando por</w:t>
      </w:r>
      <w:r>
        <w:rPr>
          <w:rFonts w:ascii="Palatino Linotype" w:eastAsia="Calibri" w:hAnsi="Palatino Linotype" w:cs="Tahoma"/>
          <w:bCs/>
          <w:i/>
          <w:iCs/>
          <w:color w:val="000000"/>
          <w:lang w:eastAsia="es-ES_tradnl"/>
        </w:rPr>
        <w:t xml:space="preserve"> </w:t>
      </w:r>
      <w:r w:rsidRPr="00481B31">
        <w:rPr>
          <w:rFonts w:ascii="Palatino Linotype" w:eastAsia="Calibri" w:hAnsi="Palatino Linotype" w:cs="Tahoma"/>
          <w:bCs/>
          <w:i/>
          <w:iCs/>
          <w:color w:val="000000"/>
          <w:lang w:eastAsia="es-ES_tradnl"/>
        </w:rPr>
        <w:t>razones de interés público, ésta sea clasificada como reservada, conforme a los criterios siguientes:</w:t>
      </w:r>
    </w:p>
    <w:p w14:paraId="42D76BE9"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t>…</w:t>
      </w:r>
    </w:p>
    <w:p w14:paraId="0AB27983" w14:textId="77777777" w:rsid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t>VIII. Vulnere la conducción de los expedientes judiciales o de los procedimientos administrativos seguidos en forma de juicio, en tanto no hayan quedado firmes;</w:t>
      </w:r>
    </w:p>
    <w:p w14:paraId="321BE8C6" w14:textId="77777777" w:rsidR="00481B31" w:rsidRDefault="00481B31" w:rsidP="00481B31">
      <w:pPr>
        <w:spacing w:line="360" w:lineRule="auto"/>
        <w:ind w:left="567" w:right="539"/>
        <w:jc w:val="both"/>
        <w:rPr>
          <w:rFonts w:ascii="Palatino Linotype" w:eastAsia="Calibri" w:hAnsi="Palatino Linotype" w:cs="Tahoma"/>
          <w:bCs/>
          <w:i/>
          <w:iCs/>
          <w:color w:val="000000"/>
          <w:lang w:eastAsia="es-ES_tradnl"/>
        </w:rPr>
      </w:pPr>
    </w:p>
    <w:p w14:paraId="5D53A654" w14:textId="3DDA2703" w:rsid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Pr>
          <w:rFonts w:ascii="Palatino Linotype" w:eastAsia="Calibri" w:hAnsi="Palatino Linotype" w:cs="Tahoma"/>
          <w:bCs/>
          <w:i/>
          <w:iCs/>
          <w:color w:val="000000"/>
          <w:lang w:eastAsia="es-ES_tradnl"/>
        </w:rPr>
        <w:t>(….)</w:t>
      </w:r>
      <w:r w:rsidRPr="00481B31">
        <w:rPr>
          <w:rFonts w:ascii="Palatino Linotype" w:eastAsia="Calibri" w:hAnsi="Palatino Linotype" w:cs="Tahoma"/>
          <w:bCs/>
          <w:i/>
          <w:iCs/>
          <w:color w:val="000000"/>
          <w:lang w:eastAsia="es-ES_tradnl"/>
        </w:rPr>
        <w:t>”</w:t>
      </w:r>
    </w:p>
    <w:p w14:paraId="75EF4DA6"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p>
    <w:p w14:paraId="6D20D8CD"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lastRenderedPageBreak/>
        <w:t>En este sentido, la única causal, que se ajustaría atendiendo a la naturaleza de la información, sería la fracción VIII, del artículo 140 de la Ley de Transparencia Local ya transcrita, con su supuesto homólogo en el artículo 113, de la Ley de fracción XI, de la Ley General de Transparencia y Acceso a la Información Pública, que establece:</w:t>
      </w:r>
    </w:p>
    <w:p w14:paraId="202A2D15" w14:textId="77777777" w:rsidR="00481B31" w:rsidRPr="00481B31" w:rsidRDefault="00481B31" w:rsidP="00481B31">
      <w:pPr>
        <w:spacing w:line="360" w:lineRule="auto"/>
        <w:jc w:val="both"/>
        <w:rPr>
          <w:rFonts w:ascii="Palatino Linotype" w:hAnsi="Palatino Linotype"/>
        </w:rPr>
      </w:pPr>
    </w:p>
    <w:p w14:paraId="0D1034CE"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t>“</w:t>
      </w:r>
      <w:r w:rsidRPr="00481B31">
        <w:rPr>
          <w:rFonts w:ascii="Palatino Linotype" w:eastAsia="Calibri" w:hAnsi="Palatino Linotype" w:cs="Tahoma"/>
          <w:b/>
          <w:bCs/>
          <w:i/>
          <w:iCs/>
          <w:color w:val="000000"/>
          <w:lang w:eastAsia="es-ES_tradnl"/>
        </w:rPr>
        <w:t>Artículo 113.</w:t>
      </w:r>
      <w:r w:rsidRPr="00481B31">
        <w:rPr>
          <w:rFonts w:ascii="Palatino Linotype" w:eastAsia="Calibri" w:hAnsi="Palatino Linotype" w:cs="Tahoma"/>
          <w:bCs/>
          <w:i/>
          <w:iCs/>
          <w:color w:val="000000"/>
          <w:lang w:eastAsia="es-ES_tradnl"/>
        </w:rPr>
        <w:t xml:space="preserve"> Como información reservada podrá clasificarse aquella cuya publicación:</w:t>
      </w:r>
    </w:p>
    <w:p w14:paraId="41C682D3" w14:textId="2379B756"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Pr>
          <w:rFonts w:ascii="Palatino Linotype" w:eastAsia="Calibri" w:hAnsi="Palatino Linotype" w:cs="Tahoma"/>
          <w:bCs/>
          <w:i/>
          <w:iCs/>
          <w:color w:val="000000"/>
          <w:lang w:eastAsia="es-ES_tradnl"/>
        </w:rPr>
        <w:t>(</w:t>
      </w:r>
      <w:r w:rsidRPr="00481B31">
        <w:rPr>
          <w:rFonts w:ascii="Palatino Linotype" w:eastAsia="Calibri" w:hAnsi="Palatino Linotype" w:cs="Tahoma"/>
          <w:bCs/>
          <w:i/>
          <w:iCs/>
          <w:color w:val="000000"/>
          <w:lang w:eastAsia="es-ES_tradnl"/>
        </w:rPr>
        <w:t>…</w:t>
      </w:r>
      <w:r>
        <w:rPr>
          <w:rFonts w:ascii="Palatino Linotype" w:eastAsia="Calibri" w:hAnsi="Palatino Linotype" w:cs="Tahoma"/>
          <w:bCs/>
          <w:i/>
          <w:iCs/>
          <w:color w:val="000000"/>
          <w:lang w:eastAsia="es-ES_tradnl"/>
        </w:rPr>
        <w:t>)</w:t>
      </w:r>
    </w:p>
    <w:p w14:paraId="0F7B1C23" w14:textId="77777777" w:rsid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t>XI. Vulnere la conducción de los Expedientes judiciales o de los procedimientos administrativos seguidos en forma de juicio, en tanto no hayan causado estado;</w:t>
      </w:r>
    </w:p>
    <w:p w14:paraId="459F956D" w14:textId="7550A6F6"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Pr>
          <w:rFonts w:ascii="Palatino Linotype" w:eastAsia="Calibri" w:hAnsi="Palatino Linotype" w:cs="Tahoma"/>
          <w:bCs/>
          <w:i/>
          <w:iCs/>
          <w:color w:val="000000"/>
          <w:lang w:eastAsia="es-ES_tradnl"/>
        </w:rPr>
        <w:t>(…)</w:t>
      </w:r>
      <w:r w:rsidRPr="00481B31">
        <w:rPr>
          <w:rFonts w:ascii="Palatino Linotype" w:eastAsia="Calibri" w:hAnsi="Palatino Linotype" w:cs="Tahoma"/>
          <w:bCs/>
          <w:i/>
          <w:iCs/>
          <w:color w:val="000000"/>
          <w:lang w:eastAsia="es-ES_tradnl"/>
        </w:rPr>
        <w:t>”</w:t>
      </w:r>
    </w:p>
    <w:p w14:paraId="16345D07" w14:textId="77777777" w:rsidR="00481B31" w:rsidRPr="00481B31" w:rsidRDefault="00481B31" w:rsidP="00481B31">
      <w:pPr>
        <w:spacing w:line="360" w:lineRule="auto"/>
        <w:jc w:val="both"/>
        <w:rPr>
          <w:rFonts w:ascii="Palatino Linotype" w:hAnsi="Palatino Linotype"/>
        </w:rPr>
      </w:pPr>
    </w:p>
    <w:p w14:paraId="71E194A1"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Ahora bien, es procedente desarrollar, a la luz de esta causal, lo contemplado en el artículo 129, de la Ley de Transparencia vigente en la entidad:</w:t>
      </w:r>
    </w:p>
    <w:p w14:paraId="760FE271" w14:textId="77777777" w:rsidR="00481B31" w:rsidRPr="00481B31" w:rsidRDefault="00481B31" w:rsidP="00481B31">
      <w:pPr>
        <w:spacing w:line="360" w:lineRule="auto"/>
        <w:jc w:val="both"/>
        <w:rPr>
          <w:rFonts w:ascii="Palatino Linotype" w:hAnsi="Palatino Linotype"/>
        </w:rPr>
      </w:pPr>
    </w:p>
    <w:p w14:paraId="5A6EEFED" w14:textId="77777777" w:rsidR="00481B31" w:rsidRPr="00481B31" w:rsidRDefault="00481B31" w:rsidP="00481B31">
      <w:pPr>
        <w:spacing w:line="360" w:lineRule="auto"/>
        <w:ind w:left="567" w:right="616"/>
        <w:jc w:val="both"/>
        <w:rPr>
          <w:rFonts w:ascii="Palatino Linotype" w:hAnsi="Palatino Linotype"/>
          <w:b/>
          <w:bCs/>
        </w:rPr>
      </w:pPr>
      <w:r w:rsidRPr="00481B31">
        <w:rPr>
          <w:rFonts w:ascii="Palatino Linotype" w:hAnsi="Palatino Linotype"/>
          <w:b/>
          <w:bCs/>
        </w:rPr>
        <w:t>I. La divulgación de la información representa un riesgo real, demostrable e identificable del perjuicio significativo al interés público o a la seguridad pública;</w:t>
      </w:r>
    </w:p>
    <w:p w14:paraId="6CF74012" w14:textId="77777777" w:rsidR="00481B31" w:rsidRPr="00481B31" w:rsidRDefault="00481B31" w:rsidP="00481B31">
      <w:pPr>
        <w:spacing w:line="360" w:lineRule="auto"/>
        <w:ind w:left="567" w:right="616"/>
        <w:jc w:val="both"/>
        <w:rPr>
          <w:rFonts w:ascii="Palatino Linotype" w:hAnsi="Palatino Linotype"/>
        </w:rPr>
      </w:pPr>
    </w:p>
    <w:p w14:paraId="6461DEBC" w14:textId="77777777" w:rsidR="00481B31" w:rsidRDefault="00481B31" w:rsidP="00481B31">
      <w:pPr>
        <w:spacing w:line="360" w:lineRule="auto"/>
        <w:ind w:left="567" w:right="616"/>
        <w:jc w:val="both"/>
        <w:rPr>
          <w:rFonts w:ascii="Palatino Linotype" w:hAnsi="Palatino Linotype"/>
        </w:rPr>
      </w:pPr>
      <w:r w:rsidRPr="00481B31">
        <w:rPr>
          <w:rFonts w:ascii="Palatino Linotype" w:hAnsi="Palatino Linotype"/>
        </w:rPr>
        <w:t xml:space="preserve">Sobre este punto, podría generar afectación, la divulgación de los elementos de prueba que sirvan en su caso para acreditar los alcances de las pretensiones de los Ayuntamientos involucrados, sin embargo, este periodo feneció el 22 de marzo del año en curso por lo cual, no es acreditable el riesgo real, de igual manera no es demostrable atendiendo </w:t>
      </w:r>
      <w:r w:rsidRPr="00481B31">
        <w:rPr>
          <w:rFonts w:ascii="Palatino Linotype" w:hAnsi="Palatino Linotype"/>
        </w:rPr>
        <w:lastRenderedPageBreak/>
        <w:t>a que ese punto, debe ser soportado por elementos que tenga el Sujeto Obligado, lo cual, no acontece en la especie e identificable, únicamente se advierte la posible afectación al momento de exhibir y desahogar las pruebas, pero ambos periodos, ya fenecieron, atendiendo a la fuente normativa.</w:t>
      </w:r>
    </w:p>
    <w:p w14:paraId="7027A00E" w14:textId="77777777" w:rsidR="00481B31" w:rsidRPr="00481B31" w:rsidRDefault="00481B31" w:rsidP="00481B31">
      <w:pPr>
        <w:spacing w:line="360" w:lineRule="auto"/>
        <w:ind w:left="567" w:right="616"/>
        <w:jc w:val="both"/>
        <w:rPr>
          <w:rFonts w:ascii="Palatino Linotype" w:hAnsi="Palatino Linotype"/>
        </w:rPr>
      </w:pPr>
    </w:p>
    <w:p w14:paraId="19AAB73A" w14:textId="77777777" w:rsidR="00481B31" w:rsidRPr="00481B31" w:rsidRDefault="00481B31" w:rsidP="00481B31">
      <w:pPr>
        <w:spacing w:line="360" w:lineRule="auto"/>
        <w:ind w:left="567" w:right="616"/>
        <w:jc w:val="both"/>
        <w:rPr>
          <w:rFonts w:ascii="Palatino Linotype" w:hAnsi="Palatino Linotype"/>
          <w:b/>
          <w:bCs/>
        </w:rPr>
      </w:pPr>
      <w:r w:rsidRPr="00481B31">
        <w:rPr>
          <w:rFonts w:ascii="Palatino Linotype" w:hAnsi="Palatino Linotype"/>
          <w:b/>
          <w:bCs/>
        </w:rPr>
        <w:t xml:space="preserve">II. El riesgo de perjuicio que supondría la divulgación supera el interés público general de que se difunda; y </w:t>
      </w:r>
    </w:p>
    <w:p w14:paraId="4543F93F" w14:textId="77777777" w:rsidR="00481B31" w:rsidRPr="00481B31" w:rsidRDefault="00481B31" w:rsidP="00481B31">
      <w:pPr>
        <w:spacing w:line="360" w:lineRule="auto"/>
        <w:ind w:left="567" w:right="616"/>
        <w:jc w:val="both"/>
        <w:rPr>
          <w:rFonts w:ascii="Palatino Linotype" w:hAnsi="Palatino Linotype"/>
        </w:rPr>
      </w:pPr>
    </w:p>
    <w:p w14:paraId="5BBDC32C" w14:textId="77777777" w:rsidR="00481B31" w:rsidRPr="00481B31" w:rsidRDefault="00481B31" w:rsidP="00481B31">
      <w:pPr>
        <w:spacing w:line="360" w:lineRule="auto"/>
        <w:ind w:left="567" w:right="616"/>
        <w:jc w:val="both"/>
        <w:rPr>
          <w:rFonts w:ascii="Palatino Linotype" w:hAnsi="Palatino Linotype"/>
        </w:rPr>
      </w:pPr>
      <w:r w:rsidRPr="00481B31">
        <w:rPr>
          <w:rFonts w:ascii="Palatino Linotype" w:hAnsi="Palatino Linotype"/>
        </w:rPr>
        <w:t>Aquí iniciamos estableciendo que la publicidad de esta información, al relacionarse no solo con bienes de dominio público, sino que inciden de manera específica en el patrimonio de ciudadanos, es natural que exista un gran interés de conocer esta información y en contraposición, el mayor daño que se identifica en supuesto catastrófico y considerando elementos ajenos al proceso, como podrían ser la participación de actores externos, que modifiquen la decisión del Poder Legislativo, sería afectar los patrimonios municipales, sin embargo, en este caso, al ser una decisión estatal (legislatura), que no impacta de manera negativa en los derechos humanos de los ciudadanos sino en el de entidades gubernamentales, no se acredita que el daño, supere al interés de conocer la información por parte de la población. Asimismo, tampoco se logra identificar la forma en la cual, la divulgación de la información, podría afectar al procedimiento administrativo, menos aún una vez que ya se cerró la etapa de instrucción, esto atendiendo a las temporalidades establecidas en las leyes aplicables.</w:t>
      </w:r>
    </w:p>
    <w:p w14:paraId="19F54E4C" w14:textId="77777777" w:rsidR="00481B31" w:rsidRPr="00481B31" w:rsidRDefault="00481B31" w:rsidP="00481B31">
      <w:pPr>
        <w:spacing w:line="360" w:lineRule="auto"/>
        <w:ind w:left="567" w:right="616"/>
        <w:jc w:val="both"/>
        <w:rPr>
          <w:rFonts w:ascii="Palatino Linotype" w:hAnsi="Palatino Linotype"/>
        </w:rPr>
      </w:pPr>
    </w:p>
    <w:p w14:paraId="72C96EE1" w14:textId="77777777" w:rsidR="00481B31" w:rsidRPr="00481B31" w:rsidRDefault="00481B31" w:rsidP="00481B31">
      <w:pPr>
        <w:spacing w:line="360" w:lineRule="auto"/>
        <w:ind w:left="567" w:right="616"/>
        <w:jc w:val="both"/>
        <w:rPr>
          <w:rFonts w:ascii="Palatino Linotype" w:hAnsi="Palatino Linotype"/>
        </w:rPr>
      </w:pPr>
      <w:r w:rsidRPr="00481B31">
        <w:rPr>
          <w:rFonts w:ascii="Palatino Linotype" w:hAnsi="Palatino Linotype"/>
          <w:b/>
          <w:bCs/>
        </w:rPr>
        <w:t>III. La limitación se adecua al principio de proporcionalidad y representa el medio menos restrictivo disponible representa el medio menos restrictivo disponible para evitar el perjuicio.</w:t>
      </w:r>
    </w:p>
    <w:p w14:paraId="34AFB390" w14:textId="77777777" w:rsidR="00481B31" w:rsidRPr="00481B31" w:rsidRDefault="00481B31" w:rsidP="00481B31">
      <w:pPr>
        <w:spacing w:line="360" w:lineRule="auto"/>
        <w:ind w:left="567" w:right="616"/>
        <w:jc w:val="both"/>
        <w:rPr>
          <w:rFonts w:ascii="Palatino Linotype" w:hAnsi="Palatino Linotype"/>
        </w:rPr>
      </w:pPr>
    </w:p>
    <w:p w14:paraId="53885EAC" w14:textId="77777777" w:rsidR="00481B31" w:rsidRPr="00481B31" w:rsidRDefault="00481B31" w:rsidP="00481B31">
      <w:pPr>
        <w:spacing w:line="360" w:lineRule="auto"/>
        <w:ind w:left="567" w:right="616"/>
        <w:jc w:val="both"/>
        <w:rPr>
          <w:rFonts w:ascii="Palatino Linotype" w:hAnsi="Palatino Linotype"/>
        </w:rPr>
      </w:pPr>
      <w:r w:rsidRPr="00481B31">
        <w:rPr>
          <w:rFonts w:ascii="Palatino Linotype" w:hAnsi="Palatino Linotype"/>
        </w:rPr>
        <w:t>Al respecto, al haber restringido el completo acceso a la información, es el medio más restrictivo existente, lo que se contrapone con lo que ya es publicado por la propia Legislatura y por los medios de comunicación, entonces, el municipio, está restringiendo la información, incluso más de lo que lo hace la Legislatura, que es el Poder que resuelve.</w:t>
      </w:r>
    </w:p>
    <w:p w14:paraId="31A4D1A4" w14:textId="77777777" w:rsidR="00481B31" w:rsidRPr="00481B31" w:rsidRDefault="00481B31" w:rsidP="00481B31">
      <w:pPr>
        <w:spacing w:line="360" w:lineRule="auto"/>
        <w:jc w:val="both"/>
        <w:rPr>
          <w:rFonts w:ascii="Palatino Linotype" w:hAnsi="Palatino Linotype"/>
        </w:rPr>
      </w:pPr>
    </w:p>
    <w:p w14:paraId="1B0B3C4C"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b/>
          <w:bCs/>
        </w:rPr>
      </w:pPr>
      <w:r w:rsidRPr="00481B31">
        <w:rPr>
          <w:rFonts w:ascii="Palatino Linotype" w:hAnsi="Palatino Linotype"/>
        </w:rPr>
        <w:t>Ahora bien, una vez que se identificó que no se acreditó la prueba de daño en términos del artículo 129 de la Ley en cita, es procedente traer a colación, lo contemplado en el Lineamiento Trigésimo de los Lineamientos Generales en Materia de Clasificación y Desclasificación de la Información, así como para la Elaboración de Versiones Públicas, lineamiento que permite reservar la información siempre y cuando se acrediten los siguientes elementos:</w:t>
      </w:r>
    </w:p>
    <w:p w14:paraId="19150089" w14:textId="77777777" w:rsidR="00481B31" w:rsidRPr="00481B31" w:rsidRDefault="00481B31" w:rsidP="00481B31">
      <w:pPr>
        <w:spacing w:line="360" w:lineRule="auto"/>
        <w:ind w:left="567" w:right="616"/>
        <w:jc w:val="both"/>
        <w:rPr>
          <w:rFonts w:ascii="Palatino Linotype" w:hAnsi="Palatino Linotype"/>
          <w:b/>
          <w:bCs/>
        </w:rPr>
      </w:pPr>
    </w:p>
    <w:p w14:paraId="55C241D7" w14:textId="14796C11" w:rsidR="00481B31" w:rsidRDefault="00481B31" w:rsidP="00481B31">
      <w:pPr>
        <w:spacing w:line="360" w:lineRule="auto"/>
        <w:ind w:left="567" w:right="616"/>
        <w:jc w:val="both"/>
        <w:rPr>
          <w:rFonts w:ascii="Palatino Linotype" w:hAnsi="Palatino Linotype"/>
          <w:b/>
          <w:bCs/>
        </w:rPr>
      </w:pPr>
      <w:r w:rsidRPr="00481B31">
        <w:rPr>
          <w:rFonts w:ascii="Palatino Linotype" w:hAnsi="Palatino Linotype"/>
          <w:b/>
          <w:bCs/>
        </w:rPr>
        <w:t>I.        La existencia de un juicio o procedimiento administrativo materialmente jurisdiccional</w:t>
      </w:r>
      <w:r w:rsidR="00A24A04">
        <w:rPr>
          <w:rFonts w:ascii="Palatino Linotype" w:hAnsi="Palatino Linotype"/>
          <w:b/>
          <w:bCs/>
        </w:rPr>
        <w:t>, que se encuentre en trámite.</w:t>
      </w:r>
    </w:p>
    <w:p w14:paraId="1F68D9D4" w14:textId="77777777" w:rsidR="00A24A04" w:rsidRPr="00481B31" w:rsidRDefault="00A24A04" w:rsidP="00481B31">
      <w:pPr>
        <w:spacing w:line="360" w:lineRule="auto"/>
        <w:ind w:left="567" w:right="616"/>
        <w:jc w:val="both"/>
        <w:rPr>
          <w:rFonts w:ascii="Palatino Linotype" w:hAnsi="Palatino Linotype"/>
          <w:b/>
          <w:bCs/>
        </w:rPr>
      </w:pPr>
    </w:p>
    <w:p w14:paraId="1864A62E" w14:textId="595D854E" w:rsidR="00481B31" w:rsidRPr="00481B31" w:rsidRDefault="00481B31" w:rsidP="00481B31">
      <w:pPr>
        <w:spacing w:line="360" w:lineRule="auto"/>
        <w:ind w:left="567" w:right="616"/>
        <w:jc w:val="both"/>
        <w:rPr>
          <w:rFonts w:ascii="Palatino Linotype" w:hAnsi="Palatino Linotype"/>
        </w:rPr>
      </w:pPr>
      <w:r w:rsidRPr="00481B31">
        <w:rPr>
          <w:rFonts w:ascii="Palatino Linotype" w:hAnsi="Palatino Linotype"/>
        </w:rPr>
        <w:t xml:space="preserve">Este punto se acredita, pues es formalmente administrativo y materialmente judicial, la Legislatura, dirime el conflicto territorial entre las partes que son los Ayuntamientos de Teoloyucan, Cuautitlán y Cuautitlán Izcalli para determinar los límites de estos Municipios; </w:t>
      </w:r>
      <w:r w:rsidRPr="00481B31">
        <w:rPr>
          <w:rFonts w:ascii="Palatino Linotype" w:hAnsi="Palatino Linotype"/>
        </w:rPr>
        <w:lastRenderedPageBreak/>
        <w:t>cumple con las formalidades propias de un juicio, al existir una etapa de conciliación, ofrecimiento de pruebas, desahogo, alegatos y decisión, la cual es inatacable.</w:t>
      </w:r>
    </w:p>
    <w:p w14:paraId="6847FAB7" w14:textId="77777777" w:rsidR="00481B31" w:rsidRPr="00481B31" w:rsidRDefault="00481B31" w:rsidP="00481B31">
      <w:pPr>
        <w:spacing w:line="360" w:lineRule="auto"/>
        <w:ind w:left="567" w:right="616"/>
        <w:jc w:val="both"/>
        <w:rPr>
          <w:rFonts w:ascii="Palatino Linotype" w:hAnsi="Palatino Linotype"/>
          <w:b/>
          <w:bCs/>
        </w:rPr>
      </w:pPr>
    </w:p>
    <w:p w14:paraId="2C6A2DAD" w14:textId="77777777" w:rsidR="00481B31" w:rsidRDefault="00481B31" w:rsidP="00481B31">
      <w:pPr>
        <w:spacing w:line="360" w:lineRule="auto"/>
        <w:ind w:left="567" w:right="616"/>
        <w:jc w:val="both"/>
        <w:rPr>
          <w:rFonts w:ascii="Palatino Linotype" w:hAnsi="Palatino Linotype"/>
          <w:b/>
          <w:bCs/>
        </w:rPr>
      </w:pPr>
      <w:r w:rsidRPr="00481B31">
        <w:rPr>
          <w:rFonts w:ascii="Palatino Linotype" w:hAnsi="Palatino Linotype"/>
          <w:b/>
          <w:bCs/>
        </w:rPr>
        <w:t>II.       Que la información solicitada se refiera a actuaciones, diligencias o constancias propias del procedimiento.</w:t>
      </w:r>
    </w:p>
    <w:p w14:paraId="26D68066" w14:textId="77777777" w:rsidR="00A24A04" w:rsidRPr="00481B31" w:rsidRDefault="00A24A04" w:rsidP="00481B31">
      <w:pPr>
        <w:spacing w:line="360" w:lineRule="auto"/>
        <w:ind w:left="567" w:right="616"/>
        <w:jc w:val="both"/>
        <w:rPr>
          <w:rFonts w:ascii="Palatino Linotype" w:hAnsi="Palatino Linotype"/>
          <w:b/>
          <w:bCs/>
        </w:rPr>
      </w:pPr>
    </w:p>
    <w:p w14:paraId="00670E9B" w14:textId="77777777" w:rsidR="00481B31" w:rsidRPr="00481B31" w:rsidRDefault="00481B31" w:rsidP="00481B31">
      <w:pPr>
        <w:spacing w:line="360" w:lineRule="auto"/>
        <w:ind w:left="567" w:right="616"/>
        <w:jc w:val="both"/>
        <w:rPr>
          <w:rFonts w:ascii="Palatino Linotype" w:hAnsi="Palatino Linotype"/>
        </w:rPr>
      </w:pPr>
      <w:r w:rsidRPr="00481B31">
        <w:rPr>
          <w:rFonts w:ascii="Palatino Linotype" w:hAnsi="Palatino Linotype"/>
        </w:rPr>
        <w:t>Este es un elemento, que no se puede probar, atendiendo a que el sujeto Obligado, no hizo entrega de estos elementos, sin embargo, aun presumiendo su existencia, el propio artículo establece que no serán objeto de reserva las resoluciones interlocutorias o definitivas que se dicten dentro de los procedimientos o con las que se concluya el mismo, las cuales deberán ser entregadas en versión pública.</w:t>
      </w:r>
    </w:p>
    <w:p w14:paraId="0CA81219" w14:textId="77777777" w:rsidR="00481B31" w:rsidRPr="00481B31" w:rsidRDefault="00481B31" w:rsidP="00481B31">
      <w:pPr>
        <w:spacing w:line="360" w:lineRule="auto"/>
        <w:ind w:left="567" w:right="616"/>
        <w:jc w:val="both"/>
        <w:rPr>
          <w:rFonts w:ascii="Palatino Linotype" w:hAnsi="Palatino Linotype"/>
          <w:b/>
          <w:bCs/>
        </w:rPr>
      </w:pPr>
    </w:p>
    <w:p w14:paraId="26CB0EFE" w14:textId="77777777" w:rsidR="00481B31" w:rsidRPr="00481B31" w:rsidRDefault="00481B31" w:rsidP="00481B31">
      <w:pPr>
        <w:spacing w:line="360" w:lineRule="auto"/>
        <w:ind w:left="567" w:right="616"/>
        <w:jc w:val="both"/>
        <w:rPr>
          <w:rFonts w:ascii="Palatino Linotype" w:hAnsi="Palatino Linotype"/>
        </w:rPr>
      </w:pPr>
      <w:r w:rsidRPr="00481B31">
        <w:rPr>
          <w:rFonts w:ascii="Palatino Linotype" w:hAnsi="Palatino Linotype"/>
        </w:rPr>
        <w:t>Entonces, se identifica que no es procedente la reserva total del expediente, sino que en su caso, son las actuaciones de las partes, diligencias o constancias propias del procedimiento, las que son susceptibles de ser reservadas de manera temporal, sin embargo, deberán acreditar de manera específica cada uno de estos documentos  con naturaleza independiente, la prueba de daño contemplada en el artículo 129 de la Ley de Transparencia y Acceso a la Información Pública del Estado de México y Municipios.</w:t>
      </w:r>
    </w:p>
    <w:p w14:paraId="570AFA2F" w14:textId="77777777" w:rsidR="00481B31" w:rsidRPr="00481B31" w:rsidRDefault="00481B31" w:rsidP="00481B31">
      <w:pPr>
        <w:spacing w:line="360" w:lineRule="auto"/>
        <w:ind w:left="567" w:right="616"/>
        <w:jc w:val="both"/>
        <w:rPr>
          <w:rFonts w:ascii="Palatino Linotype" w:hAnsi="Palatino Linotype"/>
        </w:rPr>
      </w:pPr>
    </w:p>
    <w:p w14:paraId="5B2CB873" w14:textId="77777777" w:rsidR="00481B31" w:rsidRPr="00481B31" w:rsidRDefault="00481B31" w:rsidP="00481B31">
      <w:pPr>
        <w:spacing w:line="360" w:lineRule="auto"/>
        <w:ind w:left="567" w:right="616"/>
        <w:jc w:val="both"/>
        <w:rPr>
          <w:rFonts w:ascii="Palatino Linotype" w:hAnsi="Palatino Linotype"/>
        </w:rPr>
      </w:pPr>
      <w:r w:rsidRPr="00481B31">
        <w:rPr>
          <w:rFonts w:ascii="Palatino Linotype" w:hAnsi="Palatino Linotype"/>
        </w:rPr>
        <w:t xml:space="preserve">En este orden de ideas, se identifica que el expediente solicitado, no es reservable en su totalidad en ningún momento procesal y el mismo es </w:t>
      </w:r>
      <w:r w:rsidRPr="00481B31">
        <w:rPr>
          <w:rFonts w:ascii="Palatino Linotype" w:hAnsi="Palatino Linotype"/>
        </w:rPr>
        <w:lastRenderedPageBreak/>
        <w:t>desclasificarle en su totalidad, al momento en el cual, no se identifica un riesgo real, demostrable e identificable, lo cual, acontece en la especie.</w:t>
      </w:r>
    </w:p>
    <w:p w14:paraId="5DACEDFD" w14:textId="77777777" w:rsidR="00481B31" w:rsidRPr="00481B31" w:rsidRDefault="00481B31" w:rsidP="00481B31">
      <w:pPr>
        <w:spacing w:line="360" w:lineRule="auto"/>
        <w:jc w:val="both"/>
        <w:rPr>
          <w:rFonts w:ascii="Palatino Linotype" w:hAnsi="Palatino Linotype"/>
        </w:rPr>
      </w:pPr>
    </w:p>
    <w:p w14:paraId="4E32F76C" w14:textId="67FE029B"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Ahora bien, por último, se identifica que el Sujeto Obligado, reservó la información por </w:t>
      </w:r>
      <w:r>
        <w:rPr>
          <w:rFonts w:ascii="Palatino Linotype" w:hAnsi="Palatino Linotype"/>
        </w:rPr>
        <w:t>cinco</w:t>
      </w:r>
      <w:r w:rsidRPr="00481B31">
        <w:rPr>
          <w:rFonts w:ascii="Palatino Linotype" w:hAnsi="Palatino Linotype"/>
        </w:rPr>
        <w:t xml:space="preserve"> años, lo cual contraviene a lo contemplado en el artículo 125 de la Ley de Transparencia vigente en la entidad que establece:</w:t>
      </w:r>
    </w:p>
    <w:p w14:paraId="144AD563" w14:textId="77777777" w:rsidR="00481B31" w:rsidRPr="00481B31" w:rsidRDefault="00481B31" w:rsidP="00481B31">
      <w:pPr>
        <w:spacing w:line="360" w:lineRule="auto"/>
        <w:jc w:val="both"/>
        <w:rPr>
          <w:rFonts w:ascii="Palatino Linotype" w:hAnsi="Palatino Linotype"/>
        </w:rPr>
      </w:pPr>
    </w:p>
    <w:p w14:paraId="15E8E0B4" w14:textId="77777777" w:rsidR="00481B31" w:rsidRPr="00481B31" w:rsidRDefault="00481B31" w:rsidP="00481B31">
      <w:pPr>
        <w:spacing w:line="360" w:lineRule="auto"/>
        <w:ind w:left="567" w:right="539"/>
        <w:jc w:val="both"/>
        <w:rPr>
          <w:rFonts w:ascii="Palatino Linotype" w:eastAsia="Calibri" w:hAnsi="Palatino Linotype" w:cs="Tahoma"/>
          <w:b/>
          <w:i/>
          <w:iCs/>
          <w:color w:val="000000"/>
          <w:lang w:eastAsia="es-ES_tradnl"/>
        </w:rPr>
      </w:pPr>
      <w:r w:rsidRPr="00481B31">
        <w:rPr>
          <w:rFonts w:ascii="Palatino Linotype" w:eastAsia="Calibri" w:hAnsi="Palatino Linotype" w:cs="Tahoma"/>
          <w:i/>
          <w:iCs/>
          <w:color w:val="000000"/>
          <w:lang w:eastAsia="es-ES_tradnl"/>
        </w:rPr>
        <w:t>Artículo 125.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481B31">
        <w:rPr>
          <w:rFonts w:ascii="Palatino Linotype" w:eastAsia="Calibri" w:hAnsi="Palatino Linotype" w:cs="Tahoma"/>
          <w:b/>
          <w:i/>
          <w:iCs/>
          <w:color w:val="000000"/>
          <w:lang w:eastAsia="es-ES_tradnl"/>
        </w:rPr>
        <w:t xml:space="preserve">. </w:t>
      </w:r>
    </w:p>
    <w:p w14:paraId="2201138A"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p>
    <w:p w14:paraId="1E5746D0" w14:textId="77777777" w:rsidR="00481B31" w:rsidRPr="00481B31" w:rsidRDefault="00481B31" w:rsidP="00481B31">
      <w:pPr>
        <w:spacing w:line="360" w:lineRule="auto"/>
        <w:ind w:left="567" w:right="539"/>
        <w:jc w:val="both"/>
        <w:rPr>
          <w:rFonts w:ascii="Palatino Linotype" w:eastAsia="Calibri" w:hAnsi="Palatino Linotype" w:cs="Tahoma"/>
          <w:b/>
          <w:bCs/>
          <w:i/>
          <w:iCs/>
          <w:color w:val="000000"/>
          <w:lang w:eastAsia="es-ES_tradnl"/>
        </w:rPr>
      </w:pPr>
      <w:r w:rsidRPr="00481B31">
        <w:rPr>
          <w:rFonts w:ascii="Palatino Linotype" w:eastAsia="Calibri" w:hAnsi="Palatino Linotype" w:cs="Tahoma"/>
          <w:b/>
          <w:bCs/>
          <w:i/>
          <w:iCs/>
          <w:color w:val="000000"/>
          <w:lang w:eastAsia="es-ES_tradnl"/>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15445D73"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p>
    <w:p w14:paraId="7AC1CDFB"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780801C7"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p>
    <w:p w14:paraId="66392933"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9EE77BF" w14:textId="77777777" w:rsidR="00481B31" w:rsidRPr="00481B31" w:rsidRDefault="00481B31" w:rsidP="00481B31">
      <w:pPr>
        <w:spacing w:line="360" w:lineRule="auto"/>
        <w:jc w:val="both"/>
        <w:rPr>
          <w:rFonts w:ascii="Palatino Linotype" w:hAnsi="Palatino Linotype"/>
        </w:rPr>
      </w:pPr>
    </w:p>
    <w:p w14:paraId="0C74BBA6"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Entrando al estudio de la naturaleza de la reserva y de la información desde otra óptica con la finalidad de fundar y motivar de manera más profunda la presente Resolución, se procede a hacer cuestionamientos que sirven para el desarrollo de argumentos de conformidad con lo siguiente:</w:t>
      </w:r>
    </w:p>
    <w:p w14:paraId="754F79F0" w14:textId="77777777" w:rsidR="00481B31" w:rsidRPr="00481B31" w:rsidRDefault="00481B31" w:rsidP="00481B31">
      <w:pPr>
        <w:spacing w:line="360" w:lineRule="auto"/>
        <w:jc w:val="both"/>
        <w:rPr>
          <w:rFonts w:ascii="Palatino Linotype" w:hAnsi="Palatino Linotype"/>
        </w:rPr>
      </w:pPr>
    </w:p>
    <w:p w14:paraId="0505D398" w14:textId="77777777" w:rsidR="00481B31" w:rsidRPr="00A24A04" w:rsidRDefault="00481B31" w:rsidP="00A24A04">
      <w:pPr>
        <w:spacing w:line="360" w:lineRule="auto"/>
        <w:ind w:right="616"/>
        <w:contextualSpacing/>
        <w:jc w:val="both"/>
        <w:rPr>
          <w:rFonts w:ascii="Palatino Linotype" w:hAnsi="Palatino Linotype"/>
          <w:b/>
          <w:bCs/>
        </w:rPr>
      </w:pPr>
      <w:r w:rsidRPr="00A24A04">
        <w:rPr>
          <w:rFonts w:ascii="Palatino Linotype" w:hAnsi="Palatino Linotype"/>
          <w:b/>
          <w:bCs/>
        </w:rPr>
        <w:t xml:space="preserve">¿Pueden ser restringidos los Principios establecidos en el artículo 6 de la Constitución Federal respecto del derecho de acceso a la información? </w:t>
      </w:r>
    </w:p>
    <w:p w14:paraId="4B9314CE" w14:textId="77777777" w:rsidR="00481B31" w:rsidRPr="00481B31" w:rsidRDefault="00481B31" w:rsidP="00481B31">
      <w:pPr>
        <w:spacing w:line="360" w:lineRule="auto"/>
        <w:jc w:val="both"/>
        <w:rPr>
          <w:rFonts w:ascii="Palatino Linotype" w:hAnsi="Palatino Linotype"/>
        </w:rPr>
      </w:pPr>
    </w:p>
    <w:p w14:paraId="64921194"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El artículo 6 de la Constitución General de la República, establece una serie de principios y bases sobre las cuales se erige el reconocimiento y ejercicio del derecho humano del acceso a la información pública. En este sentido, en la fracción I del citado artículo, establece que es pública la información que posea cualquier ente estatal, con excepción de reserva temporal por razón de interés público en los términos que fijen las leyes; y en la fracción segunda se ordena, que la referente a la vida privada y datos personales, sea protegida. </w:t>
      </w:r>
    </w:p>
    <w:p w14:paraId="52B94670" w14:textId="77777777" w:rsidR="00481B31" w:rsidRPr="00481B31" w:rsidRDefault="00481B31" w:rsidP="00481B31">
      <w:pPr>
        <w:spacing w:line="360" w:lineRule="auto"/>
        <w:jc w:val="both"/>
        <w:rPr>
          <w:rFonts w:ascii="Palatino Linotype" w:hAnsi="Palatino Linotype"/>
        </w:rPr>
      </w:pPr>
    </w:p>
    <w:p w14:paraId="28D01134"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lastRenderedPageBreak/>
        <w:t>Por lo tanto, se puede determinar que, a rango constitucional el ejercicio del poder público debe operar bajo la máxima publicidad y accesibilidad, solo limitada por circunstancias específicas establecidas por la ley, y que pudieran implicar que la divulgación de la información atente contra los derechos de terceros o la protección de la seguridad nacional, el orden público, la salud o moral públicas.</w:t>
      </w:r>
    </w:p>
    <w:p w14:paraId="5130BB8D" w14:textId="77777777" w:rsidR="00481B31" w:rsidRPr="00481B31" w:rsidRDefault="00481B31" w:rsidP="00481B31">
      <w:pPr>
        <w:spacing w:line="360" w:lineRule="auto"/>
        <w:jc w:val="both"/>
        <w:rPr>
          <w:rFonts w:ascii="Palatino Linotype" w:hAnsi="Palatino Linotype"/>
        </w:rPr>
      </w:pPr>
    </w:p>
    <w:p w14:paraId="5597EAE3"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Como sucede con el ejercicio de otros derechos fundamentales, el derecho al acceso a la información, se encuentra sujeto a determinadas restricciones; sin embargo, a efecto de no ser excesivas, que lleguen al grado de anular el ejercicio del derecho fundamental, están condicionadas a diversos aspectos, de modo que, como lo indica la propia Convención Americana de Derechos Humanos en su artículo 13.2, para que una restricción al derecho a la información pública pueda ser aplicable, debe demostrarse que ha cumplido con las condiciones de: </w:t>
      </w:r>
      <w:r w:rsidRPr="00481B31">
        <w:rPr>
          <w:rFonts w:ascii="Palatino Linotype" w:hAnsi="Palatino Linotype"/>
          <w:i/>
          <w:iCs/>
        </w:rPr>
        <w:t>i)carácter excepcional, ii) consagración legal, iii) objetivos legítimos, iii) necesidad y proporcionalidad.</w:t>
      </w:r>
      <w:r w:rsidRPr="00481B31">
        <w:rPr>
          <w:rFonts w:ascii="Palatino Linotype" w:hAnsi="Palatino Linotype"/>
        </w:rPr>
        <w:t xml:space="preserve"> </w:t>
      </w:r>
    </w:p>
    <w:p w14:paraId="401AD810" w14:textId="77777777" w:rsidR="00481B31" w:rsidRPr="00481B31" w:rsidRDefault="00481B31" w:rsidP="00481B31">
      <w:pPr>
        <w:spacing w:line="360" w:lineRule="auto"/>
        <w:jc w:val="both"/>
        <w:rPr>
          <w:rFonts w:ascii="Palatino Linotype" w:hAnsi="Palatino Linotype"/>
        </w:rPr>
      </w:pPr>
    </w:p>
    <w:p w14:paraId="60DFB03B"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Respecto de estas excepciones, la </w:t>
      </w:r>
      <w:r w:rsidRPr="00481B31">
        <w:rPr>
          <w:rFonts w:ascii="Palatino Linotype" w:hAnsi="Palatino Linotype"/>
          <w:b/>
          <w:bCs/>
        </w:rPr>
        <w:t>Corte Interamericana al resolver el Caso de Clade Reyes y Otros (sentencia del 19 de septiembre de 2006)</w:t>
      </w:r>
      <w:r w:rsidRPr="00481B31">
        <w:rPr>
          <w:rFonts w:ascii="Palatino Linotype" w:hAnsi="Palatino Linotype"/>
        </w:rPr>
        <w:t xml:space="preserve"> preciso que, el establecimiento de </w:t>
      </w:r>
      <w:r w:rsidRPr="00481B31">
        <w:rPr>
          <w:rFonts w:ascii="Palatino Linotype" w:hAnsi="Palatino Linotype"/>
          <w:b/>
          <w:bCs/>
          <w:u w:val="single"/>
        </w:rPr>
        <w:t>restricciones al derecho de acceso a la información bajo control del Estado, a través de la práctica de las autoridades, sin cumplimiento de los requisitos establecidos en la Convención Americana, crea un campo fértil para la actuación discrecional y arbitraria en la clasificación de informaciones como secretas, reservadas</w:t>
      </w:r>
      <w:r w:rsidRPr="00481B31">
        <w:rPr>
          <w:rFonts w:ascii="Palatino Linotype" w:hAnsi="Palatino Linotype"/>
        </w:rPr>
        <w:t xml:space="preserve"> o confidenciales y genera inseguridad jurídica respecto del ejercicio de dicho derecho, así como del alcance de las facultades estatales para restringirlo; es por ello que, en atención al principio de máxima divulgación, toda </w:t>
      </w:r>
      <w:r w:rsidRPr="00481B31">
        <w:rPr>
          <w:rFonts w:ascii="Palatino Linotype" w:hAnsi="Palatino Linotype"/>
        </w:rPr>
        <w:lastRenderedPageBreak/>
        <w:t xml:space="preserve">excepción que precisen los entes públicos debe sujetarse a una serie de parámetros jurídicos. </w:t>
      </w:r>
    </w:p>
    <w:p w14:paraId="0078C026" w14:textId="77777777" w:rsidR="00481B31" w:rsidRPr="00481B31" w:rsidRDefault="00481B31" w:rsidP="00481B31">
      <w:pPr>
        <w:spacing w:line="360" w:lineRule="auto"/>
        <w:jc w:val="both"/>
        <w:rPr>
          <w:rFonts w:ascii="Palatino Linotype" w:hAnsi="Palatino Linotype"/>
        </w:rPr>
      </w:pPr>
    </w:p>
    <w:p w14:paraId="337016D2"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Además, en la misma sentencia el tribunal interamericano puntualizó que la ley debe garantizar un acceso a la información pública que sea efectivo y lo más amplio posible, además de que, en caso de contemplar excepciones, éstas no deben convertirse en la práctica en la regla general, sino deben ser la excepción sujetas a estudios casuísticos. </w:t>
      </w:r>
    </w:p>
    <w:p w14:paraId="6E2845C9" w14:textId="77777777" w:rsidR="00481B31" w:rsidRPr="00481B31" w:rsidRDefault="00481B31" w:rsidP="00481B31">
      <w:pPr>
        <w:spacing w:line="360" w:lineRule="auto"/>
        <w:jc w:val="both"/>
        <w:rPr>
          <w:rFonts w:ascii="Palatino Linotype" w:hAnsi="Palatino Linotype"/>
        </w:rPr>
      </w:pPr>
    </w:p>
    <w:p w14:paraId="1A0A3103"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En esa medida, la Relatoría para la Libertad de Expresión de la Comisión Interamericana de Derechos Humanos, ha sostenido que las limitaciones impuestas al derecho de acceso a la información, como cualquier otra limitación que se imponga a cualquiera de las derivaciones del derecho a la libertad de expresión, deben ser necesarias en una sociedad democrática para satisfacer un interés público imperativo; debiendo escoger la que restrinja en menor escala el derecho protegido, y observando que ésta: (i) sea conducente para alcanzar su logro, (ii) sea proporcional al interés que la justifica, e (iii) interfiera en la menor medida posible en el ejercicio efectivo del derecho. </w:t>
      </w:r>
    </w:p>
    <w:p w14:paraId="1406FB10" w14:textId="77777777" w:rsidR="00481B31" w:rsidRPr="00481B31" w:rsidRDefault="00481B31" w:rsidP="00481B31">
      <w:pPr>
        <w:spacing w:line="360" w:lineRule="auto"/>
        <w:jc w:val="both"/>
        <w:rPr>
          <w:rFonts w:ascii="Palatino Linotype" w:hAnsi="Palatino Linotype"/>
        </w:rPr>
      </w:pPr>
    </w:p>
    <w:p w14:paraId="6ADA466A"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De esta forma, del principio de máxima publicidad tanto en el ámbito internos como en la óptica internacional, deriva el que las normas que limitan el derecho de acceso a la información deben ser interpretadas de manera restrictiva y que toda limitación debe estar debidamente sujeta a una serie de parámetros con los cuales se permita determinar la menor limitación posible al derecho de acceso. </w:t>
      </w:r>
    </w:p>
    <w:p w14:paraId="52CC33C9" w14:textId="77777777" w:rsidR="00481B31" w:rsidRPr="00481B31" w:rsidRDefault="00481B31" w:rsidP="00481B31">
      <w:pPr>
        <w:spacing w:line="360" w:lineRule="auto"/>
        <w:jc w:val="both"/>
        <w:rPr>
          <w:rFonts w:ascii="Palatino Linotype" w:hAnsi="Palatino Linotype"/>
        </w:rPr>
      </w:pPr>
    </w:p>
    <w:p w14:paraId="7EEB99C8" w14:textId="77777777" w:rsidR="00481B31" w:rsidRPr="00481B31" w:rsidRDefault="00481B31" w:rsidP="00481B31">
      <w:pPr>
        <w:spacing w:line="360" w:lineRule="auto"/>
        <w:jc w:val="both"/>
        <w:rPr>
          <w:rFonts w:ascii="Palatino Linotype" w:hAnsi="Palatino Linotype"/>
        </w:rPr>
      </w:pPr>
      <w:r w:rsidRPr="00481B31">
        <w:rPr>
          <w:rFonts w:ascii="Palatino Linotype" w:hAnsi="Palatino Linotype"/>
          <w:b/>
          <w:bCs/>
        </w:rPr>
        <w:lastRenderedPageBreak/>
        <w:t>¿Cuál es el marco legal que contempla el conjunto de limitaciones excepcionales al Derecho de Acceso a la información Pública en México en los casos en concreto?</w:t>
      </w:r>
      <w:r w:rsidRPr="00481B31">
        <w:rPr>
          <w:rFonts w:ascii="Palatino Linotype" w:hAnsi="Palatino Linotype"/>
        </w:rPr>
        <w:t xml:space="preserve"> </w:t>
      </w:r>
    </w:p>
    <w:p w14:paraId="2F777FD9" w14:textId="77777777" w:rsidR="00481B31" w:rsidRPr="00481B31" w:rsidRDefault="00481B31" w:rsidP="00481B31">
      <w:pPr>
        <w:spacing w:line="360" w:lineRule="auto"/>
        <w:jc w:val="both"/>
        <w:rPr>
          <w:rFonts w:ascii="Palatino Linotype" w:hAnsi="Palatino Linotype"/>
        </w:rPr>
      </w:pPr>
    </w:p>
    <w:p w14:paraId="16707AC8"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Bajo este panorama, en congruencia con el marco constitucional y convencional, la Ley General de Transparencia y de forma equivalente la Ley de Transparencia y Acceso a la Información Pública del Estado de México y Municipios, establecen dos supuestos bajo los cuales una autoridad del estado puede restringir el Derecho de acceso a la información pública ejercido por los particulares, dichas hipótesis de restricción las podemos delimitar en dos conjuntos, el primero como información: “</w:t>
      </w:r>
      <w:r w:rsidRPr="00481B31">
        <w:rPr>
          <w:rFonts w:ascii="Palatino Linotype" w:hAnsi="Palatino Linotype"/>
          <w:b/>
          <w:bCs/>
        </w:rPr>
        <w:t>Confidencial</w:t>
      </w:r>
      <w:r w:rsidRPr="00481B31">
        <w:rPr>
          <w:rFonts w:ascii="Palatino Linotype" w:hAnsi="Palatino Linotype"/>
        </w:rPr>
        <w:t>” y el segundo como información “</w:t>
      </w:r>
      <w:r w:rsidRPr="00481B31">
        <w:rPr>
          <w:rFonts w:ascii="Palatino Linotype" w:hAnsi="Palatino Linotype"/>
          <w:b/>
          <w:bCs/>
        </w:rPr>
        <w:t>Reservada</w:t>
      </w:r>
      <w:r w:rsidRPr="00481B31">
        <w:rPr>
          <w:rFonts w:ascii="Palatino Linotype" w:hAnsi="Palatino Linotype"/>
        </w:rPr>
        <w:t xml:space="preserve">”. </w:t>
      </w:r>
    </w:p>
    <w:p w14:paraId="7423010D" w14:textId="77777777" w:rsidR="00481B31" w:rsidRPr="00481B31" w:rsidRDefault="00481B31" w:rsidP="00481B31">
      <w:pPr>
        <w:spacing w:line="360" w:lineRule="auto"/>
        <w:jc w:val="both"/>
        <w:rPr>
          <w:rFonts w:ascii="Palatino Linotype" w:hAnsi="Palatino Linotype"/>
        </w:rPr>
      </w:pPr>
    </w:p>
    <w:p w14:paraId="7DEC4AFA"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En este sentido, para proteger la vida privada y los datos personales –considerados como uno de los límites constitucionalmente legítimos– el artículo 116 de la legislación general reproducido de forma simétrica en el análogo 143 de ley local en la materia, se establece como criterio de clasificación el de “información confidencial”, el cual restringe el acceso a la información pública que contenga datos personales o haga referencia a la vida privada de una persona física que requieran el consentimiento de estos para su difusión, distribución o comercialización. </w:t>
      </w:r>
    </w:p>
    <w:p w14:paraId="6D055161" w14:textId="77777777" w:rsidR="00481B31" w:rsidRPr="00481B31" w:rsidRDefault="00481B31" w:rsidP="00481B31">
      <w:pPr>
        <w:spacing w:line="360" w:lineRule="auto"/>
        <w:jc w:val="both"/>
        <w:rPr>
          <w:rFonts w:ascii="Palatino Linotype" w:hAnsi="Palatino Linotype"/>
        </w:rPr>
      </w:pPr>
    </w:p>
    <w:p w14:paraId="000FDA1F"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Por otro lado, para proteger el interés público, amabas legislaciones de manera homogénea en los numerales 113 y 140 de la ley general y de la ley local respectivamente, consideran la posibilidad de restringir el derecho de acceso a la información pública ejercido por los particulares, estableciendo la posibilidad de catalogar la información pública que obra en su poder con la calidad de reservada. </w:t>
      </w:r>
    </w:p>
    <w:p w14:paraId="7B2F8FAE" w14:textId="77777777" w:rsidR="00481B31" w:rsidRPr="00481B31" w:rsidRDefault="00481B31" w:rsidP="00481B31">
      <w:pPr>
        <w:spacing w:line="360" w:lineRule="auto"/>
        <w:jc w:val="both"/>
        <w:rPr>
          <w:rFonts w:ascii="Palatino Linotype" w:hAnsi="Palatino Linotype"/>
        </w:rPr>
      </w:pPr>
    </w:p>
    <w:p w14:paraId="6AA7FDCC"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Además, la información que sea clasificada como reservada, podrá permanecer con tal carácter hasta por un periodo de cinco años; previendo, además, que podrá ser desclasificada cuando se extingan las causas que dieron origen a su clasificación o haya transcurrido el periodo de reserva. </w:t>
      </w:r>
    </w:p>
    <w:p w14:paraId="49C05ED7" w14:textId="77777777" w:rsidR="00481B31" w:rsidRPr="00481B31" w:rsidRDefault="00481B31" w:rsidP="00481B31">
      <w:pPr>
        <w:spacing w:line="360" w:lineRule="auto"/>
        <w:jc w:val="both"/>
        <w:rPr>
          <w:rFonts w:ascii="Palatino Linotype" w:hAnsi="Palatino Linotype"/>
        </w:rPr>
      </w:pPr>
    </w:p>
    <w:p w14:paraId="74032EE0"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La reserva, ya fue analizada previamente, al caso en concreto, atendiendo a que el Sujeto Obligado, no estableció ningún supuesto o causal por el cual reservaré la información.</w:t>
      </w:r>
    </w:p>
    <w:p w14:paraId="392A403C" w14:textId="77777777" w:rsidR="00481B31" w:rsidRPr="00481B31" w:rsidRDefault="00481B31" w:rsidP="00481B31">
      <w:pPr>
        <w:spacing w:line="360" w:lineRule="auto"/>
        <w:jc w:val="both"/>
        <w:rPr>
          <w:rFonts w:ascii="Palatino Linotype" w:hAnsi="Palatino Linotype"/>
        </w:rPr>
      </w:pPr>
    </w:p>
    <w:p w14:paraId="24EF1730"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Es preciso resaltar que, conforme a lo expresado por la Corte Interamericana, ha de vigilarse en todo momento, que las excepciones no se conviertan en regla general, dado que el derecho a la información juega un papel determinante en un Estado democrático, a partir del cual, los gobernados pueden ejercer un control respecto del funcionamiento institucional de los poderes públicos. </w:t>
      </w:r>
    </w:p>
    <w:p w14:paraId="03595AAB" w14:textId="77777777" w:rsidR="00481B31" w:rsidRPr="00481B31" w:rsidRDefault="00481B31" w:rsidP="00481B31">
      <w:pPr>
        <w:spacing w:line="360" w:lineRule="auto"/>
        <w:jc w:val="both"/>
        <w:rPr>
          <w:rFonts w:ascii="Palatino Linotype" w:hAnsi="Palatino Linotype"/>
        </w:rPr>
      </w:pPr>
    </w:p>
    <w:p w14:paraId="15F7F783"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En este sentido, la propia Suprema Corte de Justicia de la Nación (SCJN) al resolver la Acción de inconstitucionalidad 26/2006, concreto la tesis de jurisprudencia de rubro: </w:t>
      </w:r>
      <w:r w:rsidRPr="00481B31">
        <w:rPr>
          <w:rFonts w:ascii="Palatino Linotype" w:hAnsi="Palatino Linotype"/>
          <w:b/>
          <w:bCs/>
        </w:rPr>
        <w:t>“INFORMACIÓN RESERVADA. EXCEPCIÓN A LA PROHIBICIÓN DE SU DIVULGACIÓN</w:t>
      </w:r>
      <w:r w:rsidRPr="00481B31">
        <w:rPr>
          <w:rFonts w:ascii="Palatino Linotype" w:hAnsi="Palatino Linotype"/>
        </w:rPr>
        <w:t>”, de cuyo cuerpo, en el tema que interesa se precisa que: “…No obstante la imposibilidad de acceder a dicha información no puede considerarse como una regla absoluta, porque en aquellos supuestos en los cuales su difusión producirá mayores beneficios para la sociedad que los daños que pudieran provocarse con su divulgación, debe hacerse una excepción a la regla general, privilegiando la transparencia y difusión de la información respectiva.”</w:t>
      </w:r>
    </w:p>
    <w:p w14:paraId="64DF2891" w14:textId="77777777" w:rsidR="00481B31" w:rsidRPr="00481B31" w:rsidRDefault="00481B31" w:rsidP="00481B31">
      <w:pPr>
        <w:spacing w:line="360" w:lineRule="auto"/>
        <w:jc w:val="both"/>
        <w:rPr>
          <w:rFonts w:ascii="Palatino Linotype" w:hAnsi="Palatino Linotype"/>
        </w:rPr>
      </w:pPr>
    </w:p>
    <w:p w14:paraId="6024238E"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Así, se puede desprender que la restricción para acceder a la información relacionada con expedientes administrativos que no hayan causado estado, no puede considerarse como una regla absoluta. </w:t>
      </w:r>
    </w:p>
    <w:p w14:paraId="6574F977" w14:textId="77777777" w:rsidR="00481B31" w:rsidRPr="00481B31" w:rsidRDefault="00481B31" w:rsidP="00481B31">
      <w:pPr>
        <w:spacing w:line="360" w:lineRule="auto"/>
        <w:jc w:val="both"/>
        <w:rPr>
          <w:rFonts w:ascii="Palatino Linotype" w:hAnsi="Palatino Linotype"/>
        </w:rPr>
      </w:pPr>
    </w:p>
    <w:p w14:paraId="5393463C"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Debe hacerse una excepción a esta regla privilegiando la transparencia y difusión de la información respectiva cuando su difusión producirá mayores beneficios para la sociedad que los daños que pudieran provocarse con su divulgación. </w:t>
      </w:r>
    </w:p>
    <w:p w14:paraId="53FA5D3D" w14:textId="77777777" w:rsidR="00481B31" w:rsidRPr="00481B31" w:rsidRDefault="00481B31" w:rsidP="00481B31">
      <w:pPr>
        <w:spacing w:line="360" w:lineRule="auto"/>
        <w:jc w:val="both"/>
        <w:rPr>
          <w:rFonts w:ascii="Palatino Linotype" w:hAnsi="Palatino Linotype"/>
        </w:rPr>
      </w:pPr>
    </w:p>
    <w:p w14:paraId="46D7C726" w14:textId="77777777" w:rsidR="00481B31" w:rsidRPr="00481B31" w:rsidRDefault="00481B31" w:rsidP="00481B31">
      <w:pPr>
        <w:spacing w:line="360" w:lineRule="auto"/>
        <w:jc w:val="both"/>
        <w:rPr>
          <w:rFonts w:ascii="Palatino Linotype" w:hAnsi="Palatino Linotype"/>
          <w:b/>
          <w:bCs/>
        </w:rPr>
      </w:pPr>
      <w:r w:rsidRPr="00481B31">
        <w:rPr>
          <w:rFonts w:ascii="Palatino Linotype" w:hAnsi="Palatino Linotype"/>
          <w:b/>
          <w:bCs/>
        </w:rPr>
        <w:t xml:space="preserve">¿El interés público que envuelve el expediente referido resulta suficiente para restringir la necesidad de clasificar la información como reservada? </w:t>
      </w:r>
    </w:p>
    <w:p w14:paraId="5EFFDC69" w14:textId="77777777" w:rsidR="00481B31" w:rsidRPr="00481B31" w:rsidRDefault="00481B31" w:rsidP="00481B31">
      <w:pPr>
        <w:spacing w:line="360" w:lineRule="auto"/>
        <w:jc w:val="both"/>
        <w:rPr>
          <w:rFonts w:ascii="Palatino Linotype" w:hAnsi="Palatino Linotype"/>
        </w:rPr>
      </w:pPr>
    </w:p>
    <w:p w14:paraId="18B79FA8"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Entonces al hablar de una valoración de los beneficios o perjuicios de la divulgación señalada, debe fundarse en las consecuencias concretas que, potencialmente, resulten de la publicidad de la información, se deberá ponderar si la publicidad de la información tiene una trascendencia social y poder ser catalogada como información de interés público. </w:t>
      </w:r>
    </w:p>
    <w:p w14:paraId="5774BF01" w14:textId="77777777" w:rsidR="00481B31" w:rsidRPr="00481B31" w:rsidRDefault="00481B31" w:rsidP="00481B31">
      <w:pPr>
        <w:spacing w:line="360" w:lineRule="auto"/>
        <w:jc w:val="both"/>
        <w:rPr>
          <w:rFonts w:ascii="Palatino Linotype" w:hAnsi="Palatino Linotype"/>
        </w:rPr>
      </w:pPr>
    </w:p>
    <w:p w14:paraId="34D07470"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Así, este Instituto considera procedente efectuar una </w:t>
      </w:r>
      <w:r w:rsidRPr="00481B31">
        <w:rPr>
          <w:rFonts w:ascii="Palatino Linotype" w:hAnsi="Palatino Linotype"/>
          <w:b/>
          <w:bCs/>
        </w:rPr>
        <w:t>prueba de interés público</w:t>
      </w:r>
      <w:r w:rsidRPr="00481B31">
        <w:rPr>
          <w:rFonts w:ascii="Palatino Linotype" w:hAnsi="Palatino Linotype"/>
        </w:rPr>
        <w:t xml:space="preserve"> ante la colisión de derechos que se plantea en el presente recurso de revisión, por una parte: i) el derecho aducido por el Sujeto Obligado consistente en el derecho a la secrecía del expediente en virtud de no haber causado estado, frente al derecho ejercido por el particular consiéntete en el Derecho de Acceso a la Información Pública. Lo anterior, conforme a lo que mandata la Ley General de </w:t>
      </w:r>
      <w:r w:rsidRPr="00481B31">
        <w:rPr>
          <w:rFonts w:ascii="Palatino Linotype" w:hAnsi="Palatino Linotype"/>
        </w:rPr>
        <w:lastRenderedPageBreak/>
        <w:t xml:space="preserve">Transparencia y Acceso a la Información Pública, la cual en su artículo 149 refiere la posibilidad, tratándose de colisión de derechos, la solución bajo el principio de proporcionalidad en observancia a las gradas de: idoneidad, necesidad y proporcionalidad (premisa que es replicada en el artículo 184 de la ley local en la materia), tal y como se precisa: </w:t>
      </w:r>
    </w:p>
    <w:p w14:paraId="3C0FB5D1" w14:textId="77777777" w:rsidR="00481B31" w:rsidRPr="00481B31" w:rsidRDefault="00481B31" w:rsidP="00481B31">
      <w:pPr>
        <w:spacing w:line="360" w:lineRule="auto"/>
        <w:jc w:val="both"/>
        <w:rPr>
          <w:rFonts w:ascii="Palatino Linotype" w:hAnsi="Palatino Linotype"/>
        </w:rPr>
      </w:pPr>
    </w:p>
    <w:p w14:paraId="41BEF78E"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t xml:space="preserve">“Artículo 149. El organismo garante, al resolver el recurso de revisión, deberá aplicar una prueba de interés público con base en elementos de idoneidad, necesidad y proporcionalidad, cuando exista una colisión de derechos.” </w:t>
      </w:r>
    </w:p>
    <w:p w14:paraId="562BDA40"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t xml:space="preserve"> Para estos efectos, se entenderá por: </w:t>
      </w:r>
    </w:p>
    <w:p w14:paraId="6B60B705"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
          <w:i/>
          <w:iCs/>
          <w:color w:val="000000"/>
          <w:lang w:eastAsia="es-ES_tradnl"/>
        </w:rPr>
        <w:t>I. Idoneidad:</w:t>
      </w:r>
      <w:r w:rsidRPr="00481B31">
        <w:rPr>
          <w:rFonts w:ascii="Palatino Linotype" w:eastAsia="Calibri" w:hAnsi="Palatino Linotype" w:cs="Tahoma"/>
          <w:bCs/>
          <w:i/>
          <w:iCs/>
          <w:color w:val="000000"/>
          <w:lang w:eastAsia="es-ES_tradnl"/>
        </w:rPr>
        <w:t xml:space="preserve"> La legitimidad del derecho adoptado como preferente, que sea el adecuado para el logro de un fin constitucionalmente válido o apto para conseguir el fin pretendido; </w:t>
      </w:r>
    </w:p>
    <w:p w14:paraId="785A18A0"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
          <w:i/>
          <w:iCs/>
          <w:color w:val="000000"/>
          <w:lang w:eastAsia="es-ES_tradnl"/>
        </w:rPr>
        <w:t>II. Necesidad:</w:t>
      </w:r>
      <w:r w:rsidRPr="00481B31">
        <w:rPr>
          <w:rFonts w:ascii="Palatino Linotype" w:eastAsia="Calibri" w:hAnsi="Palatino Linotype" w:cs="Tahoma"/>
          <w:bCs/>
          <w:i/>
          <w:iCs/>
          <w:color w:val="000000"/>
          <w:lang w:eastAsia="es-ES_tradnl"/>
        </w:rPr>
        <w:t xml:space="preserve"> La falta de un medio alternativo menos lesivo a la apertura de la información, para satisfacer el interés público, y </w:t>
      </w:r>
    </w:p>
    <w:p w14:paraId="336F9BDA"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
          <w:i/>
          <w:iCs/>
          <w:color w:val="000000"/>
          <w:lang w:eastAsia="es-ES_tradnl"/>
        </w:rPr>
        <w:t>III. Proporcionalidad:</w:t>
      </w:r>
      <w:r w:rsidRPr="00481B31">
        <w:rPr>
          <w:rFonts w:ascii="Palatino Linotype" w:eastAsia="Calibri" w:hAnsi="Palatino Linotype" w:cs="Tahoma"/>
          <w:bCs/>
          <w:i/>
          <w:iCs/>
          <w:color w:val="000000"/>
          <w:lang w:eastAsia="es-ES_tradnl"/>
        </w:rPr>
        <w:t xml:space="preserve"> El equilibrio entre perjuicio y beneficio a favor del interés público, a fin de que la decisión tomada represente un beneficio mayor al perjuicio que podría causar a la población.” </w:t>
      </w:r>
    </w:p>
    <w:p w14:paraId="5BBAB90F" w14:textId="77777777" w:rsidR="00481B31" w:rsidRPr="00481B31" w:rsidRDefault="00481B31" w:rsidP="00481B31">
      <w:pPr>
        <w:spacing w:line="360" w:lineRule="auto"/>
        <w:jc w:val="both"/>
        <w:rPr>
          <w:rFonts w:ascii="Palatino Linotype" w:hAnsi="Palatino Linotype"/>
        </w:rPr>
      </w:pPr>
    </w:p>
    <w:p w14:paraId="255A5D80"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b/>
          <w:bCs/>
        </w:rPr>
      </w:pPr>
      <w:r w:rsidRPr="00481B31">
        <w:rPr>
          <w:rFonts w:ascii="Palatino Linotype" w:hAnsi="Palatino Linotype"/>
        </w:rPr>
        <w:t>Ahora bien, utilizando lo precisado en la parte inicial de este apartado, el contenido de ciertos derechos fundamentales no puede ser absoluto, y la colisión entre derechos fundamentales no puede resolverse apelando a reglas de prioridad entre normas</w:t>
      </w:r>
      <w:r w:rsidRPr="00481B31">
        <w:rPr>
          <w:rFonts w:ascii="Palatino Linotype" w:hAnsi="Palatino Linotype"/>
          <w:b/>
          <w:bCs/>
        </w:rPr>
        <w:t>, sino mediante una ponderación que determine el derecho que ha de prevalecer en el caso concreto</w:t>
      </w:r>
      <w:r w:rsidRPr="00481B31">
        <w:rPr>
          <w:rFonts w:ascii="Palatino Linotype" w:hAnsi="Palatino Linotype"/>
        </w:rPr>
        <w:t xml:space="preserve">, esto conforme la doctrina de </w:t>
      </w:r>
      <w:r w:rsidRPr="00481B31">
        <w:rPr>
          <w:rFonts w:ascii="Palatino Linotype" w:hAnsi="Palatino Linotype"/>
          <w:i/>
          <w:iCs/>
        </w:rPr>
        <w:t>Riccardo Guastini</w:t>
      </w:r>
      <w:r w:rsidRPr="00481B31">
        <w:rPr>
          <w:rFonts w:ascii="Palatino Linotype" w:hAnsi="Palatino Linotype"/>
        </w:rPr>
        <w:t xml:space="preserve"> al señalar que </w:t>
      </w:r>
      <w:r w:rsidRPr="00481B31">
        <w:rPr>
          <w:rFonts w:ascii="Palatino Linotype" w:hAnsi="Palatino Linotype"/>
          <w:i/>
          <w:iCs/>
        </w:rPr>
        <w:t>“La ponderación, por tanto, no es una “conciliación”.</w:t>
      </w:r>
      <w:r w:rsidRPr="00481B31">
        <w:rPr>
          <w:rFonts w:ascii="Palatino Linotype" w:hAnsi="Palatino Linotype"/>
        </w:rPr>
        <w:t xml:space="preserve"> No consiste en </w:t>
      </w:r>
      <w:r w:rsidRPr="00481B31">
        <w:rPr>
          <w:rFonts w:ascii="Palatino Linotype" w:hAnsi="Palatino Linotype"/>
          <w:i/>
          <w:iCs/>
        </w:rPr>
        <w:t xml:space="preserve">“poner </w:t>
      </w:r>
      <w:r w:rsidRPr="00481B31">
        <w:rPr>
          <w:rFonts w:ascii="Palatino Linotype" w:hAnsi="Palatino Linotype"/>
          <w:i/>
          <w:iCs/>
        </w:rPr>
        <w:lastRenderedPageBreak/>
        <w:t>de acuerdo”</w:t>
      </w:r>
      <w:r w:rsidRPr="00481B31">
        <w:rPr>
          <w:rFonts w:ascii="Palatino Linotype" w:hAnsi="Palatino Linotype"/>
        </w:rPr>
        <w:t xml:space="preserve"> los dos principios en conflicto, o en encontrar un punto de “</w:t>
      </w:r>
      <w:r w:rsidRPr="00481B31">
        <w:rPr>
          <w:rFonts w:ascii="Palatino Linotype" w:hAnsi="Palatino Linotype"/>
          <w:i/>
          <w:iCs/>
        </w:rPr>
        <w:t>equilibrio”</w:t>
      </w:r>
      <w:r w:rsidRPr="00481B31">
        <w:rPr>
          <w:rFonts w:ascii="Palatino Linotype" w:hAnsi="Palatino Linotype"/>
        </w:rPr>
        <w:t xml:space="preserve"> entre ellos. No consiste en la aplicación o en el sacrificio parcial de dos principios. </w:t>
      </w:r>
      <w:r w:rsidRPr="00481B31">
        <w:rPr>
          <w:rFonts w:ascii="Palatino Linotype" w:hAnsi="Palatino Linotype"/>
          <w:b/>
          <w:bCs/>
        </w:rPr>
        <w:t xml:space="preserve">Uno de los dos principios es aplicado, el otro es ciertamente acantonado.” </w:t>
      </w:r>
      <w:r w:rsidRPr="00481B31">
        <w:rPr>
          <w:rFonts w:ascii="Palatino Linotype" w:hAnsi="Palatino Linotype"/>
        </w:rPr>
        <w:t xml:space="preserve">(información recuperada de la liga de acceso directo </w:t>
      </w:r>
      <w:hyperlink r:id="rId8" w:history="1">
        <w:r w:rsidRPr="00481B31">
          <w:rPr>
            <w:rStyle w:val="Hipervnculo"/>
            <w:rFonts w:ascii="Palatino Linotype" w:hAnsi="Palatino Linotype"/>
          </w:rPr>
          <w:t>https://e-archivo.uc3m.es/bitstream/handle/10016/26545/WF-18-03.pdf</w:t>
        </w:r>
      </w:hyperlink>
      <w:r w:rsidRPr="00481B31">
        <w:rPr>
          <w:rFonts w:ascii="Palatino Linotype" w:hAnsi="Palatino Linotype"/>
        </w:rPr>
        <w:t>).</w:t>
      </w:r>
      <w:r w:rsidRPr="00481B31">
        <w:rPr>
          <w:rFonts w:ascii="Palatino Linotype" w:hAnsi="Palatino Linotype"/>
          <w:b/>
          <w:bCs/>
        </w:rPr>
        <w:t xml:space="preserve"> </w:t>
      </w:r>
    </w:p>
    <w:p w14:paraId="16C1C44E" w14:textId="77777777" w:rsidR="00481B31" w:rsidRPr="00481B31" w:rsidRDefault="00481B31" w:rsidP="00481B31">
      <w:pPr>
        <w:spacing w:line="360" w:lineRule="auto"/>
        <w:jc w:val="both"/>
        <w:rPr>
          <w:rFonts w:ascii="Palatino Linotype" w:hAnsi="Palatino Linotype"/>
        </w:rPr>
      </w:pPr>
    </w:p>
    <w:p w14:paraId="22949EC8"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 En cuanto a la metodología de ponderación de derechos, es necesario citar el siguiente criterio contemplado en la Tesis Aislada de la Novena Época, con registro digital 174338, publicado en el Semanario Judicial de la Federación y su Gaceta, que establece: </w:t>
      </w:r>
    </w:p>
    <w:p w14:paraId="3A9C2C35" w14:textId="77777777" w:rsidR="00481B31" w:rsidRPr="00481B31" w:rsidRDefault="00481B31" w:rsidP="00481B31">
      <w:pPr>
        <w:spacing w:line="360" w:lineRule="auto"/>
        <w:jc w:val="both"/>
        <w:rPr>
          <w:rFonts w:ascii="Palatino Linotype" w:hAnsi="Palatino Linotype"/>
        </w:rPr>
      </w:pPr>
    </w:p>
    <w:p w14:paraId="1458C705"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
          <w:i/>
          <w:iCs/>
          <w:color w:val="000000"/>
          <w:lang w:eastAsia="es-ES_tradnl"/>
        </w:rPr>
        <w:t>SUSPENSIÓN EN EL AMPARO. CONFORME A LA TEORÍA DE PONDERACIÓN DE PRINCIPIOS DEBE NEGARSE SI EL INTERÉS SOCIAL CONSTITUCIONALMENTE TUTELADO ES PREFERENTE AL DEL PARTICULAR</w:t>
      </w:r>
      <w:r w:rsidRPr="00481B31">
        <w:rPr>
          <w:rFonts w:ascii="Palatino Linotype" w:eastAsia="Calibri" w:hAnsi="Palatino Linotype" w:cs="Tahoma"/>
          <w:bCs/>
          <w:i/>
          <w:iCs/>
          <w:color w:val="000000"/>
          <w:lang w:eastAsia="es-ES_tradnl"/>
        </w:rPr>
        <w:t xml:space="preserve">. Cuando dos derechos fundamentales entran en colisión, se debe resolver el problema atendiendo a las características y naturaleza del caso concreto, conforme al criterio de proporcionalidad, ponderando los elementos o subprincipios siguientes: a) idoneidad, la cual es la legitimidad constitucional del principio adoptado como preferente, por resultar ser el adecuado para el logro de un fin constitucionalmente válido o apto para conseguir el objetivo pretendido; b) necesidad, consistente en que no exista otro medio menos limitativo para satisfacer el fin del interés público y que sacrifique, en menor medida, los principios constitucionales afectados por el uso de esos medios; o sea, que resulte imprescindible la restricción, porque no exista un medio menos oneroso, en términos del sacrificio de otros principios constitucionales, para alcanzar el fin </w:t>
      </w:r>
      <w:r w:rsidRPr="00481B31">
        <w:rPr>
          <w:rFonts w:ascii="Palatino Linotype" w:eastAsia="Calibri" w:hAnsi="Palatino Linotype" w:cs="Tahoma"/>
          <w:bCs/>
          <w:i/>
          <w:iCs/>
          <w:color w:val="000000"/>
          <w:lang w:eastAsia="es-ES_tradnl"/>
        </w:rPr>
        <w:lastRenderedPageBreak/>
        <w:t xml:space="preserve">deseado y que afecten en menor grado los derechos fundamentales de los implicados; y c) el mandato de proporcionalidad entre medios y fines implica que al elegir entre un perjuicio y un beneficio a favor de dos bienes tutelados, el principio satisfecho o que resulta privilegiado lo sea en mayor proporción que el sacrificado. Esto es que no se renuncie o sacrifiquen valores y principios con mayor peso o medida a aquel que se desea satisfacer. Así, el derecho o principio que debe prevalecer, en el caso, es aquel que optimice los intereses en conflicto y, por ende, privilegiándose el que resulte indispensable y que conlleve a un mayor beneficio o cause un menor daño. Consecuentemente, tratándose de la suspensión debe negarse dicha medida cautelar cuando el interés social constitucionalmente tutelado es preferente al del particular, ya que el derecho o principio a primar debe ser aquel que cause un menor daño y el que resulta indispensable privilegiarse, o sea, el que evidentemente conlleve a un mayor beneficio.” (Sic) </w:t>
      </w:r>
    </w:p>
    <w:p w14:paraId="2CD7D585" w14:textId="77777777" w:rsidR="00481B31" w:rsidRPr="00481B31" w:rsidRDefault="00481B31" w:rsidP="00481B31">
      <w:pPr>
        <w:spacing w:line="360" w:lineRule="auto"/>
        <w:jc w:val="both"/>
        <w:rPr>
          <w:rFonts w:ascii="Palatino Linotype" w:hAnsi="Palatino Linotype"/>
        </w:rPr>
      </w:pPr>
    </w:p>
    <w:p w14:paraId="6F272CD3"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De lo que se desprende que, cuando dos derechos fundamentales entran en colisión debe resolverse el problema atendiendo a las características y naturaleza del caso concreto, conforme al criterio de proporcionalidad, ponderando los elementos o subprincipios siguientes: </w:t>
      </w:r>
      <w:r w:rsidRPr="00481B31">
        <w:rPr>
          <w:rFonts w:ascii="Palatino Linotype" w:hAnsi="Palatino Linotype"/>
          <w:b/>
          <w:bCs/>
        </w:rPr>
        <w:t>a) Idoneidad. b) necesidad y c) proporcionalidad:</w:t>
      </w:r>
      <w:r w:rsidRPr="00481B31">
        <w:rPr>
          <w:rFonts w:ascii="Palatino Linotype" w:hAnsi="Palatino Linotype"/>
        </w:rPr>
        <w:t xml:space="preserve"> </w:t>
      </w:r>
    </w:p>
    <w:p w14:paraId="4CEF8EDE" w14:textId="77777777" w:rsidR="00481B31" w:rsidRPr="00481B31" w:rsidRDefault="00481B31" w:rsidP="00481B31">
      <w:pPr>
        <w:spacing w:line="360" w:lineRule="auto"/>
        <w:jc w:val="both"/>
        <w:rPr>
          <w:rFonts w:ascii="Palatino Linotype" w:hAnsi="Palatino Linotype"/>
        </w:rPr>
      </w:pPr>
    </w:p>
    <w:p w14:paraId="1D48AA00" w14:textId="77777777" w:rsidR="00481B31" w:rsidRPr="00481B31" w:rsidRDefault="00481B31" w:rsidP="00481B31">
      <w:pPr>
        <w:pStyle w:val="Prrafodelista"/>
        <w:numPr>
          <w:ilvl w:val="0"/>
          <w:numId w:val="49"/>
        </w:numPr>
        <w:spacing w:line="360" w:lineRule="auto"/>
        <w:contextualSpacing/>
        <w:jc w:val="both"/>
        <w:rPr>
          <w:rFonts w:ascii="Palatino Linotype" w:hAnsi="Palatino Linotype"/>
          <w:b/>
          <w:bCs/>
        </w:rPr>
      </w:pPr>
      <w:r w:rsidRPr="00481B31">
        <w:rPr>
          <w:rFonts w:ascii="Palatino Linotype" w:hAnsi="Palatino Linotype"/>
          <w:b/>
          <w:bCs/>
        </w:rPr>
        <w:t>Análisis de la Idoneidad.</w:t>
      </w:r>
    </w:p>
    <w:p w14:paraId="07AE8331" w14:textId="77777777" w:rsidR="00481B31" w:rsidRPr="00481B31" w:rsidRDefault="00481B31" w:rsidP="00481B31">
      <w:pPr>
        <w:spacing w:line="360" w:lineRule="auto"/>
        <w:ind w:left="360"/>
        <w:jc w:val="both"/>
        <w:rPr>
          <w:rFonts w:ascii="Palatino Linotype" w:hAnsi="Palatino Linotype"/>
        </w:rPr>
      </w:pPr>
    </w:p>
    <w:p w14:paraId="4CEBA353"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Cabe recordar que, sin la intensión de entrar en materia de los derechos que involucran el procedimiento que únicamente compete a la Comisión de Límites del Gobierno del Estado de México, esta autoridad se abocara a la publicidad del </w:t>
      </w:r>
      <w:r w:rsidRPr="00481B31">
        <w:rPr>
          <w:rFonts w:ascii="Palatino Linotype" w:hAnsi="Palatino Linotype"/>
        </w:rPr>
        <w:lastRenderedPageBreak/>
        <w:t xml:space="preserve">expediente por motivo de la existencia de un interés social que motiva y obliga hacerla del dominio público. </w:t>
      </w:r>
    </w:p>
    <w:p w14:paraId="06E58DA8" w14:textId="77777777" w:rsidR="00481B31" w:rsidRPr="00481B31" w:rsidRDefault="00481B31" w:rsidP="00481B31">
      <w:pPr>
        <w:spacing w:line="360" w:lineRule="auto"/>
        <w:jc w:val="both"/>
        <w:rPr>
          <w:rFonts w:ascii="Palatino Linotype" w:hAnsi="Palatino Linotype"/>
        </w:rPr>
      </w:pPr>
    </w:p>
    <w:p w14:paraId="2F782C17"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Una vez puntualizado lo anterior, la presente solicitud de acceso a la información para este Órgano Garante del Derecho de Acceso a la Información evidencia el ejercicio del derecho de acceso a la información, en contraposición al derecho de sigilo que deben guardar los expedientes que se generan a raíz del procedimiento para la solución de diferendos limítrofes intermunicipales cuando aún no ha quedado firme o no haya concluido. </w:t>
      </w:r>
    </w:p>
    <w:p w14:paraId="304041D4" w14:textId="77777777" w:rsidR="00481B31" w:rsidRPr="00481B31" w:rsidRDefault="00481B31" w:rsidP="00481B31">
      <w:pPr>
        <w:spacing w:line="360" w:lineRule="auto"/>
        <w:jc w:val="both"/>
        <w:rPr>
          <w:rFonts w:ascii="Palatino Linotype" w:hAnsi="Palatino Linotype"/>
        </w:rPr>
      </w:pPr>
    </w:p>
    <w:p w14:paraId="2C2A22D5"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Al respecto, ambos derechos se encuentran reconocidos en el plano constitucional, en igualdad de características para los gobernados. Sin embargo, en el presente caso, existe una trascendencia social del caso relacionado con la información correspondiente al conflicto diferendo limítrofe con el municipio de Lerma, en atención a los siguientes argumentos: </w:t>
      </w:r>
    </w:p>
    <w:p w14:paraId="6786FD6C" w14:textId="77777777" w:rsidR="00481B31" w:rsidRPr="00481B31" w:rsidRDefault="00481B31" w:rsidP="00481B31">
      <w:pPr>
        <w:spacing w:line="360" w:lineRule="auto"/>
        <w:jc w:val="both"/>
        <w:rPr>
          <w:rFonts w:ascii="Palatino Linotype" w:hAnsi="Palatino Linotype"/>
        </w:rPr>
      </w:pPr>
    </w:p>
    <w:p w14:paraId="40B51358"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Primero, es precedente la publicidad del referido expediente en atención a la proyección pública de las partes, ya que de acuerdo al artículo 115 de la Constitución Política de los Estados Unidos Mexicanos, define al municipio como: </w:t>
      </w:r>
    </w:p>
    <w:p w14:paraId="7DB3DB26" w14:textId="77777777" w:rsidR="00481B31" w:rsidRPr="00481B31" w:rsidRDefault="00481B31" w:rsidP="00481B31">
      <w:pPr>
        <w:spacing w:line="360" w:lineRule="auto"/>
        <w:jc w:val="both"/>
        <w:rPr>
          <w:rFonts w:ascii="Palatino Linotype" w:hAnsi="Palatino Linotype"/>
        </w:rPr>
      </w:pPr>
    </w:p>
    <w:p w14:paraId="77EB4C3E"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t xml:space="preserve">“Artículo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8D8E814"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p>
    <w:p w14:paraId="544BFCFD"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
          <w:i/>
          <w:iCs/>
          <w:color w:val="000000"/>
          <w:lang w:eastAsia="es-ES_tradnl"/>
        </w:rPr>
        <w:lastRenderedPageBreak/>
        <w:t>I. Cada Municipio será gobernado por un Ayuntamiento de elección popular directa, integrado por un Presidente o Presidenta Municipal y el número de regidurías y sindicaturas que la ley determine, de conformidad con el principio de paridad.</w:t>
      </w:r>
      <w:r w:rsidRPr="00481B31">
        <w:rPr>
          <w:rFonts w:ascii="Palatino Linotype" w:eastAsia="Calibri" w:hAnsi="Palatino Linotype" w:cs="Tahoma"/>
          <w:bCs/>
          <w:i/>
          <w:iCs/>
          <w:color w:val="000000"/>
          <w:lang w:eastAsia="es-ES_tradnl"/>
        </w:rPr>
        <w:t xml:space="preserve"> </w:t>
      </w:r>
    </w:p>
    <w:p w14:paraId="023558D2"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p>
    <w:p w14:paraId="539D1AC6"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t xml:space="preserve">La competencia que esta Constitución otorga al gobierno municipal se ejercerá por el Ayuntamiento de manera exclusiva y no habrá autoridad intermedia alguna entre éste y el gobierno del Estado. </w:t>
      </w:r>
    </w:p>
    <w:p w14:paraId="4D18F765"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p>
    <w:p w14:paraId="51D7C9E3"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t xml:space="preserve">Las Constituciones de los estados deberán establecer la elección consecutiva para el mismo cargo de presidentes municipales, regidores y síndicos, por un período adicional, siempre y cuando el periodo del mandato de los ayuntamientos no sea superior a tres años. </w:t>
      </w:r>
    </w:p>
    <w:p w14:paraId="5E68EE64"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p>
    <w:p w14:paraId="7A8E65DD"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t xml:space="preserve">La postulación sólo podrá ser realizada por el mismo partido o por cualquiera de los partidos integrantes de la coalición que lo hubieren postulado, salvo que hayan renunciado o perdido su militancia antes de la mitad de su mandato. … </w:t>
      </w:r>
    </w:p>
    <w:p w14:paraId="43E6D2EF"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p>
    <w:p w14:paraId="0936FA36"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t xml:space="preserve">II. 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w:t>
      </w:r>
      <w:r w:rsidRPr="00481B31">
        <w:rPr>
          <w:rFonts w:ascii="Palatino Linotype" w:eastAsia="Calibri" w:hAnsi="Palatino Linotype" w:cs="Tahoma"/>
          <w:bCs/>
          <w:i/>
          <w:iCs/>
          <w:color w:val="000000"/>
          <w:lang w:eastAsia="es-ES_tradnl"/>
        </w:rPr>
        <w:lastRenderedPageBreak/>
        <w:t xml:space="preserve">regulen las materias, procedimientos, funciones y servicios públicos de su competencia y aseguren la participación ciudadana y vecinal. </w:t>
      </w:r>
    </w:p>
    <w:p w14:paraId="1D29A5DD"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p>
    <w:p w14:paraId="61CCC442"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t xml:space="preserve">El objeto de las leyes a que se refiere el párrafo anterior será establecer: </w:t>
      </w:r>
    </w:p>
    <w:p w14:paraId="079201EE"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p>
    <w:p w14:paraId="0760B4CC"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t xml:space="preserve">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legalidad…(Sic) </w:t>
      </w:r>
    </w:p>
    <w:p w14:paraId="2404A577" w14:textId="77777777" w:rsidR="00481B31" w:rsidRPr="00481B31" w:rsidRDefault="00481B31" w:rsidP="00481B31">
      <w:pPr>
        <w:spacing w:line="360" w:lineRule="auto"/>
        <w:ind w:left="567" w:right="539"/>
        <w:jc w:val="both"/>
        <w:rPr>
          <w:rFonts w:ascii="Palatino Linotype" w:hAnsi="Palatino Linotype"/>
        </w:rPr>
      </w:pPr>
    </w:p>
    <w:p w14:paraId="614C9846"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Lo que se robustece con lo señalado por el artículo 1 de la Ley Municipal del Estado de México, que señala: </w:t>
      </w:r>
    </w:p>
    <w:p w14:paraId="527AB1A9" w14:textId="77777777" w:rsidR="00481B31" w:rsidRPr="00481B31" w:rsidRDefault="00481B31" w:rsidP="00481B31">
      <w:pPr>
        <w:spacing w:line="360" w:lineRule="auto"/>
        <w:jc w:val="both"/>
        <w:rPr>
          <w:rFonts w:ascii="Palatino Linotype" w:hAnsi="Palatino Linotype"/>
        </w:rPr>
      </w:pPr>
    </w:p>
    <w:p w14:paraId="47FE8061"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r w:rsidRPr="00481B31">
        <w:rPr>
          <w:rFonts w:ascii="Palatino Linotype" w:eastAsia="Calibri" w:hAnsi="Palatino Linotype" w:cs="Tahoma"/>
          <w:bCs/>
          <w:i/>
          <w:iCs/>
          <w:color w:val="000000"/>
          <w:lang w:eastAsia="es-ES_tradnl"/>
        </w:rPr>
        <w:t xml:space="preserve">“Artículo 1.- Esta Ley es de interés público y tiene por objeto regular las bases para la integración y organización del territorio, la población, el gobierno y la administración pública municipales. </w:t>
      </w:r>
    </w:p>
    <w:p w14:paraId="098FD6DE" w14:textId="77777777" w:rsidR="00481B31" w:rsidRPr="00481B31" w:rsidRDefault="00481B31" w:rsidP="00481B31">
      <w:pPr>
        <w:spacing w:line="360" w:lineRule="auto"/>
        <w:ind w:left="567" w:right="539"/>
        <w:jc w:val="both"/>
        <w:rPr>
          <w:rFonts w:ascii="Palatino Linotype" w:eastAsia="Calibri" w:hAnsi="Palatino Linotype" w:cs="Tahoma"/>
          <w:bCs/>
          <w:i/>
          <w:iCs/>
          <w:color w:val="000000"/>
          <w:lang w:eastAsia="es-ES_tradnl"/>
        </w:rPr>
      </w:pPr>
    </w:p>
    <w:p w14:paraId="6E32BD04" w14:textId="77777777" w:rsidR="00481B31" w:rsidRPr="00481B31" w:rsidRDefault="00481B31" w:rsidP="00481B31">
      <w:pPr>
        <w:spacing w:line="360" w:lineRule="auto"/>
        <w:ind w:left="567" w:right="539"/>
        <w:jc w:val="both"/>
        <w:rPr>
          <w:rFonts w:ascii="Palatino Linotype" w:eastAsia="Calibri" w:hAnsi="Palatino Linotype" w:cs="Tahoma"/>
          <w:b/>
          <w:i/>
          <w:iCs/>
          <w:color w:val="000000"/>
          <w:lang w:eastAsia="es-ES_tradnl"/>
        </w:rPr>
      </w:pPr>
      <w:r w:rsidRPr="00481B31">
        <w:rPr>
          <w:rFonts w:ascii="Palatino Linotype" w:eastAsia="Calibri" w:hAnsi="Palatino Linotype" w:cs="Tahoma"/>
          <w:b/>
          <w:i/>
          <w:iCs/>
          <w:color w:val="000000"/>
          <w:lang w:eastAsia="es-ES_tradnl"/>
        </w:rPr>
        <w:t xml:space="preserve">El municipio libre 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en términos del Artículo 115 de la Constitución Política de los Estados Unidos Mexicanos.” (sic) </w:t>
      </w:r>
    </w:p>
    <w:p w14:paraId="2B8A2F67" w14:textId="77777777" w:rsidR="00481B31" w:rsidRPr="00481B31" w:rsidRDefault="00481B31" w:rsidP="00481B31">
      <w:pPr>
        <w:spacing w:line="360" w:lineRule="auto"/>
        <w:jc w:val="both"/>
        <w:rPr>
          <w:rFonts w:ascii="Palatino Linotype" w:hAnsi="Palatino Linotype"/>
        </w:rPr>
      </w:pPr>
    </w:p>
    <w:p w14:paraId="6F493A16"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lastRenderedPageBreak/>
        <w:t xml:space="preserve">Por lo que se precisa la existencia de elementos objetivos que permiten demostrar la relevancia del asunto por virtud de tratarse de municipios que son conocidos por todos, es decir, son entes públicos ya que su esencia es realizar actividades de interés público. </w:t>
      </w:r>
    </w:p>
    <w:p w14:paraId="67465C9E" w14:textId="77777777" w:rsidR="00481B31" w:rsidRPr="00481B31" w:rsidRDefault="00481B31" w:rsidP="00481B31">
      <w:pPr>
        <w:spacing w:line="360" w:lineRule="auto"/>
        <w:jc w:val="both"/>
        <w:rPr>
          <w:rFonts w:ascii="Palatino Linotype" w:hAnsi="Palatino Linotype"/>
        </w:rPr>
      </w:pPr>
    </w:p>
    <w:p w14:paraId="115C18B4" w14:textId="50945BF6"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En tal contexto, la única forma que tiene la ciudadanía en general de constatar el buen funcionamiento y actuar de la Comisión de Límites de</w:t>
      </w:r>
      <w:r w:rsidR="00A24A04">
        <w:rPr>
          <w:rFonts w:ascii="Palatino Linotype" w:hAnsi="Palatino Linotype"/>
        </w:rPr>
        <w:t>l Gobierno del Estado de México</w:t>
      </w:r>
      <w:r w:rsidRPr="00481B31">
        <w:rPr>
          <w:rFonts w:ascii="Palatino Linotype" w:hAnsi="Palatino Linotype"/>
        </w:rPr>
        <w:t xml:space="preserve">, es accediendo a esta actuación de dicha autoridad mediante el derecho de acceso a la información pública, lo que le permitirá valorar el desempeño y actuar en el expediente que contiene relacionado con los conflictos por límites territoriales del municipio de Teoloyucan, Cuautitlán y Cuautitlán Izcalli, al verse involucrados entes públicos. </w:t>
      </w:r>
    </w:p>
    <w:p w14:paraId="152C7C2C" w14:textId="77777777" w:rsidR="00481B31" w:rsidRPr="00481B31" w:rsidRDefault="00481B31" w:rsidP="00481B31">
      <w:pPr>
        <w:spacing w:line="360" w:lineRule="auto"/>
        <w:jc w:val="both"/>
        <w:rPr>
          <w:rFonts w:ascii="Palatino Linotype" w:hAnsi="Palatino Linotype"/>
        </w:rPr>
      </w:pPr>
    </w:p>
    <w:p w14:paraId="66A46219" w14:textId="6698D14B"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Ante este panorama, es que se considera que existe un inminente interés público de conocer el expediente que contiene el conflicto por límites territoriales del municipio de Teoloyucan, Cuautitlán y Cuautitlán Izcalli como toda la documentación relacionada, pues el permitir el acceso a la misma fomentaría la transparencia de las actividades de la Comisión de Límites del Gobierno del Estado de México como del Ayuntamiento de Teoloyucan, promoviendo de manera implícita la responsabilidad de los funcionarios sobre su gestión pública, es decir, se considera que el derecho de acceso a la información es el medio que colma el principio de idoneidad para la rendición de cuentas por parte de la autoridad sobre la efectiva investigación de hechos que son de la más alta relevancia, al estar relacionados con el quehacer público y el desempeño de los servidores públicos. </w:t>
      </w:r>
    </w:p>
    <w:p w14:paraId="4B54492D" w14:textId="77777777" w:rsidR="00481B31" w:rsidRPr="00481B31" w:rsidRDefault="00481B31" w:rsidP="00481B31">
      <w:pPr>
        <w:spacing w:line="360" w:lineRule="auto"/>
        <w:jc w:val="both"/>
        <w:rPr>
          <w:rFonts w:ascii="Palatino Linotype" w:hAnsi="Palatino Linotype"/>
        </w:rPr>
      </w:pPr>
    </w:p>
    <w:p w14:paraId="7B8812FE"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lastRenderedPageBreak/>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las autoridades, en el caso de mérito. </w:t>
      </w:r>
    </w:p>
    <w:p w14:paraId="2E4D9DB3" w14:textId="77777777" w:rsidR="00481B31" w:rsidRPr="00481B31" w:rsidRDefault="00481B31" w:rsidP="00481B31">
      <w:pPr>
        <w:spacing w:line="360" w:lineRule="auto"/>
        <w:jc w:val="both"/>
        <w:rPr>
          <w:rFonts w:ascii="Palatino Linotype" w:hAnsi="Palatino Linotype"/>
        </w:rPr>
      </w:pPr>
    </w:p>
    <w:p w14:paraId="72A7A694" w14:textId="77777777" w:rsidR="00481B31" w:rsidRPr="00481B31" w:rsidRDefault="00481B31" w:rsidP="00481B31">
      <w:pPr>
        <w:pStyle w:val="Prrafodelista"/>
        <w:numPr>
          <w:ilvl w:val="0"/>
          <w:numId w:val="49"/>
        </w:numPr>
        <w:spacing w:line="360" w:lineRule="auto"/>
        <w:contextualSpacing/>
        <w:jc w:val="both"/>
        <w:rPr>
          <w:rFonts w:ascii="Palatino Linotype" w:hAnsi="Palatino Linotype"/>
          <w:b/>
          <w:bCs/>
        </w:rPr>
      </w:pPr>
      <w:r w:rsidRPr="00481B31">
        <w:rPr>
          <w:rFonts w:ascii="Palatino Linotype" w:hAnsi="Palatino Linotype"/>
          <w:b/>
          <w:bCs/>
        </w:rPr>
        <w:t>Análisis de la Necesidad.</w:t>
      </w:r>
    </w:p>
    <w:p w14:paraId="24AE71B4" w14:textId="77777777" w:rsidR="00481B31" w:rsidRPr="00481B31" w:rsidRDefault="00481B31" w:rsidP="00481B31">
      <w:pPr>
        <w:spacing w:line="360" w:lineRule="auto"/>
        <w:jc w:val="both"/>
        <w:rPr>
          <w:rFonts w:ascii="Palatino Linotype" w:hAnsi="Palatino Linotype"/>
        </w:rPr>
      </w:pPr>
    </w:p>
    <w:p w14:paraId="534CDCA2"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Nuestra carta magna, así como diversos ordenamientos reconocen los principios bajo los cuales deben regirse los procedimientos administrativos, como lo es el principio de publicidad que implica el deber del dictaminador de procurar que el proceso se desarrolle con conocimiento público, es decir, se admite la posibilidad de que el desarrollo general del proceso y determinados actos procesales sean de conocimiento de cualquier interesado, este principio constituye una garantía de la administración de la justicia, a fin de demostrar que no existe algo escondido en el proceso, que preste a suspicacias de las partes o duda en cuanto a la imparcialidad de la autoridad señalada. </w:t>
      </w:r>
    </w:p>
    <w:p w14:paraId="46B90F50" w14:textId="77777777" w:rsidR="00481B31" w:rsidRPr="00481B31" w:rsidRDefault="00481B31" w:rsidP="00481B31">
      <w:pPr>
        <w:spacing w:line="360" w:lineRule="auto"/>
        <w:jc w:val="both"/>
        <w:rPr>
          <w:rFonts w:ascii="Palatino Linotype" w:hAnsi="Palatino Linotype"/>
        </w:rPr>
      </w:pPr>
    </w:p>
    <w:p w14:paraId="448D4F72"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En este sentido, la Corte Interamericana de Derechos Humanos al resolver el Caso </w:t>
      </w:r>
      <w:r w:rsidRPr="00481B31">
        <w:rPr>
          <w:rFonts w:ascii="Palatino Linotype" w:hAnsi="Palatino Linotype"/>
          <w:i/>
          <w:iCs/>
        </w:rPr>
        <w:t xml:space="preserve">Claude Reyes y otros vs. Chile </w:t>
      </w:r>
      <w:r w:rsidRPr="00481B31">
        <w:rPr>
          <w:rFonts w:ascii="Palatino Linotype" w:hAnsi="Palatino Linotype"/>
        </w:rPr>
        <w:t xml:space="preserve">, estimó que el actuar del Estado debe encontrarse regido por los principios de publicidad y transparencia en la gestión pública haciendo posible que las personas que se encuentran bajo su jurisdicción ejerzan el control democrático de las gestiones estatales, de forma tal que, puedan cuestionar, indagar y considerar si se está dando un adecuado cumplimiento de las funciones públicas. </w:t>
      </w:r>
    </w:p>
    <w:p w14:paraId="7C2DAB04" w14:textId="77777777" w:rsidR="00481B31" w:rsidRPr="00481B31" w:rsidRDefault="00481B31" w:rsidP="00481B31">
      <w:pPr>
        <w:spacing w:line="360" w:lineRule="auto"/>
        <w:jc w:val="both"/>
        <w:rPr>
          <w:rFonts w:ascii="Palatino Linotype" w:hAnsi="Palatino Linotype"/>
        </w:rPr>
      </w:pPr>
    </w:p>
    <w:p w14:paraId="7F06BA27"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Así, la divulgación de la información en poder del Estado, que sea de interés público, juega un rol muy importante en una sociedad democrática, pues habilita a la sociedad civil para controlar las acciones del gobierno a quien ha confiado la protección de sus intereses, lo cual es necesario para evitar abusos de los funcionarios gubernamentales, promover la rendición de cuentas y la transparencia dentro del Estado y permitir un debate público sólido e informado para asegurar la garantía de contar con recursos efectivos contra tales abusos. </w:t>
      </w:r>
    </w:p>
    <w:p w14:paraId="40205431" w14:textId="77777777" w:rsidR="00481B31" w:rsidRPr="00481B31" w:rsidRDefault="00481B31" w:rsidP="00481B31">
      <w:pPr>
        <w:spacing w:line="360" w:lineRule="auto"/>
        <w:jc w:val="both"/>
        <w:rPr>
          <w:rFonts w:ascii="Palatino Linotype" w:hAnsi="Palatino Linotype"/>
        </w:rPr>
      </w:pPr>
    </w:p>
    <w:p w14:paraId="334AB68A"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En este sentido, este Instituto observa que también se actualiza el principio de necesidad, ya que no existe un medio menos oneroso para lograr el fin constitucionalmente válido, en tanto que el ejercicio del derecho de acceso a la información es la única vía para que cualquier persona acceda al multirreferido expediente. </w:t>
      </w:r>
    </w:p>
    <w:p w14:paraId="5449A4B2" w14:textId="77777777" w:rsidR="00481B31" w:rsidRPr="00481B31" w:rsidRDefault="00481B31" w:rsidP="00481B31">
      <w:pPr>
        <w:spacing w:line="360" w:lineRule="auto"/>
        <w:jc w:val="both"/>
        <w:rPr>
          <w:rFonts w:ascii="Palatino Linotype" w:hAnsi="Palatino Linotype"/>
        </w:rPr>
      </w:pPr>
    </w:p>
    <w:p w14:paraId="28403554"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La necesidad de hacer pública el multicitado expediente deriva de la trascendencia social al involucrar entes públicos como quedó demostrado. </w:t>
      </w:r>
    </w:p>
    <w:p w14:paraId="424AAA3D" w14:textId="77777777" w:rsidR="00481B31" w:rsidRPr="00481B31" w:rsidRDefault="00481B31" w:rsidP="00481B31">
      <w:pPr>
        <w:spacing w:line="360" w:lineRule="auto"/>
        <w:jc w:val="both"/>
        <w:rPr>
          <w:rFonts w:ascii="Palatino Linotype" w:hAnsi="Palatino Linotype"/>
        </w:rPr>
      </w:pPr>
    </w:p>
    <w:p w14:paraId="4571AE04" w14:textId="0FA21DCA"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Así mismo, el acceso a la información al expediente que contiene el conflicto por límites territoriales del municipio de municipio de Teoloyucan, Cuautitlán y Cuautitlán Izcalli como toda la documentación relacionada, es una aportación a la rendición de cuentas, que evidencia el actuar de la autoridad encarga del asunto como del Ayuntamiento de Teoloyucan en términos de su competencia y atribuciones. </w:t>
      </w:r>
    </w:p>
    <w:p w14:paraId="352DB0B6" w14:textId="77777777" w:rsidR="00481B31" w:rsidRPr="00481B31" w:rsidRDefault="00481B31" w:rsidP="00481B31">
      <w:pPr>
        <w:spacing w:line="360" w:lineRule="auto"/>
        <w:jc w:val="both"/>
        <w:rPr>
          <w:rFonts w:ascii="Palatino Linotype" w:hAnsi="Palatino Linotype"/>
        </w:rPr>
      </w:pPr>
    </w:p>
    <w:p w14:paraId="34E1071E" w14:textId="77777777" w:rsidR="00481B31" w:rsidRPr="00481B31" w:rsidRDefault="00481B31" w:rsidP="00481B31">
      <w:pPr>
        <w:pStyle w:val="Prrafodelista"/>
        <w:numPr>
          <w:ilvl w:val="0"/>
          <w:numId w:val="49"/>
        </w:numPr>
        <w:spacing w:line="360" w:lineRule="auto"/>
        <w:contextualSpacing/>
        <w:jc w:val="both"/>
        <w:rPr>
          <w:rFonts w:ascii="Palatino Linotype" w:hAnsi="Palatino Linotype"/>
          <w:b/>
          <w:bCs/>
        </w:rPr>
      </w:pPr>
      <w:r w:rsidRPr="00481B31">
        <w:rPr>
          <w:rFonts w:ascii="Palatino Linotype" w:hAnsi="Palatino Linotype"/>
          <w:b/>
          <w:bCs/>
        </w:rPr>
        <w:lastRenderedPageBreak/>
        <w:t xml:space="preserve">Análisis de la Proporcionalidad </w:t>
      </w:r>
    </w:p>
    <w:p w14:paraId="37DACAF0" w14:textId="77777777" w:rsidR="00481B31" w:rsidRPr="00481B31" w:rsidRDefault="00481B31" w:rsidP="00481B31">
      <w:pPr>
        <w:spacing w:line="360" w:lineRule="auto"/>
        <w:jc w:val="both"/>
        <w:rPr>
          <w:rFonts w:ascii="Palatino Linotype" w:hAnsi="Palatino Linotype"/>
        </w:rPr>
      </w:pPr>
    </w:p>
    <w:p w14:paraId="5FA82623"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El divulgar una decisión tomada por una autoridad derivado de un procedimiento que no ha concluido, pero que le reviste el carácter de interés público, permite conocer de alguna forma los elementos tomados en consideración por éste para resolver en tal o cual sentido u otorgar el beneficio del derecho a tal o cual persona y, por ende, se justifica en razón de que se satisface el interés público de valorar el desempeño, la eficiencia y eficacia del dictaminador en el caso que se analiza. </w:t>
      </w:r>
    </w:p>
    <w:p w14:paraId="50CBFB75" w14:textId="77777777" w:rsidR="00481B31" w:rsidRPr="00481B31" w:rsidRDefault="00481B31" w:rsidP="00481B31">
      <w:pPr>
        <w:spacing w:line="360" w:lineRule="auto"/>
        <w:jc w:val="both"/>
        <w:rPr>
          <w:rFonts w:ascii="Palatino Linotype" w:hAnsi="Palatino Linotype"/>
        </w:rPr>
      </w:pPr>
    </w:p>
    <w:p w14:paraId="3C7AA32D" w14:textId="77777777"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Entonces es posible advertir un margen de beneficio mayor al favorecer el derecho de acceso a la información, respecto de la secrecía al expediente que contiene el conflicto de límites territoriales multicitado, pues favorece la rendición de cuentas a los ciudadanos, de manera que puedan valorar el desempeño del Ayuntamiento de Teoloyucan como de la Comisión de Límites del Gobierno del Estado de México y fortalece el escrutinio ciudadano sobre sus actividades sustantivas. </w:t>
      </w:r>
    </w:p>
    <w:p w14:paraId="47D2CFDC" w14:textId="77777777" w:rsidR="00481B31" w:rsidRPr="00481B31" w:rsidRDefault="00481B31" w:rsidP="00481B31">
      <w:pPr>
        <w:spacing w:line="360" w:lineRule="auto"/>
        <w:jc w:val="both"/>
        <w:rPr>
          <w:rFonts w:ascii="Palatino Linotype" w:hAnsi="Palatino Linotype"/>
        </w:rPr>
      </w:pPr>
    </w:p>
    <w:p w14:paraId="7D7D14F1" w14:textId="77777777" w:rsid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 xml:space="preserve">De tal suerte, que la intervención que subsume este ejercicio de ponderación apunta a la obtención de mayores efectos positivos para la sociedad y una afectación menor en el bien Jurídico de secrecía al expediente tomada por el Sujeto Obligado, favoreciendo el control ciudadano. </w:t>
      </w:r>
    </w:p>
    <w:p w14:paraId="127F0E4D" w14:textId="77777777" w:rsidR="00A24A04" w:rsidRPr="00A24A04" w:rsidRDefault="00A24A04" w:rsidP="00A24A04">
      <w:pPr>
        <w:pStyle w:val="Prrafodelista"/>
        <w:rPr>
          <w:rFonts w:ascii="Palatino Linotype" w:hAnsi="Palatino Linotype"/>
        </w:rPr>
      </w:pPr>
    </w:p>
    <w:p w14:paraId="08E9F595" w14:textId="77777777" w:rsidR="00A24A04" w:rsidRPr="00481B31" w:rsidRDefault="00A24A04" w:rsidP="00A24A04">
      <w:pPr>
        <w:pStyle w:val="Prrafodelista"/>
        <w:spacing w:line="360" w:lineRule="auto"/>
        <w:ind w:left="0" w:right="34"/>
        <w:contextualSpacing/>
        <w:jc w:val="both"/>
        <w:rPr>
          <w:rFonts w:ascii="Palatino Linotype" w:hAnsi="Palatino Linotype"/>
        </w:rPr>
      </w:pPr>
    </w:p>
    <w:p w14:paraId="42996294" w14:textId="433EDE9F" w:rsidR="00481B31" w:rsidRPr="00481B31" w:rsidRDefault="00A24A04" w:rsidP="00481B31">
      <w:pPr>
        <w:pStyle w:val="Prrafodelista"/>
        <w:numPr>
          <w:ilvl w:val="0"/>
          <w:numId w:val="36"/>
        </w:numPr>
        <w:spacing w:line="360" w:lineRule="auto"/>
        <w:ind w:left="0" w:right="34" w:firstLine="0"/>
        <w:contextualSpacing/>
        <w:jc w:val="both"/>
        <w:rPr>
          <w:rFonts w:ascii="Palatino Linotype" w:hAnsi="Palatino Linotype"/>
        </w:rPr>
      </w:pPr>
      <w:r>
        <w:rPr>
          <w:rFonts w:ascii="Palatino Linotype" w:hAnsi="Palatino Linotype"/>
        </w:rPr>
        <w:lastRenderedPageBreak/>
        <w:t>En conclusión el Sujeto Obligado</w:t>
      </w:r>
      <w:r w:rsidR="00481B31" w:rsidRPr="00481B31">
        <w:rPr>
          <w:rFonts w:ascii="Palatino Linotype" w:hAnsi="Palatino Linotype"/>
        </w:rPr>
        <w:t>, dejó de atender el</w:t>
      </w:r>
      <w:r>
        <w:rPr>
          <w:rFonts w:ascii="Palatino Linotype" w:hAnsi="Palatino Linotype"/>
        </w:rPr>
        <w:t xml:space="preserve"> requerimiento de información por el cual este instituto</w:t>
      </w:r>
      <w:r w:rsidR="00481B31" w:rsidRPr="00481B31">
        <w:rPr>
          <w:rFonts w:ascii="Palatino Linotype" w:hAnsi="Palatino Linotype"/>
        </w:rPr>
        <w:t xml:space="preserve">; bajo estas circunstancias, este Organismo Garante en la materia de transparencia, identificó la necesidad de realizar la prueba de daño y la prueba de interés público, para determinar la naturaleza de la información y concluyó que la misma es susceptible de ser entregada en ejercicio del derecho de acceso a la información pública, pues si bien encuadra en algunas de las excepciones a la publicidad de la información establecida en la Ley General de Transparencia y Acceso a la Información Pública, replicada en el artículo 140 de la ley local, al no pasar de manera plena la prueba de daño y además tratarse de información relacionada con motivos de interés público acreditado así a través de la prueba de interés público, se considera procedente dar publicidad a la información, pues su difusión contribuirá tanto a garantizar el ejercicio de acceso a la información, como a favorecer la rendición de cuentas a los ciudadanos, de manera que </w:t>
      </w:r>
      <w:r>
        <w:rPr>
          <w:rFonts w:ascii="Palatino Linotype" w:hAnsi="Palatino Linotype"/>
        </w:rPr>
        <w:t xml:space="preserve">puedan valorar el desempeño </w:t>
      </w:r>
      <w:r w:rsidR="00481B31" w:rsidRPr="00481B31">
        <w:rPr>
          <w:rFonts w:ascii="Palatino Linotype" w:hAnsi="Palatino Linotype"/>
        </w:rPr>
        <w:t xml:space="preserve">de la Comisión de Límites del Gobierno del Estado de México, fortaleciendo el escrutinio ciudadano sobre sus actividades sustantivas, cumpliendo así con los ideales planteados en los objetivos previstos en el artículo 2 de la Ley de Transparencia y Acceso a la información Pública del estado de México y Municipios. </w:t>
      </w:r>
    </w:p>
    <w:p w14:paraId="11679984" w14:textId="77777777" w:rsidR="00481B31" w:rsidRPr="00481B31" w:rsidRDefault="00481B31" w:rsidP="00481B31">
      <w:pPr>
        <w:spacing w:line="360" w:lineRule="auto"/>
        <w:jc w:val="both"/>
        <w:rPr>
          <w:rFonts w:ascii="Palatino Linotype" w:hAnsi="Palatino Linotype"/>
        </w:rPr>
      </w:pPr>
    </w:p>
    <w:p w14:paraId="4E7916F2" w14:textId="73CFE0A4" w:rsidR="00481B31" w:rsidRPr="00481B31" w:rsidRDefault="00481B31" w:rsidP="00481B31">
      <w:pPr>
        <w:pStyle w:val="Prrafodelista"/>
        <w:numPr>
          <w:ilvl w:val="0"/>
          <w:numId w:val="36"/>
        </w:numPr>
        <w:spacing w:line="360" w:lineRule="auto"/>
        <w:ind w:left="0" w:right="34" w:firstLine="0"/>
        <w:contextualSpacing/>
        <w:jc w:val="both"/>
        <w:rPr>
          <w:rFonts w:ascii="Palatino Linotype" w:hAnsi="Palatino Linotype"/>
        </w:rPr>
      </w:pPr>
      <w:r w:rsidRPr="00481B31">
        <w:rPr>
          <w:rFonts w:ascii="Palatino Linotype" w:hAnsi="Palatino Linotype"/>
        </w:rPr>
        <w:t>Razones por la cuales, resulta improcedente tener por acreditar la información en carácter de reservada en el presente caso en particular, por los motivos y fundamentos expuestos en el presente considerando; por consiguiente, lo dable es ordenar el expediente completo en el formato que se haya generado, de todo lo relacionado con el diferendo limítrofe del municipio de Teoloyucan, Cuautitlán y Cuautitlán Izcalli.</w:t>
      </w:r>
    </w:p>
    <w:p w14:paraId="7611BEF8" w14:textId="77777777" w:rsidR="00481B31" w:rsidRPr="00481B31" w:rsidRDefault="00481B31" w:rsidP="00481B31">
      <w:pPr>
        <w:spacing w:before="240" w:after="360" w:line="360" w:lineRule="auto"/>
        <w:contextualSpacing/>
        <w:jc w:val="both"/>
        <w:rPr>
          <w:rFonts w:ascii="Palatino Linotype" w:eastAsia="Calibri" w:hAnsi="Palatino Linotype"/>
          <w:b/>
        </w:rPr>
      </w:pPr>
    </w:p>
    <w:p w14:paraId="76444D5D" w14:textId="37283FAA" w:rsidR="008F1049" w:rsidRPr="00481B31" w:rsidRDefault="00AC3EC5" w:rsidP="000C1184">
      <w:pPr>
        <w:keepNext/>
        <w:keepLines/>
        <w:spacing w:before="240" w:line="360" w:lineRule="auto"/>
        <w:outlineLvl w:val="0"/>
        <w:rPr>
          <w:rFonts w:ascii="Palatino Linotype" w:eastAsia="MS Mincho" w:hAnsi="Palatino Linotype"/>
          <w:b/>
          <w:lang w:val="es-ES_tradnl"/>
        </w:rPr>
      </w:pPr>
      <w:bookmarkStart w:id="54" w:name="_Toc34310247"/>
      <w:bookmarkStart w:id="55" w:name="_Toc34849558"/>
      <w:bookmarkStart w:id="56" w:name="_Toc53659481"/>
      <w:bookmarkStart w:id="57" w:name="_Toc67598514"/>
      <w:bookmarkStart w:id="58" w:name="_Toc69999203"/>
      <w:bookmarkStart w:id="59" w:name="_Toc73033012"/>
      <w:bookmarkStart w:id="60" w:name="_Toc85137167"/>
      <w:bookmarkStart w:id="61" w:name="_Toc466371865"/>
      <w:bookmarkStart w:id="62" w:name="_Toc466377653"/>
      <w:bookmarkEnd w:id="45"/>
      <w:bookmarkEnd w:id="46"/>
      <w:bookmarkEnd w:id="47"/>
      <w:bookmarkEnd w:id="48"/>
      <w:bookmarkEnd w:id="49"/>
      <w:r w:rsidRPr="00481B31">
        <w:rPr>
          <w:rFonts w:ascii="Palatino Linotype" w:eastAsia="MS Gothic" w:hAnsi="Palatino Linotype"/>
          <w:b/>
          <w:lang w:val="es-ES_tradnl" w:eastAsia="es-ES_tradnl"/>
        </w:rPr>
        <w:t>QUINTO</w:t>
      </w:r>
      <w:r w:rsidR="008F1049" w:rsidRPr="00481B31">
        <w:rPr>
          <w:rFonts w:ascii="Palatino Linotype" w:eastAsia="MS Gothic" w:hAnsi="Palatino Linotype"/>
          <w:b/>
          <w:lang w:val="es-ES_tradnl" w:eastAsia="es-ES_tradnl"/>
        </w:rPr>
        <w:t xml:space="preserve">. </w:t>
      </w:r>
      <w:r w:rsidR="008F1049" w:rsidRPr="00481B31">
        <w:rPr>
          <w:rFonts w:ascii="Palatino Linotype" w:eastAsia="MS Mincho" w:hAnsi="Palatino Linotype"/>
          <w:b/>
          <w:lang w:val="es-ES_tradnl"/>
        </w:rPr>
        <w:t>De la elaboración de la versión pública y el acuerdo de clasificación como información confidencial</w:t>
      </w:r>
      <w:bookmarkEnd w:id="54"/>
      <w:bookmarkEnd w:id="55"/>
      <w:bookmarkEnd w:id="56"/>
      <w:bookmarkEnd w:id="57"/>
      <w:bookmarkEnd w:id="58"/>
      <w:bookmarkEnd w:id="59"/>
      <w:r w:rsidR="007F4FC6" w:rsidRPr="00481B31">
        <w:rPr>
          <w:rFonts w:ascii="Palatino Linotype" w:eastAsia="MS Mincho" w:hAnsi="Palatino Linotype"/>
          <w:b/>
          <w:lang w:val="es-ES_tradnl"/>
        </w:rPr>
        <w:t>.</w:t>
      </w:r>
      <w:bookmarkEnd w:id="60"/>
    </w:p>
    <w:p w14:paraId="322010E5" w14:textId="4F0FA5C5" w:rsidR="00A90703" w:rsidRPr="00481B31" w:rsidRDefault="00DC4A66" w:rsidP="000C1184">
      <w:pPr>
        <w:pStyle w:val="Prrafodelista"/>
        <w:numPr>
          <w:ilvl w:val="0"/>
          <w:numId w:val="38"/>
        </w:numPr>
        <w:spacing w:before="240" w:after="240" w:line="360" w:lineRule="auto"/>
        <w:ind w:left="0" w:hanging="11"/>
        <w:contextualSpacing/>
        <w:jc w:val="both"/>
        <w:rPr>
          <w:rFonts w:ascii="Palatino Linotype" w:hAnsi="Palatino Linotype" w:cs="Arial"/>
        </w:rPr>
      </w:pPr>
      <w:r w:rsidRPr="00481B31">
        <w:rPr>
          <w:rFonts w:ascii="Palatino Linotype" w:hAnsi="Palatino Linotype" w:cs="Arial"/>
          <w:color w:val="000000"/>
          <w:lang w:val="es-ES_tradnl"/>
        </w:rPr>
        <w:t xml:space="preserve"> D</w:t>
      </w:r>
      <w:r w:rsidR="008F1049" w:rsidRPr="00481B31">
        <w:rPr>
          <w:rFonts w:ascii="Palatino Linotype" w:hAnsi="Palatino Linotype" w:cs="Arial"/>
          <w:color w:val="000000"/>
          <w:lang w:val="es-ES_tradnl"/>
        </w:rPr>
        <w:t xml:space="preserve">ebe destacarse que debido a la naturaleza de </w:t>
      </w:r>
      <w:r w:rsidR="008F1049" w:rsidRPr="00481B31">
        <w:rPr>
          <w:rFonts w:ascii="Palatino Linotype" w:hAnsi="Palatino Linotype"/>
          <w:color w:val="000000"/>
          <w:lang w:val="es-ES_tradnl"/>
        </w:rPr>
        <w:t>la información solicitada, en la misma pudieran obrar datos persona</w:t>
      </w:r>
      <w:r w:rsidR="00A90703" w:rsidRPr="00481B31">
        <w:rPr>
          <w:rFonts w:ascii="Palatino Linotype" w:hAnsi="Palatino Linotype"/>
          <w:color w:val="000000"/>
          <w:lang w:val="es-ES_tradnl"/>
        </w:rPr>
        <w:t xml:space="preserve">les o información reservada susceptibles de protegerse </w:t>
      </w:r>
      <w:r w:rsidR="008F1049" w:rsidRPr="00481B31">
        <w:rPr>
          <w:rFonts w:ascii="Palatino Linotype" w:hAnsi="Palatino Linotype" w:cs="Arial"/>
          <w:color w:val="000000"/>
          <w:lang w:val="es-ES_tradnl"/>
        </w:rPr>
        <w:t xml:space="preserve">y toda vez que este Instituto de Transparencia, Acceso a la Información Pública y Protección de Datos Personales del Estado de México tiene el deber de velar por la protección </w:t>
      </w:r>
      <w:r w:rsidR="00A90703" w:rsidRPr="00481B31">
        <w:rPr>
          <w:rFonts w:ascii="Palatino Linotype" w:hAnsi="Palatino Linotype" w:cs="Arial"/>
          <w:color w:val="000000"/>
          <w:lang w:val="es-ES_tradnl"/>
        </w:rPr>
        <w:t xml:space="preserve">de </w:t>
      </w:r>
      <w:r w:rsidR="008F1049" w:rsidRPr="00481B31">
        <w:rPr>
          <w:rFonts w:ascii="Palatino Linotype" w:hAnsi="Palatino Linotype" w:cs="Arial"/>
          <w:color w:val="000000"/>
          <w:lang w:val="es-ES_tradnl"/>
        </w:rPr>
        <w:t>los datos personales aun trat</w:t>
      </w:r>
      <w:r w:rsidR="00A90703" w:rsidRPr="00481B31">
        <w:rPr>
          <w:rFonts w:ascii="Palatino Linotype" w:hAnsi="Palatino Linotype" w:cs="Arial"/>
          <w:color w:val="000000"/>
          <w:lang w:val="es-ES_tradnl"/>
        </w:rPr>
        <w:t xml:space="preserve">ándose de servidores públicos </w:t>
      </w:r>
      <w:r w:rsidR="008F1049" w:rsidRPr="00481B31">
        <w:rPr>
          <w:rFonts w:ascii="Palatino Linotype" w:hAnsi="Palatino Linotype" w:cs="Arial"/>
          <w:color w:val="000000"/>
          <w:lang w:val="es-ES_tradnl"/>
        </w:rPr>
        <w:t>o  por aquella información que deba ser clasificada en su totalidad como información reservada, por las consideraciones que se estimen pertinentes</w:t>
      </w:r>
      <w:r w:rsidR="00A90703" w:rsidRPr="00481B31">
        <w:rPr>
          <w:rFonts w:ascii="Palatino Linotype" w:hAnsi="Palatino Linotype" w:cs="Arial"/>
          <w:color w:val="000000"/>
          <w:lang w:val="es-ES_tradnl"/>
        </w:rPr>
        <w:t>.</w:t>
      </w:r>
    </w:p>
    <w:p w14:paraId="7113C4A5" w14:textId="77777777" w:rsidR="00A90703" w:rsidRPr="00481B31" w:rsidRDefault="00A90703" w:rsidP="000C1184">
      <w:pPr>
        <w:pStyle w:val="Prrafodelista"/>
        <w:spacing w:before="240" w:after="240" w:line="360" w:lineRule="auto"/>
        <w:ind w:left="0"/>
        <w:contextualSpacing/>
        <w:jc w:val="both"/>
        <w:rPr>
          <w:rFonts w:ascii="Palatino Linotype" w:hAnsi="Palatino Linotype" w:cs="Arial"/>
        </w:rPr>
      </w:pPr>
    </w:p>
    <w:p w14:paraId="6AD3EDCD" w14:textId="1334F125" w:rsidR="00A90703" w:rsidRPr="00481B31" w:rsidRDefault="00A90703" w:rsidP="000C1184">
      <w:pPr>
        <w:pStyle w:val="Prrafodelista"/>
        <w:numPr>
          <w:ilvl w:val="0"/>
          <w:numId w:val="38"/>
        </w:numPr>
        <w:spacing w:before="240" w:after="240" w:line="360" w:lineRule="auto"/>
        <w:ind w:left="0" w:hanging="11"/>
        <w:contextualSpacing/>
        <w:jc w:val="both"/>
        <w:rPr>
          <w:rFonts w:ascii="Palatino Linotype" w:hAnsi="Palatino Linotype" w:cs="Arial"/>
        </w:rPr>
      </w:pPr>
      <w:r w:rsidRPr="00481B31">
        <w:rPr>
          <w:rFonts w:ascii="Palatino Linotype" w:eastAsia="Calibri" w:hAnsi="Palatino Linotype" w:cs="Arial"/>
          <w:color w:val="000000"/>
          <w:lang w:eastAsia="es-MX"/>
        </w:rPr>
        <w:t xml:space="preserve">Es de señalar que, por lo que hace a las versiones públicas, el </w:t>
      </w:r>
      <w:r w:rsidRPr="00481B31">
        <w:rPr>
          <w:rFonts w:ascii="Palatino Linotype" w:eastAsia="Calibri" w:hAnsi="Palatino Linotype" w:cs="Arial"/>
          <w:b/>
          <w:color w:val="000000"/>
          <w:lang w:eastAsia="es-MX"/>
        </w:rPr>
        <w:t>SUJETO OBLIGADO</w:t>
      </w:r>
      <w:r w:rsidRPr="00481B31">
        <w:rPr>
          <w:rFonts w:ascii="Palatino Linotype" w:eastAsia="Calibri" w:hAnsi="Palatino Linotype" w:cs="Arial"/>
          <w:color w:val="000000"/>
          <w:lang w:eastAsia="es-MX"/>
        </w:rPr>
        <w:t xml:space="preserve"> debe cumplir con las formalidades exigidas en la Ley, por lo que </w:t>
      </w:r>
      <w:r w:rsidRPr="00481B31">
        <w:rPr>
          <w:rFonts w:ascii="Palatino Linotype" w:hAnsi="Palatino Linotype" w:cs="Arial"/>
          <w:color w:val="000000"/>
          <w:lang w:val="es-ES_tradnl" w:eastAsia="es-MX"/>
        </w:rPr>
        <w:t xml:space="preserve">para tal efecto emitirá el </w:t>
      </w:r>
      <w:r w:rsidRPr="00481B31">
        <w:rPr>
          <w:rFonts w:ascii="Palatino Linotype" w:eastAsia="Calibri" w:hAnsi="Palatino Linotype" w:cs="Arial"/>
          <w:color w:val="000000"/>
          <w:lang w:eastAsia="es-MX"/>
        </w:rPr>
        <w:t>Acuerdo del Comité de Transparencia en términos de los artículos 49 fracción</w:t>
      </w:r>
      <w:r w:rsidRPr="00481B31">
        <w:rPr>
          <w:rFonts w:ascii="Palatino Linotype" w:eastAsia="Calibri" w:hAnsi="Palatino Linotype" w:cs="Arial"/>
          <w:bCs/>
          <w:color w:val="000000"/>
          <w:lang w:val="es-ES_tradnl"/>
        </w:rPr>
        <w:t xml:space="preserve"> VIII,</w:t>
      </w:r>
      <w:r w:rsidRPr="00481B31">
        <w:rPr>
          <w:rFonts w:ascii="Palatino Linotype" w:eastAsia="Calibri" w:hAnsi="Palatino Linotype" w:cs="Arial"/>
          <w:color w:val="000000"/>
          <w:lang w:eastAsia="es-MX"/>
        </w:rPr>
        <w:t xml:space="preserve"> 122</w:t>
      </w:r>
      <w:r w:rsidRPr="00481B31">
        <w:rPr>
          <w:rFonts w:ascii="Palatino Linotype" w:hAnsi="Palatino Linotype"/>
          <w:vertAlign w:val="superscript"/>
          <w:lang w:eastAsia="es-MX"/>
        </w:rPr>
        <w:footnoteReference w:id="7"/>
      </w:r>
      <w:r w:rsidRPr="00481B31">
        <w:rPr>
          <w:rFonts w:ascii="Palatino Linotype" w:eastAsia="Calibri" w:hAnsi="Palatino Linotype" w:cs="Arial"/>
          <w:color w:val="000000"/>
          <w:lang w:eastAsia="es-MX"/>
        </w:rPr>
        <w:t>, 135</w:t>
      </w:r>
      <w:r w:rsidRPr="00481B31">
        <w:rPr>
          <w:rFonts w:ascii="Palatino Linotype" w:hAnsi="Palatino Linotype"/>
          <w:vertAlign w:val="superscript"/>
          <w:lang w:eastAsia="es-MX"/>
        </w:rPr>
        <w:footnoteReference w:id="8"/>
      </w:r>
      <w:r w:rsidRPr="00481B31">
        <w:rPr>
          <w:rFonts w:ascii="Palatino Linotype" w:eastAsia="Calibri" w:hAnsi="Palatino Linotype" w:cs="Arial"/>
          <w:color w:val="000000"/>
          <w:lang w:eastAsia="es-MX"/>
        </w:rPr>
        <w:t xml:space="preserve"> y 149 de la </w:t>
      </w:r>
      <w:r w:rsidRPr="00481B31">
        <w:rPr>
          <w:rFonts w:ascii="Palatino Linotype" w:eastAsia="Calibri" w:hAnsi="Palatino Linotype" w:cs="Arial"/>
          <w:b/>
          <w:color w:val="000000"/>
          <w:lang w:eastAsia="es-MX"/>
        </w:rPr>
        <w:t>Ley de Transparencia y Acceso a la Información Pública del Estado de México y Municipios</w:t>
      </w:r>
      <w:r w:rsidRPr="00481B31">
        <w:rPr>
          <w:rFonts w:ascii="Palatino Linotype" w:eastAsia="Calibri" w:hAnsi="Palatino Linotype" w:cs="Arial"/>
          <w:color w:val="000000"/>
          <w:lang w:eastAsia="es-MX"/>
        </w:rPr>
        <w:t xml:space="preserve">, con el cual sustentara de </w:t>
      </w:r>
      <w:r w:rsidRPr="00481B31">
        <w:rPr>
          <w:rFonts w:ascii="Palatino Linotype" w:eastAsia="Calibri" w:hAnsi="Palatino Linotype" w:cs="Arial"/>
          <w:color w:val="000000"/>
          <w:lang w:eastAsia="es-MX"/>
        </w:rPr>
        <w:lastRenderedPageBreak/>
        <w:t>forma fundada y motivada la clasificación de datos y con ello la "versión pública" de los documentos materia de la solicitud.</w:t>
      </w:r>
    </w:p>
    <w:p w14:paraId="7E178B2C" w14:textId="77777777" w:rsidR="00A90703" w:rsidRPr="00481B31" w:rsidRDefault="00A90703" w:rsidP="000C1184">
      <w:pPr>
        <w:pStyle w:val="Prrafodelista"/>
        <w:spacing w:before="240" w:after="240" w:line="360" w:lineRule="auto"/>
        <w:ind w:left="0"/>
        <w:contextualSpacing/>
        <w:jc w:val="both"/>
        <w:rPr>
          <w:rFonts w:ascii="Palatino Linotype" w:hAnsi="Palatino Linotype" w:cs="Arial"/>
        </w:rPr>
      </w:pPr>
    </w:p>
    <w:p w14:paraId="29AEF97E" w14:textId="2C772737" w:rsidR="00A90703" w:rsidRPr="00481B31" w:rsidRDefault="00DC4A66" w:rsidP="000C1184">
      <w:pPr>
        <w:pStyle w:val="Ttulo1"/>
        <w:numPr>
          <w:ilvl w:val="0"/>
          <w:numId w:val="28"/>
        </w:numPr>
        <w:spacing w:line="360" w:lineRule="auto"/>
        <w:ind w:left="284" w:hanging="284"/>
        <w:rPr>
          <w:rFonts w:ascii="Palatino Linotype" w:hAnsi="Palatino Linotype"/>
          <w:b/>
          <w:color w:val="000000" w:themeColor="text1"/>
          <w:sz w:val="24"/>
          <w:szCs w:val="24"/>
          <w:lang w:val="es-ES_tradnl"/>
        </w:rPr>
      </w:pPr>
      <w:bookmarkStart w:id="63" w:name="_Toc85137168"/>
      <w:r w:rsidRPr="00481B31">
        <w:rPr>
          <w:rFonts w:ascii="Palatino Linotype" w:hAnsi="Palatino Linotype"/>
          <w:b/>
          <w:color w:val="000000" w:themeColor="text1"/>
          <w:sz w:val="24"/>
          <w:szCs w:val="24"/>
          <w:lang w:val="es-ES_tradnl"/>
        </w:rPr>
        <w:t>De la clasificación de la i</w:t>
      </w:r>
      <w:r w:rsidR="00A90703" w:rsidRPr="00481B31">
        <w:rPr>
          <w:rFonts w:ascii="Palatino Linotype" w:hAnsi="Palatino Linotype"/>
          <w:b/>
          <w:color w:val="000000" w:themeColor="text1"/>
          <w:sz w:val="24"/>
          <w:szCs w:val="24"/>
          <w:lang w:val="es-ES_tradnl"/>
        </w:rPr>
        <w:t>nformación.</w:t>
      </w:r>
      <w:bookmarkEnd w:id="63"/>
      <w:r w:rsidR="00A90703" w:rsidRPr="00481B31">
        <w:rPr>
          <w:rFonts w:ascii="Palatino Linotype" w:hAnsi="Palatino Linotype"/>
          <w:b/>
          <w:color w:val="000000" w:themeColor="text1"/>
          <w:sz w:val="24"/>
          <w:szCs w:val="24"/>
          <w:lang w:val="es-ES_tradnl"/>
        </w:rPr>
        <w:t xml:space="preserve"> </w:t>
      </w:r>
    </w:p>
    <w:p w14:paraId="725BC4DA" w14:textId="77777777" w:rsidR="00A90703" w:rsidRPr="00481B31" w:rsidRDefault="00A90703" w:rsidP="000C1184">
      <w:pPr>
        <w:pStyle w:val="Prrafodelista"/>
        <w:shd w:val="clear" w:color="auto" w:fill="FFFFFF"/>
        <w:spacing w:before="240" w:after="200" w:line="360" w:lineRule="auto"/>
        <w:ind w:left="0"/>
        <w:contextualSpacing/>
        <w:jc w:val="both"/>
        <w:rPr>
          <w:rFonts w:ascii="Palatino Linotype" w:hAnsi="Palatino Linotype" w:cs="Arial"/>
          <w:b/>
          <w:color w:val="000000"/>
          <w:lang w:val="es-ES_tradnl"/>
        </w:rPr>
      </w:pPr>
    </w:p>
    <w:p w14:paraId="695D7784" w14:textId="4F85746A" w:rsidR="008F1049" w:rsidRPr="00481B31" w:rsidRDefault="008F1049" w:rsidP="000C118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481B31">
        <w:rPr>
          <w:rFonts w:ascii="Palatino Linotype" w:hAnsi="Palatino Linotype" w:cs="Arial"/>
          <w:color w:val="000000"/>
          <w:lang w:val="es-ES_tradnl"/>
        </w:rPr>
        <w:t>L</w:t>
      </w:r>
      <w:r w:rsidRPr="00481B31">
        <w:rPr>
          <w:rFonts w:ascii="Palatino Linotype" w:hAnsi="Palatino Linotype"/>
          <w:color w:val="000000"/>
          <w:lang w:val="es-ES_tradnl"/>
        </w:rPr>
        <w:t>a</w:t>
      </w:r>
      <w:r w:rsidRPr="00481B31">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81B31">
        <w:rPr>
          <w:rFonts w:ascii="Palatino Linotype" w:hAnsi="Palatino Linotype"/>
          <w:vertAlign w:val="superscript"/>
          <w:lang w:val="es-ES_tradnl"/>
        </w:rPr>
        <w:footnoteReference w:id="9"/>
      </w:r>
      <w:r w:rsidRPr="00481B31">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w:t>
      </w:r>
      <w:r w:rsidR="00CA07FF" w:rsidRPr="00481B31">
        <w:rPr>
          <w:rFonts w:ascii="Palatino Linotype" w:hAnsi="Palatino Linotype"/>
          <w:lang w:val="es-ES_tradnl"/>
        </w:rPr>
        <w:t xml:space="preserve"> </w:t>
      </w:r>
      <w:r w:rsidRPr="00481B31">
        <w:rPr>
          <w:rFonts w:ascii="Palatino Linotype" w:hAnsi="Palatino Linotype"/>
          <w:lang w:val="es-ES_tradnl"/>
        </w:rPr>
        <w:t xml:space="preserve">legítimo y ser estrictamente proporcional con el principio o valor que se pretende </w:t>
      </w:r>
      <w:r w:rsidRPr="00481B31">
        <w:rPr>
          <w:rFonts w:ascii="Palatino Linotype" w:hAnsi="Palatino Linotype"/>
          <w:lang w:val="es-ES_tradnl"/>
        </w:rPr>
        <w:lastRenderedPageBreak/>
        <w:t>preservar.</w:t>
      </w:r>
      <w:r w:rsidRPr="00481B31">
        <w:rPr>
          <w:rFonts w:ascii="Palatino Linotype" w:hAnsi="Palatino Linotype"/>
          <w:vertAlign w:val="superscript"/>
          <w:lang w:val="es-ES_tradnl"/>
        </w:rPr>
        <w:footnoteReference w:id="10"/>
      </w:r>
      <w:r w:rsidRPr="00481B31">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B5A2272" w14:textId="77777777" w:rsidR="00637407" w:rsidRPr="00481B31" w:rsidRDefault="00637407" w:rsidP="000C1184">
      <w:pPr>
        <w:pStyle w:val="Prrafodelista"/>
        <w:spacing w:line="360" w:lineRule="auto"/>
        <w:rPr>
          <w:rFonts w:ascii="Palatino Linotype" w:hAnsi="Palatino Linotype" w:cs="Arial"/>
          <w:color w:val="000000"/>
          <w:lang w:val="es-ES_tradnl"/>
        </w:rPr>
      </w:pPr>
    </w:p>
    <w:p w14:paraId="4DCFE391" w14:textId="77777777" w:rsidR="00637407" w:rsidRPr="00481B31" w:rsidRDefault="0063740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69CD84E4" w14:textId="68349F42" w:rsidR="008F1049" w:rsidRPr="00481B31" w:rsidRDefault="008F1049" w:rsidP="000C1184">
      <w:pPr>
        <w:keepNext/>
        <w:keepLines/>
        <w:spacing w:before="240" w:line="360" w:lineRule="auto"/>
        <w:outlineLvl w:val="0"/>
        <w:rPr>
          <w:rFonts w:ascii="Palatino Linotype" w:hAnsi="Palatino Linotype"/>
          <w:b/>
          <w:lang w:val="es-MX" w:eastAsia="en-US"/>
        </w:rPr>
      </w:pPr>
      <w:bookmarkStart w:id="64" w:name="_Toc5890461"/>
      <w:bookmarkStart w:id="65" w:name="_Toc50062187"/>
      <w:bookmarkStart w:id="66" w:name="_Toc63348478"/>
      <w:bookmarkStart w:id="67" w:name="_Toc67598515"/>
      <w:bookmarkStart w:id="68" w:name="_Toc69999204"/>
      <w:bookmarkStart w:id="69" w:name="_Toc73033013"/>
      <w:bookmarkStart w:id="70" w:name="_Toc85137169"/>
      <w:r w:rsidRPr="00481B31">
        <w:rPr>
          <w:rFonts w:ascii="Palatino Linotype" w:hAnsi="Palatino Linotype"/>
          <w:b/>
          <w:lang w:val="es-MX" w:eastAsia="en-US"/>
        </w:rPr>
        <w:t>I</w:t>
      </w:r>
      <w:r w:rsidR="00DC4A66" w:rsidRPr="00481B31">
        <w:rPr>
          <w:rFonts w:ascii="Palatino Linotype" w:hAnsi="Palatino Linotype"/>
          <w:b/>
          <w:lang w:val="es-MX" w:eastAsia="en-US"/>
        </w:rPr>
        <w:t>I</w:t>
      </w:r>
      <w:r w:rsidRPr="00481B31">
        <w:rPr>
          <w:rFonts w:ascii="Palatino Linotype" w:hAnsi="Palatino Linotype"/>
          <w:b/>
          <w:lang w:val="es-MX" w:eastAsia="en-US"/>
        </w:rPr>
        <w:t>. Requisitos previos.</w:t>
      </w:r>
      <w:bookmarkEnd w:id="64"/>
      <w:bookmarkEnd w:id="65"/>
      <w:bookmarkEnd w:id="66"/>
      <w:bookmarkEnd w:id="67"/>
      <w:bookmarkEnd w:id="68"/>
      <w:bookmarkEnd w:id="69"/>
      <w:bookmarkEnd w:id="70"/>
    </w:p>
    <w:p w14:paraId="68A29050" w14:textId="77777777" w:rsidR="00992BC7" w:rsidRPr="00481B31" w:rsidRDefault="008F1049" w:rsidP="000C118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481B31">
        <w:rPr>
          <w:rFonts w:ascii="Palatino Linotype" w:hAnsi="Palatino Linotype"/>
          <w:lang w:val="es-ES_tradnl"/>
        </w:rPr>
        <w:t>Los</w:t>
      </w:r>
      <w:r w:rsidRPr="00481B31">
        <w:rPr>
          <w:rFonts w:ascii="Palatino Linotype" w:hAnsi="Palatino Linotype" w:cs="Arial"/>
          <w:color w:val="000000"/>
          <w:lang w:val="es-ES_tradnl"/>
        </w:rPr>
        <w:t xml:space="preserve"> </w:t>
      </w:r>
      <w:r w:rsidRPr="00481B31">
        <w:rPr>
          <w:rFonts w:ascii="Palatino Linotype" w:hAnsi="Palatino Linotype"/>
          <w:lang w:val="es-ES_tradnl"/>
        </w:rPr>
        <w:t>artículos</w:t>
      </w:r>
      <w:r w:rsidRPr="00481B31">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w:t>
      </w:r>
      <w:r w:rsidR="00CA07FF" w:rsidRPr="00481B31">
        <w:rPr>
          <w:rFonts w:ascii="Palatino Linotype" w:hAnsi="Palatino Linotype" w:cs="Arial"/>
          <w:color w:val="000000"/>
          <w:lang w:val="es-ES_tradnl"/>
        </w:rPr>
        <w:t xml:space="preserve"> </w:t>
      </w:r>
      <w:r w:rsidRPr="00481B31">
        <w:rPr>
          <w:rFonts w:ascii="Palatino Linotype" w:hAnsi="Palatino Linotype" w:cs="Arial"/>
          <w:color w:val="000000"/>
          <w:lang w:val="es-ES_tradnl"/>
        </w:rPr>
        <w:t xml:space="preserve">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481B31">
        <w:rPr>
          <w:rFonts w:ascii="Palatino Linotype" w:hAnsi="Palatino Linotype" w:cs="Arial"/>
          <w:color w:val="000000"/>
          <w:lang w:val="es-ES_tradnl"/>
        </w:rPr>
        <w:lastRenderedPageBreak/>
        <w:t>póliza, entre otros), señalando el supuesto de clasificación (confidencialidad o reserva).</w:t>
      </w:r>
    </w:p>
    <w:p w14:paraId="43F403A7" w14:textId="77777777" w:rsidR="00992BC7" w:rsidRPr="00481B31" w:rsidRDefault="00992BC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6F88E144" w14:textId="77777777" w:rsidR="00992BC7" w:rsidRPr="00481B31" w:rsidRDefault="008F1049" w:rsidP="000C118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481B31">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2465B21" w14:textId="77777777" w:rsidR="00992BC7" w:rsidRPr="00481B31" w:rsidRDefault="00992BC7" w:rsidP="000C1184">
      <w:pPr>
        <w:pStyle w:val="Prrafodelista"/>
        <w:spacing w:line="360" w:lineRule="auto"/>
        <w:rPr>
          <w:rFonts w:ascii="Palatino Linotype" w:hAnsi="Palatino Linotype" w:cs="Arial"/>
          <w:color w:val="000000"/>
          <w:lang w:val="es-ES_tradnl"/>
        </w:rPr>
      </w:pPr>
    </w:p>
    <w:p w14:paraId="1F810FFF" w14:textId="6F71557E" w:rsidR="008F1049" w:rsidRPr="00481B31" w:rsidRDefault="008F1049" w:rsidP="000C118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481B31">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481B31">
        <w:rPr>
          <w:rFonts w:ascii="Palatino Linotype" w:hAnsi="Palatino Linotype" w:cs="Arial"/>
          <w:b/>
          <w:color w:val="000000"/>
          <w:lang w:val="es-ES_tradnl"/>
        </w:rPr>
        <w:t xml:space="preserve">no se puede hacer un acuerdo para clasificar de manera general todos los documentos de un expediente o área,  </w:t>
      </w:r>
      <w:r w:rsidRPr="00481B31">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32E4CA3B" w14:textId="2E55557A" w:rsidR="008F1049" w:rsidRPr="00481B31" w:rsidRDefault="008F1049" w:rsidP="000C1184">
      <w:pPr>
        <w:keepNext/>
        <w:keepLines/>
        <w:spacing w:before="240" w:line="360" w:lineRule="auto"/>
        <w:outlineLvl w:val="0"/>
        <w:rPr>
          <w:rFonts w:ascii="Palatino Linotype" w:hAnsi="Palatino Linotype" w:cs="Arial"/>
          <w:color w:val="000000"/>
          <w:lang w:val="es-ES_tradnl"/>
        </w:rPr>
      </w:pPr>
      <w:bookmarkStart w:id="71" w:name="_Toc5890462"/>
      <w:bookmarkStart w:id="72" w:name="_Toc50062188"/>
      <w:bookmarkStart w:id="73" w:name="_Toc63348479"/>
      <w:bookmarkStart w:id="74" w:name="_Toc67598516"/>
      <w:bookmarkStart w:id="75" w:name="_Toc69999205"/>
      <w:bookmarkStart w:id="76" w:name="_Toc73033014"/>
      <w:bookmarkStart w:id="77" w:name="_Toc85137170"/>
      <w:r w:rsidRPr="00481B31">
        <w:rPr>
          <w:rFonts w:ascii="Palatino Linotype" w:hAnsi="Palatino Linotype"/>
          <w:b/>
          <w:lang w:val="es-MX" w:eastAsia="en-US"/>
        </w:rPr>
        <w:t>II</w:t>
      </w:r>
      <w:r w:rsidR="00DC4A66" w:rsidRPr="00481B31">
        <w:rPr>
          <w:rFonts w:ascii="Palatino Linotype" w:hAnsi="Palatino Linotype"/>
          <w:b/>
          <w:lang w:val="es-MX" w:eastAsia="en-US"/>
        </w:rPr>
        <w:t>I</w:t>
      </w:r>
      <w:bookmarkStart w:id="78" w:name="_Toc5890463"/>
      <w:bookmarkStart w:id="79" w:name="_Toc50062189"/>
      <w:bookmarkStart w:id="80" w:name="_Toc63348480"/>
      <w:bookmarkStart w:id="81" w:name="_Toc67598517"/>
      <w:bookmarkStart w:id="82" w:name="_Toc69999206"/>
      <w:bookmarkStart w:id="83" w:name="_Toc73033015"/>
      <w:bookmarkEnd w:id="71"/>
      <w:bookmarkEnd w:id="72"/>
      <w:bookmarkEnd w:id="73"/>
      <w:bookmarkEnd w:id="74"/>
      <w:bookmarkEnd w:id="75"/>
      <w:bookmarkEnd w:id="76"/>
      <w:r w:rsidR="00637407" w:rsidRPr="00481B31">
        <w:rPr>
          <w:rFonts w:ascii="Palatino Linotype" w:hAnsi="Palatino Linotype"/>
          <w:b/>
          <w:lang w:val="es-MX" w:eastAsia="en-US"/>
        </w:rPr>
        <w:t>. La intervención del comité de t</w:t>
      </w:r>
      <w:r w:rsidRPr="00481B31">
        <w:rPr>
          <w:rFonts w:ascii="Palatino Linotype" w:hAnsi="Palatino Linotype"/>
          <w:b/>
          <w:lang w:val="es-MX" w:eastAsia="en-US"/>
        </w:rPr>
        <w:t>ransparencia.</w:t>
      </w:r>
      <w:bookmarkEnd w:id="77"/>
      <w:bookmarkEnd w:id="78"/>
      <w:bookmarkEnd w:id="79"/>
      <w:bookmarkEnd w:id="80"/>
      <w:bookmarkEnd w:id="81"/>
      <w:bookmarkEnd w:id="82"/>
      <w:bookmarkEnd w:id="83"/>
    </w:p>
    <w:p w14:paraId="0E2F07E3" w14:textId="77777777" w:rsidR="008F1049" w:rsidRPr="00481B31" w:rsidRDefault="008F1049" w:rsidP="000C1184">
      <w:pPr>
        <w:keepNext/>
        <w:keepLines/>
        <w:numPr>
          <w:ilvl w:val="0"/>
          <w:numId w:val="9"/>
        </w:numPr>
        <w:spacing w:before="240" w:after="160" w:line="360" w:lineRule="auto"/>
        <w:ind w:left="0" w:firstLine="0"/>
        <w:outlineLvl w:val="0"/>
        <w:rPr>
          <w:rFonts w:ascii="Palatino Linotype" w:hAnsi="Palatino Linotype"/>
          <w:b/>
          <w:lang w:val="es-MX" w:eastAsia="en-US"/>
        </w:rPr>
      </w:pPr>
      <w:bookmarkStart w:id="84" w:name="_Toc5890464"/>
      <w:bookmarkStart w:id="85" w:name="_Toc50062190"/>
      <w:bookmarkStart w:id="86" w:name="_Toc63348481"/>
      <w:bookmarkStart w:id="87" w:name="_Toc67598518"/>
      <w:bookmarkStart w:id="88" w:name="_Toc69999207"/>
      <w:bookmarkStart w:id="89" w:name="_Toc73033016"/>
      <w:bookmarkStart w:id="90" w:name="_Toc85137171"/>
      <w:r w:rsidRPr="00481B31">
        <w:rPr>
          <w:rFonts w:ascii="Palatino Linotype" w:hAnsi="Palatino Linotype"/>
          <w:b/>
          <w:lang w:val="es-MX" w:eastAsia="en-US"/>
        </w:rPr>
        <w:t>Formalidades para emitir el acuerdo de clasificación.</w:t>
      </w:r>
      <w:bookmarkEnd w:id="84"/>
      <w:bookmarkEnd w:id="85"/>
      <w:bookmarkEnd w:id="86"/>
      <w:bookmarkEnd w:id="87"/>
      <w:bookmarkEnd w:id="88"/>
      <w:bookmarkEnd w:id="89"/>
      <w:bookmarkEnd w:id="90"/>
    </w:p>
    <w:p w14:paraId="5177F951" w14:textId="77777777" w:rsidR="00992BC7" w:rsidRPr="00481B31" w:rsidRDefault="008F1049" w:rsidP="000C1184">
      <w:pPr>
        <w:pStyle w:val="Prrafodelista"/>
        <w:numPr>
          <w:ilvl w:val="0"/>
          <w:numId w:val="38"/>
        </w:numPr>
        <w:spacing w:before="240" w:after="240" w:line="360" w:lineRule="auto"/>
        <w:ind w:left="0" w:firstLine="0"/>
        <w:contextualSpacing/>
        <w:jc w:val="both"/>
        <w:rPr>
          <w:rFonts w:ascii="Palatino Linotype" w:hAnsi="Palatino Linotype"/>
          <w:lang w:val="es-ES_tradnl" w:eastAsia="es-ES_tradnl"/>
        </w:rPr>
      </w:pPr>
      <w:r w:rsidRPr="00481B31">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481B31">
        <w:rPr>
          <w:rFonts w:ascii="Palatino Linotype" w:hAnsi="Palatino Linotype"/>
          <w:lang w:val="es-ES_tradnl"/>
        </w:rPr>
        <w:t xml:space="preserve">la fracción III del numeral Segundo de los </w:t>
      </w:r>
      <w:r w:rsidRPr="00481B31">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481B31">
        <w:rPr>
          <w:rFonts w:ascii="Palatino Linotype" w:hAnsi="Palatino Linotype"/>
          <w:lang w:val="es-ES_tradnl"/>
        </w:rPr>
        <w:t xml:space="preserve"> </w:t>
      </w:r>
      <w:r w:rsidRPr="00481B31">
        <w:rPr>
          <w:rFonts w:ascii="Palatino Linotype" w:hAnsi="Palatino Linotype" w:cs="Arial"/>
          <w:color w:val="000000"/>
          <w:lang w:val="es-ES_tradnl"/>
        </w:rPr>
        <w:t xml:space="preserve">cuenta con las facultades para </w:t>
      </w:r>
      <w:r w:rsidRPr="00481B31">
        <w:rPr>
          <w:rFonts w:ascii="Palatino Linotype" w:hAnsi="Palatino Linotype" w:cs="Arial"/>
          <w:b/>
          <w:color w:val="000000"/>
          <w:lang w:val="es-ES_tradnl"/>
        </w:rPr>
        <w:t xml:space="preserve">confirmar, modificar o </w:t>
      </w:r>
      <w:r w:rsidRPr="00481B31">
        <w:rPr>
          <w:rFonts w:ascii="Palatino Linotype" w:hAnsi="Palatino Linotype" w:cs="Arial"/>
          <w:b/>
          <w:color w:val="000000"/>
          <w:lang w:val="es-ES_tradnl"/>
        </w:rPr>
        <w:lastRenderedPageBreak/>
        <w:t>revocar</w:t>
      </w:r>
      <w:r w:rsidRPr="00481B31">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481B31">
        <w:rPr>
          <w:rFonts w:ascii="Palatino Linotype" w:hAnsi="Palatino Linotype" w:cs="Arial"/>
          <w:b/>
          <w:color w:val="000000"/>
          <w:lang w:val="es-ES_tradnl"/>
        </w:rPr>
        <w:t>no aprueba</w:t>
      </w:r>
      <w:r w:rsidRPr="00481B31">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7941F210" w14:textId="77777777" w:rsidR="00992BC7" w:rsidRPr="00481B31" w:rsidRDefault="00992BC7" w:rsidP="000C1184">
      <w:pPr>
        <w:pStyle w:val="Prrafodelista"/>
        <w:spacing w:before="240" w:after="240" w:line="360" w:lineRule="auto"/>
        <w:ind w:left="0"/>
        <w:contextualSpacing/>
        <w:jc w:val="both"/>
        <w:rPr>
          <w:rFonts w:ascii="Palatino Linotype" w:hAnsi="Palatino Linotype"/>
          <w:lang w:val="es-ES_tradnl" w:eastAsia="es-ES_tradnl"/>
        </w:rPr>
      </w:pPr>
    </w:p>
    <w:p w14:paraId="76CF95BB" w14:textId="77777777" w:rsidR="00992BC7" w:rsidRPr="00481B31" w:rsidRDefault="008F1049" w:rsidP="000C1184">
      <w:pPr>
        <w:pStyle w:val="Prrafodelista"/>
        <w:numPr>
          <w:ilvl w:val="0"/>
          <w:numId w:val="38"/>
        </w:numPr>
        <w:spacing w:before="240" w:after="240" w:line="360" w:lineRule="auto"/>
        <w:ind w:left="0" w:firstLine="0"/>
        <w:contextualSpacing/>
        <w:jc w:val="both"/>
        <w:rPr>
          <w:rFonts w:ascii="Palatino Linotype" w:hAnsi="Palatino Linotype"/>
          <w:lang w:val="es-ES_tradnl" w:eastAsia="es-ES_tradnl"/>
        </w:rPr>
      </w:pPr>
      <w:r w:rsidRPr="00481B31">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481B31">
        <w:rPr>
          <w:rFonts w:ascii="Palatino Linotype" w:hAnsi="Palatino Linotype" w:cs="Arial"/>
          <w:b/>
          <w:color w:val="000000"/>
          <w:lang w:val="es-ES_tradnl"/>
        </w:rPr>
        <w:t>el acto reúna con los requisitos elementales</w:t>
      </w:r>
      <w:r w:rsidRPr="00481B31">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0FA8827" w14:textId="77777777" w:rsidR="00992BC7" w:rsidRPr="00481B31" w:rsidRDefault="00992BC7" w:rsidP="000C1184">
      <w:pPr>
        <w:pStyle w:val="Prrafodelista"/>
        <w:spacing w:line="360" w:lineRule="auto"/>
        <w:rPr>
          <w:rFonts w:ascii="Palatino Linotype" w:hAnsi="Palatino Linotype"/>
          <w:lang w:val="es-ES_tradnl"/>
        </w:rPr>
      </w:pPr>
    </w:p>
    <w:p w14:paraId="0520B29C" w14:textId="68A1EE07" w:rsidR="008F1049" w:rsidRPr="00481B31" w:rsidRDefault="008F1049" w:rsidP="000C1184">
      <w:pPr>
        <w:pStyle w:val="Prrafodelista"/>
        <w:numPr>
          <w:ilvl w:val="0"/>
          <w:numId w:val="38"/>
        </w:numPr>
        <w:spacing w:before="240" w:after="240" w:line="360" w:lineRule="auto"/>
        <w:ind w:left="0" w:firstLine="0"/>
        <w:contextualSpacing/>
        <w:jc w:val="both"/>
        <w:rPr>
          <w:rFonts w:ascii="Palatino Linotype" w:hAnsi="Palatino Linotype"/>
          <w:lang w:val="es-ES_tradnl" w:eastAsia="es-ES_tradnl"/>
        </w:rPr>
      </w:pPr>
      <w:r w:rsidRPr="00481B31">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819620C" w14:textId="3433C353" w:rsidR="008F1049" w:rsidRPr="00481B31" w:rsidRDefault="008F1049" w:rsidP="000C1184">
      <w:pPr>
        <w:keepNext/>
        <w:keepLines/>
        <w:spacing w:before="240" w:line="360" w:lineRule="auto"/>
        <w:outlineLvl w:val="0"/>
        <w:rPr>
          <w:rFonts w:ascii="Palatino Linotype" w:hAnsi="Palatino Linotype"/>
          <w:b/>
          <w:lang w:val="es-MX" w:eastAsia="en-US"/>
        </w:rPr>
      </w:pPr>
      <w:bookmarkStart w:id="91" w:name="_Toc63348482"/>
      <w:bookmarkStart w:id="92" w:name="_Toc67598519"/>
      <w:bookmarkStart w:id="93" w:name="_Toc69999208"/>
      <w:bookmarkStart w:id="94" w:name="_Toc73033017"/>
      <w:bookmarkStart w:id="95" w:name="_Toc85137172"/>
      <w:r w:rsidRPr="00481B31">
        <w:rPr>
          <w:rFonts w:ascii="Palatino Linotype" w:hAnsi="Palatino Linotype"/>
          <w:b/>
          <w:lang w:val="es-MX" w:eastAsia="en-US"/>
        </w:rPr>
        <w:lastRenderedPageBreak/>
        <w:t xml:space="preserve">b) </w:t>
      </w:r>
      <w:bookmarkStart w:id="96" w:name="_Toc5890465"/>
      <w:bookmarkStart w:id="97" w:name="_Toc50062191"/>
      <w:r w:rsidRPr="00481B31">
        <w:rPr>
          <w:rFonts w:ascii="Palatino Linotype" w:hAnsi="Palatino Linotype"/>
          <w:b/>
          <w:lang w:val="es-MX" w:eastAsia="en-US"/>
        </w:rPr>
        <w:t>Requisitos de fondo del acuerdo de clasificación.</w:t>
      </w:r>
      <w:bookmarkEnd w:id="91"/>
      <w:bookmarkEnd w:id="92"/>
      <w:bookmarkEnd w:id="93"/>
      <w:bookmarkEnd w:id="94"/>
      <w:bookmarkEnd w:id="95"/>
      <w:bookmarkEnd w:id="96"/>
      <w:bookmarkEnd w:id="97"/>
    </w:p>
    <w:p w14:paraId="00D52EA5" w14:textId="77777777" w:rsidR="00992BC7" w:rsidRPr="00481B31" w:rsidRDefault="008F1049" w:rsidP="000C118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481B31">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FE1CC92" w14:textId="77777777" w:rsidR="00992BC7" w:rsidRPr="00481B31" w:rsidRDefault="00992BC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234E3DF6" w14:textId="1DFCB09D" w:rsidR="008F1049" w:rsidRPr="00481B31" w:rsidRDefault="008F1049" w:rsidP="000C118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481B31">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22D35E6" w14:textId="77777777" w:rsidR="00637407" w:rsidRPr="00481B31" w:rsidRDefault="00637407" w:rsidP="000C1184">
      <w:pPr>
        <w:pStyle w:val="Prrafodelista"/>
        <w:spacing w:line="360" w:lineRule="auto"/>
        <w:rPr>
          <w:rFonts w:ascii="Palatino Linotype" w:hAnsi="Palatino Linotype" w:cs="Arial"/>
          <w:color w:val="000000"/>
          <w:lang w:val="es-ES_tradnl"/>
        </w:rPr>
      </w:pPr>
    </w:p>
    <w:p w14:paraId="021030CF" w14:textId="77777777" w:rsidR="00637407" w:rsidRPr="00481B31" w:rsidRDefault="00637407" w:rsidP="000C1184">
      <w:pPr>
        <w:pStyle w:val="Prrafodelista"/>
        <w:spacing w:before="240" w:after="240" w:line="360" w:lineRule="auto"/>
        <w:ind w:left="0"/>
        <w:contextualSpacing/>
        <w:jc w:val="both"/>
        <w:rPr>
          <w:rFonts w:ascii="Palatino Linotype" w:hAnsi="Palatino Linotype" w:cs="Arial"/>
          <w:color w:val="000000"/>
          <w:lang w:val="es-ES_tradnl"/>
        </w:rPr>
      </w:pPr>
    </w:p>
    <w:p w14:paraId="339A43F2" w14:textId="77777777" w:rsidR="00EC088B" w:rsidRPr="00481B31" w:rsidRDefault="008F1049" w:rsidP="000C1184">
      <w:pPr>
        <w:pStyle w:val="Prrafodelista"/>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481B31">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w:t>
      </w:r>
      <w:r w:rsidRPr="00481B31">
        <w:rPr>
          <w:rFonts w:ascii="Palatino Linotype" w:hAnsi="Palatino Linotype" w:cs="Arial"/>
          <w:color w:val="222222"/>
          <w:lang w:val="es-ES_tradnl" w:eastAsia="es-MX"/>
        </w:rPr>
        <w:lastRenderedPageBreak/>
        <w:t>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E31FC0" w:rsidRPr="00481B31">
        <w:rPr>
          <w:rFonts w:ascii="Palatino Linotype" w:hAnsi="Palatino Linotype" w:cs="Arial"/>
          <w:color w:val="222222"/>
          <w:lang w:val="es-ES_tradnl" w:eastAsia="es-MX"/>
        </w:rPr>
        <w:t>...”</w:t>
      </w:r>
      <w:r w:rsidRPr="00481B31">
        <w:rPr>
          <w:rFonts w:ascii="Palatino Linotype" w:hAnsi="Palatino Linotype"/>
          <w:vertAlign w:val="superscript"/>
          <w:lang w:val="es-ES_tradnl"/>
        </w:rPr>
        <w:footnoteReference w:id="11"/>
      </w:r>
    </w:p>
    <w:p w14:paraId="293B74ED" w14:textId="77777777" w:rsidR="00EC088B" w:rsidRPr="00481B31" w:rsidRDefault="00EC088B" w:rsidP="000C1184">
      <w:pPr>
        <w:pStyle w:val="Prrafodelista"/>
        <w:spacing w:line="360" w:lineRule="auto"/>
        <w:rPr>
          <w:rFonts w:ascii="Palatino Linotype" w:hAnsi="Palatino Linotype" w:cs="Arial"/>
          <w:color w:val="222222"/>
          <w:lang w:val="es-ES_tradnl" w:eastAsia="es-MX"/>
        </w:rPr>
      </w:pPr>
    </w:p>
    <w:p w14:paraId="07A5DCBD" w14:textId="402D69AA" w:rsidR="008F1049" w:rsidRPr="00481B31" w:rsidRDefault="008F1049" w:rsidP="000C1184">
      <w:pPr>
        <w:pStyle w:val="Prrafodelista"/>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481B31">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0111FAE8" w14:textId="77777777" w:rsidR="008F1049" w:rsidRPr="00481B31" w:rsidRDefault="008F1049" w:rsidP="000C1184">
      <w:pPr>
        <w:spacing w:before="240" w:after="240" w:line="360" w:lineRule="auto"/>
        <w:contextualSpacing/>
        <w:jc w:val="both"/>
        <w:rPr>
          <w:rFonts w:ascii="Palatino Linotype" w:hAnsi="Palatino Linotype" w:cs="Arial"/>
          <w:color w:val="222222"/>
          <w:lang w:val="es-ES_tradnl" w:eastAsia="es-MX"/>
        </w:rPr>
      </w:pPr>
    </w:p>
    <w:p w14:paraId="29D34B42" w14:textId="77777777" w:rsidR="008F1049" w:rsidRPr="00481B31" w:rsidRDefault="008F1049" w:rsidP="000C1184">
      <w:pPr>
        <w:spacing w:line="360" w:lineRule="auto"/>
        <w:ind w:left="851" w:right="618"/>
        <w:contextualSpacing/>
        <w:jc w:val="both"/>
        <w:rPr>
          <w:rFonts w:ascii="Palatino Linotype" w:hAnsi="Palatino Linotype" w:cs="Arial"/>
          <w:i/>
          <w:color w:val="000000"/>
          <w:lang w:val="es-ES_tradnl"/>
        </w:rPr>
      </w:pPr>
      <w:r w:rsidRPr="00481B31">
        <w:rPr>
          <w:rFonts w:ascii="Palatino Linotype" w:hAnsi="Palatino Linotype" w:cs="Arial"/>
          <w:b/>
          <w:i/>
          <w:color w:val="000000"/>
          <w:lang w:val="es-ES_tradnl"/>
        </w:rPr>
        <w:t>FUNDAMENTACIÓN Y MOTIVACIÓN.</w:t>
      </w:r>
      <w:r w:rsidRPr="00481B31">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FAE691" w14:textId="77777777" w:rsidR="008F1049" w:rsidRPr="00481B31" w:rsidRDefault="008F1049" w:rsidP="000C1184">
      <w:pPr>
        <w:spacing w:line="360" w:lineRule="auto"/>
        <w:ind w:left="851" w:right="618"/>
        <w:contextualSpacing/>
        <w:jc w:val="both"/>
        <w:rPr>
          <w:rFonts w:ascii="Palatino Linotype" w:hAnsi="Palatino Linotype" w:cs="Arial"/>
          <w:i/>
          <w:color w:val="000000"/>
          <w:lang w:val="es-ES_tradnl"/>
        </w:rPr>
      </w:pPr>
      <w:r w:rsidRPr="00481B31">
        <w:rPr>
          <w:rFonts w:ascii="Palatino Linotype" w:hAnsi="Palatino Linotype" w:cs="Arial"/>
          <w:i/>
          <w:color w:val="000000"/>
          <w:lang w:val="es-ES_tradnl"/>
        </w:rPr>
        <w:t>SEGUNDO TRIBUNAL COLEGIADO DEL SEXTO CIRCUITO.</w:t>
      </w:r>
    </w:p>
    <w:p w14:paraId="196C0183" w14:textId="77777777" w:rsidR="008F1049" w:rsidRPr="00481B31" w:rsidRDefault="008F1049" w:rsidP="000C1184">
      <w:pPr>
        <w:spacing w:line="360" w:lineRule="auto"/>
        <w:ind w:left="851" w:right="618"/>
        <w:contextualSpacing/>
        <w:jc w:val="both"/>
        <w:rPr>
          <w:rFonts w:ascii="Palatino Linotype" w:hAnsi="Palatino Linotype" w:cs="Arial"/>
          <w:i/>
          <w:color w:val="000000"/>
          <w:lang w:val="es-ES_tradnl"/>
        </w:rPr>
      </w:pPr>
      <w:r w:rsidRPr="00481B31">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5F82BC97" w14:textId="77777777" w:rsidR="008F1049" w:rsidRPr="00481B31" w:rsidRDefault="008F1049" w:rsidP="000C1184">
      <w:pPr>
        <w:spacing w:line="360" w:lineRule="auto"/>
        <w:ind w:left="851" w:right="618"/>
        <w:contextualSpacing/>
        <w:jc w:val="both"/>
        <w:rPr>
          <w:rFonts w:ascii="Palatino Linotype" w:hAnsi="Palatino Linotype" w:cs="Arial"/>
          <w:i/>
          <w:color w:val="000000"/>
          <w:lang w:val="es-ES_tradnl"/>
        </w:rPr>
      </w:pPr>
      <w:r w:rsidRPr="00481B31">
        <w:rPr>
          <w:rFonts w:ascii="Palatino Linotype" w:hAnsi="Palatino Linotype" w:cs="Arial"/>
          <w:i/>
          <w:color w:val="000000"/>
          <w:lang w:val="es-ES_tradnl"/>
        </w:rPr>
        <w:lastRenderedPageBreak/>
        <w:t>Revisión fiscal 103/88. Instituto Mexicano del Seguro Social. 18 de octubre de 1988. Unanimidad de votos. Ponente: Arnoldo Nájera Virgen. Secretario: Alejandro Esponda Rincón.</w:t>
      </w:r>
    </w:p>
    <w:p w14:paraId="3589E5AE" w14:textId="77777777" w:rsidR="008F1049" w:rsidRPr="00481B31" w:rsidRDefault="008F1049" w:rsidP="000C1184">
      <w:pPr>
        <w:spacing w:line="360" w:lineRule="auto"/>
        <w:ind w:left="851" w:right="618"/>
        <w:contextualSpacing/>
        <w:jc w:val="both"/>
        <w:rPr>
          <w:rFonts w:ascii="Palatino Linotype" w:hAnsi="Palatino Linotype" w:cs="Arial"/>
          <w:i/>
          <w:color w:val="000000"/>
          <w:lang w:val="es-ES_tradnl"/>
        </w:rPr>
      </w:pPr>
      <w:r w:rsidRPr="00481B31">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063D06E7" w14:textId="77777777" w:rsidR="008F1049" w:rsidRPr="00481B31" w:rsidRDefault="008F1049" w:rsidP="000C1184">
      <w:pPr>
        <w:spacing w:line="360" w:lineRule="auto"/>
        <w:ind w:left="851" w:right="618"/>
        <w:contextualSpacing/>
        <w:jc w:val="both"/>
        <w:rPr>
          <w:rFonts w:ascii="Palatino Linotype" w:hAnsi="Palatino Linotype" w:cs="Arial"/>
          <w:i/>
          <w:color w:val="000000"/>
          <w:lang w:val="es-ES_tradnl"/>
        </w:rPr>
      </w:pPr>
      <w:r w:rsidRPr="00481B31">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6E3E725B" w14:textId="77777777" w:rsidR="008F1049" w:rsidRPr="00481B31" w:rsidRDefault="008F1049" w:rsidP="000C1184">
      <w:pPr>
        <w:spacing w:line="360" w:lineRule="auto"/>
        <w:ind w:left="851" w:right="618"/>
        <w:contextualSpacing/>
        <w:jc w:val="both"/>
        <w:rPr>
          <w:rFonts w:ascii="Palatino Linotype" w:hAnsi="Palatino Linotype" w:cs="Arial"/>
          <w:i/>
          <w:color w:val="000000"/>
          <w:lang w:val="es-ES_tradnl"/>
        </w:rPr>
      </w:pPr>
      <w:r w:rsidRPr="00481B31">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6CB5EDDD" w14:textId="77777777" w:rsidR="008F1049" w:rsidRPr="00481B31" w:rsidRDefault="008F1049" w:rsidP="000C1184">
      <w:pPr>
        <w:spacing w:line="360" w:lineRule="auto"/>
        <w:contextualSpacing/>
        <w:jc w:val="both"/>
        <w:rPr>
          <w:rFonts w:ascii="Palatino Linotype" w:hAnsi="Palatino Linotype" w:cs="Arial"/>
          <w:i/>
          <w:color w:val="000000"/>
          <w:lang w:val="es-ES_tradnl"/>
        </w:rPr>
      </w:pPr>
    </w:p>
    <w:p w14:paraId="4997DEB0" w14:textId="77777777" w:rsidR="00EC088B" w:rsidRPr="00481B31" w:rsidRDefault="008F1049" w:rsidP="000C1184">
      <w:pPr>
        <w:pStyle w:val="Prrafodelista"/>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481B31">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C89E700" w14:textId="77777777" w:rsidR="00637407" w:rsidRPr="00481B31" w:rsidRDefault="00637407" w:rsidP="000C1184">
      <w:pPr>
        <w:pStyle w:val="Prrafodelista"/>
        <w:spacing w:before="240" w:after="240" w:line="360" w:lineRule="auto"/>
        <w:ind w:left="0"/>
        <w:contextualSpacing/>
        <w:jc w:val="both"/>
        <w:rPr>
          <w:rFonts w:ascii="Palatino Linotype" w:hAnsi="Palatino Linotype" w:cs="Arial"/>
          <w:color w:val="222222"/>
          <w:lang w:val="es-ES_tradnl" w:eastAsia="es-MX"/>
        </w:rPr>
      </w:pPr>
    </w:p>
    <w:p w14:paraId="31445CCE" w14:textId="77777777" w:rsidR="00EC088B" w:rsidRPr="00481B31" w:rsidRDefault="008F1049" w:rsidP="000C1184">
      <w:pPr>
        <w:pStyle w:val="Prrafodelista"/>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481B31">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2BFC935" w14:textId="77777777" w:rsidR="00EC088B" w:rsidRPr="00481B31" w:rsidRDefault="00EC088B" w:rsidP="000C1184">
      <w:pPr>
        <w:pStyle w:val="Prrafodelista"/>
        <w:spacing w:before="240" w:after="240" w:line="360" w:lineRule="auto"/>
        <w:ind w:left="0"/>
        <w:contextualSpacing/>
        <w:jc w:val="both"/>
        <w:rPr>
          <w:rFonts w:ascii="Palatino Linotype" w:hAnsi="Palatino Linotype" w:cs="Arial"/>
          <w:color w:val="222222"/>
          <w:lang w:val="es-ES_tradnl" w:eastAsia="es-MX"/>
        </w:rPr>
      </w:pPr>
    </w:p>
    <w:p w14:paraId="3771D9AD" w14:textId="77777777" w:rsidR="00EC088B" w:rsidRPr="00481B31" w:rsidRDefault="008F1049" w:rsidP="000C1184">
      <w:pPr>
        <w:pStyle w:val="Prrafodelista"/>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481B31">
        <w:rPr>
          <w:rFonts w:ascii="Palatino Linotype" w:hAnsi="Palatino Linotype" w:cs="Arial"/>
          <w:color w:val="222222"/>
          <w:lang w:val="es-ES_tradnl" w:eastAsia="es-MX"/>
        </w:rPr>
        <w:lastRenderedPageBreak/>
        <w:t>En ese mismo sentido, el numeral trigésimo tercero fracción V de los Lineamientos Generales, precisa que para motivar la clasificación se deben acreditar las circunstancias de tiempo, modo y lugar.</w:t>
      </w:r>
    </w:p>
    <w:p w14:paraId="369E1C15" w14:textId="77777777" w:rsidR="00EC088B" w:rsidRPr="00481B31" w:rsidRDefault="00EC088B" w:rsidP="00B6790C">
      <w:pPr>
        <w:spacing w:line="360" w:lineRule="auto"/>
        <w:rPr>
          <w:rFonts w:ascii="Palatino Linotype" w:hAnsi="Palatino Linotype" w:cs="Arial"/>
          <w:color w:val="222222"/>
          <w:lang w:val="es-ES_tradnl" w:eastAsia="es-MX"/>
        </w:rPr>
      </w:pPr>
    </w:p>
    <w:p w14:paraId="57DAB4BD" w14:textId="41AB7D41" w:rsidR="00EC088B" w:rsidRPr="00481B31" w:rsidRDefault="008F1049" w:rsidP="000C1184">
      <w:pPr>
        <w:pStyle w:val="Prrafodelista"/>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481B31">
        <w:rPr>
          <w:rFonts w:ascii="Palatino Linotype" w:hAnsi="Palatino Linotype" w:cs="Arial"/>
          <w:color w:val="222222"/>
          <w:lang w:val="es-ES_tradnl" w:eastAsia="es-MX"/>
        </w:rPr>
        <w:t xml:space="preserve">Ahora bien, </w:t>
      </w:r>
      <w:r w:rsidRPr="00481B31">
        <w:rPr>
          <w:rFonts w:ascii="Palatino Linotype" w:hAnsi="Palatino Linotype" w:cs="Arial"/>
          <w:b/>
          <w:color w:val="222222"/>
          <w:lang w:val="es-ES_tradnl" w:eastAsia="es-MX"/>
        </w:rPr>
        <w:t>para cada caso además de fundar y motivar</w:t>
      </w:r>
      <w:r w:rsidRPr="00481B31">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481B31">
        <w:rPr>
          <w:rFonts w:ascii="Palatino Linotype" w:eastAsia="Calibri" w:hAnsi="Palatino Linotype" w:cs="Arial"/>
          <w:lang w:eastAsia="es-MX"/>
        </w:rPr>
        <w:t>el Registro Federal de Contribuyentes (R.F.C.), y clave de Cadenas Originales del Sellos Digitales y los Códigos Bidimensionales, también denominados Códigos QR</w:t>
      </w:r>
      <w:r w:rsidR="00A90703" w:rsidRPr="00481B31">
        <w:rPr>
          <w:rFonts w:ascii="Palatino Linotype" w:eastAsia="Calibri" w:hAnsi="Palatino Linotype" w:cs="Arial"/>
          <w:lang w:eastAsia="es-MX"/>
        </w:rPr>
        <w:t>, se consideran datos públicos, o de ser el caso en que una documental contenga datos personales relacionados con algún procedimiento judicial será susceptible de clasificarse como reservada.</w:t>
      </w:r>
    </w:p>
    <w:p w14:paraId="09D09507" w14:textId="77777777" w:rsidR="00B6790C" w:rsidRPr="00481B31" w:rsidRDefault="00B6790C" w:rsidP="00B6790C">
      <w:pPr>
        <w:pStyle w:val="Prrafodelista"/>
        <w:spacing w:before="240" w:after="240" w:line="360" w:lineRule="auto"/>
        <w:ind w:left="0"/>
        <w:contextualSpacing/>
        <w:jc w:val="both"/>
        <w:rPr>
          <w:rFonts w:ascii="Palatino Linotype" w:hAnsi="Palatino Linotype" w:cs="Arial"/>
          <w:color w:val="222222"/>
          <w:lang w:val="es-ES_tradnl" w:eastAsia="es-MX"/>
        </w:rPr>
      </w:pPr>
    </w:p>
    <w:p w14:paraId="0E94BE93" w14:textId="2E72E3D0" w:rsidR="00AF1B2B" w:rsidRPr="00481B31" w:rsidRDefault="00AF1B2B" w:rsidP="000C1184">
      <w:pPr>
        <w:pStyle w:val="Prrafodelista"/>
        <w:numPr>
          <w:ilvl w:val="0"/>
          <w:numId w:val="38"/>
        </w:numPr>
        <w:spacing w:before="240" w:after="240" w:line="360" w:lineRule="auto"/>
        <w:ind w:left="0" w:firstLine="0"/>
        <w:contextualSpacing/>
        <w:jc w:val="both"/>
        <w:rPr>
          <w:rFonts w:ascii="Palatino Linotype" w:hAnsi="Palatino Linotype" w:cs="Arial"/>
          <w:color w:val="222222"/>
          <w:lang w:val="es-ES_tradnl" w:eastAsia="es-MX"/>
        </w:rPr>
      </w:pPr>
      <w:r w:rsidRPr="00481B31">
        <w:rPr>
          <w:rFonts w:ascii="Palatino Linotype" w:eastAsia="Calibri" w:hAnsi="Palatino Linotype" w:cs="Arial"/>
          <w:lang w:eastAsia="es-MX"/>
        </w:rPr>
        <w:t xml:space="preserve">Finalmente no pasa desapercibido que se solicita acceso al Expediente Laboral de una persona, por lo que de existir documentos que por su naturaleza contengan datos personales en su totalidad, se deberá proceder a </w:t>
      </w:r>
      <w:r w:rsidR="00EC088B" w:rsidRPr="00481B31">
        <w:rPr>
          <w:rFonts w:ascii="Palatino Linotype" w:eastAsia="Calibri" w:hAnsi="Palatino Linotype" w:cs="Arial"/>
          <w:lang w:eastAsia="es-MX"/>
        </w:rPr>
        <w:t>su clasificación total</w:t>
      </w:r>
      <w:r w:rsidRPr="00481B31">
        <w:rPr>
          <w:rFonts w:ascii="Palatino Linotype" w:eastAsia="Calibri" w:hAnsi="Palatino Linotype" w:cs="Arial"/>
          <w:lang w:eastAsia="es-MX"/>
        </w:rPr>
        <w:t xml:space="preserve">, como de manera enunciativa más no limitativa pueden ser el acta de nacimiento, la credencial de elector o la cartilla militar. </w:t>
      </w:r>
    </w:p>
    <w:p w14:paraId="75FF8C8A" w14:textId="77777777" w:rsidR="008F1049" w:rsidRPr="00481B31" w:rsidRDefault="008F1049" w:rsidP="000C1184">
      <w:pPr>
        <w:spacing w:before="240" w:after="240" w:line="360" w:lineRule="auto"/>
        <w:contextualSpacing/>
        <w:jc w:val="both"/>
        <w:rPr>
          <w:rFonts w:ascii="Palatino Linotype" w:eastAsia="Calibri" w:hAnsi="Palatino Linotype" w:cs="Arial"/>
          <w:lang w:eastAsia="es-MX"/>
        </w:rPr>
      </w:pPr>
    </w:p>
    <w:p w14:paraId="67BF7B92" w14:textId="3A1FBF6D" w:rsidR="008F1049" w:rsidRPr="00481B31" w:rsidRDefault="00DC4A66" w:rsidP="000C1184">
      <w:pPr>
        <w:keepNext/>
        <w:keepLines/>
        <w:spacing w:before="240" w:line="360" w:lineRule="auto"/>
        <w:jc w:val="both"/>
        <w:outlineLvl w:val="0"/>
        <w:rPr>
          <w:rFonts w:ascii="Palatino Linotype" w:hAnsi="Palatino Linotype"/>
          <w:b/>
          <w:lang w:val="es-MX" w:eastAsia="en-US"/>
        </w:rPr>
      </w:pPr>
      <w:bookmarkStart w:id="98" w:name="_Toc5711929"/>
      <w:bookmarkStart w:id="99" w:name="_Toc5890466"/>
      <w:bookmarkStart w:id="100" w:name="_Toc50062192"/>
      <w:bookmarkStart w:id="101" w:name="_Toc63348483"/>
      <w:bookmarkStart w:id="102" w:name="_Toc67598520"/>
      <w:bookmarkStart w:id="103" w:name="_Toc69999209"/>
      <w:bookmarkStart w:id="104" w:name="_Toc73033018"/>
      <w:bookmarkStart w:id="105" w:name="_Toc85137173"/>
      <w:r w:rsidRPr="00481B31">
        <w:rPr>
          <w:rFonts w:ascii="Palatino Linotype" w:hAnsi="Palatino Linotype"/>
          <w:b/>
          <w:lang w:val="es-MX" w:eastAsia="en-US"/>
        </w:rPr>
        <w:lastRenderedPageBreak/>
        <w:t>I</w:t>
      </w:r>
      <w:r w:rsidR="003F0CD4" w:rsidRPr="00481B31">
        <w:rPr>
          <w:rFonts w:ascii="Palatino Linotype" w:hAnsi="Palatino Linotype"/>
          <w:b/>
          <w:lang w:val="es-MX" w:eastAsia="en-US"/>
        </w:rPr>
        <w:t>V</w:t>
      </w:r>
      <w:r w:rsidR="008F1049" w:rsidRPr="00481B31">
        <w:rPr>
          <w:rFonts w:ascii="Palatino Linotype" w:hAnsi="Palatino Linotype"/>
          <w:b/>
          <w:lang w:val="es-MX" w:eastAsia="en-US"/>
        </w:rPr>
        <w:t>. Condiciones especiales de la clasificación de la información como confidencial.</w:t>
      </w:r>
      <w:bookmarkEnd w:id="98"/>
      <w:bookmarkEnd w:id="99"/>
      <w:bookmarkEnd w:id="100"/>
      <w:bookmarkEnd w:id="101"/>
      <w:bookmarkEnd w:id="102"/>
      <w:bookmarkEnd w:id="103"/>
      <w:bookmarkEnd w:id="104"/>
      <w:bookmarkEnd w:id="105"/>
    </w:p>
    <w:p w14:paraId="44E4CB5B" w14:textId="77777777" w:rsidR="003F0CD4" w:rsidRPr="00481B31" w:rsidRDefault="003F0CD4" w:rsidP="000C1184">
      <w:pPr>
        <w:keepNext/>
        <w:keepLines/>
        <w:spacing w:before="240" w:line="360" w:lineRule="auto"/>
        <w:jc w:val="both"/>
        <w:outlineLvl w:val="0"/>
        <w:rPr>
          <w:rFonts w:ascii="Palatino Linotype" w:hAnsi="Palatino Linotype"/>
          <w:b/>
          <w:lang w:val="es-MX" w:eastAsia="en-US"/>
        </w:rPr>
      </w:pPr>
    </w:p>
    <w:p w14:paraId="3988C96E" w14:textId="637970AF" w:rsidR="003F0CD4" w:rsidRPr="00481B31" w:rsidRDefault="003F0CD4" w:rsidP="000C1184">
      <w:pPr>
        <w:pStyle w:val="Prrafodelista"/>
        <w:numPr>
          <w:ilvl w:val="0"/>
          <w:numId w:val="38"/>
        </w:numPr>
        <w:spacing w:before="240" w:after="240" w:line="360" w:lineRule="auto"/>
        <w:ind w:left="-142" w:firstLine="142"/>
        <w:contextualSpacing/>
        <w:jc w:val="both"/>
        <w:rPr>
          <w:rFonts w:ascii="Palatino Linotype" w:hAnsi="Palatino Linotype" w:cs="Arial"/>
          <w:color w:val="000000"/>
          <w:lang w:val="es-ES_tradnl"/>
        </w:rPr>
      </w:pPr>
      <w:r w:rsidRPr="00481B31">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4FA45375" w14:textId="77777777" w:rsidR="003F0CD4" w:rsidRPr="00481B31" w:rsidRDefault="003F0CD4" w:rsidP="000C1184">
      <w:pPr>
        <w:pStyle w:val="Prrafodelista"/>
        <w:spacing w:before="240" w:after="240" w:line="360" w:lineRule="auto"/>
        <w:ind w:left="0"/>
        <w:contextualSpacing/>
        <w:jc w:val="both"/>
        <w:rPr>
          <w:rFonts w:ascii="Palatino Linotype" w:hAnsi="Palatino Linotype" w:cs="Arial"/>
          <w:color w:val="000000"/>
          <w:lang w:val="es-ES_tradnl"/>
        </w:rPr>
      </w:pPr>
    </w:p>
    <w:p w14:paraId="6E2288D1" w14:textId="77777777" w:rsidR="003F0CD4" w:rsidRPr="00481B31" w:rsidRDefault="003F0CD4" w:rsidP="000C118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481B31">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3DE7A78C" w14:textId="77777777" w:rsidR="003F0CD4" w:rsidRPr="00481B31" w:rsidRDefault="003F0CD4" w:rsidP="000C1184">
      <w:pPr>
        <w:spacing w:before="240" w:after="240" w:line="360" w:lineRule="auto"/>
        <w:contextualSpacing/>
        <w:jc w:val="both"/>
        <w:rPr>
          <w:rFonts w:ascii="Palatino Linotype" w:hAnsi="Palatino Linotype" w:cs="Arial"/>
          <w:color w:val="000000"/>
          <w:lang w:val="es-ES_tradnl"/>
        </w:rPr>
      </w:pPr>
    </w:p>
    <w:p w14:paraId="7B1375CE" w14:textId="77777777" w:rsidR="003F0CD4" w:rsidRPr="00481B31"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481B31">
        <w:rPr>
          <w:rFonts w:ascii="Palatino Linotype" w:hAnsi="Palatino Linotype" w:cs="Bookman Old Style"/>
          <w:bCs/>
          <w:i/>
          <w:color w:val="000000"/>
          <w:lang w:val="es-ES_tradnl"/>
        </w:rPr>
        <w:t xml:space="preserve">I. </w:t>
      </w:r>
      <w:r w:rsidRPr="00481B31">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349B58C5" w14:textId="77777777" w:rsidR="003F0CD4" w:rsidRPr="00481B31"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481B31">
        <w:rPr>
          <w:rFonts w:ascii="Palatino Linotype" w:hAnsi="Palatino Linotype" w:cs="Bookman Old Style"/>
          <w:bCs/>
          <w:i/>
          <w:color w:val="000000"/>
          <w:lang w:val="es-ES_tradnl"/>
        </w:rPr>
        <w:t xml:space="preserve">II. </w:t>
      </w:r>
      <w:r w:rsidRPr="00481B31">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6A95E00" w14:textId="77777777" w:rsidR="003F0CD4" w:rsidRPr="00481B31"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481B31">
        <w:rPr>
          <w:rFonts w:ascii="Palatino Linotype" w:hAnsi="Palatino Linotype" w:cs="Bookman Old Style"/>
          <w:bCs/>
          <w:i/>
          <w:color w:val="000000"/>
          <w:lang w:val="es-ES_tradnl"/>
        </w:rPr>
        <w:t xml:space="preserve">III. </w:t>
      </w:r>
      <w:r w:rsidRPr="00481B31">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6A87F712" w14:textId="77777777" w:rsidR="003F0CD4" w:rsidRPr="00481B31" w:rsidRDefault="003F0CD4" w:rsidP="000C1184">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481B31">
        <w:rPr>
          <w:rFonts w:ascii="Palatino Linotype" w:hAnsi="Palatino Linotype" w:cs="Bookman Old Style"/>
          <w:i/>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7D1E5BE8" w14:textId="77777777" w:rsidR="003F0CD4" w:rsidRPr="00481B31" w:rsidRDefault="003F0CD4" w:rsidP="000C1184">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481B31">
        <w:rPr>
          <w:rFonts w:ascii="Palatino Linotype" w:hAnsi="Palatino Linotype" w:cs="Bookman Old Style"/>
          <w:i/>
          <w:color w:val="000000"/>
          <w:lang w:val="es-ES_tradnl"/>
        </w:rPr>
        <w:lastRenderedPageBreak/>
        <w:t xml:space="preserve">No se considerará confidencial la información que se encuentre en los registros públicos o en fuentes de acceso público, ni tampoco la que sea considerada por la presente ley como información pública. </w:t>
      </w:r>
    </w:p>
    <w:p w14:paraId="1B098B14" w14:textId="3999CDF8" w:rsidR="003F0CD4" w:rsidRPr="00481B31" w:rsidRDefault="003F0CD4" w:rsidP="000C118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481B31">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C7F84F3" w14:textId="77777777" w:rsidR="003F0CD4" w:rsidRPr="00481B31" w:rsidRDefault="003F0CD4" w:rsidP="000C1184">
      <w:pPr>
        <w:pStyle w:val="Prrafodelista"/>
        <w:spacing w:before="240" w:after="240" w:line="360" w:lineRule="auto"/>
        <w:ind w:left="0"/>
        <w:contextualSpacing/>
        <w:jc w:val="both"/>
        <w:rPr>
          <w:rFonts w:ascii="Palatino Linotype" w:hAnsi="Palatino Linotype" w:cs="Arial"/>
          <w:color w:val="000000"/>
          <w:lang w:val="es-ES_tradnl"/>
        </w:rPr>
      </w:pPr>
    </w:p>
    <w:p w14:paraId="5829400D" w14:textId="77777777" w:rsidR="003F0CD4" w:rsidRPr="00481B31" w:rsidRDefault="003F0CD4" w:rsidP="000C118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481B31">
        <w:rPr>
          <w:rFonts w:ascii="Palatino Linotype" w:hAnsi="Palatino Linotype" w:cs="Arial"/>
          <w:color w:val="000000"/>
          <w:lang w:val="es-ES_tradnl"/>
        </w:rPr>
        <w:t xml:space="preserve">Como consecuencia de lo anterior, el </w:t>
      </w:r>
      <w:r w:rsidRPr="00481B31">
        <w:rPr>
          <w:rFonts w:ascii="Palatino Linotype" w:hAnsi="Palatino Linotype" w:cs="Arial"/>
          <w:b/>
          <w:color w:val="000000"/>
          <w:lang w:val="es-ES_tradnl"/>
        </w:rPr>
        <w:t>SUJETO OBLIGADO</w:t>
      </w:r>
      <w:r w:rsidRPr="00481B31">
        <w:rPr>
          <w:rFonts w:ascii="Palatino Linotype" w:hAnsi="Palatino Linotype" w:cs="Arial"/>
          <w:color w:val="000000"/>
          <w:lang w:val="es-ES_tradnl"/>
        </w:rPr>
        <w:t xml:space="preserve"> debe identificar claramente el tipo de información y hacer un juicio de subsunción o encaje</w:t>
      </w:r>
      <w:r w:rsidRPr="00481B31">
        <w:rPr>
          <w:rFonts w:ascii="Palatino Linotype" w:hAnsi="Palatino Linotype"/>
          <w:vertAlign w:val="superscript"/>
          <w:lang w:val="es-ES_tradnl"/>
        </w:rPr>
        <w:footnoteReference w:id="12"/>
      </w:r>
      <w:r w:rsidRPr="00481B31">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418B1EFF" w14:textId="77777777" w:rsidR="003F0CD4" w:rsidRPr="00481B31" w:rsidRDefault="003F0CD4" w:rsidP="000C1184">
      <w:pPr>
        <w:pStyle w:val="Prrafodelista"/>
        <w:spacing w:line="360" w:lineRule="auto"/>
        <w:rPr>
          <w:rFonts w:ascii="Palatino Linotype" w:hAnsi="Palatino Linotype" w:cs="Arial"/>
          <w:color w:val="000000"/>
          <w:lang w:val="es-ES_tradnl"/>
        </w:rPr>
      </w:pPr>
    </w:p>
    <w:p w14:paraId="3E9A0671" w14:textId="179FBC1D" w:rsidR="003F0CD4" w:rsidRPr="00481B31" w:rsidRDefault="003F0CD4" w:rsidP="000C1184">
      <w:pPr>
        <w:pStyle w:val="Prrafodelista"/>
        <w:numPr>
          <w:ilvl w:val="0"/>
          <w:numId w:val="38"/>
        </w:numPr>
        <w:spacing w:before="240" w:after="240" w:line="360" w:lineRule="auto"/>
        <w:ind w:left="0" w:firstLine="0"/>
        <w:contextualSpacing/>
        <w:jc w:val="both"/>
        <w:rPr>
          <w:rFonts w:ascii="Palatino Linotype" w:hAnsi="Palatino Linotype" w:cs="Arial"/>
          <w:color w:val="000000"/>
          <w:lang w:val="es-ES_tradnl"/>
        </w:rPr>
      </w:pPr>
      <w:r w:rsidRPr="00481B31">
        <w:rPr>
          <w:rFonts w:ascii="Palatino Linotype" w:hAnsi="Palatino Linotype" w:cs="Arial"/>
          <w:color w:val="000000"/>
          <w:lang w:val="es-ES_tradnl"/>
        </w:rPr>
        <w:lastRenderedPageBreak/>
        <w:t>Una vez hecho lo anterior, se remite la información al Titular de la Unidad de Transparencia, con el acuerdo de clasificación correspondiente, para que sea sometido al conocimiento del Comité de Transparencia.</w:t>
      </w:r>
    </w:p>
    <w:p w14:paraId="660074C8" w14:textId="77777777" w:rsidR="003F0CD4" w:rsidRPr="00481B31" w:rsidRDefault="003F0CD4" w:rsidP="000C1184">
      <w:pPr>
        <w:pStyle w:val="Prrafodelista"/>
        <w:spacing w:before="240" w:after="240" w:line="360" w:lineRule="auto"/>
        <w:ind w:left="0"/>
        <w:contextualSpacing/>
        <w:jc w:val="both"/>
        <w:rPr>
          <w:rFonts w:ascii="Palatino Linotype" w:hAnsi="Palatino Linotype" w:cs="Arial"/>
          <w:color w:val="000000"/>
          <w:lang w:val="es-ES_tradnl"/>
        </w:rPr>
      </w:pPr>
    </w:p>
    <w:p w14:paraId="37F4908B" w14:textId="77777777" w:rsidR="008F1049" w:rsidRPr="00481B31" w:rsidRDefault="008F1049" w:rsidP="000C1184">
      <w:pPr>
        <w:keepNext/>
        <w:keepLines/>
        <w:numPr>
          <w:ilvl w:val="0"/>
          <w:numId w:val="10"/>
        </w:numPr>
        <w:spacing w:before="240" w:after="160" w:line="360" w:lineRule="auto"/>
        <w:ind w:left="0" w:firstLine="0"/>
        <w:outlineLvl w:val="0"/>
        <w:rPr>
          <w:rFonts w:ascii="Palatino Linotype" w:eastAsia="MS Gothic" w:hAnsi="Palatino Linotype"/>
          <w:b/>
          <w:lang w:val="es-MX" w:eastAsia="en-US"/>
        </w:rPr>
      </w:pPr>
      <w:bookmarkStart w:id="106" w:name="_Toc5711930"/>
      <w:bookmarkStart w:id="107" w:name="_Toc5890467"/>
      <w:bookmarkStart w:id="108" w:name="_Toc50062193"/>
      <w:r w:rsidRPr="00481B31">
        <w:rPr>
          <w:rFonts w:ascii="Palatino Linotype" w:eastAsia="MS Gothic" w:hAnsi="Palatino Linotype"/>
          <w:b/>
          <w:lang w:val="es-MX" w:eastAsia="en-US"/>
        </w:rPr>
        <w:t xml:space="preserve"> </w:t>
      </w:r>
      <w:bookmarkStart w:id="109" w:name="_Toc63348484"/>
      <w:bookmarkStart w:id="110" w:name="_Toc67598521"/>
      <w:bookmarkStart w:id="111" w:name="_Toc69999210"/>
      <w:bookmarkStart w:id="112" w:name="_Toc73033019"/>
      <w:bookmarkStart w:id="113" w:name="_Toc85137174"/>
      <w:r w:rsidRPr="00481B31">
        <w:rPr>
          <w:rFonts w:ascii="Palatino Linotype" w:eastAsia="MS Gothic" w:hAnsi="Palatino Linotype"/>
          <w:b/>
          <w:lang w:val="es-MX" w:eastAsia="en-US"/>
        </w:rPr>
        <w:t>Del consentimiento.</w:t>
      </w:r>
      <w:bookmarkEnd w:id="106"/>
      <w:bookmarkEnd w:id="107"/>
      <w:bookmarkEnd w:id="108"/>
      <w:bookmarkEnd w:id="109"/>
      <w:bookmarkEnd w:id="110"/>
      <w:bookmarkEnd w:id="111"/>
      <w:bookmarkEnd w:id="112"/>
      <w:bookmarkEnd w:id="113"/>
    </w:p>
    <w:p w14:paraId="3C59EBAE" w14:textId="77777777" w:rsidR="008F1049" w:rsidRPr="00481B31" w:rsidRDefault="008F1049" w:rsidP="000C1184">
      <w:pPr>
        <w:spacing w:line="360" w:lineRule="auto"/>
        <w:rPr>
          <w:rFonts w:ascii="Palatino Linotype" w:eastAsia="MS Mincho" w:hAnsi="Palatino Linotype"/>
          <w:lang w:val="es-MX" w:eastAsia="en-US"/>
        </w:rPr>
      </w:pPr>
    </w:p>
    <w:p w14:paraId="60B33B1D" w14:textId="25FFF6FE" w:rsidR="008F1049" w:rsidRPr="00481B31" w:rsidRDefault="008F1049" w:rsidP="000C1184">
      <w:pPr>
        <w:pStyle w:val="Prrafodelista"/>
        <w:numPr>
          <w:ilvl w:val="0"/>
          <w:numId w:val="38"/>
        </w:numPr>
        <w:spacing w:after="120" w:line="360" w:lineRule="auto"/>
        <w:ind w:left="0" w:right="49" w:firstLine="0"/>
        <w:contextualSpacing/>
        <w:jc w:val="both"/>
        <w:rPr>
          <w:rFonts w:ascii="Palatino Linotype" w:eastAsia="MS Mincho" w:hAnsi="Palatino Linotype" w:cs="Arial"/>
          <w:color w:val="000000"/>
          <w:lang w:val="es-ES_tradnl"/>
        </w:rPr>
      </w:pPr>
      <w:r w:rsidRPr="00481B31">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56EFBD9F" w14:textId="77777777" w:rsidR="008F1049" w:rsidRPr="00481B31" w:rsidRDefault="008F1049" w:rsidP="000C1184">
      <w:pPr>
        <w:spacing w:after="120" w:line="360" w:lineRule="auto"/>
        <w:ind w:left="426" w:right="49" w:hanging="426"/>
        <w:contextualSpacing/>
        <w:jc w:val="both"/>
        <w:rPr>
          <w:rFonts w:ascii="Palatino Linotype" w:eastAsia="MS Mincho" w:hAnsi="Palatino Linotype" w:cs="Arial"/>
          <w:color w:val="000000"/>
          <w:lang w:val="es-ES_tradnl"/>
        </w:rPr>
      </w:pPr>
    </w:p>
    <w:p w14:paraId="464A60CA" w14:textId="77777777" w:rsidR="008F1049" w:rsidRPr="00481B31" w:rsidRDefault="008F1049" w:rsidP="000C1184">
      <w:pPr>
        <w:spacing w:after="120" w:line="360" w:lineRule="auto"/>
        <w:ind w:left="567" w:right="567"/>
        <w:contextualSpacing/>
        <w:jc w:val="both"/>
        <w:rPr>
          <w:rFonts w:ascii="Palatino Linotype" w:eastAsia="MS Mincho" w:hAnsi="Palatino Linotype" w:cs="Arial"/>
          <w:bCs/>
          <w:i/>
          <w:color w:val="000000"/>
          <w:lang w:val="es-MX"/>
        </w:rPr>
      </w:pPr>
      <w:r w:rsidRPr="00481B31">
        <w:rPr>
          <w:rFonts w:ascii="Palatino Linotype" w:eastAsia="MS Mincho" w:hAnsi="Palatino Linotype" w:cs="Arial"/>
          <w:bCs/>
          <w:i/>
          <w:color w:val="000000"/>
          <w:lang w:val="es-MX"/>
        </w:rPr>
        <w:t>I.</w:t>
      </w:r>
      <w:r w:rsidRPr="00481B31">
        <w:rPr>
          <w:rFonts w:ascii="Palatino Linotype" w:eastAsia="MS Mincho" w:hAnsi="Palatino Linotype" w:cs="Arial"/>
          <w:i/>
          <w:color w:val="000000"/>
          <w:lang w:val="es-MX"/>
        </w:rPr>
        <w:t xml:space="preserve"> La información se encuentre en registros públicos o fuentes de acceso público;</w:t>
      </w:r>
    </w:p>
    <w:p w14:paraId="2E701208" w14:textId="77777777" w:rsidR="008F1049" w:rsidRPr="00481B31" w:rsidRDefault="008F1049" w:rsidP="000C1184">
      <w:pPr>
        <w:spacing w:after="120" w:line="360" w:lineRule="auto"/>
        <w:ind w:left="567" w:right="567"/>
        <w:contextualSpacing/>
        <w:jc w:val="both"/>
        <w:rPr>
          <w:rFonts w:ascii="Palatino Linotype" w:eastAsia="MS Mincho" w:hAnsi="Palatino Linotype" w:cs="Arial"/>
          <w:bCs/>
          <w:i/>
          <w:color w:val="000000"/>
          <w:lang w:val="es-MX"/>
        </w:rPr>
      </w:pPr>
      <w:r w:rsidRPr="00481B31">
        <w:rPr>
          <w:rFonts w:ascii="Palatino Linotype" w:eastAsia="MS Mincho" w:hAnsi="Palatino Linotype" w:cs="Arial"/>
          <w:bCs/>
          <w:i/>
          <w:color w:val="000000"/>
          <w:lang w:val="es-MX"/>
        </w:rPr>
        <w:t xml:space="preserve">II. </w:t>
      </w:r>
      <w:r w:rsidRPr="00481B31">
        <w:rPr>
          <w:rFonts w:ascii="Palatino Linotype" w:eastAsia="MS Mincho" w:hAnsi="Palatino Linotype" w:cs="Arial"/>
          <w:i/>
          <w:color w:val="000000"/>
          <w:lang w:val="es-MX"/>
        </w:rPr>
        <w:t>Por Ley tenga el carácter de pública;</w:t>
      </w:r>
    </w:p>
    <w:p w14:paraId="1C707EEC" w14:textId="77777777" w:rsidR="008F1049" w:rsidRPr="00481B31" w:rsidRDefault="008F1049" w:rsidP="000C1184">
      <w:pPr>
        <w:spacing w:after="120" w:line="360" w:lineRule="auto"/>
        <w:ind w:left="567" w:right="567"/>
        <w:contextualSpacing/>
        <w:jc w:val="both"/>
        <w:rPr>
          <w:rFonts w:ascii="Palatino Linotype" w:eastAsia="MS Mincho" w:hAnsi="Palatino Linotype" w:cs="Arial"/>
          <w:i/>
          <w:color w:val="000000"/>
          <w:lang w:val="es-MX"/>
        </w:rPr>
      </w:pPr>
      <w:r w:rsidRPr="00481B31">
        <w:rPr>
          <w:rFonts w:ascii="Palatino Linotype" w:eastAsia="MS Mincho" w:hAnsi="Palatino Linotype" w:cs="Arial"/>
          <w:bCs/>
          <w:i/>
          <w:color w:val="000000"/>
          <w:lang w:val="es-MX"/>
        </w:rPr>
        <w:t xml:space="preserve">III. </w:t>
      </w:r>
      <w:r w:rsidRPr="00481B31">
        <w:rPr>
          <w:rFonts w:ascii="Palatino Linotype" w:eastAsia="MS Mincho" w:hAnsi="Palatino Linotype" w:cs="Arial"/>
          <w:i/>
          <w:color w:val="000000"/>
          <w:lang w:val="es-MX"/>
        </w:rPr>
        <w:t xml:space="preserve">Exista una orden judicial; </w:t>
      </w:r>
    </w:p>
    <w:p w14:paraId="22C1D830" w14:textId="77777777" w:rsidR="008F1049" w:rsidRPr="00481B31" w:rsidRDefault="008F1049" w:rsidP="000C1184">
      <w:pPr>
        <w:spacing w:after="120" w:line="360" w:lineRule="auto"/>
        <w:ind w:left="567" w:right="567"/>
        <w:contextualSpacing/>
        <w:jc w:val="both"/>
        <w:rPr>
          <w:rFonts w:ascii="Palatino Linotype" w:eastAsia="MS Mincho" w:hAnsi="Palatino Linotype" w:cs="Arial"/>
          <w:i/>
          <w:color w:val="000000"/>
          <w:lang w:val="es-MX"/>
        </w:rPr>
      </w:pPr>
      <w:r w:rsidRPr="00481B31">
        <w:rPr>
          <w:rFonts w:ascii="Palatino Linotype" w:eastAsia="MS Mincho" w:hAnsi="Palatino Linotype" w:cs="Arial"/>
          <w:bCs/>
          <w:i/>
          <w:color w:val="000000"/>
          <w:lang w:val="es-MX"/>
        </w:rPr>
        <w:t xml:space="preserve">IV. </w:t>
      </w:r>
      <w:r w:rsidRPr="00481B31">
        <w:rPr>
          <w:rFonts w:ascii="Palatino Linotype" w:eastAsia="MS Mincho" w:hAnsi="Palatino Linotype" w:cs="Arial"/>
          <w:i/>
          <w:color w:val="000000"/>
          <w:lang w:val="es-MX"/>
        </w:rPr>
        <w:t xml:space="preserve">Por razones de seguridad pública, o para proteger los derechos de terceros, se requiera su publicación; o </w:t>
      </w:r>
    </w:p>
    <w:p w14:paraId="018F629D" w14:textId="77777777" w:rsidR="008F1049" w:rsidRPr="00481B31" w:rsidRDefault="008F1049" w:rsidP="000C1184">
      <w:pPr>
        <w:spacing w:after="120" w:line="360" w:lineRule="auto"/>
        <w:ind w:left="567" w:right="567"/>
        <w:contextualSpacing/>
        <w:jc w:val="both"/>
        <w:rPr>
          <w:rFonts w:ascii="Palatino Linotype" w:eastAsia="MS Mincho" w:hAnsi="Palatino Linotype" w:cs="Arial"/>
          <w:i/>
          <w:color w:val="000000"/>
          <w:lang w:val="es-MX"/>
        </w:rPr>
      </w:pPr>
      <w:r w:rsidRPr="00481B31">
        <w:rPr>
          <w:rFonts w:ascii="Palatino Linotype" w:eastAsia="MS Mincho" w:hAnsi="Palatino Linotype" w:cs="Arial"/>
          <w:bCs/>
          <w:i/>
          <w:color w:val="000000"/>
          <w:lang w:val="es-MX"/>
        </w:rPr>
        <w:t xml:space="preserve">V. </w:t>
      </w:r>
      <w:r w:rsidRPr="00481B31">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4C6C4D9" w14:textId="77777777" w:rsidR="008F1049" w:rsidRPr="00481B31" w:rsidRDefault="008F1049" w:rsidP="000C1184">
      <w:pPr>
        <w:spacing w:after="120" w:line="360" w:lineRule="auto"/>
        <w:ind w:left="426" w:right="49" w:hanging="426"/>
        <w:contextualSpacing/>
        <w:jc w:val="both"/>
        <w:rPr>
          <w:rFonts w:ascii="Palatino Linotype" w:eastAsia="MS Mincho" w:hAnsi="Palatino Linotype" w:cs="Arial"/>
          <w:color w:val="000000"/>
          <w:lang w:val="es-ES_tradnl"/>
        </w:rPr>
      </w:pPr>
    </w:p>
    <w:p w14:paraId="3A9086F8" w14:textId="77777777" w:rsidR="00EC088B" w:rsidRPr="00481B31" w:rsidRDefault="008F1049" w:rsidP="000C1184">
      <w:pPr>
        <w:pStyle w:val="Prrafodelista"/>
        <w:numPr>
          <w:ilvl w:val="0"/>
          <w:numId w:val="38"/>
        </w:numPr>
        <w:spacing w:after="120" w:line="360" w:lineRule="auto"/>
        <w:ind w:left="0" w:firstLine="0"/>
        <w:contextualSpacing/>
        <w:jc w:val="both"/>
        <w:rPr>
          <w:rFonts w:ascii="Palatino Linotype" w:eastAsia="MS Mincho" w:hAnsi="Palatino Linotype" w:cs="Arial"/>
          <w:color w:val="000000"/>
          <w:lang w:val="es-ES_tradnl"/>
        </w:rPr>
      </w:pPr>
      <w:r w:rsidRPr="00481B31">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w:t>
      </w:r>
      <w:r w:rsidRPr="00481B31">
        <w:rPr>
          <w:rFonts w:ascii="Palatino Linotype" w:eastAsia="MS Mincho" w:hAnsi="Palatino Linotype" w:cs="Arial"/>
          <w:color w:val="000000"/>
          <w:lang w:val="es-ES_tradnl"/>
        </w:rPr>
        <w:lastRenderedPageBreak/>
        <w:t xml:space="preserve">discutido la Suprema Corte de Justicia de la Nación, los servidores públicos nos encontramos sujetos a un régimen menor de protección. </w:t>
      </w:r>
    </w:p>
    <w:p w14:paraId="109116DF" w14:textId="77777777" w:rsidR="00EC088B" w:rsidRPr="00481B31" w:rsidRDefault="00EC088B" w:rsidP="000C1184">
      <w:pPr>
        <w:pStyle w:val="Prrafodelista"/>
        <w:spacing w:after="120" w:line="360" w:lineRule="auto"/>
        <w:ind w:left="0"/>
        <w:contextualSpacing/>
        <w:jc w:val="both"/>
        <w:rPr>
          <w:rFonts w:ascii="Palatino Linotype" w:eastAsia="MS Mincho" w:hAnsi="Palatino Linotype" w:cs="Arial"/>
          <w:color w:val="000000"/>
          <w:lang w:val="es-ES_tradnl"/>
        </w:rPr>
      </w:pPr>
    </w:p>
    <w:p w14:paraId="4F9745E3" w14:textId="5596ADA9" w:rsidR="002B27E7" w:rsidRPr="00481B31" w:rsidRDefault="008F1049" w:rsidP="000C1184">
      <w:pPr>
        <w:pStyle w:val="Prrafodelista"/>
        <w:numPr>
          <w:ilvl w:val="0"/>
          <w:numId w:val="38"/>
        </w:numPr>
        <w:spacing w:after="120" w:line="360" w:lineRule="auto"/>
        <w:ind w:left="0" w:firstLine="0"/>
        <w:contextualSpacing/>
        <w:jc w:val="both"/>
        <w:rPr>
          <w:rFonts w:ascii="Palatino Linotype" w:eastAsia="MS Mincho" w:hAnsi="Palatino Linotype" w:cs="Arial"/>
          <w:color w:val="000000"/>
          <w:lang w:val="es-ES_tradnl"/>
        </w:rPr>
      </w:pPr>
      <w:r w:rsidRPr="00481B31">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B5ACB94" w14:textId="77777777" w:rsidR="008F1049" w:rsidRPr="00481B31" w:rsidRDefault="008F1049" w:rsidP="000C1184">
      <w:pPr>
        <w:keepNext/>
        <w:keepLines/>
        <w:numPr>
          <w:ilvl w:val="0"/>
          <w:numId w:val="9"/>
        </w:numPr>
        <w:spacing w:before="240" w:after="160" w:line="360" w:lineRule="auto"/>
        <w:ind w:left="0" w:firstLine="0"/>
        <w:outlineLvl w:val="0"/>
        <w:rPr>
          <w:rFonts w:ascii="Palatino Linotype" w:hAnsi="Palatino Linotype"/>
          <w:b/>
          <w:color w:val="000000"/>
          <w:lang w:val="es-ES_tradnl"/>
        </w:rPr>
      </w:pPr>
      <w:r w:rsidRPr="00481B31">
        <w:rPr>
          <w:rFonts w:ascii="Palatino Linotype" w:eastAsia="MS Gothic" w:hAnsi="Palatino Linotype"/>
          <w:b/>
          <w:lang w:val="es-MX" w:eastAsia="en-US"/>
        </w:rPr>
        <w:t xml:space="preserve"> </w:t>
      </w:r>
      <w:bookmarkStart w:id="114" w:name="_Toc63348485"/>
      <w:bookmarkStart w:id="115" w:name="_Toc67598522"/>
      <w:bookmarkStart w:id="116" w:name="_Toc69999211"/>
      <w:bookmarkStart w:id="117" w:name="_Toc73033020"/>
      <w:bookmarkStart w:id="118" w:name="_Toc85137175"/>
      <w:r w:rsidRPr="00481B31">
        <w:rPr>
          <w:rFonts w:ascii="Palatino Linotype" w:hAnsi="Palatino Linotype"/>
          <w:b/>
          <w:lang w:val="es-MX" w:eastAsia="en-US"/>
        </w:rPr>
        <w:t>De la firma de los servidores públicos.</w:t>
      </w:r>
      <w:bookmarkEnd w:id="114"/>
      <w:bookmarkEnd w:id="115"/>
      <w:bookmarkEnd w:id="116"/>
      <w:bookmarkEnd w:id="117"/>
      <w:bookmarkEnd w:id="118"/>
    </w:p>
    <w:p w14:paraId="7368BEF3" w14:textId="5D2091B5" w:rsidR="008F1049" w:rsidRPr="00481B31" w:rsidRDefault="008F1049" w:rsidP="000C1184">
      <w:pPr>
        <w:pStyle w:val="Prrafodelista"/>
        <w:numPr>
          <w:ilvl w:val="0"/>
          <w:numId w:val="38"/>
        </w:numPr>
        <w:tabs>
          <w:tab w:val="left" w:pos="567"/>
        </w:tabs>
        <w:spacing w:after="160" w:line="360" w:lineRule="auto"/>
        <w:ind w:left="0" w:firstLine="0"/>
        <w:contextualSpacing/>
        <w:jc w:val="both"/>
        <w:rPr>
          <w:rFonts w:ascii="Palatino Linotype" w:hAnsi="Palatino Linotype"/>
          <w:b/>
          <w:lang w:val="es-ES_tradnl"/>
        </w:rPr>
      </w:pPr>
      <w:r w:rsidRPr="00481B31">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14725EBA" w14:textId="77777777" w:rsidR="008F1049" w:rsidRPr="00481B31" w:rsidRDefault="008F1049" w:rsidP="000C1184">
      <w:pPr>
        <w:tabs>
          <w:tab w:val="left" w:pos="567"/>
        </w:tabs>
        <w:spacing w:line="360" w:lineRule="auto"/>
        <w:contextualSpacing/>
        <w:jc w:val="both"/>
        <w:rPr>
          <w:rFonts w:ascii="Palatino Linotype" w:hAnsi="Palatino Linotype"/>
          <w:b/>
          <w:lang w:val="es-ES_tradnl"/>
        </w:rPr>
      </w:pPr>
    </w:p>
    <w:p w14:paraId="02A8AF29" w14:textId="77777777" w:rsidR="008F1049" w:rsidRPr="00481B31" w:rsidRDefault="008F1049" w:rsidP="000C1184">
      <w:pPr>
        <w:tabs>
          <w:tab w:val="left" w:pos="567"/>
        </w:tabs>
        <w:spacing w:line="360" w:lineRule="auto"/>
        <w:ind w:left="567" w:right="616"/>
        <w:jc w:val="both"/>
        <w:rPr>
          <w:rFonts w:ascii="Palatino Linotype" w:hAnsi="Palatino Linotype"/>
          <w:i/>
          <w:color w:val="000000"/>
          <w:lang w:val="es-MX"/>
        </w:rPr>
      </w:pPr>
      <w:r w:rsidRPr="00481B31">
        <w:rPr>
          <w:rFonts w:ascii="Palatino Linotype" w:hAnsi="Palatino Linotype"/>
          <w:i/>
          <w:color w:val="000000"/>
          <w:lang w:val="es-MX"/>
        </w:rPr>
        <w:t>“</w:t>
      </w:r>
      <w:r w:rsidRPr="00481B31">
        <w:rPr>
          <w:rFonts w:ascii="Palatino Linotype" w:hAnsi="Palatino Linotype"/>
          <w:b/>
          <w:i/>
          <w:color w:val="000000"/>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481B31">
        <w:rPr>
          <w:rFonts w:ascii="Palatino Linotype" w:hAnsi="Palatino Linotype"/>
          <w:i/>
          <w:color w:val="000000"/>
          <w:lang w:val="es-MX"/>
        </w:rPr>
        <w:t>.</w:t>
      </w:r>
      <w:r w:rsidRPr="00481B31">
        <w:rPr>
          <w:rFonts w:ascii="Palatino Linotype" w:hAnsi="Palatino Linotype"/>
          <w:bCs/>
          <w:i/>
          <w:color w:val="000000"/>
          <w:lang w:val="es-MX"/>
        </w:rPr>
        <w:t>“</w:t>
      </w:r>
    </w:p>
    <w:p w14:paraId="1C54641B" w14:textId="77777777" w:rsidR="008F1049" w:rsidRPr="00481B31" w:rsidRDefault="008F1049" w:rsidP="000C1184">
      <w:pPr>
        <w:spacing w:line="360" w:lineRule="auto"/>
        <w:contextualSpacing/>
        <w:jc w:val="both"/>
        <w:rPr>
          <w:rFonts w:ascii="Palatino Linotype" w:eastAsia="MS Mincho" w:hAnsi="Palatino Linotype"/>
          <w:lang w:val="es-ES_tradnl"/>
        </w:rPr>
      </w:pPr>
    </w:p>
    <w:p w14:paraId="6C9119BA" w14:textId="7CC0DCD0" w:rsidR="008F1049" w:rsidRPr="00481B31" w:rsidRDefault="008F1049" w:rsidP="000C1184">
      <w:pPr>
        <w:pStyle w:val="Prrafodelista"/>
        <w:numPr>
          <w:ilvl w:val="0"/>
          <w:numId w:val="38"/>
        </w:numPr>
        <w:spacing w:after="160" w:line="360" w:lineRule="auto"/>
        <w:ind w:left="0" w:firstLine="0"/>
        <w:contextualSpacing/>
        <w:jc w:val="both"/>
        <w:rPr>
          <w:rFonts w:ascii="Palatino Linotype" w:eastAsia="MS Mincho" w:hAnsi="Palatino Linotype"/>
          <w:lang w:val="es-ES_tradnl"/>
        </w:rPr>
      </w:pPr>
      <w:r w:rsidRPr="00481B31">
        <w:rPr>
          <w:rFonts w:ascii="Palatino Linotype" w:eastAsia="MS Mincho" w:hAnsi="Palatino Linotype"/>
          <w:lang w:val="es-ES_tradnl"/>
        </w:rPr>
        <w:t>En ese mismo</w:t>
      </w:r>
      <w:r w:rsidR="00EC088B" w:rsidRPr="00481B31">
        <w:rPr>
          <w:rFonts w:ascii="Palatino Linotype" w:eastAsia="MS Mincho" w:hAnsi="Palatino Linotype"/>
          <w:lang w:val="es-ES_tradnl"/>
        </w:rPr>
        <w:t xml:space="preserve"> sentido </w:t>
      </w:r>
      <w:r w:rsidRPr="00481B31">
        <w:rPr>
          <w:rFonts w:ascii="Palatino Linotype" w:eastAsia="MS Mincho" w:hAnsi="Palatino Linotype"/>
          <w:lang w:val="es-ES_tradnl"/>
        </w:rPr>
        <w:t xml:space="preserve">los </w:t>
      </w:r>
      <w:r w:rsidRPr="00481B31">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481B31">
        <w:rPr>
          <w:rFonts w:ascii="Palatino Linotype" w:hAnsi="Palatino Linotype" w:cs="Arial"/>
          <w:lang w:val="es-ES_tradnl"/>
        </w:rPr>
        <w:t>que señalan lo siguiente:</w:t>
      </w:r>
    </w:p>
    <w:p w14:paraId="1594F513" w14:textId="77777777" w:rsidR="008F1049" w:rsidRPr="00481B31" w:rsidRDefault="008F1049" w:rsidP="000C1184">
      <w:pPr>
        <w:spacing w:line="360" w:lineRule="auto"/>
        <w:contextualSpacing/>
        <w:jc w:val="both"/>
        <w:rPr>
          <w:rFonts w:ascii="Palatino Linotype" w:eastAsia="MS Mincho" w:hAnsi="Palatino Linotype"/>
          <w:lang w:val="es-ES_tradnl"/>
        </w:rPr>
      </w:pPr>
    </w:p>
    <w:p w14:paraId="0E8AA12A" w14:textId="77777777" w:rsidR="008F1049" w:rsidRPr="00481B31" w:rsidRDefault="008F1049" w:rsidP="000C1184">
      <w:pPr>
        <w:shd w:val="clear" w:color="auto" w:fill="FFFFFF"/>
        <w:spacing w:after="200" w:line="360" w:lineRule="auto"/>
        <w:ind w:left="567" w:right="567"/>
        <w:jc w:val="both"/>
        <w:rPr>
          <w:rFonts w:ascii="Palatino Linotype" w:hAnsi="Palatino Linotype" w:cs="Arial"/>
          <w:i/>
          <w:lang w:val="es-ES_tradnl"/>
        </w:rPr>
      </w:pPr>
      <w:r w:rsidRPr="00481B31">
        <w:rPr>
          <w:rFonts w:ascii="Palatino Linotype" w:hAnsi="Palatino Linotype" w:cs="Arial"/>
          <w:b/>
          <w:i/>
          <w:lang w:val="es-ES_tradnl"/>
        </w:rPr>
        <w:t>Quincuagésimo séptimo</w:t>
      </w:r>
      <w:r w:rsidRPr="00481B31">
        <w:rPr>
          <w:rFonts w:ascii="Palatino Linotype" w:hAnsi="Palatino Linotype" w:cs="Arial"/>
          <w:i/>
          <w:lang w:val="es-ES_tradnl"/>
        </w:rPr>
        <w:t xml:space="preserve">. </w:t>
      </w:r>
      <w:r w:rsidRPr="00481B31">
        <w:rPr>
          <w:rFonts w:ascii="Palatino Linotype" w:hAnsi="Palatino Linotype" w:cs="Arial"/>
          <w:b/>
          <w:i/>
          <w:lang w:val="es-ES_tradnl"/>
        </w:rPr>
        <w:t>Se considera, en principio, como información pública</w:t>
      </w:r>
      <w:r w:rsidRPr="00481B31">
        <w:rPr>
          <w:rFonts w:ascii="Palatino Linotype" w:hAnsi="Palatino Linotype" w:cs="Arial"/>
          <w:i/>
          <w:lang w:val="es-ES_tradnl"/>
        </w:rPr>
        <w:t xml:space="preserve"> y no podrá omitirse de las versiones públicas la siguiente:</w:t>
      </w:r>
    </w:p>
    <w:p w14:paraId="775571C4" w14:textId="77777777" w:rsidR="008F1049" w:rsidRPr="00481B31" w:rsidRDefault="008F1049" w:rsidP="000C1184">
      <w:pPr>
        <w:shd w:val="clear" w:color="auto" w:fill="FFFFFF"/>
        <w:spacing w:after="200" w:line="360" w:lineRule="auto"/>
        <w:ind w:left="567" w:right="567"/>
        <w:jc w:val="both"/>
        <w:rPr>
          <w:rFonts w:ascii="Palatino Linotype" w:hAnsi="Palatino Linotype" w:cs="Arial"/>
          <w:i/>
          <w:lang w:val="es-ES_tradnl"/>
        </w:rPr>
      </w:pPr>
      <w:r w:rsidRPr="00481B31">
        <w:rPr>
          <w:rFonts w:ascii="Palatino Linotype" w:hAnsi="Palatino Linotype" w:cs="Arial"/>
          <w:i/>
          <w:lang w:val="es-ES_tradnl"/>
        </w:rPr>
        <w:t>La relativa a las Obligaciones de Transparencia que contempla el Título V de la Ley General y las demás disposiciones legales aplicables;</w:t>
      </w:r>
    </w:p>
    <w:p w14:paraId="23FA5E2C" w14:textId="77777777" w:rsidR="008F1049" w:rsidRPr="00481B31" w:rsidRDefault="008F1049" w:rsidP="000C1184">
      <w:pPr>
        <w:shd w:val="clear" w:color="auto" w:fill="FFFFFF"/>
        <w:spacing w:after="200" w:line="360" w:lineRule="auto"/>
        <w:ind w:left="567" w:right="567"/>
        <w:jc w:val="both"/>
        <w:rPr>
          <w:rFonts w:ascii="Palatino Linotype" w:hAnsi="Palatino Linotype" w:cs="Arial"/>
          <w:b/>
          <w:i/>
          <w:lang w:val="es-ES_tradnl"/>
        </w:rPr>
      </w:pPr>
      <w:r w:rsidRPr="00481B31">
        <w:rPr>
          <w:rFonts w:ascii="Palatino Linotype" w:hAnsi="Palatino Linotype" w:cs="Arial"/>
          <w:b/>
          <w:i/>
          <w:lang w:val="es-ES_tradnl"/>
        </w:rPr>
        <w:t>El nombre de los servidores públicos en los documentos, y sus firmas autógrafas, cuando sean utilizados en el ejercicio de las facultades conferidas para el desempeño del servicio público, y</w:t>
      </w:r>
    </w:p>
    <w:p w14:paraId="56FB7C19" w14:textId="77777777" w:rsidR="008F1049" w:rsidRPr="00481B31" w:rsidRDefault="008F1049" w:rsidP="000C1184">
      <w:pPr>
        <w:shd w:val="clear" w:color="auto" w:fill="FFFFFF"/>
        <w:spacing w:after="200" w:line="360" w:lineRule="auto"/>
        <w:ind w:left="567" w:right="567"/>
        <w:jc w:val="both"/>
        <w:rPr>
          <w:rFonts w:ascii="Palatino Linotype" w:hAnsi="Palatino Linotype" w:cs="Arial"/>
          <w:b/>
          <w:i/>
          <w:lang w:val="es-ES_tradnl"/>
        </w:rPr>
      </w:pPr>
      <w:r w:rsidRPr="00481B31">
        <w:rPr>
          <w:rFonts w:ascii="Palatino Linotype" w:hAnsi="Palatino Linotype" w:cs="Arial"/>
          <w:b/>
          <w:i/>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08D4BB2E" w14:textId="77777777" w:rsidR="008F1049" w:rsidRPr="00481B31" w:rsidRDefault="008F1049" w:rsidP="000C1184">
      <w:pPr>
        <w:shd w:val="clear" w:color="auto" w:fill="FFFFFF"/>
        <w:spacing w:after="200" w:line="360" w:lineRule="auto"/>
        <w:ind w:left="567" w:right="567"/>
        <w:jc w:val="both"/>
        <w:rPr>
          <w:rFonts w:ascii="Palatino Linotype" w:hAnsi="Palatino Linotype" w:cs="Arial"/>
          <w:i/>
          <w:lang w:val="es-ES_tradnl"/>
        </w:rPr>
      </w:pPr>
      <w:r w:rsidRPr="00481B31">
        <w:rPr>
          <w:rFonts w:ascii="Palatino Linotype" w:hAnsi="Palatino Linotype" w:cs="Arial"/>
          <w:i/>
          <w:lang w:val="es-ES_tradnl"/>
        </w:rPr>
        <w:t>Lo anterior, siempre y cuando no se acredite alguna causal de clasificación, prevista en las leyes o en los tratados internaciones suscritos por el Estado mexicano.</w:t>
      </w:r>
    </w:p>
    <w:p w14:paraId="641D7CFF" w14:textId="046D54FD" w:rsidR="008F1049" w:rsidRPr="00481B31" w:rsidRDefault="008F1049" w:rsidP="000C1184">
      <w:pPr>
        <w:pStyle w:val="Prrafodelista"/>
        <w:numPr>
          <w:ilvl w:val="0"/>
          <w:numId w:val="38"/>
        </w:numPr>
        <w:spacing w:after="160" w:line="360" w:lineRule="auto"/>
        <w:ind w:left="0" w:firstLine="0"/>
        <w:contextualSpacing/>
        <w:jc w:val="both"/>
        <w:rPr>
          <w:rFonts w:ascii="Palatino Linotype" w:eastAsia="MS Mincho" w:hAnsi="Palatino Linotype"/>
          <w:lang w:val="es-ES_tradnl"/>
        </w:rPr>
      </w:pPr>
      <w:r w:rsidRPr="00481B31">
        <w:rPr>
          <w:rFonts w:ascii="Palatino Linotype" w:eastAsia="MS Mincho" w:hAnsi="Palatino Linotype"/>
          <w:lang w:val="es-ES_tradnl"/>
        </w:rPr>
        <w:t>Por lo tanto, si la firma contenida en un documento genera</w:t>
      </w:r>
      <w:r w:rsidR="00AC3EC5" w:rsidRPr="00481B31">
        <w:rPr>
          <w:rFonts w:ascii="Palatino Linotype" w:eastAsia="MS Mincho" w:hAnsi="Palatino Linotype"/>
          <w:lang w:val="es-ES_tradnl"/>
        </w:rPr>
        <w:t xml:space="preserve">do con motivo de las funciones </w:t>
      </w:r>
      <w:r w:rsidRPr="00481B31">
        <w:rPr>
          <w:rFonts w:ascii="Palatino Linotype" w:eastAsia="MS Mincho" w:hAnsi="Palatino Linotype"/>
          <w:lang w:val="es-ES_tradnl"/>
        </w:rPr>
        <w:t xml:space="preserve">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041E0EDE" w14:textId="77777777" w:rsidR="000C1184" w:rsidRPr="00481B31" w:rsidRDefault="000C1184" w:rsidP="000C1184">
      <w:pPr>
        <w:pStyle w:val="Prrafodelista"/>
        <w:spacing w:after="160" w:line="360" w:lineRule="auto"/>
        <w:ind w:left="0"/>
        <w:contextualSpacing/>
        <w:jc w:val="both"/>
        <w:rPr>
          <w:rFonts w:ascii="Palatino Linotype" w:eastAsia="MS Mincho" w:hAnsi="Palatino Linotype"/>
          <w:lang w:val="es-ES_tradnl"/>
        </w:rPr>
      </w:pPr>
    </w:p>
    <w:p w14:paraId="66839595" w14:textId="78B5664C" w:rsidR="00EA0165" w:rsidRPr="00481B31" w:rsidRDefault="007F4FC6" w:rsidP="000C1184">
      <w:pPr>
        <w:keepNext/>
        <w:keepLines/>
        <w:spacing w:before="40" w:line="360" w:lineRule="auto"/>
        <w:outlineLvl w:val="1"/>
        <w:rPr>
          <w:rFonts w:ascii="Palatino Linotype" w:eastAsia="MS Mincho" w:hAnsi="Palatino Linotype"/>
          <w:b/>
          <w:color w:val="000000"/>
          <w:lang w:val="es-ES_tradnl"/>
        </w:rPr>
      </w:pPr>
      <w:bookmarkStart w:id="119" w:name="_Toc67588008"/>
      <w:bookmarkStart w:id="120" w:name="_Toc68804770"/>
      <w:bookmarkStart w:id="121" w:name="_Toc85137176"/>
      <w:r w:rsidRPr="00481B31">
        <w:rPr>
          <w:rFonts w:ascii="Palatino Linotype" w:eastAsia="MS Mincho" w:hAnsi="Palatino Linotype"/>
          <w:b/>
          <w:color w:val="000000"/>
          <w:lang w:val="es-ES_tradnl"/>
        </w:rPr>
        <w:lastRenderedPageBreak/>
        <w:t>SEXTO</w:t>
      </w:r>
      <w:r w:rsidR="00EA0165" w:rsidRPr="00481B31">
        <w:rPr>
          <w:rFonts w:ascii="Palatino Linotype" w:eastAsia="MS Mincho" w:hAnsi="Palatino Linotype"/>
          <w:b/>
          <w:color w:val="000000"/>
          <w:lang w:val="es-ES_tradnl"/>
        </w:rPr>
        <w:t>. De la decisión.</w:t>
      </w:r>
      <w:bookmarkEnd w:id="119"/>
      <w:bookmarkEnd w:id="120"/>
      <w:bookmarkEnd w:id="121"/>
      <w:r w:rsidR="00EA0165" w:rsidRPr="00481B31">
        <w:rPr>
          <w:rFonts w:ascii="Palatino Linotype" w:eastAsia="MS Mincho" w:hAnsi="Palatino Linotype"/>
          <w:b/>
          <w:color w:val="000000"/>
          <w:lang w:val="es-ES_tradnl"/>
        </w:rPr>
        <w:t xml:space="preserve"> </w:t>
      </w:r>
    </w:p>
    <w:p w14:paraId="6035E4CA" w14:textId="264CFE0E" w:rsidR="00353940" w:rsidRPr="00481B31" w:rsidRDefault="00EA0165" w:rsidP="000C1184">
      <w:pPr>
        <w:pStyle w:val="Prrafodelista"/>
        <w:numPr>
          <w:ilvl w:val="0"/>
          <w:numId w:val="38"/>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481B31">
        <w:rPr>
          <w:rFonts w:ascii="Palatino Linotype" w:hAnsi="Palatino Linotype" w:cs="Tahoma"/>
          <w:lang w:val="es-MX"/>
        </w:rPr>
        <w:t>Con base en todo lo expuesto, y con fundamento en el artículo 186, fracción II</w:t>
      </w:r>
      <w:r w:rsidR="002F750C" w:rsidRPr="00481B31">
        <w:rPr>
          <w:rFonts w:ascii="Palatino Linotype" w:hAnsi="Palatino Linotype" w:cs="Tahoma"/>
          <w:lang w:val="es-MX"/>
        </w:rPr>
        <w:t>I</w:t>
      </w:r>
      <w:r w:rsidRPr="00481B31">
        <w:rPr>
          <w:rFonts w:ascii="Palatino Linotype" w:hAnsi="Palatino Linotype" w:cs="Tahoma"/>
          <w:lang w:val="es-MX"/>
        </w:rPr>
        <w:t>, de la Ley de Transparencia y Acceso a la Información Pública del Estado de México y Municipios, este Instituto considera procedente</w:t>
      </w:r>
      <w:r w:rsidRPr="00481B31">
        <w:rPr>
          <w:rFonts w:ascii="Palatino Linotype" w:hAnsi="Palatino Linotype" w:cs="Tahoma"/>
          <w:b/>
          <w:lang w:val="es-MX"/>
        </w:rPr>
        <w:t xml:space="preserve"> </w:t>
      </w:r>
      <w:r w:rsidR="0049105B" w:rsidRPr="00481B31">
        <w:rPr>
          <w:rFonts w:ascii="Palatino Linotype" w:hAnsi="Palatino Linotype" w:cs="Tahoma"/>
          <w:b/>
          <w:lang w:val="es-MX"/>
        </w:rPr>
        <w:t xml:space="preserve">REVOCAR </w:t>
      </w:r>
      <w:r w:rsidR="0049105B" w:rsidRPr="00481B31">
        <w:rPr>
          <w:rFonts w:ascii="Palatino Linotype" w:hAnsi="Palatino Linotype" w:cs="Tahoma"/>
          <w:lang w:val="es-MX"/>
        </w:rPr>
        <w:t>la respuesta otorgada por</w:t>
      </w:r>
      <w:r w:rsidR="0092094A">
        <w:rPr>
          <w:rFonts w:ascii="Palatino Linotype" w:hAnsi="Palatino Linotype" w:cs="Tahoma"/>
          <w:lang w:val="es-MX"/>
        </w:rPr>
        <w:t xml:space="preserve"> el </w:t>
      </w:r>
      <w:r w:rsidR="0092094A" w:rsidRPr="0092094A">
        <w:rPr>
          <w:rFonts w:ascii="Palatino Linotype" w:hAnsi="Palatino Linotype" w:cs="Tahoma"/>
          <w:b/>
          <w:lang w:val="es-MX"/>
        </w:rPr>
        <w:t>Poder Legislativo</w:t>
      </w:r>
      <w:r w:rsidR="0092094A">
        <w:rPr>
          <w:rFonts w:ascii="Palatino Linotype" w:hAnsi="Palatino Linotype" w:cs="Tahoma"/>
          <w:lang w:val="es-MX"/>
        </w:rPr>
        <w:t xml:space="preserve"> </w:t>
      </w:r>
      <w:r w:rsidR="007F4FC6" w:rsidRPr="00481B31">
        <w:rPr>
          <w:rFonts w:ascii="Palatino Linotype" w:eastAsia="MS Mincho" w:hAnsi="Palatino Linotype"/>
          <w:lang w:val="es-ES_tradnl"/>
        </w:rPr>
        <w:t xml:space="preserve">y ordenar la entrega de los documentos donde conste la información </w:t>
      </w:r>
      <w:r w:rsidR="00CE234D" w:rsidRPr="00481B31">
        <w:rPr>
          <w:rFonts w:ascii="Palatino Linotype" w:eastAsia="MS Mincho" w:hAnsi="Palatino Linotype"/>
          <w:lang w:val="es-ES_tradnl"/>
        </w:rPr>
        <w:t xml:space="preserve">de la que se ordena hacer entrega. </w:t>
      </w:r>
    </w:p>
    <w:p w14:paraId="4FB8A67B" w14:textId="77777777" w:rsidR="00353940" w:rsidRPr="00481B31" w:rsidRDefault="00353940" w:rsidP="000C1184">
      <w:pPr>
        <w:pStyle w:val="Prrafodelista"/>
        <w:tabs>
          <w:tab w:val="left" w:pos="360"/>
        </w:tabs>
        <w:spacing w:before="240" w:after="240" w:line="360" w:lineRule="auto"/>
        <w:ind w:left="0" w:right="49"/>
        <w:contextualSpacing/>
        <w:jc w:val="both"/>
        <w:rPr>
          <w:rFonts w:ascii="Palatino Linotype" w:eastAsia="MS Mincho" w:hAnsi="Palatino Linotype"/>
          <w:color w:val="000000"/>
        </w:rPr>
      </w:pPr>
    </w:p>
    <w:p w14:paraId="1A3F9D54" w14:textId="341FA99A" w:rsidR="003C4C4B" w:rsidRPr="00481B31" w:rsidRDefault="00EA0165" w:rsidP="003C4C4B">
      <w:pPr>
        <w:pStyle w:val="Prrafodelista"/>
        <w:numPr>
          <w:ilvl w:val="0"/>
          <w:numId w:val="38"/>
        </w:numPr>
        <w:tabs>
          <w:tab w:val="left" w:pos="360"/>
        </w:tabs>
        <w:spacing w:before="240" w:after="240" w:line="360" w:lineRule="auto"/>
        <w:ind w:left="0" w:right="49" w:firstLine="0"/>
        <w:contextualSpacing/>
        <w:jc w:val="both"/>
        <w:rPr>
          <w:rFonts w:ascii="Palatino Linotype" w:eastAsia="MS Mincho" w:hAnsi="Palatino Linotype"/>
          <w:color w:val="000000"/>
        </w:rPr>
      </w:pPr>
      <w:r w:rsidRPr="00481B31">
        <w:rPr>
          <w:rFonts w:ascii="Palatino Linotype" w:eastAsia="MS Mincho" w:hAnsi="Palatino Linotype"/>
          <w:color w:val="000000"/>
        </w:rPr>
        <w:t xml:space="preserve">Por lo anteriormente expuesto y fundado, este </w:t>
      </w:r>
      <w:r w:rsidRPr="00481B31">
        <w:rPr>
          <w:rFonts w:ascii="Palatino Linotype" w:eastAsia="MS Mincho" w:hAnsi="Palatino Linotype"/>
          <w:b/>
          <w:bCs/>
          <w:color w:val="000000"/>
        </w:rPr>
        <w:t>ÓRGANO GARANTE</w:t>
      </w:r>
      <w:r w:rsidRPr="00481B31">
        <w:rPr>
          <w:rFonts w:ascii="Palatino Linotype" w:eastAsia="MS Mincho" w:hAnsi="Palatino Linotype"/>
          <w:color w:val="000000"/>
        </w:rPr>
        <w:t xml:space="preserve"> emite los siguientes:</w:t>
      </w:r>
      <w:bookmarkStart w:id="122" w:name="_Toc495427547"/>
      <w:bookmarkStart w:id="123" w:name="_Toc497905366"/>
    </w:p>
    <w:p w14:paraId="364F838A" w14:textId="0C22A33F" w:rsidR="002F750C" w:rsidRPr="00481B31" w:rsidRDefault="00EA0165" w:rsidP="000C1184">
      <w:pPr>
        <w:pStyle w:val="Ttulo1"/>
        <w:spacing w:line="360" w:lineRule="auto"/>
        <w:jc w:val="center"/>
        <w:rPr>
          <w:rFonts w:ascii="Palatino Linotype" w:hAnsi="Palatino Linotype"/>
          <w:b/>
          <w:color w:val="000000" w:themeColor="text1"/>
          <w:sz w:val="24"/>
          <w:szCs w:val="24"/>
          <w:lang w:val="es-ES_tradnl"/>
        </w:rPr>
      </w:pPr>
      <w:bookmarkStart w:id="124" w:name="_Toc85137177"/>
      <w:r w:rsidRPr="00481B31">
        <w:rPr>
          <w:rFonts w:ascii="Palatino Linotype" w:hAnsi="Palatino Linotype"/>
          <w:b/>
          <w:color w:val="000000" w:themeColor="text1"/>
          <w:sz w:val="24"/>
          <w:szCs w:val="24"/>
          <w:lang w:val="es-ES_tradnl"/>
        </w:rPr>
        <w:t>R E S O L U T I V O S</w:t>
      </w:r>
      <w:bookmarkEnd w:id="61"/>
      <w:bookmarkEnd w:id="62"/>
      <w:bookmarkEnd w:id="122"/>
      <w:bookmarkEnd w:id="123"/>
      <w:bookmarkEnd w:id="124"/>
    </w:p>
    <w:p w14:paraId="7434775D" w14:textId="77777777" w:rsidR="00985D90" w:rsidRPr="00481B31" w:rsidRDefault="00985D90" w:rsidP="000C1184">
      <w:pPr>
        <w:spacing w:line="360" w:lineRule="auto"/>
        <w:rPr>
          <w:rFonts w:ascii="Palatino Linotype" w:eastAsiaTheme="minorEastAsia" w:hAnsi="Palatino Linotype"/>
          <w:lang w:val="es-ES_tradnl"/>
        </w:rPr>
      </w:pPr>
    </w:p>
    <w:p w14:paraId="0CF404E7" w14:textId="30A7DE9D" w:rsidR="002F750C" w:rsidRPr="00481B31" w:rsidRDefault="002F750C" w:rsidP="000C1184">
      <w:pPr>
        <w:spacing w:line="360" w:lineRule="auto"/>
        <w:jc w:val="both"/>
        <w:rPr>
          <w:rFonts w:ascii="Palatino Linotype" w:hAnsi="Palatino Linotype"/>
          <w:lang w:val="es-ES_tradnl"/>
        </w:rPr>
      </w:pPr>
      <w:r w:rsidRPr="00481B31">
        <w:rPr>
          <w:rFonts w:ascii="Palatino Linotype" w:hAnsi="Palatino Linotype" w:cs="Arial"/>
          <w:b/>
          <w:lang w:val="es-ES_tradnl"/>
        </w:rPr>
        <w:t xml:space="preserve">PRIMERO. </w:t>
      </w:r>
      <w:r w:rsidRPr="00481B31">
        <w:rPr>
          <w:rFonts w:ascii="Palatino Linotype" w:hAnsi="Palatino Linotype" w:cs="Arial"/>
          <w:lang w:val="es-ES_tradnl"/>
        </w:rPr>
        <w:t>Resultan</w:t>
      </w:r>
      <w:r w:rsidR="0077107A" w:rsidRPr="00481B31">
        <w:rPr>
          <w:rFonts w:ascii="Palatino Linotype" w:hAnsi="Palatino Linotype" w:cs="Arial"/>
          <w:lang w:val="es-ES_tradnl"/>
        </w:rPr>
        <w:t xml:space="preserve"> </w:t>
      </w:r>
      <w:r w:rsidRPr="00481B31">
        <w:rPr>
          <w:rFonts w:ascii="Palatino Linotype" w:hAnsi="Palatino Linotype" w:cs="Arial"/>
          <w:lang w:val="es-ES_tradnl"/>
        </w:rPr>
        <w:t>fundadas las</w:t>
      </w:r>
      <w:r w:rsidRPr="00481B31">
        <w:rPr>
          <w:rFonts w:ascii="Palatino Linotype" w:hAnsi="Palatino Linotype" w:cs="Arial"/>
          <w:b/>
          <w:lang w:val="es-ES_tradnl"/>
        </w:rPr>
        <w:t xml:space="preserve"> </w:t>
      </w:r>
      <w:r w:rsidRPr="00481B31">
        <w:rPr>
          <w:rFonts w:ascii="Palatino Linotype" w:hAnsi="Palatino Linotype" w:cs="Arial"/>
          <w:lang w:val="es-ES_tradnl"/>
        </w:rPr>
        <w:t xml:space="preserve">razones y motivos de inconformidad hechos valer </w:t>
      </w:r>
      <w:r w:rsidRPr="00481B31">
        <w:rPr>
          <w:rFonts w:ascii="Palatino Linotype" w:eastAsia="Calibri" w:hAnsi="Palatino Linotype" w:cs="Arial"/>
          <w:lang w:val="es-ES_tradnl"/>
        </w:rPr>
        <w:t>en el recurso de revisión</w:t>
      </w:r>
      <w:r w:rsidR="00FA5E21" w:rsidRPr="00FA5E21">
        <w:rPr>
          <w:rFonts w:ascii="Verdana" w:hAnsi="Verdana"/>
          <w:b/>
          <w:bCs/>
          <w:color w:val="FF0000"/>
        </w:rPr>
        <w:t xml:space="preserve"> </w:t>
      </w:r>
      <w:r w:rsidR="00FA5E21" w:rsidRPr="00FA5E21">
        <w:rPr>
          <w:rFonts w:ascii="Palatino Linotype" w:eastAsia="Calibri" w:hAnsi="Palatino Linotype" w:cs="Arial"/>
          <w:b/>
          <w:bCs/>
        </w:rPr>
        <w:t>03898/INFOEM/IP/RR/2021</w:t>
      </w:r>
      <w:r w:rsidRPr="00481B31">
        <w:rPr>
          <w:rFonts w:ascii="Palatino Linotype" w:eastAsiaTheme="minorEastAsia" w:hAnsi="Palatino Linotype" w:cs="Arial"/>
          <w:b/>
          <w:bCs/>
          <w:lang w:val="es-ES_tradnl"/>
        </w:rPr>
        <w:t xml:space="preserve">, </w:t>
      </w:r>
      <w:r w:rsidR="0077107A" w:rsidRPr="00481B31">
        <w:rPr>
          <w:rFonts w:ascii="Palatino Linotype" w:eastAsiaTheme="minorEastAsia" w:hAnsi="Palatino Linotype" w:cs="Arial"/>
          <w:bCs/>
          <w:lang w:val="es-ES_tradnl"/>
        </w:rPr>
        <w:t xml:space="preserve">en términos de los </w:t>
      </w:r>
      <w:r w:rsidRPr="00481B31">
        <w:rPr>
          <w:rFonts w:ascii="Palatino Linotype" w:eastAsiaTheme="minorEastAsia" w:hAnsi="Palatino Linotype" w:cs="Arial"/>
          <w:b/>
          <w:bCs/>
          <w:lang w:val="es-ES_tradnl"/>
        </w:rPr>
        <w:t>Considerando</w:t>
      </w:r>
      <w:r w:rsidR="0077107A" w:rsidRPr="00481B31">
        <w:rPr>
          <w:rFonts w:ascii="Palatino Linotype" w:eastAsiaTheme="minorEastAsia" w:hAnsi="Palatino Linotype" w:cs="Arial"/>
          <w:b/>
          <w:bCs/>
          <w:lang w:val="es-ES_tradnl"/>
        </w:rPr>
        <w:t>s</w:t>
      </w:r>
      <w:r w:rsidRPr="00481B31">
        <w:rPr>
          <w:rFonts w:ascii="Palatino Linotype" w:eastAsiaTheme="minorEastAsia" w:hAnsi="Palatino Linotype" w:cs="Arial"/>
          <w:bCs/>
          <w:lang w:val="es-ES_tradnl"/>
        </w:rPr>
        <w:t xml:space="preserve"> </w:t>
      </w:r>
      <w:r w:rsidR="00AC3EC5" w:rsidRPr="00481B31">
        <w:rPr>
          <w:rFonts w:ascii="Palatino Linotype" w:eastAsiaTheme="minorEastAsia" w:hAnsi="Palatino Linotype" w:cs="Arial"/>
          <w:b/>
          <w:bCs/>
          <w:lang w:val="es-ES_tradnl"/>
        </w:rPr>
        <w:t>CUARTO y QUINTO</w:t>
      </w:r>
      <w:r w:rsidRPr="00481B31">
        <w:rPr>
          <w:rFonts w:ascii="Palatino Linotype" w:eastAsiaTheme="minorEastAsia" w:hAnsi="Palatino Linotype" w:cs="Arial"/>
          <w:b/>
          <w:bCs/>
          <w:lang w:val="es-ES_tradnl"/>
        </w:rPr>
        <w:t xml:space="preserve"> </w:t>
      </w:r>
      <w:r w:rsidRPr="00481B31">
        <w:rPr>
          <w:rFonts w:ascii="Palatino Linotype" w:eastAsiaTheme="minorEastAsia" w:hAnsi="Palatino Linotype" w:cs="Arial"/>
          <w:bCs/>
          <w:lang w:val="es-ES_tradnl"/>
        </w:rPr>
        <w:t>de la presente resolución.</w:t>
      </w:r>
    </w:p>
    <w:p w14:paraId="2CD64CD3" w14:textId="17EAC10F" w:rsidR="009015DD" w:rsidRPr="00481B31" w:rsidRDefault="00985D90" w:rsidP="000C1184">
      <w:pPr>
        <w:spacing w:before="240" w:line="360" w:lineRule="auto"/>
        <w:jc w:val="both"/>
        <w:rPr>
          <w:rFonts w:ascii="Palatino Linotype" w:eastAsia="MS Mincho" w:hAnsi="Palatino Linotype" w:cs="Arial"/>
          <w:color w:val="000000" w:themeColor="text1"/>
          <w:lang w:val="es-MX"/>
        </w:rPr>
      </w:pPr>
      <w:bookmarkStart w:id="125" w:name="_Toc477891768"/>
      <w:bookmarkStart w:id="126" w:name="_Toc477891858"/>
      <w:bookmarkStart w:id="127" w:name="_Toc481576259"/>
      <w:bookmarkStart w:id="128" w:name="_Toc492590391"/>
      <w:bookmarkStart w:id="129" w:name="_Toc462653937"/>
      <w:bookmarkStart w:id="130" w:name="_Toc453696502"/>
      <w:bookmarkStart w:id="131" w:name="_Toc454301155"/>
      <w:r w:rsidRPr="00481B31">
        <w:rPr>
          <w:rFonts w:ascii="Palatino Linotype" w:eastAsiaTheme="minorEastAsia" w:hAnsi="Palatino Linotype" w:cstheme="minorBidi"/>
          <w:b/>
          <w:lang w:val="es-ES_tradnl"/>
        </w:rPr>
        <w:t>SEGUNDO.</w:t>
      </w:r>
      <w:r w:rsidRPr="00481B31">
        <w:rPr>
          <w:rFonts w:ascii="Palatino Linotype" w:eastAsiaTheme="majorEastAsia" w:hAnsi="Palatino Linotype" w:cstheme="majorBidi"/>
          <w:b/>
          <w:color w:val="365F91" w:themeColor="accent1" w:themeShade="BF"/>
          <w:lang w:val="es-MX" w:eastAsia="en-US"/>
        </w:rPr>
        <w:t xml:space="preserve"> </w:t>
      </w:r>
      <w:bookmarkEnd w:id="125"/>
      <w:bookmarkEnd w:id="126"/>
      <w:bookmarkEnd w:id="127"/>
      <w:bookmarkEnd w:id="128"/>
      <w:bookmarkEnd w:id="129"/>
      <w:bookmarkEnd w:id="130"/>
      <w:bookmarkEnd w:id="131"/>
      <w:r w:rsidRPr="00481B31">
        <w:rPr>
          <w:rFonts w:ascii="Palatino Linotype" w:eastAsia="Calibri" w:hAnsi="Palatino Linotype" w:cs="Arial"/>
          <w:lang w:val="es-ES_tradnl"/>
        </w:rPr>
        <w:t>Se</w:t>
      </w:r>
      <w:r w:rsidR="009015DD" w:rsidRPr="00481B31">
        <w:rPr>
          <w:rFonts w:ascii="Palatino Linotype" w:eastAsia="Calibri" w:hAnsi="Palatino Linotype" w:cs="Arial"/>
          <w:b/>
          <w:lang w:val="es-ES_tradnl"/>
        </w:rPr>
        <w:t xml:space="preserve"> REVOCA </w:t>
      </w:r>
      <w:r w:rsidR="0092094A">
        <w:rPr>
          <w:rFonts w:ascii="Palatino Linotype" w:eastAsia="Calibri" w:hAnsi="Palatino Linotype" w:cs="Arial"/>
          <w:lang w:val="es-ES_tradnl"/>
        </w:rPr>
        <w:t xml:space="preserve">la respuesta emitida por el </w:t>
      </w:r>
      <w:r w:rsidR="0092094A" w:rsidRPr="0092094A">
        <w:rPr>
          <w:rFonts w:ascii="Palatino Linotype" w:eastAsia="Calibri" w:hAnsi="Palatino Linotype" w:cs="Arial"/>
          <w:b/>
          <w:lang w:val="es-ES_tradnl"/>
        </w:rPr>
        <w:t>Poder Legislativo</w:t>
      </w:r>
      <w:r w:rsidR="0092094A">
        <w:rPr>
          <w:rFonts w:ascii="Palatino Linotype" w:eastAsia="Calibri" w:hAnsi="Palatino Linotype" w:cs="Arial"/>
          <w:lang w:val="es-ES_tradnl"/>
        </w:rPr>
        <w:t xml:space="preserve"> </w:t>
      </w:r>
      <w:r w:rsidRPr="00481B31">
        <w:rPr>
          <w:rFonts w:ascii="Palatino Linotype" w:eastAsia="Calibri" w:hAnsi="Palatino Linotype" w:cs="Arial"/>
          <w:lang w:val="es-ES_tradnl"/>
        </w:rPr>
        <w:t>y se</w:t>
      </w:r>
      <w:r w:rsidRPr="00481B31">
        <w:rPr>
          <w:rFonts w:ascii="Palatino Linotype" w:eastAsia="Calibri" w:hAnsi="Palatino Linotype" w:cs="Arial"/>
          <w:b/>
          <w:lang w:val="es-ES_tradnl"/>
        </w:rPr>
        <w:t xml:space="preserve"> ORDENA </w:t>
      </w:r>
      <w:r w:rsidRPr="00481B31">
        <w:rPr>
          <w:rFonts w:ascii="Palatino Linotype" w:hAnsi="Palatino Linotype" w:cs="Arial"/>
          <w:lang w:val="es-ES_tradnl"/>
        </w:rPr>
        <w:t xml:space="preserve">entregar vía Sistema de Acceso a la Información Mexiquense </w:t>
      </w:r>
      <w:r w:rsidR="00FA5E21">
        <w:rPr>
          <w:rFonts w:ascii="Palatino Linotype" w:hAnsi="Palatino Linotype" w:cs="Arial"/>
          <w:b/>
          <w:lang w:val="es-ES_tradnl"/>
        </w:rPr>
        <w:t xml:space="preserve">(SAIMEX), </w:t>
      </w:r>
      <w:r w:rsidRPr="00481B31">
        <w:rPr>
          <w:rFonts w:ascii="Palatino Linotype" w:eastAsia="MS Mincho" w:hAnsi="Palatino Linotype" w:cs="Arial"/>
          <w:color w:val="000000" w:themeColor="text1"/>
          <w:lang w:val="es-MX"/>
        </w:rPr>
        <w:t>de ser</w:t>
      </w:r>
      <w:r w:rsidR="0092094A">
        <w:rPr>
          <w:rFonts w:ascii="Palatino Linotype" w:eastAsia="MS Mincho" w:hAnsi="Palatino Linotype" w:cs="Arial"/>
          <w:color w:val="000000" w:themeColor="text1"/>
          <w:lang w:val="es-MX"/>
        </w:rPr>
        <w:t xml:space="preserve"> procedente en versión pública</w:t>
      </w:r>
      <w:r w:rsidR="0049105B" w:rsidRPr="00481B31">
        <w:rPr>
          <w:rFonts w:ascii="Palatino Linotype" w:eastAsia="MS Mincho" w:hAnsi="Palatino Linotype" w:cs="Arial"/>
          <w:lang w:val="es-MX"/>
        </w:rPr>
        <w:t xml:space="preserve">, </w:t>
      </w:r>
      <w:r w:rsidR="00593401" w:rsidRPr="00481B31">
        <w:rPr>
          <w:rFonts w:ascii="Palatino Linotype" w:eastAsia="MS Mincho" w:hAnsi="Palatino Linotype" w:cs="Arial"/>
          <w:lang w:val="es-MX"/>
        </w:rPr>
        <w:t>lo</w:t>
      </w:r>
      <w:r w:rsidR="00FA5E21">
        <w:rPr>
          <w:rFonts w:ascii="Palatino Linotype" w:eastAsia="MS Mincho" w:hAnsi="Palatino Linotype" w:cs="Arial"/>
          <w:lang w:val="es-MX"/>
        </w:rPr>
        <w:t xml:space="preserve"> </w:t>
      </w:r>
      <w:r w:rsidR="0092094A">
        <w:rPr>
          <w:rFonts w:ascii="Palatino Linotype" w:eastAsia="MS Mincho" w:hAnsi="Palatino Linotype" w:cs="Arial"/>
          <w:lang w:val="es-MX"/>
        </w:rPr>
        <w:t xml:space="preserve">siguiente: </w:t>
      </w:r>
    </w:p>
    <w:p w14:paraId="3F95A605" w14:textId="01075FF1" w:rsidR="009015DD" w:rsidRPr="00481B31" w:rsidRDefault="009015DD" w:rsidP="003C4C4B">
      <w:pPr>
        <w:spacing w:line="360" w:lineRule="auto"/>
        <w:rPr>
          <w:rFonts w:ascii="Palatino Linotype" w:eastAsia="MS Mincho" w:hAnsi="Palatino Linotype" w:cs="Arial"/>
          <w:i/>
          <w:lang w:val="es-MX"/>
        </w:rPr>
      </w:pPr>
    </w:p>
    <w:p w14:paraId="2237706F" w14:textId="47F9B38E" w:rsidR="0092094A" w:rsidRPr="0092094A" w:rsidRDefault="00DA0F2C" w:rsidP="0092094A">
      <w:pPr>
        <w:pStyle w:val="Prrafodelista"/>
        <w:numPr>
          <w:ilvl w:val="0"/>
          <w:numId w:val="50"/>
        </w:numPr>
        <w:spacing w:before="240" w:after="360" w:line="360" w:lineRule="auto"/>
        <w:ind w:right="616"/>
        <w:contextualSpacing/>
        <w:jc w:val="both"/>
        <w:rPr>
          <w:rFonts w:ascii="Palatino Linotype" w:eastAsia="MS Mincho" w:hAnsi="Palatino Linotype" w:cs="Arial"/>
          <w:b/>
          <w:lang w:val="es-MX"/>
        </w:rPr>
      </w:pPr>
      <w:r w:rsidRPr="0092094A">
        <w:rPr>
          <w:rFonts w:ascii="Palatino Linotype" w:eastAsia="MS Mincho" w:hAnsi="Palatino Linotype" w:cs="Arial"/>
          <w:b/>
          <w:lang w:val="es-MX"/>
        </w:rPr>
        <w:t>Expediente</w:t>
      </w:r>
      <w:r w:rsidR="00FA5E21">
        <w:rPr>
          <w:rFonts w:ascii="Palatino Linotype" w:eastAsia="MS Mincho" w:hAnsi="Palatino Linotype" w:cs="Arial"/>
          <w:b/>
          <w:lang w:val="es-MX"/>
        </w:rPr>
        <w:t>s</w:t>
      </w:r>
      <w:r w:rsidRPr="0092094A">
        <w:rPr>
          <w:rFonts w:ascii="Palatino Linotype" w:eastAsia="MS Mincho" w:hAnsi="Palatino Linotype" w:cs="Arial"/>
          <w:b/>
          <w:lang w:val="es-MX"/>
        </w:rPr>
        <w:t xml:space="preserve"> completo</w:t>
      </w:r>
      <w:r w:rsidR="00FA5E21">
        <w:rPr>
          <w:rFonts w:ascii="Palatino Linotype" w:eastAsia="MS Mincho" w:hAnsi="Palatino Linotype" w:cs="Arial"/>
          <w:b/>
          <w:lang w:val="es-MX"/>
        </w:rPr>
        <w:t xml:space="preserve">s y sus anexos </w:t>
      </w:r>
      <w:r w:rsidR="0092094A" w:rsidRPr="0092094A">
        <w:rPr>
          <w:rFonts w:ascii="Palatino Linotype" w:eastAsia="MS Mincho" w:hAnsi="Palatino Linotype" w:cs="Arial"/>
          <w:b/>
          <w:lang w:val="es-MX"/>
        </w:rPr>
        <w:t xml:space="preserve">de los diferendos limítrofes  </w:t>
      </w:r>
      <w:r w:rsidRPr="0092094A">
        <w:rPr>
          <w:rFonts w:ascii="Palatino Linotype" w:eastAsia="MS Mincho" w:hAnsi="Palatino Linotype" w:cs="Arial"/>
          <w:b/>
          <w:lang w:val="es-MX"/>
        </w:rPr>
        <w:t xml:space="preserve"> </w:t>
      </w:r>
      <w:r w:rsidR="0092094A" w:rsidRPr="0092094A">
        <w:rPr>
          <w:rFonts w:ascii="Palatino Linotype" w:eastAsia="MS Mincho" w:hAnsi="Palatino Linotype" w:cs="Arial"/>
          <w:b/>
          <w:lang w:val="es-MX"/>
        </w:rPr>
        <w:t xml:space="preserve">intermunicipales </w:t>
      </w:r>
      <w:r w:rsidR="00FA5E21">
        <w:rPr>
          <w:rFonts w:ascii="Palatino Linotype" w:eastAsia="MS Mincho" w:hAnsi="Palatino Linotype" w:cs="Arial"/>
          <w:b/>
          <w:lang w:val="es-MX"/>
        </w:rPr>
        <w:t>entre</w:t>
      </w:r>
      <w:r w:rsidR="0092094A" w:rsidRPr="0092094A">
        <w:rPr>
          <w:rFonts w:ascii="Palatino Linotype" w:eastAsia="MS Mincho" w:hAnsi="Palatino Linotype" w:cs="Arial"/>
          <w:b/>
          <w:lang w:val="es-MX"/>
        </w:rPr>
        <w:t xml:space="preserve"> los Municipios de </w:t>
      </w:r>
      <w:r w:rsidR="0092094A" w:rsidRPr="0092094A">
        <w:rPr>
          <w:rFonts w:ascii="Palatino Linotype" w:eastAsiaTheme="minorEastAsia" w:hAnsi="Palatino Linotype" w:cstheme="minorBidi"/>
          <w:b/>
          <w:color w:val="000000" w:themeColor="text1"/>
          <w:lang w:val="es-ES_tradnl"/>
        </w:rPr>
        <w:t xml:space="preserve">Teoloyucan, Cuautitlán y Cuautitlán Izcalli. </w:t>
      </w:r>
    </w:p>
    <w:p w14:paraId="301B09AF" w14:textId="77777777" w:rsidR="0092094A" w:rsidRDefault="0092094A" w:rsidP="0092094A">
      <w:pPr>
        <w:pStyle w:val="Prrafodelista"/>
        <w:spacing w:before="240" w:after="360" w:line="360" w:lineRule="auto"/>
        <w:ind w:left="927" w:right="616"/>
        <w:contextualSpacing/>
        <w:jc w:val="both"/>
        <w:rPr>
          <w:rFonts w:ascii="Palatino Linotype" w:eastAsia="MS Mincho" w:hAnsi="Palatino Linotype" w:cs="Arial"/>
          <w:b/>
          <w:lang w:val="es-MX"/>
        </w:rPr>
      </w:pPr>
    </w:p>
    <w:p w14:paraId="0B44C7BE" w14:textId="7357DEB1" w:rsidR="002066DF" w:rsidRPr="00481B31" w:rsidRDefault="0077107A" w:rsidP="000C1184">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481B31">
        <w:rPr>
          <w:rFonts w:ascii="Palatino Linotype" w:eastAsia="Calibri" w:hAnsi="Palatino Linotype" w:cs="Arial"/>
          <w:lang w:val="es-ES_tradnl"/>
        </w:rPr>
        <w:lastRenderedPageBreak/>
        <w:t>Para efectos de lo anterior se deberá emitir el Acue</w:t>
      </w:r>
      <w:r w:rsidR="0092094A">
        <w:rPr>
          <w:rFonts w:ascii="Palatino Linotype" w:eastAsia="Calibri" w:hAnsi="Palatino Linotype" w:cs="Arial"/>
          <w:lang w:val="es-ES_tradnl"/>
        </w:rPr>
        <w:t xml:space="preserve">rdo del Comité de Transparencia </w:t>
      </w:r>
      <w:r w:rsidRPr="00481B31">
        <w:rPr>
          <w:rFonts w:ascii="Palatino Linotype" w:eastAsia="Calibri" w:hAnsi="Palatino Linotype" w:cs="Arial"/>
          <w:lang w:val="es-ES_tradnl"/>
        </w:rPr>
        <w:t xml:space="preserve">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2CC5C68F" w14:textId="0D072085" w:rsidR="00593401" w:rsidRDefault="00503E5E" w:rsidP="000C1184">
      <w:pPr>
        <w:shd w:val="clear" w:color="auto" w:fill="FFFFFF"/>
        <w:spacing w:before="240" w:line="360" w:lineRule="auto"/>
        <w:ind w:right="49"/>
        <w:jc w:val="both"/>
        <w:rPr>
          <w:rFonts w:ascii="Palatino Linotype" w:hAnsi="Palatino Linotype" w:cs="Arial"/>
          <w:color w:val="222222"/>
          <w:lang w:val="es-ES_tradnl" w:eastAsia="es-MX"/>
        </w:rPr>
      </w:pPr>
      <w:r w:rsidRPr="00481B31">
        <w:rPr>
          <w:rFonts w:ascii="Palatino Linotype" w:hAnsi="Palatino Linotype" w:cs="Arial"/>
          <w:b/>
          <w:bCs/>
          <w:color w:val="222222"/>
          <w:lang w:val="es-ES_tradnl" w:eastAsia="es-MX"/>
        </w:rPr>
        <w:t xml:space="preserve">TERCERO. </w:t>
      </w:r>
      <w:r w:rsidRPr="00481B31">
        <w:rPr>
          <w:rFonts w:ascii="Palatino Linotype" w:hAnsi="Palatino Linotype" w:cs="Arial"/>
          <w:color w:val="222222"/>
          <w:lang w:val="es-ES_tradnl" w:eastAsia="es-MX"/>
        </w:rPr>
        <w:t>Notifíquese</w:t>
      </w:r>
      <w:r w:rsidRPr="00481B31">
        <w:rPr>
          <w:rFonts w:ascii="Palatino Linotype" w:hAnsi="Palatino Linotype" w:cs="Arial"/>
          <w:b/>
          <w:bCs/>
          <w:color w:val="222222"/>
          <w:lang w:val="es-ES_tradnl" w:eastAsia="es-MX"/>
        </w:rPr>
        <w:t xml:space="preserve"> </w:t>
      </w:r>
      <w:r w:rsidRPr="00481B31">
        <w:rPr>
          <w:rFonts w:ascii="Palatino Linotype" w:hAnsi="Palatino Linotype" w:cs="Arial"/>
          <w:color w:val="222222"/>
          <w:lang w:val="es-ES_tradnl" w:eastAsia="es-MX"/>
        </w:rPr>
        <w:t xml:space="preserve">al Titular de la Unidad de Transparencia del </w:t>
      </w:r>
      <w:r w:rsidRPr="00481B31">
        <w:rPr>
          <w:rFonts w:ascii="Palatino Linotype" w:hAnsi="Palatino Linotype" w:cs="Arial"/>
          <w:b/>
          <w:bCs/>
          <w:color w:val="222222"/>
          <w:lang w:val="es-ES_tradnl" w:eastAsia="es-MX"/>
        </w:rPr>
        <w:t>SUJETO OBLIGADO</w:t>
      </w:r>
      <w:r w:rsidRPr="00481B31">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w:t>
      </w:r>
      <w:r w:rsidR="00F05DBF" w:rsidRPr="00481B31">
        <w:rPr>
          <w:rFonts w:ascii="Palatino Linotype" w:hAnsi="Palatino Linotype" w:cs="Arial"/>
          <w:color w:val="222222"/>
          <w:lang w:val="es-ES_tradnl" w:eastAsia="es-MX"/>
        </w:rPr>
        <w:t xml:space="preserve"> tres días hábiles posteriores.</w:t>
      </w:r>
    </w:p>
    <w:p w14:paraId="6577374D" w14:textId="77777777" w:rsidR="0092094A" w:rsidRPr="00481B31" w:rsidRDefault="0092094A" w:rsidP="000C1184">
      <w:pPr>
        <w:shd w:val="clear" w:color="auto" w:fill="FFFFFF"/>
        <w:spacing w:before="240" w:line="360" w:lineRule="auto"/>
        <w:ind w:right="49"/>
        <w:jc w:val="both"/>
        <w:rPr>
          <w:rFonts w:ascii="Palatino Linotype" w:hAnsi="Palatino Linotype" w:cs="Arial"/>
          <w:color w:val="222222"/>
          <w:lang w:val="es-ES_tradnl" w:eastAsia="es-MX"/>
        </w:rPr>
      </w:pPr>
    </w:p>
    <w:p w14:paraId="2EC25CE5" w14:textId="77777777" w:rsidR="00503E5E" w:rsidRPr="00481B31" w:rsidRDefault="00503E5E" w:rsidP="000C1184">
      <w:pPr>
        <w:shd w:val="clear" w:color="auto" w:fill="FFFFFF"/>
        <w:spacing w:line="360" w:lineRule="auto"/>
        <w:jc w:val="both"/>
        <w:rPr>
          <w:rFonts w:ascii="Palatino Linotype" w:eastAsia="MS Mincho" w:hAnsi="Palatino Linotype"/>
          <w:color w:val="000000"/>
          <w:shd w:val="clear" w:color="auto" w:fill="FFFFFF"/>
          <w:lang w:val="es-ES_tradnl"/>
        </w:rPr>
      </w:pPr>
      <w:r w:rsidRPr="00481B31">
        <w:rPr>
          <w:rFonts w:ascii="Palatino Linotype" w:eastAsia="Calibri" w:hAnsi="Palatino Linotype" w:cs="Arial"/>
          <w:b/>
          <w:bCs/>
          <w:color w:val="000000"/>
          <w:lang w:val="es-MX" w:eastAsia="en-US"/>
        </w:rPr>
        <w:t>CUARTO.</w:t>
      </w:r>
      <w:r w:rsidRPr="00481B31">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728425" w14:textId="77777777" w:rsidR="00503E5E" w:rsidRPr="00481B31" w:rsidRDefault="00503E5E" w:rsidP="000C1184">
      <w:pPr>
        <w:spacing w:line="360" w:lineRule="auto"/>
        <w:rPr>
          <w:rFonts w:ascii="Palatino Linotype" w:eastAsia="MS Mincho" w:hAnsi="Palatino Linotype"/>
        </w:rPr>
      </w:pPr>
    </w:p>
    <w:p w14:paraId="5144802B" w14:textId="0602D9B6" w:rsidR="00503E5E" w:rsidRPr="00481B31" w:rsidRDefault="00503E5E" w:rsidP="000C1184">
      <w:pPr>
        <w:shd w:val="clear" w:color="auto" w:fill="FFFFFF"/>
        <w:spacing w:line="360" w:lineRule="auto"/>
        <w:jc w:val="both"/>
        <w:rPr>
          <w:rFonts w:ascii="Palatino Linotype" w:hAnsi="Palatino Linotype"/>
          <w:color w:val="000000" w:themeColor="text1"/>
          <w:lang w:val="es-ES_tradnl"/>
        </w:rPr>
      </w:pPr>
      <w:r w:rsidRPr="00481B31">
        <w:rPr>
          <w:rFonts w:ascii="Palatino Linotype" w:hAnsi="Palatino Linotype" w:cs="Arial"/>
          <w:b/>
          <w:lang w:val="es-ES_tradnl"/>
        </w:rPr>
        <w:t xml:space="preserve">QUINTO. </w:t>
      </w:r>
      <w:r w:rsidRPr="00481B31">
        <w:rPr>
          <w:rFonts w:ascii="Palatino Linotype" w:hAnsi="Palatino Linotype"/>
          <w:b/>
          <w:bCs/>
          <w:color w:val="222222"/>
        </w:rPr>
        <w:t xml:space="preserve">Notifíquese </w:t>
      </w:r>
      <w:r w:rsidR="003771DD" w:rsidRPr="00481B31">
        <w:rPr>
          <w:rFonts w:ascii="Palatino Linotype" w:hAnsi="Palatino Linotype"/>
          <w:bCs/>
          <w:color w:val="222222"/>
        </w:rPr>
        <w:t>al</w:t>
      </w:r>
      <w:r w:rsidRPr="00481B31">
        <w:rPr>
          <w:rFonts w:ascii="Palatino Linotype" w:hAnsi="Palatino Linotype"/>
          <w:bCs/>
          <w:color w:val="222222"/>
        </w:rPr>
        <w:t xml:space="preserve"> </w:t>
      </w:r>
      <w:r w:rsidRPr="00481B31">
        <w:rPr>
          <w:rFonts w:ascii="Palatino Linotype" w:hAnsi="Palatino Linotype"/>
          <w:b/>
          <w:bCs/>
          <w:color w:val="222222"/>
        </w:rPr>
        <w:t>RECURRENTE</w:t>
      </w:r>
      <w:r w:rsidRPr="00481B31">
        <w:rPr>
          <w:rFonts w:ascii="Palatino Linotype" w:hAnsi="Palatino Linotype"/>
          <w:bCs/>
          <w:color w:val="222222"/>
        </w:rPr>
        <w:t xml:space="preserve"> </w:t>
      </w:r>
      <w:r w:rsidRPr="00481B31">
        <w:rPr>
          <w:rFonts w:ascii="Palatino Linotype" w:hAnsi="Palatino Linotype"/>
          <w:lang w:val="es-ES_tradnl"/>
        </w:rPr>
        <w:t>la presente resolució</w:t>
      </w:r>
      <w:r w:rsidR="00CD4D23" w:rsidRPr="00481B31">
        <w:rPr>
          <w:rFonts w:ascii="Palatino Linotype" w:hAnsi="Palatino Linotype"/>
          <w:lang w:val="es-ES_tradnl"/>
        </w:rPr>
        <w:t>n</w:t>
      </w:r>
      <w:r w:rsidR="00631490" w:rsidRPr="00481B31">
        <w:rPr>
          <w:rFonts w:ascii="Palatino Linotype" w:hAnsi="Palatino Linotype"/>
          <w:lang w:val="es-ES_tradnl"/>
        </w:rPr>
        <w:t>.</w:t>
      </w:r>
      <w:r w:rsidR="00CD4D23" w:rsidRPr="00481B31">
        <w:rPr>
          <w:rFonts w:ascii="Palatino Linotype" w:hAnsi="Palatino Linotype"/>
          <w:color w:val="000000" w:themeColor="text1"/>
          <w:lang w:val="es-ES_tradnl"/>
        </w:rPr>
        <w:t xml:space="preserve"> </w:t>
      </w:r>
    </w:p>
    <w:p w14:paraId="4BF5CDDB" w14:textId="77777777" w:rsidR="00503E5E" w:rsidRPr="00481B31" w:rsidRDefault="00503E5E" w:rsidP="000C1184">
      <w:pPr>
        <w:shd w:val="clear" w:color="auto" w:fill="FFFFFF"/>
        <w:spacing w:line="360" w:lineRule="auto"/>
        <w:jc w:val="both"/>
        <w:rPr>
          <w:rFonts w:ascii="Palatino Linotype" w:hAnsi="Palatino Linotype"/>
          <w:lang w:val="es-ES_tradnl"/>
        </w:rPr>
      </w:pPr>
    </w:p>
    <w:p w14:paraId="575A77D7" w14:textId="13071C08" w:rsidR="00E70E38" w:rsidRPr="00481B31" w:rsidRDefault="00503E5E" w:rsidP="000C1184">
      <w:pPr>
        <w:spacing w:line="360" w:lineRule="auto"/>
        <w:jc w:val="both"/>
        <w:rPr>
          <w:rFonts w:ascii="Palatino Linotype" w:eastAsia="MS Mincho" w:hAnsi="Palatino Linotype"/>
        </w:rPr>
      </w:pPr>
      <w:r w:rsidRPr="00481B31">
        <w:rPr>
          <w:rFonts w:ascii="Palatino Linotype" w:eastAsia="MS Mincho" w:hAnsi="Palatino Linotype"/>
          <w:b/>
          <w:lang w:val="es-MX"/>
        </w:rPr>
        <w:t>SEXTO.</w:t>
      </w:r>
      <w:r w:rsidRPr="00481B31">
        <w:rPr>
          <w:rFonts w:ascii="Palatino Linotype" w:eastAsia="MS Mincho" w:hAnsi="Palatino Linotype"/>
          <w:lang w:val="es-MX"/>
        </w:rPr>
        <w:t xml:space="preserve"> </w:t>
      </w:r>
      <w:r w:rsidR="0077107A" w:rsidRPr="00481B31">
        <w:rPr>
          <w:rFonts w:ascii="Palatino Linotype" w:eastAsia="MS Mincho" w:hAnsi="Palatino Linotype"/>
        </w:rPr>
        <w:t xml:space="preserve">Se hace del conocimiento del </w:t>
      </w:r>
      <w:r w:rsidRPr="00481B31">
        <w:rPr>
          <w:rFonts w:ascii="Palatino Linotype" w:eastAsia="MS Mincho" w:hAnsi="Palatino Linotype"/>
          <w:b/>
          <w:bCs/>
        </w:rPr>
        <w:t>RECURRENTE</w:t>
      </w:r>
      <w:r w:rsidRPr="00481B31">
        <w:rPr>
          <w:rFonts w:ascii="Palatino Linotype" w:hAnsi="Palatino Linotype"/>
          <w:bCs/>
          <w:color w:val="222222"/>
          <w:lang w:val="es-ES_tradnl"/>
        </w:rPr>
        <w:t xml:space="preserve"> </w:t>
      </w:r>
      <w:r w:rsidRPr="00481B31">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w:t>
      </w:r>
      <w:r w:rsidRPr="00481B31">
        <w:rPr>
          <w:rFonts w:ascii="Palatino Linotype" w:eastAsia="MS Mincho" w:hAnsi="Palatino Linotype"/>
        </w:rPr>
        <w:lastRenderedPageBreak/>
        <w:t>resolución le cause algún perjuicio podrá impugnarla </w:t>
      </w:r>
      <w:r w:rsidRPr="00481B31">
        <w:rPr>
          <w:rFonts w:ascii="Palatino Linotype" w:eastAsia="MS Mincho" w:hAnsi="Palatino Linotype"/>
          <w:bCs/>
        </w:rPr>
        <w:t>vía juicio de amparo</w:t>
      </w:r>
      <w:r w:rsidRPr="00481B31">
        <w:rPr>
          <w:rFonts w:ascii="Palatino Linotype" w:eastAsia="MS Mincho" w:hAnsi="Palatino Linotype"/>
        </w:rPr>
        <w:t> en los términos de las leyes a</w:t>
      </w:r>
      <w:r w:rsidR="00631490" w:rsidRPr="00481B31">
        <w:rPr>
          <w:rFonts w:ascii="Palatino Linotype" w:eastAsia="MS Mincho" w:hAnsi="Palatino Linotype"/>
        </w:rPr>
        <w:t>plicables.</w:t>
      </w:r>
      <w:r w:rsidRPr="00481B31">
        <w:rPr>
          <w:rFonts w:ascii="Palatino Linotype" w:eastAsia="MS Mincho" w:hAnsi="Palatino Linotype"/>
        </w:rPr>
        <w:tab/>
      </w:r>
      <w:r w:rsidR="002A6A41" w:rsidRPr="00481B31">
        <w:rPr>
          <w:rFonts w:ascii="Palatino Linotype" w:hAnsi="Palatino Linotype"/>
          <w:b/>
          <w:lang w:val="es-MX" w:eastAsia="es-MX"/>
        </w:rPr>
        <w:t xml:space="preserve"> </w:t>
      </w:r>
    </w:p>
    <w:p w14:paraId="2760D319" w14:textId="77777777" w:rsidR="00E86EA4" w:rsidRPr="00481B31" w:rsidRDefault="00E86EA4" w:rsidP="00E86EA4">
      <w:pPr>
        <w:spacing w:before="240" w:after="240" w:line="360" w:lineRule="auto"/>
        <w:ind w:firstLine="1"/>
        <w:jc w:val="both"/>
        <w:rPr>
          <w:rFonts w:ascii="Palatino Linotype" w:hAnsi="Palatino Linotype"/>
          <w:lang w:val="es-ES_tradnl"/>
        </w:rPr>
      </w:pPr>
      <w:r w:rsidRPr="00481B31">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bookmarkStart w:id="132" w:name="_GoBack"/>
      <w:r w:rsidRPr="00481B31">
        <w:rPr>
          <w:rFonts w:ascii="Palatino Linotype" w:hAnsi="Palatino Linotype"/>
          <w:lang w:val="es-ES_tradnl"/>
        </w:rPr>
        <w:t>LUIS</w:t>
      </w:r>
      <w:bookmarkEnd w:id="132"/>
      <w:r w:rsidRPr="00481B31">
        <w:rPr>
          <w:rFonts w:ascii="Palatino Linotype" w:hAnsi="Palatino Linotype"/>
          <w:lang w:val="es-ES_tradnl"/>
        </w:rPr>
        <w:t xml:space="preserve"> GUSTAVO PARRA NORIEGA Y GUADALUPE RAMÍREZ PEÑA; EN LA TRIGÉSIMA SÉPTIMA SESIÓN ORDINARIA CELEBRADA EL DÍA VEINTE (20) DE OCTUBRE  DE DOS MIL VEINTIUNO, ANTE EL SECRETARIO TÉCNICO DEL PLENO ALEXIS TAPIA RAMÍREZ.</w:t>
      </w:r>
    </w:p>
    <w:p w14:paraId="333A0845" w14:textId="372BD395" w:rsidR="00EA0165" w:rsidRPr="00481B31" w:rsidRDefault="00EA0165" w:rsidP="000C1184">
      <w:pPr>
        <w:spacing w:before="240" w:after="240" w:line="360" w:lineRule="auto"/>
        <w:ind w:firstLine="1"/>
        <w:jc w:val="both"/>
        <w:rPr>
          <w:rFonts w:ascii="Palatino Linotype" w:hAnsi="Palatino Linotype"/>
          <w:lang w:val="es-ES_tradnl"/>
        </w:rPr>
      </w:pPr>
    </w:p>
    <w:p w14:paraId="3EB89886" w14:textId="77777777" w:rsidR="00EA0165" w:rsidRPr="00481B31" w:rsidRDefault="00EA0165" w:rsidP="000C1184">
      <w:pPr>
        <w:spacing w:line="360" w:lineRule="auto"/>
        <w:contextualSpacing/>
        <w:jc w:val="both"/>
        <w:rPr>
          <w:rFonts w:ascii="Palatino Linotype" w:eastAsiaTheme="minorEastAsia" w:hAnsi="Palatino Linotype" w:cstheme="minorBidi"/>
          <w:color w:val="000000" w:themeColor="text1"/>
          <w:lang w:val="es-ES_tradnl"/>
        </w:rPr>
      </w:pPr>
    </w:p>
    <w:p w14:paraId="4453F8E6" w14:textId="4987DE0A" w:rsidR="00090DE6" w:rsidRPr="00481B31" w:rsidRDefault="00090DE6" w:rsidP="000C1184">
      <w:pPr>
        <w:spacing w:line="360" w:lineRule="auto"/>
        <w:rPr>
          <w:rFonts w:ascii="Palatino Linotype" w:hAnsi="Palatino Linotype"/>
        </w:rPr>
      </w:pPr>
    </w:p>
    <w:sectPr w:rsidR="00090DE6" w:rsidRPr="00481B31" w:rsidSect="009F07F4">
      <w:headerReference w:type="default"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DF6E3" w14:textId="77777777" w:rsidR="008C7CE0" w:rsidRDefault="008C7CE0" w:rsidP="00C80F8C">
      <w:r>
        <w:separator/>
      </w:r>
    </w:p>
  </w:endnote>
  <w:endnote w:type="continuationSeparator" w:id="0">
    <w:p w14:paraId="3DFBC46C" w14:textId="77777777" w:rsidR="008C7CE0" w:rsidRDefault="008C7CE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5F2D95D" w:rsidR="00567BCA" w:rsidRPr="00817AAB" w:rsidRDefault="00567BCA"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A219D8">
      <w:rPr>
        <w:rFonts w:ascii="Palatino Linotype" w:hAnsi="Palatino Linotype" w:cs="Arial"/>
        <w:b/>
        <w:bCs/>
        <w:noProof/>
      </w:rPr>
      <w:t>6</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A219D8">
      <w:rPr>
        <w:rFonts w:ascii="Palatino Linotype" w:hAnsi="Palatino Linotype" w:cs="Arial"/>
        <w:b/>
        <w:bCs/>
        <w:noProof/>
      </w:rPr>
      <w:t>63</w:t>
    </w:r>
    <w:r w:rsidRPr="00817AAB">
      <w:rPr>
        <w:rFonts w:ascii="Palatino Linotype" w:hAnsi="Palatino Linotype" w:cs="Arial"/>
        <w:b/>
        <w:bCs/>
      </w:rPr>
      <w:fldChar w:fldCharType="end"/>
    </w:r>
  </w:p>
  <w:p w14:paraId="1192A578" w14:textId="77777777" w:rsidR="00567BCA" w:rsidRDefault="00567BCA" w:rsidP="00935A0D">
    <w:pPr>
      <w:pStyle w:val="Piedepgina"/>
      <w:rPr>
        <w:rFonts w:ascii="Times New Roman" w:hAnsi="Times New Roman" w:cs="Times New Roman"/>
      </w:rPr>
    </w:pPr>
  </w:p>
  <w:p w14:paraId="14A770F8" w14:textId="77777777" w:rsidR="00567BCA" w:rsidRDefault="00567BC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2833E28C" w:rsidR="00567BCA" w:rsidRDefault="00567BC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219D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219D8">
      <w:rPr>
        <w:rFonts w:ascii="Arial" w:hAnsi="Arial" w:cs="Arial"/>
        <w:b/>
        <w:bCs/>
        <w:noProof/>
        <w:sz w:val="20"/>
        <w:szCs w:val="20"/>
      </w:rPr>
      <w:t>63</w:t>
    </w:r>
    <w:r>
      <w:rPr>
        <w:rFonts w:ascii="Arial" w:hAnsi="Arial" w:cs="Arial"/>
        <w:b/>
        <w:bCs/>
        <w:sz w:val="20"/>
        <w:szCs w:val="20"/>
      </w:rPr>
      <w:fldChar w:fldCharType="end"/>
    </w:r>
  </w:p>
  <w:p w14:paraId="5D98ABD5" w14:textId="77777777" w:rsidR="00567BCA" w:rsidRDefault="00567B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DB5FD" w14:textId="77777777" w:rsidR="008C7CE0" w:rsidRDefault="008C7CE0" w:rsidP="00C80F8C">
      <w:r>
        <w:separator/>
      </w:r>
    </w:p>
  </w:footnote>
  <w:footnote w:type="continuationSeparator" w:id="0">
    <w:p w14:paraId="11F1C666" w14:textId="77777777" w:rsidR="008C7CE0" w:rsidRDefault="008C7CE0" w:rsidP="00C80F8C">
      <w:r>
        <w:continuationSeparator/>
      </w:r>
    </w:p>
  </w:footnote>
  <w:footnote w:id="1">
    <w:p w14:paraId="0E69A93C" w14:textId="068E0904" w:rsidR="00567BCA" w:rsidRDefault="00567BCA"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404E0010" w14:textId="77777777" w:rsidR="000B7AD7" w:rsidRDefault="000B7AD7" w:rsidP="009C4F62">
      <w:pPr>
        <w:pStyle w:val="Textonotapie"/>
        <w:jc w:val="both"/>
        <w:rPr>
          <w:lang w:val="es-ES"/>
        </w:rPr>
      </w:pPr>
      <w:r w:rsidRPr="000B7AD7">
        <w:rPr>
          <w:lang w:val="es-ES"/>
        </w:rPr>
        <w:t xml:space="preserve">I. La negativa a la información solicitada; </w:t>
      </w:r>
    </w:p>
    <w:p w14:paraId="04C407DD" w14:textId="0B6541FA" w:rsidR="000B7AD7" w:rsidRDefault="000B7AD7" w:rsidP="009C4F62">
      <w:pPr>
        <w:pStyle w:val="Textonotapie"/>
        <w:jc w:val="both"/>
        <w:rPr>
          <w:lang w:val="es-ES"/>
        </w:rPr>
      </w:pPr>
      <w:r w:rsidRPr="000B7AD7">
        <w:rPr>
          <w:lang w:val="es-ES"/>
        </w:rPr>
        <w:t>II. La clasificación de la información;</w:t>
      </w:r>
    </w:p>
    <w:p w14:paraId="1867D448" w14:textId="56F00AFE" w:rsidR="00567BCA" w:rsidRDefault="00567BCA" w:rsidP="009C4F62">
      <w:pPr>
        <w:pStyle w:val="Textonotapie"/>
        <w:jc w:val="both"/>
      </w:pPr>
      <w:r>
        <w:rPr>
          <w:lang w:val="es-ES"/>
        </w:rPr>
        <w:t>(…)</w:t>
      </w:r>
    </w:p>
  </w:footnote>
  <w:footnote w:id="2">
    <w:p w14:paraId="77A579AA" w14:textId="77777777" w:rsidR="00567BCA" w:rsidRDefault="00567BCA"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567BCA" w:rsidRDefault="00567BCA"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567BCA" w:rsidRDefault="00567BCA"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567BCA" w:rsidRDefault="00567BCA"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6E57EC4F" w14:textId="77777777" w:rsidR="00567BCA" w:rsidRPr="00F5102E" w:rsidRDefault="00567BCA"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567BCA" w:rsidRPr="00F5102E" w:rsidRDefault="00567BCA" w:rsidP="00C548CF">
      <w:pPr>
        <w:pStyle w:val="Textonotapie"/>
        <w:jc w:val="both"/>
        <w:rPr>
          <w:rFonts w:ascii="Palatino Linotype" w:hAnsi="Palatino Linotype"/>
        </w:rPr>
      </w:pPr>
      <w:r w:rsidRPr="00F5102E">
        <w:rPr>
          <w:rFonts w:ascii="Palatino Linotype" w:hAnsi="Palatino Linotype"/>
        </w:rPr>
        <w:t>(…)</w:t>
      </w:r>
    </w:p>
    <w:p w14:paraId="42D31E86" w14:textId="77777777" w:rsidR="00567BCA" w:rsidRPr="00F5102E" w:rsidRDefault="00567BCA"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567BCA" w:rsidRPr="00F5102E" w:rsidRDefault="00567BCA"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567BCA" w:rsidRDefault="00567BCA"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5F56B7E6" w14:textId="77777777" w:rsidR="00567BCA" w:rsidRPr="00985DD4" w:rsidRDefault="00567BCA" w:rsidP="00A90703">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1CD9D816" w14:textId="77777777" w:rsidR="00567BCA" w:rsidRPr="00985DD4" w:rsidRDefault="00567BCA" w:rsidP="00A90703">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C437C30" w14:textId="77777777" w:rsidR="00567BCA" w:rsidRPr="00BE13A0" w:rsidRDefault="00567BCA" w:rsidP="00A90703">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8">
    <w:p w14:paraId="7400201D" w14:textId="77777777" w:rsidR="00567BCA" w:rsidRPr="00985DD4" w:rsidRDefault="00567BCA" w:rsidP="00A90703">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14C036CE" w14:textId="77777777" w:rsidR="00567BCA" w:rsidRPr="009F19BE" w:rsidRDefault="00567BCA" w:rsidP="008F1049">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D03351C" w14:textId="77777777" w:rsidR="00567BCA" w:rsidRPr="009F19BE" w:rsidRDefault="00567BCA" w:rsidP="008F1049">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10">
    <w:p w14:paraId="6F193674" w14:textId="77777777" w:rsidR="00567BCA" w:rsidRPr="009F19BE" w:rsidRDefault="00567BCA" w:rsidP="008F1049">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11">
    <w:p w14:paraId="0F0192F9" w14:textId="77777777" w:rsidR="00567BCA" w:rsidRPr="00034B44" w:rsidRDefault="00567BCA" w:rsidP="008F104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2">
    <w:p w14:paraId="1B617B0B" w14:textId="77777777" w:rsidR="00567BCA" w:rsidRPr="00034B44" w:rsidRDefault="00567BCA" w:rsidP="003F0CD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5BA0C4C" w14:textId="77777777" w:rsidR="00567BCA" w:rsidRPr="00034B44" w:rsidRDefault="00567BCA" w:rsidP="003F0CD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D767508" w14:textId="77777777" w:rsidR="00567BCA" w:rsidRPr="00034B44" w:rsidRDefault="00567BCA" w:rsidP="003F0CD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567BCA" w14:paraId="6B4E3B81" w14:textId="77777777" w:rsidTr="00B4299A">
      <w:tc>
        <w:tcPr>
          <w:tcW w:w="2701" w:type="dxa"/>
          <w:vAlign w:val="center"/>
          <w:hideMark/>
        </w:tcPr>
        <w:p w14:paraId="0ABBC6C0" w14:textId="1226DAAF" w:rsidR="00567BCA" w:rsidRPr="00B4299A" w:rsidRDefault="00567BCA"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19EA97F2" w:rsidR="00567BCA" w:rsidRPr="00B4299A" w:rsidRDefault="00567BCA" w:rsidP="006E011A">
          <w:pPr>
            <w:rPr>
              <w:rFonts w:ascii="Palatino Linotype" w:hAnsi="Palatino Linotype"/>
              <w:b/>
              <w:szCs w:val="22"/>
              <w:lang w:val="es-ES_tradnl"/>
            </w:rPr>
          </w:pPr>
          <w:r>
            <w:rPr>
              <w:rFonts w:ascii="Palatino Linotype" w:eastAsia="Calibri" w:hAnsi="Palatino Linotype" w:cs="Arial"/>
              <w:b/>
              <w:bCs/>
              <w:szCs w:val="22"/>
              <w:lang w:val="es-MX" w:eastAsia="es-MX"/>
            </w:rPr>
            <w:t>03898</w:t>
          </w:r>
          <w:r w:rsidRPr="00B4299A">
            <w:rPr>
              <w:rFonts w:ascii="Palatino Linotype" w:eastAsia="Calibri" w:hAnsi="Palatino Linotype" w:cs="Arial"/>
              <w:b/>
              <w:bCs/>
              <w:szCs w:val="22"/>
              <w:lang w:val="es-MX" w:eastAsia="es-MX"/>
            </w:rPr>
            <w:t>/INFOEM/IP/RR/2021</w:t>
          </w:r>
        </w:p>
      </w:tc>
    </w:tr>
    <w:tr w:rsidR="00567BCA" w14:paraId="31CB780F" w14:textId="77777777" w:rsidTr="00B4299A">
      <w:trPr>
        <w:trHeight w:val="228"/>
      </w:trPr>
      <w:tc>
        <w:tcPr>
          <w:tcW w:w="2701" w:type="dxa"/>
          <w:vAlign w:val="center"/>
          <w:hideMark/>
        </w:tcPr>
        <w:p w14:paraId="4F49CB4A" w14:textId="6966D32E" w:rsidR="00567BCA" w:rsidRPr="00B4299A" w:rsidRDefault="00567BCA"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299F4538" w:rsidR="00567BCA" w:rsidRPr="00B4299A" w:rsidRDefault="00567BCA" w:rsidP="00EA0165">
          <w:pPr>
            <w:jc w:val="both"/>
            <w:rPr>
              <w:rFonts w:ascii="Palatino Linotype" w:hAnsi="Palatino Linotype"/>
              <w:b/>
              <w:szCs w:val="22"/>
              <w:lang w:val="es-ES_tradnl"/>
            </w:rPr>
          </w:pPr>
          <w:r>
            <w:rPr>
              <w:rFonts w:ascii="Palatino Linotype" w:hAnsi="Palatino Linotype"/>
              <w:b/>
              <w:szCs w:val="22"/>
              <w:lang w:val="es-ES_tradnl"/>
            </w:rPr>
            <w:t xml:space="preserve">Poder Legislativo </w:t>
          </w:r>
        </w:p>
      </w:tc>
    </w:tr>
    <w:tr w:rsidR="00567BCA" w14:paraId="69050F56" w14:textId="77777777" w:rsidTr="00B4299A">
      <w:tc>
        <w:tcPr>
          <w:tcW w:w="2701" w:type="dxa"/>
          <w:vAlign w:val="center"/>
          <w:hideMark/>
        </w:tcPr>
        <w:p w14:paraId="65C9B735" w14:textId="75C78F81" w:rsidR="00567BCA" w:rsidRPr="00B4299A" w:rsidRDefault="00567BCA"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567BCA" w:rsidRPr="00B4299A" w:rsidRDefault="00567BCA"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567BCA" w:rsidRDefault="00567BCA"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567BCA" w:rsidRDefault="00567BCA"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567BCA" w:rsidRDefault="00567BCA"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567BCA" w14:paraId="477E149B" w14:textId="77777777" w:rsidTr="00CB57FD">
      <w:trPr>
        <w:trHeight w:val="277"/>
      </w:trPr>
      <w:tc>
        <w:tcPr>
          <w:tcW w:w="2693" w:type="dxa"/>
          <w:vAlign w:val="center"/>
          <w:hideMark/>
        </w:tcPr>
        <w:p w14:paraId="5C0586E4" w14:textId="77777777" w:rsidR="00567BCA" w:rsidRPr="009B3353" w:rsidRDefault="00567BCA"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118D743" w:rsidR="00567BCA" w:rsidRPr="009B3353" w:rsidRDefault="00567BCA" w:rsidP="00761460">
          <w:pPr>
            <w:rPr>
              <w:rFonts w:ascii="Palatino Linotype" w:hAnsi="Palatino Linotype"/>
              <w:b/>
              <w:szCs w:val="22"/>
              <w:lang w:val="es-ES_tradnl"/>
            </w:rPr>
          </w:pPr>
          <w:r>
            <w:rPr>
              <w:rFonts w:ascii="Palatino Linotype" w:eastAsia="Calibri" w:hAnsi="Palatino Linotype" w:cs="Arial"/>
              <w:b/>
              <w:bCs/>
              <w:szCs w:val="22"/>
              <w:lang w:val="es-MX" w:eastAsia="es-MX"/>
            </w:rPr>
            <w:t>03898</w:t>
          </w:r>
          <w:r w:rsidRPr="009B3353">
            <w:rPr>
              <w:rFonts w:ascii="Palatino Linotype" w:eastAsia="Calibri" w:hAnsi="Palatino Linotype" w:cs="Arial"/>
              <w:b/>
              <w:bCs/>
              <w:szCs w:val="22"/>
              <w:lang w:val="es-MX" w:eastAsia="es-MX"/>
            </w:rPr>
            <w:t>/INFOEM/IP/RR/2021</w:t>
          </w:r>
        </w:p>
      </w:tc>
    </w:tr>
    <w:tr w:rsidR="00567BCA" w14:paraId="5B5BE21C" w14:textId="77777777" w:rsidTr="00CB57FD">
      <w:tc>
        <w:tcPr>
          <w:tcW w:w="2693" w:type="dxa"/>
          <w:vAlign w:val="center"/>
          <w:hideMark/>
        </w:tcPr>
        <w:p w14:paraId="4AE96902" w14:textId="4E063913" w:rsidR="00567BCA" w:rsidRPr="009B3353" w:rsidRDefault="00567BCA"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77B341DC" w:rsidR="00567BCA" w:rsidRPr="009B3353" w:rsidRDefault="00A219D8" w:rsidP="00A219D8">
          <w:pPr>
            <w:rPr>
              <w:rFonts w:ascii="Palatino Linotype" w:hAnsi="Palatino Linotype"/>
              <w:b/>
              <w:szCs w:val="22"/>
              <w:lang w:val="es-ES_tradnl"/>
            </w:rPr>
          </w:pPr>
          <w:r>
            <w:rPr>
              <w:rFonts w:ascii="Palatino Linotype" w:hAnsi="Palatino Linotype"/>
              <w:b/>
              <w:szCs w:val="22"/>
              <w:lang w:val="es-ES_tradnl"/>
            </w:rPr>
            <w:t>XXXX XXXXX XXXX XXXX</w:t>
          </w:r>
          <w:r w:rsidR="00567BCA">
            <w:rPr>
              <w:rFonts w:ascii="Palatino Linotype" w:hAnsi="Palatino Linotype"/>
              <w:b/>
              <w:szCs w:val="22"/>
              <w:lang w:val="es-ES_tradnl"/>
            </w:rPr>
            <w:t xml:space="preserve"> </w:t>
          </w:r>
        </w:p>
      </w:tc>
    </w:tr>
    <w:tr w:rsidR="00567BCA" w14:paraId="22601A11" w14:textId="77777777" w:rsidTr="00CB57FD">
      <w:trPr>
        <w:trHeight w:val="228"/>
      </w:trPr>
      <w:tc>
        <w:tcPr>
          <w:tcW w:w="2693" w:type="dxa"/>
          <w:vAlign w:val="center"/>
          <w:hideMark/>
        </w:tcPr>
        <w:p w14:paraId="6EFE221D" w14:textId="49C5F800" w:rsidR="00567BCA" w:rsidRPr="009B3353" w:rsidRDefault="00567BCA"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3040D2BA" w:rsidR="00567BCA" w:rsidRPr="009B3353" w:rsidRDefault="00567BCA" w:rsidP="00EA0165">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 xml:space="preserve">Poder Legislativo  </w:t>
          </w:r>
        </w:p>
      </w:tc>
    </w:tr>
    <w:tr w:rsidR="00567BCA" w14:paraId="2D6C630E" w14:textId="77777777" w:rsidTr="00CB57FD">
      <w:tc>
        <w:tcPr>
          <w:tcW w:w="2693" w:type="dxa"/>
          <w:vAlign w:val="center"/>
          <w:hideMark/>
        </w:tcPr>
        <w:p w14:paraId="5BD4C6DB" w14:textId="7CF21504" w:rsidR="00567BCA" w:rsidRPr="009B3353" w:rsidRDefault="00567BCA"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567BCA" w:rsidRPr="009B3353" w:rsidRDefault="00567BCA"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567BCA" w:rsidRDefault="00567BC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6C3"/>
    <w:multiLevelType w:val="hybridMultilevel"/>
    <w:tmpl w:val="218410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352167"/>
    <w:multiLevelType w:val="hybridMultilevel"/>
    <w:tmpl w:val="F250B016"/>
    <w:lvl w:ilvl="0" w:tplc="E47E49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5DB2488"/>
    <w:multiLevelType w:val="hybridMultilevel"/>
    <w:tmpl w:val="85B60E3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0315F"/>
    <w:multiLevelType w:val="hybridMultilevel"/>
    <w:tmpl w:val="576E84EE"/>
    <w:lvl w:ilvl="0" w:tplc="79AAFC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1575B5"/>
    <w:multiLevelType w:val="hybridMultilevel"/>
    <w:tmpl w:val="AF88779E"/>
    <w:lvl w:ilvl="0" w:tplc="2F8C655A">
      <w:start w:val="5"/>
      <w:numFmt w:val="bullet"/>
      <w:lvlText w:val="-"/>
      <w:lvlJc w:val="left"/>
      <w:pPr>
        <w:ind w:left="644" w:hanging="360"/>
      </w:pPr>
      <w:rPr>
        <w:rFonts w:ascii="Palatino Linotype" w:eastAsia="Calibri" w:hAnsi="Palatino Linotype"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1C274AE8"/>
    <w:multiLevelType w:val="hybridMultilevel"/>
    <w:tmpl w:val="40AA39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48306B"/>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536658"/>
    <w:multiLevelType w:val="hybridMultilevel"/>
    <w:tmpl w:val="DC54136E"/>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1C0F04"/>
    <w:multiLevelType w:val="hybridMultilevel"/>
    <w:tmpl w:val="3ACE6484"/>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447239"/>
    <w:multiLevelType w:val="hybridMultilevel"/>
    <w:tmpl w:val="42F88F1A"/>
    <w:lvl w:ilvl="0" w:tplc="509CF832">
      <w:start w:val="1"/>
      <w:numFmt w:val="lowerLetter"/>
      <w:lvlText w:val="%1)"/>
      <w:lvlJc w:val="left"/>
      <w:pPr>
        <w:ind w:left="720" w:hanging="360"/>
      </w:pPr>
      <w:rPr>
        <w:rFonts w:eastAsia="Times New Roman" w:cs="Times New Roman" w:hint="default"/>
        <w:b/>
        <w:color w:val="auto"/>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B412D4"/>
    <w:multiLevelType w:val="hybridMultilevel"/>
    <w:tmpl w:val="3EA4A832"/>
    <w:lvl w:ilvl="0" w:tplc="4456FF5E">
      <w:start w:val="1"/>
      <w:numFmt w:val="upperRoman"/>
      <w:lvlText w:val="%1."/>
      <w:lvlJc w:val="left"/>
      <w:pPr>
        <w:ind w:left="1080" w:hanging="720"/>
      </w:pPr>
      <w:rPr>
        <w:rFonts w:eastAsiaTheme="majorEastAsia"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ED3EA9"/>
    <w:multiLevelType w:val="hybridMultilevel"/>
    <w:tmpl w:val="23944D86"/>
    <w:lvl w:ilvl="0" w:tplc="AADC3D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4C4AAA"/>
    <w:multiLevelType w:val="hybridMultilevel"/>
    <w:tmpl w:val="39FE4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1B3EAA"/>
    <w:multiLevelType w:val="hybridMultilevel"/>
    <w:tmpl w:val="17F431EC"/>
    <w:lvl w:ilvl="0" w:tplc="7DB28D82">
      <w:start w:val="13"/>
      <w:numFmt w:val="bullet"/>
      <w:lvlText w:val="-"/>
      <w:lvlJc w:val="left"/>
      <w:pPr>
        <w:ind w:left="720" w:hanging="360"/>
      </w:pPr>
      <w:rPr>
        <w:rFonts w:ascii="Palatino Linotype" w:eastAsia="MS Mincho"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D927D1D"/>
    <w:multiLevelType w:val="hybridMultilevel"/>
    <w:tmpl w:val="5278503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E132F94E"/>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BB7F1E"/>
    <w:multiLevelType w:val="hybridMultilevel"/>
    <w:tmpl w:val="10AE22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38710739"/>
    <w:multiLevelType w:val="hybridMultilevel"/>
    <w:tmpl w:val="39E8CE64"/>
    <w:lvl w:ilvl="0" w:tplc="E39C598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15:restartNumberingAfterBreak="0">
    <w:nsid w:val="3BAD262D"/>
    <w:multiLevelType w:val="hybridMultilevel"/>
    <w:tmpl w:val="F940C7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9A6B7D"/>
    <w:multiLevelType w:val="hybridMultilevel"/>
    <w:tmpl w:val="4C328A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437898"/>
    <w:multiLevelType w:val="hybridMultilevel"/>
    <w:tmpl w:val="7ABCDBE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48C31EAD"/>
    <w:multiLevelType w:val="hybridMultilevel"/>
    <w:tmpl w:val="FBF0AB08"/>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FC576E"/>
    <w:multiLevelType w:val="hybridMultilevel"/>
    <w:tmpl w:val="8B86F88C"/>
    <w:lvl w:ilvl="0" w:tplc="E5382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7E2D1D"/>
    <w:multiLevelType w:val="hybridMultilevel"/>
    <w:tmpl w:val="021EAF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CA3AB0"/>
    <w:multiLevelType w:val="hybridMultilevel"/>
    <w:tmpl w:val="415A6550"/>
    <w:lvl w:ilvl="0" w:tplc="A7423AB2">
      <w:start w:val="1"/>
      <w:numFmt w:val="upperRoman"/>
      <w:lvlText w:val="%1."/>
      <w:lvlJc w:val="left"/>
      <w:pPr>
        <w:ind w:left="1080" w:hanging="720"/>
      </w:pPr>
      <w:rPr>
        <w:rFonts w:eastAsia="Times New Roman"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7202FA"/>
    <w:multiLevelType w:val="hybridMultilevel"/>
    <w:tmpl w:val="88A827B6"/>
    <w:lvl w:ilvl="0" w:tplc="D0469B5A">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AE4A7A"/>
    <w:multiLevelType w:val="hybridMultilevel"/>
    <w:tmpl w:val="F7A8B3E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5CAE5BD5"/>
    <w:multiLevelType w:val="hybridMultilevel"/>
    <w:tmpl w:val="8A101CEA"/>
    <w:lvl w:ilvl="0" w:tplc="E50A6B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1714F6"/>
    <w:multiLevelType w:val="hybridMultilevel"/>
    <w:tmpl w:val="A8B4A49C"/>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36" w15:restartNumberingAfterBreak="0">
    <w:nsid w:val="6FB6654B"/>
    <w:multiLevelType w:val="hybridMultilevel"/>
    <w:tmpl w:val="F1503D40"/>
    <w:lvl w:ilvl="0" w:tplc="9E84B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DA4776"/>
    <w:multiLevelType w:val="hybridMultilevel"/>
    <w:tmpl w:val="E132F94E"/>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E45613"/>
    <w:multiLevelType w:val="hybridMultilevel"/>
    <w:tmpl w:val="D700C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152C36"/>
    <w:multiLevelType w:val="hybridMultilevel"/>
    <w:tmpl w:val="AC62A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3204EE"/>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136A0"/>
    <w:multiLevelType w:val="hybridMultilevel"/>
    <w:tmpl w:val="9BA8E1FC"/>
    <w:lvl w:ilvl="0" w:tplc="2BD03AA6">
      <w:start w:val="1"/>
      <w:numFmt w:val="decimal"/>
      <w:lvlText w:val="%1."/>
      <w:lvlJc w:val="left"/>
      <w:pPr>
        <w:ind w:left="8299" w:hanging="360"/>
      </w:pPr>
      <w:rPr>
        <w:rFonts w:ascii="Palatino Linotype" w:hAnsi="Palatino Linotype" w:hint="default"/>
        <w:b/>
        <w:i w:val="0"/>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466E97"/>
    <w:multiLevelType w:val="hybridMultilevel"/>
    <w:tmpl w:val="2DE2A0EE"/>
    <w:lvl w:ilvl="0" w:tplc="4A029FF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9B42C2"/>
    <w:multiLevelType w:val="hybridMultilevel"/>
    <w:tmpl w:val="7D7EB386"/>
    <w:lvl w:ilvl="0" w:tplc="6538A1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
  </w:num>
  <w:num w:numId="3">
    <w:abstractNumId w:val="8"/>
  </w:num>
  <w:num w:numId="4">
    <w:abstractNumId w:val="45"/>
  </w:num>
  <w:num w:numId="5">
    <w:abstractNumId w:val="35"/>
  </w:num>
  <w:num w:numId="6">
    <w:abstractNumId w:val="9"/>
  </w:num>
  <w:num w:numId="7">
    <w:abstractNumId w:val="13"/>
  </w:num>
  <w:num w:numId="8">
    <w:abstractNumId w:val="2"/>
  </w:num>
  <w:num w:numId="9">
    <w:abstractNumId w:val="5"/>
  </w:num>
  <w:num w:numId="10">
    <w:abstractNumId w:val="42"/>
  </w:num>
  <w:num w:numId="11">
    <w:abstractNumId w:val="37"/>
  </w:num>
  <w:num w:numId="12">
    <w:abstractNumId w:val="27"/>
  </w:num>
  <w:num w:numId="13">
    <w:abstractNumId w:val="33"/>
  </w:num>
  <w:num w:numId="14">
    <w:abstractNumId w:val="21"/>
  </w:num>
  <w:num w:numId="15">
    <w:abstractNumId w:val="7"/>
  </w:num>
  <w:num w:numId="16">
    <w:abstractNumId w:val="16"/>
  </w:num>
  <w:num w:numId="17">
    <w:abstractNumId w:val="41"/>
  </w:num>
  <w:num w:numId="18">
    <w:abstractNumId w:val="6"/>
  </w:num>
  <w:num w:numId="19">
    <w:abstractNumId w:val="30"/>
  </w:num>
  <w:num w:numId="20">
    <w:abstractNumId w:val="28"/>
  </w:num>
  <w:num w:numId="21">
    <w:abstractNumId w:val="34"/>
  </w:num>
  <w:num w:numId="22">
    <w:abstractNumId w:val="43"/>
  </w:num>
  <w:num w:numId="23">
    <w:abstractNumId w:val="31"/>
  </w:num>
  <w:num w:numId="24">
    <w:abstractNumId w:val="15"/>
  </w:num>
  <w:num w:numId="25">
    <w:abstractNumId w:val="44"/>
  </w:num>
  <w:num w:numId="26">
    <w:abstractNumId w:val="36"/>
  </w:num>
  <w:num w:numId="27">
    <w:abstractNumId w:val="29"/>
  </w:num>
  <w:num w:numId="28">
    <w:abstractNumId w:val="39"/>
  </w:num>
  <w:num w:numId="29">
    <w:abstractNumId w:val="10"/>
  </w:num>
  <w:num w:numId="30">
    <w:abstractNumId w:val="14"/>
  </w:num>
  <w:num w:numId="31">
    <w:abstractNumId w:val="3"/>
  </w:num>
  <w:num w:numId="32">
    <w:abstractNumId w:val="38"/>
  </w:num>
  <w:num w:numId="33">
    <w:abstractNumId w:val="40"/>
  </w:num>
  <w:num w:numId="34">
    <w:abstractNumId w:val="17"/>
  </w:num>
  <w:num w:numId="35">
    <w:abstractNumId w:val="0"/>
  </w:num>
  <w:num w:numId="36">
    <w:abstractNumId w:val="19"/>
  </w:num>
  <w:num w:numId="37">
    <w:abstractNumId w:val="32"/>
  </w:num>
  <w:num w:numId="38">
    <w:abstractNumId w:val="12"/>
  </w:num>
  <w:num w:numId="39">
    <w:abstractNumId w:val="23"/>
  </w:num>
  <w:num w:numId="40">
    <w:abstractNumId w:val="26"/>
  </w:num>
  <w:num w:numId="41">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4"/>
  </w:num>
  <w:num w:numId="48">
    <w:abstractNumId w:val="25"/>
  </w:num>
  <w:num w:numId="49">
    <w:abstractNumId w:val="24"/>
  </w:num>
  <w:num w:numId="5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788C"/>
    <w:rsid w:val="00017BE1"/>
    <w:rsid w:val="00020869"/>
    <w:rsid w:val="00020A18"/>
    <w:rsid w:val="00021E8D"/>
    <w:rsid w:val="000239D7"/>
    <w:rsid w:val="00023C79"/>
    <w:rsid w:val="00024227"/>
    <w:rsid w:val="0002434A"/>
    <w:rsid w:val="00024AE6"/>
    <w:rsid w:val="00024BA6"/>
    <w:rsid w:val="000252E9"/>
    <w:rsid w:val="00025532"/>
    <w:rsid w:val="000260E9"/>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71E"/>
    <w:rsid w:val="00045165"/>
    <w:rsid w:val="00045FD8"/>
    <w:rsid w:val="00047F41"/>
    <w:rsid w:val="00050D22"/>
    <w:rsid w:val="00051773"/>
    <w:rsid w:val="0005205E"/>
    <w:rsid w:val="000535B0"/>
    <w:rsid w:val="00053D74"/>
    <w:rsid w:val="00054EFE"/>
    <w:rsid w:val="00055938"/>
    <w:rsid w:val="00055F7A"/>
    <w:rsid w:val="00057073"/>
    <w:rsid w:val="0006001D"/>
    <w:rsid w:val="00060CD1"/>
    <w:rsid w:val="0006184D"/>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BF3"/>
    <w:rsid w:val="000B1236"/>
    <w:rsid w:val="000B1437"/>
    <w:rsid w:val="000B2B61"/>
    <w:rsid w:val="000B2CE3"/>
    <w:rsid w:val="000B2FE2"/>
    <w:rsid w:val="000B3FFD"/>
    <w:rsid w:val="000B4571"/>
    <w:rsid w:val="000B4E3D"/>
    <w:rsid w:val="000B5351"/>
    <w:rsid w:val="000B57CE"/>
    <w:rsid w:val="000B69A8"/>
    <w:rsid w:val="000B7101"/>
    <w:rsid w:val="000B7332"/>
    <w:rsid w:val="000B7AD7"/>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F1BBF"/>
    <w:rsid w:val="000F219C"/>
    <w:rsid w:val="000F2EB3"/>
    <w:rsid w:val="000F4598"/>
    <w:rsid w:val="000F71B5"/>
    <w:rsid w:val="000F7FE2"/>
    <w:rsid w:val="001002A8"/>
    <w:rsid w:val="0010152C"/>
    <w:rsid w:val="00101832"/>
    <w:rsid w:val="00103E4C"/>
    <w:rsid w:val="00104E08"/>
    <w:rsid w:val="00106146"/>
    <w:rsid w:val="00106B32"/>
    <w:rsid w:val="00107249"/>
    <w:rsid w:val="001073CC"/>
    <w:rsid w:val="00107584"/>
    <w:rsid w:val="00107A49"/>
    <w:rsid w:val="00107BBC"/>
    <w:rsid w:val="00107FC5"/>
    <w:rsid w:val="00110202"/>
    <w:rsid w:val="00110507"/>
    <w:rsid w:val="001110FC"/>
    <w:rsid w:val="00111A41"/>
    <w:rsid w:val="00111D7F"/>
    <w:rsid w:val="00112892"/>
    <w:rsid w:val="00112B9F"/>
    <w:rsid w:val="00114D4B"/>
    <w:rsid w:val="00114DDF"/>
    <w:rsid w:val="00115AAD"/>
    <w:rsid w:val="00116064"/>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75F"/>
    <w:rsid w:val="00160E43"/>
    <w:rsid w:val="00161160"/>
    <w:rsid w:val="00161B66"/>
    <w:rsid w:val="00161FC4"/>
    <w:rsid w:val="00162CA1"/>
    <w:rsid w:val="00163B98"/>
    <w:rsid w:val="00164BD1"/>
    <w:rsid w:val="00165138"/>
    <w:rsid w:val="00166139"/>
    <w:rsid w:val="001667F0"/>
    <w:rsid w:val="00167F51"/>
    <w:rsid w:val="00167F89"/>
    <w:rsid w:val="00167F8F"/>
    <w:rsid w:val="001701C4"/>
    <w:rsid w:val="001705A5"/>
    <w:rsid w:val="00170979"/>
    <w:rsid w:val="00170D88"/>
    <w:rsid w:val="00170E0A"/>
    <w:rsid w:val="00171D47"/>
    <w:rsid w:val="00171F21"/>
    <w:rsid w:val="00172089"/>
    <w:rsid w:val="001723BF"/>
    <w:rsid w:val="00173627"/>
    <w:rsid w:val="00174E15"/>
    <w:rsid w:val="0017530C"/>
    <w:rsid w:val="0017555E"/>
    <w:rsid w:val="00175974"/>
    <w:rsid w:val="00175A2B"/>
    <w:rsid w:val="00177A27"/>
    <w:rsid w:val="00177B7E"/>
    <w:rsid w:val="00181594"/>
    <w:rsid w:val="00181791"/>
    <w:rsid w:val="00182E55"/>
    <w:rsid w:val="00183275"/>
    <w:rsid w:val="00184BC3"/>
    <w:rsid w:val="00184FBA"/>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810"/>
    <w:rsid w:val="001A2131"/>
    <w:rsid w:val="001A25D5"/>
    <w:rsid w:val="001A2A37"/>
    <w:rsid w:val="001A2FF3"/>
    <w:rsid w:val="001A373A"/>
    <w:rsid w:val="001A466C"/>
    <w:rsid w:val="001A4E38"/>
    <w:rsid w:val="001A4F68"/>
    <w:rsid w:val="001A78F5"/>
    <w:rsid w:val="001A7913"/>
    <w:rsid w:val="001B0C32"/>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41FB"/>
    <w:rsid w:val="001F465A"/>
    <w:rsid w:val="001F4E10"/>
    <w:rsid w:val="001F501F"/>
    <w:rsid w:val="001F6D50"/>
    <w:rsid w:val="0020054B"/>
    <w:rsid w:val="00201201"/>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5FB4"/>
    <w:rsid w:val="00236540"/>
    <w:rsid w:val="00236E44"/>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17BA"/>
    <w:rsid w:val="00281EF2"/>
    <w:rsid w:val="00282135"/>
    <w:rsid w:val="00283308"/>
    <w:rsid w:val="00284224"/>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E03BC"/>
    <w:rsid w:val="002E1D63"/>
    <w:rsid w:val="002E4EC0"/>
    <w:rsid w:val="002E5744"/>
    <w:rsid w:val="002E578A"/>
    <w:rsid w:val="002E6172"/>
    <w:rsid w:val="002E6B74"/>
    <w:rsid w:val="002E76D5"/>
    <w:rsid w:val="002F1C4D"/>
    <w:rsid w:val="002F2653"/>
    <w:rsid w:val="002F2FB4"/>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AE7"/>
    <w:rsid w:val="00343A82"/>
    <w:rsid w:val="00345D3E"/>
    <w:rsid w:val="00346090"/>
    <w:rsid w:val="00347274"/>
    <w:rsid w:val="0034736C"/>
    <w:rsid w:val="00347F1F"/>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3278"/>
    <w:rsid w:val="003633DD"/>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535F"/>
    <w:rsid w:val="00387128"/>
    <w:rsid w:val="00392E2B"/>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5A4"/>
    <w:rsid w:val="003D30A5"/>
    <w:rsid w:val="003D489B"/>
    <w:rsid w:val="003D48A3"/>
    <w:rsid w:val="003D5101"/>
    <w:rsid w:val="003D61B0"/>
    <w:rsid w:val="003E0A67"/>
    <w:rsid w:val="003E0BFB"/>
    <w:rsid w:val="003E132A"/>
    <w:rsid w:val="003E1576"/>
    <w:rsid w:val="003E4F89"/>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A99"/>
    <w:rsid w:val="00410650"/>
    <w:rsid w:val="004106C1"/>
    <w:rsid w:val="004126F7"/>
    <w:rsid w:val="00413FC2"/>
    <w:rsid w:val="004140B9"/>
    <w:rsid w:val="00414AE6"/>
    <w:rsid w:val="00414EE8"/>
    <w:rsid w:val="00416CFB"/>
    <w:rsid w:val="00417006"/>
    <w:rsid w:val="00417703"/>
    <w:rsid w:val="0042006D"/>
    <w:rsid w:val="0042021B"/>
    <w:rsid w:val="00422DF8"/>
    <w:rsid w:val="00422FA0"/>
    <w:rsid w:val="0042327C"/>
    <w:rsid w:val="004235DA"/>
    <w:rsid w:val="00423786"/>
    <w:rsid w:val="00423D1D"/>
    <w:rsid w:val="00424241"/>
    <w:rsid w:val="00425620"/>
    <w:rsid w:val="00425AD4"/>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768"/>
    <w:rsid w:val="00456E2C"/>
    <w:rsid w:val="00457077"/>
    <w:rsid w:val="00457FC7"/>
    <w:rsid w:val="00461796"/>
    <w:rsid w:val="00461A0A"/>
    <w:rsid w:val="00461B3D"/>
    <w:rsid w:val="00462197"/>
    <w:rsid w:val="00462417"/>
    <w:rsid w:val="004645F5"/>
    <w:rsid w:val="00464624"/>
    <w:rsid w:val="00464EB1"/>
    <w:rsid w:val="00465E62"/>
    <w:rsid w:val="00467700"/>
    <w:rsid w:val="004677F9"/>
    <w:rsid w:val="00467874"/>
    <w:rsid w:val="004716B0"/>
    <w:rsid w:val="004716C4"/>
    <w:rsid w:val="004723A9"/>
    <w:rsid w:val="00472460"/>
    <w:rsid w:val="004754E1"/>
    <w:rsid w:val="004763B5"/>
    <w:rsid w:val="00476A24"/>
    <w:rsid w:val="0047751F"/>
    <w:rsid w:val="0047775E"/>
    <w:rsid w:val="00481ABD"/>
    <w:rsid w:val="00481B31"/>
    <w:rsid w:val="00482683"/>
    <w:rsid w:val="00482731"/>
    <w:rsid w:val="0048286C"/>
    <w:rsid w:val="00483A0F"/>
    <w:rsid w:val="00484625"/>
    <w:rsid w:val="0048589D"/>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4DC"/>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CC0"/>
    <w:rsid w:val="004F3B64"/>
    <w:rsid w:val="004F5243"/>
    <w:rsid w:val="004F64AD"/>
    <w:rsid w:val="004F759E"/>
    <w:rsid w:val="004F7AC2"/>
    <w:rsid w:val="00501721"/>
    <w:rsid w:val="00503053"/>
    <w:rsid w:val="00503E5E"/>
    <w:rsid w:val="0050583D"/>
    <w:rsid w:val="00505B26"/>
    <w:rsid w:val="0050606E"/>
    <w:rsid w:val="00506258"/>
    <w:rsid w:val="00507449"/>
    <w:rsid w:val="005079B9"/>
    <w:rsid w:val="00510866"/>
    <w:rsid w:val="00511092"/>
    <w:rsid w:val="00511602"/>
    <w:rsid w:val="005119CD"/>
    <w:rsid w:val="00513EAE"/>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41397"/>
    <w:rsid w:val="005413A9"/>
    <w:rsid w:val="00541C7E"/>
    <w:rsid w:val="00542386"/>
    <w:rsid w:val="00542D8A"/>
    <w:rsid w:val="00543427"/>
    <w:rsid w:val="00543BF9"/>
    <w:rsid w:val="00544117"/>
    <w:rsid w:val="00544E0A"/>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711"/>
    <w:rsid w:val="00565483"/>
    <w:rsid w:val="0056588E"/>
    <w:rsid w:val="00567BCA"/>
    <w:rsid w:val="00571391"/>
    <w:rsid w:val="005726F4"/>
    <w:rsid w:val="00572DA9"/>
    <w:rsid w:val="00573949"/>
    <w:rsid w:val="00573ECF"/>
    <w:rsid w:val="00574A4F"/>
    <w:rsid w:val="00576A50"/>
    <w:rsid w:val="00577287"/>
    <w:rsid w:val="00577553"/>
    <w:rsid w:val="005777E0"/>
    <w:rsid w:val="00581562"/>
    <w:rsid w:val="0058269D"/>
    <w:rsid w:val="00583795"/>
    <w:rsid w:val="0058439D"/>
    <w:rsid w:val="00585149"/>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3943"/>
    <w:rsid w:val="005C3D2C"/>
    <w:rsid w:val="005C5799"/>
    <w:rsid w:val="005C5929"/>
    <w:rsid w:val="005C6B17"/>
    <w:rsid w:val="005D19E4"/>
    <w:rsid w:val="005D1DF5"/>
    <w:rsid w:val="005D45A0"/>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3030"/>
    <w:rsid w:val="0065578F"/>
    <w:rsid w:val="00655B83"/>
    <w:rsid w:val="00655F33"/>
    <w:rsid w:val="00656AB0"/>
    <w:rsid w:val="00656C59"/>
    <w:rsid w:val="006578C2"/>
    <w:rsid w:val="00661AC2"/>
    <w:rsid w:val="00661B36"/>
    <w:rsid w:val="00663207"/>
    <w:rsid w:val="00663F26"/>
    <w:rsid w:val="00666655"/>
    <w:rsid w:val="00666C54"/>
    <w:rsid w:val="00667C8B"/>
    <w:rsid w:val="00667D3E"/>
    <w:rsid w:val="006742F8"/>
    <w:rsid w:val="006747B5"/>
    <w:rsid w:val="00675974"/>
    <w:rsid w:val="00676566"/>
    <w:rsid w:val="006803E8"/>
    <w:rsid w:val="006804B2"/>
    <w:rsid w:val="00681481"/>
    <w:rsid w:val="00682656"/>
    <w:rsid w:val="00683617"/>
    <w:rsid w:val="00683EAC"/>
    <w:rsid w:val="00684313"/>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3BCF"/>
    <w:rsid w:val="006A42D4"/>
    <w:rsid w:val="006A48CE"/>
    <w:rsid w:val="006A4E98"/>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D4D"/>
    <w:rsid w:val="00711E97"/>
    <w:rsid w:val="00712516"/>
    <w:rsid w:val="00713A6B"/>
    <w:rsid w:val="0071427E"/>
    <w:rsid w:val="0071646D"/>
    <w:rsid w:val="00716CE1"/>
    <w:rsid w:val="0072562F"/>
    <w:rsid w:val="00725913"/>
    <w:rsid w:val="0072655F"/>
    <w:rsid w:val="00726DD1"/>
    <w:rsid w:val="00726FA5"/>
    <w:rsid w:val="007300F7"/>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601"/>
    <w:rsid w:val="007738EC"/>
    <w:rsid w:val="00773EA1"/>
    <w:rsid w:val="007753ED"/>
    <w:rsid w:val="00775CB2"/>
    <w:rsid w:val="0077600B"/>
    <w:rsid w:val="0077689F"/>
    <w:rsid w:val="0078030F"/>
    <w:rsid w:val="00780906"/>
    <w:rsid w:val="00780D17"/>
    <w:rsid w:val="00782370"/>
    <w:rsid w:val="00782DD9"/>
    <w:rsid w:val="007830E3"/>
    <w:rsid w:val="00787DB5"/>
    <w:rsid w:val="0079298A"/>
    <w:rsid w:val="00793368"/>
    <w:rsid w:val="0079361A"/>
    <w:rsid w:val="00793A7B"/>
    <w:rsid w:val="00794261"/>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CB2"/>
    <w:rsid w:val="007E64E0"/>
    <w:rsid w:val="007E6A21"/>
    <w:rsid w:val="007F0999"/>
    <w:rsid w:val="007F18A3"/>
    <w:rsid w:val="007F18DF"/>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63E2"/>
    <w:rsid w:val="00806A83"/>
    <w:rsid w:val="00807739"/>
    <w:rsid w:val="0080791A"/>
    <w:rsid w:val="008100C2"/>
    <w:rsid w:val="00810A48"/>
    <w:rsid w:val="00811637"/>
    <w:rsid w:val="00814930"/>
    <w:rsid w:val="00815752"/>
    <w:rsid w:val="00817AAB"/>
    <w:rsid w:val="008207CA"/>
    <w:rsid w:val="008223A5"/>
    <w:rsid w:val="008228A2"/>
    <w:rsid w:val="008235DE"/>
    <w:rsid w:val="008246C9"/>
    <w:rsid w:val="008254D3"/>
    <w:rsid w:val="00825CA4"/>
    <w:rsid w:val="00826018"/>
    <w:rsid w:val="008266BC"/>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422"/>
    <w:rsid w:val="00850491"/>
    <w:rsid w:val="00851F8C"/>
    <w:rsid w:val="008531B2"/>
    <w:rsid w:val="0085526B"/>
    <w:rsid w:val="00856585"/>
    <w:rsid w:val="00856E3C"/>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C04B3"/>
    <w:rsid w:val="008C0694"/>
    <w:rsid w:val="008C06D5"/>
    <w:rsid w:val="008C1208"/>
    <w:rsid w:val="008C3158"/>
    <w:rsid w:val="008C3963"/>
    <w:rsid w:val="008C4415"/>
    <w:rsid w:val="008C4CFE"/>
    <w:rsid w:val="008C7CE0"/>
    <w:rsid w:val="008D033C"/>
    <w:rsid w:val="008D0725"/>
    <w:rsid w:val="008D0B33"/>
    <w:rsid w:val="008D0B48"/>
    <w:rsid w:val="008D0D25"/>
    <w:rsid w:val="008D1526"/>
    <w:rsid w:val="008D2273"/>
    <w:rsid w:val="008D38EE"/>
    <w:rsid w:val="008D4B2A"/>
    <w:rsid w:val="008D75E7"/>
    <w:rsid w:val="008E094D"/>
    <w:rsid w:val="008E0D06"/>
    <w:rsid w:val="008E152A"/>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094A"/>
    <w:rsid w:val="00921109"/>
    <w:rsid w:val="00921436"/>
    <w:rsid w:val="009224C5"/>
    <w:rsid w:val="00923433"/>
    <w:rsid w:val="00923961"/>
    <w:rsid w:val="009239BB"/>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7737"/>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EC7"/>
    <w:rsid w:val="00992009"/>
    <w:rsid w:val="009925EC"/>
    <w:rsid w:val="00992BC7"/>
    <w:rsid w:val="00993AD0"/>
    <w:rsid w:val="00994602"/>
    <w:rsid w:val="00995953"/>
    <w:rsid w:val="009969DF"/>
    <w:rsid w:val="00997D2B"/>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6C33"/>
    <w:rsid w:val="009B6C5A"/>
    <w:rsid w:val="009B6EF8"/>
    <w:rsid w:val="009B7B7A"/>
    <w:rsid w:val="009C3731"/>
    <w:rsid w:val="009C4F62"/>
    <w:rsid w:val="009C4FE0"/>
    <w:rsid w:val="009C5252"/>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9E6"/>
    <w:rsid w:val="009F1F2E"/>
    <w:rsid w:val="009F1F62"/>
    <w:rsid w:val="009F3947"/>
    <w:rsid w:val="009F4D23"/>
    <w:rsid w:val="009F69BA"/>
    <w:rsid w:val="009F704F"/>
    <w:rsid w:val="00A00110"/>
    <w:rsid w:val="00A00BC6"/>
    <w:rsid w:val="00A014EE"/>
    <w:rsid w:val="00A01821"/>
    <w:rsid w:val="00A037CB"/>
    <w:rsid w:val="00A0469A"/>
    <w:rsid w:val="00A04B89"/>
    <w:rsid w:val="00A04EB0"/>
    <w:rsid w:val="00A05063"/>
    <w:rsid w:val="00A075F7"/>
    <w:rsid w:val="00A076B7"/>
    <w:rsid w:val="00A11324"/>
    <w:rsid w:val="00A13008"/>
    <w:rsid w:val="00A138DC"/>
    <w:rsid w:val="00A14237"/>
    <w:rsid w:val="00A1430D"/>
    <w:rsid w:val="00A14429"/>
    <w:rsid w:val="00A15FFD"/>
    <w:rsid w:val="00A16207"/>
    <w:rsid w:val="00A17823"/>
    <w:rsid w:val="00A17875"/>
    <w:rsid w:val="00A17D0D"/>
    <w:rsid w:val="00A20C97"/>
    <w:rsid w:val="00A20F7B"/>
    <w:rsid w:val="00A219D8"/>
    <w:rsid w:val="00A22365"/>
    <w:rsid w:val="00A2300C"/>
    <w:rsid w:val="00A2340B"/>
    <w:rsid w:val="00A234AD"/>
    <w:rsid w:val="00A24A04"/>
    <w:rsid w:val="00A25070"/>
    <w:rsid w:val="00A25AF8"/>
    <w:rsid w:val="00A27150"/>
    <w:rsid w:val="00A27728"/>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7754"/>
    <w:rsid w:val="00A67ED9"/>
    <w:rsid w:val="00A717E4"/>
    <w:rsid w:val="00A744CF"/>
    <w:rsid w:val="00A757D4"/>
    <w:rsid w:val="00A7641B"/>
    <w:rsid w:val="00A767EF"/>
    <w:rsid w:val="00A76FB1"/>
    <w:rsid w:val="00A77111"/>
    <w:rsid w:val="00A81037"/>
    <w:rsid w:val="00A81140"/>
    <w:rsid w:val="00A82448"/>
    <w:rsid w:val="00A8620C"/>
    <w:rsid w:val="00A8711C"/>
    <w:rsid w:val="00A87DA3"/>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E31"/>
    <w:rsid w:val="00AC74AC"/>
    <w:rsid w:val="00AC7ABC"/>
    <w:rsid w:val="00AD1C3D"/>
    <w:rsid w:val="00AD1C7C"/>
    <w:rsid w:val="00AD1D3D"/>
    <w:rsid w:val="00AD2277"/>
    <w:rsid w:val="00AD5C04"/>
    <w:rsid w:val="00AE013D"/>
    <w:rsid w:val="00AE125E"/>
    <w:rsid w:val="00AE34E5"/>
    <w:rsid w:val="00AE4286"/>
    <w:rsid w:val="00AE45EA"/>
    <w:rsid w:val="00AE5719"/>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10802"/>
    <w:rsid w:val="00B11E6A"/>
    <w:rsid w:val="00B125CC"/>
    <w:rsid w:val="00B13EF8"/>
    <w:rsid w:val="00B13F95"/>
    <w:rsid w:val="00B1522A"/>
    <w:rsid w:val="00B153AD"/>
    <w:rsid w:val="00B15C4F"/>
    <w:rsid w:val="00B169F5"/>
    <w:rsid w:val="00B16FF2"/>
    <w:rsid w:val="00B172A1"/>
    <w:rsid w:val="00B17A5B"/>
    <w:rsid w:val="00B21982"/>
    <w:rsid w:val="00B2362A"/>
    <w:rsid w:val="00B25866"/>
    <w:rsid w:val="00B25A6F"/>
    <w:rsid w:val="00B25BC6"/>
    <w:rsid w:val="00B270F3"/>
    <w:rsid w:val="00B316E2"/>
    <w:rsid w:val="00B322FC"/>
    <w:rsid w:val="00B33C2F"/>
    <w:rsid w:val="00B34D6D"/>
    <w:rsid w:val="00B35432"/>
    <w:rsid w:val="00B373AD"/>
    <w:rsid w:val="00B41343"/>
    <w:rsid w:val="00B4134E"/>
    <w:rsid w:val="00B4137E"/>
    <w:rsid w:val="00B41BE7"/>
    <w:rsid w:val="00B42775"/>
    <w:rsid w:val="00B4299A"/>
    <w:rsid w:val="00B42B2D"/>
    <w:rsid w:val="00B441CE"/>
    <w:rsid w:val="00B44DA3"/>
    <w:rsid w:val="00B5061D"/>
    <w:rsid w:val="00B5114C"/>
    <w:rsid w:val="00B518F7"/>
    <w:rsid w:val="00B51A2C"/>
    <w:rsid w:val="00B52026"/>
    <w:rsid w:val="00B5328A"/>
    <w:rsid w:val="00B5510F"/>
    <w:rsid w:val="00B57587"/>
    <w:rsid w:val="00B61DD1"/>
    <w:rsid w:val="00B623CE"/>
    <w:rsid w:val="00B62CE7"/>
    <w:rsid w:val="00B63188"/>
    <w:rsid w:val="00B64BF6"/>
    <w:rsid w:val="00B662AD"/>
    <w:rsid w:val="00B6790C"/>
    <w:rsid w:val="00B67E89"/>
    <w:rsid w:val="00B70AD5"/>
    <w:rsid w:val="00B71DAA"/>
    <w:rsid w:val="00B722A7"/>
    <w:rsid w:val="00B728D6"/>
    <w:rsid w:val="00B72ACE"/>
    <w:rsid w:val="00B7332C"/>
    <w:rsid w:val="00B73BC0"/>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A72"/>
    <w:rsid w:val="00BB2701"/>
    <w:rsid w:val="00BB2E4E"/>
    <w:rsid w:val="00BB3344"/>
    <w:rsid w:val="00BB37FC"/>
    <w:rsid w:val="00BB4B26"/>
    <w:rsid w:val="00BB50A5"/>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66D6"/>
    <w:rsid w:val="00BE67A1"/>
    <w:rsid w:val="00BE732D"/>
    <w:rsid w:val="00BF0540"/>
    <w:rsid w:val="00BF0748"/>
    <w:rsid w:val="00BF212E"/>
    <w:rsid w:val="00BF330A"/>
    <w:rsid w:val="00BF42CF"/>
    <w:rsid w:val="00BF469C"/>
    <w:rsid w:val="00BF685A"/>
    <w:rsid w:val="00BF6B39"/>
    <w:rsid w:val="00C0076A"/>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4F5E"/>
    <w:rsid w:val="00C265CC"/>
    <w:rsid w:val="00C265FB"/>
    <w:rsid w:val="00C26973"/>
    <w:rsid w:val="00C273AE"/>
    <w:rsid w:val="00C27C1C"/>
    <w:rsid w:val="00C27C61"/>
    <w:rsid w:val="00C3109F"/>
    <w:rsid w:val="00C3134B"/>
    <w:rsid w:val="00C32280"/>
    <w:rsid w:val="00C330CA"/>
    <w:rsid w:val="00C3479E"/>
    <w:rsid w:val="00C34A6D"/>
    <w:rsid w:val="00C3500A"/>
    <w:rsid w:val="00C400E5"/>
    <w:rsid w:val="00C4201F"/>
    <w:rsid w:val="00C4284F"/>
    <w:rsid w:val="00C42ACD"/>
    <w:rsid w:val="00C4317A"/>
    <w:rsid w:val="00C45222"/>
    <w:rsid w:val="00C4591F"/>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6012D"/>
    <w:rsid w:val="00C61018"/>
    <w:rsid w:val="00C61355"/>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2A57"/>
    <w:rsid w:val="00CB57FD"/>
    <w:rsid w:val="00CB63FB"/>
    <w:rsid w:val="00CB6D69"/>
    <w:rsid w:val="00CB703A"/>
    <w:rsid w:val="00CB7E67"/>
    <w:rsid w:val="00CC00CA"/>
    <w:rsid w:val="00CC0C5D"/>
    <w:rsid w:val="00CC0EE1"/>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3292"/>
    <w:rsid w:val="00CF3A3D"/>
    <w:rsid w:val="00CF58CF"/>
    <w:rsid w:val="00CF67F8"/>
    <w:rsid w:val="00CF6971"/>
    <w:rsid w:val="00CF6B0F"/>
    <w:rsid w:val="00CF78DB"/>
    <w:rsid w:val="00CF7D1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DCA"/>
    <w:rsid w:val="00D21482"/>
    <w:rsid w:val="00D217A4"/>
    <w:rsid w:val="00D236C3"/>
    <w:rsid w:val="00D24764"/>
    <w:rsid w:val="00D24A5F"/>
    <w:rsid w:val="00D25ADE"/>
    <w:rsid w:val="00D269B7"/>
    <w:rsid w:val="00D2728D"/>
    <w:rsid w:val="00D278A7"/>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922"/>
    <w:rsid w:val="00D77B71"/>
    <w:rsid w:val="00D804E1"/>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0F2C"/>
    <w:rsid w:val="00DA1064"/>
    <w:rsid w:val="00DA13FD"/>
    <w:rsid w:val="00DA1851"/>
    <w:rsid w:val="00DA205C"/>
    <w:rsid w:val="00DA2450"/>
    <w:rsid w:val="00DA299A"/>
    <w:rsid w:val="00DA31C0"/>
    <w:rsid w:val="00DA3DBD"/>
    <w:rsid w:val="00DA4C11"/>
    <w:rsid w:val="00DA5781"/>
    <w:rsid w:val="00DA63C9"/>
    <w:rsid w:val="00DA6B83"/>
    <w:rsid w:val="00DA6E68"/>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3B7"/>
    <w:rsid w:val="00DD4779"/>
    <w:rsid w:val="00DD4EA2"/>
    <w:rsid w:val="00DD625F"/>
    <w:rsid w:val="00DD65CC"/>
    <w:rsid w:val="00DD6C50"/>
    <w:rsid w:val="00DD747F"/>
    <w:rsid w:val="00DE015D"/>
    <w:rsid w:val="00DE03DC"/>
    <w:rsid w:val="00DE0BC1"/>
    <w:rsid w:val="00DE1D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7D5"/>
    <w:rsid w:val="00E74EB3"/>
    <w:rsid w:val="00E75D14"/>
    <w:rsid w:val="00E77205"/>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D22"/>
    <w:rsid w:val="00E96435"/>
    <w:rsid w:val="00EA0165"/>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E96"/>
    <w:rsid w:val="00EB4AF6"/>
    <w:rsid w:val="00EB4B80"/>
    <w:rsid w:val="00EB57EC"/>
    <w:rsid w:val="00EB5BD5"/>
    <w:rsid w:val="00EB648C"/>
    <w:rsid w:val="00EC0103"/>
    <w:rsid w:val="00EC088B"/>
    <w:rsid w:val="00EC35B4"/>
    <w:rsid w:val="00EC3643"/>
    <w:rsid w:val="00EC5949"/>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D23"/>
    <w:rsid w:val="00EE5B01"/>
    <w:rsid w:val="00EE6B49"/>
    <w:rsid w:val="00EF00D9"/>
    <w:rsid w:val="00EF079E"/>
    <w:rsid w:val="00EF07E6"/>
    <w:rsid w:val="00EF0E89"/>
    <w:rsid w:val="00EF35FA"/>
    <w:rsid w:val="00EF3FA7"/>
    <w:rsid w:val="00EF4435"/>
    <w:rsid w:val="00EF507D"/>
    <w:rsid w:val="00EF6BF3"/>
    <w:rsid w:val="00EF6D71"/>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DBF"/>
    <w:rsid w:val="00F05E09"/>
    <w:rsid w:val="00F06568"/>
    <w:rsid w:val="00F069F1"/>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80496"/>
    <w:rsid w:val="00F80729"/>
    <w:rsid w:val="00F80996"/>
    <w:rsid w:val="00F81DCD"/>
    <w:rsid w:val="00F82380"/>
    <w:rsid w:val="00F84BAA"/>
    <w:rsid w:val="00F84D35"/>
    <w:rsid w:val="00F8725D"/>
    <w:rsid w:val="00F87384"/>
    <w:rsid w:val="00F907B2"/>
    <w:rsid w:val="00F90BD9"/>
    <w:rsid w:val="00F90DE0"/>
    <w:rsid w:val="00F92058"/>
    <w:rsid w:val="00F923A7"/>
    <w:rsid w:val="00F944D7"/>
    <w:rsid w:val="00F97F78"/>
    <w:rsid w:val="00FA17C7"/>
    <w:rsid w:val="00FA2526"/>
    <w:rsid w:val="00FA43A4"/>
    <w:rsid w:val="00FA499D"/>
    <w:rsid w:val="00FA5129"/>
    <w:rsid w:val="00FA5E21"/>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06184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ivo.uc3m.es/bitstream/handle/10016/26545/WF-18-0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A7823-1FAE-4A60-80E7-43FC10CF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13769</Words>
  <Characters>75730</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Windows User</cp:lastModifiedBy>
  <cp:revision>2</cp:revision>
  <cp:lastPrinted>2021-10-06T19:46:00Z</cp:lastPrinted>
  <dcterms:created xsi:type="dcterms:W3CDTF">2021-10-27T17:12:00Z</dcterms:created>
  <dcterms:modified xsi:type="dcterms:W3CDTF">2021-10-27T17:12:00Z</dcterms:modified>
</cp:coreProperties>
</file>