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65A95A" w14:textId="62B85C27" w:rsidR="00DD45AF"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50E49">
        <w:rPr>
          <w:rFonts w:ascii="Palatino Linotype" w:eastAsia="Times New Roman" w:hAnsi="Palatino Linotype" w:cs="Arial"/>
          <w:color w:val="000000"/>
          <w:sz w:val="24"/>
          <w:szCs w:val="24"/>
          <w:lang w:eastAsia="es-MX"/>
        </w:rPr>
        <w:t xml:space="preserve">veinticuatro de noviembre de dos mil veintiuno. </w:t>
      </w:r>
    </w:p>
    <w:p w14:paraId="0BC45D10" w14:textId="6ED2C4C1" w:rsidR="00B50E49" w:rsidRPr="00B50E49" w:rsidRDefault="00DD45AF" w:rsidP="00DD45AF">
      <w:pPr>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w:t>
      </w:r>
      <w:r>
        <w:rPr>
          <w:rFonts w:ascii="Palatino Linotype" w:hAnsi="Palatino Linotype" w:cs="Arial"/>
          <w:sz w:val="24"/>
        </w:rPr>
        <w:t xml:space="preserve"> </w:t>
      </w:r>
      <w:r w:rsidR="00B50E49">
        <w:rPr>
          <w:rFonts w:ascii="Palatino Linotype" w:hAnsi="Palatino Linotype" w:cs="Arial"/>
          <w:b/>
          <w:sz w:val="24"/>
        </w:rPr>
        <w:t>05235</w:t>
      </w:r>
      <w:r>
        <w:rPr>
          <w:rFonts w:ascii="Palatino Linotype" w:hAnsi="Palatino Linotype" w:cs="Arial"/>
          <w:b/>
          <w:sz w:val="24"/>
        </w:rPr>
        <w:t xml:space="preserve">/INFOEM/IP/RR/2021, </w:t>
      </w:r>
      <w:r>
        <w:rPr>
          <w:rFonts w:ascii="Palatino Linotype" w:hAnsi="Palatino Linotype" w:cs="Arial"/>
          <w:sz w:val="24"/>
        </w:rPr>
        <w:t xml:space="preserve">interpuesto por </w:t>
      </w:r>
      <w:r w:rsidR="00792E0C">
        <w:rPr>
          <w:rFonts w:ascii="Palatino Linotype" w:hAnsi="Palatino Linotype" w:cs="Arial"/>
          <w:sz w:val="24"/>
        </w:rPr>
        <w:t xml:space="preserve">el </w:t>
      </w:r>
      <w:r w:rsidR="00792E0C">
        <w:rPr>
          <w:rFonts w:ascii="Palatino Linotype" w:hAnsi="Palatino Linotype" w:cs="Arial"/>
          <w:b/>
          <w:sz w:val="24"/>
        </w:rPr>
        <w:t xml:space="preserve">C. </w:t>
      </w:r>
      <w:r w:rsidR="00FE3182">
        <w:rPr>
          <w:rFonts w:ascii="Palatino Linotype" w:hAnsi="Palatino Linotype" w:cs="Arial"/>
          <w:b/>
          <w:sz w:val="24"/>
        </w:rPr>
        <w:t>xxxxxxxxxxxxxxxxxxxxxx</w:t>
      </w:r>
      <w:bookmarkStart w:id="0" w:name="_GoBack"/>
      <w:bookmarkEnd w:id="0"/>
      <w:r w:rsidR="00B50E49">
        <w:rPr>
          <w:rFonts w:ascii="Palatino Linotype" w:hAnsi="Palatino Linotype" w:cs="Arial"/>
          <w:b/>
          <w:sz w:val="24"/>
        </w:rPr>
        <w:t xml:space="preserve">, </w:t>
      </w:r>
      <w:r w:rsidR="00B50E49">
        <w:rPr>
          <w:rFonts w:ascii="Palatino Linotype" w:hAnsi="Palatino Linotype" w:cs="Arial"/>
          <w:sz w:val="24"/>
        </w:rPr>
        <w:t xml:space="preserve">en contra de la falta de respuesta del </w:t>
      </w:r>
      <w:r w:rsidR="00B50E49">
        <w:rPr>
          <w:rFonts w:ascii="Palatino Linotype" w:hAnsi="Palatino Linotype" w:cs="Arial"/>
          <w:b/>
          <w:sz w:val="24"/>
        </w:rPr>
        <w:t xml:space="preserve">Ayuntamiento de Teoloyucan, </w:t>
      </w:r>
      <w:r w:rsidR="00B50E49">
        <w:rPr>
          <w:rFonts w:ascii="Palatino Linotype" w:hAnsi="Palatino Linotype" w:cs="Arial"/>
          <w:sz w:val="24"/>
        </w:rPr>
        <w:t xml:space="preserve">en lo sucesivo </w:t>
      </w:r>
      <w:r w:rsidR="00B50E49">
        <w:rPr>
          <w:rFonts w:ascii="Palatino Linotype" w:hAnsi="Palatino Linotype" w:cs="Arial"/>
          <w:b/>
          <w:sz w:val="24"/>
        </w:rPr>
        <w:t xml:space="preserve">El Sujeto Obligado, </w:t>
      </w:r>
      <w:r w:rsidR="00B50E49">
        <w:rPr>
          <w:rFonts w:ascii="Palatino Linotype" w:hAnsi="Palatino Linotype" w:cs="Arial"/>
          <w:sz w:val="24"/>
        </w:rPr>
        <w:t xml:space="preserve">se procede a dictar la presente resolución. </w:t>
      </w:r>
    </w:p>
    <w:p w14:paraId="492DDF61" w14:textId="77777777" w:rsidR="00B50E49" w:rsidRDefault="00B50E49" w:rsidP="00DD45AF">
      <w:pPr>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04EDBC83" w14:textId="71ADDBA2" w:rsidR="00B50E49" w:rsidRPr="00B50E49"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E138CC">
        <w:rPr>
          <w:rFonts w:ascii="Palatino Linotype" w:hAnsi="Palatino Linotype" w:cs="Arial"/>
          <w:sz w:val="24"/>
        </w:rPr>
        <w:t xml:space="preserve"> </w:t>
      </w:r>
      <w:r w:rsidR="00B50E49">
        <w:rPr>
          <w:rFonts w:ascii="Palatino Linotype" w:hAnsi="Palatino Linotype" w:cs="Arial"/>
          <w:sz w:val="24"/>
        </w:rPr>
        <w:t xml:space="preserve">veintinueve de septiembre de dos mil veintiuno, </w:t>
      </w:r>
      <w:r w:rsidR="00B50E49">
        <w:rPr>
          <w:rFonts w:ascii="Palatino Linotype" w:hAnsi="Palatino Linotype" w:cs="Arial"/>
          <w:b/>
          <w:sz w:val="24"/>
        </w:rPr>
        <w:t xml:space="preserve">El Recurrente, </w:t>
      </w:r>
      <w:r w:rsidR="00B50E49">
        <w:rPr>
          <w:rFonts w:ascii="Palatino Linotype" w:hAnsi="Palatino Linotype" w:cs="Arial"/>
          <w:sz w:val="24"/>
        </w:rPr>
        <w:t>presentó a través del Sistema de Acceso de Información Mexiquense (</w:t>
      </w:r>
      <w:r w:rsidR="00B50E49">
        <w:rPr>
          <w:rFonts w:ascii="Palatino Linotype" w:hAnsi="Palatino Linotype" w:cs="Arial"/>
          <w:b/>
          <w:sz w:val="24"/>
        </w:rPr>
        <w:t>SAIMEX)</w:t>
      </w:r>
      <w:r w:rsidR="00B50E49">
        <w:rPr>
          <w:rFonts w:ascii="Palatino Linotype" w:hAnsi="Palatino Linotype" w:cs="Arial"/>
          <w:sz w:val="24"/>
        </w:rPr>
        <w:t xml:space="preserve"> ante </w:t>
      </w:r>
      <w:r w:rsidR="00B50E49">
        <w:rPr>
          <w:rFonts w:ascii="Palatino Linotype" w:hAnsi="Palatino Linotype" w:cs="Arial"/>
          <w:b/>
          <w:sz w:val="24"/>
        </w:rPr>
        <w:t>El Sujeto Obligado</w:t>
      </w:r>
      <w:r w:rsidR="00B50E49">
        <w:rPr>
          <w:rFonts w:ascii="Palatino Linotype" w:hAnsi="Palatino Linotype" w:cs="Arial"/>
          <w:sz w:val="24"/>
        </w:rPr>
        <w:t xml:space="preserve">, solicitud de acceso a la información pública, registrada bajo el número de expediente </w:t>
      </w:r>
      <w:r w:rsidR="00B50E49">
        <w:rPr>
          <w:rFonts w:ascii="Palatino Linotype" w:hAnsi="Palatino Linotype" w:cs="Arial"/>
          <w:b/>
          <w:sz w:val="24"/>
        </w:rPr>
        <w:t xml:space="preserve">00484/TEOLOYU/IP/2021, </w:t>
      </w:r>
      <w:r w:rsidR="00B50E49">
        <w:rPr>
          <w:rFonts w:ascii="Palatino Linotype" w:hAnsi="Palatino Linotype" w:cs="Arial"/>
          <w:sz w:val="24"/>
        </w:rPr>
        <w:t xml:space="preserve">mediante la cual solicitó información en el tenor siguiente: </w:t>
      </w:r>
    </w:p>
    <w:p w14:paraId="4F22E85F" w14:textId="64441709" w:rsidR="00284441" w:rsidRPr="00284441" w:rsidRDefault="00B50E49" w:rsidP="00284441">
      <w:pPr>
        <w:pStyle w:val="Citas"/>
        <w:rPr>
          <w:b/>
          <w:sz w:val="24"/>
        </w:rPr>
      </w:pPr>
      <w:r w:rsidRPr="00B50E49">
        <w:t xml:space="preserve"> </w:t>
      </w:r>
      <w:r w:rsidR="00284441" w:rsidRPr="00B50E49">
        <w:t>“</w:t>
      </w:r>
      <w:r w:rsidRPr="00B50E49">
        <w:t>Solicito todos los oficios que han sido signados por la Presidenta Municipal del periodo de enero de 2019 al mes de septiembre de 2021.</w:t>
      </w:r>
      <w:r w:rsidR="00284441" w:rsidRPr="00B50E49">
        <w:t>”</w:t>
      </w:r>
      <w:r w:rsidR="00284441">
        <w:t xml:space="preserve"> </w:t>
      </w:r>
      <w:r w:rsidR="00284441">
        <w:rPr>
          <w:b/>
        </w:rPr>
        <w:t>[Sic]</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42E32A76" w14:textId="77777777" w:rsidR="00672112" w:rsidRDefault="00672112" w:rsidP="006D5803">
      <w:pPr>
        <w:spacing w:before="240" w:line="360" w:lineRule="auto"/>
        <w:ind w:right="850"/>
        <w:jc w:val="both"/>
        <w:rPr>
          <w:rFonts w:ascii="Palatino Linotype" w:eastAsia="Times New Roman" w:hAnsi="Palatino Linotype" w:cs="Times New Roman"/>
          <w:sz w:val="24"/>
          <w:szCs w:val="24"/>
          <w:lang w:val="es-ES_tradnl" w:eastAsia="es-ES"/>
        </w:rPr>
      </w:pPr>
    </w:p>
    <w:p w14:paraId="7CD08A2D" w14:textId="77777777"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08B224C3"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792E0C">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23349E25" w14:textId="20D59D5F" w:rsidR="00B50E4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284441">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B50E49">
        <w:rPr>
          <w:rFonts w:ascii="Palatino Linotype" w:hAnsi="Palatino Linotype" w:cs="Arial"/>
          <w:sz w:val="24"/>
          <w:szCs w:val="24"/>
        </w:rPr>
        <w:t xml:space="preserve">veintidós de octubre del año en curso, el cual fue registrado con el expediente número </w:t>
      </w:r>
      <w:r w:rsidR="00B50E49">
        <w:rPr>
          <w:rFonts w:ascii="Palatino Linotype" w:hAnsi="Palatino Linotype" w:cs="Arial"/>
          <w:b/>
          <w:sz w:val="24"/>
          <w:szCs w:val="24"/>
        </w:rPr>
        <w:t xml:space="preserve">05235/INFOEM/IP/RR/2021, </w:t>
      </w:r>
      <w:r w:rsidR="00B50E49">
        <w:rPr>
          <w:rFonts w:ascii="Palatino Linotype" w:hAnsi="Palatino Linotype" w:cs="Arial"/>
          <w:sz w:val="24"/>
          <w:szCs w:val="24"/>
        </w:rPr>
        <w:t xml:space="preserve">en el cual arguye las siguientes manifestaciones: </w:t>
      </w:r>
    </w:p>
    <w:p w14:paraId="432600E4" w14:textId="173E43F6" w:rsidR="00315C28" w:rsidRPr="00315C28" w:rsidRDefault="00315C28" w:rsidP="006D5803">
      <w:pPr>
        <w:spacing w:before="240" w:line="360" w:lineRule="auto"/>
        <w:jc w:val="both"/>
        <w:rPr>
          <w:rFonts w:ascii="Palatino Linotype" w:hAnsi="Palatino Linotype" w:cs="Arial"/>
          <w:b/>
          <w:sz w:val="24"/>
          <w:szCs w:val="24"/>
        </w:rPr>
      </w:pPr>
      <w:r w:rsidRPr="00315C28">
        <w:rPr>
          <w:rFonts w:ascii="Palatino Linotype" w:hAnsi="Palatino Linotype" w:cs="Arial"/>
          <w:b/>
          <w:sz w:val="24"/>
          <w:szCs w:val="24"/>
        </w:rPr>
        <w:t xml:space="preserve">Acto Impugnado: </w:t>
      </w:r>
    </w:p>
    <w:p w14:paraId="1AA058DB" w14:textId="7C3BE9E6" w:rsidR="00315C28" w:rsidRPr="00315C28" w:rsidRDefault="00284441" w:rsidP="00315C28">
      <w:pPr>
        <w:pStyle w:val="Citas"/>
        <w:rPr>
          <w:b/>
          <w:sz w:val="24"/>
          <w:szCs w:val="24"/>
        </w:rPr>
      </w:pPr>
      <w:r w:rsidRPr="00B50E49">
        <w:t>“</w:t>
      </w:r>
      <w:r w:rsidR="00B50E49" w:rsidRPr="00B50E49">
        <w:t xml:space="preserve">La falta de respuesta a una solicitud de acceso a la </w:t>
      </w:r>
      <w:proofErr w:type="spellStart"/>
      <w:r w:rsidR="00B50E49" w:rsidRPr="00B50E49">
        <w:t>informacón</w:t>
      </w:r>
      <w:proofErr w:type="spellEnd"/>
      <w:r w:rsidR="00B50E49" w:rsidRPr="00B50E49">
        <w:t xml:space="preserve"> pública.</w:t>
      </w:r>
      <w:r w:rsidR="00315C28" w:rsidRPr="00B50E49">
        <w:t xml:space="preserve">” </w:t>
      </w:r>
      <w:r w:rsidR="00315C28">
        <w:rPr>
          <w:b/>
        </w:rPr>
        <w:t xml:space="preserve">[Sic] </w:t>
      </w:r>
    </w:p>
    <w:p w14:paraId="5AF0600F" w14:textId="77777777" w:rsidR="006D5803" w:rsidRPr="000A007E" w:rsidRDefault="006D5803" w:rsidP="006D5803">
      <w:pPr>
        <w:pStyle w:val="infoemcitas"/>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73A41C1E" w14:textId="5F30E49A" w:rsidR="005C3CD1" w:rsidRDefault="00672112" w:rsidP="00792E0C">
      <w:pPr>
        <w:pStyle w:val="Citas"/>
        <w:rPr>
          <w:b/>
        </w:rPr>
      </w:pPr>
      <w:r w:rsidRPr="00B50E49">
        <w:t>“</w:t>
      </w:r>
      <w:r w:rsidR="00B50E49" w:rsidRPr="00B50E49">
        <w:t xml:space="preserve">No dio </w:t>
      </w:r>
      <w:proofErr w:type="spellStart"/>
      <w:r w:rsidR="00B50E49" w:rsidRPr="00B50E49">
        <w:t>contestacion</w:t>
      </w:r>
      <w:proofErr w:type="spellEnd"/>
      <w:r w:rsidR="00B50E49" w:rsidRPr="00B50E49">
        <w:t xml:space="preserve"> a mi solicitud</w:t>
      </w:r>
      <w:r w:rsidRPr="00B50E49">
        <w:t>”</w:t>
      </w:r>
      <w:r w:rsidRPr="00F55016">
        <w:t xml:space="preserve"> </w:t>
      </w:r>
      <w:r>
        <w:rPr>
          <w:b/>
        </w:rPr>
        <w:t xml:space="preserve">[Sic] </w:t>
      </w:r>
    </w:p>
    <w:p w14:paraId="21BB27F2" w14:textId="77777777" w:rsidR="00672112" w:rsidRDefault="00672112" w:rsidP="00F55016">
      <w:pPr>
        <w:pStyle w:val="Citas"/>
        <w:ind w:left="0"/>
        <w:rPr>
          <w:b/>
        </w:rPr>
      </w:pPr>
    </w:p>
    <w:p w14:paraId="5067EF06" w14:textId="77777777" w:rsidR="00F55016" w:rsidRDefault="00F55016" w:rsidP="00F55016">
      <w:pPr>
        <w:pStyle w:val="Citas"/>
        <w:ind w:left="0"/>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060F92BB" w14:textId="7F60DFF9" w:rsidR="00792E0C"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D6FD8">
        <w:rPr>
          <w:rFonts w:ascii="Palatino Linotype" w:hAnsi="Palatino Linotype" w:cs="Arial"/>
          <w:sz w:val="24"/>
          <w:szCs w:val="24"/>
        </w:rPr>
        <w:t>al Comisionado</w:t>
      </w:r>
      <w:r>
        <w:rPr>
          <w:rFonts w:ascii="Palatino Linotype" w:hAnsi="Palatino Linotype" w:cs="Arial"/>
          <w:sz w:val="24"/>
          <w:szCs w:val="24"/>
        </w:rPr>
        <w:t xml:space="preserve"> </w:t>
      </w:r>
      <w:r w:rsidR="00FD6FD8">
        <w:rPr>
          <w:rFonts w:ascii="Palatino Linotype" w:hAnsi="Palatino Linotype" w:cs="Arial"/>
          <w:b/>
          <w:sz w:val="24"/>
          <w:szCs w:val="24"/>
        </w:rPr>
        <w:t xml:space="preserve">José Martínez Vilchis,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315C28">
        <w:rPr>
          <w:rFonts w:ascii="Palatino Linotype" w:hAnsi="Palatino Linotype" w:cs="Arial"/>
          <w:sz w:val="24"/>
          <w:szCs w:val="24"/>
        </w:rPr>
        <w:t xml:space="preserve"> </w:t>
      </w:r>
      <w:r w:rsidR="00FD6FD8">
        <w:rPr>
          <w:rFonts w:ascii="Palatino Linotype" w:hAnsi="Palatino Linotype" w:cs="Arial"/>
          <w:sz w:val="24"/>
          <w:szCs w:val="24"/>
        </w:rPr>
        <w:t xml:space="preserve">veintiséis de octubre de dos mil veintiuno </w:t>
      </w:r>
      <w:r w:rsidR="00792E0C">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3638A419" w14:textId="77777777" w:rsidR="00792E0C" w:rsidRDefault="00792E0C"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1F58BA16" w14:textId="77777777" w:rsidR="00F55016" w:rsidRDefault="00F55016" w:rsidP="00F55016">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El Recurrente </w:t>
      </w:r>
      <w:r>
        <w:rPr>
          <w:rFonts w:ascii="Palatino Linotype" w:hAnsi="Palatino Linotype" w:cs="Arial"/>
          <w:sz w:val="24"/>
          <w:szCs w:val="24"/>
        </w:rPr>
        <w:t xml:space="preserve">fue omiso en presentar alegatos, pruebas o manifestación alguna.  </w:t>
      </w:r>
    </w:p>
    <w:p w14:paraId="29E7A254" w14:textId="68800B50" w:rsidR="00F55016" w:rsidRPr="00C12209" w:rsidRDefault="00F55016" w:rsidP="00F5501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sidR="00FD6FD8">
        <w:rPr>
          <w:rFonts w:ascii="Palatino Linotype" w:hAnsi="Palatino Linotype" w:cs="Arial"/>
          <w:b/>
          <w:sz w:val="24"/>
          <w:szCs w:val="24"/>
        </w:rPr>
        <w:t>nueve de noviembre</w:t>
      </w:r>
      <w:r>
        <w:rPr>
          <w:rFonts w:ascii="Palatino Linotype" w:hAnsi="Palatino Linotype" w:cs="Arial"/>
          <w:b/>
          <w:sz w:val="24"/>
          <w:szCs w:val="24"/>
        </w:rPr>
        <w:t xml:space="preserve">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024A8FB0" w14:textId="77777777" w:rsidR="00943DF1" w:rsidRPr="00C12209" w:rsidRDefault="00943DF1" w:rsidP="006D5803">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02361021" w14:textId="77777777" w:rsidR="00FD6FD8" w:rsidRDefault="00FD6FD8" w:rsidP="00FD6FD8">
      <w:pPr>
        <w:spacing w:after="0" w:line="360" w:lineRule="auto"/>
        <w:jc w:val="both"/>
        <w:rPr>
          <w:rFonts w:ascii="Palatino Linotype" w:eastAsia="Calibri" w:hAnsi="Palatino Linotype" w:cs="Arial"/>
          <w:b/>
          <w:color w:val="000000" w:themeColor="text1"/>
          <w:sz w:val="24"/>
          <w:szCs w:val="24"/>
        </w:rPr>
      </w:pPr>
      <w:r w:rsidRPr="00582D8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eastAsia="Calibri" w:hAnsi="Palatino Linotype"/>
          <w:color w:val="000000" w:themeColor="text1"/>
          <w:sz w:val="24"/>
          <w:szCs w:val="24"/>
        </w:rPr>
        <w:t xml:space="preserve">6, apartado A, fracción IV de la </w:t>
      </w:r>
      <w:r w:rsidRPr="00582D89">
        <w:rPr>
          <w:rFonts w:ascii="Palatino Linotype" w:eastAsia="Calibri" w:hAnsi="Palatino Linotype"/>
          <w:b/>
          <w:color w:val="000000" w:themeColor="text1"/>
          <w:sz w:val="24"/>
          <w:szCs w:val="24"/>
        </w:rPr>
        <w:t>Constitución Política de los Estados Unidos Mexicanos</w:t>
      </w:r>
      <w:r w:rsidRPr="00582D89">
        <w:rPr>
          <w:rFonts w:ascii="Palatino Linotype" w:eastAsia="Calibri" w:hAnsi="Palatino Linotype"/>
          <w:color w:val="000000" w:themeColor="text1"/>
          <w:sz w:val="24"/>
          <w:szCs w:val="24"/>
        </w:rPr>
        <w:t xml:space="preserve">; 5, párrafos trigésimo, trigésimo primero y trigésimo segundo, fracciones IV y V, de la </w:t>
      </w:r>
      <w:r w:rsidRPr="00582D89">
        <w:rPr>
          <w:rFonts w:ascii="Palatino Linotype" w:eastAsia="Calibri" w:hAnsi="Palatino Linotype"/>
          <w:b/>
          <w:color w:val="000000" w:themeColor="text1"/>
          <w:sz w:val="24"/>
          <w:szCs w:val="24"/>
        </w:rPr>
        <w:t>Constitución Política del Estado Libre y Soberano de México</w:t>
      </w:r>
      <w:r w:rsidRPr="00582D89">
        <w:rPr>
          <w:rFonts w:ascii="Palatino Linotype" w:eastAsia="Calibri" w:hAnsi="Palatino Linotype"/>
          <w:color w:val="000000" w:themeColor="text1"/>
          <w:sz w:val="24"/>
          <w:szCs w:val="24"/>
        </w:rPr>
        <w:t xml:space="preserve">; artículos 1, 2 fracción II, 13, 29, 36 fracciones I y II, 176, 178, 179, 181 párrafo tercero y 185 </w:t>
      </w:r>
      <w:r w:rsidRPr="00582D89">
        <w:rPr>
          <w:rFonts w:ascii="Palatino Linotype" w:eastAsia="Calibri" w:hAnsi="Palatino Linotype" w:cs="Arial"/>
          <w:color w:val="000000" w:themeColor="text1"/>
          <w:sz w:val="24"/>
          <w:szCs w:val="24"/>
        </w:rPr>
        <w:t xml:space="preserve">de la </w:t>
      </w:r>
      <w:r w:rsidRPr="00582D89">
        <w:rPr>
          <w:rFonts w:ascii="Palatino Linotype" w:eastAsia="Calibri" w:hAnsi="Palatino Linotype" w:cs="Arial"/>
          <w:b/>
          <w:color w:val="000000" w:themeColor="text1"/>
          <w:sz w:val="24"/>
          <w:szCs w:val="24"/>
        </w:rPr>
        <w:t>Ley de Transparencia y Acceso a la Información Pública del Estado de México y Municipios</w:t>
      </w:r>
      <w:r w:rsidRPr="00582D89">
        <w:rPr>
          <w:rFonts w:ascii="Palatino Linotype" w:eastAsia="Calibri" w:hAnsi="Palatino Linotype" w:cs="Arial"/>
          <w:color w:val="000000" w:themeColor="text1"/>
          <w:sz w:val="24"/>
          <w:szCs w:val="24"/>
        </w:rPr>
        <w:t xml:space="preserve">; y 10, 7, 9 fracciones I y XXIV, y 11 del </w:t>
      </w:r>
      <w:r w:rsidRPr="00582D89">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17AFFE98" w14:textId="77777777" w:rsidR="00FD6FD8" w:rsidRPr="008F797B" w:rsidRDefault="00FD6FD8"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208C67AB" w14:textId="77777777" w:rsidR="00DD4938" w:rsidRDefault="00DD4938" w:rsidP="00DD493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lastRenderedPageBreak/>
        <w:t xml:space="preserve">TERCERO. </w:t>
      </w:r>
      <w:r w:rsidRPr="0087163A">
        <w:rPr>
          <w:rFonts w:ascii="Palatino Linotype" w:hAnsi="Palatino Linotype" w:cs="Arial"/>
          <w:b/>
          <w:sz w:val="28"/>
          <w:szCs w:val="28"/>
        </w:rPr>
        <w:t>De las causas de improcedencia.</w:t>
      </w:r>
    </w:p>
    <w:p w14:paraId="2A4422D3" w14:textId="77777777" w:rsidR="00672112" w:rsidRDefault="00672112" w:rsidP="0067211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2F8BD97" w14:textId="77777777" w:rsidR="00672112" w:rsidRPr="00C07D77" w:rsidRDefault="00672112" w:rsidP="00672112">
      <w:pPr>
        <w:pStyle w:val="Prrafodelista"/>
        <w:autoSpaceDE w:val="0"/>
        <w:autoSpaceDN w:val="0"/>
        <w:adjustRightInd w:val="0"/>
        <w:spacing w:line="360" w:lineRule="auto"/>
        <w:ind w:left="0"/>
        <w:jc w:val="both"/>
        <w:rPr>
          <w:rFonts w:ascii="Palatino Linotype" w:hAnsi="Palatino Linotype" w:cs="Arial"/>
          <w:sz w:val="18"/>
        </w:rPr>
      </w:pPr>
    </w:p>
    <w:p w14:paraId="6B8E0186" w14:textId="77777777" w:rsidR="00672112" w:rsidRDefault="00672112" w:rsidP="0067211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 xml:space="preserve">. Así las cosas, del análisis del </w:t>
      </w:r>
      <w:r>
        <w:rPr>
          <w:rFonts w:ascii="Palatino Linotype" w:hAnsi="Palatino Linotype" w:cs="Arial"/>
        </w:rPr>
        <w:lastRenderedPageBreak/>
        <w:t>expediente electrónico no se advierte ninguna causa de improcedencia que se actualice ni mucho menos alguna hecha valer por alguna de las partes, procediendo al estudio del fondo del asunto, en los siguientes términos.</w:t>
      </w:r>
    </w:p>
    <w:p w14:paraId="41331D69" w14:textId="77777777" w:rsidR="00BC6896" w:rsidRDefault="00BC6896"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Pr="009A0D0A"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4D44481"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0E54F18B"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p>
    <w:p w14:paraId="6BC30B87" w14:textId="79BCD536"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sidR="00792E0C">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349E366D"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349ABB28" w14:textId="6FF10CEE" w:rsidR="006D5803"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w:t>
      </w:r>
      <w:r w:rsidR="0090162D">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487E9C7D"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7010D119" w14:textId="77777777" w:rsidR="006D5803" w:rsidRPr="00584718" w:rsidRDefault="006D5803" w:rsidP="006D5803">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032A085" w14:textId="77777777" w:rsidR="006D5803" w:rsidRPr="00584718" w:rsidRDefault="006D5803" w:rsidP="006D5803">
      <w:pPr>
        <w:pStyle w:val="infoemcitas"/>
        <w:rPr>
          <w:lang w:eastAsia="es-ES"/>
        </w:rPr>
      </w:pPr>
      <w:r w:rsidRPr="00584718">
        <w:rPr>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584718">
        <w:rPr>
          <w:lang w:eastAsia="es-ES"/>
        </w:rPr>
        <w:lastRenderedPageBreak/>
        <w:t>reservada temporalmente por razones de interés público, en los términos de las causas legítimas y estrictamente necesarias previstas por esta Ley.</w:t>
      </w:r>
    </w:p>
    <w:p w14:paraId="0D1D861A" w14:textId="77777777" w:rsidR="006D5803" w:rsidRPr="00584718" w:rsidRDefault="006D5803" w:rsidP="006D5803">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40AE44F9" w14:textId="77777777" w:rsidR="006D5803" w:rsidRPr="00584718" w:rsidRDefault="006D5803" w:rsidP="006D5803">
      <w:pPr>
        <w:pStyle w:val="infoemcitas"/>
        <w:rPr>
          <w:lang w:eastAsia="es-ES"/>
        </w:rPr>
      </w:pPr>
      <w:r w:rsidRPr="00584718">
        <w:rPr>
          <w:b/>
          <w:lang w:eastAsia="es-ES"/>
        </w:rPr>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98E0C4" w14:textId="77777777" w:rsidR="006D5803" w:rsidRPr="00584718" w:rsidRDefault="006D5803" w:rsidP="006D5803">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BF3B704" w14:textId="77777777" w:rsidR="006D5803" w:rsidRPr="00584718" w:rsidRDefault="006D5803" w:rsidP="006D5803">
      <w:pPr>
        <w:pStyle w:val="infoemcitas"/>
        <w:rPr>
          <w:lang w:eastAsia="es-ES"/>
        </w:rPr>
      </w:pPr>
      <w:r w:rsidRPr="00584718">
        <w:rPr>
          <w:lang w:eastAsia="es-ES"/>
        </w:rPr>
        <w:t>(…)</w:t>
      </w:r>
    </w:p>
    <w:p w14:paraId="6FC0D903" w14:textId="77777777" w:rsidR="006D5803" w:rsidRPr="00584718" w:rsidRDefault="006D5803" w:rsidP="006D5803">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45229A5" w14:textId="77777777" w:rsidR="006D5803" w:rsidRPr="00F66CC7" w:rsidRDefault="006D5803" w:rsidP="006D5803">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6F148BF6" w14:textId="77777777" w:rsidR="006D5803" w:rsidRDefault="006D5803" w:rsidP="006D5803">
      <w:pPr>
        <w:spacing w:after="0" w:line="360" w:lineRule="auto"/>
        <w:jc w:val="both"/>
        <w:rPr>
          <w:rFonts w:ascii="Palatino Linotype" w:eastAsia="Times New Roman" w:hAnsi="Palatino Linotype" w:cs="Times New Roman"/>
          <w:sz w:val="24"/>
          <w:szCs w:val="24"/>
          <w:lang w:eastAsia="es-ES"/>
        </w:rPr>
      </w:pPr>
    </w:p>
    <w:p w14:paraId="024A413A" w14:textId="77777777"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391DCB29" w14:textId="77777777" w:rsidR="006D5803" w:rsidRDefault="006D5803" w:rsidP="006D5803">
      <w:pPr>
        <w:pStyle w:val="infoemcitas"/>
        <w:rPr>
          <w:b/>
          <w:bCs/>
          <w:lang w:eastAsia="es-ES"/>
        </w:rPr>
      </w:pPr>
      <w:r>
        <w:rPr>
          <w:lang w:eastAsia="es-ES"/>
        </w:rPr>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01E280B7" w14:textId="77777777" w:rsidR="00BC6896" w:rsidRDefault="00BC6896" w:rsidP="006D5803">
      <w:pPr>
        <w:spacing w:after="0" w:line="360" w:lineRule="auto"/>
        <w:jc w:val="both"/>
        <w:rPr>
          <w:rFonts w:ascii="Palatino Linotype" w:eastAsia="Times New Roman" w:hAnsi="Palatino Linotype" w:cs="Times New Roman"/>
          <w:sz w:val="24"/>
          <w:szCs w:val="24"/>
          <w:lang w:eastAsia="es-ES"/>
        </w:rPr>
      </w:pPr>
    </w:p>
    <w:p w14:paraId="0C4386C9" w14:textId="56E9A4CD" w:rsidR="006D5803" w:rsidRPr="00584718" w:rsidRDefault="006D5803" w:rsidP="006D5803">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sidR="00F6232F">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C2DBE64" w14:textId="77777777" w:rsidR="006D5803" w:rsidRPr="00584718" w:rsidRDefault="006D5803" w:rsidP="006D5803">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11EDE46A" w14:textId="77777777" w:rsidR="006D5803" w:rsidRPr="00584718" w:rsidRDefault="006D5803" w:rsidP="006D5803">
      <w:pPr>
        <w:pStyle w:val="infoemcitas"/>
        <w:rPr>
          <w:lang w:eastAsia="es-ES"/>
        </w:rPr>
      </w:pPr>
      <w:r w:rsidRPr="00584718">
        <w:rPr>
          <w:bCs/>
          <w:lang w:eastAsia="es-ES"/>
        </w:rPr>
        <w:t>(..</w:t>
      </w:r>
      <w:r w:rsidRPr="00584718">
        <w:rPr>
          <w:lang w:eastAsia="es-ES"/>
        </w:rPr>
        <w:t>.)</w:t>
      </w:r>
    </w:p>
    <w:p w14:paraId="6E606111" w14:textId="77777777" w:rsidR="006D5803" w:rsidRDefault="006D5803" w:rsidP="006D5803">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278A99D" w14:textId="01770080" w:rsidR="006D5803" w:rsidRDefault="006D5803" w:rsidP="006D5803">
      <w:pPr>
        <w:pStyle w:val="infoemcitas"/>
        <w:rPr>
          <w:b/>
          <w:lang w:eastAsia="es-ES"/>
        </w:rPr>
      </w:pPr>
      <w:r>
        <w:rPr>
          <w:bCs/>
          <w:lang w:eastAsia="es-ES"/>
        </w:rPr>
        <w:t xml:space="preserve">(…)” </w:t>
      </w:r>
      <w:r>
        <w:rPr>
          <w:b/>
          <w:lang w:eastAsia="es-ES"/>
        </w:rPr>
        <w:t>[Sic]</w:t>
      </w:r>
    </w:p>
    <w:p w14:paraId="4D5ACC66" w14:textId="77777777" w:rsidR="00943DF1" w:rsidRPr="00F66CC7" w:rsidRDefault="00943DF1" w:rsidP="006D5803">
      <w:pPr>
        <w:pStyle w:val="infoemcitas"/>
        <w:rPr>
          <w:b/>
          <w:lang w:eastAsia="es-ES"/>
        </w:rPr>
      </w:pPr>
    </w:p>
    <w:p w14:paraId="7319C543"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lastRenderedPageBreak/>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3EB19D6A"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3EF0D1EF" w14:textId="19E964B4"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5B2EB262" w14:textId="77777777" w:rsidR="006D5803" w:rsidRDefault="006D5803" w:rsidP="006D5803">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297E4068" w14:textId="77777777" w:rsidR="006D5803" w:rsidRPr="00584718" w:rsidRDefault="006D5803" w:rsidP="006D5803">
      <w:pPr>
        <w:pStyle w:val="infoemcitas"/>
      </w:pPr>
      <w:r>
        <w:rPr>
          <w:b/>
          <w:bCs/>
        </w:rPr>
        <w:t>(…</w:t>
      </w:r>
      <w:r>
        <w:t>)</w:t>
      </w:r>
    </w:p>
    <w:p w14:paraId="6B799159" w14:textId="77777777" w:rsidR="006D5803" w:rsidRPr="00584718" w:rsidRDefault="006D5803" w:rsidP="006D5803">
      <w:pPr>
        <w:pStyle w:val="infoemcitas"/>
      </w:pPr>
      <w:r w:rsidRPr="00584718">
        <w:rPr>
          <w:b/>
          <w:bCs/>
        </w:rPr>
        <w:t xml:space="preserve">VII. </w:t>
      </w:r>
      <w:r w:rsidRPr="00584718">
        <w:t>La falta de respuesta a una solicitud de acceso a la información</w:t>
      </w:r>
    </w:p>
    <w:p w14:paraId="31C9ECAF" w14:textId="2F6041BD" w:rsidR="006D5803" w:rsidRDefault="006D5803" w:rsidP="006D5803">
      <w:pPr>
        <w:pStyle w:val="infoemcitas"/>
        <w:rPr>
          <w:rFonts w:cs="Arial"/>
          <w:b/>
        </w:rPr>
      </w:pPr>
      <w:r w:rsidRPr="00584718">
        <w:rPr>
          <w:rFonts w:cs="Arial"/>
          <w:b/>
        </w:rPr>
        <w:t>(…)”</w:t>
      </w:r>
      <w:r w:rsidRPr="00584718">
        <w:rPr>
          <w:rFonts w:cs="Arial"/>
        </w:rPr>
        <w:t xml:space="preserve"> </w:t>
      </w:r>
      <w:r w:rsidRPr="00584718">
        <w:rPr>
          <w:rFonts w:cs="Arial"/>
          <w:b/>
        </w:rPr>
        <w:t>[Sic]</w:t>
      </w:r>
    </w:p>
    <w:p w14:paraId="1AC6AA7B" w14:textId="77777777" w:rsidR="00943DF1" w:rsidRDefault="00943DF1" w:rsidP="006D5803">
      <w:pPr>
        <w:pStyle w:val="infoemcitas"/>
        <w:rPr>
          <w:rFonts w:cs="Arial"/>
          <w:b/>
        </w:rPr>
      </w:pPr>
    </w:p>
    <w:p w14:paraId="2A89B80A" w14:textId="11306D86" w:rsidR="006D5803" w:rsidRDefault="006D5803" w:rsidP="006D5803">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lastRenderedPageBreak/>
        <w:t xml:space="preserve">En este tenor, resulta evidente que las razones o motivos de inconformidad hechos valer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697092C4" w14:textId="77777777" w:rsidR="00BC6896" w:rsidRDefault="00BC6896" w:rsidP="006D5803">
      <w:pPr>
        <w:pStyle w:val="Prrafodelista"/>
        <w:autoSpaceDE w:val="0"/>
        <w:autoSpaceDN w:val="0"/>
        <w:adjustRightInd w:val="0"/>
        <w:spacing w:line="360" w:lineRule="auto"/>
        <w:ind w:left="0"/>
        <w:jc w:val="both"/>
        <w:rPr>
          <w:rFonts w:ascii="Palatino Linotype" w:hAnsi="Palatino Linotype" w:cs="Arial"/>
          <w:b/>
        </w:rPr>
      </w:pPr>
    </w:p>
    <w:p w14:paraId="666E9B36" w14:textId="71C0E682"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sidR="00792E0C">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3C455969"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p>
    <w:p w14:paraId="4B83DD7F" w14:textId="77777777" w:rsidR="006D5803" w:rsidRDefault="006D5803" w:rsidP="006D5803">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965A46A" w14:textId="77777777" w:rsidR="006D5803" w:rsidRPr="00584718" w:rsidRDefault="006D5803" w:rsidP="006D5803">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w:t>
      </w:r>
      <w:r w:rsidRPr="00584718">
        <w:rPr>
          <w:rFonts w:cs="Arial"/>
        </w:rPr>
        <w:lastRenderedPageBreak/>
        <w:t xml:space="preserve">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actos de autoridad en el ámbito de competencia del Estado de México y sus municipios. </w:t>
      </w:r>
    </w:p>
    <w:p w14:paraId="0B614E07" w14:textId="77777777" w:rsidR="006D5803" w:rsidRPr="00584718" w:rsidRDefault="006D5803" w:rsidP="006D5803">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2EFB1C04" w14:textId="77777777" w:rsidR="006D5803" w:rsidRPr="00584718" w:rsidRDefault="006D5803" w:rsidP="006D5803">
      <w:pPr>
        <w:pStyle w:val="infoemcitas"/>
        <w:rPr>
          <w:rFonts w:cs="Arial"/>
          <w:bCs/>
        </w:rPr>
      </w:pPr>
      <w:r w:rsidRPr="00584718">
        <w:rPr>
          <w:rFonts w:cs="Arial"/>
          <w:bCs/>
        </w:rPr>
        <w:t>(…)</w:t>
      </w:r>
    </w:p>
    <w:p w14:paraId="726E8524" w14:textId="17536387" w:rsidR="006D5803" w:rsidRPr="00943DF1" w:rsidRDefault="006D5803" w:rsidP="006D5803">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sidR="00943DF1">
        <w:rPr>
          <w:rFonts w:cs="Arial"/>
          <w:bCs/>
        </w:rPr>
        <w:t xml:space="preserve">” </w:t>
      </w:r>
      <w:r w:rsidR="00943DF1">
        <w:rPr>
          <w:rFonts w:cs="Arial"/>
          <w:b/>
        </w:rPr>
        <w:t>[Sic]</w:t>
      </w:r>
    </w:p>
    <w:p w14:paraId="14F69F0E" w14:textId="77777777"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40A1FE" w14:textId="573A2306" w:rsidR="006D5803" w:rsidRDefault="006D580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sidR="00792E0C">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eastAsia="Calibri" w:hAnsi="Palatino Linotype" w:cs="Arial"/>
          <w:color w:val="000000" w:themeColor="text1"/>
          <w:sz w:val="24"/>
          <w:szCs w:val="24"/>
          <w:lang w:val="es-ES" w:eastAsia="es-ES"/>
        </w:rPr>
        <w:t xml:space="preserve">establecido en la fracción VII del artículo 179 de la </w:t>
      </w:r>
      <w:r w:rsidRPr="00FB59FD">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eastAsia="Calibri" w:hAnsi="Palatino Linotype" w:cs="Arial"/>
          <w:color w:val="000000" w:themeColor="text1"/>
          <w:sz w:val="24"/>
          <w:szCs w:val="24"/>
          <w:lang w:val="es-ES" w:eastAsia="es-ES"/>
        </w:rPr>
        <w:t>,</w:t>
      </w:r>
      <w:r w:rsidRPr="00FB59FD">
        <w:rPr>
          <w:rFonts w:ascii="Palatino Linotype" w:eastAsia="Calibri"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6F157829" w14:textId="79864EAF" w:rsidR="00FD6FD8" w:rsidRPr="00FD6FD8" w:rsidRDefault="00897CD0" w:rsidP="00BB4C07">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es procedente mencionar que la solicitud de información </w:t>
      </w:r>
      <w:r w:rsidR="00FD6FD8">
        <w:rPr>
          <w:rFonts w:ascii="Palatino Linotype" w:hAnsi="Palatino Linotype" w:cs="Arial"/>
          <w:b/>
        </w:rPr>
        <w:t xml:space="preserve">00484/TEOLOYU/IP/2021, </w:t>
      </w:r>
      <w:r w:rsidR="00FD6FD8">
        <w:rPr>
          <w:rFonts w:ascii="Palatino Linotype" w:hAnsi="Palatino Linotype" w:cs="Arial"/>
        </w:rPr>
        <w:t xml:space="preserve">el particular formuló 1 –un- requerimiento, respecto del cual señaló como elemento temporal </w:t>
      </w:r>
      <w:r w:rsidR="00FD6FD8">
        <w:rPr>
          <w:rFonts w:ascii="Palatino Linotype" w:hAnsi="Palatino Linotype" w:cs="Arial"/>
          <w:i/>
        </w:rPr>
        <w:t>“del periodo de enero de 2019 al mes de septiembre de 2021”</w:t>
      </w:r>
      <w:r w:rsidR="00FD6FD8">
        <w:rPr>
          <w:rFonts w:ascii="Palatino Linotype" w:hAnsi="Palatino Linotype" w:cs="Arial"/>
        </w:rPr>
        <w:t xml:space="preserve">, es decir, la temporalidad debe de ser delimitada del uno de enero de dos mil diecinueve al veintinueve de septiembre de septiembre de dos mil veintiuno, éste </w:t>
      </w:r>
      <w:r w:rsidR="00FD6FD8">
        <w:rPr>
          <w:rFonts w:ascii="Palatino Linotype" w:hAnsi="Palatino Linotype" w:cs="Arial"/>
        </w:rPr>
        <w:lastRenderedPageBreak/>
        <w:t xml:space="preserve">último al corresponder a la fecha en que el particular ejerció el derecho de acceso a la información pública. </w:t>
      </w:r>
    </w:p>
    <w:p w14:paraId="67CDF1E3" w14:textId="0CC7FB94" w:rsidR="00FD6FD8" w:rsidRPr="00653D2A" w:rsidRDefault="00FD6FD8" w:rsidP="00FD6FD8">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62C5774A" w14:textId="77777777" w:rsidR="00FD6FD8" w:rsidRPr="009878C2" w:rsidRDefault="00FD6FD8" w:rsidP="00FD6FD8">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4C7E4C51" w14:textId="77777777" w:rsidR="00FD6FD8" w:rsidRPr="009878C2" w:rsidRDefault="00FD6FD8" w:rsidP="00FD6FD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44291A0" w14:textId="77777777" w:rsidR="00FD6FD8" w:rsidRPr="009878C2" w:rsidRDefault="00FD6FD8" w:rsidP="00FD6FD8">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E169D73" w14:textId="77777777" w:rsidR="00FD6FD8" w:rsidRDefault="00FD6FD8" w:rsidP="00BB4C07">
      <w:pPr>
        <w:pStyle w:val="Prrafodelista"/>
        <w:autoSpaceDE w:val="0"/>
        <w:autoSpaceDN w:val="0"/>
        <w:adjustRightInd w:val="0"/>
        <w:spacing w:before="240" w:after="160" w:line="360" w:lineRule="auto"/>
        <w:ind w:left="0"/>
        <w:jc w:val="both"/>
        <w:rPr>
          <w:rFonts w:ascii="Palatino Linotype" w:hAnsi="Palatino Linotype" w:cs="Arial"/>
        </w:rPr>
      </w:pPr>
    </w:p>
    <w:p w14:paraId="5C5CEB0B" w14:textId="7E73D5E6" w:rsidR="00BB4C07" w:rsidRDefault="00BB4C07" w:rsidP="00BB4C07">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t xml:space="preserve">Bajo estas líneas argumentativas, </w:t>
      </w:r>
      <w:r>
        <w:rPr>
          <w:rFonts w:ascii="Palatino Linotype" w:hAnsi="Palatino Linotype" w:cs="Arial"/>
          <w:sz w:val="24"/>
          <w:szCs w:val="24"/>
        </w:rPr>
        <w:t xml:space="preserve">al retomar y delimitar el requerimiento </w:t>
      </w:r>
      <w:r w:rsidR="00FD6FD8">
        <w:rPr>
          <w:rFonts w:ascii="Palatino Linotype" w:hAnsi="Palatino Linotype" w:cs="Arial"/>
          <w:sz w:val="24"/>
          <w:szCs w:val="24"/>
        </w:rPr>
        <w:t>del</w:t>
      </w:r>
      <w:r>
        <w:rPr>
          <w:rFonts w:ascii="Palatino Linotype" w:hAnsi="Palatino Linotype" w:cs="Arial"/>
          <w:sz w:val="24"/>
          <w:szCs w:val="24"/>
        </w:rPr>
        <w:t xml:space="preserve">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D43DE89" w14:textId="361AA8B6" w:rsidR="00BB4C07" w:rsidRDefault="00FD6FD8" w:rsidP="00BB4C07">
      <w:pPr>
        <w:pStyle w:val="Prrafodelista"/>
        <w:numPr>
          <w:ilvl w:val="0"/>
          <w:numId w:val="42"/>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Oficios signados por la Presidenta Municipal en turno, del periodo comprendido del uno de enero de dos mil diecinueve al veintinueve de septiembre de dos mil veintiuno. </w:t>
      </w:r>
    </w:p>
    <w:p w14:paraId="37C71261" w14:textId="77777777" w:rsidR="00FD6FD8" w:rsidRDefault="00FD6FD8" w:rsidP="00FD6FD8">
      <w:pPr>
        <w:autoSpaceDE w:val="0"/>
        <w:autoSpaceDN w:val="0"/>
        <w:adjustRightInd w:val="0"/>
        <w:spacing w:line="360" w:lineRule="auto"/>
        <w:jc w:val="both"/>
        <w:rPr>
          <w:rFonts w:ascii="Palatino Linotype" w:hAnsi="Palatino Linotype" w:cs="Arial"/>
        </w:rPr>
      </w:pPr>
    </w:p>
    <w:p w14:paraId="6D7B3363" w14:textId="55A6193B" w:rsidR="00FD6FD8" w:rsidRDefault="00FD6FD8" w:rsidP="00FD6FD8">
      <w:pPr>
        <w:pStyle w:val="Sinespaciado"/>
        <w:spacing w:line="360" w:lineRule="auto"/>
        <w:jc w:val="both"/>
        <w:rPr>
          <w:rFonts w:ascii="Palatino Linotype" w:hAnsi="Palatino Linotype" w:cs="Arial"/>
        </w:rPr>
      </w:pPr>
      <w:r>
        <w:rPr>
          <w:rFonts w:ascii="Palatino Linotype" w:hAnsi="Palatino Linotype"/>
          <w:bCs/>
        </w:rPr>
        <w:lastRenderedPageBreak/>
        <w:t xml:space="preserve">En este tenor, en alusión al requerimiento formulado por la particular, resulta oportuno traer a colación el </w:t>
      </w:r>
      <w:r>
        <w:rPr>
          <w:rFonts w:ascii="Palatino Linotype" w:hAnsi="Palatino Linotype" w:cs="Arial"/>
        </w:rPr>
        <w:t xml:space="preserve">organigrama del </w:t>
      </w:r>
      <w:r>
        <w:rPr>
          <w:rFonts w:ascii="Palatino Linotype" w:hAnsi="Palatino Linotype" w:cs="Arial"/>
          <w:b/>
          <w:bCs/>
        </w:rPr>
        <w:t xml:space="preserve">Sujeto Obligado, </w:t>
      </w:r>
      <w:r>
        <w:rPr>
          <w:rFonts w:ascii="Palatino Linotype" w:hAnsi="Palatino Linotype" w:cs="Arial"/>
        </w:rPr>
        <w:t xml:space="preserve">susceptible de ser consultado en la siguiente dirección electrónica: </w:t>
      </w:r>
    </w:p>
    <w:p w14:paraId="78FA22E3" w14:textId="6D9335A2" w:rsidR="00FD6FD8" w:rsidRDefault="00FE3182"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hyperlink r:id="rId8" w:history="1">
        <w:r w:rsidR="00FD6FD8" w:rsidRPr="00140182">
          <w:rPr>
            <w:rStyle w:val="Hipervnculo"/>
            <w:rFonts w:ascii="Palatino Linotype" w:eastAsia="Times New Roman" w:hAnsi="Palatino Linotype" w:cs="Times New Roman"/>
            <w:bCs/>
            <w:sz w:val="24"/>
            <w:szCs w:val="24"/>
            <w:lang w:val="es-ES" w:eastAsia="es-ES"/>
          </w:rPr>
          <w:t>https://www.ipomex.org.mx/ipo3/lgt/indice/TEOLOYUCAN/art_92_ii_b/3.web</w:t>
        </w:r>
      </w:hyperlink>
    </w:p>
    <w:p w14:paraId="34ACED3B" w14:textId="655B00BA" w:rsidR="00FD6FD8" w:rsidRDefault="00FD6FD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noProof/>
          <w:sz w:val="24"/>
          <w:szCs w:val="24"/>
          <w:lang w:eastAsia="es-MX"/>
        </w:rPr>
        <w:drawing>
          <wp:anchor distT="0" distB="0" distL="114300" distR="114300" simplePos="0" relativeHeight="251658240" behindDoc="0" locked="0" layoutInCell="1" allowOverlap="1" wp14:anchorId="03523105" wp14:editId="49B3AD17">
            <wp:simplePos x="0" y="0"/>
            <wp:positionH relativeFrom="column">
              <wp:posOffset>-107544</wp:posOffset>
            </wp:positionH>
            <wp:positionV relativeFrom="paragraph">
              <wp:posOffset>352527</wp:posOffset>
            </wp:positionV>
            <wp:extent cx="5756910" cy="3521075"/>
            <wp:effectExtent l="19050" t="19050" r="15240" b="22225"/>
            <wp:wrapThrough wrapText="bothSides">
              <wp:wrapPolygon edited="0">
                <wp:start x="-71" y="-117"/>
                <wp:lineTo x="-71" y="21619"/>
                <wp:lineTo x="21586" y="21619"/>
                <wp:lineTo x="21586" y="-117"/>
                <wp:lineTo x="-71" y="-117"/>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6910" cy="35210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D6CFEA8" w14:textId="5550C13F" w:rsidR="00FD6FD8" w:rsidRDefault="00FD6FD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597263DF" w14:textId="16126C26" w:rsidR="00FD6FD8" w:rsidRDefault="00BB0F34"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Fonts w:ascii="Palatino Linotype" w:hAnsi="Palatino Linotype" w:cs="Arial"/>
          <w:noProof/>
          <w:lang w:eastAsia="es-MX"/>
        </w:rPr>
        <w:drawing>
          <wp:anchor distT="0" distB="0" distL="114300" distR="114300" simplePos="0" relativeHeight="251659264" behindDoc="0" locked="0" layoutInCell="1" allowOverlap="1" wp14:anchorId="65AA7529" wp14:editId="780EE614">
            <wp:simplePos x="0" y="0"/>
            <wp:positionH relativeFrom="column">
              <wp:posOffset>2942996</wp:posOffset>
            </wp:positionH>
            <wp:positionV relativeFrom="paragraph">
              <wp:posOffset>37897</wp:posOffset>
            </wp:positionV>
            <wp:extent cx="2406650" cy="1353185"/>
            <wp:effectExtent l="19050" t="19050" r="12700" b="18415"/>
            <wp:wrapThrough wrapText="bothSides">
              <wp:wrapPolygon edited="0">
                <wp:start x="-171" y="-304"/>
                <wp:lineTo x="-171" y="21590"/>
                <wp:lineTo x="21543" y="21590"/>
                <wp:lineTo x="21543" y="-304"/>
                <wp:lineTo x="-171" y="-304"/>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6650" cy="13531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Style w:val="Hipervnculo"/>
          <w:rFonts w:ascii="Palatino Linotype" w:eastAsia="Times New Roman" w:hAnsi="Palatino Linotype" w:cs="Times New Roman"/>
          <w:bCs/>
          <w:noProof/>
          <w:sz w:val="24"/>
          <w:szCs w:val="24"/>
          <w:lang w:eastAsia="es-MX"/>
        </w:rPr>
        <w:drawing>
          <wp:anchor distT="0" distB="0" distL="114300" distR="114300" simplePos="0" relativeHeight="251660288" behindDoc="0" locked="0" layoutInCell="1" allowOverlap="1" wp14:anchorId="309E75DF" wp14:editId="7408EC25">
            <wp:simplePos x="0" y="0"/>
            <wp:positionH relativeFrom="column">
              <wp:posOffset>148590</wp:posOffset>
            </wp:positionH>
            <wp:positionV relativeFrom="paragraph">
              <wp:posOffset>37897</wp:posOffset>
            </wp:positionV>
            <wp:extent cx="2406650" cy="1353185"/>
            <wp:effectExtent l="19050" t="19050" r="12700" b="18415"/>
            <wp:wrapThrough wrapText="bothSides">
              <wp:wrapPolygon edited="0">
                <wp:start x="-171" y="-304"/>
                <wp:lineTo x="-171" y="21590"/>
                <wp:lineTo x="21543" y="21590"/>
                <wp:lineTo x="21543" y="-304"/>
                <wp:lineTo x="-171" y="-30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6650" cy="13531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46E5122" w14:textId="00EB7C0D" w:rsidR="00FD6FD8" w:rsidRDefault="00FD6FD8" w:rsidP="00FD6FD8">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672B4723" w14:textId="215E8BF3" w:rsidR="00FD6FD8" w:rsidRPr="00FD6FD8" w:rsidRDefault="00FD6FD8" w:rsidP="00FD6FD8">
      <w:pPr>
        <w:autoSpaceDE w:val="0"/>
        <w:autoSpaceDN w:val="0"/>
        <w:adjustRightInd w:val="0"/>
        <w:spacing w:line="360" w:lineRule="auto"/>
        <w:jc w:val="both"/>
        <w:rPr>
          <w:rFonts w:ascii="Palatino Linotype" w:hAnsi="Palatino Linotype" w:cs="Arial"/>
        </w:rPr>
      </w:pPr>
    </w:p>
    <w:p w14:paraId="59B053B7" w14:textId="77777777" w:rsidR="00F55016" w:rsidRDefault="00F55016"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CF14F2C" w14:textId="77777777" w:rsidR="002158F8" w:rsidRDefault="002158F8" w:rsidP="006D5803">
      <w:pPr>
        <w:autoSpaceDE w:val="0"/>
        <w:autoSpaceDN w:val="0"/>
        <w:adjustRightInd w:val="0"/>
        <w:spacing w:after="0" w:line="360" w:lineRule="auto"/>
        <w:jc w:val="both"/>
        <w:rPr>
          <w:rFonts w:ascii="Palatino Linotype" w:hAnsi="Palatino Linotype" w:cs="Arial"/>
          <w:sz w:val="24"/>
          <w:szCs w:val="24"/>
        </w:rPr>
      </w:pPr>
    </w:p>
    <w:p w14:paraId="1036CA75" w14:textId="6DD642A0" w:rsidR="002158F8" w:rsidRDefault="002158F8" w:rsidP="002158F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Presidencia Municipal, así como la Secretaría del Ayuntamiento.  </w:t>
      </w:r>
    </w:p>
    <w:p w14:paraId="31F8B393" w14:textId="1A413F22" w:rsidR="009745ED" w:rsidRDefault="00BB4C07" w:rsidP="006D5803">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sidR="009745ED">
        <w:rPr>
          <w:rFonts w:ascii="Palatino Linotype" w:hAnsi="Palatino Linotype" w:cs="Arial"/>
          <w:sz w:val="24"/>
          <w:szCs w:val="24"/>
        </w:rPr>
        <w:t xml:space="preserve">al requerimiento formulado por el particular, resulta oportuno traer </w:t>
      </w:r>
      <w:r w:rsidR="002158F8">
        <w:rPr>
          <w:rFonts w:ascii="Palatino Linotype" w:hAnsi="Palatino Linotype" w:cs="Arial"/>
          <w:sz w:val="24"/>
          <w:szCs w:val="24"/>
        </w:rPr>
        <w:t xml:space="preserve">a colación los artículos 15, 16, 48 y 91, fracción V </w:t>
      </w:r>
      <w:r w:rsidR="009745ED">
        <w:rPr>
          <w:rFonts w:ascii="Palatino Linotype" w:hAnsi="Palatino Linotype" w:cs="Arial"/>
          <w:sz w:val="24"/>
          <w:szCs w:val="24"/>
        </w:rPr>
        <w:t xml:space="preserve">de la Ley Orgánica Municipal del Estado de México; porciones normativas que disponen a la literalidad lo siguiente: </w:t>
      </w:r>
    </w:p>
    <w:p w14:paraId="2B29355D" w14:textId="2B80E5C9" w:rsidR="009745ED" w:rsidRPr="00A07A1D" w:rsidRDefault="009745ED" w:rsidP="009745ED">
      <w:pPr>
        <w:autoSpaceDE w:val="0"/>
        <w:autoSpaceDN w:val="0"/>
        <w:adjustRightInd w:val="0"/>
        <w:spacing w:before="240" w:line="360" w:lineRule="auto"/>
        <w:ind w:left="851" w:right="851"/>
        <w:jc w:val="both"/>
        <w:rPr>
          <w:rFonts w:ascii="Palatino Linotype" w:hAnsi="Palatino Linotype"/>
          <w:i/>
        </w:rPr>
      </w:pPr>
      <w:r>
        <w:rPr>
          <w:rFonts w:ascii="Palatino Linotype" w:hAnsi="Palatino Linotype"/>
          <w:i/>
        </w:rPr>
        <w:t>“</w:t>
      </w:r>
      <w:r w:rsidRPr="00A07A1D">
        <w:rPr>
          <w:rFonts w:ascii="Palatino Linotype" w:hAnsi="Palatino Linotype"/>
          <w:i/>
        </w:rPr>
        <w:t xml:space="preserve">Artículo 15.- Cada municipio será gobernado por un ayuntamiento de elección popular directa y no habrá ninguna autoridad intermedia entre éste y el Gobierno del Estado. </w:t>
      </w:r>
    </w:p>
    <w:p w14:paraId="66F0E8AE" w14:textId="77777777" w:rsidR="009745ED" w:rsidRPr="00A07A1D" w:rsidRDefault="009745ED" w:rsidP="009745E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 </w:t>
      </w:r>
    </w:p>
    <w:p w14:paraId="431B4862" w14:textId="77777777" w:rsidR="009745ED" w:rsidRPr="00A07A1D" w:rsidRDefault="009745ED" w:rsidP="009745ED">
      <w:pPr>
        <w:autoSpaceDE w:val="0"/>
        <w:autoSpaceDN w:val="0"/>
        <w:adjustRightInd w:val="0"/>
        <w:spacing w:before="240" w:line="360" w:lineRule="auto"/>
        <w:ind w:left="851" w:right="851"/>
        <w:jc w:val="both"/>
        <w:rPr>
          <w:rFonts w:ascii="Palatino Linotype" w:hAnsi="Palatino Linotype"/>
          <w:i/>
        </w:rPr>
      </w:pPr>
      <w:r w:rsidRPr="00A07A1D">
        <w:rPr>
          <w:rFonts w:ascii="Palatino Linotype" w:hAnsi="Palatino Linotype"/>
          <w:i/>
        </w:rPr>
        <w:t xml:space="preserve">Artículo 16.-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08B4A408" w14:textId="77777777" w:rsidR="009745ED" w:rsidRPr="00A07A1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i/>
          <w:sz w:val="22"/>
          <w:szCs w:val="22"/>
        </w:rPr>
      </w:pPr>
      <w:r w:rsidRPr="00A07A1D">
        <w:rPr>
          <w:rFonts w:ascii="Palatino Linotype" w:hAnsi="Palatino Linotype"/>
          <w:i/>
          <w:sz w:val="22"/>
          <w:szCs w:val="22"/>
        </w:rPr>
        <w:t xml:space="preserve">Un presidente, un síndico y seis regidores, electos por planilla según el principio de mayoría relativa y hasta cuatro regidores designados según el principio </w:t>
      </w:r>
      <w:r w:rsidRPr="00A07A1D">
        <w:rPr>
          <w:rFonts w:ascii="Palatino Linotype" w:hAnsi="Palatino Linotype"/>
          <w:i/>
          <w:sz w:val="22"/>
          <w:szCs w:val="22"/>
        </w:rPr>
        <w:lastRenderedPageBreak/>
        <w:t xml:space="preserve">de representación proporcional, cuando se trate de municipios que tengan una población de menos de 150 mil habitantes; </w:t>
      </w:r>
    </w:p>
    <w:p w14:paraId="150584E0" w14:textId="77777777" w:rsidR="009745ED" w:rsidRPr="00A07A1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un síndico y siete regidores, electos por planilla según el principio de mayoría relativa y hasta seis regidores designados según el principio de representación proporcional, cuando se trate de municipios que tengan una población de más de 150 mil y menos de 500 mil habitantes; </w:t>
      </w:r>
    </w:p>
    <w:p w14:paraId="0FC7412C" w14:textId="77777777" w:rsidR="009745ED" w:rsidRPr="00A07A1D"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nueve regidores, electos por planilla según el principio de mayoría relativa. Habrá un síndico y hasta siete regidores según el principio de representación proporcional, cuando se trate de municipios que tengan una población de más de 500 mil y menos de un millón de habitantes; y </w:t>
      </w:r>
    </w:p>
    <w:p w14:paraId="6A1BE682" w14:textId="7B88672E" w:rsidR="009745ED" w:rsidRPr="00D0444B" w:rsidRDefault="009745ED" w:rsidP="009745ED">
      <w:pPr>
        <w:pStyle w:val="Prrafodelista"/>
        <w:numPr>
          <w:ilvl w:val="0"/>
          <w:numId w:val="43"/>
        </w:numPr>
        <w:autoSpaceDE w:val="0"/>
        <w:autoSpaceDN w:val="0"/>
        <w:adjustRightInd w:val="0"/>
        <w:spacing w:before="240" w:after="160" w:line="360" w:lineRule="auto"/>
        <w:ind w:left="851" w:right="851" w:firstLine="0"/>
        <w:jc w:val="both"/>
        <w:rPr>
          <w:rFonts w:ascii="Palatino Linotype" w:hAnsi="Palatino Linotype" w:cs="Arial"/>
          <w:i/>
          <w:sz w:val="22"/>
          <w:szCs w:val="22"/>
        </w:rPr>
      </w:pPr>
      <w:r w:rsidRPr="00A07A1D">
        <w:rPr>
          <w:rFonts w:ascii="Palatino Linotype" w:hAnsi="Palatino Linotype"/>
          <w:i/>
          <w:sz w:val="22"/>
          <w:szCs w:val="22"/>
        </w:rPr>
        <w:t xml:space="preserve">Un presidente, dos síndicos y once regidores, electos por planilla según el principio de mayoría relativa y un síndico y hasta ocho regidores designados por el principio de representación proporcional, cuando se trate de municipios que tengan una población de </w:t>
      </w:r>
      <w:r>
        <w:rPr>
          <w:rFonts w:ascii="Palatino Linotype" w:hAnsi="Palatino Linotype"/>
          <w:i/>
          <w:sz w:val="22"/>
          <w:szCs w:val="22"/>
        </w:rPr>
        <w:t>más de un millón de habitantes.</w:t>
      </w:r>
    </w:p>
    <w:p w14:paraId="3DCC7BA4" w14:textId="6EA1983C" w:rsidR="00D0444B" w:rsidRPr="00D0444B" w:rsidRDefault="00D0444B" w:rsidP="00D0444B">
      <w:pPr>
        <w:pStyle w:val="Citas"/>
        <w:rPr>
          <w:b/>
          <w:u w:val="single"/>
        </w:rPr>
      </w:pPr>
      <w:r w:rsidRPr="00D0444B">
        <w:rPr>
          <w:b/>
          <w:u w:val="single"/>
        </w:rPr>
        <w:t>Artículo 48.- El presidente municipal tiene las siguientes atribuciones:</w:t>
      </w:r>
    </w:p>
    <w:p w14:paraId="485A3480" w14:textId="2B2E701E" w:rsidR="00D0444B" w:rsidRPr="00BB0F34" w:rsidRDefault="00D0444B" w:rsidP="00D0444B">
      <w:pPr>
        <w:pStyle w:val="Citas"/>
      </w:pPr>
      <w:r>
        <w:t>(…)</w:t>
      </w:r>
    </w:p>
    <w:p w14:paraId="6D7EAD1B" w14:textId="56AE981B" w:rsidR="002158F8" w:rsidRDefault="002158F8" w:rsidP="002158F8">
      <w:pPr>
        <w:pStyle w:val="INFOEM"/>
      </w:pPr>
      <w:r>
        <w:t>Artículo 91.-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030E34BB" w14:textId="3580CB4D" w:rsidR="002158F8" w:rsidRDefault="002158F8" w:rsidP="002158F8">
      <w:pPr>
        <w:pStyle w:val="INFOEM"/>
      </w:pPr>
      <w:r>
        <w:t>(…)</w:t>
      </w:r>
    </w:p>
    <w:p w14:paraId="29042B48" w14:textId="6C106629" w:rsidR="002158F8" w:rsidRDefault="002158F8" w:rsidP="002158F8">
      <w:pPr>
        <w:pStyle w:val="INFOEM"/>
        <w:numPr>
          <w:ilvl w:val="0"/>
          <w:numId w:val="43"/>
        </w:numPr>
        <w:rPr>
          <w:b/>
          <w:u w:val="single"/>
        </w:rPr>
      </w:pPr>
      <w:r w:rsidRPr="002158F8">
        <w:rPr>
          <w:b/>
          <w:u w:val="single"/>
        </w:rPr>
        <w:lastRenderedPageBreak/>
        <w:t>Tener a su cargo el archivo general del ayuntamiento;</w:t>
      </w:r>
    </w:p>
    <w:p w14:paraId="309C0249" w14:textId="55E21478" w:rsidR="002158F8" w:rsidRDefault="002158F8" w:rsidP="002158F8">
      <w:pPr>
        <w:pStyle w:val="INFOEM"/>
        <w:rPr>
          <w:b/>
        </w:rPr>
      </w:pPr>
      <w:r w:rsidRPr="002158F8">
        <w:t xml:space="preserve">(…)” </w:t>
      </w:r>
      <w:r w:rsidRPr="002158F8">
        <w:rPr>
          <w:b/>
        </w:rPr>
        <w:t>[Sic]</w:t>
      </w:r>
    </w:p>
    <w:p w14:paraId="2F8FF7F4" w14:textId="77777777" w:rsidR="00D0444B" w:rsidRPr="002158F8" w:rsidRDefault="00D0444B" w:rsidP="002158F8">
      <w:pPr>
        <w:pStyle w:val="INFOEM"/>
        <w:rPr>
          <w:b/>
          <w:u w:val="single"/>
        </w:rPr>
      </w:pPr>
    </w:p>
    <w:p w14:paraId="5D3F578C" w14:textId="16431D19" w:rsidR="002158F8" w:rsidRDefault="002158F8" w:rsidP="002158F8">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cs="Arial"/>
        </w:rPr>
        <w:t xml:space="preserve">En efecto, de la normatividad plasmada con anterioridad se desprende que la esfera competencial del </w:t>
      </w:r>
      <w:r>
        <w:rPr>
          <w:rFonts w:ascii="Palatino Linotype" w:hAnsi="Palatino Linotype"/>
          <w:bCs/>
        </w:rPr>
        <w:t xml:space="preserve">Secretario del Ayuntamiento </w:t>
      </w:r>
      <w:r w:rsidR="0053590E">
        <w:rPr>
          <w:rFonts w:ascii="Palatino Linotype" w:hAnsi="Palatino Linotype"/>
          <w:bCs/>
        </w:rPr>
        <w:t xml:space="preserve">le constriñe a tener a su cargo el archivo general del Ayuntamiento. Asimismo, el numeral 48 de la Ley Orgánica Municipal del Estado de México, prevé las atribuciones de los Presidentes Municipales en donde se destaca presidir y dirigir las sesiones del ayuntamiento, asumir la representación jurídica del Municipio; proponer diversos nombramientos; presidir múltiples comisiones, entre otras. </w:t>
      </w:r>
    </w:p>
    <w:p w14:paraId="3C3D49C0" w14:textId="77777777" w:rsidR="0053590E" w:rsidRDefault="0053590E" w:rsidP="002158F8">
      <w:pPr>
        <w:pStyle w:val="Prrafodelista"/>
        <w:autoSpaceDE w:val="0"/>
        <w:autoSpaceDN w:val="0"/>
        <w:adjustRightInd w:val="0"/>
        <w:spacing w:line="360" w:lineRule="auto"/>
        <w:ind w:left="0"/>
        <w:jc w:val="both"/>
        <w:rPr>
          <w:rFonts w:ascii="Palatino Linotype" w:hAnsi="Palatino Linotype"/>
          <w:bCs/>
        </w:rPr>
      </w:pPr>
    </w:p>
    <w:p w14:paraId="692608DA" w14:textId="5557DA04" w:rsidR="0053590E" w:rsidRDefault="0053590E" w:rsidP="002158F8">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Bajo este contexto, cobra particular relevancia los numerales 18 y 19 de la Ley de Transparencia local, porciones normativas que disponen a la literalidad lo siguiente: </w:t>
      </w:r>
    </w:p>
    <w:p w14:paraId="39DDB042" w14:textId="77777777" w:rsidR="0053590E" w:rsidRPr="0053590E" w:rsidRDefault="0053590E" w:rsidP="0053590E">
      <w:pPr>
        <w:pStyle w:val="Citas"/>
        <w:rPr>
          <w:b/>
          <w:u w:val="single"/>
        </w:rPr>
      </w:pPr>
      <w:r w:rsidRPr="0053590E">
        <w:rPr>
          <w:b/>
          <w:u w:val="single"/>
        </w:rPr>
        <w:t xml:space="preserve">“Artículo 18. Los sujetos obligados deberán documentar todo acto que derive del ejercicio de sus facultades, competencias o funciones, considerando desde su origen la eventual publicidad y reutilización de la información que generen. </w:t>
      </w:r>
    </w:p>
    <w:p w14:paraId="395FC06C" w14:textId="77777777" w:rsidR="0053590E" w:rsidRPr="0053590E" w:rsidRDefault="0053590E" w:rsidP="0053590E">
      <w:pPr>
        <w:pStyle w:val="Citas"/>
        <w:rPr>
          <w:b/>
          <w:u w:val="single"/>
        </w:rPr>
      </w:pPr>
      <w:r w:rsidRPr="0053590E">
        <w:rPr>
          <w:b/>
          <w:u w:val="single"/>
        </w:rPr>
        <w:t xml:space="preserve">Artículo 19. Se presume que la información debe existir si se refiere a las facultades, competencias y funciones que los ordenamientos jurídicos aplicables otorgan a los sujetos obligados. </w:t>
      </w:r>
    </w:p>
    <w:p w14:paraId="3F672084" w14:textId="77777777" w:rsidR="0053590E" w:rsidRDefault="0053590E" w:rsidP="0053590E">
      <w:pPr>
        <w:pStyle w:val="Citas"/>
      </w:pPr>
      <w:r>
        <w:t xml:space="preserve">En los casos en que ciertas facultades, competencias o funciones no se hayan ejercido, se debe motivar la respuesta en función de las causas que motiven tal circunstancia. </w:t>
      </w:r>
    </w:p>
    <w:p w14:paraId="0F29E58C" w14:textId="7257441D" w:rsidR="0053590E" w:rsidRDefault="0053590E" w:rsidP="0053590E">
      <w:pPr>
        <w:pStyle w:val="Citas"/>
        <w:rPr>
          <w:b/>
        </w:rPr>
      </w:pPr>
      <w:r>
        <w:lastRenderedPageBreak/>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Pr>
          <w:b/>
        </w:rPr>
        <w:t xml:space="preserve">[Sic] </w:t>
      </w:r>
    </w:p>
    <w:p w14:paraId="4128294D" w14:textId="77777777" w:rsidR="00D0444B" w:rsidRPr="0053590E" w:rsidRDefault="00D0444B" w:rsidP="0053590E">
      <w:pPr>
        <w:pStyle w:val="Citas"/>
        <w:rPr>
          <w:b/>
          <w:bCs/>
        </w:rPr>
      </w:pPr>
    </w:p>
    <w:p w14:paraId="1C688161" w14:textId="4460A262" w:rsidR="0053590E" w:rsidRDefault="0053590E" w:rsidP="0053590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asimismo, ésta estriba en el interés general y el alcance públic</w:t>
      </w:r>
      <w:r w:rsidR="0076092F">
        <w:rPr>
          <w:rFonts w:ascii="Palatino Linotype" w:hAnsi="Palatino Linotype" w:cs="Arial"/>
          <w:sz w:val="24"/>
          <w:szCs w:val="24"/>
        </w:rPr>
        <w:t xml:space="preserve">o. </w:t>
      </w:r>
    </w:p>
    <w:p w14:paraId="2CF133F5" w14:textId="77777777" w:rsidR="0097203B" w:rsidRDefault="0097203B"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 xml:space="preserve">Una vez sentado lo anterior, como fue mencionado en el antecedente segundo y quinto,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luego entonces, los motivos de inconformidad esgrimidos por el particular se encuentran encauzados a advertir la actualización de la causal de procedencia inmersa en el numeral 179, fracción VII de la Ley de Transparencia local </w:t>
      </w:r>
      <w:r>
        <w:rPr>
          <w:rFonts w:ascii="Palatino Linotype" w:eastAsia="Times New Roman" w:hAnsi="Palatino Linotype" w:cs="Arial"/>
          <w:b/>
          <w:sz w:val="24"/>
          <w:szCs w:val="24"/>
          <w:lang w:val="es-ES" w:eastAsia="es-ES"/>
        </w:rPr>
        <w:t xml:space="preserve">–falta de respuesta a una solicitud de acceso a la información-, </w:t>
      </w:r>
      <w:r>
        <w:rPr>
          <w:rFonts w:ascii="Palatino Linotype" w:eastAsia="Times New Roman" w:hAnsi="Palatino Linotype" w:cs="Arial"/>
          <w:sz w:val="24"/>
          <w:szCs w:val="24"/>
          <w:lang w:val="es-ES" w:eastAsia="es-ES"/>
        </w:rPr>
        <w:t xml:space="preserve">los cuales a toda luz son </w:t>
      </w:r>
      <w:r>
        <w:rPr>
          <w:rFonts w:ascii="Palatino Linotype" w:eastAsia="Times New Roman" w:hAnsi="Palatino Linotype" w:cs="Arial"/>
          <w:b/>
          <w:sz w:val="24"/>
          <w:szCs w:val="24"/>
          <w:lang w:val="es-ES" w:eastAsia="es-ES"/>
        </w:rPr>
        <w:t xml:space="preserve">FUNDADOS. </w:t>
      </w:r>
    </w:p>
    <w:p w14:paraId="4A425AE6" w14:textId="77777777" w:rsidR="0076092F" w:rsidRDefault="0076092F" w:rsidP="0097203B">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14:paraId="3F7CD7D1" w14:textId="4D70A9CB" w:rsidR="0097203B" w:rsidRPr="00904608" w:rsidRDefault="0097203B" w:rsidP="0097203B">
      <w:pPr>
        <w:spacing w:line="360" w:lineRule="auto"/>
        <w:jc w:val="both"/>
        <w:rPr>
          <w:rFonts w:ascii="Palatino Linotype" w:hAnsi="Palatino Linotype"/>
          <w:bCs/>
          <w:sz w:val="24"/>
          <w:szCs w:val="24"/>
        </w:rPr>
      </w:pPr>
      <w:r w:rsidRPr="00904608">
        <w:rPr>
          <w:rFonts w:ascii="Palatino Linotype" w:hAnsi="Palatino Linotype"/>
          <w:bCs/>
          <w:sz w:val="24"/>
          <w:szCs w:val="24"/>
        </w:rPr>
        <w:t xml:space="preserve">En virtud de lo anterior, resulta viable la entrega, en versión pública de ser procedente, acompañada del acuerdo de clasificación correspondiente, de la siguiente información: </w:t>
      </w:r>
    </w:p>
    <w:p w14:paraId="39F85319" w14:textId="2A9B8A22" w:rsidR="006C4F44" w:rsidRPr="0076092F" w:rsidRDefault="0076092F" w:rsidP="0076092F">
      <w:pPr>
        <w:pStyle w:val="Prrafodelista"/>
        <w:numPr>
          <w:ilvl w:val="0"/>
          <w:numId w:val="48"/>
        </w:numPr>
        <w:spacing w:before="240" w:line="360" w:lineRule="auto"/>
        <w:jc w:val="both"/>
        <w:rPr>
          <w:rFonts w:ascii="Palatino Linotype" w:hAnsi="Palatino Linotype"/>
          <w:b/>
        </w:rPr>
      </w:pPr>
      <w:r>
        <w:rPr>
          <w:rFonts w:ascii="Palatino Linotype" w:hAnsi="Palatino Linotype"/>
        </w:rPr>
        <w:t xml:space="preserve">Oficios signados por la Presidenta Municipal en turno, del periodo comprendido del uno de enero de dos mil diecinueve al veintinueve de septiembre de dos mil veintiuno. </w:t>
      </w:r>
    </w:p>
    <w:p w14:paraId="73D6F2AD" w14:textId="77777777" w:rsidR="00D76B2D" w:rsidRPr="00C22506" w:rsidRDefault="00D76B2D" w:rsidP="00D76B2D">
      <w:pPr>
        <w:autoSpaceDE w:val="0"/>
        <w:autoSpaceDN w:val="0"/>
        <w:adjustRightInd w:val="0"/>
        <w:spacing w:before="240" w:line="360" w:lineRule="auto"/>
        <w:jc w:val="both"/>
        <w:rPr>
          <w:rFonts w:ascii="Palatino Linotype" w:hAnsi="Palatino Linotype"/>
          <w:b/>
          <w:sz w:val="28"/>
          <w:szCs w:val="28"/>
        </w:rPr>
      </w:pPr>
      <w:r w:rsidRPr="00C22506">
        <w:rPr>
          <w:rFonts w:ascii="Palatino Linotype" w:hAnsi="Palatino Linotype"/>
          <w:b/>
          <w:sz w:val="28"/>
          <w:szCs w:val="28"/>
        </w:rPr>
        <w:lastRenderedPageBreak/>
        <w:t xml:space="preserve">Versión Pública </w:t>
      </w:r>
    </w:p>
    <w:p w14:paraId="1828D016" w14:textId="77777777" w:rsidR="00D76B2D" w:rsidRPr="001571EB" w:rsidRDefault="00D76B2D" w:rsidP="00D76B2D">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0C38B92" w14:textId="77777777" w:rsidR="00D76B2D" w:rsidRPr="00E60DEF" w:rsidRDefault="00D76B2D" w:rsidP="00D76B2D">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18CE46FE" w14:textId="77777777" w:rsidR="00D76B2D" w:rsidRPr="00E60DEF" w:rsidRDefault="00D76B2D" w:rsidP="00D76B2D">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C8647EE" w14:textId="77777777" w:rsidR="00D76B2D" w:rsidRPr="001571EB"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823E25" w14:textId="77777777" w:rsidR="00D76B2D" w:rsidRPr="001571EB" w:rsidRDefault="00D76B2D" w:rsidP="00D76B2D">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4D96CC42" w14:textId="77777777" w:rsidR="00D76B2D" w:rsidRPr="001571EB"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D26F05F" w14:textId="77777777" w:rsidR="00D76B2D" w:rsidRPr="001571EB" w:rsidRDefault="00D76B2D" w:rsidP="00D76B2D">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w:t>
      </w:r>
      <w:r w:rsidRPr="00E60DEF">
        <w:rPr>
          <w:rFonts w:ascii="Palatino Linotype" w:hAnsi="Palatino Linotype" w:cs="Arial"/>
          <w:b/>
          <w:i/>
          <w:u w:val="single"/>
        </w:rPr>
        <w:lastRenderedPageBreak/>
        <w:t>de reserva o confidencialidad, de conformidad con lo dispuesto en el presente título.</w:t>
      </w:r>
    </w:p>
    <w:p w14:paraId="49E031AC"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38DE6010"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461811B7" w14:textId="77777777" w:rsidR="00D76B2D" w:rsidRPr="001571EB" w:rsidRDefault="00D76B2D" w:rsidP="00D76B2D">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46C7365" w14:textId="77777777" w:rsidR="00D76B2D" w:rsidRPr="00E60DEF" w:rsidRDefault="00D76B2D" w:rsidP="00D76B2D">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6F93C254" w14:textId="77777777" w:rsidR="00D76B2D" w:rsidRPr="001571EB" w:rsidRDefault="00D76B2D" w:rsidP="00D76B2D">
      <w:pPr>
        <w:spacing w:before="240" w:line="360" w:lineRule="auto"/>
        <w:ind w:left="851" w:right="851"/>
        <w:jc w:val="both"/>
        <w:rPr>
          <w:rFonts w:ascii="Palatino Linotype" w:hAnsi="Palatino Linotype" w:cs="Arial"/>
          <w:b/>
          <w:i/>
        </w:rPr>
      </w:pPr>
      <w:r>
        <w:rPr>
          <w:rFonts w:ascii="Palatino Linotype" w:hAnsi="Palatino Linotype" w:cs="Arial"/>
          <w:b/>
          <w:i/>
        </w:rPr>
        <w:t>(…)</w:t>
      </w:r>
    </w:p>
    <w:p w14:paraId="12930C27" w14:textId="77777777" w:rsidR="00D76B2D" w:rsidRDefault="00D76B2D" w:rsidP="00D76B2D">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2E45DC8E" w14:textId="77777777" w:rsidR="00D76B2D" w:rsidRPr="001571EB" w:rsidRDefault="00D76B2D" w:rsidP="00D76B2D">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2B09C1" w14:textId="77777777" w:rsidR="00D76B2D" w:rsidRPr="001571EB" w:rsidRDefault="00D76B2D" w:rsidP="00D76B2D">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1322069C" w14:textId="77777777" w:rsidR="00D76B2D" w:rsidRPr="001571EB" w:rsidRDefault="00D76B2D" w:rsidP="00D76B2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B644BD1" w14:textId="77777777" w:rsidR="00D76B2D" w:rsidRDefault="00D76B2D" w:rsidP="00D76B2D">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71BD4CCA" w14:textId="77777777" w:rsidR="00D76B2D" w:rsidRDefault="00D76B2D" w:rsidP="00D76B2D">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0637E69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2996A0A7"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129DE011"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4DA9A4E5"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027D24B" w14:textId="77777777" w:rsidR="00D76B2D" w:rsidRPr="00EE0180"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lastRenderedPageBreak/>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12BB2658" w14:textId="77777777" w:rsidR="00D76B2D" w:rsidRPr="001571EB" w:rsidRDefault="00D76B2D" w:rsidP="00D76B2D">
      <w:pPr>
        <w:autoSpaceDE w:val="0"/>
        <w:autoSpaceDN w:val="0"/>
        <w:adjustRightInd w:val="0"/>
        <w:spacing w:before="120" w:after="120"/>
        <w:ind w:left="567" w:right="850"/>
        <w:jc w:val="both"/>
        <w:rPr>
          <w:rFonts w:ascii="Palatino Linotype" w:eastAsia="Times New Roman" w:hAnsi="Palatino Linotype" w:cs="Arial"/>
          <w:i/>
        </w:rPr>
      </w:pPr>
    </w:p>
    <w:p w14:paraId="30BAC00F" w14:textId="77777777" w:rsidR="00D76B2D" w:rsidRPr="001571EB" w:rsidRDefault="00D76B2D" w:rsidP="00D76B2D">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766C93D" w14:textId="77777777" w:rsidR="00D76B2D" w:rsidRPr="001571EB" w:rsidRDefault="00D76B2D" w:rsidP="00D76B2D">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0D42E149" w14:textId="77777777" w:rsidR="00D76B2D" w:rsidRDefault="00D76B2D" w:rsidP="00D76B2D">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9C962DE" w14:textId="77777777" w:rsidR="00D76B2D" w:rsidRDefault="00D76B2D" w:rsidP="00D76B2D">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1DE2C514"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FAF4F5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lastRenderedPageBreak/>
        <w:t xml:space="preserve"> </w:t>
      </w:r>
      <w:r w:rsidRPr="001571EB">
        <w:rPr>
          <w:rFonts w:ascii="Palatino Linotype" w:eastAsia="Times New Roman" w:hAnsi="Palatino Linotype" w:cs="Arial"/>
          <w:b/>
          <w:i/>
          <w:lang w:eastAsia="es-MX"/>
        </w:rPr>
        <w:t>Resoluciones:</w:t>
      </w:r>
    </w:p>
    <w:p w14:paraId="23842DA7"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20D8201C" w14:textId="77777777" w:rsidR="00D76B2D" w:rsidRPr="001571EB"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1E548DBE" w14:textId="77777777" w:rsidR="00D76B2D"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2CCE7503" w14:textId="77777777" w:rsidR="00D76B2D" w:rsidRPr="00EE0180" w:rsidRDefault="00D76B2D" w:rsidP="00D76B2D">
      <w:pPr>
        <w:autoSpaceDE w:val="0"/>
        <w:autoSpaceDN w:val="0"/>
        <w:adjustRightInd w:val="0"/>
        <w:spacing w:before="240" w:line="360" w:lineRule="auto"/>
        <w:ind w:left="851" w:right="851"/>
        <w:jc w:val="both"/>
        <w:rPr>
          <w:rFonts w:ascii="Palatino Linotype" w:eastAsia="Times New Roman" w:hAnsi="Palatino Linotype" w:cs="Arial"/>
          <w:b/>
          <w:i/>
          <w:lang w:eastAsia="es-MX"/>
        </w:rPr>
      </w:pPr>
    </w:p>
    <w:p w14:paraId="076BB668" w14:textId="77777777" w:rsidR="00D76B2D" w:rsidRDefault="00D76B2D" w:rsidP="00D76B2D">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668449F5" w14:textId="77777777" w:rsidR="0076092F" w:rsidRDefault="0076092F" w:rsidP="006C4F44">
      <w:pPr>
        <w:spacing w:after="0" w:line="360" w:lineRule="auto"/>
        <w:ind w:right="51"/>
        <w:jc w:val="both"/>
        <w:rPr>
          <w:rFonts w:ascii="Palatino Linotype" w:hAnsi="Palatino Linotype" w:cs="Arial"/>
          <w:sz w:val="24"/>
          <w:szCs w:val="24"/>
        </w:rPr>
      </w:pPr>
    </w:p>
    <w:p w14:paraId="64979D08" w14:textId="29DDD3FD"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w:t>
      </w:r>
      <w:r w:rsidRPr="00FB59FD">
        <w:rPr>
          <w:rFonts w:ascii="Palatino Linotype" w:hAnsi="Palatino Linotype" w:cs="Arial"/>
          <w:sz w:val="24"/>
          <w:szCs w:val="24"/>
        </w:rPr>
        <w:lastRenderedPageBreak/>
        <w:t xml:space="preserve">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00D76B2D">
        <w:rPr>
          <w:rFonts w:ascii="Palatino Linotype" w:hAnsi="Palatino Linotype" w:cs="Arial"/>
          <w:b/>
          <w:sz w:val="24"/>
          <w:szCs w:val="24"/>
          <w:lang w:eastAsia="es-MX"/>
        </w:rPr>
        <w:t>00484/TEOLOYU/IP/2021</w:t>
      </w:r>
      <w:r>
        <w:rPr>
          <w:rFonts w:ascii="Palatino Linotype" w:hAnsi="Palatino Linotype" w:cs="Arial"/>
          <w:b/>
          <w:sz w:val="24"/>
          <w:szCs w:val="24"/>
          <w:lang w:eastAsia="es-MX"/>
        </w:rPr>
        <w:t xml:space="preserve"> </w:t>
      </w:r>
      <w:r w:rsidRPr="00FB59FD">
        <w:rPr>
          <w:rFonts w:ascii="Palatino Linotype" w:hAnsi="Palatino Linotype" w:cs="Arial"/>
          <w:sz w:val="24"/>
          <w:szCs w:val="24"/>
        </w:rPr>
        <w:t>que ha sido materia del presente fallo.</w:t>
      </w:r>
    </w:p>
    <w:p w14:paraId="27702E2C" w14:textId="77777777" w:rsidR="006C4F44" w:rsidRDefault="006C4F44" w:rsidP="006C4F44">
      <w:pPr>
        <w:autoSpaceDE w:val="0"/>
        <w:autoSpaceDN w:val="0"/>
        <w:adjustRightInd w:val="0"/>
        <w:spacing w:after="0" w:line="360" w:lineRule="auto"/>
        <w:jc w:val="both"/>
        <w:rPr>
          <w:rFonts w:ascii="Palatino Linotype" w:hAnsi="Palatino Linotype" w:cs="Arial"/>
          <w:sz w:val="24"/>
          <w:szCs w:val="24"/>
        </w:rPr>
      </w:pPr>
    </w:p>
    <w:p w14:paraId="15A827E7" w14:textId="06C67C18" w:rsidR="006C4F44" w:rsidRDefault="006C4F44" w:rsidP="006C4F44">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t>Por lo antes expuesto y fundado es de resolverse y,</w:t>
      </w:r>
    </w:p>
    <w:p w14:paraId="16671A76" w14:textId="77777777" w:rsidR="00D76B2D" w:rsidRDefault="00D76B2D"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FE6BC69"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11D6EA61" w14:textId="77777777" w:rsidR="006C4F44" w:rsidRPr="00FB59FD" w:rsidRDefault="006C4F44" w:rsidP="006C4F44">
      <w:pPr>
        <w:spacing w:after="0" w:line="360" w:lineRule="auto"/>
        <w:ind w:left="426"/>
        <w:jc w:val="center"/>
        <w:rPr>
          <w:rFonts w:ascii="Palatino Linotype" w:eastAsia="Times New Roman" w:hAnsi="Palatino Linotype" w:cs="Times New Roman"/>
          <w:b/>
          <w:color w:val="000000"/>
          <w:sz w:val="28"/>
          <w:szCs w:val="24"/>
          <w:lang w:val="es-ES" w:eastAsia="es-ES"/>
        </w:rPr>
      </w:pPr>
    </w:p>
    <w:p w14:paraId="7CEA43BB"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42355B7D" w14:textId="77777777" w:rsidR="006C4F44" w:rsidRPr="00BE383C" w:rsidRDefault="006C4F44" w:rsidP="006C4F44">
      <w:pPr>
        <w:pStyle w:val="Sinespaciado"/>
        <w:spacing w:line="360" w:lineRule="auto"/>
        <w:jc w:val="both"/>
        <w:rPr>
          <w:rFonts w:ascii="Palatino Linotype" w:hAnsi="Palatino Linotype" w:cstheme="minorHAnsi"/>
        </w:rPr>
      </w:pPr>
    </w:p>
    <w:p w14:paraId="5BA6C230" w14:textId="1CB0FDEF" w:rsidR="006C4F44" w:rsidRDefault="006C4F44" w:rsidP="006C4F44">
      <w:pPr>
        <w:pStyle w:val="Sinespaciado"/>
        <w:spacing w:line="360" w:lineRule="auto"/>
        <w:jc w:val="both"/>
        <w:rPr>
          <w:rFonts w:ascii="Palatino Linotype" w:hAnsi="Palatino Linotype"/>
          <w:color w:val="222222"/>
          <w:lang w:eastAsia="es-MX"/>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sidR="00D76B2D">
        <w:rPr>
          <w:rFonts w:ascii="Palatino Linotype" w:hAnsi="Palatino Linotype" w:cs="Arial"/>
          <w:b/>
          <w:lang w:eastAsia="es-MX"/>
        </w:rPr>
        <w:t>00484/TEOLOYU/IP/2021</w:t>
      </w:r>
      <w:r w:rsidRPr="00BE383C">
        <w:rPr>
          <w:rFonts w:ascii="Palatino Linotype" w:hAnsi="Palatino Linotype"/>
          <w:b/>
          <w:color w:val="222222"/>
          <w:lang w:eastAsia="es-MX"/>
        </w:rPr>
        <w:t xml:space="preserve">,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esta resolución; </w:t>
      </w:r>
      <w:r>
        <w:rPr>
          <w:rFonts w:ascii="Palatino Linotype" w:hAnsi="Palatino Linotype"/>
          <w:color w:val="222222"/>
          <w:lang w:eastAsia="es-MX"/>
        </w:rPr>
        <w:t xml:space="preserve">vía Sistema de Acceso a la Información Mexiquense </w:t>
      </w:r>
      <w:r w:rsidRPr="009A5567">
        <w:rPr>
          <w:rFonts w:ascii="Palatino Linotype" w:hAnsi="Palatino Linotype"/>
          <w:b/>
          <w:bCs/>
          <w:color w:val="222222"/>
          <w:lang w:eastAsia="es-MX"/>
        </w:rPr>
        <w:t>(SAIMEX).</w:t>
      </w:r>
      <w:r>
        <w:rPr>
          <w:rFonts w:ascii="Palatino Linotype" w:hAnsi="Palatino Linotype"/>
          <w:color w:val="222222"/>
          <w:lang w:eastAsia="es-MX"/>
        </w:rPr>
        <w:t xml:space="preserve"> </w:t>
      </w:r>
    </w:p>
    <w:p w14:paraId="27748714" w14:textId="77777777" w:rsidR="006C4F44" w:rsidRPr="00BE383C" w:rsidRDefault="006C4F44" w:rsidP="006C4F44">
      <w:pPr>
        <w:pStyle w:val="Sinespaciado"/>
        <w:spacing w:line="360" w:lineRule="auto"/>
        <w:jc w:val="both"/>
        <w:rPr>
          <w:rFonts w:ascii="Palatino Linotype" w:hAnsi="Palatino Linotype" w:cstheme="minorHAnsi"/>
        </w:rPr>
      </w:pPr>
    </w:p>
    <w:p w14:paraId="3C6EC35D" w14:textId="77777777"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t>TERCERO. Remítase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0DAB04F9" w14:textId="77777777" w:rsidR="00213077" w:rsidRDefault="00213077" w:rsidP="006C4F44">
      <w:pPr>
        <w:pStyle w:val="Sinespaciado"/>
        <w:spacing w:line="360" w:lineRule="auto"/>
        <w:jc w:val="both"/>
        <w:rPr>
          <w:rFonts w:ascii="Palatino Linotype" w:hAnsi="Palatino Linotype" w:cstheme="minorHAnsi"/>
        </w:rPr>
      </w:pPr>
    </w:p>
    <w:p w14:paraId="203FD2DB" w14:textId="1493ACA8" w:rsidR="006C4F44" w:rsidRDefault="006C4F44" w:rsidP="006C4F44">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sidR="00D76B2D">
        <w:rPr>
          <w:rFonts w:ascii="Palatino Linotype" w:hAnsi="Palatino Linotype" w:cstheme="minorHAnsi"/>
        </w:rPr>
        <w:t xml:space="preserve"> </w:t>
      </w:r>
      <w:r w:rsidR="00D76B2D">
        <w:rPr>
          <w:rFonts w:ascii="Palatino Linotype" w:hAnsi="Palatino Linotype"/>
          <w:color w:val="222222"/>
          <w:lang w:eastAsia="es-MX"/>
        </w:rPr>
        <w:t xml:space="preserve">vía Sistema de Acceso a la Información Mexiquense </w:t>
      </w:r>
      <w:r w:rsidR="00D76B2D">
        <w:rPr>
          <w:rFonts w:ascii="Palatino Linotype" w:hAnsi="Palatino Linotype"/>
          <w:b/>
          <w:bCs/>
          <w:color w:val="222222"/>
          <w:lang w:eastAsia="es-MX"/>
        </w:rPr>
        <w:t xml:space="preserve">(SAIMEX) </w:t>
      </w:r>
      <w:r w:rsidRPr="00BE383C">
        <w:rPr>
          <w:rFonts w:ascii="Palatino Linotype" w:hAnsi="Palatino Linotype" w:cstheme="minorHAnsi"/>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7D1E1DE" w14:textId="77777777" w:rsidR="00D0444B" w:rsidRDefault="00D0444B" w:rsidP="006C4F44">
      <w:pPr>
        <w:pStyle w:val="Sinespaciado"/>
        <w:spacing w:line="360" w:lineRule="auto"/>
        <w:jc w:val="both"/>
        <w:rPr>
          <w:rFonts w:ascii="Palatino Linotype" w:hAnsi="Palatino Linotype" w:cstheme="minorHAnsi"/>
        </w:rPr>
      </w:pPr>
    </w:p>
    <w:p w14:paraId="5CF3CFE0" w14:textId="77777777" w:rsidR="006C4F44" w:rsidRDefault="006C4F44" w:rsidP="006C4F44">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107AA70F" w14:textId="77777777" w:rsidR="006C4F44" w:rsidRDefault="006C4F44" w:rsidP="006C4F44">
      <w:pPr>
        <w:pStyle w:val="Sinespaciado"/>
        <w:spacing w:line="360" w:lineRule="auto"/>
        <w:jc w:val="both"/>
        <w:rPr>
          <w:rFonts w:ascii="Palatino Linotype" w:eastAsia="MS Mincho" w:hAnsi="Palatino Linotype" w:cstheme="minorHAnsi"/>
        </w:rPr>
      </w:pPr>
    </w:p>
    <w:p w14:paraId="4C67A664" w14:textId="77777777" w:rsidR="006C4F44" w:rsidRPr="00BE383C" w:rsidRDefault="006C4F44" w:rsidP="006C4F44">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3F673028" w14:textId="77777777" w:rsidR="006C4F44" w:rsidRDefault="006C4F44" w:rsidP="006C4F44">
      <w:pPr>
        <w:autoSpaceDE w:val="0"/>
        <w:autoSpaceDN w:val="0"/>
        <w:adjustRightInd w:val="0"/>
        <w:spacing w:after="0" w:line="360" w:lineRule="auto"/>
        <w:ind w:right="49"/>
        <w:jc w:val="both"/>
        <w:rPr>
          <w:rFonts w:ascii="Palatino Linotype" w:hAnsi="Palatino Linotype" w:cs="Arial"/>
          <w:sz w:val="24"/>
          <w:szCs w:val="24"/>
        </w:rPr>
      </w:pPr>
    </w:p>
    <w:p w14:paraId="74AF42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4"/>
          <w:szCs w:val="24"/>
          <w:lang w:eastAsia="es-ES_tradnl"/>
        </w:rPr>
        <w:t>SÉPTIMO</w:t>
      </w:r>
      <w:r w:rsidRPr="000323DD">
        <w:rPr>
          <w:rFonts w:ascii="Palatino Linotype" w:eastAsia="Calibri" w:hAnsi="Palatino Linotype" w:cs="Times New Roman"/>
          <w:b/>
          <w:sz w:val="24"/>
          <w:szCs w:val="24"/>
          <w:lang w:eastAsia="es-ES_tradnl"/>
        </w:rPr>
        <w:t>. -</w:t>
      </w:r>
      <w:r>
        <w:rPr>
          <w:rFonts w:ascii="Palatino Linotype" w:eastAsia="Calibri" w:hAnsi="Palatino Linotype" w:cs="Times New Roman"/>
          <w:sz w:val="24"/>
          <w:szCs w:val="24"/>
          <w:lang w:eastAsia="es-ES_tradnl"/>
        </w:rPr>
        <w:t xml:space="preserve"> </w:t>
      </w:r>
      <w:r w:rsidRPr="00ED71C5">
        <w:rPr>
          <w:rFonts w:ascii="Palatino Linotype" w:eastAsia="Calibri"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eastAsia="Calibri" w:hAnsi="Palatino Linotype" w:cs="Times New Roman"/>
          <w:b/>
          <w:sz w:val="24"/>
          <w:szCs w:val="24"/>
          <w:lang w:eastAsia="es-ES_tradnl"/>
        </w:rPr>
        <w:t>SUJETO OBLIGADO</w:t>
      </w:r>
      <w:r w:rsidRPr="00ED71C5">
        <w:rPr>
          <w:rFonts w:ascii="Palatino Linotype" w:eastAsia="Calibri" w:hAnsi="Palatino Linotype" w:cs="Times New Roman"/>
          <w:sz w:val="24"/>
          <w:szCs w:val="24"/>
          <w:lang w:eastAsia="es-ES_tradnl"/>
        </w:rPr>
        <w:t xml:space="preserve"> a que, en caso de negarse a cumplir la presente resolución o hacerlo de </w:t>
      </w:r>
      <w:r w:rsidRPr="00ED71C5">
        <w:rPr>
          <w:rFonts w:ascii="Palatino Linotype" w:eastAsia="Calibri" w:hAnsi="Palatino Linotype" w:cs="Times New Roman"/>
          <w:sz w:val="24"/>
          <w:szCs w:val="24"/>
          <w:lang w:eastAsia="es-ES_tradnl"/>
        </w:rPr>
        <w:lastRenderedPageBreak/>
        <w:t>manera parcial se actuara de conformidad con lo previsto en los artículos 213, 214, 216 y 217 de dicha Ley.</w:t>
      </w:r>
    </w:p>
    <w:p w14:paraId="43007A99" w14:textId="77777777" w:rsidR="006C4F44" w:rsidRDefault="006C4F44" w:rsidP="006C4F44">
      <w:pPr>
        <w:spacing w:after="0" w:line="360" w:lineRule="auto"/>
        <w:jc w:val="both"/>
        <w:rPr>
          <w:rFonts w:ascii="Palatino Linotype" w:eastAsia="Calibri" w:hAnsi="Palatino Linotype" w:cs="Times New Roman"/>
          <w:sz w:val="24"/>
          <w:szCs w:val="24"/>
          <w:lang w:eastAsia="es-ES_tradnl"/>
        </w:rPr>
      </w:pPr>
    </w:p>
    <w:p w14:paraId="32FC9895" w14:textId="22A33389" w:rsidR="00D76B2D" w:rsidRDefault="00D76B2D" w:rsidP="00D76B2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w:t>
      </w:r>
      <w:r>
        <w:rPr>
          <w:rFonts w:ascii="Palatino Linotype" w:hAnsi="Palatino Linotype" w:cs="Arial"/>
        </w:rPr>
        <w:t xml:space="preserve"> CUADRAGÉSIMA SEGUNDA SESIÓN ORDINARIA CELEBRADA EL VEINTICUATRO DE NOVIEMBRE DE DOS MIL VEINTIUNO, ANTE EL  SECRETARIO TÉCNICO DEL PLENO, ALEXIS TAPIA RAMÍREZ. </w:t>
      </w:r>
    </w:p>
    <w:p w14:paraId="1F76648C" w14:textId="69FCCADC" w:rsidR="00D76B2D" w:rsidRPr="00280B8B" w:rsidRDefault="00D0444B" w:rsidP="00D76B2D">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cs="Arial"/>
          <w:noProof/>
          <w:sz w:val="18"/>
          <w:szCs w:val="18"/>
          <w:lang w:val="es-MX" w:eastAsia="es-MX"/>
        </w:rPr>
        <mc:AlternateContent>
          <mc:Choice Requires="wps">
            <w:drawing>
              <wp:anchor distT="0" distB="0" distL="114300" distR="114300" simplePos="0" relativeHeight="251662336" behindDoc="0" locked="0" layoutInCell="1" allowOverlap="1" wp14:anchorId="497DDD04" wp14:editId="0ABCD72B">
                <wp:simplePos x="0" y="0"/>
                <wp:positionH relativeFrom="column">
                  <wp:posOffset>-333984</wp:posOffset>
                </wp:positionH>
                <wp:positionV relativeFrom="paragraph">
                  <wp:posOffset>439141</wp:posOffset>
                </wp:positionV>
                <wp:extent cx="6539408" cy="3167049"/>
                <wp:effectExtent l="0" t="0" r="33020" b="33655"/>
                <wp:wrapNone/>
                <wp:docPr id="10" name="Conector recto 10"/>
                <wp:cNvGraphicFramePr/>
                <a:graphic xmlns:a="http://schemas.openxmlformats.org/drawingml/2006/main">
                  <a:graphicData uri="http://schemas.microsoft.com/office/word/2010/wordprocessingShape">
                    <wps:wsp>
                      <wps:cNvCnPr/>
                      <wps:spPr>
                        <a:xfrm>
                          <a:off x="0" y="0"/>
                          <a:ext cx="6539408" cy="316704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553293" id="Conector recto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pt,34.6pt" to="488.6pt,28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" strokecolor="#5b9bd5 [3204]" strokeweight=".5pt">
                <v:stroke joinstyle="miter"/>
              </v:line>
            </w:pict>
          </mc:Fallback>
        </mc:AlternateContent>
      </w:r>
      <w:r w:rsidR="00D76B2D">
        <w:rPr>
          <w:rFonts w:ascii="Palatino Linotype" w:hAnsi="Palatino Linotype"/>
          <w:bCs/>
          <w:sz w:val="18"/>
          <w:szCs w:val="18"/>
        </w:rPr>
        <w:t>CCR/J</w:t>
      </w:r>
      <w:r w:rsidR="00D76B2D" w:rsidRPr="00280B8B">
        <w:rPr>
          <w:rFonts w:ascii="Palatino Linotype" w:hAnsi="Palatino Linotype"/>
          <w:bCs/>
          <w:sz w:val="18"/>
          <w:szCs w:val="18"/>
        </w:rPr>
        <w:t>CMA</w:t>
      </w:r>
    </w:p>
    <w:p w14:paraId="5356B2F6" w14:textId="2DB8B920" w:rsidR="00904608" w:rsidRDefault="00904608" w:rsidP="006C4F44">
      <w:pPr>
        <w:spacing w:after="0" w:line="360" w:lineRule="auto"/>
        <w:jc w:val="both"/>
        <w:rPr>
          <w:rFonts w:ascii="Palatino Linotype" w:hAnsi="Palatino Linotype" w:cs="Arial"/>
          <w:sz w:val="18"/>
          <w:szCs w:val="18"/>
        </w:rPr>
      </w:pPr>
    </w:p>
    <w:p w14:paraId="1BFC0F3A" w14:textId="77777777" w:rsidR="00D76B2D" w:rsidRDefault="00D76B2D" w:rsidP="006C4F44">
      <w:pPr>
        <w:spacing w:after="0" w:line="360" w:lineRule="auto"/>
        <w:jc w:val="both"/>
        <w:rPr>
          <w:rFonts w:ascii="Palatino Linotype" w:hAnsi="Palatino Linotype" w:cs="Arial"/>
          <w:sz w:val="18"/>
          <w:szCs w:val="18"/>
        </w:rPr>
      </w:pPr>
    </w:p>
    <w:p w14:paraId="2FE0D8AC" w14:textId="77777777" w:rsidR="00D76B2D" w:rsidRDefault="00D76B2D" w:rsidP="006C4F44">
      <w:pPr>
        <w:spacing w:after="0" w:line="360" w:lineRule="auto"/>
        <w:jc w:val="both"/>
        <w:rPr>
          <w:rFonts w:ascii="Palatino Linotype" w:hAnsi="Palatino Linotype" w:cs="Arial"/>
          <w:sz w:val="18"/>
          <w:szCs w:val="18"/>
        </w:rPr>
      </w:pPr>
    </w:p>
    <w:p w14:paraId="5FE50597" w14:textId="77777777" w:rsidR="00D76B2D" w:rsidRDefault="00D76B2D" w:rsidP="006C4F44">
      <w:pPr>
        <w:spacing w:after="0" w:line="360" w:lineRule="auto"/>
        <w:jc w:val="both"/>
        <w:rPr>
          <w:rFonts w:ascii="Palatino Linotype" w:hAnsi="Palatino Linotype" w:cs="Arial"/>
          <w:sz w:val="18"/>
          <w:szCs w:val="18"/>
        </w:rPr>
      </w:pPr>
    </w:p>
    <w:p w14:paraId="70145A27" w14:textId="77777777" w:rsidR="00D76B2D" w:rsidRDefault="00D76B2D" w:rsidP="006C4F44">
      <w:pPr>
        <w:spacing w:after="0" w:line="360" w:lineRule="auto"/>
        <w:jc w:val="both"/>
        <w:rPr>
          <w:rFonts w:ascii="Palatino Linotype" w:hAnsi="Palatino Linotype" w:cs="Arial"/>
          <w:sz w:val="18"/>
          <w:szCs w:val="18"/>
        </w:rPr>
      </w:pPr>
    </w:p>
    <w:p w14:paraId="57D38460" w14:textId="77777777" w:rsidR="00D76B2D" w:rsidRDefault="00D76B2D" w:rsidP="006C4F44">
      <w:pPr>
        <w:spacing w:after="0" w:line="360" w:lineRule="auto"/>
        <w:jc w:val="both"/>
        <w:rPr>
          <w:rFonts w:ascii="Palatino Linotype" w:hAnsi="Palatino Linotype" w:cs="Arial"/>
          <w:sz w:val="18"/>
          <w:szCs w:val="18"/>
        </w:rPr>
      </w:pPr>
    </w:p>
    <w:p w14:paraId="688A3A9A" w14:textId="77777777" w:rsidR="00D76B2D" w:rsidRDefault="00D76B2D" w:rsidP="006C4F44">
      <w:pPr>
        <w:spacing w:after="0" w:line="360" w:lineRule="auto"/>
        <w:jc w:val="both"/>
        <w:rPr>
          <w:rFonts w:ascii="Palatino Linotype" w:hAnsi="Palatino Linotype" w:cs="Arial"/>
          <w:sz w:val="18"/>
          <w:szCs w:val="18"/>
        </w:rPr>
      </w:pPr>
    </w:p>
    <w:p w14:paraId="19F71D15" w14:textId="77777777" w:rsidR="00D76B2D" w:rsidRDefault="00D76B2D" w:rsidP="006C4F44">
      <w:pPr>
        <w:spacing w:after="0" w:line="360" w:lineRule="auto"/>
        <w:jc w:val="both"/>
        <w:rPr>
          <w:rFonts w:ascii="Palatino Linotype" w:hAnsi="Palatino Linotype" w:cs="Arial"/>
          <w:sz w:val="18"/>
          <w:szCs w:val="18"/>
        </w:rPr>
      </w:pPr>
    </w:p>
    <w:p w14:paraId="38238120" w14:textId="77777777" w:rsidR="00D76B2D" w:rsidRDefault="00D76B2D" w:rsidP="006C4F44">
      <w:pPr>
        <w:spacing w:after="0" w:line="360" w:lineRule="auto"/>
        <w:jc w:val="both"/>
        <w:rPr>
          <w:rFonts w:ascii="Palatino Linotype" w:hAnsi="Palatino Linotype" w:cs="Arial"/>
          <w:sz w:val="18"/>
          <w:szCs w:val="18"/>
        </w:rPr>
      </w:pPr>
    </w:p>
    <w:p w14:paraId="451D81F1" w14:textId="77777777" w:rsidR="00D76B2D" w:rsidRDefault="00D76B2D" w:rsidP="006C4F44">
      <w:pPr>
        <w:spacing w:after="0" w:line="360" w:lineRule="auto"/>
        <w:jc w:val="both"/>
        <w:rPr>
          <w:rFonts w:ascii="Palatino Linotype" w:hAnsi="Palatino Linotype" w:cs="Arial"/>
          <w:sz w:val="18"/>
          <w:szCs w:val="18"/>
        </w:rPr>
      </w:pPr>
    </w:p>
    <w:p w14:paraId="180EC1CF" w14:textId="77777777" w:rsidR="00D76B2D" w:rsidRDefault="00D76B2D" w:rsidP="006C4F44">
      <w:pPr>
        <w:spacing w:after="0" w:line="360" w:lineRule="auto"/>
        <w:jc w:val="both"/>
        <w:rPr>
          <w:rFonts w:ascii="Palatino Linotype" w:hAnsi="Palatino Linotype" w:cs="Arial"/>
          <w:sz w:val="18"/>
          <w:szCs w:val="18"/>
        </w:rPr>
      </w:pPr>
    </w:p>
    <w:p w14:paraId="092DF214" w14:textId="77777777" w:rsidR="00D76B2D" w:rsidRDefault="00D76B2D" w:rsidP="006C4F44">
      <w:pPr>
        <w:spacing w:after="0" w:line="360" w:lineRule="auto"/>
        <w:jc w:val="both"/>
        <w:rPr>
          <w:rFonts w:ascii="Palatino Linotype" w:hAnsi="Palatino Linotype" w:cs="Arial"/>
          <w:sz w:val="18"/>
          <w:szCs w:val="18"/>
        </w:rPr>
      </w:pPr>
    </w:p>
    <w:p w14:paraId="42AC8E81" w14:textId="77777777" w:rsidR="00D76B2D" w:rsidRDefault="00D76B2D" w:rsidP="006C4F44">
      <w:pPr>
        <w:spacing w:after="0" w:line="360" w:lineRule="auto"/>
        <w:jc w:val="both"/>
        <w:rPr>
          <w:rFonts w:ascii="Palatino Linotype" w:hAnsi="Palatino Linotype" w:cs="Arial"/>
          <w:sz w:val="18"/>
          <w:szCs w:val="18"/>
        </w:rPr>
      </w:pPr>
    </w:p>
    <w:p w14:paraId="70E3CF44" w14:textId="77777777" w:rsidR="00D76B2D" w:rsidRDefault="00D76B2D" w:rsidP="006C4F44">
      <w:pPr>
        <w:spacing w:after="0" w:line="360" w:lineRule="auto"/>
        <w:jc w:val="both"/>
        <w:rPr>
          <w:rFonts w:ascii="Palatino Linotype" w:hAnsi="Palatino Linotype" w:cs="Arial"/>
          <w:sz w:val="18"/>
          <w:szCs w:val="18"/>
        </w:rPr>
      </w:pPr>
    </w:p>
    <w:p w14:paraId="6E934CD3" w14:textId="77777777" w:rsidR="00D76B2D" w:rsidRDefault="00D76B2D" w:rsidP="006C4F44">
      <w:pPr>
        <w:spacing w:after="0" w:line="360" w:lineRule="auto"/>
        <w:jc w:val="both"/>
        <w:rPr>
          <w:rFonts w:ascii="Palatino Linotype" w:hAnsi="Palatino Linotype" w:cs="Arial"/>
          <w:sz w:val="18"/>
          <w:szCs w:val="18"/>
        </w:rPr>
      </w:pPr>
    </w:p>
    <w:p w14:paraId="23F734DD" w14:textId="77777777" w:rsidR="00D76B2D" w:rsidRDefault="00D76B2D" w:rsidP="006C4F44">
      <w:pPr>
        <w:spacing w:after="0" w:line="360" w:lineRule="auto"/>
        <w:jc w:val="both"/>
        <w:rPr>
          <w:rFonts w:ascii="Palatino Linotype" w:hAnsi="Palatino Linotype" w:cs="Arial"/>
          <w:sz w:val="18"/>
          <w:szCs w:val="18"/>
        </w:rPr>
      </w:pPr>
    </w:p>
    <w:p w14:paraId="5DB3BFA6" w14:textId="77777777" w:rsidR="00D76B2D" w:rsidRDefault="00D76B2D" w:rsidP="006C4F44">
      <w:pPr>
        <w:spacing w:after="0" w:line="360" w:lineRule="auto"/>
        <w:jc w:val="both"/>
        <w:rPr>
          <w:rFonts w:ascii="Palatino Linotype" w:hAnsi="Palatino Linotype" w:cs="Arial"/>
          <w:sz w:val="18"/>
          <w:szCs w:val="18"/>
        </w:rPr>
      </w:pPr>
    </w:p>
    <w:p w14:paraId="53CC3A71" w14:textId="77777777" w:rsidR="00D76B2D" w:rsidRDefault="00D76B2D" w:rsidP="006C4F44">
      <w:pPr>
        <w:spacing w:after="0" w:line="360" w:lineRule="auto"/>
        <w:jc w:val="both"/>
        <w:rPr>
          <w:rFonts w:ascii="Palatino Linotype" w:hAnsi="Palatino Linotype" w:cs="Arial"/>
          <w:sz w:val="18"/>
          <w:szCs w:val="18"/>
        </w:rPr>
      </w:pPr>
    </w:p>
    <w:p w14:paraId="5CEAD38C" w14:textId="77777777" w:rsidR="00D76B2D" w:rsidRDefault="00D76B2D" w:rsidP="006C4F44">
      <w:pPr>
        <w:spacing w:after="0" w:line="360" w:lineRule="auto"/>
        <w:jc w:val="both"/>
        <w:rPr>
          <w:rFonts w:ascii="Palatino Linotype" w:hAnsi="Palatino Linotype" w:cs="Arial"/>
          <w:sz w:val="18"/>
          <w:szCs w:val="18"/>
        </w:rPr>
      </w:pPr>
    </w:p>
    <w:p w14:paraId="37C27B2D" w14:textId="77777777" w:rsidR="00D76B2D" w:rsidRDefault="00D76B2D" w:rsidP="006C4F44">
      <w:pPr>
        <w:spacing w:after="0" w:line="360" w:lineRule="auto"/>
        <w:jc w:val="both"/>
        <w:rPr>
          <w:rFonts w:ascii="Palatino Linotype" w:hAnsi="Palatino Linotype" w:cs="Arial"/>
          <w:sz w:val="18"/>
          <w:szCs w:val="18"/>
        </w:rPr>
      </w:pPr>
    </w:p>
    <w:p w14:paraId="3AFC349B" w14:textId="77777777" w:rsidR="00D76B2D" w:rsidRDefault="00D76B2D" w:rsidP="006C4F44">
      <w:pPr>
        <w:spacing w:after="0" w:line="360" w:lineRule="auto"/>
        <w:jc w:val="both"/>
        <w:rPr>
          <w:rFonts w:ascii="Palatino Linotype" w:hAnsi="Palatino Linotype" w:cs="Arial"/>
          <w:sz w:val="18"/>
          <w:szCs w:val="18"/>
        </w:rPr>
      </w:pPr>
    </w:p>
    <w:p w14:paraId="787AEE2E" w14:textId="77777777" w:rsidR="00D76B2D" w:rsidRDefault="00D76B2D" w:rsidP="006C4F44">
      <w:pPr>
        <w:spacing w:after="0" w:line="360" w:lineRule="auto"/>
        <w:jc w:val="both"/>
        <w:rPr>
          <w:rFonts w:ascii="Palatino Linotype" w:hAnsi="Palatino Linotype" w:cs="Arial"/>
          <w:sz w:val="18"/>
          <w:szCs w:val="18"/>
        </w:rPr>
      </w:pPr>
    </w:p>
    <w:p w14:paraId="1F104CAE" w14:textId="77777777" w:rsidR="00D76B2D" w:rsidRDefault="00D76B2D" w:rsidP="006C4F44">
      <w:pPr>
        <w:spacing w:after="0" w:line="360" w:lineRule="auto"/>
        <w:jc w:val="both"/>
        <w:rPr>
          <w:rFonts w:ascii="Palatino Linotype" w:hAnsi="Palatino Linotype" w:cs="Arial"/>
          <w:sz w:val="18"/>
          <w:szCs w:val="18"/>
        </w:rPr>
      </w:pPr>
    </w:p>
    <w:p w14:paraId="4F5A6D53" w14:textId="77777777" w:rsidR="00D76B2D" w:rsidRDefault="00D76B2D" w:rsidP="006C4F44">
      <w:pPr>
        <w:spacing w:after="0" w:line="360" w:lineRule="auto"/>
        <w:jc w:val="both"/>
        <w:rPr>
          <w:rFonts w:ascii="Palatino Linotype" w:hAnsi="Palatino Linotype" w:cs="Arial"/>
          <w:sz w:val="18"/>
          <w:szCs w:val="18"/>
        </w:rPr>
      </w:pPr>
    </w:p>
    <w:p w14:paraId="5B20F93E" w14:textId="77777777" w:rsidR="00D76B2D" w:rsidRDefault="00D76B2D" w:rsidP="006C4F44">
      <w:pPr>
        <w:spacing w:after="0" w:line="360" w:lineRule="auto"/>
        <w:jc w:val="both"/>
        <w:rPr>
          <w:rFonts w:ascii="Palatino Linotype" w:hAnsi="Palatino Linotype" w:cs="Arial"/>
          <w:sz w:val="18"/>
          <w:szCs w:val="18"/>
        </w:rPr>
      </w:pPr>
    </w:p>
    <w:p w14:paraId="1B06B58A" w14:textId="77777777" w:rsidR="00D76B2D" w:rsidRDefault="00D76B2D" w:rsidP="006C4F44">
      <w:pPr>
        <w:spacing w:after="0" w:line="360" w:lineRule="auto"/>
        <w:jc w:val="both"/>
        <w:rPr>
          <w:rFonts w:ascii="Palatino Linotype" w:hAnsi="Palatino Linotype" w:cs="Arial"/>
          <w:sz w:val="18"/>
          <w:szCs w:val="18"/>
        </w:rPr>
      </w:pPr>
    </w:p>
    <w:p w14:paraId="6B6F25D4" w14:textId="77777777" w:rsidR="00D76B2D" w:rsidRDefault="00D76B2D" w:rsidP="006C4F44">
      <w:pPr>
        <w:spacing w:after="0" w:line="360" w:lineRule="auto"/>
        <w:jc w:val="both"/>
        <w:rPr>
          <w:rFonts w:ascii="Palatino Linotype" w:hAnsi="Palatino Linotype" w:cs="Arial"/>
          <w:sz w:val="18"/>
          <w:szCs w:val="18"/>
        </w:rPr>
      </w:pPr>
    </w:p>
    <w:p w14:paraId="220B26C9" w14:textId="77777777" w:rsidR="00D76B2D" w:rsidRDefault="00D76B2D" w:rsidP="006C4F44">
      <w:pPr>
        <w:spacing w:after="0" w:line="360" w:lineRule="auto"/>
        <w:jc w:val="both"/>
        <w:rPr>
          <w:rFonts w:ascii="Palatino Linotype" w:hAnsi="Palatino Linotype" w:cs="Arial"/>
          <w:sz w:val="18"/>
          <w:szCs w:val="18"/>
        </w:rPr>
      </w:pPr>
    </w:p>
    <w:p w14:paraId="20DBAEBC" w14:textId="77777777" w:rsidR="00D76B2D" w:rsidRDefault="00D76B2D" w:rsidP="006C4F44">
      <w:pPr>
        <w:spacing w:after="0" w:line="360" w:lineRule="auto"/>
        <w:jc w:val="both"/>
        <w:rPr>
          <w:rFonts w:ascii="Palatino Linotype" w:hAnsi="Palatino Linotype" w:cs="Arial"/>
          <w:sz w:val="18"/>
          <w:szCs w:val="18"/>
        </w:rPr>
      </w:pPr>
    </w:p>
    <w:p w14:paraId="26CB213D" w14:textId="77777777" w:rsidR="00D76B2D" w:rsidRDefault="00D76B2D" w:rsidP="006C4F44">
      <w:pPr>
        <w:spacing w:after="0" w:line="360" w:lineRule="auto"/>
        <w:jc w:val="both"/>
        <w:rPr>
          <w:rFonts w:ascii="Palatino Linotype" w:hAnsi="Palatino Linotype" w:cs="Arial"/>
          <w:sz w:val="18"/>
          <w:szCs w:val="18"/>
        </w:rPr>
      </w:pPr>
    </w:p>
    <w:p w14:paraId="59C6EAD0" w14:textId="77777777" w:rsidR="00D76B2D" w:rsidRDefault="00D76B2D" w:rsidP="006C4F44">
      <w:pPr>
        <w:spacing w:after="0" w:line="360" w:lineRule="auto"/>
        <w:jc w:val="both"/>
        <w:rPr>
          <w:rFonts w:ascii="Palatino Linotype" w:hAnsi="Palatino Linotype" w:cs="Arial"/>
          <w:sz w:val="18"/>
          <w:szCs w:val="18"/>
        </w:rPr>
      </w:pPr>
    </w:p>
    <w:p w14:paraId="3F2B1C9B" w14:textId="77777777" w:rsidR="00D76B2D" w:rsidRDefault="00D76B2D" w:rsidP="006C4F44">
      <w:pPr>
        <w:spacing w:after="0" w:line="360" w:lineRule="auto"/>
        <w:jc w:val="both"/>
        <w:rPr>
          <w:rFonts w:ascii="Palatino Linotype" w:hAnsi="Palatino Linotype" w:cs="Arial"/>
          <w:sz w:val="18"/>
          <w:szCs w:val="18"/>
        </w:rPr>
      </w:pPr>
    </w:p>
    <w:p w14:paraId="73F5477D" w14:textId="77777777" w:rsidR="00D76B2D" w:rsidRDefault="00D76B2D" w:rsidP="006C4F44">
      <w:pPr>
        <w:spacing w:after="0" w:line="360" w:lineRule="auto"/>
        <w:jc w:val="both"/>
        <w:rPr>
          <w:rFonts w:ascii="Palatino Linotype" w:hAnsi="Palatino Linotype" w:cs="Arial"/>
          <w:sz w:val="18"/>
          <w:szCs w:val="18"/>
        </w:rPr>
      </w:pPr>
    </w:p>
    <w:p w14:paraId="23C476CE" w14:textId="77777777" w:rsidR="00D76B2D" w:rsidRDefault="00D76B2D" w:rsidP="006C4F44">
      <w:pPr>
        <w:spacing w:after="0" w:line="360" w:lineRule="auto"/>
        <w:jc w:val="both"/>
        <w:rPr>
          <w:rFonts w:ascii="Palatino Linotype" w:hAnsi="Palatino Linotype" w:cs="Arial"/>
          <w:sz w:val="18"/>
          <w:szCs w:val="18"/>
        </w:rPr>
      </w:pPr>
    </w:p>
    <w:p w14:paraId="430E81FF" w14:textId="77777777" w:rsidR="00D76B2D" w:rsidRPr="00827B21" w:rsidRDefault="00D76B2D" w:rsidP="006C4F44">
      <w:pPr>
        <w:spacing w:after="0" w:line="360" w:lineRule="auto"/>
        <w:jc w:val="both"/>
        <w:rPr>
          <w:rFonts w:ascii="Palatino Linotype" w:hAnsi="Palatino Linotype" w:cs="Arial"/>
          <w:sz w:val="18"/>
          <w:szCs w:val="18"/>
        </w:rPr>
      </w:pPr>
    </w:p>
    <w:p w14:paraId="3ACD21E1" w14:textId="77777777" w:rsidR="0097203B" w:rsidRDefault="0097203B" w:rsidP="00897CD0">
      <w:pPr>
        <w:spacing w:before="240" w:line="360" w:lineRule="auto"/>
        <w:ind w:right="72"/>
        <w:jc w:val="both"/>
        <w:rPr>
          <w:rFonts w:ascii="Palatino Linotype" w:hAnsi="Palatino Linotype" w:cs="Arial"/>
          <w:sz w:val="24"/>
          <w:szCs w:val="24"/>
        </w:rPr>
      </w:pPr>
    </w:p>
    <w:sectPr w:rsidR="0097203B" w:rsidSect="00FB4AAD">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9CD9A6" w14:textId="77777777" w:rsidR="00982D3B" w:rsidRDefault="00982D3B" w:rsidP="006168E4">
      <w:pPr>
        <w:spacing w:after="0" w:line="240" w:lineRule="auto"/>
      </w:pPr>
      <w:r>
        <w:separator/>
      </w:r>
    </w:p>
  </w:endnote>
  <w:endnote w:type="continuationSeparator" w:id="0">
    <w:p w14:paraId="6ADA09D5" w14:textId="77777777" w:rsidR="00982D3B" w:rsidRDefault="00982D3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3182">
      <w:rPr>
        <w:rFonts w:ascii="Palatino Linotype" w:hAnsi="Palatino Linotype"/>
        <w:bCs/>
        <w:noProof/>
        <w:sz w:val="20"/>
      </w:rPr>
      <w:t>11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3182">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9745ED" w:rsidRPr="000B69FA" w:rsidRDefault="009745ED"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31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3182">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4558F" w14:textId="77777777" w:rsidR="00982D3B" w:rsidRDefault="00982D3B" w:rsidP="006168E4">
      <w:pPr>
        <w:spacing w:after="0" w:line="240" w:lineRule="auto"/>
      </w:pPr>
      <w:r>
        <w:separator/>
      </w:r>
    </w:p>
  </w:footnote>
  <w:footnote w:type="continuationSeparator" w:id="0">
    <w:p w14:paraId="02FF6EA3" w14:textId="77777777" w:rsidR="00982D3B" w:rsidRDefault="00982D3B" w:rsidP="006168E4">
      <w:pPr>
        <w:spacing w:after="0" w:line="240" w:lineRule="auto"/>
      </w:pPr>
      <w:r>
        <w:continuationSeparator/>
      </w:r>
    </w:p>
  </w:footnote>
  <w:footnote w:id="1">
    <w:p w14:paraId="41DD704F" w14:textId="77777777" w:rsidR="009745ED" w:rsidRPr="005552A8" w:rsidRDefault="009745ED" w:rsidP="00672112">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72A5FA3" w14:textId="77777777" w:rsidR="009745ED" w:rsidRPr="005552A8" w:rsidRDefault="009745ED" w:rsidP="00672112">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218EB0D7"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9745ED" w14:paraId="17981A04" w14:textId="77777777" w:rsidTr="00B50E49">
      <w:trPr>
        <w:trHeight w:val="227"/>
      </w:trPr>
      <w:tc>
        <w:tcPr>
          <w:tcW w:w="5529" w:type="dxa"/>
          <w:hideMark/>
        </w:tcPr>
        <w:p w14:paraId="0E414BC5" w14:textId="19670DF2"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5B4B99A" w:rsidR="009745ED" w:rsidRPr="00B4142F" w:rsidRDefault="00B50E4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05235</w:t>
          </w:r>
          <w:r w:rsidR="009745ED">
            <w:rPr>
              <w:rFonts w:ascii="Palatino Linotype" w:hAnsi="Palatino Linotype" w:cs="Arial"/>
              <w:bCs/>
              <w:sz w:val="24"/>
              <w:lang w:eastAsia="es-MX"/>
            </w:rPr>
            <w:t>/INFOEM/IP/RR/2021</w:t>
          </w:r>
        </w:p>
      </w:tc>
    </w:tr>
    <w:tr w:rsidR="009745ED" w14:paraId="637042F0" w14:textId="77777777" w:rsidTr="00B50E49">
      <w:trPr>
        <w:trHeight w:val="242"/>
      </w:trPr>
      <w:tc>
        <w:tcPr>
          <w:tcW w:w="5529" w:type="dxa"/>
          <w:hideMark/>
        </w:tcPr>
        <w:p w14:paraId="412AD568" w14:textId="582E7AD7" w:rsidR="009745ED" w:rsidRDefault="009745ED"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E3BA8F0" w:rsidR="009745ED" w:rsidRPr="00F06FED" w:rsidRDefault="009745ED" w:rsidP="00B50E49">
          <w:pPr>
            <w:spacing w:after="120" w:line="256" w:lineRule="auto"/>
            <w:ind w:left="639" w:right="214"/>
            <w:jc w:val="both"/>
            <w:rPr>
              <w:rFonts w:ascii="Palatino Linotype" w:hAnsi="Palatino Linotype" w:cs="Arial"/>
            </w:rPr>
          </w:pPr>
          <w:r>
            <w:rPr>
              <w:rFonts w:ascii="Palatino Linotype" w:hAnsi="Palatino Linotype" w:cs="Arial"/>
              <w:szCs w:val="20"/>
            </w:rPr>
            <w:t xml:space="preserve">Ayuntamiento de </w:t>
          </w:r>
          <w:r w:rsidR="00B50E49">
            <w:rPr>
              <w:rFonts w:ascii="Palatino Linotype" w:hAnsi="Palatino Linotype" w:cs="Arial"/>
              <w:szCs w:val="20"/>
            </w:rPr>
            <w:t>Teoloyucan</w:t>
          </w:r>
          <w:r>
            <w:rPr>
              <w:rFonts w:ascii="Palatino Linotype" w:hAnsi="Palatino Linotype" w:cs="Arial"/>
              <w:szCs w:val="20"/>
            </w:rPr>
            <w:t xml:space="preserve">  </w:t>
          </w:r>
        </w:p>
      </w:tc>
    </w:tr>
    <w:tr w:rsidR="009745ED" w14:paraId="21BFE746" w14:textId="77777777" w:rsidTr="00B50E49">
      <w:trPr>
        <w:trHeight w:val="342"/>
      </w:trPr>
      <w:tc>
        <w:tcPr>
          <w:tcW w:w="5529" w:type="dxa"/>
          <w:hideMark/>
        </w:tcPr>
        <w:p w14:paraId="64C4E314" w14:textId="58340D62" w:rsidR="009745ED" w:rsidRDefault="00B50E49"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704853B3" w14:textId="062A4510" w:rsidR="009745ED" w:rsidRDefault="00B50E49"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A183BF9" w14:textId="77777777" w:rsidR="009745ED" w:rsidRDefault="009745E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745ED" w14:paraId="385FD437" w14:textId="77777777" w:rsidTr="00B50E49">
      <w:trPr>
        <w:trHeight w:val="227"/>
      </w:trPr>
      <w:tc>
        <w:tcPr>
          <w:tcW w:w="5529" w:type="dxa"/>
          <w:hideMark/>
        </w:tcPr>
        <w:p w14:paraId="272860E8" w14:textId="6340DBC0"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37F8C27" w:rsidR="009745ED" w:rsidRPr="00B4142F" w:rsidRDefault="00B50E49"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05235</w:t>
          </w:r>
          <w:r w:rsidR="009745ED">
            <w:rPr>
              <w:rFonts w:ascii="Palatino Linotype" w:hAnsi="Palatino Linotype" w:cs="Arial"/>
              <w:bCs/>
              <w:sz w:val="24"/>
              <w:lang w:eastAsia="es-MX"/>
            </w:rPr>
            <w:t>/INFOEM/IP/RR/2021</w:t>
          </w:r>
        </w:p>
      </w:tc>
    </w:tr>
    <w:tr w:rsidR="009745ED" w14:paraId="33FC5097" w14:textId="77777777" w:rsidTr="00B50E49">
      <w:trPr>
        <w:trHeight w:val="196"/>
      </w:trPr>
      <w:tc>
        <w:tcPr>
          <w:tcW w:w="5529" w:type="dxa"/>
          <w:hideMark/>
        </w:tcPr>
        <w:p w14:paraId="4F5D01E5"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D187A33" w:rsidR="009745ED" w:rsidRPr="00F06FED" w:rsidRDefault="00FE3182"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xxxxxxxxxxxxxxxxxxx</w:t>
          </w:r>
          <w:proofErr w:type="spellEnd"/>
        </w:p>
      </w:tc>
    </w:tr>
    <w:tr w:rsidR="009745ED" w14:paraId="178280DE" w14:textId="77777777" w:rsidTr="00B50E49">
      <w:trPr>
        <w:trHeight w:val="242"/>
      </w:trPr>
      <w:tc>
        <w:tcPr>
          <w:tcW w:w="5529" w:type="dxa"/>
          <w:hideMark/>
        </w:tcPr>
        <w:p w14:paraId="71AC708B" w14:textId="77777777" w:rsidR="009745ED" w:rsidRDefault="009745ED"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1153DBA7" w:rsidR="009745ED" w:rsidRDefault="009745ED" w:rsidP="00B50E49">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Ayuntamiento de </w:t>
          </w:r>
          <w:r w:rsidR="00B50E49">
            <w:rPr>
              <w:rFonts w:ascii="Palatino Linotype" w:hAnsi="Palatino Linotype" w:cs="Arial"/>
              <w:szCs w:val="20"/>
            </w:rPr>
            <w:t>Teoloyucan</w:t>
          </w:r>
        </w:p>
      </w:tc>
    </w:tr>
    <w:tr w:rsidR="009745ED" w14:paraId="0518978B" w14:textId="77777777" w:rsidTr="00B50E49">
      <w:trPr>
        <w:trHeight w:val="342"/>
      </w:trPr>
      <w:tc>
        <w:tcPr>
          <w:tcW w:w="5529" w:type="dxa"/>
          <w:hideMark/>
        </w:tcPr>
        <w:p w14:paraId="04968A43" w14:textId="0940D6BC" w:rsidR="009745ED" w:rsidRDefault="00B50E49"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w:t>
          </w:r>
          <w:r w:rsidR="009745ED">
            <w:rPr>
              <w:rFonts w:ascii="Palatino Linotype" w:hAnsi="Palatino Linotype" w:cs="Arial"/>
              <w:b/>
              <w:szCs w:val="20"/>
            </w:rPr>
            <w:t xml:space="preserve"> Ponente:</w:t>
          </w:r>
        </w:p>
      </w:tc>
      <w:tc>
        <w:tcPr>
          <w:tcW w:w="4536" w:type="dxa"/>
          <w:hideMark/>
        </w:tcPr>
        <w:p w14:paraId="1E42D601" w14:textId="379E342A" w:rsidR="009745ED" w:rsidRDefault="00B50E49"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4A3B5148" w:rsidR="009745ED" w:rsidRDefault="009745ED">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34674996">
          <wp:simplePos x="0" y="0"/>
          <wp:positionH relativeFrom="page">
            <wp:posOffset>29210</wp:posOffset>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D794D"/>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BE6DA3"/>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A83B18"/>
    <w:multiLevelType w:val="hybridMultilevel"/>
    <w:tmpl w:val="FBCC89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036796"/>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9780022"/>
    <w:multiLevelType w:val="hybridMultilevel"/>
    <w:tmpl w:val="2AE03110"/>
    <w:lvl w:ilvl="0" w:tplc="9AEE4534">
      <w:start w:val="1"/>
      <w:numFmt w:val="upperRoman"/>
      <w:lvlText w:val="%1."/>
      <w:lvlJc w:val="left"/>
      <w:pPr>
        <w:ind w:left="1571" w:hanging="720"/>
      </w:pPr>
      <w:rPr>
        <w:rFonts w:hint="default"/>
        <w:b w:val="0"/>
        <w:b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0B3C3771"/>
    <w:multiLevelType w:val="hybridMultilevel"/>
    <w:tmpl w:val="6FEE618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0D5358E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F8C2981"/>
    <w:multiLevelType w:val="hybridMultilevel"/>
    <w:tmpl w:val="07CA4D0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E11D73"/>
    <w:multiLevelType w:val="hybridMultilevel"/>
    <w:tmpl w:val="1B644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1FD52C4"/>
    <w:multiLevelType w:val="multilevel"/>
    <w:tmpl w:val="D76E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5562F0A"/>
    <w:multiLevelType w:val="hybridMultilevel"/>
    <w:tmpl w:val="E1786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88841CD"/>
    <w:multiLevelType w:val="hybridMultilevel"/>
    <w:tmpl w:val="33F46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0172D1"/>
    <w:multiLevelType w:val="hybridMultilevel"/>
    <w:tmpl w:val="1172A1C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C256C89"/>
    <w:multiLevelType w:val="hybridMultilevel"/>
    <w:tmpl w:val="0046B5B0"/>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4260B6"/>
    <w:multiLevelType w:val="hybridMultilevel"/>
    <w:tmpl w:val="9998D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B4536A1"/>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F71343C"/>
    <w:multiLevelType w:val="hybridMultilevel"/>
    <w:tmpl w:val="8AA446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9454E5"/>
    <w:multiLevelType w:val="hybridMultilevel"/>
    <w:tmpl w:val="106C3F22"/>
    <w:lvl w:ilvl="0" w:tplc="BC2EE104">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8">
    <w:nsid w:val="34666F99"/>
    <w:multiLevelType w:val="hybridMultilevel"/>
    <w:tmpl w:val="9D9A90C6"/>
    <w:lvl w:ilvl="0" w:tplc="4D004F0A">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C1E1382"/>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E5D26D2"/>
    <w:multiLevelType w:val="hybridMultilevel"/>
    <w:tmpl w:val="F95E41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F1E29D4"/>
    <w:multiLevelType w:val="hybridMultilevel"/>
    <w:tmpl w:val="7D7C69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F7A793B"/>
    <w:multiLevelType w:val="hybridMultilevel"/>
    <w:tmpl w:val="A1802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02D3C81"/>
    <w:multiLevelType w:val="hybridMultilevel"/>
    <w:tmpl w:val="C5B06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098568C"/>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1504FED"/>
    <w:multiLevelType w:val="hybridMultilevel"/>
    <w:tmpl w:val="880A7970"/>
    <w:lvl w:ilvl="0" w:tplc="9B3E1B9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480F225E"/>
    <w:multiLevelType w:val="hybridMultilevel"/>
    <w:tmpl w:val="B11ACB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A3105CF"/>
    <w:multiLevelType w:val="hybridMultilevel"/>
    <w:tmpl w:val="9C9ED682"/>
    <w:lvl w:ilvl="0" w:tplc="C3564AE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8">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nsid w:val="4F4A0BF0"/>
    <w:multiLevelType w:val="hybridMultilevel"/>
    <w:tmpl w:val="454E3BC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51766A24"/>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2A97426"/>
    <w:multiLevelType w:val="hybridMultilevel"/>
    <w:tmpl w:val="C744F70C"/>
    <w:lvl w:ilvl="0" w:tplc="1A7A1FF2">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nsid w:val="532A2FDF"/>
    <w:multiLevelType w:val="hybridMultilevel"/>
    <w:tmpl w:val="9B0A7F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1A43B0"/>
    <w:multiLevelType w:val="hybridMultilevel"/>
    <w:tmpl w:val="EDB00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99A409F"/>
    <w:multiLevelType w:val="hybridMultilevel"/>
    <w:tmpl w:val="CDFE39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12350DC"/>
    <w:multiLevelType w:val="hybridMultilevel"/>
    <w:tmpl w:val="21A03C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B3C22B0"/>
    <w:multiLevelType w:val="hybridMultilevel"/>
    <w:tmpl w:val="F4C0F14E"/>
    <w:lvl w:ilvl="0" w:tplc="02CED2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1A9372C"/>
    <w:multiLevelType w:val="hybridMultilevel"/>
    <w:tmpl w:val="08306B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1">
    <w:nsid w:val="77112312"/>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78F0AA8"/>
    <w:multiLevelType w:val="hybridMultilevel"/>
    <w:tmpl w:val="FCFE46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8DF682F"/>
    <w:multiLevelType w:val="hybridMultilevel"/>
    <w:tmpl w:val="3F7CDD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A347CC4"/>
    <w:multiLevelType w:val="hybridMultilevel"/>
    <w:tmpl w:val="00AE58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676E43"/>
    <w:multiLevelType w:val="hybridMultilevel"/>
    <w:tmpl w:val="9D26408C"/>
    <w:lvl w:ilvl="0" w:tplc="1D8AA15A">
      <w:start w:val="3"/>
      <w:numFmt w:val="bullet"/>
      <w:lvlText w:val="-"/>
      <w:lvlJc w:val="left"/>
      <w:pPr>
        <w:ind w:left="720" w:hanging="360"/>
      </w:pPr>
      <w:rPr>
        <w:rFonts w:ascii="Palatino Linotype" w:eastAsiaTheme="minorHAnsi" w:hAnsi="Palatino Linotype"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FC46BB"/>
    <w:multiLevelType w:val="hybridMultilevel"/>
    <w:tmpl w:val="6A908E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7D631D12"/>
    <w:multiLevelType w:val="hybridMultilevel"/>
    <w:tmpl w:val="C728D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FCB6894"/>
    <w:multiLevelType w:val="hybridMultilevel"/>
    <w:tmpl w:val="64929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
  </w:num>
  <w:num w:numId="3">
    <w:abstractNumId w:val="40"/>
  </w:num>
  <w:num w:numId="4">
    <w:abstractNumId w:val="2"/>
  </w:num>
  <w:num w:numId="5">
    <w:abstractNumId w:val="37"/>
  </w:num>
  <w:num w:numId="6">
    <w:abstractNumId w:val="4"/>
  </w:num>
  <w:num w:numId="7">
    <w:abstractNumId w:val="43"/>
  </w:num>
  <w:num w:numId="8">
    <w:abstractNumId w:val="10"/>
  </w:num>
  <w:num w:numId="9">
    <w:abstractNumId w:val="11"/>
  </w:num>
  <w:num w:numId="10">
    <w:abstractNumId w:val="39"/>
  </w:num>
  <w:num w:numId="11">
    <w:abstractNumId w:val="34"/>
  </w:num>
  <w:num w:numId="12">
    <w:abstractNumId w:val="44"/>
  </w:num>
  <w:num w:numId="13">
    <w:abstractNumId w:val="33"/>
  </w:num>
  <w:num w:numId="14">
    <w:abstractNumId w:val="45"/>
  </w:num>
  <w:num w:numId="15">
    <w:abstractNumId w:val="13"/>
  </w:num>
  <w:num w:numId="16">
    <w:abstractNumId w:val="48"/>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15"/>
  </w:num>
  <w:num w:numId="20">
    <w:abstractNumId w:val="35"/>
  </w:num>
  <w:num w:numId="21">
    <w:abstractNumId w:val="32"/>
  </w:num>
  <w:num w:numId="22">
    <w:abstractNumId w:val="31"/>
  </w:num>
  <w:num w:numId="23">
    <w:abstractNumId w:val="20"/>
  </w:num>
  <w:num w:numId="24">
    <w:abstractNumId w:val="22"/>
  </w:num>
  <w:num w:numId="25">
    <w:abstractNumId w:val="14"/>
  </w:num>
  <w:num w:numId="26">
    <w:abstractNumId w:val="6"/>
  </w:num>
  <w:num w:numId="27">
    <w:abstractNumId w:val="8"/>
  </w:num>
  <w:num w:numId="28">
    <w:abstractNumId w:val="46"/>
  </w:num>
  <w:num w:numId="29">
    <w:abstractNumId w:val="17"/>
  </w:num>
  <w:num w:numId="30">
    <w:abstractNumId w:val="27"/>
  </w:num>
  <w:num w:numId="31">
    <w:abstractNumId w:val="30"/>
  </w:num>
  <w:num w:numId="32">
    <w:abstractNumId w:val="29"/>
  </w:num>
  <w:num w:numId="33">
    <w:abstractNumId w:val="26"/>
  </w:num>
  <w:num w:numId="34">
    <w:abstractNumId w:val="5"/>
  </w:num>
  <w:num w:numId="35">
    <w:abstractNumId w:val="24"/>
  </w:num>
  <w:num w:numId="36">
    <w:abstractNumId w:val="7"/>
  </w:num>
  <w:num w:numId="37">
    <w:abstractNumId w:val="38"/>
  </w:num>
  <w:num w:numId="38">
    <w:abstractNumId w:val="0"/>
  </w:num>
  <w:num w:numId="39">
    <w:abstractNumId w:val="16"/>
  </w:num>
  <w:num w:numId="40">
    <w:abstractNumId w:val="21"/>
  </w:num>
  <w:num w:numId="41">
    <w:abstractNumId w:val="19"/>
  </w:num>
  <w:num w:numId="42">
    <w:abstractNumId w:val="36"/>
  </w:num>
  <w:num w:numId="43">
    <w:abstractNumId w:val="25"/>
  </w:num>
  <w:num w:numId="44">
    <w:abstractNumId w:val="23"/>
  </w:num>
  <w:num w:numId="45">
    <w:abstractNumId w:val="42"/>
  </w:num>
  <w:num w:numId="46">
    <w:abstractNumId w:val="3"/>
  </w:num>
  <w:num w:numId="47">
    <w:abstractNumId w:val="12"/>
  </w:num>
  <w:num w:numId="48">
    <w:abstractNumId w:val="47"/>
  </w:num>
  <w:num w:numId="49">
    <w:abstractNumId w:val="4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36A"/>
    <w:rsid w:val="0000045D"/>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70E99"/>
    <w:rsid w:val="00073E78"/>
    <w:rsid w:val="00073FC2"/>
    <w:rsid w:val="00076AE0"/>
    <w:rsid w:val="0007756F"/>
    <w:rsid w:val="0008033D"/>
    <w:rsid w:val="0008151E"/>
    <w:rsid w:val="000821BF"/>
    <w:rsid w:val="00082920"/>
    <w:rsid w:val="00085007"/>
    <w:rsid w:val="0008548C"/>
    <w:rsid w:val="00086AF1"/>
    <w:rsid w:val="000873D5"/>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B51"/>
    <w:rsid w:val="000B5864"/>
    <w:rsid w:val="000B7158"/>
    <w:rsid w:val="000C0B33"/>
    <w:rsid w:val="000C0EA4"/>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1607"/>
    <w:rsid w:val="00103AB6"/>
    <w:rsid w:val="00104391"/>
    <w:rsid w:val="00106372"/>
    <w:rsid w:val="00111DCD"/>
    <w:rsid w:val="00112C29"/>
    <w:rsid w:val="00114CF9"/>
    <w:rsid w:val="001228AB"/>
    <w:rsid w:val="00124855"/>
    <w:rsid w:val="001254F5"/>
    <w:rsid w:val="00127033"/>
    <w:rsid w:val="00131B01"/>
    <w:rsid w:val="00136C13"/>
    <w:rsid w:val="00136FAD"/>
    <w:rsid w:val="00140557"/>
    <w:rsid w:val="001408A0"/>
    <w:rsid w:val="001439C9"/>
    <w:rsid w:val="00146F0A"/>
    <w:rsid w:val="001503F0"/>
    <w:rsid w:val="00152AB2"/>
    <w:rsid w:val="00152C2B"/>
    <w:rsid w:val="00161FBE"/>
    <w:rsid w:val="0016613D"/>
    <w:rsid w:val="00166BE3"/>
    <w:rsid w:val="0016745C"/>
    <w:rsid w:val="001705AC"/>
    <w:rsid w:val="001710C0"/>
    <w:rsid w:val="001733A0"/>
    <w:rsid w:val="00175897"/>
    <w:rsid w:val="00180B9F"/>
    <w:rsid w:val="00181CC5"/>
    <w:rsid w:val="001829BE"/>
    <w:rsid w:val="00184E8E"/>
    <w:rsid w:val="001854E1"/>
    <w:rsid w:val="0018577F"/>
    <w:rsid w:val="00193784"/>
    <w:rsid w:val="00194676"/>
    <w:rsid w:val="00196DCE"/>
    <w:rsid w:val="00196FE9"/>
    <w:rsid w:val="001A02EC"/>
    <w:rsid w:val="001A1756"/>
    <w:rsid w:val="001A30F5"/>
    <w:rsid w:val="001A4643"/>
    <w:rsid w:val="001A4BAD"/>
    <w:rsid w:val="001A5630"/>
    <w:rsid w:val="001A577E"/>
    <w:rsid w:val="001A7484"/>
    <w:rsid w:val="001A7959"/>
    <w:rsid w:val="001A7C9B"/>
    <w:rsid w:val="001B05B9"/>
    <w:rsid w:val="001B1A88"/>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78AA"/>
    <w:rsid w:val="001F2101"/>
    <w:rsid w:val="001F2360"/>
    <w:rsid w:val="001F3969"/>
    <w:rsid w:val="001F61DA"/>
    <w:rsid w:val="00204420"/>
    <w:rsid w:val="00205ACD"/>
    <w:rsid w:val="002075A5"/>
    <w:rsid w:val="00212A9D"/>
    <w:rsid w:val="00213077"/>
    <w:rsid w:val="0021501E"/>
    <w:rsid w:val="00215192"/>
    <w:rsid w:val="0021530C"/>
    <w:rsid w:val="002158F8"/>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13"/>
    <w:rsid w:val="00274BE8"/>
    <w:rsid w:val="002765A6"/>
    <w:rsid w:val="00284441"/>
    <w:rsid w:val="0028588E"/>
    <w:rsid w:val="00286784"/>
    <w:rsid w:val="002907D5"/>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5C28"/>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579A9"/>
    <w:rsid w:val="00361B9C"/>
    <w:rsid w:val="00365C45"/>
    <w:rsid w:val="00370209"/>
    <w:rsid w:val="00371031"/>
    <w:rsid w:val="003736ED"/>
    <w:rsid w:val="00374444"/>
    <w:rsid w:val="003756A4"/>
    <w:rsid w:val="00376114"/>
    <w:rsid w:val="00376CEC"/>
    <w:rsid w:val="00380758"/>
    <w:rsid w:val="003827B4"/>
    <w:rsid w:val="00383C82"/>
    <w:rsid w:val="00386BBB"/>
    <w:rsid w:val="00386D84"/>
    <w:rsid w:val="0039245A"/>
    <w:rsid w:val="00394A1E"/>
    <w:rsid w:val="003A241D"/>
    <w:rsid w:val="003A43CE"/>
    <w:rsid w:val="003A60CC"/>
    <w:rsid w:val="003A61F9"/>
    <w:rsid w:val="003A73D3"/>
    <w:rsid w:val="003B1A03"/>
    <w:rsid w:val="003B1C4E"/>
    <w:rsid w:val="003B1E88"/>
    <w:rsid w:val="003B5455"/>
    <w:rsid w:val="003B5FFE"/>
    <w:rsid w:val="003B63C0"/>
    <w:rsid w:val="003C2632"/>
    <w:rsid w:val="003C2A8E"/>
    <w:rsid w:val="003C7873"/>
    <w:rsid w:val="003C78F7"/>
    <w:rsid w:val="003D11E5"/>
    <w:rsid w:val="003D153C"/>
    <w:rsid w:val="003D305F"/>
    <w:rsid w:val="003E0BC5"/>
    <w:rsid w:val="003E16E1"/>
    <w:rsid w:val="003E2624"/>
    <w:rsid w:val="003E34C9"/>
    <w:rsid w:val="003E4B54"/>
    <w:rsid w:val="003F0DF5"/>
    <w:rsid w:val="003F332C"/>
    <w:rsid w:val="003F659A"/>
    <w:rsid w:val="00400E16"/>
    <w:rsid w:val="004012CF"/>
    <w:rsid w:val="004012E1"/>
    <w:rsid w:val="004020B1"/>
    <w:rsid w:val="004028F5"/>
    <w:rsid w:val="00402FF3"/>
    <w:rsid w:val="00404627"/>
    <w:rsid w:val="00405EAB"/>
    <w:rsid w:val="00406265"/>
    <w:rsid w:val="004069EB"/>
    <w:rsid w:val="004111DA"/>
    <w:rsid w:val="00413327"/>
    <w:rsid w:val="00413F1C"/>
    <w:rsid w:val="0041440A"/>
    <w:rsid w:val="00423213"/>
    <w:rsid w:val="0042416D"/>
    <w:rsid w:val="00433507"/>
    <w:rsid w:val="00437A0E"/>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7195"/>
    <w:rsid w:val="004A7CE2"/>
    <w:rsid w:val="004B376D"/>
    <w:rsid w:val="004B5DEC"/>
    <w:rsid w:val="004B7F32"/>
    <w:rsid w:val="004C1DF1"/>
    <w:rsid w:val="004C4E77"/>
    <w:rsid w:val="004C74FD"/>
    <w:rsid w:val="004D08EB"/>
    <w:rsid w:val="004D6029"/>
    <w:rsid w:val="004E0166"/>
    <w:rsid w:val="004E0679"/>
    <w:rsid w:val="004E0B32"/>
    <w:rsid w:val="004E1B1C"/>
    <w:rsid w:val="004E2371"/>
    <w:rsid w:val="004E6BE9"/>
    <w:rsid w:val="004E79A4"/>
    <w:rsid w:val="004F26CF"/>
    <w:rsid w:val="004F4792"/>
    <w:rsid w:val="004F4DF1"/>
    <w:rsid w:val="00502F50"/>
    <w:rsid w:val="00503655"/>
    <w:rsid w:val="00505759"/>
    <w:rsid w:val="00505784"/>
    <w:rsid w:val="0050578D"/>
    <w:rsid w:val="0051107C"/>
    <w:rsid w:val="00514187"/>
    <w:rsid w:val="00515090"/>
    <w:rsid w:val="00521A89"/>
    <w:rsid w:val="00521E57"/>
    <w:rsid w:val="00523E4E"/>
    <w:rsid w:val="00525E83"/>
    <w:rsid w:val="00527EBC"/>
    <w:rsid w:val="005305EA"/>
    <w:rsid w:val="00530E3E"/>
    <w:rsid w:val="005311BB"/>
    <w:rsid w:val="0053590E"/>
    <w:rsid w:val="005371E7"/>
    <w:rsid w:val="00540538"/>
    <w:rsid w:val="00540C92"/>
    <w:rsid w:val="005478DE"/>
    <w:rsid w:val="005520FE"/>
    <w:rsid w:val="0055211D"/>
    <w:rsid w:val="00552FA7"/>
    <w:rsid w:val="00553E92"/>
    <w:rsid w:val="00554927"/>
    <w:rsid w:val="00556513"/>
    <w:rsid w:val="00560D4A"/>
    <w:rsid w:val="00562653"/>
    <w:rsid w:val="0056468F"/>
    <w:rsid w:val="00566E4B"/>
    <w:rsid w:val="00567F9A"/>
    <w:rsid w:val="005705E2"/>
    <w:rsid w:val="005714B9"/>
    <w:rsid w:val="005722FD"/>
    <w:rsid w:val="005733EB"/>
    <w:rsid w:val="00575485"/>
    <w:rsid w:val="00577500"/>
    <w:rsid w:val="00580802"/>
    <w:rsid w:val="00581A22"/>
    <w:rsid w:val="005833A8"/>
    <w:rsid w:val="0058661B"/>
    <w:rsid w:val="00591165"/>
    <w:rsid w:val="00593E91"/>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3E5E"/>
    <w:rsid w:val="005D5217"/>
    <w:rsid w:val="005D5E8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17BD6"/>
    <w:rsid w:val="006214B9"/>
    <w:rsid w:val="00621940"/>
    <w:rsid w:val="0062421A"/>
    <w:rsid w:val="00624FE9"/>
    <w:rsid w:val="00625866"/>
    <w:rsid w:val="006300D6"/>
    <w:rsid w:val="00630382"/>
    <w:rsid w:val="0063255F"/>
    <w:rsid w:val="0063265C"/>
    <w:rsid w:val="00633079"/>
    <w:rsid w:val="006332DC"/>
    <w:rsid w:val="00635020"/>
    <w:rsid w:val="00635846"/>
    <w:rsid w:val="00637512"/>
    <w:rsid w:val="00640EE4"/>
    <w:rsid w:val="0064168D"/>
    <w:rsid w:val="00643161"/>
    <w:rsid w:val="006466F5"/>
    <w:rsid w:val="006468D6"/>
    <w:rsid w:val="006529A5"/>
    <w:rsid w:val="0065573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1653"/>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4F44"/>
    <w:rsid w:val="006C6A05"/>
    <w:rsid w:val="006D23FC"/>
    <w:rsid w:val="006D3CD7"/>
    <w:rsid w:val="006D5719"/>
    <w:rsid w:val="006D5803"/>
    <w:rsid w:val="006E01D1"/>
    <w:rsid w:val="006E594D"/>
    <w:rsid w:val="006E5C99"/>
    <w:rsid w:val="006F1B61"/>
    <w:rsid w:val="006F1FC1"/>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4E29"/>
    <w:rsid w:val="00744EEF"/>
    <w:rsid w:val="00751095"/>
    <w:rsid w:val="007517D1"/>
    <w:rsid w:val="007524CA"/>
    <w:rsid w:val="00754CAE"/>
    <w:rsid w:val="00757559"/>
    <w:rsid w:val="0076092F"/>
    <w:rsid w:val="007658D5"/>
    <w:rsid w:val="00772BA8"/>
    <w:rsid w:val="00774266"/>
    <w:rsid w:val="0078028A"/>
    <w:rsid w:val="007806CB"/>
    <w:rsid w:val="00781C64"/>
    <w:rsid w:val="007848FB"/>
    <w:rsid w:val="007851D5"/>
    <w:rsid w:val="00785698"/>
    <w:rsid w:val="0078693A"/>
    <w:rsid w:val="007906E0"/>
    <w:rsid w:val="00792E0C"/>
    <w:rsid w:val="00794153"/>
    <w:rsid w:val="0079486A"/>
    <w:rsid w:val="00794E74"/>
    <w:rsid w:val="00794F80"/>
    <w:rsid w:val="0079666D"/>
    <w:rsid w:val="00797B4F"/>
    <w:rsid w:val="007A139A"/>
    <w:rsid w:val="007A1C9E"/>
    <w:rsid w:val="007A200C"/>
    <w:rsid w:val="007A3BB5"/>
    <w:rsid w:val="007A5926"/>
    <w:rsid w:val="007A6C53"/>
    <w:rsid w:val="007B2C77"/>
    <w:rsid w:val="007B7A6F"/>
    <w:rsid w:val="007C2C6B"/>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2C48"/>
    <w:rsid w:val="008146F9"/>
    <w:rsid w:val="00814D55"/>
    <w:rsid w:val="008230AE"/>
    <w:rsid w:val="00824DCD"/>
    <w:rsid w:val="00825A0D"/>
    <w:rsid w:val="00827B21"/>
    <w:rsid w:val="00831D3F"/>
    <w:rsid w:val="00832986"/>
    <w:rsid w:val="00833DB5"/>
    <w:rsid w:val="00835692"/>
    <w:rsid w:val="008419A8"/>
    <w:rsid w:val="008436AD"/>
    <w:rsid w:val="00844569"/>
    <w:rsid w:val="00846539"/>
    <w:rsid w:val="0084766D"/>
    <w:rsid w:val="008479F1"/>
    <w:rsid w:val="00847D23"/>
    <w:rsid w:val="00854887"/>
    <w:rsid w:val="00855544"/>
    <w:rsid w:val="00856D15"/>
    <w:rsid w:val="0086020D"/>
    <w:rsid w:val="00863327"/>
    <w:rsid w:val="00867B2F"/>
    <w:rsid w:val="00870F44"/>
    <w:rsid w:val="00874015"/>
    <w:rsid w:val="00876A75"/>
    <w:rsid w:val="0087786C"/>
    <w:rsid w:val="00883587"/>
    <w:rsid w:val="00884054"/>
    <w:rsid w:val="00886712"/>
    <w:rsid w:val="008868B6"/>
    <w:rsid w:val="00891715"/>
    <w:rsid w:val="00893C5F"/>
    <w:rsid w:val="00895089"/>
    <w:rsid w:val="008951ED"/>
    <w:rsid w:val="00896BBD"/>
    <w:rsid w:val="00897CD0"/>
    <w:rsid w:val="008A1129"/>
    <w:rsid w:val="008A322D"/>
    <w:rsid w:val="008A40E6"/>
    <w:rsid w:val="008A75BE"/>
    <w:rsid w:val="008B00BD"/>
    <w:rsid w:val="008B14D0"/>
    <w:rsid w:val="008B5026"/>
    <w:rsid w:val="008B5E55"/>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4608"/>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FEE"/>
    <w:rsid w:val="0096643B"/>
    <w:rsid w:val="009706B5"/>
    <w:rsid w:val="00970CE3"/>
    <w:rsid w:val="009718BF"/>
    <w:rsid w:val="0097203B"/>
    <w:rsid w:val="00972BDF"/>
    <w:rsid w:val="0097390F"/>
    <w:rsid w:val="009745ED"/>
    <w:rsid w:val="0098182D"/>
    <w:rsid w:val="00982D3B"/>
    <w:rsid w:val="00985AD2"/>
    <w:rsid w:val="00985C4C"/>
    <w:rsid w:val="0098704B"/>
    <w:rsid w:val="00993821"/>
    <w:rsid w:val="009940F6"/>
    <w:rsid w:val="00994280"/>
    <w:rsid w:val="009970B5"/>
    <w:rsid w:val="009A0D0A"/>
    <w:rsid w:val="009A0FAE"/>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0BCD"/>
    <w:rsid w:val="00A11AE6"/>
    <w:rsid w:val="00A12205"/>
    <w:rsid w:val="00A21876"/>
    <w:rsid w:val="00A30164"/>
    <w:rsid w:val="00A30C44"/>
    <w:rsid w:val="00A328AE"/>
    <w:rsid w:val="00A33AC7"/>
    <w:rsid w:val="00A347D8"/>
    <w:rsid w:val="00A36D20"/>
    <w:rsid w:val="00A4131E"/>
    <w:rsid w:val="00A41694"/>
    <w:rsid w:val="00A43501"/>
    <w:rsid w:val="00A453DC"/>
    <w:rsid w:val="00A469C4"/>
    <w:rsid w:val="00A46BDA"/>
    <w:rsid w:val="00A535E3"/>
    <w:rsid w:val="00A56C0D"/>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1F54"/>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68F3"/>
    <w:rsid w:val="00AF74DA"/>
    <w:rsid w:val="00B00C72"/>
    <w:rsid w:val="00B01443"/>
    <w:rsid w:val="00B024D6"/>
    <w:rsid w:val="00B04CF0"/>
    <w:rsid w:val="00B070A2"/>
    <w:rsid w:val="00B10E49"/>
    <w:rsid w:val="00B11E08"/>
    <w:rsid w:val="00B145FA"/>
    <w:rsid w:val="00B2037B"/>
    <w:rsid w:val="00B23274"/>
    <w:rsid w:val="00B23AA2"/>
    <w:rsid w:val="00B272A6"/>
    <w:rsid w:val="00B30856"/>
    <w:rsid w:val="00B32CD3"/>
    <w:rsid w:val="00B34CA9"/>
    <w:rsid w:val="00B35797"/>
    <w:rsid w:val="00B35A93"/>
    <w:rsid w:val="00B3672D"/>
    <w:rsid w:val="00B40656"/>
    <w:rsid w:val="00B40F8A"/>
    <w:rsid w:val="00B4745C"/>
    <w:rsid w:val="00B50AAA"/>
    <w:rsid w:val="00B50E49"/>
    <w:rsid w:val="00B544D9"/>
    <w:rsid w:val="00B5641B"/>
    <w:rsid w:val="00B564E0"/>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0F34"/>
    <w:rsid w:val="00BB1CC2"/>
    <w:rsid w:val="00BB2250"/>
    <w:rsid w:val="00BB4C07"/>
    <w:rsid w:val="00BB4F63"/>
    <w:rsid w:val="00BB744D"/>
    <w:rsid w:val="00BB7708"/>
    <w:rsid w:val="00BC0FDD"/>
    <w:rsid w:val="00BC22E0"/>
    <w:rsid w:val="00BC4AA7"/>
    <w:rsid w:val="00BC5852"/>
    <w:rsid w:val="00BC6896"/>
    <w:rsid w:val="00BD293B"/>
    <w:rsid w:val="00BD5425"/>
    <w:rsid w:val="00BD6F2F"/>
    <w:rsid w:val="00BD705F"/>
    <w:rsid w:val="00BE28ED"/>
    <w:rsid w:val="00BE55D6"/>
    <w:rsid w:val="00BE61B8"/>
    <w:rsid w:val="00BF030A"/>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297C"/>
    <w:rsid w:val="00C92C1D"/>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4D94"/>
    <w:rsid w:val="00CC5FF3"/>
    <w:rsid w:val="00CD7178"/>
    <w:rsid w:val="00CE2ADF"/>
    <w:rsid w:val="00CE33FC"/>
    <w:rsid w:val="00CE4B84"/>
    <w:rsid w:val="00CE74B0"/>
    <w:rsid w:val="00CF00DE"/>
    <w:rsid w:val="00CF052D"/>
    <w:rsid w:val="00CF1D7D"/>
    <w:rsid w:val="00CF3998"/>
    <w:rsid w:val="00CF45D3"/>
    <w:rsid w:val="00CF4D04"/>
    <w:rsid w:val="00CF4E1C"/>
    <w:rsid w:val="00CF6B6C"/>
    <w:rsid w:val="00CF7B6B"/>
    <w:rsid w:val="00D0001C"/>
    <w:rsid w:val="00D00804"/>
    <w:rsid w:val="00D01094"/>
    <w:rsid w:val="00D01EA5"/>
    <w:rsid w:val="00D02978"/>
    <w:rsid w:val="00D03A57"/>
    <w:rsid w:val="00D042BB"/>
    <w:rsid w:val="00D0444B"/>
    <w:rsid w:val="00D06321"/>
    <w:rsid w:val="00D0676A"/>
    <w:rsid w:val="00D06CA0"/>
    <w:rsid w:val="00D07106"/>
    <w:rsid w:val="00D07E06"/>
    <w:rsid w:val="00D1014B"/>
    <w:rsid w:val="00D108E6"/>
    <w:rsid w:val="00D1312A"/>
    <w:rsid w:val="00D13159"/>
    <w:rsid w:val="00D13814"/>
    <w:rsid w:val="00D14BA9"/>
    <w:rsid w:val="00D16498"/>
    <w:rsid w:val="00D17789"/>
    <w:rsid w:val="00D21565"/>
    <w:rsid w:val="00D2737E"/>
    <w:rsid w:val="00D274A9"/>
    <w:rsid w:val="00D30750"/>
    <w:rsid w:val="00D32644"/>
    <w:rsid w:val="00D33619"/>
    <w:rsid w:val="00D36D0F"/>
    <w:rsid w:val="00D40C02"/>
    <w:rsid w:val="00D4142D"/>
    <w:rsid w:val="00D427A6"/>
    <w:rsid w:val="00D42AFE"/>
    <w:rsid w:val="00D44A9E"/>
    <w:rsid w:val="00D46910"/>
    <w:rsid w:val="00D475A2"/>
    <w:rsid w:val="00D5015D"/>
    <w:rsid w:val="00D52355"/>
    <w:rsid w:val="00D52AC7"/>
    <w:rsid w:val="00D53360"/>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76B2D"/>
    <w:rsid w:val="00D8195B"/>
    <w:rsid w:val="00D83503"/>
    <w:rsid w:val="00D84724"/>
    <w:rsid w:val="00D8554E"/>
    <w:rsid w:val="00D8619F"/>
    <w:rsid w:val="00D86764"/>
    <w:rsid w:val="00D872D8"/>
    <w:rsid w:val="00D91F4E"/>
    <w:rsid w:val="00D93A67"/>
    <w:rsid w:val="00D93F28"/>
    <w:rsid w:val="00D96FC1"/>
    <w:rsid w:val="00DA2E2B"/>
    <w:rsid w:val="00DA3DE4"/>
    <w:rsid w:val="00DA69DE"/>
    <w:rsid w:val="00DB5C0A"/>
    <w:rsid w:val="00DB6DAF"/>
    <w:rsid w:val="00DB72E5"/>
    <w:rsid w:val="00DC0AF1"/>
    <w:rsid w:val="00DC2393"/>
    <w:rsid w:val="00DC588B"/>
    <w:rsid w:val="00DC64BF"/>
    <w:rsid w:val="00DD0123"/>
    <w:rsid w:val="00DD13E2"/>
    <w:rsid w:val="00DD45AF"/>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51EF9"/>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1D0"/>
    <w:rsid w:val="00E75790"/>
    <w:rsid w:val="00E80180"/>
    <w:rsid w:val="00E8129E"/>
    <w:rsid w:val="00E81A2B"/>
    <w:rsid w:val="00E81E42"/>
    <w:rsid w:val="00E83011"/>
    <w:rsid w:val="00E83A01"/>
    <w:rsid w:val="00E861BA"/>
    <w:rsid w:val="00E91EBF"/>
    <w:rsid w:val="00E97676"/>
    <w:rsid w:val="00EA1CE1"/>
    <w:rsid w:val="00EA1F89"/>
    <w:rsid w:val="00EA4C60"/>
    <w:rsid w:val="00EB08A0"/>
    <w:rsid w:val="00EB117B"/>
    <w:rsid w:val="00EB40D6"/>
    <w:rsid w:val="00EB5CDD"/>
    <w:rsid w:val="00EB5F75"/>
    <w:rsid w:val="00EB7852"/>
    <w:rsid w:val="00EB79CD"/>
    <w:rsid w:val="00EC060D"/>
    <w:rsid w:val="00EC2525"/>
    <w:rsid w:val="00EC4F33"/>
    <w:rsid w:val="00ED3DE9"/>
    <w:rsid w:val="00ED4B06"/>
    <w:rsid w:val="00EE0713"/>
    <w:rsid w:val="00EE07A6"/>
    <w:rsid w:val="00EE0F2E"/>
    <w:rsid w:val="00EE2A41"/>
    <w:rsid w:val="00EE4E10"/>
    <w:rsid w:val="00EE525B"/>
    <w:rsid w:val="00EE633C"/>
    <w:rsid w:val="00EF09FB"/>
    <w:rsid w:val="00EF0CFD"/>
    <w:rsid w:val="00EF0DE2"/>
    <w:rsid w:val="00EF4DFA"/>
    <w:rsid w:val="00EF5F08"/>
    <w:rsid w:val="00EF7736"/>
    <w:rsid w:val="00F02923"/>
    <w:rsid w:val="00F0351B"/>
    <w:rsid w:val="00F04089"/>
    <w:rsid w:val="00F06275"/>
    <w:rsid w:val="00F06472"/>
    <w:rsid w:val="00F123EC"/>
    <w:rsid w:val="00F16331"/>
    <w:rsid w:val="00F16803"/>
    <w:rsid w:val="00F22566"/>
    <w:rsid w:val="00F22963"/>
    <w:rsid w:val="00F30AEF"/>
    <w:rsid w:val="00F32406"/>
    <w:rsid w:val="00F378B2"/>
    <w:rsid w:val="00F403EA"/>
    <w:rsid w:val="00F40B51"/>
    <w:rsid w:val="00F40E4D"/>
    <w:rsid w:val="00F41DE4"/>
    <w:rsid w:val="00F41F3D"/>
    <w:rsid w:val="00F42499"/>
    <w:rsid w:val="00F42753"/>
    <w:rsid w:val="00F44DC5"/>
    <w:rsid w:val="00F46CE7"/>
    <w:rsid w:val="00F471AE"/>
    <w:rsid w:val="00F510DB"/>
    <w:rsid w:val="00F52FAE"/>
    <w:rsid w:val="00F548C1"/>
    <w:rsid w:val="00F55016"/>
    <w:rsid w:val="00F604E0"/>
    <w:rsid w:val="00F6232F"/>
    <w:rsid w:val="00F648E3"/>
    <w:rsid w:val="00F6501E"/>
    <w:rsid w:val="00F70615"/>
    <w:rsid w:val="00F72722"/>
    <w:rsid w:val="00F727B0"/>
    <w:rsid w:val="00F7598B"/>
    <w:rsid w:val="00F87ADD"/>
    <w:rsid w:val="00F914FD"/>
    <w:rsid w:val="00F9164E"/>
    <w:rsid w:val="00F92D2B"/>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1407"/>
    <w:rsid w:val="00FC22E1"/>
    <w:rsid w:val="00FC2C8C"/>
    <w:rsid w:val="00FC3549"/>
    <w:rsid w:val="00FC4F9B"/>
    <w:rsid w:val="00FC59F0"/>
    <w:rsid w:val="00FD302E"/>
    <w:rsid w:val="00FD4599"/>
    <w:rsid w:val="00FD4784"/>
    <w:rsid w:val="00FD5753"/>
    <w:rsid w:val="00FD65FE"/>
    <w:rsid w:val="00FD6FD8"/>
    <w:rsid w:val="00FE00DA"/>
    <w:rsid w:val="00FE0FAF"/>
    <w:rsid w:val="00FE3182"/>
    <w:rsid w:val="00FE35B1"/>
    <w:rsid w:val="00FE3C36"/>
    <w:rsid w:val="00FE427F"/>
    <w:rsid w:val="00FE72EA"/>
    <w:rsid w:val="00FF2475"/>
    <w:rsid w:val="00FF3477"/>
    <w:rsid w:val="00FF4138"/>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6453455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OLOYUCAN/art_92_ii_b/3.web"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188B7-EC67-44CB-87B7-4E5CC2B61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27</Pages>
  <Words>5242</Words>
  <Characters>28833</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USUARIO-INFOEM</cp:lastModifiedBy>
  <cp:revision>6</cp:revision>
  <cp:lastPrinted>2018-12-04T20:35:00Z</cp:lastPrinted>
  <dcterms:created xsi:type="dcterms:W3CDTF">2021-11-08T22:37:00Z</dcterms:created>
  <dcterms:modified xsi:type="dcterms:W3CDTF">2021-12-01T15:35:00Z</dcterms:modified>
</cp:coreProperties>
</file>