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B0B" w:rsidRPr="009B6FD5" w:rsidRDefault="003F6B0B" w:rsidP="003F6B0B">
      <w:pPr>
        <w:spacing w:line="360" w:lineRule="auto"/>
        <w:jc w:val="both"/>
        <w:rPr>
          <w:rFonts w:ascii="Palatino Linotype" w:hAnsi="Palatino Linotype"/>
          <w:lang w:val="es-ES_tradnl" w:eastAsia="es-ES"/>
        </w:rPr>
      </w:pPr>
    </w:p>
    <w:p w:rsidR="003F6B0B" w:rsidRPr="009B6FD5" w:rsidRDefault="003F6B0B" w:rsidP="003F6B0B">
      <w:pPr>
        <w:spacing w:line="360" w:lineRule="auto"/>
        <w:jc w:val="center"/>
        <w:rPr>
          <w:rFonts w:ascii="Palatino Linotype" w:eastAsiaTheme="minorEastAsia" w:hAnsi="Palatino Linotype"/>
          <w:lang w:val="es-ES_tradnl" w:eastAsia="es-ES"/>
        </w:rPr>
      </w:pPr>
      <w:r w:rsidRPr="009B6FD5">
        <w:rPr>
          <w:rFonts w:ascii="Palatino Linotype" w:eastAsiaTheme="minorEastAsia" w:hAnsi="Palatino Linotype"/>
          <w:b/>
          <w:lang w:val="es-ES_tradnl" w:eastAsia="es-ES"/>
        </w:rPr>
        <w:t>ÍNDICE</w:t>
      </w:r>
      <w:r w:rsidRPr="009B6FD5">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3F6B0B" w:rsidRPr="009B6FD5" w:rsidRDefault="003F6B0B" w:rsidP="003F6B0B">
          <w:pPr>
            <w:keepNext/>
            <w:keepLines/>
            <w:spacing w:line="360" w:lineRule="auto"/>
            <w:rPr>
              <w:rFonts w:ascii="Palatino Linotype" w:eastAsiaTheme="majorEastAsia" w:hAnsi="Palatino Linotype" w:cstheme="majorBidi"/>
              <w:b/>
              <w:szCs w:val="32"/>
            </w:rPr>
          </w:pPr>
        </w:p>
        <w:p w:rsidR="004B2D00" w:rsidRPr="004B2D00" w:rsidRDefault="003F6B0B" w:rsidP="004B2D00">
          <w:pPr>
            <w:pStyle w:val="TDC1"/>
            <w:tabs>
              <w:tab w:val="right" w:leader="dot" w:pos="9034"/>
            </w:tabs>
            <w:jc w:val="right"/>
            <w:rPr>
              <w:rFonts w:ascii="Palatino Linotype" w:eastAsiaTheme="minorEastAsia" w:hAnsi="Palatino Linotype"/>
              <w:b/>
              <w:noProof/>
              <w:lang w:val="es-ES" w:eastAsia="es-ES"/>
            </w:rPr>
          </w:pPr>
          <w:r w:rsidRPr="009B6FD5">
            <w:rPr>
              <w:rFonts w:ascii="Palatino Linotype" w:eastAsiaTheme="minorEastAsia" w:hAnsi="Palatino Linotype"/>
              <w:b/>
              <w:sz w:val="24"/>
              <w:szCs w:val="24"/>
              <w:lang w:val="es-ES_tradnl" w:eastAsia="es-ES"/>
            </w:rPr>
            <w:fldChar w:fldCharType="begin"/>
          </w:r>
          <w:r w:rsidRPr="009B6FD5">
            <w:rPr>
              <w:rFonts w:ascii="Palatino Linotype" w:eastAsiaTheme="minorEastAsia" w:hAnsi="Palatino Linotype"/>
              <w:b/>
              <w:sz w:val="24"/>
              <w:szCs w:val="24"/>
              <w:lang w:val="es-ES_tradnl" w:eastAsia="es-ES"/>
            </w:rPr>
            <w:instrText xml:space="preserve"> TOC \o "1-3" \h \z \u </w:instrText>
          </w:r>
          <w:r w:rsidRPr="009B6FD5">
            <w:rPr>
              <w:rFonts w:ascii="Palatino Linotype" w:eastAsiaTheme="minorEastAsia" w:hAnsi="Palatino Linotype"/>
              <w:b/>
              <w:sz w:val="24"/>
              <w:szCs w:val="24"/>
              <w:lang w:val="es-ES_tradnl" w:eastAsia="es-ES"/>
            </w:rPr>
            <w:fldChar w:fldCharType="separate"/>
          </w:r>
          <w:hyperlink w:anchor="_Toc86261425" w:history="1">
            <w:r w:rsidR="004B2D00" w:rsidRPr="004B2D00">
              <w:rPr>
                <w:rStyle w:val="Hipervnculo"/>
                <w:rFonts w:ascii="Palatino Linotype" w:eastAsiaTheme="majorEastAsia" w:hAnsi="Palatino Linotype" w:cstheme="majorBidi"/>
                <w:b/>
                <w:noProof/>
              </w:rPr>
              <w:t>ANTECEDENTES</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_Toc86261425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2</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26" w:history="1">
            <w:r w:rsidR="004B2D00" w:rsidRPr="004B2D00">
              <w:rPr>
                <w:rStyle w:val="Hipervnculo"/>
                <w:rFonts w:ascii="Palatino Linotype" w:eastAsiaTheme="majorEastAsia" w:hAnsi="Palatino Linotype" w:cstheme="majorBidi"/>
                <w:b/>
                <w:noProof/>
              </w:rPr>
              <w:t>CONSIDERANDO</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_Toc86261426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6</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27" w:history="1">
            <w:r w:rsidR="004B2D00" w:rsidRPr="004B2D00">
              <w:rPr>
                <w:rStyle w:val="Hipervnculo"/>
                <w:rFonts w:ascii="Palatino Linotype" w:eastAsiaTheme="majorEastAsia" w:hAnsi="Palatino Linotype" w:cstheme="majorBidi"/>
                <w:b/>
                <w:noProof/>
              </w:rPr>
              <w:t>PRIMERO. De la competencia</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_Toc86261427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6</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28" w:history="1">
            <w:r w:rsidR="004B2D00" w:rsidRPr="004B2D00">
              <w:rPr>
                <w:rStyle w:val="Hipervnculo"/>
                <w:rFonts w:ascii="Palatino Linotype" w:eastAsiaTheme="majorEastAsia" w:hAnsi="Palatino Linotype" w:cstheme="majorBidi"/>
                <w:b/>
                <w:noProof/>
              </w:rPr>
              <w:t>SEGUNDO. De la oportunidad y procedencia.</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_Toc86261428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7</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29" w:history="1">
            <w:r w:rsidR="004B2D00" w:rsidRPr="004B2D00">
              <w:rPr>
                <w:rStyle w:val="Hipervnculo"/>
                <w:rFonts w:ascii="Palatino Linotype" w:eastAsia="MS Gothic" w:hAnsi="Palatino Linotype" w:cstheme="majorBidi"/>
                <w:b/>
                <w:noProof/>
                <w:lang w:val="es-ES_tradnl" w:eastAsia="es-ES"/>
              </w:rPr>
              <w:t>TERCERO. Planteamiento de la Litis</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_Toc86261429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9</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0" w:history="1">
            <w:r w:rsidR="004B2D00" w:rsidRPr="004B2D00">
              <w:rPr>
                <w:rStyle w:val="Hipervnculo"/>
                <w:rFonts w:ascii="Palatino Linotype" w:eastAsia="MS Gothic" w:hAnsi="Palatino Linotype" w:cstheme="majorBidi"/>
                <w:b/>
                <w:noProof/>
                <w:lang w:val="es-ES_tradnl" w:eastAsia="es-ES"/>
              </w:rPr>
              <w:t>CUARTO. Del estudio y resolución del recurso de revisión.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_Toc86261430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10</w:t>
            </w:r>
            <w:r w:rsidR="004B2D00" w:rsidRPr="004B2D00">
              <w:rPr>
                <w:rFonts w:ascii="Palatino Linotype" w:hAnsi="Palatino Linotype"/>
                <w:b/>
                <w:noProof/>
                <w:webHidden/>
              </w:rPr>
              <w:fldChar w:fldCharType="end"/>
            </w:r>
          </w:hyperlink>
        </w:p>
        <w:p w:rsidR="004B2D00" w:rsidRPr="004B2D00" w:rsidRDefault="00892B72" w:rsidP="004B2D00">
          <w:pPr>
            <w:pStyle w:val="TDC2"/>
            <w:tabs>
              <w:tab w:val="left" w:pos="480"/>
            </w:tabs>
            <w:jc w:val="right"/>
            <w:rPr>
              <w:rFonts w:ascii="Palatino Linotype" w:eastAsiaTheme="minorEastAsia" w:hAnsi="Palatino Linotype"/>
              <w:b/>
              <w:noProof/>
              <w:lang w:val="es-ES" w:eastAsia="es-ES"/>
            </w:rPr>
          </w:pPr>
          <w:hyperlink w:anchor="_Toc86261431" w:history="1">
            <w:r w:rsidR="004B2D00" w:rsidRPr="004B2D00">
              <w:rPr>
                <w:rStyle w:val="Hipervnculo"/>
                <w:rFonts w:ascii="Palatino Linotype" w:eastAsia="MS Gothic" w:hAnsi="Palatino Linotype"/>
                <w:b/>
                <w:noProof/>
                <w:lang w:val="es-ES_tradnl" w:eastAsia="es-ES"/>
              </w:rPr>
              <w:t>I.</w:t>
            </w:r>
            <w:r w:rsidR="004B2D00" w:rsidRPr="004B2D00">
              <w:rPr>
                <w:rFonts w:ascii="Palatino Linotype" w:eastAsiaTheme="minorEastAsia" w:hAnsi="Palatino Linotype"/>
                <w:b/>
                <w:noProof/>
                <w:lang w:val="es-ES" w:eastAsia="es-ES"/>
              </w:rPr>
              <w:tab/>
            </w:r>
            <w:r w:rsidR="004B2D00" w:rsidRPr="004B2D00">
              <w:rPr>
                <w:rStyle w:val="Hipervnculo"/>
                <w:rFonts w:ascii="Palatino Linotype" w:eastAsia="MS Gothic" w:hAnsi="Palatino Linotype"/>
                <w:b/>
                <w:noProof/>
                <w:lang w:val="es-ES_tradnl" w:eastAsia="es-ES"/>
              </w:rPr>
              <w:t>Del derecho de acceso a la información.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_Toc86261431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10</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2" w:history="1">
            <w:r w:rsidR="004B2D00" w:rsidRPr="004B2D00">
              <w:rPr>
                <w:rStyle w:val="Hipervnculo"/>
                <w:rFonts w:ascii="Palatino Linotype" w:hAnsi="Palatino Linotype"/>
                <w:b/>
                <w:noProof/>
              </w:rPr>
              <w:t>II. De la información solicitada y la respuesta del Sujeto Obligado.</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_Toc86261432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15</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3" w:history="1">
            <w:r w:rsidR="004B2D00" w:rsidRPr="004B2D00">
              <w:rPr>
                <w:rStyle w:val="Hipervnculo"/>
                <w:rFonts w:ascii="Palatino Linotype" w:hAnsi="Palatino Linotype" w:cs="Times New Roman"/>
                <w:b/>
                <w:noProof/>
                <w:lang w:eastAsia="es-ES_tradnl"/>
              </w:rPr>
              <w:t xml:space="preserve">QUINTO. </w:t>
            </w:r>
            <w:r w:rsidR="004B2D00" w:rsidRPr="004B2D00">
              <w:rPr>
                <w:rStyle w:val="Hipervnculo"/>
                <w:rFonts w:ascii="Palatino Linotype" w:hAnsi="Palatino Linotype"/>
                <w:b/>
                <w:noProof/>
              </w:rPr>
              <w:t xml:space="preserve"> </w:t>
            </w:r>
            <w:r w:rsidR="004B2D00" w:rsidRPr="004B2D00">
              <w:rPr>
                <w:rStyle w:val="Hipervnculo"/>
                <w:rFonts w:ascii="Palatino Linotype" w:hAnsi="Palatino Linotype" w:cs="Arial"/>
                <w:b/>
                <w:noProof/>
                <w:lang w:val="es-ES_tradnl"/>
              </w:rPr>
              <w:t>De la versión pública y clasificación de la información.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_Toc86261433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27</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34" w:history="1">
            <w:r w:rsidR="004B2D00" w:rsidRPr="004B2D00">
              <w:rPr>
                <w:rStyle w:val="Hipervnculo"/>
                <w:rFonts w:ascii="Palatino Linotype" w:hAnsi="Palatino Linotype"/>
                <w:b/>
                <w:noProof/>
              </w:rPr>
              <w:t>I. De la clasificación de la información.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_Toc86261434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28</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5" w:history="1">
            <w:r w:rsidR="004B2D00" w:rsidRPr="004B2D00">
              <w:rPr>
                <w:rStyle w:val="Hipervnculo"/>
                <w:rFonts w:ascii="Palatino Linotype" w:hAnsi="Palatino Linotype"/>
                <w:b/>
                <w:noProof/>
              </w:rPr>
              <w:t>a) Requisitos previos.</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_Toc86261435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30</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6" w:history="1">
            <w:r w:rsidR="004B2D00" w:rsidRPr="004B2D00">
              <w:rPr>
                <w:rStyle w:val="Hipervnculo"/>
                <w:rFonts w:ascii="Palatino Linotype" w:hAnsi="Palatino Linotype"/>
                <w:b/>
                <w:noProof/>
              </w:rPr>
              <w:t>b) Supuestos de clasificación.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_Toc86261436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31</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7" w:history="1">
            <w:r w:rsidR="004B2D00" w:rsidRPr="004B2D00">
              <w:rPr>
                <w:rStyle w:val="Hipervnculo"/>
                <w:rFonts w:ascii="Palatino Linotype" w:hAnsi="Palatino Linotype"/>
                <w:b/>
                <w:noProof/>
              </w:rPr>
              <w:t>c) Excepciones a los supuestos de clasificación de la información como reservada.</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_Toc86261437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32</w:t>
            </w:r>
            <w:r w:rsidR="004B2D00" w:rsidRPr="004B2D00">
              <w:rPr>
                <w:rFonts w:ascii="Palatino Linotype" w:hAnsi="Palatino Linotype"/>
                <w:b/>
                <w:noProof/>
                <w:webHidden/>
              </w:rPr>
              <w:fldChar w:fldCharType="end"/>
            </w:r>
          </w:hyperlink>
        </w:p>
        <w:p w:rsidR="004B2D00" w:rsidRPr="004B2D00" w:rsidRDefault="00892B72" w:rsidP="004B2D00">
          <w:pPr>
            <w:pStyle w:val="TDC1"/>
            <w:tabs>
              <w:tab w:val="right" w:leader="dot" w:pos="9034"/>
            </w:tabs>
            <w:jc w:val="right"/>
            <w:rPr>
              <w:rFonts w:ascii="Palatino Linotype" w:eastAsiaTheme="minorEastAsia" w:hAnsi="Palatino Linotype"/>
              <w:b/>
              <w:noProof/>
              <w:lang w:val="es-ES" w:eastAsia="es-ES"/>
            </w:rPr>
          </w:pPr>
          <w:hyperlink w:anchor="_Toc86261438" w:history="1">
            <w:r w:rsidR="004B2D00" w:rsidRPr="004B2D00">
              <w:rPr>
                <w:rStyle w:val="Hipervnculo"/>
                <w:rFonts w:ascii="Palatino Linotype" w:hAnsi="Palatino Linotype"/>
                <w:b/>
                <w:noProof/>
              </w:rPr>
              <w:t>II. La intervención del Comité de Transparencia.</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_Toc86261438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34</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39" w:history="1">
            <w:r w:rsidR="004B2D00" w:rsidRPr="004B2D00">
              <w:rPr>
                <w:rStyle w:val="Hipervnculo"/>
                <w:rFonts w:ascii="Palatino Linotype" w:hAnsi="Palatino Linotype"/>
                <w:b/>
                <w:noProof/>
              </w:rPr>
              <w:t>a) Formalidades para emitir el acuerdo de clasificación.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_Toc86261439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34</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40" w:history="1">
            <w:r w:rsidR="004B2D00" w:rsidRPr="004B2D00">
              <w:rPr>
                <w:rStyle w:val="Hipervnculo"/>
                <w:rFonts w:ascii="Palatino Linotype" w:hAnsi="Palatino Linotype"/>
                <w:b/>
                <w:noProof/>
              </w:rPr>
              <w:t>b) Requisitos de fondo del acuerdo de clasificación.</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_Toc86261440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35</w:t>
            </w:r>
            <w:r w:rsidR="004B2D00" w:rsidRPr="004B2D00">
              <w:rPr>
                <w:rFonts w:ascii="Palatino Linotype" w:hAnsi="Palatino Linotype"/>
                <w:b/>
                <w:noProof/>
                <w:webHidden/>
              </w:rPr>
              <w:fldChar w:fldCharType="end"/>
            </w:r>
          </w:hyperlink>
        </w:p>
        <w:p w:rsidR="004B2D00" w:rsidRPr="004B2D00" w:rsidRDefault="00892B72" w:rsidP="004B2D00">
          <w:pPr>
            <w:pStyle w:val="TDC2"/>
            <w:jc w:val="right"/>
            <w:rPr>
              <w:rFonts w:ascii="Palatino Linotype" w:eastAsiaTheme="minorEastAsia" w:hAnsi="Palatino Linotype"/>
              <w:b/>
              <w:noProof/>
              <w:lang w:val="es-ES" w:eastAsia="es-ES"/>
            </w:rPr>
          </w:pPr>
          <w:hyperlink w:anchor="_Toc86261441" w:history="1">
            <w:r w:rsidR="004B2D00" w:rsidRPr="004B2D00">
              <w:rPr>
                <w:rStyle w:val="Hipervnculo"/>
                <w:rFonts w:ascii="Palatino Linotype" w:hAnsi="Palatino Linotype"/>
                <w:b/>
                <w:noProof/>
              </w:rPr>
              <w:t>Condiciones especiales de la clasificación de la información como confidencial.</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_Toc86261441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38</w:t>
            </w:r>
            <w:r w:rsidR="004B2D00" w:rsidRPr="004B2D00">
              <w:rPr>
                <w:rFonts w:ascii="Palatino Linotype" w:hAnsi="Palatino Linotype"/>
                <w:b/>
                <w:noProof/>
                <w:webHidden/>
              </w:rPr>
              <w:fldChar w:fldCharType="end"/>
            </w:r>
          </w:hyperlink>
        </w:p>
        <w:p w:rsidR="004B2D00" w:rsidRDefault="00892B72" w:rsidP="004B2D00">
          <w:pPr>
            <w:pStyle w:val="TDC1"/>
            <w:tabs>
              <w:tab w:val="right" w:leader="dot" w:pos="9034"/>
            </w:tabs>
            <w:jc w:val="right"/>
            <w:rPr>
              <w:rFonts w:eastAsiaTheme="minorEastAsia"/>
              <w:noProof/>
              <w:lang w:val="es-ES" w:eastAsia="es-ES"/>
            </w:rPr>
          </w:pPr>
          <w:hyperlink w:anchor="_Toc86261442" w:history="1">
            <w:r w:rsidR="004B2D00" w:rsidRPr="004B2D00">
              <w:rPr>
                <w:rStyle w:val="Hipervnculo"/>
                <w:rFonts w:ascii="Palatino Linotype" w:eastAsiaTheme="majorEastAsia" w:hAnsi="Palatino Linotype" w:cstheme="majorBidi"/>
                <w:b/>
                <w:noProof/>
              </w:rPr>
              <w:t>R E S O L U T I V O S</w:t>
            </w:r>
            <w:r w:rsidR="004B2D00" w:rsidRPr="004B2D00">
              <w:rPr>
                <w:rFonts w:ascii="Palatino Linotype" w:hAnsi="Palatino Linotype"/>
                <w:b/>
                <w:noProof/>
                <w:webHidden/>
              </w:rPr>
              <w:tab/>
            </w:r>
            <w:r w:rsidR="004B2D00" w:rsidRPr="004B2D00">
              <w:rPr>
                <w:rFonts w:ascii="Palatino Linotype" w:hAnsi="Palatino Linotype"/>
                <w:b/>
                <w:noProof/>
                <w:webHidden/>
              </w:rPr>
              <w:fldChar w:fldCharType="begin"/>
            </w:r>
            <w:r w:rsidR="004B2D00" w:rsidRPr="004B2D00">
              <w:rPr>
                <w:rFonts w:ascii="Palatino Linotype" w:hAnsi="Palatino Linotype"/>
                <w:b/>
                <w:noProof/>
                <w:webHidden/>
              </w:rPr>
              <w:instrText xml:space="preserve"> PAGEREF _Toc86261442 \h </w:instrText>
            </w:r>
            <w:r w:rsidR="004B2D00" w:rsidRPr="004B2D00">
              <w:rPr>
                <w:rFonts w:ascii="Palatino Linotype" w:hAnsi="Palatino Linotype"/>
                <w:b/>
                <w:noProof/>
                <w:webHidden/>
              </w:rPr>
            </w:r>
            <w:r w:rsidR="004B2D00" w:rsidRPr="004B2D00">
              <w:rPr>
                <w:rFonts w:ascii="Palatino Linotype" w:hAnsi="Palatino Linotype"/>
                <w:b/>
                <w:noProof/>
                <w:webHidden/>
              </w:rPr>
              <w:fldChar w:fldCharType="separate"/>
            </w:r>
            <w:r w:rsidR="004B2D00" w:rsidRPr="004B2D00">
              <w:rPr>
                <w:rFonts w:ascii="Palatino Linotype" w:hAnsi="Palatino Linotype"/>
                <w:b/>
                <w:noProof/>
                <w:webHidden/>
              </w:rPr>
              <w:t>44</w:t>
            </w:r>
            <w:r w:rsidR="004B2D00" w:rsidRPr="004B2D00">
              <w:rPr>
                <w:rFonts w:ascii="Palatino Linotype" w:hAnsi="Palatino Linotype"/>
                <w:b/>
                <w:noProof/>
                <w:webHidden/>
              </w:rPr>
              <w:fldChar w:fldCharType="end"/>
            </w:r>
          </w:hyperlink>
        </w:p>
        <w:p w:rsidR="003F6B0B" w:rsidRPr="009B6FD5" w:rsidRDefault="003F6B0B" w:rsidP="003F6B0B">
          <w:pPr>
            <w:spacing w:line="360" w:lineRule="auto"/>
            <w:rPr>
              <w:rFonts w:ascii="Palatino Linotype" w:eastAsiaTheme="minorEastAsia" w:hAnsi="Palatino Linotype"/>
              <w:lang w:val="es-ES_tradnl" w:eastAsia="es-ES"/>
            </w:rPr>
          </w:pPr>
          <w:r w:rsidRPr="009B6FD5">
            <w:rPr>
              <w:rFonts w:ascii="Palatino Linotype" w:eastAsiaTheme="minorEastAsia" w:hAnsi="Palatino Linotype"/>
              <w:b/>
              <w:bCs/>
              <w:lang w:val="es-ES" w:eastAsia="es-ES"/>
            </w:rPr>
            <w:fldChar w:fldCharType="end"/>
          </w:r>
        </w:p>
      </w:sdtContent>
    </w:sdt>
    <w:p w:rsidR="003F6B0B" w:rsidRPr="009B6FD5" w:rsidRDefault="003F6B0B" w:rsidP="003F6B0B">
      <w:pPr>
        <w:spacing w:line="360" w:lineRule="auto"/>
        <w:jc w:val="both"/>
        <w:rPr>
          <w:rFonts w:ascii="Palatino Linotype" w:eastAsiaTheme="minorEastAsia" w:hAnsi="Palatino Linotype"/>
          <w:lang w:val="es-ES_tradnl" w:eastAsia="es-ES"/>
        </w:rPr>
      </w:pPr>
    </w:p>
    <w:p w:rsidR="003F6B0B" w:rsidRPr="009B6FD5" w:rsidRDefault="003F6B0B" w:rsidP="003F6B0B">
      <w:pPr>
        <w:spacing w:line="360" w:lineRule="auto"/>
        <w:jc w:val="both"/>
        <w:rPr>
          <w:rFonts w:ascii="Palatino Linotype" w:eastAsiaTheme="minorEastAsia" w:hAnsi="Palatino Linotype"/>
          <w:lang w:val="es-ES_tradnl" w:eastAsia="es-ES"/>
        </w:rPr>
      </w:pPr>
    </w:p>
    <w:p w:rsidR="003F6B0B" w:rsidRPr="009B6FD5" w:rsidRDefault="003F6B0B" w:rsidP="003F6B0B">
      <w:pPr>
        <w:spacing w:line="360" w:lineRule="auto"/>
        <w:jc w:val="both"/>
        <w:rPr>
          <w:rFonts w:ascii="Palatino Linotype" w:eastAsiaTheme="minorEastAsia" w:hAnsi="Palatino Linotype"/>
          <w:lang w:val="es-ES_tradnl" w:eastAsia="es-ES"/>
        </w:rPr>
      </w:pPr>
    </w:p>
    <w:p w:rsidR="003F6B0B" w:rsidRPr="009B6FD5" w:rsidRDefault="003F6B0B" w:rsidP="003F6B0B">
      <w:pPr>
        <w:spacing w:line="360" w:lineRule="auto"/>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Theme="minorEastAsia" w:hAnsi="Palatino Linotype"/>
          <w:lang w:val="es-ES_tradnl" w:eastAsia="es-ES"/>
        </w:rPr>
        <w:t>cuatro (04) de noviembre</w:t>
      </w:r>
      <w:r w:rsidRPr="009B6FD5">
        <w:rPr>
          <w:rFonts w:ascii="Palatino Linotype" w:eastAsiaTheme="minorEastAsia" w:hAnsi="Palatino Linotype"/>
          <w:lang w:val="es-ES_tradnl" w:eastAsia="es-ES"/>
        </w:rPr>
        <w:t xml:space="preserve">  de dos mil veintiuno.</w:t>
      </w:r>
    </w:p>
    <w:p w:rsidR="003F6B0B" w:rsidRPr="009B6FD5" w:rsidRDefault="003F6B0B" w:rsidP="003F6B0B">
      <w:pPr>
        <w:spacing w:line="360" w:lineRule="auto"/>
        <w:jc w:val="both"/>
        <w:rPr>
          <w:rFonts w:ascii="Palatino Linotype" w:eastAsiaTheme="minorEastAsia" w:hAnsi="Palatino Linotype"/>
          <w:lang w:val="es-ES_tradnl" w:eastAsia="es-ES"/>
        </w:rPr>
      </w:pPr>
    </w:p>
    <w:p w:rsidR="003F6B0B" w:rsidRPr="009B6FD5" w:rsidRDefault="003F6B0B" w:rsidP="003F6B0B">
      <w:pPr>
        <w:spacing w:line="360" w:lineRule="auto"/>
        <w:jc w:val="both"/>
        <w:rPr>
          <w:rFonts w:ascii="Palatino Linotype" w:hAnsi="Palatino Linotype"/>
        </w:rPr>
      </w:pPr>
      <w:r w:rsidRPr="009B6FD5">
        <w:rPr>
          <w:rFonts w:ascii="Palatino Linotype" w:hAnsi="Palatino Linotype"/>
          <w:b/>
        </w:rPr>
        <w:t>VISTO</w:t>
      </w:r>
      <w:r w:rsidRPr="009B6FD5">
        <w:rPr>
          <w:rFonts w:ascii="Palatino Linotype" w:hAnsi="Palatino Linotype"/>
        </w:rPr>
        <w:t xml:space="preserve"> el expediente electrónico formado con motivo del recurso de revisión </w:t>
      </w:r>
      <w:r>
        <w:rPr>
          <w:rFonts w:ascii="Palatino Linotype" w:hAnsi="Palatino Linotype"/>
          <w:b/>
        </w:rPr>
        <w:t>04313</w:t>
      </w:r>
      <w:r w:rsidRPr="009B6FD5">
        <w:rPr>
          <w:rFonts w:ascii="Palatino Linotype" w:hAnsi="Palatino Linotype"/>
          <w:b/>
        </w:rPr>
        <w:t>/INFOEM/IP/RR/2021,</w:t>
      </w:r>
      <w:r w:rsidRPr="009B6FD5">
        <w:rPr>
          <w:rFonts w:ascii="Palatino Linotype" w:hAnsi="Palatino Linotype" w:cs="Arial"/>
          <w:b/>
          <w:bCs/>
        </w:rPr>
        <w:t xml:space="preserve"> </w:t>
      </w:r>
      <w:r w:rsidRPr="009B6FD5">
        <w:rPr>
          <w:rFonts w:ascii="Palatino Linotype" w:eastAsiaTheme="minorEastAsia" w:hAnsi="Palatino Linotype"/>
          <w:lang w:val="es-ES_tradnl" w:eastAsia="es-ES"/>
        </w:rPr>
        <w:t>promovido por un usuario del Sistema de Acceso a la Información Mexiquense (SAIMEX)</w:t>
      </w:r>
      <w:r w:rsidRPr="009B6FD5">
        <w:rPr>
          <w:rFonts w:ascii="Palatino Linotype" w:hAnsi="Palatino Linotype"/>
        </w:rPr>
        <w:t xml:space="preserve">, quien no proporciono nombre o pseudónimo para ser identificado, y que en lo sucesivo se identificará como </w:t>
      </w:r>
      <w:r w:rsidRPr="009B6FD5">
        <w:rPr>
          <w:rFonts w:ascii="Palatino Linotype" w:hAnsi="Palatino Linotype"/>
          <w:b/>
        </w:rPr>
        <w:t xml:space="preserve">EL </w:t>
      </w:r>
      <w:r w:rsidRPr="009B6FD5">
        <w:rPr>
          <w:rFonts w:ascii="Palatino Linotype" w:hAnsi="Palatino Linotype" w:cs="Arial"/>
          <w:b/>
        </w:rPr>
        <w:t>RECURRENTE</w:t>
      </w:r>
      <w:r w:rsidRPr="009B6FD5">
        <w:rPr>
          <w:rFonts w:ascii="Palatino Linotype" w:hAnsi="Palatino Linotype" w:cs="Arial"/>
        </w:rPr>
        <w:t xml:space="preserve">, en contra de la respuesta del </w:t>
      </w:r>
      <w:r>
        <w:rPr>
          <w:rFonts w:ascii="Palatino Linotype" w:hAnsi="Palatino Linotype" w:cs="Arial"/>
          <w:b/>
        </w:rPr>
        <w:t>Ayuntamiento de Ocoyoacac</w:t>
      </w:r>
      <w:r w:rsidRPr="009B6FD5">
        <w:rPr>
          <w:rFonts w:ascii="Palatino Linotype" w:hAnsi="Palatino Linotype" w:cs="Arial"/>
          <w:b/>
        </w:rPr>
        <w:t>,</w:t>
      </w:r>
      <w:r w:rsidRPr="009B6FD5">
        <w:rPr>
          <w:rFonts w:ascii="Palatino Linotype" w:hAnsi="Palatino Linotype"/>
          <w:b/>
        </w:rPr>
        <w:t xml:space="preserve"> </w:t>
      </w:r>
      <w:r w:rsidRPr="009B6FD5">
        <w:rPr>
          <w:rFonts w:ascii="Palatino Linotype" w:hAnsi="Palatino Linotype"/>
        </w:rPr>
        <w:t>en lo sucesivo el</w:t>
      </w:r>
      <w:r w:rsidRPr="009B6FD5">
        <w:rPr>
          <w:rFonts w:ascii="Palatino Linotype" w:hAnsi="Palatino Linotype"/>
          <w:b/>
        </w:rPr>
        <w:t xml:space="preserve"> SUJETO OBLIGADO</w:t>
      </w:r>
      <w:r w:rsidRPr="009B6FD5">
        <w:rPr>
          <w:rFonts w:ascii="Palatino Linotype" w:hAnsi="Palatino Linotype"/>
        </w:rPr>
        <w:t>, por lo que se procede a dictar la presente resolución, con base en los siguientes:</w:t>
      </w:r>
    </w:p>
    <w:p w:rsidR="003F6B0B" w:rsidRPr="009B6FD5" w:rsidRDefault="003F6B0B" w:rsidP="003F6B0B">
      <w:pPr>
        <w:spacing w:line="360" w:lineRule="auto"/>
        <w:jc w:val="both"/>
        <w:rPr>
          <w:rFonts w:ascii="Palatino Linotype" w:hAnsi="Palatino Linotype"/>
        </w:rPr>
      </w:pPr>
    </w:p>
    <w:p w:rsidR="003F6B0B" w:rsidRPr="009B6FD5" w:rsidRDefault="003F6B0B" w:rsidP="003F6B0B">
      <w:pPr>
        <w:keepNext/>
        <w:keepLines/>
        <w:spacing w:line="360" w:lineRule="auto"/>
        <w:jc w:val="center"/>
        <w:outlineLvl w:val="0"/>
        <w:rPr>
          <w:rFonts w:ascii="Palatino Linotype" w:eastAsiaTheme="majorEastAsia" w:hAnsi="Palatino Linotype" w:cstheme="majorBidi"/>
          <w:b/>
          <w:szCs w:val="32"/>
        </w:rPr>
      </w:pPr>
      <w:bookmarkStart w:id="0" w:name="_Toc86261425"/>
      <w:r w:rsidRPr="009B6FD5">
        <w:rPr>
          <w:rFonts w:ascii="Palatino Linotype" w:eastAsiaTheme="majorEastAsia" w:hAnsi="Palatino Linotype" w:cstheme="majorBidi"/>
          <w:b/>
          <w:szCs w:val="32"/>
        </w:rPr>
        <w:t>ANTECEDENTES</w:t>
      </w:r>
      <w:bookmarkEnd w:id="0"/>
    </w:p>
    <w:p w:rsidR="003F6B0B" w:rsidRPr="009B6FD5" w:rsidRDefault="003F6B0B" w:rsidP="003F6B0B">
      <w:pPr>
        <w:spacing w:line="360" w:lineRule="auto"/>
        <w:rPr>
          <w:rFonts w:ascii="Palatino Linotype" w:eastAsiaTheme="minorEastAsia" w:hAnsi="Palatino Linotype"/>
        </w:rPr>
      </w:pPr>
    </w:p>
    <w:p w:rsidR="003F6B0B" w:rsidRPr="009B6FD5" w:rsidRDefault="003F6B0B" w:rsidP="003F6B0B">
      <w:pPr>
        <w:numPr>
          <w:ilvl w:val="0"/>
          <w:numId w:val="1"/>
        </w:numPr>
        <w:spacing w:line="360" w:lineRule="auto"/>
        <w:ind w:left="0" w:firstLine="0"/>
        <w:contextualSpacing/>
        <w:jc w:val="both"/>
        <w:rPr>
          <w:rFonts w:ascii="Palatino Linotype" w:hAnsi="Palatino Linotype" w:cs="Arial"/>
          <w:lang w:val="es-ES" w:eastAsia="es-ES"/>
        </w:rPr>
      </w:pPr>
      <w:r>
        <w:rPr>
          <w:rFonts w:ascii="Palatino Linotype" w:eastAsia="Calibri" w:hAnsi="Palatino Linotype" w:cs="Arial"/>
          <w:lang w:val="es-ES" w:eastAsia="es-ES"/>
        </w:rPr>
        <w:t>El día catorce (14) de julio</w:t>
      </w:r>
      <w:r w:rsidRPr="009B6FD5">
        <w:rPr>
          <w:rFonts w:ascii="Palatino Linotype" w:eastAsia="Calibri" w:hAnsi="Palatino Linotype" w:cs="Arial"/>
          <w:lang w:val="es-ES" w:eastAsia="es-ES"/>
        </w:rPr>
        <w:t xml:space="preserve">  de dos mil veintiuno,</w:t>
      </w:r>
      <w:r w:rsidRPr="009B6FD5">
        <w:rPr>
          <w:rFonts w:ascii="Palatino Linotype" w:eastAsia="Calibri" w:hAnsi="Palatino Linotype"/>
          <w:lang w:val="es-ES" w:eastAsia="es-ES"/>
        </w:rPr>
        <w:t xml:space="preserve"> </w:t>
      </w:r>
      <w:r w:rsidRPr="009B6FD5">
        <w:rPr>
          <w:rFonts w:ascii="Palatino Linotype" w:eastAsia="Calibri" w:hAnsi="Palatino Linotype"/>
          <w:b/>
          <w:lang w:val="es-ES" w:eastAsia="es-ES"/>
        </w:rPr>
        <w:t>EL RECURRENTE</w:t>
      </w:r>
      <w:r w:rsidRPr="009B6FD5">
        <w:rPr>
          <w:rFonts w:ascii="Palatino Linotype" w:eastAsiaTheme="minorEastAsia" w:hAnsi="Palatino Linotype"/>
          <w:b/>
          <w:lang w:val="es-ES_tradnl" w:eastAsia="es-ES"/>
        </w:rPr>
        <w:t>,</w:t>
      </w:r>
      <w:r w:rsidRPr="009B6FD5">
        <w:rPr>
          <w:rFonts w:ascii="Palatino Linotype" w:eastAsia="Calibri" w:hAnsi="Palatino Linotype" w:cs="Arial"/>
          <w:lang w:val="es-ES" w:eastAsia="es-ES"/>
        </w:rPr>
        <w:t xml:space="preserve"> ante el </w:t>
      </w:r>
      <w:r w:rsidRPr="009B6FD5">
        <w:rPr>
          <w:rFonts w:ascii="Palatino Linotype" w:eastAsia="Calibri" w:hAnsi="Palatino Linotype" w:cs="Arial"/>
          <w:b/>
          <w:lang w:val="es-ES" w:eastAsia="es-ES"/>
        </w:rPr>
        <w:t>SUJETO OBLIGADO</w:t>
      </w:r>
      <w:r w:rsidRPr="009B6FD5">
        <w:rPr>
          <w:rFonts w:ascii="Palatino Linotype" w:eastAsia="Calibri" w:hAnsi="Palatino Linotype" w:cs="Arial"/>
          <w:lang w:val="es-ES_tradnl" w:eastAsia="es-ES"/>
        </w:rPr>
        <w:t xml:space="preserve"> vía </w:t>
      </w:r>
      <w:r w:rsidRPr="009B6FD5">
        <w:rPr>
          <w:rFonts w:ascii="Palatino Linotype" w:eastAsia="Calibri" w:hAnsi="Palatino Linotype" w:cs="Arial"/>
          <w:lang w:val="es-ES" w:eastAsia="es-ES"/>
        </w:rPr>
        <w:t>Sistema de Acceso a la Información Mexiquense (</w:t>
      </w:r>
      <w:r w:rsidRPr="009B6FD5">
        <w:rPr>
          <w:rFonts w:ascii="Palatino Linotype" w:eastAsia="Calibri" w:hAnsi="Palatino Linotype" w:cs="Arial"/>
          <w:b/>
          <w:lang w:val="es-ES" w:eastAsia="es-ES"/>
        </w:rPr>
        <w:t>SAIMEX)</w:t>
      </w:r>
      <w:r w:rsidRPr="009B6FD5">
        <w:rPr>
          <w:rFonts w:ascii="Palatino Linotype" w:eastAsia="Calibri" w:hAnsi="Palatino Linotype" w:cs="Arial"/>
          <w:lang w:val="es-ES" w:eastAsia="es-ES"/>
        </w:rPr>
        <w:t xml:space="preserve">, presentó una solicitud de información registrada con el número </w:t>
      </w:r>
      <w:r w:rsidRPr="003F6B0B">
        <w:rPr>
          <w:rFonts w:ascii="Palatino Linotype" w:hAnsi="Palatino Linotype"/>
          <w:b/>
          <w:bCs/>
        </w:rPr>
        <w:t>00297/OCOYOAC/IP/2021</w:t>
      </w:r>
      <w:r w:rsidRPr="009B6FD5">
        <w:rPr>
          <w:rFonts w:ascii="Palatino Linotype" w:eastAsiaTheme="minorEastAsia" w:hAnsi="Palatino Linotype"/>
          <w:b/>
          <w:lang w:val="es-ES_tradnl" w:eastAsia="es-ES"/>
        </w:rPr>
        <w:t xml:space="preserve">, </w:t>
      </w:r>
      <w:r w:rsidRPr="009B6FD5">
        <w:rPr>
          <w:rFonts w:ascii="Palatino Linotype" w:eastAsia="Calibri" w:hAnsi="Palatino Linotype" w:cs="Arial"/>
          <w:lang w:val="es-ES" w:eastAsia="es-ES"/>
        </w:rPr>
        <w:t>mediante la cual solicitó lo siguiente:</w:t>
      </w:r>
    </w:p>
    <w:p w:rsidR="003F6B0B" w:rsidRPr="009B6FD5" w:rsidRDefault="003F6B0B" w:rsidP="003F6B0B">
      <w:pPr>
        <w:spacing w:line="360" w:lineRule="auto"/>
        <w:contextualSpacing/>
        <w:jc w:val="both"/>
        <w:rPr>
          <w:rFonts w:ascii="Palatino Linotype" w:hAnsi="Palatino Linotype" w:cs="Arial"/>
          <w:lang w:val="es-ES" w:eastAsia="es-ES"/>
        </w:rPr>
      </w:pPr>
    </w:p>
    <w:p w:rsidR="003F6B0B" w:rsidRPr="009B6FD5" w:rsidRDefault="003F6B0B" w:rsidP="003F6B0B">
      <w:pPr>
        <w:pStyle w:val="Prrafodelista"/>
        <w:spacing w:line="360" w:lineRule="auto"/>
        <w:ind w:left="1069" w:right="567"/>
        <w:jc w:val="both"/>
        <w:rPr>
          <w:rFonts w:ascii="Palatino Linotype" w:hAnsi="Palatino Linotype"/>
          <w:i/>
          <w:color w:val="000000"/>
        </w:rPr>
      </w:pPr>
      <w:r w:rsidRPr="009B6FD5">
        <w:rPr>
          <w:rFonts w:ascii="Palatino Linotype" w:hAnsi="Palatino Linotype"/>
          <w:i/>
          <w:color w:val="000000"/>
        </w:rPr>
        <w:t xml:space="preserve"> “</w:t>
      </w:r>
      <w:r w:rsidRPr="003F6B0B">
        <w:rPr>
          <w:rFonts w:ascii="Palatino Linotype" w:hAnsi="Palatino Linotype"/>
          <w:i/>
          <w:color w:val="000000"/>
        </w:rPr>
        <w:t>Solicito todos los procedimientos adquisitivos del imcufide y del dif en versión pública obviamente de ocoyoacac</w:t>
      </w:r>
      <w:r w:rsidRPr="009B6FD5">
        <w:rPr>
          <w:rFonts w:ascii="Palatino Linotype" w:hAnsi="Palatino Linotype"/>
          <w:i/>
          <w:color w:val="000000"/>
        </w:rPr>
        <w:t xml:space="preserve">” (Sic) </w:t>
      </w:r>
    </w:p>
    <w:p w:rsidR="003F6B0B" w:rsidRPr="009B6FD5" w:rsidRDefault="003F6B0B" w:rsidP="003F6B0B">
      <w:pPr>
        <w:pStyle w:val="Prrafodelista"/>
        <w:spacing w:line="360" w:lineRule="auto"/>
        <w:ind w:left="1069" w:right="567"/>
        <w:jc w:val="both"/>
        <w:rPr>
          <w:rFonts w:ascii="Palatino Linotype" w:eastAsia="Calibri" w:hAnsi="Palatino Linotype" w:cs="Arial"/>
          <w:i/>
          <w:lang w:val="es-ES" w:eastAsia="es-ES"/>
        </w:rPr>
      </w:pPr>
    </w:p>
    <w:p w:rsidR="003F6B0B" w:rsidRPr="009B6FD5" w:rsidRDefault="003F6B0B" w:rsidP="003F6B0B">
      <w:pPr>
        <w:numPr>
          <w:ilvl w:val="0"/>
          <w:numId w:val="1"/>
        </w:numPr>
        <w:spacing w:line="360" w:lineRule="auto"/>
        <w:ind w:left="0" w:firstLine="0"/>
        <w:contextualSpacing/>
        <w:jc w:val="both"/>
        <w:rPr>
          <w:rFonts w:ascii="Palatino Linotype" w:eastAsia="Calibri" w:hAnsi="Palatino Linotype"/>
          <w:lang w:val="es-ES" w:eastAsia="es-ES"/>
        </w:rPr>
      </w:pPr>
      <w:r w:rsidRPr="009B6FD5">
        <w:rPr>
          <w:rFonts w:ascii="Palatino Linotype" w:eastAsia="Calibri" w:hAnsi="Palatino Linotype"/>
          <w:lang w:val="es-ES" w:eastAsia="es-ES"/>
        </w:rPr>
        <w:t>Se eligió como modalidad de entrega a través de la plataforma digital Sistema de Acceso a la Información Mexiquense (SAIMEX).</w:t>
      </w:r>
    </w:p>
    <w:p w:rsidR="003F6B0B" w:rsidRPr="009B6FD5" w:rsidRDefault="003F6B0B" w:rsidP="003F6B0B">
      <w:pPr>
        <w:spacing w:line="360" w:lineRule="auto"/>
        <w:contextualSpacing/>
        <w:jc w:val="both"/>
        <w:rPr>
          <w:rFonts w:ascii="Palatino Linotype" w:eastAsia="Calibri" w:hAnsi="Palatino Linotype"/>
          <w:lang w:val="es-ES" w:eastAsia="es-ES"/>
        </w:rPr>
      </w:pPr>
    </w:p>
    <w:p w:rsidR="003F6B0B" w:rsidRDefault="003F6B0B" w:rsidP="003F6B0B">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t>El veinte (20) de julio de dos mil veintiuno, se realizaron dos requerimientos a los servidores públicos habilitados como se muestra en la siguiente imagen:</w:t>
      </w:r>
    </w:p>
    <w:p w:rsidR="003F6B0B" w:rsidRDefault="003F6B0B" w:rsidP="003F6B0B">
      <w:pPr>
        <w:spacing w:line="360" w:lineRule="auto"/>
        <w:contextualSpacing/>
        <w:jc w:val="both"/>
        <w:rPr>
          <w:rFonts w:ascii="Palatino Linotype" w:eastAsia="Calibri" w:hAnsi="Palatino Linotype"/>
          <w:lang w:val="es-ES" w:eastAsia="es-ES"/>
        </w:rPr>
      </w:pPr>
    </w:p>
    <w:p w:rsidR="003F6B0B" w:rsidRDefault="003F6B0B" w:rsidP="003F6B0B">
      <w:pPr>
        <w:spacing w:line="360" w:lineRule="auto"/>
        <w:contextualSpacing/>
        <w:jc w:val="center"/>
        <w:rPr>
          <w:rFonts w:ascii="Palatino Linotype" w:eastAsia="Calibri" w:hAnsi="Palatino Linotype"/>
          <w:lang w:val="es-ES" w:eastAsia="es-ES"/>
        </w:rPr>
      </w:pPr>
      <w:r>
        <w:rPr>
          <w:noProof/>
        </w:rPr>
        <w:drawing>
          <wp:inline distT="0" distB="0" distL="0" distR="0" wp14:anchorId="238C702D" wp14:editId="0CB238B0">
            <wp:extent cx="4924559" cy="10858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386" t="19756" r="23209" b="59308"/>
                    <a:stretch/>
                  </pic:blipFill>
                  <pic:spPr bwMode="auto">
                    <a:xfrm>
                      <a:off x="0" y="0"/>
                      <a:ext cx="4930457" cy="1087151"/>
                    </a:xfrm>
                    <a:prstGeom prst="rect">
                      <a:avLst/>
                    </a:prstGeom>
                    <a:ln>
                      <a:noFill/>
                    </a:ln>
                    <a:extLst>
                      <a:ext uri="{53640926-AAD7-44D8-BBD7-CCE9431645EC}">
                        <a14:shadowObscured xmlns:a14="http://schemas.microsoft.com/office/drawing/2010/main"/>
                      </a:ext>
                    </a:extLst>
                  </pic:spPr>
                </pic:pic>
              </a:graphicData>
            </a:graphic>
          </wp:inline>
        </w:drawing>
      </w:r>
    </w:p>
    <w:p w:rsidR="003F6B0B" w:rsidRPr="003F6B0B" w:rsidRDefault="003F6B0B" w:rsidP="003F6B0B">
      <w:pPr>
        <w:spacing w:line="360" w:lineRule="auto"/>
        <w:contextualSpacing/>
        <w:jc w:val="both"/>
        <w:rPr>
          <w:rFonts w:ascii="Palatino Linotype" w:eastAsia="Calibri" w:hAnsi="Palatino Linotype"/>
          <w:lang w:val="es-ES" w:eastAsia="es-ES"/>
        </w:rPr>
      </w:pPr>
    </w:p>
    <w:p w:rsidR="003F6B0B" w:rsidRPr="009B6FD5" w:rsidRDefault="003F6B0B" w:rsidP="003F6B0B">
      <w:pPr>
        <w:numPr>
          <w:ilvl w:val="0"/>
          <w:numId w:val="1"/>
        </w:numPr>
        <w:spacing w:line="360" w:lineRule="auto"/>
        <w:ind w:left="0" w:firstLine="0"/>
        <w:contextualSpacing/>
        <w:jc w:val="both"/>
        <w:rPr>
          <w:rFonts w:ascii="Palatino Linotype" w:eastAsia="Calibri" w:hAnsi="Palatino Linotype"/>
          <w:lang w:val="es-ES" w:eastAsia="es-ES"/>
        </w:rPr>
      </w:pPr>
      <w:r w:rsidRPr="009B6FD5">
        <w:rPr>
          <w:rFonts w:ascii="Palatino Linotype" w:eastAsiaTheme="minorEastAsia" w:hAnsi="Palatino Linotype"/>
          <w:lang w:val="es-ES_tradnl" w:eastAsia="es-ES"/>
        </w:rPr>
        <w:t xml:space="preserve">El </w:t>
      </w:r>
      <w:r>
        <w:rPr>
          <w:rFonts w:ascii="Palatino Linotype" w:eastAsiaTheme="minorEastAsia" w:hAnsi="Palatino Linotype"/>
          <w:lang w:val="es-ES_tradnl" w:eastAsia="es-ES"/>
        </w:rPr>
        <w:t>diecisiete (17) de agosto</w:t>
      </w:r>
      <w:r w:rsidRPr="009B6FD5">
        <w:rPr>
          <w:rFonts w:ascii="Palatino Linotype" w:eastAsiaTheme="minorEastAsia" w:hAnsi="Palatino Linotype"/>
          <w:lang w:val="es-ES_tradnl" w:eastAsia="es-ES"/>
        </w:rPr>
        <w:t xml:space="preserve">  de dos mil veintiuno, </w:t>
      </w:r>
      <w:r w:rsidRPr="009B6FD5">
        <w:rPr>
          <w:rFonts w:ascii="Palatino Linotype" w:eastAsia="Calibri" w:hAnsi="Palatino Linotype"/>
          <w:lang w:val="es-ES" w:eastAsia="es-ES"/>
        </w:rPr>
        <w:t xml:space="preserve">el </w:t>
      </w:r>
      <w:r w:rsidRPr="009B6FD5">
        <w:rPr>
          <w:rFonts w:ascii="Palatino Linotype" w:eastAsia="Calibri" w:hAnsi="Palatino Linotype" w:cs="Arial"/>
          <w:b/>
          <w:lang w:val="es-AR" w:eastAsia="es-ES"/>
        </w:rPr>
        <w:t>SUJETO OBLIGADO</w:t>
      </w:r>
      <w:r w:rsidRPr="009B6FD5">
        <w:rPr>
          <w:rFonts w:ascii="Palatino Linotype" w:eastAsia="Calibri" w:hAnsi="Palatino Linotype" w:cs="Arial"/>
          <w:b/>
          <w:i/>
          <w:lang w:val="es-AR" w:eastAsia="es-ES"/>
        </w:rPr>
        <w:t xml:space="preserve"> </w:t>
      </w:r>
      <w:r w:rsidRPr="009B6FD5">
        <w:rPr>
          <w:rFonts w:ascii="Palatino Linotype" w:hAnsi="Palatino Linotype" w:cs="Arial"/>
          <w:lang w:val="es-ES" w:eastAsia="es-ES"/>
        </w:rPr>
        <w:t>dio respuesta a la solicitud de información en los siguientes términos:</w:t>
      </w:r>
    </w:p>
    <w:p w:rsidR="003F6B0B" w:rsidRPr="009B6FD5" w:rsidRDefault="003F6B0B" w:rsidP="003F6B0B">
      <w:pPr>
        <w:spacing w:line="360" w:lineRule="auto"/>
        <w:contextualSpacing/>
        <w:jc w:val="both"/>
        <w:rPr>
          <w:rFonts w:ascii="Palatino Linotype" w:eastAsia="Calibri" w:hAnsi="Palatino Linotype"/>
          <w:lang w:val="es-ES" w:eastAsia="es-ES"/>
        </w:rPr>
      </w:pPr>
    </w:p>
    <w:tbl>
      <w:tblPr>
        <w:tblW w:w="7150" w:type="dxa"/>
        <w:jc w:val="center"/>
        <w:tblCellSpacing w:w="0" w:type="dxa"/>
        <w:tblCellMar>
          <w:left w:w="0" w:type="dxa"/>
          <w:right w:w="0" w:type="dxa"/>
        </w:tblCellMar>
        <w:tblLook w:val="04A0" w:firstRow="1" w:lastRow="0" w:firstColumn="1" w:lastColumn="0" w:noHBand="0" w:noVBand="1"/>
      </w:tblPr>
      <w:tblGrid>
        <w:gridCol w:w="7150"/>
      </w:tblGrid>
      <w:tr w:rsidR="003F6B0B" w:rsidRPr="003F6B0B" w:rsidTr="003F6B0B">
        <w:trPr>
          <w:trHeight w:val="278"/>
          <w:tblCellSpacing w:w="0" w:type="dxa"/>
          <w:jc w:val="center"/>
        </w:trPr>
        <w:tc>
          <w:tcPr>
            <w:tcW w:w="0" w:type="auto"/>
            <w:vAlign w:val="center"/>
            <w:hideMark/>
          </w:tcPr>
          <w:p w:rsidR="003F6B0B" w:rsidRPr="003F6B0B" w:rsidRDefault="003F6B0B" w:rsidP="003F6B0B">
            <w:pPr>
              <w:jc w:val="right"/>
              <w:rPr>
                <w:rFonts w:ascii="Palatino Linotype" w:hAnsi="Palatino Linotype"/>
                <w:i/>
                <w:sz w:val="22"/>
                <w:lang w:val="es-ES" w:eastAsia="es-ES"/>
              </w:rPr>
            </w:pPr>
            <w:r w:rsidRPr="003F6B0B">
              <w:rPr>
                <w:rFonts w:ascii="Palatino Linotype" w:hAnsi="Palatino Linotype"/>
                <w:i/>
                <w:sz w:val="22"/>
                <w:szCs w:val="18"/>
                <w:lang w:val="es-ES" w:eastAsia="es-ES"/>
              </w:rPr>
              <w:t>Ocoyoacac, México a 17 de Agosto de 2021</w:t>
            </w:r>
          </w:p>
        </w:tc>
      </w:tr>
      <w:tr w:rsidR="003F6B0B" w:rsidRPr="003F6B0B" w:rsidTr="003F6B0B">
        <w:trPr>
          <w:trHeight w:val="278"/>
          <w:tblCellSpacing w:w="0" w:type="dxa"/>
          <w:jc w:val="center"/>
        </w:trPr>
        <w:tc>
          <w:tcPr>
            <w:tcW w:w="0" w:type="auto"/>
            <w:vAlign w:val="center"/>
            <w:hideMark/>
          </w:tcPr>
          <w:p w:rsidR="003F6B0B" w:rsidRPr="003F6B0B" w:rsidRDefault="003F6B0B" w:rsidP="003F6B0B">
            <w:pPr>
              <w:jc w:val="right"/>
              <w:rPr>
                <w:rFonts w:ascii="Palatino Linotype" w:hAnsi="Palatino Linotype"/>
                <w:i/>
                <w:sz w:val="22"/>
                <w:lang w:val="es-ES" w:eastAsia="es-ES"/>
              </w:rPr>
            </w:pPr>
            <w:r w:rsidRPr="003F6B0B">
              <w:rPr>
                <w:rFonts w:ascii="Palatino Linotype" w:hAnsi="Palatino Linotype"/>
                <w:i/>
                <w:sz w:val="22"/>
                <w:szCs w:val="18"/>
                <w:lang w:val="es-ES" w:eastAsia="es-ES"/>
              </w:rPr>
              <w:t>Nombre del solicitante:</w:t>
            </w:r>
          </w:p>
        </w:tc>
      </w:tr>
      <w:tr w:rsidR="003F6B0B" w:rsidRPr="003F6B0B" w:rsidTr="003F6B0B">
        <w:trPr>
          <w:trHeight w:val="278"/>
          <w:tblCellSpacing w:w="0" w:type="dxa"/>
          <w:jc w:val="center"/>
        </w:trPr>
        <w:tc>
          <w:tcPr>
            <w:tcW w:w="0" w:type="auto"/>
            <w:vAlign w:val="center"/>
            <w:hideMark/>
          </w:tcPr>
          <w:p w:rsidR="003F6B0B" w:rsidRPr="003F6B0B" w:rsidRDefault="003F6B0B" w:rsidP="003F6B0B">
            <w:pPr>
              <w:jc w:val="right"/>
              <w:rPr>
                <w:rFonts w:ascii="Palatino Linotype" w:hAnsi="Palatino Linotype"/>
                <w:i/>
                <w:sz w:val="22"/>
                <w:lang w:val="es-ES" w:eastAsia="es-ES"/>
              </w:rPr>
            </w:pPr>
            <w:r w:rsidRPr="003F6B0B">
              <w:rPr>
                <w:rFonts w:ascii="Palatino Linotype" w:hAnsi="Palatino Linotype"/>
                <w:i/>
                <w:sz w:val="22"/>
                <w:szCs w:val="18"/>
                <w:lang w:val="es-ES" w:eastAsia="es-ES"/>
              </w:rPr>
              <w:t>Folio de la solicitud: 00297/OCOYOAC/IP/2021</w:t>
            </w:r>
          </w:p>
        </w:tc>
      </w:tr>
      <w:tr w:rsidR="003F6B0B" w:rsidRPr="003F6B0B" w:rsidTr="003F6B0B">
        <w:trPr>
          <w:trHeight w:val="417"/>
          <w:tblCellSpacing w:w="0" w:type="dxa"/>
          <w:jc w:val="center"/>
        </w:trPr>
        <w:tc>
          <w:tcPr>
            <w:tcW w:w="0" w:type="auto"/>
            <w:vAlign w:val="center"/>
            <w:hideMark/>
          </w:tcPr>
          <w:p w:rsidR="003F6B0B" w:rsidRPr="003F6B0B" w:rsidRDefault="003F6B0B" w:rsidP="003F6B0B">
            <w:pPr>
              <w:jc w:val="right"/>
              <w:rPr>
                <w:rFonts w:ascii="Palatino Linotype" w:hAnsi="Palatino Linotype"/>
                <w:i/>
                <w:sz w:val="22"/>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r w:rsidRPr="003F6B0B">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3F6B0B" w:rsidRPr="003F6B0B" w:rsidTr="003F6B0B">
        <w:trPr>
          <w:trHeight w:val="347"/>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r w:rsidRPr="003F6B0B">
              <w:rPr>
                <w:rFonts w:ascii="Palatino Linotype" w:hAnsi="Palatino Linotype"/>
                <w:i/>
                <w:sz w:val="22"/>
                <w:szCs w:val="18"/>
                <w:lang w:val="es-ES" w:eastAsia="es-ES"/>
              </w:rPr>
              <w:t>Se adjunta respuesta por parte del área correspondiente.</w:t>
            </w:r>
          </w:p>
        </w:tc>
      </w:tr>
      <w:tr w:rsidR="003F6B0B" w:rsidRPr="003F6B0B" w:rsidTr="003F6B0B">
        <w:trPr>
          <w:trHeight w:val="347"/>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jc w:val="center"/>
              <w:rPr>
                <w:rFonts w:ascii="Palatino Linotype" w:hAnsi="Palatino Linotype"/>
                <w:i/>
                <w:sz w:val="22"/>
                <w:szCs w:val="20"/>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rPr>
                <w:rFonts w:ascii="Palatino Linotype" w:hAnsi="Palatino Linotype"/>
                <w:i/>
                <w:sz w:val="22"/>
                <w:szCs w:val="20"/>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r w:rsidRPr="003F6B0B">
              <w:rPr>
                <w:rFonts w:ascii="Palatino Linotype" w:hAnsi="Palatino Linotype"/>
                <w:i/>
                <w:sz w:val="22"/>
                <w:szCs w:val="18"/>
                <w:lang w:val="es-ES" w:eastAsia="es-ES"/>
              </w:rPr>
              <w:t>ATENTAMENTE</w:t>
            </w:r>
          </w:p>
        </w:tc>
      </w:tr>
      <w:tr w:rsidR="003F6B0B" w:rsidRPr="003F6B0B" w:rsidTr="003F6B0B">
        <w:trPr>
          <w:trHeight w:val="208"/>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p>
        </w:tc>
      </w:tr>
      <w:tr w:rsidR="003F6B0B" w:rsidRPr="003F6B0B" w:rsidTr="003F6B0B">
        <w:trPr>
          <w:trHeight w:val="139"/>
          <w:tblCellSpacing w:w="0" w:type="dxa"/>
          <w:jc w:val="center"/>
        </w:trPr>
        <w:tc>
          <w:tcPr>
            <w:tcW w:w="0" w:type="auto"/>
            <w:vAlign w:val="center"/>
            <w:hideMark/>
          </w:tcPr>
          <w:p w:rsidR="003F6B0B" w:rsidRPr="003F6B0B" w:rsidRDefault="003F6B0B" w:rsidP="003F6B0B">
            <w:pPr>
              <w:rPr>
                <w:rFonts w:ascii="Palatino Linotype" w:hAnsi="Palatino Linotype"/>
                <w:i/>
                <w:sz w:val="22"/>
                <w:lang w:val="es-ES" w:eastAsia="es-ES"/>
              </w:rPr>
            </w:pPr>
            <w:r w:rsidRPr="003F6B0B">
              <w:rPr>
                <w:rFonts w:ascii="Palatino Linotype" w:hAnsi="Palatino Linotype"/>
                <w:i/>
                <w:sz w:val="22"/>
                <w:szCs w:val="18"/>
                <w:lang w:val="es-ES" w:eastAsia="es-ES"/>
              </w:rPr>
              <w:t>Lic. Alan González Hernández</w:t>
            </w:r>
          </w:p>
        </w:tc>
      </w:tr>
    </w:tbl>
    <w:p w:rsidR="003F6B0B" w:rsidRPr="009B6FD5" w:rsidRDefault="003F6B0B" w:rsidP="003F6B0B">
      <w:pPr>
        <w:spacing w:line="360" w:lineRule="auto"/>
        <w:ind w:right="567"/>
        <w:jc w:val="both"/>
        <w:rPr>
          <w:rFonts w:ascii="Palatino Linotype" w:hAnsi="Palatino Linotype"/>
        </w:rPr>
      </w:pPr>
    </w:p>
    <w:p w:rsidR="003F6B0B" w:rsidRDefault="003F6B0B" w:rsidP="003F6B0B">
      <w:pPr>
        <w:spacing w:line="360" w:lineRule="auto"/>
        <w:ind w:right="567"/>
        <w:jc w:val="both"/>
        <w:rPr>
          <w:rFonts w:ascii="Palatino Linotype" w:hAnsi="Palatino Linotype"/>
        </w:rPr>
      </w:pPr>
      <w:r w:rsidRPr="009B6FD5">
        <w:rPr>
          <w:rFonts w:ascii="Palatino Linotype" w:hAnsi="Palatino Linotype"/>
        </w:rPr>
        <w:t>A la respuesta se adjuntaron los siguientes documentos:</w:t>
      </w:r>
    </w:p>
    <w:p w:rsidR="003F6B0B" w:rsidRDefault="003F6B0B" w:rsidP="003F6B0B">
      <w:pPr>
        <w:spacing w:line="360" w:lineRule="auto"/>
        <w:ind w:right="567"/>
        <w:jc w:val="both"/>
        <w:rPr>
          <w:rFonts w:ascii="Palatino Linotype" w:hAnsi="Palatino Linotype"/>
        </w:rPr>
      </w:pPr>
    </w:p>
    <w:p w:rsidR="003F6B0B" w:rsidRDefault="00892B72" w:rsidP="003F6B0B">
      <w:pPr>
        <w:pStyle w:val="Prrafodelista"/>
        <w:numPr>
          <w:ilvl w:val="0"/>
          <w:numId w:val="35"/>
        </w:numPr>
        <w:spacing w:line="360" w:lineRule="auto"/>
        <w:ind w:right="567"/>
        <w:jc w:val="both"/>
        <w:rPr>
          <w:rFonts w:ascii="Palatino Linotype" w:hAnsi="Palatino Linotype"/>
          <w:szCs w:val="22"/>
        </w:rPr>
      </w:pPr>
      <w:hyperlink r:id="rId9" w:tgtFrame="_blank" w:history="1">
        <w:r w:rsidR="003F6B0B" w:rsidRPr="003F6B0B">
          <w:rPr>
            <w:rStyle w:val="Hipervnculo"/>
            <w:rFonts w:ascii="Palatino Linotype" w:eastAsiaTheme="majorEastAsia" w:hAnsi="Palatino Linotype" w:cs="Arial"/>
            <w:b/>
            <w:bCs/>
            <w:color w:val="auto"/>
            <w:szCs w:val="22"/>
          </w:rPr>
          <w:t>Oficio Contestación.pdf</w:t>
        </w:r>
      </w:hyperlink>
      <w:r w:rsidR="003F6B0B" w:rsidRPr="003F6B0B">
        <w:rPr>
          <w:rFonts w:ascii="Palatino Linotype" w:hAnsi="Palatino Linotype"/>
          <w:szCs w:val="22"/>
        </w:rPr>
        <w:t xml:space="preserve">: </w:t>
      </w:r>
      <w:r w:rsidR="000E7ECF">
        <w:rPr>
          <w:rFonts w:ascii="Palatino Linotype" w:hAnsi="Palatino Linotype"/>
          <w:szCs w:val="22"/>
        </w:rPr>
        <w:t>Oficio SMDIF/DIRECCIÓN/273/2021 de fecha veintidós de julio de dos mi veintiuno, suscrito por la encargada del Área de Dirección del Sistema Municipal DIF de Ocoyoacac, mediante el cual informó que dentro de ese organismo, no se lleva a cabo ningún procedimiento de adjudicación.</w:t>
      </w:r>
    </w:p>
    <w:p w:rsidR="000E7ECF" w:rsidRPr="003F6B0B" w:rsidRDefault="000E7ECF" w:rsidP="000E7ECF">
      <w:pPr>
        <w:pStyle w:val="Prrafodelista"/>
        <w:spacing w:line="360" w:lineRule="auto"/>
        <w:ind w:right="567"/>
        <w:jc w:val="both"/>
        <w:rPr>
          <w:rFonts w:ascii="Palatino Linotype" w:hAnsi="Palatino Linotype"/>
          <w:szCs w:val="22"/>
        </w:rPr>
      </w:pPr>
    </w:p>
    <w:p w:rsidR="003F6B0B" w:rsidRDefault="00892B72" w:rsidP="003F6B0B">
      <w:pPr>
        <w:pStyle w:val="Prrafodelista"/>
        <w:numPr>
          <w:ilvl w:val="0"/>
          <w:numId w:val="35"/>
        </w:numPr>
        <w:spacing w:line="360" w:lineRule="auto"/>
        <w:ind w:right="567"/>
        <w:jc w:val="both"/>
        <w:rPr>
          <w:rFonts w:ascii="Palatino Linotype" w:hAnsi="Palatino Linotype"/>
          <w:szCs w:val="22"/>
        </w:rPr>
      </w:pPr>
      <w:hyperlink r:id="rId10" w:tgtFrame="_blank" w:history="1">
        <w:r w:rsidR="003F6B0B" w:rsidRPr="003F6B0B">
          <w:rPr>
            <w:rStyle w:val="Hipervnculo"/>
            <w:rFonts w:ascii="Palatino Linotype" w:eastAsiaTheme="majorEastAsia" w:hAnsi="Palatino Linotype" w:cs="Arial"/>
            <w:b/>
            <w:bCs/>
            <w:color w:val="auto"/>
            <w:szCs w:val="22"/>
          </w:rPr>
          <w:t>IMC 001 2021..pdf</w:t>
        </w:r>
      </w:hyperlink>
      <w:r w:rsidR="003F6B0B" w:rsidRPr="003F6B0B">
        <w:rPr>
          <w:rFonts w:ascii="Palatino Linotype" w:hAnsi="Palatino Linotype"/>
          <w:szCs w:val="22"/>
        </w:rPr>
        <w:t>:</w:t>
      </w:r>
      <w:r w:rsidR="000E7ECF">
        <w:rPr>
          <w:rFonts w:ascii="Palatino Linotype" w:hAnsi="Palatino Linotype"/>
          <w:szCs w:val="22"/>
        </w:rPr>
        <w:t xml:space="preserve"> </w:t>
      </w:r>
      <w:r w:rsidR="004F63A7">
        <w:rPr>
          <w:rFonts w:ascii="Palatino Linotype" w:hAnsi="Palatino Linotype"/>
          <w:szCs w:val="22"/>
        </w:rPr>
        <w:t>Contrato  de prestación de servicios celebrado por una parte el Instituto Municipal de Cultura Física y Deporte de Ocoyoacac y por la otra parte el Servicio de Copiado y Computo.</w:t>
      </w:r>
    </w:p>
    <w:p w:rsidR="004F63A7" w:rsidRPr="004F63A7" w:rsidRDefault="004F63A7" w:rsidP="004F63A7">
      <w:pPr>
        <w:spacing w:line="360" w:lineRule="auto"/>
        <w:ind w:right="567"/>
        <w:jc w:val="both"/>
        <w:rPr>
          <w:rFonts w:ascii="Palatino Linotype" w:hAnsi="Palatino Linotype"/>
          <w:szCs w:val="22"/>
        </w:rPr>
      </w:pPr>
    </w:p>
    <w:p w:rsidR="003F6B0B" w:rsidRDefault="00892B72" w:rsidP="003F6B0B">
      <w:pPr>
        <w:pStyle w:val="Prrafodelista"/>
        <w:numPr>
          <w:ilvl w:val="0"/>
          <w:numId w:val="35"/>
        </w:numPr>
        <w:spacing w:line="360" w:lineRule="auto"/>
        <w:ind w:right="567"/>
        <w:jc w:val="both"/>
        <w:rPr>
          <w:rFonts w:ascii="Palatino Linotype" w:hAnsi="Palatino Linotype"/>
          <w:szCs w:val="22"/>
        </w:rPr>
      </w:pPr>
      <w:hyperlink r:id="rId11" w:tgtFrame="_blank" w:history="1">
        <w:r w:rsidR="003F6B0B" w:rsidRPr="003F6B0B">
          <w:rPr>
            <w:rStyle w:val="Hipervnculo"/>
            <w:rFonts w:ascii="Palatino Linotype" w:eastAsiaTheme="majorEastAsia" w:hAnsi="Palatino Linotype" w:cs="Arial"/>
            <w:b/>
            <w:bCs/>
            <w:color w:val="auto"/>
            <w:szCs w:val="22"/>
          </w:rPr>
          <w:t>IMC 003 2021..pdf</w:t>
        </w:r>
      </w:hyperlink>
      <w:r w:rsidR="003F6B0B" w:rsidRPr="003F6B0B">
        <w:rPr>
          <w:rFonts w:ascii="Palatino Linotype" w:hAnsi="Palatino Linotype"/>
          <w:szCs w:val="22"/>
        </w:rPr>
        <w:t>:</w:t>
      </w:r>
      <w:r w:rsidR="004F63A7">
        <w:rPr>
          <w:rFonts w:ascii="Palatino Linotype" w:hAnsi="Palatino Linotype"/>
          <w:szCs w:val="22"/>
        </w:rPr>
        <w:t xml:space="preserve"> Contrato de Prestación de Servicios celebrado por una parte por  el Instituto Municipal de Cultura Física y Deporte de Ocoyoacac y </w:t>
      </w:r>
      <w:r w:rsidR="001535CB">
        <w:rPr>
          <w:rFonts w:ascii="Palatino Linotype" w:hAnsi="Palatino Linotype"/>
          <w:szCs w:val="22"/>
        </w:rPr>
        <w:t>por</w:t>
      </w:r>
      <w:r w:rsidR="004F63A7">
        <w:rPr>
          <w:rFonts w:ascii="Palatino Linotype" w:hAnsi="Palatino Linotype"/>
          <w:szCs w:val="22"/>
        </w:rPr>
        <w:t xml:space="preserve"> la otra parte Caí Intelligent S.A DE C.V.</w:t>
      </w:r>
    </w:p>
    <w:p w:rsidR="004F63A7" w:rsidRPr="004F63A7" w:rsidRDefault="004F63A7" w:rsidP="004F63A7">
      <w:pPr>
        <w:spacing w:line="360" w:lineRule="auto"/>
        <w:ind w:right="567"/>
        <w:jc w:val="both"/>
        <w:rPr>
          <w:rFonts w:ascii="Palatino Linotype" w:hAnsi="Palatino Linotype"/>
          <w:szCs w:val="22"/>
        </w:rPr>
      </w:pPr>
    </w:p>
    <w:p w:rsidR="003F6B0B" w:rsidRDefault="00892B72" w:rsidP="003F6B0B">
      <w:pPr>
        <w:pStyle w:val="Prrafodelista"/>
        <w:numPr>
          <w:ilvl w:val="0"/>
          <w:numId w:val="35"/>
        </w:numPr>
        <w:spacing w:line="360" w:lineRule="auto"/>
        <w:ind w:right="567"/>
        <w:jc w:val="both"/>
        <w:rPr>
          <w:rFonts w:ascii="Palatino Linotype" w:hAnsi="Palatino Linotype"/>
          <w:szCs w:val="22"/>
        </w:rPr>
      </w:pPr>
      <w:hyperlink r:id="rId12" w:tgtFrame="_blank" w:history="1">
        <w:r w:rsidR="003F6B0B" w:rsidRPr="003F6B0B">
          <w:rPr>
            <w:rStyle w:val="Hipervnculo"/>
            <w:rFonts w:ascii="Palatino Linotype" w:eastAsiaTheme="majorEastAsia" w:hAnsi="Palatino Linotype" w:cs="Arial"/>
            <w:b/>
            <w:bCs/>
            <w:color w:val="auto"/>
            <w:szCs w:val="22"/>
          </w:rPr>
          <w:t>IMC 002 2021..pdf</w:t>
        </w:r>
      </w:hyperlink>
      <w:r w:rsidR="003F6B0B" w:rsidRPr="003F6B0B">
        <w:rPr>
          <w:rFonts w:ascii="Palatino Linotype" w:hAnsi="Palatino Linotype"/>
          <w:szCs w:val="22"/>
        </w:rPr>
        <w:t>:</w:t>
      </w:r>
      <w:r w:rsidR="004F63A7">
        <w:rPr>
          <w:rFonts w:ascii="Palatino Linotype" w:hAnsi="Palatino Linotype"/>
          <w:szCs w:val="22"/>
        </w:rPr>
        <w:t xml:space="preserve"> Contrato abierto de prestación de servicios que celebran por una parte el Instituto Municipal </w:t>
      </w:r>
      <w:r w:rsidR="005F10CE">
        <w:rPr>
          <w:rFonts w:ascii="Palatino Linotype" w:hAnsi="Palatino Linotype"/>
          <w:szCs w:val="22"/>
        </w:rPr>
        <w:t>de Cultura Física y Deporte y por la otra parte Servicio ESMEBRA S.A DE C.V.</w:t>
      </w:r>
    </w:p>
    <w:p w:rsidR="005F10CE" w:rsidRPr="005F10CE" w:rsidRDefault="005F10CE" w:rsidP="005F10CE">
      <w:pPr>
        <w:spacing w:line="360" w:lineRule="auto"/>
        <w:ind w:right="567"/>
        <w:jc w:val="both"/>
        <w:rPr>
          <w:rFonts w:ascii="Palatino Linotype" w:hAnsi="Palatino Linotype"/>
          <w:szCs w:val="22"/>
        </w:rPr>
      </w:pPr>
    </w:p>
    <w:p w:rsidR="003F6B0B" w:rsidRPr="003F6B0B" w:rsidRDefault="00892B72" w:rsidP="003F6B0B">
      <w:pPr>
        <w:pStyle w:val="Prrafodelista"/>
        <w:numPr>
          <w:ilvl w:val="0"/>
          <w:numId w:val="35"/>
        </w:numPr>
        <w:spacing w:line="360" w:lineRule="auto"/>
        <w:ind w:right="567"/>
        <w:jc w:val="both"/>
        <w:rPr>
          <w:rFonts w:ascii="Palatino Linotype" w:hAnsi="Palatino Linotype"/>
          <w:szCs w:val="22"/>
        </w:rPr>
      </w:pPr>
      <w:hyperlink r:id="rId13" w:tgtFrame="_blank" w:history="1">
        <w:r w:rsidR="003F6B0B" w:rsidRPr="003F6B0B">
          <w:rPr>
            <w:rStyle w:val="Hipervnculo"/>
            <w:rFonts w:ascii="Palatino Linotype" w:eastAsiaTheme="majorEastAsia" w:hAnsi="Palatino Linotype" w:cs="Arial"/>
            <w:b/>
            <w:bCs/>
            <w:color w:val="auto"/>
            <w:szCs w:val="22"/>
          </w:rPr>
          <w:t>RESP_UTAI_00297_2021.pdf</w:t>
        </w:r>
      </w:hyperlink>
      <w:r w:rsidR="003F6B0B" w:rsidRPr="003F6B0B">
        <w:rPr>
          <w:rFonts w:ascii="Palatino Linotype" w:hAnsi="Palatino Linotype"/>
          <w:szCs w:val="22"/>
        </w:rPr>
        <w:t>:</w:t>
      </w:r>
      <w:r w:rsidR="005F10CE">
        <w:rPr>
          <w:rFonts w:ascii="Palatino Linotype" w:hAnsi="Palatino Linotype"/>
          <w:szCs w:val="22"/>
        </w:rPr>
        <w:t xml:space="preserve"> Oficio OCO/UTAI/649/2021, del 16 de agosto de 2021, suscrito por la Titular de la Unidad de Transparencia y Acceso a la Información Pública en el que manifestó proporcionar respuesta proporcionada por la dependencia correspondiente.</w:t>
      </w:r>
    </w:p>
    <w:p w:rsidR="003F6B0B" w:rsidRPr="009B6FD5" w:rsidRDefault="003F6B0B" w:rsidP="003F6B0B">
      <w:pPr>
        <w:spacing w:line="360" w:lineRule="auto"/>
        <w:ind w:right="567"/>
        <w:jc w:val="both"/>
        <w:rPr>
          <w:rFonts w:ascii="Palatino Linotype" w:hAnsi="Palatino Linotype"/>
        </w:rPr>
      </w:pPr>
    </w:p>
    <w:p w:rsidR="003F6B0B" w:rsidRPr="009B6FD5" w:rsidRDefault="003F6B0B" w:rsidP="003F6B0B">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9B6FD5">
        <w:rPr>
          <w:rFonts w:ascii="Palatino Linotype" w:eastAsia="Calibri" w:hAnsi="Palatino Linotype" w:cs="Arial"/>
          <w:lang w:val="es-AR" w:eastAsia="es-ES"/>
        </w:rPr>
        <w:t xml:space="preserve">El </w:t>
      </w:r>
      <w:r w:rsidR="005F10CE">
        <w:rPr>
          <w:rFonts w:ascii="Palatino Linotype" w:eastAsia="Calibri" w:hAnsi="Palatino Linotype" w:cs="Arial"/>
          <w:lang w:val="es-AR" w:eastAsia="es-ES"/>
        </w:rPr>
        <w:t xml:space="preserve">veintisiete (27) de agosto </w:t>
      </w:r>
      <w:r w:rsidRPr="009B6FD5">
        <w:rPr>
          <w:rFonts w:ascii="Palatino Linotype" w:eastAsia="Calibri" w:hAnsi="Palatino Linotype" w:cs="Arial"/>
          <w:lang w:val="es-AR" w:eastAsia="es-ES"/>
        </w:rPr>
        <w:t xml:space="preserve">  de dos mil veintiuno</w:t>
      </w:r>
      <w:r w:rsidRPr="009B6FD5">
        <w:rPr>
          <w:rFonts w:ascii="Palatino Linotype" w:hAnsi="Palatino Linotype" w:cs="Arial"/>
          <w:lang w:val="es-ES" w:eastAsia="es-ES"/>
        </w:rPr>
        <w:t xml:space="preserve">, </w:t>
      </w:r>
      <w:r w:rsidRPr="009B6FD5">
        <w:rPr>
          <w:rFonts w:ascii="Palatino Linotype" w:eastAsiaTheme="minorEastAsia" w:hAnsi="Palatino Linotype"/>
          <w:b/>
          <w:lang w:val="es-ES_tradnl" w:eastAsia="es-ES"/>
        </w:rPr>
        <w:t>EL RECURRENTE</w:t>
      </w:r>
      <w:r w:rsidRPr="009B6FD5">
        <w:rPr>
          <w:rFonts w:ascii="Palatino Linotype" w:hAnsi="Palatino Linotype" w:cs="Arial"/>
          <w:lang w:val="es-ES" w:eastAsia="es-ES"/>
        </w:rPr>
        <w:t xml:space="preserve"> interpuso el recurso de revisión, en contra de la respuesta, señalando como:</w:t>
      </w:r>
      <w:bookmarkStart w:id="1" w:name="_Toc462307683"/>
      <w:bookmarkStart w:id="2" w:name="_Toc472427085"/>
      <w:bookmarkStart w:id="3" w:name="_Toc472500652"/>
    </w:p>
    <w:p w:rsidR="003F6B0B" w:rsidRPr="009B6FD5" w:rsidRDefault="003F6B0B" w:rsidP="003F6B0B">
      <w:pPr>
        <w:spacing w:line="360" w:lineRule="auto"/>
        <w:ind w:left="567" w:right="567"/>
        <w:contextualSpacing/>
        <w:rPr>
          <w:rFonts w:ascii="Palatino Linotype" w:eastAsiaTheme="minorEastAsia" w:hAnsi="Palatino Linotype" w:cs="Arial"/>
          <w:i/>
          <w:lang w:val="es-ES_tradnl" w:eastAsia="es-ES"/>
        </w:rPr>
      </w:pPr>
    </w:p>
    <w:p w:rsidR="003F6B0B" w:rsidRPr="009B6FD5" w:rsidRDefault="003F6B0B" w:rsidP="003F6B0B">
      <w:pPr>
        <w:spacing w:line="360" w:lineRule="auto"/>
        <w:ind w:left="567" w:right="567"/>
        <w:contextualSpacing/>
        <w:jc w:val="both"/>
        <w:rPr>
          <w:rFonts w:ascii="Palatino Linotype" w:eastAsia="Calibri" w:hAnsi="Palatino Linotype" w:cs="Arial"/>
          <w:i/>
          <w:lang w:val="es-ES" w:eastAsia="es-ES"/>
        </w:rPr>
      </w:pPr>
      <w:r w:rsidRPr="009B6FD5">
        <w:rPr>
          <w:rFonts w:ascii="Palatino Linotype" w:eastAsiaTheme="minorEastAsia" w:hAnsi="Palatino Linotype"/>
          <w:b/>
          <w:lang w:val="es-ES_tradnl" w:eastAsia="es-ES"/>
        </w:rPr>
        <w:lastRenderedPageBreak/>
        <w:t>Acto impugnado</w:t>
      </w:r>
      <w:r w:rsidRPr="009B6FD5">
        <w:rPr>
          <w:rFonts w:ascii="Palatino Linotype" w:eastAsiaTheme="minorEastAsia" w:hAnsi="Palatino Linotype"/>
          <w:b/>
          <w:i/>
          <w:lang w:val="es-ES_tradnl" w:eastAsia="es-ES"/>
        </w:rPr>
        <w:t>:</w:t>
      </w:r>
      <w:r w:rsidRPr="009B6FD5">
        <w:rPr>
          <w:rFonts w:ascii="Palatino Linotype" w:hAnsi="Palatino Linotype"/>
          <w:i/>
          <w:color w:val="000000"/>
        </w:rPr>
        <w:t xml:space="preserve"> “</w:t>
      </w:r>
      <w:r w:rsidR="005F10CE" w:rsidRPr="005F10CE">
        <w:rPr>
          <w:rFonts w:ascii="Palatino Linotype" w:hAnsi="Palatino Linotype"/>
          <w:i/>
          <w:color w:val="000000"/>
        </w:rPr>
        <w:t>No es posible</w:t>
      </w:r>
      <w:r w:rsidRPr="009B6FD5">
        <w:rPr>
          <w:rFonts w:ascii="Palatino Linotype" w:hAnsi="Palatino Linotype"/>
          <w:i/>
          <w:color w:val="000000"/>
        </w:rPr>
        <w:t xml:space="preserve">” (Sic); </w:t>
      </w:r>
      <w:r w:rsidRPr="009B6FD5">
        <w:rPr>
          <w:rFonts w:ascii="Palatino Linotype" w:eastAsia="Calibri" w:hAnsi="Palatino Linotype" w:cs="Arial"/>
          <w:i/>
          <w:lang w:val="es-ES" w:eastAsia="es-ES"/>
        </w:rPr>
        <w:t>Y</w:t>
      </w:r>
    </w:p>
    <w:p w:rsidR="003F6B0B" w:rsidRPr="009B6FD5" w:rsidRDefault="003F6B0B" w:rsidP="003F6B0B">
      <w:pPr>
        <w:spacing w:line="360" w:lineRule="auto"/>
        <w:ind w:left="567" w:right="567"/>
        <w:contextualSpacing/>
        <w:jc w:val="both"/>
        <w:rPr>
          <w:rFonts w:ascii="Palatino Linotype" w:eastAsia="Calibri" w:hAnsi="Palatino Linotype" w:cs="Arial"/>
          <w:lang w:val="es-ES" w:eastAsia="es-ES"/>
        </w:rPr>
      </w:pPr>
    </w:p>
    <w:p w:rsidR="003F6B0B" w:rsidRPr="009B6FD5" w:rsidRDefault="003F6B0B" w:rsidP="003F6B0B">
      <w:pPr>
        <w:spacing w:line="360" w:lineRule="auto"/>
        <w:ind w:left="567" w:right="567"/>
        <w:contextualSpacing/>
        <w:jc w:val="both"/>
        <w:rPr>
          <w:rFonts w:ascii="Palatino Linotype" w:hAnsi="Palatino Linotype"/>
          <w:i/>
          <w:color w:val="000000"/>
        </w:rPr>
      </w:pPr>
      <w:r w:rsidRPr="009B6FD5">
        <w:rPr>
          <w:rFonts w:ascii="Palatino Linotype" w:eastAsiaTheme="minorEastAsia" w:hAnsi="Palatino Linotype"/>
          <w:b/>
          <w:lang w:val="es-ES_tradnl" w:eastAsia="es-ES"/>
        </w:rPr>
        <w:t>Razones o Motivos de inconformidad:</w:t>
      </w:r>
      <w:r w:rsidRPr="009B6FD5">
        <w:rPr>
          <w:rFonts w:ascii="Palatino Linotype" w:eastAsiaTheme="majorEastAsia" w:hAnsi="Palatino Linotype" w:cstheme="majorBidi"/>
          <w:b/>
          <w:color w:val="2E74B5" w:themeColor="accent1" w:themeShade="BF"/>
          <w:sz w:val="26"/>
          <w:szCs w:val="26"/>
          <w:lang w:val="es-ES" w:eastAsia="es-ES"/>
        </w:rPr>
        <w:t xml:space="preserve"> </w:t>
      </w:r>
      <w:r w:rsidRPr="009B6FD5">
        <w:rPr>
          <w:rFonts w:ascii="Palatino Linotype" w:eastAsiaTheme="majorEastAsia" w:hAnsi="Palatino Linotype" w:cstheme="majorBidi"/>
          <w:i/>
          <w:lang w:val="es-ES" w:eastAsia="es-ES"/>
        </w:rPr>
        <w:t>“</w:t>
      </w:r>
      <w:r w:rsidR="005F10CE" w:rsidRPr="005F10CE">
        <w:rPr>
          <w:rFonts w:ascii="Palatino Linotype" w:hAnsi="Palatino Linotype"/>
          <w:i/>
          <w:color w:val="000000"/>
        </w:rPr>
        <w:t>No entregan lo solicitado</w:t>
      </w:r>
      <w:r w:rsidRPr="009B6FD5">
        <w:rPr>
          <w:rFonts w:ascii="Palatino Linotype" w:hAnsi="Palatino Linotype"/>
          <w:i/>
          <w:color w:val="000000"/>
        </w:rPr>
        <w:t>” (Sic).</w:t>
      </w:r>
    </w:p>
    <w:bookmarkEnd w:id="1"/>
    <w:bookmarkEnd w:id="2"/>
    <w:bookmarkEnd w:id="3"/>
    <w:p w:rsidR="003F6B0B" w:rsidRPr="009B6FD5" w:rsidRDefault="003F6B0B" w:rsidP="003F6B0B">
      <w:pPr>
        <w:spacing w:line="360" w:lineRule="auto"/>
        <w:jc w:val="both"/>
        <w:rPr>
          <w:rFonts w:ascii="Palatino Linotype" w:eastAsia="Calibri" w:hAnsi="Palatino Linotype" w:cs="Arial"/>
          <w:lang w:val="es-AR" w:eastAsia="es-ES"/>
        </w:rPr>
      </w:pPr>
    </w:p>
    <w:p w:rsidR="003F6B0B" w:rsidRPr="009B6FD5" w:rsidRDefault="003F6B0B" w:rsidP="003F6B0B">
      <w:pPr>
        <w:numPr>
          <w:ilvl w:val="0"/>
          <w:numId w:val="1"/>
        </w:numPr>
        <w:spacing w:line="360" w:lineRule="auto"/>
        <w:ind w:left="0" w:firstLine="0"/>
        <w:contextualSpacing/>
        <w:jc w:val="both"/>
        <w:rPr>
          <w:rFonts w:ascii="Palatino Linotype" w:eastAsia="Calibri" w:hAnsi="Palatino Linotype" w:cs="Arial"/>
          <w:lang w:val="es-AR" w:eastAsia="es-ES"/>
        </w:rPr>
      </w:pPr>
      <w:r w:rsidRPr="009B6FD5">
        <w:rPr>
          <w:rFonts w:ascii="Palatino Linotype" w:hAnsi="Palatino Linotype" w:cs="Arial"/>
          <w:lang w:val="es-ES" w:eastAsia="es-ES"/>
        </w:rPr>
        <w:t xml:space="preserve">Se registró el recurso de revisión bajo el número de expediente </w:t>
      </w:r>
      <w:r w:rsidRPr="009B6FD5">
        <w:rPr>
          <w:rFonts w:ascii="Palatino Linotype" w:eastAsiaTheme="minorEastAsia" w:hAnsi="Palatino Linotype" w:cs="Arial"/>
          <w:bCs/>
          <w:lang w:val="es-ES_tradnl" w:eastAsia="es-ES"/>
        </w:rPr>
        <w:t xml:space="preserve">al rubro indicado, asimismo con fundamento en lo dispuesto por el </w:t>
      </w:r>
      <w:r w:rsidRPr="009B6FD5">
        <w:rPr>
          <w:rFonts w:ascii="Palatino Linotype" w:eastAsia="Calibri" w:hAnsi="Palatino Linotype" w:cs="Arial"/>
          <w:lang w:val="es-ES" w:eastAsia="es-ES"/>
        </w:rPr>
        <w:t xml:space="preserve">artículo 185 fracción I de la </w:t>
      </w:r>
      <w:r w:rsidRPr="009B6FD5">
        <w:rPr>
          <w:rFonts w:ascii="Palatino Linotype" w:eastAsia="Calibri" w:hAnsi="Palatino Linotype" w:cs="Arial"/>
          <w:b/>
          <w:lang w:val="es-ES" w:eastAsia="es-ES"/>
        </w:rPr>
        <w:t xml:space="preserve">Ley de Transparencia y Acceso a la Información Pública del Estado de México y Municipios </w:t>
      </w:r>
      <w:r w:rsidR="005F10CE">
        <w:rPr>
          <w:rFonts w:ascii="Palatino Linotype" w:hAnsi="Palatino Linotype" w:cs="Arial"/>
          <w:lang w:val="es-ES" w:eastAsia="es-ES"/>
        </w:rPr>
        <w:t>se turnó a la</w:t>
      </w:r>
      <w:r w:rsidRPr="009B6FD5">
        <w:rPr>
          <w:rFonts w:ascii="Palatino Linotype" w:hAnsi="Palatino Linotype" w:cs="Arial"/>
          <w:lang w:val="es-ES" w:eastAsia="es-ES"/>
        </w:rPr>
        <w:t xml:space="preserve"> </w:t>
      </w:r>
      <w:r w:rsidR="005F10CE">
        <w:rPr>
          <w:rFonts w:ascii="Palatino Linotype" w:hAnsi="Palatino Linotype" w:cs="Arial"/>
          <w:b/>
          <w:lang w:val="es-ES" w:eastAsia="es-ES"/>
        </w:rPr>
        <w:t>Comisionada María del Rosario Mejía Ayala</w:t>
      </w:r>
      <w:r w:rsidRPr="009B6FD5">
        <w:rPr>
          <w:rFonts w:ascii="Palatino Linotype" w:hAnsi="Palatino Linotype" w:cs="Arial"/>
          <w:b/>
          <w:lang w:val="es-ES" w:eastAsia="es-ES"/>
        </w:rPr>
        <w:t xml:space="preserve">, </w:t>
      </w:r>
      <w:r w:rsidRPr="009B6FD5">
        <w:rPr>
          <w:rFonts w:ascii="Palatino Linotype" w:hAnsi="Palatino Linotype" w:cs="Arial"/>
          <w:lang w:val="es-ES" w:eastAsia="es-ES"/>
        </w:rPr>
        <w:t xml:space="preserve">con el objeto de </w:t>
      </w:r>
      <w:r w:rsidRPr="009B6FD5">
        <w:rPr>
          <w:rFonts w:ascii="Palatino Linotype" w:hAnsi="Palatino Linotype" w:cs="Arial"/>
          <w:lang w:eastAsia="es-ES"/>
        </w:rPr>
        <w:t xml:space="preserve">su análisis. </w:t>
      </w:r>
    </w:p>
    <w:p w:rsidR="003F6B0B" w:rsidRPr="009B6FD5" w:rsidRDefault="003F6B0B" w:rsidP="003F6B0B">
      <w:pPr>
        <w:spacing w:line="360" w:lineRule="auto"/>
        <w:contextualSpacing/>
        <w:jc w:val="both"/>
        <w:rPr>
          <w:rFonts w:ascii="Palatino Linotype" w:eastAsia="Calibri" w:hAnsi="Palatino Linotype" w:cs="Arial"/>
          <w:lang w:val="es-AR" w:eastAsia="es-ES"/>
        </w:rPr>
      </w:pPr>
    </w:p>
    <w:p w:rsidR="003F6B0B" w:rsidRPr="009B6FD5" w:rsidRDefault="009B6B3F" w:rsidP="003F6B0B">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Pr>
          <w:rFonts w:ascii="Palatino Linotype" w:eastAsia="Calibri" w:hAnsi="Palatino Linotype" w:cs="Arial"/>
          <w:lang w:val="es-ES" w:eastAsia="es-ES"/>
        </w:rPr>
        <w:t>La Comisionada</w:t>
      </w:r>
      <w:r w:rsidR="003F6B0B" w:rsidRPr="009B6FD5">
        <w:rPr>
          <w:rFonts w:ascii="Palatino Linotype" w:eastAsia="Calibri" w:hAnsi="Palatino Linotype" w:cs="Arial"/>
          <w:lang w:val="es-ES" w:eastAsia="es-ES"/>
        </w:rPr>
        <w:t xml:space="preserve"> Ponente con fundamento en lo dispuesto por el artículo 185 fracción II de la ley de la materia, a través del acuerdo de admisión de </w:t>
      </w:r>
      <w:r w:rsidR="00702CDB">
        <w:rPr>
          <w:rFonts w:ascii="Palatino Linotype" w:eastAsia="Calibri" w:hAnsi="Palatino Linotype" w:cs="Arial"/>
          <w:lang w:val="es-ES" w:eastAsia="es-ES"/>
        </w:rPr>
        <w:t>veintisiete (27)</w:t>
      </w:r>
      <w:r w:rsidR="005F10CE">
        <w:rPr>
          <w:rFonts w:ascii="Palatino Linotype" w:eastAsia="Calibri" w:hAnsi="Palatino Linotype" w:cs="Arial"/>
          <w:lang w:val="es-ES" w:eastAsia="es-ES"/>
        </w:rPr>
        <w:t xml:space="preserve"> de agosto </w:t>
      </w:r>
      <w:r w:rsidR="003F6B0B" w:rsidRPr="009B6FD5">
        <w:rPr>
          <w:rFonts w:ascii="Palatino Linotype" w:eastAsia="Calibri" w:hAnsi="Palatino Linotype" w:cs="Arial"/>
          <w:lang w:val="es-ES" w:eastAsia="es-ES"/>
        </w:rPr>
        <w:t xml:space="preserve">de dos mil veintiuno, puso a disposición de las partes el expediente electrónico </w:t>
      </w:r>
      <w:r w:rsidR="003F6B0B" w:rsidRPr="009B6FD5">
        <w:rPr>
          <w:rFonts w:ascii="Palatino Linotype" w:eastAsia="Calibri" w:hAnsi="Palatino Linotype" w:cs="Arial"/>
          <w:lang w:val="es-ES_tradnl" w:eastAsia="es-ES"/>
        </w:rPr>
        <w:t xml:space="preserve">vía </w:t>
      </w:r>
      <w:r w:rsidR="003F6B0B" w:rsidRPr="009B6FD5">
        <w:rPr>
          <w:rFonts w:ascii="Palatino Linotype" w:eastAsia="Calibri" w:hAnsi="Palatino Linotype" w:cs="Arial"/>
          <w:b/>
          <w:lang w:val="es-ES" w:eastAsia="es-ES"/>
        </w:rPr>
        <w:t xml:space="preserve">SAIMEX </w:t>
      </w:r>
      <w:r w:rsidR="003F6B0B" w:rsidRPr="009B6FD5">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003F6B0B" w:rsidRPr="009B6FD5">
        <w:rPr>
          <w:rFonts w:ascii="Palatino Linotype" w:eastAsia="Calibri" w:hAnsi="Palatino Linotype" w:cs="Arial"/>
          <w:b/>
          <w:lang w:val="es-ES" w:eastAsia="es-ES"/>
        </w:rPr>
        <w:t>SUJETO OBLIGADO</w:t>
      </w:r>
      <w:r w:rsidR="003F6B0B" w:rsidRPr="009B6FD5">
        <w:rPr>
          <w:rFonts w:ascii="Palatino Linotype" w:eastAsia="Calibri" w:hAnsi="Palatino Linotype" w:cs="Arial"/>
          <w:lang w:val="es-ES" w:eastAsia="es-ES"/>
        </w:rPr>
        <w:t xml:space="preserve"> presentara el informe justificado procedente. </w:t>
      </w:r>
    </w:p>
    <w:p w:rsidR="003F6B0B" w:rsidRPr="009B6FD5" w:rsidRDefault="003F6B0B" w:rsidP="003F6B0B">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3F6B0B" w:rsidRDefault="003F6B0B" w:rsidP="003F6B0B">
      <w:pPr>
        <w:numPr>
          <w:ilvl w:val="0"/>
          <w:numId w:val="1"/>
        </w:numPr>
        <w:spacing w:line="360" w:lineRule="auto"/>
        <w:ind w:left="0" w:firstLine="0"/>
        <w:contextualSpacing/>
        <w:jc w:val="both"/>
        <w:rPr>
          <w:rFonts w:ascii="Palatino Linotype" w:eastAsia="Calibri" w:hAnsi="Palatino Linotype" w:cs="Arial"/>
          <w:lang w:val="es-ES" w:eastAsia="es-ES"/>
        </w:rPr>
      </w:pPr>
      <w:r w:rsidRPr="009B6FD5">
        <w:rPr>
          <w:rFonts w:ascii="Palatino Linotype" w:eastAsia="Calibri" w:hAnsi="Palatino Linotype" w:cs="Arial"/>
          <w:lang w:val="es-ES" w:eastAsia="es-ES"/>
        </w:rPr>
        <w:t>De las constancias en el expediente electrónico SAIMEX, se observa que el particular no realizó manifestaciones, por su parte el Sujeto Obligado no remitió informe justificado:</w:t>
      </w:r>
    </w:p>
    <w:p w:rsidR="005F10CE" w:rsidRPr="009B6FD5" w:rsidRDefault="005F10CE" w:rsidP="005F10CE">
      <w:pPr>
        <w:spacing w:line="360" w:lineRule="auto"/>
        <w:contextualSpacing/>
        <w:jc w:val="both"/>
        <w:rPr>
          <w:rFonts w:ascii="Palatino Linotype" w:eastAsia="Calibri" w:hAnsi="Palatino Linotype" w:cs="Arial"/>
          <w:lang w:val="es-ES" w:eastAsia="es-ES"/>
        </w:rPr>
      </w:pPr>
    </w:p>
    <w:p w:rsidR="003F6B0B" w:rsidRPr="009B6FD5" w:rsidRDefault="005F10CE" w:rsidP="003F6B0B">
      <w:pPr>
        <w:spacing w:line="360" w:lineRule="auto"/>
        <w:contextualSpacing/>
        <w:jc w:val="center"/>
        <w:rPr>
          <w:rFonts w:ascii="Palatino Linotype" w:eastAsia="Calibri" w:hAnsi="Palatino Linotype" w:cs="Arial"/>
          <w:lang w:val="es-ES" w:eastAsia="es-ES"/>
        </w:rPr>
      </w:pPr>
      <w:r>
        <w:rPr>
          <w:noProof/>
        </w:rPr>
        <w:lastRenderedPageBreak/>
        <w:drawing>
          <wp:inline distT="0" distB="0" distL="0" distR="0" wp14:anchorId="589F3034" wp14:editId="066424A9">
            <wp:extent cx="4505325" cy="10899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522" t="24769" r="29346" b="57539"/>
                    <a:stretch/>
                  </pic:blipFill>
                  <pic:spPr bwMode="auto">
                    <a:xfrm>
                      <a:off x="0" y="0"/>
                      <a:ext cx="4562660" cy="1103870"/>
                    </a:xfrm>
                    <a:prstGeom prst="rect">
                      <a:avLst/>
                    </a:prstGeom>
                    <a:ln>
                      <a:noFill/>
                    </a:ln>
                    <a:extLst>
                      <a:ext uri="{53640926-AAD7-44D8-BBD7-CCE9431645EC}">
                        <a14:shadowObscured xmlns:a14="http://schemas.microsoft.com/office/drawing/2010/main"/>
                      </a:ext>
                    </a:extLst>
                  </pic:spPr>
                </pic:pic>
              </a:graphicData>
            </a:graphic>
          </wp:inline>
        </w:drawing>
      </w:r>
    </w:p>
    <w:p w:rsidR="003F6B0B" w:rsidRPr="009B6FD5" w:rsidRDefault="003F6B0B" w:rsidP="003F6B0B">
      <w:pPr>
        <w:spacing w:line="360" w:lineRule="auto"/>
        <w:contextualSpacing/>
        <w:jc w:val="both"/>
        <w:rPr>
          <w:rFonts w:ascii="Palatino Linotype" w:eastAsiaTheme="minorEastAsia" w:hAnsi="Palatino Linotype"/>
          <w:b/>
          <w:u w:val="single"/>
          <w:lang w:val="es-ES_tradnl" w:eastAsia="es-ES"/>
        </w:rPr>
      </w:pPr>
    </w:p>
    <w:p w:rsidR="003F6B0B" w:rsidRPr="009B6FD5" w:rsidRDefault="003F6B0B" w:rsidP="003F6B0B">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9B6FD5">
        <w:rPr>
          <w:rFonts w:ascii="Palatino Linotype" w:eastAsiaTheme="minorEastAsia" w:hAnsi="Palatino Linotype"/>
          <w:lang w:val="es-ES_tradnl" w:eastAsia="es-ES"/>
        </w:rPr>
        <w:t>El Comisionado Ponente decretó el cierre de instrucción</w:t>
      </w:r>
      <w:r w:rsidRPr="009B6FD5">
        <w:rPr>
          <w:rFonts w:ascii="Palatino Linotype" w:eastAsiaTheme="minorEastAsia" w:hAnsi="Palatino Linotype" w:cs="Arial"/>
          <w:lang w:val="es-ES_tradnl" w:eastAsia="es-ES"/>
        </w:rPr>
        <w:t xml:space="preserve"> </w:t>
      </w:r>
      <w:r w:rsidRPr="009B6FD5">
        <w:rPr>
          <w:rFonts w:ascii="Palatino Linotype" w:eastAsiaTheme="minorEastAsia" w:hAnsi="Palatino Linotype"/>
          <w:lang w:val="es-ES_tradnl" w:eastAsia="es-ES"/>
        </w:rPr>
        <w:t xml:space="preserve">mediante el acuerdo de fecha </w:t>
      </w:r>
      <w:r w:rsidR="00064E58">
        <w:rPr>
          <w:rFonts w:ascii="Palatino Linotype" w:eastAsiaTheme="minorEastAsia" w:hAnsi="Palatino Linotype"/>
          <w:lang w:val="es-ES_tradnl" w:eastAsia="es-ES"/>
        </w:rPr>
        <w:t xml:space="preserve">ocho (08) de septiembre </w:t>
      </w:r>
      <w:r w:rsidRPr="009B6FD5">
        <w:rPr>
          <w:rFonts w:ascii="Palatino Linotype" w:eastAsiaTheme="minorEastAsia" w:hAnsi="Palatino Linotype"/>
          <w:lang w:val="es-ES_tradnl" w:eastAsia="es-ES"/>
        </w:rPr>
        <w:t xml:space="preserve"> de dos mil veintiuno.</w:t>
      </w:r>
      <w:r w:rsidRPr="009B6FD5">
        <w:rPr>
          <w:rFonts w:ascii="Palatino Linotype" w:eastAsiaTheme="minorEastAsia" w:hAnsi="Palatino Linotype" w:cs="Arial"/>
          <w:lang w:val="es-ES_tradnl" w:eastAsia="es-ES"/>
        </w:rPr>
        <w:t xml:space="preserve"> </w:t>
      </w:r>
    </w:p>
    <w:p w:rsidR="003F6B0B" w:rsidRPr="009B6FD5" w:rsidRDefault="003F6B0B" w:rsidP="003F6B0B">
      <w:pPr>
        <w:spacing w:line="360" w:lineRule="auto"/>
        <w:contextualSpacing/>
        <w:jc w:val="both"/>
        <w:rPr>
          <w:rFonts w:ascii="Palatino Linotype" w:eastAsiaTheme="minorEastAsia" w:hAnsi="Palatino Linotype"/>
          <w:b/>
          <w:u w:val="single"/>
          <w:lang w:val="es-ES_tradnl" w:eastAsia="es-ES"/>
        </w:rPr>
      </w:pPr>
    </w:p>
    <w:p w:rsidR="003F6B0B" w:rsidRPr="009B6FD5" w:rsidRDefault="003F6B0B" w:rsidP="003F6B0B">
      <w:pPr>
        <w:pStyle w:val="Prrafodelista"/>
        <w:numPr>
          <w:ilvl w:val="0"/>
          <w:numId w:val="1"/>
        </w:numPr>
        <w:spacing w:line="360" w:lineRule="auto"/>
        <w:ind w:left="0" w:firstLine="0"/>
        <w:jc w:val="both"/>
        <w:rPr>
          <w:rFonts w:ascii="Palatino Linotype" w:eastAsia="Calibri" w:hAnsi="Palatino Linotype" w:cs="Arial"/>
          <w:sz w:val="24"/>
          <w:lang w:val="es-ES"/>
        </w:rPr>
      </w:pPr>
      <w:r w:rsidRPr="009B6FD5">
        <w:rPr>
          <w:rFonts w:ascii="Palatino Linotype" w:eastAsia="Calibri" w:hAnsi="Palatino Linotype" w:cs="Arial"/>
          <w:sz w:val="24"/>
          <w:lang w:val="es-ES"/>
        </w:rPr>
        <w:t xml:space="preserve">El </w:t>
      </w:r>
      <w:r w:rsidR="00064E58">
        <w:rPr>
          <w:rFonts w:ascii="Palatino Linotype" w:eastAsia="Calibri" w:hAnsi="Palatino Linotype" w:cs="Arial"/>
          <w:sz w:val="24"/>
          <w:lang w:val="es-ES"/>
        </w:rPr>
        <w:t xml:space="preserve">diecinueve (19) de octubre </w:t>
      </w:r>
      <w:r w:rsidRPr="009B6FD5">
        <w:rPr>
          <w:rFonts w:ascii="Palatino Linotype" w:eastAsia="Calibri" w:hAnsi="Palatino Linotype" w:cs="Arial"/>
          <w:sz w:val="24"/>
          <w:lang w:val="es-ES"/>
        </w:rPr>
        <w:t xml:space="preserve"> de dos mil veintiuno, se notificó mediante acuerdo que el plazo para resolver el recurso de revisión, se ampliaría por un periodo de quince días hábiles; </w:t>
      </w:r>
      <w:r w:rsidRPr="009B6FD5">
        <w:rPr>
          <w:rFonts w:ascii="Palatino Linotype" w:hAnsi="Palatino Linotype" w:cs="Arial"/>
          <w:sz w:val="24"/>
        </w:rPr>
        <w:t>posterior a ello ordenó turnar el expediente a resolución, misma que ahora se pronuncia; y---------------------------------------------------------------------</w:t>
      </w:r>
    </w:p>
    <w:p w:rsidR="003F6B0B" w:rsidRPr="009B6FD5" w:rsidRDefault="003F6B0B" w:rsidP="003F6B0B">
      <w:pPr>
        <w:spacing w:line="360" w:lineRule="auto"/>
        <w:contextualSpacing/>
        <w:jc w:val="both"/>
        <w:rPr>
          <w:rFonts w:ascii="Palatino Linotype" w:eastAsiaTheme="minorEastAsia" w:hAnsi="Palatino Linotype"/>
          <w:b/>
          <w:u w:val="single"/>
          <w:lang w:val="es-ES_tradnl" w:eastAsia="es-ES"/>
        </w:rPr>
      </w:pPr>
    </w:p>
    <w:p w:rsidR="003F6B0B" w:rsidRPr="009B6FD5" w:rsidRDefault="003F6B0B" w:rsidP="003F6B0B">
      <w:pPr>
        <w:keepNext/>
        <w:keepLines/>
        <w:spacing w:line="360" w:lineRule="auto"/>
        <w:jc w:val="center"/>
        <w:outlineLvl w:val="0"/>
        <w:rPr>
          <w:rFonts w:ascii="Palatino Linotype" w:eastAsiaTheme="majorEastAsia" w:hAnsi="Palatino Linotype" w:cstheme="majorBidi"/>
        </w:rPr>
      </w:pPr>
      <w:bookmarkStart w:id="4" w:name="_Toc86261426"/>
      <w:r w:rsidRPr="009B6FD5">
        <w:rPr>
          <w:rFonts w:ascii="Palatino Linotype" w:eastAsiaTheme="majorEastAsia" w:hAnsi="Palatino Linotype" w:cstheme="majorBidi"/>
          <w:b/>
        </w:rPr>
        <w:t>CONSIDERANDO</w:t>
      </w:r>
      <w:bookmarkEnd w:id="4"/>
      <w:r w:rsidRPr="009B6FD5">
        <w:rPr>
          <w:rFonts w:ascii="Palatino Linotype" w:eastAsiaTheme="majorEastAsia" w:hAnsi="Palatino Linotype" w:cstheme="majorBidi"/>
          <w:b/>
        </w:rPr>
        <w:t xml:space="preserve"> </w:t>
      </w:r>
    </w:p>
    <w:p w:rsidR="003F6B0B" w:rsidRPr="009B6FD5" w:rsidRDefault="003F6B0B" w:rsidP="003F6B0B">
      <w:pPr>
        <w:spacing w:line="360" w:lineRule="auto"/>
        <w:rPr>
          <w:rFonts w:ascii="Palatino Linotype" w:eastAsiaTheme="minorEastAsia" w:hAnsi="Palatino Linotype"/>
        </w:rPr>
      </w:pPr>
    </w:p>
    <w:p w:rsidR="003F6B0B" w:rsidRPr="009B6FD5" w:rsidRDefault="003F6B0B" w:rsidP="003F6B0B">
      <w:pPr>
        <w:keepNext/>
        <w:keepLines/>
        <w:spacing w:line="360" w:lineRule="auto"/>
        <w:outlineLvl w:val="1"/>
        <w:rPr>
          <w:rFonts w:ascii="Palatino Linotype" w:eastAsiaTheme="majorEastAsia" w:hAnsi="Palatino Linotype" w:cstheme="majorBidi"/>
          <w:b/>
          <w:szCs w:val="26"/>
        </w:rPr>
      </w:pPr>
      <w:bookmarkStart w:id="5" w:name="_Toc86261427"/>
      <w:r w:rsidRPr="009B6FD5">
        <w:rPr>
          <w:rFonts w:ascii="Palatino Linotype" w:eastAsiaTheme="majorEastAsia" w:hAnsi="Palatino Linotype" w:cstheme="majorBidi"/>
          <w:b/>
          <w:szCs w:val="26"/>
        </w:rPr>
        <w:t>PRIMERO. De la competencia</w:t>
      </w:r>
      <w:bookmarkEnd w:id="5"/>
    </w:p>
    <w:p w:rsidR="003F6B0B" w:rsidRPr="009B6FD5" w:rsidRDefault="003F6B0B" w:rsidP="003F6B0B">
      <w:pPr>
        <w:keepNext/>
        <w:keepLines/>
        <w:spacing w:line="360" w:lineRule="auto"/>
        <w:outlineLvl w:val="1"/>
        <w:rPr>
          <w:rFonts w:ascii="Palatino Linotype" w:eastAsiaTheme="majorEastAsia" w:hAnsi="Palatino Linotype" w:cstheme="majorBidi"/>
          <w:b/>
          <w:bCs/>
          <w:spacing w:val="60"/>
          <w:szCs w:val="26"/>
        </w:rPr>
      </w:pPr>
    </w:p>
    <w:p w:rsidR="00064E58" w:rsidRPr="00064E58" w:rsidRDefault="00064E58" w:rsidP="00064E58">
      <w:pPr>
        <w:numPr>
          <w:ilvl w:val="0"/>
          <w:numId w:val="1"/>
        </w:numPr>
        <w:spacing w:line="360" w:lineRule="auto"/>
        <w:ind w:left="0" w:firstLine="0"/>
        <w:contextualSpacing/>
        <w:jc w:val="both"/>
        <w:rPr>
          <w:rFonts w:ascii="Palatino Linotype" w:eastAsia="Calibri" w:hAnsi="Palatino Linotype"/>
          <w:b/>
          <w:lang w:val="es-ES" w:eastAsia="es-ES"/>
        </w:rPr>
      </w:pPr>
      <w:r>
        <w:rPr>
          <w:rFonts w:ascii="Palatino Linotype" w:eastAsia="Calibri" w:hAnsi="Palatino Linotype"/>
          <w:lang w:val="es-ES" w:eastAsia="es-ES"/>
        </w:rPr>
        <w:t>Este</w:t>
      </w:r>
      <w:r w:rsidRPr="00064E58">
        <w:rPr>
          <w:rFonts w:ascii="Palatino Linotype" w:eastAsia="Calibri" w:hAnsi="Palatino Linotype"/>
          <w:lang w:val="es-ES" w:eastAsia="es-ES"/>
        </w:rPr>
        <w:t xml:space="preserve">  Instituto de Transparencia, Acceso a la Información Pública y Protección de Datos Personales del Estado de México y Municipios, es competente para conocer y resolver el presente recurso de conformidad con el artículo: 6, apartado A, fracción IV de la </w:t>
      </w:r>
      <w:r w:rsidRPr="00064E58">
        <w:rPr>
          <w:rFonts w:ascii="Palatino Linotype" w:eastAsia="Calibri" w:hAnsi="Palatino Linotype"/>
          <w:b/>
          <w:lang w:val="es-ES" w:eastAsia="es-ES"/>
        </w:rPr>
        <w:t>Constitución Política de los Estados Unidos Mexicanos</w:t>
      </w:r>
      <w:r w:rsidRPr="00064E58">
        <w:rPr>
          <w:rFonts w:ascii="Palatino Linotype" w:eastAsia="Calibri" w:hAnsi="Palatino Linotype"/>
          <w:lang w:val="es-ES" w:eastAsia="es-ES"/>
        </w:rPr>
        <w:t xml:space="preserve">; 5, párrafos trigésimo, trigésimo primero y trigésimo segundo, fracciones IV y V, de la </w:t>
      </w:r>
      <w:r w:rsidRPr="00064E58">
        <w:rPr>
          <w:rFonts w:ascii="Palatino Linotype" w:eastAsia="Calibri" w:hAnsi="Palatino Linotype"/>
          <w:b/>
          <w:lang w:val="es-ES" w:eastAsia="es-ES"/>
        </w:rPr>
        <w:t>Constitución Política del Estado Libre y Soberano de México</w:t>
      </w:r>
      <w:r w:rsidRPr="00064E58">
        <w:rPr>
          <w:rFonts w:ascii="Palatino Linotype" w:eastAsia="Calibri" w:hAnsi="Palatino Linotype"/>
          <w:lang w:val="es-ES" w:eastAsia="es-ES"/>
        </w:rPr>
        <w:t xml:space="preserve">; artículos 1, 2 fracción II, 13, 29, 36 fracciones I y II, 176, 178, 179, 181 párrafo tercero y 185 de la </w:t>
      </w:r>
      <w:r w:rsidRPr="00064E58">
        <w:rPr>
          <w:rFonts w:ascii="Palatino Linotype" w:eastAsia="Calibri" w:hAnsi="Palatino Linotype"/>
          <w:b/>
          <w:lang w:val="es-ES" w:eastAsia="es-ES"/>
        </w:rPr>
        <w:t xml:space="preserve">Ley de Transparencia y Acceso a la Información Pública del Estado de México y </w:t>
      </w:r>
      <w:r w:rsidRPr="00064E58">
        <w:rPr>
          <w:rFonts w:ascii="Palatino Linotype" w:eastAsia="Calibri" w:hAnsi="Palatino Linotype"/>
          <w:b/>
          <w:lang w:val="es-ES" w:eastAsia="es-ES"/>
        </w:rPr>
        <w:lastRenderedPageBreak/>
        <w:t>Municipios</w:t>
      </w:r>
      <w:r w:rsidRPr="00064E58">
        <w:rPr>
          <w:rFonts w:ascii="Palatino Linotype" w:eastAsia="Calibri" w:hAnsi="Palatino Linotype"/>
          <w:lang w:val="es-ES" w:eastAsia="es-ES"/>
        </w:rPr>
        <w:t xml:space="preserve">; y 10, 7, 9 fracciones I y XXIV, y 11 del </w:t>
      </w:r>
      <w:r w:rsidRPr="00064E58">
        <w:rPr>
          <w:rFonts w:ascii="Palatino Linotype" w:eastAsia="Calibri" w:hAnsi="Palatino Linotype"/>
          <w:b/>
          <w:lang w:val="es-ES" w:eastAsia="es-ES"/>
        </w:rPr>
        <w:t>Reglamento Interior del Instituto de Transparencia, Acceso a la Información Pública y Protección de Datos Personales del Estado de México y Municipios.</w:t>
      </w:r>
    </w:p>
    <w:p w:rsidR="003F6B0B" w:rsidRPr="00064E58" w:rsidRDefault="003F6B0B" w:rsidP="00064E58">
      <w:pPr>
        <w:spacing w:line="360" w:lineRule="auto"/>
        <w:contextualSpacing/>
        <w:jc w:val="both"/>
        <w:rPr>
          <w:rFonts w:ascii="Palatino Linotype" w:eastAsiaTheme="minorEastAsia" w:hAnsi="Palatino Linotype"/>
          <w:lang w:val="es-ES_tradnl" w:eastAsia="es-ES"/>
        </w:rPr>
      </w:pPr>
    </w:p>
    <w:p w:rsidR="003F6B0B" w:rsidRPr="009B6FD5" w:rsidRDefault="003F6B0B" w:rsidP="003F6B0B">
      <w:pPr>
        <w:keepNext/>
        <w:keepLines/>
        <w:spacing w:line="360" w:lineRule="auto"/>
        <w:outlineLvl w:val="1"/>
        <w:rPr>
          <w:rFonts w:ascii="Palatino Linotype" w:eastAsiaTheme="majorEastAsia" w:hAnsi="Palatino Linotype" w:cstheme="majorBidi"/>
          <w:b/>
          <w:szCs w:val="26"/>
        </w:rPr>
      </w:pPr>
      <w:bookmarkStart w:id="6" w:name="_Toc86261428"/>
      <w:r w:rsidRPr="009B6FD5">
        <w:rPr>
          <w:rFonts w:ascii="Palatino Linotype" w:eastAsiaTheme="majorEastAsia" w:hAnsi="Palatino Linotype" w:cstheme="majorBidi"/>
          <w:b/>
          <w:szCs w:val="26"/>
        </w:rPr>
        <w:t>SEGUNDO. De la oportunidad y procedencia.</w:t>
      </w:r>
      <w:bookmarkEnd w:id="6"/>
    </w:p>
    <w:p w:rsidR="003F6B0B" w:rsidRPr="009B6FD5" w:rsidRDefault="003F6B0B" w:rsidP="003F6B0B">
      <w:pPr>
        <w:spacing w:line="360" w:lineRule="auto"/>
        <w:rPr>
          <w:rFonts w:ascii="Palatino Linotype" w:eastAsiaTheme="minorEastAsia" w:hAnsi="Palatino Linotype"/>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 xml:space="preserve">El medio de impugnación fue presentado a través del </w:t>
      </w:r>
      <w:r w:rsidRPr="009B6FD5">
        <w:rPr>
          <w:rFonts w:ascii="Palatino Linotype" w:eastAsia="Calibri" w:hAnsi="Palatino Linotype" w:cs="Arial"/>
          <w:b/>
          <w:lang w:val="es-ES_tradnl" w:eastAsia="es-ES"/>
        </w:rPr>
        <w:t>SAIMEX,</w:t>
      </w:r>
      <w:r w:rsidRPr="009B6FD5">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9B6FD5">
        <w:rPr>
          <w:rFonts w:ascii="Palatino Linotype" w:eastAsia="Calibri" w:hAnsi="Palatino Linotype" w:cs="Arial"/>
          <w:b/>
          <w:lang w:val="es-ES_tradnl" w:eastAsia="es-ES"/>
        </w:rPr>
        <w:t>SUJETO OBLIGADO</w:t>
      </w:r>
      <w:r w:rsidRPr="009B6FD5">
        <w:rPr>
          <w:rFonts w:ascii="Palatino Linotype" w:eastAsia="Calibri" w:hAnsi="Palatino Linotype" w:cs="Arial"/>
          <w:lang w:val="es-ES_tradnl" w:eastAsia="es-ES"/>
        </w:rPr>
        <w:t xml:space="preserve"> entregó respuesta a la solicitud el día </w:t>
      </w:r>
      <w:r w:rsidR="00064E58">
        <w:rPr>
          <w:rFonts w:ascii="Palatino Linotype" w:eastAsia="Calibri" w:hAnsi="Palatino Linotype" w:cs="Arial"/>
          <w:lang w:val="es-ES_tradnl" w:eastAsia="es-ES"/>
        </w:rPr>
        <w:t>diecisiete (17) de agosto</w:t>
      </w:r>
      <w:r w:rsidRPr="009B6FD5">
        <w:rPr>
          <w:rFonts w:ascii="Palatino Linotype" w:eastAsia="Calibri" w:hAnsi="Palatino Linotype" w:cs="Arial"/>
          <w:lang w:val="es-ES_tradnl" w:eastAsia="es-ES"/>
        </w:rPr>
        <w:t xml:space="preserve">  de dos mil veintiuno, </w:t>
      </w:r>
      <w:r w:rsidRPr="009B6FD5">
        <w:rPr>
          <w:rFonts w:ascii="Palatino Linotype" w:eastAsiaTheme="minorEastAsia" w:hAnsi="Palatino Linotype" w:cs="Arial"/>
          <w:lang w:val="es-ES_tradnl" w:eastAsia="es-ES"/>
        </w:rPr>
        <w:t xml:space="preserve">de tal forma que el plazo para interponer el recurso de revisión transcurrió del </w:t>
      </w:r>
      <w:r w:rsidR="00064E58">
        <w:rPr>
          <w:rFonts w:ascii="Palatino Linotype" w:eastAsiaTheme="minorEastAsia" w:hAnsi="Palatino Linotype" w:cs="Arial"/>
          <w:lang w:val="es-ES_tradnl" w:eastAsia="es-ES"/>
        </w:rPr>
        <w:t>dieciocho (18) de agosto</w:t>
      </w:r>
      <w:r w:rsidRPr="009B6FD5">
        <w:rPr>
          <w:rFonts w:ascii="Palatino Linotype" w:eastAsiaTheme="minorEastAsia" w:hAnsi="Palatino Linotype" w:cs="Arial"/>
          <w:lang w:val="es-ES_tradnl" w:eastAsia="es-ES"/>
        </w:rPr>
        <w:t xml:space="preserve">  al </w:t>
      </w:r>
      <w:r w:rsidR="00064E58">
        <w:rPr>
          <w:rFonts w:ascii="Palatino Linotype" w:eastAsiaTheme="minorEastAsia" w:hAnsi="Palatino Linotype" w:cs="Arial"/>
          <w:lang w:val="es-ES_tradnl" w:eastAsia="es-ES"/>
        </w:rPr>
        <w:t>siete (07) de septiembre</w:t>
      </w:r>
      <w:r w:rsidRPr="009B6FD5">
        <w:rPr>
          <w:rFonts w:ascii="Palatino Linotype" w:eastAsiaTheme="minorEastAsia" w:hAnsi="Palatino Linotype" w:cs="Arial"/>
          <w:lang w:val="es-ES_tradnl" w:eastAsia="es-ES"/>
        </w:rPr>
        <w:t xml:space="preserve">  de dos mil veintiuno; en consecuencia, presentó su inconformidad el día </w:t>
      </w:r>
      <w:r w:rsidR="00064E58">
        <w:rPr>
          <w:rFonts w:ascii="Palatino Linotype" w:eastAsiaTheme="minorEastAsia" w:hAnsi="Palatino Linotype" w:cs="Arial"/>
          <w:lang w:val="es-ES_tradnl" w:eastAsia="es-ES"/>
        </w:rPr>
        <w:t xml:space="preserve">veintisiete (27) de agosto </w:t>
      </w:r>
      <w:r w:rsidRPr="009B6FD5">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9B6FD5">
        <w:rPr>
          <w:rFonts w:ascii="Palatino Linotype" w:eastAsiaTheme="minorEastAsia" w:hAnsi="Palatino Linotype" w:cs="Arial"/>
          <w:b/>
          <w:lang w:val="es-ES_tradnl" w:eastAsia="es-ES"/>
        </w:rPr>
        <w:t xml:space="preserve">Ley de Transparencia y Acceso a la Información Pública del Estado de México y Municipios </w:t>
      </w:r>
      <w:r w:rsidRPr="009B6FD5">
        <w:rPr>
          <w:rFonts w:ascii="Palatino Linotype" w:eastAsiaTheme="minorEastAsia" w:hAnsi="Palatino Linotype" w:cs="Arial"/>
          <w:lang w:val="es-ES_tradnl" w:eastAsia="es-ES"/>
        </w:rPr>
        <w:t>vigente.</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pStyle w:val="Prrafodelista"/>
        <w:numPr>
          <w:ilvl w:val="0"/>
          <w:numId w:val="1"/>
        </w:numPr>
        <w:spacing w:line="360" w:lineRule="auto"/>
        <w:ind w:left="0" w:firstLine="0"/>
        <w:jc w:val="both"/>
        <w:rPr>
          <w:rFonts w:ascii="Palatino Linotype" w:hAnsi="Palatino Linotype"/>
          <w:sz w:val="24"/>
        </w:rPr>
      </w:pPr>
      <w:r w:rsidRPr="009B6FD5">
        <w:rPr>
          <w:rFonts w:ascii="Palatino Linotype" w:eastAsia="Calibri" w:hAnsi="Palatino Linotype" w:cs="Arial"/>
          <w:sz w:val="24"/>
        </w:rPr>
        <w:t>Asimismo</w:t>
      </w:r>
      <w:r w:rsidRPr="009B6FD5">
        <w:rPr>
          <w:rFonts w:ascii="Palatino Linotype" w:eastAsia="Calibri" w:hAnsi="Palatino Linotype"/>
          <w:sz w:val="24"/>
          <w:lang w:val="es-ES"/>
        </w:rPr>
        <w:t xml:space="preserve">, de la revisión al expediente electrónico contenido en el sistema SAIMEX se desprende que la parte solicitante en ejercicio de su derecho de acceso a la información pública en el expediente que se revisa, tanto en la solicitud de información como en el recurso de revisión </w:t>
      </w:r>
      <w:r w:rsidRPr="009B6FD5">
        <w:rPr>
          <w:rFonts w:ascii="Palatino Linotype" w:eastAsia="Calibri" w:hAnsi="Palatino Linotype"/>
          <w:b/>
          <w:sz w:val="24"/>
          <w:lang w:val="es-ES"/>
        </w:rPr>
        <w:t xml:space="preserve">no proporciona su nombre para que sea </w:t>
      </w:r>
      <w:r w:rsidRPr="009B6FD5">
        <w:rPr>
          <w:rFonts w:ascii="Palatino Linotype" w:eastAsia="Calibri" w:hAnsi="Palatino Linotype"/>
          <w:b/>
          <w:sz w:val="24"/>
          <w:u w:val="single"/>
          <w:lang w:val="es-ES"/>
        </w:rPr>
        <w:t>identificado</w:t>
      </w:r>
      <w:r w:rsidRPr="009B6FD5">
        <w:rPr>
          <w:rFonts w:ascii="Palatino Linotype" w:eastAsia="Calibri" w:hAnsi="Palatino Linotype"/>
          <w:b/>
          <w:sz w:val="24"/>
          <w:lang w:val="es-ES"/>
        </w:rPr>
        <w:t>,</w:t>
      </w:r>
      <w:r w:rsidRPr="009B6FD5">
        <w:rPr>
          <w:rFonts w:ascii="Palatino Linotype" w:eastAsia="Calibri" w:hAnsi="Palatino Linotype"/>
          <w:sz w:val="24"/>
          <w:lang w:val="es-ES"/>
        </w:rPr>
        <w:t xml:space="preserve"> ni se tiene la certeza sobre su identidad, sin embargo, es importante señalar también que </w:t>
      </w:r>
      <w:r w:rsidRPr="009B6FD5">
        <w:rPr>
          <w:rFonts w:ascii="Palatino Linotype" w:eastAsiaTheme="minorHAnsi" w:hAnsi="Palatino Linotype" w:cs="Arial"/>
          <w:sz w:val="24"/>
          <w:lang w:eastAsia="en-US"/>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3F6B0B" w:rsidRPr="009B6FD5" w:rsidRDefault="003F6B0B" w:rsidP="003F6B0B">
      <w:pPr>
        <w:pStyle w:val="Prrafodelista"/>
        <w:spacing w:line="360" w:lineRule="auto"/>
        <w:rPr>
          <w:rFonts w:ascii="Palatino Linotype" w:hAnsi="Palatino Linotype"/>
          <w:sz w:val="24"/>
        </w:rPr>
      </w:pPr>
    </w:p>
    <w:p w:rsidR="003F6B0B" w:rsidRPr="009B6FD5" w:rsidRDefault="003F6B0B" w:rsidP="003F6B0B">
      <w:pPr>
        <w:pStyle w:val="Prrafodelista"/>
        <w:numPr>
          <w:ilvl w:val="0"/>
          <w:numId w:val="1"/>
        </w:numPr>
        <w:spacing w:line="360" w:lineRule="auto"/>
        <w:ind w:left="0" w:firstLine="0"/>
        <w:jc w:val="both"/>
        <w:rPr>
          <w:rFonts w:ascii="Palatino Linotype" w:hAnsi="Palatino Linotype"/>
          <w:sz w:val="24"/>
        </w:rPr>
      </w:pPr>
      <w:r w:rsidRPr="009B6FD5">
        <w:rPr>
          <w:rFonts w:ascii="Palatino Linotype" w:eastAsia="Calibri" w:hAnsi="Palatino Linotype" w:cs="Arial"/>
          <w:sz w:val="24"/>
        </w:rPr>
        <w:t>Esto</w:t>
      </w:r>
      <w:r w:rsidRPr="009B6FD5">
        <w:rPr>
          <w:rFonts w:ascii="Palatino Linotype" w:eastAsia="Calibri" w:hAnsi="Palatino Linotype"/>
          <w:sz w:val="24"/>
          <w:lang w:val="es-ES"/>
        </w:rPr>
        <w:t xml:space="preserve">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3F6B0B" w:rsidRPr="009B6FD5" w:rsidRDefault="003F6B0B" w:rsidP="003F6B0B">
      <w:pPr>
        <w:pStyle w:val="Prrafodelista"/>
        <w:spacing w:line="360" w:lineRule="auto"/>
        <w:rPr>
          <w:rFonts w:ascii="Palatino Linotype" w:eastAsia="Calibri" w:hAnsi="Palatino Linotype"/>
          <w:sz w:val="24"/>
          <w:lang w:val="es-ES"/>
        </w:rPr>
      </w:pPr>
    </w:p>
    <w:p w:rsidR="003F6B0B" w:rsidRPr="009B6FD5" w:rsidRDefault="003F6B0B" w:rsidP="003F6B0B">
      <w:pPr>
        <w:pStyle w:val="Prrafodelista"/>
        <w:numPr>
          <w:ilvl w:val="0"/>
          <w:numId w:val="1"/>
        </w:numPr>
        <w:spacing w:line="360" w:lineRule="auto"/>
        <w:ind w:left="0" w:firstLine="0"/>
        <w:jc w:val="both"/>
        <w:rPr>
          <w:rFonts w:ascii="Palatino Linotype" w:hAnsi="Palatino Linotype"/>
          <w:sz w:val="24"/>
        </w:rPr>
      </w:pPr>
      <w:r w:rsidRPr="009B6FD5">
        <w:rPr>
          <w:rFonts w:ascii="Palatino Linotype" w:eastAsia="Calibri" w:hAnsi="Palatino Linotype" w:cs="Arial"/>
          <w:sz w:val="24"/>
        </w:rPr>
        <w:t>Por</w:t>
      </w:r>
      <w:r w:rsidRPr="009B6FD5">
        <w:rPr>
          <w:rFonts w:ascii="Palatino Linotype" w:eastAsia="Calibri" w:hAnsi="Palatino Linotype"/>
          <w:sz w:val="24"/>
          <w:lang w:val="es-ES"/>
        </w:rPr>
        <w:t xml:space="preserve">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F6B0B" w:rsidRPr="009B6FD5" w:rsidRDefault="003F6B0B" w:rsidP="003F6B0B">
      <w:pPr>
        <w:pStyle w:val="Prrafodelista"/>
        <w:spacing w:line="360" w:lineRule="auto"/>
        <w:rPr>
          <w:rFonts w:ascii="Palatino Linotype" w:eastAsia="Calibri" w:hAnsi="Palatino Linotype"/>
          <w:sz w:val="24"/>
          <w:lang w:val="es-ES"/>
        </w:rPr>
      </w:pPr>
    </w:p>
    <w:p w:rsidR="003F6B0B" w:rsidRPr="009B6FD5" w:rsidRDefault="003F6B0B" w:rsidP="003F6B0B">
      <w:pPr>
        <w:pStyle w:val="Prrafodelista"/>
        <w:numPr>
          <w:ilvl w:val="0"/>
          <w:numId w:val="1"/>
        </w:numPr>
        <w:spacing w:line="360" w:lineRule="auto"/>
        <w:ind w:left="0" w:firstLine="0"/>
        <w:jc w:val="both"/>
        <w:rPr>
          <w:rFonts w:ascii="Palatino Linotype" w:hAnsi="Palatino Linotype"/>
          <w:sz w:val="24"/>
        </w:rPr>
      </w:pPr>
      <w:r w:rsidRPr="009B6FD5">
        <w:rPr>
          <w:rFonts w:ascii="Palatino Linotype" w:eastAsia="Calibri" w:hAnsi="Palatino Linotype" w:cs="Arial"/>
          <w:sz w:val="24"/>
        </w:rPr>
        <w:t>En</w:t>
      </w:r>
      <w:r w:rsidRPr="009B6FD5">
        <w:rPr>
          <w:rFonts w:ascii="Palatino Linotype" w:eastAsia="Calibri" w:hAnsi="Palatino Linotype"/>
          <w:sz w:val="24"/>
          <w:lang w:val="es-ES"/>
        </w:rPr>
        <w:t xml:space="preserve">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3F6B0B" w:rsidRPr="009B6FD5" w:rsidRDefault="003F6B0B" w:rsidP="003F6B0B">
      <w:pPr>
        <w:pStyle w:val="Prrafodelista"/>
        <w:spacing w:line="360" w:lineRule="auto"/>
        <w:rPr>
          <w:rFonts w:ascii="Palatino Linotype" w:hAnsi="Palatino Linotype" w:cs="Arial"/>
          <w:sz w:val="24"/>
          <w:lang w:val="es-ES"/>
        </w:rPr>
      </w:pPr>
    </w:p>
    <w:p w:rsidR="003F6B0B" w:rsidRPr="009B6FD5" w:rsidRDefault="003F6B0B" w:rsidP="003F6B0B">
      <w:pPr>
        <w:pStyle w:val="Prrafodelista"/>
        <w:numPr>
          <w:ilvl w:val="0"/>
          <w:numId w:val="1"/>
        </w:numPr>
        <w:spacing w:line="360" w:lineRule="auto"/>
        <w:ind w:left="0" w:firstLine="0"/>
        <w:jc w:val="both"/>
        <w:rPr>
          <w:rFonts w:ascii="Palatino Linotype" w:hAnsi="Palatino Linotype"/>
          <w:sz w:val="24"/>
        </w:rPr>
      </w:pPr>
      <w:r w:rsidRPr="009B6FD5">
        <w:rPr>
          <w:rFonts w:ascii="Palatino Linotype" w:eastAsia="Calibri" w:hAnsi="Palatino Linotype" w:cs="Arial"/>
          <w:sz w:val="24"/>
        </w:rPr>
        <w:lastRenderedPageBreak/>
        <w:t>Por</w:t>
      </w:r>
      <w:r w:rsidRPr="009B6FD5">
        <w:rPr>
          <w:rFonts w:ascii="Palatino Linotype" w:hAnsi="Palatino Linotype" w:cs="Arial"/>
          <w:sz w:val="24"/>
          <w:lang w:val="es-ES"/>
        </w:rPr>
        <w:t xml:space="preserve"> lo que el nombre del solicitando y recurrente no puede ser considerado un requisito indispensable de procedibilidad del recurso de revisión que nos ocupa, ya que el acceso a la información no está condicionado a acreditar algún interés ya sea jurídico o legítimo, máxime que es un elemento subsanable por este Órgano Resolutor.</w:t>
      </w:r>
    </w:p>
    <w:p w:rsidR="003F6B0B" w:rsidRPr="009B6FD5" w:rsidRDefault="003F6B0B" w:rsidP="003F6B0B">
      <w:pPr>
        <w:spacing w:line="360" w:lineRule="auto"/>
        <w:ind w:right="49"/>
        <w:contextualSpacing/>
        <w:jc w:val="both"/>
        <w:rPr>
          <w:rFonts w:ascii="Palatino Linotype" w:eastAsiaTheme="minorEastAsia" w:hAnsi="Palatino Linotype"/>
          <w:sz w:val="28"/>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7" w:name="_Toc452722829"/>
      <w:bookmarkStart w:id="8" w:name="_Toc454373811"/>
      <w:bookmarkStart w:id="9" w:name="_Toc476675991"/>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keepNext/>
        <w:keepLines/>
        <w:spacing w:line="360" w:lineRule="auto"/>
        <w:ind w:right="48"/>
        <w:outlineLvl w:val="0"/>
        <w:rPr>
          <w:rFonts w:ascii="Palatino Linotype" w:eastAsia="MS Gothic" w:hAnsi="Palatino Linotype" w:cstheme="majorBidi"/>
          <w:b/>
          <w:lang w:val="es-ES_tradnl" w:eastAsia="es-ES"/>
        </w:rPr>
      </w:pPr>
      <w:bookmarkStart w:id="10" w:name="_Toc70417465"/>
      <w:bookmarkStart w:id="11" w:name="_Toc80812774"/>
      <w:bookmarkStart w:id="12" w:name="_Toc86261429"/>
      <w:r w:rsidRPr="009B6FD5">
        <w:rPr>
          <w:rFonts w:ascii="Palatino Linotype" w:eastAsia="MS Gothic" w:hAnsi="Palatino Linotype" w:cstheme="majorBidi"/>
          <w:b/>
          <w:lang w:val="es-ES_tradnl" w:eastAsia="es-ES"/>
        </w:rPr>
        <w:t>TERCERO. Planteamiento de la Litis</w:t>
      </w:r>
      <w:bookmarkEnd w:id="10"/>
      <w:bookmarkEnd w:id="11"/>
      <w:bookmarkEnd w:id="12"/>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064E58" w:rsidRDefault="003F6B0B" w:rsidP="00064E58">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 xml:space="preserve">El particular solicitó </w:t>
      </w:r>
      <w:r w:rsidR="00064E58">
        <w:rPr>
          <w:rFonts w:ascii="Palatino Linotype" w:eastAsia="MS Gothic" w:hAnsi="Palatino Linotype"/>
        </w:rPr>
        <w:t xml:space="preserve">todos los procedimientos adquisitivos del </w:t>
      </w:r>
      <w:r w:rsidR="00CB4E40">
        <w:rPr>
          <w:rFonts w:ascii="Palatino Linotype" w:eastAsia="MS Gothic" w:hAnsi="Palatino Linotype"/>
        </w:rPr>
        <w:t>Instituto Municipal de Cultura Física y Deporte  y del Organismo Público Descentralizado denominado Sistema Municipal para el Desarrollo Integral de la Familia,</w:t>
      </w:r>
      <w:r w:rsidR="00064E58">
        <w:rPr>
          <w:rFonts w:ascii="Palatino Linotype" w:eastAsia="MS Gothic" w:hAnsi="Palatino Linotype"/>
        </w:rPr>
        <w:t xml:space="preserve"> en versión Pública.</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CB4E40" w:rsidRPr="00CB4E40" w:rsidRDefault="003F6B0B" w:rsidP="00CB4E4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CB4E40">
        <w:rPr>
          <w:rFonts w:ascii="Palatino Linotype" w:hAnsi="Palatino Linotype"/>
          <w:iCs/>
          <w:color w:val="000000"/>
        </w:rPr>
        <w:t xml:space="preserve">En respuesta, el SUJETO OBLIGADO </w:t>
      </w:r>
      <w:r w:rsidR="00CB4E40">
        <w:rPr>
          <w:rFonts w:ascii="Palatino Linotype" w:hAnsi="Palatino Linotype"/>
          <w:iCs/>
          <w:color w:val="000000"/>
        </w:rPr>
        <w:t>entrego tres contratos de prestación de servicios celebrados por el Instituto Municipal de Cultura y Deporte; p</w:t>
      </w:r>
      <w:r w:rsidR="001535CB">
        <w:rPr>
          <w:rFonts w:ascii="Palatino Linotype" w:eastAsiaTheme="minorEastAsia" w:hAnsi="Palatino Linotype"/>
          <w:lang w:val="es-ES_tradnl" w:eastAsia="es-ES"/>
        </w:rPr>
        <w:t>or lo que respecta</w:t>
      </w:r>
      <w:r w:rsidR="00CB4E40" w:rsidRPr="00CB4E40">
        <w:rPr>
          <w:rFonts w:ascii="Palatino Linotype" w:eastAsiaTheme="minorEastAsia" w:hAnsi="Palatino Linotype"/>
          <w:lang w:val="es-ES_tradnl" w:eastAsia="es-ES"/>
        </w:rPr>
        <w:t xml:space="preserve"> </w:t>
      </w:r>
      <w:r w:rsidR="001535CB">
        <w:rPr>
          <w:rFonts w:ascii="Palatino Linotype" w:eastAsiaTheme="minorEastAsia" w:hAnsi="Palatino Linotype"/>
          <w:lang w:val="es-ES_tradnl" w:eastAsia="es-ES"/>
        </w:rPr>
        <w:t>al</w:t>
      </w:r>
      <w:r w:rsidR="00CB4E40" w:rsidRPr="00CB4E40">
        <w:rPr>
          <w:rFonts w:ascii="Palatino Linotype" w:eastAsiaTheme="minorEastAsia" w:hAnsi="Palatino Linotype"/>
          <w:lang w:val="es-ES_tradnl" w:eastAsia="es-ES"/>
        </w:rPr>
        <w:t xml:space="preserve"> </w:t>
      </w:r>
      <w:r w:rsidR="00CB4E40" w:rsidRPr="00CB4E40">
        <w:rPr>
          <w:rFonts w:ascii="Palatino Linotype" w:eastAsiaTheme="minorEastAsia" w:hAnsi="Palatino Linotype"/>
          <w:lang w:eastAsia="es-ES"/>
        </w:rPr>
        <w:t>Organismo Público Descentralizado denominado Sistema Municipal para el Desarrollo Integral de la Familia</w:t>
      </w:r>
      <w:r w:rsidR="001535CB">
        <w:rPr>
          <w:rFonts w:ascii="Palatino Linotype" w:eastAsiaTheme="minorEastAsia" w:hAnsi="Palatino Linotype"/>
          <w:lang w:eastAsia="es-ES"/>
        </w:rPr>
        <w:t>,</w:t>
      </w:r>
      <w:r w:rsidR="00CB4E40">
        <w:rPr>
          <w:rFonts w:ascii="Palatino Linotype" w:eastAsiaTheme="minorEastAsia" w:hAnsi="Palatino Linotype"/>
          <w:lang w:eastAsia="es-ES"/>
        </w:rPr>
        <w:t xml:space="preserve"> informó que no se llevó </w:t>
      </w:r>
      <w:r w:rsidR="001B56D0">
        <w:rPr>
          <w:rFonts w:ascii="Palatino Linotype" w:eastAsiaTheme="minorEastAsia" w:hAnsi="Palatino Linotype"/>
          <w:lang w:eastAsia="es-ES"/>
        </w:rPr>
        <w:t>ningún procedimiento de adjudicación.</w:t>
      </w:r>
    </w:p>
    <w:p w:rsidR="00CB4E40" w:rsidRPr="00CB4E40" w:rsidRDefault="00CB4E40" w:rsidP="00CB4E40">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hAnsi="Palatino Linotype"/>
          <w:i/>
          <w:color w:val="000000"/>
        </w:rPr>
      </w:pPr>
      <w:r w:rsidRPr="009B6FD5">
        <w:rPr>
          <w:rFonts w:ascii="Palatino Linotype" w:hAnsi="Palatino Linotype"/>
        </w:rPr>
        <w:lastRenderedPageBreak/>
        <w:t xml:space="preserve">Derivado de ello, el particular interpuso recurso de revisión; manifestó en sus motivos de inconformidad </w:t>
      </w:r>
      <w:r w:rsidRPr="009B6FD5">
        <w:rPr>
          <w:rFonts w:ascii="Palatino Linotype" w:hAnsi="Palatino Linotype"/>
          <w:i/>
          <w:color w:val="000000"/>
          <w:lang w:val="es-ES"/>
        </w:rPr>
        <w:t>“</w:t>
      </w:r>
      <w:r w:rsidR="001B56D0" w:rsidRPr="001B56D0">
        <w:rPr>
          <w:rFonts w:ascii="Palatino Linotype" w:hAnsi="Palatino Linotype"/>
          <w:i/>
          <w:color w:val="000000"/>
        </w:rPr>
        <w:t>No entregan lo solicitado</w:t>
      </w:r>
      <w:r w:rsidRPr="009B6FD5">
        <w:rPr>
          <w:rFonts w:ascii="Palatino Linotype" w:hAnsi="Palatino Linotype"/>
          <w:i/>
          <w:color w:val="000000"/>
        </w:rPr>
        <w:t>” (Sic).</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información sea congruente.</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MS Gothic" w:hAnsi="Palatino Linotype"/>
        </w:rPr>
        <w:t>Así mismo determinar si se actualizan las causales de procedencia previstas en la fracciones I y VI del artículo 179 de la Ley de Transparencia y Acceso a la Información Pública del Estado de México y sus Municipios, que establecen la negativa de la información solicitada y la entrega de la información que no corresponde con lo solicitado.</w:t>
      </w:r>
    </w:p>
    <w:p w:rsidR="003F6B0B" w:rsidRPr="009B6FD5" w:rsidRDefault="003F6B0B" w:rsidP="003F6B0B">
      <w:pPr>
        <w:spacing w:line="360" w:lineRule="auto"/>
        <w:ind w:right="49"/>
        <w:contextualSpacing/>
        <w:jc w:val="both"/>
        <w:rPr>
          <w:rFonts w:ascii="Palatino Linotype" w:eastAsia="MS Gothic" w:hAnsi="Palatino Linotype"/>
        </w:rPr>
      </w:pPr>
    </w:p>
    <w:p w:rsidR="003F6B0B" w:rsidRPr="009B6FD5" w:rsidRDefault="003F6B0B" w:rsidP="003F6B0B">
      <w:pPr>
        <w:keepNext/>
        <w:keepLines/>
        <w:spacing w:line="360" w:lineRule="auto"/>
        <w:ind w:right="48"/>
        <w:outlineLvl w:val="0"/>
        <w:rPr>
          <w:rFonts w:ascii="Palatino Linotype" w:eastAsia="MS Gothic" w:hAnsi="Palatino Linotype" w:cstheme="majorBidi"/>
          <w:b/>
          <w:lang w:val="es-ES_tradnl" w:eastAsia="es-ES"/>
        </w:rPr>
      </w:pPr>
      <w:bookmarkStart w:id="13" w:name="_Toc70417466"/>
      <w:bookmarkStart w:id="14" w:name="_Toc80812775"/>
      <w:bookmarkStart w:id="15" w:name="_Toc86261430"/>
      <w:r w:rsidRPr="009B6FD5">
        <w:rPr>
          <w:rFonts w:ascii="Palatino Linotype" w:eastAsia="MS Gothic" w:hAnsi="Palatino Linotype" w:cstheme="majorBidi"/>
          <w:b/>
          <w:lang w:val="es-ES_tradnl" w:eastAsia="es-ES"/>
        </w:rPr>
        <w:t>CUARTO. Del estudio y resolución del recurso de revisión.</w:t>
      </w:r>
      <w:bookmarkEnd w:id="13"/>
      <w:bookmarkEnd w:id="14"/>
      <w:bookmarkEnd w:id="15"/>
    </w:p>
    <w:p w:rsidR="003F6B0B" w:rsidRPr="009B6FD5" w:rsidRDefault="003F6B0B" w:rsidP="003F6B0B">
      <w:pPr>
        <w:keepNext/>
        <w:keepLines/>
        <w:spacing w:line="360" w:lineRule="auto"/>
        <w:ind w:right="48"/>
        <w:outlineLvl w:val="0"/>
        <w:rPr>
          <w:rFonts w:ascii="Palatino Linotype" w:eastAsia="MS Gothic" w:hAnsi="Palatino Linotype" w:cstheme="majorBidi"/>
          <w:b/>
          <w:lang w:val="es-ES_tradnl" w:eastAsia="es-ES"/>
        </w:rPr>
      </w:pPr>
    </w:p>
    <w:p w:rsidR="003F6B0B" w:rsidRPr="009B6FD5" w:rsidRDefault="003F6B0B" w:rsidP="003F6B0B">
      <w:pPr>
        <w:pStyle w:val="Prrafodelista"/>
        <w:keepNext/>
        <w:keepLines/>
        <w:numPr>
          <w:ilvl w:val="0"/>
          <w:numId w:val="4"/>
        </w:numPr>
        <w:spacing w:line="360" w:lineRule="auto"/>
        <w:jc w:val="both"/>
        <w:outlineLvl w:val="1"/>
        <w:rPr>
          <w:rFonts w:ascii="Palatino Linotype" w:eastAsia="MS Gothic" w:hAnsi="Palatino Linotype"/>
          <w:b/>
          <w:sz w:val="24"/>
          <w:lang w:val="es-ES_tradnl" w:eastAsia="es-ES"/>
        </w:rPr>
      </w:pPr>
      <w:bookmarkStart w:id="16" w:name="_Toc498528948"/>
      <w:bookmarkStart w:id="17" w:name="_Toc71234379"/>
      <w:bookmarkStart w:id="18" w:name="_Toc71239557"/>
      <w:bookmarkStart w:id="19" w:name="_Toc80812776"/>
      <w:bookmarkStart w:id="20" w:name="_Toc86261431"/>
      <w:r w:rsidRPr="009B6FD5">
        <w:rPr>
          <w:rFonts w:ascii="Palatino Linotype" w:eastAsia="MS Gothic" w:hAnsi="Palatino Linotype"/>
          <w:b/>
          <w:sz w:val="24"/>
          <w:lang w:val="es-ES_tradnl" w:eastAsia="es-ES"/>
        </w:rPr>
        <w:t>De</w:t>
      </w:r>
      <w:bookmarkEnd w:id="16"/>
      <w:r w:rsidRPr="009B6FD5">
        <w:rPr>
          <w:rFonts w:ascii="Palatino Linotype" w:eastAsia="MS Gothic" w:hAnsi="Palatino Linotype"/>
          <w:b/>
          <w:sz w:val="24"/>
          <w:lang w:val="es-ES_tradnl" w:eastAsia="es-ES"/>
        </w:rPr>
        <w:t>l derecho de acceso a la información.</w:t>
      </w:r>
      <w:bookmarkEnd w:id="17"/>
      <w:bookmarkEnd w:id="18"/>
      <w:bookmarkEnd w:id="19"/>
      <w:bookmarkEnd w:id="20"/>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E</w:t>
      </w:r>
      <w:r w:rsidRPr="009B6FD5">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9B6FD5">
        <w:rPr>
          <w:rFonts w:ascii="Palatino Linotype" w:hAnsi="Palatino Linotype" w:cs="Arial"/>
          <w:color w:val="000000"/>
          <w:lang w:val="es-ES_tradnl" w:eastAsia="es-ES"/>
        </w:rPr>
        <w:t xml:space="preserve">. </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lastRenderedPageBreak/>
        <w:t xml:space="preserve">Definiendo el Derecho de Acceso a la Información Pública como: </w:t>
      </w:r>
      <w:r w:rsidRPr="009B6FD5">
        <w:rPr>
          <w:rFonts w:ascii="Palatino Linotype" w:eastAsiaTheme="minorEastAsia" w:hAnsi="Palatino Linotype"/>
          <w:i/>
          <w:color w:val="000000"/>
          <w:lang w:val="es-ES_tradnl" w:eastAsia="es-ES"/>
        </w:rPr>
        <w:t>La igualdad de oportunidades para recibir, buscar e impartir información</w:t>
      </w:r>
      <w:r w:rsidRPr="009B6FD5">
        <w:rPr>
          <w:rFonts w:ascii="Palatino Linotype" w:eastAsiaTheme="minorEastAsia" w:hAnsi="Palatino Linotype"/>
          <w:i/>
          <w:vertAlign w:val="superscript"/>
          <w:lang w:val="es-ES_tradnl" w:eastAsia="es-ES"/>
        </w:rPr>
        <w:footnoteReference w:id="1"/>
      </w:r>
      <w:r w:rsidRPr="009B6FD5">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9B6FD5">
        <w:rPr>
          <w:rFonts w:ascii="Palatino Linotype" w:eastAsiaTheme="minorEastAsia" w:hAnsi="Palatino Linotype"/>
          <w:i/>
          <w:vertAlign w:val="superscript"/>
          <w:lang w:val="es-ES_tradnl" w:eastAsia="es-ES"/>
        </w:rPr>
        <w:footnoteReference w:id="2"/>
      </w:r>
      <w:r w:rsidRPr="009B6FD5">
        <w:rPr>
          <w:rFonts w:ascii="Palatino Linotype" w:eastAsiaTheme="minorEastAsia" w:hAnsi="Palatino Linotype"/>
          <w:color w:val="000000"/>
          <w:lang w:val="es-ES_tradnl" w:eastAsia="es-ES"/>
        </w:rPr>
        <w:t>que se constituye como una herramienta fundamental para ejercer</w:t>
      </w:r>
      <w:r w:rsidRPr="009B6FD5">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9B6FD5">
        <w:rPr>
          <w:rFonts w:ascii="Palatino Linotype" w:eastAsiaTheme="minorEastAsia" w:hAnsi="Palatino Linotype"/>
          <w:i/>
          <w:vertAlign w:val="superscript"/>
          <w:lang w:val="es-ES_tradnl" w:eastAsia="es-ES"/>
        </w:rPr>
        <w:footnoteReference w:id="3"/>
      </w:r>
      <w:r w:rsidRPr="009B6FD5">
        <w:rPr>
          <w:rFonts w:ascii="Palatino Linotype" w:eastAsiaTheme="minorEastAsia" w:hAnsi="Palatino Linotype"/>
          <w:color w:val="000000"/>
          <w:lang w:val="es-ES_tradnl" w:eastAsia="es-ES"/>
        </w:rPr>
        <w:t>fomentando</w:t>
      </w:r>
      <w:r w:rsidRPr="009B6FD5">
        <w:rPr>
          <w:rFonts w:ascii="Palatino Linotype" w:eastAsiaTheme="minorEastAsia" w:hAnsi="Palatino Linotype"/>
          <w:i/>
          <w:color w:val="000000"/>
          <w:lang w:val="es-ES_tradnl" w:eastAsia="es-ES"/>
        </w:rPr>
        <w:t xml:space="preserve"> la transparencia de las actividades estatales y </w:t>
      </w:r>
      <w:r w:rsidRPr="009B6FD5">
        <w:rPr>
          <w:rFonts w:ascii="Palatino Linotype" w:eastAsiaTheme="minorEastAsia" w:hAnsi="Palatino Linotype"/>
          <w:color w:val="000000"/>
          <w:lang w:val="es-ES_tradnl" w:eastAsia="es-ES"/>
        </w:rPr>
        <w:t>promoviendo</w:t>
      </w:r>
      <w:r w:rsidRPr="009B6FD5">
        <w:rPr>
          <w:rFonts w:ascii="Palatino Linotype" w:eastAsiaTheme="minorEastAsia" w:hAnsi="Palatino Linotype"/>
          <w:i/>
          <w:color w:val="000000"/>
          <w:lang w:val="es-ES_tradnl" w:eastAsia="es-ES"/>
        </w:rPr>
        <w:t xml:space="preserve"> la responsabilidad de los funcionarios sobre su gestión pública,</w:t>
      </w:r>
      <w:r w:rsidRPr="009B6FD5">
        <w:rPr>
          <w:rFonts w:ascii="Palatino Linotype" w:eastAsiaTheme="minorEastAsia" w:hAnsi="Palatino Linotype"/>
          <w:i/>
          <w:vertAlign w:val="superscript"/>
          <w:lang w:val="es-ES_tradnl" w:eastAsia="es-ES"/>
        </w:rPr>
        <w:footnoteReference w:id="4"/>
      </w:r>
      <w:r w:rsidRPr="009B6FD5">
        <w:rPr>
          <w:rFonts w:ascii="Palatino Linotype" w:eastAsiaTheme="minorEastAsia" w:hAnsi="Palatino Linotype"/>
          <w:color w:val="000000"/>
          <w:lang w:val="es-ES_tradnl" w:eastAsia="es-ES"/>
        </w:rPr>
        <w:t>que permite</w:t>
      </w:r>
      <w:r w:rsidRPr="009B6FD5">
        <w:rPr>
          <w:rFonts w:ascii="Palatino Linotype" w:eastAsiaTheme="minorEastAsia" w:hAnsi="Palatino Linotype"/>
          <w:i/>
          <w:color w:val="000000"/>
          <w:lang w:val="es-ES_tradnl" w:eastAsia="es-ES"/>
        </w:rPr>
        <w:t xml:space="preserve"> saber qué están haciendo los gobiernos por sus pueblos, sin lo cual la verdad languidecería y la participación en el gobierno permanecería fragmentada.</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3F6B0B" w:rsidRPr="009B6FD5" w:rsidRDefault="003F6B0B" w:rsidP="003F6B0B">
      <w:pPr>
        <w:spacing w:line="360" w:lineRule="auto"/>
        <w:ind w:right="49"/>
        <w:contextualSpacing/>
        <w:jc w:val="both"/>
        <w:rPr>
          <w:rFonts w:ascii="Palatino Linotype" w:hAnsi="Palatino Linotype"/>
          <w:lang w:val="es-ES_tradnl" w:eastAsia="es-ES"/>
        </w:rPr>
      </w:pPr>
    </w:p>
    <w:p w:rsidR="003F6B0B" w:rsidRPr="009B6FD5" w:rsidRDefault="003F6B0B" w:rsidP="003F6B0B">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r w:rsidRPr="009B6FD5">
        <w:rPr>
          <w:rFonts w:ascii="Palatino Linotype" w:hAnsi="Palatino Linotype"/>
          <w:b/>
          <w:i/>
          <w:sz w:val="22"/>
          <w:lang w:val="es-ES_tradnl" w:eastAsia="es-ES"/>
        </w:rPr>
        <w:t>Artículo 1.-</w:t>
      </w:r>
      <w:r w:rsidRPr="009B6FD5">
        <w:rPr>
          <w:rFonts w:ascii="Palatino Linotype" w:hAnsi="Palatino Linotype"/>
          <w:i/>
          <w:sz w:val="22"/>
          <w:lang w:val="es-ES_tradnl" w:eastAsia="es-ES"/>
        </w:rPr>
        <w:t xml:space="preserve"> </w:t>
      </w:r>
    </w:p>
    <w:p w:rsidR="003F6B0B" w:rsidRPr="009B6FD5" w:rsidRDefault="003F6B0B" w:rsidP="003F6B0B">
      <w:pPr>
        <w:spacing w:line="360" w:lineRule="auto"/>
        <w:ind w:left="567" w:right="567"/>
        <w:contextualSpacing/>
        <w:jc w:val="both"/>
        <w:rPr>
          <w:rFonts w:ascii="Palatino Linotype" w:hAnsi="Palatino Linotype"/>
          <w:i/>
          <w:sz w:val="22"/>
          <w:lang w:val="es-ES_tradnl" w:eastAsia="es-ES"/>
        </w:rPr>
      </w:pPr>
      <w:r w:rsidRPr="009B6FD5">
        <w:rPr>
          <w:rFonts w:ascii="Palatino Linotype" w:hAnsi="Palatino Linotype"/>
          <w:i/>
          <w:sz w:val="22"/>
          <w:lang w:val="es-ES_tradnl" w:eastAsia="es-ES"/>
        </w:rPr>
        <w:t>(…)</w:t>
      </w:r>
    </w:p>
    <w:p w:rsidR="003F6B0B" w:rsidRPr="009B6FD5" w:rsidRDefault="003F6B0B" w:rsidP="003F6B0B">
      <w:pPr>
        <w:spacing w:line="360" w:lineRule="auto"/>
        <w:ind w:left="567" w:right="567"/>
        <w:contextualSpacing/>
        <w:jc w:val="both"/>
        <w:rPr>
          <w:rFonts w:ascii="Palatino Linotype" w:hAnsi="Palatino Linotype"/>
          <w:i/>
          <w:sz w:val="22"/>
        </w:rPr>
      </w:pPr>
      <w:r w:rsidRPr="009B6FD5">
        <w:rPr>
          <w:rFonts w:ascii="Palatino Linotype" w:hAnsi="Palatino Linotype"/>
          <w:i/>
          <w:sz w:val="22"/>
          <w:lang w:val="es-ES_tradnl" w:eastAsia="es-ES"/>
        </w:rPr>
        <w:t>Todas las</w:t>
      </w:r>
      <w:r w:rsidRPr="009B6FD5">
        <w:rPr>
          <w:rFonts w:ascii="Palatino Linotype" w:hAnsi="Palatino Linotype"/>
          <w:sz w:val="22"/>
          <w:lang w:val="es-ES_tradnl" w:eastAsia="es-ES"/>
        </w:rPr>
        <w:t xml:space="preserve"> </w:t>
      </w:r>
      <w:r w:rsidRPr="009B6FD5">
        <w:rPr>
          <w:rFonts w:ascii="Palatino Linotype" w:hAnsi="Palatino Linotype"/>
          <w:i/>
          <w:sz w:val="22"/>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9B6FD5">
        <w:rPr>
          <w:rFonts w:ascii="Palatino Linotype" w:hAnsi="Palatino Linotype"/>
          <w:i/>
          <w:sz w:val="22"/>
        </w:rPr>
        <w:lastRenderedPageBreak/>
        <w:t>Estado deberá prevenir, investigar, sancionar y reparar las violaciones a los derechos humanos, en los términos que establezca la ley.</w:t>
      </w:r>
    </w:p>
    <w:p w:rsidR="003F6B0B" w:rsidRPr="009B6FD5" w:rsidRDefault="003F6B0B" w:rsidP="003F6B0B">
      <w:pPr>
        <w:spacing w:line="360" w:lineRule="auto"/>
        <w:ind w:left="567" w:right="567"/>
        <w:contextualSpacing/>
        <w:jc w:val="both"/>
        <w:rPr>
          <w:rFonts w:ascii="Palatino Linotype" w:hAnsi="Palatino Linotype"/>
          <w:sz w:val="22"/>
          <w:lang w:val="es-ES_tradnl" w:eastAsia="es-ES"/>
        </w:rPr>
      </w:pPr>
      <w:r w:rsidRPr="009B6FD5">
        <w:rPr>
          <w:rFonts w:ascii="Palatino Linotype" w:hAnsi="Palatino Linotype"/>
          <w:i/>
          <w:sz w:val="22"/>
        </w:rPr>
        <w:t>(…)</w:t>
      </w:r>
      <w:r w:rsidRPr="009B6FD5">
        <w:rPr>
          <w:rFonts w:ascii="Palatino Linotype" w:hAnsi="Palatino Linotype"/>
          <w:sz w:val="22"/>
          <w:lang w:val="es-ES_tradnl" w:eastAsia="es-ES"/>
        </w:rPr>
        <w:t>”.</w:t>
      </w:r>
    </w:p>
    <w:p w:rsidR="003F6B0B" w:rsidRPr="009B6FD5" w:rsidRDefault="003F6B0B" w:rsidP="003F6B0B">
      <w:pPr>
        <w:spacing w:line="360" w:lineRule="auto"/>
        <w:ind w:left="567" w:right="567"/>
        <w:contextualSpacing/>
        <w:jc w:val="both"/>
        <w:rPr>
          <w:rFonts w:ascii="Palatino Linotype" w:hAnsi="Palatino Linotype"/>
          <w:b/>
          <w:sz w:val="22"/>
          <w:lang w:val="es-ES_tradnl" w:eastAsia="es-ES"/>
        </w:rPr>
      </w:pPr>
      <w:r w:rsidRPr="009B6FD5">
        <w:rPr>
          <w:rFonts w:ascii="Palatino Linotype" w:hAnsi="Palatino Linotype"/>
          <w:b/>
          <w:i/>
          <w:sz w:val="22"/>
        </w:rPr>
        <w:t>(Énfasis Añadido)</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lang w:val="es-ES_tradnl" w:eastAsia="es-ES"/>
        </w:rPr>
        <w:t xml:space="preserve">Así, conforme a la Constitución Política de las Estado Unidos Mexicanos </w:t>
      </w:r>
      <w:r w:rsidRPr="009B6FD5">
        <w:rPr>
          <w:rFonts w:ascii="Palatino Linotype" w:eastAsia="Calibri" w:hAnsi="Palatino Linotype"/>
          <w:lang w:val="es-ES_tradnl" w:eastAsia="es-ES"/>
        </w:rPr>
        <w:t>y la Constitución Política del Estado Libre y Soberano de México respectivamente</w:t>
      </w:r>
      <w:r w:rsidRPr="009B6FD5">
        <w:rPr>
          <w:rFonts w:ascii="Palatino Linotype" w:eastAsiaTheme="minorEastAsia" w:hAnsi="Palatino Linotype"/>
          <w:lang w:val="es-ES_tradnl" w:eastAsia="es-ES"/>
        </w:rPr>
        <w:t>, el cumplimiento de las garantías primarias, entendidas como obligaciones inmediatamente relacionadas con el Derecho de Acceso a la Información Pública, permiten que todas las autoridades, en el ámbito de sus atribuciones lo respeten, protejan y garanticen.</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 los Estados Unidos Mexicanos</w:t>
      </w:r>
    </w:p>
    <w:p w:rsidR="003F6B0B" w:rsidRPr="009B6FD5" w:rsidRDefault="003F6B0B" w:rsidP="003F6B0B">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“Artículo 6.</w:t>
      </w:r>
      <w:r w:rsidRPr="009B6FD5">
        <w:rPr>
          <w:rFonts w:ascii="Palatino Linotype" w:eastAsiaTheme="minorEastAsia" w:hAnsi="Palatino Linotype" w:cs="Arial"/>
          <w:bCs/>
          <w:i/>
          <w:sz w:val="22"/>
          <w:lang w:val="es-ES_tradnl" w:eastAsia="es-ES"/>
        </w:rPr>
        <w:t xml:space="preserve"> …</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efectos de lo dispuesto en el presente artículo se observará lo siguiente:</w:t>
      </w:r>
    </w:p>
    <w:p w:rsidR="003F6B0B" w:rsidRPr="009B6FD5" w:rsidRDefault="003F6B0B" w:rsidP="003F6B0B">
      <w:pPr>
        <w:spacing w:line="360" w:lineRule="auto"/>
        <w:ind w:left="567" w:right="567"/>
        <w:jc w:val="both"/>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A</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Para el ejercicio del derecho de acceso a la información</w:t>
      </w:r>
      <w:r w:rsidRPr="009B6FD5">
        <w:rPr>
          <w:rFonts w:ascii="Palatino Linotype" w:eastAsiaTheme="minorEastAsia" w:hAnsi="Palatino Linotype" w:cs="Arial"/>
          <w:bCs/>
          <w:i/>
          <w:sz w:val="22"/>
          <w:lang w:val="es-ES_tradnl" w:eastAsia="es-ES"/>
        </w:rPr>
        <w:t xml:space="preserve">, la Federación y </w:t>
      </w:r>
      <w:r w:rsidRPr="009B6FD5">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 xml:space="preserve">I. </w:t>
      </w:r>
      <w:r w:rsidRPr="009B6FD5">
        <w:rPr>
          <w:rFonts w:ascii="Palatino Linotype" w:eastAsiaTheme="minorEastAsia" w:hAnsi="Palatino Linotype" w:cs="Arial"/>
          <w:b/>
          <w:bCs/>
          <w:i/>
          <w:sz w:val="22"/>
          <w:lang w:val="es-ES_tradnl" w:eastAsia="es-ES"/>
        </w:rPr>
        <w:tab/>
        <w:t>Toda la información en posesión de cualquier</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autoridad</w:t>
      </w:r>
      <w:r w:rsidRPr="009B6FD5">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w:t>
      </w:r>
      <w:r w:rsidRPr="009B6FD5">
        <w:rPr>
          <w:rFonts w:ascii="Palatino Linotype" w:eastAsiaTheme="minorEastAsia" w:hAnsi="Palatino Linotype" w:cs="Arial"/>
          <w:bCs/>
          <w:i/>
          <w:sz w:val="22"/>
          <w:lang w:val="es-ES_tradnl" w:eastAsia="es-ES"/>
        </w:rPr>
        <w:lastRenderedPageBreak/>
        <w:t xml:space="preserve">políticos, fideicomisos y fondos públicos, así como de cualquier persona física, moral o sindicato que reciba y ejerza recursos públicos o realice actos de autoridad en el ámbito federal, estatal y </w:t>
      </w:r>
      <w:r w:rsidRPr="009B6FD5">
        <w:rPr>
          <w:rFonts w:ascii="Palatino Linotype" w:eastAsiaTheme="minorEastAsia" w:hAnsi="Palatino Linotype" w:cs="Arial"/>
          <w:b/>
          <w:bCs/>
          <w:i/>
          <w:sz w:val="22"/>
          <w:lang w:val="es-ES_tradnl" w:eastAsia="es-ES"/>
        </w:rPr>
        <w:t>municipal</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9B6FD5">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F6B0B" w:rsidRPr="009B6FD5" w:rsidRDefault="003F6B0B" w:rsidP="003F6B0B">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3F6B0B" w:rsidRPr="009B6FD5" w:rsidRDefault="003F6B0B" w:rsidP="003F6B0B">
      <w:pPr>
        <w:pStyle w:val="Prrafodelista"/>
        <w:tabs>
          <w:tab w:val="left" w:pos="567"/>
        </w:tabs>
        <w:spacing w:line="360" w:lineRule="auto"/>
        <w:ind w:left="567" w:right="567"/>
        <w:jc w:val="both"/>
        <w:rPr>
          <w:rFonts w:ascii="Palatino Linotype" w:hAnsi="Palatino Linotype" w:cs="Arial"/>
          <w:b/>
          <w:bCs/>
          <w:i/>
        </w:rPr>
      </w:pPr>
    </w:p>
    <w:p w:rsidR="003F6B0B" w:rsidRPr="009B6FD5" w:rsidRDefault="003F6B0B" w:rsidP="003F6B0B">
      <w:pPr>
        <w:spacing w:line="360" w:lineRule="auto"/>
        <w:ind w:left="567" w:right="567"/>
        <w:jc w:val="center"/>
        <w:rPr>
          <w:rFonts w:ascii="Palatino Linotype" w:eastAsiaTheme="minorEastAsia" w:hAnsi="Palatino Linotype" w:cs="Arial"/>
          <w:b/>
          <w:bCs/>
          <w:i/>
          <w:sz w:val="22"/>
          <w:lang w:val="es-ES_tradnl" w:eastAsia="es-ES"/>
        </w:rPr>
      </w:pPr>
      <w:r w:rsidRPr="009B6FD5">
        <w:rPr>
          <w:rFonts w:ascii="Palatino Linotype" w:eastAsiaTheme="minorEastAsia" w:hAnsi="Palatino Linotype" w:cs="Arial"/>
          <w:b/>
          <w:bCs/>
          <w:i/>
          <w:sz w:val="22"/>
          <w:lang w:val="es-ES_tradnl" w:eastAsia="es-ES"/>
        </w:rPr>
        <w:t>Constitución Política del Estado Libre y Soberano de México</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“Artículo 5</w:t>
      </w:r>
      <w:r w:rsidRPr="009B6FD5">
        <w:rPr>
          <w:rFonts w:ascii="Palatino Linotype" w:eastAsiaTheme="minorEastAsia" w:hAnsi="Palatino Linotype" w:cs="Arial"/>
          <w:bCs/>
          <w:i/>
          <w:sz w:val="22"/>
          <w:lang w:val="es-ES_tradnl" w:eastAsia="es-ES"/>
        </w:rPr>
        <w:t>.- …</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El derecho a la información será garantizado por el Estado. La ley establecerá las previsiones que permitan asegurar la protección, el respeto y la difusión de este derecho</w:t>
      </w:r>
      <w:r w:rsidRPr="009B6FD5">
        <w:rPr>
          <w:rFonts w:ascii="Palatino Linotype" w:eastAsiaTheme="minorEastAsia" w:hAnsi="Palatino Linotype" w:cs="Arial"/>
          <w:bCs/>
          <w:i/>
          <w:sz w:val="22"/>
          <w:lang w:val="es-ES_tradnl" w:eastAsia="es-ES"/>
        </w:rPr>
        <w:t>.</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Este derecho se regirá por los principios y bases siguientes</w:t>
      </w:r>
      <w:r w:rsidRPr="009B6FD5">
        <w:rPr>
          <w:rFonts w:ascii="Palatino Linotype" w:eastAsiaTheme="minorEastAsia" w:hAnsi="Palatino Linotype" w:cs="Arial"/>
          <w:bCs/>
          <w:i/>
          <w:sz w:val="22"/>
          <w:lang w:val="es-ES_tradnl" w:eastAsia="es-ES"/>
        </w:rPr>
        <w:t>:</w:t>
      </w:r>
    </w:p>
    <w:p w:rsidR="003F6B0B" w:rsidRPr="009B6FD5" w:rsidRDefault="003F6B0B" w:rsidP="003F6B0B">
      <w:pPr>
        <w:spacing w:line="360" w:lineRule="auto"/>
        <w:ind w:left="567" w:right="567"/>
        <w:jc w:val="both"/>
        <w:rPr>
          <w:rFonts w:ascii="Palatino Linotype" w:eastAsiaTheme="minorEastAsia" w:hAnsi="Palatino Linotype" w:cs="Arial"/>
          <w:bCs/>
          <w:i/>
          <w:sz w:val="22"/>
          <w:lang w:val="es-ES_tradnl" w:eastAsia="es-ES"/>
        </w:rPr>
      </w:pPr>
      <w:r w:rsidRPr="009B6FD5">
        <w:rPr>
          <w:rFonts w:ascii="Palatino Linotype" w:eastAsiaTheme="minorEastAsia" w:hAnsi="Palatino Linotype" w:cs="Arial"/>
          <w:b/>
          <w:bCs/>
          <w:i/>
          <w:sz w:val="22"/>
          <w:lang w:val="es-ES_tradnl" w:eastAsia="es-ES"/>
        </w:rPr>
        <w:t>I. Toda la información en posesión de cualquier autoridad, entidad, órgano y organismos de los</w:t>
      </w:r>
      <w:r w:rsidRPr="009B6FD5">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9B6FD5">
        <w:rPr>
          <w:rFonts w:ascii="Palatino Linotype" w:eastAsiaTheme="minorEastAsia" w:hAnsi="Palatino Linotype" w:cs="Arial"/>
          <w:b/>
          <w:bCs/>
          <w:i/>
          <w:sz w:val="22"/>
          <w:lang w:val="es-ES_tradnl" w:eastAsia="es-ES"/>
        </w:rPr>
        <w:t>municipales</w:t>
      </w:r>
      <w:r w:rsidRPr="009B6FD5">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9B6FD5">
        <w:rPr>
          <w:rFonts w:ascii="Palatino Linotype" w:eastAsiaTheme="minorEastAsia" w:hAnsi="Palatino Linotype" w:cs="Arial"/>
          <w:b/>
          <w:bCs/>
          <w:i/>
          <w:sz w:val="22"/>
          <w:lang w:val="es-ES_tradnl" w:eastAsia="es-ES"/>
        </w:rPr>
        <w:t>es pública</w:t>
      </w:r>
      <w:r w:rsidRPr="009B6FD5">
        <w:rPr>
          <w:rFonts w:ascii="Palatino Linotype" w:eastAsiaTheme="minorEastAsia" w:hAnsi="Palatino Linotype" w:cs="Arial"/>
          <w:bCs/>
          <w:i/>
          <w:sz w:val="22"/>
          <w:lang w:val="es-ES_tradnl" w:eastAsia="es-ES"/>
        </w:rPr>
        <w:t xml:space="preserve"> y sólo podrá ser </w:t>
      </w:r>
      <w:r w:rsidRPr="009B6FD5">
        <w:rPr>
          <w:rFonts w:ascii="Palatino Linotype" w:eastAsiaTheme="minorEastAsia" w:hAnsi="Palatino Linotype" w:cs="Arial"/>
          <w:bCs/>
          <w:i/>
          <w:sz w:val="22"/>
          <w:lang w:val="es-ES_tradnl" w:eastAsia="es-ES"/>
        </w:rPr>
        <w:lastRenderedPageBreak/>
        <w:t xml:space="preserve">reservada temporalmente por razones previstas en la Constitución Política de los Estados Unidos Mexicanos de interés público y seguridad, en los términos que fijen las leyes. </w:t>
      </w:r>
      <w:r w:rsidRPr="009B6FD5">
        <w:rPr>
          <w:rFonts w:ascii="Palatino Linotype" w:eastAsiaTheme="minorEastAsia" w:hAnsi="Palatino Linotype" w:cs="Arial"/>
          <w:b/>
          <w:bCs/>
          <w:i/>
          <w:sz w:val="22"/>
          <w:lang w:val="es-ES_tradnl" w:eastAsia="es-ES"/>
        </w:rPr>
        <w:t>En la interpretación de este derecho deberá prevalecer el principio de máxima publicidad</w:t>
      </w:r>
      <w:r w:rsidRPr="009B6FD5">
        <w:rPr>
          <w:rFonts w:ascii="Palatino Linotype" w:eastAsiaTheme="minorEastAsia" w:hAnsi="Palatino Linotype" w:cs="Arial"/>
          <w:bCs/>
          <w:i/>
          <w:sz w:val="22"/>
          <w:lang w:val="es-ES_tradnl" w:eastAsia="es-ES"/>
        </w:rPr>
        <w:t xml:space="preserve">. </w:t>
      </w:r>
      <w:r w:rsidRPr="009B6FD5">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9B6FD5">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3F6B0B" w:rsidRPr="009B6FD5" w:rsidRDefault="003F6B0B" w:rsidP="003F6B0B">
      <w:pPr>
        <w:pStyle w:val="Prrafodelista"/>
        <w:tabs>
          <w:tab w:val="left" w:pos="567"/>
        </w:tabs>
        <w:spacing w:line="360" w:lineRule="auto"/>
        <w:ind w:left="567" w:right="567"/>
        <w:jc w:val="both"/>
        <w:rPr>
          <w:rFonts w:ascii="Palatino Linotype" w:hAnsi="Palatino Linotype" w:cs="Arial"/>
          <w:b/>
          <w:bCs/>
          <w:i/>
        </w:rPr>
      </w:pPr>
      <w:r w:rsidRPr="009B6FD5">
        <w:rPr>
          <w:rFonts w:ascii="Palatino Linotype" w:hAnsi="Palatino Linotype" w:cs="Arial"/>
          <w:b/>
          <w:bCs/>
          <w:i/>
        </w:rPr>
        <w:t>(Énfasis añadido)</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9B6FD5">
        <w:rPr>
          <w:rFonts w:ascii="Palatino Linotype" w:eastAsiaTheme="minorEastAsia" w:hAnsi="Palatino Linotype" w:cs="Arial"/>
          <w:i/>
          <w:lang w:val="es-ES_tradnl" w:eastAsia="es-ES"/>
        </w:rPr>
        <w:t>por los principios de simplicidad, rapidez gratuidad del procedimiento, auxilio y orientación a los particulares</w:t>
      </w:r>
      <w:r w:rsidRPr="009B6FD5">
        <w:rPr>
          <w:rFonts w:ascii="Palatino Linotype" w:eastAsiaTheme="minorEastAsia" w:hAnsi="Palatino Linotype" w:cs="Arial"/>
          <w:lang w:val="es-ES_tradnl" w:eastAsia="es-ES"/>
        </w:rPr>
        <w:t>, contemplando el derecho de las personas con discapacidad y hablantes de lengua indígena.</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9B6FD5">
        <w:rPr>
          <w:rFonts w:ascii="Palatino Linotype" w:eastAsiaTheme="minorEastAsia" w:hAnsi="Palatino Linotype" w:cs="Arial"/>
          <w:i/>
          <w:lang w:val="es-ES_tradnl" w:eastAsia="es-ES"/>
        </w:rPr>
        <w:t>solicitudes de acceso a la información</w:t>
      </w:r>
      <w:r w:rsidRPr="009B6FD5">
        <w:rPr>
          <w:rFonts w:ascii="Palatino Linotype" w:eastAsiaTheme="minorEastAsia" w:hAnsi="Palatino Linotype" w:cs="Arial"/>
          <w:lang w:val="es-ES_tradnl" w:eastAsia="es-ES"/>
        </w:rPr>
        <w:t>.</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3F6B0B" w:rsidRPr="009B6FD5" w:rsidRDefault="003F6B0B" w:rsidP="003F6B0B">
      <w:pPr>
        <w:spacing w:line="360" w:lineRule="auto"/>
        <w:ind w:right="49"/>
        <w:contextualSpacing/>
        <w:jc w:val="both"/>
        <w:rPr>
          <w:rFonts w:ascii="Palatino Linotype" w:eastAsiaTheme="minorEastAsia" w:hAnsi="Palatino Linotype" w:cs="Arial"/>
          <w:lang w:val="es-ES_tradnl" w:eastAsia="es-ES"/>
        </w:rPr>
      </w:pPr>
    </w:p>
    <w:p w:rsidR="003F6B0B" w:rsidRPr="009B6FD5" w:rsidRDefault="003F6B0B" w:rsidP="003F6B0B">
      <w:pPr>
        <w:pStyle w:val="Ttulo1"/>
        <w:spacing w:before="0" w:line="360" w:lineRule="auto"/>
        <w:rPr>
          <w:rFonts w:ascii="Palatino Linotype" w:hAnsi="Palatino Linotype"/>
          <w:b/>
          <w:color w:val="auto"/>
          <w:sz w:val="24"/>
          <w:szCs w:val="24"/>
        </w:rPr>
      </w:pPr>
      <w:bookmarkStart w:id="21" w:name="_Toc80812777"/>
      <w:bookmarkStart w:id="22" w:name="_Toc86261432"/>
      <w:r w:rsidRPr="009B6FD5">
        <w:rPr>
          <w:rFonts w:ascii="Palatino Linotype" w:hAnsi="Palatino Linotype"/>
          <w:b/>
          <w:color w:val="auto"/>
          <w:sz w:val="24"/>
          <w:szCs w:val="24"/>
        </w:rPr>
        <w:lastRenderedPageBreak/>
        <w:t>II. De la información solicitada y la respuesta del Sujeto Obligado.</w:t>
      </w:r>
      <w:bookmarkEnd w:id="21"/>
      <w:bookmarkEnd w:id="22"/>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eastAsia="Cambria" w:hAnsi="Palatino Linotype" w:cs="Arial"/>
        </w:rPr>
        <w:t xml:space="preserve">Se procede analizar el contenido íntegro de las actuaciones que obran en el expediente electrónico, y así este Órgano Garante dicte la resolución correspondiente, apegándose en todo momento al principio de máxima publicidad de acuerdo con lo establecido en el artículo 8 de la </w:t>
      </w:r>
      <w:r w:rsidRPr="009B6FD5">
        <w:rPr>
          <w:rFonts w:ascii="Palatino Linotype" w:eastAsia="Calibri" w:hAnsi="Palatino Linotype" w:cs="Arial"/>
          <w:lang w:val="es-ES"/>
        </w:rPr>
        <w:t>Ley de Transparencia y Acceso a la Información Pública del Estado de México y Municipios</w:t>
      </w:r>
      <w:r w:rsidRPr="009B6FD5">
        <w:rPr>
          <w:rFonts w:ascii="Palatino Linotype" w:hAnsi="Palatino Linotype" w:cs="Arial"/>
          <w:lang w:val="es-ES"/>
        </w:rPr>
        <w:t>.</w:t>
      </w:r>
    </w:p>
    <w:p w:rsidR="003F6B0B" w:rsidRPr="009B6FD5" w:rsidRDefault="003F6B0B" w:rsidP="003F6B0B">
      <w:pPr>
        <w:spacing w:line="360" w:lineRule="auto"/>
        <w:ind w:right="49"/>
        <w:contextualSpacing/>
        <w:jc w:val="both"/>
        <w:rPr>
          <w:rFonts w:ascii="Palatino Linotype" w:eastAsiaTheme="minorEastAsia" w:hAnsi="Palatino Linotype"/>
          <w:lang w:val="es-ES_tradnl" w:eastAsia="es-ES"/>
        </w:rPr>
      </w:pPr>
    </w:p>
    <w:p w:rsidR="004C3185" w:rsidRPr="00064E58" w:rsidRDefault="003F6B0B" w:rsidP="004C318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9B6FD5">
        <w:rPr>
          <w:rFonts w:ascii="Palatino Linotype" w:hAnsi="Palatino Linotype" w:cs="Arial"/>
          <w:lang w:val="es-ES"/>
        </w:rPr>
        <w:t xml:space="preserve">En este caso, el particular  solicitó </w:t>
      </w:r>
      <w:r w:rsidR="004C3185">
        <w:rPr>
          <w:rFonts w:ascii="Palatino Linotype" w:eastAsia="MS Gothic" w:hAnsi="Palatino Linotype"/>
        </w:rPr>
        <w:t>todos los procedimientos adquisitivos del Instituto Municipal de Cultura Física y Deporte  y del Organismo Público Descentralizado denominado Sistema Municipal para el Desarrollo Integral de la Familia, en versión Pública.</w:t>
      </w:r>
    </w:p>
    <w:p w:rsidR="004C3185" w:rsidRPr="009B6FD5" w:rsidRDefault="004C3185" w:rsidP="004C3185">
      <w:pPr>
        <w:spacing w:line="360" w:lineRule="auto"/>
        <w:ind w:right="49"/>
        <w:contextualSpacing/>
        <w:jc w:val="both"/>
        <w:rPr>
          <w:rFonts w:ascii="Palatino Linotype" w:eastAsiaTheme="minorEastAsia" w:hAnsi="Palatino Linotype"/>
          <w:lang w:val="es-ES_tradnl" w:eastAsia="es-ES"/>
        </w:rPr>
      </w:pPr>
    </w:p>
    <w:p w:rsidR="00D1471C" w:rsidRPr="00D1471C" w:rsidRDefault="004C3185" w:rsidP="003A083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D1471C">
        <w:rPr>
          <w:rFonts w:ascii="Palatino Linotype" w:hAnsi="Palatino Linotype"/>
          <w:iCs/>
          <w:color w:val="000000"/>
        </w:rPr>
        <w:t xml:space="preserve">En respuesta, el SUJETO OBLIGADO </w:t>
      </w:r>
      <w:r w:rsidR="00D500CC">
        <w:rPr>
          <w:rFonts w:ascii="Palatino Linotype" w:hAnsi="Palatino Linotype"/>
          <w:iCs/>
          <w:color w:val="000000"/>
        </w:rPr>
        <w:t>entregó</w:t>
      </w:r>
      <w:r w:rsidRPr="00D1471C">
        <w:rPr>
          <w:rFonts w:ascii="Palatino Linotype" w:hAnsi="Palatino Linotype"/>
          <w:iCs/>
          <w:color w:val="000000"/>
        </w:rPr>
        <w:t xml:space="preserve"> tres contratos de prestación de servicios celebrados por el Instituto Municipal de Cultura y Deporte; p</w:t>
      </w:r>
      <w:r w:rsidRPr="00D1471C">
        <w:rPr>
          <w:rFonts w:ascii="Palatino Linotype" w:eastAsiaTheme="minorEastAsia" w:hAnsi="Palatino Linotype"/>
          <w:lang w:val="es-ES_tradnl" w:eastAsia="es-ES"/>
        </w:rPr>
        <w:t xml:space="preserve">or parte del </w:t>
      </w:r>
      <w:r w:rsidRPr="00D1471C">
        <w:rPr>
          <w:rFonts w:ascii="Palatino Linotype" w:eastAsiaTheme="minorEastAsia" w:hAnsi="Palatino Linotype"/>
          <w:lang w:eastAsia="es-ES"/>
        </w:rPr>
        <w:t>Organismo Público Descentralizado denominado Sistema Municipal para el Desarrollo Integral de la Familia se informó que no se llevó ningún procedimiento de adjudicación.</w:t>
      </w:r>
    </w:p>
    <w:p w:rsidR="00D1471C" w:rsidRPr="00D1471C" w:rsidRDefault="00D1471C" w:rsidP="00D1471C">
      <w:pPr>
        <w:spacing w:line="360" w:lineRule="auto"/>
        <w:ind w:right="49"/>
        <w:contextualSpacing/>
        <w:jc w:val="both"/>
        <w:rPr>
          <w:rFonts w:ascii="Palatino Linotype" w:eastAsiaTheme="minorEastAsia" w:hAnsi="Palatino Linotype"/>
          <w:lang w:val="es-ES_tradnl" w:eastAsia="es-ES"/>
        </w:rPr>
      </w:pPr>
    </w:p>
    <w:p w:rsidR="00F51D1F" w:rsidRDefault="0052540F" w:rsidP="003A083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Primeramente</w:t>
      </w:r>
      <w:r w:rsidR="00F51D1F">
        <w:rPr>
          <w:rFonts w:ascii="Palatino Linotype" w:eastAsiaTheme="minorEastAsia" w:hAnsi="Palatino Linotype"/>
          <w:lang w:val="es-ES_tradnl" w:eastAsia="es-ES"/>
        </w:rPr>
        <w:t>, es importante señalar que la Ley de Contratación Pública del Estado de México y Municipios establece en su artículo 26, los Procedimientos de adquisici</w:t>
      </w:r>
      <w:r w:rsidR="00B850C9">
        <w:rPr>
          <w:rFonts w:ascii="Palatino Linotype" w:eastAsiaTheme="minorEastAsia" w:hAnsi="Palatino Linotype"/>
          <w:lang w:val="es-ES_tradnl" w:eastAsia="es-ES"/>
        </w:rPr>
        <w:t>ón:</w:t>
      </w:r>
    </w:p>
    <w:p w:rsidR="00B850C9" w:rsidRDefault="00B850C9" w:rsidP="00B850C9">
      <w:pPr>
        <w:spacing w:line="360" w:lineRule="auto"/>
        <w:ind w:right="49"/>
        <w:contextualSpacing/>
        <w:jc w:val="both"/>
        <w:rPr>
          <w:rFonts w:ascii="Palatino Linotype" w:eastAsiaTheme="minorEastAsia" w:hAnsi="Palatino Linotype"/>
          <w:lang w:val="es-ES_tradnl" w:eastAsia="es-ES"/>
        </w:rPr>
      </w:pPr>
    </w:p>
    <w:p w:rsidR="00B850C9" w:rsidRPr="00B850C9" w:rsidRDefault="00B850C9" w:rsidP="00B850C9">
      <w:pPr>
        <w:spacing w:line="360" w:lineRule="auto"/>
        <w:ind w:left="851" w:right="822"/>
        <w:contextualSpacing/>
        <w:jc w:val="both"/>
        <w:rPr>
          <w:rFonts w:ascii="Palatino Linotype" w:eastAsiaTheme="minorEastAsia" w:hAnsi="Palatino Linotype"/>
          <w:i/>
          <w:sz w:val="22"/>
          <w:lang w:val="es-ES_tradnl" w:eastAsia="es-ES"/>
        </w:rPr>
      </w:pPr>
      <w:r>
        <w:rPr>
          <w:rFonts w:ascii="Palatino Linotype" w:hAnsi="Palatino Linotype"/>
          <w:i/>
          <w:sz w:val="22"/>
        </w:rPr>
        <w:t>“</w:t>
      </w:r>
      <w:r w:rsidRPr="00B850C9">
        <w:rPr>
          <w:rFonts w:ascii="Palatino Linotype" w:hAnsi="Palatino Linotype"/>
          <w:i/>
          <w:sz w:val="22"/>
        </w:rPr>
        <w:t>Artículo 26.- Las adquisiciones, arrendamientos y servicios se adjudicarán a través de licitaciones públicas, mediante convocatoria pública.</w:t>
      </w:r>
      <w:r>
        <w:rPr>
          <w:rFonts w:ascii="Palatino Linotype" w:hAnsi="Palatino Linotype"/>
          <w:i/>
          <w:sz w:val="22"/>
        </w:rPr>
        <w:t>”</w:t>
      </w:r>
    </w:p>
    <w:p w:rsidR="00B850C9" w:rsidRPr="00780960" w:rsidRDefault="00B850C9" w:rsidP="003A083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 xml:space="preserve">Asimismo, con fundamento en el artículo </w:t>
      </w:r>
      <w:r w:rsidR="0081700C">
        <w:rPr>
          <w:rFonts w:ascii="Palatino Linotype" w:eastAsiaTheme="minorEastAsia" w:hAnsi="Palatino Linotype"/>
          <w:lang w:val="es-ES_tradnl" w:eastAsia="es-ES"/>
        </w:rPr>
        <w:t xml:space="preserve">43 de la Ley señalada en el párrafo anterior, </w:t>
      </w:r>
      <w:r w:rsidR="00D8512F">
        <w:rPr>
          <w:rFonts w:ascii="Palatino Linotype" w:eastAsiaTheme="minorEastAsia" w:hAnsi="Palatino Linotype"/>
          <w:lang w:val="es-ES_tradnl" w:eastAsia="es-ES"/>
        </w:rPr>
        <w:t xml:space="preserve">la </w:t>
      </w:r>
      <w:r w:rsidR="00D8512F" w:rsidRPr="00D8512F">
        <w:rPr>
          <w:rFonts w:ascii="Palatino Linotype" w:eastAsiaTheme="minorEastAsia" w:hAnsi="Palatino Linotype"/>
          <w:lang w:val="es-ES_tradnl" w:eastAsia="es-ES"/>
        </w:rPr>
        <w:t xml:space="preserve">Secretaría </w:t>
      </w:r>
      <w:r w:rsidR="00D8512F" w:rsidRPr="00D8512F">
        <w:rPr>
          <w:rFonts w:ascii="Palatino Linotype" w:hAnsi="Palatino Linotype"/>
        </w:rPr>
        <w:t>las entidades, tribunales administrativos y los ayuntamientos, bajo su responsabilidad, podrán llevar a cabo procedimientos de adquisición de bienes o servicios a través de las modalidades de invitación restringida y adjudicación directa.</w:t>
      </w:r>
      <w:r w:rsidR="0052540F">
        <w:rPr>
          <w:rFonts w:ascii="Palatino Linotype" w:hAnsi="Palatino Linotype"/>
        </w:rPr>
        <w:t xml:space="preserve"> </w:t>
      </w:r>
    </w:p>
    <w:p w:rsidR="00780960" w:rsidRPr="00780960" w:rsidRDefault="00780960" w:rsidP="00780960">
      <w:pPr>
        <w:spacing w:line="360" w:lineRule="auto"/>
        <w:ind w:right="49"/>
        <w:contextualSpacing/>
        <w:jc w:val="both"/>
        <w:rPr>
          <w:rFonts w:ascii="Palatino Linotype" w:eastAsiaTheme="minorEastAsia" w:hAnsi="Palatino Linotype"/>
          <w:lang w:val="es-ES_tradnl" w:eastAsia="es-ES"/>
        </w:rPr>
      </w:pPr>
    </w:p>
    <w:p w:rsidR="000C0CD9" w:rsidRDefault="00780960" w:rsidP="000C0CD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80960">
        <w:rPr>
          <w:rFonts w:ascii="Palatino Linotype" w:eastAsiaTheme="minorEastAsia" w:hAnsi="Palatino Linotype"/>
          <w:lang w:val="es-ES_tradnl" w:eastAsia="es-ES"/>
        </w:rPr>
        <w:t>Para el caso de la Licitación Pública, el artículo 32 de la Ley de Contratación Púbica establece que los ayuntamientos, en términos de la Ley referida, serán los responsables de llevar a cabo el procedimiento de licitación pública</w:t>
      </w:r>
      <w:r w:rsidR="000C0CD9">
        <w:rPr>
          <w:rFonts w:ascii="Palatino Linotype" w:eastAsiaTheme="minorEastAsia" w:hAnsi="Palatino Linotype"/>
          <w:lang w:val="es-ES_tradnl" w:eastAsia="es-ES"/>
        </w:rPr>
        <w:t xml:space="preserve"> y con fundamento en el artículo 67 del Reglamento de la Ley de Contratación Pública, el procedimiento de licitación comprende las siguientes fases:</w:t>
      </w:r>
    </w:p>
    <w:p w:rsidR="000C0CD9" w:rsidRDefault="000C0CD9" w:rsidP="000C0CD9">
      <w:pPr>
        <w:spacing w:line="360" w:lineRule="auto"/>
        <w:ind w:right="49"/>
        <w:contextualSpacing/>
        <w:jc w:val="both"/>
        <w:rPr>
          <w:rFonts w:ascii="Palatino Linotype" w:eastAsiaTheme="minorEastAsia" w:hAnsi="Palatino Linotype"/>
          <w:lang w:val="es-ES_tradnl" w:eastAsia="es-ES"/>
        </w:rPr>
      </w:pP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Artículo 67.- El procedimiento de licitación pública comprende las siguientes fases: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I. Publicación de la convocatoria;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II. Venta de las bases de licitación;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III. Visita, en su caso, al sitio donde se vayan a suministrar los bienes o a prestar los servicios; IV. Junta de aclaraciones, en su caso;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V. Acto de presentación y apertura de propuestas;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VI. Análisis y evaluación de propuestas;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VII.Dictamen de adjudicación; </w:t>
      </w:r>
    </w:p>
    <w:p w:rsidR="000C0CD9" w:rsidRPr="000C0CD9" w:rsidRDefault="000C0CD9" w:rsidP="000C0CD9">
      <w:pPr>
        <w:spacing w:line="360" w:lineRule="auto"/>
        <w:ind w:left="851" w:right="822"/>
        <w:contextualSpacing/>
        <w:jc w:val="both"/>
        <w:rPr>
          <w:rFonts w:ascii="Palatino Linotype" w:hAnsi="Palatino Linotype"/>
          <w:i/>
          <w:sz w:val="22"/>
        </w:rPr>
      </w:pPr>
      <w:r w:rsidRPr="000C0CD9">
        <w:rPr>
          <w:rFonts w:ascii="Palatino Linotype" w:hAnsi="Palatino Linotype"/>
          <w:i/>
          <w:sz w:val="22"/>
        </w:rPr>
        <w:t xml:space="preserve">VIII. Fallo; IX. Suscripción del contrato; y </w:t>
      </w:r>
    </w:p>
    <w:p w:rsidR="000C0CD9" w:rsidRPr="000C0CD9" w:rsidRDefault="000C0CD9" w:rsidP="000C0CD9">
      <w:pPr>
        <w:spacing w:line="360" w:lineRule="auto"/>
        <w:ind w:left="851" w:right="822"/>
        <w:contextualSpacing/>
        <w:jc w:val="both"/>
        <w:rPr>
          <w:rFonts w:ascii="Palatino Linotype" w:eastAsiaTheme="minorEastAsia" w:hAnsi="Palatino Linotype"/>
          <w:i/>
          <w:sz w:val="22"/>
          <w:lang w:val="es-ES_tradnl" w:eastAsia="es-ES"/>
        </w:rPr>
      </w:pPr>
      <w:r w:rsidRPr="000C0CD9">
        <w:rPr>
          <w:rFonts w:ascii="Palatino Linotype" w:hAnsi="Palatino Linotype"/>
          <w:i/>
          <w:sz w:val="22"/>
        </w:rPr>
        <w:t>X. Suministro de los bienes o inicio de la prestación del servicio.</w:t>
      </w:r>
    </w:p>
    <w:p w:rsidR="00D8512F" w:rsidRDefault="00D8512F" w:rsidP="00D8512F">
      <w:pPr>
        <w:spacing w:line="360" w:lineRule="auto"/>
        <w:ind w:right="49"/>
        <w:contextualSpacing/>
        <w:jc w:val="both"/>
        <w:rPr>
          <w:rFonts w:ascii="Palatino Linotype" w:eastAsiaTheme="minorEastAsia" w:hAnsi="Palatino Linotype"/>
          <w:lang w:val="es-ES_tradnl" w:eastAsia="es-ES"/>
        </w:rPr>
      </w:pPr>
    </w:p>
    <w:p w:rsidR="000C0CD9" w:rsidRDefault="000C0CD9" w:rsidP="0052540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lastRenderedPageBreak/>
        <w:t>Por lo que se refiere al procedimiento de la invitación restringida, el artículo 90 del Reglamento de la Ley de Contratación Pública del Estado de México establece lo siguiente:</w:t>
      </w:r>
    </w:p>
    <w:p w:rsidR="000C0CD9" w:rsidRDefault="000C0CD9" w:rsidP="000C0CD9">
      <w:pPr>
        <w:spacing w:line="360" w:lineRule="auto"/>
        <w:ind w:right="49"/>
        <w:contextualSpacing/>
        <w:jc w:val="both"/>
        <w:rPr>
          <w:rFonts w:ascii="Palatino Linotype" w:eastAsiaTheme="minorEastAsia" w:hAnsi="Palatino Linotype"/>
          <w:lang w:val="es-ES_tradnl" w:eastAsia="es-ES"/>
        </w:rPr>
      </w:pPr>
    </w:p>
    <w:p w:rsidR="000C0CD9" w:rsidRDefault="000C0CD9" w:rsidP="000C0CD9">
      <w:pPr>
        <w:spacing w:line="360" w:lineRule="auto"/>
        <w:ind w:left="851" w:right="822"/>
        <w:contextualSpacing/>
        <w:jc w:val="both"/>
        <w:rPr>
          <w:rFonts w:ascii="Palatino Linotype" w:eastAsiaTheme="minorEastAsia" w:hAnsi="Palatino Linotype"/>
          <w:i/>
          <w:sz w:val="22"/>
          <w:lang w:eastAsia="es-ES"/>
        </w:rPr>
      </w:pPr>
      <w:r w:rsidRPr="000C0CD9">
        <w:rPr>
          <w:rFonts w:ascii="Palatino Linotype" w:eastAsiaTheme="minorEastAsia" w:hAnsi="Palatino Linotype"/>
          <w:i/>
          <w:sz w:val="22"/>
          <w:lang w:eastAsia="es-ES"/>
        </w:rPr>
        <w:t xml:space="preserve">Artículo 90.- En el procedimiento de invitación restringida se deberá observar lo siguiente: </w:t>
      </w:r>
    </w:p>
    <w:p w:rsidR="000C0CD9" w:rsidRDefault="000C0CD9" w:rsidP="000C0CD9">
      <w:pPr>
        <w:spacing w:line="360" w:lineRule="auto"/>
        <w:ind w:left="851" w:right="822"/>
        <w:contextualSpacing/>
        <w:jc w:val="both"/>
        <w:rPr>
          <w:rFonts w:ascii="Palatino Linotype" w:eastAsiaTheme="minorEastAsia" w:hAnsi="Palatino Linotype"/>
          <w:i/>
          <w:sz w:val="22"/>
          <w:lang w:eastAsia="es-ES"/>
        </w:rPr>
      </w:pPr>
      <w:r w:rsidRPr="000C0CD9">
        <w:rPr>
          <w:rFonts w:ascii="Palatino Linotype" w:eastAsiaTheme="minorEastAsia" w:hAnsi="Palatino Linotype"/>
          <w:i/>
          <w:sz w:val="22"/>
          <w:lang w:eastAsia="es-ES"/>
        </w:rPr>
        <w:t xml:space="preserve">I. Se invitará a un mínimo de tres personas seleccionadas de entre las que se encuentren inscritas en el catálogo de proveedores y de prestadores de servicios. Se podrá invitar a personas que no se encuentren inscritas, cuando en el giro correspondiente del catálogo de proveedores y prestadores de servicios no exista el registro mínimo de personas requeridas para tal modalidad; </w:t>
      </w:r>
    </w:p>
    <w:p w:rsidR="000C0CD9" w:rsidRDefault="000C0CD9" w:rsidP="000C0CD9">
      <w:pPr>
        <w:spacing w:line="360" w:lineRule="auto"/>
        <w:ind w:left="851" w:right="822"/>
        <w:contextualSpacing/>
        <w:jc w:val="both"/>
        <w:rPr>
          <w:rFonts w:ascii="Palatino Linotype" w:eastAsiaTheme="minorEastAsia" w:hAnsi="Palatino Linotype"/>
          <w:i/>
          <w:sz w:val="22"/>
          <w:lang w:eastAsia="es-ES"/>
        </w:rPr>
      </w:pPr>
      <w:r w:rsidRPr="000C0CD9">
        <w:rPr>
          <w:rFonts w:ascii="Palatino Linotype" w:eastAsiaTheme="minorEastAsia" w:hAnsi="Palatino Linotype"/>
          <w:i/>
          <w:sz w:val="22"/>
          <w:lang w:eastAsia="es-ES"/>
        </w:rPr>
        <w:t xml:space="preserve">II. Las bases de la invitación restringida indicarán los aspectos de la adquisición o contratación; y </w:t>
      </w:r>
    </w:p>
    <w:p w:rsidR="000C0CD9" w:rsidRPr="000C0CD9" w:rsidRDefault="000C0CD9" w:rsidP="000C0CD9">
      <w:pPr>
        <w:spacing w:line="360" w:lineRule="auto"/>
        <w:ind w:left="851" w:right="822"/>
        <w:contextualSpacing/>
        <w:jc w:val="both"/>
        <w:rPr>
          <w:rFonts w:ascii="Palatino Linotype" w:eastAsiaTheme="minorEastAsia" w:hAnsi="Palatino Linotype"/>
          <w:i/>
          <w:sz w:val="22"/>
          <w:lang w:val="es-ES_tradnl" w:eastAsia="es-ES"/>
        </w:rPr>
      </w:pPr>
      <w:r w:rsidRPr="000C0CD9">
        <w:rPr>
          <w:rFonts w:ascii="Palatino Linotype" w:eastAsiaTheme="minorEastAsia" w:hAnsi="Palatino Linotype"/>
          <w:i/>
          <w:sz w:val="22"/>
          <w:lang w:eastAsia="es-ES"/>
        </w:rPr>
        <w:t>III. Serán aplicables, en lo conducente, las disposiciones de la licitación pública.</w:t>
      </w:r>
    </w:p>
    <w:p w:rsidR="000C0CD9" w:rsidRDefault="000C0CD9" w:rsidP="000C0CD9">
      <w:pPr>
        <w:spacing w:line="360" w:lineRule="auto"/>
        <w:ind w:right="49"/>
        <w:contextualSpacing/>
        <w:jc w:val="both"/>
        <w:rPr>
          <w:rFonts w:ascii="Palatino Linotype" w:eastAsiaTheme="minorEastAsia" w:hAnsi="Palatino Linotype"/>
          <w:lang w:val="es-ES_tradnl" w:eastAsia="es-ES"/>
        </w:rPr>
      </w:pPr>
    </w:p>
    <w:p w:rsidR="000C0CD9" w:rsidRDefault="000C0CD9" w:rsidP="0052540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Para el caso de la adjudicación directa, el artículo 94 de la Ley de Contratación P</w:t>
      </w:r>
      <w:r w:rsidR="00BA3172">
        <w:rPr>
          <w:rFonts w:ascii="Palatino Linotype" w:eastAsiaTheme="minorEastAsia" w:hAnsi="Palatino Linotype"/>
          <w:lang w:val="es-ES_tradnl" w:eastAsia="es-ES"/>
        </w:rPr>
        <w:t>ública señala en el procedimiento se observará lo siguiente:</w:t>
      </w:r>
    </w:p>
    <w:p w:rsidR="00BA3172" w:rsidRDefault="00BA3172" w:rsidP="00BA3172">
      <w:pPr>
        <w:spacing w:line="360" w:lineRule="auto"/>
        <w:ind w:right="49"/>
        <w:contextualSpacing/>
        <w:jc w:val="both"/>
        <w:rPr>
          <w:rFonts w:ascii="Palatino Linotype" w:eastAsiaTheme="minorEastAsia" w:hAnsi="Palatino Linotype"/>
          <w:lang w:val="es-ES_tradnl" w:eastAsia="es-ES"/>
        </w:rPr>
      </w:pP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Artículo 94.- En el procedimiento de adjudicación directa se observará lo siguiente: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I.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lastRenderedPageBreak/>
        <w:t xml:space="preserve">II. Se considerará a la persona que atendiendo al bien o servicio que se pretenda adquirir o contratar, pueda suministrarlo o prestarlo en las mejores condiciones disponibles en cuanto a precio, calidad, financiamiento, oportunidad y demás circunstancias pertinentes;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III. La solicitud de participación contendrá, como mínimo, la descripción y cantidad de los bienes o servicios requeridos, lugar, plazo de entrega o duración del servicio y forma de pago; IV. La solicitud de participación deberá señalar el día, hora y lugar en que tendrá verificativo el acto de presentación y apertura de ofertas;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V. Atendiendo a la naturaleza de los bienes o servicios, la convocante podrá optar entre celebrar o no junta de aclaraciones, en términos de lo dispuesto por este Reglamento;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VI. El servidor público designado por la convocante será el responsable de llevar a cabo el acto de presentación y apertura de propuestas;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VII. Se observarán, en lo conducente, las disposiciones relativas a la contraoferta; y </w:t>
      </w:r>
    </w:p>
    <w:p w:rsidR="00BA3172" w:rsidRP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 xml:space="preserve">VIII. El comité será responsable de emitir el dictamen de adjudicación que servirá de base para el fallo de adjudicación; correspondiendo a la convocante emitir dicho fallo, quien lo hará del conocimiento de los licitantes. </w:t>
      </w:r>
    </w:p>
    <w:p w:rsidR="00BA3172" w:rsidRDefault="00BA3172" w:rsidP="00BA3172">
      <w:pPr>
        <w:spacing w:line="360" w:lineRule="auto"/>
        <w:ind w:left="851" w:right="822"/>
        <w:contextualSpacing/>
        <w:jc w:val="both"/>
        <w:rPr>
          <w:rFonts w:ascii="Palatino Linotype" w:hAnsi="Palatino Linotype"/>
          <w:i/>
          <w:sz w:val="22"/>
        </w:rPr>
      </w:pPr>
      <w:r w:rsidRPr="00BA3172">
        <w:rPr>
          <w:rFonts w:ascii="Palatino Linotype" w:hAnsi="Palatino Linotype"/>
          <w:i/>
          <w:sz w:val="22"/>
        </w:rPr>
        <w:t>Los actos referidos en los incisos anteriores deberán documentarse en el acta correspondiente y publicarse en el sistema COMPRAMEX.</w:t>
      </w:r>
    </w:p>
    <w:p w:rsidR="00BA3172" w:rsidRPr="00BA3172" w:rsidRDefault="00BA3172" w:rsidP="00BA3172">
      <w:pPr>
        <w:spacing w:line="360" w:lineRule="auto"/>
        <w:ind w:left="851" w:right="822"/>
        <w:contextualSpacing/>
        <w:jc w:val="both"/>
        <w:rPr>
          <w:rFonts w:ascii="Palatino Linotype" w:eastAsiaTheme="minorEastAsia" w:hAnsi="Palatino Linotype"/>
          <w:i/>
          <w:sz w:val="22"/>
          <w:lang w:val="es-ES_tradnl" w:eastAsia="es-ES"/>
        </w:rPr>
      </w:pPr>
    </w:p>
    <w:p w:rsidR="00D1471C" w:rsidRPr="0052540F" w:rsidRDefault="00BA3172" w:rsidP="0052540F">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Ahora bien</w:t>
      </w:r>
      <w:r w:rsidR="0052540F">
        <w:rPr>
          <w:rFonts w:ascii="Palatino Linotype" w:eastAsiaTheme="minorEastAsia" w:hAnsi="Palatino Linotype"/>
          <w:lang w:val="es-ES_tradnl" w:eastAsia="es-ES"/>
        </w:rPr>
        <w:t xml:space="preserve">, </w:t>
      </w:r>
      <w:r w:rsidR="00F51D1F" w:rsidRPr="0052540F">
        <w:rPr>
          <w:rFonts w:ascii="Palatino Linotype" w:eastAsiaTheme="minorEastAsia" w:hAnsi="Palatino Linotype"/>
          <w:lang w:val="es-ES_tradnl" w:eastAsia="es-ES"/>
        </w:rPr>
        <w:t>con fundamento en el artículo 92</w:t>
      </w:r>
      <w:r w:rsidR="0052540F">
        <w:rPr>
          <w:rFonts w:ascii="Palatino Linotype" w:eastAsiaTheme="minorEastAsia" w:hAnsi="Palatino Linotype"/>
          <w:lang w:val="es-ES_tradnl" w:eastAsia="es-ES"/>
        </w:rPr>
        <w:t>, fracción XXIX</w:t>
      </w:r>
      <w:r w:rsidR="00F51D1F" w:rsidRPr="0052540F">
        <w:rPr>
          <w:rFonts w:ascii="Palatino Linotype" w:eastAsiaTheme="minorEastAsia" w:hAnsi="Palatino Linotype"/>
          <w:lang w:val="es-ES_tradnl" w:eastAsia="es-ES"/>
        </w:rPr>
        <w:t xml:space="preserve"> de la Ley de Transparencia y Acceso a l</w:t>
      </w:r>
      <w:r w:rsidR="0052540F">
        <w:rPr>
          <w:rFonts w:ascii="Palatino Linotype" w:eastAsiaTheme="minorEastAsia" w:hAnsi="Palatino Linotype"/>
          <w:lang w:val="es-ES_tradnl" w:eastAsia="es-ES"/>
        </w:rPr>
        <w:t>a</w:t>
      </w:r>
      <w:r w:rsidR="00F51D1F" w:rsidRPr="0052540F">
        <w:rPr>
          <w:rFonts w:ascii="Palatino Linotype" w:eastAsiaTheme="minorEastAsia" w:hAnsi="Palatino Linotype"/>
          <w:lang w:val="es-ES_tradnl" w:eastAsia="es-ES"/>
        </w:rPr>
        <w:t xml:space="preserve"> Información Pública del Estado de México y Municipios, los Sujetos obligados tienen la obligación común de </w:t>
      </w:r>
      <w:r w:rsidR="0052540F">
        <w:rPr>
          <w:rFonts w:ascii="Palatino Linotype" w:eastAsiaTheme="minorEastAsia" w:hAnsi="Palatino Linotype"/>
          <w:lang w:val="es-ES_tradnl" w:eastAsia="es-ES"/>
        </w:rPr>
        <w:t xml:space="preserve">poner a disposición del público de manera permanente y actualizada de sencilla, precisa y entendible, en los respectivos medios electrónicos, de acuerdo con sus facultades, </w:t>
      </w:r>
      <w:r w:rsidR="0052540F" w:rsidRPr="0052540F">
        <w:rPr>
          <w:rFonts w:ascii="Palatino Linotype" w:hAnsi="Palatino Linotype"/>
        </w:rPr>
        <w:t>atribuciones, funciones u objeto social, según corresponda, la información</w:t>
      </w:r>
      <w:r w:rsidR="0052540F">
        <w:rPr>
          <w:rFonts w:ascii="Palatino Linotype" w:hAnsi="Palatino Linotype"/>
        </w:rPr>
        <w:t xml:space="preserve"> </w:t>
      </w:r>
      <w:r w:rsidR="0052540F" w:rsidRPr="0052540F">
        <w:rPr>
          <w:rFonts w:ascii="Palatino Linotype" w:hAnsi="Palatino Linotype"/>
        </w:rPr>
        <w:t xml:space="preserve">sobre los procesos y </w:t>
      </w:r>
      <w:r w:rsidR="0052540F" w:rsidRPr="0052540F">
        <w:rPr>
          <w:rFonts w:ascii="Palatino Linotype" w:hAnsi="Palatino Linotype"/>
        </w:rPr>
        <w:lastRenderedPageBreak/>
        <w:t>resultados sobre procedimientos de adjudicación directa, invitación restringida y licitación de cualquier naturaleza, incluyendo la versión pública del expediente respectivo y de los contratos celebrados, que deberán contener, por los menos, lo siguiente</w:t>
      </w:r>
      <w:r w:rsidR="0052540F">
        <w:rPr>
          <w:rFonts w:ascii="Palatino Linotype" w:hAnsi="Palatino Linotype"/>
        </w:rPr>
        <w:t>s</w:t>
      </w:r>
      <w:r w:rsidR="0052540F" w:rsidRPr="0052540F">
        <w:rPr>
          <w:rFonts w:ascii="Palatino Linotype" w:hAnsi="Palatino Linotype"/>
        </w:rPr>
        <w:t>:</w:t>
      </w:r>
    </w:p>
    <w:p w:rsidR="0052540F" w:rsidRPr="0052540F" w:rsidRDefault="0052540F" w:rsidP="0052540F">
      <w:pPr>
        <w:spacing w:line="360" w:lineRule="auto"/>
        <w:ind w:right="49"/>
        <w:contextualSpacing/>
        <w:jc w:val="both"/>
        <w:rPr>
          <w:rFonts w:ascii="Palatino Linotype" w:eastAsiaTheme="minorEastAsia" w:hAnsi="Palatino Linotype"/>
          <w:lang w:val="es-ES_tradnl" w:eastAsia="es-ES"/>
        </w:rPr>
      </w:pP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 </w:t>
      </w:r>
      <w:r>
        <w:rPr>
          <w:rFonts w:ascii="Palatino Linotype" w:hAnsi="Palatino Linotype"/>
          <w:i/>
          <w:sz w:val="22"/>
        </w:rPr>
        <w:t>“</w:t>
      </w:r>
      <w:r w:rsidRPr="0052540F">
        <w:rPr>
          <w:rFonts w:ascii="Palatino Linotype" w:hAnsi="Palatino Linotype"/>
          <w:b/>
          <w:i/>
          <w:sz w:val="22"/>
        </w:rPr>
        <w:t>a) De licitaciones públicas o procedimientos de invitación restringida</w:t>
      </w:r>
      <w:r w:rsidRPr="0052540F">
        <w:rPr>
          <w:rFonts w:ascii="Palatino Linotype" w:hAnsi="Palatino Linotype"/>
          <w:i/>
          <w:sz w:val="22"/>
        </w:rPr>
        <w:t xml:space="preserve">: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 La convocatoria o invitación emitida, así como los fundamentos legales aplicados para llevarla a cabo;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2) Los nombres de los participantes o invitados;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3) El nombre del ganador y las razones que lo justifican;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4) El área solicitante y la responsable de su ejecución;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5) Las convocatorias e invitaciones emitidas;</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6) Los dictámenes y fallo de adjudicación;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7) El contrato y, en su caso, sus anexos;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8) Los mecanismos de vigilancia y supervisión, incluyendo en su caso, los estudios de impacto urbano y ambiental, según corresponda;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9) La partida presupuestal, de conformidad con el clasificador por objeto del gasto, en el caso de ser aplicable;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10) Origen de los recursos especificando si son federales, estatales o municipales, así como el tipo de fondo de participación o aportación respectiva;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11) Los convenios modificatorios que, en su caso, sean firmados, precisando el objeto y la fecha de celebración;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12) Los informes de avance físico y financiero sobre las obras o servicios contratados;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13) El convenio de terminación; y </w:t>
      </w:r>
    </w:p>
    <w:p w:rsid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14) El finiquito. </w:t>
      </w:r>
    </w:p>
    <w:p w:rsidR="0052540F" w:rsidRPr="0052540F" w:rsidRDefault="0052540F" w:rsidP="0052540F">
      <w:pPr>
        <w:spacing w:line="360" w:lineRule="auto"/>
        <w:ind w:left="851" w:right="822"/>
        <w:contextualSpacing/>
        <w:jc w:val="both"/>
        <w:rPr>
          <w:rFonts w:ascii="Palatino Linotype" w:hAnsi="Palatino Linotype"/>
          <w:i/>
          <w:sz w:val="22"/>
        </w:rPr>
      </w:pPr>
    </w:p>
    <w:p w:rsidR="0052540F" w:rsidRPr="0052540F" w:rsidRDefault="0052540F" w:rsidP="0052540F">
      <w:pPr>
        <w:spacing w:line="360" w:lineRule="auto"/>
        <w:ind w:left="851" w:right="822"/>
        <w:contextualSpacing/>
        <w:jc w:val="both"/>
        <w:rPr>
          <w:rFonts w:ascii="Palatino Linotype" w:hAnsi="Palatino Linotype"/>
          <w:b/>
          <w:i/>
          <w:sz w:val="22"/>
        </w:rPr>
      </w:pPr>
      <w:r w:rsidRPr="0052540F">
        <w:rPr>
          <w:rFonts w:ascii="Palatino Linotype" w:hAnsi="Palatino Linotype"/>
          <w:b/>
          <w:i/>
          <w:sz w:val="22"/>
        </w:rPr>
        <w:lastRenderedPageBreak/>
        <w:t xml:space="preserve">b) De las adjudicaciones directas: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 La propuesta enviada por el participante;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2) Los motivos y fundamentos legales aplicados para llevarla a cabo;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3) La autorización del ejercicio de la opción;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4) En su caso, las cotizaciones consideradas, especificando los nombres de los proveedores y sus montos;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5) El nombre de la persona física o jurídica colectiva adjudicada;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6) La unidad administrativa solicitante y la responsable de su ejecución;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7) El número, fecha, el monto del contrato y el plazo de entrega o de ejecución de los servicios u obra;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8) Los mecanismos de vigilancia y supervisión, incluyendo, en su caso, los estudios de impacto urbano y ambiental, según corresponda;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9) Los informes de avance sobre las obras o servicios contratados; </w:t>
      </w:r>
    </w:p>
    <w:p w:rsidR="0052540F" w:rsidRP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 xml:space="preserve">10) El convenio de terminación; y </w:t>
      </w:r>
    </w:p>
    <w:p w:rsidR="0052540F" w:rsidRDefault="0052540F" w:rsidP="0052540F">
      <w:pPr>
        <w:spacing w:line="360" w:lineRule="auto"/>
        <w:ind w:left="851" w:right="822"/>
        <w:contextualSpacing/>
        <w:jc w:val="both"/>
        <w:rPr>
          <w:rFonts w:ascii="Palatino Linotype" w:hAnsi="Palatino Linotype"/>
          <w:i/>
          <w:sz w:val="22"/>
        </w:rPr>
      </w:pPr>
      <w:r w:rsidRPr="0052540F">
        <w:rPr>
          <w:rFonts w:ascii="Palatino Linotype" w:hAnsi="Palatino Linotype"/>
          <w:i/>
          <w:sz w:val="22"/>
        </w:rPr>
        <w:t>11) El finiquito.</w:t>
      </w:r>
      <w:r>
        <w:rPr>
          <w:rFonts w:ascii="Palatino Linotype" w:hAnsi="Palatino Linotype"/>
          <w:i/>
          <w:sz w:val="22"/>
        </w:rPr>
        <w:t>”</w:t>
      </w:r>
    </w:p>
    <w:p w:rsidR="0052540F" w:rsidRDefault="0052540F" w:rsidP="0052540F">
      <w:pPr>
        <w:spacing w:line="360" w:lineRule="auto"/>
        <w:ind w:left="851" w:right="822"/>
        <w:contextualSpacing/>
        <w:jc w:val="both"/>
        <w:rPr>
          <w:rFonts w:ascii="Palatino Linotype" w:hAnsi="Palatino Linotype"/>
          <w:i/>
          <w:sz w:val="22"/>
        </w:rPr>
      </w:pPr>
      <w:r>
        <w:rPr>
          <w:rFonts w:ascii="Palatino Linotype" w:hAnsi="Palatino Linotype"/>
          <w:i/>
          <w:sz w:val="22"/>
        </w:rPr>
        <w:t>(Énfasis añadido)</w:t>
      </w:r>
    </w:p>
    <w:p w:rsidR="0052540F" w:rsidRPr="0052540F" w:rsidRDefault="0052540F" w:rsidP="0052540F">
      <w:pPr>
        <w:spacing w:line="360" w:lineRule="auto"/>
        <w:ind w:left="851" w:right="822"/>
        <w:contextualSpacing/>
        <w:jc w:val="both"/>
        <w:rPr>
          <w:rFonts w:ascii="Palatino Linotype" w:eastAsiaTheme="minorEastAsia" w:hAnsi="Palatino Linotype"/>
          <w:i/>
          <w:sz w:val="22"/>
          <w:lang w:val="es-ES_tradnl" w:eastAsia="es-ES"/>
        </w:rPr>
      </w:pPr>
    </w:p>
    <w:p w:rsidR="00D1471C" w:rsidRDefault="000812F2" w:rsidP="003A083C">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 xml:space="preserve">Así, tenemos que los procedimientos de adquisiciones, son obligaciones de transparencia común que debe hacer públicas el Sujeto Obligado a través de sus portales de </w:t>
      </w:r>
      <w:r w:rsidR="000D2C7F">
        <w:rPr>
          <w:rFonts w:ascii="Palatino Linotype" w:eastAsiaTheme="minorEastAsia" w:hAnsi="Palatino Linotype"/>
          <w:lang w:val="es-ES_tradnl" w:eastAsia="es-ES"/>
        </w:rPr>
        <w:t>información, ellos atendiendo a los principios de legalidad, seguridad pública y máxima publicidad.</w:t>
      </w:r>
    </w:p>
    <w:p w:rsidR="000D2C7F" w:rsidRDefault="000D2C7F" w:rsidP="000D2C7F">
      <w:pPr>
        <w:spacing w:line="360" w:lineRule="auto"/>
        <w:ind w:right="49"/>
        <w:contextualSpacing/>
        <w:jc w:val="both"/>
        <w:rPr>
          <w:rFonts w:ascii="Palatino Linotype" w:eastAsiaTheme="minorEastAsia" w:hAnsi="Palatino Linotype"/>
          <w:lang w:val="es-ES_tradnl" w:eastAsia="es-ES"/>
        </w:rPr>
      </w:pPr>
    </w:p>
    <w:p w:rsidR="00D1471C" w:rsidRDefault="000D2C7F" w:rsidP="00780960">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Pr>
          <w:rFonts w:ascii="Palatino Linotype" w:eastAsiaTheme="minorEastAsia" w:hAnsi="Palatino Linotype"/>
          <w:lang w:val="es-ES_tradnl" w:eastAsia="es-ES"/>
        </w:rPr>
        <w:t>En este caso, el Sujeto Obligado solo remitió los contratos</w:t>
      </w:r>
      <w:r w:rsidR="00AD3AD8">
        <w:rPr>
          <w:rFonts w:ascii="Palatino Linotype" w:eastAsiaTheme="minorEastAsia" w:hAnsi="Palatino Linotype"/>
          <w:lang w:val="es-ES_tradnl" w:eastAsia="es-ES"/>
        </w:rPr>
        <w:t xml:space="preserve"> y no todo el procedimiento que señala la Ley</w:t>
      </w:r>
      <w:r w:rsidR="000C0CD9">
        <w:rPr>
          <w:rFonts w:ascii="Palatino Linotype" w:eastAsiaTheme="minorEastAsia" w:hAnsi="Palatino Linotype"/>
          <w:lang w:val="es-ES_tradnl" w:eastAsia="es-ES"/>
        </w:rPr>
        <w:t xml:space="preserve"> </w:t>
      </w:r>
      <w:r w:rsidR="00AD3AD8">
        <w:rPr>
          <w:rFonts w:ascii="Palatino Linotype" w:eastAsiaTheme="minorEastAsia" w:hAnsi="Palatino Linotype"/>
          <w:lang w:val="es-ES_tradnl" w:eastAsia="es-ES"/>
        </w:rPr>
        <w:t>de Contratación Pública del Estado de México</w:t>
      </w:r>
      <w:r w:rsidR="000C0CD9">
        <w:rPr>
          <w:rFonts w:ascii="Palatino Linotype" w:eastAsiaTheme="minorEastAsia" w:hAnsi="Palatino Linotype"/>
          <w:lang w:val="es-ES_tradnl" w:eastAsia="es-ES"/>
        </w:rPr>
        <w:t xml:space="preserve"> y su Reglamento</w:t>
      </w:r>
      <w:r w:rsidR="00AD3AD8">
        <w:rPr>
          <w:rFonts w:ascii="Palatino Linotype" w:eastAsiaTheme="minorEastAsia" w:hAnsi="Palatino Linotype"/>
          <w:lang w:val="es-ES_tradnl" w:eastAsia="es-ES"/>
        </w:rPr>
        <w:t xml:space="preserve">, así como los señalado en la fracción XXIX del artículo 92 de la Ley de Transparencia Local y los Lineamientos </w:t>
      </w:r>
      <w:r w:rsidR="00AD3AD8" w:rsidRPr="00AD3AD8">
        <w:rPr>
          <w:rFonts w:ascii="Palatino Linotype" w:eastAsiaTheme="minorEastAsia" w:hAnsi="Palatino Linotype"/>
          <w:lang w:val="es-ES_tradnl" w:eastAsia="es-ES"/>
        </w:rPr>
        <w:t xml:space="preserve">técnicos generales para la publicación, </w:t>
      </w:r>
      <w:r w:rsidR="00AD3AD8" w:rsidRPr="00AD3AD8">
        <w:rPr>
          <w:rFonts w:ascii="Palatino Linotype" w:eastAsiaTheme="minorEastAsia" w:hAnsi="Palatino Linotype"/>
          <w:lang w:val="es-ES_tradnl" w:eastAsia="es-ES"/>
        </w:rPr>
        <w:lastRenderedPageBreak/>
        <w:t>homologación y estandarización de la información de las obligaciones establecidas en el título quinto y en la fracción IV del artículo 31 de la Ley General de Transparencia y Acceso a la Información Pública</w:t>
      </w:r>
      <w:r>
        <w:rPr>
          <w:rFonts w:ascii="Palatino Linotype" w:eastAsiaTheme="minorEastAsia" w:hAnsi="Palatino Linotype"/>
          <w:lang w:val="es-ES_tradnl" w:eastAsia="es-ES"/>
        </w:rPr>
        <w:t>, por lo que la información no colma con la solicitud de acceso a la información p</w:t>
      </w:r>
      <w:r w:rsidR="003D6225">
        <w:rPr>
          <w:rFonts w:ascii="Palatino Linotype" w:eastAsiaTheme="minorEastAsia" w:hAnsi="Palatino Linotype"/>
          <w:lang w:val="es-ES_tradnl" w:eastAsia="es-ES"/>
        </w:rPr>
        <w:t xml:space="preserve">ública, pues el particular solicitó los procedimiento de </w:t>
      </w:r>
      <w:r w:rsidR="00F26151">
        <w:rPr>
          <w:rFonts w:ascii="Palatino Linotype" w:eastAsiaTheme="minorEastAsia" w:hAnsi="Palatino Linotype"/>
          <w:lang w:val="es-ES_tradnl" w:eastAsia="es-ES"/>
        </w:rPr>
        <w:t>adquisiciones</w:t>
      </w:r>
      <w:r>
        <w:rPr>
          <w:rFonts w:ascii="Palatino Linotype" w:eastAsiaTheme="minorEastAsia" w:hAnsi="Palatino Linotype"/>
          <w:lang w:val="es-ES_tradnl" w:eastAsia="es-ES"/>
        </w:rPr>
        <w:t xml:space="preserve">; aunado a ello, de la lectura de dichos instrumentos jurídicos, se aprecia que </w:t>
      </w:r>
      <w:r w:rsidR="00501E1E">
        <w:rPr>
          <w:rFonts w:ascii="Palatino Linotype" w:eastAsiaTheme="minorEastAsia" w:hAnsi="Palatino Linotype"/>
          <w:lang w:val="es-ES_tradnl" w:eastAsia="es-ES"/>
        </w:rPr>
        <w:t xml:space="preserve">se testo el RFC del Sujeto Obligado y del </w:t>
      </w:r>
      <w:r w:rsidR="00AF14AA">
        <w:rPr>
          <w:rFonts w:ascii="Palatino Linotype" w:eastAsiaTheme="minorEastAsia" w:hAnsi="Palatino Linotype"/>
          <w:lang w:val="es-ES_tradnl" w:eastAsia="es-ES"/>
        </w:rPr>
        <w:t>Proveedor</w:t>
      </w:r>
      <w:r>
        <w:rPr>
          <w:rFonts w:ascii="Palatino Linotype" w:eastAsiaTheme="minorEastAsia" w:hAnsi="Palatino Linotype"/>
          <w:lang w:val="es-ES_tradnl" w:eastAsia="es-ES"/>
        </w:rPr>
        <w:t xml:space="preserve">, por </w:t>
      </w:r>
      <w:r w:rsidR="00AF14AA">
        <w:rPr>
          <w:rFonts w:ascii="Palatino Linotype" w:eastAsiaTheme="minorEastAsia" w:hAnsi="Palatino Linotype"/>
          <w:lang w:val="es-ES_tradnl" w:eastAsia="es-ES"/>
        </w:rPr>
        <w:t>lo tanto,</w:t>
      </w:r>
      <w:r>
        <w:rPr>
          <w:rFonts w:ascii="Palatino Linotype" w:eastAsiaTheme="minorEastAsia" w:hAnsi="Palatino Linotype"/>
          <w:lang w:val="es-ES_tradnl" w:eastAsia="es-ES"/>
        </w:rPr>
        <w:t xml:space="preserve"> es importante señalar que </w:t>
      </w:r>
      <w:r w:rsidR="00D500CC">
        <w:rPr>
          <w:rFonts w:ascii="Palatino Linotype" w:eastAsiaTheme="minorEastAsia" w:hAnsi="Palatino Linotype"/>
          <w:lang w:val="es-ES_tradnl" w:eastAsia="es-ES"/>
        </w:rPr>
        <w:t>el</w:t>
      </w:r>
      <w:r>
        <w:rPr>
          <w:rFonts w:ascii="Palatino Linotype" w:eastAsiaTheme="minorEastAsia" w:hAnsi="Palatino Linotype"/>
          <w:lang w:val="es-ES_tradnl" w:eastAsia="es-ES"/>
        </w:rPr>
        <w:t xml:space="preserve"> criterio </w:t>
      </w:r>
      <w:r w:rsidR="00DB4589">
        <w:rPr>
          <w:rFonts w:ascii="Palatino Linotype" w:eastAsiaTheme="minorEastAsia" w:hAnsi="Palatino Linotype"/>
          <w:lang w:val="es-ES_tradnl" w:eastAsia="es-ES"/>
        </w:rPr>
        <w:t>08/19 del Instituto Nacional de Transparencia, Acceso a la Información Púbica y Protección de Datos Personales</w:t>
      </w:r>
      <w:r w:rsidR="00AF14AA">
        <w:rPr>
          <w:rFonts w:ascii="Palatino Linotype" w:eastAsiaTheme="minorEastAsia" w:hAnsi="Palatino Linotype"/>
          <w:lang w:val="es-ES_tradnl" w:eastAsia="es-ES"/>
        </w:rPr>
        <w:t xml:space="preserve"> </w:t>
      </w:r>
      <w:r w:rsidR="00D500CC">
        <w:rPr>
          <w:rFonts w:ascii="Palatino Linotype" w:eastAsiaTheme="minorEastAsia" w:hAnsi="Palatino Linotype"/>
          <w:lang w:val="es-ES_tradnl" w:eastAsia="es-ES"/>
        </w:rPr>
        <w:t>establece que el RFC de persona moral es público:</w:t>
      </w:r>
    </w:p>
    <w:p w:rsidR="00D500CC" w:rsidRDefault="00D500CC" w:rsidP="00D500CC">
      <w:pPr>
        <w:spacing w:line="360" w:lineRule="auto"/>
        <w:ind w:right="49"/>
        <w:contextualSpacing/>
        <w:jc w:val="both"/>
        <w:rPr>
          <w:rFonts w:ascii="Palatino Linotype" w:eastAsiaTheme="minorEastAsia" w:hAnsi="Palatino Linotype"/>
          <w:lang w:val="es-ES_tradnl" w:eastAsia="es-ES"/>
        </w:rPr>
      </w:pPr>
    </w:p>
    <w:p w:rsidR="00D500CC" w:rsidRPr="00D500CC" w:rsidRDefault="00D500CC" w:rsidP="00D500CC">
      <w:pPr>
        <w:tabs>
          <w:tab w:val="left" w:pos="7371"/>
        </w:tabs>
        <w:spacing w:line="360" w:lineRule="auto"/>
        <w:ind w:left="851" w:right="822"/>
        <w:jc w:val="both"/>
        <w:rPr>
          <w:rFonts w:ascii="Palatino Linotype" w:hAnsi="Palatino Linotype" w:cs="Arial"/>
          <w:bCs/>
          <w:i/>
          <w:sz w:val="22"/>
        </w:rPr>
      </w:pPr>
      <w:r>
        <w:rPr>
          <w:rFonts w:ascii="Palatino Linotype" w:hAnsi="Palatino Linotype" w:cs="Arial"/>
          <w:b/>
          <w:bCs/>
          <w:i/>
          <w:sz w:val="22"/>
        </w:rPr>
        <w:t>“</w:t>
      </w:r>
      <w:r w:rsidRPr="00D500CC">
        <w:rPr>
          <w:rFonts w:ascii="Palatino Linotype" w:hAnsi="Palatino Linotype" w:cs="Arial"/>
          <w:b/>
          <w:bCs/>
          <w:i/>
          <w:sz w:val="22"/>
        </w:rPr>
        <w:t xml:space="preserve">Razón social y RFC de personas morales. </w:t>
      </w:r>
      <w:r w:rsidRPr="00D500CC">
        <w:rPr>
          <w:rFonts w:ascii="Palatino Linotype" w:hAnsi="Palatino Linotype" w:cs="Arial"/>
          <w:bCs/>
          <w:i/>
          <w:sz w:val="22"/>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r>
        <w:rPr>
          <w:rFonts w:ascii="Palatino Linotype" w:hAnsi="Palatino Linotype" w:cs="Arial"/>
          <w:bCs/>
          <w:i/>
          <w:sz w:val="22"/>
        </w:rPr>
        <w:t>”</w:t>
      </w:r>
    </w:p>
    <w:p w:rsidR="00D500CC" w:rsidRPr="00D1471C" w:rsidRDefault="00D500CC" w:rsidP="00D500CC">
      <w:pPr>
        <w:spacing w:line="360" w:lineRule="auto"/>
        <w:ind w:right="49"/>
        <w:contextualSpacing/>
        <w:jc w:val="both"/>
        <w:rPr>
          <w:rFonts w:ascii="Palatino Linotype" w:eastAsiaTheme="minorEastAsia" w:hAnsi="Palatino Linotype"/>
          <w:lang w:val="es-ES_tradnl" w:eastAsia="es-ES"/>
        </w:rPr>
      </w:pPr>
    </w:p>
    <w:p w:rsidR="00694948" w:rsidRPr="00D36DAD" w:rsidRDefault="00694948" w:rsidP="00D36DAD">
      <w:pPr>
        <w:numPr>
          <w:ilvl w:val="0"/>
          <w:numId w:val="1"/>
        </w:numPr>
        <w:spacing w:line="360" w:lineRule="auto"/>
        <w:ind w:left="0" w:right="49" w:firstLine="0"/>
        <w:contextualSpacing/>
        <w:jc w:val="both"/>
        <w:rPr>
          <w:rFonts w:ascii="Palatino Linotype" w:eastAsiaTheme="minorEastAsia" w:hAnsi="Palatino Linotype"/>
          <w:sz w:val="40"/>
          <w:lang w:val="es-ES_tradnl" w:eastAsia="es-ES"/>
        </w:rPr>
      </w:pPr>
      <w:r>
        <w:rPr>
          <w:rFonts w:ascii="Palatino Linotype" w:eastAsiaTheme="minorEastAsia" w:hAnsi="Palatino Linotype"/>
          <w:lang w:val="es-ES_tradnl" w:eastAsia="es-ES"/>
        </w:rPr>
        <w:t>En este caso, el Sujeto Obligado testo el RFC, por lo que atendiendo al criterio señalado en el párrafo anterior, el Sujeto Obligado realizó una versión p</w:t>
      </w:r>
      <w:r w:rsidR="00D36DAD">
        <w:rPr>
          <w:rFonts w:ascii="Palatino Linotype" w:eastAsiaTheme="minorEastAsia" w:hAnsi="Palatino Linotype"/>
          <w:lang w:val="es-ES_tradnl" w:eastAsia="es-ES"/>
        </w:rPr>
        <w:t>ública excesiva del contrato, por ello deberá entregar de nuevo dicha información.</w:t>
      </w:r>
    </w:p>
    <w:p w:rsidR="003D6225" w:rsidRDefault="003D6225" w:rsidP="003D6225">
      <w:pPr>
        <w:spacing w:line="360" w:lineRule="auto"/>
        <w:ind w:right="49"/>
        <w:contextualSpacing/>
        <w:jc w:val="both"/>
        <w:rPr>
          <w:rFonts w:ascii="Palatino Linotype" w:eastAsiaTheme="minorEastAsia" w:hAnsi="Palatino Linotype"/>
          <w:lang w:val="es-ES_tradnl" w:eastAsia="es-ES"/>
        </w:rPr>
      </w:pPr>
    </w:p>
    <w:p w:rsidR="003D6225" w:rsidRPr="00E76C02" w:rsidRDefault="00D500CC" w:rsidP="003D622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E76C02">
        <w:rPr>
          <w:rFonts w:ascii="Palatino Linotype" w:eastAsiaTheme="minorEastAsia" w:hAnsi="Palatino Linotype"/>
          <w:lang w:val="es-ES_tradnl" w:eastAsia="es-ES"/>
        </w:rPr>
        <w:t xml:space="preserve">Ahora bien, </w:t>
      </w:r>
      <w:r w:rsidR="00473FF9" w:rsidRPr="00E76C02">
        <w:rPr>
          <w:rFonts w:ascii="Palatino Linotype" w:eastAsiaTheme="minorEastAsia" w:hAnsi="Palatino Linotype"/>
          <w:lang w:val="es-ES_tradnl" w:eastAsia="es-ES"/>
        </w:rPr>
        <w:t xml:space="preserve">como se refirió en párrafos anteriores, el Sujeto Obligado manifestó a través del oficio remitido por parte del área de Dirección del Sistema Municipal DIF, que no se ha llevado a cabo algún procedimiento adquisitivo. En este caso, </w:t>
      </w:r>
      <w:r w:rsidR="003D6225" w:rsidRPr="00E76C02">
        <w:rPr>
          <w:rFonts w:ascii="Palatino Linotype" w:hAnsi="Palatino Linotype" w:cs="Arial"/>
        </w:rPr>
        <w:t xml:space="preserve">es necesario señalar que éste Órgano Garante no está facultado para pronunciarse sobre </w:t>
      </w:r>
      <w:r w:rsidR="003D6225" w:rsidRPr="00E76C02">
        <w:rPr>
          <w:rFonts w:ascii="Palatino Linotype" w:hAnsi="Palatino Linotype" w:cs="Arial"/>
        </w:rPr>
        <w:lastRenderedPageBreak/>
        <w:t xml:space="preserve">la veracidad de la información que los Sujetos Obligados ponen a disposición de los solicitantes; situación que se aleja de las atribuciones de este Instituto </w:t>
      </w:r>
      <w:r w:rsidR="003D6225" w:rsidRPr="00E76C02">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rsidR="003D6225" w:rsidRPr="003D6225" w:rsidRDefault="003D6225" w:rsidP="003D6225">
      <w:pPr>
        <w:spacing w:line="360" w:lineRule="auto"/>
        <w:ind w:right="49"/>
        <w:contextualSpacing/>
        <w:jc w:val="both"/>
        <w:rPr>
          <w:rFonts w:ascii="Palatino Linotype" w:eastAsiaTheme="minorEastAsia" w:hAnsi="Palatino Linotype"/>
          <w:lang w:val="es-ES_tradnl" w:eastAsia="es-ES"/>
        </w:rPr>
      </w:pPr>
    </w:p>
    <w:p w:rsidR="003D6225" w:rsidRPr="003D6225" w:rsidRDefault="003D6225" w:rsidP="003D6225">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3D6225">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3D6225" w:rsidRPr="00031358" w:rsidRDefault="003D6225" w:rsidP="003D6225">
      <w:pPr>
        <w:pStyle w:val="Default"/>
        <w:spacing w:before="240" w:after="360" w:line="360" w:lineRule="auto"/>
        <w:ind w:left="851" w:right="850"/>
        <w:jc w:val="both"/>
        <w:rPr>
          <w:rFonts w:ascii="Palatino Linotype" w:hAnsi="Palatino Linotype"/>
          <w:i/>
          <w:sz w:val="22"/>
          <w:szCs w:val="20"/>
        </w:rPr>
      </w:pPr>
      <w:r w:rsidRPr="00031358">
        <w:rPr>
          <w:rFonts w:ascii="Palatino Linotype" w:hAnsi="Palatino Linotype"/>
          <w:i/>
          <w:sz w:val="22"/>
          <w:szCs w:val="20"/>
        </w:rPr>
        <w:t xml:space="preserve">El Instituto Federal de Acceso a la Información y Protección de Datos </w:t>
      </w:r>
      <w:r w:rsidRPr="004B3660">
        <w:rPr>
          <w:rFonts w:ascii="Palatino Linotype" w:hAnsi="Palatino Linotype"/>
          <w:b/>
          <w:i/>
          <w:sz w:val="22"/>
          <w:szCs w:val="20"/>
        </w:rPr>
        <w:t>no cuenta con facultades para pronunciarse respecto de la veracidad de los documentos proporcionados por los sujetos obligados.</w:t>
      </w:r>
      <w:r w:rsidRPr="00031358">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w:t>
      </w:r>
      <w:r>
        <w:rPr>
          <w:rFonts w:ascii="Palatino Linotype" w:hAnsi="Palatino Linotype"/>
          <w:i/>
          <w:sz w:val="22"/>
          <w:szCs w:val="20"/>
        </w:rPr>
        <w:t xml:space="preserve"> recurso revisión, al respecto.</w:t>
      </w:r>
    </w:p>
    <w:p w:rsidR="003D6225" w:rsidRPr="003D6225" w:rsidRDefault="003D6225" w:rsidP="003D6225">
      <w:pPr>
        <w:pStyle w:val="Prrafodelista"/>
        <w:numPr>
          <w:ilvl w:val="0"/>
          <w:numId w:val="1"/>
        </w:numPr>
        <w:spacing w:line="360" w:lineRule="auto"/>
        <w:ind w:left="0" w:firstLine="0"/>
        <w:jc w:val="both"/>
        <w:rPr>
          <w:rFonts w:ascii="Palatino Linotype" w:hAnsi="Palatino Linotype" w:cs="Arial"/>
          <w:sz w:val="24"/>
        </w:rPr>
      </w:pPr>
      <w:r w:rsidRPr="003D6225">
        <w:rPr>
          <w:rFonts w:ascii="Palatino Linotype" w:hAnsi="Palatino Linotype" w:cs="Arial"/>
          <w:sz w:val="24"/>
        </w:rPr>
        <w:t xml:space="preserve">Así mismo, la </w:t>
      </w:r>
      <w:r w:rsidRPr="003D6225">
        <w:rPr>
          <w:rFonts w:ascii="Palatino Linotype" w:hAnsi="Palatino Linotype" w:cs="Arial"/>
          <w:b/>
          <w:sz w:val="24"/>
        </w:rPr>
        <w:t>Ley de Transparencia y Acceso a la Información Pública del Estado de México y Municipios</w:t>
      </w:r>
      <w:r w:rsidRPr="003D6225">
        <w:rPr>
          <w:rFonts w:ascii="Palatino Linotype" w:hAnsi="Palatino Linotype" w:cs="Arial"/>
          <w:sz w:val="24"/>
        </w:rPr>
        <w:t xml:space="preserve"> establece que la información pública generada, </w:t>
      </w:r>
      <w:r w:rsidRPr="003D6225">
        <w:rPr>
          <w:rFonts w:ascii="Palatino Linotype" w:hAnsi="Palatino Linotype" w:cs="Arial"/>
          <w:sz w:val="24"/>
        </w:rPr>
        <w:lastRenderedPageBreak/>
        <w:t>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3D6225" w:rsidRPr="003D6225" w:rsidRDefault="003D6225" w:rsidP="003D6225">
      <w:pPr>
        <w:pStyle w:val="Prrafodelista"/>
        <w:spacing w:line="360" w:lineRule="auto"/>
        <w:ind w:left="644"/>
        <w:jc w:val="both"/>
        <w:rPr>
          <w:rFonts w:ascii="Palatino Linotype" w:hAnsi="Palatino Linotype" w:cs="Arial"/>
        </w:rPr>
      </w:pPr>
    </w:p>
    <w:p w:rsidR="003D6225" w:rsidRPr="00E81F69" w:rsidRDefault="003D6225" w:rsidP="003D6225">
      <w:pPr>
        <w:pStyle w:val="Prrafodelista"/>
        <w:spacing w:line="360" w:lineRule="auto"/>
        <w:ind w:left="644" w:right="902"/>
        <w:jc w:val="both"/>
        <w:rPr>
          <w:rFonts w:ascii="Palatino Linotype" w:hAnsi="Palatino Linotype" w:cs="Arial"/>
          <w:b/>
          <w:i/>
        </w:rPr>
      </w:pPr>
      <w:r w:rsidRPr="00D51E15">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E81F69">
        <w:rPr>
          <w:rFonts w:ascii="Palatino Linotype" w:hAnsi="Palatino Linotype" w:cs="Arial"/>
          <w:b/>
          <w:i/>
        </w:rPr>
        <w:t>Los Sujetos Obligados deben poner en práctica, políticas y programas de acceso a la información que se apeguen a criterios de publicidad, veracidad, oportunidad, precisión y suficiencia en</w:t>
      </w:r>
      <w:r>
        <w:rPr>
          <w:rFonts w:ascii="Palatino Linotype" w:hAnsi="Palatino Linotype" w:cs="Arial"/>
          <w:b/>
          <w:i/>
        </w:rPr>
        <w:t xml:space="preserve"> beneficio de los solicitantes.</w:t>
      </w:r>
    </w:p>
    <w:p w:rsidR="003D6225" w:rsidRPr="003D6225" w:rsidRDefault="003D6225" w:rsidP="003D6225">
      <w:pPr>
        <w:pStyle w:val="Prrafodelista"/>
        <w:tabs>
          <w:tab w:val="left" w:pos="709"/>
        </w:tabs>
        <w:spacing w:line="360" w:lineRule="auto"/>
        <w:ind w:left="644" w:right="51"/>
        <w:jc w:val="both"/>
        <w:rPr>
          <w:rFonts w:ascii="Palatino Linotype" w:hAnsi="Palatino Linotype" w:cs="Arial"/>
          <w:noProof/>
        </w:rPr>
      </w:pPr>
    </w:p>
    <w:p w:rsidR="00F26151" w:rsidRPr="00E76C02" w:rsidRDefault="003A083C" w:rsidP="0067172E">
      <w:pPr>
        <w:pStyle w:val="Prrafodelista"/>
        <w:numPr>
          <w:ilvl w:val="0"/>
          <w:numId w:val="1"/>
        </w:numPr>
        <w:tabs>
          <w:tab w:val="left" w:pos="709"/>
        </w:tabs>
        <w:spacing w:line="360" w:lineRule="auto"/>
        <w:ind w:left="0" w:right="51" w:firstLine="0"/>
        <w:jc w:val="both"/>
        <w:rPr>
          <w:rFonts w:ascii="Palatino Linotype" w:hAnsi="Palatino Linotype" w:cs="Arial"/>
          <w:noProof/>
          <w:sz w:val="28"/>
        </w:rPr>
      </w:pPr>
      <w:r w:rsidRPr="00E76C02">
        <w:rPr>
          <w:rFonts w:ascii="Palatino Linotype" w:hAnsi="Palatino Linotype" w:cs="Arial"/>
          <w:noProof/>
          <w:sz w:val="24"/>
        </w:rPr>
        <w:t>Sin embargo, tambien es importamte señalar que dada la naturaleza de la información solicitada sobre los procedimientos</w:t>
      </w:r>
      <w:r w:rsidR="0067172E" w:rsidRPr="00E76C02">
        <w:rPr>
          <w:rFonts w:ascii="Palatino Linotype" w:hAnsi="Palatino Linotype" w:cs="Arial"/>
          <w:noProof/>
          <w:sz w:val="24"/>
        </w:rPr>
        <w:t xml:space="preserve"> </w:t>
      </w:r>
      <w:r w:rsidRPr="00E76C02">
        <w:rPr>
          <w:rFonts w:ascii="Palatino Linotype" w:hAnsi="Palatino Linotype" w:cs="Arial"/>
          <w:noProof/>
          <w:sz w:val="24"/>
        </w:rPr>
        <w:t>de</w:t>
      </w:r>
      <w:r w:rsidR="0067172E" w:rsidRPr="00E76C02">
        <w:rPr>
          <w:rFonts w:ascii="Palatino Linotype" w:hAnsi="Palatino Linotype" w:cs="Arial"/>
          <w:noProof/>
          <w:sz w:val="24"/>
        </w:rPr>
        <w:t xml:space="preserve"> adquisición del Sistema Munici</w:t>
      </w:r>
      <w:r w:rsidRPr="00E76C02">
        <w:rPr>
          <w:rFonts w:ascii="Palatino Linotype" w:hAnsi="Palatino Linotype" w:cs="Arial"/>
          <w:noProof/>
          <w:sz w:val="24"/>
        </w:rPr>
        <w:t xml:space="preserve">pal para el Desarrollo Integral de la Familia, </w:t>
      </w:r>
      <w:r w:rsidR="0067172E" w:rsidRPr="00E76C02">
        <w:rPr>
          <w:rFonts w:ascii="Palatino Linotype" w:hAnsi="Palatino Linotype" w:cs="Arial"/>
          <w:noProof/>
          <w:sz w:val="24"/>
        </w:rPr>
        <w:t xml:space="preserve">se debe considerar una búsqueda en sus archivos de acuerdo al </w:t>
      </w:r>
      <w:r w:rsidR="0067172E" w:rsidRPr="00E76C02">
        <w:rPr>
          <w:rFonts w:ascii="Palatino Linotype" w:eastAsiaTheme="minorEastAsia" w:hAnsi="Palatino Linotype" w:cs="ArialMT"/>
          <w:sz w:val="24"/>
          <w:lang w:val="es-ES_tradnl" w:eastAsia="es-ES"/>
        </w:rPr>
        <w:t>C</w:t>
      </w:r>
      <w:r w:rsidR="00F26151" w:rsidRPr="00E76C02">
        <w:rPr>
          <w:rFonts w:ascii="Palatino Linotype" w:eastAsiaTheme="minorEastAsia" w:hAnsi="Palatino Linotype" w:cs="ArialMT"/>
          <w:sz w:val="24"/>
          <w:lang w:val="es-ES_tradnl" w:eastAsia="es-ES"/>
        </w:rPr>
        <w:t>riterio 3/19 emitido por el Instituto Nacional de Transparencia, Acceso a la Información y Protección de Datos personales, que a la letra dice:</w:t>
      </w:r>
    </w:p>
    <w:p w:rsidR="00F26151" w:rsidRPr="00906AE5" w:rsidRDefault="00F26151" w:rsidP="00F26151">
      <w:pPr>
        <w:pStyle w:val="Prrafodelista"/>
        <w:spacing w:line="360" w:lineRule="auto"/>
        <w:ind w:left="0"/>
        <w:jc w:val="both"/>
        <w:rPr>
          <w:rFonts w:ascii="Palatino Linotype" w:hAnsi="Palatino Linotype" w:cs="Arial"/>
          <w:b/>
          <w:sz w:val="24"/>
        </w:rPr>
      </w:pPr>
    </w:p>
    <w:p w:rsidR="00F26151" w:rsidRPr="009B3943" w:rsidRDefault="00F26151" w:rsidP="00F26151">
      <w:pPr>
        <w:spacing w:line="360" w:lineRule="auto"/>
        <w:ind w:left="567" w:right="567"/>
        <w:jc w:val="both"/>
        <w:rPr>
          <w:rFonts w:ascii="Palatino Linotype" w:eastAsia="Arial" w:hAnsi="Palatino Linotype" w:cs="Arial"/>
          <w:i/>
          <w:sz w:val="22"/>
          <w:szCs w:val="22"/>
          <w:lang w:eastAsia="en-US"/>
        </w:rPr>
      </w:pPr>
      <w:r w:rsidRPr="009B3943">
        <w:rPr>
          <w:rFonts w:ascii="Palatino Linotype" w:eastAsia="Arial" w:hAnsi="Palatino Linotype" w:cs="Arial"/>
          <w:b/>
          <w:i/>
          <w:sz w:val="22"/>
          <w:szCs w:val="22"/>
          <w:lang w:eastAsia="en-US"/>
        </w:rPr>
        <w:t xml:space="preserve">Periodo de búsqueda de la información. </w:t>
      </w:r>
      <w:r w:rsidRPr="009B3943">
        <w:rPr>
          <w:rFonts w:ascii="Palatino Linotype" w:eastAsia="Arial" w:hAnsi="Palatino Linotype" w:cs="Arial"/>
          <w:i/>
          <w:sz w:val="22"/>
          <w:szCs w:val="22"/>
          <w:lang w:eastAsia="en-US"/>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F26151" w:rsidRPr="009B3943" w:rsidRDefault="00F26151" w:rsidP="00F26151">
      <w:pPr>
        <w:spacing w:line="360" w:lineRule="auto"/>
        <w:ind w:left="567" w:right="567"/>
        <w:jc w:val="both"/>
        <w:rPr>
          <w:rFonts w:ascii="Palatino Linotype" w:eastAsiaTheme="minorHAnsi" w:hAnsi="Palatino Linotype" w:cs="Arial"/>
          <w:i/>
          <w:sz w:val="22"/>
          <w:szCs w:val="22"/>
          <w:lang w:eastAsia="en-US"/>
        </w:rPr>
      </w:pPr>
      <w:r w:rsidRPr="009B3943">
        <w:rPr>
          <w:rFonts w:ascii="Palatino Linotype" w:eastAsia="Arial" w:hAnsi="Palatino Linotype" w:cs="Arial"/>
          <w:b/>
          <w:i/>
          <w:spacing w:val="-1"/>
          <w:sz w:val="22"/>
          <w:szCs w:val="22"/>
          <w:lang w:eastAsia="en-US"/>
        </w:rPr>
        <w:lastRenderedPageBreak/>
        <w:t>R</w:t>
      </w:r>
      <w:r w:rsidRPr="009B3943">
        <w:rPr>
          <w:rFonts w:ascii="Palatino Linotype" w:eastAsia="Arial" w:hAnsi="Palatino Linotype" w:cs="Arial"/>
          <w:b/>
          <w:i/>
          <w:sz w:val="22"/>
          <w:szCs w:val="22"/>
          <w:lang w:eastAsia="en-US"/>
        </w:rPr>
        <w:t>e</w:t>
      </w:r>
      <w:r w:rsidRPr="009B3943">
        <w:rPr>
          <w:rFonts w:ascii="Palatino Linotype" w:eastAsia="Arial" w:hAnsi="Palatino Linotype" w:cs="Arial"/>
          <w:b/>
          <w:i/>
          <w:spacing w:val="-1"/>
          <w:sz w:val="22"/>
          <w:szCs w:val="22"/>
          <w:lang w:eastAsia="en-US"/>
        </w:rPr>
        <w:t>s</w:t>
      </w:r>
      <w:r w:rsidRPr="009B3943">
        <w:rPr>
          <w:rFonts w:ascii="Palatino Linotype" w:eastAsia="Arial" w:hAnsi="Palatino Linotype" w:cs="Arial"/>
          <w:b/>
          <w:i/>
          <w:sz w:val="22"/>
          <w:szCs w:val="22"/>
          <w:lang w:eastAsia="en-US"/>
        </w:rPr>
        <w:t>olucion</w:t>
      </w:r>
      <w:r w:rsidRPr="009B3943">
        <w:rPr>
          <w:rFonts w:ascii="Palatino Linotype" w:eastAsia="Arial" w:hAnsi="Palatino Linotype" w:cs="Arial"/>
          <w:b/>
          <w:i/>
          <w:spacing w:val="-1"/>
          <w:sz w:val="22"/>
          <w:szCs w:val="22"/>
          <w:lang w:eastAsia="en-US"/>
        </w:rPr>
        <w:t>es</w:t>
      </w:r>
    </w:p>
    <w:p w:rsidR="00F26151" w:rsidRPr="009B3943" w:rsidRDefault="00F26151" w:rsidP="00F26151">
      <w:pPr>
        <w:numPr>
          <w:ilvl w:val="0"/>
          <w:numId w:val="38"/>
        </w:numPr>
        <w:spacing w:line="360" w:lineRule="auto"/>
        <w:ind w:left="567" w:right="567"/>
        <w:contextualSpacing/>
        <w:jc w:val="both"/>
        <w:rPr>
          <w:rFonts w:ascii="Palatino Linotype" w:eastAsia="Symbol" w:hAnsi="Palatino Linotype" w:cs="Arial"/>
          <w:i/>
          <w:sz w:val="22"/>
          <w:szCs w:val="22"/>
          <w:lang w:eastAsia="en-US"/>
        </w:rPr>
      </w:pPr>
      <w:r w:rsidRPr="009B3943">
        <w:rPr>
          <w:rFonts w:ascii="Palatino Linotype" w:eastAsia="Arial" w:hAnsi="Palatino Linotype" w:cs="Arial"/>
          <w:b/>
          <w:i/>
          <w:spacing w:val="-1"/>
          <w:sz w:val="22"/>
          <w:szCs w:val="22"/>
          <w:lang w:eastAsia="en-US"/>
        </w:rPr>
        <w:t>R</w:t>
      </w:r>
      <w:r w:rsidRPr="009B3943">
        <w:rPr>
          <w:rFonts w:ascii="Palatino Linotype" w:eastAsia="Arial" w:hAnsi="Palatino Linotype" w:cs="Arial"/>
          <w:b/>
          <w:i/>
          <w:spacing w:val="3"/>
          <w:sz w:val="22"/>
          <w:szCs w:val="22"/>
          <w:lang w:eastAsia="en-US"/>
        </w:rPr>
        <w:t>R</w:t>
      </w:r>
      <w:r w:rsidRPr="009B3943">
        <w:rPr>
          <w:rFonts w:ascii="Palatino Linotype" w:eastAsia="Arial" w:hAnsi="Palatino Linotype" w:cs="Arial"/>
          <w:b/>
          <w:i/>
          <w:sz w:val="22"/>
          <w:szCs w:val="22"/>
          <w:lang w:eastAsia="en-US"/>
        </w:rPr>
        <w:t>A</w:t>
      </w:r>
      <w:r w:rsidRPr="009B3943">
        <w:rPr>
          <w:rFonts w:ascii="Palatino Linotype" w:eastAsia="Arial" w:hAnsi="Palatino Linotype" w:cs="Arial"/>
          <w:b/>
          <w:i/>
          <w:spacing w:val="5"/>
          <w:sz w:val="22"/>
          <w:szCs w:val="22"/>
          <w:lang w:eastAsia="en-US"/>
        </w:rPr>
        <w:t xml:space="preserve"> 0022</w:t>
      </w:r>
      <w:r w:rsidRPr="009B3943">
        <w:rPr>
          <w:rFonts w:ascii="Palatino Linotype" w:eastAsia="Arial" w:hAnsi="Palatino Linotype" w:cs="Arial"/>
          <w:b/>
          <w:i/>
          <w:spacing w:val="-1"/>
          <w:sz w:val="22"/>
          <w:szCs w:val="22"/>
          <w:lang w:eastAsia="en-US"/>
        </w:rPr>
        <w:t>/17</w:t>
      </w:r>
      <w:r w:rsidRPr="009B3943">
        <w:rPr>
          <w:rFonts w:ascii="Palatino Linotype" w:eastAsia="Arial" w:hAnsi="Palatino Linotype" w:cs="Arial"/>
          <w:b/>
          <w:i/>
          <w:sz w:val="22"/>
          <w:szCs w:val="22"/>
          <w:lang w:eastAsia="en-US"/>
        </w:rPr>
        <w:t>.</w:t>
      </w:r>
      <w:r w:rsidRPr="009B3943">
        <w:rPr>
          <w:rFonts w:ascii="Palatino Linotype" w:eastAsia="Arial" w:hAnsi="Palatino Linotype" w:cs="Arial"/>
          <w:b/>
          <w:i/>
          <w:spacing w:val="15"/>
          <w:sz w:val="22"/>
          <w:szCs w:val="22"/>
          <w:lang w:eastAsia="en-US"/>
        </w:rPr>
        <w:t xml:space="preserve"> </w:t>
      </w:r>
      <w:r w:rsidRPr="009B3943">
        <w:rPr>
          <w:rFonts w:ascii="Palatino Linotype" w:eastAsia="Arial" w:hAnsi="Palatino Linotype" w:cs="Arial"/>
          <w:i/>
          <w:spacing w:val="-1"/>
          <w:sz w:val="22"/>
          <w:szCs w:val="22"/>
          <w:lang w:eastAsia="en-US"/>
        </w:rPr>
        <w:t>Instituto Mexicano de la Propiedad Industrial</w:t>
      </w:r>
      <w:r w:rsidRPr="009B3943">
        <w:rPr>
          <w:rFonts w:ascii="Palatino Linotype" w:eastAsia="Arial" w:hAnsi="Palatino Linotype" w:cs="Arial"/>
          <w:i/>
          <w:sz w:val="22"/>
          <w:szCs w:val="22"/>
          <w:lang w:eastAsia="en-US"/>
        </w:rPr>
        <w:t>.</w:t>
      </w:r>
      <w:r w:rsidRPr="009B3943">
        <w:rPr>
          <w:rFonts w:ascii="Palatino Linotype" w:eastAsia="Arial" w:hAnsi="Palatino Linotype" w:cs="Arial"/>
          <w:i/>
          <w:spacing w:val="4"/>
          <w:sz w:val="22"/>
          <w:szCs w:val="22"/>
          <w:lang w:eastAsia="en-US"/>
        </w:rPr>
        <w:t xml:space="preserve"> 16 de febrero de 2017. Por unanimidad. </w:t>
      </w:r>
      <w:r w:rsidRPr="009B3943">
        <w:rPr>
          <w:rFonts w:ascii="Palatino Linotype" w:eastAsia="Arial" w:hAnsi="Palatino Linotype" w:cs="Arial"/>
          <w:i/>
          <w:spacing w:val="-1"/>
          <w:sz w:val="22"/>
          <w:szCs w:val="22"/>
          <w:lang w:eastAsia="en-US"/>
        </w:rPr>
        <w:t>C</w:t>
      </w:r>
      <w:r w:rsidRPr="009B3943">
        <w:rPr>
          <w:rFonts w:ascii="Palatino Linotype" w:eastAsia="Arial" w:hAnsi="Palatino Linotype" w:cs="Arial"/>
          <w:i/>
          <w:sz w:val="22"/>
          <w:szCs w:val="22"/>
          <w:lang w:eastAsia="en-US"/>
        </w:rPr>
        <w:t>omis</w:t>
      </w:r>
      <w:r w:rsidRPr="009B3943">
        <w:rPr>
          <w:rFonts w:ascii="Palatino Linotype" w:eastAsia="Arial" w:hAnsi="Palatino Linotype" w:cs="Arial"/>
          <w:i/>
          <w:spacing w:val="-2"/>
          <w:sz w:val="22"/>
          <w:szCs w:val="22"/>
          <w:lang w:eastAsia="en-US"/>
        </w:rPr>
        <w:t>i</w:t>
      </w:r>
      <w:r w:rsidRPr="009B3943">
        <w:rPr>
          <w:rFonts w:ascii="Palatino Linotype" w:eastAsia="Arial" w:hAnsi="Palatino Linotype" w:cs="Arial"/>
          <w:i/>
          <w:sz w:val="22"/>
          <w:szCs w:val="22"/>
          <w:lang w:eastAsia="en-US"/>
        </w:rPr>
        <w:t>o</w:t>
      </w:r>
      <w:r w:rsidRPr="009B3943">
        <w:rPr>
          <w:rFonts w:ascii="Palatino Linotype" w:eastAsia="Arial" w:hAnsi="Palatino Linotype" w:cs="Arial"/>
          <w:i/>
          <w:spacing w:val="1"/>
          <w:sz w:val="22"/>
          <w:szCs w:val="22"/>
          <w:lang w:eastAsia="en-US"/>
        </w:rPr>
        <w:t>n</w:t>
      </w:r>
      <w:r w:rsidRPr="009B3943">
        <w:rPr>
          <w:rFonts w:ascii="Palatino Linotype" w:eastAsia="Arial" w:hAnsi="Palatino Linotype" w:cs="Arial"/>
          <w:i/>
          <w:sz w:val="22"/>
          <w:szCs w:val="22"/>
          <w:lang w:eastAsia="en-US"/>
        </w:rPr>
        <w:t>a</w:t>
      </w:r>
      <w:r w:rsidRPr="009B3943">
        <w:rPr>
          <w:rFonts w:ascii="Palatino Linotype" w:eastAsia="Arial" w:hAnsi="Palatino Linotype" w:cs="Arial"/>
          <w:i/>
          <w:spacing w:val="-1"/>
          <w:sz w:val="22"/>
          <w:szCs w:val="22"/>
          <w:lang w:eastAsia="en-US"/>
        </w:rPr>
        <w:t>d</w:t>
      </w:r>
      <w:r w:rsidRPr="009B3943">
        <w:rPr>
          <w:rFonts w:ascii="Palatino Linotype" w:eastAsia="Arial" w:hAnsi="Palatino Linotype" w:cs="Arial"/>
          <w:i/>
          <w:sz w:val="22"/>
          <w:szCs w:val="22"/>
          <w:lang w:eastAsia="en-US"/>
        </w:rPr>
        <w:t>o</w:t>
      </w:r>
      <w:r w:rsidRPr="009B3943">
        <w:rPr>
          <w:rFonts w:ascii="Palatino Linotype" w:eastAsia="Arial" w:hAnsi="Palatino Linotype" w:cs="Arial"/>
          <w:i/>
          <w:spacing w:val="3"/>
          <w:sz w:val="22"/>
          <w:szCs w:val="22"/>
          <w:lang w:eastAsia="en-US"/>
        </w:rPr>
        <w:t xml:space="preserve"> </w:t>
      </w:r>
      <w:r w:rsidRPr="009B3943">
        <w:rPr>
          <w:rFonts w:ascii="Palatino Linotype" w:eastAsia="Arial" w:hAnsi="Palatino Linotype" w:cs="Arial"/>
          <w:i/>
          <w:spacing w:val="-1"/>
          <w:sz w:val="22"/>
          <w:szCs w:val="22"/>
          <w:lang w:eastAsia="en-US"/>
        </w:rPr>
        <w:t>P</w:t>
      </w:r>
      <w:r w:rsidRPr="009B3943">
        <w:rPr>
          <w:rFonts w:ascii="Palatino Linotype" w:eastAsia="Arial" w:hAnsi="Palatino Linotype" w:cs="Arial"/>
          <w:i/>
          <w:sz w:val="22"/>
          <w:szCs w:val="22"/>
          <w:lang w:eastAsia="en-US"/>
        </w:rPr>
        <w:t>o</w:t>
      </w:r>
      <w:r w:rsidRPr="009B3943">
        <w:rPr>
          <w:rFonts w:ascii="Palatino Linotype" w:eastAsia="Arial" w:hAnsi="Palatino Linotype" w:cs="Arial"/>
          <w:i/>
          <w:spacing w:val="-1"/>
          <w:sz w:val="22"/>
          <w:szCs w:val="22"/>
          <w:lang w:eastAsia="en-US"/>
        </w:rPr>
        <w:t>n</w:t>
      </w:r>
      <w:r w:rsidRPr="009B3943">
        <w:rPr>
          <w:rFonts w:ascii="Palatino Linotype" w:eastAsia="Arial" w:hAnsi="Palatino Linotype" w:cs="Arial"/>
          <w:i/>
          <w:sz w:val="22"/>
          <w:szCs w:val="22"/>
          <w:lang w:eastAsia="en-US"/>
        </w:rPr>
        <w:t>e</w:t>
      </w:r>
      <w:r w:rsidRPr="009B3943">
        <w:rPr>
          <w:rFonts w:ascii="Palatino Linotype" w:eastAsia="Arial" w:hAnsi="Palatino Linotype" w:cs="Arial"/>
          <w:i/>
          <w:spacing w:val="-1"/>
          <w:sz w:val="22"/>
          <w:szCs w:val="22"/>
          <w:lang w:eastAsia="en-US"/>
        </w:rPr>
        <w:t>n</w:t>
      </w:r>
      <w:r w:rsidRPr="009B3943">
        <w:rPr>
          <w:rFonts w:ascii="Palatino Linotype" w:eastAsia="Arial" w:hAnsi="Palatino Linotype" w:cs="Arial"/>
          <w:i/>
          <w:spacing w:val="1"/>
          <w:sz w:val="22"/>
          <w:szCs w:val="22"/>
          <w:lang w:eastAsia="en-US"/>
        </w:rPr>
        <w:t>t</w:t>
      </w:r>
      <w:r w:rsidRPr="009B3943">
        <w:rPr>
          <w:rFonts w:ascii="Palatino Linotype" w:eastAsia="Arial" w:hAnsi="Palatino Linotype" w:cs="Arial"/>
          <w:i/>
          <w:sz w:val="22"/>
          <w:szCs w:val="22"/>
          <w:lang w:eastAsia="en-US"/>
        </w:rPr>
        <w:t>e Francisco Javier Acuña Llamas.</w:t>
      </w:r>
    </w:p>
    <w:p w:rsidR="00F26151" w:rsidRPr="009B3943" w:rsidRDefault="00892B72" w:rsidP="00F26151">
      <w:pPr>
        <w:numPr>
          <w:ilvl w:val="1"/>
          <w:numId w:val="38"/>
        </w:numPr>
        <w:spacing w:line="360" w:lineRule="auto"/>
        <w:ind w:left="567" w:right="567"/>
        <w:contextualSpacing/>
        <w:jc w:val="both"/>
        <w:rPr>
          <w:rFonts w:ascii="Palatino Linotype" w:eastAsia="Symbol" w:hAnsi="Palatino Linotype" w:cs="Arial"/>
          <w:i/>
          <w:sz w:val="22"/>
          <w:szCs w:val="22"/>
          <w:lang w:eastAsia="en-US"/>
        </w:rPr>
      </w:pPr>
      <w:hyperlink r:id="rId15" w:history="1">
        <w:r w:rsidR="00F26151" w:rsidRPr="009B3943">
          <w:rPr>
            <w:rFonts w:ascii="Palatino Linotype" w:eastAsia="Symbol" w:hAnsi="Palatino Linotype" w:cs="Arial"/>
            <w:i/>
            <w:color w:val="0563C1" w:themeColor="hyperlink"/>
            <w:sz w:val="22"/>
            <w:szCs w:val="22"/>
            <w:u w:val="single"/>
            <w:lang w:eastAsia="en-US"/>
          </w:rPr>
          <w:t>http://consultas.ifai.org.mx/descargar.php?r=./pdf/resoluciones/2017/&amp;a=RRA%2022.pdf</w:t>
        </w:r>
      </w:hyperlink>
      <w:r w:rsidR="00F26151" w:rsidRPr="009B3943">
        <w:rPr>
          <w:rFonts w:ascii="Palatino Linotype" w:eastAsia="Symbol" w:hAnsi="Palatino Linotype" w:cs="Arial"/>
          <w:i/>
          <w:sz w:val="22"/>
          <w:szCs w:val="22"/>
          <w:lang w:eastAsia="en-US"/>
        </w:rPr>
        <w:t xml:space="preserve"> </w:t>
      </w:r>
    </w:p>
    <w:p w:rsidR="00F26151" w:rsidRPr="009B3943" w:rsidRDefault="00F26151" w:rsidP="00F26151">
      <w:pPr>
        <w:numPr>
          <w:ilvl w:val="0"/>
          <w:numId w:val="38"/>
        </w:numPr>
        <w:spacing w:line="360" w:lineRule="auto"/>
        <w:ind w:left="567" w:right="567"/>
        <w:contextualSpacing/>
        <w:jc w:val="both"/>
        <w:rPr>
          <w:rFonts w:ascii="Palatino Linotype" w:eastAsia="Arial" w:hAnsi="Palatino Linotype" w:cs="Arial"/>
          <w:b/>
          <w:i/>
          <w:spacing w:val="-1"/>
          <w:sz w:val="22"/>
          <w:szCs w:val="22"/>
          <w:lang w:eastAsia="en-US"/>
        </w:rPr>
      </w:pPr>
      <w:r w:rsidRPr="009B3943">
        <w:rPr>
          <w:rFonts w:ascii="Palatino Linotype" w:eastAsia="Arial" w:hAnsi="Palatino Linotype" w:cs="Arial"/>
          <w:b/>
          <w:i/>
          <w:spacing w:val="-1"/>
          <w:sz w:val="22"/>
          <w:szCs w:val="22"/>
          <w:lang w:eastAsia="en-US"/>
        </w:rPr>
        <w:t>R</w:t>
      </w:r>
      <w:r w:rsidRPr="009B3943">
        <w:rPr>
          <w:rFonts w:ascii="Palatino Linotype" w:eastAsia="Arial" w:hAnsi="Palatino Linotype" w:cs="Arial"/>
          <w:b/>
          <w:i/>
          <w:spacing w:val="3"/>
          <w:sz w:val="22"/>
          <w:szCs w:val="22"/>
          <w:lang w:eastAsia="en-US"/>
        </w:rPr>
        <w:t>R</w:t>
      </w:r>
      <w:r w:rsidRPr="009B3943">
        <w:rPr>
          <w:rFonts w:ascii="Palatino Linotype" w:eastAsia="Arial" w:hAnsi="Palatino Linotype" w:cs="Arial"/>
          <w:b/>
          <w:i/>
          <w:sz w:val="22"/>
          <w:szCs w:val="22"/>
          <w:lang w:eastAsia="en-US"/>
        </w:rPr>
        <w:t>A</w:t>
      </w:r>
      <w:r w:rsidRPr="009B3943">
        <w:rPr>
          <w:rFonts w:ascii="Palatino Linotype" w:eastAsia="Arial" w:hAnsi="Palatino Linotype" w:cs="Arial"/>
          <w:b/>
          <w:i/>
          <w:spacing w:val="43"/>
          <w:sz w:val="22"/>
          <w:szCs w:val="22"/>
          <w:lang w:eastAsia="en-US"/>
        </w:rPr>
        <w:t xml:space="preserve"> </w:t>
      </w:r>
      <w:r w:rsidRPr="009B3943">
        <w:rPr>
          <w:rFonts w:ascii="Palatino Linotype" w:eastAsia="Arial" w:hAnsi="Palatino Linotype" w:cs="Arial"/>
          <w:b/>
          <w:i/>
          <w:spacing w:val="5"/>
          <w:sz w:val="22"/>
          <w:szCs w:val="22"/>
          <w:lang w:eastAsia="en-US"/>
        </w:rPr>
        <w:t>2536</w:t>
      </w:r>
      <w:r w:rsidRPr="009B3943">
        <w:rPr>
          <w:rFonts w:ascii="Palatino Linotype" w:eastAsia="Arial" w:hAnsi="Palatino Linotype" w:cs="Arial"/>
          <w:b/>
          <w:i/>
          <w:spacing w:val="1"/>
          <w:sz w:val="22"/>
          <w:szCs w:val="22"/>
          <w:lang w:eastAsia="en-US"/>
        </w:rPr>
        <w:t>/</w:t>
      </w:r>
      <w:r w:rsidRPr="009B3943">
        <w:rPr>
          <w:rFonts w:ascii="Palatino Linotype" w:eastAsia="Arial" w:hAnsi="Palatino Linotype" w:cs="Arial"/>
          <w:b/>
          <w:i/>
          <w:sz w:val="22"/>
          <w:szCs w:val="22"/>
          <w:lang w:eastAsia="en-US"/>
        </w:rPr>
        <w:t xml:space="preserve">17. </w:t>
      </w:r>
      <w:r w:rsidRPr="009B3943">
        <w:rPr>
          <w:rFonts w:ascii="Palatino Linotype" w:eastAsia="Arial" w:hAnsi="Palatino Linotype" w:cs="Arial"/>
          <w:i/>
          <w:spacing w:val="-1"/>
          <w:sz w:val="22"/>
          <w:szCs w:val="22"/>
          <w:lang w:eastAsia="en-US"/>
        </w:rPr>
        <w:t>Secretaría de Gobernación</w:t>
      </w:r>
      <w:r w:rsidRPr="009B3943">
        <w:rPr>
          <w:rFonts w:ascii="Palatino Linotype" w:eastAsia="Arial" w:hAnsi="Palatino Linotype" w:cs="Arial"/>
          <w:i/>
          <w:sz w:val="22"/>
          <w:szCs w:val="22"/>
          <w:lang w:eastAsia="en-US"/>
        </w:rPr>
        <w:t>. 07 de junio de 2017. Por unanimidad. Comisionada Ponente Areli Cano Guadiana.</w:t>
      </w:r>
      <w:r w:rsidRPr="009B3943">
        <w:rPr>
          <w:rFonts w:ascii="Palatino Linotype" w:eastAsia="Arial" w:hAnsi="Palatino Linotype" w:cs="Arial"/>
          <w:i/>
          <w:spacing w:val="-1"/>
          <w:position w:val="5"/>
          <w:sz w:val="22"/>
          <w:szCs w:val="22"/>
          <w:lang w:eastAsia="en-US"/>
        </w:rPr>
        <w:t xml:space="preserve"> </w:t>
      </w:r>
    </w:p>
    <w:p w:rsidR="00F26151" w:rsidRPr="009B3943" w:rsidRDefault="00892B72" w:rsidP="00F26151">
      <w:pPr>
        <w:numPr>
          <w:ilvl w:val="1"/>
          <w:numId w:val="38"/>
        </w:numPr>
        <w:spacing w:line="360" w:lineRule="auto"/>
        <w:ind w:left="567" w:right="567"/>
        <w:contextualSpacing/>
        <w:jc w:val="both"/>
        <w:rPr>
          <w:rFonts w:ascii="Palatino Linotype" w:eastAsia="Arial" w:hAnsi="Palatino Linotype" w:cs="Arial"/>
          <w:i/>
          <w:spacing w:val="-1"/>
          <w:sz w:val="22"/>
          <w:szCs w:val="22"/>
          <w:lang w:eastAsia="en-US"/>
        </w:rPr>
      </w:pPr>
      <w:hyperlink r:id="rId16" w:history="1">
        <w:r w:rsidR="00F26151" w:rsidRPr="009B3943">
          <w:rPr>
            <w:rFonts w:ascii="Palatino Linotype" w:eastAsia="Arial" w:hAnsi="Palatino Linotype" w:cs="Arial"/>
            <w:i/>
            <w:color w:val="0563C1" w:themeColor="hyperlink"/>
            <w:spacing w:val="-1"/>
            <w:sz w:val="22"/>
            <w:szCs w:val="22"/>
            <w:u w:val="single"/>
            <w:lang w:eastAsia="en-US"/>
          </w:rPr>
          <w:t>http://consultas.ifai.org.mx/descargar.php?r=./pdf/resoluciones/2017/&amp;a=RRA%202536.pdf</w:t>
        </w:r>
      </w:hyperlink>
      <w:r w:rsidR="00F26151" w:rsidRPr="009B3943">
        <w:rPr>
          <w:rFonts w:ascii="Palatino Linotype" w:eastAsia="Arial" w:hAnsi="Palatino Linotype" w:cs="Arial"/>
          <w:i/>
          <w:spacing w:val="-1"/>
          <w:sz w:val="22"/>
          <w:szCs w:val="22"/>
          <w:lang w:eastAsia="en-US"/>
        </w:rPr>
        <w:t xml:space="preserve"> </w:t>
      </w:r>
    </w:p>
    <w:p w:rsidR="00F26151" w:rsidRPr="009B3943" w:rsidRDefault="00F26151" w:rsidP="00F26151">
      <w:pPr>
        <w:numPr>
          <w:ilvl w:val="0"/>
          <w:numId w:val="38"/>
        </w:numPr>
        <w:spacing w:line="360" w:lineRule="auto"/>
        <w:ind w:left="567" w:right="567"/>
        <w:jc w:val="both"/>
        <w:rPr>
          <w:rFonts w:ascii="Palatino Linotype" w:eastAsiaTheme="minorHAnsi" w:hAnsi="Palatino Linotype" w:cs="Arial"/>
          <w:bCs/>
          <w:i/>
          <w:sz w:val="22"/>
          <w:szCs w:val="22"/>
          <w:lang w:eastAsia="en-US"/>
        </w:rPr>
      </w:pPr>
      <w:r w:rsidRPr="009B3943">
        <w:rPr>
          <w:rFonts w:ascii="Palatino Linotype" w:eastAsia="Arial" w:hAnsi="Palatino Linotype" w:cs="Arial"/>
          <w:b/>
          <w:i/>
          <w:spacing w:val="-1"/>
          <w:position w:val="-1"/>
          <w:sz w:val="22"/>
          <w:szCs w:val="22"/>
          <w:lang w:eastAsia="en-US"/>
        </w:rPr>
        <w:t>R</w:t>
      </w:r>
      <w:r w:rsidRPr="009B3943">
        <w:rPr>
          <w:rFonts w:ascii="Palatino Linotype" w:eastAsia="Arial" w:hAnsi="Palatino Linotype" w:cs="Arial"/>
          <w:b/>
          <w:i/>
          <w:spacing w:val="3"/>
          <w:position w:val="-1"/>
          <w:sz w:val="22"/>
          <w:szCs w:val="22"/>
          <w:lang w:eastAsia="en-US"/>
        </w:rPr>
        <w:t>R</w:t>
      </w:r>
      <w:r w:rsidRPr="009B3943">
        <w:rPr>
          <w:rFonts w:ascii="Palatino Linotype" w:eastAsia="Arial" w:hAnsi="Palatino Linotype" w:cs="Arial"/>
          <w:b/>
          <w:i/>
          <w:position w:val="-1"/>
          <w:sz w:val="22"/>
          <w:szCs w:val="22"/>
          <w:lang w:eastAsia="en-US"/>
        </w:rPr>
        <w:t xml:space="preserve">A </w:t>
      </w:r>
      <w:r w:rsidRPr="009B3943">
        <w:rPr>
          <w:rFonts w:ascii="Palatino Linotype" w:eastAsia="Arial" w:hAnsi="Palatino Linotype" w:cs="Arial"/>
          <w:b/>
          <w:i/>
          <w:spacing w:val="-1"/>
          <w:position w:val="-1"/>
          <w:sz w:val="22"/>
          <w:szCs w:val="22"/>
          <w:lang w:eastAsia="en-US"/>
        </w:rPr>
        <w:t>3482/17</w:t>
      </w:r>
      <w:r w:rsidRPr="009B3943">
        <w:rPr>
          <w:rFonts w:ascii="Palatino Linotype" w:eastAsia="Arial" w:hAnsi="Palatino Linotype" w:cs="Arial"/>
          <w:b/>
          <w:i/>
          <w:position w:val="-1"/>
          <w:sz w:val="22"/>
          <w:szCs w:val="22"/>
          <w:lang w:eastAsia="en-US"/>
        </w:rPr>
        <w:t xml:space="preserve">. </w:t>
      </w:r>
      <w:r w:rsidRPr="009B3943">
        <w:rPr>
          <w:rFonts w:ascii="Palatino Linotype" w:eastAsia="Arial" w:hAnsi="Palatino Linotype" w:cs="Arial"/>
          <w:i/>
          <w:spacing w:val="-1"/>
          <w:position w:val="-1"/>
          <w:sz w:val="22"/>
          <w:szCs w:val="22"/>
          <w:lang w:eastAsia="en-US"/>
        </w:rPr>
        <w:t>Secretaría de Comunicaciones y Transportes</w:t>
      </w:r>
      <w:r w:rsidRPr="009B3943">
        <w:rPr>
          <w:rFonts w:ascii="Palatino Linotype" w:eastAsia="Arial" w:hAnsi="Palatino Linotype" w:cs="Arial"/>
          <w:i/>
          <w:position w:val="-1"/>
          <w:sz w:val="22"/>
          <w:szCs w:val="22"/>
          <w:lang w:eastAsia="en-US"/>
        </w:rPr>
        <w:t>. 02 de agosto de 2017. Por unanimidad. Comisionado Ponente Oscar Mauricio Guerra Ford</w:t>
      </w:r>
      <w:r w:rsidRPr="009B3943">
        <w:rPr>
          <w:rFonts w:ascii="Palatino Linotype" w:eastAsiaTheme="minorHAnsi" w:hAnsi="Palatino Linotype" w:cs="Arial"/>
          <w:bCs/>
          <w:i/>
          <w:sz w:val="22"/>
          <w:szCs w:val="22"/>
          <w:lang w:eastAsia="en-US"/>
        </w:rPr>
        <w:t>.</w:t>
      </w:r>
    </w:p>
    <w:p w:rsidR="00F26151" w:rsidRPr="009B3943" w:rsidRDefault="00892B72" w:rsidP="00F26151">
      <w:pPr>
        <w:numPr>
          <w:ilvl w:val="1"/>
          <w:numId w:val="38"/>
        </w:numPr>
        <w:spacing w:line="360" w:lineRule="auto"/>
        <w:ind w:left="567" w:right="567"/>
        <w:jc w:val="both"/>
        <w:rPr>
          <w:rFonts w:ascii="Palatino Linotype" w:eastAsiaTheme="minorHAnsi" w:hAnsi="Palatino Linotype" w:cs="Arial"/>
          <w:bCs/>
          <w:i/>
          <w:sz w:val="22"/>
          <w:szCs w:val="22"/>
          <w:lang w:eastAsia="en-US"/>
        </w:rPr>
      </w:pPr>
      <w:hyperlink r:id="rId17" w:history="1">
        <w:r w:rsidR="00F26151" w:rsidRPr="009B3943">
          <w:rPr>
            <w:rFonts w:ascii="Palatino Linotype" w:eastAsiaTheme="minorHAnsi" w:hAnsi="Palatino Linotype" w:cs="Arial"/>
            <w:bCs/>
            <w:i/>
            <w:color w:val="0563C1" w:themeColor="hyperlink"/>
            <w:sz w:val="22"/>
            <w:szCs w:val="22"/>
            <w:u w:val="single"/>
            <w:lang w:eastAsia="en-US"/>
          </w:rPr>
          <w:t>http://consultas.ifai.org.mx/descargar.php?r=./pdf/resoluciones/2017/&amp;a=RRA%203482.pdf</w:t>
        </w:r>
      </w:hyperlink>
      <w:r w:rsidR="00F26151" w:rsidRPr="009B3943">
        <w:rPr>
          <w:rFonts w:ascii="Palatino Linotype" w:eastAsiaTheme="minorHAnsi" w:hAnsi="Palatino Linotype" w:cs="Arial"/>
          <w:bCs/>
          <w:i/>
          <w:sz w:val="22"/>
          <w:szCs w:val="22"/>
          <w:lang w:eastAsia="en-US"/>
        </w:rPr>
        <w:t xml:space="preserve"> </w:t>
      </w:r>
    </w:p>
    <w:p w:rsidR="00F26151" w:rsidRPr="00906AE5" w:rsidRDefault="00F26151" w:rsidP="00F26151">
      <w:pPr>
        <w:pStyle w:val="Prrafodelista"/>
        <w:spacing w:line="360" w:lineRule="auto"/>
        <w:ind w:left="0"/>
        <w:jc w:val="both"/>
        <w:rPr>
          <w:rFonts w:ascii="Palatino Linotype" w:hAnsi="Palatino Linotype" w:cs="Arial"/>
          <w:b/>
          <w:sz w:val="24"/>
        </w:rPr>
      </w:pPr>
    </w:p>
    <w:p w:rsidR="00F26151" w:rsidRPr="00E76C02" w:rsidRDefault="00F26151" w:rsidP="00F26151">
      <w:pPr>
        <w:pStyle w:val="Prrafodelista"/>
        <w:numPr>
          <w:ilvl w:val="0"/>
          <w:numId w:val="1"/>
        </w:numPr>
        <w:spacing w:line="360" w:lineRule="auto"/>
        <w:ind w:left="0" w:firstLine="0"/>
        <w:jc w:val="both"/>
        <w:rPr>
          <w:rFonts w:ascii="Palatino Linotype" w:hAnsi="Palatino Linotype" w:cs="Arial"/>
          <w:noProof/>
          <w:sz w:val="24"/>
        </w:rPr>
      </w:pPr>
      <w:r w:rsidRPr="00E76C02">
        <w:rPr>
          <w:rFonts w:ascii="Palatino Linotype" w:hAnsi="Palatino Linotype" w:cs="Arial"/>
          <w:noProof/>
          <w:sz w:val="24"/>
        </w:rPr>
        <w:t xml:space="preserve">El criterio antes inserto, establece que cuando en los casos que no establezca en la solicitud de información el periodo de la información que se requiere, este deberá ser tomarse como el del año inmediato anterior a la fecha de suscripción de la solicitud. Luego entonces la información que el Sujeto Obligado deberá buscar en sus archivos, </w:t>
      </w:r>
      <w:r w:rsidR="00E565FA" w:rsidRPr="00E76C02">
        <w:rPr>
          <w:rFonts w:ascii="Palatino Linotype" w:hAnsi="Palatino Linotype" w:cs="Arial"/>
          <w:noProof/>
          <w:sz w:val="24"/>
        </w:rPr>
        <w:t>la información solicitada del catorce (14) de julio de dos mil veintiuno al catorce de julio de dos mil veintiuno</w:t>
      </w:r>
      <w:r w:rsidRPr="00E76C02">
        <w:rPr>
          <w:rFonts w:ascii="Palatino Linotype" w:hAnsi="Palatino Linotype" w:cs="Arial"/>
          <w:noProof/>
          <w:sz w:val="24"/>
        </w:rPr>
        <w:t>.</w:t>
      </w:r>
      <w:r w:rsidR="0067172E" w:rsidRPr="00E76C02">
        <w:rPr>
          <w:rFonts w:ascii="Palatino Linotype" w:hAnsi="Palatino Linotype" w:cs="Arial"/>
          <w:noProof/>
          <w:sz w:val="24"/>
        </w:rPr>
        <w:t xml:space="preserve"> En consecuencia, la respuesta emitida por el servidor público habilitado de Sistema Municipal para el Desarrollo Integral de la Familia, no satisface el Derecho de acceso a la información pública el particular.</w:t>
      </w:r>
    </w:p>
    <w:p w:rsidR="006C111B" w:rsidRPr="00E76C02" w:rsidRDefault="006C111B" w:rsidP="006C111B">
      <w:pPr>
        <w:pStyle w:val="Prrafodelista"/>
        <w:spacing w:line="360" w:lineRule="auto"/>
        <w:ind w:left="0"/>
        <w:jc w:val="both"/>
        <w:rPr>
          <w:rFonts w:ascii="Palatino Linotype" w:hAnsi="Palatino Linotype" w:cs="Arial"/>
          <w:noProof/>
          <w:sz w:val="24"/>
        </w:rPr>
      </w:pPr>
    </w:p>
    <w:p w:rsidR="006C111B" w:rsidRPr="00E76C02" w:rsidRDefault="006C111B" w:rsidP="006C111B">
      <w:pPr>
        <w:pStyle w:val="Prrafodelista"/>
        <w:numPr>
          <w:ilvl w:val="0"/>
          <w:numId w:val="1"/>
        </w:numPr>
        <w:spacing w:line="360" w:lineRule="auto"/>
        <w:ind w:left="0" w:firstLine="0"/>
        <w:jc w:val="both"/>
        <w:rPr>
          <w:rFonts w:ascii="Palatino Linotype" w:hAnsi="Palatino Linotype" w:cs="Arial"/>
          <w:noProof/>
          <w:sz w:val="24"/>
        </w:rPr>
      </w:pPr>
      <w:r w:rsidRPr="00E76C02">
        <w:rPr>
          <w:rFonts w:ascii="Palatino Linotype" w:hAnsi="Palatino Linotype" w:cs="Arial"/>
          <w:noProof/>
          <w:sz w:val="24"/>
        </w:rPr>
        <w:t xml:space="preserve">Aunado a ello, es importante señalar que quien emitió la respuesta fue la Dirección del Sistema Municipal DIF, sin embargo de acuerdo al Manual de Organización del Sitema Municipal DIF Ocoyoacac, el Constralor Interno del Sistema </w:t>
      </w:r>
      <w:r w:rsidRPr="00E76C02">
        <w:rPr>
          <w:rFonts w:ascii="Palatino Linotype" w:hAnsi="Palatino Linotype" w:cs="Arial"/>
          <w:noProof/>
          <w:sz w:val="24"/>
        </w:rPr>
        <w:lastRenderedPageBreak/>
        <w:t>Mnucipal DIF, tiene entre sus funciones Realizar auditorias, operativos, supervi</w:t>
      </w:r>
      <w:r w:rsidR="00D97BFE" w:rsidRPr="00E76C02">
        <w:rPr>
          <w:rFonts w:ascii="Palatino Linotype" w:hAnsi="Palatino Linotype" w:cs="Arial"/>
          <w:noProof/>
          <w:sz w:val="24"/>
        </w:rPr>
        <w:t>s</w:t>
      </w:r>
      <w:r w:rsidRPr="00E76C02">
        <w:rPr>
          <w:rFonts w:ascii="Palatino Linotype" w:hAnsi="Palatino Linotype" w:cs="Arial"/>
          <w:noProof/>
          <w:sz w:val="24"/>
        </w:rPr>
        <w:t>iones y demás controles sobre adquisiciones:</w:t>
      </w:r>
    </w:p>
    <w:p w:rsidR="006C111B" w:rsidRPr="00E76C02" w:rsidRDefault="006C111B" w:rsidP="006C111B">
      <w:pPr>
        <w:pStyle w:val="Prrafodelista"/>
        <w:spacing w:line="360" w:lineRule="auto"/>
        <w:ind w:left="0"/>
        <w:jc w:val="both"/>
        <w:rPr>
          <w:rFonts w:ascii="Palatino Linotype" w:hAnsi="Palatino Linotype" w:cs="Arial"/>
          <w:noProof/>
          <w:sz w:val="24"/>
        </w:rPr>
      </w:pP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 xml:space="preserve">CONTRALOR INTERNO DEL SISTEMA MUNICIPAL DIF </w:t>
      </w: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 xml:space="preserve">OBJETIVO </w:t>
      </w: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 xml:space="preserve">Proporcionar una herramienta útil para desempeño de las funciones de los Servidores Públicos que laboran en las diferentes áreas de este Órgano de Control y de este modo brindar una respuesta eficaz y eficiente ante cualquier eventualidad que se pudiera presentar. </w:t>
      </w: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FUNCIONES</w:t>
      </w: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w:t>
      </w:r>
    </w:p>
    <w:p w:rsidR="006C111B" w:rsidRPr="00E76C02" w:rsidRDefault="006C111B" w:rsidP="006C111B">
      <w:pPr>
        <w:pStyle w:val="Prrafodelista"/>
        <w:spacing w:line="360" w:lineRule="auto"/>
        <w:ind w:left="851" w:right="822"/>
        <w:jc w:val="both"/>
        <w:rPr>
          <w:rFonts w:ascii="Palatino Linotype" w:hAnsi="Palatino Linotype"/>
          <w:i/>
        </w:rPr>
      </w:pPr>
      <w:r w:rsidRPr="00E76C02">
        <w:rPr>
          <w:rFonts w:ascii="Palatino Linotype" w:hAnsi="Palatino Linotype"/>
          <w:i/>
        </w:rPr>
        <w:t xml:space="preserve">VIII. Realizar la auditoría, operativos, supervisiones y demás controles, de las actividades de las unidades administrativas del SMDIF, destinadas a verificar los objetivos, normas y disposiciones relacionadas con los sistemas de registros, contabilidad, contratación y pago de personal, contratación de servicios, </w:t>
      </w:r>
      <w:r w:rsidRPr="00E76C02">
        <w:rPr>
          <w:rFonts w:ascii="Palatino Linotype" w:hAnsi="Palatino Linotype"/>
          <w:b/>
          <w:i/>
        </w:rPr>
        <w:t>adquisiciones</w:t>
      </w:r>
      <w:r w:rsidRPr="00E76C02">
        <w:rPr>
          <w:rFonts w:ascii="Palatino Linotype" w:hAnsi="Palatino Linotype"/>
          <w:i/>
        </w:rPr>
        <w:t>, dando seguimiento a las observaciones de tales acciones.</w:t>
      </w:r>
    </w:p>
    <w:p w:rsidR="006C111B" w:rsidRPr="00E76C02" w:rsidRDefault="006C111B" w:rsidP="006C111B">
      <w:pPr>
        <w:pStyle w:val="Prrafodelista"/>
        <w:spacing w:line="360" w:lineRule="auto"/>
        <w:ind w:left="851" w:right="822"/>
        <w:jc w:val="both"/>
        <w:rPr>
          <w:rFonts w:ascii="Palatino Linotype" w:hAnsi="Palatino Linotype" w:cs="Arial"/>
          <w:i/>
          <w:noProof/>
          <w:sz w:val="24"/>
        </w:rPr>
      </w:pPr>
      <w:r w:rsidRPr="00E76C02">
        <w:rPr>
          <w:rFonts w:ascii="Palatino Linotype" w:hAnsi="Palatino Linotype"/>
          <w:i/>
        </w:rPr>
        <w:t>…</w:t>
      </w:r>
    </w:p>
    <w:p w:rsidR="006C111B" w:rsidRPr="00E76C02" w:rsidRDefault="006C111B" w:rsidP="006C111B">
      <w:pPr>
        <w:pStyle w:val="Prrafodelista"/>
        <w:spacing w:line="360" w:lineRule="auto"/>
        <w:ind w:left="0"/>
        <w:jc w:val="both"/>
        <w:rPr>
          <w:rFonts w:ascii="Palatino Linotype" w:hAnsi="Palatino Linotype" w:cs="Arial"/>
          <w:noProof/>
          <w:sz w:val="24"/>
        </w:rPr>
      </w:pPr>
    </w:p>
    <w:p w:rsidR="006C111B" w:rsidRPr="00E76C02" w:rsidRDefault="006C111B" w:rsidP="006C111B">
      <w:pPr>
        <w:pStyle w:val="Prrafodelista"/>
        <w:numPr>
          <w:ilvl w:val="0"/>
          <w:numId w:val="1"/>
        </w:numPr>
        <w:spacing w:line="360" w:lineRule="auto"/>
        <w:ind w:left="0" w:firstLine="0"/>
        <w:jc w:val="both"/>
        <w:rPr>
          <w:rFonts w:ascii="Palatino Linotype" w:hAnsi="Palatino Linotype" w:cs="Arial"/>
          <w:noProof/>
          <w:sz w:val="24"/>
        </w:rPr>
      </w:pPr>
      <w:r w:rsidRPr="00E76C02">
        <w:rPr>
          <w:rFonts w:ascii="Palatino Linotype" w:hAnsi="Palatino Linotype" w:cs="Arial"/>
          <w:noProof/>
          <w:sz w:val="24"/>
        </w:rPr>
        <w:t xml:space="preserve">Ateniendo a lo anteriormente señalado, el Sujeto Obligado debera realizar una búsqueda exhaustiva y razonable de la información, esto </w:t>
      </w:r>
      <w:r w:rsidR="00D74AC5" w:rsidRPr="00E76C02">
        <w:rPr>
          <w:rFonts w:ascii="Palatino Linotype" w:hAnsi="Palatino Linotype" w:cs="Arial"/>
          <w:noProof/>
          <w:sz w:val="24"/>
        </w:rPr>
        <w:t>con base en el</w:t>
      </w:r>
      <w:r w:rsidRPr="00E76C02">
        <w:rPr>
          <w:rFonts w:ascii="Palatino Linotype" w:hAnsi="Palatino Linotype" w:cs="Arial"/>
          <w:noProof/>
          <w:sz w:val="24"/>
        </w:rPr>
        <w:t xml:space="preserve"> </w:t>
      </w:r>
      <w:r w:rsidRPr="00E76C02">
        <w:rPr>
          <w:rFonts w:ascii="Palatino Linotype" w:hAnsi="Palatino Linotype" w:cs="Arial"/>
        </w:rPr>
        <w:t xml:space="preserve">artículo 162 de la </w:t>
      </w:r>
      <w:r w:rsidRPr="00E76C02">
        <w:rPr>
          <w:rFonts w:ascii="Palatino Linotype" w:hAnsi="Palatino Linotype"/>
          <w:b/>
          <w:color w:val="000000" w:themeColor="text1"/>
        </w:rPr>
        <w:t xml:space="preserve">Ley de Transparencia y Acceso a la Información Pública del Estado de México y Municipios, </w:t>
      </w:r>
      <w:r w:rsidRPr="00E76C02">
        <w:rPr>
          <w:rFonts w:ascii="Palatino Linotype" w:hAnsi="Palatino Linotype"/>
          <w:color w:val="000000" w:themeColor="text1"/>
        </w:rPr>
        <w:t>que a la letra dispone:</w:t>
      </w:r>
    </w:p>
    <w:p w:rsidR="006C111B" w:rsidRPr="00E76C02" w:rsidRDefault="006C111B" w:rsidP="006C111B">
      <w:pPr>
        <w:pStyle w:val="Prrafodelista"/>
        <w:spacing w:before="240" w:after="240" w:line="360" w:lineRule="auto"/>
        <w:ind w:left="0" w:right="49"/>
        <w:jc w:val="both"/>
        <w:rPr>
          <w:rFonts w:ascii="Palatino Linotype" w:hAnsi="Palatino Linotype" w:cs="Arial"/>
        </w:rPr>
      </w:pPr>
    </w:p>
    <w:p w:rsidR="006C111B" w:rsidRPr="00E76C02" w:rsidRDefault="006C111B" w:rsidP="006C111B">
      <w:pPr>
        <w:pStyle w:val="Prrafodelista"/>
        <w:spacing w:before="240" w:after="240" w:line="360" w:lineRule="auto"/>
        <w:ind w:left="567" w:right="616"/>
        <w:jc w:val="both"/>
        <w:rPr>
          <w:rFonts w:ascii="Palatino Linotype" w:hAnsi="Palatino Linotype"/>
          <w:i/>
          <w:szCs w:val="22"/>
        </w:rPr>
      </w:pPr>
      <w:r w:rsidRPr="00E76C02">
        <w:rPr>
          <w:rFonts w:ascii="Palatino Linotype" w:hAnsi="Palatino Linotype"/>
          <w:b/>
          <w:i/>
          <w:szCs w:val="22"/>
        </w:rPr>
        <w:t>Artículo 162.</w:t>
      </w:r>
      <w:r w:rsidRPr="00E76C02">
        <w:rPr>
          <w:rFonts w:ascii="Palatino Linotype" w:hAnsi="Palatino Linotype"/>
          <w:i/>
          <w:szCs w:val="22"/>
        </w:rPr>
        <w:t xml:space="preserve"> Las unidades de transparencia deberán garantizar que las solicitudes se turnen a todas las Áreas competentes que cuenten con la información o deban tenerla de </w:t>
      </w:r>
      <w:r w:rsidRPr="00E76C02">
        <w:rPr>
          <w:rFonts w:ascii="Palatino Linotype" w:hAnsi="Palatino Linotype"/>
          <w:i/>
          <w:szCs w:val="22"/>
        </w:rPr>
        <w:lastRenderedPageBreak/>
        <w:t>acuerdo a sus facultades, competencias y funciones, con el objeto de que realicen una búsqueda exhaustiva y razonable de la información solicitada.</w:t>
      </w:r>
    </w:p>
    <w:p w:rsidR="006C111B" w:rsidRPr="00E76C02" w:rsidRDefault="006C111B" w:rsidP="006C111B">
      <w:pPr>
        <w:pStyle w:val="Prrafodelista"/>
        <w:tabs>
          <w:tab w:val="left" w:pos="709"/>
        </w:tabs>
        <w:spacing w:line="360" w:lineRule="auto"/>
        <w:ind w:left="0" w:right="51"/>
        <w:jc w:val="both"/>
        <w:rPr>
          <w:rFonts w:ascii="Palatino Linotype" w:hAnsi="Palatino Linotype" w:cs="Arial"/>
          <w:noProof/>
          <w:sz w:val="24"/>
        </w:rPr>
      </w:pPr>
    </w:p>
    <w:p w:rsidR="00D74AC5" w:rsidRPr="00E76C02" w:rsidRDefault="00D74AC5" w:rsidP="00D74AC5">
      <w:pPr>
        <w:pStyle w:val="Prrafodelista"/>
        <w:numPr>
          <w:ilvl w:val="0"/>
          <w:numId w:val="1"/>
        </w:numPr>
        <w:spacing w:before="240" w:after="240" w:line="360" w:lineRule="auto"/>
        <w:ind w:left="0" w:right="49" w:firstLine="0"/>
        <w:jc w:val="both"/>
        <w:rPr>
          <w:rFonts w:ascii="Palatino Linotype" w:hAnsi="Palatino Linotype" w:cs="Arial"/>
          <w:sz w:val="24"/>
        </w:rPr>
      </w:pPr>
      <w:r w:rsidRPr="00E76C02">
        <w:rPr>
          <w:rFonts w:ascii="Palatino Linotype" w:hAnsi="Palatino Linotype" w:cs="Arial"/>
          <w:sz w:val="24"/>
        </w:rPr>
        <w:t xml:space="preserve">De ésta manera el </w:t>
      </w:r>
      <w:r w:rsidRPr="00E76C02">
        <w:rPr>
          <w:rFonts w:ascii="Palatino Linotype" w:hAnsi="Palatino Linotype" w:cs="Arial"/>
          <w:b/>
          <w:sz w:val="24"/>
        </w:rPr>
        <w:t xml:space="preserve">SUJETO OBLIGADO, </w:t>
      </w:r>
      <w:r w:rsidRPr="00E76C02">
        <w:rPr>
          <w:rFonts w:ascii="Palatino Linotype" w:hAnsi="Palatino Linotype" w:cs="Arial"/>
          <w:sz w:val="24"/>
        </w:rPr>
        <w:t xml:space="preserve">a través de su Unidad de Transparencia, debió requerir a todas y cada una de las áreas competentes así como a los </w:t>
      </w:r>
      <w:r w:rsidRPr="00E76C02">
        <w:rPr>
          <w:rFonts w:ascii="Palatino Linotype" w:hAnsi="Palatino Linotype" w:cs="Arial"/>
          <w:b/>
          <w:sz w:val="24"/>
          <w:u w:val="single"/>
        </w:rPr>
        <w:t>servidores públicos habilitados</w:t>
      </w:r>
      <w:r w:rsidRPr="00E76C02">
        <w:rPr>
          <w:rFonts w:ascii="Palatino Linotype" w:hAnsi="Palatino Linotype" w:cs="Arial"/>
          <w:sz w:val="24"/>
        </w:rPr>
        <w:t xml:space="preserve"> en donde pudiera obrar la información solicitada.</w:t>
      </w:r>
    </w:p>
    <w:p w:rsidR="00D74AC5" w:rsidRPr="00E76C02" w:rsidRDefault="00D74AC5" w:rsidP="00D74AC5">
      <w:pPr>
        <w:pStyle w:val="Prrafodelista"/>
        <w:spacing w:before="240" w:after="240" w:line="360" w:lineRule="auto"/>
        <w:ind w:left="0" w:right="49"/>
        <w:jc w:val="both"/>
        <w:rPr>
          <w:rFonts w:ascii="Palatino Linotype" w:hAnsi="Palatino Linotype" w:cs="Arial"/>
          <w:sz w:val="24"/>
        </w:rPr>
      </w:pPr>
    </w:p>
    <w:p w:rsidR="00D74AC5" w:rsidRPr="00E76C02" w:rsidRDefault="00D74AC5" w:rsidP="00D74AC5">
      <w:pPr>
        <w:pStyle w:val="Prrafodelista"/>
        <w:numPr>
          <w:ilvl w:val="0"/>
          <w:numId w:val="1"/>
        </w:numPr>
        <w:spacing w:before="240" w:after="240" w:line="360" w:lineRule="auto"/>
        <w:ind w:left="0" w:right="49" w:firstLine="0"/>
        <w:jc w:val="both"/>
        <w:rPr>
          <w:rFonts w:ascii="Palatino Linotype" w:hAnsi="Palatino Linotype" w:cs="Arial"/>
          <w:sz w:val="24"/>
        </w:rPr>
      </w:pPr>
      <w:r w:rsidRPr="00E76C02">
        <w:rPr>
          <w:rFonts w:ascii="Palatino Linotype" w:hAnsi="Palatino Linotype" w:cs="Arial"/>
          <w:sz w:val="24"/>
        </w:rPr>
        <w:t>Entendiéndose como Servidor Público Habilitado a</w:t>
      </w:r>
      <w:r w:rsidRPr="00E76C02">
        <w:rPr>
          <w:rFonts w:ascii="Palatino Linotype" w:hAnsi="Palatino Linotype"/>
          <w:sz w:val="24"/>
        </w:rPr>
        <w:t xml:space="preserve"> la “</w:t>
      </w:r>
      <w:r w:rsidRPr="00E76C02">
        <w:rPr>
          <w:rFonts w:ascii="Palatino Linotype" w:hAnsi="Palatino Linotype"/>
          <w:i/>
          <w:sz w:val="24"/>
        </w:rPr>
        <w:t xml:space="preserve">Persona encargada dentro de las diversas unidades administrativas o áreas del sujeto obligado, de </w:t>
      </w:r>
      <w:r w:rsidRPr="00E76C02">
        <w:rPr>
          <w:rFonts w:ascii="Palatino Linotype" w:hAnsi="Palatino Linotype"/>
          <w:b/>
          <w:i/>
          <w:sz w:val="24"/>
          <w:u w:val="single"/>
        </w:rPr>
        <w:t xml:space="preserve">apoyar, gestionar y entregar la información </w:t>
      </w:r>
      <w:r w:rsidRPr="00E76C02">
        <w:rPr>
          <w:rFonts w:ascii="Palatino Linotype" w:hAnsi="Palatino Linotype"/>
          <w:i/>
          <w:sz w:val="24"/>
        </w:rPr>
        <w:t>o datos personales que se ubiquen en la misma, a sus respectivas unidades de transparencia; respecto de las solicitudes presentadas y aportar en primera instancia el fundamento y motivación de la clasificación de la información</w:t>
      </w:r>
      <w:r w:rsidRPr="00E76C02">
        <w:rPr>
          <w:rFonts w:ascii="Palatino Linotype" w:hAnsi="Palatino Linotype"/>
          <w:sz w:val="24"/>
        </w:rPr>
        <w:t>” de conformidad con  el artículo 3 fracción XXXIX de la</w:t>
      </w:r>
      <w:r w:rsidRPr="00E76C02">
        <w:rPr>
          <w:rFonts w:ascii="Palatino Linotype" w:hAnsi="Palatino Linotype"/>
          <w:i/>
          <w:sz w:val="24"/>
        </w:rPr>
        <w:t xml:space="preserve"> </w:t>
      </w:r>
      <w:r w:rsidRPr="00E76C02">
        <w:rPr>
          <w:rFonts w:ascii="Palatino Linotype" w:hAnsi="Palatino Linotype"/>
          <w:b/>
          <w:color w:val="000000" w:themeColor="text1"/>
          <w:sz w:val="24"/>
        </w:rPr>
        <w:t>Ley de Transparencia y Acceso a la Información Pública del Estado de México y Municipios.</w:t>
      </w:r>
    </w:p>
    <w:p w:rsidR="00D74AC5" w:rsidRPr="00E76C02" w:rsidRDefault="00D74AC5" w:rsidP="00D74AC5">
      <w:pPr>
        <w:pStyle w:val="Prrafodelista"/>
        <w:ind w:left="0"/>
        <w:rPr>
          <w:rFonts w:ascii="Palatino Linotype" w:hAnsi="Palatino Linotype" w:cs="Arial"/>
          <w:sz w:val="24"/>
        </w:rPr>
      </w:pPr>
    </w:p>
    <w:p w:rsidR="00D74AC5" w:rsidRPr="00E76C02" w:rsidRDefault="00D74AC5" w:rsidP="00D74AC5">
      <w:pPr>
        <w:pStyle w:val="Prrafodelista"/>
        <w:numPr>
          <w:ilvl w:val="0"/>
          <w:numId w:val="1"/>
        </w:numPr>
        <w:spacing w:before="240" w:after="240" w:line="360" w:lineRule="auto"/>
        <w:ind w:left="0" w:right="49" w:firstLine="0"/>
        <w:jc w:val="both"/>
        <w:rPr>
          <w:rFonts w:ascii="Palatino Linotype" w:hAnsi="Palatino Linotype" w:cs="Arial"/>
          <w:sz w:val="24"/>
        </w:rPr>
      </w:pPr>
      <w:r w:rsidRPr="00E76C02">
        <w:rPr>
          <w:rFonts w:ascii="Palatino Linotype" w:hAnsi="Palatino Linotype" w:cs="Arial"/>
          <w:sz w:val="24"/>
        </w:rPr>
        <w:t xml:space="preserve">No se omite mencionar que </w:t>
      </w:r>
      <w:r w:rsidRPr="00E76C02">
        <w:rPr>
          <w:rFonts w:ascii="Palatino Linotype" w:hAnsi="Palatino Linotype" w:cs="Arial"/>
          <w:color w:val="000000"/>
          <w:sz w:val="24"/>
        </w:rPr>
        <w:t xml:space="preserve">para tener certeza de que efectivamente se hizo el esfuerzo de buscar en los archivos de cada una de las áreas </w:t>
      </w:r>
      <w:r w:rsidRPr="00E76C02">
        <w:rPr>
          <w:rFonts w:ascii="Palatino Linotype" w:hAnsi="Palatino Linotype" w:cs="Arial"/>
          <w:color w:val="000000"/>
          <w:sz w:val="24"/>
          <w:u w:val="single"/>
        </w:rPr>
        <w:t>competentes</w:t>
      </w:r>
      <w:r w:rsidRPr="00E76C02">
        <w:rPr>
          <w:rFonts w:ascii="Palatino Linotype" w:hAnsi="Palatino Linotype" w:cs="Arial"/>
          <w:color w:val="000000"/>
          <w:sz w:val="24"/>
        </w:rPr>
        <w:t xml:space="preserve"> era necesario requerirse la información a cada una de ellas, sin embargo, ello se realizó </w:t>
      </w:r>
      <w:r w:rsidRPr="00E76C02">
        <w:rPr>
          <w:rFonts w:ascii="Palatino Linotype" w:hAnsi="Palatino Linotype" w:cs="Arial"/>
          <w:b/>
          <w:bCs/>
          <w:color w:val="000000"/>
          <w:sz w:val="24"/>
          <w:u w:val="single"/>
        </w:rPr>
        <w:t>parcialmente</w:t>
      </w:r>
      <w:r w:rsidRPr="00E76C02">
        <w:rPr>
          <w:rFonts w:ascii="Palatino Linotype" w:hAnsi="Palatino Linotype" w:cs="Arial"/>
          <w:color w:val="000000"/>
          <w:sz w:val="24"/>
        </w:rPr>
        <w:t xml:space="preserve"> y se hace constar que el </w:t>
      </w:r>
      <w:r w:rsidRPr="00E76C02">
        <w:rPr>
          <w:rFonts w:ascii="Palatino Linotype" w:hAnsi="Palatino Linotype" w:cs="Arial"/>
          <w:b/>
          <w:color w:val="000000"/>
          <w:sz w:val="24"/>
        </w:rPr>
        <w:t xml:space="preserve">SUJETO OBLIGADO </w:t>
      </w:r>
      <w:r w:rsidRPr="00E76C02">
        <w:rPr>
          <w:rFonts w:ascii="Palatino Linotype" w:hAnsi="Palatino Linotype" w:cs="Arial"/>
          <w:color w:val="000000"/>
          <w:sz w:val="24"/>
        </w:rPr>
        <w:t>al responder sin requerir a las demás áreas competentes, a todas luces hace negatorio el Derecho de Acceso a la Información Pública.</w:t>
      </w:r>
    </w:p>
    <w:p w:rsidR="00D74AC5" w:rsidRDefault="00D74AC5" w:rsidP="00D74AC5">
      <w:pPr>
        <w:pStyle w:val="Prrafodelista"/>
        <w:tabs>
          <w:tab w:val="left" w:pos="709"/>
        </w:tabs>
        <w:spacing w:line="360" w:lineRule="auto"/>
        <w:ind w:left="0" w:right="51"/>
        <w:jc w:val="both"/>
        <w:rPr>
          <w:rFonts w:ascii="Palatino Linotype" w:hAnsi="Palatino Linotype" w:cs="Arial"/>
          <w:noProof/>
          <w:sz w:val="24"/>
        </w:rPr>
      </w:pPr>
    </w:p>
    <w:p w:rsidR="00F26151" w:rsidRDefault="0067172E" w:rsidP="003D6225">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Pr>
          <w:rFonts w:ascii="Palatino Linotype" w:hAnsi="Palatino Linotype" w:cs="Arial"/>
          <w:noProof/>
          <w:sz w:val="24"/>
        </w:rPr>
        <w:t>Por otro lado</w:t>
      </w:r>
      <w:r w:rsidR="00E565FA" w:rsidRPr="00E565FA">
        <w:rPr>
          <w:rFonts w:ascii="Palatino Linotype" w:hAnsi="Palatino Linotype" w:cs="Arial"/>
          <w:noProof/>
          <w:sz w:val="24"/>
        </w:rPr>
        <w:t>, cabe señalar que esta ponencia resolutora se dio a la tarea de revisar el Portal de Información de Oficio Mexiquense del Sujeto Obligado</w:t>
      </w:r>
      <w:r w:rsidR="00D36DAD">
        <w:rPr>
          <w:rFonts w:ascii="Palatino Linotype" w:hAnsi="Palatino Linotype" w:cs="Arial"/>
          <w:noProof/>
          <w:sz w:val="24"/>
        </w:rPr>
        <w:t xml:space="preserve"> (revisión del portal de información de oficio mexiquense el veintisite de octubre de dos mil </w:t>
      </w:r>
      <w:r w:rsidR="00D36DAD">
        <w:rPr>
          <w:rFonts w:ascii="Palatino Linotype" w:hAnsi="Palatino Linotype" w:cs="Arial"/>
          <w:noProof/>
          <w:sz w:val="24"/>
        </w:rPr>
        <w:lastRenderedPageBreak/>
        <w:t>veintiuno)</w:t>
      </w:r>
      <w:r w:rsidR="00E565FA">
        <w:rPr>
          <w:rFonts w:ascii="Palatino Linotype" w:hAnsi="Palatino Linotype" w:cs="Arial"/>
          <w:noProof/>
          <w:sz w:val="24"/>
        </w:rPr>
        <w:t xml:space="preserve">, y de acuerdo </w:t>
      </w:r>
      <w:r w:rsidR="00D74AC5">
        <w:rPr>
          <w:rFonts w:ascii="Palatino Linotype" w:hAnsi="Palatino Linotype" w:cs="Arial"/>
          <w:noProof/>
          <w:sz w:val="24"/>
        </w:rPr>
        <w:t>al criterio de temporalidad señalado en párrafos anteriores</w:t>
      </w:r>
      <w:r w:rsidR="00E565FA">
        <w:rPr>
          <w:rFonts w:ascii="Palatino Linotype" w:hAnsi="Palatino Linotype" w:cs="Arial"/>
          <w:noProof/>
          <w:sz w:val="24"/>
        </w:rPr>
        <w:t xml:space="preserve">, </w:t>
      </w:r>
      <w:r w:rsidR="00D74AC5">
        <w:rPr>
          <w:rFonts w:ascii="Palatino Linotype" w:hAnsi="Palatino Linotype" w:cs="Arial"/>
          <w:noProof/>
          <w:sz w:val="24"/>
        </w:rPr>
        <w:t>es importante referir que se encontraton</w:t>
      </w:r>
      <w:r w:rsidR="00E565FA">
        <w:rPr>
          <w:rFonts w:ascii="Palatino Linotype" w:hAnsi="Palatino Linotype" w:cs="Arial"/>
          <w:noProof/>
          <w:sz w:val="24"/>
        </w:rPr>
        <w:t xml:space="preserve"> dos procedimientos</w:t>
      </w:r>
      <w:r w:rsidR="00D36DAD">
        <w:rPr>
          <w:rFonts w:ascii="Palatino Linotype" w:hAnsi="Palatino Linotype" w:cs="Arial"/>
          <w:noProof/>
          <w:sz w:val="24"/>
        </w:rPr>
        <w:t xml:space="preserve"> de </w:t>
      </w:r>
      <w:r w:rsidR="00E565FA">
        <w:rPr>
          <w:rFonts w:ascii="Palatino Linotype" w:hAnsi="Palatino Linotype" w:cs="Arial"/>
          <w:noProof/>
          <w:sz w:val="24"/>
        </w:rPr>
        <w:t xml:space="preserve"> adjudicación </w:t>
      </w:r>
      <w:r w:rsidR="00D36DAD">
        <w:rPr>
          <w:rFonts w:ascii="Palatino Linotype" w:hAnsi="Palatino Linotype" w:cs="Arial"/>
          <w:noProof/>
          <w:sz w:val="24"/>
        </w:rPr>
        <w:t>directa en el periodo del uno de julio de dos mil veinte al treinta y uno de diciembre del mismo año, del Instituto Municipal de Cultura Física y Deporte de Ocoyoacac, se insertan las imagénes a modo de ilustrar lo referido:</w:t>
      </w:r>
    </w:p>
    <w:p w:rsidR="00BA3172" w:rsidRDefault="00BA3172" w:rsidP="00BA3172">
      <w:pPr>
        <w:pStyle w:val="Prrafodelista"/>
        <w:tabs>
          <w:tab w:val="left" w:pos="709"/>
        </w:tabs>
        <w:spacing w:line="360" w:lineRule="auto"/>
        <w:ind w:left="0" w:right="51"/>
        <w:jc w:val="both"/>
        <w:rPr>
          <w:rFonts w:ascii="Palatino Linotype" w:hAnsi="Palatino Linotype" w:cs="Arial"/>
          <w:noProof/>
          <w:sz w:val="24"/>
        </w:rPr>
      </w:pPr>
    </w:p>
    <w:p w:rsidR="00D36DAD" w:rsidRDefault="004F1562" w:rsidP="004F1562">
      <w:pPr>
        <w:pStyle w:val="Prrafodelista"/>
        <w:tabs>
          <w:tab w:val="left" w:pos="709"/>
        </w:tabs>
        <w:spacing w:line="360" w:lineRule="auto"/>
        <w:ind w:left="0" w:right="51"/>
        <w:jc w:val="center"/>
        <w:rPr>
          <w:rFonts w:ascii="Palatino Linotype" w:hAnsi="Palatino Linotype" w:cs="Arial"/>
          <w:noProof/>
          <w:sz w:val="24"/>
        </w:rPr>
      </w:pPr>
      <w:r>
        <w:rPr>
          <w:noProof/>
        </w:rPr>
        <w:drawing>
          <wp:inline distT="0" distB="0" distL="0" distR="0" wp14:anchorId="5D29499B" wp14:editId="70737B55">
            <wp:extent cx="5057708" cy="25050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522" t="17987" r="40292" b="55432"/>
                    <a:stretch/>
                  </pic:blipFill>
                  <pic:spPr bwMode="auto">
                    <a:xfrm>
                      <a:off x="0" y="0"/>
                      <a:ext cx="5062780" cy="2507587"/>
                    </a:xfrm>
                    <a:prstGeom prst="rect">
                      <a:avLst/>
                    </a:prstGeom>
                    <a:ln>
                      <a:noFill/>
                    </a:ln>
                    <a:extLst>
                      <a:ext uri="{53640926-AAD7-44D8-BBD7-CCE9431645EC}">
                        <a14:shadowObscured xmlns:a14="http://schemas.microsoft.com/office/drawing/2010/main"/>
                      </a:ext>
                    </a:extLst>
                  </pic:spPr>
                </pic:pic>
              </a:graphicData>
            </a:graphic>
          </wp:inline>
        </w:drawing>
      </w:r>
    </w:p>
    <w:p w:rsidR="00D36DAD" w:rsidRDefault="00721B01" w:rsidP="00721B01">
      <w:pPr>
        <w:pStyle w:val="Prrafodelista"/>
        <w:tabs>
          <w:tab w:val="left" w:pos="709"/>
        </w:tabs>
        <w:spacing w:line="360" w:lineRule="auto"/>
        <w:ind w:left="0" w:right="51"/>
        <w:jc w:val="center"/>
        <w:rPr>
          <w:rFonts w:ascii="Palatino Linotype" w:hAnsi="Palatino Linotype" w:cs="Arial"/>
          <w:noProof/>
          <w:sz w:val="24"/>
        </w:rPr>
      </w:pPr>
      <w:r>
        <w:rPr>
          <w:noProof/>
        </w:rPr>
        <w:drawing>
          <wp:inline distT="0" distB="0" distL="0" distR="0" wp14:anchorId="1B618CDA" wp14:editId="7E7570C1">
            <wp:extent cx="4904029" cy="2638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854" t="23295" r="41785" b="49577"/>
                    <a:stretch/>
                  </pic:blipFill>
                  <pic:spPr bwMode="auto">
                    <a:xfrm>
                      <a:off x="0" y="0"/>
                      <a:ext cx="4914491" cy="2644054"/>
                    </a:xfrm>
                    <a:prstGeom prst="rect">
                      <a:avLst/>
                    </a:prstGeom>
                    <a:ln>
                      <a:noFill/>
                    </a:ln>
                    <a:extLst>
                      <a:ext uri="{53640926-AAD7-44D8-BBD7-CCE9431645EC}">
                        <a14:shadowObscured xmlns:a14="http://schemas.microsoft.com/office/drawing/2010/main"/>
                      </a:ext>
                    </a:extLst>
                  </pic:spPr>
                </pic:pic>
              </a:graphicData>
            </a:graphic>
          </wp:inline>
        </w:drawing>
      </w:r>
    </w:p>
    <w:p w:rsidR="00D36DAD" w:rsidRPr="00E565FA" w:rsidRDefault="00D36DAD" w:rsidP="00D36DAD">
      <w:pPr>
        <w:pStyle w:val="Prrafodelista"/>
        <w:tabs>
          <w:tab w:val="left" w:pos="709"/>
        </w:tabs>
        <w:spacing w:line="360" w:lineRule="auto"/>
        <w:ind w:left="0" w:right="51"/>
        <w:jc w:val="both"/>
        <w:rPr>
          <w:rFonts w:ascii="Palatino Linotype" w:hAnsi="Palatino Linotype" w:cs="Arial"/>
          <w:noProof/>
          <w:sz w:val="24"/>
        </w:rPr>
      </w:pPr>
    </w:p>
    <w:p w:rsidR="003D6225" w:rsidRPr="00AD3AD8" w:rsidRDefault="00721B01" w:rsidP="003D6225">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AD3AD8">
        <w:rPr>
          <w:rFonts w:ascii="Palatino Linotype" w:hAnsi="Palatino Linotype" w:cs="Arial"/>
          <w:noProof/>
          <w:sz w:val="24"/>
        </w:rPr>
        <w:lastRenderedPageBreak/>
        <w:t>Así, como quedo acreditado, la información entregada en respuesta por el Sujeto Obligado es incompleta, además la versión pública que realizó, con el fin de atender la solicitud de informaci</w:t>
      </w:r>
      <w:r w:rsidR="00AD3AD8" w:rsidRPr="00AD3AD8">
        <w:rPr>
          <w:rFonts w:ascii="Palatino Linotype" w:hAnsi="Palatino Linotype" w:cs="Arial"/>
          <w:noProof/>
          <w:sz w:val="24"/>
        </w:rPr>
        <w:t>ón es excesiva al testar información que por su naturaleza es pública.</w:t>
      </w:r>
    </w:p>
    <w:p w:rsidR="00721B01" w:rsidRPr="00AD3AD8" w:rsidRDefault="00721B01" w:rsidP="00721B01">
      <w:pPr>
        <w:pStyle w:val="Prrafodelista"/>
        <w:tabs>
          <w:tab w:val="left" w:pos="709"/>
        </w:tabs>
        <w:spacing w:line="360" w:lineRule="auto"/>
        <w:ind w:left="0" w:right="51"/>
        <w:jc w:val="both"/>
        <w:rPr>
          <w:rFonts w:ascii="Palatino Linotype" w:hAnsi="Palatino Linotype" w:cs="Arial"/>
          <w:noProof/>
          <w:sz w:val="24"/>
        </w:rPr>
      </w:pPr>
    </w:p>
    <w:p w:rsidR="004C3185" w:rsidRPr="00AD3AD8" w:rsidRDefault="00AD3AD8" w:rsidP="00AD3AD8">
      <w:pPr>
        <w:pStyle w:val="Prrafodelista"/>
        <w:numPr>
          <w:ilvl w:val="0"/>
          <w:numId w:val="1"/>
        </w:numPr>
        <w:tabs>
          <w:tab w:val="left" w:pos="709"/>
        </w:tabs>
        <w:spacing w:line="360" w:lineRule="auto"/>
        <w:ind w:left="0" w:right="51" w:firstLine="0"/>
        <w:jc w:val="both"/>
        <w:rPr>
          <w:rFonts w:ascii="Palatino Linotype" w:hAnsi="Palatino Linotype" w:cs="Arial"/>
          <w:noProof/>
          <w:sz w:val="24"/>
        </w:rPr>
      </w:pPr>
      <w:r w:rsidRPr="00AD3AD8">
        <w:rPr>
          <w:rFonts w:ascii="Palatino Linotype" w:hAnsi="Palatino Linotype" w:cs="Arial"/>
          <w:noProof/>
          <w:sz w:val="24"/>
        </w:rPr>
        <w:t>En ese sentido, los motivos de inconformidad hechos valer por el RECURRENTE en el recurso de revisión resultan parcialmente fundados, así con fundamento en el artículo 186, fracción III de la Ley de Transparencia y Acceso a la Información Pública del Estado de México y Municipios, se determina MODIFICAR la respuesta del SUJETO OBLIGADO, y se ordena entregar vía Sistema de Acceso a la Información Mexiquense los procedimientos de adquisición celebardos por el Instituto Municipal de Cultura Física y Deporte de Ocoyoacac, del catorde de julio de dos mil veinte, al catorde de julio de dos mil veintiuno.</w:t>
      </w:r>
    </w:p>
    <w:p w:rsidR="003F6B0B" w:rsidRPr="00AD3AD8" w:rsidRDefault="003F6B0B" w:rsidP="003F6B0B">
      <w:pPr>
        <w:spacing w:line="360" w:lineRule="auto"/>
        <w:ind w:right="49"/>
        <w:contextualSpacing/>
        <w:jc w:val="both"/>
        <w:rPr>
          <w:rFonts w:ascii="Palatino Linotype" w:eastAsia="Calibri" w:hAnsi="Palatino Linotype" w:cs="Arial"/>
          <w:sz w:val="28"/>
          <w:lang w:val="es-ES" w:eastAsia="es-ES"/>
        </w:rPr>
      </w:pPr>
    </w:p>
    <w:p w:rsidR="003F6B0B" w:rsidRPr="009B6FD5" w:rsidRDefault="003F6B0B" w:rsidP="003F6B0B">
      <w:pPr>
        <w:pStyle w:val="Ttulo1"/>
        <w:spacing w:before="0" w:line="360" w:lineRule="auto"/>
        <w:rPr>
          <w:rFonts w:ascii="Palatino Linotype" w:hAnsi="Palatino Linotype"/>
          <w:b/>
          <w:color w:val="000000" w:themeColor="text1"/>
          <w:sz w:val="24"/>
          <w:szCs w:val="24"/>
        </w:rPr>
      </w:pPr>
      <w:bookmarkStart w:id="23" w:name="_Toc74188153"/>
      <w:bookmarkStart w:id="24" w:name="_Toc86261433"/>
      <w:r w:rsidRPr="009B6FD5">
        <w:rPr>
          <w:rFonts w:ascii="Palatino Linotype" w:hAnsi="Palatino Linotype" w:cs="Times New Roman"/>
          <w:b/>
          <w:color w:val="000000" w:themeColor="text1"/>
          <w:sz w:val="24"/>
          <w:szCs w:val="24"/>
          <w:lang w:eastAsia="es-ES_tradnl"/>
        </w:rPr>
        <w:t xml:space="preserve">QUINTO. </w:t>
      </w:r>
      <w:r w:rsidRPr="009B6FD5">
        <w:rPr>
          <w:rFonts w:ascii="Palatino Linotype" w:hAnsi="Palatino Linotype"/>
          <w:b/>
          <w:color w:val="000000" w:themeColor="text1"/>
          <w:sz w:val="24"/>
          <w:szCs w:val="24"/>
        </w:rPr>
        <w:t xml:space="preserve"> </w:t>
      </w:r>
      <w:bookmarkStart w:id="25" w:name="_Toc80889843"/>
      <w:bookmarkStart w:id="26" w:name="_Toc81384826"/>
      <w:bookmarkEnd w:id="23"/>
      <w:r w:rsidRPr="009B6FD5">
        <w:rPr>
          <w:rFonts w:ascii="Palatino Linotype" w:hAnsi="Palatino Linotype" w:cs="Arial"/>
          <w:b/>
          <w:color w:val="000000"/>
          <w:sz w:val="24"/>
          <w:lang w:val="es-ES_tradnl"/>
        </w:rPr>
        <w:t>De la versión pública y clasificación de la información.</w:t>
      </w:r>
      <w:bookmarkEnd w:id="24"/>
      <w:bookmarkEnd w:id="25"/>
      <w:bookmarkEnd w:id="26"/>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Por otro lado, debe destacarse que debido a la naturaleza de la información solicitada</w:t>
      </w:r>
      <w:r w:rsidRPr="009B6FD5">
        <w:rPr>
          <w:rFonts w:ascii="Palatino Linotype" w:hAnsi="Palatino Linotype" w:cs="Arial"/>
          <w:b/>
          <w:color w:val="000000"/>
          <w:lang w:val="es-ES_tradnl"/>
        </w:rPr>
        <w:t xml:space="preserve">, </w:t>
      </w:r>
      <w:r w:rsidRPr="009B6FD5">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9B6FD5">
        <w:rPr>
          <w:rFonts w:ascii="Palatino Linotype" w:hAnsi="Palatino Linotype" w:cs="Arial"/>
          <w:b/>
          <w:color w:val="000000"/>
          <w:u w:val="single"/>
          <w:lang w:val="es-ES_tradnl"/>
        </w:rPr>
        <w:t>versión pública</w:t>
      </w:r>
      <w:r w:rsidRPr="009B6FD5">
        <w:rPr>
          <w:rFonts w:ascii="Palatino Linotype" w:hAnsi="Palatino Linotype" w:cs="Arial"/>
          <w:color w:val="000000"/>
          <w:lang w:val="es-ES_tradnl"/>
        </w:rPr>
        <w:t xml:space="preserve"> del documento por las consideraciones que se estimen pertinentes.</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s="Arial"/>
          <w:color w:val="000000"/>
        </w:rPr>
        <w:lastRenderedPageBreak/>
        <w:t xml:space="preserve">Es de </w:t>
      </w:r>
      <w:r w:rsidRPr="009B6FD5">
        <w:rPr>
          <w:rFonts w:ascii="Palatino Linotype" w:hAnsi="Palatino Linotype" w:cs="Arial"/>
          <w:color w:val="000000"/>
          <w:lang w:val="es-ES_tradnl"/>
        </w:rPr>
        <w:t>señalar</w:t>
      </w:r>
      <w:r w:rsidRPr="009B6FD5">
        <w:rPr>
          <w:rFonts w:ascii="Palatino Linotype" w:eastAsia="Calibri" w:hAnsi="Palatino Linotype" w:cs="Arial"/>
          <w:color w:val="000000"/>
        </w:rPr>
        <w:t xml:space="preserve"> que, por lo que hace a las versiones públicas, el </w:t>
      </w:r>
      <w:r w:rsidRPr="009B6FD5">
        <w:rPr>
          <w:rFonts w:ascii="Palatino Linotype" w:eastAsia="Calibri" w:hAnsi="Palatino Linotype" w:cs="Arial"/>
          <w:b/>
          <w:color w:val="000000"/>
        </w:rPr>
        <w:t>SUJETO OBLIGADO</w:t>
      </w:r>
      <w:r w:rsidRPr="009B6FD5">
        <w:rPr>
          <w:rFonts w:ascii="Palatino Linotype" w:eastAsia="Calibri" w:hAnsi="Palatino Linotype" w:cs="Arial"/>
          <w:color w:val="000000"/>
        </w:rPr>
        <w:t xml:space="preserve"> debe cumplir con las formalidades exigidas en la Ley, por lo que </w:t>
      </w:r>
      <w:r w:rsidRPr="009B6FD5">
        <w:rPr>
          <w:rFonts w:ascii="Palatino Linotype" w:hAnsi="Palatino Linotype" w:cs="Arial"/>
          <w:color w:val="000000"/>
          <w:lang w:val="es-ES_tradnl"/>
        </w:rPr>
        <w:t xml:space="preserve">para tal efecto emitirá el </w:t>
      </w:r>
      <w:r w:rsidRPr="009B6FD5">
        <w:rPr>
          <w:rFonts w:ascii="Palatino Linotype" w:eastAsia="Calibri" w:hAnsi="Palatino Linotype" w:cs="Arial"/>
          <w:color w:val="000000"/>
        </w:rPr>
        <w:t>Acuerdo del Comité de Transparencia en términos de los artículos 49 fracción</w:t>
      </w:r>
      <w:r w:rsidRPr="009B6FD5">
        <w:rPr>
          <w:rFonts w:ascii="Palatino Linotype" w:eastAsia="Calibri" w:hAnsi="Palatino Linotype" w:cs="Arial"/>
          <w:bCs/>
          <w:color w:val="000000"/>
          <w:lang w:val="es-ES_tradnl"/>
        </w:rPr>
        <w:t xml:space="preserve"> VIII,</w:t>
      </w:r>
      <w:r w:rsidRPr="009B6FD5">
        <w:rPr>
          <w:rFonts w:ascii="Palatino Linotype" w:eastAsia="Calibri" w:hAnsi="Palatino Linotype" w:cs="Arial"/>
          <w:color w:val="000000"/>
        </w:rPr>
        <w:t xml:space="preserve"> 122</w:t>
      </w:r>
      <w:r w:rsidRPr="009B6FD5">
        <w:rPr>
          <w:rFonts w:ascii="Palatino Linotype" w:hAnsi="Palatino Linotype"/>
          <w:vertAlign w:val="superscript"/>
        </w:rPr>
        <w:footnoteReference w:id="5"/>
      </w:r>
      <w:r w:rsidRPr="009B6FD5">
        <w:rPr>
          <w:rFonts w:ascii="Palatino Linotype" w:eastAsia="Calibri" w:hAnsi="Palatino Linotype" w:cs="Arial"/>
          <w:color w:val="000000"/>
        </w:rPr>
        <w:t>, 135</w:t>
      </w:r>
      <w:r w:rsidRPr="009B6FD5">
        <w:rPr>
          <w:rFonts w:ascii="Palatino Linotype" w:hAnsi="Palatino Linotype"/>
          <w:vertAlign w:val="superscript"/>
        </w:rPr>
        <w:footnoteReference w:id="6"/>
      </w:r>
      <w:r w:rsidRPr="009B6FD5">
        <w:rPr>
          <w:rFonts w:ascii="Palatino Linotype" w:eastAsia="Calibri" w:hAnsi="Palatino Linotype" w:cs="Arial"/>
          <w:color w:val="000000"/>
        </w:rPr>
        <w:t xml:space="preserve"> y 149 de la </w:t>
      </w:r>
      <w:r w:rsidRPr="009B6FD5">
        <w:rPr>
          <w:rFonts w:ascii="Palatino Linotype" w:eastAsia="Calibri" w:hAnsi="Palatino Linotype" w:cs="Arial"/>
          <w:b/>
          <w:color w:val="000000"/>
        </w:rPr>
        <w:t>Ley de Transparencia y Acceso a la Información Pública del Estado de México y Municipios</w:t>
      </w:r>
      <w:r w:rsidRPr="009B6FD5">
        <w:rPr>
          <w:rFonts w:ascii="Palatino Linotype" w:eastAsia="Calibri" w:hAnsi="Palatino Linotype" w:cs="Arial"/>
          <w:color w:val="000000"/>
        </w:rPr>
        <w:t>, con el cual sustentara de forma fundada y motivada la clasificación de datos y con ello la "versión pública" de los documentos materia de la solicitud.</w:t>
      </w:r>
    </w:p>
    <w:p w:rsidR="003F6B0B" w:rsidRPr="009B6FD5" w:rsidRDefault="003F6B0B" w:rsidP="003F6B0B">
      <w:pPr>
        <w:spacing w:line="360" w:lineRule="auto"/>
        <w:ind w:right="49"/>
        <w:contextualSpacing/>
        <w:jc w:val="both"/>
        <w:rPr>
          <w:rFonts w:ascii="Palatino Linotype" w:eastAsia="Calibri" w:hAnsi="Palatino Linotype" w:cs="Arial"/>
          <w:color w:val="000000"/>
        </w:rPr>
      </w:pPr>
    </w:p>
    <w:p w:rsidR="003F6B0B" w:rsidRPr="009B6FD5" w:rsidRDefault="003F6B0B" w:rsidP="003F6B0B">
      <w:pPr>
        <w:keepNext/>
        <w:keepLines/>
        <w:spacing w:line="360" w:lineRule="auto"/>
        <w:outlineLvl w:val="1"/>
        <w:rPr>
          <w:rFonts w:ascii="Palatino Linotype" w:hAnsi="Palatino Linotype"/>
          <w:b/>
          <w:color w:val="000000"/>
          <w:lang w:eastAsia="en-US"/>
        </w:rPr>
      </w:pPr>
      <w:bookmarkStart w:id="27" w:name="_Toc500756709"/>
      <w:bookmarkStart w:id="28" w:name="_Toc536691777"/>
      <w:bookmarkStart w:id="29" w:name="_Toc80889844"/>
      <w:bookmarkStart w:id="30" w:name="_Toc81384827"/>
      <w:bookmarkStart w:id="31" w:name="_Toc86261434"/>
      <w:r w:rsidRPr="009B6FD5">
        <w:rPr>
          <w:rFonts w:ascii="Palatino Linotype" w:hAnsi="Palatino Linotype"/>
          <w:b/>
          <w:color w:val="000000"/>
          <w:lang w:eastAsia="en-US"/>
        </w:rPr>
        <w:t>I. De la clasificación de la información.</w:t>
      </w:r>
      <w:bookmarkEnd w:id="27"/>
      <w:bookmarkEnd w:id="28"/>
      <w:bookmarkEnd w:id="29"/>
      <w:bookmarkEnd w:id="30"/>
      <w:bookmarkEnd w:id="31"/>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s="Arial"/>
          <w:color w:val="000000"/>
        </w:rPr>
        <w:t>La</w:t>
      </w:r>
      <w:r w:rsidRPr="009B6FD5">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9B6FD5">
        <w:rPr>
          <w:rFonts w:ascii="Palatino Linotype" w:hAnsi="Palatino Linotype"/>
          <w:vertAlign w:val="superscript"/>
          <w:lang w:val="es-ES_tradnl"/>
        </w:rPr>
        <w:footnoteReference w:id="7"/>
      </w:r>
      <w:r w:rsidRPr="009B6FD5">
        <w:rPr>
          <w:rFonts w:ascii="Palatino Linotype" w:hAnsi="Palatino Linotype"/>
          <w:color w:val="000000"/>
          <w:lang w:val="es-ES_tradnl"/>
        </w:rPr>
        <w:t xml:space="preserve"> aunque cualquier límite o restricción, </w:t>
      </w:r>
      <w:r w:rsidRPr="009B6FD5">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9B6FD5">
        <w:rPr>
          <w:rFonts w:ascii="Palatino Linotype" w:hAnsi="Palatino Linotype"/>
          <w:vertAlign w:val="superscript"/>
          <w:lang w:val="es-ES_tradnl"/>
        </w:rPr>
        <w:footnoteReference w:id="8"/>
      </w:r>
      <w:r w:rsidRPr="009B6FD5">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 xml:space="preserve">El grave problema que enfrentamos todos los días al resolver los recursos de revisión que se presentan, consiste en que a pesar de que han pasado más de dos años </w:t>
      </w:r>
      <w:r w:rsidRPr="009B6FD5">
        <w:rPr>
          <w:rFonts w:ascii="Palatino Linotype" w:hAnsi="Palatino Linotype"/>
          <w:color w:val="000000"/>
          <w:lang w:val="es-ES_tradnl"/>
        </w:rPr>
        <w:lastRenderedPageBreak/>
        <w:t>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 xml:space="preserve">Por esa razón, es que en esta ocasión se presenta un apretado resumen de las formalidades, elementos y procedimientos que debe considerar el </w:t>
      </w:r>
      <w:r w:rsidRPr="009B6FD5">
        <w:rPr>
          <w:rFonts w:ascii="Palatino Linotype" w:hAnsi="Palatino Linotype" w:cs="Arial"/>
          <w:b/>
          <w:bCs/>
          <w:color w:val="000000"/>
          <w:lang w:val="es-ES_tradnl"/>
        </w:rPr>
        <w:t>SUJETO OBLIGADO</w:t>
      </w:r>
      <w:r w:rsidRPr="009B6FD5">
        <w:rPr>
          <w:rFonts w:ascii="Palatino Linotype" w:hAnsi="Palatino Linotype" w:cs="Arial"/>
          <w:color w:val="000000"/>
          <w:lang w:val="es-ES_tradnl"/>
        </w:rPr>
        <w:t xml:space="preserve"> </w:t>
      </w:r>
      <w:r w:rsidRPr="009B6FD5">
        <w:rPr>
          <w:rFonts w:ascii="Palatino Linotype" w:hAnsi="Palatino Linotype"/>
          <w:color w:val="000000"/>
          <w:lang w:val="es-ES_tradnl"/>
        </w:rPr>
        <w:t>para emitir este tipo de acuerdos y que el Órgano Garante debe verificar que se cumplan.</w:t>
      </w:r>
    </w:p>
    <w:p w:rsidR="003F6B0B" w:rsidRPr="009B6FD5" w:rsidRDefault="003F6B0B" w:rsidP="003F6B0B">
      <w:pPr>
        <w:spacing w:line="360" w:lineRule="auto"/>
        <w:jc w:val="both"/>
        <w:rPr>
          <w:rFonts w:ascii="Palatino Linotype" w:hAnsi="Palatino Linotype"/>
          <w:color w:val="000000"/>
          <w:lang w:val="es-ES_tradnl"/>
        </w:rPr>
      </w:pPr>
    </w:p>
    <w:p w:rsidR="003F6B0B" w:rsidRPr="009B6FD5" w:rsidRDefault="003F6B0B" w:rsidP="003F6B0B">
      <w:pPr>
        <w:keepNext/>
        <w:keepLines/>
        <w:pBdr>
          <w:top w:val="nil"/>
          <w:left w:val="nil"/>
          <w:bottom w:val="nil"/>
          <w:right w:val="nil"/>
          <w:between w:val="nil"/>
          <w:bar w:val="nil"/>
        </w:pBdr>
        <w:spacing w:line="360" w:lineRule="auto"/>
        <w:contextualSpacing/>
        <w:outlineLvl w:val="0"/>
        <w:rPr>
          <w:rFonts w:ascii="Palatino Linotype" w:hAnsi="Palatino Linotype"/>
          <w:b/>
          <w:color w:val="000000"/>
          <w:lang w:eastAsia="en-US"/>
        </w:rPr>
      </w:pPr>
      <w:bookmarkStart w:id="32" w:name="_Toc485631700"/>
      <w:bookmarkStart w:id="33" w:name="_Toc500756710"/>
      <w:bookmarkStart w:id="34" w:name="_Toc536691778"/>
      <w:bookmarkStart w:id="35" w:name="_Toc80889845"/>
      <w:bookmarkStart w:id="36" w:name="_Toc81260556"/>
      <w:bookmarkStart w:id="37" w:name="_Toc81384828"/>
      <w:bookmarkStart w:id="38" w:name="_Toc86261435"/>
      <w:r w:rsidRPr="009B6FD5">
        <w:rPr>
          <w:rFonts w:ascii="Palatino Linotype" w:hAnsi="Palatino Linotype"/>
          <w:b/>
          <w:color w:val="000000"/>
          <w:lang w:eastAsia="en-US"/>
        </w:rPr>
        <w:t>a) Requisitos previos.</w:t>
      </w:r>
      <w:bookmarkEnd w:id="32"/>
      <w:bookmarkEnd w:id="33"/>
      <w:bookmarkEnd w:id="34"/>
      <w:bookmarkEnd w:id="35"/>
      <w:bookmarkEnd w:id="36"/>
      <w:bookmarkEnd w:id="37"/>
      <w:bookmarkEnd w:id="38"/>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 xml:space="preserve">Los </w:t>
      </w:r>
      <w:r w:rsidRPr="009B6FD5">
        <w:rPr>
          <w:rFonts w:ascii="Palatino Linotype" w:hAnsi="Palatino Linotype"/>
          <w:color w:val="000000"/>
          <w:lang w:val="es-ES_tradnl"/>
        </w:rPr>
        <w:t>artículos</w:t>
      </w:r>
      <w:r w:rsidRPr="009B6FD5">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lastRenderedPageBreak/>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3F6B0B" w:rsidRPr="009B6FD5" w:rsidRDefault="003F6B0B" w:rsidP="003F6B0B">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39" w:name="_Toc485631701"/>
      <w:bookmarkStart w:id="40" w:name="_Toc500756711"/>
      <w:bookmarkStart w:id="41" w:name="_Toc536691779"/>
      <w:bookmarkStart w:id="42" w:name="_Toc80889846"/>
      <w:bookmarkStart w:id="43" w:name="_Toc81260557"/>
      <w:bookmarkStart w:id="44" w:name="_Toc81384829"/>
      <w:bookmarkStart w:id="45" w:name="_Toc86261436"/>
      <w:r w:rsidRPr="009B6FD5">
        <w:rPr>
          <w:rFonts w:ascii="Palatino Linotype" w:hAnsi="Palatino Linotype"/>
          <w:b/>
          <w:color w:val="000000"/>
          <w:lang w:eastAsia="en-US"/>
        </w:rPr>
        <w:t>b) Supuestos de clasificación.</w:t>
      </w:r>
      <w:bookmarkEnd w:id="39"/>
      <w:bookmarkEnd w:id="40"/>
      <w:bookmarkEnd w:id="41"/>
      <w:bookmarkEnd w:id="42"/>
      <w:bookmarkEnd w:id="43"/>
      <w:bookmarkEnd w:id="44"/>
      <w:bookmarkEnd w:id="45"/>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rsidR="003F6B0B" w:rsidRPr="009B6FD5" w:rsidRDefault="003F6B0B" w:rsidP="003F6B0B">
      <w:pPr>
        <w:spacing w:line="360" w:lineRule="auto"/>
        <w:ind w:right="49"/>
        <w:contextualSpacing/>
        <w:jc w:val="both"/>
        <w:rPr>
          <w:rFonts w:ascii="Palatino Linotype" w:hAnsi="Palatino Linotype" w:cs="Arial"/>
          <w:color w:val="000000"/>
          <w:lang w:val="es-ES_tradnl"/>
        </w:rPr>
      </w:pPr>
    </w:p>
    <w:p w:rsidR="003F6B0B" w:rsidRPr="009B6FD5" w:rsidRDefault="003F6B0B" w:rsidP="003F6B0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9B6FD5">
        <w:rPr>
          <w:rFonts w:ascii="Palatino Linotype" w:hAnsi="Palatino Linotype" w:cs="Bookman Old Style"/>
          <w:bCs/>
          <w:i/>
          <w:iCs/>
          <w:color w:val="000000"/>
          <w:lang w:val="es-ES_tradnl"/>
        </w:rPr>
        <w:t>“</w:t>
      </w:r>
      <w:r w:rsidRPr="009B6FD5">
        <w:rPr>
          <w:rFonts w:ascii="Palatino Linotype" w:hAnsi="Palatino Linotype" w:cs="Bookman Old Style"/>
          <w:b/>
          <w:i/>
          <w:iCs/>
          <w:color w:val="000000"/>
          <w:lang w:val="es-ES_tradnl"/>
        </w:rPr>
        <w:t>I.</w:t>
      </w:r>
      <w:r w:rsidRPr="009B6FD5">
        <w:rPr>
          <w:rFonts w:ascii="Palatino Linotype" w:hAnsi="Palatino Linotype" w:cs="Bookman Old Style"/>
          <w:bCs/>
          <w:i/>
          <w:iCs/>
          <w:color w:val="000000"/>
          <w:lang w:val="es-ES_tradnl"/>
        </w:rPr>
        <w:t xml:space="preserve"> </w:t>
      </w:r>
      <w:r w:rsidRPr="009B6FD5">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rsidR="003F6B0B" w:rsidRPr="009B6FD5" w:rsidRDefault="003F6B0B" w:rsidP="003F6B0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9B6FD5">
        <w:rPr>
          <w:rFonts w:ascii="Palatino Linotype" w:hAnsi="Palatino Linotype" w:cs="Bookman Old Style"/>
          <w:b/>
          <w:i/>
          <w:iCs/>
          <w:color w:val="000000"/>
          <w:lang w:val="es-ES_tradnl"/>
        </w:rPr>
        <w:t>II.</w:t>
      </w:r>
      <w:r w:rsidRPr="009B6FD5">
        <w:rPr>
          <w:rFonts w:ascii="Palatino Linotype" w:hAnsi="Palatino Linotype" w:cs="Bookman Old Style"/>
          <w:bCs/>
          <w:i/>
          <w:iCs/>
          <w:color w:val="000000"/>
          <w:lang w:val="es-ES_tradnl"/>
        </w:rPr>
        <w:t xml:space="preserve"> </w:t>
      </w:r>
      <w:r w:rsidRPr="009B6FD5">
        <w:rPr>
          <w:rFonts w:ascii="Palatino Linotype" w:hAnsi="Palatino Linotype" w:cs="Bookman Old Style"/>
          <w:i/>
          <w:iCs/>
          <w:color w:val="000000"/>
          <w:lang w:val="es-ES_tradnl"/>
        </w:rPr>
        <w:t xml:space="preserve">Los secretos bancario, fiduciario, industrial, comercial, fiscal, bursátil y postal, </w:t>
      </w:r>
      <w:r w:rsidRPr="009B6FD5">
        <w:rPr>
          <w:rFonts w:ascii="Palatino Linotype" w:hAnsi="Palatino Linotype" w:cs="Bookman Old Style"/>
          <w:i/>
          <w:iCs/>
          <w:color w:val="000000"/>
          <w:lang w:val="es-ES_tradnl"/>
        </w:rPr>
        <w:lastRenderedPageBreak/>
        <w:t xml:space="preserve">cuya titularidad corresponda a particulares, sujetos de derecho internacional o a sujetos obligados cuando no involucren el ejercicio de recursos públicos; y </w:t>
      </w:r>
    </w:p>
    <w:p w:rsidR="003F6B0B" w:rsidRPr="009B6FD5" w:rsidRDefault="003F6B0B" w:rsidP="003F6B0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9B6FD5">
        <w:rPr>
          <w:rFonts w:ascii="Palatino Linotype" w:hAnsi="Palatino Linotype" w:cs="Bookman Old Style"/>
          <w:b/>
          <w:i/>
          <w:iCs/>
          <w:color w:val="000000"/>
          <w:lang w:val="es-ES_tradnl"/>
        </w:rPr>
        <w:t>III.</w:t>
      </w:r>
      <w:r w:rsidRPr="009B6FD5">
        <w:rPr>
          <w:rFonts w:ascii="Palatino Linotype" w:hAnsi="Palatino Linotype" w:cs="Bookman Old Style"/>
          <w:bCs/>
          <w:i/>
          <w:iCs/>
          <w:color w:val="000000"/>
          <w:lang w:val="es-ES_tradnl"/>
        </w:rPr>
        <w:t xml:space="preserve"> </w:t>
      </w:r>
      <w:r w:rsidRPr="009B6FD5">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rsidR="003F6B0B" w:rsidRPr="009B6FD5" w:rsidRDefault="003F6B0B" w:rsidP="003F6B0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9B6FD5">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rsidR="003F6B0B" w:rsidRPr="009B6FD5" w:rsidRDefault="003F6B0B" w:rsidP="003F6B0B">
      <w:pPr>
        <w:widowControl w:val="0"/>
        <w:autoSpaceDE w:val="0"/>
        <w:autoSpaceDN w:val="0"/>
        <w:adjustRightInd w:val="0"/>
        <w:spacing w:line="360" w:lineRule="auto"/>
        <w:ind w:left="567" w:right="616"/>
        <w:jc w:val="both"/>
        <w:rPr>
          <w:rFonts w:ascii="Palatino Linotype" w:hAnsi="Palatino Linotype" w:cs="Times"/>
          <w:i/>
          <w:iCs/>
          <w:color w:val="000000"/>
          <w:lang w:val="es-ES_tradnl"/>
        </w:rPr>
      </w:pPr>
      <w:r w:rsidRPr="009B6FD5">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 xml:space="preserve">Como consecuencia de lo anterior, el </w:t>
      </w:r>
      <w:r w:rsidRPr="009B6FD5">
        <w:rPr>
          <w:rFonts w:ascii="Palatino Linotype" w:hAnsi="Palatino Linotype" w:cs="Arial"/>
          <w:b/>
          <w:bCs/>
          <w:color w:val="000000"/>
          <w:lang w:val="es-ES_tradnl"/>
        </w:rPr>
        <w:t>SUJETO OBLIGADO</w:t>
      </w:r>
      <w:r w:rsidRPr="009B6FD5">
        <w:rPr>
          <w:rFonts w:ascii="Palatino Linotype" w:hAnsi="Palatino Linotype" w:cs="Arial"/>
          <w:color w:val="000000"/>
          <w:lang w:val="es-ES_tradnl"/>
        </w:rPr>
        <w:t xml:space="preserve"> debe identificar claramente el tipo de información y hacer un juicio de subsunción o encaje</w:t>
      </w:r>
      <w:r w:rsidRPr="009B6FD5">
        <w:rPr>
          <w:rFonts w:ascii="Palatino Linotype" w:hAnsi="Palatino Linotype"/>
          <w:vertAlign w:val="superscript"/>
          <w:lang w:val="es-ES_tradnl"/>
        </w:rPr>
        <w:footnoteReference w:id="9"/>
      </w:r>
      <w:r w:rsidRPr="009B6FD5">
        <w:rPr>
          <w:rFonts w:ascii="Palatino Linotype" w:hAnsi="Palatino Linotype" w:cs="Arial"/>
          <w:color w:val="000000"/>
          <w:lang w:val="es-ES_tradnl"/>
        </w:rPr>
        <w:t xml:space="preserve"> para </w:t>
      </w:r>
      <w:r w:rsidRPr="009B6FD5">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rsidR="003F6B0B" w:rsidRPr="009B6FD5" w:rsidRDefault="003F6B0B" w:rsidP="003F6B0B">
      <w:pPr>
        <w:spacing w:line="360" w:lineRule="auto"/>
        <w:contextualSpacing/>
        <w:jc w:val="both"/>
        <w:rPr>
          <w:rFonts w:ascii="Palatino Linotype" w:hAnsi="Palatino Linotype"/>
          <w:b/>
          <w:color w:val="000000"/>
          <w:lang w:val="es-ES_tradnl"/>
        </w:rPr>
      </w:pPr>
    </w:p>
    <w:p w:rsidR="003F6B0B" w:rsidRPr="009B6FD5" w:rsidRDefault="003F6B0B" w:rsidP="003F6B0B">
      <w:pPr>
        <w:keepNext/>
        <w:keepLines/>
        <w:pBdr>
          <w:top w:val="nil"/>
          <w:left w:val="nil"/>
          <w:bottom w:val="nil"/>
          <w:right w:val="nil"/>
          <w:between w:val="nil"/>
          <w:bar w:val="nil"/>
        </w:pBdr>
        <w:spacing w:line="360" w:lineRule="auto"/>
        <w:contextualSpacing/>
        <w:jc w:val="both"/>
        <w:outlineLvl w:val="0"/>
        <w:rPr>
          <w:rFonts w:ascii="Palatino Linotype" w:hAnsi="Palatino Linotype"/>
          <w:b/>
          <w:color w:val="000000"/>
          <w:lang w:eastAsia="en-US"/>
        </w:rPr>
      </w:pPr>
      <w:bookmarkStart w:id="46" w:name="_Toc485631702"/>
      <w:bookmarkStart w:id="47" w:name="_Toc500756712"/>
      <w:bookmarkStart w:id="48" w:name="_Toc536691780"/>
      <w:bookmarkStart w:id="49" w:name="_Toc80889847"/>
      <w:bookmarkStart w:id="50" w:name="_Toc81260558"/>
      <w:bookmarkStart w:id="51" w:name="_Toc81384830"/>
      <w:bookmarkStart w:id="52" w:name="_Toc86261437"/>
      <w:r w:rsidRPr="009B6FD5">
        <w:rPr>
          <w:rFonts w:ascii="Palatino Linotype" w:hAnsi="Palatino Linotype"/>
          <w:b/>
          <w:color w:val="000000"/>
          <w:lang w:eastAsia="en-US"/>
        </w:rPr>
        <w:t>c) Excepciones a los supuestos de clasificación de la información como reservada.</w:t>
      </w:r>
      <w:bookmarkEnd w:id="46"/>
      <w:bookmarkEnd w:id="47"/>
      <w:bookmarkEnd w:id="48"/>
      <w:bookmarkEnd w:id="49"/>
      <w:bookmarkEnd w:id="50"/>
      <w:bookmarkEnd w:id="51"/>
      <w:bookmarkEnd w:id="52"/>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rPr>
        <w:t xml:space="preserve">En </w:t>
      </w:r>
      <w:r w:rsidRPr="009B6FD5">
        <w:rPr>
          <w:rFonts w:ascii="Palatino Linotype" w:hAnsi="Palatino Linotype" w:cs="Arial"/>
          <w:color w:val="000000"/>
          <w:lang w:val="es-ES_tradnl"/>
        </w:rPr>
        <w:t>todos</w:t>
      </w:r>
      <w:r w:rsidRPr="009B6FD5">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9B6FD5">
        <w:rPr>
          <w:rFonts w:ascii="Palatino Linotype" w:hAnsi="Palatino Linotype"/>
          <w:b/>
          <w:color w:val="000000"/>
        </w:rPr>
        <w:t>qué no puede clasificarse como información reservada:</w:t>
      </w:r>
    </w:p>
    <w:p w:rsidR="003F6B0B" w:rsidRPr="009B6FD5" w:rsidRDefault="003F6B0B" w:rsidP="003F6B0B">
      <w:pPr>
        <w:spacing w:line="360" w:lineRule="auto"/>
        <w:ind w:right="49"/>
        <w:contextualSpacing/>
        <w:jc w:val="both"/>
        <w:rPr>
          <w:rFonts w:ascii="Palatino Linotype" w:hAnsi="Palatino Linotype"/>
          <w:b/>
          <w:color w:val="000000"/>
        </w:rPr>
      </w:pPr>
    </w:p>
    <w:p w:rsidR="003F6B0B" w:rsidRPr="009B6FD5" w:rsidRDefault="003F6B0B" w:rsidP="003F6B0B">
      <w:pPr>
        <w:spacing w:line="360" w:lineRule="auto"/>
        <w:ind w:left="567" w:right="567"/>
        <w:contextualSpacing/>
        <w:jc w:val="both"/>
        <w:rPr>
          <w:rFonts w:ascii="Palatino Linotype" w:hAnsi="Palatino Linotype"/>
          <w:b/>
          <w:i/>
          <w:iCs/>
          <w:color w:val="000000"/>
          <w:lang w:val="es-ES"/>
        </w:rPr>
      </w:pPr>
      <w:r w:rsidRPr="009B6FD5">
        <w:rPr>
          <w:rFonts w:ascii="Palatino Linotype" w:hAnsi="Palatino Linotype"/>
          <w:bCs/>
          <w:color w:val="000000"/>
          <w:lang w:val="es-ES"/>
        </w:rPr>
        <w:t>“</w:t>
      </w:r>
      <w:r w:rsidRPr="009B6FD5">
        <w:rPr>
          <w:rFonts w:ascii="Palatino Linotype" w:hAnsi="Palatino Linotype"/>
          <w:b/>
          <w:i/>
          <w:iCs/>
          <w:color w:val="000000"/>
          <w:lang w:val="es-ES"/>
        </w:rPr>
        <w:t>I. Se trate de violaciones graves de derechos humanos, calificada así por autoridad competente;</w:t>
      </w:r>
    </w:p>
    <w:p w:rsidR="003F6B0B" w:rsidRPr="009B6FD5" w:rsidRDefault="003F6B0B" w:rsidP="003F6B0B">
      <w:pPr>
        <w:spacing w:line="360" w:lineRule="auto"/>
        <w:ind w:left="567" w:right="567"/>
        <w:contextualSpacing/>
        <w:jc w:val="both"/>
        <w:rPr>
          <w:rFonts w:ascii="Palatino Linotype" w:hAnsi="Palatino Linotype"/>
          <w:b/>
          <w:i/>
          <w:iCs/>
          <w:color w:val="000000"/>
          <w:lang w:val="es-ES"/>
        </w:rPr>
      </w:pPr>
      <w:r w:rsidRPr="009B6FD5">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3F6B0B" w:rsidRPr="009B6FD5" w:rsidRDefault="003F6B0B" w:rsidP="003F6B0B">
      <w:pPr>
        <w:spacing w:line="360" w:lineRule="auto"/>
        <w:ind w:left="567" w:right="567"/>
        <w:contextualSpacing/>
        <w:jc w:val="both"/>
        <w:rPr>
          <w:rFonts w:ascii="Palatino Linotype" w:hAnsi="Palatino Linotype"/>
          <w:b/>
          <w:i/>
          <w:iCs/>
          <w:color w:val="000000"/>
          <w:lang w:val="es-ES"/>
        </w:rPr>
      </w:pPr>
      <w:r w:rsidRPr="009B6FD5">
        <w:rPr>
          <w:rFonts w:ascii="Palatino Linotype" w:hAnsi="Palatino Linotype"/>
          <w:b/>
          <w:i/>
          <w:iCs/>
          <w:color w:val="000000"/>
          <w:lang w:val="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3F6B0B" w:rsidRPr="009B6FD5" w:rsidRDefault="003F6B0B" w:rsidP="003F6B0B">
      <w:pPr>
        <w:spacing w:line="360" w:lineRule="auto"/>
        <w:ind w:left="567" w:right="567"/>
        <w:contextualSpacing/>
        <w:jc w:val="both"/>
        <w:rPr>
          <w:rFonts w:ascii="Palatino Linotype" w:hAnsi="Palatino Linotype"/>
          <w:bCs/>
          <w:color w:val="000000"/>
          <w:lang w:val="es-ES"/>
        </w:rPr>
      </w:pPr>
      <w:r w:rsidRPr="009B6FD5">
        <w:rPr>
          <w:rFonts w:ascii="Palatino Linotype" w:hAnsi="Palatino Linotype"/>
          <w:b/>
          <w:i/>
          <w:iCs/>
          <w:color w:val="000000"/>
          <w:lang w:val="es-ES"/>
        </w:rPr>
        <w:t>IV. Se trate de información relacionada con actos de corrupción de conformidad con las disposiciones jurídicas aplicables.</w:t>
      </w:r>
      <w:r w:rsidRPr="009B6FD5">
        <w:rPr>
          <w:rFonts w:ascii="Palatino Linotype" w:hAnsi="Palatino Linotype"/>
          <w:bCs/>
          <w:color w:val="000000"/>
          <w:lang w:val="es-ES"/>
        </w:rPr>
        <w:t>”</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rPr>
        <w:t>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w:t>
      </w:r>
    </w:p>
    <w:p w:rsidR="003F6B0B" w:rsidRPr="009B6FD5" w:rsidRDefault="003F6B0B" w:rsidP="003F6B0B">
      <w:pPr>
        <w:spacing w:line="360" w:lineRule="auto"/>
        <w:contextualSpacing/>
        <w:jc w:val="both"/>
        <w:rPr>
          <w:rFonts w:ascii="Palatino Linotype" w:hAnsi="Palatino Linotype"/>
          <w:color w:val="000000"/>
          <w:lang w:val="es-ES"/>
        </w:rPr>
      </w:pPr>
    </w:p>
    <w:p w:rsidR="003F6B0B" w:rsidRPr="009B6FD5" w:rsidRDefault="003F6B0B" w:rsidP="003F6B0B">
      <w:pPr>
        <w:keepNext/>
        <w:keepLines/>
        <w:pBdr>
          <w:top w:val="nil"/>
          <w:left w:val="nil"/>
          <w:bottom w:val="nil"/>
          <w:right w:val="nil"/>
          <w:between w:val="nil"/>
          <w:bar w:val="nil"/>
        </w:pBdr>
        <w:spacing w:line="360" w:lineRule="auto"/>
        <w:outlineLvl w:val="0"/>
        <w:rPr>
          <w:rFonts w:ascii="Palatino Linotype" w:hAnsi="Palatino Linotype"/>
          <w:b/>
          <w:color w:val="000000"/>
          <w:lang w:eastAsia="en-US"/>
        </w:rPr>
      </w:pPr>
      <w:bookmarkStart w:id="53" w:name="_Toc485631703"/>
      <w:bookmarkStart w:id="54" w:name="_Toc500756713"/>
      <w:bookmarkStart w:id="55" w:name="_Toc536691781"/>
      <w:bookmarkStart w:id="56" w:name="_Toc80889848"/>
      <w:bookmarkStart w:id="57" w:name="_Toc81384831"/>
      <w:bookmarkStart w:id="58" w:name="_Toc86261438"/>
      <w:r w:rsidRPr="009B6FD5">
        <w:rPr>
          <w:rFonts w:ascii="Palatino Linotype" w:hAnsi="Palatino Linotype"/>
          <w:b/>
          <w:color w:val="000000"/>
          <w:lang w:eastAsia="en-US"/>
        </w:rPr>
        <w:t>II. La intervención del Comité de Transparencia.</w:t>
      </w:r>
      <w:bookmarkEnd w:id="53"/>
      <w:bookmarkEnd w:id="54"/>
      <w:bookmarkEnd w:id="55"/>
      <w:bookmarkEnd w:id="56"/>
      <w:bookmarkEnd w:id="57"/>
      <w:bookmarkEnd w:id="58"/>
    </w:p>
    <w:p w:rsidR="003F6B0B" w:rsidRPr="009B6FD5" w:rsidRDefault="003F6B0B" w:rsidP="003F6B0B">
      <w:pPr>
        <w:spacing w:line="360" w:lineRule="auto"/>
        <w:contextualSpacing/>
        <w:jc w:val="both"/>
        <w:rPr>
          <w:rFonts w:ascii="Palatino Linotype" w:hAnsi="Palatino Linotype" w:cs="Arial"/>
          <w:b/>
          <w:color w:val="000000"/>
          <w:lang w:val="es-ES_tradnl"/>
        </w:rPr>
      </w:pPr>
    </w:p>
    <w:p w:rsidR="003F6B0B" w:rsidRPr="009B6FD5" w:rsidRDefault="003F6B0B" w:rsidP="003F6B0B">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59" w:name="_Toc485631704"/>
      <w:bookmarkStart w:id="60" w:name="_Toc500756714"/>
      <w:bookmarkStart w:id="61" w:name="_Toc536691782"/>
      <w:bookmarkStart w:id="62" w:name="_Toc80889849"/>
      <w:bookmarkStart w:id="63" w:name="_Toc81260560"/>
      <w:bookmarkStart w:id="64" w:name="_Toc81384832"/>
      <w:bookmarkStart w:id="65" w:name="_Toc86261439"/>
      <w:r w:rsidRPr="009B6FD5">
        <w:rPr>
          <w:rFonts w:ascii="Palatino Linotype" w:hAnsi="Palatino Linotype"/>
          <w:b/>
          <w:color w:val="000000"/>
          <w:lang w:eastAsia="en-US"/>
        </w:rPr>
        <w:t>a) Formalidades para emitir el acuerdo de clasificación.</w:t>
      </w:r>
      <w:bookmarkEnd w:id="59"/>
      <w:bookmarkEnd w:id="60"/>
      <w:bookmarkEnd w:id="61"/>
      <w:bookmarkEnd w:id="62"/>
      <w:bookmarkEnd w:id="63"/>
      <w:bookmarkEnd w:id="64"/>
      <w:bookmarkEnd w:id="65"/>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 xml:space="preserve">El </w:t>
      </w:r>
      <w:r w:rsidRPr="009B6FD5">
        <w:rPr>
          <w:rFonts w:ascii="Palatino Linotype" w:hAnsi="Palatino Linotype"/>
          <w:color w:val="000000"/>
        </w:rPr>
        <w:t>Comité</w:t>
      </w:r>
      <w:r w:rsidRPr="009B6FD5">
        <w:rPr>
          <w:rFonts w:ascii="Palatino Linotype" w:hAnsi="Palatino Linotype" w:cs="Arial"/>
          <w:color w:val="000000"/>
          <w:lang w:val="es-ES_tradnl"/>
        </w:rPr>
        <w:t xml:space="preserve"> de Transparencia, según lo dispuesto en los artículos 128 y 103 de la Ley Estatal y de la Ley General, respectivamente, y </w:t>
      </w:r>
      <w:r w:rsidRPr="009B6FD5">
        <w:rPr>
          <w:rFonts w:ascii="Palatino Linotype" w:hAnsi="Palatino Linotype"/>
          <w:color w:val="000000"/>
          <w:lang w:val="es-ES_tradnl"/>
        </w:rPr>
        <w:t xml:space="preserve">la fracción III del numeral Segundo de los </w:t>
      </w:r>
      <w:r w:rsidRPr="009B6FD5">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9B6FD5">
        <w:rPr>
          <w:rFonts w:ascii="Palatino Linotype" w:hAnsi="Palatino Linotype"/>
          <w:color w:val="000000"/>
          <w:lang w:val="es-ES_tradnl"/>
        </w:rPr>
        <w:t xml:space="preserve"> </w:t>
      </w:r>
      <w:r w:rsidRPr="009B6FD5">
        <w:rPr>
          <w:rFonts w:ascii="Palatino Linotype" w:hAnsi="Palatino Linotype" w:cs="Arial"/>
          <w:color w:val="000000"/>
          <w:lang w:val="es-ES_tradnl"/>
        </w:rPr>
        <w:t xml:space="preserve">cuenta con las facultades para confirmar, modificar o revocar la clasificación de la información que ha hecho el titular del área que administra la información. Por lo tanto, el Comité no aprueba la clasificación, sino que </w:t>
      </w:r>
      <w:r w:rsidRPr="009B6FD5">
        <w:rPr>
          <w:rFonts w:ascii="Palatino Linotype" w:hAnsi="Palatino Linotype" w:cs="Arial"/>
          <w:color w:val="000000"/>
          <w:lang w:val="es-ES_tradnl"/>
        </w:rPr>
        <w:lastRenderedPageBreak/>
        <w:t>revisa lo que ha hecho el titular del área y confirma, modifica o revoca la decisión a través de un acuerdo.</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 xml:space="preserve">La </w:t>
      </w:r>
      <w:r w:rsidRPr="009B6FD5">
        <w:rPr>
          <w:rFonts w:ascii="Palatino Linotype" w:hAnsi="Palatino Linotype" w:cs="Arial"/>
          <w:color w:val="000000"/>
          <w:lang w:val="es-ES_tradnl"/>
        </w:rPr>
        <w:t>decisión</w:t>
      </w:r>
      <w:r w:rsidRPr="009B6FD5">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keepNext/>
        <w:keepLines/>
        <w:pBdr>
          <w:top w:val="nil"/>
          <w:left w:val="nil"/>
          <w:bottom w:val="nil"/>
          <w:right w:val="nil"/>
          <w:between w:val="nil"/>
          <w:bar w:val="nil"/>
        </w:pBdr>
        <w:spacing w:line="360" w:lineRule="auto"/>
        <w:contextualSpacing/>
        <w:outlineLvl w:val="1"/>
        <w:rPr>
          <w:rFonts w:ascii="Palatino Linotype" w:hAnsi="Palatino Linotype"/>
          <w:b/>
          <w:color w:val="000000"/>
          <w:lang w:eastAsia="en-US"/>
        </w:rPr>
      </w:pPr>
      <w:bookmarkStart w:id="66" w:name="_Toc485631705"/>
      <w:bookmarkStart w:id="67" w:name="_Toc500756715"/>
      <w:bookmarkStart w:id="68" w:name="_Toc536691783"/>
      <w:bookmarkStart w:id="69" w:name="_Toc80889850"/>
      <w:bookmarkStart w:id="70" w:name="_Toc81260561"/>
      <w:bookmarkStart w:id="71" w:name="_Toc81384833"/>
      <w:bookmarkStart w:id="72" w:name="_Toc86261440"/>
      <w:r w:rsidRPr="009B6FD5">
        <w:rPr>
          <w:rFonts w:ascii="Palatino Linotype" w:hAnsi="Palatino Linotype"/>
          <w:b/>
          <w:color w:val="000000"/>
          <w:lang w:eastAsia="en-US"/>
        </w:rPr>
        <w:lastRenderedPageBreak/>
        <w:t>b) Requisitos de fondo del acuerdo de clasificación.</w:t>
      </w:r>
      <w:bookmarkEnd w:id="66"/>
      <w:bookmarkEnd w:id="67"/>
      <w:bookmarkEnd w:id="68"/>
      <w:bookmarkEnd w:id="69"/>
      <w:bookmarkEnd w:id="70"/>
      <w:bookmarkEnd w:id="71"/>
      <w:bookmarkEnd w:id="72"/>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 xml:space="preserve">Como </w:t>
      </w:r>
      <w:r w:rsidRPr="009B6FD5">
        <w:rPr>
          <w:rFonts w:ascii="Palatino Linotype" w:hAnsi="Palatino Linotype"/>
          <w:color w:val="000000"/>
          <w:lang w:val="es-ES_tradnl"/>
        </w:rPr>
        <w:t>se</w:t>
      </w:r>
      <w:r w:rsidRPr="009B6FD5">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 xml:space="preserve">De lo </w:t>
      </w:r>
      <w:r w:rsidRPr="009B6FD5">
        <w:rPr>
          <w:rFonts w:ascii="Palatino Linotype" w:hAnsi="Palatino Linotype" w:cs="Arial"/>
          <w:color w:val="000000"/>
          <w:lang w:val="es-ES_tradnl"/>
        </w:rPr>
        <w:t>anterior</w:t>
      </w:r>
      <w:r w:rsidRPr="009B6FD5">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1535CB"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Han sido vastos los estudios doctrinarios relativos a estos derechos fundamentales y al principio de legalidad en ellos contenidos; como ejemplo, el procesalista José Ovalle Fabela, en su obra “Garantías Constitucionales del Proceso”, refiere que “...</w:t>
      </w:r>
      <w:r w:rsidRPr="009B6FD5">
        <w:rPr>
          <w:rFonts w:ascii="Palatino Linotype" w:hAnsi="Palatino Linotype" w:cs="Arial"/>
          <w:i/>
          <w:iCs/>
          <w:color w:val="000000"/>
          <w:lang w:val="es-ES_tradnl"/>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9B6FD5">
        <w:rPr>
          <w:rFonts w:ascii="Palatino Linotype" w:hAnsi="Palatino Linotype" w:cs="Arial"/>
          <w:i/>
          <w:iCs/>
          <w:color w:val="000000"/>
          <w:lang w:val="es-ES_tradnl"/>
        </w:rPr>
        <w:lastRenderedPageBreak/>
        <w:t>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9B6FD5">
        <w:rPr>
          <w:rFonts w:ascii="Palatino Linotype" w:hAnsi="Palatino Linotype" w:cs="Arial"/>
          <w:color w:val="000000"/>
          <w:lang w:val="es-ES_tradnl"/>
        </w:rPr>
        <w:t>...”.</w:t>
      </w:r>
      <w:r w:rsidRPr="009B6FD5">
        <w:rPr>
          <w:rFonts w:ascii="Palatino Linotype" w:hAnsi="Palatino Linotype"/>
          <w:vertAlign w:val="superscript"/>
          <w:lang w:val="es-ES_tradnl"/>
        </w:rPr>
        <w:footnoteReference w:id="10"/>
      </w:r>
    </w:p>
    <w:p w:rsidR="001535CB" w:rsidRPr="009B6FD5" w:rsidRDefault="001535CB" w:rsidP="001535C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Por su parte, el intérprete judicial del país ha establecido una jurisprudencia respecto a qué debe entenderse por fundamentación y motivación, en los siguientes términos</w:t>
      </w:r>
      <w:r w:rsidRPr="009B6FD5">
        <w:rPr>
          <w:rFonts w:ascii="Palatino Linotype" w:hAnsi="Palatino Linotype"/>
          <w:i/>
          <w:vertAlign w:val="superscript"/>
          <w:lang w:val="es-ES_tradnl"/>
        </w:rPr>
        <w:footnoteReference w:id="11"/>
      </w:r>
      <w:r w:rsidRPr="009B6FD5">
        <w:rPr>
          <w:rFonts w:ascii="Palatino Linotype" w:hAnsi="Palatino Linotype" w:cs="Arial"/>
          <w:color w:val="000000"/>
          <w:lang w:val="es-ES_tradnl"/>
        </w:rPr>
        <w:t>:</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pStyle w:val="Prrafodelista"/>
        <w:spacing w:line="360" w:lineRule="auto"/>
        <w:ind w:left="644" w:right="618"/>
        <w:jc w:val="both"/>
        <w:rPr>
          <w:rFonts w:ascii="Palatino Linotype" w:hAnsi="Palatino Linotype" w:cs="Arial"/>
          <w:i/>
          <w:color w:val="000000"/>
          <w:lang w:val="es-ES_tradnl"/>
        </w:rPr>
      </w:pPr>
      <w:r w:rsidRPr="009B6FD5">
        <w:rPr>
          <w:rFonts w:ascii="Palatino Linotype" w:hAnsi="Palatino Linotype" w:cs="Arial"/>
          <w:b/>
          <w:i/>
          <w:color w:val="000000"/>
          <w:lang w:val="es-ES_tradnl"/>
        </w:rPr>
        <w:t>FUNDAMENTACIÓN Y MOTIVACIÓN.</w:t>
      </w:r>
      <w:r w:rsidRPr="009B6FD5">
        <w:rPr>
          <w:rFonts w:ascii="Palatino Linotype" w:hAnsi="Palatino Linotype" w:cs="Arial"/>
          <w:i/>
          <w:color w:val="000000"/>
          <w:lang w:val="es-ES_tradnl"/>
        </w:rPr>
        <w:t xml:space="preserve"> “La </w:t>
      </w:r>
      <w:r w:rsidRPr="009B6FD5">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9B6FD5">
        <w:rPr>
          <w:rFonts w:ascii="Palatino Linotype" w:hAnsi="Palatino Linotype" w:cs="Arial"/>
          <w:i/>
          <w:color w:val="000000"/>
          <w:lang w:val="es-ES_tradnl"/>
        </w:rPr>
        <w:t>.”</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En ese mismo sentido, el lineamiento trigésimo tercero fracción V de los Lineamientos Generales, precisa que para motivar la clasificación se deben acreditar las circunstancias de tiempo, modo y lugar.</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s="Arial"/>
          <w:color w:val="000000"/>
          <w:lang w:val="es-ES_tradnl"/>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9B6FD5">
        <w:rPr>
          <w:rFonts w:ascii="Palatino Linotype" w:hAnsi="Palatino Linotype"/>
          <w:color w:val="000000"/>
          <w:lang w:val="es-ES_tradnl"/>
        </w:rPr>
        <w:t xml:space="preserve"> </w:t>
      </w:r>
      <w:r w:rsidRPr="009B6FD5">
        <w:rPr>
          <w:rFonts w:ascii="Palatino Linotype" w:hAnsi="Palatino Linotype" w:cs="Arial"/>
          <w:color w:val="000000"/>
          <w:lang w:val="es-ES_tradnl"/>
        </w:rPr>
        <w:t>datos personales</w:t>
      </w:r>
      <w:r w:rsidRPr="009B6FD5">
        <w:rPr>
          <w:rFonts w:ascii="Palatino Linotype" w:hAnsi="Palatino Linotype"/>
          <w:vertAlign w:val="superscript"/>
          <w:lang w:val="es-ES_tradnl"/>
        </w:rPr>
        <w:footnoteReference w:id="12"/>
      </w:r>
      <w:r w:rsidRPr="009B6FD5">
        <w:rPr>
          <w:rFonts w:ascii="Palatino Linotype" w:hAnsi="Palatino Linotype" w:cs="Arial"/>
          <w:color w:val="000000"/>
          <w:lang w:val="es-ES_tradnl"/>
        </w:rPr>
        <w:t xml:space="preserve"> del servidor público que no tienen ninguna injerencia en el tema de la transparencia y la rendición de cuentas,  por ejemplo, </w:t>
      </w:r>
      <w:r w:rsidRPr="009B6FD5">
        <w:rPr>
          <w:rFonts w:ascii="Palatino Linotype" w:eastAsia="Calibri" w:hAnsi="Palatino Linotype" w:cs="Arial"/>
          <w:color w:val="000000"/>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w:t>
      </w:r>
      <w:r w:rsidRPr="009B6FD5">
        <w:rPr>
          <w:rFonts w:ascii="Palatino Linotype" w:eastAsia="Calibri" w:hAnsi="Palatino Linotype" w:cs="Arial"/>
          <w:color w:val="000000"/>
        </w:rPr>
        <w:lastRenderedPageBreak/>
        <w:t xml:space="preserve">mediante una versión pública que deje a la vista los datos que ofrezcan la información requerida.  </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s="Arial"/>
          <w:color w:val="000000"/>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keepNext/>
        <w:keepLines/>
        <w:pBdr>
          <w:top w:val="nil"/>
          <w:left w:val="nil"/>
          <w:bottom w:val="nil"/>
          <w:right w:val="nil"/>
          <w:between w:val="nil"/>
          <w:bar w:val="nil"/>
        </w:pBdr>
        <w:spacing w:line="360" w:lineRule="auto"/>
        <w:ind w:left="644"/>
        <w:contextualSpacing/>
        <w:jc w:val="both"/>
        <w:outlineLvl w:val="1"/>
        <w:rPr>
          <w:rFonts w:ascii="Palatino Linotype" w:hAnsi="Palatino Linotype"/>
          <w:b/>
          <w:color w:val="000000"/>
          <w:lang w:eastAsia="en-US"/>
        </w:rPr>
      </w:pPr>
      <w:bookmarkStart w:id="73" w:name="_Toc485631710"/>
      <w:bookmarkStart w:id="74" w:name="_Toc500756720"/>
      <w:bookmarkStart w:id="75" w:name="_Toc536691788"/>
      <w:bookmarkStart w:id="76" w:name="_Toc80889855"/>
      <w:bookmarkStart w:id="77" w:name="_Toc81260565"/>
      <w:bookmarkStart w:id="78" w:name="_Toc81384837"/>
      <w:bookmarkStart w:id="79" w:name="_Toc86261441"/>
      <w:r w:rsidRPr="009B6FD5">
        <w:rPr>
          <w:rFonts w:ascii="Palatino Linotype" w:hAnsi="Palatino Linotype"/>
          <w:b/>
          <w:color w:val="000000"/>
          <w:lang w:eastAsia="en-US"/>
        </w:rPr>
        <w:t>Condiciones especiales de la clasificación de la información como confidencial.</w:t>
      </w:r>
      <w:bookmarkEnd w:id="73"/>
      <w:bookmarkEnd w:id="74"/>
      <w:bookmarkEnd w:id="75"/>
      <w:bookmarkEnd w:id="76"/>
      <w:bookmarkEnd w:id="77"/>
      <w:bookmarkEnd w:id="78"/>
      <w:bookmarkEnd w:id="79"/>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Lo</w:t>
      </w:r>
      <w:r w:rsidRPr="009B6FD5">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pStyle w:val="Prrafodelista"/>
        <w:spacing w:line="360" w:lineRule="auto"/>
        <w:ind w:left="644" w:right="567"/>
        <w:jc w:val="both"/>
        <w:rPr>
          <w:rFonts w:ascii="Palatino Linotype" w:hAnsi="Palatino Linotype"/>
          <w:bCs/>
          <w:i/>
          <w:iCs/>
          <w:color w:val="000000"/>
          <w:lang w:val="es-ES"/>
        </w:rPr>
      </w:pPr>
      <w:r w:rsidRPr="009B6FD5">
        <w:rPr>
          <w:rFonts w:ascii="Palatino Linotype" w:hAnsi="Palatino Linotype"/>
          <w:bCs/>
          <w:i/>
          <w:iCs/>
          <w:color w:val="000000"/>
          <w:lang w:val="es-ES"/>
        </w:rPr>
        <w:t>“</w:t>
      </w:r>
      <w:r w:rsidRPr="009B6FD5">
        <w:rPr>
          <w:rFonts w:ascii="Palatino Linotype" w:hAnsi="Palatino Linotype"/>
          <w:b/>
          <w:i/>
          <w:iCs/>
          <w:color w:val="000000"/>
          <w:lang w:val="es-ES"/>
        </w:rPr>
        <w:t>I.</w:t>
      </w:r>
      <w:r w:rsidRPr="009B6FD5">
        <w:rPr>
          <w:rFonts w:ascii="Palatino Linotype" w:hAnsi="Palatino Linotype"/>
          <w:i/>
          <w:iCs/>
          <w:color w:val="000000"/>
          <w:lang w:val="es-ES"/>
        </w:rPr>
        <w:t xml:space="preserve"> La información se encuentre en registros públicos o fuentes de acceso público;</w:t>
      </w:r>
    </w:p>
    <w:p w:rsidR="003F6B0B" w:rsidRPr="009B6FD5" w:rsidRDefault="003F6B0B" w:rsidP="003F6B0B">
      <w:pPr>
        <w:pStyle w:val="Prrafodelista"/>
        <w:spacing w:line="360" w:lineRule="auto"/>
        <w:ind w:left="644" w:right="567"/>
        <w:jc w:val="both"/>
        <w:rPr>
          <w:rFonts w:ascii="Palatino Linotype" w:hAnsi="Palatino Linotype"/>
          <w:bCs/>
          <w:i/>
          <w:iCs/>
          <w:color w:val="000000"/>
          <w:lang w:val="es-ES"/>
        </w:rPr>
      </w:pPr>
      <w:r w:rsidRPr="009B6FD5">
        <w:rPr>
          <w:rFonts w:ascii="Palatino Linotype" w:hAnsi="Palatino Linotype"/>
          <w:b/>
          <w:i/>
          <w:iCs/>
          <w:color w:val="000000"/>
          <w:lang w:val="es-ES"/>
        </w:rPr>
        <w:t>II.</w:t>
      </w:r>
      <w:r w:rsidRPr="009B6FD5">
        <w:rPr>
          <w:rFonts w:ascii="Palatino Linotype" w:hAnsi="Palatino Linotype"/>
          <w:bCs/>
          <w:i/>
          <w:iCs/>
          <w:color w:val="000000"/>
          <w:lang w:val="es-ES"/>
        </w:rPr>
        <w:t xml:space="preserve"> </w:t>
      </w:r>
      <w:r w:rsidRPr="009B6FD5">
        <w:rPr>
          <w:rFonts w:ascii="Palatino Linotype" w:hAnsi="Palatino Linotype"/>
          <w:i/>
          <w:iCs/>
          <w:color w:val="000000"/>
          <w:lang w:val="es-ES"/>
        </w:rPr>
        <w:t>Por Ley tenga el carácter de pública;</w:t>
      </w:r>
    </w:p>
    <w:p w:rsidR="003F6B0B" w:rsidRPr="009B6FD5" w:rsidRDefault="003F6B0B" w:rsidP="003F6B0B">
      <w:pPr>
        <w:pStyle w:val="Prrafodelista"/>
        <w:spacing w:line="360" w:lineRule="auto"/>
        <w:ind w:left="644" w:right="567"/>
        <w:jc w:val="both"/>
        <w:rPr>
          <w:rFonts w:ascii="Palatino Linotype" w:hAnsi="Palatino Linotype"/>
          <w:i/>
          <w:iCs/>
          <w:color w:val="000000"/>
          <w:lang w:val="es-ES"/>
        </w:rPr>
      </w:pPr>
      <w:r w:rsidRPr="009B6FD5">
        <w:rPr>
          <w:rFonts w:ascii="Palatino Linotype" w:hAnsi="Palatino Linotype"/>
          <w:b/>
          <w:i/>
          <w:iCs/>
          <w:color w:val="000000"/>
          <w:lang w:val="es-ES"/>
        </w:rPr>
        <w:t>III.</w:t>
      </w:r>
      <w:r w:rsidRPr="009B6FD5">
        <w:rPr>
          <w:rFonts w:ascii="Palatino Linotype" w:hAnsi="Palatino Linotype"/>
          <w:bCs/>
          <w:i/>
          <w:iCs/>
          <w:color w:val="000000"/>
          <w:lang w:val="es-ES"/>
        </w:rPr>
        <w:t xml:space="preserve"> </w:t>
      </w:r>
      <w:r w:rsidRPr="009B6FD5">
        <w:rPr>
          <w:rFonts w:ascii="Palatino Linotype" w:hAnsi="Palatino Linotype"/>
          <w:i/>
          <w:iCs/>
          <w:color w:val="000000"/>
          <w:lang w:val="es-ES"/>
        </w:rPr>
        <w:t xml:space="preserve">Exista una orden judicial; </w:t>
      </w:r>
    </w:p>
    <w:p w:rsidR="003F6B0B" w:rsidRPr="009B6FD5" w:rsidRDefault="003F6B0B" w:rsidP="003F6B0B">
      <w:pPr>
        <w:pStyle w:val="Prrafodelista"/>
        <w:spacing w:line="360" w:lineRule="auto"/>
        <w:ind w:left="644" w:right="567"/>
        <w:jc w:val="both"/>
        <w:rPr>
          <w:rFonts w:ascii="Palatino Linotype" w:hAnsi="Palatino Linotype"/>
          <w:i/>
          <w:iCs/>
          <w:color w:val="000000"/>
          <w:lang w:val="es-ES"/>
        </w:rPr>
      </w:pPr>
      <w:r w:rsidRPr="009B6FD5">
        <w:rPr>
          <w:rFonts w:ascii="Palatino Linotype" w:hAnsi="Palatino Linotype"/>
          <w:b/>
          <w:i/>
          <w:iCs/>
          <w:color w:val="000000"/>
          <w:lang w:val="es-ES"/>
        </w:rPr>
        <w:t>IV.</w:t>
      </w:r>
      <w:r w:rsidRPr="009B6FD5">
        <w:rPr>
          <w:rFonts w:ascii="Palatino Linotype" w:hAnsi="Palatino Linotype"/>
          <w:bCs/>
          <w:i/>
          <w:iCs/>
          <w:color w:val="000000"/>
          <w:lang w:val="es-ES"/>
        </w:rPr>
        <w:t xml:space="preserve"> </w:t>
      </w:r>
      <w:r w:rsidRPr="009B6FD5">
        <w:rPr>
          <w:rFonts w:ascii="Palatino Linotype" w:hAnsi="Palatino Linotype"/>
          <w:i/>
          <w:iCs/>
          <w:color w:val="000000"/>
          <w:lang w:val="es-ES"/>
        </w:rPr>
        <w:t xml:space="preserve">Por razones de seguridad pública, o para proteger los derechos de terceros, se requiera su publicación; o </w:t>
      </w:r>
    </w:p>
    <w:p w:rsidR="003F6B0B" w:rsidRPr="009B6FD5" w:rsidRDefault="003F6B0B" w:rsidP="003F6B0B">
      <w:pPr>
        <w:pStyle w:val="Prrafodelista"/>
        <w:spacing w:line="360" w:lineRule="auto"/>
        <w:ind w:left="644" w:right="567"/>
        <w:jc w:val="both"/>
        <w:rPr>
          <w:rFonts w:ascii="Palatino Linotype" w:hAnsi="Palatino Linotype"/>
          <w:i/>
          <w:iCs/>
          <w:color w:val="000000"/>
          <w:lang w:val="es-ES"/>
        </w:rPr>
      </w:pPr>
      <w:r w:rsidRPr="009B6FD5">
        <w:rPr>
          <w:rFonts w:ascii="Palatino Linotype" w:hAnsi="Palatino Linotype"/>
          <w:b/>
          <w:i/>
          <w:iCs/>
          <w:color w:val="000000"/>
          <w:lang w:val="es-ES"/>
        </w:rPr>
        <w:t>V.</w:t>
      </w:r>
      <w:r w:rsidRPr="009B6FD5">
        <w:rPr>
          <w:rFonts w:ascii="Palatino Linotype" w:hAnsi="Palatino Linotype"/>
          <w:bCs/>
          <w:i/>
          <w:iCs/>
          <w:color w:val="000000"/>
          <w:lang w:val="es-ES"/>
        </w:rPr>
        <w:t xml:space="preserve"> </w:t>
      </w:r>
      <w:r w:rsidRPr="009B6FD5">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olor w:val="000000"/>
          <w:lang w:eastAsia="en-US"/>
        </w:rPr>
        <w:t>En</w:t>
      </w:r>
      <w:r w:rsidRPr="009B6FD5">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olor w:val="000000"/>
          <w:lang w:eastAsia="en-US"/>
        </w:rPr>
        <w:t>Pero</w:t>
      </w:r>
      <w:r w:rsidRPr="009B6FD5">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eastAsia="Calibri" w:hAnsi="Palatino Linotype"/>
          <w:color w:val="000000"/>
          <w:lang w:eastAsia="en-US"/>
        </w:rPr>
        <w:t>Los</w:t>
      </w:r>
      <w:r w:rsidRPr="009B6FD5">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la siguiente tabla.</w:t>
      </w:r>
    </w:p>
    <w:p w:rsidR="003F6B0B" w:rsidRPr="009B6FD5" w:rsidRDefault="003F6B0B" w:rsidP="003F6B0B">
      <w:pPr>
        <w:spacing w:line="360" w:lineRule="auto"/>
        <w:ind w:right="49"/>
        <w:contextualSpacing/>
        <w:jc w:val="both"/>
        <w:rPr>
          <w:rFonts w:ascii="Palatino Linotype" w:hAnsi="Palatino Linotype"/>
          <w:color w:val="000000"/>
          <w:lang w:val="es-ES_tradnl"/>
        </w:rPr>
      </w:pPr>
    </w:p>
    <w:tbl>
      <w:tblPr>
        <w:tblStyle w:val="Tablaconcuadrcula"/>
        <w:tblW w:w="8451" w:type="dxa"/>
        <w:tblLook w:val="04A0" w:firstRow="1" w:lastRow="0" w:firstColumn="1" w:lastColumn="0" w:noHBand="0" w:noVBand="1"/>
      </w:tblPr>
      <w:tblGrid>
        <w:gridCol w:w="2155"/>
        <w:gridCol w:w="1759"/>
        <w:gridCol w:w="2269"/>
        <w:gridCol w:w="2268"/>
      </w:tblGrid>
      <w:tr w:rsidR="003F6B0B" w:rsidRPr="009B6FD5" w:rsidTr="003F6B0B">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Requisitos previos</w:t>
            </w: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Los sujetos obligados determinan que la información actualiza alguno de los </w:t>
            </w:r>
            <w:r w:rsidRPr="009B6FD5">
              <w:rPr>
                <w:rFonts w:ascii="Palatino Linotype" w:hAnsi="Palatino Linotype"/>
                <w:color w:val="000000"/>
                <w:sz w:val="22"/>
              </w:rPr>
              <w:lastRenderedPageBreak/>
              <w:t>supuestos de clasificación:</w:t>
            </w:r>
          </w:p>
        </w:tc>
        <w:tc>
          <w:tcPr>
            <w:tcW w:w="2269" w:type="dxa"/>
          </w:tcPr>
          <w:p w:rsidR="003F6B0B" w:rsidRPr="009B6FD5" w:rsidRDefault="003F6B0B" w:rsidP="001535CB">
            <w:pPr>
              <w:jc w:val="both"/>
              <w:rPr>
                <w:rFonts w:ascii="Palatino Linotype" w:hAnsi="Palatino Linotype"/>
                <w:color w:val="000000"/>
                <w:sz w:val="22"/>
              </w:rPr>
            </w:pPr>
          </w:p>
          <w:p w:rsidR="003F6B0B" w:rsidRPr="009B6FD5" w:rsidRDefault="003F6B0B" w:rsidP="001535CB">
            <w:pPr>
              <w:numPr>
                <w:ilvl w:val="0"/>
                <w:numId w:val="31"/>
              </w:numPr>
              <w:contextualSpacing/>
              <w:jc w:val="both"/>
              <w:rPr>
                <w:rFonts w:ascii="Palatino Linotype" w:hAnsi="Palatino Linotype"/>
                <w:color w:val="000000"/>
                <w:sz w:val="22"/>
              </w:rPr>
            </w:pPr>
            <w:r w:rsidRPr="009B6FD5">
              <w:rPr>
                <w:rFonts w:ascii="Palatino Linotype" w:hAnsi="Palatino Linotype"/>
                <w:color w:val="000000"/>
                <w:sz w:val="22"/>
              </w:rPr>
              <w:t xml:space="preserve">Confidencialidad </w:t>
            </w:r>
          </w:p>
          <w:p w:rsidR="003F6B0B" w:rsidRPr="009B6FD5" w:rsidRDefault="003F6B0B" w:rsidP="001535CB">
            <w:pPr>
              <w:numPr>
                <w:ilvl w:val="0"/>
                <w:numId w:val="31"/>
              </w:numPr>
              <w:contextualSpacing/>
              <w:jc w:val="both"/>
              <w:rPr>
                <w:rFonts w:ascii="Palatino Linotype" w:hAnsi="Palatino Linotype"/>
                <w:color w:val="000000"/>
                <w:sz w:val="22"/>
              </w:rPr>
            </w:pPr>
            <w:r w:rsidRPr="009B6FD5">
              <w:rPr>
                <w:rFonts w:ascii="Palatino Linotype" w:hAnsi="Palatino Linotype"/>
                <w:color w:val="000000"/>
                <w:sz w:val="22"/>
              </w:rPr>
              <w:t>Reserva</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Los titulares de las áreas que administran la información son los que aprueban la clasificación </w:t>
            </w:r>
          </w:p>
        </w:tc>
        <w:tc>
          <w:tcPr>
            <w:tcW w:w="2269" w:type="dxa"/>
          </w:tcPr>
          <w:p w:rsidR="003F6B0B" w:rsidRPr="009B6FD5" w:rsidRDefault="003F6B0B" w:rsidP="001535CB">
            <w:pPr>
              <w:jc w:val="both"/>
              <w:rPr>
                <w:rFonts w:ascii="Palatino Linotype" w:hAnsi="Palatino Linotype"/>
                <w:color w:val="000000"/>
                <w:sz w:val="22"/>
              </w:rPr>
            </w:pP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La clasificación de la información se realiza al momento de:</w:t>
            </w:r>
          </w:p>
        </w:tc>
        <w:tc>
          <w:tcPr>
            <w:tcW w:w="2269" w:type="dxa"/>
          </w:tcPr>
          <w:p w:rsidR="003F6B0B" w:rsidRPr="009B6FD5" w:rsidRDefault="003F6B0B" w:rsidP="001535CB">
            <w:pPr>
              <w:numPr>
                <w:ilvl w:val="0"/>
                <w:numId w:val="30"/>
              </w:numPr>
              <w:contextualSpacing/>
              <w:jc w:val="both"/>
              <w:rPr>
                <w:rFonts w:ascii="Palatino Linotype" w:hAnsi="Palatino Linotype"/>
                <w:color w:val="000000"/>
                <w:sz w:val="22"/>
              </w:rPr>
            </w:pPr>
            <w:r w:rsidRPr="009B6FD5">
              <w:rPr>
                <w:rFonts w:ascii="Palatino Linotype" w:hAnsi="Palatino Linotype"/>
                <w:color w:val="000000"/>
                <w:sz w:val="22"/>
              </w:rPr>
              <w:t>Atender una solicitud</w:t>
            </w:r>
          </w:p>
          <w:p w:rsidR="003F6B0B" w:rsidRPr="009B6FD5" w:rsidRDefault="003F6B0B" w:rsidP="001535CB">
            <w:pPr>
              <w:numPr>
                <w:ilvl w:val="0"/>
                <w:numId w:val="30"/>
              </w:numPr>
              <w:contextualSpacing/>
              <w:jc w:val="both"/>
              <w:rPr>
                <w:rFonts w:ascii="Palatino Linotype" w:hAnsi="Palatino Linotype"/>
                <w:color w:val="000000"/>
                <w:sz w:val="22"/>
              </w:rPr>
            </w:pPr>
            <w:r w:rsidRPr="009B6FD5">
              <w:rPr>
                <w:rFonts w:ascii="Palatino Linotype" w:hAnsi="Palatino Linotype"/>
                <w:color w:val="000000"/>
                <w:sz w:val="22"/>
              </w:rPr>
              <w:t>Por mandato de una autoridad competente</w:t>
            </w:r>
          </w:p>
          <w:p w:rsidR="003F6B0B" w:rsidRPr="009B6FD5" w:rsidRDefault="003F6B0B" w:rsidP="001535CB">
            <w:pPr>
              <w:numPr>
                <w:ilvl w:val="0"/>
                <w:numId w:val="30"/>
              </w:numPr>
              <w:contextualSpacing/>
              <w:jc w:val="both"/>
              <w:rPr>
                <w:rFonts w:ascii="Palatino Linotype" w:hAnsi="Palatino Linotype"/>
                <w:color w:val="000000"/>
                <w:sz w:val="22"/>
              </w:rPr>
            </w:pPr>
            <w:r w:rsidRPr="009B6FD5">
              <w:rPr>
                <w:rFonts w:ascii="Palatino Linotype" w:hAnsi="Palatino Linotype"/>
                <w:color w:val="000000"/>
                <w:sz w:val="22"/>
              </w:rPr>
              <w:t>Para elaborar una versión pública y cumplir una obligación de transparencia</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No se pueden emitir acuerdos de carácter general ni particular</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El </w:t>
            </w:r>
            <w:r w:rsidRPr="009B6FD5">
              <w:rPr>
                <w:rFonts w:ascii="Palatino Linotype" w:hAnsi="Palatino Linotype"/>
                <w:b/>
                <w:bCs/>
                <w:color w:val="000000"/>
                <w:sz w:val="22"/>
              </w:rPr>
              <w:t>SUJETO OBLIGADO</w:t>
            </w:r>
            <w:r w:rsidRPr="009B6FD5">
              <w:rPr>
                <w:rFonts w:ascii="Palatino Linotype" w:hAnsi="Palatino Linotype"/>
                <w:color w:val="000000"/>
                <w:sz w:val="22"/>
              </w:rPr>
              <w:t xml:space="preserve"> debe emitir un acuerdo describiendo y analizando cada documento de un expediente y todos los datos incluidos en un documento </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Supuestos de clasificación</w:t>
            </w: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Para clasificar la información como reservada hay</w:t>
            </w:r>
          </w:p>
        </w:tc>
        <w:tc>
          <w:tcPr>
            <w:tcW w:w="2269" w:type="dxa"/>
          </w:tcPr>
          <w:p w:rsidR="003F6B0B" w:rsidRPr="009B6FD5" w:rsidRDefault="003F6B0B" w:rsidP="001535CB">
            <w:pPr>
              <w:numPr>
                <w:ilvl w:val="0"/>
                <w:numId w:val="32"/>
              </w:numPr>
              <w:contextualSpacing/>
              <w:jc w:val="both"/>
              <w:rPr>
                <w:rFonts w:ascii="Palatino Linotype" w:hAnsi="Palatino Linotype"/>
                <w:color w:val="000000"/>
                <w:sz w:val="22"/>
              </w:rPr>
            </w:pPr>
            <w:r w:rsidRPr="009B6FD5">
              <w:rPr>
                <w:rFonts w:ascii="Palatino Linotype" w:hAnsi="Palatino Linotype"/>
                <w:color w:val="000000"/>
                <w:sz w:val="22"/>
              </w:rPr>
              <w:t>11 supuestos en la Ley Estatal</w:t>
            </w:r>
          </w:p>
          <w:p w:rsidR="003F6B0B" w:rsidRPr="009B6FD5" w:rsidRDefault="003F6B0B" w:rsidP="001535CB">
            <w:pPr>
              <w:numPr>
                <w:ilvl w:val="0"/>
                <w:numId w:val="32"/>
              </w:numPr>
              <w:contextualSpacing/>
              <w:jc w:val="both"/>
              <w:rPr>
                <w:rFonts w:ascii="Palatino Linotype" w:hAnsi="Palatino Linotype"/>
                <w:color w:val="000000"/>
                <w:sz w:val="22"/>
              </w:rPr>
            </w:pPr>
            <w:r w:rsidRPr="009B6FD5">
              <w:rPr>
                <w:rFonts w:ascii="Palatino Linotype" w:hAnsi="Palatino Linotype"/>
                <w:color w:val="000000"/>
                <w:sz w:val="22"/>
              </w:rPr>
              <w:t>13 supuestos en la Ley General</w:t>
            </w:r>
          </w:p>
        </w:tc>
        <w:tc>
          <w:tcPr>
            <w:tcW w:w="2268"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El </w:t>
            </w:r>
            <w:r w:rsidRPr="009B6FD5">
              <w:rPr>
                <w:rFonts w:ascii="Palatino Linotype" w:hAnsi="Palatino Linotype"/>
                <w:b/>
                <w:bCs/>
                <w:color w:val="000000"/>
                <w:sz w:val="22"/>
              </w:rPr>
              <w:t>SUJETO OBLIGADO</w:t>
            </w:r>
            <w:r w:rsidRPr="009B6FD5">
              <w:rPr>
                <w:rFonts w:ascii="Palatino Linotype" w:hAnsi="Palatino Linotype"/>
                <w:color w:val="000000"/>
                <w:sz w:val="22"/>
              </w:rPr>
              <w:t xml:space="preserve"> debe identificar claramente la información que se pretende clasificar y realizar un juicio de subsunción o encaje</w:t>
            </w: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Para clasificar la información como </w:t>
            </w:r>
            <w:r w:rsidRPr="009B6FD5">
              <w:rPr>
                <w:rFonts w:ascii="Palatino Linotype" w:hAnsi="Palatino Linotype"/>
                <w:color w:val="000000"/>
                <w:sz w:val="22"/>
              </w:rPr>
              <w:lastRenderedPageBreak/>
              <w:t>confidencial hay</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lastRenderedPageBreak/>
              <w:t>que considerar la definición de dato personal</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Estos supuestos se aplican de manera restrictiva y estricta, no pueden ampliarse</w:t>
            </w:r>
          </w:p>
        </w:tc>
        <w:tc>
          <w:tcPr>
            <w:tcW w:w="2269" w:type="dxa"/>
          </w:tcPr>
          <w:p w:rsidR="003F6B0B" w:rsidRPr="009B6FD5" w:rsidRDefault="003F6B0B" w:rsidP="001535CB">
            <w:pPr>
              <w:jc w:val="both"/>
              <w:rPr>
                <w:rFonts w:ascii="Palatino Linotype" w:hAnsi="Palatino Linotype"/>
                <w:color w:val="000000"/>
                <w:sz w:val="22"/>
              </w:rPr>
            </w:pP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Excepciones a la clasificación de reserva</w:t>
            </w:r>
          </w:p>
        </w:tc>
        <w:tc>
          <w:tcPr>
            <w:tcW w:w="1759" w:type="dxa"/>
            <w:vMerge w:val="restart"/>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No puede clasificarse como información reservada la concerniente a:</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Actos (probados o en investigación) graves de violaciones a derechos humanos</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Delitos de </w:t>
            </w:r>
            <w:r w:rsidR="001535CB" w:rsidRPr="009B6FD5">
              <w:rPr>
                <w:rFonts w:ascii="Palatino Linotype" w:hAnsi="Palatino Linotype"/>
                <w:color w:val="000000"/>
                <w:sz w:val="22"/>
              </w:rPr>
              <w:t>lesa</w:t>
            </w:r>
            <w:r w:rsidRPr="009B6FD5">
              <w:rPr>
                <w:rFonts w:ascii="Palatino Linotype" w:hAnsi="Palatino Linotype"/>
                <w:color w:val="000000"/>
                <w:sz w:val="22"/>
              </w:rPr>
              <w:t xml:space="preserve"> humanidad</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Actos de Corrupción</w:t>
            </w:r>
          </w:p>
        </w:tc>
        <w:tc>
          <w:tcPr>
            <w:tcW w:w="2268"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Los comprendidos en el Título Sexto del Código Penal del Estado</w:t>
            </w:r>
          </w:p>
        </w:tc>
      </w:tr>
      <w:tr w:rsidR="003F6B0B" w:rsidRPr="009B6FD5" w:rsidTr="003F6B0B">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Participación del Comité de Transparencia</w:t>
            </w:r>
          </w:p>
        </w:tc>
        <w:tc>
          <w:tcPr>
            <w:tcW w:w="1759" w:type="dxa"/>
            <w:vMerge w:val="restart"/>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Formalidades</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El Comité debe de estar debidamente integrado</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El Comité no aprueba la clasificación, sólo: confirma, modifica o revoca la decisión de las áreas </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Fondo del acuerdo de clasificación</w:t>
            </w: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La carga de la prueba para justificar la restricción corresponde al </w:t>
            </w:r>
            <w:r w:rsidRPr="009B6FD5">
              <w:rPr>
                <w:rFonts w:ascii="Palatino Linotype" w:hAnsi="Palatino Linotype"/>
                <w:b/>
                <w:bCs/>
                <w:color w:val="000000"/>
                <w:sz w:val="22"/>
              </w:rPr>
              <w:t>SUJETO OBLIGADO</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Deber de fundar y motivar</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rPr>
          <w:trHeight w:val="685"/>
        </w:trPr>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Condiciones especiales de la reserva</w:t>
            </w:r>
          </w:p>
        </w:tc>
        <w:tc>
          <w:tcPr>
            <w:tcW w:w="1759" w:type="dxa"/>
            <w:vMerge w:val="restart"/>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Motivar implica</w:t>
            </w:r>
          </w:p>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Además se debe aplicar, caso por caso, </w:t>
            </w:r>
            <w:r w:rsidRPr="009B6FD5">
              <w:rPr>
                <w:rFonts w:ascii="Palatino Linotype" w:hAnsi="Palatino Linotype"/>
                <w:color w:val="000000"/>
                <w:sz w:val="22"/>
              </w:rPr>
              <w:lastRenderedPageBreak/>
              <w:t>una prueba de daño.</w:t>
            </w:r>
          </w:p>
        </w:tc>
        <w:tc>
          <w:tcPr>
            <w:tcW w:w="2269" w:type="dxa"/>
            <w:vMerge w:val="restart"/>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lastRenderedPageBreak/>
              <w:t>Señalar las razones, motivos o circunstancias.</w:t>
            </w:r>
          </w:p>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lastRenderedPageBreak/>
              <w:t>Se deben señalar las razones objetivas y acreditar.</w:t>
            </w:r>
          </w:p>
          <w:p w:rsidR="003F6B0B" w:rsidRPr="009B6FD5" w:rsidRDefault="003F6B0B" w:rsidP="001535CB">
            <w:pPr>
              <w:jc w:val="both"/>
              <w:rPr>
                <w:rFonts w:ascii="Palatino Linotype" w:hAnsi="Palatino Linotype"/>
                <w:color w:val="000000"/>
                <w:sz w:val="22"/>
              </w:rPr>
            </w:pPr>
          </w:p>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*Adquiere la condición especial de ser temporal por un periodo de 5 años con la posibilidad de ampliarse por un periodo igual.</w:t>
            </w:r>
          </w:p>
        </w:tc>
        <w:tc>
          <w:tcPr>
            <w:tcW w:w="2268" w:type="dxa"/>
            <w:vMerge w:val="restart"/>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lastRenderedPageBreak/>
              <w:t xml:space="preserve">Que entregar la información provoca un riesgo real, demostrable e identificable al </w:t>
            </w:r>
            <w:r w:rsidRPr="009B6FD5">
              <w:rPr>
                <w:rFonts w:ascii="Palatino Linotype" w:hAnsi="Palatino Linotype"/>
                <w:color w:val="000000"/>
                <w:sz w:val="22"/>
              </w:rPr>
              <w:lastRenderedPageBreak/>
              <w:t>interés público o a la seguridad pública</w:t>
            </w:r>
          </w:p>
        </w:tc>
      </w:tr>
      <w:tr w:rsidR="003F6B0B" w:rsidRPr="009B6FD5" w:rsidTr="003F6B0B">
        <w:trPr>
          <w:trHeight w:val="685"/>
        </w:trPr>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vMerge/>
          </w:tcPr>
          <w:p w:rsidR="003F6B0B" w:rsidRPr="009B6FD5" w:rsidRDefault="003F6B0B" w:rsidP="001535CB">
            <w:pPr>
              <w:jc w:val="both"/>
              <w:rPr>
                <w:rFonts w:ascii="Palatino Linotype" w:hAnsi="Palatino Linotype"/>
                <w:color w:val="000000"/>
                <w:sz w:val="22"/>
              </w:rPr>
            </w:pPr>
          </w:p>
        </w:tc>
        <w:tc>
          <w:tcPr>
            <w:tcW w:w="2268" w:type="dxa"/>
            <w:vMerge/>
          </w:tcPr>
          <w:p w:rsidR="003F6B0B" w:rsidRPr="009B6FD5" w:rsidRDefault="003F6B0B" w:rsidP="001535CB">
            <w:pPr>
              <w:jc w:val="both"/>
              <w:rPr>
                <w:rFonts w:ascii="Palatino Linotype" w:hAnsi="Palatino Linotype"/>
                <w:color w:val="000000"/>
                <w:sz w:val="22"/>
              </w:rPr>
            </w:pPr>
          </w:p>
        </w:tc>
      </w:tr>
      <w:tr w:rsidR="003F6B0B" w:rsidRPr="009B6FD5" w:rsidTr="003F6B0B">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vMerge/>
          </w:tcPr>
          <w:p w:rsidR="003F6B0B" w:rsidRPr="009B6FD5" w:rsidRDefault="003F6B0B" w:rsidP="001535CB">
            <w:pPr>
              <w:jc w:val="both"/>
              <w:rPr>
                <w:rFonts w:ascii="Palatino Linotype" w:hAnsi="Palatino Linotype"/>
                <w:color w:val="000000"/>
                <w:sz w:val="22"/>
              </w:rPr>
            </w:pPr>
          </w:p>
        </w:tc>
        <w:tc>
          <w:tcPr>
            <w:tcW w:w="2268"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El riesgo por divulgar es mayor que el interés público de que se difunda  </w:t>
            </w:r>
          </w:p>
        </w:tc>
      </w:tr>
      <w:tr w:rsidR="003F6B0B" w:rsidRPr="009B6FD5" w:rsidTr="003F6B0B">
        <w:trPr>
          <w:trHeight w:val="1454"/>
        </w:trPr>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vMerge/>
          </w:tcPr>
          <w:p w:rsidR="003F6B0B" w:rsidRPr="009B6FD5" w:rsidRDefault="003F6B0B" w:rsidP="001535CB">
            <w:pPr>
              <w:jc w:val="both"/>
              <w:rPr>
                <w:rFonts w:ascii="Palatino Linotype" w:hAnsi="Palatino Linotype"/>
                <w:color w:val="000000"/>
                <w:sz w:val="22"/>
              </w:rPr>
            </w:pPr>
          </w:p>
        </w:tc>
        <w:tc>
          <w:tcPr>
            <w:tcW w:w="2269" w:type="dxa"/>
            <w:vMerge/>
          </w:tcPr>
          <w:p w:rsidR="003F6B0B" w:rsidRPr="009B6FD5" w:rsidRDefault="003F6B0B" w:rsidP="001535CB">
            <w:pPr>
              <w:jc w:val="both"/>
              <w:rPr>
                <w:rFonts w:ascii="Palatino Linotype" w:hAnsi="Palatino Linotype"/>
                <w:color w:val="000000"/>
                <w:sz w:val="22"/>
              </w:rPr>
            </w:pPr>
          </w:p>
        </w:tc>
        <w:tc>
          <w:tcPr>
            <w:tcW w:w="2268"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El principio de proporcionalidad</w:t>
            </w:r>
          </w:p>
        </w:tc>
      </w:tr>
      <w:tr w:rsidR="003F6B0B" w:rsidRPr="009B6FD5" w:rsidTr="003F6B0B">
        <w:tc>
          <w:tcPr>
            <w:tcW w:w="2155" w:type="dxa"/>
            <w:vMerge w:val="restart"/>
            <w:shd w:val="clear" w:color="auto" w:fill="D5DCE4"/>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Condiciones especiales de la confidencialidad</w:t>
            </w: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Para clasificar se debe verificar que no se encuentre en los supuestos del artículo 148 de la ley Estatal </w:t>
            </w:r>
          </w:p>
        </w:tc>
        <w:tc>
          <w:tcPr>
            <w:tcW w:w="226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 xml:space="preserve">Si se encuentra en los supuestos de dicho artículo se entrega aún sin consentimiento del titular del dato personal </w:t>
            </w:r>
          </w:p>
        </w:tc>
        <w:tc>
          <w:tcPr>
            <w:tcW w:w="2268" w:type="dxa"/>
          </w:tcPr>
          <w:p w:rsidR="003F6B0B" w:rsidRPr="009B6FD5" w:rsidRDefault="003F6B0B" w:rsidP="001535CB">
            <w:pPr>
              <w:jc w:val="both"/>
              <w:rPr>
                <w:rFonts w:ascii="Palatino Linotype" w:hAnsi="Palatino Linotype"/>
                <w:color w:val="000000"/>
                <w:sz w:val="22"/>
              </w:rPr>
            </w:pPr>
          </w:p>
        </w:tc>
      </w:tr>
      <w:tr w:rsidR="003F6B0B" w:rsidRPr="009B6FD5" w:rsidTr="003F6B0B">
        <w:trPr>
          <w:trHeight w:val="3404"/>
        </w:trPr>
        <w:tc>
          <w:tcPr>
            <w:tcW w:w="2155" w:type="dxa"/>
            <w:vMerge/>
            <w:shd w:val="clear" w:color="auto" w:fill="D5DCE4"/>
          </w:tcPr>
          <w:p w:rsidR="003F6B0B" w:rsidRPr="009B6FD5" w:rsidRDefault="003F6B0B" w:rsidP="001535CB">
            <w:pPr>
              <w:jc w:val="both"/>
              <w:rPr>
                <w:rFonts w:ascii="Palatino Linotype" w:hAnsi="Palatino Linotype"/>
                <w:color w:val="000000"/>
                <w:sz w:val="22"/>
              </w:rPr>
            </w:pPr>
          </w:p>
        </w:tc>
        <w:tc>
          <w:tcPr>
            <w:tcW w:w="1759" w:type="dxa"/>
          </w:tcPr>
          <w:p w:rsidR="003F6B0B" w:rsidRPr="009B6FD5" w:rsidRDefault="003F6B0B" w:rsidP="001535CB">
            <w:pPr>
              <w:jc w:val="both"/>
              <w:rPr>
                <w:rFonts w:ascii="Palatino Linotype" w:hAnsi="Palatino Linotype"/>
                <w:color w:val="000000"/>
                <w:sz w:val="22"/>
              </w:rPr>
            </w:pPr>
            <w:r w:rsidRPr="009B6FD5">
              <w:rPr>
                <w:rFonts w:ascii="Palatino Linotype" w:hAnsi="Palatino Linotype"/>
                <w:color w:val="000000"/>
                <w:sz w:val="22"/>
              </w:rPr>
              <w:t>Si es posible, se debe consultar al titular de los datos para requerir su autorización para entregarlo</w:t>
            </w:r>
          </w:p>
        </w:tc>
        <w:tc>
          <w:tcPr>
            <w:tcW w:w="2269" w:type="dxa"/>
          </w:tcPr>
          <w:p w:rsidR="003F6B0B" w:rsidRPr="009B6FD5" w:rsidRDefault="003F6B0B" w:rsidP="001535CB">
            <w:pPr>
              <w:jc w:val="both"/>
              <w:rPr>
                <w:rFonts w:ascii="Palatino Linotype" w:hAnsi="Palatino Linotype"/>
                <w:color w:val="000000"/>
                <w:sz w:val="22"/>
              </w:rPr>
            </w:pPr>
          </w:p>
        </w:tc>
        <w:tc>
          <w:tcPr>
            <w:tcW w:w="2268" w:type="dxa"/>
          </w:tcPr>
          <w:p w:rsidR="003F6B0B" w:rsidRPr="009B6FD5" w:rsidRDefault="003F6B0B" w:rsidP="001535CB">
            <w:pPr>
              <w:jc w:val="both"/>
              <w:rPr>
                <w:rFonts w:ascii="Palatino Linotype" w:hAnsi="Palatino Linotype"/>
                <w:color w:val="000000"/>
                <w:sz w:val="22"/>
              </w:rPr>
            </w:pPr>
          </w:p>
        </w:tc>
      </w:tr>
    </w:tbl>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spacing w:line="360" w:lineRule="auto"/>
        <w:ind w:right="49"/>
        <w:contextualSpacing/>
        <w:jc w:val="both"/>
        <w:rPr>
          <w:rFonts w:ascii="Palatino Linotype" w:eastAsiaTheme="minorEastAsia" w:hAnsi="Palatino Linotype"/>
          <w:lang w:eastAsia="es-ES"/>
        </w:rPr>
      </w:pPr>
    </w:p>
    <w:p w:rsidR="003F6B0B" w:rsidRPr="009B6FD5" w:rsidRDefault="003F6B0B" w:rsidP="003F6B0B">
      <w:pPr>
        <w:numPr>
          <w:ilvl w:val="0"/>
          <w:numId w:val="1"/>
        </w:numPr>
        <w:spacing w:line="360" w:lineRule="auto"/>
        <w:ind w:left="0" w:right="49" w:firstLine="0"/>
        <w:contextualSpacing/>
        <w:jc w:val="both"/>
        <w:rPr>
          <w:rFonts w:ascii="Palatino Linotype" w:eastAsiaTheme="minorEastAsia" w:hAnsi="Palatino Linotype"/>
          <w:lang w:eastAsia="es-ES"/>
        </w:rPr>
      </w:pPr>
      <w:r w:rsidRPr="009B6FD5">
        <w:rPr>
          <w:rFonts w:ascii="Palatino Linotype" w:hAnsi="Palatino Linotype"/>
          <w:color w:val="000000"/>
          <w:lang w:val="es-ES_tradnl"/>
        </w:rPr>
        <w:t xml:space="preserve">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w:t>
      </w:r>
      <w:r w:rsidRPr="009B6FD5">
        <w:rPr>
          <w:rFonts w:ascii="Palatino Linotype" w:hAnsi="Palatino Linotype"/>
          <w:color w:val="000000"/>
          <w:lang w:val="es-ES_tradnl"/>
        </w:rPr>
        <w:lastRenderedPageBreak/>
        <w:t>la información, así como para la elaboración de versiones públicas, de manera previa a su entrega al solicitante, de lo contrario los servidores públicos involucrados incurrirán en responsabilidad.</w:t>
      </w:r>
    </w:p>
    <w:p w:rsidR="003F6B0B" w:rsidRPr="009B6FD5" w:rsidRDefault="003F6B0B" w:rsidP="003F6B0B">
      <w:pPr>
        <w:pStyle w:val="Sinespaciado"/>
        <w:spacing w:line="360" w:lineRule="auto"/>
        <w:contextualSpacing/>
        <w:jc w:val="both"/>
        <w:rPr>
          <w:rFonts w:ascii="Palatino Linotype" w:eastAsia="Calibri" w:hAnsi="Palatino Linotype"/>
        </w:rPr>
      </w:pPr>
    </w:p>
    <w:p w:rsidR="003F6B0B" w:rsidRPr="009B6FD5" w:rsidRDefault="003F6B0B" w:rsidP="003F6B0B">
      <w:pPr>
        <w:pStyle w:val="Sinespaciado"/>
        <w:numPr>
          <w:ilvl w:val="0"/>
          <w:numId w:val="1"/>
        </w:numPr>
        <w:spacing w:line="360" w:lineRule="auto"/>
        <w:ind w:left="0" w:firstLine="0"/>
        <w:contextualSpacing/>
        <w:jc w:val="both"/>
        <w:rPr>
          <w:rFonts w:ascii="Palatino Linotype" w:eastAsia="Calibri" w:hAnsi="Palatino Linotype"/>
          <w:sz w:val="24"/>
        </w:rPr>
      </w:pPr>
      <w:r w:rsidRPr="009B6FD5">
        <w:rPr>
          <w:rFonts w:ascii="Palatino Linotype" w:eastAsia="Calibri" w:hAnsi="Palatino Linotype"/>
          <w:sz w:val="24"/>
        </w:rPr>
        <w:t xml:space="preserve">Por lo anteriormente expuesto y fundado, este </w:t>
      </w:r>
      <w:r w:rsidRPr="009B6FD5">
        <w:rPr>
          <w:rFonts w:ascii="Palatino Linotype" w:eastAsia="Calibri" w:hAnsi="Palatino Linotype"/>
          <w:b/>
          <w:bCs/>
          <w:sz w:val="24"/>
        </w:rPr>
        <w:t>ÓRGANO GARANTE</w:t>
      </w:r>
      <w:r w:rsidRPr="009B6FD5">
        <w:rPr>
          <w:rFonts w:ascii="Palatino Linotype" w:eastAsia="Calibri" w:hAnsi="Palatino Linotype"/>
          <w:sz w:val="24"/>
        </w:rPr>
        <w:t xml:space="preserve"> emite los siguientes:</w:t>
      </w:r>
    </w:p>
    <w:p w:rsidR="003F6B0B" w:rsidRPr="009B6FD5" w:rsidRDefault="003F6B0B" w:rsidP="003F6B0B">
      <w:pPr>
        <w:spacing w:line="360" w:lineRule="auto"/>
        <w:contextualSpacing/>
        <w:jc w:val="both"/>
        <w:rPr>
          <w:rFonts w:ascii="Palatino Linotype" w:eastAsia="Calibri" w:hAnsi="Palatino Linotype"/>
        </w:rPr>
      </w:pPr>
    </w:p>
    <w:p w:rsidR="003F6B0B" w:rsidRPr="009B6FD5" w:rsidRDefault="003F6B0B" w:rsidP="003F6B0B">
      <w:pPr>
        <w:spacing w:line="360" w:lineRule="auto"/>
        <w:contextualSpacing/>
        <w:jc w:val="both"/>
        <w:rPr>
          <w:rFonts w:ascii="Palatino Linotype" w:eastAsia="Calibri" w:hAnsi="Palatino Linotype"/>
        </w:rPr>
      </w:pPr>
    </w:p>
    <w:p w:rsidR="003F6B0B" w:rsidRPr="009B6FD5" w:rsidRDefault="003F6B0B" w:rsidP="003F6B0B">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80" w:name="_Toc528153792"/>
      <w:bookmarkStart w:id="81" w:name="_Toc71158406"/>
      <w:bookmarkStart w:id="82" w:name="_Toc86261442"/>
      <w:r w:rsidRPr="009B6FD5">
        <w:rPr>
          <w:rFonts w:ascii="Palatino Linotype" w:eastAsiaTheme="majorEastAsia" w:hAnsi="Palatino Linotype" w:cstheme="majorBidi"/>
          <w:b/>
          <w:color w:val="000000" w:themeColor="text1"/>
          <w:lang w:eastAsia="en-US"/>
        </w:rPr>
        <w:t>R E S O L U T I V O S</w:t>
      </w:r>
      <w:bookmarkEnd w:id="80"/>
      <w:bookmarkEnd w:id="81"/>
      <w:bookmarkEnd w:id="82"/>
    </w:p>
    <w:p w:rsidR="003F6B0B" w:rsidRPr="009B6FD5" w:rsidRDefault="003F6B0B" w:rsidP="003F6B0B">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7"/>
    <w:bookmarkEnd w:id="8"/>
    <w:bookmarkEnd w:id="9"/>
    <w:p w:rsidR="003F6B0B" w:rsidRPr="009B6FD5" w:rsidRDefault="003F6B0B" w:rsidP="003F6B0B">
      <w:pPr>
        <w:spacing w:line="360" w:lineRule="auto"/>
        <w:ind w:right="48"/>
        <w:jc w:val="both"/>
        <w:rPr>
          <w:rFonts w:ascii="Palatino Linotype" w:hAnsi="Palatino Linotype" w:cs="Arial"/>
          <w:bCs/>
        </w:rPr>
      </w:pPr>
      <w:r w:rsidRPr="009B6FD5">
        <w:rPr>
          <w:rFonts w:ascii="Palatino Linotype" w:hAnsi="Palatino Linotype" w:cs="Arial"/>
          <w:b/>
        </w:rPr>
        <w:t xml:space="preserve">PRIMERO. </w:t>
      </w:r>
      <w:r w:rsidRPr="009B6FD5">
        <w:rPr>
          <w:rFonts w:ascii="Palatino Linotype" w:hAnsi="Palatino Linotype" w:cs="Arial"/>
        </w:rPr>
        <w:t xml:space="preserve">Resultan </w:t>
      </w:r>
      <w:r w:rsidR="001535CB">
        <w:rPr>
          <w:rFonts w:ascii="Palatino Linotype" w:hAnsi="Palatino Linotype" w:cs="Arial"/>
        </w:rPr>
        <w:t xml:space="preserve">parcialmente </w:t>
      </w:r>
      <w:r w:rsidRPr="009B6FD5">
        <w:rPr>
          <w:rFonts w:ascii="Palatino Linotype" w:hAnsi="Palatino Linotype" w:cs="Arial"/>
        </w:rPr>
        <w:t>fundadas las</w:t>
      </w:r>
      <w:r w:rsidRPr="009B6FD5">
        <w:rPr>
          <w:rFonts w:ascii="Palatino Linotype" w:hAnsi="Palatino Linotype" w:cs="Arial"/>
          <w:b/>
        </w:rPr>
        <w:t xml:space="preserve"> </w:t>
      </w:r>
      <w:r w:rsidRPr="009B6FD5">
        <w:rPr>
          <w:rFonts w:ascii="Palatino Linotype" w:hAnsi="Palatino Linotype" w:cs="Arial"/>
          <w:lang w:val="es-ES"/>
        </w:rPr>
        <w:t xml:space="preserve">razones o motivos de inconformidad hechos valer </w:t>
      </w:r>
      <w:r w:rsidRPr="009B6FD5">
        <w:rPr>
          <w:rFonts w:ascii="Palatino Linotype" w:eastAsia="Calibri" w:hAnsi="Palatino Linotype" w:cs="Arial"/>
          <w:lang w:val="es-ES"/>
        </w:rPr>
        <w:t xml:space="preserve">en el recurso de revisión </w:t>
      </w:r>
      <w:r w:rsidR="00BA3172">
        <w:rPr>
          <w:rFonts w:ascii="Palatino Linotype" w:hAnsi="Palatino Linotype" w:cs="Arial"/>
          <w:b/>
          <w:bCs/>
        </w:rPr>
        <w:t>04313</w:t>
      </w:r>
      <w:r w:rsidRPr="009B6FD5">
        <w:rPr>
          <w:rFonts w:ascii="Palatino Linotype" w:hAnsi="Palatino Linotype" w:cs="Arial"/>
          <w:b/>
          <w:bCs/>
        </w:rPr>
        <w:t xml:space="preserve">/INFOEM/IP/RR/2021, </w:t>
      </w:r>
      <w:r w:rsidRPr="009B6FD5">
        <w:rPr>
          <w:rFonts w:ascii="Palatino Linotype" w:hAnsi="Palatino Linotype" w:cs="Arial"/>
          <w:bCs/>
        </w:rPr>
        <w:t xml:space="preserve">en términos del </w:t>
      </w:r>
      <w:r w:rsidRPr="009B6FD5">
        <w:rPr>
          <w:rFonts w:ascii="Palatino Linotype" w:hAnsi="Palatino Linotype" w:cs="Arial"/>
          <w:b/>
          <w:bCs/>
        </w:rPr>
        <w:t>Considerando</w:t>
      </w:r>
      <w:r w:rsidRPr="009B6FD5">
        <w:rPr>
          <w:rFonts w:ascii="Palatino Linotype" w:hAnsi="Palatino Linotype" w:cs="Arial"/>
          <w:bCs/>
        </w:rPr>
        <w:t xml:space="preserve"> </w:t>
      </w:r>
      <w:r w:rsidRPr="009B6FD5">
        <w:rPr>
          <w:rFonts w:ascii="Palatino Linotype" w:hAnsi="Palatino Linotype" w:cs="Arial"/>
          <w:b/>
          <w:bCs/>
        </w:rPr>
        <w:t xml:space="preserve">CUARTO   </w:t>
      </w:r>
      <w:r w:rsidRPr="009B6FD5">
        <w:rPr>
          <w:rFonts w:ascii="Palatino Linotype" w:hAnsi="Palatino Linotype" w:cs="Arial"/>
          <w:bCs/>
        </w:rPr>
        <w:t>de la presente resolución.</w:t>
      </w:r>
    </w:p>
    <w:p w:rsidR="003F6B0B" w:rsidRPr="009B6FD5" w:rsidRDefault="003F6B0B" w:rsidP="003F6B0B">
      <w:pPr>
        <w:spacing w:line="360" w:lineRule="auto"/>
        <w:ind w:right="48"/>
        <w:jc w:val="both"/>
        <w:rPr>
          <w:rFonts w:ascii="Palatino Linotype" w:hAnsi="Palatino Linotype" w:cs="Arial"/>
          <w:bCs/>
        </w:rPr>
      </w:pPr>
    </w:p>
    <w:p w:rsidR="003F6B0B" w:rsidRPr="009B6FD5" w:rsidRDefault="003F6B0B" w:rsidP="003F6B0B">
      <w:pPr>
        <w:spacing w:line="360" w:lineRule="auto"/>
        <w:ind w:right="48"/>
        <w:jc w:val="both"/>
        <w:rPr>
          <w:rFonts w:ascii="Palatino Linotype" w:hAnsi="Palatino Linotype" w:cs="Arial"/>
          <w:bCs/>
        </w:rPr>
      </w:pPr>
      <w:bookmarkStart w:id="83" w:name="_Toc477891768"/>
      <w:bookmarkStart w:id="84" w:name="_Toc477891858"/>
      <w:bookmarkStart w:id="85" w:name="_Toc481576259"/>
      <w:bookmarkStart w:id="86" w:name="_Toc492590391"/>
      <w:bookmarkStart w:id="87" w:name="_Toc462653937"/>
      <w:bookmarkStart w:id="88" w:name="_Toc453696502"/>
      <w:bookmarkStart w:id="89" w:name="_Toc454301155"/>
      <w:r w:rsidRPr="009B6FD5">
        <w:rPr>
          <w:rFonts w:ascii="Palatino Linotype" w:hAnsi="Palatino Linotype"/>
          <w:b/>
        </w:rPr>
        <w:t>SEGUNDO.</w:t>
      </w:r>
      <w:r w:rsidRPr="009B6FD5">
        <w:rPr>
          <w:rStyle w:val="Ttulo2Car"/>
          <w:rFonts w:ascii="Palatino Linotype" w:hAnsi="Palatino Linotype"/>
          <w:sz w:val="28"/>
        </w:rPr>
        <w:t xml:space="preserve"> </w:t>
      </w:r>
      <w:bookmarkEnd w:id="83"/>
      <w:bookmarkEnd w:id="84"/>
      <w:bookmarkEnd w:id="85"/>
      <w:bookmarkEnd w:id="86"/>
      <w:bookmarkEnd w:id="87"/>
      <w:bookmarkEnd w:id="88"/>
      <w:bookmarkEnd w:id="89"/>
      <w:r w:rsidRPr="009B6FD5">
        <w:rPr>
          <w:rFonts w:ascii="Palatino Linotype" w:eastAsia="Calibri" w:hAnsi="Palatino Linotype" w:cs="Arial"/>
          <w:lang w:val="es-ES"/>
        </w:rPr>
        <w:t>Se</w:t>
      </w:r>
      <w:r w:rsidRPr="009B6FD5">
        <w:rPr>
          <w:rFonts w:ascii="Palatino Linotype" w:eastAsia="Calibri" w:hAnsi="Palatino Linotype" w:cs="Arial"/>
          <w:b/>
          <w:lang w:val="es-ES"/>
        </w:rPr>
        <w:t xml:space="preserve"> MODIFICA </w:t>
      </w:r>
      <w:r w:rsidRPr="009B6FD5">
        <w:rPr>
          <w:rFonts w:ascii="Palatino Linotype" w:eastAsia="Calibri" w:hAnsi="Palatino Linotype" w:cs="Arial"/>
          <w:lang w:val="es-ES"/>
        </w:rPr>
        <w:t xml:space="preserve">la respuesta emitida por el </w:t>
      </w:r>
      <w:r w:rsidR="00BA3172">
        <w:rPr>
          <w:rFonts w:ascii="Palatino Linotype" w:hAnsi="Palatino Linotype" w:cs="Arial"/>
          <w:b/>
        </w:rPr>
        <w:t>Ayuntamiento de Ocoyoacac</w:t>
      </w:r>
      <w:r w:rsidRPr="009B6FD5">
        <w:rPr>
          <w:rFonts w:ascii="Palatino Linotype" w:hAnsi="Palatino Linotype" w:cs="Arial"/>
          <w:b/>
        </w:rPr>
        <w:t xml:space="preserve"> </w:t>
      </w:r>
      <w:r w:rsidRPr="009B6FD5">
        <w:rPr>
          <w:rFonts w:ascii="Palatino Linotype" w:eastAsia="Calibri" w:hAnsi="Palatino Linotype" w:cs="Arial"/>
          <w:lang w:val="es-ES"/>
        </w:rPr>
        <w:t>y se</w:t>
      </w:r>
      <w:r w:rsidRPr="009B6FD5">
        <w:rPr>
          <w:rFonts w:ascii="Palatino Linotype" w:eastAsia="Calibri" w:hAnsi="Palatino Linotype" w:cs="Arial"/>
          <w:b/>
          <w:lang w:val="es-ES"/>
        </w:rPr>
        <w:t xml:space="preserve"> ORDENA </w:t>
      </w:r>
      <w:r w:rsidRPr="009B6FD5">
        <w:rPr>
          <w:rFonts w:ascii="Palatino Linotype" w:hAnsi="Palatino Linotype" w:cs="Arial"/>
          <w:lang w:val="es-ES"/>
        </w:rPr>
        <w:t>entregar vía Sistema de Accesos a la Información Mexiquense (SAIMEX), en versión pública,</w:t>
      </w:r>
      <w:r w:rsidR="003A083C">
        <w:rPr>
          <w:rFonts w:ascii="Palatino Linotype" w:hAnsi="Palatino Linotype" w:cs="Arial"/>
          <w:lang w:val="es-ES"/>
        </w:rPr>
        <w:t xml:space="preserve"> </w:t>
      </w:r>
      <w:r w:rsidR="003A083C" w:rsidRPr="00E76C02">
        <w:rPr>
          <w:rFonts w:ascii="Palatino Linotype" w:hAnsi="Palatino Linotype" w:cs="Arial"/>
          <w:lang w:val="es-ES"/>
        </w:rPr>
        <w:t>previa búsqueda exhaustiva y razonable,</w:t>
      </w:r>
      <w:r w:rsidRPr="00E76C02">
        <w:rPr>
          <w:rFonts w:ascii="Palatino Linotype" w:hAnsi="Palatino Linotype" w:cs="Arial"/>
          <w:lang w:val="es-ES"/>
        </w:rPr>
        <w:t xml:space="preserve"> la siguiente </w:t>
      </w:r>
      <w:r w:rsidRPr="00E76C02">
        <w:rPr>
          <w:rFonts w:ascii="Palatino Linotype" w:hAnsi="Palatino Linotype" w:cs="Arial"/>
          <w:bCs/>
        </w:rPr>
        <w:t>información:</w:t>
      </w:r>
    </w:p>
    <w:p w:rsidR="003F6B0B" w:rsidRPr="009B6FD5" w:rsidRDefault="003F6B0B" w:rsidP="003F6B0B">
      <w:pPr>
        <w:spacing w:line="360" w:lineRule="auto"/>
        <w:ind w:right="48"/>
        <w:jc w:val="both"/>
        <w:rPr>
          <w:rFonts w:ascii="Palatino Linotype" w:hAnsi="Palatino Linotype" w:cs="Arial"/>
          <w:b/>
          <w:bCs/>
        </w:rPr>
      </w:pPr>
    </w:p>
    <w:p w:rsidR="003F6B0B" w:rsidRPr="003A083C" w:rsidRDefault="00BA3172" w:rsidP="00BA3172">
      <w:pPr>
        <w:pStyle w:val="Prrafodelista"/>
        <w:numPr>
          <w:ilvl w:val="0"/>
          <w:numId w:val="5"/>
        </w:numPr>
        <w:spacing w:line="360" w:lineRule="auto"/>
        <w:ind w:right="48"/>
        <w:jc w:val="both"/>
        <w:rPr>
          <w:rFonts w:ascii="Palatino Linotype" w:eastAsia="Palatino Linotype" w:hAnsi="Palatino Linotype" w:cs="Palatino Linotype"/>
          <w:b/>
        </w:rPr>
      </w:pPr>
      <w:bookmarkStart w:id="90" w:name="_Toc460947013"/>
      <w:r>
        <w:rPr>
          <w:rFonts w:ascii="Palatino Linotype" w:eastAsia="Palatino Linotype" w:hAnsi="Palatino Linotype" w:cs="Palatino Linotype"/>
          <w:b/>
          <w:sz w:val="24"/>
        </w:rPr>
        <w:t xml:space="preserve">Documentos donde consten los procedimientos de adquisición del Instituto Municipal de </w:t>
      </w:r>
      <w:r w:rsidR="003A083C">
        <w:rPr>
          <w:rFonts w:ascii="Palatino Linotype" w:eastAsia="Palatino Linotype" w:hAnsi="Palatino Linotype" w:cs="Palatino Linotype"/>
          <w:b/>
          <w:sz w:val="24"/>
        </w:rPr>
        <w:t>Cultura y Deporte del Municipio</w:t>
      </w:r>
      <w:r>
        <w:rPr>
          <w:rFonts w:ascii="Palatino Linotype" w:eastAsia="Palatino Linotype" w:hAnsi="Palatino Linotype" w:cs="Palatino Linotype"/>
          <w:b/>
          <w:sz w:val="24"/>
        </w:rPr>
        <w:t xml:space="preserve"> de Ocoyoacac, </w:t>
      </w:r>
      <w:r w:rsidR="001535CB">
        <w:rPr>
          <w:rFonts w:ascii="Palatino Linotype" w:eastAsia="Palatino Linotype" w:hAnsi="Palatino Linotype" w:cs="Palatino Linotype"/>
          <w:b/>
          <w:sz w:val="24"/>
        </w:rPr>
        <w:t>del catorc</w:t>
      </w:r>
      <w:r>
        <w:rPr>
          <w:rFonts w:ascii="Palatino Linotype" w:eastAsia="Palatino Linotype" w:hAnsi="Palatino Linotype" w:cs="Palatino Linotype"/>
          <w:b/>
          <w:sz w:val="24"/>
        </w:rPr>
        <w:t>e de julio de dos mil veinte al catorce de julio de dos mil veintiuno.</w:t>
      </w:r>
    </w:p>
    <w:p w:rsidR="003A083C" w:rsidRPr="003A083C" w:rsidRDefault="003A083C" w:rsidP="003A083C">
      <w:pPr>
        <w:pStyle w:val="Prrafodelista"/>
        <w:spacing w:line="360" w:lineRule="auto"/>
        <w:ind w:right="48"/>
        <w:jc w:val="both"/>
        <w:rPr>
          <w:rFonts w:ascii="Palatino Linotype" w:eastAsia="Palatino Linotype" w:hAnsi="Palatino Linotype" w:cs="Palatino Linotype"/>
          <w:b/>
        </w:rPr>
      </w:pPr>
    </w:p>
    <w:p w:rsidR="003A083C" w:rsidRPr="00E76C02" w:rsidRDefault="003A083C" w:rsidP="00D74AC5">
      <w:pPr>
        <w:pStyle w:val="Prrafodelista"/>
        <w:numPr>
          <w:ilvl w:val="0"/>
          <w:numId w:val="5"/>
        </w:numPr>
        <w:spacing w:line="360" w:lineRule="auto"/>
        <w:ind w:right="48"/>
        <w:jc w:val="both"/>
        <w:rPr>
          <w:rFonts w:ascii="Palatino Linotype" w:eastAsia="Palatino Linotype" w:hAnsi="Palatino Linotype" w:cs="Palatino Linotype"/>
          <w:b/>
        </w:rPr>
      </w:pPr>
      <w:r w:rsidRPr="00E76C02">
        <w:rPr>
          <w:rFonts w:ascii="Palatino Linotype" w:eastAsia="Palatino Linotype" w:hAnsi="Palatino Linotype" w:cs="Palatino Linotype"/>
          <w:b/>
          <w:sz w:val="24"/>
        </w:rPr>
        <w:t xml:space="preserve">Documentos donde consten los procedimientos de adquisición del Sistema Municipal para el Desarrollo Integral de la Familia del Municipio de </w:t>
      </w:r>
      <w:r w:rsidRPr="00E76C02">
        <w:rPr>
          <w:rFonts w:ascii="Palatino Linotype" w:eastAsia="Palatino Linotype" w:hAnsi="Palatino Linotype" w:cs="Palatino Linotype"/>
          <w:b/>
          <w:sz w:val="24"/>
        </w:rPr>
        <w:lastRenderedPageBreak/>
        <w:t>Ocoyoacac, del catorce de julio de dos mil veinte al catorce de julio de dos mil veintiuno.</w:t>
      </w:r>
    </w:p>
    <w:p w:rsidR="00BA3172" w:rsidRPr="009B6FD5" w:rsidRDefault="00BA3172" w:rsidP="00BA3172">
      <w:pPr>
        <w:pStyle w:val="Prrafodelista"/>
        <w:spacing w:line="360" w:lineRule="auto"/>
        <w:ind w:right="48"/>
        <w:jc w:val="both"/>
        <w:rPr>
          <w:rFonts w:ascii="Palatino Linotype" w:eastAsia="Palatino Linotype" w:hAnsi="Palatino Linotype" w:cs="Palatino Linotype"/>
          <w:b/>
        </w:rPr>
      </w:pPr>
    </w:p>
    <w:p w:rsidR="003F6B0B" w:rsidRDefault="003F6B0B" w:rsidP="003F6B0B">
      <w:pPr>
        <w:spacing w:line="360" w:lineRule="auto"/>
        <w:jc w:val="both"/>
        <w:rPr>
          <w:rFonts w:ascii="Palatino Linotype" w:eastAsia="Calibri" w:hAnsi="Palatino Linotype" w:cs="Arial"/>
          <w:b/>
        </w:rPr>
      </w:pPr>
      <w:r w:rsidRPr="009B6FD5">
        <w:rPr>
          <w:rFonts w:ascii="Palatino Linotype" w:eastAsia="Calibri" w:hAnsi="Palatino Linotype" w:cs="Arial"/>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B6FD5">
        <w:rPr>
          <w:rFonts w:ascii="Palatino Linotype" w:eastAsia="Calibri" w:hAnsi="Palatino Linotype" w:cs="Arial"/>
          <w:b/>
        </w:rPr>
        <w:t>RECURRENTE.</w:t>
      </w:r>
    </w:p>
    <w:p w:rsidR="006D50EC" w:rsidRDefault="006D50EC" w:rsidP="003F6B0B">
      <w:pPr>
        <w:spacing w:line="360" w:lineRule="auto"/>
        <w:jc w:val="both"/>
        <w:rPr>
          <w:rFonts w:ascii="Palatino Linotype" w:eastAsia="Calibri" w:hAnsi="Palatino Linotype" w:cs="Arial"/>
          <w:b/>
        </w:rPr>
      </w:pPr>
    </w:p>
    <w:p w:rsidR="006D50EC" w:rsidRPr="00DE5089" w:rsidRDefault="006D50EC" w:rsidP="006D50EC">
      <w:pPr>
        <w:pStyle w:val="Sinespaciado"/>
        <w:shd w:val="clear" w:color="auto" w:fill="FFFFFF"/>
        <w:spacing w:line="360" w:lineRule="auto"/>
        <w:jc w:val="both"/>
        <w:rPr>
          <w:rFonts w:ascii="Palatino Linotype" w:eastAsia="Calibri" w:hAnsi="Palatino Linotype" w:cs="Arial"/>
          <w:sz w:val="24"/>
        </w:rPr>
      </w:pPr>
      <w:r w:rsidRPr="00E76C02">
        <w:rPr>
          <w:rFonts w:ascii="Palatino Linotype" w:eastAsia="Calibri" w:hAnsi="Palatino Linotype" w:cs="Arial"/>
          <w:sz w:val="24"/>
        </w:rPr>
        <w:t xml:space="preserve">Para el caso de que la información </w:t>
      </w:r>
      <w:r w:rsidR="00DE5089" w:rsidRPr="00E76C02">
        <w:rPr>
          <w:rFonts w:ascii="Palatino Linotype" w:eastAsia="Calibri" w:hAnsi="Palatino Linotype" w:cs="Arial"/>
          <w:sz w:val="24"/>
        </w:rPr>
        <w:t>señalada en el</w:t>
      </w:r>
      <w:r w:rsidRPr="00E76C02">
        <w:rPr>
          <w:rFonts w:ascii="Palatino Linotype" w:eastAsia="Calibri" w:hAnsi="Palatino Linotype" w:cs="Arial"/>
          <w:sz w:val="24"/>
        </w:rPr>
        <w:t xml:space="preserve"> incisos b), no haya sido generada, poseída o administrada, el SUJETO OBLIGADO deberá explicar de manera fundada y motivada las causas por las que no se cuente con ella.</w:t>
      </w:r>
    </w:p>
    <w:p w:rsidR="003F6B0B" w:rsidRPr="001535CB" w:rsidRDefault="003F6B0B" w:rsidP="001535CB">
      <w:pPr>
        <w:spacing w:line="360" w:lineRule="auto"/>
        <w:ind w:right="48"/>
        <w:jc w:val="both"/>
        <w:rPr>
          <w:rFonts w:ascii="Palatino Linotype" w:eastAsia="Palatino Linotype" w:hAnsi="Palatino Linotype" w:cs="Palatino Linotype"/>
          <w:b/>
        </w:rPr>
      </w:pPr>
    </w:p>
    <w:p w:rsidR="003F6B0B" w:rsidRPr="009B6FD5" w:rsidRDefault="003F6B0B" w:rsidP="003F6B0B">
      <w:pPr>
        <w:tabs>
          <w:tab w:val="left" w:pos="8080"/>
        </w:tabs>
        <w:spacing w:line="360" w:lineRule="auto"/>
        <w:ind w:right="48"/>
        <w:contextualSpacing/>
        <w:jc w:val="both"/>
        <w:rPr>
          <w:rFonts w:ascii="Palatino Linotype" w:eastAsia="Palatino Linotype" w:hAnsi="Palatino Linotype" w:cs="Palatino Linotype"/>
          <w:b/>
        </w:rPr>
      </w:pPr>
      <w:r w:rsidRPr="009B6FD5">
        <w:rPr>
          <w:rFonts w:ascii="Palatino Linotype" w:eastAsia="Palatino Linotype" w:hAnsi="Palatino Linotype" w:cs="Palatino Linotype"/>
          <w:b/>
        </w:rPr>
        <w:t xml:space="preserve">TERCERO. Notifíquese </w:t>
      </w:r>
      <w:r w:rsidRPr="009B6FD5">
        <w:rPr>
          <w:rFonts w:ascii="Palatino Linotype" w:eastAsia="Palatino Linotype" w:hAnsi="Palatino Linotype" w:cs="Palatino Linotype"/>
        </w:rPr>
        <w:t xml:space="preserve">al Titular de la Unidad de Transparencia del </w:t>
      </w:r>
      <w:r w:rsidRPr="009B6FD5">
        <w:rPr>
          <w:rFonts w:ascii="Palatino Linotype" w:eastAsia="Palatino Linotype" w:hAnsi="Palatino Linotype" w:cs="Palatino Linotype"/>
          <w:b/>
        </w:rPr>
        <w:t>SUJETO OBLIGADO</w:t>
      </w:r>
      <w:r w:rsidRPr="009B6FD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9B6FD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F6B0B" w:rsidRPr="009B6FD5" w:rsidRDefault="003F6B0B" w:rsidP="003F6B0B">
      <w:pPr>
        <w:shd w:val="clear" w:color="auto" w:fill="FFFFFF"/>
        <w:tabs>
          <w:tab w:val="left" w:pos="4020"/>
        </w:tabs>
        <w:spacing w:line="360" w:lineRule="auto"/>
        <w:ind w:right="48"/>
        <w:jc w:val="both"/>
        <w:rPr>
          <w:rFonts w:ascii="Palatino Linotype" w:hAnsi="Palatino Linotype" w:cs="Arial"/>
          <w:b/>
        </w:rPr>
      </w:pPr>
      <w:r w:rsidRPr="009B6FD5">
        <w:rPr>
          <w:rFonts w:ascii="Palatino Linotype" w:hAnsi="Palatino Linotype" w:cs="Arial"/>
          <w:b/>
        </w:rPr>
        <w:tab/>
      </w:r>
    </w:p>
    <w:p w:rsidR="003F6B0B" w:rsidRPr="009B6FD5" w:rsidRDefault="003F6B0B" w:rsidP="003F6B0B">
      <w:pPr>
        <w:shd w:val="clear" w:color="auto" w:fill="FFFFFF"/>
        <w:spacing w:line="360" w:lineRule="auto"/>
        <w:ind w:right="48"/>
        <w:jc w:val="both"/>
        <w:rPr>
          <w:rFonts w:ascii="Palatino Linotype" w:hAnsi="Palatino Linotype"/>
        </w:rPr>
      </w:pPr>
      <w:r w:rsidRPr="009B6FD5">
        <w:rPr>
          <w:rFonts w:ascii="Palatino Linotype" w:hAnsi="Palatino Linotype" w:cs="Arial"/>
          <w:b/>
        </w:rPr>
        <w:t xml:space="preserve">CUARTO. </w:t>
      </w:r>
      <w:r w:rsidRPr="009B6FD5">
        <w:rPr>
          <w:rFonts w:ascii="Palatino Linotype" w:hAnsi="Palatino Linotype"/>
          <w:b/>
          <w:bCs/>
          <w:lang w:val="es-ES"/>
        </w:rPr>
        <w:t>Notifíquese al RECURRENTE</w:t>
      </w:r>
      <w:r w:rsidRPr="009B6FD5">
        <w:rPr>
          <w:rFonts w:ascii="Palatino Linotype" w:hAnsi="Palatino Linotype"/>
        </w:rPr>
        <w:t xml:space="preserve"> la presente resolución</w:t>
      </w:r>
      <w:r w:rsidR="001535CB">
        <w:rPr>
          <w:rFonts w:ascii="Palatino Linotype" w:hAnsi="Palatino Linotype"/>
        </w:rPr>
        <w:t xml:space="preserve"> vía SAIMEX</w:t>
      </w:r>
      <w:r w:rsidRPr="009B6FD5">
        <w:rPr>
          <w:rFonts w:ascii="Palatino Linotype" w:hAnsi="Palatino Linotype"/>
        </w:rPr>
        <w:t>.</w:t>
      </w:r>
    </w:p>
    <w:p w:rsidR="003F6B0B" w:rsidRPr="009B6FD5" w:rsidRDefault="003F6B0B" w:rsidP="003F6B0B">
      <w:pPr>
        <w:shd w:val="clear" w:color="auto" w:fill="FFFFFF"/>
        <w:spacing w:line="360" w:lineRule="auto"/>
        <w:ind w:right="48"/>
        <w:jc w:val="both"/>
        <w:rPr>
          <w:rFonts w:ascii="Palatino Linotype" w:hAnsi="Palatino Linotype"/>
          <w:b/>
          <w:color w:val="FF0000"/>
        </w:rPr>
      </w:pPr>
    </w:p>
    <w:bookmarkEnd w:id="90"/>
    <w:p w:rsidR="003F6B0B" w:rsidRPr="009B6FD5" w:rsidRDefault="003F6B0B" w:rsidP="003F6B0B">
      <w:pPr>
        <w:spacing w:line="360" w:lineRule="auto"/>
        <w:ind w:right="48"/>
        <w:jc w:val="both"/>
        <w:rPr>
          <w:rFonts w:ascii="Palatino Linotype" w:eastAsia="MS Mincho" w:hAnsi="Palatino Linotype"/>
          <w:lang w:val="es-ES"/>
        </w:rPr>
      </w:pPr>
      <w:r w:rsidRPr="009B6FD5">
        <w:rPr>
          <w:rFonts w:ascii="Palatino Linotype" w:eastAsia="MS Mincho" w:hAnsi="Palatino Linotype"/>
          <w:b/>
        </w:rPr>
        <w:t>QUINTO.</w:t>
      </w:r>
      <w:r w:rsidRPr="009B6FD5">
        <w:rPr>
          <w:rFonts w:ascii="Palatino Linotype" w:eastAsia="MS Mincho" w:hAnsi="Palatino Linotype"/>
        </w:rPr>
        <w:t xml:space="preserve"> </w:t>
      </w:r>
      <w:r w:rsidRPr="009B6FD5">
        <w:rPr>
          <w:rFonts w:ascii="Palatino Linotype" w:eastAsia="MS Mincho" w:hAnsi="Palatino Linotype"/>
          <w:lang w:val="es-ES"/>
        </w:rPr>
        <w:t xml:space="preserve">Se hace del conocimiento del </w:t>
      </w:r>
      <w:r w:rsidRPr="009B6FD5">
        <w:rPr>
          <w:rFonts w:ascii="Palatino Linotype" w:hAnsi="Palatino Linotype"/>
          <w:b/>
        </w:rPr>
        <w:t>RECURRENTE</w:t>
      </w:r>
      <w:r w:rsidRPr="009B6FD5">
        <w:rPr>
          <w:rFonts w:ascii="Palatino Linotype" w:hAnsi="Palatino Linotype"/>
        </w:rPr>
        <w:t xml:space="preserve"> </w:t>
      </w:r>
      <w:r w:rsidRPr="009B6FD5">
        <w:rPr>
          <w:rFonts w:ascii="Palatino Linotype" w:eastAsia="MS Mincho" w:hAnsi="Palatino Linotype"/>
          <w:lang w:val="es-ES"/>
        </w:rPr>
        <w:t xml:space="preserve">que de conformidad con lo establecido en el artículo 196 de la Ley de Transparencia y Acceso a la Información </w:t>
      </w:r>
      <w:r w:rsidRPr="009B6FD5">
        <w:rPr>
          <w:rFonts w:ascii="Palatino Linotype" w:eastAsia="MS Mincho" w:hAnsi="Palatino Linotype"/>
          <w:lang w:val="es-ES"/>
        </w:rPr>
        <w:lastRenderedPageBreak/>
        <w:t>Pública del Estado de México y Municipios, en caso de que considere que la resolución le cause algún perjuicio podrá impugnarla </w:t>
      </w:r>
      <w:r w:rsidRPr="009B6FD5">
        <w:rPr>
          <w:rFonts w:ascii="Palatino Linotype" w:eastAsia="MS Mincho" w:hAnsi="Palatino Linotype"/>
          <w:bCs/>
          <w:lang w:val="es-ES"/>
        </w:rPr>
        <w:t>vía juicio de amparo</w:t>
      </w:r>
      <w:r w:rsidRPr="009B6FD5">
        <w:rPr>
          <w:rFonts w:ascii="Palatino Linotype" w:eastAsia="MS Mincho" w:hAnsi="Palatino Linotype"/>
          <w:lang w:val="es-ES"/>
        </w:rPr>
        <w:t> en los términos de las leyes aplicables.</w:t>
      </w:r>
    </w:p>
    <w:p w:rsidR="003F6B0B" w:rsidRPr="009B6FD5" w:rsidRDefault="003F6B0B" w:rsidP="003F6B0B">
      <w:pPr>
        <w:spacing w:line="360" w:lineRule="auto"/>
        <w:ind w:right="48"/>
        <w:jc w:val="both"/>
        <w:rPr>
          <w:rFonts w:ascii="Palatino Linotype" w:hAnsi="Palatino Linotype"/>
          <w:color w:val="000000"/>
          <w:shd w:val="clear" w:color="auto" w:fill="FFFFFF"/>
        </w:rPr>
      </w:pPr>
    </w:p>
    <w:p w:rsidR="003F6B0B" w:rsidRPr="009B6FD5" w:rsidRDefault="003F6B0B" w:rsidP="003F6B0B">
      <w:pPr>
        <w:spacing w:line="360" w:lineRule="auto"/>
        <w:ind w:right="48"/>
        <w:jc w:val="both"/>
        <w:rPr>
          <w:rFonts w:ascii="Palatino Linotype" w:eastAsia="Calibri" w:hAnsi="Palatino Linotype" w:cs="Arial"/>
          <w:bCs/>
        </w:rPr>
      </w:pPr>
      <w:r w:rsidRPr="009B6FD5">
        <w:rPr>
          <w:rFonts w:ascii="Palatino Linotype" w:hAnsi="Palatino Linotype"/>
          <w:b/>
          <w:color w:val="000000"/>
          <w:shd w:val="clear" w:color="auto" w:fill="FFFFFF"/>
        </w:rPr>
        <w:t xml:space="preserve">SEXTO. </w:t>
      </w:r>
      <w:r w:rsidRPr="009B6FD5">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3F6B0B" w:rsidRPr="009B6FD5" w:rsidRDefault="003F6B0B" w:rsidP="003F6B0B">
      <w:pPr>
        <w:spacing w:line="360" w:lineRule="auto"/>
        <w:ind w:right="48"/>
        <w:jc w:val="both"/>
        <w:rPr>
          <w:rFonts w:ascii="Palatino Linotype" w:hAnsi="Palatino Linotype"/>
        </w:rPr>
      </w:pPr>
    </w:p>
    <w:p w:rsidR="003F6B0B" w:rsidRPr="009B6FD5" w:rsidRDefault="003F6B0B" w:rsidP="003F6B0B">
      <w:pPr>
        <w:spacing w:line="360" w:lineRule="auto"/>
        <w:ind w:right="48"/>
        <w:jc w:val="both"/>
        <w:rPr>
          <w:rFonts w:ascii="Palatino Linotype" w:hAnsi="Palatino Linotype"/>
        </w:rPr>
      </w:pPr>
      <w:r w:rsidRPr="009B6FD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w:t>
      </w:r>
      <w:r w:rsidR="001535CB">
        <w:rPr>
          <w:rFonts w:ascii="Palatino Linotype" w:hAnsi="Palatino Linotype"/>
        </w:rPr>
        <w:t>Z PEÑA;  EN LA TRIGÉSIMA NOV</w:t>
      </w:r>
      <w:bookmarkStart w:id="91" w:name="_GoBack"/>
      <w:bookmarkEnd w:id="91"/>
      <w:r w:rsidR="001535CB">
        <w:rPr>
          <w:rFonts w:ascii="Palatino Linotype" w:hAnsi="Palatino Linotype"/>
        </w:rPr>
        <w:t>ENA</w:t>
      </w:r>
      <w:r w:rsidRPr="009B6FD5">
        <w:rPr>
          <w:rFonts w:ascii="Palatino Linotype" w:hAnsi="Palatino Linotype"/>
        </w:rPr>
        <w:t xml:space="preserve"> SESIÓN ORDINARIA CELEBRADA EL DÍA </w:t>
      </w:r>
      <w:r w:rsidR="001535CB">
        <w:rPr>
          <w:rFonts w:ascii="Palatino Linotype" w:hAnsi="Palatino Linotype"/>
        </w:rPr>
        <w:t>CUATRO DE NOVIEMBRE</w:t>
      </w:r>
      <w:r w:rsidRPr="009B6FD5">
        <w:rPr>
          <w:rFonts w:ascii="Palatino Linotype" w:hAnsi="Palatino Linotype"/>
        </w:rPr>
        <w:t xml:space="preserve"> DE DOS MIL VEINTIUNO, ANTE EL SECRETARIO TÉCNICO DEL PLENO, ALEXIS TAPIA RAMÍREZ. </w:t>
      </w:r>
    </w:p>
    <w:p w:rsidR="003F6B0B" w:rsidRPr="009B6FD5" w:rsidRDefault="003F6B0B" w:rsidP="003F6B0B">
      <w:pPr>
        <w:spacing w:line="360" w:lineRule="auto"/>
        <w:ind w:right="48"/>
        <w:rPr>
          <w:rFonts w:ascii="Palatino Linotype" w:hAnsi="Palatino Linotype"/>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ind w:right="49"/>
        <w:jc w:val="both"/>
        <w:rPr>
          <w:rFonts w:ascii="Palatino Linotype" w:eastAsiaTheme="minorEastAsia" w:hAnsi="Palatino Linotype" w:cs="Arial"/>
          <w:lang w:val="es-ES_tradnl" w:eastAsia="es-ES"/>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Pr="009B6FD5" w:rsidRDefault="003F6B0B" w:rsidP="003F6B0B">
      <w:pPr>
        <w:spacing w:line="360" w:lineRule="auto"/>
        <w:rPr>
          <w:rFonts w:ascii="Palatino Linotype" w:hAnsi="Palatino Linotype"/>
        </w:rPr>
      </w:pPr>
    </w:p>
    <w:p w:rsidR="003F6B0B" w:rsidRDefault="003F6B0B"/>
    <w:sectPr w:rsidR="003F6B0B" w:rsidSect="003F6B0B">
      <w:headerReference w:type="even" r:id="rId20"/>
      <w:headerReference w:type="default" r:id="rId21"/>
      <w:footerReference w:type="default" r:id="rId22"/>
      <w:headerReference w:type="first" r:id="rId23"/>
      <w:footerReference w:type="first" r:id="rId24"/>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2B72" w:rsidRDefault="00892B72" w:rsidP="003F6B0B">
      <w:r>
        <w:separator/>
      </w:r>
    </w:p>
  </w:endnote>
  <w:endnote w:type="continuationSeparator" w:id="0">
    <w:p w:rsidR="00892B72" w:rsidRDefault="00892B72" w:rsidP="003F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MT">
    <w:charset w:val="00"/>
    <w:family w:val="auto"/>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BFE" w:rsidRDefault="00D97BFE">
    <w:pPr>
      <w:pStyle w:val="Piedepgina"/>
      <w:jc w:val="right"/>
    </w:pPr>
    <w:r>
      <w:rPr>
        <w:lang w:val="es-ES"/>
      </w:rPr>
      <w:t xml:space="preserve">Página </w:t>
    </w:r>
    <w:r>
      <w:rPr>
        <w:b/>
        <w:bCs/>
      </w:rPr>
      <w:fldChar w:fldCharType="begin"/>
    </w:r>
    <w:r>
      <w:rPr>
        <w:b/>
        <w:bCs/>
      </w:rPr>
      <w:instrText>PAGE</w:instrText>
    </w:r>
    <w:r>
      <w:rPr>
        <w:b/>
        <w:bCs/>
      </w:rPr>
      <w:fldChar w:fldCharType="separate"/>
    </w:r>
    <w:r w:rsidR="00E76C02">
      <w:rPr>
        <w:b/>
        <w:bCs/>
        <w:noProof/>
      </w:rPr>
      <w:t>29</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76C02">
      <w:rPr>
        <w:b/>
        <w:bCs/>
        <w:noProof/>
      </w:rPr>
      <w:t>48</w:t>
    </w:r>
    <w:r>
      <w:rPr>
        <w:b/>
        <w:bCs/>
      </w:rPr>
      <w:fldChar w:fldCharType="end"/>
    </w:r>
  </w:p>
  <w:p w:rsidR="00D97BFE" w:rsidRDefault="00D97B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BFE" w:rsidRDefault="00D97BFE">
    <w:pPr>
      <w:pStyle w:val="Piedepgina"/>
      <w:jc w:val="right"/>
    </w:pPr>
    <w:r>
      <w:rPr>
        <w:lang w:val="es-ES"/>
      </w:rPr>
      <w:t xml:space="preserve">Página </w:t>
    </w:r>
    <w:r>
      <w:rPr>
        <w:b/>
        <w:bCs/>
      </w:rPr>
      <w:fldChar w:fldCharType="begin"/>
    </w:r>
    <w:r>
      <w:rPr>
        <w:b/>
        <w:bCs/>
      </w:rPr>
      <w:instrText>PAGE</w:instrText>
    </w:r>
    <w:r>
      <w:rPr>
        <w:b/>
        <w:bCs/>
      </w:rPr>
      <w:fldChar w:fldCharType="separate"/>
    </w:r>
    <w:r w:rsidR="00E76C02">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76C02">
      <w:rPr>
        <w:b/>
        <w:bCs/>
        <w:noProof/>
      </w:rPr>
      <w:t>48</w:t>
    </w:r>
    <w:r>
      <w:rPr>
        <w:b/>
        <w:bCs/>
      </w:rPr>
      <w:fldChar w:fldCharType="end"/>
    </w:r>
  </w:p>
  <w:p w:rsidR="00D97BFE" w:rsidRDefault="00D97B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2B72" w:rsidRDefault="00892B72" w:rsidP="003F6B0B">
      <w:r>
        <w:separator/>
      </w:r>
    </w:p>
  </w:footnote>
  <w:footnote w:type="continuationSeparator" w:id="0">
    <w:p w:rsidR="00892B72" w:rsidRDefault="00892B72" w:rsidP="003F6B0B">
      <w:r>
        <w:continuationSeparator/>
      </w:r>
    </w:p>
  </w:footnote>
  <w:footnote w:id="1">
    <w:p w:rsidR="00D97BFE" w:rsidRDefault="00D97BFE" w:rsidP="003F6B0B">
      <w:pPr>
        <w:pStyle w:val="Textonotapie"/>
      </w:pPr>
      <w:r>
        <w:rPr>
          <w:rStyle w:val="Refdenotaalpie"/>
        </w:rPr>
        <w:footnoteRef/>
      </w:r>
      <w:r>
        <w:t xml:space="preserve"> Convención Americana sobre Derechos Humanos. Artículo 13.</w:t>
      </w:r>
    </w:p>
  </w:footnote>
  <w:footnote w:id="2">
    <w:p w:rsidR="00D97BFE" w:rsidRDefault="00D97BFE" w:rsidP="003F6B0B">
      <w:pPr>
        <w:pStyle w:val="Textonotapie"/>
      </w:pPr>
      <w:r>
        <w:rPr>
          <w:rStyle w:val="Refdenotaalpie"/>
        </w:rPr>
        <w:footnoteRef/>
      </w:r>
      <w:r>
        <w:t xml:space="preserve"> Constitución Política de los Estados Unidos Mexicanos. Artículo sexto, sección A, fracción I.</w:t>
      </w:r>
    </w:p>
  </w:footnote>
  <w:footnote w:id="3">
    <w:p w:rsidR="00D97BFE" w:rsidRDefault="00D97BFE" w:rsidP="003F6B0B">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D97BFE" w:rsidRDefault="00D97BFE" w:rsidP="003F6B0B">
      <w:pPr>
        <w:pStyle w:val="Textonotapie"/>
      </w:pPr>
      <w:r>
        <w:rPr>
          <w:rStyle w:val="Refdenotaalpie"/>
        </w:rPr>
        <w:footnoteRef/>
      </w:r>
      <w:r>
        <w:t xml:space="preserve"> Ibídem. Parr. 87.</w:t>
      </w:r>
    </w:p>
  </w:footnote>
  <w:footnote w:id="5">
    <w:p w:rsidR="00D97BFE" w:rsidRPr="00985DD4" w:rsidRDefault="00D97BFE" w:rsidP="003F6B0B">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rsidR="00D97BFE" w:rsidRPr="00985DD4" w:rsidRDefault="00D97BFE" w:rsidP="003F6B0B">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rsidR="00D97BFE" w:rsidRPr="00BE13A0" w:rsidRDefault="00D97BFE" w:rsidP="003F6B0B">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6">
    <w:p w:rsidR="00D97BFE" w:rsidRPr="00985DD4" w:rsidRDefault="00D97BFE" w:rsidP="003F6B0B">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7">
    <w:p w:rsidR="00D97BFE" w:rsidRDefault="00D97BFE" w:rsidP="003F6B0B">
      <w:pPr>
        <w:pStyle w:val="Textonotapie"/>
        <w:jc w:val="both"/>
      </w:pPr>
      <w:r>
        <w:rPr>
          <w:rStyle w:val="Refdenotaalpie"/>
        </w:rPr>
        <w:footnoteRef/>
      </w:r>
      <w:r w:rsidRPr="00266430">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D97BFE" w:rsidRPr="00266430" w:rsidRDefault="00D97BFE" w:rsidP="003F6B0B">
      <w:pPr>
        <w:pStyle w:val="Textonotapie"/>
        <w:jc w:val="both"/>
      </w:pPr>
      <w:r w:rsidRPr="00266430">
        <w:t xml:space="preserve">1a./J. 2/2012 (9a.). Primera Sala. Décima Época. Semanario Judicial de la Federación y su Gaceta. Libro V, Febrero de 2012, Pág. 533.  </w:t>
      </w:r>
    </w:p>
  </w:footnote>
  <w:footnote w:id="8">
    <w:p w:rsidR="00D97BFE" w:rsidRPr="00A870EF" w:rsidRDefault="00D97BFE" w:rsidP="003F6B0B">
      <w:pPr>
        <w:pStyle w:val="Textonotapie"/>
        <w:jc w:val="both"/>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9">
    <w:p w:rsidR="00D97BFE" w:rsidRDefault="00D97BFE" w:rsidP="003F6B0B">
      <w:pPr>
        <w:pStyle w:val="Textonotapie"/>
        <w:jc w:val="both"/>
      </w:pPr>
      <w:r>
        <w:rPr>
          <w:rStyle w:val="Refdenotaalpie"/>
        </w:rPr>
        <w:footnoteRef/>
      </w:r>
      <w: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D97BFE" w:rsidRDefault="00D97BFE" w:rsidP="003F6B0B">
      <w:pPr>
        <w:pStyle w:val="Textonotapie"/>
        <w:jc w:val="both"/>
      </w:pPr>
      <w: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D97BFE" w:rsidRPr="001E1F95" w:rsidRDefault="00D97BFE" w:rsidP="003F6B0B">
      <w:pPr>
        <w:pStyle w:val="Textonotapie"/>
        <w:jc w:val="both"/>
      </w:pPr>
      <w: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0">
    <w:p w:rsidR="00D97BFE" w:rsidRPr="00191180" w:rsidRDefault="00D97BFE" w:rsidP="003F6B0B">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1">
    <w:p w:rsidR="00D97BFE" w:rsidRPr="0037004E" w:rsidRDefault="00D97BFE" w:rsidP="003F6B0B">
      <w:pPr>
        <w:pStyle w:val="Textonotapie"/>
        <w:jc w:val="both"/>
      </w:pPr>
      <w:r>
        <w:rPr>
          <w:rStyle w:val="Refdenotaalpie"/>
        </w:rPr>
        <w:footnoteRef/>
      </w:r>
      <w:r>
        <w:t xml:space="preserve"> </w:t>
      </w:r>
      <w:r w:rsidRPr="00C4034A">
        <w:t>Tribunales Colegiados de Circuito. Novena Época. Semanario Judicial de la Federación y su Gaceta. Tomo III, marzo de 1996. Pág 769. Consultado en http://sjf.scjn.gob.mx/sjfsist/Documentos/Tesis/203/203143.pdf  el viernes 16 de junio de 2017.</w:t>
      </w:r>
    </w:p>
    <w:p w:rsidR="00D97BFE" w:rsidRDefault="00D97BFE" w:rsidP="003F6B0B">
      <w:pPr>
        <w:pStyle w:val="Textonotapie"/>
      </w:pPr>
    </w:p>
  </w:footnote>
  <w:footnote w:id="12">
    <w:p w:rsidR="00D97BFE" w:rsidRDefault="00D97BFE" w:rsidP="003F6B0B">
      <w:pPr>
        <w:pStyle w:val="Textonotapie"/>
        <w:jc w:val="both"/>
      </w:pPr>
      <w:r>
        <w:rPr>
          <w:rStyle w:val="Refdenotaalpie"/>
        </w:rPr>
        <w:footnoteRef/>
      </w:r>
      <w:r>
        <w:t xml:space="preserve"> Artículo 3. Para los efectos de la presente Ley se entenderá por:</w:t>
      </w:r>
    </w:p>
    <w:p w:rsidR="00D97BFE" w:rsidRDefault="00D97BFE" w:rsidP="003F6B0B">
      <w:pPr>
        <w:pStyle w:val="Textonotapie"/>
        <w:jc w:val="both"/>
      </w:pPr>
      <w:r>
        <w:t xml:space="preserve"> (…)</w:t>
      </w:r>
    </w:p>
    <w:p w:rsidR="00D97BFE" w:rsidRDefault="00D97BFE" w:rsidP="003F6B0B">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7BFE" w:rsidRDefault="00892B72">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D97BFE" w:rsidRPr="005C106F" w:rsidTr="003F6B0B">
      <w:trPr>
        <w:trHeight w:val="1435"/>
      </w:trPr>
      <w:tc>
        <w:tcPr>
          <w:tcW w:w="2268" w:type="dxa"/>
          <w:shd w:val="clear" w:color="auto" w:fill="auto"/>
        </w:tcPr>
        <w:p w:rsidR="00D97BFE" w:rsidRPr="005C106F" w:rsidRDefault="00D97BFE" w:rsidP="003F6B0B">
          <w:pPr>
            <w:tabs>
              <w:tab w:val="right" w:pos="4273"/>
            </w:tabs>
            <w:rPr>
              <w:rFonts w:ascii="Garamond" w:eastAsia="Calibri" w:hAnsi="Garamond"/>
              <w:sz w:val="16"/>
              <w:szCs w:val="16"/>
              <w:lang w:eastAsia="en-US"/>
            </w:rPr>
          </w:pPr>
        </w:p>
      </w:tc>
      <w:tc>
        <w:tcPr>
          <w:tcW w:w="6946" w:type="dxa"/>
          <w:shd w:val="clear" w:color="auto" w:fill="auto"/>
        </w:tcPr>
        <w:p w:rsidR="00D97BFE" w:rsidRDefault="00D97BFE" w:rsidP="003F6B0B"/>
        <w:tbl>
          <w:tblPr>
            <w:tblW w:w="6662" w:type="dxa"/>
            <w:tblInd w:w="40" w:type="dxa"/>
            <w:tblLayout w:type="fixed"/>
            <w:tblLook w:val="0420" w:firstRow="1" w:lastRow="0" w:firstColumn="0" w:lastColumn="0" w:noHBand="0" w:noVBand="1"/>
          </w:tblPr>
          <w:tblGrid>
            <w:gridCol w:w="2551"/>
            <w:gridCol w:w="4111"/>
          </w:tblGrid>
          <w:tr w:rsidR="00D97BFE" w:rsidTr="003F6B0B">
            <w:trPr>
              <w:trHeight w:val="150"/>
            </w:trPr>
            <w:tc>
              <w:tcPr>
                <w:tcW w:w="2551" w:type="dxa"/>
                <w:shd w:val="clear" w:color="auto" w:fill="auto"/>
              </w:tcPr>
              <w:p w:rsidR="00D97BFE" w:rsidRPr="00020E73" w:rsidRDefault="00D97BFE" w:rsidP="003F6B0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D97BFE" w:rsidRPr="00020E73" w:rsidRDefault="00D97BFE" w:rsidP="003F6B0B">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04313</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D97BFE" w:rsidTr="003F6B0B">
            <w:trPr>
              <w:trHeight w:val="295"/>
            </w:trPr>
            <w:tc>
              <w:tcPr>
                <w:tcW w:w="2551" w:type="dxa"/>
                <w:shd w:val="clear" w:color="auto" w:fill="auto"/>
              </w:tcPr>
              <w:p w:rsidR="00D97BFE" w:rsidRPr="00020E73" w:rsidRDefault="00D97BFE" w:rsidP="003F6B0B">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D97BFE" w:rsidRPr="00020E73" w:rsidRDefault="00D97BFE" w:rsidP="003F6B0B">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Ayuntamiento de Ocoyoacac</w:t>
                </w:r>
              </w:p>
            </w:tc>
          </w:tr>
          <w:tr w:rsidR="00D97BFE" w:rsidTr="003F6B0B">
            <w:trPr>
              <w:trHeight w:val="295"/>
            </w:trPr>
            <w:tc>
              <w:tcPr>
                <w:tcW w:w="2551" w:type="dxa"/>
                <w:shd w:val="clear" w:color="auto" w:fill="auto"/>
              </w:tcPr>
              <w:p w:rsidR="00D97BFE" w:rsidRPr="00020E73" w:rsidRDefault="00D97BFE" w:rsidP="003F6B0B">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D97BFE" w:rsidRPr="00020E73" w:rsidRDefault="00D97BFE" w:rsidP="003F6B0B">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D97BFE" w:rsidRPr="00020E73" w:rsidRDefault="00D97BFE" w:rsidP="003F6B0B">
                <w:pPr>
                  <w:tabs>
                    <w:tab w:val="right" w:pos="8838"/>
                  </w:tabs>
                  <w:ind w:left="-108" w:right="171"/>
                  <w:jc w:val="both"/>
                  <w:rPr>
                    <w:rFonts w:ascii="Palatino Linotype" w:eastAsia="Calibri" w:hAnsi="Palatino Linotype" w:cs="Tahoma"/>
                    <w:b/>
                    <w:sz w:val="22"/>
                    <w:szCs w:val="22"/>
                    <w:lang w:val="es-ES" w:eastAsia="en-US"/>
                  </w:rPr>
                </w:pPr>
              </w:p>
            </w:tc>
          </w:tr>
        </w:tbl>
        <w:p w:rsidR="00D97BFE" w:rsidRPr="005C106F" w:rsidRDefault="00D97BFE" w:rsidP="003F6B0B">
          <w:pPr>
            <w:tabs>
              <w:tab w:val="right" w:pos="8838"/>
            </w:tabs>
            <w:ind w:left="-28"/>
            <w:jc w:val="both"/>
            <w:rPr>
              <w:rFonts w:ascii="Arial" w:eastAsia="Calibri" w:hAnsi="Arial" w:cs="Arial"/>
              <w:b/>
              <w:sz w:val="22"/>
              <w:szCs w:val="22"/>
              <w:lang w:eastAsia="en-US"/>
            </w:rPr>
          </w:pPr>
        </w:p>
      </w:tc>
    </w:tr>
  </w:tbl>
  <w:p w:rsidR="00D97BFE" w:rsidRPr="00443C6B" w:rsidRDefault="00892B72" w:rsidP="003F6B0B">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D97BFE" w:rsidRPr="00330DA7" w:rsidTr="003F6B0B">
      <w:trPr>
        <w:trHeight w:val="1435"/>
      </w:trPr>
      <w:tc>
        <w:tcPr>
          <w:tcW w:w="2268" w:type="dxa"/>
          <w:shd w:val="clear" w:color="auto" w:fill="auto"/>
        </w:tcPr>
        <w:p w:rsidR="00D97BFE" w:rsidRPr="00330DA7" w:rsidRDefault="00D97BFE" w:rsidP="003F6B0B">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D97BFE" w:rsidRPr="00330DA7" w:rsidTr="003F6B0B">
            <w:trPr>
              <w:trHeight w:val="144"/>
            </w:trPr>
            <w:tc>
              <w:tcPr>
                <w:tcW w:w="2444" w:type="dxa"/>
                <w:shd w:val="clear" w:color="auto" w:fill="auto"/>
              </w:tcPr>
              <w:p w:rsidR="00D97BFE" w:rsidRPr="00020E73" w:rsidRDefault="00D97BFE" w:rsidP="003F6B0B">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D97BFE" w:rsidRPr="00020E73" w:rsidRDefault="00D97BFE" w:rsidP="003F6B0B">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04313</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D97BFE" w:rsidRPr="00330DA7" w:rsidTr="003F6B0B">
            <w:trPr>
              <w:trHeight w:val="144"/>
            </w:trPr>
            <w:tc>
              <w:tcPr>
                <w:tcW w:w="2444" w:type="dxa"/>
                <w:shd w:val="clear" w:color="auto" w:fill="auto"/>
              </w:tcPr>
              <w:p w:rsidR="00D97BFE" w:rsidRPr="00020E73" w:rsidRDefault="00D97BFE" w:rsidP="003F6B0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D97BFE" w:rsidRPr="00020E73" w:rsidRDefault="00D97BFE" w:rsidP="003F6B0B">
                <w:pPr>
                  <w:tabs>
                    <w:tab w:val="left" w:pos="3122"/>
                    <w:tab w:val="right" w:pos="8838"/>
                  </w:tabs>
                  <w:ind w:left="-74" w:right="-105"/>
                  <w:jc w:val="both"/>
                  <w:rPr>
                    <w:rFonts w:ascii="Palatino Linotype" w:eastAsia="Calibri" w:hAnsi="Palatino Linotype" w:cs="Tahoma"/>
                    <w:sz w:val="22"/>
                    <w:szCs w:val="22"/>
                    <w:lang w:val="es-ES" w:eastAsia="en-US"/>
                  </w:rPr>
                </w:pPr>
              </w:p>
            </w:tc>
          </w:tr>
          <w:tr w:rsidR="00D97BFE" w:rsidRPr="00330DA7" w:rsidTr="003F6B0B">
            <w:trPr>
              <w:trHeight w:val="283"/>
            </w:trPr>
            <w:tc>
              <w:tcPr>
                <w:tcW w:w="2444" w:type="dxa"/>
                <w:shd w:val="clear" w:color="auto" w:fill="auto"/>
              </w:tcPr>
              <w:p w:rsidR="00D97BFE" w:rsidRPr="00020E73" w:rsidRDefault="00D97BFE" w:rsidP="003F6B0B">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D97BFE" w:rsidRPr="009E7B0A" w:rsidRDefault="00D97BFE" w:rsidP="003F6B0B">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Ayuntamiento de Ocoyoacac</w:t>
                </w:r>
              </w:p>
            </w:tc>
          </w:tr>
          <w:tr w:rsidR="00D97BFE" w:rsidRPr="00330DA7" w:rsidTr="003F6B0B">
            <w:trPr>
              <w:trHeight w:val="283"/>
            </w:trPr>
            <w:tc>
              <w:tcPr>
                <w:tcW w:w="2444" w:type="dxa"/>
                <w:shd w:val="clear" w:color="auto" w:fill="auto"/>
              </w:tcPr>
              <w:p w:rsidR="00D97BFE" w:rsidRPr="00020E73" w:rsidRDefault="00D97BFE" w:rsidP="003F6B0B">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D97BFE" w:rsidRPr="00020E73" w:rsidRDefault="00D97BFE" w:rsidP="003F6B0B">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D97BFE" w:rsidRPr="00020E73" w:rsidRDefault="00D97BFE" w:rsidP="003F6B0B">
                <w:pPr>
                  <w:tabs>
                    <w:tab w:val="right" w:pos="8838"/>
                  </w:tabs>
                  <w:ind w:left="-74" w:right="-105"/>
                  <w:jc w:val="both"/>
                  <w:rPr>
                    <w:rFonts w:ascii="Palatino Linotype" w:eastAsia="Calibri" w:hAnsi="Palatino Linotype" w:cs="Tahoma"/>
                    <w:b/>
                    <w:sz w:val="22"/>
                    <w:szCs w:val="22"/>
                    <w:lang w:val="es-ES" w:eastAsia="en-US"/>
                  </w:rPr>
                </w:pPr>
              </w:p>
            </w:tc>
          </w:tr>
        </w:tbl>
        <w:p w:rsidR="00D97BFE" w:rsidRPr="00330DA7" w:rsidRDefault="00D97BFE" w:rsidP="003F6B0B">
          <w:pPr>
            <w:tabs>
              <w:tab w:val="right" w:pos="8838"/>
            </w:tabs>
            <w:ind w:left="-28"/>
            <w:jc w:val="both"/>
            <w:rPr>
              <w:rFonts w:ascii="Arial" w:eastAsia="Calibri" w:hAnsi="Arial" w:cs="Arial"/>
              <w:b/>
              <w:sz w:val="22"/>
              <w:szCs w:val="22"/>
              <w:lang w:eastAsia="en-US"/>
            </w:rPr>
          </w:pPr>
        </w:p>
      </w:tc>
    </w:tr>
  </w:tbl>
  <w:p w:rsidR="00D97BFE" w:rsidRPr="00827FA0" w:rsidRDefault="00892B72" w:rsidP="003F6B0B">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DB4628"/>
    <w:multiLevelType w:val="hybridMultilevel"/>
    <w:tmpl w:val="7ACC7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6472A"/>
    <w:multiLevelType w:val="multilevel"/>
    <w:tmpl w:val="D862D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94E680A"/>
    <w:multiLevelType w:val="multilevel"/>
    <w:tmpl w:val="39E6A6F0"/>
    <w:lvl w:ilvl="0">
      <w:start w:val="1"/>
      <w:numFmt w:val="bullet"/>
      <w:lvlText w:val=""/>
      <w:lvlJc w:val="left"/>
      <w:pPr>
        <w:tabs>
          <w:tab w:val="num" w:pos="720"/>
        </w:tabs>
        <w:ind w:left="720" w:hanging="360"/>
      </w:pPr>
      <w:rPr>
        <w:rFonts w:ascii="Symbol" w:hAnsi="Symbol" w:hint="default"/>
        <w:sz w:val="20"/>
      </w:rPr>
    </w:lvl>
    <w:lvl w:ilvl="1">
      <w:start w:val="5"/>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611E4"/>
    <w:multiLevelType w:val="multilevel"/>
    <w:tmpl w:val="21948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9255F"/>
    <w:multiLevelType w:val="multilevel"/>
    <w:tmpl w:val="ABCEA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DC054D"/>
    <w:multiLevelType w:val="multilevel"/>
    <w:tmpl w:val="F746D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4557A3"/>
    <w:multiLevelType w:val="hybridMultilevel"/>
    <w:tmpl w:val="88B2A158"/>
    <w:lvl w:ilvl="0" w:tplc="AF668C6A">
      <w:start w:val="1"/>
      <w:numFmt w:val="lowerLetter"/>
      <w:lvlText w:val="%1)"/>
      <w:lvlJc w:val="left"/>
      <w:pPr>
        <w:ind w:left="720" w:hanging="360"/>
      </w:pPr>
      <w:rPr>
        <w:rFonts w:cs="Times New Roman"/>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3736CB"/>
    <w:multiLevelType w:val="hybridMultilevel"/>
    <w:tmpl w:val="A2B0A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1B2E098E"/>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45D09"/>
    <w:multiLevelType w:val="hybridMultilevel"/>
    <w:tmpl w:val="0980D8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698179C"/>
    <w:multiLevelType w:val="multilevel"/>
    <w:tmpl w:val="ED348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2753F6"/>
    <w:multiLevelType w:val="hybridMultilevel"/>
    <w:tmpl w:val="CDC6BB0E"/>
    <w:lvl w:ilvl="0" w:tplc="DBC0F55E">
      <w:start w:val="1"/>
      <w:numFmt w:val="upperRoman"/>
      <w:lvlText w:val="%1."/>
      <w:lvlJc w:val="left"/>
      <w:pPr>
        <w:ind w:left="1080" w:hanging="720"/>
      </w:pPr>
      <w:rPr>
        <w:rFonts w:cs="Times New Roman"/>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28B21A9"/>
    <w:multiLevelType w:val="multilevel"/>
    <w:tmpl w:val="181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1227ED"/>
    <w:multiLevelType w:val="multilevel"/>
    <w:tmpl w:val="D28C0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15:restartNumberingAfterBreak="0">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9014D2C"/>
    <w:multiLevelType w:val="multilevel"/>
    <w:tmpl w:val="C248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2B190D"/>
    <w:multiLevelType w:val="hybridMultilevel"/>
    <w:tmpl w:val="D6B690C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CD5741B"/>
    <w:multiLevelType w:val="multilevel"/>
    <w:tmpl w:val="EDF2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CC2614"/>
    <w:multiLevelType w:val="multilevel"/>
    <w:tmpl w:val="F432C7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6DB0AAF"/>
    <w:multiLevelType w:val="multilevel"/>
    <w:tmpl w:val="06D4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0136A0"/>
    <w:multiLevelType w:val="hybridMultilevel"/>
    <w:tmpl w:val="470AAFC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33"/>
  </w:num>
  <w:num w:numId="4">
    <w:abstractNumId w:val="13"/>
  </w:num>
  <w:num w:numId="5">
    <w:abstractNumId w:val="22"/>
  </w:num>
  <w:num w:numId="6">
    <w:abstractNumId w:val="21"/>
  </w:num>
  <w:num w:numId="7">
    <w:abstractNumId w:val="14"/>
  </w:num>
  <w:num w:numId="8">
    <w:abstractNumId w:val="15"/>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3"/>
  </w:num>
  <w:num w:numId="12">
    <w:abstractNumId w:val="20"/>
  </w:num>
  <w:num w:numId="13">
    <w:abstractNumId w:val="8"/>
  </w:num>
  <w:num w:numId="14">
    <w:abstractNumId w:val="11"/>
  </w:num>
  <w:num w:numId="15">
    <w:abstractNumId w:val="30"/>
  </w:num>
  <w:num w:numId="16">
    <w:abstractNumId w:val="29"/>
  </w:num>
  <w:num w:numId="17">
    <w:abstractNumId w:val="29"/>
    <w:lvlOverride w:ilvl="0">
      <w:startOverride w:val="2"/>
    </w:lvlOverride>
  </w:num>
  <w:num w:numId="18">
    <w:abstractNumId w:val="29"/>
    <w:lvlOverride w:ilvl="0">
      <w:startOverride w:val="3"/>
    </w:lvlOverride>
  </w:num>
  <w:num w:numId="19">
    <w:abstractNumId w:val="29"/>
    <w:lvlOverride w:ilvl="0">
      <w:startOverride w:val="4"/>
    </w:lvlOverride>
  </w:num>
  <w:num w:numId="20">
    <w:abstractNumId w:val="29"/>
    <w:lvlOverride w:ilvl="0">
      <w:startOverride w:val="5"/>
    </w:lvlOverride>
  </w:num>
  <w:num w:numId="21">
    <w:abstractNumId w:val="25"/>
  </w:num>
  <w:num w:numId="22">
    <w:abstractNumId w:val="19"/>
  </w:num>
  <w:num w:numId="23">
    <w:abstractNumId w:val="17"/>
  </w:num>
  <w:num w:numId="24">
    <w:abstractNumId w:val="28"/>
  </w:num>
  <w:num w:numId="25">
    <w:abstractNumId w:val="9"/>
  </w:num>
  <w:num w:numId="26">
    <w:abstractNumId w:val="7"/>
  </w:num>
  <w:num w:numId="27">
    <w:abstractNumId w:val="24"/>
  </w:num>
  <w:num w:numId="28">
    <w:abstractNumId w:val="4"/>
  </w:num>
  <w:num w:numId="29">
    <w:abstractNumId w:val="10"/>
  </w:num>
  <w:num w:numId="30">
    <w:abstractNumId w:val="27"/>
  </w:num>
  <w:num w:numId="31">
    <w:abstractNumId w:val="23"/>
  </w:num>
  <w:num w:numId="32">
    <w:abstractNumId w:val="6"/>
  </w:num>
  <w:num w:numId="33">
    <w:abstractNumId w:val="5"/>
  </w:num>
  <w:num w:numId="34">
    <w:abstractNumId w:val="1"/>
  </w:num>
  <w:num w:numId="35">
    <w:abstractNumId w:val="16"/>
  </w:num>
  <w:num w:numId="36">
    <w:abstractNumId w:val="26"/>
  </w:num>
  <w:num w:numId="37">
    <w:abstractNumId w:val="32"/>
  </w:num>
  <w:num w:numId="38">
    <w:abstractNumId w:val="2"/>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B0B"/>
    <w:rsid w:val="000070F6"/>
    <w:rsid w:val="00007A3C"/>
    <w:rsid w:val="00064E58"/>
    <w:rsid w:val="000812F2"/>
    <w:rsid w:val="000C0CD9"/>
    <w:rsid w:val="000D2C7F"/>
    <w:rsid w:val="000E7ECF"/>
    <w:rsid w:val="001535CB"/>
    <w:rsid w:val="001B56D0"/>
    <w:rsid w:val="00214EBE"/>
    <w:rsid w:val="00217C27"/>
    <w:rsid w:val="003A083C"/>
    <w:rsid w:val="003D6225"/>
    <w:rsid w:val="003F6B0B"/>
    <w:rsid w:val="00473FF9"/>
    <w:rsid w:val="004B2D00"/>
    <w:rsid w:val="004C3185"/>
    <w:rsid w:val="004F1562"/>
    <w:rsid w:val="004F63A7"/>
    <w:rsid w:val="00501E1E"/>
    <w:rsid w:val="0052540F"/>
    <w:rsid w:val="005F10CE"/>
    <w:rsid w:val="0067172E"/>
    <w:rsid w:val="00694948"/>
    <w:rsid w:val="006C111B"/>
    <w:rsid w:val="006D50EC"/>
    <w:rsid w:val="00702CDB"/>
    <w:rsid w:val="00721B01"/>
    <w:rsid w:val="0076643E"/>
    <w:rsid w:val="00780960"/>
    <w:rsid w:val="0081700C"/>
    <w:rsid w:val="00892B72"/>
    <w:rsid w:val="008D23BB"/>
    <w:rsid w:val="009758A4"/>
    <w:rsid w:val="009B6B3F"/>
    <w:rsid w:val="00A5110A"/>
    <w:rsid w:val="00A6751F"/>
    <w:rsid w:val="00AD3AD8"/>
    <w:rsid w:val="00AF14AA"/>
    <w:rsid w:val="00B850C9"/>
    <w:rsid w:val="00BA3172"/>
    <w:rsid w:val="00CB4E40"/>
    <w:rsid w:val="00D1471C"/>
    <w:rsid w:val="00D36DAD"/>
    <w:rsid w:val="00D500CC"/>
    <w:rsid w:val="00D74AC5"/>
    <w:rsid w:val="00D8512F"/>
    <w:rsid w:val="00D97BFE"/>
    <w:rsid w:val="00DB4589"/>
    <w:rsid w:val="00DE5089"/>
    <w:rsid w:val="00E565FA"/>
    <w:rsid w:val="00E76C02"/>
    <w:rsid w:val="00F26151"/>
    <w:rsid w:val="00F51D1F"/>
    <w:rsid w:val="00FB54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E1BC3D05-8128-4941-8C48-247DBB568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B0B"/>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3F6B0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6B0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F6B0B"/>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link w:val="Ttulo2"/>
    <w:uiPriority w:val="9"/>
    <w:rsid w:val="003F6B0B"/>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3F6B0B"/>
    <w:pPr>
      <w:tabs>
        <w:tab w:val="center" w:pos="4419"/>
        <w:tab w:val="right" w:pos="8838"/>
      </w:tabs>
    </w:pPr>
  </w:style>
  <w:style w:type="character" w:customStyle="1" w:styleId="EncabezadoCar">
    <w:name w:val="Encabezado Car"/>
    <w:basedOn w:val="Fuentedeprrafopredeter"/>
    <w:link w:val="Encabezado"/>
    <w:uiPriority w:val="99"/>
    <w:rsid w:val="003F6B0B"/>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3F6B0B"/>
    <w:pPr>
      <w:tabs>
        <w:tab w:val="center" w:pos="4419"/>
        <w:tab w:val="right" w:pos="8838"/>
      </w:tabs>
    </w:pPr>
  </w:style>
  <w:style w:type="character" w:customStyle="1" w:styleId="PiedepginaCar">
    <w:name w:val="Pie de página Car"/>
    <w:basedOn w:val="Fuentedeprrafopredeter"/>
    <w:link w:val="Piedepgina"/>
    <w:uiPriority w:val="99"/>
    <w:rsid w:val="003F6B0B"/>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F6B0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3F6B0B"/>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3F6B0B"/>
    <w:rPr>
      <w:color w:val="0563C1"/>
      <w:u w:val="single"/>
    </w:rPr>
  </w:style>
  <w:style w:type="paragraph" w:styleId="Sinespaciado">
    <w:name w:val="No Spacing"/>
    <w:aliases w:val="Francesa,INAI"/>
    <w:link w:val="SinespaciadoCar"/>
    <w:uiPriority w:val="1"/>
    <w:qFormat/>
    <w:rsid w:val="003F6B0B"/>
    <w:pPr>
      <w:spacing w:after="0" w:line="240" w:lineRule="auto"/>
    </w:pPr>
    <w:rPr>
      <w:lang w:val="es-MX"/>
    </w:rPr>
  </w:style>
  <w:style w:type="character" w:customStyle="1" w:styleId="SinespaciadoCar">
    <w:name w:val="Sin espaciado Car"/>
    <w:aliases w:val="Francesa Car,INAI Car"/>
    <w:link w:val="Sinespaciado"/>
    <w:uiPriority w:val="1"/>
    <w:locked/>
    <w:rsid w:val="003F6B0B"/>
    <w:rPr>
      <w:lang w:val="es-MX"/>
    </w:rPr>
  </w:style>
  <w:style w:type="paragraph" w:styleId="TDC1">
    <w:name w:val="toc 1"/>
    <w:basedOn w:val="Normal"/>
    <w:next w:val="Normal"/>
    <w:autoRedefine/>
    <w:uiPriority w:val="39"/>
    <w:unhideWhenUsed/>
    <w:rsid w:val="003F6B0B"/>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3F6B0B"/>
    <w:pPr>
      <w:tabs>
        <w:tab w:val="right" w:leader="dot" w:pos="8637"/>
      </w:tabs>
      <w:spacing w:line="480" w:lineRule="auto"/>
    </w:pPr>
    <w:rPr>
      <w:rFonts w:asciiTheme="minorHAnsi" w:eastAsiaTheme="minorHAnsi" w:hAnsiTheme="minorHAnsi" w:cstheme="minorBidi"/>
      <w:sz w:val="22"/>
      <w:szCs w:val="22"/>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F6B0B"/>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F6B0B"/>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F6B0B"/>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3F6B0B"/>
    <w:rPr>
      <w:rFonts w:ascii="Times New Roman" w:eastAsia="Times New Roman" w:hAnsi="Times New Roman" w:cs="Times New Roman"/>
      <w:sz w:val="20"/>
      <w:szCs w:val="20"/>
      <w:lang w:val="es-MX" w:eastAsia="es-MX"/>
    </w:rPr>
  </w:style>
  <w:style w:type="paragraph" w:styleId="TDC3">
    <w:name w:val="toc 3"/>
    <w:basedOn w:val="Normal"/>
    <w:next w:val="Normal"/>
    <w:autoRedefine/>
    <w:uiPriority w:val="39"/>
    <w:unhideWhenUsed/>
    <w:rsid w:val="003F6B0B"/>
    <w:pPr>
      <w:spacing w:after="100"/>
      <w:ind w:left="480"/>
    </w:pPr>
  </w:style>
  <w:style w:type="character" w:customStyle="1" w:styleId="apple-converted-space">
    <w:name w:val="apple-converted-space"/>
    <w:basedOn w:val="Fuentedeprrafopredeter"/>
    <w:qFormat/>
    <w:rsid w:val="003F6B0B"/>
  </w:style>
  <w:style w:type="table" w:customStyle="1" w:styleId="Tablaconcuadrcula27">
    <w:name w:val="Tabla con cuadrícula27"/>
    <w:basedOn w:val="Tablanormal"/>
    <w:next w:val="Tablaconcuadrcula"/>
    <w:uiPriority w:val="39"/>
    <w:rsid w:val="003F6B0B"/>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F6B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6225"/>
    <w:pPr>
      <w:autoSpaceDE w:val="0"/>
      <w:autoSpaceDN w:val="0"/>
      <w:adjustRightInd w:val="0"/>
      <w:spacing w:after="0" w:line="240" w:lineRule="auto"/>
    </w:pPr>
    <w:rPr>
      <w:rFonts w:ascii="Arial" w:hAnsi="Arial" w:cs="Arial"/>
      <w:color w:val="000000"/>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939388">
      <w:bodyDiv w:val="1"/>
      <w:marLeft w:val="0"/>
      <w:marRight w:val="0"/>
      <w:marTop w:val="0"/>
      <w:marBottom w:val="0"/>
      <w:divBdr>
        <w:top w:val="none" w:sz="0" w:space="0" w:color="auto"/>
        <w:left w:val="none" w:sz="0" w:space="0" w:color="auto"/>
        <w:bottom w:val="none" w:sz="0" w:space="0" w:color="auto"/>
        <w:right w:val="none" w:sz="0" w:space="0" w:color="auto"/>
      </w:divBdr>
    </w:div>
    <w:div w:id="102282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1194007.page"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1192238.page" TargetMode="External"/><Relationship Id="rId17" Type="http://schemas.openxmlformats.org/officeDocument/2006/relationships/hyperlink" Target="http://consultas.ifai.org.mx/descargar.php?r=./pdf/resoluciones/2017/&amp;a=RRA%203482.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onsultas.ifai.org.mx/descargar.php?r=./pdf/resoluciones/2017/&amp;a=RRA%202536.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92237.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consultas.ifai.org.mx/descargar.php?r=./pdf/resoluciones/2017/&amp;a=RRA%2022.pdf" TargetMode="External"/><Relationship Id="rId23" Type="http://schemas.openxmlformats.org/officeDocument/2006/relationships/header" Target="header3.xml"/><Relationship Id="rId10" Type="http://schemas.openxmlformats.org/officeDocument/2006/relationships/hyperlink" Target="https://www.saimex.org.mx/saimex/solicitud/downloadAttach/1192236.page"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saimex.org.mx/saimex/solicitud/downloadAttach/1179612.page" TargetMode="External"/><Relationship Id="rId14" Type="http://schemas.openxmlformats.org/officeDocument/2006/relationships/image" Target="media/image2.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14286-3388-49C8-881B-4A8A4CCE0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48</Pages>
  <Words>9991</Words>
  <Characters>54951</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INFOEM</cp:lastModifiedBy>
  <cp:revision>11</cp:revision>
  <dcterms:created xsi:type="dcterms:W3CDTF">2021-10-27T15:46:00Z</dcterms:created>
  <dcterms:modified xsi:type="dcterms:W3CDTF">2021-11-04T20:33:00Z</dcterms:modified>
</cp:coreProperties>
</file>