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EE4C8" w14:textId="46736CB6" w:rsidR="00A566D9" w:rsidRPr="001515F0" w:rsidRDefault="00A566D9" w:rsidP="00A566D9">
      <w:pPr>
        <w:spacing w:before="240" w:after="240" w:line="360" w:lineRule="auto"/>
        <w:jc w:val="center"/>
        <w:rPr>
          <w:rFonts w:ascii="Palatino Linotype" w:hAnsi="Palatino Linotype"/>
          <w:b/>
        </w:rPr>
      </w:pPr>
      <w:r w:rsidRPr="001515F0">
        <w:rPr>
          <w:rFonts w:ascii="Palatino Linotype" w:hAnsi="Palatino Linotype"/>
          <w:b/>
        </w:rPr>
        <w:t>RESUMEN</w:t>
      </w:r>
    </w:p>
    <w:p w14:paraId="0A7823A2" w14:textId="77777777" w:rsidR="002867F8" w:rsidRPr="001515F0" w:rsidRDefault="002867F8" w:rsidP="002867F8">
      <w:pPr>
        <w:spacing w:line="360" w:lineRule="auto"/>
        <w:rPr>
          <w:rFonts w:ascii="Palatino Linotype" w:hAnsi="Palatino Linotype"/>
          <w:bCs/>
          <w:sz w:val="22"/>
          <w:szCs w:val="22"/>
        </w:rPr>
      </w:pPr>
      <w:r w:rsidRPr="001515F0">
        <w:rPr>
          <w:rFonts w:ascii="Palatino Linotype" w:hAnsi="Palatino Linotype"/>
          <w:b/>
          <w:sz w:val="22"/>
          <w:szCs w:val="22"/>
        </w:rPr>
        <w:t xml:space="preserve">TEMA: </w:t>
      </w:r>
      <w:r w:rsidRPr="001515F0">
        <w:rPr>
          <w:rFonts w:ascii="Palatino Linotype" w:hAnsi="Palatino Linotype"/>
          <w:bCs/>
          <w:sz w:val="22"/>
          <w:szCs w:val="22"/>
        </w:rPr>
        <w:t>Entrega de la información incompleta.</w:t>
      </w:r>
    </w:p>
    <w:p w14:paraId="3DFBBE4A" w14:textId="77777777" w:rsidR="002867F8" w:rsidRPr="001515F0" w:rsidRDefault="002867F8" w:rsidP="002867F8">
      <w:pPr>
        <w:spacing w:line="360" w:lineRule="auto"/>
        <w:rPr>
          <w:rFonts w:ascii="Palatino Linotype" w:hAnsi="Palatino Linotype"/>
          <w:b/>
          <w:sz w:val="22"/>
          <w:szCs w:val="22"/>
        </w:rPr>
      </w:pPr>
    </w:p>
    <w:p w14:paraId="7DBFFED0" w14:textId="77777777" w:rsidR="002867F8" w:rsidRPr="001515F0" w:rsidRDefault="002867F8" w:rsidP="002867F8">
      <w:pPr>
        <w:spacing w:line="360" w:lineRule="auto"/>
        <w:jc w:val="both"/>
        <w:rPr>
          <w:rFonts w:ascii="Palatino Linotype" w:hAnsi="Palatino Linotype"/>
          <w:bCs/>
          <w:sz w:val="22"/>
          <w:szCs w:val="22"/>
        </w:rPr>
      </w:pPr>
      <w:r w:rsidRPr="001515F0">
        <w:rPr>
          <w:rFonts w:ascii="Palatino Linotype" w:hAnsi="Palatino Linotype"/>
          <w:b/>
          <w:sz w:val="22"/>
          <w:szCs w:val="22"/>
        </w:rPr>
        <w:t xml:space="preserve">CASO: </w:t>
      </w:r>
      <w:r w:rsidRPr="001515F0">
        <w:rPr>
          <w:rFonts w:ascii="Palatino Linotype" w:hAnsi="Palatino Linotype"/>
          <w:sz w:val="22"/>
          <w:szCs w:val="22"/>
        </w:rPr>
        <w:t xml:space="preserve">Solicitud </w:t>
      </w:r>
      <w:r w:rsidRPr="001515F0">
        <w:rPr>
          <w:rFonts w:ascii="Palatino Linotype" w:hAnsi="Palatino Linotype"/>
          <w:bCs/>
          <w:sz w:val="22"/>
          <w:szCs w:val="22"/>
        </w:rPr>
        <w:t xml:space="preserve">de las </w:t>
      </w:r>
      <w:r w:rsidRPr="001515F0">
        <w:rPr>
          <w:rFonts w:ascii="Palatino Linotype" w:hAnsi="Palatino Linotype"/>
          <w:iCs/>
          <w:color w:val="000000"/>
          <w:sz w:val="22"/>
          <w:szCs w:val="22"/>
        </w:rPr>
        <w:t xml:space="preserve">medidas del terreno, claves catastrales, documentos que acreditan la propiedad, croquis o plano manzanero en versión pública y fotografías del estado actual de </w:t>
      </w:r>
      <w:r w:rsidRPr="001515F0">
        <w:rPr>
          <w:rFonts w:ascii="Palatino Linotype" w:hAnsi="Palatino Linotype"/>
          <w:bCs/>
          <w:sz w:val="22"/>
          <w:szCs w:val="22"/>
        </w:rPr>
        <w:t>tres predios señalados en el inventario de bienes inmuebles del Municipio de Huixquilucan.</w:t>
      </w:r>
    </w:p>
    <w:p w14:paraId="499F5AE9" w14:textId="77777777" w:rsidR="002867F8" w:rsidRPr="001515F0" w:rsidRDefault="002867F8" w:rsidP="002867F8">
      <w:pPr>
        <w:spacing w:line="360" w:lineRule="auto"/>
        <w:jc w:val="both"/>
        <w:rPr>
          <w:rFonts w:ascii="Palatino Linotype" w:hAnsi="Palatino Linotype"/>
          <w:bCs/>
          <w:sz w:val="22"/>
          <w:szCs w:val="22"/>
        </w:rPr>
      </w:pPr>
    </w:p>
    <w:p w14:paraId="016F8579" w14:textId="77777777" w:rsidR="002867F8" w:rsidRPr="001515F0" w:rsidRDefault="002867F8" w:rsidP="002867F8">
      <w:pPr>
        <w:spacing w:line="360" w:lineRule="auto"/>
        <w:jc w:val="both"/>
        <w:rPr>
          <w:rFonts w:ascii="Palatino Linotype" w:hAnsi="Palatino Linotype"/>
          <w:iCs/>
          <w:sz w:val="22"/>
          <w:szCs w:val="22"/>
        </w:rPr>
      </w:pPr>
      <w:r w:rsidRPr="001515F0">
        <w:rPr>
          <w:rFonts w:ascii="Palatino Linotype" w:hAnsi="Palatino Linotype"/>
          <w:bCs/>
          <w:sz w:val="22"/>
          <w:szCs w:val="22"/>
        </w:rPr>
        <w:t xml:space="preserve">El sujeto obligado contestó que </w:t>
      </w:r>
      <w:r w:rsidRPr="001515F0">
        <w:rPr>
          <w:rFonts w:ascii="Palatino Linotype" w:hAnsi="Palatino Linotype"/>
          <w:iCs/>
          <w:sz w:val="22"/>
          <w:szCs w:val="22"/>
        </w:rPr>
        <w:t>no era posible entregar la información solicitada, debido a que los datos proporcionados difieren y que la ubicación referida corresponde a más de un inmueble.</w:t>
      </w:r>
    </w:p>
    <w:p w14:paraId="2E602ADB" w14:textId="77777777" w:rsidR="002867F8" w:rsidRPr="001515F0" w:rsidRDefault="002867F8" w:rsidP="002867F8">
      <w:pPr>
        <w:spacing w:line="360" w:lineRule="auto"/>
        <w:jc w:val="both"/>
        <w:rPr>
          <w:rFonts w:ascii="Palatino Linotype" w:hAnsi="Palatino Linotype"/>
          <w:iCs/>
          <w:sz w:val="22"/>
          <w:szCs w:val="22"/>
        </w:rPr>
      </w:pPr>
    </w:p>
    <w:p w14:paraId="01E16BD9" w14:textId="62EF5AA3" w:rsidR="002867F8" w:rsidRPr="001515F0" w:rsidRDefault="002867F8" w:rsidP="002867F8">
      <w:pPr>
        <w:spacing w:line="360" w:lineRule="auto"/>
        <w:jc w:val="both"/>
        <w:rPr>
          <w:rFonts w:ascii="Palatino Linotype" w:hAnsi="Palatino Linotype"/>
          <w:b/>
          <w:sz w:val="22"/>
          <w:szCs w:val="22"/>
        </w:rPr>
      </w:pPr>
      <w:r w:rsidRPr="001515F0">
        <w:rPr>
          <w:rFonts w:ascii="Palatino Linotype" w:hAnsi="Palatino Linotype"/>
          <w:iCs/>
          <w:sz w:val="22"/>
          <w:szCs w:val="22"/>
        </w:rPr>
        <w:t xml:space="preserve">El solicitante manifestó su inconformidad ya que la respuesta no fue congruente con su petición. </w:t>
      </w:r>
      <w:r w:rsidRPr="001515F0">
        <w:rPr>
          <w:rFonts w:ascii="Palatino Linotype" w:hAnsi="Palatino Linotype"/>
          <w:bCs/>
          <w:sz w:val="22"/>
          <w:szCs w:val="22"/>
        </w:rPr>
        <w:t xml:space="preserve">El sujeto obligado, en su informe justificado, manifestó que el inventario de bienes cuenta con todos los elementos de identificación conforme con la normatividad aplicable. </w:t>
      </w:r>
    </w:p>
    <w:p w14:paraId="3FF30985" w14:textId="77777777" w:rsidR="002867F8" w:rsidRPr="001515F0" w:rsidRDefault="002867F8" w:rsidP="002867F8">
      <w:pPr>
        <w:spacing w:line="360" w:lineRule="auto"/>
        <w:jc w:val="both"/>
        <w:rPr>
          <w:rFonts w:ascii="Palatino Linotype" w:hAnsi="Palatino Linotype"/>
          <w:bCs/>
          <w:sz w:val="22"/>
          <w:szCs w:val="22"/>
        </w:rPr>
      </w:pPr>
    </w:p>
    <w:p w14:paraId="69C11B2B" w14:textId="18614FBC" w:rsidR="002867F8" w:rsidRPr="001515F0" w:rsidRDefault="002867F8" w:rsidP="002867F8">
      <w:pPr>
        <w:spacing w:line="360" w:lineRule="auto"/>
        <w:jc w:val="both"/>
        <w:rPr>
          <w:rFonts w:ascii="Palatino Linotype" w:hAnsi="Palatino Linotype" w:cs="Arial"/>
        </w:rPr>
      </w:pPr>
      <w:r w:rsidRPr="001515F0">
        <w:rPr>
          <w:rFonts w:ascii="Palatino Linotype" w:hAnsi="Palatino Linotype" w:cs="Arial"/>
          <w:b/>
          <w:bCs/>
          <w:sz w:val="22"/>
          <w:szCs w:val="22"/>
        </w:rPr>
        <w:t xml:space="preserve">PROPUESTA. </w:t>
      </w:r>
      <w:r w:rsidRPr="001515F0">
        <w:rPr>
          <w:rFonts w:ascii="Palatino Linotype" w:hAnsi="Palatino Linotype" w:cs="Arial"/>
          <w:sz w:val="22"/>
          <w:szCs w:val="22"/>
        </w:rPr>
        <w:t>Se modificó la respuesta y ordenó entregar el soporte documental de los dos bienes inmuebles referidos</w:t>
      </w:r>
      <w:r w:rsidRPr="001515F0">
        <w:rPr>
          <w:rFonts w:ascii="Palatino Linotype" w:hAnsi="Palatino Linotype" w:cs="Arial"/>
        </w:rPr>
        <w:t xml:space="preserve"> en la solicitud de información, en versión pública.</w:t>
      </w:r>
    </w:p>
    <w:p w14:paraId="683CA49A" w14:textId="7983A8D2" w:rsidR="002867F8" w:rsidRPr="001515F0" w:rsidRDefault="002867F8" w:rsidP="002867F8">
      <w:pPr>
        <w:spacing w:line="360" w:lineRule="auto"/>
        <w:jc w:val="both"/>
        <w:rPr>
          <w:rFonts w:ascii="Palatino Linotype" w:hAnsi="Palatino Linotype" w:cs="Arial"/>
        </w:rPr>
      </w:pPr>
    </w:p>
    <w:p w14:paraId="64F6560C" w14:textId="1374F948" w:rsidR="008D0E93" w:rsidRPr="001515F0" w:rsidRDefault="002867F8" w:rsidP="008D0E93">
      <w:pPr>
        <w:spacing w:line="360" w:lineRule="auto"/>
        <w:jc w:val="both"/>
        <w:rPr>
          <w:rFonts w:ascii="Palatino Linotype" w:hAnsi="Palatino Linotype" w:cs="Arial"/>
          <w:b/>
        </w:rPr>
      </w:pPr>
      <w:r w:rsidRPr="001515F0">
        <w:rPr>
          <w:rFonts w:ascii="Palatino Linotype" w:hAnsi="Palatino Linotype" w:cs="Arial"/>
          <w:b/>
        </w:rPr>
        <w:t>PUNTOS RESOLUTIVOS:</w:t>
      </w:r>
    </w:p>
    <w:p w14:paraId="594FF0B6" w14:textId="77777777" w:rsidR="008D0E93" w:rsidRPr="001515F0" w:rsidRDefault="008D0E93" w:rsidP="008D0E93">
      <w:pPr>
        <w:spacing w:line="276" w:lineRule="auto"/>
        <w:ind w:left="720"/>
        <w:jc w:val="both"/>
        <w:rPr>
          <w:rFonts w:ascii="Palatino Linotype" w:hAnsi="Palatino Linotype"/>
          <w:i/>
          <w:sz w:val="22"/>
          <w:szCs w:val="22"/>
          <w:lang w:val="es-ES_tradnl" w:eastAsia="es-ES"/>
        </w:rPr>
      </w:pPr>
      <w:r w:rsidRPr="001515F0">
        <w:rPr>
          <w:rFonts w:ascii="Palatino Linotype" w:hAnsi="Palatino Linotype" w:cs="Arial"/>
          <w:b/>
          <w:i/>
          <w:sz w:val="22"/>
          <w:szCs w:val="22"/>
          <w:lang w:val="es-ES_tradnl" w:eastAsia="es-ES"/>
        </w:rPr>
        <w:t xml:space="preserve">PRIMERO. </w:t>
      </w:r>
      <w:r w:rsidRPr="001515F0">
        <w:rPr>
          <w:rFonts w:ascii="Palatino Linotype" w:hAnsi="Palatino Linotype" w:cs="Arial"/>
          <w:i/>
          <w:sz w:val="22"/>
          <w:szCs w:val="22"/>
          <w:lang w:val="es-ES_tradnl" w:eastAsia="es-ES"/>
        </w:rPr>
        <w:t>Resultan fundadas las</w:t>
      </w:r>
      <w:r w:rsidRPr="001515F0">
        <w:rPr>
          <w:rFonts w:ascii="Palatino Linotype" w:hAnsi="Palatino Linotype" w:cs="Arial"/>
          <w:b/>
          <w:i/>
          <w:sz w:val="22"/>
          <w:szCs w:val="22"/>
          <w:lang w:val="es-ES_tradnl" w:eastAsia="es-ES"/>
        </w:rPr>
        <w:t xml:space="preserve"> </w:t>
      </w:r>
      <w:r w:rsidRPr="001515F0">
        <w:rPr>
          <w:rFonts w:ascii="Palatino Linotype" w:hAnsi="Palatino Linotype" w:cs="Arial"/>
          <w:i/>
          <w:sz w:val="22"/>
          <w:szCs w:val="22"/>
          <w:lang w:val="es-ES" w:eastAsia="es-ES"/>
        </w:rPr>
        <w:t xml:space="preserve">razones o motivos de inconformidad hechos valer </w:t>
      </w:r>
      <w:r w:rsidRPr="001515F0">
        <w:rPr>
          <w:rFonts w:ascii="Palatino Linotype" w:eastAsia="Calibri" w:hAnsi="Palatino Linotype" w:cs="Arial"/>
          <w:i/>
          <w:sz w:val="22"/>
          <w:szCs w:val="22"/>
          <w:lang w:val="es-ES" w:eastAsia="es-ES"/>
        </w:rPr>
        <w:t xml:space="preserve">en el recurso de revisión </w:t>
      </w:r>
      <w:r w:rsidRPr="001515F0">
        <w:rPr>
          <w:rFonts w:ascii="Palatino Linotype" w:hAnsi="Palatino Linotype"/>
          <w:b/>
          <w:i/>
          <w:sz w:val="22"/>
          <w:szCs w:val="22"/>
          <w:lang w:val="es-ES_tradnl" w:eastAsia="es-ES"/>
        </w:rPr>
        <w:t xml:space="preserve">01463/INFOEM/IP/RR/2021, </w:t>
      </w:r>
      <w:r w:rsidRPr="001515F0">
        <w:rPr>
          <w:rFonts w:ascii="Palatino Linotype" w:hAnsi="Palatino Linotype"/>
          <w:i/>
          <w:sz w:val="22"/>
          <w:szCs w:val="22"/>
          <w:lang w:val="es-ES_tradnl" w:eastAsia="es-ES"/>
        </w:rPr>
        <w:t xml:space="preserve">en términos de los </w:t>
      </w:r>
      <w:r w:rsidRPr="001515F0">
        <w:rPr>
          <w:rFonts w:ascii="Palatino Linotype" w:hAnsi="Palatino Linotype"/>
          <w:b/>
          <w:bCs/>
          <w:i/>
          <w:sz w:val="22"/>
          <w:szCs w:val="22"/>
          <w:lang w:val="es-ES_tradnl" w:eastAsia="es-ES"/>
        </w:rPr>
        <w:t>Considerandos</w:t>
      </w:r>
      <w:r w:rsidRPr="001515F0">
        <w:rPr>
          <w:rFonts w:ascii="Palatino Linotype" w:hAnsi="Palatino Linotype"/>
          <w:i/>
          <w:sz w:val="22"/>
          <w:szCs w:val="22"/>
          <w:lang w:val="es-ES_tradnl" w:eastAsia="es-ES"/>
        </w:rPr>
        <w:t xml:space="preserve"> </w:t>
      </w:r>
      <w:r w:rsidRPr="001515F0">
        <w:rPr>
          <w:rFonts w:ascii="Palatino Linotype" w:hAnsi="Palatino Linotype"/>
          <w:b/>
          <w:i/>
          <w:sz w:val="22"/>
          <w:szCs w:val="22"/>
          <w:lang w:val="es-ES_tradnl" w:eastAsia="es-ES"/>
        </w:rPr>
        <w:t xml:space="preserve">QUINTO y SEXTO </w:t>
      </w:r>
      <w:r w:rsidRPr="001515F0">
        <w:rPr>
          <w:rFonts w:ascii="Palatino Linotype" w:hAnsi="Palatino Linotype"/>
          <w:i/>
          <w:sz w:val="22"/>
          <w:szCs w:val="22"/>
          <w:lang w:val="es-ES_tradnl" w:eastAsia="es-ES"/>
        </w:rPr>
        <w:t xml:space="preserve">de la presente resolución. </w:t>
      </w:r>
    </w:p>
    <w:p w14:paraId="6AD25499" w14:textId="77777777" w:rsidR="008D0E93" w:rsidRPr="001515F0" w:rsidRDefault="008D0E93" w:rsidP="008D0E93">
      <w:pPr>
        <w:spacing w:line="276" w:lineRule="auto"/>
        <w:ind w:left="720"/>
        <w:jc w:val="both"/>
        <w:rPr>
          <w:rFonts w:ascii="Palatino Linotype" w:hAnsi="Palatino Linotype"/>
          <w:i/>
          <w:sz w:val="22"/>
          <w:szCs w:val="22"/>
          <w:lang w:val="es-ES_tradnl" w:eastAsia="es-ES"/>
        </w:rPr>
      </w:pPr>
    </w:p>
    <w:p w14:paraId="220473A9" w14:textId="77777777" w:rsidR="008D0E93" w:rsidRPr="001515F0" w:rsidRDefault="008D0E93" w:rsidP="008D0E93">
      <w:pPr>
        <w:spacing w:line="276" w:lineRule="auto"/>
        <w:ind w:left="720"/>
        <w:contextualSpacing/>
        <w:jc w:val="both"/>
        <w:rPr>
          <w:rFonts w:ascii="Palatino Linotype" w:hAnsi="Palatino Linotype" w:cs="Arial"/>
          <w:i/>
          <w:color w:val="000000"/>
          <w:sz w:val="22"/>
          <w:szCs w:val="22"/>
          <w:lang w:val="es-ES_tradnl" w:eastAsia="es-ES"/>
        </w:rPr>
      </w:pPr>
      <w:r w:rsidRPr="001515F0">
        <w:rPr>
          <w:rFonts w:ascii="Palatino Linotype" w:eastAsia="Calibri" w:hAnsi="Palatino Linotype" w:cs="Arial"/>
          <w:b/>
          <w:bCs/>
          <w:i/>
          <w:sz w:val="22"/>
          <w:szCs w:val="22"/>
          <w:lang w:val="es-ES" w:eastAsia="es-ES"/>
        </w:rPr>
        <w:lastRenderedPageBreak/>
        <w:t xml:space="preserve">SEGUNDO. </w:t>
      </w:r>
      <w:r w:rsidRPr="001515F0">
        <w:rPr>
          <w:rFonts w:ascii="Palatino Linotype" w:eastAsia="Calibri" w:hAnsi="Palatino Linotype" w:cs="Arial"/>
          <w:i/>
          <w:sz w:val="22"/>
          <w:szCs w:val="22"/>
          <w:lang w:val="es-ES" w:eastAsia="es-ES"/>
        </w:rPr>
        <w:t xml:space="preserve">Se </w:t>
      </w:r>
      <w:r w:rsidRPr="001515F0">
        <w:rPr>
          <w:rFonts w:ascii="Palatino Linotype" w:eastAsia="Calibri" w:hAnsi="Palatino Linotype" w:cs="Arial"/>
          <w:b/>
          <w:i/>
          <w:sz w:val="22"/>
          <w:szCs w:val="22"/>
          <w:lang w:val="es-ES" w:eastAsia="es-ES"/>
        </w:rPr>
        <w:t>MODIFICA</w:t>
      </w:r>
      <w:r w:rsidRPr="001515F0">
        <w:rPr>
          <w:rFonts w:ascii="Palatino Linotype" w:eastAsia="Calibri" w:hAnsi="Palatino Linotype" w:cs="Arial"/>
          <w:i/>
          <w:sz w:val="22"/>
          <w:szCs w:val="22"/>
          <w:lang w:val="es-ES" w:eastAsia="es-ES"/>
        </w:rPr>
        <w:t xml:space="preserve"> la respuesta del </w:t>
      </w:r>
      <w:r w:rsidRPr="001515F0">
        <w:rPr>
          <w:rFonts w:ascii="Palatino Linotype" w:eastAsia="Calibri" w:hAnsi="Palatino Linotype" w:cs="Arial"/>
          <w:b/>
          <w:i/>
          <w:sz w:val="22"/>
          <w:szCs w:val="22"/>
          <w:lang w:eastAsia="es-ES"/>
        </w:rPr>
        <w:t xml:space="preserve">Ayuntamiento de Huixquilucan </w:t>
      </w:r>
      <w:r w:rsidRPr="001515F0">
        <w:rPr>
          <w:rFonts w:ascii="Palatino Linotype" w:eastAsia="Calibri" w:hAnsi="Palatino Linotype" w:cs="Arial"/>
          <w:i/>
          <w:sz w:val="22"/>
          <w:szCs w:val="22"/>
          <w:lang w:eastAsia="es-ES"/>
        </w:rPr>
        <w:t xml:space="preserve">y se </w:t>
      </w:r>
      <w:r w:rsidRPr="001515F0">
        <w:rPr>
          <w:rFonts w:ascii="Palatino Linotype" w:eastAsia="Calibri" w:hAnsi="Palatino Linotype" w:cs="Arial"/>
          <w:b/>
          <w:i/>
          <w:sz w:val="22"/>
          <w:szCs w:val="22"/>
          <w:lang w:eastAsia="es-ES"/>
        </w:rPr>
        <w:t>ORDENA</w:t>
      </w:r>
      <w:r w:rsidRPr="001515F0">
        <w:rPr>
          <w:rFonts w:ascii="Palatino Linotype" w:eastAsia="Calibri" w:hAnsi="Palatino Linotype" w:cs="Arial"/>
          <w:b/>
          <w:i/>
          <w:sz w:val="22"/>
          <w:szCs w:val="22"/>
          <w:lang w:val="es-ES" w:eastAsia="es-ES"/>
        </w:rPr>
        <w:t xml:space="preserve"> </w:t>
      </w:r>
      <w:r w:rsidRPr="001515F0">
        <w:rPr>
          <w:rFonts w:ascii="Palatino Linotype" w:eastAsia="Calibri" w:hAnsi="Palatino Linotype" w:cs="Arial"/>
          <w:i/>
          <w:sz w:val="22"/>
          <w:szCs w:val="22"/>
          <w:lang w:val="es-ES" w:eastAsia="es-ES"/>
        </w:rPr>
        <w:t xml:space="preserve">entregar </w:t>
      </w:r>
      <w:r w:rsidRPr="001515F0">
        <w:rPr>
          <w:rFonts w:ascii="Palatino Linotype" w:eastAsia="Calibri" w:hAnsi="Palatino Linotype" w:cs="Arial"/>
          <w:b/>
          <w:bCs/>
          <w:i/>
          <w:sz w:val="22"/>
          <w:szCs w:val="22"/>
          <w:lang w:val="es-ES" w:eastAsia="es-ES"/>
        </w:rPr>
        <w:t xml:space="preserve">vía Sistema de Acceso a la Información Mexiquense (SAIMEX), </w:t>
      </w:r>
      <w:r w:rsidRPr="001515F0">
        <w:rPr>
          <w:rFonts w:ascii="Palatino Linotype" w:eastAsia="Calibri" w:hAnsi="Palatino Linotype" w:cs="Arial"/>
          <w:bCs/>
          <w:i/>
          <w:sz w:val="22"/>
          <w:szCs w:val="22"/>
          <w:lang w:val="es-ES" w:eastAsia="es-ES"/>
        </w:rPr>
        <w:t xml:space="preserve">previa búsqueda exhaustiva y razonable, </w:t>
      </w:r>
      <w:r w:rsidRPr="001515F0">
        <w:rPr>
          <w:rFonts w:ascii="Palatino Linotype" w:eastAsia="Calibri" w:hAnsi="Palatino Linotype" w:cs="Arial"/>
          <w:b/>
          <w:bCs/>
          <w:i/>
          <w:sz w:val="22"/>
          <w:szCs w:val="22"/>
          <w:lang w:val="es-ES" w:eastAsia="es-ES"/>
        </w:rPr>
        <w:t xml:space="preserve">de ser necesario </w:t>
      </w:r>
      <w:r w:rsidRPr="001515F0">
        <w:rPr>
          <w:rFonts w:ascii="Palatino Linotype" w:hAnsi="Palatino Linotype" w:cs="Arial"/>
          <w:b/>
          <w:i/>
          <w:color w:val="000000"/>
          <w:sz w:val="22"/>
          <w:szCs w:val="22"/>
          <w:lang w:val="es-ES_tradnl" w:eastAsia="es-ES"/>
        </w:rPr>
        <w:t xml:space="preserve">en versión pública, </w:t>
      </w:r>
      <w:r w:rsidRPr="001515F0">
        <w:rPr>
          <w:rFonts w:ascii="Palatino Linotype" w:hAnsi="Palatino Linotype" w:cs="Arial"/>
          <w:i/>
          <w:color w:val="000000"/>
          <w:sz w:val="22"/>
          <w:szCs w:val="22"/>
        </w:rPr>
        <w:t>de los inmuebles con los números de registro 35, 41 y 65 de su inventario de bienes inmuebles</w:t>
      </w:r>
      <w:r w:rsidRPr="001515F0">
        <w:rPr>
          <w:rFonts w:ascii="Palatino Linotype" w:hAnsi="Palatino Linotype"/>
          <w:i/>
          <w:iCs/>
          <w:color w:val="000000"/>
          <w:sz w:val="22"/>
          <w:szCs w:val="22"/>
        </w:rPr>
        <w:t>,</w:t>
      </w:r>
      <w:r w:rsidRPr="001515F0">
        <w:rPr>
          <w:rFonts w:ascii="Palatino Linotype" w:hAnsi="Palatino Linotype"/>
          <w:b/>
          <w:i/>
          <w:iCs/>
          <w:color w:val="000000"/>
          <w:sz w:val="22"/>
          <w:szCs w:val="22"/>
        </w:rPr>
        <w:t xml:space="preserve"> </w:t>
      </w:r>
      <w:r w:rsidRPr="001515F0">
        <w:rPr>
          <w:rFonts w:ascii="Palatino Linotype" w:hAnsi="Palatino Linotype" w:cs="Arial"/>
          <w:i/>
          <w:color w:val="000000"/>
          <w:sz w:val="22"/>
          <w:szCs w:val="22"/>
          <w:lang w:val="es-ES_tradnl" w:eastAsia="es-ES"/>
        </w:rPr>
        <w:t>los documentos donde conste la siguiente información:</w:t>
      </w:r>
    </w:p>
    <w:p w14:paraId="1FD5DA76" w14:textId="77777777" w:rsidR="008D0E93" w:rsidRPr="001515F0" w:rsidRDefault="008D0E93" w:rsidP="008D0E93">
      <w:pPr>
        <w:pStyle w:val="Prrafodelista"/>
        <w:tabs>
          <w:tab w:val="left" w:pos="0"/>
          <w:tab w:val="left" w:pos="426"/>
        </w:tabs>
        <w:spacing w:line="276" w:lineRule="auto"/>
        <w:ind w:right="49"/>
        <w:jc w:val="both"/>
        <w:rPr>
          <w:rFonts w:ascii="Palatino Linotype" w:eastAsia="Times New Roman" w:hAnsi="Palatino Linotype" w:cs="Arial"/>
          <w:b/>
          <w:i/>
          <w:color w:val="000000"/>
          <w:sz w:val="22"/>
          <w:szCs w:val="22"/>
        </w:rPr>
      </w:pPr>
    </w:p>
    <w:p w14:paraId="6A2A9FF4" w14:textId="77777777" w:rsidR="008D0E93" w:rsidRPr="001515F0" w:rsidRDefault="008D0E93" w:rsidP="008D0E93">
      <w:pPr>
        <w:pStyle w:val="Prrafodelista"/>
        <w:numPr>
          <w:ilvl w:val="0"/>
          <w:numId w:val="16"/>
        </w:numPr>
        <w:tabs>
          <w:tab w:val="left" w:pos="0"/>
          <w:tab w:val="left" w:pos="426"/>
        </w:tabs>
        <w:spacing w:line="276" w:lineRule="auto"/>
        <w:ind w:left="1890" w:right="49"/>
        <w:jc w:val="both"/>
        <w:rPr>
          <w:rFonts w:ascii="Palatino Linotype" w:eastAsia="MS Mincho" w:hAnsi="Palatino Linotype" w:cs="Times New Roman"/>
          <w:b/>
          <w:i/>
          <w:sz w:val="22"/>
          <w:szCs w:val="22"/>
        </w:rPr>
      </w:pPr>
      <w:r w:rsidRPr="001515F0">
        <w:rPr>
          <w:rFonts w:ascii="Palatino Linotype" w:eastAsia="MS Mincho" w:hAnsi="Palatino Linotype" w:cs="Times New Roman"/>
          <w:b/>
          <w:i/>
          <w:sz w:val="22"/>
          <w:szCs w:val="22"/>
        </w:rPr>
        <w:t>M</w:t>
      </w:r>
      <w:r w:rsidRPr="001515F0">
        <w:rPr>
          <w:rFonts w:ascii="Palatino Linotype" w:hAnsi="Palatino Linotype"/>
          <w:b/>
          <w:i/>
          <w:iCs/>
          <w:color w:val="000000"/>
          <w:sz w:val="22"/>
          <w:szCs w:val="22"/>
        </w:rPr>
        <w:t>edidas y colindancias;</w:t>
      </w:r>
    </w:p>
    <w:p w14:paraId="00475199" w14:textId="77777777" w:rsidR="008D0E93" w:rsidRPr="001515F0" w:rsidRDefault="008D0E93" w:rsidP="008D0E93">
      <w:pPr>
        <w:pStyle w:val="Prrafodelista"/>
        <w:numPr>
          <w:ilvl w:val="0"/>
          <w:numId w:val="16"/>
        </w:numPr>
        <w:tabs>
          <w:tab w:val="left" w:pos="0"/>
          <w:tab w:val="left" w:pos="426"/>
        </w:tabs>
        <w:spacing w:line="276" w:lineRule="auto"/>
        <w:ind w:left="1890" w:right="49"/>
        <w:jc w:val="both"/>
        <w:rPr>
          <w:rFonts w:ascii="Palatino Linotype" w:eastAsia="MS Mincho" w:hAnsi="Palatino Linotype" w:cs="Times New Roman"/>
          <w:b/>
          <w:i/>
          <w:sz w:val="22"/>
          <w:szCs w:val="22"/>
        </w:rPr>
      </w:pPr>
      <w:r w:rsidRPr="001515F0">
        <w:rPr>
          <w:rFonts w:ascii="Palatino Linotype" w:hAnsi="Palatino Linotype"/>
          <w:b/>
          <w:i/>
          <w:iCs/>
          <w:color w:val="000000"/>
          <w:sz w:val="22"/>
          <w:szCs w:val="22"/>
        </w:rPr>
        <w:t xml:space="preserve"> Claves catastrales, </w:t>
      </w:r>
    </w:p>
    <w:p w14:paraId="4B121B05" w14:textId="77777777" w:rsidR="008D0E93" w:rsidRPr="001515F0" w:rsidRDefault="008D0E93" w:rsidP="008D0E93">
      <w:pPr>
        <w:pStyle w:val="Prrafodelista"/>
        <w:numPr>
          <w:ilvl w:val="0"/>
          <w:numId w:val="16"/>
        </w:numPr>
        <w:tabs>
          <w:tab w:val="left" w:pos="0"/>
          <w:tab w:val="left" w:pos="426"/>
        </w:tabs>
        <w:spacing w:line="276" w:lineRule="auto"/>
        <w:ind w:left="1890" w:right="49"/>
        <w:jc w:val="both"/>
        <w:rPr>
          <w:rFonts w:ascii="Palatino Linotype" w:eastAsia="MS Mincho" w:hAnsi="Palatino Linotype" w:cs="Times New Roman"/>
          <w:b/>
          <w:i/>
          <w:sz w:val="22"/>
          <w:szCs w:val="22"/>
        </w:rPr>
      </w:pPr>
      <w:r w:rsidRPr="001515F0">
        <w:rPr>
          <w:rFonts w:ascii="Palatino Linotype" w:hAnsi="Palatino Linotype"/>
          <w:b/>
          <w:i/>
          <w:iCs/>
          <w:color w:val="000000"/>
          <w:sz w:val="22"/>
          <w:szCs w:val="22"/>
        </w:rPr>
        <w:t xml:space="preserve">Documentos con los cuales se acredita la propiedad; </w:t>
      </w:r>
    </w:p>
    <w:p w14:paraId="10A370C1" w14:textId="77777777" w:rsidR="008D0E93" w:rsidRPr="001515F0" w:rsidRDefault="008D0E93" w:rsidP="008D0E93">
      <w:pPr>
        <w:pStyle w:val="Prrafodelista"/>
        <w:numPr>
          <w:ilvl w:val="0"/>
          <w:numId w:val="16"/>
        </w:numPr>
        <w:tabs>
          <w:tab w:val="left" w:pos="0"/>
          <w:tab w:val="left" w:pos="426"/>
        </w:tabs>
        <w:spacing w:line="276" w:lineRule="auto"/>
        <w:ind w:left="1890" w:right="49"/>
        <w:jc w:val="both"/>
        <w:rPr>
          <w:rFonts w:ascii="Palatino Linotype" w:eastAsia="MS Mincho" w:hAnsi="Palatino Linotype" w:cs="Times New Roman"/>
          <w:b/>
          <w:i/>
          <w:sz w:val="22"/>
          <w:szCs w:val="22"/>
        </w:rPr>
      </w:pPr>
      <w:r w:rsidRPr="001515F0">
        <w:rPr>
          <w:rFonts w:ascii="Palatino Linotype" w:hAnsi="Palatino Linotype"/>
          <w:b/>
          <w:i/>
          <w:iCs/>
          <w:color w:val="000000"/>
          <w:sz w:val="22"/>
          <w:szCs w:val="22"/>
        </w:rPr>
        <w:t xml:space="preserve">Croquis o plano manzanero; y </w:t>
      </w:r>
    </w:p>
    <w:p w14:paraId="6929471F" w14:textId="77777777" w:rsidR="008D0E93" w:rsidRPr="001515F0" w:rsidRDefault="008D0E93" w:rsidP="008D0E93">
      <w:pPr>
        <w:pStyle w:val="Prrafodelista"/>
        <w:numPr>
          <w:ilvl w:val="0"/>
          <w:numId w:val="16"/>
        </w:numPr>
        <w:tabs>
          <w:tab w:val="left" w:pos="0"/>
          <w:tab w:val="left" w:pos="426"/>
        </w:tabs>
        <w:spacing w:line="276" w:lineRule="auto"/>
        <w:ind w:left="1890" w:right="49"/>
        <w:jc w:val="both"/>
        <w:rPr>
          <w:rFonts w:ascii="Palatino Linotype" w:eastAsia="MS Mincho" w:hAnsi="Palatino Linotype" w:cs="Times New Roman"/>
          <w:b/>
          <w:i/>
          <w:sz w:val="22"/>
          <w:szCs w:val="22"/>
        </w:rPr>
      </w:pPr>
      <w:r w:rsidRPr="001515F0">
        <w:rPr>
          <w:rFonts w:ascii="Palatino Linotype" w:hAnsi="Palatino Linotype"/>
          <w:b/>
          <w:i/>
          <w:iCs/>
          <w:color w:val="000000"/>
          <w:sz w:val="22"/>
          <w:szCs w:val="22"/>
        </w:rPr>
        <w:t>Fotografías del estado actual.</w:t>
      </w:r>
    </w:p>
    <w:p w14:paraId="6F9A5423" w14:textId="77777777" w:rsidR="008D0E93" w:rsidRPr="001515F0" w:rsidRDefault="008D0E93" w:rsidP="008D0E93">
      <w:pPr>
        <w:spacing w:line="276" w:lineRule="auto"/>
        <w:ind w:left="720"/>
        <w:contextualSpacing/>
        <w:jc w:val="both"/>
        <w:rPr>
          <w:rFonts w:ascii="Palatino Linotype" w:hAnsi="Palatino Linotype" w:cs="Arial"/>
          <w:b/>
          <w:i/>
          <w:color w:val="000000"/>
          <w:sz w:val="22"/>
          <w:szCs w:val="22"/>
          <w:lang w:val="es-ES_tradnl" w:eastAsia="es-ES"/>
        </w:rPr>
      </w:pPr>
    </w:p>
    <w:p w14:paraId="0E9AC7CA" w14:textId="77777777" w:rsidR="008D0E93" w:rsidRPr="001515F0" w:rsidRDefault="008D0E93" w:rsidP="008D0E93">
      <w:pPr>
        <w:spacing w:line="276" w:lineRule="auto"/>
        <w:ind w:left="720"/>
        <w:jc w:val="both"/>
        <w:rPr>
          <w:rFonts w:ascii="Palatino Linotype" w:eastAsia="Calibri" w:hAnsi="Palatino Linotype" w:cs="Arial"/>
          <w:i/>
          <w:sz w:val="22"/>
          <w:szCs w:val="22"/>
        </w:rPr>
      </w:pPr>
      <w:r w:rsidRPr="001515F0">
        <w:rPr>
          <w:rFonts w:ascii="Palatino Linotype" w:eastAsia="Calibri" w:hAnsi="Palatino Linotype" w:cs="Arial"/>
          <w:i/>
          <w:sz w:val="22"/>
          <w:szCs w:val="22"/>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particular.</w:t>
      </w:r>
    </w:p>
    <w:p w14:paraId="49550B9B" w14:textId="77777777" w:rsidR="002867F8" w:rsidRPr="001515F0" w:rsidRDefault="002867F8" w:rsidP="002867F8">
      <w:pPr>
        <w:spacing w:line="360" w:lineRule="auto"/>
        <w:jc w:val="both"/>
        <w:rPr>
          <w:rFonts w:ascii="Palatino Linotype" w:hAnsi="Palatino Linotype" w:cs="Arial"/>
        </w:rPr>
      </w:pPr>
    </w:p>
    <w:p w14:paraId="551E6792" w14:textId="098BFF60" w:rsidR="002867F8" w:rsidRPr="001515F0" w:rsidRDefault="002867F8" w:rsidP="00A566D9">
      <w:pPr>
        <w:spacing w:before="240" w:after="240" w:line="360" w:lineRule="auto"/>
        <w:jc w:val="center"/>
        <w:rPr>
          <w:rFonts w:ascii="Palatino Linotype" w:hAnsi="Palatino Linotype"/>
          <w:b/>
        </w:rPr>
      </w:pPr>
    </w:p>
    <w:p w14:paraId="5AD0AC89" w14:textId="1277F97C" w:rsidR="008D0E93" w:rsidRPr="001515F0" w:rsidRDefault="008D0E93" w:rsidP="00A566D9">
      <w:pPr>
        <w:spacing w:before="240" w:after="240" w:line="360" w:lineRule="auto"/>
        <w:jc w:val="center"/>
        <w:rPr>
          <w:rFonts w:ascii="Palatino Linotype" w:hAnsi="Palatino Linotype"/>
          <w:b/>
        </w:rPr>
      </w:pPr>
    </w:p>
    <w:p w14:paraId="1FAACB3D" w14:textId="764397AF" w:rsidR="008D0E93" w:rsidRPr="001515F0" w:rsidRDefault="008D0E93" w:rsidP="00A566D9">
      <w:pPr>
        <w:spacing w:before="240" w:after="240" w:line="360" w:lineRule="auto"/>
        <w:jc w:val="center"/>
        <w:rPr>
          <w:rFonts w:ascii="Palatino Linotype" w:hAnsi="Palatino Linotype"/>
          <w:b/>
        </w:rPr>
      </w:pPr>
    </w:p>
    <w:p w14:paraId="1A1EFB14" w14:textId="3192F453" w:rsidR="008D0E93" w:rsidRPr="001515F0" w:rsidRDefault="008D0E93" w:rsidP="00A566D9">
      <w:pPr>
        <w:spacing w:before="240" w:after="240" w:line="360" w:lineRule="auto"/>
        <w:jc w:val="center"/>
        <w:rPr>
          <w:rFonts w:ascii="Palatino Linotype" w:hAnsi="Palatino Linotype"/>
          <w:b/>
        </w:rPr>
      </w:pPr>
    </w:p>
    <w:p w14:paraId="6DB3E79F" w14:textId="29C9A5F1" w:rsidR="008D0E93" w:rsidRPr="001515F0" w:rsidRDefault="008D0E93" w:rsidP="00A566D9">
      <w:pPr>
        <w:spacing w:before="240" w:after="240" w:line="360" w:lineRule="auto"/>
        <w:jc w:val="center"/>
        <w:rPr>
          <w:rFonts w:ascii="Palatino Linotype" w:hAnsi="Palatino Linotype"/>
          <w:b/>
        </w:rPr>
      </w:pPr>
    </w:p>
    <w:p w14:paraId="37EFC6AC" w14:textId="77777777" w:rsidR="008D0E93" w:rsidRPr="001515F0" w:rsidRDefault="008D0E93" w:rsidP="00A566D9">
      <w:pPr>
        <w:spacing w:before="240" w:after="240" w:line="360" w:lineRule="auto"/>
        <w:jc w:val="center"/>
        <w:rPr>
          <w:rFonts w:ascii="Palatino Linotype" w:hAnsi="Palatino Linotype"/>
          <w:b/>
        </w:rPr>
      </w:pPr>
    </w:p>
    <w:p w14:paraId="58A4A90F" w14:textId="77777777" w:rsidR="00A566D9" w:rsidRPr="001515F0" w:rsidRDefault="00A566D9" w:rsidP="00A566D9">
      <w:pPr>
        <w:spacing w:line="276" w:lineRule="auto"/>
        <w:ind w:right="567"/>
        <w:jc w:val="both"/>
        <w:rPr>
          <w:rFonts w:ascii="Palatino Linotype" w:eastAsiaTheme="minorEastAsia" w:hAnsi="Palatino Linotype"/>
          <w:b/>
          <w:i/>
          <w:sz w:val="22"/>
          <w:szCs w:val="22"/>
        </w:rPr>
      </w:pPr>
      <w:r w:rsidRPr="001515F0">
        <w:rPr>
          <w:rFonts w:ascii="Palatino Linotype" w:eastAsia="MS Mincho" w:hAnsi="Palatino Linotype"/>
          <w:b/>
        </w:rPr>
        <w:lastRenderedPageBreak/>
        <w:t>LÍNEAS ARGUMENTATIVAS.</w:t>
      </w:r>
    </w:p>
    <w:p w14:paraId="3FF68914" w14:textId="77777777" w:rsidR="00A566D9" w:rsidRPr="001515F0" w:rsidRDefault="00A566D9" w:rsidP="00A566D9">
      <w:pPr>
        <w:spacing w:before="240" w:after="240" w:line="360" w:lineRule="auto"/>
        <w:jc w:val="both"/>
        <w:rPr>
          <w:rFonts w:ascii="Palatino Linotype" w:eastAsia="MS Mincho" w:hAnsi="Palatino Linotype"/>
          <w:lang w:val="es-ES_tradnl" w:eastAsia="es-ES"/>
        </w:rPr>
      </w:pPr>
      <w:r w:rsidRPr="001515F0">
        <w:rPr>
          <w:rFonts w:ascii="Palatino Linotype" w:eastAsia="MS Mincho" w:hAnsi="Palatino Linotype"/>
          <w:b/>
          <w:lang w:val="es-ES_tradnl" w:eastAsia="es-ES"/>
        </w:rPr>
        <w:t xml:space="preserve">DEBERES DE LAS AUTORIDADES. </w:t>
      </w:r>
      <w:r w:rsidRPr="001515F0">
        <w:rPr>
          <w:rFonts w:ascii="Palatino Linotype" w:eastAsia="MS Mincho" w:hAnsi="Palatino Linotype"/>
          <w:lang w:val="es-ES_tradnl" w:eastAsia="es-ES"/>
        </w:rPr>
        <w:t>El derecho humano de acceso a la información pública es un derecho humano constitucionalmente reconocido en consecuencia todas las autoridades en el ámbito de sus competencias tienen la obligación de respetarlo, protegerlo y garantizarlo.</w:t>
      </w:r>
    </w:p>
    <w:p w14:paraId="6FF59BEE" w14:textId="77777777" w:rsidR="00A566D9" w:rsidRPr="001515F0" w:rsidRDefault="00A566D9" w:rsidP="00A566D9">
      <w:pPr>
        <w:spacing w:before="240" w:after="240" w:line="360" w:lineRule="auto"/>
        <w:jc w:val="both"/>
        <w:rPr>
          <w:rFonts w:ascii="Palatino Linotype" w:hAnsi="Palatino Linotype"/>
          <w:lang w:val="es-ES_tradnl" w:eastAsia="es-ES"/>
        </w:rPr>
      </w:pPr>
      <w:r w:rsidRPr="001515F0">
        <w:rPr>
          <w:rFonts w:ascii="Palatino Linotype" w:hAnsi="Palatino Linotype"/>
          <w:b/>
          <w:lang w:eastAsia="es-ES"/>
        </w:rPr>
        <w:t xml:space="preserve">DE LAS RESPUESTAS INCOMPLETAS Y DEFICIENTES. </w:t>
      </w:r>
      <w:r w:rsidRPr="001515F0">
        <w:rPr>
          <w:rFonts w:ascii="Palatino Linotype" w:hAnsi="Palatino Linotype"/>
          <w:lang w:eastAsia="es-ES"/>
        </w:rPr>
        <w:t xml:space="preserve">Las respuestas proporcionadas por los sujetos obligados que resulten incongruentes con lo solicitado, trae como consecuencia que se retrase el </w:t>
      </w:r>
      <w:r w:rsidRPr="001515F0">
        <w:rPr>
          <w:rFonts w:ascii="Palatino Linotype" w:hAnsi="Palatino Linotype"/>
          <w:lang w:val="es-ES_tradnl" w:eastAsia="es-ES"/>
        </w:rPr>
        <w:t>acceso a la información pública vulnerando el derecho fundamental de la personas para acceder a la misma.</w:t>
      </w:r>
    </w:p>
    <w:p w14:paraId="1292A052" w14:textId="64DB42E3" w:rsidR="00A566D9" w:rsidRPr="001515F0" w:rsidRDefault="00A566D9" w:rsidP="00A566D9">
      <w:pPr>
        <w:spacing w:before="240" w:after="240" w:line="360" w:lineRule="auto"/>
        <w:jc w:val="both"/>
        <w:rPr>
          <w:rFonts w:ascii="Palatino Linotype" w:eastAsia="MS Mincho" w:hAnsi="Palatino Linotype"/>
          <w:b/>
          <w:lang w:eastAsia="es-ES"/>
        </w:rPr>
      </w:pPr>
    </w:p>
    <w:p w14:paraId="4AA1F2E7" w14:textId="41F06C19" w:rsidR="00F92C71" w:rsidRPr="001515F0" w:rsidRDefault="00F92C71" w:rsidP="00A566D9">
      <w:pPr>
        <w:spacing w:before="240" w:after="240" w:line="360" w:lineRule="auto"/>
        <w:jc w:val="both"/>
        <w:rPr>
          <w:rFonts w:ascii="Palatino Linotype" w:eastAsia="MS Mincho" w:hAnsi="Palatino Linotype" w:cs="Arial"/>
          <w:lang w:val="es-ES_tradnl" w:eastAsia="es-ES"/>
        </w:rPr>
      </w:pPr>
    </w:p>
    <w:p w14:paraId="3F6FCF4D" w14:textId="3F709D1B" w:rsidR="00F92C71" w:rsidRPr="001515F0" w:rsidRDefault="00F92C71" w:rsidP="00A566D9">
      <w:pPr>
        <w:spacing w:before="240" w:after="240" w:line="360" w:lineRule="auto"/>
        <w:jc w:val="both"/>
        <w:rPr>
          <w:rFonts w:ascii="Palatino Linotype" w:eastAsia="MS Mincho" w:hAnsi="Palatino Linotype" w:cs="Arial"/>
          <w:lang w:val="es-ES_tradnl" w:eastAsia="es-ES"/>
        </w:rPr>
      </w:pPr>
    </w:p>
    <w:p w14:paraId="5E47F05F" w14:textId="08DD4501" w:rsidR="00F92C71" w:rsidRPr="001515F0" w:rsidRDefault="00F92C71" w:rsidP="00A566D9">
      <w:pPr>
        <w:spacing w:before="240" w:after="240" w:line="360" w:lineRule="auto"/>
        <w:jc w:val="both"/>
        <w:rPr>
          <w:rFonts w:ascii="Palatino Linotype" w:eastAsia="MS Mincho" w:hAnsi="Palatino Linotype" w:cs="Arial"/>
          <w:lang w:val="es-ES_tradnl" w:eastAsia="es-ES"/>
        </w:rPr>
      </w:pPr>
    </w:p>
    <w:p w14:paraId="2BACFEB2" w14:textId="77777777" w:rsidR="00F92C71" w:rsidRPr="001515F0" w:rsidRDefault="00F92C71" w:rsidP="00A566D9">
      <w:pPr>
        <w:spacing w:before="240" w:after="240" w:line="360" w:lineRule="auto"/>
        <w:jc w:val="both"/>
        <w:rPr>
          <w:rFonts w:ascii="Palatino Linotype" w:eastAsia="MS Mincho" w:hAnsi="Palatino Linotype" w:cs="Arial"/>
          <w:lang w:val="es-ES_tradnl" w:eastAsia="es-ES"/>
        </w:rPr>
      </w:pPr>
    </w:p>
    <w:p w14:paraId="1E1D341F" w14:textId="77777777" w:rsidR="00A566D9" w:rsidRPr="001515F0" w:rsidRDefault="00A566D9" w:rsidP="00A566D9">
      <w:pPr>
        <w:spacing w:before="240" w:after="240" w:line="360" w:lineRule="auto"/>
        <w:jc w:val="both"/>
        <w:rPr>
          <w:rFonts w:ascii="Palatino Linotype" w:eastAsia="MS Mincho" w:hAnsi="Palatino Linotype" w:cs="Arial"/>
          <w:lang w:val="es-ES_tradnl" w:eastAsia="es-ES"/>
        </w:rPr>
      </w:pPr>
    </w:p>
    <w:p w14:paraId="616543EE" w14:textId="77777777" w:rsidR="00A566D9" w:rsidRPr="001515F0" w:rsidRDefault="00A566D9" w:rsidP="00A566D9">
      <w:pPr>
        <w:spacing w:before="240" w:after="240" w:line="360" w:lineRule="auto"/>
        <w:jc w:val="both"/>
        <w:rPr>
          <w:rFonts w:ascii="Palatino Linotype" w:eastAsia="MS Mincho" w:hAnsi="Palatino Linotype" w:cs="Arial"/>
          <w:lang w:val="es-ES_tradnl" w:eastAsia="es-ES"/>
        </w:rPr>
      </w:pPr>
    </w:p>
    <w:p w14:paraId="68937BC5" w14:textId="77777777" w:rsidR="00A566D9" w:rsidRPr="001515F0" w:rsidRDefault="00A566D9" w:rsidP="00A566D9">
      <w:pPr>
        <w:spacing w:before="240" w:after="240" w:line="360" w:lineRule="auto"/>
        <w:jc w:val="both"/>
        <w:rPr>
          <w:rFonts w:ascii="Palatino Linotype" w:eastAsia="Arial Unicode MS" w:hAnsi="Palatino Linotype" w:cs="Arial"/>
          <w:lang w:val="es-ES_tradnl"/>
        </w:rPr>
      </w:pPr>
    </w:p>
    <w:p w14:paraId="7D0026C1" w14:textId="77777777" w:rsidR="00A566D9" w:rsidRPr="001515F0" w:rsidRDefault="00A566D9" w:rsidP="00A566D9">
      <w:pPr>
        <w:spacing w:line="360" w:lineRule="auto"/>
        <w:jc w:val="center"/>
        <w:rPr>
          <w:rFonts w:ascii="Palatino Linotype" w:hAnsi="Palatino Linotype"/>
          <w:b/>
          <w:u w:val="single"/>
        </w:rPr>
      </w:pPr>
      <w:r w:rsidRPr="001515F0">
        <w:rPr>
          <w:rFonts w:ascii="Palatino Linotype" w:hAnsi="Palatino Linotype"/>
          <w:b/>
          <w:u w:val="single"/>
        </w:rPr>
        <w:lastRenderedPageBreak/>
        <w:t>ÍNDICE</w:t>
      </w:r>
    </w:p>
    <w:sdt>
      <w:sdtPr>
        <w:rPr>
          <w:rFonts w:ascii="Palatino Linotype" w:eastAsia="Times New Roman" w:hAnsi="Palatino Linotype" w:cs="Times New Roman"/>
          <w:b/>
          <w:lang w:val="es-ES" w:eastAsia="es-ES_tradnl"/>
        </w:rPr>
        <w:id w:val="245630285"/>
        <w:docPartObj>
          <w:docPartGallery w:val="Table of Contents"/>
          <w:docPartUnique/>
        </w:docPartObj>
      </w:sdtPr>
      <w:sdtEndPr>
        <w:rPr>
          <w:bCs/>
        </w:rPr>
      </w:sdtEndPr>
      <w:sdtContent>
        <w:p w14:paraId="09DBB36D" w14:textId="77777777" w:rsidR="00A566D9" w:rsidRPr="001515F0" w:rsidRDefault="00A566D9" w:rsidP="00A566D9">
          <w:pPr>
            <w:pStyle w:val="TDC1"/>
            <w:spacing w:line="360" w:lineRule="auto"/>
            <w:ind w:left="180" w:hanging="180"/>
            <w:rPr>
              <w:rFonts w:ascii="Palatino Linotype" w:hAnsi="Palatino Linotype"/>
              <w:b/>
              <w:noProof/>
              <w:lang w:val="es-MX" w:eastAsia="es-MX"/>
            </w:rPr>
          </w:pPr>
          <w:r w:rsidRPr="001515F0">
            <w:rPr>
              <w:rFonts w:ascii="Palatino Linotype" w:eastAsiaTheme="majorEastAsia" w:hAnsi="Palatino Linotype" w:cstheme="majorBidi"/>
              <w:b/>
              <w:lang w:val="es-MX" w:eastAsia="es-MX"/>
            </w:rPr>
            <w:fldChar w:fldCharType="begin"/>
          </w:r>
          <w:r w:rsidRPr="001515F0">
            <w:rPr>
              <w:rFonts w:ascii="Palatino Linotype" w:hAnsi="Palatino Linotype"/>
              <w:b/>
            </w:rPr>
            <w:instrText xml:space="preserve"> TOC \o "1-3" \h \z \u </w:instrText>
          </w:r>
          <w:r w:rsidRPr="001515F0">
            <w:rPr>
              <w:rFonts w:ascii="Palatino Linotype" w:eastAsiaTheme="majorEastAsia" w:hAnsi="Palatino Linotype" w:cstheme="majorBidi"/>
              <w:b/>
              <w:lang w:val="es-MX" w:eastAsia="es-MX"/>
            </w:rPr>
            <w:fldChar w:fldCharType="separate"/>
          </w:r>
          <w:hyperlink w:anchor="_Toc51262524" w:history="1">
            <w:r w:rsidRPr="001515F0">
              <w:rPr>
                <w:rStyle w:val="Hipervnculo"/>
                <w:rFonts w:ascii="Palatino Linotype" w:hAnsi="Palatino Linotype"/>
                <w:b/>
                <w:noProof/>
              </w:rPr>
              <w:t>ANTECEDENTES</w:t>
            </w:r>
            <w:r w:rsidRPr="001515F0">
              <w:rPr>
                <w:rFonts w:ascii="Palatino Linotype" w:hAnsi="Palatino Linotype"/>
                <w:b/>
                <w:noProof/>
                <w:webHidden/>
              </w:rPr>
              <w:tab/>
            </w:r>
            <w:r w:rsidRPr="001515F0">
              <w:rPr>
                <w:rFonts w:ascii="Palatino Linotype" w:hAnsi="Palatino Linotype"/>
                <w:b/>
                <w:noProof/>
                <w:webHidden/>
              </w:rPr>
              <w:fldChar w:fldCharType="begin"/>
            </w:r>
            <w:r w:rsidRPr="001515F0">
              <w:rPr>
                <w:rFonts w:ascii="Palatino Linotype" w:hAnsi="Palatino Linotype"/>
                <w:b/>
                <w:noProof/>
                <w:webHidden/>
              </w:rPr>
              <w:instrText xml:space="preserve"> PAGEREF _Toc51262524 \h </w:instrText>
            </w:r>
            <w:r w:rsidRPr="001515F0">
              <w:rPr>
                <w:rFonts w:ascii="Palatino Linotype" w:hAnsi="Palatino Linotype"/>
                <w:b/>
                <w:noProof/>
                <w:webHidden/>
              </w:rPr>
            </w:r>
            <w:r w:rsidRPr="001515F0">
              <w:rPr>
                <w:rFonts w:ascii="Palatino Linotype" w:hAnsi="Palatino Linotype"/>
                <w:b/>
                <w:noProof/>
                <w:webHidden/>
              </w:rPr>
              <w:fldChar w:fldCharType="separate"/>
            </w:r>
            <w:r w:rsidRPr="001515F0">
              <w:rPr>
                <w:rFonts w:ascii="Palatino Linotype" w:hAnsi="Palatino Linotype"/>
                <w:b/>
                <w:noProof/>
                <w:webHidden/>
              </w:rPr>
              <w:t>3</w:t>
            </w:r>
            <w:r w:rsidRPr="001515F0">
              <w:rPr>
                <w:rFonts w:ascii="Palatino Linotype" w:hAnsi="Palatino Linotype"/>
                <w:b/>
                <w:noProof/>
                <w:webHidden/>
              </w:rPr>
              <w:fldChar w:fldCharType="end"/>
            </w:r>
          </w:hyperlink>
        </w:p>
        <w:p w14:paraId="4C7F1312" w14:textId="77777777" w:rsidR="00A566D9" w:rsidRPr="001515F0" w:rsidRDefault="006C6012" w:rsidP="00A566D9">
          <w:pPr>
            <w:pStyle w:val="TDC1"/>
            <w:spacing w:line="360" w:lineRule="auto"/>
            <w:ind w:left="180" w:hanging="180"/>
            <w:rPr>
              <w:rFonts w:ascii="Palatino Linotype" w:hAnsi="Palatino Linotype"/>
              <w:b/>
              <w:noProof/>
              <w:sz w:val="22"/>
              <w:szCs w:val="22"/>
              <w:lang w:val="es-MX" w:eastAsia="es-MX"/>
            </w:rPr>
          </w:pPr>
          <w:hyperlink w:anchor="_Toc51262527" w:history="1">
            <w:r w:rsidR="00A566D9" w:rsidRPr="001515F0">
              <w:rPr>
                <w:rStyle w:val="Hipervnculo"/>
                <w:rFonts w:ascii="Palatino Linotype" w:hAnsi="Palatino Linotype"/>
                <w:b/>
                <w:noProof/>
                <w:sz w:val="22"/>
                <w:szCs w:val="22"/>
              </w:rPr>
              <w:t>CONSIDERANDO</w:t>
            </w:r>
            <w:r w:rsidR="00A566D9" w:rsidRPr="001515F0">
              <w:rPr>
                <w:rFonts w:ascii="Palatino Linotype" w:hAnsi="Palatino Linotype"/>
                <w:b/>
                <w:noProof/>
                <w:webHidden/>
                <w:sz w:val="22"/>
                <w:szCs w:val="22"/>
              </w:rPr>
              <w:tab/>
            </w:r>
            <w:r w:rsidR="00A566D9" w:rsidRPr="001515F0">
              <w:rPr>
                <w:rFonts w:ascii="Palatino Linotype" w:hAnsi="Palatino Linotype"/>
                <w:b/>
                <w:noProof/>
                <w:webHidden/>
                <w:sz w:val="22"/>
                <w:szCs w:val="22"/>
              </w:rPr>
              <w:fldChar w:fldCharType="begin"/>
            </w:r>
            <w:r w:rsidR="00A566D9" w:rsidRPr="001515F0">
              <w:rPr>
                <w:rFonts w:ascii="Palatino Linotype" w:hAnsi="Palatino Linotype"/>
                <w:b/>
                <w:noProof/>
                <w:webHidden/>
                <w:sz w:val="22"/>
                <w:szCs w:val="22"/>
              </w:rPr>
              <w:instrText xml:space="preserve"> PAGEREF _Toc51262527 \h </w:instrText>
            </w:r>
            <w:r w:rsidR="00A566D9" w:rsidRPr="001515F0">
              <w:rPr>
                <w:rFonts w:ascii="Palatino Linotype" w:hAnsi="Palatino Linotype"/>
                <w:b/>
                <w:noProof/>
                <w:webHidden/>
                <w:sz w:val="22"/>
                <w:szCs w:val="22"/>
              </w:rPr>
            </w:r>
            <w:r w:rsidR="00A566D9" w:rsidRPr="001515F0">
              <w:rPr>
                <w:rFonts w:ascii="Palatino Linotype" w:hAnsi="Palatino Linotype"/>
                <w:b/>
                <w:noProof/>
                <w:webHidden/>
                <w:sz w:val="22"/>
                <w:szCs w:val="22"/>
              </w:rPr>
              <w:fldChar w:fldCharType="separate"/>
            </w:r>
            <w:r w:rsidR="00A566D9" w:rsidRPr="001515F0">
              <w:rPr>
                <w:rFonts w:ascii="Palatino Linotype" w:hAnsi="Palatino Linotype"/>
                <w:b/>
                <w:noProof/>
                <w:webHidden/>
                <w:sz w:val="22"/>
                <w:szCs w:val="22"/>
              </w:rPr>
              <w:t>10</w:t>
            </w:r>
            <w:r w:rsidR="00A566D9" w:rsidRPr="001515F0">
              <w:rPr>
                <w:rFonts w:ascii="Palatino Linotype" w:hAnsi="Palatino Linotype"/>
                <w:b/>
                <w:noProof/>
                <w:webHidden/>
                <w:sz w:val="22"/>
                <w:szCs w:val="22"/>
              </w:rPr>
              <w:fldChar w:fldCharType="end"/>
            </w:r>
          </w:hyperlink>
        </w:p>
        <w:p w14:paraId="420B7567" w14:textId="77777777" w:rsidR="00A566D9" w:rsidRPr="001515F0" w:rsidRDefault="006C6012" w:rsidP="00A566D9">
          <w:pPr>
            <w:pStyle w:val="TDC2"/>
            <w:rPr>
              <w:rFonts w:ascii="Palatino Linotype" w:hAnsi="Palatino Linotype"/>
              <w:b/>
              <w:noProof/>
              <w:sz w:val="22"/>
              <w:szCs w:val="22"/>
              <w:lang w:val="es-MX" w:eastAsia="es-MX"/>
            </w:rPr>
          </w:pPr>
          <w:hyperlink w:anchor="_Toc51262528" w:history="1">
            <w:r w:rsidR="00A566D9" w:rsidRPr="001515F0">
              <w:rPr>
                <w:rStyle w:val="Hipervnculo"/>
                <w:rFonts w:ascii="Palatino Linotype" w:hAnsi="Palatino Linotype"/>
                <w:b/>
                <w:noProof/>
                <w:sz w:val="22"/>
                <w:szCs w:val="22"/>
              </w:rPr>
              <w:t>PRIMERO. De la competencia</w:t>
            </w:r>
            <w:r w:rsidR="00A566D9" w:rsidRPr="001515F0">
              <w:rPr>
                <w:rFonts w:ascii="Palatino Linotype" w:hAnsi="Palatino Linotype"/>
                <w:b/>
                <w:noProof/>
                <w:webHidden/>
                <w:sz w:val="22"/>
                <w:szCs w:val="22"/>
              </w:rPr>
              <w:tab/>
              <w:t>………………………………………………</w:t>
            </w:r>
            <w:r w:rsidR="00A566D9" w:rsidRPr="001515F0">
              <w:rPr>
                <w:rFonts w:ascii="Palatino Linotype" w:hAnsi="Palatino Linotype"/>
                <w:b/>
                <w:noProof/>
                <w:webHidden/>
                <w:sz w:val="22"/>
                <w:szCs w:val="22"/>
              </w:rPr>
              <w:fldChar w:fldCharType="begin"/>
            </w:r>
            <w:r w:rsidR="00A566D9" w:rsidRPr="001515F0">
              <w:rPr>
                <w:rFonts w:ascii="Palatino Linotype" w:hAnsi="Palatino Linotype"/>
                <w:b/>
                <w:noProof/>
                <w:webHidden/>
                <w:sz w:val="22"/>
                <w:szCs w:val="22"/>
              </w:rPr>
              <w:instrText xml:space="preserve"> PAGEREF _Toc51262528 \h </w:instrText>
            </w:r>
            <w:r w:rsidR="00A566D9" w:rsidRPr="001515F0">
              <w:rPr>
                <w:rFonts w:ascii="Palatino Linotype" w:hAnsi="Palatino Linotype"/>
                <w:b/>
                <w:noProof/>
                <w:webHidden/>
                <w:sz w:val="22"/>
                <w:szCs w:val="22"/>
              </w:rPr>
            </w:r>
            <w:r w:rsidR="00A566D9" w:rsidRPr="001515F0">
              <w:rPr>
                <w:rFonts w:ascii="Palatino Linotype" w:hAnsi="Palatino Linotype"/>
                <w:b/>
                <w:noProof/>
                <w:webHidden/>
                <w:sz w:val="22"/>
                <w:szCs w:val="22"/>
              </w:rPr>
              <w:fldChar w:fldCharType="separate"/>
            </w:r>
            <w:r w:rsidR="00A566D9" w:rsidRPr="001515F0">
              <w:rPr>
                <w:rFonts w:ascii="Palatino Linotype" w:hAnsi="Palatino Linotype"/>
                <w:b/>
                <w:noProof/>
                <w:webHidden/>
                <w:sz w:val="22"/>
                <w:szCs w:val="22"/>
              </w:rPr>
              <w:t>10</w:t>
            </w:r>
            <w:r w:rsidR="00A566D9" w:rsidRPr="001515F0">
              <w:rPr>
                <w:rFonts w:ascii="Palatino Linotype" w:hAnsi="Palatino Linotype"/>
                <w:b/>
                <w:noProof/>
                <w:webHidden/>
                <w:sz w:val="22"/>
                <w:szCs w:val="22"/>
              </w:rPr>
              <w:fldChar w:fldCharType="end"/>
            </w:r>
          </w:hyperlink>
        </w:p>
        <w:p w14:paraId="4CA3BE6B" w14:textId="77777777" w:rsidR="00A566D9" w:rsidRPr="001515F0" w:rsidRDefault="006C6012" w:rsidP="00A566D9">
          <w:pPr>
            <w:pStyle w:val="TDC2"/>
            <w:rPr>
              <w:rFonts w:ascii="Palatino Linotype" w:hAnsi="Palatino Linotype"/>
              <w:b/>
              <w:noProof/>
              <w:sz w:val="22"/>
              <w:szCs w:val="22"/>
              <w:lang w:val="es-MX" w:eastAsia="es-MX"/>
            </w:rPr>
          </w:pPr>
          <w:hyperlink w:anchor="_Toc51262529" w:history="1">
            <w:r w:rsidR="00A566D9" w:rsidRPr="001515F0">
              <w:rPr>
                <w:rStyle w:val="Hipervnculo"/>
                <w:rFonts w:ascii="Palatino Linotype" w:hAnsi="Palatino Linotype"/>
                <w:b/>
                <w:noProof/>
                <w:sz w:val="22"/>
                <w:szCs w:val="22"/>
              </w:rPr>
              <w:t>SEGUNDO. De la oportunidad y procedencia.</w:t>
            </w:r>
            <w:r w:rsidR="00A566D9" w:rsidRPr="001515F0">
              <w:rPr>
                <w:rFonts w:ascii="Palatino Linotype" w:hAnsi="Palatino Linotype"/>
                <w:b/>
                <w:noProof/>
                <w:webHidden/>
                <w:sz w:val="22"/>
                <w:szCs w:val="22"/>
              </w:rPr>
              <w:tab/>
              <w:t xml:space="preserve">………………………    </w:t>
            </w:r>
            <w:r w:rsidR="00A566D9" w:rsidRPr="001515F0">
              <w:rPr>
                <w:rFonts w:ascii="Palatino Linotype" w:hAnsi="Palatino Linotype"/>
                <w:b/>
                <w:noProof/>
                <w:webHidden/>
                <w:sz w:val="22"/>
                <w:szCs w:val="22"/>
              </w:rPr>
              <w:fldChar w:fldCharType="begin"/>
            </w:r>
            <w:r w:rsidR="00A566D9" w:rsidRPr="001515F0">
              <w:rPr>
                <w:rFonts w:ascii="Palatino Linotype" w:hAnsi="Palatino Linotype"/>
                <w:b/>
                <w:noProof/>
                <w:webHidden/>
                <w:sz w:val="22"/>
                <w:szCs w:val="22"/>
              </w:rPr>
              <w:instrText xml:space="preserve"> PAGEREF _Toc51262529 \h </w:instrText>
            </w:r>
            <w:r w:rsidR="00A566D9" w:rsidRPr="001515F0">
              <w:rPr>
                <w:rFonts w:ascii="Palatino Linotype" w:hAnsi="Palatino Linotype"/>
                <w:b/>
                <w:noProof/>
                <w:webHidden/>
                <w:sz w:val="22"/>
                <w:szCs w:val="22"/>
              </w:rPr>
            </w:r>
            <w:r w:rsidR="00A566D9" w:rsidRPr="001515F0">
              <w:rPr>
                <w:rFonts w:ascii="Palatino Linotype" w:hAnsi="Palatino Linotype"/>
                <w:b/>
                <w:noProof/>
                <w:webHidden/>
                <w:sz w:val="22"/>
                <w:szCs w:val="22"/>
              </w:rPr>
              <w:fldChar w:fldCharType="separate"/>
            </w:r>
            <w:r w:rsidR="00A566D9" w:rsidRPr="001515F0">
              <w:rPr>
                <w:rFonts w:ascii="Palatino Linotype" w:hAnsi="Palatino Linotype"/>
                <w:b/>
                <w:noProof/>
                <w:webHidden/>
                <w:sz w:val="22"/>
                <w:szCs w:val="22"/>
              </w:rPr>
              <w:t>11</w:t>
            </w:r>
            <w:r w:rsidR="00A566D9" w:rsidRPr="001515F0">
              <w:rPr>
                <w:rFonts w:ascii="Palatino Linotype" w:hAnsi="Palatino Linotype"/>
                <w:b/>
                <w:noProof/>
                <w:webHidden/>
                <w:sz w:val="22"/>
                <w:szCs w:val="22"/>
              </w:rPr>
              <w:fldChar w:fldCharType="end"/>
            </w:r>
          </w:hyperlink>
        </w:p>
        <w:p w14:paraId="40CCEC15" w14:textId="77777777" w:rsidR="00A566D9" w:rsidRPr="001515F0" w:rsidRDefault="006C6012" w:rsidP="00A566D9">
          <w:pPr>
            <w:pStyle w:val="TDC1"/>
            <w:spacing w:line="360" w:lineRule="auto"/>
            <w:ind w:left="180" w:hanging="180"/>
            <w:rPr>
              <w:rFonts w:ascii="Palatino Linotype" w:hAnsi="Palatino Linotype"/>
              <w:b/>
              <w:noProof/>
              <w:sz w:val="22"/>
              <w:szCs w:val="22"/>
            </w:rPr>
          </w:pPr>
          <w:hyperlink w:anchor="_Toc51262530" w:history="1">
            <w:r w:rsidR="00A566D9" w:rsidRPr="001515F0">
              <w:rPr>
                <w:rStyle w:val="Hipervnculo"/>
                <w:rFonts w:ascii="Palatino Linotype" w:hAnsi="Palatino Linotype"/>
                <w:b/>
                <w:noProof/>
                <w:sz w:val="22"/>
                <w:szCs w:val="22"/>
              </w:rPr>
              <w:t>TERCERO. Previo especial pronunciamiento</w:t>
            </w:r>
            <w:r w:rsidR="00A566D9" w:rsidRPr="001515F0">
              <w:rPr>
                <w:rFonts w:ascii="Palatino Linotype" w:hAnsi="Palatino Linotype"/>
                <w:b/>
                <w:noProof/>
                <w:webHidden/>
                <w:sz w:val="22"/>
                <w:szCs w:val="22"/>
              </w:rPr>
              <w:tab/>
            </w:r>
            <w:r w:rsidR="00A566D9" w:rsidRPr="001515F0">
              <w:rPr>
                <w:rFonts w:ascii="Palatino Linotype" w:hAnsi="Palatino Linotype"/>
                <w:b/>
                <w:noProof/>
                <w:webHidden/>
                <w:sz w:val="22"/>
                <w:szCs w:val="22"/>
              </w:rPr>
              <w:fldChar w:fldCharType="begin"/>
            </w:r>
            <w:r w:rsidR="00A566D9" w:rsidRPr="001515F0">
              <w:rPr>
                <w:rFonts w:ascii="Palatino Linotype" w:hAnsi="Palatino Linotype"/>
                <w:b/>
                <w:noProof/>
                <w:webHidden/>
                <w:sz w:val="22"/>
                <w:szCs w:val="22"/>
              </w:rPr>
              <w:instrText xml:space="preserve"> PAGEREF _Toc51262530 \h </w:instrText>
            </w:r>
            <w:r w:rsidR="00A566D9" w:rsidRPr="001515F0">
              <w:rPr>
                <w:rFonts w:ascii="Palatino Linotype" w:hAnsi="Palatino Linotype"/>
                <w:b/>
                <w:noProof/>
                <w:webHidden/>
                <w:sz w:val="22"/>
                <w:szCs w:val="22"/>
              </w:rPr>
            </w:r>
            <w:r w:rsidR="00A566D9" w:rsidRPr="001515F0">
              <w:rPr>
                <w:rFonts w:ascii="Palatino Linotype" w:hAnsi="Palatino Linotype"/>
                <w:b/>
                <w:noProof/>
                <w:webHidden/>
                <w:sz w:val="22"/>
                <w:szCs w:val="22"/>
              </w:rPr>
              <w:fldChar w:fldCharType="separate"/>
            </w:r>
            <w:r w:rsidR="00A566D9" w:rsidRPr="001515F0">
              <w:rPr>
                <w:rFonts w:ascii="Palatino Linotype" w:hAnsi="Palatino Linotype"/>
                <w:b/>
                <w:noProof/>
                <w:webHidden/>
                <w:sz w:val="22"/>
                <w:szCs w:val="22"/>
              </w:rPr>
              <w:t>12</w:t>
            </w:r>
            <w:r w:rsidR="00A566D9" w:rsidRPr="001515F0">
              <w:rPr>
                <w:rFonts w:ascii="Palatino Linotype" w:hAnsi="Palatino Linotype"/>
                <w:b/>
                <w:noProof/>
                <w:webHidden/>
                <w:sz w:val="22"/>
                <w:szCs w:val="22"/>
              </w:rPr>
              <w:fldChar w:fldCharType="end"/>
            </w:r>
          </w:hyperlink>
        </w:p>
        <w:p w14:paraId="0EB03EDB" w14:textId="46CA95A2" w:rsidR="00A566D9" w:rsidRPr="001515F0" w:rsidRDefault="00A566D9" w:rsidP="00A566D9">
          <w:pPr>
            <w:spacing w:line="360" w:lineRule="auto"/>
            <w:rPr>
              <w:rFonts w:ascii="Palatino Linotype" w:hAnsi="Palatino Linotype"/>
              <w:b/>
              <w:sz w:val="22"/>
              <w:szCs w:val="22"/>
              <w:lang w:val="es-ES_tradnl" w:eastAsia="es-ES"/>
            </w:rPr>
          </w:pPr>
          <w:r w:rsidRPr="001515F0">
            <w:rPr>
              <w:rFonts w:ascii="Palatino Linotype" w:hAnsi="Palatino Linotype"/>
              <w:b/>
              <w:sz w:val="22"/>
              <w:szCs w:val="22"/>
              <w:lang w:val="es-ES_tradnl" w:eastAsia="es-ES"/>
            </w:rPr>
            <w:t>A) De la suspensión de plazos derivado del SARS-Cov-2-COVID-19 …………………12</w:t>
          </w:r>
        </w:p>
        <w:p w14:paraId="1A681048" w14:textId="77777777" w:rsidR="00A566D9" w:rsidRPr="001515F0" w:rsidRDefault="00A566D9" w:rsidP="00A566D9">
          <w:pPr>
            <w:spacing w:line="360" w:lineRule="auto"/>
            <w:ind w:left="180" w:hanging="180"/>
            <w:rPr>
              <w:rFonts w:ascii="Palatino Linotype" w:hAnsi="Palatino Linotype"/>
              <w:b/>
              <w:sz w:val="22"/>
              <w:szCs w:val="22"/>
            </w:rPr>
          </w:pPr>
          <w:r w:rsidRPr="001515F0">
            <w:rPr>
              <w:rFonts w:ascii="Palatino Linotype" w:hAnsi="Palatino Linotype"/>
              <w:b/>
              <w:sz w:val="22"/>
              <w:szCs w:val="22"/>
            </w:rPr>
            <w:t>CUARTO. Del planteamiento de la Litis.</w:t>
          </w:r>
          <w:r w:rsidRPr="001515F0">
            <w:rPr>
              <w:rFonts w:ascii="Palatino Linotype" w:hAnsi="Palatino Linotype"/>
              <w:b/>
              <w:webHidden/>
              <w:sz w:val="22"/>
              <w:szCs w:val="22"/>
            </w:rPr>
            <w:tab/>
            <w:t>………………………..…………………………16</w:t>
          </w:r>
        </w:p>
        <w:p w14:paraId="254560E4" w14:textId="77777777" w:rsidR="00A566D9" w:rsidRPr="001515F0" w:rsidRDefault="006C6012" w:rsidP="00A566D9">
          <w:pPr>
            <w:pStyle w:val="TDC2"/>
            <w:rPr>
              <w:rFonts w:ascii="Palatino Linotype" w:hAnsi="Palatino Linotype"/>
              <w:b/>
              <w:noProof/>
              <w:sz w:val="22"/>
              <w:szCs w:val="22"/>
            </w:rPr>
          </w:pPr>
          <w:hyperlink w:anchor="_Toc51262531" w:history="1">
            <w:r w:rsidR="00A566D9" w:rsidRPr="001515F0">
              <w:rPr>
                <w:rStyle w:val="Hipervnculo"/>
                <w:rFonts w:ascii="Palatino Linotype" w:hAnsi="Palatino Linotype"/>
                <w:b/>
                <w:noProof/>
                <w:sz w:val="22"/>
                <w:szCs w:val="22"/>
              </w:rPr>
              <w:t>QUINTO. Del estudio y resolución del asunto.</w:t>
            </w:r>
            <w:r w:rsidR="00A566D9" w:rsidRPr="001515F0">
              <w:rPr>
                <w:rFonts w:ascii="Palatino Linotype" w:hAnsi="Palatino Linotype"/>
                <w:b/>
                <w:noProof/>
                <w:webHidden/>
                <w:sz w:val="22"/>
                <w:szCs w:val="22"/>
              </w:rPr>
              <w:tab/>
              <w:t>………………………………….17</w:t>
            </w:r>
            <w:r w:rsidR="00A566D9" w:rsidRPr="001515F0">
              <w:rPr>
                <w:rFonts w:ascii="Palatino Linotype" w:hAnsi="Palatino Linotype"/>
                <w:b/>
                <w:noProof/>
                <w:webHidden/>
                <w:sz w:val="22"/>
                <w:szCs w:val="22"/>
              </w:rPr>
              <w:br/>
              <w:t>a)</w:t>
            </w:r>
          </w:hyperlink>
          <w:r w:rsidR="00A566D9" w:rsidRPr="001515F0">
            <w:rPr>
              <w:rFonts w:ascii="Palatino Linotype" w:hAnsi="Palatino Linotype"/>
              <w:b/>
              <w:noProof/>
              <w:sz w:val="22"/>
              <w:szCs w:val="22"/>
            </w:rPr>
            <w:t xml:space="preserve"> Del Derecho de acceso a la información pública …..…………………………………….17</w:t>
          </w:r>
        </w:p>
        <w:p w14:paraId="71A2D049" w14:textId="77777777" w:rsidR="00A566D9" w:rsidRPr="001515F0" w:rsidRDefault="00A566D9" w:rsidP="00A566D9">
          <w:pPr>
            <w:spacing w:line="360" w:lineRule="auto"/>
            <w:rPr>
              <w:rFonts w:ascii="Palatino Linotype" w:hAnsi="Palatino Linotype"/>
              <w:b/>
              <w:sz w:val="22"/>
              <w:szCs w:val="22"/>
              <w:lang w:val="es-ES_tradnl" w:eastAsia="es-ES"/>
            </w:rPr>
          </w:pPr>
          <w:r w:rsidRPr="001515F0">
            <w:rPr>
              <w:rFonts w:ascii="Palatino Linotype" w:hAnsi="Palatino Linotype"/>
              <w:b/>
              <w:sz w:val="22"/>
              <w:szCs w:val="22"/>
              <w:lang w:val="es-ES_tradnl" w:eastAsia="es-ES"/>
            </w:rPr>
            <w:t>b) De la respuesta del sujeto obligado ………………………………………………..……..20</w:t>
          </w:r>
        </w:p>
        <w:p w14:paraId="1950D407" w14:textId="208C3482" w:rsidR="00A566D9" w:rsidRPr="001515F0" w:rsidRDefault="00A566D9" w:rsidP="00A566D9">
          <w:pPr>
            <w:spacing w:line="360" w:lineRule="auto"/>
            <w:rPr>
              <w:rFonts w:ascii="Palatino Linotype" w:hAnsi="Palatino Linotype"/>
              <w:b/>
              <w:sz w:val="22"/>
              <w:szCs w:val="22"/>
              <w:lang w:val="es-ES_tradnl" w:eastAsia="es-ES"/>
            </w:rPr>
          </w:pPr>
          <w:r w:rsidRPr="001515F0">
            <w:rPr>
              <w:rFonts w:ascii="Palatino Linotype" w:hAnsi="Palatino Linotype"/>
              <w:b/>
              <w:sz w:val="22"/>
              <w:szCs w:val="22"/>
              <w:lang w:val="es-ES_tradnl" w:eastAsia="es-ES"/>
            </w:rPr>
            <w:t>c) De la fuente obligacional del sujeto obligado …………………………….……..……..25</w:t>
          </w:r>
        </w:p>
        <w:p w14:paraId="3DC72237" w14:textId="4EEEBE75" w:rsidR="008D0E93" w:rsidRPr="001515F0" w:rsidRDefault="008D0E93" w:rsidP="00A566D9">
          <w:pPr>
            <w:spacing w:line="360" w:lineRule="auto"/>
            <w:rPr>
              <w:rFonts w:ascii="Palatino Linotype" w:hAnsi="Palatino Linotype"/>
              <w:b/>
              <w:sz w:val="22"/>
              <w:szCs w:val="22"/>
              <w:lang w:val="es-ES_tradnl" w:eastAsia="es-ES"/>
            </w:rPr>
          </w:pPr>
          <w:r w:rsidRPr="001515F0">
            <w:rPr>
              <w:rFonts w:ascii="Palatino Linotype" w:hAnsi="Palatino Linotype"/>
              <w:b/>
              <w:sz w:val="22"/>
              <w:szCs w:val="22"/>
              <w:lang w:val="es-ES_tradnl" w:eastAsia="es-ES"/>
            </w:rPr>
            <w:t>SEXTO. De la Versión Pública ………………………………………………………………..30</w:t>
          </w:r>
        </w:p>
        <w:p w14:paraId="4CE2D387" w14:textId="77777777" w:rsidR="00A566D9" w:rsidRPr="001515F0" w:rsidRDefault="006C6012" w:rsidP="00A566D9">
          <w:pPr>
            <w:pStyle w:val="TDC1"/>
            <w:spacing w:line="360" w:lineRule="auto"/>
            <w:ind w:left="0"/>
            <w:rPr>
              <w:rFonts w:ascii="Palatino Linotype" w:hAnsi="Palatino Linotype"/>
              <w:b/>
              <w:noProof/>
              <w:sz w:val="22"/>
              <w:szCs w:val="22"/>
              <w:lang w:val="es-MX" w:eastAsia="es-MX"/>
            </w:rPr>
          </w:pPr>
          <w:hyperlink w:anchor="_Toc51262537" w:history="1">
            <w:r w:rsidR="00A566D9" w:rsidRPr="001515F0">
              <w:rPr>
                <w:rStyle w:val="Hipervnculo"/>
                <w:rFonts w:ascii="Palatino Linotype" w:eastAsia="Calibri" w:hAnsi="Palatino Linotype"/>
                <w:b/>
                <w:noProof/>
                <w:sz w:val="22"/>
                <w:szCs w:val="22"/>
                <w:lang w:val="es-ES"/>
              </w:rPr>
              <w:t>R E S O L U T I V O S</w:t>
            </w:r>
            <w:r w:rsidR="00A566D9" w:rsidRPr="001515F0">
              <w:rPr>
                <w:rFonts w:ascii="Palatino Linotype" w:hAnsi="Palatino Linotype"/>
                <w:b/>
                <w:noProof/>
                <w:webHidden/>
                <w:sz w:val="22"/>
                <w:szCs w:val="22"/>
              </w:rPr>
              <w:tab/>
            </w:r>
            <w:r w:rsidR="00A566D9" w:rsidRPr="001515F0">
              <w:rPr>
                <w:rFonts w:ascii="Palatino Linotype" w:hAnsi="Palatino Linotype"/>
                <w:b/>
                <w:noProof/>
                <w:webHidden/>
                <w:sz w:val="22"/>
                <w:szCs w:val="22"/>
              </w:rPr>
              <w:fldChar w:fldCharType="begin"/>
            </w:r>
            <w:r w:rsidR="00A566D9" w:rsidRPr="001515F0">
              <w:rPr>
                <w:rFonts w:ascii="Palatino Linotype" w:hAnsi="Palatino Linotype"/>
                <w:b/>
                <w:noProof/>
                <w:webHidden/>
                <w:sz w:val="22"/>
                <w:szCs w:val="22"/>
              </w:rPr>
              <w:instrText xml:space="preserve"> PAGEREF _Toc51262537 \h </w:instrText>
            </w:r>
            <w:r w:rsidR="00A566D9" w:rsidRPr="001515F0">
              <w:rPr>
                <w:rFonts w:ascii="Palatino Linotype" w:hAnsi="Palatino Linotype"/>
                <w:b/>
                <w:noProof/>
                <w:webHidden/>
                <w:sz w:val="22"/>
                <w:szCs w:val="22"/>
              </w:rPr>
            </w:r>
            <w:r w:rsidR="00A566D9" w:rsidRPr="001515F0">
              <w:rPr>
                <w:rFonts w:ascii="Palatino Linotype" w:hAnsi="Palatino Linotype"/>
                <w:b/>
                <w:noProof/>
                <w:webHidden/>
                <w:sz w:val="22"/>
                <w:szCs w:val="22"/>
              </w:rPr>
              <w:fldChar w:fldCharType="separate"/>
            </w:r>
            <w:r w:rsidR="00A566D9" w:rsidRPr="001515F0">
              <w:rPr>
                <w:rFonts w:ascii="Palatino Linotype" w:hAnsi="Palatino Linotype"/>
                <w:b/>
                <w:noProof/>
                <w:webHidden/>
                <w:sz w:val="22"/>
                <w:szCs w:val="22"/>
              </w:rPr>
              <w:t>35</w:t>
            </w:r>
            <w:r w:rsidR="00A566D9" w:rsidRPr="001515F0">
              <w:rPr>
                <w:rFonts w:ascii="Palatino Linotype" w:hAnsi="Palatino Linotype"/>
                <w:b/>
                <w:noProof/>
                <w:webHidden/>
                <w:sz w:val="22"/>
                <w:szCs w:val="22"/>
              </w:rPr>
              <w:fldChar w:fldCharType="end"/>
            </w:r>
          </w:hyperlink>
        </w:p>
        <w:p w14:paraId="34D9CAB8" w14:textId="77777777" w:rsidR="00A566D9" w:rsidRPr="001515F0" w:rsidRDefault="00A566D9" w:rsidP="00A566D9">
          <w:pPr>
            <w:spacing w:before="240" w:after="240" w:line="360" w:lineRule="auto"/>
            <w:jc w:val="both"/>
            <w:rPr>
              <w:rFonts w:ascii="Palatino Linotype" w:hAnsi="Palatino Linotype"/>
              <w:b/>
            </w:rPr>
          </w:pPr>
          <w:r w:rsidRPr="001515F0">
            <w:rPr>
              <w:rFonts w:ascii="Palatino Linotype" w:hAnsi="Palatino Linotype"/>
              <w:b/>
              <w:bCs/>
              <w:lang w:val="es-ES"/>
            </w:rPr>
            <w:fldChar w:fldCharType="end"/>
          </w:r>
        </w:p>
      </w:sdtContent>
    </w:sdt>
    <w:p w14:paraId="2242C52B" w14:textId="77777777" w:rsidR="00A566D9" w:rsidRPr="001515F0" w:rsidRDefault="00A566D9" w:rsidP="00A566D9">
      <w:pPr>
        <w:spacing w:before="240" w:after="240" w:line="360" w:lineRule="auto"/>
        <w:jc w:val="both"/>
        <w:rPr>
          <w:rFonts w:ascii="Palatino Linotype" w:hAnsi="Palatino Linotype"/>
        </w:rPr>
      </w:pPr>
    </w:p>
    <w:p w14:paraId="7692D1AB" w14:textId="77777777" w:rsidR="00A566D9" w:rsidRPr="001515F0" w:rsidRDefault="00A566D9" w:rsidP="00A566D9">
      <w:pPr>
        <w:spacing w:before="240" w:after="240" w:line="360" w:lineRule="auto"/>
        <w:jc w:val="both"/>
        <w:rPr>
          <w:rFonts w:ascii="Palatino Linotype" w:hAnsi="Palatino Linotype"/>
        </w:rPr>
      </w:pPr>
    </w:p>
    <w:p w14:paraId="79827F29" w14:textId="380D6678" w:rsidR="00A566D9" w:rsidRPr="001515F0" w:rsidRDefault="00A566D9" w:rsidP="00A566D9">
      <w:pPr>
        <w:spacing w:before="240" w:after="240" w:line="360" w:lineRule="auto"/>
        <w:jc w:val="both"/>
        <w:rPr>
          <w:rFonts w:ascii="Palatino Linotype" w:hAnsi="Palatino Linotype"/>
        </w:rPr>
      </w:pPr>
    </w:p>
    <w:p w14:paraId="7520ECDF" w14:textId="77777777" w:rsidR="008D0E93" w:rsidRPr="001515F0" w:rsidRDefault="008D0E93" w:rsidP="00A566D9">
      <w:pPr>
        <w:spacing w:before="240" w:after="240" w:line="360" w:lineRule="auto"/>
        <w:jc w:val="both"/>
        <w:rPr>
          <w:rFonts w:ascii="Palatino Linotype" w:hAnsi="Palatino Linotype"/>
        </w:rPr>
      </w:pPr>
    </w:p>
    <w:p w14:paraId="1E55336B" w14:textId="0672C76E" w:rsidR="00A566D9" w:rsidRPr="001515F0" w:rsidRDefault="00A566D9" w:rsidP="00E6537A">
      <w:pPr>
        <w:spacing w:before="240" w:after="240" w:line="360" w:lineRule="auto"/>
        <w:jc w:val="both"/>
        <w:rPr>
          <w:rFonts w:ascii="Palatino Linotype" w:hAnsi="Palatino Linotype"/>
        </w:rPr>
      </w:pPr>
      <w:r w:rsidRPr="001515F0">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E6537A" w:rsidRPr="001515F0">
        <w:rPr>
          <w:rFonts w:ascii="Palatino Linotype" w:hAnsi="Palatino Linotype"/>
        </w:rPr>
        <w:t xml:space="preserve">diecinueve </w:t>
      </w:r>
      <w:r w:rsidRPr="001515F0">
        <w:rPr>
          <w:rFonts w:ascii="Palatino Linotype" w:hAnsi="Palatino Linotype"/>
        </w:rPr>
        <w:t>(1</w:t>
      </w:r>
      <w:r w:rsidR="00E6537A" w:rsidRPr="001515F0">
        <w:rPr>
          <w:rFonts w:ascii="Palatino Linotype" w:hAnsi="Palatino Linotype"/>
        </w:rPr>
        <w:t>9</w:t>
      </w:r>
      <w:r w:rsidRPr="001515F0">
        <w:rPr>
          <w:rFonts w:ascii="Palatino Linotype" w:hAnsi="Palatino Linotype"/>
        </w:rPr>
        <w:t xml:space="preserve">) de </w:t>
      </w:r>
      <w:r w:rsidR="00E6537A" w:rsidRPr="001515F0">
        <w:rPr>
          <w:rFonts w:ascii="Palatino Linotype" w:hAnsi="Palatino Linotype"/>
        </w:rPr>
        <w:t>mayo de</w:t>
      </w:r>
      <w:r w:rsidRPr="001515F0">
        <w:rPr>
          <w:rFonts w:ascii="Palatino Linotype" w:hAnsi="Palatino Linotype"/>
        </w:rPr>
        <w:t xml:space="preserve"> dos mil veintiuno.</w:t>
      </w:r>
    </w:p>
    <w:p w14:paraId="45A25C86" w14:textId="602AB7DB" w:rsidR="00A566D9" w:rsidRPr="001515F0" w:rsidRDefault="00A566D9" w:rsidP="00E6537A">
      <w:pPr>
        <w:pStyle w:val="Encabezado"/>
        <w:spacing w:line="360" w:lineRule="auto"/>
        <w:jc w:val="both"/>
        <w:rPr>
          <w:rFonts w:ascii="Palatino Linotype" w:hAnsi="Palatino Linotype"/>
          <w:b/>
        </w:rPr>
      </w:pPr>
      <w:r w:rsidRPr="001515F0">
        <w:rPr>
          <w:rFonts w:ascii="Palatino Linotype" w:hAnsi="Palatino Linotype"/>
          <w:b/>
        </w:rPr>
        <w:t>VISTO</w:t>
      </w:r>
      <w:r w:rsidRPr="001515F0">
        <w:rPr>
          <w:rFonts w:ascii="Palatino Linotype" w:hAnsi="Palatino Linotype"/>
        </w:rPr>
        <w:t xml:space="preserve"> el expediente electrónico formado con motivo del recurso de revisión</w:t>
      </w:r>
      <w:r w:rsidRPr="001515F0">
        <w:rPr>
          <w:rFonts w:ascii="Palatino Linotype" w:hAnsi="Palatino Linotype"/>
          <w:b/>
          <w:color w:val="000000" w:themeColor="text1"/>
        </w:rPr>
        <w:t>,</w:t>
      </w:r>
      <w:r w:rsidRPr="001515F0">
        <w:rPr>
          <w:rFonts w:ascii="Palatino Linotype" w:hAnsi="Palatino Linotype" w:cs="Arial"/>
          <w:b/>
          <w:bCs/>
          <w:color w:val="000000" w:themeColor="text1"/>
        </w:rPr>
        <w:t xml:space="preserve"> </w:t>
      </w:r>
      <w:r w:rsidRPr="001515F0">
        <w:rPr>
          <w:rFonts w:ascii="Palatino Linotype" w:hAnsi="Palatino Linotype"/>
        </w:rPr>
        <w:t xml:space="preserve">promovido por </w:t>
      </w:r>
      <w:proofErr w:type="gramStart"/>
      <w:r w:rsidR="00563E1B" w:rsidRPr="00563E1B">
        <w:rPr>
          <w:rFonts w:ascii="Palatino Linotype" w:hAnsi="Palatino Linotype"/>
          <w:b/>
          <w:highlight w:val="black"/>
        </w:rPr>
        <w:t>------------------------------------</w:t>
      </w:r>
      <w:r w:rsidRPr="001515F0">
        <w:rPr>
          <w:rFonts w:ascii="Palatino Linotype" w:hAnsi="Palatino Linotype"/>
          <w:b/>
        </w:rPr>
        <w:t xml:space="preserve"> </w:t>
      </w:r>
      <w:r w:rsidRPr="001515F0">
        <w:rPr>
          <w:rFonts w:ascii="Palatino Linotype" w:hAnsi="Palatino Linotype"/>
        </w:rPr>
        <w:t>,</w:t>
      </w:r>
      <w:proofErr w:type="gramEnd"/>
      <w:r w:rsidRPr="001515F0">
        <w:rPr>
          <w:rFonts w:ascii="Palatino Linotype" w:hAnsi="Palatino Linotype"/>
        </w:rPr>
        <w:t xml:space="preserve"> a quien en lo sucesivo se le identificará como el</w:t>
      </w:r>
      <w:r w:rsidRPr="001515F0">
        <w:rPr>
          <w:rFonts w:ascii="Palatino Linotype" w:hAnsi="Palatino Linotype"/>
          <w:b/>
        </w:rPr>
        <w:t xml:space="preserve"> </w:t>
      </w:r>
      <w:r w:rsidRPr="001515F0">
        <w:rPr>
          <w:rFonts w:ascii="Palatino Linotype" w:hAnsi="Palatino Linotype" w:cs="Arial"/>
          <w:b/>
        </w:rPr>
        <w:t>RECURRENTE</w:t>
      </w:r>
      <w:r w:rsidRPr="001515F0">
        <w:rPr>
          <w:rFonts w:ascii="Palatino Linotype" w:hAnsi="Palatino Linotype" w:cs="Arial"/>
        </w:rPr>
        <w:t>, en contra de la respuesta de</w:t>
      </w:r>
      <w:r w:rsidR="00A130BB" w:rsidRPr="001515F0">
        <w:rPr>
          <w:rFonts w:ascii="Palatino Linotype" w:hAnsi="Palatino Linotype" w:cs="Arial"/>
        </w:rPr>
        <w:t xml:space="preserve">l </w:t>
      </w:r>
      <w:r w:rsidR="00A130BB" w:rsidRPr="001515F0">
        <w:rPr>
          <w:rFonts w:ascii="Palatino Linotype" w:hAnsi="Palatino Linotype"/>
          <w:b/>
        </w:rPr>
        <w:t>Ayuntamiento de Huixquilucan</w:t>
      </w:r>
      <w:r w:rsidRPr="001515F0">
        <w:rPr>
          <w:rFonts w:ascii="Palatino Linotype" w:hAnsi="Palatino Linotype" w:cs="Arial"/>
          <w:b/>
        </w:rPr>
        <w:t>,</w:t>
      </w:r>
      <w:r w:rsidRPr="001515F0">
        <w:rPr>
          <w:rFonts w:ascii="Palatino Linotype" w:hAnsi="Palatino Linotype"/>
          <w:b/>
        </w:rPr>
        <w:t xml:space="preserve"> </w:t>
      </w:r>
      <w:r w:rsidRPr="001515F0">
        <w:rPr>
          <w:rFonts w:ascii="Palatino Linotype" w:hAnsi="Palatino Linotype"/>
        </w:rPr>
        <w:t>en lo sucesivo el</w:t>
      </w:r>
      <w:r w:rsidRPr="001515F0">
        <w:rPr>
          <w:rFonts w:ascii="Palatino Linotype" w:hAnsi="Palatino Linotype"/>
          <w:b/>
        </w:rPr>
        <w:t xml:space="preserve"> SUJETO OBLIGADO; </w:t>
      </w:r>
      <w:r w:rsidRPr="001515F0">
        <w:rPr>
          <w:rFonts w:ascii="Palatino Linotype" w:hAnsi="Palatino Linotype"/>
        </w:rPr>
        <w:t xml:space="preserve">se procede a dictar la presente resolución, con base en los siguientes: </w:t>
      </w:r>
    </w:p>
    <w:p w14:paraId="00C4538E" w14:textId="77777777" w:rsidR="00A566D9" w:rsidRPr="001515F0" w:rsidRDefault="00A566D9" w:rsidP="00E6537A">
      <w:pPr>
        <w:pStyle w:val="Ttulo1"/>
        <w:spacing w:line="360" w:lineRule="auto"/>
        <w:jc w:val="center"/>
        <w:rPr>
          <w:b/>
          <w:szCs w:val="24"/>
        </w:rPr>
      </w:pPr>
      <w:bookmarkStart w:id="0" w:name="_Toc461555884"/>
      <w:bookmarkStart w:id="1" w:name="_Toc466371847"/>
      <w:bookmarkStart w:id="2" w:name="_Toc35535690"/>
      <w:r w:rsidRPr="001515F0">
        <w:rPr>
          <w:b/>
          <w:szCs w:val="24"/>
        </w:rPr>
        <w:t>ANTECEDENTES</w:t>
      </w:r>
      <w:bookmarkEnd w:id="0"/>
      <w:bookmarkEnd w:id="1"/>
      <w:bookmarkEnd w:id="2"/>
    </w:p>
    <w:p w14:paraId="06C61E05" w14:textId="586AD835" w:rsidR="00A566D9" w:rsidRPr="001515F0" w:rsidRDefault="00A566D9" w:rsidP="00A566D9">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1515F0">
        <w:rPr>
          <w:rFonts w:ascii="Palatino Linotype" w:eastAsia="Calibri" w:hAnsi="Palatino Linotype" w:cs="Arial"/>
          <w:lang w:val="es-ES"/>
        </w:rPr>
        <w:t xml:space="preserve">El día </w:t>
      </w:r>
      <w:r w:rsidR="00A130BB" w:rsidRPr="001515F0">
        <w:rPr>
          <w:rFonts w:ascii="Palatino Linotype" w:eastAsia="Calibri" w:hAnsi="Palatino Linotype" w:cs="Arial"/>
          <w:lang w:val="es-ES"/>
        </w:rPr>
        <w:t>primero</w:t>
      </w:r>
      <w:r w:rsidRPr="001515F0">
        <w:rPr>
          <w:rFonts w:ascii="Palatino Linotype" w:eastAsia="Calibri" w:hAnsi="Palatino Linotype" w:cs="Arial"/>
          <w:lang w:val="es-ES"/>
        </w:rPr>
        <w:t xml:space="preserve"> (</w:t>
      </w:r>
      <w:r w:rsidR="00A130BB" w:rsidRPr="001515F0">
        <w:rPr>
          <w:rFonts w:ascii="Palatino Linotype" w:eastAsia="Calibri" w:hAnsi="Palatino Linotype" w:cs="Arial"/>
          <w:lang w:val="es-ES"/>
        </w:rPr>
        <w:t>01</w:t>
      </w:r>
      <w:r w:rsidRPr="001515F0">
        <w:rPr>
          <w:rFonts w:ascii="Palatino Linotype" w:eastAsia="Calibri" w:hAnsi="Palatino Linotype" w:cs="Arial"/>
          <w:lang w:val="es-ES"/>
        </w:rPr>
        <w:t xml:space="preserve">) de </w:t>
      </w:r>
      <w:r w:rsidR="00A130BB" w:rsidRPr="001515F0">
        <w:rPr>
          <w:rFonts w:ascii="Palatino Linotype" w:eastAsia="Calibri" w:hAnsi="Palatino Linotype" w:cs="Arial"/>
          <w:lang w:val="es-ES"/>
        </w:rPr>
        <w:t>marzo</w:t>
      </w:r>
      <w:r w:rsidRPr="001515F0">
        <w:rPr>
          <w:rFonts w:ascii="Palatino Linotype" w:eastAsia="Calibri" w:hAnsi="Palatino Linotype" w:cs="Arial"/>
          <w:lang w:val="es-ES"/>
        </w:rPr>
        <w:t xml:space="preserve"> de dos mil veintiuno</w:t>
      </w:r>
      <w:r w:rsidRPr="001515F0">
        <w:rPr>
          <w:rFonts w:ascii="Palatino Linotype" w:hAnsi="Palatino Linotype"/>
          <w:b/>
        </w:rPr>
        <w:t xml:space="preserve">, </w:t>
      </w:r>
      <w:r w:rsidRPr="001515F0">
        <w:rPr>
          <w:rFonts w:ascii="Palatino Linotype" w:eastAsia="Calibri" w:hAnsi="Palatino Linotype" w:cs="Arial"/>
          <w:lang w:val="es-ES"/>
        </w:rPr>
        <w:t xml:space="preserve">se presentó ante el </w:t>
      </w:r>
      <w:r w:rsidRPr="001515F0">
        <w:rPr>
          <w:rFonts w:ascii="Palatino Linotype" w:eastAsia="Calibri" w:hAnsi="Palatino Linotype" w:cs="Arial"/>
          <w:b/>
          <w:lang w:val="es-ES"/>
        </w:rPr>
        <w:t>SUJETO OBLIGADO</w:t>
      </w:r>
      <w:r w:rsidRPr="001515F0">
        <w:rPr>
          <w:rFonts w:ascii="Palatino Linotype" w:eastAsia="Calibri" w:hAnsi="Palatino Linotype" w:cs="Arial"/>
        </w:rPr>
        <w:t xml:space="preserve"> vía </w:t>
      </w:r>
      <w:r w:rsidRPr="001515F0">
        <w:rPr>
          <w:rFonts w:ascii="Palatino Linotype" w:eastAsia="Calibri" w:hAnsi="Palatino Linotype" w:cs="Arial"/>
          <w:lang w:val="es-ES"/>
        </w:rPr>
        <w:t>SAIMEX, la solicitud de información pública registrada con el número</w:t>
      </w:r>
      <w:r w:rsidRPr="001515F0">
        <w:rPr>
          <w:rFonts w:ascii="Palatino Linotype" w:hAnsi="Palatino Linotype"/>
          <w:b/>
          <w:bCs/>
          <w:color w:val="FF0000"/>
        </w:rPr>
        <w:t xml:space="preserve"> </w:t>
      </w:r>
      <w:r w:rsidR="00A130BB" w:rsidRPr="001515F0">
        <w:rPr>
          <w:rFonts w:ascii="Palatino Linotype" w:hAnsi="Palatino Linotype"/>
          <w:b/>
          <w:bCs/>
          <w:color w:val="000000" w:themeColor="text1"/>
        </w:rPr>
        <w:t>00080/HUIXQUIL/IP/2021</w:t>
      </w:r>
      <w:r w:rsidRPr="001515F0">
        <w:rPr>
          <w:rFonts w:ascii="Verdana" w:hAnsi="Verdana"/>
          <w:b/>
          <w:bCs/>
          <w:color w:val="000000" w:themeColor="text1"/>
          <w:sz w:val="22"/>
          <w:szCs w:val="22"/>
        </w:rPr>
        <w:t xml:space="preserve"> </w:t>
      </w:r>
      <w:r w:rsidRPr="001515F0">
        <w:rPr>
          <w:rFonts w:ascii="Palatino Linotype" w:eastAsia="Calibri" w:hAnsi="Palatino Linotype" w:cs="Arial"/>
          <w:lang w:val="es-ES"/>
        </w:rPr>
        <w:t>mediante la cual se solicitó la siguiente información:</w:t>
      </w:r>
    </w:p>
    <w:p w14:paraId="797A5877" w14:textId="23E18392" w:rsidR="00A566D9" w:rsidRPr="001515F0" w:rsidRDefault="00A566D9" w:rsidP="00A566D9">
      <w:pPr>
        <w:spacing w:line="276" w:lineRule="auto"/>
        <w:ind w:left="630"/>
        <w:jc w:val="both"/>
        <w:rPr>
          <w:rFonts w:ascii="Palatino Linotype" w:hAnsi="Palatino Linotype"/>
          <w:b/>
          <w:i/>
        </w:rPr>
      </w:pPr>
      <w:r w:rsidRPr="001515F0">
        <w:rPr>
          <w:rFonts w:ascii="Palatino Linotype" w:eastAsia="Calibri" w:hAnsi="Palatino Linotype" w:cs="Arial"/>
          <w:lang w:val="es-ES"/>
        </w:rPr>
        <w:t>“</w:t>
      </w:r>
      <w:r w:rsidR="00A130BB" w:rsidRPr="001515F0">
        <w:rPr>
          <w:rFonts w:ascii="Palatino Linotype" w:hAnsi="Palatino Linotype"/>
          <w:i/>
          <w:iCs/>
          <w:color w:val="000000"/>
          <w:sz w:val="22"/>
          <w:szCs w:val="22"/>
        </w:rPr>
        <w:t xml:space="preserve">En la página de </w:t>
      </w:r>
      <w:proofErr w:type="spellStart"/>
      <w:r w:rsidR="00A130BB" w:rsidRPr="001515F0">
        <w:rPr>
          <w:rFonts w:ascii="Palatino Linotype" w:hAnsi="Palatino Linotype"/>
          <w:i/>
          <w:iCs/>
          <w:color w:val="000000"/>
          <w:sz w:val="22"/>
          <w:szCs w:val="22"/>
        </w:rPr>
        <w:t>ipomex</w:t>
      </w:r>
      <w:proofErr w:type="spellEnd"/>
      <w:r w:rsidR="00A130BB" w:rsidRPr="001515F0">
        <w:rPr>
          <w:rFonts w:ascii="Palatino Linotype" w:hAnsi="Palatino Linotype"/>
          <w:i/>
          <w:iCs/>
          <w:color w:val="000000"/>
          <w:sz w:val="22"/>
          <w:szCs w:val="22"/>
        </w:rPr>
        <w:t xml:space="preserve"> aparece su lista de inventario de bienes inmuebles, pero carece de todos los datos necesarios para su entendimiento, me pueden informar lo siguiente: 1. Cuáles son las medidas del terreno que refieren con el número progresivo “86” y que dice ser “baldío” con ubicación en “bosque palma de dátil”, 2. Cuáles son las medidas del terreno que refieren con el número progresivo “80” y que dice ser “baldío” con ubicación en “sobre Av. palo solo”, 3. Cuáles son las medidas del terreno que refieren con el número progresivo “60” y que dice ser “terreno” con ubicación en “paraje loma cebada”, 4. Cuáles son las claves catastrales de todos los inmuebles anteriores 5. Se me proporcione una versión pública de todos los documentos con los cuales se acredita la propiedad de todos los inmuebles referidos, 6. de igual </w:t>
      </w:r>
      <w:r w:rsidR="00A130BB" w:rsidRPr="001515F0">
        <w:rPr>
          <w:rFonts w:ascii="Palatino Linotype" w:hAnsi="Palatino Linotype"/>
          <w:i/>
          <w:iCs/>
          <w:color w:val="000000"/>
          <w:sz w:val="22"/>
          <w:szCs w:val="22"/>
        </w:rPr>
        <w:lastRenderedPageBreak/>
        <w:t>manera me proporcionen un croquis o plano manzanero en versión pública de dichos inmuebles 7. Me proporcionen fotografías del estado actual de todos los inmuebles mencionados</w:t>
      </w:r>
      <w:r w:rsidRPr="001515F0">
        <w:rPr>
          <w:rFonts w:ascii="Palatino Linotype" w:hAnsi="Palatino Linotype"/>
          <w:i/>
          <w:iCs/>
          <w:color w:val="000000"/>
        </w:rPr>
        <w:t>”</w:t>
      </w:r>
    </w:p>
    <w:p w14:paraId="65A0D0D7" w14:textId="77777777" w:rsidR="00A566D9" w:rsidRPr="001515F0" w:rsidRDefault="00A566D9" w:rsidP="00A566D9">
      <w:pPr>
        <w:spacing w:line="276" w:lineRule="auto"/>
        <w:ind w:left="630"/>
        <w:jc w:val="both"/>
        <w:rPr>
          <w:rFonts w:ascii="Palatino Linotype" w:hAnsi="Palatino Linotype"/>
          <w:b/>
          <w:i/>
        </w:rPr>
      </w:pPr>
    </w:p>
    <w:p w14:paraId="6578B739" w14:textId="77777777" w:rsidR="00A566D9" w:rsidRPr="001515F0" w:rsidRDefault="00A566D9" w:rsidP="00A566D9">
      <w:pPr>
        <w:pStyle w:val="Prrafodelista"/>
        <w:numPr>
          <w:ilvl w:val="0"/>
          <w:numId w:val="3"/>
        </w:numPr>
        <w:spacing w:line="360" w:lineRule="auto"/>
        <w:ind w:left="450" w:right="49"/>
        <w:jc w:val="both"/>
        <w:rPr>
          <w:rFonts w:ascii="Palatino Linotype" w:hAnsi="Palatino Linotype" w:cs="Arial"/>
          <w:i/>
          <w:color w:val="000000" w:themeColor="text1"/>
        </w:rPr>
      </w:pPr>
      <w:r w:rsidRPr="001515F0">
        <w:rPr>
          <w:rFonts w:ascii="Palatino Linotype" w:eastAsia="Times New Roman" w:hAnsi="Palatino Linotype" w:cs="Arial"/>
          <w:lang w:val="es-ES"/>
        </w:rPr>
        <w:t>Se eligió como modalidad de entrega de la información</w:t>
      </w:r>
      <w:r w:rsidRPr="001515F0">
        <w:rPr>
          <w:rFonts w:ascii="Palatino Linotype" w:hAnsi="Palatino Linotype"/>
        </w:rPr>
        <w:t>: A través del SAIMEX.</w:t>
      </w:r>
    </w:p>
    <w:p w14:paraId="6319EDDB" w14:textId="77777777" w:rsidR="00A566D9" w:rsidRPr="001515F0" w:rsidRDefault="00A566D9" w:rsidP="00A566D9">
      <w:pPr>
        <w:pStyle w:val="Prrafodelista"/>
        <w:spacing w:before="240" w:after="240" w:line="360" w:lineRule="auto"/>
        <w:ind w:left="0"/>
        <w:jc w:val="both"/>
        <w:rPr>
          <w:rFonts w:ascii="Palatino Linotype" w:eastAsia="Calibri" w:hAnsi="Palatino Linotype" w:cs="Arial"/>
          <w:lang w:val="es-ES"/>
        </w:rPr>
      </w:pPr>
    </w:p>
    <w:p w14:paraId="74C6D6D4" w14:textId="1EDECCEE" w:rsidR="00A566D9" w:rsidRPr="001515F0" w:rsidRDefault="00A566D9" w:rsidP="00A566D9">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1515F0">
        <w:rPr>
          <w:rFonts w:ascii="Palatino Linotype" w:hAnsi="Palatino Linotype" w:cs="Arial"/>
          <w:color w:val="000000" w:themeColor="text1"/>
        </w:rPr>
        <w:t xml:space="preserve">El día </w:t>
      </w:r>
      <w:r w:rsidR="0015137E" w:rsidRPr="001515F0">
        <w:rPr>
          <w:rFonts w:ascii="Palatino Linotype" w:hAnsi="Palatino Linotype" w:cs="Arial"/>
          <w:color w:val="000000" w:themeColor="text1"/>
        </w:rPr>
        <w:t>veinti</w:t>
      </w:r>
      <w:r w:rsidRPr="001515F0">
        <w:rPr>
          <w:rFonts w:ascii="Palatino Linotype" w:hAnsi="Palatino Linotype" w:cs="Arial"/>
          <w:color w:val="000000" w:themeColor="text1"/>
        </w:rPr>
        <w:t>cuatro  (</w:t>
      </w:r>
      <w:r w:rsidR="0015137E" w:rsidRPr="001515F0">
        <w:rPr>
          <w:rFonts w:ascii="Palatino Linotype" w:hAnsi="Palatino Linotype" w:cs="Arial"/>
          <w:color w:val="000000" w:themeColor="text1"/>
        </w:rPr>
        <w:t>2</w:t>
      </w:r>
      <w:r w:rsidRPr="001515F0">
        <w:rPr>
          <w:rFonts w:ascii="Palatino Linotype" w:hAnsi="Palatino Linotype" w:cs="Arial"/>
          <w:color w:val="000000" w:themeColor="text1"/>
        </w:rPr>
        <w:t xml:space="preserve">4) de marzo de dos mil veintiuno, el </w:t>
      </w:r>
      <w:r w:rsidRPr="001515F0">
        <w:rPr>
          <w:rFonts w:ascii="Palatino Linotype" w:hAnsi="Palatino Linotype" w:cs="Arial"/>
          <w:b/>
          <w:color w:val="000000" w:themeColor="text1"/>
        </w:rPr>
        <w:t>SUJETO OBLIGADO,</w:t>
      </w:r>
      <w:r w:rsidRPr="001515F0">
        <w:rPr>
          <w:rFonts w:ascii="Palatino Linotype" w:hAnsi="Palatino Linotype" w:cs="Arial"/>
          <w:color w:val="000000" w:themeColor="text1"/>
        </w:rPr>
        <w:t xml:space="preserve"> dio respuesta a la solicitud de información a través del </w:t>
      </w:r>
      <w:r w:rsidRPr="001515F0">
        <w:rPr>
          <w:rFonts w:ascii="Palatino Linotype" w:hAnsi="Palatino Linotype"/>
          <w:color w:val="000000"/>
        </w:rPr>
        <w:t>archivo electrónico denominado “</w:t>
      </w:r>
      <w:hyperlink r:id="rId7" w:tgtFrame="_blank" w:history="1">
        <w:r w:rsidR="0015137E" w:rsidRPr="001515F0">
          <w:rPr>
            <w:rStyle w:val="Hipervnculo"/>
            <w:rFonts w:ascii="Palatino Linotype" w:hAnsi="Palatino Linotype" w:cs="Arial"/>
            <w:b/>
            <w:bCs/>
            <w:i/>
            <w:iCs/>
            <w:color w:val="000000" w:themeColor="text1"/>
            <w:u w:val="none"/>
          </w:rPr>
          <w:t>OFICIO 060 PATRIMONIO.pdf</w:t>
        </w:r>
      </w:hyperlink>
      <w:r w:rsidRPr="001515F0">
        <w:rPr>
          <w:rFonts w:ascii="Palatino Linotype" w:hAnsi="Palatino Linotype"/>
          <w:color w:val="000000"/>
        </w:rPr>
        <w:t xml:space="preserve">”, cuyo contenido corresponde al oficio número </w:t>
      </w:r>
      <w:r w:rsidR="0015137E" w:rsidRPr="001515F0">
        <w:rPr>
          <w:rFonts w:ascii="Palatino Linotype" w:hAnsi="Palatino Linotype"/>
          <w:b/>
          <w:bCs/>
        </w:rPr>
        <w:t>SHA</w:t>
      </w:r>
      <w:r w:rsidRPr="001515F0">
        <w:rPr>
          <w:rFonts w:ascii="Palatino Linotype" w:hAnsi="Palatino Linotype"/>
          <w:b/>
          <w:bCs/>
        </w:rPr>
        <w:t>/</w:t>
      </w:r>
      <w:r w:rsidR="0015137E" w:rsidRPr="001515F0">
        <w:rPr>
          <w:rFonts w:ascii="Palatino Linotype" w:hAnsi="Palatino Linotype"/>
          <w:b/>
          <w:bCs/>
        </w:rPr>
        <w:t>DS-PM-060</w:t>
      </w:r>
      <w:r w:rsidRPr="001515F0">
        <w:rPr>
          <w:rFonts w:ascii="Palatino Linotype" w:hAnsi="Palatino Linotype"/>
          <w:b/>
          <w:bCs/>
        </w:rPr>
        <w:t>/2021</w:t>
      </w:r>
      <w:r w:rsidRPr="001515F0">
        <w:rPr>
          <w:rFonts w:ascii="Palatino Linotype" w:hAnsi="Palatino Linotype"/>
          <w:color w:val="000000"/>
        </w:rPr>
        <w:t xml:space="preserve">, de fecha </w:t>
      </w:r>
      <w:r w:rsidRPr="001515F0">
        <w:rPr>
          <w:rFonts w:ascii="Palatino Linotype" w:hAnsi="Palatino Linotype" w:cs="Arial"/>
          <w:color w:val="000000" w:themeColor="text1"/>
        </w:rPr>
        <w:t>dieci</w:t>
      </w:r>
      <w:r w:rsidR="0015137E" w:rsidRPr="001515F0">
        <w:rPr>
          <w:rFonts w:ascii="Palatino Linotype" w:hAnsi="Palatino Linotype" w:cs="Arial"/>
          <w:color w:val="000000" w:themeColor="text1"/>
        </w:rPr>
        <w:t>ocho</w:t>
      </w:r>
      <w:r w:rsidRPr="001515F0">
        <w:rPr>
          <w:rFonts w:ascii="Palatino Linotype" w:hAnsi="Palatino Linotype" w:cs="Arial"/>
          <w:color w:val="000000" w:themeColor="text1"/>
        </w:rPr>
        <w:t xml:space="preserve"> (1</w:t>
      </w:r>
      <w:r w:rsidR="0015137E" w:rsidRPr="001515F0">
        <w:rPr>
          <w:rFonts w:ascii="Palatino Linotype" w:hAnsi="Palatino Linotype" w:cs="Arial"/>
          <w:color w:val="000000" w:themeColor="text1"/>
        </w:rPr>
        <w:t>8</w:t>
      </w:r>
      <w:r w:rsidRPr="001515F0">
        <w:rPr>
          <w:rFonts w:ascii="Palatino Linotype" w:hAnsi="Palatino Linotype" w:cs="Arial"/>
          <w:color w:val="000000" w:themeColor="text1"/>
        </w:rPr>
        <w:t xml:space="preserve">) de </w:t>
      </w:r>
      <w:r w:rsidR="0015137E" w:rsidRPr="001515F0">
        <w:rPr>
          <w:rFonts w:ascii="Palatino Linotype" w:hAnsi="Palatino Linotype" w:cs="Arial"/>
          <w:color w:val="000000" w:themeColor="text1"/>
        </w:rPr>
        <w:t>marzo</w:t>
      </w:r>
      <w:r w:rsidRPr="001515F0">
        <w:rPr>
          <w:rFonts w:ascii="Palatino Linotype" w:hAnsi="Palatino Linotype" w:cs="Arial"/>
          <w:color w:val="000000" w:themeColor="text1"/>
        </w:rPr>
        <w:t xml:space="preserve"> de dos mil veintiuno</w:t>
      </w:r>
      <w:r w:rsidRPr="001515F0">
        <w:rPr>
          <w:rFonts w:ascii="Palatino Linotype" w:hAnsi="Palatino Linotype"/>
          <w:color w:val="000000"/>
        </w:rPr>
        <w:t xml:space="preserve">, suscrito por el </w:t>
      </w:r>
      <w:r w:rsidR="0015137E" w:rsidRPr="001515F0">
        <w:rPr>
          <w:rFonts w:ascii="Palatino Linotype" w:hAnsi="Palatino Linotype"/>
          <w:color w:val="000000"/>
        </w:rPr>
        <w:t>Jefe de Departamento de Patrimonio Municipal</w:t>
      </w:r>
      <w:r w:rsidRPr="001515F0">
        <w:rPr>
          <w:rFonts w:ascii="Palatino Linotype" w:hAnsi="Palatino Linotype"/>
          <w:color w:val="000000"/>
        </w:rPr>
        <w:t xml:space="preserve">, mediante el cual manifestó en su parte medular lo siguiente: </w:t>
      </w:r>
    </w:p>
    <w:p w14:paraId="6468815A" w14:textId="77777777" w:rsidR="00F92C71" w:rsidRPr="001515F0" w:rsidRDefault="00F92C71" w:rsidP="00F92C71">
      <w:pPr>
        <w:pStyle w:val="Prrafodelista"/>
        <w:spacing w:before="240" w:after="240" w:line="360" w:lineRule="auto"/>
        <w:ind w:left="0"/>
        <w:jc w:val="both"/>
        <w:rPr>
          <w:rFonts w:ascii="Palatino Linotype" w:eastAsia="Calibri" w:hAnsi="Palatino Linotype" w:cs="Arial"/>
          <w:lang w:val="es-ES"/>
        </w:rPr>
      </w:pPr>
    </w:p>
    <w:p w14:paraId="7520D80C" w14:textId="0B4A1081" w:rsidR="00AD6EEE" w:rsidRPr="001515F0" w:rsidRDefault="00A566D9" w:rsidP="008B504C">
      <w:pPr>
        <w:pStyle w:val="Prrafodelista"/>
        <w:spacing w:before="240" w:after="240" w:line="276" w:lineRule="auto"/>
        <w:ind w:left="810"/>
        <w:jc w:val="both"/>
        <w:rPr>
          <w:rFonts w:ascii="Palatino Linotype" w:hAnsi="Palatino Linotype" w:cs="Calibri"/>
          <w:i/>
        </w:rPr>
      </w:pPr>
      <w:proofErr w:type="gramStart"/>
      <w:r w:rsidRPr="001515F0">
        <w:rPr>
          <w:rFonts w:ascii="Palatino Linotype" w:hAnsi="Palatino Linotype"/>
          <w:i/>
          <w:color w:val="000000"/>
        </w:rPr>
        <w:t>“</w:t>
      </w:r>
      <w:r w:rsidRPr="001515F0">
        <w:rPr>
          <w:rFonts w:ascii="Palatino Linotype" w:hAnsi="Palatino Linotype" w:cs="Calibri"/>
          <w:i/>
        </w:rPr>
        <w:t xml:space="preserve"> …</w:t>
      </w:r>
      <w:proofErr w:type="gramEnd"/>
      <w:r w:rsidR="00AD6EEE" w:rsidRPr="001515F0">
        <w:rPr>
          <w:rFonts w:ascii="Palatino Linotype" w:hAnsi="Palatino Linotype" w:cs="Calibri"/>
          <w:i/>
        </w:rPr>
        <w:t xml:space="preserve">En la página del IPOMEX aparece el inventario de bienes </w:t>
      </w:r>
      <w:r w:rsidR="00F35285" w:rsidRPr="001515F0">
        <w:rPr>
          <w:rFonts w:ascii="Palatino Linotype" w:hAnsi="Palatino Linotype" w:cs="Calibri"/>
          <w:i/>
        </w:rPr>
        <w:t>inmuebles, mismos que carecen de datos necesarios para su atendimiento solicitando información de los predios identificados en el inventario general de bienes inmuebles con los números 60, 80 y 86.</w:t>
      </w:r>
    </w:p>
    <w:p w14:paraId="0B2C6EEA" w14:textId="3312D923" w:rsidR="00A566D9" w:rsidRPr="001515F0" w:rsidRDefault="008B504C" w:rsidP="008B504C">
      <w:pPr>
        <w:pStyle w:val="Prrafodelista"/>
        <w:spacing w:before="240" w:after="240" w:line="276" w:lineRule="auto"/>
        <w:ind w:left="810"/>
        <w:jc w:val="both"/>
        <w:rPr>
          <w:rFonts w:ascii="Palatino Linotype" w:eastAsia="Calibri" w:hAnsi="Palatino Linotype" w:cs="Arial"/>
          <w:lang w:val="es-ES"/>
        </w:rPr>
      </w:pPr>
      <w:r w:rsidRPr="001515F0">
        <w:rPr>
          <w:rFonts w:ascii="Palatino Linotype" w:hAnsi="Palatino Linotype"/>
          <w:i/>
          <w:iCs/>
        </w:rPr>
        <w:t xml:space="preserve">Respecto a los inmuebles que corresponden a el inventario publicado en la </w:t>
      </w:r>
      <w:proofErr w:type="spellStart"/>
      <w:r w:rsidRPr="001515F0">
        <w:rPr>
          <w:rFonts w:ascii="Palatino Linotype" w:hAnsi="Palatino Linotype"/>
          <w:i/>
          <w:iCs/>
        </w:rPr>
        <w:t>pagina</w:t>
      </w:r>
      <w:proofErr w:type="spellEnd"/>
      <w:r w:rsidRPr="001515F0">
        <w:rPr>
          <w:rFonts w:ascii="Palatino Linotype" w:hAnsi="Palatino Linotype"/>
          <w:i/>
          <w:iCs/>
        </w:rPr>
        <w:t xml:space="preserve"> de IPOMEX </w:t>
      </w:r>
      <w:hyperlink r:id="rId8" w:history="1">
        <w:r w:rsidRPr="001515F0">
          <w:rPr>
            <w:rStyle w:val="Hipervnculo"/>
            <w:rFonts w:ascii="Palatino Linotype" w:hAnsi="Palatino Linotype"/>
            <w:b/>
            <w:bCs/>
            <w:i/>
            <w:iCs/>
            <w:color w:val="000000" w:themeColor="text1"/>
          </w:rPr>
          <w:t>https://www.IPOMEX.org.mx/ipo3/lgt/indice/HUIXQUILUCAN/AR92xxxviiid.wed</w:t>
        </w:r>
      </w:hyperlink>
      <w:r w:rsidRPr="001515F0">
        <w:rPr>
          <w:rFonts w:ascii="Palatino Linotype" w:hAnsi="Palatino Linotype"/>
          <w:b/>
          <w:bCs/>
          <w:i/>
          <w:iCs/>
          <w:color w:val="000000" w:themeColor="text1"/>
        </w:rPr>
        <w:t xml:space="preserve">. </w:t>
      </w:r>
      <w:r w:rsidRPr="001515F0">
        <w:rPr>
          <w:rFonts w:ascii="Palatino Linotype" w:hAnsi="Palatino Linotype"/>
          <w:i/>
          <w:iCs/>
        </w:rPr>
        <w:t>y que señala con los números progresivos 60,80 y 86, hago de su conocimiento que no es posible entregar la información, toda vez que difiere con la información que se proporciona máxime que la ubicación que refiere corresponde a más de un inmueble</w:t>
      </w:r>
      <w:r w:rsidR="00A566D9" w:rsidRPr="001515F0">
        <w:rPr>
          <w:rFonts w:ascii="Palatino Linotype" w:hAnsi="Palatino Linotype" w:cs="Calibri"/>
          <w:i/>
          <w:iCs/>
        </w:rPr>
        <w:t xml:space="preserve"> ….(SIC.)</w:t>
      </w:r>
    </w:p>
    <w:p w14:paraId="42A7D010" w14:textId="77777777" w:rsidR="00A566D9" w:rsidRPr="001515F0" w:rsidRDefault="00A566D9" w:rsidP="00A566D9">
      <w:pPr>
        <w:autoSpaceDE w:val="0"/>
        <w:autoSpaceDN w:val="0"/>
        <w:adjustRightInd w:val="0"/>
        <w:spacing w:line="360" w:lineRule="auto"/>
        <w:jc w:val="both"/>
        <w:rPr>
          <w:rFonts w:ascii="Palatino Linotype" w:hAnsi="Palatino Linotype" w:cs="Calibri"/>
          <w:i/>
        </w:rPr>
      </w:pPr>
    </w:p>
    <w:p w14:paraId="3AE5D379" w14:textId="2474A5AF"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eastAsia="Times New Roman" w:hAnsi="Palatino Linotype" w:cs="Arial"/>
          <w:color w:val="000000" w:themeColor="text1"/>
          <w:lang w:val="es-ES"/>
        </w:rPr>
        <w:lastRenderedPageBreak/>
        <w:t xml:space="preserve">En fecha </w:t>
      </w:r>
      <w:r w:rsidR="00F35285" w:rsidRPr="001515F0">
        <w:rPr>
          <w:rFonts w:ascii="Palatino Linotype" w:eastAsia="Times New Roman" w:hAnsi="Palatino Linotype" w:cs="Arial"/>
          <w:color w:val="000000" w:themeColor="text1"/>
          <w:lang w:val="es-ES"/>
        </w:rPr>
        <w:t>veintiséis</w:t>
      </w:r>
      <w:r w:rsidRPr="001515F0">
        <w:rPr>
          <w:rFonts w:ascii="Palatino Linotype" w:eastAsia="Times New Roman" w:hAnsi="Palatino Linotype" w:cs="Arial"/>
          <w:color w:val="000000" w:themeColor="text1"/>
          <w:lang w:val="es-ES"/>
        </w:rPr>
        <w:t xml:space="preserve"> (2</w:t>
      </w:r>
      <w:r w:rsidR="00F35285" w:rsidRPr="001515F0">
        <w:rPr>
          <w:rFonts w:ascii="Palatino Linotype" w:eastAsia="Times New Roman" w:hAnsi="Palatino Linotype" w:cs="Arial"/>
          <w:color w:val="000000" w:themeColor="text1"/>
          <w:lang w:val="es-ES"/>
        </w:rPr>
        <w:t>6</w:t>
      </w:r>
      <w:r w:rsidRPr="001515F0">
        <w:rPr>
          <w:rFonts w:ascii="Palatino Linotype" w:eastAsia="Times New Roman" w:hAnsi="Palatino Linotype" w:cs="Arial"/>
          <w:color w:val="000000" w:themeColor="text1"/>
          <w:lang w:val="es-ES"/>
        </w:rPr>
        <w:t>) de marzo de dos mil veintiuno, el particular interpuso el recurso de revisión en contra de la respuesta, señalando como:</w:t>
      </w: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471908126"/>
      <w:bookmarkStart w:id="15" w:name="_Toc491791300"/>
      <w:bookmarkStart w:id="16" w:name="_Toc496726170"/>
      <w:bookmarkStart w:id="17" w:name="_Toc497242134"/>
      <w:bookmarkStart w:id="18" w:name="_Toc497292517"/>
      <w:bookmarkStart w:id="19" w:name="_Toc498503716"/>
      <w:bookmarkStart w:id="20" w:name="_Toc499568660"/>
      <w:bookmarkStart w:id="21" w:name="_Toc499568693"/>
      <w:bookmarkStart w:id="22" w:name="_Toc499665452"/>
      <w:bookmarkStart w:id="23" w:name="_Toc499729819"/>
      <w:bookmarkStart w:id="24" w:name="_Toc499835024"/>
      <w:bookmarkStart w:id="25" w:name="_Toc499835835"/>
      <w:bookmarkStart w:id="26" w:name="_Toc499835858"/>
      <w:bookmarkStart w:id="27" w:name="_Toc500264537"/>
      <w:bookmarkStart w:id="28" w:name="_Toc503290275"/>
      <w:bookmarkStart w:id="29" w:name="_Toc524009637"/>
      <w:bookmarkStart w:id="30" w:name="_Toc524009672"/>
      <w:bookmarkStart w:id="31" w:name="_Toc524602720"/>
      <w:bookmarkStart w:id="32" w:name="_Toc526365279"/>
      <w:bookmarkStart w:id="33" w:name="_Toc526365337"/>
      <w:bookmarkStart w:id="34" w:name="_Toc530067664"/>
      <w:bookmarkStart w:id="35" w:name="_Toc530067692"/>
      <w:bookmarkStart w:id="36" w:name="_Toc530067939"/>
      <w:bookmarkStart w:id="37" w:name="_Toc530590420"/>
      <w:bookmarkStart w:id="38" w:name="_Toc530593951"/>
      <w:bookmarkStart w:id="39" w:name="_Toc531190248"/>
      <w:bookmarkStart w:id="40" w:name="_Toc531190295"/>
      <w:bookmarkStart w:id="41" w:name="_Toc534908208"/>
      <w:bookmarkStart w:id="42" w:name="_Toc534909344"/>
      <w:bookmarkStart w:id="43" w:name="_Toc535353305"/>
      <w:bookmarkStart w:id="44" w:name="_Toc535353791"/>
      <w:bookmarkStart w:id="45" w:name="_Toc18436351"/>
      <w:bookmarkStart w:id="46" w:name="_Toc18436385"/>
      <w:bookmarkStart w:id="47" w:name="_Toc18513477"/>
      <w:bookmarkStart w:id="48" w:name="_Toc18513503"/>
      <w:bookmarkStart w:id="49" w:name="_Toc18606801"/>
      <w:bookmarkStart w:id="50" w:name="_Toc19723536"/>
      <w:bookmarkStart w:id="51" w:name="_Toc20322795"/>
      <w:bookmarkStart w:id="52" w:name="_Toc20323052"/>
      <w:bookmarkStart w:id="53" w:name="_Toc20323181"/>
      <w:bookmarkStart w:id="54" w:name="_Toc20420591"/>
      <w:bookmarkStart w:id="55" w:name="_Toc20421579"/>
      <w:bookmarkStart w:id="56" w:name="_Toc21027316"/>
      <w:bookmarkStart w:id="57" w:name="_Toc22660652"/>
      <w:bookmarkStart w:id="58" w:name="_Toc22811623"/>
      <w:bookmarkStart w:id="59" w:name="_Toc26436015"/>
    </w:p>
    <w:p w14:paraId="1DEEA4BF" w14:textId="77777777" w:rsidR="00A566D9" w:rsidRPr="001515F0" w:rsidRDefault="00A566D9" w:rsidP="00A566D9">
      <w:pPr>
        <w:pStyle w:val="Prrafodelista"/>
        <w:tabs>
          <w:tab w:val="left" w:pos="0"/>
        </w:tabs>
        <w:spacing w:line="360" w:lineRule="auto"/>
        <w:ind w:left="0" w:right="49"/>
        <w:jc w:val="both"/>
        <w:rPr>
          <w:rStyle w:val="Ttulo2Car"/>
          <w:rFonts w:ascii="Palatino Linotype" w:hAnsi="Palatino Linotype"/>
          <w:b/>
        </w:rPr>
      </w:pPr>
    </w:p>
    <w:p w14:paraId="6732FA6B" w14:textId="5CDEF498" w:rsidR="00A566D9" w:rsidRPr="001515F0" w:rsidRDefault="00A566D9" w:rsidP="00A566D9">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1515F0">
        <w:rPr>
          <w:rStyle w:val="Ttulo2Car"/>
          <w:rFonts w:ascii="Palatino Linotype" w:hAnsi="Palatino Linotype"/>
          <w:b/>
          <w:color w:val="000000" w:themeColor="text1"/>
        </w:rPr>
        <w:t>Acto impugnado</w:t>
      </w:r>
      <w:bookmarkEnd w:id="3"/>
      <w:r w:rsidRPr="001515F0">
        <w:rPr>
          <w:rStyle w:val="Ttulo2Car"/>
          <w:rFonts w:ascii="Palatino Linotype" w:hAnsi="Palatino Linotype"/>
          <w:b/>
          <w:color w:val="000000" w:themeColor="text1"/>
        </w:rPr>
        <w:t xml:space="preserve">: </w:t>
      </w:r>
      <w:r w:rsidRPr="001515F0">
        <w:rPr>
          <w:rStyle w:val="Ttulo2Car"/>
          <w:rFonts w:ascii="Palatino Linotype" w:hAnsi="Palatino Linotype"/>
          <w:i/>
          <w:color w:val="000000" w:themeColor="text1"/>
        </w:rPr>
        <w:t>“</w:t>
      </w:r>
      <w:bookmarkStart w:id="60" w:name="_Toc466982515"/>
      <w:bookmarkStart w:id="61" w:name="_Toc27589209"/>
      <w:bookmarkStart w:id="62" w:name="_Toc29395023"/>
      <w:bookmarkStart w:id="63" w:name="_Toc29481468"/>
      <w:bookmarkStart w:id="64" w:name="_Toc33113912"/>
      <w:bookmarkStart w:id="65" w:name="_Toc33643060"/>
      <w:bookmarkStart w:id="66" w:name="_Toc33724992"/>
      <w:bookmarkStart w:id="67" w:name="_Toc33726435"/>
      <w:bookmarkStart w:id="68" w:name="_Toc34157663"/>
      <w:bookmarkStart w:id="69" w:name="_Toc35003616"/>
      <w:bookmarkStart w:id="70" w:name="_Toc35535692"/>
      <w:bookmarkStart w:id="71" w:name="_Toc471908127"/>
      <w:bookmarkStart w:id="72" w:name="_Toc491791301"/>
      <w:bookmarkStart w:id="73" w:name="_Toc496726171"/>
      <w:bookmarkStart w:id="74" w:name="_Toc497242135"/>
      <w:bookmarkStart w:id="75" w:name="_Toc497292518"/>
      <w:bookmarkStart w:id="76" w:name="_Toc498503717"/>
      <w:bookmarkStart w:id="77" w:name="_Toc499568661"/>
      <w:bookmarkStart w:id="78" w:name="_Toc499568694"/>
      <w:bookmarkStart w:id="79" w:name="_Toc499665453"/>
      <w:bookmarkStart w:id="80" w:name="_Toc499729820"/>
      <w:bookmarkStart w:id="81" w:name="_Toc499835025"/>
      <w:bookmarkStart w:id="82" w:name="_Toc499835836"/>
      <w:bookmarkStart w:id="83" w:name="_Toc499835859"/>
      <w:bookmarkStart w:id="84" w:name="_Toc500264538"/>
      <w:bookmarkStart w:id="85" w:name="_Toc503290276"/>
      <w:bookmarkStart w:id="86" w:name="_Toc524009638"/>
      <w:bookmarkStart w:id="87" w:name="_Toc524009673"/>
      <w:bookmarkStart w:id="88" w:name="_Toc524602721"/>
      <w:bookmarkStart w:id="89" w:name="_Toc526365280"/>
      <w:bookmarkStart w:id="90" w:name="_Toc526365338"/>
      <w:bookmarkStart w:id="91" w:name="_Toc530067665"/>
      <w:bookmarkStart w:id="92" w:name="_Toc530067693"/>
      <w:bookmarkStart w:id="93" w:name="_Toc530067940"/>
      <w:bookmarkStart w:id="94" w:name="_Toc530590421"/>
      <w:bookmarkStart w:id="95" w:name="_Toc530593952"/>
      <w:bookmarkStart w:id="96" w:name="_Toc531190249"/>
      <w:bookmarkStart w:id="97" w:name="_Toc531190296"/>
      <w:bookmarkStart w:id="98" w:name="_Toc534908209"/>
      <w:bookmarkStart w:id="99" w:name="_Toc534909345"/>
      <w:bookmarkStart w:id="100" w:name="_Toc535353306"/>
      <w:bookmarkStart w:id="101" w:name="_Toc535353792"/>
      <w:bookmarkStart w:id="102" w:name="_Toc18436352"/>
      <w:bookmarkStart w:id="103" w:name="_Toc18436386"/>
      <w:bookmarkStart w:id="104" w:name="_Toc18513478"/>
      <w:bookmarkStart w:id="105" w:name="_Toc18513504"/>
      <w:bookmarkStart w:id="106" w:name="_Toc18606802"/>
      <w:bookmarkStart w:id="107" w:name="_Toc19723537"/>
      <w:bookmarkStart w:id="108" w:name="_Toc20322796"/>
      <w:bookmarkStart w:id="109" w:name="_Toc20323053"/>
      <w:bookmarkStart w:id="110" w:name="_Toc20323182"/>
      <w:bookmarkStart w:id="111" w:name="_Toc20420592"/>
      <w:bookmarkStart w:id="112" w:name="_Toc20421580"/>
      <w:bookmarkStart w:id="113" w:name="_Toc21027317"/>
      <w:bookmarkStart w:id="114" w:name="_Toc22660653"/>
      <w:bookmarkStart w:id="115" w:name="_Toc22811624"/>
      <w:bookmarkStart w:id="116" w:name="_Toc26436016"/>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F35285" w:rsidRPr="001515F0">
        <w:rPr>
          <w:rFonts w:ascii="Palatino Linotype" w:hAnsi="Palatino Linotype"/>
          <w:i/>
          <w:iCs/>
          <w:color w:val="000000"/>
        </w:rPr>
        <w:t>La respuesta incongruente que me dieron al negarme totalmente la información solicitada</w:t>
      </w:r>
      <w:r w:rsidRPr="001515F0">
        <w:rPr>
          <w:rFonts w:ascii="Palatino Linotype" w:hAnsi="Palatino Linotype"/>
          <w:i/>
          <w:iCs/>
          <w:color w:val="000000"/>
        </w:rPr>
        <w:t>.”</w:t>
      </w:r>
    </w:p>
    <w:p w14:paraId="29BDBC34" w14:textId="6C93F541" w:rsidR="00A566D9" w:rsidRPr="001515F0" w:rsidRDefault="00A566D9" w:rsidP="00A566D9">
      <w:pPr>
        <w:pStyle w:val="Prrafodelista"/>
        <w:numPr>
          <w:ilvl w:val="0"/>
          <w:numId w:val="2"/>
        </w:numPr>
        <w:tabs>
          <w:tab w:val="left" w:pos="0"/>
        </w:tabs>
        <w:spacing w:line="360" w:lineRule="auto"/>
        <w:ind w:right="49"/>
        <w:jc w:val="both"/>
        <w:rPr>
          <w:rFonts w:ascii="Palatino Linotype" w:hAnsi="Palatino Linotype" w:cs="Arial"/>
          <w:i/>
          <w:color w:val="000000" w:themeColor="text1"/>
        </w:rPr>
      </w:pPr>
      <w:r w:rsidRPr="001515F0">
        <w:rPr>
          <w:rStyle w:val="Ttulo2Car"/>
          <w:rFonts w:ascii="Palatino Linotype" w:hAnsi="Palatino Linotype"/>
          <w:b/>
          <w:color w:val="000000" w:themeColor="text1"/>
        </w:rPr>
        <w:t>Razones o Motivos de inconformidad:</w:t>
      </w:r>
      <w:bookmarkEnd w:id="60"/>
      <w:r w:rsidRPr="001515F0">
        <w:rPr>
          <w:rFonts w:ascii="Palatino Linotype" w:hAnsi="Palatino Linotype"/>
          <w:b/>
          <w:color w:val="000000" w:themeColor="text1"/>
        </w:rPr>
        <w:t xml:space="preserve"> </w:t>
      </w:r>
      <w:r w:rsidRPr="001515F0">
        <w:rPr>
          <w:rFonts w:ascii="Palatino Linotype" w:hAnsi="Palatino Linotype"/>
          <w:i/>
          <w:color w:val="000000" w:themeColor="text1"/>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00F35285" w:rsidRPr="001515F0">
        <w:rPr>
          <w:rFonts w:ascii="Palatino Linotype" w:hAnsi="Palatino Linotype"/>
          <w:i/>
          <w:iCs/>
          <w:color w:val="000000"/>
        </w:rPr>
        <w:t>Solicite la información relativa a los datos de identificación de diversos inmuebles que aparecen registrados como propiedad del municipio, y para lo cual exprese y especifique cuáles eran los datos que requería en su versión pública, pero de manera incongruente el municipio me responde lo siguiente: “No es posible entregar la información solicitada, toda vez que difiere con la información que proporciona el solicitante, máxime que la ubicación que refiere corresponde a más de un inmueble” Dicha respuesta no es congruente con mi petición, puesto que yo si proporcione los datos de tres inmuebles por lo que estaban obligados a entregarme la respuesta de esos tres inmuebles. Por otra parte dicen que la información que proporcione “difiere”, pero no me especifican en que “difiere”, pues debe decirse que desde el inicio yo especifiqué que esa información la obtuve de su propio inventario de bienes inmuebles publicado en la página de “</w:t>
      </w:r>
      <w:proofErr w:type="spellStart"/>
      <w:r w:rsidR="00F35285" w:rsidRPr="001515F0">
        <w:rPr>
          <w:rFonts w:ascii="Palatino Linotype" w:hAnsi="Palatino Linotype"/>
          <w:i/>
          <w:iCs/>
          <w:color w:val="000000"/>
        </w:rPr>
        <w:t>ipomex</w:t>
      </w:r>
      <w:proofErr w:type="spellEnd"/>
      <w:r w:rsidR="00F35285" w:rsidRPr="001515F0">
        <w:rPr>
          <w:rFonts w:ascii="Palatino Linotype" w:hAnsi="Palatino Linotype"/>
          <w:i/>
          <w:iCs/>
          <w:color w:val="000000"/>
        </w:rPr>
        <w:t xml:space="preserve">” por lo que no puede ser posible que “difieran” cuando son sus propios datos publicados en dicha página. Por ello considero que si se debe obligar al municipio a entregarme la información que pedí, puesto que el inventario de bienes inmuebles resulta un documento público, pero cómo lo manifesté desde mi solicitud, en relación a los tres inmuebles referidos en mi solicitud, no se contiene la totalidad de los datos </w:t>
      </w:r>
      <w:r w:rsidR="00F35285" w:rsidRPr="001515F0">
        <w:rPr>
          <w:rFonts w:ascii="Palatino Linotype" w:hAnsi="Palatino Linotype"/>
          <w:i/>
          <w:iCs/>
          <w:color w:val="000000"/>
        </w:rPr>
        <w:lastRenderedPageBreak/>
        <w:t xml:space="preserve">que permitan su identificación, y son precisamente estos datos los que se </w:t>
      </w:r>
      <w:proofErr w:type="spellStart"/>
      <w:r w:rsidR="00F35285" w:rsidRPr="001515F0">
        <w:rPr>
          <w:rFonts w:ascii="Palatino Linotype" w:hAnsi="Palatino Linotype"/>
          <w:i/>
          <w:iCs/>
          <w:color w:val="000000"/>
        </w:rPr>
        <w:t>solicito</w:t>
      </w:r>
      <w:proofErr w:type="spellEnd"/>
      <w:r w:rsidR="00F35285" w:rsidRPr="001515F0">
        <w:rPr>
          <w:rFonts w:ascii="Palatino Linotype" w:hAnsi="Palatino Linotype"/>
          <w:i/>
          <w:iCs/>
          <w:color w:val="000000"/>
        </w:rPr>
        <w:t xml:space="preserve"> en versión pública</w:t>
      </w:r>
      <w:r w:rsidR="00F35285" w:rsidRPr="001515F0">
        <w:rPr>
          <w:rFonts w:ascii="Verdana" w:hAnsi="Verdana"/>
          <w:color w:val="000000"/>
          <w:sz w:val="14"/>
          <w:szCs w:val="14"/>
        </w:rPr>
        <w:t>.</w:t>
      </w:r>
      <w:r w:rsidRPr="001515F0">
        <w:rPr>
          <w:rFonts w:ascii="Palatino Linotype" w:hAnsi="Palatino Linotype"/>
          <w:i/>
          <w:color w:val="000000"/>
        </w:rPr>
        <w:t>”</w:t>
      </w:r>
    </w:p>
    <w:p w14:paraId="6EE9EEDB" w14:textId="77777777" w:rsidR="00A566D9" w:rsidRPr="001515F0" w:rsidRDefault="00A566D9" w:rsidP="00A566D9">
      <w:pPr>
        <w:rPr>
          <w:rStyle w:val="Ttulo2Car"/>
          <w:rFonts w:ascii="Palatino Linotype" w:hAnsi="Palatino Linotype"/>
          <w:b/>
          <w:color w:val="000000" w:themeColor="text1"/>
        </w:rPr>
      </w:pPr>
    </w:p>
    <w:p w14:paraId="1F7D2AD7" w14:textId="77777777"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cs="Arial"/>
          <w:bCs/>
        </w:rPr>
        <w:t xml:space="preserve">Con fundamento en lo dispuesto por el </w:t>
      </w:r>
      <w:r w:rsidRPr="001515F0">
        <w:rPr>
          <w:rFonts w:ascii="Palatino Linotype" w:eastAsia="Calibri" w:hAnsi="Palatino Linotype" w:cs="Arial"/>
          <w:lang w:val="es-ES"/>
        </w:rPr>
        <w:t xml:space="preserve">artículo 185 fracción I de la </w:t>
      </w:r>
      <w:r w:rsidRPr="001515F0">
        <w:rPr>
          <w:rFonts w:ascii="Palatino Linotype" w:eastAsia="Calibri" w:hAnsi="Palatino Linotype" w:cs="Arial"/>
          <w:b/>
          <w:lang w:val="es-ES"/>
        </w:rPr>
        <w:t xml:space="preserve">Ley de Transparencia y Acceso a la Información Pública del Estado de México y Municipios </w:t>
      </w:r>
      <w:r w:rsidRPr="001515F0">
        <w:rPr>
          <w:rFonts w:ascii="Palatino Linotype" w:eastAsia="Calibri" w:hAnsi="Palatino Linotype" w:cs="Arial"/>
          <w:lang w:val="es-ES"/>
        </w:rPr>
        <w:t xml:space="preserve">el recurso de revisión </w:t>
      </w:r>
      <w:r w:rsidRPr="001515F0">
        <w:rPr>
          <w:rFonts w:ascii="Palatino Linotype" w:hAnsi="Palatino Linotype" w:cs="Arial"/>
          <w:lang w:val="es-ES"/>
        </w:rPr>
        <w:t xml:space="preserve">se turnó al </w:t>
      </w:r>
      <w:r w:rsidRPr="001515F0">
        <w:rPr>
          <w:rFonts w:ascii="Palatino Linotype" w:hAnsi="Palatino Linotype" w:cs="Arial"/>
          <w:b/>
          <w:lang w:val="es-ES"/>
        </w:rPr>
        <w:t xml:space="preserve">Comisionado José Guadalupe Luna Hernández, </w:t>
      </w:r>
      <w:r w:rsidRPr="001515F0">
        <w:rPr>
          <w:rFonts w:ascii="Palatino Linotype" w:hAnsi="Palatino Linotype" w:cs="Arial"/>
          <w:lang w:val="es-ES"/>
        </w:rPr>
        <w:t xml:space="preserve">con el objeto de </w:t>
      </w:r>
      <w:r w:rsidRPr="001515F0">
        <w:rPr>
          <w:rFonts w:ascii="Palatino Linotype" w:hAnsi="Palatino Linotype" w:cs="Arial"/>
        </w:rPr>
        <w:t>su análisis.</w:t>
      </w:r>
    </w:p>
    <w:p w14:paraId="1FE14782" w14:textId="77777777" w:rsidR="00A566D9" w:rsidRPr="001515F0" w:rsidRDefault="00A566D9" w:rsidP="00A566D9">
      <w:pPr>
        <w:pStyle w:val="Prrafodelista"/>
        <w:tabs>
          <w:tab w:val="left" w:pos="0"/>
        </w:tabs>
        <w:spacing w:line="360" w:lineRule="auto"/>
        <w:ind w:left="0" w:right="49"/>
        <w:jc w:val="both"/>
        <w:rPr>
          <w:rFonts w:ascii="Palatino Linotype" w:hAnsi="Palatino Linotype" w:cs="Arial"/>
          <w:i/>
          <w:color w:val="000000" w:themeColor="text1"/>
        </w:rPr>
      </w:pPr>
    </w:p>
    <w:p w14:paraId="2081120E" w14:textId="1C86DCB7" w:rsidR="00A566D9" w:rsidRPr="001515F0" w:rsidRDefault="00A566D9" w:rsidP="00A566D9">
      <w:pPr>
        <w:pStyle w:val="Prrafodelista"/>
        <w:numPr>
          <w:ilvl w:val="0"/>
          <w:numId w:val="1"/>
        </w:numPr>
        <w:spacing w:before="240" w:after="240" w:line="360" w:lineRule="auto"/>
        <w:ind w:left="0" w:firstLine="0"/>
        <w:jc w:val="both"/>
        <w:rPr>
          <w:rFonts w:ascii="Palatino Linotype" w:hAnsi="Palatino Linotype"/>
          <w:i/>
        </w:rPr>
      </w:pPr>
      <w:r w:rsidRPr="001515F0">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F35285" w:rsidRPr="001515F0">
        <w:rPr>
          <w:rFonts w:ascii="Palatino Linotype" w:eastAsia="Calibri" w:hAnsi="Palatino Linotype" w:cs="Arial"/>
          <w:lang w:val="es-ES"/>
        </w:rPr>
        <w:t>seis</w:t>
      </w:r>
      <w:r w:rsidRPr="001515F0">
        <w:rPr>
          <w:rFonts w:ascii="Palatino Linotype" w:eastAsia="Calibri" w:hAnsi="Palatino Linotype" w:cs="Arial"/>
          <w:lang w:val="es-ES"/>
        </w:rPr>
        <w:t xml:space="preserve">  (</w:t>
      </w:r>
      <w:r w:rsidR="00F35285" w:rsidRPr="001515F0">
        <w:rPr>
          <w:rFonts w:ascii="Palatino Linotype" w:eastAsia="Calibri" w:hAnsi="Palatino Linotype" w:cs="Arial"/>
          <w:lang w:val="es-ES"/>
        </w:rPr>
        <w:t>06</w:t>
      </w:r>
      <w:r w:rsidRPr="001515F0">
        <w:rPr>
          <w:rFonts w:ascii="Palatino Linotype" w:eastAsia="Calibri" w:hAnsi="Palatino Linotype" w:cs="Arial"/>
          <w:lang w:val="es-ES"/>
        </w:rPr>
        <w:t xml:space="preserve">) de </w:t>
      </w:r>
      <w:r w:rsidR="00F35285" w:rsidRPr="001515F0">
        <w:rPr>
          <w:rFonts w:ascii="Palatino Linotype" w:eastAsia="Calibri" w:hAnsi="Palatino Linotype" w:cs="Arial"/>
          <w:lang w:val="es-ES"/>
        </w:rPr>
        <w:t>abril</w:t>
      </w:r>
      <w:r w:rsidRPr="001515F0">
        <w:rPr>
          <w:rFonts w:ascii="Palatino Linotype" w:eastAsia="Calibri" w:hAnsi="Palatino Linotype" w:cs="Arial"/>
          <w:lang w:val="es-ES"/>
        </w:rPr>
        <w:t xml:space="preserve"> de dos mil veintiuno, puso a disposición de las partes el expediente electrónico </w:t>
      </w:r>
      <w:r w:rsidRPr="001515F0">
        <w:rPr>
          <w:rFonts w:ascii="Palatino Linotype" w:eastAsia="Calibri" w:hAnsi="Palatino Linotype" w:cs="Arial"/>
        </w:rPr>
        <w:t xml:space="preserve">vía </w:t>
      </w:r>
      <w:r w:rsidRPr="001515F0">
        <w:rPr>
          <w:rFonts w:ascii="Palatino Linotype" w:eastAsia="Calibri" w:hAnsi="Palatino Linotype" w:cs="Arial"/>
          <w:b/>
          <w:lang w:val="es-ES"/>
        </w:rPr>
        <w:t xml:space="preserve">SAIMEX </w:t>
      </w:r>
      <w:r w:rsidRPr="001515F0">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Pr="001515F0">
        <w:rPr>
          <w:rFonts w:ascii="Palatino Linotype" w:eastAsia="Calibri" w:hAnsi="Palatino Linotype" w:cs="Arial"/>
          <w:b/>
          <w:lang w:val="es-ES"/>
        </w:rPr>
        <w:t>SUJETO OBLIGADO</w:t>
      </w:r>
      <w:r w:rsidRPr="001515F0">
        <w:rPr>
          <w:rFonts w:ascii="Palatino Linotype" w:eastAsia="Calibri" w:hAnsi="Palatino Linotype" w:cs="Arial"/>
          <w:lang w:val="es-ES"/>
        </w:rPr>
        <w:t xml:space="preserve"> presentará el Informe Justificado procedente.</w:t>
      </w:r>
    </w:p>
    <w:p w14:paraId="129E7609" w14:textId="77777777" w:rsidR="00A566D9" w:rsidRPr="001515F0" w:rsidRDefault="00A566D9" w:rsidP="00A566D9">
      <w:pPr>
        <w:pStyle w:val="Prrafodelista"/>
        <w:spacing w:before="240" w:after="240" w:line="360" w:lineRule="auto"/>
        <w:ind w:left="0"/>
        <w:jc w:val="both"/>
        <w:rPr>
          <w:rFonts w:ascii="Palatino Linotype" w:hAnsi="Palatino Linotype"/>
          <w:i/>
        </w:rPr>
      </w:pPr>
    </w:p>
    <w:p w14:paraId="03B83832" w14:textId="3AC2B032" w:rsidR="000C5D11" w:rsidRPr="001515F0" w:rsidRDefault="00A566D9" w:rsidP="00A566D9">
      <w:pPr>
        <w:pStyle w:val="Prrafodelista"/>
        <w:numPr>
          <w:ilvl w:val="0"/>
          <w:numId w:val="1"/>
        </w:numPr>
        <w:spacing w:before="240" w:after="240" w:line="360" w:lineRule="auto"/>
        <w:ind w:left="0" w:firstLine="0"/>
        <w:jc w:val="both"/>
        <w:rPr>
          <w:noProof/>
        </w:rPr>
      </w:pPr>
      <w:r w:rsidRPr="001515F0">
        <w:rPr>
          <w:rFonts w:ascii="Palatino Linotype" w:hAnsi="Palatino Linotype"/>
        </w:rPr>
        <w:t xml:space="preserve">El </w:t>
      </w:r>
      <w:r w:rsidRPr="001515F0">
        <w:rPr>
          <w:rFonts w:ascii="Palatino Linotype" w:hAnsi="Palatino Linotype"/>
          <w:b/>
        </w:rPr>
        <w:t xml:space="preserve">SUJETO OBLIGADO </w:t>
      </w:r>
      <w:r w:rsidRPr="001515F0">
        <w:rPr>
          <w:rFonts w:ascii="Palatino Linotype" w:hAnsi="Palatino Linotype"/>
          <w:bCs/>
        </w:rPr>
        <w:t xml:space="preserve">en fecha </w:t>
      </w:r>
      <w:r w:rsidR="00571345" w:rsidRPr="001515F0">
        <w:rPr>
          <w:rFonts w:ascii="Palatino Linotype" w:hAnsi="Palatino Linotype"/>
          <w:bCs/>
        </w:rPr>
        <w:t>dieci</w:t>
      </w:r>
      <w:r w:rsidRPr="001515F0">
        <w:rPr>
          <w:rFonts w:ascii="Palatino Linotype" w:hAnsi="Palatino Linotype"/>
          <w:bCs/>
        </w:rPr>
        <w:t>nueve (</w:t>
      </w:r>
      <w:r w:rsidR="00571345" w:rsidRPr="001515F0">
        <w:rPr>
          <w:rFonts w:ascii="Palatino Linotype" w:hAnsi="Palatino Linotype"/>
          <w:bCs/>
        </w:rPr>
        <w:t>19</w:t>
      </w:r>
      <w:r w:rsidRPr="001515F0">
        <w:rPr>
          <w:rFonts w:ascii="Palatino Linotype" w:hAnsi="Palatino Linotype"/>
          <w:bCs/>
        </w:rPr>
        <w:t xml:space="preserve">) </w:t>
      </w:r>
      <w:r w:rsidR="00571345" w:rsidRPr="001515F0">
        <w:rPr>
          <w:rFonts w:ascii="Palatino Linotype" w:hAnsi="Palatino Linotype"/>
          <w:bCs/>
        </w:rPr>
        <w:t>abril</w:t>
      </w:r>
      <w:r w:rsidRPr="001515F0">
        <w:rPr>
          <w:rFonts w:ascii="Palatino Linotype" w:hAnsi="Palatino Linotype"/>
          <w:bCs/>
        </w:rPr>
        <w:t xml:space="preserve"> de dos mil veintiuno, rindió informe Justificado a través del archivo electrónico denominado </w:t>
      </w:r>
      <w:r w:rsidRPr="001515F0">
        <w:rPr>
          <w:rFonts w:ascii="Palatino Linotype" w:hAnsi="Palatino Linotype"/>
          <w:b/>
          <w:i/>
          <w:iCs/>
        </w:rPr>
        <w:t>“</w:t>
      </w:r>
      <w:r w:rsidR="000C5D11" w:rsidRPr="001515F0">
        <w:rPr>
          <w:rFonts w:ascii="Palatino Linotype" w:hAnsi="Palatino Linotype"/>
          <w:b/>
          <w:i/>
          <w:iCs/>
        </w:rPr>
        <w:t xml:space="preserve">Recurso de revisión Inventario </w:t>
      </w:r>
      <w:r w:rsidR="00571345" w:rsidRPr="001515F0">
        <w:rPr>
          <w:rFonts w:ascii="Palatino Linotype" w:hAnsi="Palatino Linotype"/>
          <w:b/>
          <w:i/>
          <w:iCs/>
        </w:rPr>
        <w:t>01463.pdf</w:t>
      </w:r>
      <w:r w:rsidRPr="001515F0">
        <w:rPr>
          <w:rFonts w:ascii="Palatino Linotype" w:hAnsi="Palatino Linotype"/>
          <w:b/>
          <w:i/>
          <w:iCs/>
          <w:color w:val="000000" w:themeColor="text1"/>
        </w:rPr>
        <w:t>”</w:t>
      </w:r>
      <w:r w:rsidRPr="001515F0">
        <w:rPr>
          <w:rFonts w:ascii="Palatino Linotype" w:hAnsi="Palatino Linotype"/>
          <w:b/>
          <w:bCs/>
          <w:color w:val="000000" w:themeColor="text1"/>
        </w:rPr>
        <w:t xml:space="preserve">, </w:t>
      </w:r>
      <w:r w:rsidRPr="001515F0">
        <w:rPr>
          <w:rFonts w:ascii="Palatino Linotype" w:hAnsi="Palatino Linotype"/>
          <w:color w:val="000000" w:themeColor="text1"/>
        </w:rPr>
        <w:t>constante de d</w:t>
      </w:r>
      <w:r w:rsidR="004D4DFF" w:rsidRPr="001515F0">
        <w:rPr>
          <w:rFonts w:ascii="Palatino Linotype" w:hAnsi="Palatino Linotype"/>
          <w:color w:val="000000" w:themeColor="text1"/>
        </w:rPr>
        <w:t>iez</w:t>
      </w:r>
      <w:r w:rsidRPr="001515F0">
        <w:rPr>
          <w:rFonts w:ascii="Palatino Linotype" w:hAnsi="Palatino Linotype"/>
          <w:color w:val="000000" w:themeColor="text1"/>
        </w:rPr>
        <w:t xml:space="preserve"> (</w:t>
      </w:r>
      <w:r w:rsidR="004D4DFF" w:rsidRPr="001515F0">
        <w:rPr>
          <w:rFonts w:ascii="Palatino Linotype" w:hAnsi="Palatino Linotype"/>
          <w:color w:val="000000" w:themeColor="text1"/>
        </w:rPr>
        <w:t>10</w:t>
      </w:r>
      <w:r w:rsidRPr="001515F0">
        <w:rPr>
          <w:rFonts w:ascii="Palatino Linotype" w:hAnsi="Palatino Linotype"/>
          <w:color w:val="000000" w:themeColor="text1"/>
        </w:rPr>
        <w:t xml:space="preserve">) fojas, cuyo contenido corresponde al oficio número </w:t>
      </w:r>
      <w:r w:rsidR="00571345" w:rsidRPr="001515F0">
        <w:rPr>
          <w:rFonts w:ascii="Palatino Linotype" w:hAnsi="Palatino Linotype"/>
          <w:b/>
          <w:bCs/>
        </w:rPr>
        <w:t xml:space="preserve">SHA/DS-PM-060/2021 </w:t>
      </w:r>
      <w:r w:rsidRPr="001515F0">
        <w:rPr>
          <w:rFonts w:ascii="Palatino Linotype" w:hAnsi="Palatino Linotype"/>
          <w:bCs/>
        </w:rPr>
        <w:t xml:space="preserve">de fecha </w:t>
      </w:r>
      <w:r w:rsidR="000C5D11" w:rsidRPr="001515F0">
        <w:rPr>
          <w:rFonts w:ascii="Palatino Linotype" w:hAnsi="Palatino Linotype"/>
          <w:bCs/>
        </w:rPr>
        <w:t>doce</w:t>
      </w:r>
      <w:r w:rsidRPr="001515F0">
        <w:rPr>
          <w:rFonts w:ascii="Palatino Linotype" w:hAnsi="Palatino Linotype"/>
          <w:bCs/>
        </w:rPr>
        <w:t xml:space="preserve"> (</w:t>
      </w:r>
      <w:r w:rsidR="000C5D11" w:rsidRPr="001515F0">
        <w:rPr>
          <w:rFonts w:ascii="Palatino Linotype" w:hAnsi="Palatino Linotype"/>
          <w:bCs/>
        </w:rPr>
        <w:t>12</w:t>
      </w:r>
      <w:r w:rsidRPr="001515F0">
        <w:rPr>
          <w:rFonts w:ascii="Palatino Linotype" w:hAnsi="Palatino Linotype"/>
          <w:bCs/>
        </w:rPr>
        <w:t xml:space="preserve">)  de dos mil veintiuno, suscrito por el </w:t>
      </w:r>
      <w:r w:rsidR="004D4DFF" w:rsidRPr="001515F0">
        <w:rPr>
          <w:rFonts w:ascii="Palatino Linotype" w:hAnsi="Palatino Linotype"/>
          <w:bCs/>
        </w:rPr>
        <w:t>Secretario del Ayuntamiento de Huixquilucan</w:t>
      </w:r>
      <w:r w:rsidRPr="001515F0">
        <w:rPr>
          <w:rFonts w:ascii="Palatino Linotype" w:hAnsi="Palatino Linotype"/>
        </w:rPr>
        <w:t>, el cual se omite su inserción por ser del conocimiento de las partes</w:t>
      </w:r>
      <w:r w:rsidR="000C5D11" w:rsidRPr="001515F0">
        <w:rPr>
          <w:rFonts w:ascii="Palatino Linotype" w:hAnsi="Palatino Linotype"/>
        </w:rPr>
        <w:t xml:space="preserve">, en el cual medularmente </w:t>
      </w:r>
      <w:r w:rsidR="004D4DFF" w:rsidRPr="001515F0">
        <w:rPr>
          <w:rFonts w:ascii="Palatino Linotype" w:hAnsi="Palatino Linotype"/>
        </w:rPr>
        <w:t>manifestó</w:t>
      </w:r>
      <w:r w:rsidR="000C5D11" w:rsidRPr="001515F0">
        <w:rPr>
          <w:rFonts w:ascii="Palatino Linotype" w:hAnsi="Palatino Linotype"/>
        </w:rPr>
        <w:t xml:space="preserve"> lo siguiente.</w:t>
      </w:r>
    </w:p>
    <w:p w14:paraId="67627F0D" w14:textId="6605BA40" w:rsidR="004D4DFF" w:rsidRPr="001515F0" w:rsidRDefault="004D4DFF" w:rsidP="00F92C71">
      <w:pPr>
        <w:pStyle w:val="Prrafodelista"/>
        <w:spacing w:before="240" w:after="240" w:line="276" w:lineRule="auto"/>
        <w:ind w:left="810"/>
        <w:jc w:val="both"/>
        <w:rPr>
          <w:rFonts w:ascii="Palatino Linotype" w:hAnsi="Palatino Linotype"/>
          <w:i/>
          <w:iCs/>
        </w:rPr>
      </w:pPr>
      <w:r w:rsidRPr="001515F0">
        <w:rPr>
          <w:rFonts w:ascii="Palatino Linotype" w:hAnsi="Palatino Linotype"/>
          <w:i/>
          <w:iCs/>
        </w:rPr>
        <w:lastRenderedPageBreak/>
        <w:t xml:space="preserve">“Cabe señalar que el Inventario de Bienes Inmuebles está debidamente publicado en la página de Información Pública de Oficio de los Sujetos Obligados del Estado de México y Municipios, consultable en la siguiente liga electrónica </w:t>
      </w:r>
      <w:hyperlink r:id="rId9" w:history="1">
        <w:r w:rsidRPr="001515F0">
          <w:rPr>
            <w:rStyle w:val="Hipervnculo"/>
            <w:rFonts w:ascii="Palatino Linotype" w:hAnsi="Palatino Linotype"/>
            <w:i/>
            <w:iCs/>
          </w:rPr>
          <w:t>https://www.ipomex.org.mx/ipo3/lgt/indice/HUIXQUILUCAN/art_92_xxxviii_d.web</w:t>
        </w:r>
      </w:hyperlink>
      <w:r w:rsidRPr="001515F0">
        <w:rPr>
          <w:rFonts w:ascii="Palatino Linotype" w:hAnsi="Palatino Linotype"/>
          <w:i/>
          <w:iCs/>
        </w:rPr>
        <w:t>.</w:t>
      </w:r>
    </w:p>
    <w:p w14:paraId="5539CF88" w14:textId="77777777" w:rsidR="00F92C71" w:rsidRPr="001515F0" w:rsidRDefault="00F92C71" w:rsidP="00F92C71">
      <w:pPr>
        <w:pStyle w:val="Prrafodelista"/>
        <w:spacing w:before="240" w:after="240" w:line="276" w:lineRule="auto"/>
        <w:ind w:left="810"/>
        <w:jc w:val="both"/>
        <w:rPr>
          <w:rFonts w:ascii="Palatino Linotype" w:hAnsi="Palatino Linotype"/>
          <w:i/>
          <w:iCs/>
        </w:rPr>
      </w:pPr>
    </w:p>
    <w:p w14:paraId="6074EC84" w14:textId="5A4647B5" w:rsidR="004D4DFF" w:rsidRPr="001515F0" w:rsidRDefault="000C5D11" w:rsidP="00F92C71">
      <w:pPr>
        <w:pStyle w:val="Prrafodelista"/>
        <w:spacing w:before="240" w:after="240" w:line="276" w:lineRule="auto"/>
        <w:ind w:left="810"/>
        <w:jc w:val="both"/>
        <w:rPr>
          <w:rFonts w:ascii="Palatino Linotype" w:hAnsi="Palatino Linotype"/>
          <w:i/>
          <w:iCs/>
        </w:rPr>
      </w:pPr>
      <w:r w:rsidRPr="001515F0">
        <w:rPr>
          <w:rFonts w:ascii="Palatino Linotype" w:hAnsi="Palatino Linotype"/>
          <w:i/>
          <w:iCs/>
        </w:rPr>
        <w:t>Dicha relación cuenta con los siguientes datos por cada uno de los inmuebles: Ejercicio, Fecha de inicio del periodo que se informa ( formato: "</w:t>
      </w:r>
      <w:proofErr w:type="spellStart"/>
      <w:r w:rsidRPr="001515F0">
        <w:rPr>
          <w:rFonts w:ascii="Palatino Linotype" w:hAnsi="Palatino Linotype"/>
          <w:i/>
          <w:iCs/>
        </w:rPr>
        <w:t>dd</w:t>
      </w:r>
      <w:proofErr w:type="spellEnd"/>
      <w:r w:rsidRPr="001515F0">
        <w:rPr>
          <w:rFonts w:ascii="Palatino Linotype" w:hAnsi="Palatino Linotype"/>
          <w:i/>
          <w:iCs/>
        </w:rPr>
        <w:t>/mm/</w:t>
      </w:r>
      <w:proofErr w:type="spellStart"/>
      <w:r w:rsidRPr="001515F0">
        <w:rPr>
          <w:rFonts w:ascii="Palatino Linotype" w:hAnsi="Palatino Linotype"/>
          <w:i/>
          <w:iCs/>
        </w:rPr>
        <w:t>aaaa</w:t>
      </w:r>
      <w:proofErr w:type="spellEnd"/>
      <w:r w:rsidRPr="001515F0">
        <w:rPr>
          <w:rFonts w:ascii="Palatino Linotype" w:hAnsi="Palatino Linotype"/>
          <w:i/>
          <w:iCs/>
        </w:rPr>
        <w:t>" ), Fecha de término del periodo que se informa ( formato: "</w:t>
      </w:r>
      <w:proofErr w:type="spellStart"/>
      <w:r w:rsidRPr="001515F0">
        <w:rPr>
          <w:rFonts w:ascii="Palatino Linotype" w:hAnsi="Palatino Linotype"/>
          <w:i/>
          <w:iCs/>
        </w:rPr>
        <w:t>dd</w:t>
      </w:r>
      <w:proofErr w:type="spellEnd"/>
      <w:r w:rsidRPr="001515F0">
        <w:rPr>
          <w:rFonts w:ascii="Palatino Linotype" w:hAnsi="Palatino Linotype"/>
          <w:i/>
          <w:iCs/>
        </w:rPr>
        <w:t>/mm/</w:t>
      </w:r>
      <w:proofErr w:type="spellStart"/>
      <w:r w:rsidRPr="001515F0">
        <w:rPr>
          <w:rFonts w:ascii="Palatino Linotype" w:hAnsi="Palatino Linotype"/>
          <w:i/>
          <w:iCs/>
        </w:rPr>
        <w:t>aaaa</w:t>
      </w:r>
      <w:proofErr w:type="spellEnd"/>
      <w:r w:rsidRPr="001515F0">
        <w:rPr>
          <w:rFonts w:ascii="Palatino Linotype" w:hAnsi="Palatino Linotype"/>
          <w:i/>
          <w:iCs/>
        </w:rPr>
        <w:t xml:space="preserve">" ), Denominación del inmueble, en su caso, Institución a cargo del inmueble, Domicilio del inmueble: Tipo de vialidad, atención: Domicilio del inmueble: Tipo de vialidad en caso de elegir OTRO llenar este campo, Domicilio del inmueble: Nombre de vialidad, Domicilio del inmueble: Número exterior, Domicilio del inmueble: Número interior, Domicilio del inmueble: Tipo de asentamiento ,atención: Domicilio del inmueble: Tipo de asentamiento en caso de elegir OTRO llenar este campo, Domicilio del inmueble: Nombre del asentamiento humano, Domicilio del inmueble: Nombre de la entidad federativa, Domicilio del inmueble: Nombre del municipio, Domicilio del inmueble: Nombre de localidad, Domicilio del inmueble: Código postal, Domicilio del inmueble: País del domicilio en el extranjero, en su caso, Domicilio del inmueble: Ciudad del domicilio en el extranjero, en su caso, Domicilio del inmueble: Calle del domicilio en el extranjero, en su caso, Domicilio del inmueble: Número del domicilio en el extranjero, en su caso, Uso del inmueble, Operación que da origen a la propiedad o posesión del inmueble, Valor catastral o último avalúo del inmueble, Títulos por el que se acredite la propiedad o posesión del inmueble, Hipervínculo Sistema de información Inmobiliaria, Área de adscripción de la persona responsable del inmueble, Área(s) responsable(s) que genera(n), posee(n), publica(n) y actualizan la información, Fecha de validación, Naturaleza del inmueble: urbana o rústica, Carácter del Monumento, Tipo de inmueble, Fecha de actualización, y finalmente Nota. </w:t>
      </w:r>
    </w:p>
    <w:p w14:paraId="6422EDAA" w14:textId="25DB7A03" w:rsidR="00A566D9" w:rsidRPr="001515F0" w:rsidRDefault="000C5D11" w:rsidP="00F92C71">
      <w:pPr>
        <w:pStyle w:val="Prrafodelista"/>
        <w:spacing w:before="240" w:after="240" w:line="276" w:lineRule="auto"/>
        <w:ind w:left="810"/>
        <w:jc w:val="both"/>
        <w:rPr>
          <w:rFonts w:ascii="Palatino Linotype" w:hAnsi="Palatino Linotype"/>
          <w:i/>
          <w:iCs/>
        </w:rPr>
      </w:pPr>
      <w:r w:rsidRPr="001515F0">
        <w:rPr>
          <w:rFonts w:ascii="Palatino Linotype" w:hAnsi="Palatino Linotype"/>
          <w:i/>
          <w:iCs/>
        </w:rPr>
        <w:lastRenderedPageBreak/>
        <w:t>Por lo que no es loable decir que dicha publicación del inventario de bienes inmuebles carece de los datos necesarios para su entendimiento, tal como lo señala el recurrente en su solicitud de origen, por el contrario, se ha proporcionado la mayor información posible con apego a los Lineamientos Técnicos Generales para la Publicación, Homologación y Estandarización de la Información de las Obligaciones Establecidas en el Título Quinto y en la Fracción IV del Artículo 1 de la Ley General de Transparencia y Acceso a la Información Pública, que deben de difundir los Sujetos Obligados en los portales de internet.</w:t>
      </w:r>
    </w:p>
    <w:p w14:paraId="6FE48440" w14:textId="77777777" w:rsidR="00F92C71" w:rsidRPr="001515F0" w:rsidRDefault="00F92C71" w:rsidP="00F92C71">
      <w:pPr>
        <w:pStyle w:val="Prrafodelista"/>
        <w:spacing w:before="240" w:after="240" w:line="276" w:lineRule="auto"/>
        <w:ind w:left="810"/>
        <w:jc w:val="both"/>
        <w:rPr>
          <w:rFonts w:ascii="Palatino Linotype" w:hAnsi="Palatino Linotype"/>
          <w:i/>
          <w:iCs/>
        </w:rPr>
      </w:pPr>
    </w:p>
    <w:p w14:paraId="50CC77B8" w14:textId="2CB2902D" w:rsidR="004D4DFF" w:rsidRPr="001515F0" w:rsidRDefault="004D4DFF" w:rsidP="00F92C71">
      <w:pPr>
        <w:pStyle w:val="Prrafodelista"/>
        <w:spacing w:before="240" w:after="240" w:line="276" w:lineRule="auto"/>
        <w:ind w:left="810"/>
        <w:jc w:val="both"/>
        <w:rPr>
          <w:rFonts w:ascii="Palatino Linotype" w:hAnsi="Palatino Linotype"/>
          <w:i/>
          <w:iCs/>
        </w:rPr>
      </w:pPr>
      <w:r w:rsidRPr="001515F0">
        <w:rPr>
          <w:rFonts w:ascii="Palatino Linotype" w:hAnsi="Palatino Linotype"/>
          <w:i/>
          <w:iCs/>
        </w:rPr>
        <w:t xml:space="preserve">No obstante, pese a que el inventario de bienes inmuebles publicado en la liga electrónica ya referida anteriormente, cuenta con todos los datos para la identificación de los inmuebles, el hoy recurrente se </w:t>
      </w:r>
      <w:proofErr w:type="spellStart"/>
      <w:r w:rsidRPr="001515F0">
        <w:rPr>
          <w:rFonts w:ascii="Palatino Linotype" w:hAnsi="Palatino Linotype"/>
          <w:i/>
          <w:iCs/>
        </w:rPr>
        <w:t>limito</w:t>
      </w:r>
      <w:proofErr w:type="spellEnd"/>
      <w:r w:rsidRPr="001515F0">
        <w:rPr>
          <w:rFonts w:ascii="Palatino Linotype" w:hAnsi="Palatino Linotype"/>
          <w:i/>
          <w:iCs/>
        </w:rPr>
        <w:t xml:space="preserve"> solo a proporcionar los siguientes datos para su búsqueda: -Número progresivo “86” y que dice ser “baldío” con ubicación en “bosque palma de dátil”. </w:t>
      </w:r>
    </w:p>
    <w:p w14:paraId="5951CAD0" w14:textId="77777777" w:rsidR="00F92C71" w:rsidRPr="001515F0" w:rsidRDefault="00F92C71" w:rsidP="00F92C71">
      <w:pPr>
        <w:pStyle w:val="Prrafodelista"/>
        <w:spacing w:before="240" w:after="240" w:line="276" w:lineRule="auto"/>
        <w:ind w:left="810"/>
        <w:jc w:val="both"/>
        <w:rPr>
          <w:rFonts w:ascii="Palatino Linotype" w:hAnsi="Palatino Linotype"/>
          <w:i/>
          <w:iCs/>
        </w:rPr>
      </w:pPr>
    </w:p>
    <w:p w14:paraId="5790B64A" w14:textId="31DE7DCE" w:rsidR="004D4DFF" w:rsidRPr="001515F0" w:rsidRDefault="004D4DFF" w:rsidP="00F92C71">
      <w:pPr>
        <w:pStyle w:val="Prrafodelista"/>
        <w:spacing w:before="240" w:after="240" w:line="276" w:lineRule="auto"/>
        <w:ind w:left="810"/>
        <w:jc w:val="both"/>
        <w:rPr>
          <w:rFonts w:ascii="Palatino Linotype" w:hAnsi="Palatino Linotype"/>
          <w:i/>
          <w:iCs/>
        </w:rPr>
      </w:pPr>
      <w:r w:rsidRPr="001515F0">
        <w:rPr>
          <w:rFonts w:ascii="Palatino Linotype" w:hAnsi="Palatino Linotype"/>
          <w:i/>
          <w:iCs/>
        </w:rPr>
        <w:t xml:space="preserve">Terreno que refieren con el número progresivo “80” y que dice ser “baldío” con ubicación en “sobre Av. palo solo”. </w:t>
      </w:r>
    </w:p>
    <w:p w14:paraId="3F8D256C" w14:textId="77777777" w:rsidR="00F92C71" w:rsidRPr="001515F0" w:rsidRDefault="00F92C71" w:rsidP="00F92C71">
      <w:pPr>
        <w:pStyle w:val="Prrafodelista"/>
        <w:spacing w:before="240" w:after="240" w:line="276" w:lineRule="auto"/>
        <w:ind w:left="810"/>
        <w:jc w:val="both"/>
        <w:rPr>
          <w:rFonts w:ascii="Palatino Linotype" w:hAnsi="Palatino Linotype"/>
          <w:i/>
          <w:iCs/>
        </w:rPr>
      </w:pPr>
    </w:p>
    <w:p w14:paraId="6386273D" w14:textId="24E1750E" w:rsidR="004D4DFF" w:rsidRPr="001515F0" w:rsidRDefault="004D4DFF" w:rsidP="00F92C71">
      <w:pPr>
        <w:pStyle w:val="Prrafodelista"/>
        <w:spacing w:before="240" w:after="240" w:line="276" w:lineRule="auto"/>
        <w:ind w:left="810"/>
        <w:jc w:val="both"/>
        <w:rPr>
          <w:rFonts w:ascii="Palatino Linotype" w:hAnsi="Palatino Linotype"/>
          <w:i/>
          <w:iCs/>
        </w:rPr>
      </w:pPr>
      <w:r w:rsidRPr="001515F0">
        <w:rPr>
          <w:rFonts w:ascii="Palatino Linotype" w:hAnsi="Palatino Linotype"/>
          <w:i/>
          <w:iCs/>
        </w:rPr>
        <w:t>Terreno que refieren con el número progresivo “60” y que dice ser “terreno” con ubicación en “paraje loma cebada. En este orden de ideas, se realizó la búsqueda en primer lugar por número progresivo del inventario de bienes inmuebles, tal como lo pidió el hoy recurrente en su solicitud de origen.</w:t>
      </w:r>
    </w:p>
    <w:p w14:paraId="7854653C" w14:textId="77777777" w:rsidR="00F92C71" w:rsidRPr="001515F0" w:rsidRDefault="00F92C71" w:rsidP="00F92C71">
      <w:pPr>
        <w:pStyle w:val="Prrafodelista"/>
        <w:spacing w:before="240" w:after="240" w:line="276" w:lineRule="auto"/>
        <w:ind w:left="810"/>
        <w:jc w:val="both"/>
        <w:rPr>
          <w:rFonts w:ascii="Palatino Linotype" w:hAnsi="Palatino Linotype"/>
          <w:i/>
          <w:iCs/>
        </w:rPr>
      </w:pPr>
    </w:p>
    <w:p w14:paraId="29958FF8" w14:textId="6D0AE25E" w:rsidR="004D4DFF" w:rsidRPr="001515F0" w:rsidRDefault="004D4DFF" w:rsidP="00F92C71">
      <w:pPr>
        <w:pStyle w:val="Prrafodelista"/>
        <w:spacing w:before="240" w:after="240" w:line="276" w:lineRule="auto"/>
        <w:ind w:left="810"/>
        <w:jc w:val="both"/>
        <w:rPr>
          <w:rFonts w:ascii="Palatino Linotype" w:hAnsi="Palatino Linotype"/>
          <w:i/>
          <w:iCs/>
        </w:rPr>
      </w:pPr>
      <w:r w:rsidRPr="001515F0">
        <w:rPr>
          <w:rFonts w:ascii="Palatino Linotype" w:hAnsi="Palatino Linotype"/>
          <w:i/>
          <w:iCs/>
        </w:rPr>
        <w:t xml:space="preserve">Si observamos el número progresivo 86 del inventario publicado de bienes inmuebles, podemos apreciar que no coincide la información de este número progresivo con la información que proporciona el solicitante, ya que este número progresivo corresponde a la Comunidad de Santa Cruz </w:t>
      </w:r>
      <w:proofErr w:type="spellStart"/>
      <w:r w:rsidRPr="001515F0">
        <w:rPr>
          <w:rFonts w:ascii="Palatino Linotype" w:hAnsi="Palatino Linotype"/>
          <w:i/>
          <w:iCs/>
        </w:rPr>
        <w:t>Ayotuxco</w:t>
      </w:r>
      <w:proofErr w:type="spellEnd"/>
      <w:r w:rsidRPr="001515F0">
        <w:rPr>
          <w:rFonts w:ascii="Palatino Linotype" w:hAnsi="Palatino Linotype"/>
          <w:i/>
          <w:iCs/>
        </w:rPr>
        <w:t>, Cerrada de los Cedros sobre Av. Principal.</w:t>
      </w:r>
    </w:p>
    <w:p w14:paraId="559B32F9" w14:textId="52ED27BD" w:rsidR="004D4DFF" w:rsidRPr="001515F0" w:rsidRDefault="004D4DFF" w:rsidP="00F92C71">
      <w:pPr>
        <w:pStyle w:val="Prrafodelista"/>
        <w:spacing w:before="240" w:after="240" w:line="276" w:lineRule="auto"/>
        <w:ind w:left="810"/>
        <w:jc w:val="both"/>
        <w:rPr>
          <w:rFonts w:ascii="Palatino Linotype" w:hAnsi="Palatino Linotype"/>
          <w:i/>
          <w:iCs/>
        </w:rPr>
      </w:pPr>
      <w:r w:rsidRPr="001515F0">
        <w:rPr>
          <w:rFonts w:ascii="Palatino Linotype" w:hAnsi="Palatino Linotype"/>
          <w:i/>
          <w:iCs/>
        </w:rPr>
        <w:lastRenderedPageBreak/>
        <w:t>Ahora bien, por lo que hace al número progresivo 80 del inventario publicado de bienes inmuebles, encontramos que la dirección que señala es distinta a la que se proporciona por el recurrente, ya que corresponde a un campo deportivo en Av. Palo Solo.</w:t>
      </w:r>
    </w:p>
    <w:p w14:paraId="6F1A53E6" w14:textId="77777777" w:rsidR="004D4DFF" w:rsidRPr="001515F0" w:rsidRDefault="004D4DFF" w:rsidP="00F92C71">
      <w:pPr>
        <w:pStyle w:val="Prrafodelista"/>
        <w:spacing w:before="240" w:after="240" w:line="276" w:lineRule="auto"/>
        <w:ind w:left="810"/>
        <w:jc w:val="both"/>
        <w:rPr>
          <w:rFonts w:ascii="Palatino Linotype" w:hAnsi="Palatino Linotype"/>
          <w:i/>
          <w:iCs/>
        </w:rPr>
      </w:pPr>
    </w:p>
    <w:p w14:paraId="2BBF6E7A" w14:textId="1955ADAF" w:rsidR="004D4DFF" w:rsidRPr="001515F0" w:rsidRDefault="004D4DFF" w:rsidP="00F92C71">
      <w:pPr>
        <w:pStyle w:val="Prrafodelista"/>
        <w:spacing w:before="240" w:after="240" w:line="276" w:lineRule="auto"/>
        <w:ind w:left="810"/>
        <w:jc w:val="both"/>
        <w:rPr>
          <w:rFonts w:ascii="Palatino Linotype" w:hAnsi="Palatino Linotype"/>
          <w:i/>
          <w:iCs/>
        </w:rPr>
      </w:pPr>
      <w:r w:rsidRPr="001515F0">
        <w:rPr>
          <w:rFonts w:ascii="Palatino Linotype" w:hAnsi="Palatino Linotype"/>
          <w:i/>
          <w:iCs/>
        </w:rPr>
        <w:t>Y finalmente, respecto al número progresivo 60 del inventario publicado de bienes inmuebles, la dirección que señala también es distinta a la que se proporciona por el recurrente, ya que corresponde a Avenida Lomas del Jazmín, en Balcones de la Herradura.</w:t>
      </w:r>
    </w:p>
    <w:p w14:paraId="06F4BEF0" w14:textId="77777777" w:rsidR="004D4DFF" w:rsidRPr="001515F0" w:rsidRDefault="004D4DFF" w:rsidP="00F92C71">
      <w:pPr>
        <w:pStyle w:val="Prrafodelista"/>
        <w:spacing w:before="240" w:after="240" w:line="276" w:lineRule="auto"/>
        <w:ind w:left="810"/>
        <w:jc w:val="both"/>
        <w:rPr>
          <w:rFonts w:ascii="Palatino Linotype" w:hAnsi="Palatino Linotype"/>
          <w:i/>
          <w:iCs/>
        </w:rPr>
      </w:pPr>
    </w:p>
    <w:p w14:paraId="17075683" w14:textId="252E6785" w:rsidR="004D4DFF" w:rsidRPr="001515F0" w:rsidRDefault="004D4DFF" w:rsidP="00F92C71">
      <w:pPr>
        <w:pStyle w:val="Prrafodelista"/>
        <w:spacing w:before="240" w:after="240" w:line="276" w:lineRule="auto"/>
        <w:ind w:left="810"/>
        <w:jc w:val="both"/>
        <w:rPr>
          <w:rFonts w:ascii="Palatino Linotype" w:hAnsi="Palatino Linotype"/>
          <w:i/>
          <w:iCs/>
        </w:rPr>
      </w:pPr>
      <w:r w:rsidRPr="001515F0">
        <w:rPr>
          <w:rFonts w:ascii="Palatino Linotype" w:hAnsi="Palatino Linotype"/>
          <w:i/>
          <w:iCs/>
        </w:rPr>
        <w:t>Ahora bien, en aras de cumplimiento se realizó la búsqueda con la dirección que proporciono el recurrente y no con el número progresivo como en un principio, fue el caso que las direcciones que indica el solicitante, por su generalidad, coinciden con más de un inmueble, por lo que no fue posible precisar su ubicación</w:t>
      </w:r>
    </w:p>
    <w:p w14:paraId="0046223A" w14:textId="77777777" w:rsidR="0028743E" w:rsidRPr="001515F0" w:rsidRDefault="0028743E" w:rsidP="00F92C71">
      <w:pPr>
        <w:pStyle w:val="Prrafodelista"/>
        <w:spacing w:before="240" w:after="240" w:line="276" w:lineRule="auto"/>
        <w:ind w:left="810"/>
        <w:jc w:val="both"/>
        <w:rPr>
          <w:rFonts w:ascii="Palatino Linotype" w:hAnsi="Palatino Linotype"/>
          <w:i/>
          <w:iCs/>
        </w:rPr>
      </w:pPr>
    </w:p>
    <w:p w14:paraId="1F68E5C6" w14:textId="5AA37889" w:rsidR="004D4DFF" w:rsidRPr="001515F0" w:rsidRDefault="004D4DFF" w:rsidP="00F92C71">
      <w:pPr>
        <w:pStyle w:val="Prrafodelista"/>
        <w:spacing w:before="240" w:after="240" w:line="276" w:lineRule="auto"/>
        <w:ind w:left="810"/>
        <w:jc w:val="both"/>
        <w:rPr>
          <w:rFonts w:ascii="Palatino Linotype" w:hAnsi="Palatino Linotype"/>
          <w:i/>
          <w:iCs/>
        </w:rPr>
      </w:pPr>
      <w:r w:rsidRPr="001515F0">
        <w:rPr>
          <w:rFonts w:ascii="Palatino Linotype" w:hAnsi="Palatino Linotype"/>
          <w:i/>
          <w:iCs/>
        </w:rPr>
        <w:t xml:space="preserve">Como puede apreciarse anteriormente ninguno de los tres domicilios que señala el hoy recurrente coinciden con los números progresivos del Inventario de Bienes Inmuebles </w:t>
      </w:r>
      <w:r w:rsidR="00F92C71" w:rsidRPr="001515F0">
        <w:rPr>
          <w:rFonts w:ascii="Palatino Linotype" w:hAnsi="Palatino Linotype"/>
          <w:i/>
          <w:iCs/>
        </w:rPr>
        <w:t>Publicado</w:t>
      </w:r>
      <w:r w:rsidRPr="001515F0">
        <w:rPr>
          <w:rFonts w:ascii="Palatino Linotype" w:hAnsi="Palatino Linotype"/>
          <w:i/>
          <w:iCs/>
        </w:rPr>
        <w:t xml:space="preserve"> en la página de IPOMEX.</w:t>
      </w:r>
    </w:p>
    <w:p w14:paraId="7965C3FD" w14:textId="77777777" w:rsidR="0028743E" w:rsidRPr="001515F0" w:rsidRDefault="0028743E" w:rsidP="00F92C71">
      <w:pPr>
        <w:pStyle w:val="Prrafodelista"/>
        <w:spacing w:before="240" w:after="240" w:line="276" w:lineRule="auto"/>
        <w:ind w:left="810"/>
        <w:jc w:val="both"/>
        <w:rPr>
          <w:rFonts w:ascii="Palatino Linotype" w:hAnsi="Palatino Linotype"/>
          <w:i/>
          <w:iCs/>
        </w:rPr>
      </w:pPr>
    </w:p>
    <w:p w14:paraId="442BEF52" w14:textId="71C27ADA" w:rsidR="0028743E" w:rsidRPr="001515F0" w:rsidRDefault="0028743E" w:rsidP="00F92C71">
      <w:pPr>
        <w:pStyle w:val="Prrafodelista"/>
        <w:spacing w:before="240" w:after="240" w:line="276" w:lineRule="auto"/>
        <w:ind w:left="810"/>
        <w:jc w:val="both"/>
        <w:rPr>
          <w:rFonts w:ascii="Palatino Linotype" w:hAnsi="Palatino Linotype"/>
          <w:i/>
          <w:iCs/>
          <w:noProof/>
        </w:rPr>
      </w:pPr>
      <w:r w:rsidRPr="001515F0">
        <w:rPr>
          <w:rFonts w:ascii="Palatino Linotype" w:hAnsi="Palatino Linotype"/>
          <w:i/>
          <w:iCs/>
        </w:rPr>
        <w:t xml:space="preserve">Atento a lo anterior, al proveer </w:t>
      </w:r>
      <w:r w:rsidR="00F92C71" w:rsidRPr="001515F0">
        <w:rPr>
          <w:rFonts w:ascii="Palatino Linotype" w:hAnsi="Palatino Linotype"/>
          <w:i/>
          <w:iCs/>
        </w:rPr>
        <w:t>deberá</w:t>
      </w:r>
      <w:r w:rsidRPr="001515F0">
        <w:rPr>
          <w:rFonts w:ascii="Palatino Linotype" w:hAnsi="Palatino Linotype"/>
          <w:i/>
          <w:iCs/>
        </w:rPr>
        <w:t xml:space="preserve"> considerarse que se </w:t>
      </w:r>
      <w:proofErr w:type="spellStart"/>
      <w:r w:rsidRPr="001515F0">
        <w:rPr>
          <w:rFonts w:ascii="Palatino Linotype" w:hAnsi="Palatino Linotype"/>
          <w:i/>
          <w:iCs/>
        </w:rPr>
        <w:t>realizo</w:t>
      </w:r>
      <w:proofErr w:type="spellEnd"/>
      <w:r w:rsidRPr="001515F0">
        <w:rPr>
          <w:rFonts w:ascii="Palatino Linotype" w:hAnsi="Palatino Linotype"/>
          <w:i/>
          <w:iCs/>
        </w:rPr>
        <w:t xml:space="preserve"> la </w:t>
      </w:r>
      <w:r w:rsidR="00F92C71" w:rsidRPr="001515F0">
        <w:rPr>
          <w:rFonts w:ascii="Palatino Linotype" w:hAnsi="Palatino Linotype"/>
          <w:i/>
          <w:iCs/>
        </w:rPr>
        <w:t>búsqueda</w:t>
      </w:r>
      <w:r w:rsidRPr="001515F0">
        <w:rPr>
          <w:rFonts w:ascii="Palatino Linotype" w:hAnsi="Palatino Linotype"/>
          <w:i/>
          <w:iCs/>
        </w:rPr>
        <w:t xml:space="preserve"> exhaustiva con la información que proporciono el hoy recurrente, sin embargo por su generalidad en los datos, resulto imposible la identificación de los inmuebles.</w:t>
      </w:r>
      <w:r w:rsidR="00E6537A" w:rsidRPr="001515F0">
        <w:rPr>
          <w:rFonts w:ascii="Palatino Linotype" w:hAnsi="Palatino Linotype"/>
          <w:i/>
          <w:iCs/>
        </w:rPr>
        <w:t>” (SIC)</w:t>
      </w:r>
    </w:p>
    <w:p w14:paraId="2B048E04" w14:textId="77777777" w:rsidR="00A566D9" w:rsidRPr="001515F0" w:rsidRDefault="00A566D9" w:rsidP="00A566D9">
      <w:pPr>
        <w:pStyle w:val="Prrafodelista"/>
        <w:spacing w:before="240" w:after="240" w:line="360" w:lineRule="auto"/>
        <w:ind w:left="0"/>
        <w:jc w:val="both"/>
        <w:rPr>
          <w:rFonts w:ascii="Palatino Linotype" w:hAnsi="Palatino Linotype"/>
        </w:rPr>
      </w:pPr>
    </w:p>
    <w:p w14:paraId="68C90193" w14:textId="4B4D2145" w:rsidR="00A566D9" w:rsidRPr="001515F0" w:rsidRDefault="00A566D9" w:rsidP="00A566D9">
      <w:pPr>
        <w:pStyle w:val="Prrafodelista"/>
        <w:numPr>
          <w:ilvl w:val="0"/>
          <w:numId w:val="1"/>
        </w:numPr>
        <w:spacing w:before="240" w:after="240" w:line="360" w:lineRule="auto"/>
        <w:ind w:left="0" w:firstLine="0"/>
        <w:jc w:val="both"/>
        <w:rPr>
          <w:rFonts w:ascii="Palatino Linotype" w:hAnsi="Palatino Linotype"/>
        </w:rPr>
      </w:pPr>
      <w:r w:rsidRPr="001515F0">
        <w:rPr>
          <w:rFonts w:ascii="Palatino Linotype" w:hAnsi="Palatino Linotype"/>
        </w:rPr>
        <w:t xml:space="preserve">El Comisionado Ponente decreto el cierre de instrucción mediante acuerdo de fecha </w:t>
      </w:r>
      <w:r w:rsidR="003D5285" w:rsidRPr="001515F0">
        <w:rPr>
          <w:rFonts w:ascii="Palatino Linotype" w:hAnsi="Palatino Linotype"/>
        </w:rPr>
        <w:t xml:space="preserve">veintiséis </w:t>
      </w:r>
      <w:r w:rsidRPr="001515F0">
        <w:rPr>
          <w:rFonts w:ascii="Palatino Linotype" w:hAnsi="Palatino Linotype"/>
        </w:rPr>
        <w:t>(</w:t>
      </w:r>
      <w:r w:rsidR="003D5285" w:rsidRPr="001515F0">
        <w:rPr>
          <w:rFonts w:ascii="Palatino Linotype" w:hAnsi="Palatino Linotype"/>
        </w:rPr>
        <w:t>2</w:t>
      </w:r>
      <w:r w:rsidRPr="001515F0">
        <w:rPr>
          <w:rFonts w:ascii="Palatino Linotype" w:hAnsi="Palatino Linotype"/>
        </w:rPr>
        <w:t>6) de abril de dos mil veintiuno, por lo que se</w:t>
      </w:r>
      <w:r w:rsidRPr="001515F0">
        <w:rPr>
          <w:rFonts w:ascii="Palatino Linotype" w:hAnsi="Palatino Linotype" w:cs="Arial"/>
        </w:rPr>
        <w:t xml:space="preserve"> ordenó turnar el expediente a resolución, por lo que no habiendo más que hacer constar, y - - - - - - </w:t>
      </w:r>
    </w:p>
    <w:p w14:paraId="024E413E" w14:textId="77777777" w:rsidR="00A566D9" w:rsidRPr="001515F0" w:rsidRDefault="00A566D9" w:rsidP="00A566D9">
      <w:pPr>
        <w:pStyle w:val="Ttulo1"/>
        <w:tabs>
          <w:tab w:val="left" w:pos="567"/>
        </w:tabs>
        <w:jc w:val="center"/>
        <w:rPr>
          <w:b/>
          <w:szCs w:val="24"/>
        </w:rPr>
      </w:pPr>
      <w:bookmarkStart w:id="117" w:name="_Toc48841664"/>
      <w:bookmarkStart w:id="118" w:name="_Toc58504397"/>
      <w:r w:rsidRPr="001515F0">
        <w:rPr>
          <w:b/>
          <w:szCs w:val="24"/>
        </w:rPr>
        <w:lastRenderedPageBreak/>
        <w:t>CONSIDERANDO</w:t>
      </w:r>
      <w:bookmarkEnd w:id="117"/>
      <w:bookmarkEnd w:id="118"/>
    </w:p>
    <w:p w14:paraId="0F299D07" w14:textId="77777777" w:rsidR="00A566D9" w:rsidRPr="001515F0" w:rsidRDefault="00A566D9" w:rsidP="00A566D9">
      <w:pPr>
        <w:pStyle w:val="Ttulo1"/>
        <w:tabs>
          <w:tab w:val="left" w:pos="567"/>
        </w:tabs>
        <w:jc w:val="both"/>
        <w:rPr>
          <w:b/>
          <w:bCs/>
          <w:spacing w:val="60"/>
        </w:rPr>
      </w:pPr>
      <w:bookmarkStart w:id="119" w:name="_Toc48841665"/>
      <w:bookmarkStart w:id="120" w:name="_Toc58504398"/>
      <w:r w:rsidRPr="001515F0">
        <w:rPr>
          <w:b/>
        </w:rPr>
        <w:t>PRIMERO. De la competencia</w:t>
      </w:r>
      <w:bookmarkEnd w:id="119"/>
      <w:bookmarkEnd w:id="120"/>
    </w:p>
    <w:p w14:paraId="4A79BD2F" w14:textId="77777777" w:rsidR="00A566D9" w:rsidRPr="001515F0" w:rsidRDefault="00A566D9" w:rsidP="00A566D9">
      <w:pPr>
        <w:pStyle w:val="Prrafodelista"/>
        <w:jc w:val="both"/>
        <w:rPr>
          <w:rFonts w:ascii="Palatino Linotype" w:eastAsia="Calibri" w:hAnsi="Palatino Linotype" w:cs="Times New Roman"/>
          <w:lang w:val="es-ES"/>
        </w:rPr>
      </w:pPr>
    </w:p>
    <w:p w14:paraId="3B5B81ED" w14:textId="77777777" w:rsidR="00A566D9" w:rsidRPr="001515F0" w:rsidRDefault="00A566D9" w:rsidP="00A566D9">
      <w:pPr>
        <w:pStyle w:val="Prrafodelista"/>
        <w:numPr>
          <w:ilvl w:val="0"/>
          <w:numId w:val="1"/>
        </w:numPr>
        <w:spacing w:before="240" w:after="240" w:line="360" w:lineRule="auto"/>
        <w:ind w:left="0" w:firstLine="0"/>
        <w:jc w:val="both"/>
      </w:pPr>
      <w:r w:rsidRPr="001515F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515F0">
        <w:rPr>
          <w:rFonts w:ascii="Palatino Linotype" w:eastAsia="Calibri" w:hAnsi="Palatino Linotype" w:cs="Times New Roman"/>
          <w:b/>
          <w:lang w:val="es-ES"/>
        </w:rPr>
        <w:t>Constitución Política de los Estados Unidos Mexicanos</w:t>
      </w:r>
      <w:r w:rsidRPr="001515F0">
        <w:rPr>
          <w:rFonts w:ascii="Palatino Linotype" w:eastAsia="Calibri" w:hAnsi="Palatino Linotype" w:cs="Times New Roman"/>
          <w:lang w:val="es-ES"/>
        </w:rPr>
        <w:t xml:space="preserve">; 5, párrafos </w:t>
      </w:r>
      <w:r w:rsidRPr="001515F0">
        <w:rPr>
          <w:rFonts w:ascii="Palatino Linotype" w:eastAsia="Calibri" w:hAnsi="Palatino Linotype" w:cs="Times New Roman"/>
          <w:color w:val="000000" w:themeColor="text1"/>
          <w:lang w:val="es-ES"/>
        </w:rPr>
        <w:t xml:space="preserve">vigésimo segundo, vigésimo tercero y vigésimo cuarto </w:t>
      </w:r>
      <w:r w:rsidRPr="001515F0">
        <w:rPr>
          <w:rFonts w:ascii="Palatino Linotype" w:eastAsia="Calibri" w:hAnsi="Palatino Linotype" w:cs="Times New Roman"/>
          <w:lang w:val="es-ES"/>
        </w:rPr>
        <w:t xml:space="preserve">fracciones IV y V de la </w:t>
      </w:r>
      <w:r w:rsidRPr="001515F0">
        <w:rPr>
          <w:rFonts w:ascii="Palatino Linotype" w:eastAsia="Calibri" w:hAnsi="Palatino Linotype" w:cs="Times New Roman"/>
          <w:b/>
          <w:lang w:val="es-ES"/>
        </w:rPr>
        <w:t>Constitución Política del Estado Libre y Soberano de México</w:t>
      </w:r>
      <w:r w:rsidRPr="001515F0">
        <w:rPr>
          <w:rFonts w:ascii="Palatino Linotype" w:eastAsia="Calibri" w:hAnsi="Palatino Linotype" w:cs="Times New Roman"/>
          <w:lang w:val="es-ES"/>
        </w:rPr>
        <w:t xml:space="preserve">; artículos 1, 2 fracción II, 13, 29, 36 fracciones I y II, 176, 178, 179, 181 párrafo tercero y 185 </w:t>
      </w:r>
      <w:r w:rsidRPr="001515F0">
        <w:rPr>
          <w:rFonts w:ascii="Palatino Linotype" w:eastAsia="Calibri" w:hAnsi="Palatino Linotype" w:cs="Arial"/>
          <w:lang w:val="es-ES"/>
        </w:rPr>
        <w:t xml:space="preserve">de la </w:t>
      </w:r>
      <w:r w:rsidRPr="001515F0">
        <w:rPr>
          <w:rFonts w:ascii="Palatino Linotype" w:eastAsia="Calibri" w:hAnsi="Palatino Linotype" w:cs="Arial"/>
          <w:b/>
          <w:lang w:val="es-ES"/>
        </w:rPr>
        <w:t>Ley de Transparencia y Acceso a la Información Pública del Estado de México y Municipios</w:t>
      </w:r>
      <w:r w:rsidRPr="001515F0">
        <w:rPr>
          <w:rFonts w:ascii="Palatino Linotype" w:eastAsia="Calibri" w:hAnsi="Palatino Linotype" w:cs="Arial"/>
          <w:lang w:val="es-ES"/>
        </w:rPr>
        <w:t xml:space="preserve">; y 10, 7, 9 fracciones I y XXIV, y 11 del </w:t>
      </w:r>
      <w:r w:rsidRPr="001515F0">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515F0">
        <w:rPr>
          <w:rFonts w:ascii="Palatino Linotype" w:hAnsi="Palatino Linotype"/>
        </w:rPr>
        <w:t>.</w:t>
      </w:r>
    </w:p>
    <w:p w14:paraId="4094305F" w14:textId="77777777" w:rsidR="00A566D9" w:rsidRPr="001515F0" w:rsidRDefault="00A566D9" w:rsidP="00A566D9">
      <w:pPr>
        <w:pStyle w:val="Prrafodelista"/>
        <w:spacing w:before="240" w:after="240" w:line="360" w:lineRule="auto"/>
        <w:ind w:left="0"/>
        <w:jc w:val="both"/>
        <w:rPr>
          <w:rFonts w:ascii="Palatino Linotype" w:eastAsia="Calibri" w:hAnsi="Palatino Linotype" w:cs="Times New Roman"/>
          <w:lang w:val="es-ES"/>
        </w:rPr>
      </w:pPr>
    </w:p>
    <w:p w14:paraId="10108D19" w14:textId="77777777" w:rsidR="00A566D9" w:rsidRPr="001515F0" w:rsidRDefault="00A566D9" w:rsidP="00A566D9">
      <w:pPr>
        <w:pStyle w:val="Ttulo1"/>
        <w:tabs>
          <w:tab w:val="left" w:pos="567"/>
        </w:tabs>
        <w:spacing w:before="0"/>
        <w:jc w:val="both"/>
        <w:rPr>
          <w:b/>
        </w:rPr>
      </w:pPr>
      <w:bookmarkStart w:id="121" w:name="_Toc48841666"/>
      <w:bookmarkStart w:id="122" w:name="_Toc58504399"/>
      <w:r w:rsidRPr="001515F0">
        <w:rPr>
          <w:b/>
        </w:rPr>
        <w:t>SEGUNDO. De la oportunidad y procedencia.</w:t>
      </w:r>
      <w:bookmarkEnd w:id="121"/>
      <w:bookmarkEnd w:id="122"/>
    </w:p>
    <w:p w14:paraId="6601B0BA" w14:textId="77777777" w:rsidR="00A566D9" w:rsidRPr="001515F0" w:rsidRDefault="00A566D9" w:rsidP="00A566D9">
      <w:pPr>
        <w:pStyle w:val="Prrafodelista"/>
        <w:spacing w:before="240" w:after="240" w:line="360" w:lineRule="auto"/>
        <w:ind w:left="0"/>
        <w:jc w:val="both"/>
      </w:pPr>
    </w:p>
    <w:p w14:paraId="69E5B5B2" w14:textId="7C67E1E7" w:rsidR="00A566D9" w:rsidRPr="001515F0" w:rsidRDefault="00A566D9" w:rsidP="00A566D9">
      <w:pPr>
        <w:pStyle w:val="Prrafodelista"/>
        <w:numPr>
          <w:ilvl w:val="0"/>
          <w:numId w:val="1"/>
        </w:numPr>
        <w:spacing w:before="240" w:after="240" w:line="360" w:lineRule="auto"/>
        <w:ind w:left="0" w:firstLine="0"/>
        <w:jc w:val="both"/>
      </w:pPr>
      <w:r w:rsidRPr="001515F0">
        <w:rPr>
          <w:rFonts w:ascii="Palatino Linotype" w:eastAsia="Calibri" w:hAnsi="Palatino Linotype" w:cs="Arial"/>
        </w:rPr>
        <w:t>El medio de impugnación fue presentado a través del Sistema de Acceso a la Información Mexiquense (SAIMEX)</w:t>
      </w:r>
      <w:r w:rsidRPr="001515F0">
        <w:rPr>
          <w:rFonts w:ascii="Palatino Linotype" w:eastAsia="Calibri" w:hAnsi="Palatino Linotype" w:cs="Arial"/>
          <w:b/>
        </w:rPr>
        <w:t>,</w:t>
      </w:r>
      <w:r w:rsidRPr="001515F0">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1515F0">
        <w:rPr>
          <w:rFonts w:ascii="Palatino Linotype" w:eastAsia="Calibri" w:hAnsi="Palatino Linotype" w:cs="Arial"/>
          <w:b/>
        </w:rPr>
        <w:t>SUJETO OBLIGADO</w:t>
      </w:r>
      <w:r w:rsidRPr="001515F0">
        <w:rPr>
          <w:rFonts w:ascii="Palatino Linotype" w:eastAsia="Calibri" w:hAnsi="Palatino Linotype" w:cs="Arial"/>
        </w:rPr>
        <w:t xml:space="preserve"> entregó respuesta el día </w:t>
      </w:r>
      <w:r w:rsidRPr="001515F0">
        <w:rPr>
          <w:rFonts w:ascii="Palatino Linotype" w:hAnsi="Palatino Linotype" w:cs="Arial"/>
          <w:color w:val="000000" w:themeColor="text1"/>
        </w:rPr>
        <w:t>dieci</w:t>
      </w:r>
      <w:r w:rsidR="003D5285" w:rsidRPr="001515F0">
        <w:rPr>
          <w:rFonts w:ascii="Palatino Linotype" w:hAnsi="Palatino Linotype" w:cs="Arial"/>
          <w:color w:val="000000" w:themeColor="text1"/>
        </w:rPr>
        <w:t>ocho</w:t>
      </w:r>
      <w:r w:rsidRPr="001515F0">
        <w:rPr>
          <w:rFonts w:ascii="Palatino Linotype" w:eastAsia="Calibri" w:hAnsi="Palatino Linotype" w:cs="Arial"/>
        </w:rPr>
        <w:t xml:space="preserve"> (1</w:t>
      </w:r>
      <w:r w:rsidR="003D5285" w:rsidRPr="001515F0">
        <w:rPr>
          <w:rFonts w:ascii="Palatino Linotype" w:eastAsia="Calibri" w:hAnsi="Palatino Linotype" w:cs="Arial"/>
        </w:rPr>
        <w:t>8</w:t>
      </w:r>
      <w:r w:rsidRPr="001515F0">
        <w:rPr>
          <w:rFonts w:ascii="Palatino Linotype" w:eastAsia="Calibri" w:hAnsi="Palatino Linotype" w:cs="Arial"/>
        </w:rPr>
        <w:t xml:space="preserve">) de marzo </w:t>
      </w:r>
      <w:r w:rsidRPr="001515F0">
        <w:rPr>
          <w:rFonts w:ascii="Palatino Linotype" w:hAnsi="Palatino Linotype"/>
        </w:rPr>
        <w:t>de dos mil veintiuno</w:t>
      </w:r>
      <w:r w:rsidRPr="001515F0">
        <w:rPr>
          <w:rFonts w:ascii="Palatino Linotype" w:eastAsia="Calibri" w:hAnsi="Palatino Linotype" w:cs="Arial"/>
        </w:rPr>
        <w:t xml:space="preserve">, siendo  </w:t>
      </w:r>
      <w:r w:rsidR="00676D71" w:rsidRPr="001515F0">
        <w:rPr>
          <w:rFonts w:ascii="Palatino Linotype" w:eastAsia="Calibri" w:hAnsi="Palatino Linotype" w:cs="Arial"/>
        </w:rPr>
        <w:t>nueve</w:t>
      </w:r>
      <w:r w:rsidRPr="001515F0">
        <w:rPr>
          <w:rFonts w:ascii="Palatino Linotype" w:eastAsia="Calibri" w:hAnsi="Palatino Linotype" w:cs="Arial"/>
        </w:rPr>
        <w:t xml:space="preserve"> días después en fecha </w:t>
      </w:r>
      <w:proofErr w:type="spellStart"/>
      <w:r w:rsidRPr="001515F0">
        <w:rPr>
          <w:rFonts w:ascii="Palatino Linotype" w:eastAsia="Calibri" w:hAnsi="Palatino Linotype" w:cs="Arial"/>
        </w:rPr>
        <w:lastRenderedPageBreak/>
        <w:t>veintidos</w:t>
      </w:r>
      <w:proofErr w:type="spellEnd"/>
      <w:r w:rsidRPr="001515F0">
        <w:rPr>
          <w:rFonts w:ascii="Palatino Linotype" w:eastAsia="Calibri" w:hAnsi="Palatino Linotype" w:cs="Arial"/>
        </w:rPr>
        <w:t xml:space="preserve"> (2</w:t>
      </w:r>
      <w:r w:rsidR="00676D71" w:rsidRPr="001515F0">
        <w:rPr>
          <w:rFonts w:ascii="Palatino Linotype" w:eastAsia="Calibri" w:hAnsi="Palatino Linotype" w:cs="Arial"/>
        </w:rPr>
        <w:t>6</w:t>
      </w:r>
      <w:r w:rsidRPr="001515F0">
        <w:rPr>
          <w:rFonts w:ascii="Palatino Linotype" w:eastAsia="Calibri" w:hAnsi="Palatino Linotype" w:cs="Arial"/>
        </w:rPr>
        <w:t xml:space="preserve">)  de marzo de dos mil veintiuno, </w:t>
      </w:r>
      <w:r w:rsidRPr="001515F0">
        <w:rPr>
          <w:rFonts w:ascii="Palatino Linotype" w:hAnsi="Palatino Linotype" w:cs="Arial"/>
        </w:rPr>
        <w:t xml:space="preserve">el </w:t>
      </w:r>
      <w:r w:rsidRPr="001515F0">
        <w:rPr>
          <w:rFonts w:ascii="Palatino Linotype" w:hAnsi="Palatino Linotype" w:cs="Arial"/>
          <w:b/>
        </w:rPr>
        <w:t>RECURRENTE</w:t>
      </w:r>
      <w:r w:rsidRPr="001515F0">
        <w:rPr>
          <w:rFonts w:ascii="Palatino Linotype" w:hAnsi="Palatino Linotype" w:cs="Arial"/>
        </w:rPr>
        <w:t xml:space="preserve"> presentó su inconformidad, por lo que el medio de impugnación </w:t>
      </w:r>
      <w:r w:rsidRPr="001515F0">
        <w:rPr>
          <w:rFonts w:ascii="Palatino Linotype" w:hAnsi="Palatino Linotype" w:cs="Arial"/>
          <w:color w:val="000000" w:themeColor="text1"/>
        </w:rPr>
        <w:t xml:space="preserve">se encuentra dentro de los márgenes temporales previstos en el artículo 178 de la </w:t>
      </w:r>
      <w:r w:rsidRPr="001515F0">
        <w:rPr>
          <w:rFonts w:ascii="Palatino Linotype" w:hAnsi="Palatino Linotype" w:cs="Arial"/>
          <w:b/>
          <w:color w:val="000000" w:themeColor="text1"/>
        </w:rPr>
        <w:t>Ley de Transparencia y Acceso a la Información Pública del Estado de México y Municipios.</w:t>
      </w:r>
    </w:p>
    <w:p w14:paraId="2C785D9C" w14:textId="77777777" w:rsidR="00A566D9" w:rsidRPr="001515F0" w:rsidRDefault="00A566D9" w:rsidP="00A566D9">
      <w:pPr>
        <w:pStyle w:val="Prrafodelista"/>
        <w:spacing w:line="360" w:lineRule="auto"/>
        <w:ind w:left="0"/>
        <w:jc w:val="both"/>
        <w:rPr>
          <w:rFonts w:ascii="Palatino Linotype" w:hAnsi="Palatino Linotype"/>
          <w:lang w:val="es-US"/>
        </w:rPr>
      </w:pPr>
    </w:p>
    <w:p w14:paraId="20ABEB63" w14:textId="77777777" w:rsidR="00A566D9" w:rsidRPr="001515F0" w:rsidRDefault="00A566D9" w:rsidP="00A566D9">
      <w:pPr>
        <w:pStyle w:val="Prrafodelista"/>
        <w:numPr>
          <w:ilvl w:val="0"/>
          <w:numId w:val="1"/>
        </w:numPr>
        <w:spacing w:line="360" w:lineRule="auto"/>
        <w:ind w:left="0" w:firstLine="0"/>
        <w:jc w:val="both"/>
        <w:rPr>
          <w:rFonts w:ascii="Palatino Linotype" w:hAnsi="Palatino Linotype"/>
        </w:rPr>
      </w:pPr>
      <w:r w:rsidRPr="001515F0">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E71F3E7" w14:textId="77777777" w:rsidR="00A566D9" w:rsidRPr="001515F0" w:rsidRDefault="00A566D9" w:rsidP="00A566D9">
      <w:pPr>
        <w:keepNext/>
        <w:keepLines/>
        <w:spacing w:before="240"/>
        <w:outlineLvl w:val="0"/>
        <w:rPr>
          <w:rFonts w:ascii="Palatino Linotype" w:eastAsia="MS Mincho" w:hAnsi="Palatino Linotype" w:cstheme="majorBidi"/>
          <w:b/>
        </w:rPr>
      </w:pPr>
      <w:bookmarkStart w:id="123" w:name="_Toc62753518"/>
      <w:r w:rsidRPr="001515F0">
        <w:rPr>
          <w:rFonts w:ascii="Palatino Linotype" w:eastAsia="MS Mincho" w:hAnsi="Palatino Linotype" w:cstheme="majorBidi"/>
          <w:b/>
        </w:rPr>
        <w:t>TERCERO. De Previo especial pronunciamiento.</w:t>
      </w:r>
      <w:bookmarkEnd w:id="123"/>
    </w:p>
    <w:p w14:paraId="74A6D4EF" w14:textId="77777777" w:rsidR="00A566D9" w:rsidRPr="001515F0" w:rsidRDefault="00A566D9" w:rsidP="00A566D9">
      <w:pPr>
        <w:keepNext/>
        <w:keepLines/>
        <w:spacing w:before="240" w:line="259" w:lineRule="auto"/>
        <w:ind w:left="720"/>
        <w:contextualSpacing/>
        <w:outlineLvl w:val="0"/>
        <w:rPr>
          <w:rFonts w:ascii="Palatino Linotype" w:eastAsia="MS Mincho" w:hAnsi="Palatino Linotype" w:cstheme="majorBidi"/>
          <w:b/>
        </w:rPr>
      </w:pPr>
      <w:bookmarkStart w:id="124" w:name="_Toc65743794"/>
      <w:bookmarkStart w:id="125" w:name="_Toc65849900"/>
      <w:bookmarkStart w:id="126" w:name="_Toc66352322"/>
      <w:bookmarkStart w:id="127" w:name="_Toc68634497"/>
    </w:p>
    <w:p w14:paraId="3F43C3F1" w14:textId="77777777" w:rsidR="00A566D9" w:rsidRPr="001515F0" w:rsidRDefault="00A566D9" w:rsidP="00A566D9">
      <w:pPr>
        <w:keepNext/>
        <w:keepLines/>
        <w:spacing w:before="240" w:line="259" w:lineRule="auto"/>
        <w:ind w:left="360"/>
        <w:contextualSpacing/>
        <w:outlineLvl w:val="0"/>
        <w:rPr>
          <w:rFonts w:ascii="Palatino Linotype" w:eastAsia="MS Mincho" w:hAnsi="Palatino Linotype"/>
          <w:b/>
          <w:lang w:eastAsia="es-ES"/>
        </w:rPr>
      </w:pPr>
      <w:r w:rsidRPr="001515F0">
        <w:rPr>
          <w:rFonts w:ascii="Palatino Linotype" w:eastAsia="MS Mincho" w:hAnsi="Palatino Linotype" w:cstheme="majorBidi"/>
          <w:b/>
        </w:rPr>
        <w:t xml:space="preserve">A) </w:t>
      </w:r>
      <w:r w:rsidRPr="001515F0">
        <w:rPr>
          <w:rFonts w:ascii="Palatino Linotype" w:eastAsia="MS Mincho" w:hAnsi="Palatino Linotype"/>
          <w:b/>
          <w:lang w:val="es-ES" w:eastAsia="es-ES"/>
        </w:rPr>
        <w:t>De la suspensión de plazos derivado del SARS-Cov-2-COVID-19</w:t>
      </w:r>
      <w:bookmarkEnd w:id="124"/>
      <w:bookmarkEnd w:id="125"/>
      <w:bookmarkEnd w:id="126"/>
      <w:bookmarkEnd w:id="127"/>
    </w:p>
    <w:p w14:paraId="25C0DCC7" w14:textId="77777777" w:rsidR="00A566D9" w:rsidRPr="001515F0" w:rsidRDefault="00A566D9" w:rsidP="00A566D9">
      <w:pPr>
        <w:pStyle w:val="Prrafodelista"/>
        <w:rPr>
          <w:rFonts w:ascii="Palatino Linotype" w:hAnsi="Palatino Linotype"/>
          <w:lang w:val="es-US"/>
        </w:rPr>
      </w:pPr>
    </w:p>
    <w:p w14:paraId="72E28B2B" w14:textId="77777777"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lang w:val="es-ES"/>
        </w:rPr>
        <w:t xml:space="preserve">Ahora bien, desde que inició, la crisis generada por el virus </w:t>
      </w:r>
      <w:r w:rsidRPr="001515F0">
        <w:rPr>
          <w:rFonts w:ascii="Palatino Linotype" w:hAnsi="Palatino Linotype"/>
          <w:b/>
          <w:lang w:val="es-ES"/>
        </w:rPr>
        <w:t>SARS-Cov-2 -  COVID-19</w:t>
      </w:r>
      <w:r w:rsidRPr="001515F0">
        <w:rPr>
          <w:rFonts w:ascii="Palatino Linotype" w:hAnsi="Palatino Linotype"/>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7801D865" w14:textId="77777777" w:rsidR="00A566D9" w:rsidRPr="001515F0" w:rsidRDefault="00A566D9" w:rsidP="00A566D9">
      <w:pPr>
        <w:pStyle w:val="Prrafodelista"/>
        <w:tabs>
          <w:tab w:val="left" w:pos="0"/>
        </w:tabs>
        <w:spacing w:line="360" w:lineRule="auto"/>
        <w:ind w:left="0" w:right="49"/>
        <w:jc w:val="both"/>
        <w:rPr>
          <w:rFonts w:ascii="Palatino Linotype" w:hAnsi="Palatino Linotype" w:cs="Arial"/>
          <w:i/>
          <w:color w:val="000000" w:themeColor="text1"/>
        </w:rPr>
      </w:pPr>
    </w:p>
    <w:p w14:paraId="79D78A8E" w14:textId="77777777"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lang w:val="es-ES"/>
        </w:rPr>
        <w:lastRenderedPageBreak/>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5CEB7121" w14:textId="77777777" w:rsidR="00A566D9" w:rsidRPr="001515F0" w:rsidRDefault="00A566D9" w:rsidP="00A566D9">
      <w:pPr>
        <w:pStyle w:val="Prrafodelista"/>
        <w:tabs>
          <w:tab w:val="left" w:pos="0"/>
        </w:tabs>
        <w:spacing w:line="360" w:lineRule="auto"/>
        <w:ind w:left="0" w:right="49"/>
        <w:jc w:val="both"/>
        <w:rPr>
          <w:rFonts w:ascii="Palatino Linotype" w:hAnsi="Palatino Linotype" w:cs="Arial"/>
          <w:i/>
          <w:color w:val="000000" w:themeColor="text1"/>
        </w:rPr>
      </w:pPr>
    </w:p>
    <w:p w14:paraId="4F5FEF74" w14:textId="77777777"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E7227A2" w14:textId="77777777" w:rsidR="00A566D9" w:rsidRPr="001515F0" w:rsidRDefault="00A566D9" w:rsidP="00A566D9">
      <w:pPr>
        <w:pStyle w:val="Prrafodelista"/>
        <w:rPr>
          <w:rFonts w:ascii="Palatino Linotype" w:hAnsi="Palatino Linotype"/>
          <w:lang w:val="es-ES"/>
        </w:rPr>
      </w:pPr>
    </w:p>
    <w:p w14:paraId="6C673A4E" w14:textId="77777777"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lang w:val="es-ES"/>
        </w:rPr>
        <w:t xml:space="preserve">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w:t>
      </w:r>
      <w:r w:rsidRPr="001515F0">
        <w:rPr>
          <w:rFonts w:ascii="Palatino Linotype" w:hAnsi="Palatino Linotype"/>
          <w:lang w:val="es-ES"/>
        </w:rPr>
        <w:lastRenderedPageBreak/>
        <w:t>presenciales de las instituciones públicas, que incluyen tanto a los sujetos obligados como a este Órgano.</w:t>
      </w:r>
    </w:p>
    <w:p w14:paraId="4F34B4FA" w14:textId="77777777" w:rsidR="00A566D9" w:rsidRPr="001515F0" w:rsidRDefault="00A566D9" w:rsidP="00A566D9">
      <w:pPr>
        <w:pStyle w:val="Prrafodelista"/>
        <w:tabs>
          <w:tab w:val="left" w:pos="0"/>
        </w:tabs>
        <w:spacing w:line="360" w:lineRule="auto"/>
        <w:ind w:left="0" w:right="49"/>
        <w:jc w:val="both"/>
        <w:rPr>
          <w:rFonts w:ascii="Palatino Linotype" w:hAnsi="Palatino Linotype" w:cs="Arial"/>
          <w:i/>
          <w:color w:val="000000" w:themeColor="text1"/>
        </w:rPr>
      </w:pPr>
    </w:p>
    <w:p w14:paraId="340FB15D" w14:textId="77777777"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59140EC1" w14:textId="77777777" w:rsidR="00A566D9" w:rsidRPr="001515F0" w:rsidRDefault="00A566D9" w:rsidP="00A566D9">
      <w:pPr>
        <w:pStyle w:val="Prrafodelista"/>
        <w:rPr>
          <w:rFonts w:ascii="Palatino Linotype" w:hAnsi="Palatino Linotype"/>
          <w:lang w:val="es-ES"/>
        </w:rPr>
      </w:pPr>
    </w:p>
    <w:p w14:paraId="7186F760" w14:textId="77777777"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w:t>
      </w:r>
      <w:r w:rsidRPr="001515F0">
        <w:rPr>
          <w:rFonts w:ascii="Palatino Linotype" w:hAnsi="Palatino Linotype"/>
          <w:lang w:val="es-ES"/>
        </w:rPr>
        <w:lastRenderedPageBreak/>
        <w:t xml:space="preserve">y, con ello, tratar de frenar los contagios, acciones que se centran en el esfuerzo conjunto para evitar que los servidores públicos acudan a sus centros de trabajo para desempeñar sus funciones. </w:t>
      </w:r>
    </w:p>
    <w:p w14:paraId="61CD01FA" w14:textId="77777777" w:rsidR="00A566D9" w:rsidRPr="001515F0" w:rsidRDefault="00A566D9" w:rsidP="00A566D9">
      <w:pPr>
        <w:pStyle w:val="Prrafodelista"/>
        <w:rPr>
          <w:rFonts w:ascii="Palatino Linotype" w:hAnsi="Palatino Linotype"/>
          <w:lang w:val="es-ES"/>
        </w:rPr>
      </w:pPr>
    </w:p>
    <w:p w14:paraId="10D1C770" w14:textId="77777777"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5ADCD194" w14:textId="77777777" w:rsidR="00A566D9" w:rsidRPr="001515F0" w:rsidRDefault="00A566D9" w:rsidP="00A566D9">
      <w:pPr>
        <w:pStyle w:val="Prrafodelista"/>
        <w:rPr>
          <w:rFonts w:ascii="Palatino Linotype" w:hAnsi="Palatino Linotype"/>
          <w:lang w:val="es-ES"/>
        </w:rPr>
      </w:pPr>
    </w:p>
    <w:p w14:paraId="6460F5F4" w14:textId="4CEFF3BB"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w:t>
      </w:r>
      <w:r w:rsidRPr="001515F0">
        <w:rPr>
          <w:rFonts w:ascii="Palatino Linotype" w:hAnsi="Palatino Linotype"/>
          <w:lang w:val="es-ES"/>
        </w:rPr>
        <w:lastRenderedPageBreak/>
        <w:t>continuaron ejerciéndose, generando información que se administra tecnológicamente a través de la modalidad del trabajo a distancia o mediante el desempeño de equipos reducidos o guardias en las instalaciones públicas.</w:t>
      </w:r>
    </w:p>
    <w:p w14:paraId="2C663490" w14:textId="77777777" w:rsidR="00F92C71" w:rsidRPr="001515F0" w:rsidRDefault="00F92C71" w:rsidP="00F92C71">
      <w:pPr>
        <w:pStyle w:val="Prrafodelista"/>
        <w:tabs>
          <w:tab w:val="left" w:pos="0"/>
        </w:tabs>
        <w:spacing w:line="360" w:lineRule="auto"/>
        <w:ind w:left="0" w:right="49"/>
        <w:jc w:val="both"/>
        <w:rPr>
          <w:rFonts w:ascii="Palatino Linotype" w:hAnsi="Palatino Linotype" w:cs="Arial"/>
          <w:i/>
          <w:color w:val="000000" w:themeColor="text1"/>
        </w:rPr>
      </w:pPr>
    </w:p>
    <w:p w14:paraId="76C86DA6" w14:textId="77777777"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02237B9C" w14:textId="77777777" w:rsidR="00A566D9" w:rsidRPr="001515F0" w:rsidRDefault="00A566D9" w:rsidP="00A566D9">
      <w:pPr>
        <w:pStyle w:val="Prrafodelista"/>
        <w:rPr>
          <w:rFonts w:ascii="Palatino Linotype" w:hAnsi="Palatino Linotype"/>
          <w:lang w:val="es-ES"/>
        </w:rPr>
      </w:pPr>
    </w:p>
    <w:p w14:paraId="2649BE5B" w14:textId="77777777"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w:t>
      </w:r>
      <w:r w:rsidRPr="001515F0">
        <w:rPr>
          <w:rFonts w:ascii="Palatino Linotype" w:hAnsi="Palatino Linotype"/>
          <w:lang w:val="es-ES"/>
        </w:rPr>
        <w:lastRenderedPageBreak/>
        <w:t xml:space="preserve">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761862C1" w14:textId="77777777" w:rsidR="00A566D9" w:rsidRPr="001515F0" w:rsidRDefault="00A566D9" w:rsidP="00A566D9">
      <w:pPr>
        <w:pStyle w:val="Prrafodelista"/>
        <w:tabs>
          <w:tab w:val="left" w:pos="0"/>
        </w:tabs>
        <w:spacing w:line="360" w:lineRule="auto"/>
        <w:ind w:left="0" w:right="49"/>
        <w:jc w:val="both"/>
        <w:rPr>
          <w:rFonts w:ascii="Palatino Linotype" w:hAnsi="Palatino Linotype" w:cs="Arial"/>
          <w:i/>
          <w:color w:val="000000" w:themeColor="text1"/>
        </w:rPr>
      </w:pPr>
    </w:p>
    <w:p w14:paraId="209171B6" w14:textId="108CBF81"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1E01CAD5" w14:textId="77777777" w:rsidR="00F92C71" w:rsidRPr="001515F0" w:rsidRDefault="00F92C71" w:rsidP="00F92C71">
      <w:pPr>
        <w:pStyle w:val="Prrafodelista"/>
        <w:rPr>
          <w:rFonts w:ascii="Palatino Linotype" w:hAnsi="Palatino Linotype" w:cs="Arial"/>
          <w:i/>
          <w:color w:val="000000" w:themeColor="text1"/>
        </w:rPr>
      </w:pPr>
    </w:p>
    <w:p w14:paraId="029B61C1" w14:textId="77777777" w:rsidR="00F92C71" w:rsidRPr="001515F0" w:rsidRDefault="00F92C71" w:rsidP="00F92C71">
      <w:pPr>
        <w:pStyle w:val="Prrafodelista"/>
        <w:tabs>
          <w:tab w:val="left" w:pos="0"/>
        </w:tabs>
        <w:spacing w:line="360" w:lineRule="auto"/>
        <w:ind w:left="0" w:right="49"/>
        <w:jc w:val="both"/>
        <w:rPr>
          <w:rFonts w:ascii="Palatino Linotype" w:hAnsi="Palatino Linotype" w:cs="Arial"/>
          <w:i/>
          <w:color w:val="000000" w:themeColor="text1"/>
        </w:rPr>
      </w:pPr>
    </w:p>
    <w:p w14:paraId="08487AB5" w14:textId="77777777" w:rsidR="00A566D9" w:rsidRPr="001515F0" w:rsidRDefault="00A566D9" w:rsidP="00A566D9">
      <w:pPr>
        <w:pStyle w:val="Ttulo2"/>
        <w:spacing w:before="0"/>
        <w:rPr>
          <w:rFonts w:ascii="Palatino Linotype" w:hAnsi="Palatino Linotype"/>
          <w:b/>
          <w:color w:val="000000" w:themeColor="text1"/>
          <w:sz w:val="24"/>
          <w:szCs w:val="24"/>
        </w:rPr>
      </w:pPr>
      <w:r w:rsidRPr="001515F0">
        <w:rPr>
          <w:rFonts w:ascii="Palatino Linotype" w:hAnsi="Palatino Linotype"/>
          <w:b/>
          <w:color w:val="000000" w:themeColor="text1"/>
          <w:sz w:val="24"/>
          <w:szCs w:val="24"/>
        </w:rPr>
        <w:lastRenderedPageBreak/>
        <w:t>CUARTO. Del planteamiento de la litis.</w:t>
      </w:r>
    </w:p>
    <w:p w14:paraId="5F982F6B" w14:textId="77777777" w:rsidR="00A566D9" w:rsidRPr="001515F0" w:rsidRDefault="00A566D9" w:rsidP="00A566D9">
      <w:pPr>
        <w:pStyle w:val="Prrafodelista"/>
        <w:tabs>
          <w:tab w:val="left" w:pos="0"/>
        </w:tabs>
        <w:spacing w:line="360" w:lineRule="auto"/>
        <w:ind w:left="0" w:right="49"/>
        <w:jc w:val="both"/>
        <w:rPr>
          <w:rFonts w:ascii="Palatino Linotype" w:hAnsi="Palatino Linotype" w:cs="Arial"/>
          <w:i/>
          <w:color w:val="000000" w:themeColor="text1"/>
        </w:rPr>
      </w:pPr>
    </w:p>
    <w:p w14:paraId="6C600884" w14:textId="77777777"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color w:val="000000" w:themeColor="text1"/>
        </w:rPr>
        <w:t xml:space="preserve">En términos generales, el particular recurre la respuesta del </w:t>
      </w:r>
      <w:r w:rsidRPr="001515F0">
        <w:rPr>
          <w:rFonts w:ascii="Palatino Linotype" w:hAnsi="Palatino Linotype"/>
          <w:b/>
          <w:color w:val="000000" w:themeColor="text1"/>
        </w:rPr>
        <w:t>SUJETO OBLIGADO</w:t>
      </w:r>
      <w:r w:rsidRPr="001515F0">
        <w:rPr>
          <w:rFonts w:ascii="Palatino Linotype" w:hAnsi="Palatino Linotype"/>
          <w:color w:val="000000" w:themeColor="text1"/>
        </w:rPr>
        <w:t xml:space="preserve">, al considerar que no se le entregó la información solicitada, </w:t>
      </w:r>
      <w:r w:rsidRPr="001515F0">
        <w:rPr>
          <w:rFonts w:ascii="Palatino Linotype" w:hAnsi="Palatino Linotype" w:cs="Arial"/>
          <w:color w:val="000000" w:themeColor="text1"/>
        </w:rPr>
        <w:t xml:space="preserve">lo que se actualiza la causal de procedencia del recurso de revisión establecida en el artículo 179, fracciones V y III de la </w:t>
      </w:r>
      <w:r w:rsidRPr="001515F0">
        <w:rPr>
          <w:rFonts w:ascii="Palatino Linotype" w:hAnsi="Palatino Linotype" w:cs="Arial"/>
          <w:b/>
          <w:color w:val="000000" w:themeColor="text1"/>
        </w:rPr>
        <w:t>Ley de Transparencia y Acceso a la Información Pública del Estado de México y Municipios.</w:t>
      </w:r>
    </w:p>
    <w:p w14:paraId="3B339854" w14:textId="77777777" w:rsidR="00A566D9" w:rsidRPr="001515F0" w:rsidRDefault="00A566D9" w:rsidP="00A566D9">
      <w:pPr>
        <w:pStyle w:val="Prrafodelista"/>
        <w:tabs>
          <w:tab w:val="left" w:pos="0"/>
        </w:tabs>
        <w:spacing w:line="360" w:lineRule="auto"/>
        <w:ind w:left="0" w:right="49"/>
        <w:jc w:val="both"/>
        <w:rPr>
          <w:rFonts w:ascii="Palatino Linotype" w:hAnsi="Palatino Linotype" w:cs="Arial"/>
          <w:i/>
          <w:color w:val="000000" w:themeColor="text1"/>
        </w:rPr>
      </w:pPr>
    </w:p>
    <w:p w14:paraId="4567A967" w14:textId="1BE69EF0"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cs="Arial"/>
        </w:rPr>
        <w:t xml:space="preserve">En dichas condiciones, la </w:t>
      </w:r>
      <w:r w:rsidRPr="001515F0">
        <w:rPr>
          <w:rFonts w:ascii="Palatino Linotype" w:hAnsi="Palatino Linotype" w:cs="Arial"/>
          <w:i/>
        </w:rPr>
        <w:t>litis</w:t>
      </w:r>
      <w:r w:rsidRPr="001515F0">
        <w:rPr>
          <w:rFonts w:ascii="Palatino Linotype" w:hAnsi="Palatino Linotype" w:cs="Arial"/>
        </w:rPr>
        <w:t xml:space="preserve"> a resolver en este recurso se circunscribe a determinar si con los documentos enviados en la respuesta se satisface el Derecho de Acceso a la Información y si son procedentes las razones o motivos de inconformidad.</w:t>
      </w:r>
    </w:p>
    <w:p w14:paraId="796C177B" w14:textId="77777777" w:rsidR="00F92C71" w:rsidRPr="001515F0" w:rsidRDefault="00F92C71" w:rsidP="00F92C71">
      <w:pPr>
        <w:pStyle w:val="Prrafodelista"/>
        <w:tabs>
          <w:tab w:val="left" w:pos="0"/>
        </w:tabs>
        <w:spacing w:line="360" w:lineRule="auto"/>
        <w:ind w:left="0" w:right="49"/>
        <w:jc w:val="both"/>
        <w:rPr>
          <w:rFonts w:ascii="Palatino Linotype" w:hAnsi="Palatino Linotype" w:cs="Arial"/>
          <w:i/>
          <w:color w:val="000000" w:themeColor="text1"/>
        </w:rPr>
      </w:pPr>
    </w:p>
    <w:p w14:paraId="34DABAEC" w14:textId="77777777" w:rsidR="00A566D9" w:rsidRPr="001515F0" w:rsidRDefault="00A566D9" w:rsidP="00A566D9">
      <w:pPr>
        <w:pStyle w:val="Ttulo2"/>
        <w:spacing w:before="0"/>
        <w:rPr>
          <w:rFonts w:ascii="Palatino Linotype" w:hAnsi="Palatino Linotype"/>
          <w:b/>
          <w:color w:val="000000" w:themeColor="text1"/>
          <w:sz w:val="24"/>
          <w:szCs w:val="24"/>
        </w:rPr>
      </w:pPr>
      <w:r w:rsidRPr="001515F0">
        <w:rPr>
          <w:rFonts w:ascii="Palatino Linotype" w:hAnsi="Palatino Linotype"/>
          <w:b/>
          <w:color w:val="000000" w:themeColor="text1"/>
          <w:sz w:val="24"/>
          <w:szCs w:val="24"/>
        </w:rPr>
        <w:t>QUINTO. Del estudio y resolución del asunto.</w:t>
      </w:r>
    </w:p>
    <w:p w14:paraId="4641B5CB" w14:textId="77777777" w:rsidR="00A566D9" w:rsidRPr="001515F0" w:rsidRDefault="00A566D9" w:rsidP="00A566D9">
      <w:pPr>
        <w:pStyle w:val="Prrafodelista"/>
        <w:rPr>
          <w:rFonts w:ascii="Palatino Linotype" w:eastAsia="Calibri" w:hAnsi="Palatino Linotype" w:cs="Arial"/>
          <w:color w:val="000000" w:themeColor="text1"/>
        </w:rPr>
      </w:pPr>
    </w:p>
    <w:p w14:paraId="61E80037" w14:textId="77777777" w:rsidR="00A566D9" w:rsidRPr="001515F0" w:rsidRDefault="00A566D9" w:rsidP="00A566D9">
      <w:pPr>
        <w:pStyle w:val="Prrafodelista"/>
        <w:ind w:left="0"/>
        <w:rPr>
          <w:rFonts w:ascii="Palatino Linotype" w:eastAsia="Calibri" w:hAnsi="Palatino Linotype" w:cs="Arial"/>
          <w:b/>
          <w:i/>
          <w:color w:val="000000" w:themeColor="text1"/>
        </w:rPr>
      </w:pPr>
      <w:r w:rsidRPr="001515F0">
        <w:rPr>
          <w:rFonts w:ascii="Palatino Linotype" w:eastAsia="Calibri" w:hAnsi="Palatino Linotype" w:cs="Arial"/>
          <w:b/>
          <w:i/>
          <w:color w:val="000000" w:themeColor="text1"/>
        </w:rPr>
        <w:t xml:space="preserve">a) Del derecho de acceso a la información pública </w:t>
      </w:r>
    </w:p>
    <w:p w14:paraId="1C5D2529" w14:textId="77777777" w:rsidR="00A566D9" w:rsidRPr="001515F0" w:rsidRDefault="00A566D9" w:rsidP="00A566D9">
      <w:pPr>
        <w:pStyle w:val="Prrafodelista"/>
        <w:ind w:left="0"/>
        <w:rPr>
          <w:rFonts w:ascii="Palatino Linotype" w:eastAsia="Calibri" w:hAnsi="Palatino Linotype" w:cs="Arial"/>
          <w:b/>
          <w:color w:val="000000" w:themeColor="text1"/>
        </w:rPr>
      </w:pPr>
    </w:p>
    <w:p w14:paraId="3C674DF1" w14:textId="77777777"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color w:val="000000"/>
        </w:rPr>
        <w:t>Es de señalar que para tener por satisfecho el derecho de acceso a la información pública implica que cualquier persona conozca la información contenida en los documentos que se encuentren en los archivos de los Sujetos Obligados.</w:t>
      </w:r>
    </w:p>
    <w:p w14:paraId="6225EB4B" w14:textId="77777777" w:rsidR="00A566D9" w:rsidRPr="001515F0" w:rsidRDefault="00A566D9" w:rsidP="00A566D9">
      <w:pPr>
        <w:pStyle w:val="Prrafodelista"/>
        <w:tabs>
          <w:tab w:val="left" w:pos="0"/>
        </w:tabs>
        <w:spacing w:line="360" w:lineRule="auto"/>
        <w:ind w:left="0" w:right="49"/>
        <w:jc w:val="both"/>
        <w:rPr>
          <w:rFonts w:ascii="Palatino Linotype" w:hAnsi="Palatino Linotype" w:cs="Arial"/>
          <w:i/>
          <w:color w:val="000000" w:themeColor="text1"/>
        </w:rPr>
      </w:pPr>
    </w:p>
    <w:p w14:paraId="63C086CB" w14:textId="77777777"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color w:val="000000"/>
        </w:rPr>
        <w:t xml:space="preserve">Por lo tanto, la obligación de acceso a la información se tendrá por cumplida cuando el solicitante tenga a su disposición la información requerida, o cuando </w:t>
      </w:r>
      <w:r w:rsidRPr="001515F0">
        <w:rPr>
          <w:rFonts w:ascii="Palatino Linotype" w:hAnsi="Palatino Linotype"/>
          <w:color w:val="000000"/>
        </w:rPr>
        <w:lastRenderedPageBreak/>
        <w:t>realice su consulta en el lugar que ésta se localice, conforme a los artículos 3, fracción XI, XII, 4, y 24 último párrafo de la Ley de Transparencia y Acceso a la Información Pública del Estado de México y Municipios:</w:t>
      </w:r>
    </w:p>
    <w:p w14:paraId="6BFFFED2" w14:textId="77777777" w:rsidR="00A566D9" w:rsidRPr="001515F0" w:rsidRDefault="00A566D9" w:rsidP="00A566D9">
      <w:pPr>
        <w:spacing w:line="276" w:lineRule="auto"/>
        <w:ind w:left="851" w:right="18"/>
        <w:jc w:val="both"/>
        <w:rPr>
          <w:rFonts w:ascii="Palatino Linotype" w:hAnsi="Palatino Linotype" w:cs="Arial"/>
          <w:b/>
          <w:bCs/>
          <w:i/>
          <w:color w:val="000000" w:themeColor="text1"/>
          <w:sz w:val="22"/>
          <w:szCs w:val="22"/>
        </w:rPr>
      </w:pPr>
    </w:p>
    <w:p w14:paraId="56DFBFC4" w14:textId="77777777" w:rsidR="00A566D9" w:rsidRPr="001515F0" w:rsidRDefault="00A566D9" w:rsidP="00A566D9">
      <w:pPr>
        <w:spacing w:line="276" w:lineRule="auto"/>
        <w:ind w:left="851" w:right="18"/>
        <w:jc w:val="both"/>
        <w:rPr>
          <w:rFonts w:ascii="Palatino Linotype" w:hAnsi="Palatino Linotype" w:cs="Arial"/>
          <w:i/>
          <w:color w:val="000000" w:themeColor="text1"/>
          <w:sz w:val="22"/>
          <w:szCs w:val="22"/>
        </w:rPr>
      </w:pPr>
      <w:r w:rsidRPr="001515F0">
        <w:rPr>
          <w:rFonts w:ascii="Palatino Linotype" w:hAnsi="Palatino Linotype" w:cs="Arial"/>
          <w:b/>
          <w:bCs/>
          <w:i/>
          <w:color w:val="000000" w:themeColor="text1"/>
          <w:sz w:val="22"/>
          <w:szCs w:val="22"/>
        </w:rPr>
        <w:t xml:space="preserve">“Artículo 3. </w:t>
      </w:r>
      <w:r w:rsidRPr="001515F0">
        <w:rPr>
          <w:rFonts w:ascii="Palatino Linotype" w:hAnsi="Palatino Linotype" w:cs="Arial"/>
          <w:bCs/>
          <w:i/>
          <w:color w:val="000000" w:themeColor="text1"/>
          <w:sz w:val="22"/>
          <w:szCs w:val="22"/>
          <w:u w:val="single"/>
        </w:rPr>
        <w:t>Para los efectos de la presente Ley se entenderá por</w:t>
      </w:r>
      <w:r w:rsidRPr="001515F0">
        <w:rPr>
          <w:rFonts w:ascii="Palatino Linotype" w:hAnsi="Palatino Linotype" w:cs="Arial"/>
          <w:bCs/>
          <w:i/>
          <w:color w:val="000000" w:themeColor="text1"/>
          <w:sz w:val="22"/>
          <w:szCs w:val="22"/>
        </w:rPr>
        <w:t>:</w:t>
      </w:r>
    </w:p>
    <w:p w14:paraId="60CC973F" w14:textId="77777777" w:rsidR="00A566D9" w:rsidRPr="001515F0" w:rsidRDefault="00A566D9" w:rsidP="00A566D9">
      <w:pPr>
        <w:spacing w:line="276" w:lineRule="auto"/>
        <w:ind w:left="851" w:right="18"/>
        <w:jc w:val="both"/>
        <w:rPr>
          <w:rFonts w:ascii="Palatino Linotype" w:hAnsi="Palatino Linotype" w:cs="Arial"/>
          <w:i/>
          <w:sz w:val="22"/>
          <w:szCs w:val="22"/>
        </w:rPr>
      </w:pPr>
      <w:r w:rsidRPr="001515F0">
        <w:rPr>
          <w:rFonts w:ascii="Palatino Linotype" w:hAnsi="Palatino Linotype" w:cs="Arial"/>
          <w:i/>
          <w:sz w:val="22"/>
          <w:szCs w:val="22"/>
        </w:rPr>
        <w:t>…</w:t>
      </w:r>
    </w:p>
    <w:p w14:paraId="23D32BF2" w14:textId="77777777" w:rsidR="00A566D9" w:rsidRPr="001515F0" w:rsidRDefault="00A566D9" w:rsidP="00A566D9">
      <w:pPr>
        <w:spacing w:line="276" w:lineRule="auto"/>
        <w:ind w:left="851" w:right="18"/>
        <w:jc w:val="both"/>
        <w:rPr>
          <w:rFonts w:ascii="Palatino Linotype" w:hAnsi="Palatino Linotype" w:cs="Arial"/>
          <w:i/>
          <w:color w:val="000000" w:themeColor="text1"/>
          <w:sz w:val="22"/>
          <w:szCs w:val="22"/>
        </w:rPr>
      </w:pPr>
      <w:r w:rsidRPr="001515F0">
        <w:rPr>
          <w:rFonts w:ascii="Palatino Linotype" w:hAnsi="Palatino Linotype" w:cs="Arial"/>
          <w:b/>
          <w:bCs/>
          <w:i/>
          <w:color w:val="000000" w:themeColor="text1"/>
          <w:sz w:val="22"/>
          <w:szCs w:val="22"/>
        </w:rPr>
        <w:t xml:space="preserve">XI. </w:t>
      </w:r>
      <w:r w:rsidRPr="001515F0">
        <w:rPr>
          <w:rFonts w:ascii="Palatino Linotype" w:hAnsi="Palatino Linotype" w:cs="Arial"/>
          <w:b/>
          <w:bCs/>
          <w:i/>
          <w:color w:val="000000" w:themeColor="text1"/>
          <w:sz w:val="22"/>
          <w:szCs w:val="22"/>
          <w:u w:val="single"/>
        </w:rPr>
        <w:t>Documento</w:t>
      </w:r>
      <w:r w:rsidRPr="001515F0">
        <w:rPr>
          <w:rFonts w:ascii="Palatino Linotype" w:hAnsi="Palatino Linotype" w:cs="Arial"/>
          <w:b/>
          <w:bCs/>
          <w:i/>
          <w:color w:val="000000" w:themeColor="text1"/>
          <w:sz w:val="22"/>
          <w:szCs w:val="22"/>
        </w:rPr>
        <w:t xml:space="preserve">: </w:t>
      </w:r>
      <w:r w:rsidRPr="001515F0">
        <w:rPr>
          <w:rFonts w:ascii="Palatino Linotype" w:hAnsi="Palatino Linotype" w:cs="Arial"/>
          <w:i/>
          <w:color w:val="000000" w:themeColor="text1"/>
          <w:sz w:val="22"/>
          <w:szCs w:val="22"/>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749B781" w14:textId="77777777" w:rsidR="00A566D9" w:rsidRPr="001515F0" w:rsidRDefault="00A566D9" w:rsidP="00A566D9">
      <w:pPr>
        <w:spacing w:line="276" w:lineRule="auto"/>
        <w:ind w:left="851" w:right="18"/>
        <w:jc w:val="both"/>
        <w:rPr>
          <w:rFonts w:ascii="Palatino Linotype" w:hAnsi="Palatino Linotype" w:cs="Arial"/>
          <w:b/>
          <w:bCs/>
          <w:i/>
          <w:color w:val="000000" w:themeColor="text1"/>
          <w:sz w:val="22"/>
          <w:szCs w:val="22"/>
        </w:rPr>
      </w:pPr>
    </w:p>
    <w:p w14:paraId="6211D2D6" w14:textId="77777777" w:rsidR="00A566D9" w:rsidRPr="001515F0" w:rsidRDefault="00A566D9" w:rsidP="00A566D9">
      <w:pPr>
        <w:spacing w:line="276" w:lineRule="auto"/>
        <w:ind w:left="851" w:right="18"/>
        <w:jc w:val="both"/>
        <w:rPr>
          <w:rFonts w:ascii="Palatino Linotype" w:hAnsi="Palatino Linotype" w:cs="Arial"/>
          <w:bCs/>
          <w:i/>
          <w:color w:val="000000" w:themeColor="text1"/>
          <w:sz w:val="22"/>
          <w:szCs w:val="22"/>
        </w:rPr>
      </w:pPr>
      <w:r w:rsidRPr="001515F0">
        <w:rPr>
          <w:rFonts w:ascii="Palatino Linotype" w:hAnsi="Palatino Linotype" w:cs="Arial"/>
          <w:b/>
          <w:bCs/>
          <w:i/>
          <w:color w:val="000000" w:themeColor="text1"/>
          <w:sz w:val="22"/>
          <w:szCs w:val="22"/>
        </w:rPr>
        <w:t>XII. Documento electrónico:</w:t>
      </w:r>
      <w:r w:rsidRPr="001515F0">
        <w:rPr>
          <w:rFonts w:ascii="Palatino Linotype" w:hAnsi="Palatino Linotype" w:cs="Arial"/>
          <w:bCs/>
          <w:i/>
          <w:color w:val="000000" w:themeColor="text1"/>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60D24910" w14:textId="77777777" w:rsidR="00A566D9" w:rsidRPr="001515F0" w:rsidRDefault="00A566D9" w:rsidP="00A566D9">
      <w:pPr>
        <w:spacing w:line="276" w:lineRule="auto"/>
        <w:ind w:left="851" w:right="18"/>
        <w:jc w:val="both"/>
        <w:rPr>
          <w:rFonts w:ascii="Palatino Linotype" w:hAnsi="Palatino Linotype" w:cs="Arial"/>
          <w:i/>
          <w:color w:val="000000" w:themeColor="text1"/>
          <w:sz w:val="22"/>
          <w:szCs w:val="22"/>
        </w:rPr>
      </w:pPr>
      <w:r w:rsidRPr="001515F0">
        <w:rPr>
          <w:rFonts w:ascii="Palatino Linotype" w:hAnsi="Palatino Linotype" w:cs="Arial"/>
          <w:i/>
          <w:color w:val="000000" w:themeColor="text1"/>
          <w:sz w:val="22"/>
          <w:szCs w:val="22"/>
        </w:rPr>
        <w:t>…</w:t>
      </w:r>
    </w:p>
    <w:p w14:paraId="7E49C52C" w14:textId="77777777" w:rsidR="00A566D9" w:rsidRPr="001515F0" w:rsidRDefault="00A566D9" w:rsidP="00A566D9">
      <w:pPr>
        <w:spacing w:line="276" w:lineRule="auto"/>
        <w:ind w:left="851" w:right="18"/>
        <w:jc w:val="both"/>
        <w:rPr>
          <w:rFonts w:ascii="Palatino Linotype" w:hAnsi="Palatino Linotype" w:cs="Arial"/>
          <w:bCs/>
          <w:i/>
          <w:color w:val="000000" w:themeColor="text1"/>
          <w:sz w:val="22"/>
          <w:szCs w:val="22"/>
        </w:rPr>
      </w:pPr>
      <w:r w:rsidRPr="001515F0">
        <w:rPr>
          <w:rFonts w:ascii="Palatino Linotype" w:hAnsi="Palatino Linotype" w:cs="Arial"/>
          <w:b/>
          <w:bCs/>
          <w:i/>
          <w:color w:val="000000" w:themeColor="text1"/>
          <w:sz w:val="22"/>
          <w:szCs w:val="22"/>
        </w:rPr>
        <w:t xml:space="preserve">Artículo 4. </w:t>
      </w:r>
      <w:r w:rsidRPr="001515F0">
        <w:rPr>
          <w:rFonts w:ascii="Palatino Linotype" w:hAnsi="Palatino Linotype" w:cs="Arial"/>
          <w:bCs/>
          <w:i/>
          <w:color w:val="000000" w:themeColor="text1"/>
          <w:sz w:val="22"/>
          <w:szCs w:val="22"/>
          <w:u w:val="single"/>
        </w:rPr>
        <w:t>El derecho humano de acceso a la información pública es la prerrogativa de las personas para buscar, difundir, investigar, recabar, recibir y solicitar información pública</w:t>
      </w:r>
      <w:r w:rsidRPr="001515F0">
        <w:rPr>
          <w:rFonts w:ascii="Palatino Linotype" w:hAnsi="Palatino Linotype" w:cs="Arial"/>
          <w:bCs/>
          <w:i/>
          <w:color w:val="000000" w:themeColor="text1"/>
          <w:sz w:val="22"/>
          <w:szCs w:val="22"/>
        </w:rPr>
        <w:t>, sin necesidad de acreditar personalidad ni interés jurídico.</w:t>
      </w:r>
    </w:p>
    <w:p w14:paraId="6F1E2B6F" w14:textId="77777777" w:rsidR="00A566D9" w:rsidRPr="001515F0" w:rsidRDefault="00A566D9" w:rsidP="00A566D9">
      <w:pPr>
        <w:spacing w:line="276" w:lineRule="auto"/>
        <w:ind w:left="851" w:right="18"/>
        <w:jc w:val="both"/>
        <w:rPr>
          <w:rFonts w:ascii="Palatino Linotype" w:hAnsi="Palatino Linotype" w:cs="Arial"/>
          <w:i/>
          <w:color w:val="000000" w:themeColor="text1"/>
          <w:sz w:val="22"/>
          <w:szCs w:val="22"/>
          <w:u w:val="single"/>
        </w:rPr>
      </w:pPr>
    </w:p>
    <w:p w14:paraId="7375244D" w14:textId="77777777" w:rsidR="00A566D9" w:rsidRPr="001515F0" w:rsidRDefault="00A566D9" w:rsidP="00A566D9">
      <w:pPr>
        <w:spacing w:line="276" w:lineRule="auto"/>
        <w:ind w:left="851" w:right="18"/>
        <w:jc w:val="both"/>
        <w:rPr>
          <w:rFonts w:ascii="Palatino Linotype" w:hAnsi="Palatino Linotype" w:cs="Arial"/>
          <w:i/>
          <w:color w:val="000000" w:themeColor="text1"/>
          <w:sz w:val="22"/>
          <w:szCs w:val="22"/>
        </w:rPr>
      </w:pPr>
      <w:r w:rsidRPr="001515F0">
        <w:rPr>
          <w:rFonts w:ascii="Palatino Linotype" w:hAnsi="Palatino Linotype" w:cs="Arial"/>
          <w:i/>
          <w:color w:val="000000" w:themeColor="text1"/>
          <w:sz w:val="22"/>
          <w:szCs w:val="22"/>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1515F0">
        <w:rPr>
          <w:rFonts w:ascii="Palatino Linotype" w:hAnsi="Palatino Linotype" w:cs="Arial"/>
          <w:i/>
          <w:color w:val="000000" w:themeColor="text1"/>
          <w:sz w:val="22"/>
          <w:szCs w:val="22"/>
        </w:rPr>
        <w:t xml:space="preserve"> Solo podrá ser clasificada excepcionalmente como reservada temporalmente </w:t>
      </w:r>
      <w:r w:rsidRPr="001515F0">
        <w:rPr>
          <w:rFonts w:ascii="Palatino Linotype" w:hAnsi="Palatino Linotype" w:cs="Arial"/>
          <w:i/>
          <w:color w:val="000000" w:themeColor="text1"/>
          <w:sz w:val="22"/>
          <w:szCs w:val="22"/>
        </w:rPr>
        <w:lastRenderedPageBreak/>
        <w:t>por razones de interés público, en los términos de las causas legítimas y estrictamente necesarias previstas por esta Ley.</w:t>
      </w:r>
    </w:p>
    <w:p w14:paraId="6FFE9C39" w14:textId="77777777" w:rsidR="00A566D9" w:rsidRPr="001515F0" w:rsidRDefault="00A566D9" w:rsidP="00A566D9">
      <w:pPr>
        <w:spacing w:line="276" w:lineRule="auto"/>
        <w:ind w:left="851" w:right="18"/>
        <w:jc w:val="both"/>
        <w:rPr>
          <w:rFonts w:ascii="Palatino Linotype" w:hAnsi="Palatino Linotype" w:cs="Arial"/>
          <w:i/>
          <w:color w:val="000000" w:themeColor="text1"/>
          <w:sz w:val="22"/>
          <w:szCs w:val="22"/>
        </w:rPr>
      </w:pPr>
    </w:p>
    <w:p w14:paraId="15BC3976" w14:textId="77777777" w:rsidR="00A566D9" w:rsidRPr="001515F0" w:rsidRDefault="00A566D9" w:rsidP="00A566D9">
      <w:pPr>
        <w:spacing w:line="276" w:lineRule="auto"/>
        <w:ind w:left="851" w:right="18"/>
        <w:jc w:val="both"/>
        <w:rPr>
          <w:rFonts w:ascii="Palatino Linotype" w:hAnsi="Palatino Linotype" w:cs="Arial"/>
          <w:i/>
          <w:color w:val="000000" w:themeColor="text1"/>
          <w:sz w:val="22"/>
          <w:szCs w:val="22"/>
        </w:rPr>
      </w:pPr>
      <w:r w:rsidRPr="001515F0">
        <w:rPr>
          <w:rFonts w:ascii="Palatino Linotype" w:hAnsi="Palatino Linotype" w:cs="Arial"/>
          <w:i/>
          <w:color w:val="000000" w:themeColor="text1"/>
          <w:sz w:val="22"/>
          <w:szCs w:val="22"/>
        </w:rPr>
        <w:t>Los sujetos obligados deben poner en práctica, políticas y programas de acceso a la información que se apeguen a criterios de publicidad, veracidad, oportunidad, precisión y suficiencia en beneficio de los solicitantes.</w:t>
      </w:r>
    </w:p>
    <w:p w14:paraId="70F515FE" w14:textId="77777777" w:rsidR="00A566D9" w:rsidRPr="001515F0" w:rsidRDefault="00A566D9" w:rsidP="00A566D9">
      <w:pPr>
        <w:spacing w:line="276" w:lineRule="auto"/>
        <w:ind w:left="851" w:right="18"/>
        <w:jc w:val="both"/>
        <w:rPr>
          <w:rFonts w:ascii="Palatino Linotype" w:hAnsi="Palatino Linotype" w:cs="Arial"/>
          <w:b/>
          <w:bCs/>
          <w:i/>
          <w:color w:val="000000" w:themeColor="text1"/>
          <w:sz w:val="22"/>
          <w:szCs w:val="22"/>
        </w:rPr>
      </w:pPr>
    </w:p>
    <w:p w14:paraId="05599EF9" w14:textId="77777777" w:rsidR="00A566D9" w:rsidRPr="001515F0" w:rsidRDefault="00A566D9" w:rsidP="00A566D9">
      <w:pPr>
        <w:spacing w:line="276" w:lineRule="auto"/>
        <w:ind w:left="851" w:right="18"/>
        <w:jc w:val="both"/>
        <w:rPr>
          <w:rFonts w:ascii="Palatino Linotype" w:hAnsi="Palatino Linotype" w:cs="Arial"/>
          <w:i/>
          <w:color w:val="000000" w:themeColor="text1"/>
          <w:sz w:val="22"/>
          <w:szCs w:val="22"/>
        </w:rPr>
      </w:pPr>
      <w:r w:rsidRPr="001515F0">
        <w:rPr>
          <w:rFonts w:ascii="Palatino Linotype" w:hAnsi="Palatino Linotype" w:cs="Arial"/>
          <w:b/>
          <w:bCs/>
          <w:i/>
          <w:color w:val="000000" w:themeColor="text1"/>
          <w:sz w:val="22"/>
          <w:szCs w:val="22"/>
        </w:rPr>
        <w:t xml:space="preserve">Artículo 24. </w:t>
      </w:r>
      <w:r w:rsidRPr="001515F0">
        <w:rPr>
          <w:rFonts w:ascii="Palatino Linotype" w:hAnsi="Palatino Linotype" w:cs="Arial"/>
          <w:i/>
          <w:color w:val="000000" w:themeColor="text1"/>
          <w:sz w:val="22"/>
          <w:szCs w:val="22"/>
          <w:u w:val="single"/>
        </w:rPr>
        <w:t>Para el cumplimiento de los objetivos de esta Ley, los sujetos obligados deberán cumplir con las siguientes obligaciones, según corresponda, de acuerdo a su naturaleza:</w:t>
      </w:r>
    </w:p>
    <w:p w14:paraId="5A3466EF" w14:textId="77777777" w:rsidR="00A566D9" w:rsidRPr="001515F0" w:rsidRDefault="00A566D9" w:rsidP="00A566D9">
      <w:pPr>
        <w:spacing w:line="276" w:lineRule="auto"/>
        <w:ind w:left="851" w:right="18"/>
        <w:jc w:val="both"/>
        <w:rPr>
          <w:rFonts w:ascii="Palatino Linotype" w:hAnsi="Palatino Linotype" w:cs="Arial"/>
          <w:i/>
          <w:color w:val="000000" w:themeColor="text1"/>
          <w:sz w:val="22"/>
          <w:szCs w:val="22"/>
        </w:rPr>
      </w:pPr>
      <w:r w:rsidRPr="001515F0">
        <w:rPr>
          <w:rFonts w:ascii="Palatino Linotype" w:hAnsi="Palatino Linotype" w:cs="Arial"/>
          <w:bCs/>
          <w:i/>
          <w:color w:val="000000" w:themeColor="text1"/>
          <w:sz w:val="22"/>
          <w:szCs w:val="22"/>
        </w:rPr>
        <w:t>..</w:t>
      </w:r>
      <w:r w:rsidRPr="001515F0">
        <w:rPr>
          <w:rFonts w:ascii="Palatino Linotype" w:hAnsi="Palatino Linotype" w:cs="Arial"/>
          <w:i/>
          <w:color w:val="000000" w:themeColor="text1"/>
          <w:sz w:val="22"/>
          <w:szCs w:val="22"/>
        </w:rPr>
        <w:t>.</w:t>
      </w:r>
    </w:p>
    <w:p w14:paraId="275DCCAC" w14:textId="77777777" w:rsidR="00A566D9" w:rsidRPr="001515F0" w:rsidRDefault="00A566D9" w:rsidP="00A566D9">
      <w:pPr>
        <w:spacing w:line="276" w:lineRule="auto"/>
        <w:ind w:left="851" w:right="18"/>
        <w:jc w:val="both"/>
        <w:rPr>
          <w:rFonts w:ascii="Palatino Linotype" w:hAnsi="Palatino Linotype" w:cs="Arial"/>
          <w:i/>
          <w:color w:val="000000" w:themeColor="text1"/>
          <w:sz w:val="22"/>
          <w:szCs w:val="22"/>
          <w:u w:val="single"/>
        </w:rPr>
      </w:pPr>
      <w:r w:rsidRPr="001515F0">
        <w:rPr>
          <w:rFonts w:ascii="Palatino Linotype" w:hAnsi="Palatino Linotype" w:cs="Arial"/>
          <w:i/>
          <w:color w:val="000000" w:themeColor="text1"/>
          <w:sz w:val="22"/>
          <w:szCs w:val="22"/>
          <w:u w:val="single"/>
        </w:rPr>
        <w:t>Los sujetos obligados solo proporcionarán la información pública que generen, administren o posean en el ejercicio de sus atribuciones.</w:t>
      </w:r>
    </w:p>
    <w:p w14:paraId="5481A0E6" w14:textId="77777777" w:rsidR="00A566D9" w:rsidRPr="001515F0" w:rsidRDefault="00A566D9" w:rsidP="00A566D9">
      <w:pPr>
        <w:ind w:left="851" w:right="18"/>
        <w:jc w:val="both"/>
        <w:rPr>
          <w:rFonts w:ascii="Palatino Linotype" w:hAnsi="Palatino Linotype" w:cs="Arial"/>
          <w:i/>
          <w:color w:val="000000" w:themeColor="text1"/>
          <w:sz w:val="22"/>
          <w:szCs w:val="22"/>
          <w:u w:val="single"/>
        </w:rPr>
      </w:pPr>
    </w:p>
    <w:p w14:paraId="0C067D29" w14:textId="77777777"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color w:val="000000"/>
        </w:rPr>
        <w:t xml:space="preserve">Si bien es cierto, el ejercicio del derecho de acceso a la información pública es la prerrogativa de las personas para buscar, difundir, investigar, recabar, recibir y solicitar información pública, sin necesidad de acreditar personalidad ni interés jurídico y que </w:t>
      </w:r>
      <w:r w:rsidRPr="001515F0">
        <w:rPr>
          <w:rFonts w:ascii="Palatino Linotype" w:hAnsi="Palatino Linotype" w:cs="Arial"/>
          <w:color w:val="000000" w:themeColor="text1"/>
        </w:rPr>
        <w:t xml:space="preserve">toda la información generada, obtenida, adquirida, transformada, administrada o en posesión de los sujetos obligados es pública y accesible de manera permanente a cualquier persona; </w:t>
      </w:r>
      <w:r w:rsidRPr="001515F0">
        <w:rPr>
          <w:rFonts w:ascii="Palatino Linotype" w:hAnsi="Palatino Linotype"/>
          <w:color w:val="000000"/>
        </w:rPr>
        <w:t>también lo es que los</w:t>
      </w:r>
      <w:r w:rsidRPr="001515F0">
        <w:rPr>
          <w:rFonts w:ascii="Palatino Linotype" w:hAnsi="Palatino Linotype" w:cs="Arial"/>
          <w:color w:val="000000" w:themeColor="text1"/>
        </w:rPr>
        <w:t xml:space="preserve"> sujetos obligados solo proporcionarán la información pública que generen, administren o posean en el ejercicio de sus atribuciones.</w:t>
      </w:r>
    </w:p>
    <w:p w14:paraId="6FFC4D0E" w14:textId="77777777" w:rsidR="00A566D9" w:rsidRPr="001515F0" w:rsidRDefault="00A566D9" w:rsidP="00A566D9">
      <w:pPr>
        <w:pStyle w:val="Prrafodelista"/>
        <w:tabs>
          <w:tab w:val="left" w:pos="0"/>
        </w:tabs>
        <w:spacing w:line="360" w:lineRule="auto"/>
        <w:ind w:left="0" w:right="49"/>
        <w:jc w:val="both"/>
        <w:rPr>
          <w:rFonts w:ascii="Palatino Linotype" w:hAnsi="Palatino Linotype" w:cs="Arial"/>
          <w:i/>
          <w:color w:val="000000" w:themeColor="text1"/>
        </w:rPr>
      </w:pPr>
    </w:p>
    <w:p w14:paraId="3D251702" w14:textId="77777777"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color w:val="000000"/>
        </w:rPr>
        <w:t xml:space="preserve">Asimismo, es obligación de los sujetos obligados permitir el acceso a su información pública, es decir, otorgar el acceso a la información que se haya solicitado y que obre en sus archivos tal y como fue generado el documento, por lo que no tienen la obligación de procesarla, resumirla, efectuar cálculos o practicar </w:t>
      </w:r>
      <w:r w:rsidRPr="001515F0">
        <w:rPr>
          <w:rFonts w:ascii="Palatino Linotype" w:hAnsi="Palatino Linotype"/>
          <w:color w:val="000000"/>
        </w:rPr>
        <w:lastRenderedPageBreak/>
        <w:t xml:space="preserve">investigaciones, sino que </w:t>
      </w:r>
      <w:r w:rsidRPr="001515F0">
        <w:rPr>
          <w:rFonts w:ascii="Palatino Linotype" w:eastAsia="MS Mincho" w:hAnsi="Palatino Linotype"/>
        </w:rPr>
        <w:t xml:space="preserve">deberá ser entregada en solicitudes de información en el estado en que se encuentre, de conformidad con lo que establece el artículo 12 de la Ley de Transparencia y Acceso a la Información Pública del Estado de México y Municipios, que a la letra dice: </w:t>
      </w:r>
    </w:p>
    <w:p w14:paraId="52F08A8E" w14:textId="77777777" w:rsidR="00A566D9" w:rsidRPr="001515F0" w:rsidRDefault="00A566D9" w:rsidP="00A566D9">
      <w:pPr>
        <w:spacing w:before="240" w:after="240" w:line="276" w:lineRule="auto"/>
        <w:ind w:left="567" w:right="18"/>
        <w:contextualSpacing/>
        <w:jc w:val="both"/>
        <w:rPr>
          <w:rFonts w:ascii="Palatino Linotype" w:hAnsi="Palatino Linotype"/>
          <w:i/>
          <w:sz w:val="22"/>
          <w:szCs w:val="22"/>
        </w:rPr>
      </w:pPr>
      <w:r w:rsidRPr="001515F0">
        <w:rPr>
          <w:rFonts w:ascii="Palatino Linotype" w:hAnsi="Palatino Linotype"/>
          <w:i/>
          <w:sz w:val="22"/>
          <w:szCs w:val="22"/>
        </w:rPr>
        <w:t>“</w:t>
      </w:r>
      <w:r w:rsidRPr="001515F0">
        <w:rPr>
          <w:rFonts w:ascii="Palatino Linotype" w:hAnsi="Palatino Linotype"/>
          <w:b/>
          <w:i/>
          <w:sz w:val="22"/>
          <w:szCs w:val="22"/>
        </w:rPr>
        <w:t>Artículo 12.</w:t>
      </w:r>
      <w:r w:rsidRPr="001515F0">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10059D3" w14:textId="77777777" w:rsidR="00A566D9" w:rsidRPr="001515F0" w:rsidRDefault="00A566D9" w:rsidP="00A566D9">
      <w:pPr>
        <w:spacing w:before="240" w:after="240" w:line="276" w:lineRule="auto"/>
        <w:ind w:left="567" w:right="18"/>
        <w:contextualSpacing/>
        <w:jc w:val="both"/>
        <w:rPr>
          <w:rFonts w:ascii="Palatino Linotype" w:hAnsi="Palatino Linotype"/>
          <w:i/>
          <w:sz w:val="22"/>
          <w:szCs w:val="22"/>
        </w:rPr>
      </w:pPr>
    </w:p>
    <w:p w14:paraId="3582F79A" w14:textId="77777777" w:rsidR="00A566D9" w:rsidRPr="001515F0" w:rsidRDefault="00A566D9" w:rsidP="00A566D9">
      <w:pPr>
        <w:spacing w:before="240" w:after="240" w:line="276" w:lineRule="auto"/>
        <w:ind w:left="567" w:right="18"/>
        <w:contextualSpacing/>
        <w:jc w:val="both"/>
        <w:rPr>
          <w:rFonts w:ascii="Palatino Linotype" w:hAnsi="Palatino Linotype"/>
          <w:i/>
          <w:sz w:val="22"/>
          <w:szCs w:val="22"/>
        </w:rPr>
      </w:pPr>
      <w:r w:rsidRPr="001515F0">
        <w:rPr>
          <w:rFonts w:ascii="Palatino Linotype" w:hAnsi="Palatino Linotype"/>
          <w:b/>
          <w:i/>
          <w:sz w:val="22"/>
          <w:szCs w:val="22"/>
        </w:rPr>
        <w:t>Los sujetos obligados sólo proporcionarán la información pública</w:t>
      </w:r>
      <w:r w:rsidRPr="001515F0">
        <w:rPr>
          <w:rFonts w:ascii="Palatino Linotype" w:hAnsi="Palatino Linotype"/>
          <w:i/>
          <w:sz w:val="22"/>
          <w:szCs w:val="22"/>
        </w:rPr>
        <w:t xml:space="preserve"> que se les requiera y </w:t>
      </w:r>
      <w:r w:rsidRPr="001515F0">
        <w:rPr>
          <w:rFonts w:ascii="Palatino Linotype" w:hAnsi="Palatino Linotype"/>
          <w:b/>
          <w:i/>
          <w:sz w:val="22"/>
          <w:szCs w:val="22"/>
        </w:rPr>
        <w:t>que obre en sus archivos y en el estado en que ésta se encuentre</w:t>
      </w:r>
      <w:r w:rsidRPr="001515F0">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7C61A3D6" w14:textId="77777777" w:rsidR="00A566D9"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hAnsi="Palatino Linotype" w:cs="Arial"/>
          <w:color w:val="000000" w:themeColor="text1"/>
        </w:rPr>
        <w:t xml:space="preserve">De conformidad con lo establecido en el artículo 3, fracción XLI y 23 fracción IV de la Ley de Transparencia y Acceso a la Información Pública del Estado de México y Municipios, los ayuntamientos </w:t>
      </w:r>
      <w:r w:rsidRPr="001515F0">
        <w:rPr>
          <w:rFonts w:ascii="Palatino Linotype" w:hAnsi="Palatino Linotype"/>
        </w:rPr>
        <w:t>y las dependencias, organismos, órganos y entidades de la administración municipal</w:t>
      </w:r>
      <w:r w:rsidRPr="001515F0">
        <w:rPr>
          <w:rFonts w:ascii="Palatino Linotype" w:hAnsi="Palatino Linotype"/>
          <w:color w:val="000000"/>
        </w:rPr>
        <w:t xml:space="preserve">, </w:t>
      </w:r>
      <w:r w:rsidRPr="001515F0">
        <w:rPr>
          <w:rFonts w:ascii="Palatino Linotype" w:hAnsi="Palatino Linotype" w:cs="Arial"/>
          <w:color w:val="000000" w:themeColor="text1"/>
        </w:rPr>
        <w:t>son sujetos obligados a transparentar y permitir el acceso a su información.</w:t>
      </w:r>
    </w:p>
    <w:p w14:paraId="04EE2AE9" w14:textId="77777777" w:rsidR="00A566D9" w:rsidRPr="001515F0" w:rsidRDefault="00A566D9" w:rsidP="00A566D9">
      <w:pPr>
        <w:pStyle w:val="Prrafodelista"/>
        <w:ind w:left="0"/>
        <w:rPr>
          <w:rFonts w:ascii="Palatino Linotype" w:eastAsia="Calibri" w:hAnsi="Palatino Linotype" w:cs="Arial"/>
          <w:b/>
          <w:color w:val="000000" w:themeColor="text1"/>
        </w:rPr>
      </w:pPr>
    </w:p>
    <w:p w14:paraId="3FF0E225" w14:textId="77777777" w:rsidR="00A566D9" w:rsidRPr="001515F0" w:rsidRDefault="00A566D9" w:rsidP="00A566D9">
      <w:pPr>
        <w:pStyle w:val="Prrafodelista"/>
        <w:ind w:left="0"/>
        <w:rPr>
          <w:rFonts w:ascii="Palatino Linotype" w:eastAsia="Calibri" w:hAnsi="Palatino Linotype" w:cs="Arial"/>
          <w:b/>
          <w:i/>
          <w:color w:val="000000" w:themeColor="text1"/>
        </w:rPr>
      </w:pPr>
      <w:r w:rsidRPr="001515F0">
        <w:rPr>
          <w:rFonts w:ascii="Palatino Linotype" w:eastAsia="Calibri" w:hAnsi="Palatino Linotype" w:cs="Arial"/>
          <w:b/>
          <w:i/>
          <w:color w:val="000000" w:themeColor="text1"/>
        </w:rPr>
        <w:t xml:space="preserve">b) De la respuesta del Sujeto Obligado </w:t>
      </w:r>
    </w:p>
    <w:p w14:paraId="17207372" w14:textId="77777777" w:rsidR="00A566D9" w:rsidRPr="001515F0" w:rsidRDefault="00A566D9" w:rsidP="00A566D9">
      <w:pPr>
        <w:pStyle w:val="Prrafodelista"/>
        <w:ind w:left="1440"/>
        <w:rPr>
          <w:rFonts w:ascii="Palatino Linotype" w:eastAsia="Calibri" w:hAnsi="Palatino Linotype" w:cs="Arial"/>
          <w:color w:val="000000" w:themeColor="text1"/>
        </w:rPr>
      </w:pPr>
    </w:p>
    <w:p w14:paraId="2C0E4FBB" w14:textId="4AC47D2C" w:rsidR="00F92C71" w:rsidRPr="001515F0" w:rsidRDefault="00A566D9" w:rsidP="00A566D9">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515F0">
        <w:rPr>
          <w:rFonts w:ascii="Palatino Linotype" w:eastAsia="Calibri" w:hAnsi="Palatino Linotype" w:cs="Arial"/>
          <w:color w:val="000000" w:themeColor="text1"/>
        </w:rPr>
        <w:t xml:space="preserve">El </w:t>
      </w:r>
      <w:r w:rsidRPr="001515F0">
        <w:rPr>
          <w:rFonts w:ascii="Palatino Linotype" w:hAnsi="Palatino Linotype" w:cs="Arial"/>
          <w:color w:val="000000" w:themeColor="text1"/>
        </w:rPr>
        <w:t xml:space="preserve">ahora recurrente, solicitó del </w:t>
      </w:r>
      <w:r w:rsidRPr="001515F0">
        <w:rPr>
          <w:rFonts w:ascii="Palatino Linotype" w:hAnsi="Palatino Linotype" w:cs="Arial"/>
          <w:b/>
          <w:color w:val="000000" w:themeColor="text1"/>
        </w:rPr>
        <w:t>SUJETO OBLIGADO</w:t>
      </w:r>
      <w:r w:rsidR="00F92C71" w:rsidRPr="001515F0">
        <w:rPr>
          <w:rFonts w:ascii="Palatino Linotype" w:hAnsi="Palatino Linotype" w:cs="Arial"/>
          <w:b/>
          <w:color w:val="000000" w:themeColor="text1"/>
        </w:rPr>
        <w:t xml:space="preserve">, </w:t>
      </w:r>
      <w:r w:rsidR="00F92C71" w:rsidRPr="001515F0">
        <w:rPr>
          <w:rFonts w:ascii="Palatino Linotype" w:hAnsi="Palatino Linotype" w:cs="Arial"/>
          <w:color w:val="000000" w:themeColor="text1"/>
        </w:rPr>
        <w:t>en relación a su inventario de bienes inmuebles</w:t>
      </w:r>
      <w:r w:rsidR="00F92C71" w:rsidRPr="001515F0">
        <w:rPr>
          <w:rFonts w:ascii="Palatino Linotype" w:hAnsi="Palatino Linotype" w:cs="Arial"/>
          <w:b/>
          <w:color w:val="000000" w:themeColor="text1"/>
        </w:rPr>
        <w:t xml:space="preserve"> </w:t>
      </w:r>
      <w:r w:rsidR="00F92C71" w:rsidRPr="001515F0">
        <w:rPr>
          <w:rFonts w:ascii="Palatino Linotype" w:eastAsia="Calibri" w:hAnsi="Palatino Linotype" w:cs="Arial"/>
          <w:lang w:val="es-ES"/>
        </w:rPr>
        <w:t>lo siguiente:</w:t>
      </w:r>
    </w:p>
    <w:p w14:paraId="218A34AA" w14:textId="0A49D415" w:rsidR="00F92C71" w:rsidRPr="001515F0" w:rsidRDefault="00F92C71" w:rsidP="00F92C71">
      <w:pPr>
        <w:pStyle w:val="Prrafodelista"/>
        <w:tabs>
          <w:tab w:val="left" w:pos="0"/>
        </w:tabs>
        <w:spacing w:line="360" w:lineRule="auto"/>
        <w:ind w:left="0" w:right="49"/>
        <w:jc w:val="both"/>
        <w:rPr>
          <w:rFonts w:ascii="Palatino Linotype" w:eastAsia="Calibri" w:hAnsi="Palatino Linotype" w:cs="Arial"/>
        </w:rPr>
      </w:pPr>
    </w:p>
    <w:p w14:paraId="1A1FDAB5" w14:textId="318CD3CA" w:rsidR="00F92C71" w:rsidRPr="001515F0" w:rsidRDefault="00AF7651" w:rsidP="00F92C71">
      <w:pPr>
        <w:pStyle w:val="Prrafodelista"/>
        <w:tabs>
          <w:tab w:val="left" w:pos="0"/>
        </w:tabs>
        <w:spacing w:line="360" w:lineRule="auto"/>
        <w:ind w:left="900" w:right="49"/>
        <w:jc w:val="both"/>
        <w:rPr>
          <w:rFonts w:ascii="Palatino Linotype" w:hAnsi="Palatino Linotype"/>
          <w:iCs/>
          <w:color w:val="000000"/>
        </w:rPr>
      </w:pPr>
      <w:r w:rsidRPr="001515F0">
        <w:rPr>
          <w:rFonts w:ascii="Palatino Linotype" w:hAnsi="Palatino Linotype"/>
          <w:b/>
          <w:iCs/>
          <w:color w:val="000000"/>
        </w:rPr>
        <w:lastRenderedPageBreak/>
        <w:t>a)</w:t>
      </w:r>
      <w:r w:rsidR="00F92C71" w:rsidRPr="001515F0">
        <w:rPr>
          <w:rFonts w:ascii="Palatino Linotype" w:hAnsi="Palatino Linotype"/>
          <w:iCs/>
          <w:color w:val="000000"/>
        </w:rPr>
        <w:t xml:space="preserve"> Cuáles son las medidas del terreno que refieren con el número progresivo “86” y que dice ser “baldío” con ubicación en “bosque palma de dátil”;</w:t>
      </w:r>
    </w:p>
    <w:p w14:paraId="45C186B3" w14:textId="42705288" w:rsidR="00F92C71" w:rsidRPr="001515F0" w:rsidRDefault="00AF7651" w:rsidP="00F92C71">
      <w:pPr>
        <w:pStyle w:val="Prrafodelista"/>
        <w:tabs>
          <w:tab w:val="left" w:pos="0"/>
        </w:tabs>
        <w:spacing w:line="360" w:lineRule="auto"/>
        <w:ind w:left="900" w:right="49"/>
        <w:jc w:val="both"/>
        <w:rPr>
          <w:rFonts w:ascii="Palatino Linotype" w:hAnsi="Palatino Linotype"/>
          <w:iCs/>
          <w:color w:val="000000"/>
        </w:rPr>
      </w:pPr>
      <w:r w:rsidRPr="001515F0">
        <w:rPr>
          <w:rFonts w:ascii="Palatino Linotype" w:hAnsi="Palatino Linotype"/>
          <w:b/>
          <w:iCs/>
          <w:color w:val="000000"/>
        </w:rPr>
        <w:t xml:space="preserve">b) </w:t>
      </w:r>
      <w:r w:rsidR="00F92C71" w:rsidRPr="001515F0">
        <w:rPr>
          <w:rFonts w:ascii="Palatino Linotype" w:hAnsi="Palatino Linotype"/>
          <w:iCs/>
          <w:color w:val="000000"/>
        </w:rPr>
        <w:t>Cuáles son las medidas del terreno que refieren con el número progresivo “80” y que dice ser “baldío” con ubicación en “sobre Av. palo solo”;</w:t>
      </w:r>
    </w:p>
    <w:p w14:paraId="1B6E108A" w14:textId="0BD02A2A" w:rsidR="00F92C71" w:rsidRPr="001515F0" w:rsidRDefault="00AF7651" w:rsidP="00F92C71">
      <w:pPr>
        <w:pStyle w:val="Prrafodelista"/>
        <w:tabs>
          <w:tab w:val="left" w:pos="0"/>
        </w:tabs>
        <w:spacing w:line="360" w:lineRule="auto"/>
        <w:ind w:left="900" w:right="49"/>
        <w:jc w:val="both"/>
        <w:rPr>
          <w:rFonts w:ascii="Palatino Linotype" w:hAnsi="Palatino Linotype"/>
          <w:iCs/>
          <w:color w:val="000000"/>
        </w:rPr>
      </w:pPr>
      <w:r w:rsidRPr="001515F0">
        <w:rPr>
          <w:rFonts w:ascii="Palatino Linotype" w:hAnsi="Palatino Linotype"/>
          <w:b/>
          <w:iCs/>
          <w:color w:val="000000"/>
        </w:rPr>
        <w:t>c)</w:t>
      </w:r>
      <w:r w:rsidR="00F92C71" w:rsidRPr="001515F0">
        <w:rPr>
          <w:rFonts w:ascii="Palatino Linotype" w:hAnsi="Palatino Linotype"/>
          <w:iCs/>
          <w:color w:val="000000"/>
        </w:rPr>
        <w:t xml:space="preserve"> Cuáles son las medidas del terreno que refieren con el número progresivo “60” y que dice ser “terreno” con ubicación en “paraje loma cebada”;</w:t>
      </w:r>
    </w:p>
    <w:p w14:paraId="267A789F" w14:textId="34CAFE07" w:rsidR="00F92C71" w:rsidRPr="001515F0" w:rsidRDefault="00AF7651" w:rsidP="00F92C71">
      <w:pPr>
        <w:pStyle w:val="Prrafodelista"/>
        <w:tabs>
          <w:tab w:val="left" w:pos="0"/>
        </w:tabs>
        <w:spacing w:line="360" w:lineRule="auto"/>
        <w:ind w:left="900" w:right="49"/>
        <w:jc w:val="both"/>
        <w:rPr>
          <w:rFonts w:ascii="Palatino Linotype" w:hAnsi="Palatino Linotype"/>
          <w:iCs/>
          <w:color w:val="000000"/>
        </w:rPr>
      </w:pPr>
      <w:r w:rsidRPr="001515F0">
        <w:rPr>
          <w:rFonts w:ascii="Palatino Linotype" w:hAnsi="Palatino Linotype"/>
          <w:b/>
          <w:iCs/>
          <w:color w:val="000000"/>
        </w:rPr>
        <w:t>d)</w:t>
      </w:r>
      <w:r w:rsidR="00F92C71" w:rsidRPr="001515F0">
        <w:rPr>
          <w:rFonts w:ascii="Palatino Linotype" w:hAnsi="Palatino Linotype"/>
          <w:b/>
          <w:iCs/>
          <w:color w:val="000000"/>
        </w:rPr>
        <w:t>.</w:t>
      </w:r>
      <w:r w:rsidR="00F92C71" w:rsidRPr="001515F0">
        <w:rPr>
          <w:rFonts w:ascii="Palatino Linotype" w:hAnsi="Palatino Linotype"/>
          <w:iCs/>
          <w:color w:val="000000"/>
        </w:rPr>
        <w:t xml:space="preserve"> Cuáles son las claves catastrales de todos los inmuebles anteriores </w:t>
      </w:r>
    </w:p>
    <w:p w14:paraId="640DB691" w14:textId="3F03DADC" w:rsidR="00F92C71" w:rsidRPr="001515F0" w:rsidRDefault="00AF7651" w:rsidP="00F92C71">
      <w:pPr>
        <w:pStyle w:val="Prrafodelista"/>
        <w:tabs>
          <w:tab w:val="left" w:pos="0"/>
        </w:tabs>
        <w:spacing w:line="360" w:lineRule="auto"/>
        <w:ind w:left="900" w:right="49"/>
        <w:jc w:val="both"/>
        <w:rPr>
          <w:rFonts w:ascii="Palatino Linotype" w:hAnsi="Palatino Linotype"/>
          <w:iCs/>
          <w:color w:val="000000"/>
        </w:rPr>
      </w:pPr>
      <w:r w:rsidRPr="001515F0">
        <w:rPr>
          <w:rFonts w:ascii="Palatino Linotype" w:hAnsi="Palatino Linotype"/>
          <w:b/>
          <w:iCs/>
          <w:color w:val="000000"/>
        </w:rPr>
        <w:t>e)</w:t>
      </w:r>
      <w:r w:rsidR="00F92C71" w:rsidRPr="001515F0">
        <w:rPr>
          <w:rFonts w:ascii="Palatino Linotype" w:hAnsi="Palatino Linotype"/>
          <w:iCs/>
          <w:color w:val="000000"/>
        </w:rPr>
        <w:t xml:space="preserve"> Versión pública de todos los documentos con los cuales se acredita la propiedad de todos los inmuebles referidos;</w:t>
      </w:r>
    </w:p>
    <w:p w14:paraId="2509E0A9" w14:textId="11AA12D3" w:rsidR="00F92C71" w:rsidRPr="001515F0" w:rsidRDefault="00AF7651" w:rsidP="00F92C71">
      <w:pPr>
        <w:pStyle w:val="Prrafodelista"/>
        <w:tabs>
          <w:tab w:val="left" w:pos="0"/>
        </w:tabs>
        <w:spacing w:line="360" w:lineRule="auto"/>
        <w:ind w:left="900" w:right="49"/>
        <w:jc w:val="both"/>
        <w:rPr>
          <w:rFonts w:ascii="Palatino Linotype" w:hAnsi="Palatino Linotype"/>
          <w:iCs/>
          <w:color w:val="000000"/>
        </w:rPr>
      </w:pPr>
      <w:r w:rsidRPr="001515F0">
        <w:rPr>
          <w:rFonts w:ascii="Palatino Linotype" w:hAnsi="Palatino Linotype"/>
          <w:b/>
          <w:iCs/>
          <w:color w:val="000000"/>
        </w:rPr>
        <w:t xml:space="preserve">f) </w:t>
      </w:r>
      <w:r w:rsidR="00F92C71" w:rsidRPr="001515F0">
        <w:rPr>
          <w:rFonts w:ascii="Palatino Linotype" w:hAnsi="Palatino Linotype"/>
          <w:iCs/>
          <w:color w:val="000000"/>
        </w:rPr>
        <w:t xml:space="preserve"> Croquis o plano manzanero en versión pública de dichos inmuebles </w:t>
      </w:r>
    </w:p>
    <w:p w14:paraId="4D59D8C2" w14:textId="331CE760" w:rsidR="00F92C71" w:rsidRPr="001515F0" w:rsidRDefault="00AF7651" w:rsidP="00F92C71">
      <w:pPr>
        <w:pStyle w:val="Prrafodelista"/>
        <w:tabs>
          <w:tab w:val="left" w:pos="0"/>
        </w:tabs>
        <w:spacing w:line="360" w:lineRule="auto"/>
        <w:ind w:left="900" w:right="49"/>
        <w:jc w:val="both"/>
        <w:rPr>
          <w:rFonts w:ascii="Palatino Linotype" w:eastAsia="Calibri" w:hAnsi="Palatino Linotype" w:cs="Arial"/>
        </w:rPr>
      </w:pPr>
      <w:r w:rsidRPr="001515F0">
        <w:rPr>
          <w:rFonts w:ascii="Palatino Linotype" w:hAnsi="Palatino Linotype"/>
          <w:b/>
          <w:iCs/>
          <w:color w:val="000000"/>
        </w:rPr>
        <w:t>g)</w:t>
      </w:r>
      <w:r w:rsidR="00F92C71" w:rsidRPr="001515F0">
        <w:rPr>
          <w:rFonts w:ascii="Palatino Linotype" w:hAnsi="Palatino Linotype"/>
          <w:b/>
          <w:iCs/>
          <w:color w:val="000000"/>
        </w:rPr>
        <w:t>.</w:t>
      </w:r>
      <w:r w:rsidR="00F92C71" w:rsidRPr="001515F0">
        <w:rPr>
          <w:rFonts w:ascii="Palatino Linotype" w:hAnsi="Palatino Linotype"/>
          <w:iCs/>
          <w:color w:val="000000"/>
        </w:rPr>
        <w:t xml:space="preserve"> Fotografías del estado actual de todos los inmuebles mencionados.</w:t>
      </w:r>
    </w:p>
    <w:p w14:paraId="4B9349AE" w14:textId="77777777" w:rsidR="00A566D9" w:rsidRPr="001515F0" w:rsidRDefault="00A566D9" w:rsidP="00A566D9">
      <w:pPr>
        <w:pStyle w:val="Prrafodelista"/>
        <w:tabs>
          <w:tab w:val="left" w:pos="0"/>
        </w:tabs>
        <w:spacing w:line="360" w:lineRule="auto"/>
        <w:ind w:left="0" w:right="49"/>
        <w:jc w:val="both"/>
        <w:rPr>
          <w:rFonts w:ascii="Palatino Linotype" w:hAnsi="Palatino Linotype" w:cs="Arial"/>
          <w:i/>
          <w:color w:val="000000" w:themeColor="text1"/>
        </w:rPr>
      </w:pPr>
    </w:p>
    <w:p w14:paraId="38544482" w14:textId="7B8E7FF2" w:rsidR="00AB3A59" w:rsidRPr="001515F0" w:rsidRDefault="00AB3A59" w:rsidP="00AB3A59">
      <w:pPr>
        <w:pStyle w:val="Prrafodelista"/>
        <w:numPr>
          <w:ilvl w:val="0"/>
          <w:numId w:val="1"/>
        </w:numPr>
        <w:tabs>
          <w:tab w:val="left" w:pos="0"/>
        </w:tabs>
        <w:spacing w:line="360" w:lineRule="auto"/>
        <w:ind w:left="0" w:right="49" w:firstLine="0"/>
        <w:jc w:val="both"/>
        <w:rPr>
          <w:rFonts w:ascii="Palatino Linotype" w:hAnsi="Palatino Linotype"/>
          <w:iCs/>
        </w:rPr>
      </w:pPr>
      <w:r w:rsidRPr="001515F0">
        <w:rPr>
          <w:rFonts w:ascii="Palatino Linotype" w:hAnsi="Palatino Linotype" w:cs="Arial"/>
          <w:color w:val="000000" w:themeColor="text1"/>
        </w:rPr>
        <w:t>En su respuesta</w:t>
      </w:r>
      <w:r w:rsidR="00A566D9" w:rsidRPr="001515F0">
        <w:rPr>
          <w:rFonts w:ascii="Palatino Linotype" w:hAnsi="Palatino Linotype" w:cs="Arial"/>
          <w:color w:val="000000" w:themeColor="text1"/>
        </w:rPr>
        <w:t xml:space="preserve">, el </w:t>
      </w:r>
      <w:r w:rsidR="00A566D9" w:rsidRPr="001515F0">
        <w:rPr>
          <w:rFonts w:ascii="Palatino Linotype" w:hAnsi="Palatino Linotype" w:cs="Arial"/>
          <w:b/>
          <w:color w:val="000000" w:themeColor="text1"/>
        </w:rPr>
        <w:t>SUJETO OBLIGADO,</w:t>
      </w:r>
      <w:r w:rsidR="00F92C71" w:rsidRPr="001515F0">
        <w:rPr>
          <w:rFonts w:ascii="Palatino Linotype" w:hAnsi="Palatino Linotype" w:cs="Arial"/>
          <w:color w:val="000000" w:themeColor="text1"/>
        </w:rPr>
        <w:t xml:space="preserve"> </w:t>
      </w:r>
      <w:r w:rsidRPr="001515F0">
        <w:rPr>
          <w:rFonts w:ascii="Palatino Linotype" w:hAnsi="Palatino Linotype" w:cs="Arial"/>
          <w:color w:val="000000" w:themeColor="text1"/>
        </w:rPr>
        <w:t xml:space="preserve">manifestó que </w:t>
      </w:r>
      <w:r w:rsidR="00F92C71" w:rsidRPr="001515F0">
        <w:rPr>
          <w:rFonts w:ascii="Palatino Linotype" w:hAnsi="Palatino Linotype" w:cs="Arial"/>
          <w:color w:val="000000" w:themeColor="text1"/>
        </w:rPr>
        <w:t xml:space="preserve">en </w:t>
      </w:r>
      <w:r w:rsidR="00F92C71" w:rsidRPr="001515F0">
        <w:rPr>
          <w:rFonts w:ascii="Palatino Linotype" w:hAnsi="Palatino Linotype" w:cs="Calibri"/>
        </w:rPr>
        <w:t xml:space="preserve">la página IPOMEX aparece el inventario de bienes inmuebles y que </w:t>
      </w:r>
      <w:r w:rsidRPr="001515F0">
        <w:rPr>
          <w:rFonts w:ascii="Palatino Linotype" w:hAnsi="Palatino Linotype" w:cs="Calibri"/>
        </w:rPr>
        <w:t xml:space="preserve">no se encuentra en posibilidad de entregar y atender lo solicitado ya que se </w:t>
      </w:r>
      <w:r w:rsidR="00F92C71" w:rsidRPr="001515F0">
        <w:rPr>
          <w:rFonts w:ascii="Palatino Linotype" w:hAnsi="Palatino Linotype" w:cs="Calibri"/>
        </w:rPr>
        <w:t xml:space="preserve"> carecen de datos necesarios </w:t>
      </w:r>
      <w:r w:rsidRPr="001515F0">
        <w:rPr>
          <w:rFonts w:ascii="Palatino Linotype" w:hAnsi="Palatino Linotype" w:cs="Calibri"/>
        </w:rPr>
        <w:t xml:space="preserve">de </w:t>
      </w:r>
      <w:r w:rsidR="00F92C71" w:rsidRPr="001515F0">
        <w:rPr>
          <w:rFonts w:ascii="Palatino Linotype" w:hAnsi="Palatino Linotype" w:cs="Calibri"/>
        </w:rPr>
        <w:t>los predios identificados en el inventario general de bienes inmuebles con los números 60, 80 y 86</w:t>
      </w:r>
      <w:r w:rsidRPr="001515F0">
        <w:rPr>
          <w:rFonts w:ascii="Palatino Linotype" w:hAnsi="Palatino Linotype" w:cs="Calibri"/>
        </w:rPr>
        <w:t xml:space="preserve">, además de que la </w:t>
      </w:r>
      <w:r w:rsidRPr="001515F0">
        <w:rPr>
          <w:rFonts w:ascii="Palatino Linotype" w:hAnsi="Palatino Linotype"/>
          <w:iCs/>
        </w:rPr>
        <w:t>ubicación que refiere corresponde a más de un inmueble</w:t>
      </w:r>
      <w:r w:rsidRPr="001515F0">
        <w:rPr>
          <w:rFonts w:ascii="Palatino Linotype" w:hAnsi="Palatino Linotype" w:cs="Calibri"/>
          <w:iCs/>
        </w:rPr>
        <w:t>.</w:t>
      </w:r>
    </w:p>
    <w:p w14:paraId="24CF59A2" w14:textId="3053899B" w:rsidR="00AB3A59" w:rsidRPr="001515F0" w:rsidRDefault="00AB3A59" w:rsidP="00AB3A59">
      <w:pPr>
        <w:pStyle w:val="Prrafodelista"/>
        <w:numPr>
          <w:ilvl w:val="0"/>
          <w:numId w:val="1"/>
        </w:numPr>
        <w:tabs>
          <w:tab w:val="left" w:pos="0"/>
        </w:tabs>
        <w:spacing w:line="360" w:lineRule="auto"/>
        <w:ind w:left="0" w:right="49" w:firstLine="0"/>
        <w:jc w:val="both"/>
        <w:rPr>
          <w:rFonts w:ascii="Palatino Linotype" w:hAnsi="Palatino Linotype"/>
          <w:iCs/>
        </w:rPr>
      </w:pPr>
      <w:r w:rsidRPr="001515F0">
        <w:rPr>
          <w:rFonts w:ascii="Palatino Linotype" w:hAnsi="Palatino Linotype"/>
          <w:iCs/>
        </w:rPr>
        <w:lastRenderedPageBreak/>
        <w:t>Derivado de lo anterior el solicitante manifestó como motivos de inconformidad que se le negó la entrega de la información y que la respuesta es incongruente.</w:t>
      </w:r>
    </w:p>
    <w:p w14:paraId="1FAD1C92" w14:textId="77777777" w:rsidR="00F92C71" w:rsidRPr="001515F0" w:rsidRDefault="00F92C71" w:rsidP="00AB3A59">
      <w:pPr>
        <w:pStyle w:val="Prrafodelista"/>
        <w:tabs>
          <w:tab w:val="left" w:pos="0"/>
        </w:tabs>
        <w:spacing w:line="360" w:lineRule="auto"/>
        <w:ind w:left="0" w:right="49"/>
        <w:jc w:val="both"/>
        <w:rPr>
          <w:rFonts w:ascii="Palatino Linotype" w:hAnsi="Palatino Linotype"/>
          <w:iCs/>
        </w:rPr>
      </w:pPr>
    </w:p>
    <w:p w14:paraId="2ABFEF82" w14:textId="6445BE16" w:rsidR="00AB3A59" w:rsidRPr="001515F0" w:rsidRDefault="00F92C71" w:rsidP="00F92C71">
      <w:pPr>
        <w:pStyle w:val="Prrafodelista"/>
        <w:numPr>
          <w:ilvl w:val="0"/>
          <w:numId w:val="1"/>
        </w:numPr>
        <w:spacing w:before="240" w:after="240" w:line="360" w:lineRule="auto"/>
        <w:ind w:left="0" w:firstLine="0"/>
        <w:jc w:val="both"/>
        <w:rPr>
          <w:noProof/>
        </w:rPr>
      </w:pPr>
      <w:r w:rsidRPr="001515F0">
        <w:rPr>
          <w:rFonts w:ascii="Palatino Linotype" w:hAnsi="Palatino Linotype"/>
        </w:rPr>
        <w:t xml:space="preserve">El </w:t>
      </w:r>
      <w:r w:rsidRPr="001515F0">
        <w:rPr>
          <w:rFonts w:ascii="Palatino Linotype" w:hAnsi="Palatino Linotype"/>
          <w:b/>
        </w:rPr>
        <w:t xml:space="preserve">SUJETO OBLIGADO </w:t>
      </w:r>
      <w:r w:rsidR="00AB3A59" w:rsidRPr="001515F0">
        <w:rPr>
          <w:rFonts w:ascii="Palatino Linotype" w:hAnsi="Palatino Linotype"/>
        </w:rPr>
        <w:t>en su informe justificado, medularmente manifestó:</w:t>
      </w:r>
    </w:p>
    <w:p w14:paraId="5125A9D1" w14:textId="633EBF09" w:rsidR="00AB3A59" w:rsidRPr="001515F0" w:rsidRDefault="00AB3A59" w:rsidP="00AB3A59">
      <w:pPr>
        <w:pStyle w:val="Prrafodelista"/>
        <w:rPr>
          <w:noProof/>
        </w:rPr>
      </w:pPr>
    </w:p>
    <w:p w14:paraId="16C524B4" w14:textId="77777777" w:rsidR="00AB3A59" w:rsidRPr="001515F0" w:rsidRDefault="00AB3A59" w:rsidP="00AB3A59">
      <w:pPr>
        <w:pStyle w:val="Prrafodelista"/>
        <w:numPr>
          <w:ilvl w:val="0"/>
          <w:numId w:val="7"/>
        </w:numPr>
        <w:spacing w:before="240" w:after="240" w:line="360" w:lineRule="auto"/>
        <w:jc w:val="both"/>
        <w:rPr>
          <w:rFonts w:ascii="Palatino Linotype" w:hAnsi="Palatino Linotype"/>
          <w:iCs/>
        </w:rPr>
      </w:pPr>
      <w:r w:rsidRPr="001515F0">
        <w:rPr>
          <w:rFonts w:ascii="Palatino Linotype" w:hAnsi="Palatino Linotype"/>
          <w:iCs/>
        </w:rPr>
        <w:t xml:space="preserve">El Inventario de Bienes Inmuebles está debidamente publicado en la página de Información Pública de Oficio de los Sujetos Obligados del Estado de México y Municipios, consultable en la siguiente liga electrónica </w:t>
      </w:r>
      <w:hyperlink r:id="rId10" w:history="1">
        <w:r w:rsidRPr="001515F0">
          <w:rPr>
            <w:rStyle w:val="Hipervnculo"/>
            <w:rFonts w:ascii="Palatino Linotype" w:hAnsi="Palatino Linotype"/>
            <w:iCs/>
          </w:rPr>
          <w:t>https://www.ipomex.org.mx/ipo3/lgt/indice/HUIXQUILUCAN/art_92_xxxviii_d.web</w:t>
        </w:r>
      </w:hyperlink>
      <w:r w:rsidRPr="001515F0">
        <w:rPr>
          <w:rFonts w:ascii="Palatino Linotype" w:hAnsi="Palatino Linotype"/>
          <w:iCs/>
        </w:rPr>
        <w:t>.</w:t>
      </w:r>
    </w:p>
    <w:p w14:paraId="1BB2B162" w14:textId="1C3237E0" w:rsidR="00AB3A59" w:rsidRPr="001515F0" w:rsidRDefault="00AB3A59" w:rsidP="00AB3A59">
      <w:pPr>
        <w:pStyle w:val="Prrafodelista"/>
        <w:numPr>
          <w:ilvl w:val="0"/>
          <w:numId w:val="7"/>
        </w:numPr>
        <w:spacing w:before="240" w:after="240" w:line="360" w:lineRule="auto"/>
        <w:jc w:val="both"/>
        <w:rPr>
          <w:rFonts w:ascii="Palatino Linotype" w:hAnsi="Palatino Linotype"/>
          <w:iCs/>
        </w:rPr>
      </w:pPr>
      <w:r w:rsidRPr="001515F0">
        <w:rPr>
          <w:rFonts w:ascii="Palatino Linotype" w:hAnsi="Palatino Linotype"/>
          <w:iCs/>
        </w:rPr>
        <w:t>El inventario de bienes inmuebles publicado cuenta con los siguientes datos por cada uno de los inmuebles: Ejercicio, Fecha de inicio del periodo que se informa ( formato: "</w:t>
      </w:r>
      <w:proofErr w:type="spellStart"/>
      <w:r w:rsidRPr="001515F0">
        <w:rPr>
          <w:rFonts w:ascii="Palatino Linotype" w:hAnsi="Palatino Linotype"/>
          <w:iCs/>
        </w:rPr>
        <w:t>dd</w:t>
      </w:r>
      <w:proofErr w:type="spellEnd"/>
      <w:r w:rsidRPr="001515F0">
        <w:rPr>
          <w:rFonts w:ascii="Palatino Linotype" w:hAnsi="Palatino Linotype"/>
          <w:iCs/>
        </w:rPr>
        <w:t>/mm/</w:t>
      </w:r>
      <w:proofErr w:type="spellStart"/>
      <w:r w:rsidRPr="001515F0">
        <w:rPr>
          <w:rFonts w:ascii="Palatino Linotype" w:hAnsi="Palatino Linotype"/>
          <w:iCs/>
        </w:rPr>
        <w:t>aaaa</w:t>
      </w:r>
      <w:proofErr w:type="spellEnd"/>
      <w:r w:rsidRPr="001515F0">
        <w:rPr>
          <w:rFonts w:ascii="Palatino Linotype" w:hAnsi="Palatino Linotype"/>
          <w:iCs/>
        </w:rPr>
        <w:t>" ), Fecha de término del periodo que se informa ( formato: "</w:t>
      </w:r>
      <w:proofErr w:type="spellStart"/>
      <w:r w:rsidRPr="001515F0">
        <w:rPr>
          <w:rFonts w:ascii="Palatino Linotype" w:hAnsi="Palatino Linotype"/>
          <w:iCs/>
        </w:rPr>
        <w:t>dd</w:t>
      </w:r>
      <w:proofErr w:type="spellEnd"/>
      <w:r w:rsidRPr="001515F0">
        <w:rPr>
          <w:rFonts w:ascii="Palatino Linotype" w:hAnsi="Palatino Linotype"/>
          <w:iCs/>
        </w:rPr>
        <w:t>/mm/</w:t>
      </w:r>
      <w:proofErr w:type="spellStart"/>
      <w:r w:rsidRPr="001515F0">
        <w:rPr>
          <w:rFonts w:ascii="Palatino Linotype" w:hAnsi="Palatino Linotype"/>
          <w:iCs/>
        </w:rPr>
        <w:t>aaaa</w:t>
      </w:r>
      <w:proofErr w:type="spellEnd"/>
      <w:r w:rsidRPr="001515F0">
        <w:rPr>
          <w:rFonts w:ascii="Palatino Linotype" w:hAnsi="Palatino Linotype"/>
          <w:iCs/>
        </w:rPr>
        <w:t xml:space="preserve">" ), Denominación del inmueble, en su caso, Institución a cargo del inmueble, Domicilio del inmueble: Tipo de vialidad, atención: Domicilio del inmueble: Tipo de vialidad en caso de elegir OTRO llenar este campo, Domicilio del inmueble: Nombre de vialidad, Domicilio del inmueble: Número exterior, Domicilio del inmueble: Número interior, Domicilio del inmueble: Tipo de asentamiento ,atención: Domicilio del inmueble: Tipo de asentamiento en caso de elegir OTRO llenar este campo, Domicilio del </w:t>
      </w:r>
      <w:r w:rsidRPr="001515F0">
        <w:rPr>
          <w:rFonts w:ascii="Palatino Linotype" w:hAnsi="Palatino Linotype"/>
          <w:iCs/>
        </w:rPr>
        <w:lastRenderedPageBreak/>
        <w:t xml:space="preserve">inmueble: Nombre del asentamiento humano, Domicilio del inmueble: Nombre de la entidad federativa, Domicilio del inmueble: Nombre del municipio, Domicilio del inmueble: Nombre de localidad, Domicilio del inmueble: Código postal, Domicilio del inmueble: País del domicilio en el extranjero, en su caso, Domicilio del inmueble: Ciudad del domicilio en el extranjero, en su caso, Domicilio del inmueble: Calle del domicilio en el extranjero, en su caso, Domicilio del inmueble: Número del domicilio en el extranjero, en su caso, Uso del inmueble, Operación que da origen a la propiedad o posesión del inmueble, Valor catastral o último avalúo del inmueble, Títulos por el que se acredite la propiedad o posesión del inmueble, Hipervínculo Sistema de información Inmobiliaria, Área de adscripción de la persona responsable del inmueble, Área(s) responsable(s) que genera(n), posee(n), publica(n) y actualizan la información, Fecha de validación, Naturaleza del inmueble: urbana o rústica, Carácter del Monumento, Tipo de inmueble, Fecha de actualización, y finalmente Nota. </w:t>
      </w:r>
    </w:p>
    <w:p w14:paraId="1AE66402" w14:textId="77777777" w:rsidR="00AB3A59" w:rsidRPr="001515F0" w:rsidRDefault="00AB3A59" w:rsidP="00AB3A59">
      <w:pPr>
        <w:pStyle w:val="Prrafodelista"/>
        <w:numPr>
          <w:ilvl w:val="0"/>
          <w:numId w:val="7"/>
        </w:numPr>
        <w:spacing w:before="240" w:after="240" w:line="360" w:lineRule="auto"/>
        <w:jc w:val="both"/>
        <w:rPr>
          <w:rFonts w:ascii="Palatino Linotype" w:hAnsi="Palatino Linotype"/>
          <w:iCs/>
        </w:rPr>
      </w:pPr>
      <w:r w:rsidRPr="001515F0">
        <w:rPr>
          <w:rFonts w:ascii="Palatino Linotype" w:hAnsi="Palatino Linotype"/>
          <w:iCs/>
        </w:rPr>
        <w:t>El inventario de bienes inmuebles se encuentra apegado a los Lineamientos Técnicos Generales para la Publicación, Homologación y Estandarización de la Información de las Obligaciones Establecidas en el Título Quinto y en la Fracción IV del Artículo 1 de la Ley General de Transparencia y Acceso a la Información Pública, que deben de difundir los Sujetos Obligados en los portales de internet.</w:t>
      </w:r>
    </w:p>
    <w:p w14:paraId="1BDA6F25" w14:textId="77777777" w:rsidR="00AB3A59" w:rsidRPr="001515F0" w:rsidRDefault="00AB3A59" w:rsidP="00AB3A59">
      <w:pPr>
        <w:pStyle w:val="Prrafodelista"/>
        <w:numPr>
          <w:ilvl w:val="0"/>
          <w:numId w:val="7"/>
        </w:numPr>
        <w:spacing w:before="240" w:after="240" w:line="360" w:lineRule="auto"/>
        <w:jc w:val="both"/>
        <w:rPr>
          <w:rFonts w:ascii="Palatino Linotype" w:hAnsi="Palatino Linotype"/>
          <w:iCs/>
        </w:rPr>
      </w:pPr>
      <w:r w:rsidRPr="001515F0">
        <w:rPr>
          <w:rFonts w:ascii="Palatino Linotype" w:hAnsi="Palatino Linotype"/>
          <w:iCs/>
        </w:rPr>
        <w:lastRenderedPageBreak/>
        <w:t>Se realizó la búsqueda en primer lugar por número progresivo del inventario de bienes inmuebles, tal como lo pidió el hoy recurrente en su solicitud de origen.</w:t>
      </w:r>
    </w:p>
    <w:p w14:paraId="203664DA" w14:textId="286D4492" w:rsidR="00AB3A59" w:rsidRPr="001515F0" w:rsidRDefault="00AB3A59" w:rsidP="00AB3A59">
      <w:pPr>
        <w:pStyle w:val="Prrafodelista"/>
        <w:numPr>
          <w:ilvl w:val="0"/>
          <w:numId w:val="7"/>
        </w:numPr>
        <w:spacing w:before="240" w:after="240" w:line="360" w:lineRule="auto"/>
        <w:jc w:val="both"/>
        <w:rPr>
          <w:rFonts w:ascii="Palatino Linotype" w:hAnsi="Palatino Linotype"/>
          <w:iCs/>
        </w:rPr>
      </w:pPr>
      <w:r w:rsidRPr="001515F0">
        <w:rPr>
          <w:rFonts w:ascii="Palatino Linotype" w:hAnsi="Palatino Linotype"/>
          <w:iCs/>
        </w:rPr>
        <w:t xml:space="preserve">El número progresivo 86 del inventario publicado de bienes inmuebles, se aprecia que no coincide la información de este número progresivo con la información que proporciona el solicitante, ya que este número progresivo corresponde a la Comunidad de Santa Cruz </w:t>
      </w:r>
      <w:proofErr w:type="spellStart"/>
      <w:r w:rsidRPr="001515F0">
        <w:rPr>
          <w:rFonts w:ascii="Palatino Linotype" w:hAnsi="Palatino Linotype"/>
          <w:iCs/>
        </w:rPr>
        <w:t>Ayotuxco</w:t>
      </w:r>
      <w:proofErr w:type="spellEnd"/>
      <w:r w:rsidRPr="001515F0">
        <w:rPr>
          <w:rFonts w:ascii="Palatino Linotype" w:hAnsi="Palatino Linotype"/>
          <w:iCs/>
        </w:rPr>
        <w:t>, Cerrada de los Cedros sobre Av. Principal.</w:t>
      </w:r>
    </w:p>
    <w:p w14:paraId="29BFD9A5" w14:textId="77777777" w:rsidR="00AB3A59" w:rsidRPr="001515F0" w:rsidRDefault="00AB3A59" w:rsidP="00AB3A59">
      <w:pPr>
        <w:pStyle w:val="Prrafodelista"/>
        <w:numPr>
          <w:ilvl w:val="0"/>
          <w:numId w:val="7"/>
        </w:numPr>
        <w:spacing w:before="240" w:after="240" w:line="360" w:lineRule="auto"/>
        <w:jc w:val="both"/>
        <w:rPr>
          <w:rFonts w:ascii="Palatino Linotype" w:hAnsi="Palatino Linotype"/>
          <w:iCs/>
        </w:rPr>
      </w:pPr>
      <w:r w:rsidRPr="001515F0">
        <w:rPr>
          <w:rFonts w:ascii="Palatino Linotype" w:hAnsi="Palatino Linotype"/>
          <w:iCs/>
        </w:rPr>
        <w:t>En cuanto al número progresivo 80 del inventario publicado de bienes inmuebles, se encontró que la dirección que señala es distinta a la que se proporciona por el recurrente, ya que corresponde a un campo deportivo en Av. Palo Solo.</w:t>
      </w:r>
    </w:p>
    <w:p w14:paraId="20B22D30" w14:textId="77777777" w:rsidR="00AB3A59" w:rsidRPr="001515F0" w:rsidRDefault="00AB3A59" w:rsidP="00AB3A59">
      <w:pPr>
        <w:pStyle w:val="Prrafodelista"/>
        <w:numPr>
          <w:ilvl w:val="0"/>
          <w:numId w:val="7"/>
        </w:numPr>
        <w:spacing w:before="240" w:after="240" w:line="360" w:lineRule="auto"/>
        <w:jc w:val="both"/>
        <w:rPr>
          <w:rFonts w:ascii="Palatino Linotype" w:hAnsi="Palatino Linotype"/>
          <w:iCs/>
        </w:rPr>
      </w:pPr>
      <w:r w:rsidRPr="001515F0">
        <w:rPr>
          <w:rFonts w:ascii="Palatino Linotype" w:hAnsi="Palatino Linotype"/>
          <w:iCs/>
        </w:rPr>
        <w:t>Respecto al número progresivo 60 del inventario publicado de bienes inmuebles, la dirección que señala también es distinta a la que se proporciona por el recurrente, ya que corresponde a Avenida Lomas del Jazmín, en Balcones de la Herradura.</w:t>
      </w:r>
    </w:p>
    <w:p w14:paraId="6360F52E" w14:textId="77777777" w:rsidR="00AB3A59" w:rsidRPr="001515F0" w:rsidRDefault="00AB3A59" w:rsidP="00AB3A59">
      <w:pPr>
        <w:pStyle w:val="Prrafodelista"/>
        <w:numPr>
          <w:ilvl w:val="0"/>
          <w:numId w:val="7"/>
        </w:numPr>
        <w:spacing w:before="240" w:after="240" w:line="360" w:lineRule="auto"/>
        <w:jc w:val="both"/>
        <w:rPr>
          <w:rFonts w:ascii="Palatino Linotype" w:hAnsi="Palatino Linotype"/>
          <w:iCs/>
        </w:rPr>
      </w:pPr>
      <w:r w:rsidRPr="001515F0">
        <w:rPr>
          <w:rFonts w:ascii="Palatino Linotype" w:hAnsi="Palatino Linotype"/>
          <w:iCs/>
        </w:rPr>
        <w:t>En aras de cumplimiento se realizó la búsqueda con la dirección que proporcionó el recurrente y no con el número progresivo como en un principio, fue el caso que las direcciones que indica el solicitante, por su generalidad, coinciden con más de un inmueble, por lo que no fue posible precisar su ubicación</w:t>
      </w:r>
    </w:p>
    <w:p w14:paraId="77BC4F75" w14:textId="58166AE1" w:rsidR="00AB3A59" w:rsidRPr="001515F0" w:rsidRDefault="00AB3A59" w:rsidP="00AB3A59">
      <w:pPr>
        <w:pStyle w:val="Prrafodelista"/>
        <w:numPr>
          <w:ilvl w:val="0"/>
          <w:numId w:val="7"/>
        </w:numPr>
        <w:spacing w:before="240" w:after="240" w:line="360" w:lineRule="auto"/>
        <w:jc w:val="both"/>
        <w:rPr>
          <w:rFonts w:ascii="Palatino Linotype" w:hAnsi="Palatino Linotype"/>
          <w:iCs/>
        </w:rPr>
      </w:pPr>
      <w:r w:rsidRPr="001515F0">
        <w:rPr>
          <w:rFonts w:ascii="Palatino Linotype" w:hAnsi="Palatino Linotype"/>
          <w:iCs/>
        </w:rPr>
        <w:lastRenderedPageBreak/>
        <w:t>Ninguno de los tres domicilios que señala el hoy recurrente coinciden con los números progresivos del Inventario de Bienes Inmuebles Publicado en la página de IPOMEX.</w:t>
      </w:r>
    </w:p>
    <w:p w14:paraId="063A7A25" w14:textId="0C6C91BF" w:rsidR="00AB3A59" w:rsidRPr="001515F0" w:rsidRDefault="00AB3A59" w:rsidP="00AB3A59">
      <w:pPr>
        <w:pStyle w:val="Prrafodelista"/>
        <w:rPr>
          <w:noProof/>
        </w:rPr>
      </w:pPr>
    </w:p>
    <w:p w14:paraId="3C1FF79F" w14:textId="77777777" w:rsidR="00AB3A59" w:rsidRPr="001515F0" w:rsidRDefault="00AB3A59" w:rsidP="00AB3A59">
      <w:pPr>
        <w:pStyle w:val="Prrafodelista"/>
        <w:rPr>
          <w:noProof/>
        </w:rPr>
      </w:pPr>
    </w:p>
    <w:p w14:paraId="32DE0965" w14:textId="0B1B304D" w:rsidR="00732CF6" w:rsidRPr="001515F0" w:rsidRDefault="00AB3A59" w:rsidP="00732CF6">
      <w:pPr>
        <w:pStyle w:val="Prrafodelista"/>
        <w:numPr>
          <w:ilvl w:val="0"/>
          <w:numId w:val="1"/>
        </w:numPr>
        <w:spacing w:before="240" w:after="240" w:line="360" w:lineRule="auto"/>
        <w:ind w:left="0" w:firstLine="0"/>
        <w:jc w:val="both"/>
        <w:rPr>
          <w:noProof/>
        </w:rPr>
      </w:pPr>
      <w:r w:rsidRPr="001515F0">
        <w:rPr>
          <w:rFonts w:ascii="Palatino Linotype" w:hAnsi="Palatino Linotype"/>
          <w:noProof/>
        </w:rPr>
        <w:t xml:space="preserve">De lo anterior, se advierte que el sujeto obligado </w:t>
      </w:r>
      <w:r w:rsidR="00732CF6" w:rsidRPr="001515F0">
        <w:rPr>
          <w:rFonts w:ascii="Palatino Linotype" w:hAnsi="Palatino Linotype"/>
          <w:noProof/>
        </w:rPr>
        <w:t>tanto en su</w:t>
      </w:r>
      <w:r w:rsidRPr="001515F0">
        <w:rPr>
          <w:rFonts w:ascii="Palatino Linotype" w:hAnsi="Palatino Linotype"/>
          <w:noProof/>
        </w:rPr>
        <w:t xml:space="preserve"> respuesta</w:t>
      </w:r>
      <w:r w:rsidR="00732CF6" w:rsidRPr="001515F0">
        <w:rPr>
          <w:rFonts w:ascii="Palatino Linotype" w:hAnsi="Palatino Linotype"/>
          <w:noProof/>
        </w:rPr>
        <w:t xml:space="preserve"> como en su informe justificado</w:t>
      </w:r>
      <w:r w:rsidRPr="001515F0">
        <w:rPr>
          <w:rFonts w:ascii="Palatino Linotype" w:hAnsi="Palatino Linotype"/>
          <w:noProof/>
        </w:rPr>
        <w:t xml:space="preserve"> no proporcion</w:t>
      </w:r>
      <w:r w:rsidR="00732CF6" w:rsidRPr="001515F0">
        <w:rPr>
          <w:rFonts w:ascii="Palatino Linotype" w:hAnsi="Palatino Linotype"/>
          <w:noProof/>
        </w:rPr>
        <w:t>ó</w:t>
      </w:r>
      <w:r w:rsidRPr="001515F0">
        <w:rPr>
          <w:rFonts w:ascii="Palatino Linotype" w:hAnsi="Palatino Linotype"/>
          <w:noProof/>
        </w:rPr>
        <w:t xml:space="preserve"> lo solicitado por el hoy recurrente</w:t>
      </w:r>
      <w:r w:rsidR="00732CF6" w:rsidRPr="001515F0">
        <w:rPr>
          <w:rFonts w:ascii="Palatino Linotype" w:hAnsi="Palatino Linotype"/>
          <w:noProof/>
        </w:rPr>
        <w:t>;</w:t>
      </w:r>
      <w:r w:rsidRPr="001515F0">
        <w:rPr>
          <w:rFonts w:ascii="Palatino Linotype" w:hAnsi="Palatino Linotype"/>
          <w:noProof/>
        </w:rPr>
        <w:t xml:space="preserve"> limitandose </w:t>
      </w:r>
      <w:r w:rsidR="00732CF6" w:rsidRPr="001515F0">
        <w:rPr>
          <w:rFonts w:ascii="Palatino Linotype" w:hAnsi="Palatino Linotype"/>
          <w:noProof/>
        </w:rPr>
        <w:t xml:space="preserve">en </w:t>
      </w:r>
      <w:r w:rsidRPr="001515F0">
        <w:rPr>
          <w:rFonts w:ascii="Palatino Linotype" w:hAnsi="Palatino Linotype"/>
          <w:noProof/>
        </w:rPr>
        <w:t xml:space="preserve">señalar que no cuenta con los datos sufientes para la localización de la información relacionada con los predios </w:t>
      </w:r>
      <w:r w:rsidR="00732CF6" w:rsidRPr="001515F0">
        <w:rPr>
          <w:rFonts w:ascii="Palatino Linotype" w:hAnsi="Palatino Linotype"/>
          <w:noProof/>
        </w:rPr>
        <w:t xml:space="preserve">referidos </w:t>
      </w:r>
      <w:r w:rsidRPr="001515F0">
        <w:rPr>
          <w:rFonts w:ascii="Palatino Linotype" w:hAnsi="Palatino Linotype"/>
          <w:noProof/>
        </w:rPr>
        <w:t>por el solicitante</w:t>
      </w:r>
      <w:r w:rsidR="00732CF6" w:rsidRPr="001515F0">
        <w:rPr>
          <w:rFonts w:ascii="Palatino Linotype" w:hAnsi="Palatino Linotype"/>
          <w:noProof/>
        </w:rPr>
        <w:t xml:space="preserve"> y que la ubicación no coincide con los números progresivos del inventario de bienes inmuebles.</w:t>
      </w:r>
    </w:p>
    <w:p w14:paraId="2D18ADD3" w14:textId="77777777" w:rsidR="00732CF6" w:rsidRPr="001515F0" w:rsidRDefault="00732CF6" w:rsidP="00732CF6">
      <w:pPr>
        <w:pStyle w:val="Prrafodelista"/>
        <w:spacing w:before="240" w:after="240" w:line="360" w:lineRule="auto"/>
        <w:ind w:left="0"/>
        <w:jc w:val="both"/>
        <w:rPr>
          <w:noProof/>
        </w:rPr>
      </w:pPr>
    </w:p>
    <w:p w14:paraId="32A34C35" w14:textId="77777777" w:rsidR="00732CF6" w:rsidRPr="001515F0" w:rsidRDefault="00732CF6" w:rsidP="00732CF6">
      <w:pPr>
        <w:pStyle w:val="Prrafodelista"/>
        <w:numPr>
          <w:ilvl w:val="0"/>
          <w:numId w:val="1"/>
        </w:numPr>
        <w:spacing w:before="240" w:after="240" w:line="360" w:lineRule="auto"/>
        <w:ind w:left="0" w:firstLine="0"/>
        <w:jc w:val="both"/>
        <w:rPr>
          <w:noProof/>
        </w:rPr>
      </w:pPr>
      <w:r w:rsidRPr="001515F0">
        <w:rPr>
          <w:rFonts w:ascii="Palatino Linotype" w:eastAsia="MS Mincho" w:hAnsi="Palatino Linotype" w:cstheme="majorBidi"/>
        </w:rPr>
        <w:t>En ese contexto, es de precisar que los motivos de inconformidad hechos valer por el particular, resultan procedentes toda vez que no le fue proporcionada la información que requirió, tal como se aprecia en la imagen antes insertada.</w:t>
      </w:r>
    </w:p>
    <w:p w14:paraId="2F1773FD" w14:textId="77777777" w:rsidR="00732CF6" w:rsidRPr="001515F0" w:rsidRDefault="00732CF6" w:rsidP="00732CF6">
      <w:pPr>
        <w:pStyle w:val="Prrafodelista"/>
        <w:rPr>
          <w:rFonts w:ascii="Palatino Linotype" w:eastAsia="MS Mincho" w:hAnsi="Palatino Linotype" w:cstheme="majorBidi"/>
        </w:rPr>
      </w:pPr>
    </w:p>
    <w:p w14:paraId="17F5803A" w14:textId="77777777" w:rsidR="00732CF6" w:rsidRPr="001515F0" w:rsidRDefault="00732CF6" w:rsidP="00732CF6">
      <w:pPr>
        <w:spacing w:line="360" w:lineRule="auto"/>
        <w:contextualSpacing/>
        <w:jc w:val="both"/>
        <w:outlineLvl w:val="0"/>
        <w:rPr>
          <w:rFonts w:ascii="Palatino Linotype" w:eastAsia="MS Mincho" w:hAnsi="Palatino Linotype" w:cstheme="majorBidi"/>
          <w:b/>
          <w:i/>
          <w:lang w:val="es-ES_tradnl" w:eastAsia="es-ES"/>
        </w:rPr>
      </w:pPr>
      <w:bookmarkStart w:id="128" w:name="_Toc67437611"/>
      <w:r w:rsidRPr="001515F0">
        <w:rPr>
          <w:rFonts w:ascii="Palatino Linotype" w:hAnsi="Palatino Linotype"/>
          <w:b/>
          <w:lang w:val="es-ES_tradnl" w:eastAsia="es-ES"/>
        </w:rPr>
        <w:t xml:space="preserve">c) </w:t>
      </w:r>
      <w:r w:rsidRPr="001515F0">
        <w:rPr>
          <w:rFonts w:ascii="Palatino Linotype" w:eastAsia="MS Mincho" w:hAnsi="Palatino Linotype" w:cstheme="majorBidi"/>
          <w:b/>
          <w:i/>
          <w:lang w:val="es-ES_tradnl" w:eastAsia="es-ES"/>
        </w:rPr>
        <w:t>De la excepción de aclaración a la solicitud de información cuando los datos proporcionados resultan insuficientes, incompletos o sea erróneos.</w:t>
      </w:r>
      <w:bookmarkEnd w:id="128"/>
    </w:p>
    <w:p w14:paraId="302BB618" w14:textId="77777777" w:rsidR="00732CF6" w:rsidRPr="001515F0" w:rsidRDefault="00732CF6" w:rsidP="00732CF6">
      <w:pPr>
        <w:pStyle w:val="Prrafodelista"/>
        <w:rPr>
          <w:rFonts w:ascii="Palatino Linotype" w:eastAsia="MS Mincho" w:hAnsi="Palatino Linotype" w:cstheme="majorBidi"/>
        </w:rPr>
      </w:pPr>
    </w:p>
    <w:p w14:paraId="74C18726" w14:textId="444B3117" w:rsidR="00732CF6" w:rsidRPr="001515F0" w:rsidRDefault="00732CF6" w:rsidP="00732CF6">
      <w:pPr>
        <w:pStyle w:val="Prrafodelista"/>
        <w:numPr>
          <w:ilvl w:val="0"/>
          <w:numId w:val="1"/>
        </w:numPr>
        <w:spacing w:before="240" w:after="240" w:line="360" w:lineRule="auto"/>
        <w:ind w:left="0" w:firstLine="0"/>
        <w:jc w:val="both"/>
        <w:rPr>
          <w:noProof/>
        </w:rPr>
      </w:pPr>
      <w:r w:rsidRPr="001515F0">
        <w:rPr>
          <w:rFonts w:ascii="Palatino Linotype" w:eastAsia="MS Mincho" w:hAnsi="Palatino Linotype" w:cstheme="majorBidi"/>
        </w:rPr>
        <w:t xml:space="preserve">De acuerdo a lo establecido por el artículo 159 de la Ley de Transparencia y Acceso a la Información Pública del Estado de México y Municipios, refiere que cuando en alguna solicitud de información, no se proporcionen detalles suficientes para la localización de la información requerida, sea incompletos o erróneos, como resultó en el presente asunto, el </w:t>
      </w:r>
      <w:r w:rsidRPr="001515F0">
        <w:rPr>
          <w:rFonts w:ascii="Palatino Linotype" w:eastAsia="MS Mincho" w:hAnsi="Palatino Linotype" w:cstheme="majorBidi"/>
          <w:b/>
        </w:rPr>
        <w:t>SUJETO OBLIGADO</w:t>
      </w:r>
      <w:r w:rsidRPr="001515F0">
        <w:rPr>
          <w:rFonts w:ascii="Palatino Linotype" w:eastAsia="MS Mincho" w:hAnsi="Palatino Linotype" w:cstheme="majorBidi"/>
        </w:rPr>
        <w:t xml:space="preserve"> podrá requerir al solicitante </w:t>
      </w:r>
      <w:r w:rsidRPr="001515F0">
        <w:rPr>
          <w:rFonts w:ascii="Palatino Linotype" w:eastAsia="MS Mincho" w:hAnsi="Palatino Linotype" w:cstheme="majorBidi"/>
        </w:rPr>
        <w:lastRenderedPageBreak/>
        <w:t>por única vez, que corrija los datos proporcionados, acción que deberá ser dentro del plazo de cinco días, contado a partir de la presentación de la solicitud, para que un término de diez días el recurrente subsane las observaciones.</w:t>
      </w:r>
    </w:p>
    <w:p w14:paraId="13A729AF" w14:textId="77777777" w:rsidR="00AF7651" w:rsidRPr="001515F0" w:rsidRDefault="00AF7651" w:rsidP="00AF7651">
      <w:pPr>
        <w:pStyle w:val="Prrafodelista"/>
        <w:spacing w:before="240" w:after="240" w:line="360" w:lineRule="auto"/>
        <w:ind w:left="0"/>
        <w:jc w:val="both"/>
        <w:rPr>
          <w:noProof/>
        </w:rPr>
      </w:pPr>
    </w:p>
    <w:p w14:paraId="1221D2D1" w14:textId="1933D1DE" w:rsidR="00732CF6" w:rsidRPr="001515F0" w:rsidRDefault="00732CF6" w:rsidP="00732CF6">
      <w:pPr>
        <w:pStyle w:val="Prrafodelista"/>
        <w:numPr>
          <w:ilvl w:val="0"/>
          <w:numId w:val="1"/>
        </w:numPr>
        <w:spacing w:before="240" w:after="240" w:line="360" w:lineRule="auto"/>
        <w:ind w:left="0" w:firstLine="0"/>
        <w:jc w:val="both"/>
        <w:rPr>
          <w:rFonts w:ascii="Palatino Linotype" w:hAnsi="Palatino Linotype"/>
          <w:noProof/>
        </w:rPr>
      </w:pPr>
      <w:r w:rsidRPr="001515F0">
        <w:rPr>
          <w:rFonts w:ascii="Palatino Linotype" w:eastAsia="MS Mincho" w:hAnsi="Palatino Linotype" w:cstheme="majorBidi"/>
        </w:rPr>
        <w:t xml:space="preserve">De lo anteriormente descrito, se puede observar que el </w:t>
      </w:r>
      <w:r w:rsidRPr="001515F0">
        <w:rPr>
          <w:rFonts w:ascii="Palatino Linotype" w:eastAsia="MS Mincho" w:hAnsi="Palatino Linotype" w:cstheme="majorBidi"/>
          <w:b/>
        </w:rPr>
        <w:t>SUJETO OBLIGADO</w:t>
      </w:r>
      <w:r w:rsidRPr="001515F0">
        <w:rPr>
          <w:rFonts w:ascii="Palatino Linotype" w:eastAsia="MS Mincho" w:hAnsi="Palatino Linotype" w:cstheme="majorBidi"/>
        </w:rPr>
        <w:t xml:space="preserve"> pasó por alto dicha excepción de aclaración a la solicitud de información, con la cual pudo aclarar de </w:t>
      </w:r>
      <w:proofErr w:type="spellStart"/>
      <w:r w:rsidRPr="001515F0">
        <w:rPr>
          <w:rFonts w:ascii="Palatino Linotype" w:eastAsia="MS Mincho" w:hAnsi="Palatino Linotype" w:cstheme="majorBidi"/>
        </w:rPr>
        <w:t>cuales</w:t>
      </w:r>
      <w:proofErr w:type="spellEnd"/>
      <w:r w:rsidRPr="001515F0">
        <w:rPr>
          <w:rFonts w:ascii="Palatino Linotype" w:eastAsia="MS Mincho" w:hAnsi="Palatino Linotype" w:cstheme="majorBidi"/>
        </w:rPr>
        <w:t xml:space="preserve"> eran los inmuebles referidos por el hoy </w:t>
      </w:r>
      <w:r w:rsidRPr="001515F0">
        <w:rPr>
          <w:rFonts w:ascii="Palatino Linotype" w:eastAsia="MS Mincho" w:hAnsi="Palatino Linotype" w:cstheme="majorBidi"/>
          <w:b/>
        </w:rPr>
        <w:t>RECURRENTE</w:t>
      </w:r>
      <w:r w:rsidRPr="001515F0">
        <w:rPr>
          <w:rFonts w:ascii="Palatino Linotype" w:eastAsia="MS Mincho" w:hAnsi="Palatino Linotype" w:cstheme="majorBidi"/>
        </w:rPr>
        <w:t xml:space="preserve"> y de los cuales solicitaba la información, </w:t>
      </w:r>
      <w:proofErr w:type="spellStart"/>
      <w:r w:rsidRPr="001515F0">
        <w:rPr>
          <w:rFonts w:ascii="Palatino Linotype" w:eastAsia="MS Mincho" w:hAnsi="Palatino Linotype" w:cstheme="majorBidi"/>
        </w:rPr>
        <w:t>si no</w:t>
      </w:r>
      <w:proofErr w:type="spellEnd"/>
      <w:r w:rsidRPr="001515F0">
        <w:rPr>
          <w:rFonts w:ascii="Palatino Linotype" w:eastAsia="MS Mincho" w:hAnsi="Palatino Linotype" w:cstheme="majorBidi"/>
        </w:rPr>
        <w:t xml:space="preserve"> que simplemente se limitó a señalar tanto en su respuesta como en su informe justificado que los datos proporcionados por el particular no coincidían con el inventario de bienes inmuebles y por lo tanto se encontraba imposibilitado para dar atención al requerimiento presentado por el particular, sin analizar el contenido del mismo.</w:t>
      </w:r>
    </w:p>
    <w:p w14:paraId="7406FE4C" w14:textId="77777777" w:rsidR="00AF7651" w:rsidRPr="001515F0" w:rsidRDefault="00AF7651" w:rsidP="00AF7651">
      <w:pPr>
        <w:pStyle w:val="Prrafodelista"/>
        <w:spacing w:before="240" w:after="240" w:line="360" w:lineRule="auto"/>
        <w:ind w:left="0"/>
        <w:jc w:val="both"/>
        <w:rPr>
          <w:rFonts w:ascii="Palatino Linotype" w:hAnsi="Palatino Linotype"/>
          <w:noProof/>
        </w:rPr>
      </w:pPr>
    </w:p>
    <w:p w14:paraId="188DC9E6" w14:textId="12873E58" w:rsidR="00AF7651" w:rsidRPr="001515F0" w:rsidRDefault="00AF7651" w:rsidP="00732CF6">
      <w:pPr>
        <w:pStyle w:val="Prrafodelista"/>
        <w:numPr>
          <w:ilvl w:val="0"/>
          <w:numId w:val="1"/>
        </w:numPr>
        <w:spacing w:before="240" w:after="240" w:line="360" w:lineRule="auto"/>
        <w:ind w:left="0" w:firstLine="0"/>
        <w:jc w:val="both"/>
        <w:rPr>
          <w:rFonts w:ascii="Palatino Linotype" w:hAnsi="Palatino Linotype"/>
          <w:noProof/>
        </w:rPr>
      </w:pPr>
      <w:r w:rsidRPr="001515F0">
        <w:rPr>
          <w:rFonts w:ascii="Palatino Linotype" w:hAnsi="Palatino Linotype"/>
          <w:noProof/>
        </w:rPr>
        <w:t>En el caso que nos ocupa, el sujeto obligado dentro del plazo de cinco días hábiles contados a partir de la presntación de la solicitud, no realizó ningún requerimiento de aclaración al solicitante para que indicara otros elementos que complemetaran, corrijieran o ampliaran los datos proporcionados, como a continuación se muestra:</w:t>
      </w:r>
    </w:p>
    <w:p w14:paraId="55B20E69" w14:textId="571163C6" w:rsidR="00AF7651" w:rsidRPr="001515F0" w:rsidRDefault="00563E1B" w:rsidP="00AF7651">
      <w:pPr>
        <w:spacing w:before="240" w:after="240" w:line="360" w:lineRule="auto"/>
        <w:jc w:val="both"/>
        <w:rPr>
          <w:rFonts w:ascii="Palatino Linotype" w:hAnsi="Palatino Linotype"/>
          <w:noProof/>
        </w:rPr>
      </w:pPr>
      <w:r w:rsidRPr="00563E1B">
        <w:rPr>
          <w:rFonts w:ascii="Palatino Linotype" w:hAnsi="Palatino Linotype"/>
          <w:noProof/>
        </w:rPr>
        <w:lastRenderedPageBreak/>
        <w:drawing>
          <wp:inline distT="0" distB="0" distL="0" distR="0" wp14:anchorId="779B6DFF" wp14:editId="4C16083C">
            <wp:extent cx="5612130" cy="288163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881630"/>
                    </a:xfrm>
                    <a:prstGeom prst="rect">
                      <a:avLst/>
                    </a:prstGeom>
                    <a:noFill/>
                    <a:ln>
                      <a:noFill/>
                    </a:ln>
                  </pic:spPr>
                </pic:pic>
              </a:graphicData>
            </a:graphic>
          </wp:inline>
        </w:drawing>
      </w:r>
    </w:p>
    <w:p w14:paraId="14D94677" w14:textId="2A09176E" w:rsidR="00AF7651" w:rsidRPr="001515F0" w:rsidRDefault="00AF7651" w:rsidP="00AF7651">
      <w:pPr>
        <w:pStyle w:val="Prrafodelista"/>
        <w:numPr>
          <w:ilvl w:val="0"/>
          <w:numId w:val="1"/>
        </w:numPr>
        <w:spacing w:before="240" w:after="240" w:line="360" w:lineRule="auto"/>
        <w:ind w:left="0" w:firstLine="0"/>
        <w:jc w:val="both"/>
        <w:rPr>
          <w:rFonts w:ascii="Palatino Linotype" w:hAnsi="Palatino Linotype"/>
          <w:noProof/>
        </w:rPr>
      </w:pPr>
      <w:r w:rsidRPr="001515F0">
        <w:rPr>
          <w:rFonts w:ascii="Palatino Linotype" w:hAnsi="Palatino Linotype"/>
          <w:noProof/>
        </w:rPr>
        <w:t>Por lo tanto, el hecho de que el sujeto obligado no haya solicitado la aclaración, afecta la gestión de la solicitud de información y por ende lesiona el derecho de acceso a la información pública del particular.</w:t>
      </w:r>
    </w:p>
    <w:p w14:paraId="39D4AF87" w14:textId="77777777" w:rsidR="00AF7651" w:rsidRPr="001515F0" w:rsidRDefault="00AF7651" w:rsidP="00AF7651">
      <w:pPr>
        <w:pStyle w:val="Prrafodelista"/>
        <w:spacing w:before="240" w:after="240" w:line="360" w:lineRule="auto"/>
        <w:ind w:left="0"/>
        <w:jc w:val="both"/>
        <w:rPr>
          <w:rFonts w:ascii="Palatino Linotype" w:hAnsi="Palatino Linotype"/>
          <w:noProof/>
        </w:rPr>
      </w:pPr>
    </w:p>
    <w:p w14:paraId="525BE265" w14:textId="4A2E528F" w:rsidR="00AF7651" w:rsidRPr="001515F0" w:rsidRDefault="00732CF6" w:rsidP="00AF7651">
      <w:pPr>
        <w:pStyle w:val="Prrafodelista"/>
        <w:numPr>
          <w:ilvl w:val="0"/>
          <w:numId w:val="1"/>
        </w:numPr>
        <w:spacing w:before="240" w:after="240" w:line="360" w:lineRule="auto"/>
        <w:ind w:left="0" w:firstLine="0"/>
        <w:jc w:val="both"/>
        <w:rPr>
          <w:rFonts w:ascii="Palatino Linotype" w:hAnsi="Palatino Linotype"/>
          <w:noProof/>
        </w:rPr>
      </w:pPr>
      <w:r w:rsidRPr="001515F0">
        <w:rPr>
          <w:rFonts w:ascii="Palatino Linotype" w:eastAsia="MS Mincho" w:hAnsi="Palatino Linotype" w:cstheme="majorBidi"/>
        </w:rPr>
        <w:t xml:space="preserve">Ahora bien, de lo descrito en la solicitud de información, se puede apreciar que </w:t>
      </w:r>
      <w:r w:rsidR="00AF7651" w:rsidRPr="001515F0">
        <w:rPr>
          <w:rFonts w:ascii="Palatino Linotype" w:eastAsia="MS Mincho" w:hAnsi="Palatino Linotype" w:cstheme="majorBidi"/>
        </w:rPr>
        <w:t>el particular requirió información relativa a los predios identificados con los números progresivos 60, 80 y 86 de su inventario de bienes muebles, en tanto que el Sujeto obligado refirió tanto en su respuesta que los datos proporcionados por el hoy recurrente no coinciden, para lo cual se adjunta una tabla comparativa, como sigue:</w:t>
      </w:r>
    </w:p>
    <w:p w14:paraId="76D27BF4" w14:textId="0AEAFC89" w:rsidR="00AF7651" w:rsidRPr="001515F0" w:rsidRDefault="00AF7651" w:rsidP="00AF7651">
      <w:pPr>
        <w:pStyle w:val="Prrafodelista"/>
        <w:rPr>
          <w:rFonts w:ascii="Palatino Linotype" w:hAnsi="Palatino Linotype"/>
          <w:noProof/>
        </w:rPr>
      </w:pPr>
    </w:p>
    <w:tbl>
      <w:tblPr>
        <w:tblStyle w:val="Tablaconcuadrcula"/>
        <w:tblW w:w="0" w:type="auto"/>
        <w:jc w:val="center"/>
        <w:tblLook w:val="04A0" w:firstRow="1" w:lastRow="0" w:firstColumn="1" w:lastColumn="0" w:noHBand="0" w:noVBand="1"/>
      </w:tblPr>
      <w:tblGrid>
        <w:gridCol w:w="1795"/>
        <w:gridCol w:w="3335"/>
        <w:gridCol w:w="3343"/>
      </w:tblGrid>
      <w:tr w:rsidR="00AF7651" w:rsidRPr="001515F0" w14:paraId="4EDF7CD1" w14:textId="77777777" w:rsidTr="00C8636A">
        <w:trPr>
          <w:jc w:val="center"/>
        </w:trPr>
        <w:tc>
          <w:tcPr>
            <w:tcW w:w="1795" w:type="dxa"/>
          </w:tcPr>
          <w:p w14:paraId="21489F74" w14:textId="7FF0260B" w:rsidR="00AF7651" w:rsidRPr="001515F0" w:rsidRDefault="00AF7651" w:rsidP="00C8636A">
            <w:pPr>
              <w:pStyle w:val="Prrafodelista"/>
              <w:snapToGrid w:val="0"/>
              <w:spacing w:line="276" w:lineRule="auto"/>
              <w:ind w:left="0"/>
              <w:contextualSpacing w:val="0"/>
              <w:jc w:val="center"/>
              <w:rPr>
                <w:rFonts w:ascii="Palatino Linotype" w:hAnsi="Palatino Linotype"/>
                <w:b/>
                <w:noProof/>
                <w:sz w:val="22"/>
                <w:szCs w:val="22"/>
              </w:rPr>
            </w:pPr>
            <w:r w:rsidRPr="001515F0">
              <w:rPr>
                <w:rFonts w:ascii="Palatino Linotype" w:hAnsi="Palatino Linotype"/>
                <w:b/>
                <w:noProof/>
                <w:sz w:val="22"/>
                <w:szCs w:val="22"/>
              </w:rPr>
              <w:lastRenderedPageBreak/>
              <w:t>Número progresivo del inmueble</w:t>
            </w:r>
          </w:p>
        </w:tc>
        <w:tc>
          <w:tcPr>
            <w:tcW w:w="3335" w:type="dxa"/>
          </w:tcPr>
          <w:p w14:paraId="2193F744" w14:textId="631FE550" w:rsidR="00AF7651" w:rsidRPr="001515F0" w:rsidRDefault="00AF7651" w:rsidP="00C8636A">
            <w:pPr>
              <w:pStyle w:val="Prrafodelista"/>
              <w:snapToGrid w:val="0"/>
              <w:spacing w:line="276" w:lineRule="auto"/>
              <w:ind w:left="0"/>
              <w:contextualSpacing w:val="0"/>
              <w:jc w:val="center"/>
              <w:rPr>
                <w:rFonts w:ascii="Palatino Linotype" w:hAnsi="Palatino Linotype"/>
                <w:b/>
                <w:noProof/>
                <w:sz w:val="22"/>
                <w:szCs w:val="22"/>
              </w:rPr>
            </w:pPr>
            <w:r w:rsidRPr="001515F0">
              <w:rPr>
                <w:rFonts w:ascii="Palatino Linotype" w:hAnsi="Palatino Linotype"/>
                <w:b/>
                <w:noProof/>
                <w:sz w:val="22"/>
                <w:szCs w:val="22"/>
              </w:rPr>
              <w:t>Solicitante</w:t>
            </w:r>
          </w:p>
        </w:tc>
        <w:tc>
          <w:tcPr>
            <w:tcW w:w="3343" w:type="dxa"/>
          </w:tcPr>
          <w:p w14:paraId="7A19E7D3" w14:textId="59AD098C" w:rsidR="00AF7651" w:rsidRPr="001515F0" w:rsidRDefault="00AF7651" w:rsidP="00C8636A">
            <w:pPr>
              <w:pStyle w:val="Prrafodelista"/>
              <w:snapToGrid w:val="0"/>
              <w:spacing w:line="276" w:lineRule="auto"/>
              <w:ind w:left="0"/>
              <w:contextualSpacing w:val="0"/>
              <w:jc w:val="center"/>
              <w:rPr>
                <w:rFonts w:ascii="Palatino Linotype" w:hAnsi="Palatino Linotype"/>
                <w:b/>
                <w:noProof/>
                <w:sz w:val="22"/>
                <w:szCs w:val="22"/>
              </w:rPr>
            </w:pPr>
            <w:r w:rsidRPr="001515F0">
              <w:rPr>
                <w:rFonts w:ascii="Palatino Linotype" w:hAnsi="Palatino Linotype"/>
                <w:b/>
                <w:noProof/>
                <w:sz w:val="22"/>
                <w:szCs w:val="22"/>
              </w:rPr>
              <w:t>Sujeto obligado</w:t>
            </w:r>
          </w:p>
        </w:tc>
      </w:tr>
      <w:tr w:rsidR="00AF7651" w:rsidRPr="001515F0" w14:paraId="1826EB7D" w14:textId="77777777" w:rsidTr="00C8636A">
        <w:trPr>
          <w:jc w:val="center"/>
        </w:trPr>
        <w:tc>
          <w:tcPr>
            <w:tcW w:w="1795" w:type="dxa"/>
          </w:tcPr>
          <w:p w14:paraId="6EC43ECE" w14:textId="5FEB65D6" w:rsidR="00AF7651" w:rsidRPr="001515F0" w:rsidRDefault="00AF7651" w:rsidP="00C8636A">
            <w:pPr>
              <w:pStyle w:val="Prrafodelista"/>
              <w:snapToGrid w:val="0"/>
              <w:spacing w:line="276" w:lineRule="auto"/>
              <w:ind w:left="0"/>
              <w:contextualSpacing w:val="0"/>
              <w:rPr>
                <w:rFonts w:ascii="Palatino Linotype" w:hAnsi="Palatino Linotype"/>
                <w:noProof/>
                <w:sz w:val="22"/>
                <w:szCs w:val="22"/>
              </w:rPr>
            </w:pPr>
            <w:r w:rsidRPr="001515F0">
              <w:rPr>
                <w:rFonts w:ascii="Palatino Linotype" w:hAnsi="Palatino Linotype"/>
                <w:noProof/>
                <w:sz w:val="22"/>
                <w:szCs w:val="22"/>
              </w:rPr>
              <w:t>60</w:t>
            </w:r>
          </w:p>
        </w:tc>
        <w:tc>
          <w:tcPr>
            <w:tcW w:w="3335" w:type="dxa"/>
          </w:tcPr>
          <w:p w14:paraId="3F43E119" w14:textId="6CE793B1" w:rsidR="00AF7651" w:rsidRPr="001515F0" w:rsidRDefault="00AF7651" w:rsidP="00C8636A">
            <w:pPr>
              <w:pStyle w:val="Prrafodelista"/>
              <w:snapToGrid w:val="0"/>
              <w:spacing w:line="276" w:lineRule="auto"/>
              <w:ind w:left="0"/>
              <w:contextualSpacing w:val="0"/>
              <w:rPr>
                <w:rFonts w:ascii="Palatino Linotype" w:hAnsi="Palatino Linotype"/>
                <w:noProof/>
                <w:sz w:val="22"/>
                <w:szCs w:val="22"/>
              </w:rPr>
            </w:pPr>
            <w:r w:rsidRPr="001515F0">
              <w:rPr>
                <w:rFonts w:ascii="Palatino Linotype" w:hAnsi="Palatino Linotype"/>
                <w:iCs/>
                <w:color w:val="000000"/>
                <w:sz w:val="22"/>
                <w:szCs w:val="22"/>
              </w:rPr>
              <w:t>Medidas del terreno que refieren con el número progresivo “60” y que dice ser “terreno” con ubicación en “paraje loma cebada”.</w:t>
            </w:r>
          </w:p>
        </w:tc>
        <w:tc>
          <w:tcPr>
            <w:tcW w:w="3343" w:type="dxa"/>
          </w:tcPr>
          <w:p w14:paraId="79AA5FB7" w14:textId="7D7202CA" w:rsidR="00AF7651" w:rsidRPr="001515F0" w:rsidRDefault="00AF7651" w:rsidP="00C8636A">
            <w:pPr>
              <w:pStyle w:val="Prrafodelista"/>
              <w:snapToGrid w:val="0"/>
              <w:spacing w:before="240" w:after="240" w:line="276" w:lineRule="auto"/>
              <w:ind w:left="73"/>
              <w:contextualSpacing w:val="0"/>
              <w:jc w:val="both"/>
              <w:rPr>
                <w:rFonts w:ascii="Palatino Linotype" w:hAnsi="Palatino Linotype"/>
                <w:iCs/>
                <w:sz w:val="22"/>
                <w:szCs w:val="22"/>
              </w:rPr>
            </w:pPr>
            <w:r w:rsidRPr="001515F0">
              <w:rPr>
                <w:rFonts w:ascii="Palatino Linotype" w:hAnsi="Palatino Linotype"/>
                <w:iCs/>
                <w:sz w:val="22"/>
                <w:szCs w:val="22"/>
              </w:rPr>
              <w:t>Corresponde a Avenida Lomas del Jazmín, en Balcones de la Herradura.</w:t>
            </w:r>
          </w:p>
        </w:tc>
      </w:tr>
      <w:tr w:rsidR="00AF7651" w:rsidRPr="001515F0" w14:paraId="3102808E" w14:textId="77777777" w:rsidTr="00C8636A">
        <w:trPr>
          <w:jc w:val="center"/>
        </w:trPr>
        <w:tc>
          <w:tcPr>
            <w:tcW w:w="1795" w:type="dxa"/>
          </w:tcPr>
          <w:p w14:paraId="2824E591" w14:textId="1EF83568" w:rsidR="00AF7651" w:rsidRPr="001515F0" w:rsidRDefault="00AF7651" w:rsidP="00C8636A">
            <w:pPr>
              <w:pStyle w:val="Prrafodelista"/>
              <w:snapToGrid w:val="0"/>
              <w:spacing w:line="276" w:lineRule="auto"/>
              <w:ind w:left="0"/>
              <w:contextualSpacing w:val="0"/>
              <w:rPr>
                <w:rFonts w:ascii="Palatino Linotype" w:hAnsi="Palatino Linotype"/>
                <w:noProof/>
                <w:sz w:val="22"/>
                <w:szCs w:val="22"/>
              </w:rPr>
            </w:pPr>
            <w:r w:rsidRPr="001515F0">
              <w:rPr>
                <w:rFonts w:ascii="Palatino Linotype" w:hAnsi="Palatino Linotype"/>
                <w:noProof/>
                <w:sz w:val="22"/>
                <w:szCs w:val="22"/>
              </w:rPr>
              <w:t>80</w:t>
            </w:r>
          </w:p>
        </w:tc>
        <w:tc>
          <w:tcPr>
            <w:tcW w:w="3335" w:type="dxa"/>
          </w:tcPr>
          <w:p w14:paraId="0F556EBA" w14:textId="7C4A0545" w:rsidR="00AF7651" w:rsidRPr="001515F0" w:rsidRDefault="00AF7651" w:rsidP="00C8636A">
            <w:pPr>
              <w:pStyle w:val="Prrafodelista"/>
              <w:snapToGrid w:val="0"/>
              <w:spacing w:line="276" w:lineRule="auto"/>
              <w:ind w:left="0"/>
              <w:contextualSpacing w:val="0"/>
              <w:rPr>
                <w:rFonts w:ascii="Palatino Linotype" w:hAnsi="Palatino Linotype"/>
                <w:noProof/>
                <w:sz w:val="22"/>
                <w:szCs w:val="22"/>
              </w:rPr>
            </w:pPr>
            <w:r w:rsidRPr="001515F0">
              <w:rPr>
                <w:rFonts w:ascii="Palatino Linotype" w:hAnsi="Palatino Linotype"/>
                <w:iCs/>
                <w:color w:val="000000"/>
                <w:sz w:val="22"/>
                <w:szCs w:val="22"/>
              </w:rPr>
              <w:t>Medidas del terreno que refieren con el número progresivo “80” y que dice ser “baldío” con ubicación en “sobre Av. palo solo”.</w:t>
            </w:r>
          </w:p>
        </w:tc>
        <w:tc>
          <w:tcPr>
            <w:tcW w:w="3343" w:type="dxa"/>
          </w:tcPr>
          <w:p w14:paraId="2A87A645" w14:textId="2C9BDEFC" w:rsidR="00AF7651" w:rsidRPr="001515F0" w:rsidRDefault="00AF7651" w:rsidP="00C8636A">
            <w:pPr>
              <w:pStyle w:val="Prrafodelista"/>
              <w:snapToGrid w:val="0"/>
              <w:spacing w:before="240" w:after="240" w:line="276" w:lineRule="auto"/>
              <w:ind w:left="73"/>
              <w:contextualSpacing w:val="0"/>
              <w:jc w:val="both"/>
              <w:rPr>
                <w:rFonts w:ascii="Palatino Linotype" w:hAnsi="Palatino Linotype"/>
                <w:iCs/>
                <w:sz w:val="22"/>
                <w:szCs w:val="22"/>
              </w:rPr>
            </w:pPr>
            <w:r w:rsidRPr="001515F0">
              <w:rPr>
                <w:rFonts w:ascii="Palatino Linotype" w:hAnsi="Palatino Linotype"/>
                <w:iCs/>
                <w:sz w:val="22"/>
                <w:szCs w:val="22"/>
              </w:rPr>
              <w:t>Corresponde a un campo deportivo en Av. Palo Solo.</w:t>
            </w:r>
          </w:p>
        </w:tc>
      </w:tr>
      <w:tr w:rsidR="00AF7651" w:rsidRPr="001515F0" w14:paraId="0025DA99" w14:textId="77777777" w:rsidTr="00C8636A">
        <w:trPr>
          <w:jc w:val="center"/>
        </w:trPr>
        <w:tc>
          <w:tcPr>
            <w:tcW w:w="1795" w:type="dxa"/>
          </w:tcPr>
          <w:p w14:paraId="480A991C" w14:textId="46F00134" w:rsidR="00AF7651" w:rsidRPr="001515F0" w:rsidRDefault="00AF7651" w:rsidP="00C8636A">
            <w:pPr>
              <w:pStyle w:val="Prrafodelista"/>
              <w:snapToGrid w:val="0"/>
              <w:spacing w:line="276" w:lineRule="auto"/>
              <w:ind w:left="0"/>
              <w:contextualSpacing w:val="0"/>
              <w:rPr>
                <w:rFonts w:ascii="Palatino Linotype" w:hAnsi="Palatino Linotype"/>
                <w:noProof/>
                <w:sz w:val="22"/>
                <w:szCs w:val="22"/>
              </w:rPr>
            </w:pPr>
            <w:r w:rsidRPr="001515F0">
              <w:rPr>
                <w:rFonts w:ascii="Palatino Linotype" w:hAnsi="Palatino Linotype"/>
                <w:noProof/>
                <w:sz w:val="22"/>
                <w:szCs w:val="22"/>
              </w:rPr>
              <w:t>86</w:t>
            </w:r>
          </w:p>
        </w:tc>
        <w:tc>
          <w:tcPr>
            <w:tcW w:w="3335" w:type="dxa"/>
          </w:tcPr>
          <w:p w14:paraId="304E5BD9" w14:textId="4ADAD0C4" w:rsidR="00AF7651" w:rsidRPr="001515F0" w:rsidRDefault="00AF7651" w:rsidP="00C8636A">
            <w:pPr>
              <w:pStyle w:val="Prrafodelista"/>
              <w:snapToGrid w:val="0"/>
              <w:spacing w:line="276" w:lineRule="auto"/>
              <w:ind w:left="0"/>
              <w:contextualSpacing w:val="0"/>
              <w:rPr>
                <w:rFonts w:ascii="Palatino Linotype" w:hAnsi="Palatino Linotype"/>
                <w:noProof/>
                <w:sz w:val="22"/>
                <w:szCs w:val="22"/>
              </w:rPr>
            </w:pPr>
            <w:r w:rsidRPr="001515F0">
              <w:rPr>
                <w:rFonts w:ascii="Palatino Linotype" w:hAnsi="Palatino Linotype"/>
                <w:iCs/>
                <w:color w:val="000000"/>
                <w:sz w:val="22"/>
                <w:szCs w:val="22"/>
              </w:rPr>
              <w:t>Medidas del terreno que refieren con el número progresivo “86” y que dice ser “baldío” con ubicación en “bosque palma de dátil”.</w:t>
            </w:r>
          </w:p>
        </w:tc>
        <w:tc>
          <w:tcPr>
            <w:tcW w:w="3343" w:type="dxa"/>
          </w:tcPr>
          <w:p w14:paraId="59A092A0" w14:textId="19E20A14" w:rsidR="00AF7651" w:rsidRPr="001515F0" w:rsidRDefault="00AF7651" w:rsidP="00C8636A">
            <w:pPr>
              <w:pStyle w:val="Prrafodelista"/>
              <w:snapToGrid w:val="0"/>
              <w:spacing w:before="240" w:after="240" w:line="276" w:lineRule="auto"/>
              <w:ind w:left="73"/>
              <w:contextualSpacing w:val="0"/>
              <w:jc w:val="both"/>
              <w:rPr>
                <w:rFonts w:ascii="Palatino Linotype" w:hAnsi="Palatino Linotype"/>
                <w:iCs/>
                <w:sz w:val="22"/>
                <w:szCs w:val="22"/>
              </w:rPr>
            </w:pPr>
            <w:r w:rsidRPr="001515F0">
              <w:rPr>
                <w:rFonts w:ascii="Palatino Linotype" w:hAnsi="Palatino Linotype"/>
                <w:iCs/>
                <w:sz w:val="22"/>
                <w:szCs w:val="22"/>
              </w:rPr>
              <w:t xml:space="preserve">Corresponde a la Comunidad de Santa Cruz </w:t>
            </w:r>
            <w:proofErr w:type="spellStart"/>
            <w:r w:rsidRPr="001515F0">
              <w:rPr>
                <w:rFonts w:ascii="Palatino Linotype" w:hAnsi="Palatino Linotype"/>
                <w:iCs/>
                <w:sz w:val="22"/>
                <w:szCs w:val="22"/>
              </w:rPr>
              <w:t>Ayotuxco</w:t>
            </w:r>
            <w:proofErr w:type="spellEnd"/>
            <w:r w:rsidRPr="001515F0">
              <w:rPr>
                <w:rFonts w:ascii="Palatino Linotype" w:hAnsi="Palatino Linotype"/>
                <w:iCs/>
                <w:sz w:val="22"/>
                <w:szCs w:val="22"/>
              </w:rPr>
              <w:t>, Cerrada de los Cedros sobre Av. Principal.</w:t>
            </w:r>
          </w:p>
        </w:tc>
      </w:tr>
    </w:tbl>
    <w:p w14:paraId="73E6D70D" w14:textId="5436F080" w:rsidR="00AF7651" w:rsidRPr="001515F0" w:rsidRDefault="00AF7651" w:rsidP="00AF7651">
      <w:pPr>
        <w:pStyle w:val="Prrafodelista"/>
        <w:rPr>
          <w:rFonts w:ascii="Palatino Linotype" w:hAnsi="Palatino Linotype"/>
          <w:noProof/>
        </w:rPr>
      </w:pPr>
    </w:p>
    <w:p w14:paraId="46EF2C58" w14:textId="3D6FC8C4" w:rsidR="00476A54" w:rsidRPr="001515F0" w:rsidRDefault="00476A54" w:rsidP="00476A54">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1515F0">
        <w:rPr>
          <w:rFonts w:ascii="Palatino Linotype" w:hAnsi="Palatino Linotype" w:cs="Arial"/>
          <w:color w:val="000000" w:themeColor="text1"/>
        </w:rPr>
        <w:t xml:space="preserve">Ahora bien derivado de la revisión y verificación a la página IPOMEX del Sujeto Obligado en el apartado del inventario de bienes inmuebles, se encontraron los siguientes registros con los siguientes números consecutivos: </w:t>
      </w:r>
    </w:p>
    <w:p w14:paraId="67BE8C04" w14:textId="77777777" w:rsidR="00C8636A" w:rsidRPr="001515F0" w:rsidRDefault="00C8636A" w:rsidP="00C8636A">
      <w:pPr>
        <w:pStyle w:val="Prrafodelista"/>
        <w:tabs>
          <w:tab w:val="left" w:pos="0"/>
        </w:tabs>
        <w:spacing w:line="360" w:lineRule="auto"/>
        <w:ind w:left="0" w:right="49"/>
        <w:jc w:val="both"/>
        <w:rPr>
          <w:rFonts w:ascii="Palatino Linotype" w:hAnsi="Palatino Linotype" w:cs="Arial"/>
          <w:color w:val="000000" w:themeColor="text1"/>
        </w:rPr>
      </w:pPr>
    </w:p>
    <w:p w14:paraId="2DF08D0C" w14:textId="1AEC3EF3" w:rsidR="00476A54" w:rsidRPr="001515F0" w:rsidRDefault="00476A54" w:rsidP="00476A54">
      <w:pPr>
        <w:pStyle w:val="Prrafodelista"/>
        <w:numPr>
          <w:ilvl w:val="0"/>
          <w:numId w:val="11"/>
        </w:numPr>
        <w:tabs>
          <w:tab w:val="left" w:pos="0"/>
        </w:tabs>
        <w:spacing w:line="360" w:lineRule="auto"/>
        <w:ind w:right="49"/>
        <w:jc w:val="both"/>
        <w:rPr>
          <w:rFonts w:ascii="Palatino Linotype" w:hAnsi="Palatino Linotype" w:cs="Arial"/>
          <w:color w:val="000000" w:themeColor="text1"/>
        </w:rPr>
      </w:pPr>
      <w:r w:rsidRPr="001515F0">
        <w:rPr>
          <w:rFonts w:ascii="Palatino Linotype" w:hAnsi="Palatino Linotype" w:cs="Arial"/>
          <w:b/>
          <w:color w:val="000000" w:themeColor="text1"/>
        </w:rPr>
        <w:t>Número 61</w:t>
      </w:r>
      <w:r w:rsidRPr="001515F0">
        <w:rPr>
          <w:rFonts w:ascii="Palatino Linotype" w:hAnsi="Palatino Linotype" w:cs="Arial"/>
          <w:color w:val="000000" w:themeColor="text1"/>
        </w:rPr>
        <w:t>, que coincide con los datos proporcionados por el solicitante:</w:t>
      </w:r>
      <w:r w:rsidRPr="001515F0">
        <w:rPr>
          <w:rFonts w:ascii="Palatino Linotype" w:hAnsi="Palatino Linotype" w:cs="Arial"/>
          <w:b/>
          <w:i/>
          <w:color w:val="000000" w:themeColor="text1"/>
        </w:rPr>
        <w:t xml:space="preserve"> “</w:t>
      </w:r>
      <w:r w:rsidRPr="001515F0">
        <w:rPr>
          <w:rFonts w:ascii="Palatino Linotype" w:hAnsi="Palatino Linotype"/>
          <w:b/>
          <w:i/>
          <w:iCs/>
          <w:color w:val="000000"/>
        </w:rPr>
        <w:t xml:space="preserve">terreno” con ubicación en “paraje loma cebada”, </w:t>
      </w:r>
      <w:r w:rsidRPr="001515F0">
        <w:rPr>
          <w:rFonts w:ascii="Palatino Linotype" w:hAnsi="Palatino Linotype"/>
          <w:iCs/>
          <w:color w:val="000000"/>
        </w:rPr>
        <w:t>como a continuación se muestra:</w:t>
      </w:r>
    </w:p>
    <w:p w14:paraId="7B7A4CDB" w14:textId="574DD87C" w:rsidR="00476A54" w:rsidRPr="001515F0" w:rsidRDefault="00C8636A" w:rsidP="00476A54">
      <w:pPr>
        <w:pStyle w:val="Prrafodelista"/>
        <w:tabs>
          <w:tab w:val="left" w:pos="0"/>
        </w:tabs>
        <w:spacing w:line="360" w:lineRule="auto"/>
        <w:ind w:left="0" w:right="49"/>
        <w:jc w:val="center"/>
        <w:rPr>
          <w:rFonts w:ascii="Palatino Linotype" w:hAnsi="Palatino Linotype" w:cs="Arial"/>
          <w:i/>
          <w:color w:val="000000" w:themeColor="text1"/>
        </w:rPr>
      </w:pPr>
      <w:r w:rsidRPr="001515F0">
        <w:rPr>
          <w:rFonts w:ascii="Palatino Linotype" w:hAnsi="Palatino Linotype" w:cs="Arial"/>
          <w:i/>
          <w:noProof/>
          <w:color w:val="000000" w:themeColor="text1"/>
          <w:lang w:val="es-MX" w:eastAsia="es-MX"/>
        </w:rPr>
        <w:lastRenderedPageBreak/>
        <mc:AlternateContent>
          <mc:Choice Requires="wps">
            <w:drawing>
              <wp:anchor distT="0" distB="0" distL="114300" distR="114300" simplePos="0" relativeHeight="251660288" behindDoc="0" locked="0" layoutInCell="1" allowOverlap="1" wp14:anchorId="48BFE872" wp14:editId="3FF3BAE8">
                <wp:simplePos x="0" y="0"/>
                <wp:positionH relativeFrom="column">
                  <wp:posOffset>2585251</wp:posOffset>
                </wp:positionH>
                <wp:positionV relativeFrom="paragraph">
                  <wp:posOffset>962246</wp:posOffset>
                </wp:positionV>
                <wp:extent cx="1160890" cy="477078"/>
                <wp:effectExtent l="0" t="0" r="7620" b="18415"/>
                <wp:wrapNone/>
                <wp:docPr id="7" name="Marco 7"/>
                <wp:cNvGraphicFramePr/>
                <a:graphic xmlns:a="http://schemas.openxmlformats.org/drawingml/2006/main">
                  <a:graphicData uri="http://schemas.microsoft.com/office/word/2010/wordprocessingShape">
                    <wps:wsp>
                      <wps:cNvSpPr/>
                      <wps:spPr>
                        <a:xfrm>
                          <a:off x="0" y="0"/>
                          <a:ext cx="1160890" cy="477078"/>
                        </a:xfrm>
                        <a:prstGeom prst="frame">
                          <a:avLst>
                            <a:gd name="adj1" fmla="val 478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DCA94" id="Marco 7" o:spid="_x0000_s1026" style="position:absolute;margin-left:203.55pt;margin-top:75.75pt;width:91.4pt;height:3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60890,477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" path="m,l1160890,r,477078l,477078,,xm22847,22847r,431384l1138043,454231r,-431384l22847,22847xe" fillcolor="red" strokecolor="red" strokeweight="1pt">
                <v:stroke joinstyle="miter"/>
                <v:path arrowok="t" o:connecttype="custom" o:connectlocs="0,0;1160890,0;1160890,477078;0,477078;0,0;22847,22847;22847,454231;1138043,454231;1138043,22847;22847,22847" o:connectangles="0,0,0,0,0,0,0,0,0,0"/>
              </v:shape>
            </w:pict>
          </mc:Fallback>
        </mc:AlternateContent>
      </w:r>
      <w:r w:rsidRPr="001515F0">
        <w:rPr>
          <w:rFonts w:ascii="Palatino Linotype" w:hAnsi="Palatino Linotype" w:cs="Arial"/>
          <w:i/>
          <w:noProof/>
          <w:color w:val="000000" w:themeColor="text1"/>
          <w:lang w:val="es-MX" w:eastAsia="es-MX"/>
        </w:rPr>
        <mc:AlternateContent>
          <mc:Choice Requires="wps">
            <w:drawing>
              <wp:anchor distT="0" distB="0" distL="114300" distR="114300" simplePos="0" relativeHeight="251659264" behindDoc="0" locked="0" layoutInCell="1" allowOverlap="1" wp14:anchorId="5904010A" wp14:editId="03F20CEF">
                <wp:simplePos x="0" y="0"/>
                <wp:positionH relativeFrom="column">
                  <wp:posOffset>986790</wp:posOffset>
                </wp:positionH>
                <wp:positionV relativeFrom="paragraph">
                  <wp:posOffset>151241</wp:posOffset>
                </wp:positionV>
                <wp:extent cx="866692" cy="262393"/>
                <wp:effectExtent l="0" t="0" r="10160" b="17145"/>
                <wp:wrapNone/>
                <wp:docPr id="6" name="Marco 6"/>
                <wp:cNvGraphicFramePr/>
                <a:graphic xmlns:a="http://schemas.openxmlformats.org/drawingml/2006/main">
                  <a:graphicData uri="http://schemas.microsoft.com/office/word/2010/wordprocessingShape">
                    <wps:wsp>
                      <wps:cNvSpPr/>
                      <wps:spPr>
                        <a:xfrm>
                          <a:off x="0" y="0"/>
                          <a:ext cx="866692" cy="262393"/>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A26E2D" id="Marco 6" o:spid="_x0000_s1026" style="position:absolute;margin-left:77.7pt;margin-top:11.9pt;width:68.25pt;height:20.6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866692,26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" path="m,l866692,r,262393l,262393,,xm32799,32799r,196795l833893,229594r,-196795l32799,32799xe" fillcolor="red" strokecolor="red" strokeweight="1pt">
                <v:stroke joinstyle="miter"/>
                <v:path arrowok="t" o:connecttype="custom" o:connectlocs="0,0;866692,0;866692,262393;0,262393;0,0;32799,32799;32799,229594;833893,229594;833893,32799;32799,32799" o:connectangles="0,0,0,0,0,0,0,0,0,0"/>
              </v:shape>
            </w:pict>
          </mc:Fallback>
        </mc:AlternateContent>
      </w:r>
      <w:r w:rsidR="00476A54" w:rsidRPr="001515F0">
        <w:rPr>
          <w:rFonts w:ascii="Palatino Linotype" w:hAnsi="Palatino Linotype" w:cs="Arial"/>
          <w:i/>
          <w:noProof/>
          <w:color w:val="000000" w:themeColor="text1"/>
          <w:lang w:val="es-MX" w:eastAsia="es-MX"/>
        </w:rPr>
        <w:drawing>
          <wp:inline distT="0" distB="0" distL="0" distR="0" wp14:anchorId="7395B6A6" wp14:editId="2ECA6A69">
            <wp:extent cx="4449472" cy="49690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4215" cy="4996662"/>
                    </a:xfrm>
                    <a:prstGeom prst="rect">
                      <a:avLst/>
                    </a:prstGeom>
                  </pic:spPr>
                </pic:pic>
              </a:graphicData>
            </a:graphic>
          </wp:inline>
        </w:drawing>
      </w:r>
    </w:p>
    <w:p w14:paraId="6076FF89" w14:textId="77777777" w:rsidR="00C8636A" w:rsidRPr="001515F0" w:rsidRDefault="00C8636A" w:rsidP="00476A54">
      <w:pPr>
        <w:pStyle w:val="Prrafodelista"/>
        <w:tabs>
          <w:tab w:val="left" w:pos="0"/>
        </w:tabs>
        <w:spacing w:line="360" w:lineRule="auto"/>
        <w:ind w:left="0" w:right="49"/>
        <w:jc w:val="center"/>
        <w:rPr>
          <w:rFonts w:ascii="Palatino Linotype" w:hAnsi="Palatino Linotype" w:cs="Arial"/>
          <w:i/>
          <w:color w:val="000000" w:themeColor="text1"/>
        </w:rPr>
      </w:pPr>
    </w:p>
    <w:p w14:paraId="36AF1DC4" w14:textId="63B5EF16" w:rsidR="00476A54" w:rsidRPr="001515F0" w:rsidRDefault="00476A54" w:rsidP="00476A54">
      <w:pPr>
        <w:pStyle w:val="Prrafodelista"/>
        <w:numPr>
          <w:ilvl w:val="0"/>
          <w:numId w:val="11"/>
        </w:numPr>
        <w:tabs>
          <w:tab w:val="left" w:pos="0"/>
        </w:tabs>
        <w:spacing w:line="360" w:lineRule="auto"/>
        <w:ind w:right="49"/>
        <w:jc w:val="both"/>
        <w:rPr>
          <w:rFonts w:ascii="Palatino Linotype" w:hAnsi="Palatino Linotype" w:cs="Arial"/>
          <w:color w:val="000000" w:themeColor="text1"/>
        </w:rPr>
      </w:pPr>
      <w:r w:rsidRPr="001515F0">
        <w:rPr>
          <w:rFonts w:ascii="Palatino Linotype" w:hAnsi="Palatino Linotype" w:cs="Arial"/>
          <w:b/>
          <w:color w:val="000000" w:themeColor="text1"/>
        </w:rPr>
        <w:t>Número 41</w:t>
      </w:r>
      <w:r w:rsidRPr="001515F0">
        <w:rPr>
          <w:rFonts w:ascii="Palatino Linotype" w:hAnsi="Palatino Linotype" w:cs="Arial"/>
          <w:color w:val="000000" w:themeColor="text1"/>
        </w:rPr>
        <w:t>, que coincide con los datos proporcionados por el solicitante:</w:t>
      </w:r>
      <w:r w:rsidRPr="001515F0">
        <w:rPr>
          <w:rFonts w:ascii="Palatino Linotype" w:hAnsi="Palatino Linotype" w:cs="Arial"/>
          <w:b/>
          <w:i/>
          <w:color w:val="000000" w:themeColor="text1"/>
        </w:rPr>
        <w:t xml:space="preserve"> </w:t>
      </w:r>
      <w:r w:rsidRPr="001515F0">
        <w:rPr>
          <w:rFonts w:ascii="Palatino Linotype" w:hAnsi="Palatino Linotype"/>
          <w:b/>
          <w:i/>
          <w:iCs/>
          <w:color w:val="000000"/>
          <w:sz w:val="22"/>
          <w:szCs w:val="22"/>
        </w:rPr>
        <w:t>“baldío” con ubicación en “sobre Av. palo solo”</w:t>
      </w:r>
      <w:r w:rsidRPr="001515F0">
        <w:rPr>
          <w:rFonts w:ascii="Palatino Linotype" w:hAnsi="Palatino Linotype"/>
          <w:b/>
          <w:i/>
          <w:iCs/>
          <w:color w:val="000000"/>
        </w:rPr>
        <w:t xml:space="preserve">, </w:t>
      </w:r>
      <w:r w:rsidRPr="001515F0">
        <w:rPr>
          <w:rFonts w:ascii="Palatino Linotype" w:hAnsi="Palatino Linotype"/>
          <w:iCs/>
          <w:color w:val="000000"/>
        </w:rPr>
        <w:t>como a continuación se muestra:</w:t>
      </w:r>
    </w:p>
    <w:p w14:paraId="37519DF7" w14:textId="52E0EB6C" w:rsidR="00476A54" w:rsidRPr="001515F0" w:rsidRDefault="00476A54" w:rsidP="00476A54">
      <w:pPr>
        <w:pStyle w:val="Prrafodelista"/>
        <w:tabs>
          <w:tab w:val="left" w:pos="0"/>
        </w:tabs>
        <w:spacing w:line="360" w:lineRule="auto"/>
        <w:ind w:right="49"/>
        <w:jc w:val="center"/>
        <w:rPr>
          <w:rFonts w:ascii="Palatino Linotype" w:hAnsi="Palatino Linotype" w:cs="Arial"/>
          <w:i/>
          <w:color w:val="000000" w:themeColor="text1"/>
        </w:rPr>
      </w:pPr>
      <w:r w:rsidRPr="001515F0">
        <w:rPr>
          <w:rFonts w:ascii="Palatino Linotype" w:hAnsi="Palatino Linotype" w:cs="Arial"/>
          <w:i/>
          <w:noProof/>
          <w:color w:val="000000" w:themeColor="text1"/>
          <w:lang w:val="es-MX" w:eastAsia="es-MX"/>
        </w:rPr>
        <w:lastRenderedPageBreak/>
        <mc:AlternateContent>
          <mc:Choice Requires="wps">
            <w:drawing>
              <wp:anchor distT="0" distB="0" distL="114300" distR="114300" simplePos="0" relativeHeight="251666432" behindDoc="0" locked="0" layoutInCell="1" allowOverlap="1" wp14:anchorId="208B2274" wp14:editId="6B42D0CB">
                <wp:simplePos x="0" y="0"/>
                <wp:positionH relativeFrom="column">
                  <wp:posOffset>852032</wp:posOffset>
                </wp:positionH>
                <wp:positionV relativeFrom="paragraph">
                  <wp:posOffset>2700075</wp:posOffset>
                </wp:positionV>
                <wp:extent cx="1661823" cy="318052"/>
                <wp:effectExtent l="0" t="0" r="14605" b="12700"/>
                <wp:wrapNone/>
                <wp:docPr id="14" name="Marco 14"/>
                <wp:cNvGraphicFramePr/>
                <a:graphic xmlns:a="http://schemas.openxmlformats.org/drawingml/2006/main">
                  <a:graphicData uri="http://schemas.microsoft.com/office/word/2010/wordprocessingShape">
                    <wps:wsp>
                      <wps:cNvSpPr/>
                      <wps:spPr>
                        <a:xfrm>
                          <a:off x="0" y="0"/>
                          <a:ext cx="1661823" cy="318052"/>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140980" id="Marco 14" o:spid="_x0000_s1026" style="position:absolute;margin-left:67.1pt;margin-top:212.6pt;width:130.85pt;height:25.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661823,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" path="m,l1661823,r,318052l,318052,,xm39757,39757r,238539l1622067,278296r,-238539l39757,39757xe" fillcolor="red" strokecolor="red" strokeweight="1pt">
                <v:stroke joinstyle="miter"/>
                <v:path arrowok="t" o:connecttype="custom" o:connectlocs="0,0;1661823,0;1661823,318052;0,318052;0,0;39757,39757;39757,278296;1622067,278296;1622067,39757;39757,39757" o:connectangles="0,0,0,0,0,0,0,0,0,0"/>
              </v:shape>
            </w:pict>
          </mc:Fallback>
        </mc:AlternateContent>
      </w:r>
      <w:r w:rsidRPr="001515F0">
        <w:rPr>
          <w:rFonts w:ascii="Palatino Linotype" w:hAnsi="Palatino Linotype" w:cs="Arial"/>
          <w:i/>
          <w:noProof/>
          <w:color w:val="000000" w:themeColor="text1"/>
          <w:lang w:val="es-MX" w:eastAsia="es-MX"/>
        </w:rPr>
        <mc:AlternateContent>
          <mc:Choice Requires="wps">
            <w:drawing>
              <wp:anchor distT="0" distB="0" distL="114300" distR="114300" simplePos="0" relativeHeight="251662336" behindDoc="0" locked="0" layoutInCell="1" allowOverlap="1" wp14:anchorId="2E811A5C" wp14:editId="040CE64D">
                <wp:simplePos x="0" y="0"/>
                <wp:positionH relativeFrom="column">
                  <wp:posOffset>2434342</wp:posOffset>
                </wp:positionH>
                <wp:positionV relativeFrom="paragraph">
                  <wp:posOffset>998496</wp:posOffset>
                </wp:positionV>
                <wp:extent cx="1876507" cy="309576"/>
                <wp:effectExtent l="0" t="0" r="15875" b="8255"/>
                <wp:wrapNone/>
                <wp:docPr id="9" name="Marco 9"/>
                <wp:cNvGraphicFramePr/>
                <a:graphic xmlns:a="http://schemas.openxmlformats.org/drawingml/2006/main">
                  <a:graphicData uri="http://schemas.microsoft.com/office/word/2010/wordprocessingShape">
                    <wps:wsp>
                      <wps:cNvSpPr/>
                      <wps:spPr>
                        <a:xfrm>
                          <a:off x="0" y="0"/>
                          <a:ext cx="1876507" cy="309576"/>
                        </a:xfrm>
                        <a:prstGeom prst="frame">
                          <a:avLst>
                            <a:gd name="adj1" fmla="val 416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05B53" id="Marco 9" o:spid="_x0000_s1026" style="position:absolute;margin-left:191.7pt;margin-top:78.6pt;width:147.75pt;height:2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6507,30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" path="m,l1876507,r,309576l,309576,,xm12878,12878r,283820l1863629,296698r,-283820l12878,12878xe" fillcolor="red" strokecolor="red" strokeweight="1pt">
                <v:stroke joinstyle="miter"/>
                <v:path arrowok="t" o:connecttype="custom" o:connectlocs="0,0;1876507,0;1876507,309576;0,309576;0,0;12878,12878;12878,296698;1863629,296698;1863629,12878;12878,12878" o:connectangles="0,0,0,0,0,0,0,0,0,0"/>
              </v:shape>
            </w:pict>
          </mc:Fallback>
        </mc:AlternateContent>
      </w:r>
      <w:r w:rsidR="00C8636A" w:rsidRPr="001515F0">
        <w:rPr>
          <w:rFonts w:ascii="Palatino Linotype" w:hAnsi="Palatino Linotype" w:cs="Arial"/>
          <w:i/>
          <w:noProof/>
          <w:color w:val="000000" w:themeColor="text1"/>
          <w:lang w:val="es-MX" w:eastAsia="es-MX"/>
        </w:rPr>
        <mc:AlternateContent>
          <mc:Choice Requires="wps">
            <w:drawing>
              <wp:anchor distT="0" distB="0" distL="114300" distR="114300" simplePos="0" relativeHeight="251668480" behindDoc="0" locked="0" layoutInCell="1" allowOverlap="1" wp14:anchorId="756058AE" wp14:editId="0C370AF8">
                <wp:simplePos x="0" y="0"/>
                <wp:positionH relativeFrom="column">
                  <wp:posOffset>661201</wp:posOffset>
                </wp:positionH>
                <wp:positionV relativeFrom="paragraph">
                  <wp:posOffset>-525</wp:posOffset>
                </wp:positionV>
                <wp:extent cx="1232452" cy="365760"/>
                <wp:effectExtent l="0" t="0" r="12700" b="15240"/>
                <wp:wrapNone/>
                <wp:docPr id="8" name="Marco 8"/>
                <wp:cNvGraphicFramePr/>
                <a:graphic xmlns:a="http://schemas.openxmlformats.org/drawingml/2006/main">
                  <a:graphicData uri="http://schemas.microsoft.com/office/word/2010/wordprocessingShape">
                    <wps:wsp>
                      <wps:cNvSpPr/>
                      <wps:spPr>
                        <a:xfrm>
                          <a:off x="0" y="0"/>
                          <a:ext cx="1232452" cy="365760"/>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C7A9C4" id="Marco 8" o:spid="_x0000_s1026" style="position:absolute;margin-left:52.05pt;margin-top:-.05pt;width:97.05pt;height:28.8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232452,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" path="m,l1232452,r,365760l,365760,,xm45720,45720r,274320l1186732,320040r,-274320l45720,45720xe" fillcolor="red" strokecolor="red" strokeweight="1pt">
                <v:stroke joinstyle="miter"/>
                <v:path arrowok="t" o:connecttype="custom" o:connectlocs="0,0;1232452,0;1232452,365760;0,365760;0,0;45720,45720;45720,320040;1186732,320040;1186732,45720;45720,45720" o:connectangles="0,0,0,0,0,0,0,0,0,0"/>
              </v:shape>
            </w:pict>
          </mc:Fallback>
        </mc:AlternateContent>
      </w:r>
      <w:r w:rsidRPr="001515F0">
        <w:rPr>
          <w:rFonts w:ascii="Palatino Linotype" w:hAnsi="Palatino Linotype" w:cs="Arial"/>
          <w:i/>
          <w:noProof/>
          <w:color w:val="000000" w:themeColor="text1"/>
          <w:lang w:val="es-MX" w:eastAsia="es-MX"/>
        </w:rPr>
        <w:drawing>
          <wp:inline distT="0" distB="0" distL="0" distR="0" wp14:anchorId="1D93851A" wp14:editId="555E4519">
            <wp:extent cx="4712509" cy="50814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16391" cy="5085676"/>
                    </a:xfrm>
                    <a:prstGeom prst="rect">
                      <a:avLst/>
                    </a:prstGeom>
                  </pic:spPr>
                </pic:pic>
              </a:graphicData>
            </a:graphic>
          </wp:inline>
        </w:drawing>
      </w:r>
    </w:p>
    <w:p w14:paraId="19B46561" w14:textId="77777777" w:rsidR="00C8636A" w:rsidRPr="001515F0" w:rsidRDefault="00C8636A" w:rsidP="00476A54">
      <w:pPr>
        <w:pStyle w:val="Prrafodelista"/>
        <w:tabs>
          <w:tab w:val="left" w:pos="0"/>
        </w:tabs>
        <w:spacing w:line="360" w:lineRule="auto"/>
        <w:ind w:right="49"/>
        <w:jc w:val="center"/>
        <w:rPr>
          <w:rFonts w:ascii="Palatino Linotype" w:hAnsi="Palatino Linotype" w:cs="Arial"/>
          <w:i/>
          <w:color w:val="000000" w:themeColor="text1"/>
        </w:rPr>
      </w:pPr>
    </w:p>
    <w:p w14:paraId="51310019" w14:textId="36AF6ED3" w:rsidR="00476A54" w:rsidRPr="001515F0" w:rsidRDefault="00476A54" w:rsidP="00476A54">
      <w:pPr>
        <w:pStyle w:val="Prrafodelista"/>
        <w:numPr>
          <w:ilvl w:val="0"/>
          <w:numId w:val="11"/>
        </w:numPr>
        <w:tabs>
          <w:tab w:val="left" w:pos="0"/>
        </w:tabs>
        <w:spacing w:line="360" w:lineRule="auto"/>
        <w:ind w:right="49"/>
        <w:jc w:val="both"/>
        <w:rPr>
          <w:rFonts w:ascii="Palatino Linotype" w:hAnsi="Palatino Linotype" w:cs="Arial"/>
          <w:color w:val="000000" w:themeColor="text1"/>
        </w:rPr>
      </w:pPr>
      <w:r w:rsidRPr="001515F0">
        <w:rPr>
          <w:rFonts w:ascii="Palatino Linotype" w:hAnsi="Palatino Linotype" w:cs="Arial"/>
          <w:b/>
          <w:color w:val="000000" w:themeColor="text1"/>
        </w:rPr>
        <w:t>Número 35</w:t>
      </w:r>
      <w:r w:rsidRPr="001515F0">
        <w:rPr>
          <w:rFonts w:ascii="Palatino Linotype" w:hAnsi="Palatino Linotype" w:cs="Arial"/>
          <w:color w:val="000000" w:themeColor="text1"/>
        </w:rPr>
        <w:t>, que coincide con los datos proporcionados por el solicitante:</w:t>
      </w:r>
      <w:r w:rsidRPr="001515F0">
        <w:rPr>
          <w:rFonts w:ascii="Palatino Linotype" w:hAnsi="Palatino Linotype" w:cs="Arial"/>
          <w:b/>
          <w:i/>
          <w:color w:val="000000" w:themeColor="text1"/>
        </w:rPr>
        <w:t xml:space="preserve"> </w:t>
      </w:r>
      <w:r w:rsidRPr="001515F0">
        <w:rPr>
          <w:rFonts w:ascii="Palatino Linotype" w:hAnsi="Palatino Linotype"/>
          <w:b/>
          <w:i/>
          <w:iCs/>
          <w:color w:val="000000"/>
          <w:sz w:val="22"/>
          <w:szCs w:val="22"/>
        </w:rPr>
        <w:t>“baldío” con ubicación en “bosque palma de dátil”</w:t>
      </w:r>
      <w:r w:rsidRPr="001515F0">
        <w:rPr>
          <w:rFonts w:ascii="Palatino Linotype" w:hAnsi="Palatino Linotype"/>
          <w:b/>
          <w:i/>
          <w:iCs/>
          <w:color w:val="000000"/>
        </w:rPr>
        <w:t xml:space="preserve">, </w:t>
      </w:r>
      <w:r w:rsidRPr="001515F0">
        <w:rPr>
          <w:rFonts w:ascii="Palatino Linotype" w:hAnsi="Palatino Linotype"/>
          <w:iCs/>
          <w:color w:val="000000"/>
        </w:rPr>
        <w:t>como a continuación se muestra:</w:t>
      </w:r>
    </w:p>
    <w:p w14:paraId="35928625" w14:textId="245E4E97" w:rsidR="00476A54" w:rsidRPr="001515F0" w:rsidRDefault="00476A54" w:rsidP="00476A54">
      <w:pPr>
        <w:pStyle w:val="Prrafodelista"/>
        <w:tabs>
          <w:tab w:val="left" w:pos="0"/>
        </w:tabs>
        <w:spacing w:line="360" w:lineRule="auto"/>
        <w:ind w:left="0" w:right="49"/>
        <w:jc w:val="center"/>
        <w:rPr>
          <w:rFonts w:ascii="Palatino Linotype" w:hAnsi="Palatino Linotype" w:cs="Arial"/>
          <w:i/>
          <w:color w:val="000000" w:themeColor="text1"/>
        </w:rPr>
      </w:pPr>
      <w:r w:rsidRPr="001515F0">
        <w:rPr>
          <w:rFonts w:ascii="Palatino Linotype" w:hAnsi="Palatino Linotype" w:cs="Arial"/>
          <w:i/>
          <w:noProof/>
          <w:color w:val="000000" w:themeColor="text1"/>
          <w:lang w:val="es-MX" w:eastAsia="es-MX"/>
        </w:rPr>
        <w:lastRenderedPageBreak/>
        <mc:AlternateContent>
          <mc:Choice Requires="wps">
            <w:drawing>
              <wp:anchor distT="0" distB="0" distL="114300" distR="114300" simplePos="0" relativeHeight="251665408" behindDoc="0" locked="0" layoutInCell="1" allowOverlap="1" wp14:anchorId="70EF5B0C" wp14:editId="3F35685B">
                <wp:simplePos x="0" y="0"/>
                <wp:positionH relativeFrom="column">
                  <wp:posOffset>1440042</wp:posOffset>
                </wp:positionH>
                <wp:positionV relativeFrom="paragraph">
                  <wp:posOffset>2564765</wp:posOffset>
                </wp:positionV>
                <wp:extent cx="636104" cy="326004"/>
                <wp:effectExtent l="0" t="0" r="12065" b="17145"/>
                <wp:wrapNone/>
                <wp:docPr id="12" name="Marco 12"/>
                <wp:cNvGraphicFramePr/>
                <a:graphic xmlns:a="http://schemas.openxmlformats.org/drawingml/2006/main">
                  <a:graphicData uri="http://schemas.microsoft.com/office/word/2010/wordprocessingShape">
                    <wps:wsp>
                      <wps:cNvSpPr/>
                      <wps:spPr>
                        <a:xfrm>
                          <a:off x="0" y="0"/>
                          <a:ext cx="636104" cy="326004"/>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269A82" id="Marco 12" o:spid="_x0000_s1026" style="position:absolute;margin-left:113.4pt;margin-top:201.95pt;width:50.1pt;height:25.6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636104,326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" path="m,l636104,r,326004l,326004,,xm40751,40751r,244503l595354,285254r,-244503l40751,40751xe" fillcolor="red" strokecolor="red" strokeweight="1pt">
                <v:stroke joinstyle="miter"/>
                <v:path arrowok="t" o:connecttype="custom" o:connectlocs="0,0;636104,0;636104,326004;0,326004;0,0;40751,40751;40751,285254;595354,285254;595354,40751;40751,40751" o:connectangles="0,0,0,0,0,0,0,0,0,0"/>
              </v:shape>
            </w:pict>
          </mc:Fallback>
        </mc:AlternateContent>
      </w:r>
      <w:r w:rsidRPr="001515F0">
        <w:rPr>
          <w:rFonts w:ascii="Palatino Linotype" w:hAnsi="Palatino Linotype" w:cs="Arial"/>
          <w:i/>
          <w:noProof/>
          <w:color w:val="000000" w:themeColor="text1"/>
          <w:lang w:val="es-MX" w:eastAsia="es-MX"/>
        </w:rPr>
        <mc:AlternateContent>
          <mc:Choice Requires="wps">
            <w:drawing>
              <wp:anchor distT="0" distB="0" distL="114300" distR="114300" simplePos="0" relativeHeight="251664384" behindDoc="0" locked="0" layoutInCell="1" allowOverlap="1" wp14:anchorId="65ABBFA0" wp14:editId="160FAB24">
                <wp:simplePos x="0" y="0"/>
                <wp:positionH relativeFrom="column">
                  <wp:posOffset>2577465</wp:posOffset>
                </wp:positionH>
                <wp:positionV relativeFrom="paragraph">
                  <wp:posOffset>942837</wp:posOffset>
                </wp:positionV>
                <wp:extent cx="1478722" cy="412943"/>
                <wp:effectExtent l="0" t="0" r="7620" b="19050"/>
                <wp:wrapNone/>
                <wp:docPr id="11" name="Marco 11"/>
                <wp:cNvGraphicFramePr/>
                <a:graphic xmlns:a="http://schemas.openxmlformats.org/drawingml/2006/main">
                  <a:graphicData uri="http://schemas.microsoft.com/office/word/2010/wordprocessingShape">
                    <wps:wsp>
                      <wps:cNvSpPr/>
                      <wps:spPr>
                        <a:xfrm>
                          <a:off x="0" y="0"/>
                          <a:ext cx="1478722" cy="412943"/>
                        </a:xfrm>
                        <a:prstGeom prst="frame">
                          <a:avLst>
                            <a:gd name="adj1" fmla="val 773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FB2BF" id="Marco 11" o:spid="_x0000_s1026" style="position:absolute;margin-left:202.95pt;margin-top:74.25pt;width:116.45pt;height: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78722,41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" path="m,l1478722,r,412943l,412943,,xm31937,31937r,349069l1446785,381006r,-349069l31937,31937xe" fillcolor="red" strokecolor="red" strokeweight="1pt">
                <v:stroke joinstyle="miter"/>
                <v:path arrowok="t" o:connecttype="custom" o:connectlocs="0,0;1478722,0;1478722,412943;0,412943;0,0;31937,31937;31937,381006;1446785,381006;1446785,31937;31937,31937" o:connectangles="0,0,0,0,0,0,0,0,0,0"/>
              </v:shape>
            </w:pict>
          </mc:Fallback>
        </mc:AlternateContent>
      </w:r>
      <w:r w:rsidRPr="001515F0">
        <w:rPr>
          <w:rFonts w:ascii="Palatino Linotype" w:hAnsi="Palatino Linotype" w:cs="Arial"/>
          <w:i/>
          <w:noProof/>
          <w:color w:val="000000" w:themeColor="text1"/>
          <w:lang w:val="es-MX" w:eastAsia="es-MX"/>
        </w:rPr>
        <mc:AlternateContent>
          <mc:Choice Requires="wps">
            <w:drawing>
              <wp:anchor distT="0" distB="0" distL="114300" distR="114300" simplePos="0" relativeHeight="251663360" behindDoc="0" locked="0" layoutInCell="1" allowOverlap="1" wp14:anchorId="2FF31F72" wp14:editId="2CA456FA">
                <wp:simplePos x="0" y="0"/>
                <wp:positionH relativeFrom="column">
                  <wp:posOffset>526028</wp:posOffset>
                </wp:positionH>
                <wp:positionV relativeFrom="paragraph">
                  <wp:posOffset>-3368</wp:posOffset>
                </wp:positionV>
                <wp:extent cx="1152940" cy="318052"/>
                <wp:effectExtent l="0" t="0" r="15875" b="12700"/>
                <wp:wrapNone/>
                <wp:docPr id="10" name="Marco 10"/>
                <wp:cNvGraphicFramePr/>
                <a:graphic xmlns:a="http://schemas.openxmlformats.org/drawingml/2006/main">
                  <a:graphicData uri="http://schemas.microsoft.com/office/word/2010/wordprocessingShape">
                    <wps:wsp>
                      <wps:cNvSpPr/>
                      <wps:spPr>
                        <a:xfrm>
                          <a:off x="0" y="0"/>
                          <a:ext cx="1152940" cy="318052"/>
                        </a:xfrm>
                        <a:prstGeom prst="fram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2D0BD5" id="Marco 10" o:spid="_x0000_s1026" style="position:absolute;margin-left:41.4pt;margin-top:-.25pt;width:90.8pt;height:25.0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152940,31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" path="m,l1152940,r,318052l,318052,,xm39757,39757r,238539l1113184,278296r,-238539l39757,39757xe" fillcolor="red" strokecolor="red" strokeweight="1pt">
                <v:stroke joinstyle="miter"/>
                <v:path arrowok="t" o:connecttype="custom" o:connectlocs="0,0;1152940,0;1152940,318052;0,318052;0,0;39757,39757;39757,278296;1113184,278296;1113184,39757;39757,39757" o:connectangles="0,0,0,0,0,0,0,0,0,0"/>
              </v:shape>
            </w:pict>
          </mc:Fallback>
        </mc:AlternateContent>
      </w:r>
      <w:r w:rsidRPr="001515F0">
        <w:rPr>
          <w:rFonts w:ascii="Palatino Linotype" w:hAnsi="Palatino Linotype" w:cs="Arial"/>
          <w:i/>
          <w:noProof/>
          <w:color w:val="000000" w:themeColor="text1"/>
          <w:lang w:val="es-MX" w:eastAsia="es-MX"/>
        </w:rPr>
        <w:drawing>
          <wp:inline distT="0" distB="0" distL="0" distR="0" wp14:anchorId="0EDFE1A5" wp14:editId="3DE02C84">
            <wp:extent cx="4528256" cy="4850019"/>
            <wp:effectExtent l="0" t="0" r="5715"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2440" cy="4854500"/>
                    </a:xfrm>
                    <a:prstGeom prst="rect">
                      <a:avLst/>
                    </a:prstGeom>
                  </pic:spPr>
                </pic:pic>
              </a:graphicData>
            </a:graphic>
          </wp:inline>
        </w:drawing>
      </w:r>
    </w:p>
    <w:p w14:paraId="50F9B2B9" w14:textId="77777777" w:rsidR="005F0DE9" w:rsidRPr="001515F0" w:rsidRDefault="005F0DE9" w:rsidP="00476A54">
      <w:pPr>
        <w:pStyle w:val="Prrafodelista"/>
        <w:tabs>
          <w:tab w:val="left" w:pos="0"/>
        </w:tabs>
        <w:spacing w:line="360" w:lineRule="auto"/>
        <w:ind w:left="0" w:right="49"/>
        <w:jc w:val="center"/>
        <w:rPr>
          <w:rFonts w:ascii="Palatino Linotype" w:hAnsi="Palatino Linotype" w:cs="Arial"/>
          <w:i/>
          <w:color w:val="000000" w:themeColor="text1"/>
        </w:rPr>
      </w:pPr>
    </w:p>
    <w:p w14:paraId="6E25CD60" w14:textId="14AE8E26" w:rsidR="00476A54" w:rsidRPr="001515F0" w:rsidRDefault="005F0DE9" w:rsidP="00A566D9">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1515F0">
        <w:rPr>
          <w:rFonts w:ascii="Palatino Linotype" w:hAnsi="Palatino Linotype" w:cs="Arial"/>
          <w:color w:val="000000" w:themeColor="text1"/>
        </w:rPr>
        <w:t>Derivado de lo anterior, se advierte que si es posible identificar la de manera precisa los predios referidos en la solicitud de información y que efectivamente el Sujeto Obligado cuenta con la información solicitada.</w:t>
      </w:r>
    </w:p>
    <w:p w14:paraId="55A29F7E" w14:textId="3826373D"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rPr>
      </w:pPr>
    </w:p>
    <w:p w14:paraId="2D21EF2F" w14:textId="09E1B79E" w:rsidR="006E61F1" w:rsidRPr="001515F0" w:rsidRDefault="006E61F1" w:rsidP="002321AE">
      <w:pPr>
        <w:pStyle w:val="Prrafodelista"/>
        <w:tabs>
          <w:tab w:val="left" w:pos="0"/>
          <w:tab w:val="left" w:pos="426"/>
        </w:tabs>
        <w:spacing w:line="360" w:lineRule="auto"/>
        <w:ind w:left="0" w:right="49"/>
        <w:jc w:val="both"/>
        <w:rPr>
          <w:rFonts w:ascii="Palatino Linotype" w:eastAsia="MS Mincho" w:hAnsi="Palatino Linotype" w:cs="Times New Roman"/>
        </w:rPr>
      </w:pPr>
    </w:p>
    <w:p w14:paraId="5FF1625C" w14:textId="4CE6E91B" w:rsidR="006E61F1" w:rsidRPr="001515F0" w:rsidRDefault="006E61F1" w:rsidP="006E61F1">
      <w:pPr>
        <w:pStyle w:val="Prrafodelista"/>
        <w:numPr>
          <w:ilvl w:val="0"/>
          <w:numId w:val="11"/>
        </w:numPr>
        <w:tabs>
          <w:tab w:val="left" w:pos="0"/>
          <w:tab w:val="left" w:pos="426"/>
        </w:tabs>
        <w:spacing w:line="360" w:lineRule="auto"/>
        <w:ind w:left="450" w:right="49"/>
        <w:jc w:val="both"/>
        <w:rPr>
          <w:rFonts w:ascii="Palatino Linotype" w:eastAsia="MS Mincho" w:hAnsi="Palatino Linotype" w:cs="Times New Roman"/>
          <w:b/>
        </w:rPr>
      </w:pPr>
      <w:r w:rsidRPr="001515F0">
        <w:rPr>
          <w:rFonts w:ascii="Palatino Linotype" w:eastAsia="MS Mincho" w:hAnsi="Palatino Linotype" w:cs="Times New Roman"/>
          <w:b/>
        </w:rPr>
        <w:lastRenderedPageBreak/>
        <w:t xml:space="preserve">De la fuente obligacional del Sujeto Obligado </w:t>
      </w:r>
    </w:p>
    <w:p w14:paraId="51897ECF" w14:textId="77777777" w:rsidR="006E61F1" w:rsidRPr="001515F0" w:rsidRDefault="006E61F1" w:rsidP="006E61F1">
      <w:pPr>
        <w:pStyle w:val="Prrafodelista"/>
        <w:tabs>
          <w:tab w:val="left" w:pos="0"/>
          <w:tab w:val="left" w:pos="426"/>
        </w:tabs>
        <w:spacing w:line="360" w:lineRule="auto"/>
        <w:ind w:left="450" w:right="49"/>
        <w:jc w:val="both"/>
        <w:rPr>
          <w:rFonts w:ascii="Palatino Linotype" w:eastAsia="MS Mincho" w:hAnsi="Palatino Linotype" w:cs="Times New Roman"/>
          <w:b/>
        </w:rPr>
      </w:pPr>
    </w:p>
    <w:p w14:paraId="5ACD8DF9" w14:textId="77777777" w:rsidR="002321AE" w:rsidRPr="001515F0" w:rsidRDefault="002321AE" w:rsidP="002321AE">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1515F0">
        <w:rPr>
          <w:rFonts w:ascii="Palatino Linotype" w:eastAsia="MS Mincho" w:hAnsi="Palatino Linotype" w:cs="Times New Roman"/>
        </w:rPr>
        <w:t>El artículo 92 de la Ley de Transparencia y Acceso a la Información Pública del Estado de México y Municipios, en sus fracciones XXXV y XXXVIII, reconoce como obligaciones de transparencia común, las siguientes:</w:t>
      </w:r>
    </w:p>
    <w:p w14:paraId="1ACC6433"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rPr>
      </w:pPr>
    </w:p>
    <w:p w14:paraId="2E2CAABB"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Artículo 92.</w:t>
      </w:r>
      <w:r w:rsidRPr="001515F0">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29E963D"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i/>
        </w:rPr>
        <w:t>(…)</w:t>
      </w:r>
    </w:p>
    <w:p w14:paraId="18F64E85"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XXXV.</w:t>
      </w:r>
      <w:r w:rsidRPr="001515F0">
        <w:rPr>
          <w:rFonts w:ascii="Palatino Linotype" w:hAnsi="Palatino Linotype"/>
          <w:i/>
        </w:rPr>
        <w:t xml:space="preserve"> Informes de avances programáticos o presupuestales, balances generales y estado financiero;</w:t>
      </w:r>
    </w:p>
    <w:p w14:paraId="3C2F0C2D"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i/>
        </w:rPr>
        <w:t>(…)</w:t>
      </w:r>
    </w:p>
    <w:p w14:paraId="73F2EC3E"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 xml:space="preserve">XXXVIII. </w:t>
      </w:r>
      <w:r w:rsidRPr="001515F0">
        <w:rPr>
          <w:rFonts w:ascii="Palatino Linotype" w:hAnsi="Palatino Linotype"/>
          <w:i/>
        </w:rPr>
        <w:t>El inventario de bienes muebles e inmuebles en posesión y propiedad;</w:t>
      </w:r>
    </w:p>
    <w:p w14:paraId="495DF4D1"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i/>
        </w:rPr>
        <w:t>(…)”</w:t>
      </w:r>
    </w:p>
    <w:p w14:paraId="3485DE27"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rPr>
      </w:pPr>
    </w:p>
    <w:p w14:paraId="0EA84B0C" w14:textId="5F63AE48" w:rsidR="002321AE" w:rsidRPr="001515F0" w:rsidRDefault="002321AE" w:rsidP="002321AE">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1515F0">
        <w:rPr>
          <w:rFonts w:ascii="Palatino Linotype" w:eastAsia="MS Mincho" w:hAnsi="Palatino Linotype" w:cs="Times New Roman"/>
        </w:rPr>
        <w:t>De tal manera que compete al Ayuntamiento de Huixquilucan, poner a disposición de la ciudadanía toda la información concerniente a sus avances programáticos, presupuestales, balances generales, estado financiero y, los inventarios de bienes muebles e inmuebles en posesión y propiedad.</w:t>
      </w:r>
    </w:p>
    <w:p w14:paraId="6953CCC5"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rPr>
      </w:pPr>
    </w:p>
    <w:p w14:paraId="4EE3915C" w14:textId="77777777" w:rsidR="002321AE" w:rsidRPr="001515F0" w:rsidRDefault="002321AE" w:rsidP="002321AE">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1515F0">
        <w:rPr>
          <w:rFonts w:ascii="Palatino Linotype" w:eastAsia="MS Mincho" w:hAnsi="Palatino Linotype" w:cs="Times New Roman"/>
        </w:rPr>
        <w:t xml:space="preserve">Ahora bien, respecto de la información solicitada, </w:t>
      </w:r>
      <w:r w:rsidRPr="001515F0">
        <w:rPr>
          <w:rFonts w:ascii="Palatino Linotype" w:hAnsi="Palatino Linotype"/>
        </w:rPr>
        <w:t xml:space="preserve">es necesario partir de lo que establece el Código Civil del Estado de México, el cual determina los bienes </w:t>
      </w:r>
      <w:r w:rsidRPr="001515F0">
        <w:rPr>
          <w:rFonts w:ascii="Palatino Linotype" w:hAnsi="Palatino Linotype"/>
        </w:rPr>
        <w:lastRenderedPageBreak/>
        <w:t>considerados muebles e inmuebles, tal y como se aprecia en los artículos 5.4 y 5.6, que a la letra rezan:</w:t>
      </w:r>
    </w:p>
    <w:p w14:paraId="0B4C5090"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rPr>
      </w:pPr>
    </w:p>
    <w:p w14:paraId="09BB6B7F"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b/>
          <w:i/>
        </w:rPr>
      </w:pPr>
      <w:r w:rsidRPr="001515F0">
        <w:rPr>
          <w:rFonts w:ascii="Palatino Linotype" w:hAnsi="Palatino Linotype"/>
          <w:b/>
          <w:i/>
        </w:rPr>
        <w:t xml:space="preserve">“Bienes que se consideran inmuebles </w:t>
      </w:r>
    </w:p>
    <w:p w14:paraId="7617B00A"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Artículo 5.4.-</w:t>
      </w:r>
      <w:r w:rsidRPr="001515F0">
        <w:rPr>
          <w:rFonts w:ascii="Palatino Linotype" w:hAnsi="Palatino Linotype"/>
          <w:i/>
        </w:rPr>
        <w:t xml:space="preserve"> Son bienes inmuebles: </w:t>
      </w:r>
    </w:p>
    <w:p w14:paraId="05C965B9"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I.</w:t>
      </w:r>
      <w:r w:rsidRPr="001515F0">
        <w:rPr>
          <w:rFonts w:ascii="Palatino Linotype" w:hAnsi="Palatino Linotype"/>
          <w:i/>
        </w:rPr>
        <w:t xml:space="preserve"> El suelo y las construcciones adheridas a él;</w:t>
      </w:r>
    </w:p>
    <w:p w14:paraId="1A5027E0"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II.</w:t>
      </w:r>
      <w:r w:rsidRPr="001515F0">
        <w:rPr>
          <w:rFonts w:ascii="Palatino Linotype" w:hAnsi="Palatino Linotype"/>
          <w:i/>
        </w:rPr>
        <w:t xml:space="preserve"> Las plantas y árboles, mientras estuvieren unidos a la tierra, y sus frutos mientras no sean separados de ellos; </w:t>
      </w:r>
    </w:p>
    <w:p w14:paraId="101682A9"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III.</w:t>
      </w:r>
      <w:r w:rsidRPr="001515F0">
        <w:rPr>
          <w:rFonts w:ascii="Palatino Linotype" w:hAnsi="Palatino Linotype"/>
          <w:i/>
        </w:rPr>
        <w:t xml:space="preserve"> Todo lo que esté unido a un inmueble de una manera fija, de modo que no pueda separarse sin deterioro del mismo o del objeto a él adherido;</w:t>
      </w:r>
    </w:p>
    <w:p w14:paraId="4A9F4F68"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IV.</w:t>
      </w:r>
      <w:r w:rsidRPr="001515F0">
        <w:rPr>
          <w:rFonts w:ascii="Palatino Linotype" w:hAnsi="Palatino Linotype"/>
          <w:i/>
        </w:rPr>
        <w:t xml:space="preserve"> Los palomares, colmenas, estanques de peces o criaderos análogos, cuando el propietario los conserve con el propósito de mantenerlos unidos al inmueble y formando parte de él de un modo permanente; </w:t>
      </w:r>
    </w:p>
    <w:p w14:paraId="5CB62398"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V.</w:t>
      </w:r>
      <w:r w:rsidRPr="001515F0">
        <w:rPr>
          <w:rFonts w:ascii="Palatino Linotype" w:hAnsi="Palatino Linotype"/>
          <w:i/>
        </w:rPr>
        <w:t xml:space="preserve"> Las máquinas, instrumentos o utensilios destinados por el propietario del inmueble, directa o exclusivamente a la industria o explotación del mismo; </w:t>
      </w:r>
    </w:p>
    <w:p w14:paraId="52805DC0"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VI.</w:t>
      </w:r>
      <w:r w:rsidRPr="001515F0">
        <w:rPr>
          <w:rFonts w:ascii="Palatino Linotype" w:hAnsi="Palatino Linotype"/>
          <w:i/>
        </w:rPr>
        <w:t xml:space="preserve"> Los fertilizantes, herbicidas, fungicidas, insecticidas, semillas y en general las sustancias para la preservación, cultivo y mantenimiento de la tierra que se encuentren en los inmuebles o unidades de producción en donde hayan de utilizarse; </w:t>
      </w:r>
    </w:p>
    <w:p w14:paraId="21997F4B"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VII.</w:t>
      </w:r>
      <w:r w:rsidRPr="001515F0">
        <w:rPr>
          <w:rFonts w:ascii="Palatino Linotype" w:hAnsi="Palatino Linotype"/>
          <w:i/>
        </w:rPr>
        <w:t xml:space="preserve"> El equipamiento y accesorios adheridos al suelo o a los edificios de éstos, salvo convenio en contrario; </w:t>
      </w:r>
    </w:p>
    <w:p w14:paraId="18B53358"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VIII.</w:t>
      </w:r>
      <w:r w:rsidRPr="001515F0">
        <w:rPr>
          <w:rFonts w:ascii="Palatino Linotype" w:hAnsi="Palatino Linotype"/>
          <w:i/>
        </w:rPr>
        <w:t xml:space="preserve"> Los acueductos o tuberías de cualquier tipo que sirvan para conducir los líquidos o gases a un inmueble, o para extraerlos de él; </w:t>
      </w:r>
    </w:p>
    <w:p w14:paraId="7A7F7B4D"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IX.</w:t>
      </w:r>
      <w:r w:rsidRPr="001515F0">
        <w:rPr>
          <w:rFonts w:ascii="Palatino Linotype" w:hAnsi="Palatino Linotype"/>
          <w:i/>
        </w:rPr>
        <w:t xml:space="preserve"> Los animales que formen el pie de cría en los predios rústicos destinados total o parcialmente al ramo de ganadería, así como los de trabajo indispensables para el cultivo del inmueble mientras están destinadas a ese objeto; </w:t>
      </w:r>
    </w:p>
    <w:p w14:paraId="07AA2BFE"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X.</w:t>
      </w:r>
      <w:r w:rsidRPr="001515F0">
        <w:rPr>
          <w:rFonts w:ascii="Palatino Linotype" w:hAnsi="Palatino Linotype"/>
          <w:i/>
        </w:rPr>
        <w:t xml:space="preserve"> Los diques y construcciones que, </w:t>
      </w:r>
      <w:proofErr w:type="spellStart"/>
      <w:r w:rsidRPr="001515F0">
        <w:rPr>
          <w:rFonts w:ascii="Palatino Linotype" w:hAnsi="Palatino Linotype"/>
          <w:i/>
        </w:rPr>
        <w:t>aún</w:t>
      </w:r>
      <w:proofErr w:type="spellEnd"/>
      <w:r w:rsidRPr="001515F0">
        <w:rPr>
          <w:rFonts w:ascii="Palatino Linotype" w:hAnsi="Palatino Linotype"/>
          <w:i/>
        </w:rPr>
        <w:t xml:space="preserve"> cuando sean flotantes, estén destinados por su objeto y condiciones a permanecer en un punto fijo de un río, lago o costa; </w:t>
      </w:r>
    </w:p>
    <w:p w14:paraId="26665BDC"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lastRenderedPageBreak/>
        <w:t>XI</w:t>
      </w:r>
      <w:r w:rsidRPr="001515F0">
        <w:rPr>
          <w:rFonts w:ascii="Palatino Linotype" w:hAnsi="Palatino Linotype"/>
          <w:i/>
        </w:rPr>
        <w:t>. Los derechos reales sobre inmuebles.</w:t>
      </w:r>
    </w:p>
    <w:p w14:paraId="3FDEBD52"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p>
    <w:p w14:paraId="5F11C7AE"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b/>
          <w:i/>
        </w:rPr>
      </w:pPr>
      <w:r w:rsidRPr="001515F0">
        <w:rPr>
          <w:rFonts w:ascii="Palatino Linotype" w:hAnsi="Palatino Linotype"/>
          <w:b/>
          <w:i/>
        </w:rPr>
        <w:t xml:space="preserve">Muebles por su naturaleza </w:t>
      </w:r>
    </w:p>
    <w:p w14:paraId="482656B2"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Artículo 5.6.-</w:t>
      </w:r>
      <w:r w:rsidRPr="001515F0">
        <w:rPr>
          <w:rFonts w:ascii="Palatino Linotype" w:hAnsi="Palatino Linotype"/>
          <w:i/>
        </w:rPr>
        <w:t xml:space="preserve"> Son bienes muebles por su naturaleza, los que pueden trasladarse de un lugar a otro, ya sea por sí mismos, o por efecto de una fuerza exterior.”</w:t>
      </w:r>
    </w:p>
    <w:p w14:paraId="01D8C781"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rPr>
      </w:pPr>
    </w:p>
    <w:p w14:paraId="746A555C" w14:textId="77777777" w:rsidR="002321AE" w:rsidRPr="001515F0" w:rsidRDefault="002321AE" w:rsidP="002321AE">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1515F0">
        <w:rPr>
          <w:rFonts w:ascii="Palatino Linotype" w:eastAsia="MS Mincho" w:hAnsi="Palatino Linotype" w:cs="Times New Roman"/>
        </w:rPr>
        <w:t xml:space="preserve">En concordancia con lo anterior, </w:t>
      </w:r>
      <w:r w:rsidRPr="001515F0">
        <w:rPr>
          <w:rFonts w:ascii="Palatino Linotype" w:hAnsi="Palatino Linotype"/>
        </w:rPr>
        <w:t>los Lineamientos para el Registro y Control del Inventario y la Conciliación y Desincorporación de Bienes Muebles e Inmuebles para las Entidades Fiscalizables del Estado de México, que tienen como propósito actualizar y transparentar el manejo, uso y destino de los bienes así como garantizar la legalidad, control y correcta participación de los servidores públicos municipales en los procedimientos de adquisición, resguardo y baja de bienes, permitiendo mantener la debida conciliación del inventario de los bienes muebles e inmuebles con los registros contables, refieren que se entiende por bienes muebles e inmuebles:</w:t>
      </w:r>
    </w:p>
    <w:p w14:paraId="2E599ECA"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sz w:val="22"/>
          <w:szCs w:val="22"/>
        </w:rPr>
      </w:pPr>
    </w:p>
    <w:p w14:paraId="3F2D793C" w14:textId="77777777" w:rsidR="002321AE" w:rsidRPr="001515F0" w:rsidRDefault="002321AE" w:rsidP="002321AE">
      <w:pPr>
        <w:tabs>
          <w:tab w:val="left" w:pos="709"/>
        </w:tabs>
        <w:spacing w:line="276" w:lineRule="auto"/>
        <w:ind w:left="567" w:right="567"/>
        <w:jc w:val="both"/>
        <w:rPr>
          <w:rFonts w:ascii="Palatino Linotype" w:hAnsi="Palatino Linotype"/>
          <w:i/>
          <w:sz w:val="22"/>
          <w:szCs w:val="22"/>
        </w:rPr>
      </w:pPr>
      <w:r w:rsidRPr="001515F0">
        <w:rPr>
          <w:rFonts w:ascii="Palatino Linotype" w:hAnsi="Palatino Linotype"/>
          <w:b/>
          <w:i/>
          <w:sz w:val="22"/>
          <w:szCs w:val="22"/>
        </w:rPr>
        <w:t>NOVENO:</w:t>
      </w:r>
      <w:r w:rsidRPr="001515F0">
        <w:rPr>
          <w:rFonts w:ascii="Palatino Linotype" w:hAnsi="Palatino Linotype"/>
          <w:i/>
          <w:sz w:val="22"/>
          <w:szCs w:val="22"/>
        </w:rPr>
        <w:t xml:space="preserve"> Para efectos de los presentes Lineamientos, se entenderá por:</w:t>
      </w:r>
    </w:p>
    <w:p w14:paraId="4E90C212" w14:textId="77777777" w:rsidR="002321AE" w:rsidRPr="001515F0" w:rsidRDefault="002321AE" w:rsidP="002321AE">
      <w:pPr>
        <w:tabs>
          <w:tab w:val="left" w:pos="709"/>
        </w:tabs>
        <w:spacing w:line="276" w:lineRule="auto"/>
        <w:ind w:left="567" w:right="567"/>
        <w:jc w:val="both"/>
        <w:rPr>
          <w:rFonts w:ascii="Palatino Linotype" w:hAnsi="Palatino Linotype"/>
          <w:i/>
          <w:sz w:val="22"/>
          <w:szCs w:val="22"/>
        </w:rPr>
      </w:pPr>
      <w:r w:rsidRPr="001515F0">
        <w:rPr>
          <w:rFonts w:ascii="Palatino Linotype" w:hAnsi="Palatino Linotype"/>
          <w:i/>
          <w:sz w:val="22"/>
          <w:szCs w:val="22"/>
        </w:rPr>
        <w:t>(…)</w:t>
      </w:r>
    </w:p>
    <w:p w14:paraId="22720D20" w14:textId="77777777" w:rsidR="002321AE" w:rsidRPr="001515F0" w:rsidRDefault="002321AE" w:rsidP="002321AE">
      <w:pPr>
        <w:tabs>
          <w:tab w:val="left" w:pos="709"/>
        </w:tabs>
        <w:spacing w:line="276" w:lineRule="auto"/>
        <w:ind w:left="567" w:right="567"/>
        <w:jc w:val="both"/>
        <w:rPr>
          <w:rFonts w:ascii="Palatino Linotype" w:hAnsi="Palatino Linotype"/>
          <w:i/>
          <w:sz w:val="22"/>
          <w:szCs w:val="22"/>
        </w:rPr>
      </w:pPr>
      <w:r w:rsidRPr="001515F0">
        <w:rPr>
          <w:rFonts w:ascii="Palatino Linotype" w:hAnsi="Palatino Linotype"/>
          <w:b/>
          <w:i/>
          <w:sz w:val="22"/>
          <w:szCs w:val="22"/>
        </w:rPr>
        <w:t xml:space="preserve">VI. BIEN INMUEBLE: </w:t>
      </w:r>
      <w:r w:rsidRPr="001515F0">
        <w:rPr>
          <w:rFonts w:ascii="Palatino Linotype" w:hAnsi="Palatino Linotype"/>
          <w:i/>
          <w:sz w:val="22"/>
          <w:szCs w:val="22"/>
        </w:rPr>
        <w:t>Recurso físico que por su naturaleza de uso o consumo, no puede trasladarse de un lugar a otro;</w:t>
      </w:r>
    </w:p>
    <w:p w14:paraId="0C6E3D46" w14:textId="77777777" w:rsidR="002321AE" w:rsidRPr="001515F0" w:rsidRDefault="002321AE" w:rsidP="002321AE">
      <w:pPr>
        <w:tabs>
          <w:tab w:val="left" w:pos="709"/>
        </w:tabs>
        <w:spacing w:line="276" w:lineRule="auto"/>
        <w:ind w:left="567" w:right="567"/>
        <w:jc w:val="both"/>
        <w:rPr>
          <w:rFonts w:ascii="Palatino Linotype" w:hAnsi="Palatino Linotype"/>
          <w:i/>
          <w:sz w:val="22"/>
          <w:szCs w:val="22"/>
        </w:rPr>
      </w:pPr>
      <w:r w:rsidRPr="001515F0">
        <w:rPr>
          <w:rFonts w:ascii="Palatino Linotype" w:hAnsi="Palatino Linotype"/>
          <w:b/>
          <w:i/>
          <w:sz w:val="22"/>
          <w:szCs w:val="22"/>
        </w:rPr>
        <w:t>VII. BIEN MUEBLE:</w:t>
      </w:r>
      <w:r w:rsidRPr="001515F0">
        <w:rPr>
          <w:rFonts w:ascii="Palatino Linotype" w:hAnsi="Palatino Linotype"/>
          <w:i/>
          <w:sz w:val="22"/>
          <w:szCs w:val="22"/>
        </w:rPr>
        <w:t xml:space="preserve"> Objeto que por su naturaleza de uso o consumo, puede ser trasladado de un lugar a otro ya sea por sí mismo, o por efecto de una fuerza exterior, es todo aquello que se conoce como: mobiliario, mesas, sillas, libreros, anaqueles, equipo de oficina en general, equipo de transporte, semovientes, entre otros;</w:t>
      </w:r>
    </w:p>
    <w:p w14:paraId="7C316631" w14:textId="77777777" w:rsidR="002321AE" w:rsidRPr="001515F0" w:rsidRDefault="002321AE" w:rsidP="002321AE">
      <w:pPr>
        <w:tabs>
          <w:tab w:val="left" w:pos="709"/>
        </w:tabs>
        <w:spacing w:line="276" w:lineRule="auto"/>
        <w:ind w:left="567" w:right="567"/>
        <w:jc w:val="both"/>
        <w:rPr>
          <w:rFonts w:ascii="Palatino Linotype" w:hAnsi="Palatino Linotype"/>
          <w:i/>
          <w:sz w:val="22"/>
          <w:szCs w:val="22"/>
        </w:rPr>
      </w:pPr>
      <w:r w:rsidRPr="001515F0">
        <w:rPr>
          <w:rFonts w:ascii="Palatino Linotype" w:hAnsi="Palatino Linotype"/>
          <w:b/>
          <w:i/>
          <w:sz w:val="22"/>
          <w:szCs w:val="22"/>
        </w:rPr>
        <w:t>VIII. BIENES MUEBLES DE BAJO COSTO:</w:t>
      </w:r>
      <w:r w:rsidRPr="001515F0">
        <w:rPr>
          <w:rFonts w:ascii="Palatino Linotype" w:hAnsi="Palatino Linotype"/>
          <w:i/>
          <w:sz w:val="22"/>
          <w:szCs w:val="22"/>
        </w:rPr>
        <w:t xml:space="preserve"> A los objetos que por su naturaleza de uso pueden ser trasladados de un lugar a otro, y cuyo costo al momento de su adquisición o incorporación es inferior a 35 salarios mínimos pero mayor a 17 del área geográfica "C" y a partir del uno de enero de 2013, al salario mínimo general del Distrito Federal;</w:t>
      </w:r>
    </w:p>
    <w:p w14:paraId="0E2A55BF" w14:textId="77777777" w:rsidR="002321AE" w:rsidRPr="001515F0" w:rsidRDefault="002321AE" w:rsidP="002321AE">
      <w:pPr>
        <w:tabs>
          <w:tab w:val="left" w:pos="709"/>
        </w:tabs>
        <w:spacing w:line="276" w:lineRule="auto"/>
        <w:ind w:left="567" w:right="567"/>
        <w:jc w:val="both"/>
        <w:rPr>
          <w:rFonts w:ascii="Palatino Linotype" w:hAnsi="Palatino Linotype"/>
          <w:i/>
          <w:sz w:val="22"/>
          <w:szCs w:val="22"/>
        </w:rPr>
      </w:pPr>
      <w:r w:rsidRPr="001515F0">
        <w:rPr>
          <w:rFonts w:ascii="Palatino Linotype" w:hAnsi="Palatino Linotype"/>
          <w:b/>
          <w:i/>
          <w:sz w:val="22"/>
          <w:szCs w:val="22"/>
        </w:rPr>
        <w:lastRenderedPageBreak/>
        <w:t>IX. BIENES MUEBLES REGISTRADOS EN EL ACTIVO NO CIRCULANTE:</w:t>
      </w:r>
      <w:r w:rsidRPr="001515F0">
        <w:rPr>
          <w:rFonts w:ascii="Palatino Linotype" w:hAnsi="Palatino Linotype"/>
          <w:i/>
          <w:sz w:val="22"/>
          <w:szCs w:val="22"/>
        </w:rPr>
        <w:t xml:space="preserve"> A los Objetos que por su naturaleza de uso, pueden ser trasladados de un lugar a otro, y cuyo costo al momento de su adquisición o incorporación fue igual o superior a los 35 salarios mínimos del área geográfica "C", y a partir del 01 de enero de 2013 los bienes muebles cuyo costo unitario de adquisición sea igual o superior a 35 salarios mínimos del Distrito Federal;</w:t>
      </w:r>
    </w:p>
    <w:p w14:paraId="09284241" w14:textId="77777777" w:rsidR="002321AE" w:rsidRPr="001515F0" w:rsidRDefault="002321AE" w:rsidP="002321AE">
      <w:pPr>
        <w:tabs>
          <w:tab w:val="left" w:pos="709"/>
        </w:tabs>
        <w:spacing w:line="276" w:lineRule="auto"/>
        <w:ind w:left="567" w:right="567"/>
        <w:jc w:val="both"/>
        <w:rPr>
          <w:rFonts w:ascii="Palatino Linotype" w:hAnsi="Palatino Linotype"/>
          <w:i/>
          <w:sz w:val="22"/>
          <w:szCs w:val="22"/>
        </w:rPr>
      </w:pPr>
      <w:r w:rsidRPr="001515F0">
        <w:rPr>
          <w:rFonts w:ascii="Palatino Linotype" w:hAnsi="Palatino Linotype"/>
          <w:i/>
          <w:sz w:val="22"/>
          <w:szCs w:val="22"/>
        </w:rPr>
        <w:t>(…)</w:t>
      </w:r>
    </w:p>
    <w:p w14:paraId="68825E20" w14:textId="77777777" w:rsidR="002321AE" w:rsidRPr="001515F0" w:rsidRDefault="002321AE" w:rsidP="002321AE">
      <w:pPr>
        <w:tabs>
          <w:tab w:val="left" w:pos="709"/>
        </w:tabs>
        <w:spacing w:line="276" w:lineRule="auto"/>
        <w:ind w:left="567" w:right="567"/>
        <w:jc w:val="both"/>
        <w:rPr>
          <w:rFonts w:ascii="Palatino Linotype" w:hAnsi="Palatino Linotype"/>
          <w:i/>
          <w:sz w:val="22"/>
          <w:szCs w:val="22"/>
        </w:rPr>
      </w:pPr>
      <w:r w:rsidRPr="001515F0">
        <w:rPr>
          <w:rFonts w:ascii="Palatino Linotype" w:hAnsi="Palatino Linotype"/>
          <w:b/>
          <w:i/>
          <w:sz w:val="22"/>
          <w:szCs w:val="22"/>
        </w:rPr>
        <w:t>XXVI. EXPEDIENTE INDIVIDUAL POR BIEN:</w:t>
      </w:r>
      <w:r w:rsidRPr="001515F0">
        <w:rPr>
          <w:rFonts w:ascii="Palatino Linotype" w:hAnsi="Palatino Linotype"/>
          <w:i/>
          <w:sz w:val="22"/>
          <w:szCs w:val="22"/>
        </w:rPr>
        <w:t xml:space="preserve"> Al conjunto de documentos que refieren a un mismo objeto o lugar describiendo en cada documento las mismas características del bien, en el caso de los bienes muebles: resguardo, oficio de petición del bien por el área que lo solicita, vale de entrada y salida del almacén, póliza contable, factura, cuadro comparativo de adquisición, contrato de adquisición, seguro del bien. En el caso de los bienes inmuebles: póliza contable, formato individual de inventario de bienes inmuebles, los documentos relativos a la adquisición, escritura pública a favor de la entidad fiscalizable (en caso de estar en proceso de regularización presentar documentación que acredite los tramites), clave catastral, y plano del inmueble;</w:t>
      </w:r>
    </w:p>
    <w:p w14:paraId="6C61D966" w14:textId="77777777" w:rsidR="002321AE" w:rsidRPr="001515F0" w:rsidRDefault="002321AE" w:rsidP="002321AE">
      <w:pPr>
        <w:tabs>
          <w:tab w:val="left" w:pos="709"/>
        </w:tabs>
        <w:spacing w:line="276" w:lineRule="auto"/>
        <w:ind w:left="567" w:right="567"/>
        <w:jc w:val="both"/>
        <w:rPr>
          <w:rFonts w:ascii="Palatino Linotype" w:hAnsi="Palatino Linotype"/>
          <w:b/>
          <w:i/>
          <w:sz w:val="22"/>
          <w:szCs w:val="22"/>
        </w:rPr>
      </w:pPr>
      <w:r w:rsidRPr="001515F0">
        <w:rPr>
          <w:rFonts w:ascii="Palatino Linotype" w:hAnsi="Palatino Linotype"/>
          <w:b/>
          <w:i/>
          <w:sz w:val="22"/>
          <w:szCs w:val="22"/>
        </w:rPr>
        <w:t>(…)</w:t>
      </w:r>
    </w:p>
    <w:p w14:paraId="00DE0DDA" w14:textId="77777777" w:rsidR="002321AE" w:rsidRPr="001515F0" w:rsidRDefault="002321AE" w:rsidP="002321AE">
      <w:pPr>
        <w:tabs>
          <w:tab w:val="left" w:pos="709"/>
        </w:tabs>
        <w:spacing w:line="276" w:lineRule="auto"/>
        <w:ind w:left="567" w:right="567"/>
        <w:jc w:val="both"/>
        <w:rPr>
          <w:rFonts w:ascii="Palatino Linotype" w:hAnsi="Palatino Linotype"/>
          <w:i/>
          <w:sz w:val="22"/>
          <w:szCs w:val="22"/>
        </w:rPr>
      </w:pPr>
      <w:r w:rsidRPr="001515F0">
        <w:rPr>
          <w:rFonts w:ascii="Palatino Linotype" w:hAnsi="Palatino Linotype"/>
          <w:b/>
          <w:i/>
          <w:sz w:val="22"/>
          <w:szCs w:val="22"/>
        </w:rPr>
        <w:t>XXX. INVENTARIO:</w:t>
      </w:r>
      <w:r w:rsidRPr="001515F0">
        <w:rPr>
          <w:rFonts w:ascii="Palatino Linotype" w:hAnsi="Palatino Linotype"/>
          <w:i/>
          <w:sz w:val="22"/>
          <w:szCs w:val="22"/>
        </w:rPr>
        <w:t xml:space="preserve"> Lista en la que se registran y describe la existencia de los bienes muebles e inmuebles propiedad de las entidades fiscalizables; </w:t>
      </w:r>
    </w:p>
    <w:p w14:paraId="61C617F8" w14:textId="77777777" w:rsidR="002321AE" w:rsidRPr="001515F0" w:rsidRDefault="002321AE" w:rsidP="002321AE">
      <w:pPr>
        <w:tabs>
          <w:tab w:val="left" w:pos="709"/>
        </w:tabs>
        <w:spacing w:line="276" w:lineRule="auto"/>
        <w:ind w:left="567" w:right="567"/>
        <w:jc w:val="both"/>
        <w:rPr>
          <w:rFonts w:ascii="Palatino Linotype" w:hAnsi="Palatino Linotype"/>
          <w:i/>
          <w:sz w:val="22"/>
          <w:szCs w:val="22"/>
        </w:rPr>
      </w:pPr>
      <w:r w:rsidRPr="001515F0">
        <w:rPr>
          <w:rFonts w:ascii="Palatino Linotype" w:hAnsi="Palatino Linotype"/>
          <w:b/>
          <w:i/>
          <w:sz w:val="22"/>
          <w:szCs w:val="22"/>
        </w:rPr>
        <w:t>XXXI. INVENTARIO DE BIENES INMUEBLES:</w:t>
      </w:r>
      <w:r w:rsidRPr="001515F0">
        <w:rPr>
          <w:rFonts w:ascii="Palatino Linotype" w:hAnsi="Palatino Linotype"/>
          <w:i/>
          <w:sz w:val="22"/>
          <w:szCs w:val="22"/>
        </w:rPr>
        <w:t xml:space="preserve"> Es el documento en donde se registran todos los bienes inmuebles propiedad de las entidades fiscalizables, el cual deberá contener todas las características de identificación, tales como: nombre, zona, ubicación, medidas y colindancias, tipo de inmueble, superficie construida, uso, medio de adquisición, situación legal, valor y todos los demás datos que se solicitan en la cédula correspondiente; </w:t>
      </w:r>
    </w:p>
    <w:p w14:paraId="079272A5" w14:textId="77777777" w:rsidR="002321AE" w:rsidRPr="001515F0" w:rsidRDefault="002321AE" w:rsidP="002321AE">
      <w:pPr>
        <w:tabs>
          <w:tab w:val="left" w:pos="709"/>
        </w:tabs>
        <w:spacing w:line="276" w:lineRule="auto"/>
        <w:ind w:left="567" w:right="567"/>
        <w:jc w:val="both"/>
        <w:rPr>
          <w:rFonts w:ascii="Palatino Linotype" w:hAnsi="Palatino Linotype"/>
          <w:i/>
          <w:sz w:val="22"/>
          <w:szCs w:val="22"/>
        </w:rPr>
      </w:pPr>
      <w:r w:rsidRPr="001515F0">
        <w:rPr>
          <w:rFonts w:ascii="Palatino Linotype" w:hAnsi="Palatino Linotype"/>
          <w:b/>
          <w:i/>
          <w:sz w:val="22"/>
          <w:szCs w:val="22"/>
        </w:rPr>
        <w:t>XXXII. INVENTARIO DE BIENES MUEBLES:</w:t>
      </w:r>
      <w:r w:rsidRPr="001515F0">
        <w:rPr>
          <w:rFonts w:ascii="Palatino Linotype" w:hAnsi="Palatino Linotype"/>
          <w:i/>
          <w:sz w:val="22"/>
          <w:szCs w:val="22"/>
        </w:rPr>
        <w:t xml:space="preserve"> Registro de los bienes muebles con un costo igual o mayor a 35 salarios mínimos del área geográfica "C" para los ejercicios anteriores y a partir del 01 de enero de 2013 los bienes muebles cuyo costo unitario de adquisición sea igual o superior a 35 días de salario mínimo general del Distrito Federal; </w:t>
      </w:r>
    </w:p>
    <w:p w14:paraId="23371EFC" w14:textId="7817FF0B" w:rsidR="002321AE" w:rsidRPr="001515F0" w:rsidRDefault="002321AE" w:rsidP="002731AA">
      <w:pPr>
        <w:tabs>
          <w:tab w:val="left" w:pos="709"/>
        </w:tabs>
        <w:spacing w:line="276" w:lineRule="auto"/>
        <w:ind w:left="567" w:right="567"/>
        <w:jc w:val="both"/>
        <w:rPr>
          <w:rFonts w:ascii="Palatino Linotype" w:hAnsi="Palatino Linotype"/>
          <w:i/>
          <w:sz w:val="22"/>
          <w:szCs w:val="22"/>
        </w:rPr>
      </w:pPr>
      <w:r w:rsidRPr="001515F0">
        <w:rPr>
          <w:rFonts w:ascii="Palatino Linotype" w:hAnsi="Palatino Linotype"/>
          <w:b/>
          <w:i/>
          <w:sz w:val="22"/>
          <w:szCs w:val="22"/>
        </w:rPr>
        <w:t>XXXIII. INVENTARIO GENERAL DE BIENES MUEBLES:</w:t>
      </w:r>
      <w:r w:rsidRPr="001515F0">
        <w:rPr>
          <w:rFonts w:ascii="Palatino Linotype" w:hAnsi="Palatino Linotype"/>
          <w:i/>
          <w:sz w:val="22"/>
          <w:szCs w:val="22"/>
        </w:rPr>
        <w:t xml:space="preserve"> A las listas en las que se registran y describen todos los bienes muebles en posesión de las entidades fiscalizables, es decir los bienes muebles contenidos en el Inventario de Bienes Muebles, </w:t>
      </w:r>
      <w:r w:rsidRPr="001515F0">
        <w:rPr>
          <w:rFonts w:ascii="Palatino Linotype" w:hAnsi="Palatino Linotype"/>
          <w:i/>
          <w:sz w:val="22"/>
          <w:szCs w:val="22"/>
        </w:rPr>
        <w:lastRenderedPageBreak/>
        <w:t>Bienes Muebles de Bajo Costo, Bienes con Control Administrativo Interno y los recibidos en comodato; cuya finalidad es llevar a cabo un control de existencias, cantidad, características, condiciones de uso y valor;</w:t>
      </w:r>
    </w:p>
    <w:p w14:paraId="14AC7CDF" w14:textId="77777777" w:rsidR="002321AE" w:rsidRPr="001515F0" w:rsidRDefault="002321AE" w:rsidP="002321AE">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1515F0">
        <w:rPr>
          <w:rFonts w:ascii="Palatino Linotype" w:eastAsia="MS Mincho" w:hAnsi="Palatino Linotype" w:cs="Times New Roman"/>
        </w:rPr>
        <w:t xml:space="preserve">Por otro lado,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1515F0">
        <w:rPr>
          <w:rFonts w:ascii="Palatino Linotype" w:eastAsia="MS Mincho" w:hAnsi="Palatino Linotype" w:cs="Times New Roman"/>
          <w:b/>
        </w:rPr>
        <w:t>SUJETO OBLIGADO</w:t>
      </w:r>
      <w:r w:rsidRPr="001515F0">
        <w:rPr>
          <w:rFonts w:ascii="Palatino Linotype" w:eastAsia="MS Mincho" w:hAnsi="Palatino Linotype" w:cs="Times New Roman"/>
        </w:rPr>
        <w:t xml:space="preserve"> se halla reconocido como un Sujeto de Fiscalización con base en los artículos 2, fracción II, y 4, fracción II:</w:t>
      </w:r>
    </w:p>
    <w:p w14:paraId="383F29E4"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sz w:val="22"/>
          <w:szCs w:val="22"/>
        </w:rPr>
      </w:pPr>
    </w:p>
    <w:p w14:paraId="6A36D01D" w14:textId="77777777" w:rsidR="002321AE" w:rsidRPr="001515F0" w:rsidRDefault="002321AE" w:rsidP="002321AE">
      <w:pPr>
        <w:spacing w:line="276" w:lineRule="auto"/>
        <w:ind w:left="567" w:right="567"/>
        <w:contextualSpacing/>
        <w:jc w:val="both"/>
        <w:rPr>
          <w:rFonts w:ascii="Palatino Linotype" w:hAnsi="Palatino Linotype"/>
          <w:i/>
          <w:sz w:val="22"/>
          <w:szCs w:val="22"/>
        </w:rPr>
      </w:pPr>
      <w:r w:rsidRPr="001515F0">
        <w:rPr>
          <w:rFonts w:ascii="Palatino Linotype" w:hAnsi="Palatino Linotype"/>
          <w:i/>
          <w:sz w:val="22"/>
          <w:szCs w:val="22"/>
        </w:rPr>
        <w:t>“</w:t>
      </w:r>
      <w:r w:rsidRPr="001515F0">
        <w:rPr>
          <w:rFonts w:ascii="Palatino Linotype" w:hAnsi="Palatino Linotype"/>
          <w:b/>
          <w:i/>
          <w:sz w:val="22"/>
          <w:szCs w:val="22"/>
        </w:rPr>
        <w:t>Artículo 2.</w:t>
      </w:r>
      <w:r w:rsidRPr="001515F0">
        <w:rPr>
          <w:rFonts w:ascii="Palatino Linotype" w:hAnsi="Palatino Linotype"/>
          <w:i/>
          <w:sz w:val="22"/>
          <w:szCs w:val="22"/>
        </w:rPr>
        <w:t xml:space="preserve"> Para los efectos de la presente Ley, se entenderá por:</w:t>
      </w:r>
    </w:p>
    <w:p w14:paraId="53DAE2E4" w14:textId="77777777" w:rsidR="002321AE" w:rsidRPr="001515F0" w:rsidRDefault="002321AE" w:rsidP="002321AE">
      <w:pPr>
        <w:spacing w:line="276" w:lineRule="auto"/>
        <w:ind w:left="567" w:right="567"/>
        <w:contextualSpacing/>
        <w:jc w:val="both"/>
        <w:rPr>
          <w:rFonts w:ascii="Palatino Linotype" w:hAnsi="Palatino Linotype"/>
          <w:i/>
          <w:sz w:val="22"/>
          <w:szCs w:val="22"/>
        </w:rPr>
      </w:pPr>
      <w:r w:rsidRPr="001515F0">
        <w:rPr>
          <w:rFonts w:ascii="Palatino Linotype" w:hAnsi="Palatino Linotype"/>
          <w:i/>
          <w:sz w:val="22"/>
          <w:szCs w:val="22"/>
        </w:rPr>
        <w:t>(…)</w:t>
      </w:r>
    </w:p>
    <w:p w14:paraId="0F3F366C" w14:textId="77777777" w:rsidR="002321AE" w:rsidRPr="001515F0" w:rsidRDefault="002321AE" w:rsidP="002321AE">
      <w:pPr>
        <w:spacing w:line="276" w:lineRule="auto"/>
        <w:ind w:left="567" w:right="567"/>
        <w:contextualSpacing/>
        <w:jc w:val="both"/>
        <w:rPr>
          <w:rFonts w:ascii="Palatino Linotype" w:hAnsi="Palatino Linotype"/>
          <w:i/>
          <w:sz w:val="22"/>
          <w:szCs w:val="22"/>
        </w:rPr>
      </w:pPr>
      <w:r w:rsidRPr="001515F0">
        <w:rPr>
          <w:rFonts w:ascii="Palatino Linotype" w:hAnsi="Palatino Linotype"/>
          <w:b/>
          <w:i/>
          <w:sz w:val="22"/>
          <w:szCs w:val="22"/>
        </w:rPr>
        <w:t>II.</w:t>
      </w:r>
      <w:r w:rsidRPr="001515F0">
        <w:rPr>
          <w:rFonts w:ascii="Palatino Linotype" w:hAnsi="Palatino Linotype"/>
          <w:i/>
          <w:sz w:val="22"/>
          <w:szCs w:val="22"/>
        </w:rPr>
        <w:t xml:space="preserve"> Municipios: A los Municipios del Estado;</w:t>
      </w:r>
    </w:p>
    <w:p w14:paraId="07178ECD" w14:textId="77777777" w:rsidR="002321AE" w:rsidRPr="001515F0" w:rsidRDefault="002321AE" w:rsidP="002321AE">
      <w:pPr>
        <w:spacing w:line="276" w:lineRule="auto"/>
        <w:ind w:left="567" w:right="567"/>
        <w:contextualSpacing/>
        <w:jc w:val="both"/>
        <w:rPr>
          <w:rFonts w:ascii="Palatino Linotype" w:hAnsi="Palatino Linotype"/>
          <w:i/>
          <w:sz w:val="22"/>
          <w:szCs w:val="22"/>
        </w:rPr>
      </w:pPr>
      <w:r w:rsidRPr="001515F0">
        <w:rPr>
          <w:rFonts w:ascii="Palatino Linotype" w:hAnsi="Palatino Linotype"/>
          <w:i/>
          <w:sz w:val="22"/>
          <w:szCs w:val="22"/>
        </w:rPr>
        <w:t>(…)</w:t>
      </w:r>
    </w:p>
    <w:p w14:paraId="2DCDFF7A" w14:textId="77777777" w:rsidR="002321AE" w:rsidRPr="001515F0" w:rsidRDefault="002321AE" w:rsidP="002321AE">
      <w:pPr>
        <w:spacing w:line="276" w:lineRule="auto"/>
        <w:ind w:left="567" w:right="567"/>
        <w:contextualSpacing/>
        <w:jc w:val="both"/>
        <w:rPr>
          <w:rFonts w:ascii="Palatino Linotype" w:hAnsi="Palatino Linotype"/>
          <w:i/>
          <w:sz w:val="22"/>
          <w:szCs w:val="22"/>
        </w:rPr>
      </w:pPr>
    </w:p>
    <w:p w14:paraId="52CEBD37" w14:textId="77777777" w:rsidR="002321AE" w:rsidRPr="001515F0" w:rsidRDefault="002321AE" w:rsidP="002321AE">
      <w:pPr>
        <w:spacing w:line="276" w:lineRule="auto"/>
        <w:ind w:left="567" w:right="567"/>
        <w:contextualSpacing/>
        <w:jc w:val="both"/>
        <w:rPr>
          <w:rFonts w:ascii="Palatino Linotype" w:hAnsi="Palatino Linotype"/>
          <w:i/>
          <w:sz w:val="22"/>
          <w:szCs w:val="22"/>
        </w:rPr>
      </w:pPr>
      <w:r w:rsidRPr="001515F0">
        <w:rPr>
          <w:rFonts w:ascii="Palatino Linotype" w:hAnsi="Palatino Linotype"/>
          <w:b/>
          <w:i/>
          <w:sz w:val="22"/>
          <w:szCs w:val="22"/>
        </w:rPr>
        <w:t>Artículo 4.-</w:t>
      </w:r>
      <w:r w:rsidRPr="001515F0">
        <w:rPr>
          <w:rFonts w:ascii="Palatino Linotype" w:hAnsi="Palatino Linotype"/>
          <w:i/>
          <w:sz w:val="22"/>
          <w:szCs w:val="22"/>
        </w:rPr>
        <w:t xml:space="preserve"> Son sujetos de fiscalización:</w:t>
      </w:r>
    </w:p>
    <w:p w14:paraId="603DD546" w14:textId="77777777" w:rsidR="002321AE" w:rsidRPr="001515F0" w:rsidRDefault="002321AE" w:rsidP="002321AE">
      <w:pPr>
        <w:spacing w:line="276" w:lineRule="auto"/>
        <w:ind w:left="567" w:right="567"/>
        <w:contextualSpacing/>
        <w:jc w:val="both"/>
        <w:rPr>
          <w:rFonts w:ascii="Palatino Linotype" w:hAnsi="Palatino Linotype"/>
          <w:i/>
          <w:sz w:val="22"/>
          <w:szCs w:val="22"/>
        </w:rPr>
      </w:pPr>
      <w:r w:rsidRPr="001515F0">
        <w:rPr>
          <w:rFonts w:ascii="Palatino Linotype" w:hAnsi="Palatino Linotype"/>
          <w:i/>
          <w:sz w:val="22"/>
          <w:szCs w:val="22"/>
        </w:rPr>
        <w:t>(…)</w:t>
      </w:r>
    </w:p>
    <w:p w14:paraId="3F2BC6A8" w14:textId="77777777" w:rsidR="002321AE" w:rsidRPr="001515F0" w:rsidRDefault="002321AE" w:rsidP="002321AE">
      <w:pPr>
        <w:spacing w:line="276" w:lineRule="auto"/>
        <w:ind w:left="567" w:right="567"/>
        <w:contextualSpacing/>
        <w:jc w:val="both"/>
        <w:rPr>
          <w:rFonts w:ascii="Palatino Linotype" w:hAnsi="Palatino Linotype"/>
          <w:i/>
          <w:sz w:val="22"/>
          <w:szCs w:val="22"/>
        </w:rPr>
      </w:pPr>
      <w:r w:rsidRPr="001515F0">
        <w:rPr>
          <w:rFonts w:ascii="Palatino Linotype" w:hAnsi="Palatino Linotype"/>
          <w:b/>
          <w:i/>
          <w:sz w:val="22"/>
          <w:szCs w:val="22"/>
        </w:rPr>
        <w:t>II.</w:t>
      </w:r>
      <w:r w:rsidRPr="001515F0">
        <w:rPr>
          <w:rFonts w:ascii="Palatino Linotype" w:hAnsi="Palatino Linotype"/>
          <w:i/>
          <w:sz w:val="22"/>
          <w:szCs w:val="22"/>
        </w:rPr>
        <w:t xml:space="preserve"> Los municipios del Estado de México; </w:t>
      </w:r>
    </w:p>
    <w:p w14:paraId="0D70E7E9" w14:textId="77777777" w:rsidR="002321AE" w:rsidRPr="001515F0" w:rsidRDefault="002321AE" w:rsidP="002321AE">
      <w:pPr>
        <w:spacing w:line="276" w:lineRule="auto"/>
        <w:ind w:left="567" w:right="567"/>
        <w:contextualSpacing/>
        <w:jc w:val="both"/>
        <w:rPr>
          <w:rFonts w:ascii="Palatino Linotype" w:hAnsi="Palatino Linotype"/>
          <w:i/>
          <w:sz w:val="22"/>
          <w:szCs w:val="22"/>
        </w:rPr>
      </w:pPr>
      <w:r w:rsidRPr="001515F0">
        <w:rPr>
          <w:rFonts w:ascii="Palatino Linotype" w:hAnsi="Palatino Linotype"/>
          <w:i/>
          <w:sz w:val="22"/>
          <w:szCs w:val="22"/>
        </w:rPr>
        <w:t>(…)</w:t>
      </w:r>
    </w:p>
    <w:p w14:paraId="3F7D970F"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rPr>
      </w:pPr>
    </w:p>
    <w:p w14:paraId="5018E3E1" w14:textId="77777777" w:rsidR="002321AE" w:rsidRPr="001515F0" w:rsidRDefault="002321AE" w:rsidP="002321AE">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1515F0">
        <w:rPr>
          <w:rFonts w:ascii="Palatino Linotype" w:eastAsia="MS Mincho" w:hAnsi="Palatino Linotype" w:cs="Times New Roman"/>
        </w:rPr>
        <w:t xml:space="preserve">Así las cosas, el Órgano Superior de Fiscalización del Estado de México (OSFEM), emite anualmente una herramienta para elaborar y presentar los informes mensuales, denominado </w:t>
      </w:r>
      <w:r w:rsidRPr="001515F0">
        <w:rPr>
          <w:rFonts w:ascii="Palatino Linotype" w:eastAsia="MS Mincho" w:hAnsi="Palatino Linotype" w:cs="Times New Roman"/>
          <w:b/>
          <w:bCs/>
        </w:rPr>
        <w:t>“Lineamientos para la Entrega del Informe Mensual Municipal”</w:t>
      </w:r>
      <w:r w:rsidRPr="001515F0">
        <w:rPr>
          <w:rFonts w:ascii="Palatino Linotype" w:eastAsia="MS Mincho" w:hAnsi="Palatino Linotype" w:cs="Times New Roman"/>
        </w:rPr>
        <w:t>, cuyo objetivo es establecer las especificaciones necesarias para que las entidades fiscales elaboren y presentes los referidos informes.</w:t>
      </w:r>
    </w:p>
    <w:p w14:paraId="65EB08E0"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rPr>
      </w:pPr>
    </w:p>
    <w:p w14:paraId="04C066ED" w14:textId="77777777" w:rsidR="002321AE" w:rsidRPr="001515F0" w:rsidRDefault="002321AE" w:rsidP="002321AE">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1515F0">
        <w:rPr>
          <w:rFonts w:ascii="Palatino Linotype" w:eastAsia="MS Mincho" w:hAnsi="Palatino Linotype" w:cs="Times New Roman"/>
        </w:rPr>
        <w:lastRenderedPageBreak/>
        <w:t>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w:t>
      </w:r>
    </w:p>
    <w:p w14:paraId="643934A3"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rPr>
      </w:pPr>
    </w:p>
    <w:p w14:paraId="01A5474E" w14:textId="77777777" w:rsidR="002321AE" w:rsidRPr="001515F0" w:rsidRDefault="002321AE" w:rsidP="002321AE">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1515F0">
        <w:rPr>
          <w:rFonts w:ascii="Palatino Linotype" w:eastAsia="MS Mincho" w:hAnsi="Palatino Linotype" w:cs="Times New Roman"/>
        </w:rPr>
        <w:t>La integración del Informe Mensual se entregará de manera física al Órgano Superior de Fiscalización del Estado de México, y estará compuesto de la siguiente manera:</w:t>
      </w:r>
    </w:p>
    <w:p w14:paraId="3CAD3901"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sz w:val="22"/>
          <w:szCs w:val="22"/>
        </w:rPr>
      </w:pPr>
    </w:p>
    <w:p w14:paraId="5C70A1A5" w14:textId="77777777" w:rsidR="002321AE" w:rsidRPr="001515F0" w:rsidRDefault="002321AE" w:rsidP="002321AE">
      <w:pPr>
        <w:pStyle w:val="Prrafodelista"/>
        <w:autoSpaceDE w:val="0"/>
        <w:autoSpaceDN w:val="0"/>
        <w:adjustRightInd w:val="0"/>
        <w:spacing w:line="276" w:lineRule="auto"/>
        <w:ind w:left="567" w:right="616"/>
        <w:jc w:val="both"/>
        <w:rPr>
          <w:rFonts w:ascii="Palatino Linotype" w:hAnsi="Palatino Linotype" w:cs="Arial"/>
          <w:i/>
          <w:iCs/>
          <w:sz w:val="22"/>
          <w:szCs w:val="22"/>
        </w:rPr>
      </w:pPr>
      <w:r w:rsidRPr="001515F0">
        <w:rPr>
          <w:rFonts w:ascii="Palatino Linotype" w:hAnsi="Palatino Linotype" w:cs="Arial"/>
          <w:b/>
          <w:i/>
          <w:iCs/>
          <w:sz w:val="22"/>
          <w:szCs w:val="22"/>
        </w:rPr>
        <w:t>a)</w:t>
      </w:r>
      <w:r w:rsidRPr="001515F0">
        <w:rPr>
          <w:rFonts w:ascii="Palatino Linotype" w:hAnsi="Palatino Linotype" w:cs="Arial"/>
          <w:i/>
          <w:iCs/>
          <w:sz w:val="22"/>
          <w:szCs w:val="22"/>
        </w:rPr>
        <w:t xml:space="preserve"> Información impresa.</w:t>
      </w:r>
    </w:p>
    <w:p w14:paraId="67F62AC7" w14:textId="77777777" w:rsidR="002321AE" w:rsidRPr="001515F0" w:rsidRDefault="002321AE" w:rsidP="002321AE">
      <w:pPr>
        <w:pStyle w:val="Prrafodelista"/>
        <w:autoSpaceDE w:val="0"/>
        <w:autoSpaceDN w:val="0"/>
        <w:adjustRightInd w:val="0"/>
        <w:spacing w:line="276" w:lineRule="auto"/>
        <w:ind w:left="567" w:right="616"/>
        <w:jc w:val="both"/>
        <w:rPr>
          <w:rFonts w:ascii="Palatino Linotype" w:hAnsi="Palatino Linotype" w:cs="Arial"/>
          <w:i/>
          <w:iCs/>
          <w:sz w:val="22"/>
          <w:szCs w:val="22"/>
        </w:rPr>
      </w:pPr>
      <w:r w:rsidRPr="001515F0">
        <w:rPr>
          <w:rFonts w:ascii="Palatino Linotype" w:hAnsi="Palatino Linotype" w:cs="Arial"/>
          <w:b/>
          <w:i/>
          <w:iCs/>
          <w:sz w:val="22"/>
          <w:szCs w:val="22"/>
        </w:rPr>
        <w:t>b)</w:t>
      </w:r>
      <w:r w:rsidRPr="001515F0">
        <w:rPr>
          <w:rFonts w:ascii="Palatino Linotype" w:hAnsi="Palatino Linotype" w:cs="Arial"/>
          <w:i/>
          <w:iCs/>
          <w:sz w:val="22"/>
          <w:szCs w:val="22"/>
        </w:rPr>
        <w:t xml:space="preserve"> Información en medio de almacenamiento electrónico, discos compactos (CD).</w:t>
      </w:r>
    </w:p>
    <w:p w14:paraId="69D40D73"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sz w:val="22"/>
          <w:szCs w:val="22"/>
        </w:rPr>
      </w:pPr>
    </w:p>
    <w:p w14:paraId="0714E9F8" w14:textId="77777777" w:rsidR="002321AE" w:rsidRPr="001515F0" w:rsidRDefault="002321AE" w:rsidP="002321AE">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1515F0">
        <w:rPr>
          <w:rFonts w:ascii="Palatino Linotype" w:eastAsia="MS Mincho" w:hAnsi="Palatino Linotype" w:cs="Times New Roman"/>
        </w:rPr>
        <w:t xml:space="preserve">Dicho lo anterior, por cuanto hace a la información en medio de almacenamiento electrónico, los Lineamientos para la Entrega del Informe Mensual Municipal 2019, refieren que comprenderá documentos digitalizados y en formato PDF, XLS, XML, así como TXT, la cual se integrará en seis (06) discos compactos o </w:t>
      </w:r>
      <w:proofErr w:type="spellStart"/>
      <w:r w:rsidRPr="001515F0">
        <w:rPr>
          <w:rFonts w:ascii="Palatino Linotype" w:eastAsia="MS Mincho" w:hAnsi="Palatino Linotype" w:cs="Times New Roman"/>
          <w:i/>
        </w:rPr>
        <w:t>CD’s</w:t>
      </w:r>
      <w:proofErr w:type="spellEnd"/>
      <w:r w:rsidRPr="001515F0">
        <w:rPr>
          <w:rFonts w:ascii="Palatino Linotype" w:eastAsia="MS Mincho" w:hAnsi="Palatino Linotype" w:cs="Times New Roman"/>
        </w:rPr>
        <w:t>, de la siguiente manera:</w:t>
      </w:r>
    </w:p>
    <w:p w14:paraId="486085DE"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rPr>
      </w:pPr>
    </w:p>
    <w:p w14:paraId="39FC6705" w14:textId="77777777" w:rsidR="002321AE" w:rsidRPr="001515F0" w:rsidRDefault="002321AE" w:rsidP="002321AE">
      <w:pPr>
        <w:tabs>
          <w:tab w:val="left" w:pos="426"/>
        </w:tabs>
        <w:spacing w:line="276" w:lineRule="auto"/>
        <w:ind w:left="567" w:right="567"/>
        <w:contextualSpacing/>
        <w:jc w:val="center"/>
        <w:rPr>
          <w:rFonts w:ascii="Palatino Linotype" w:eastAsia="MS Mincho" w:hAnsi="Palatino Linotype"/>
          <w:b/>
          <w:i/>
          <w:sz w:val="22"/>
          <w:szCs w:val="22"/>
          <w:lang w:val="es-ES_tradnl" w:eastAsia="es-ES"/>
        </w:rPr>
      </w:pPr>
      <w:r w:rsidRPr="001515F0">
        <w:rPr>
          <w:rFonts w:ascii="Palatino Linotype" w:eastAsia="MS Mincho" w:hAnsi="Palatino Linotype"/>
          <w:b/>
          <w:i/>
          <w:sz w:val="22"/>
          <w:szCs w:val="22"/>
          <w:lang w:val="es-ES_tradnl" w:eastAsia="es-ES"/>
        </w:rPr>
        <w:t xml:space="preserve">Informe Mensual Municipal en </w:t>
      </w:r>
      <w:proofErr w:type="spellStart"/>
      <w:r w:rsidRPr="001515F0">
        <w:rPr>
          <w:rFonts w:ascii="Palatino Linotype" w:eastAsia="MS Mincho" w:hAnsi="Palatino Linotype"/>
          <w:b/>
          <w:i/>
          <w:sz w:val="22"/>
          <w:szCs w:val="22"/>
          <w:lang w:val="es-ES_tradnl" w:eastAsia="es-ES"/>
        </w:rPr>
        <w:t>CD’s</w:t>
      </w:r>
      <w:proofErr w:type="spellEnd"/>
      <w:r w:rsidRPr="001515F0">
        <w:rPr>
          <w:rFonts w:ascii="Palatino Linotype" w:eastAsia="MS Mincho" w:hAnsi="Palatino Linotype"/>
          <w:b/>
          <w:i/>
          <w:sz w:val="22"/>
          <w:szCs w:val="22"/>
          <w:lang w:val="es-ES_tradnl" w:eastAsia="es-ES"/>
        </w:rPr>
        <w:t>:</w:t>
      </w:r>
    </w:p>
    <w:p w14:paraId="23090EB3" w14:textId="77777777" w:rsidR="002321AE" w:rsidRPr="001515F0" w:rsidRDefault="002321AE" w:rsidP="002321AE">
      <w:pPr>
        <w:tabs>
          <w:tab w:val="left" w:pos="426"/>
        </w:tabs>
        <w:spacing w:line="276" w:lineRule="auto"/>
        <w:ind w:left="567" w:right="567"/>
        <w:contextualSpacing/>
        <w:jc w:val="center"/>
        <w:rPr>
          <w:rFonts w:ascii="Palatino Linotype" w:eastAsia="MS Mincho" w:hAnsi="Palatino Linotype"/>
          <w:b/>
          <w:i/>
          <w:sz w:val="22"/>
          <w:szCs w:val="22"/>
          <w:lang w:val="es-ES_tradnl" w:eastAsia="es-ES"/>
        </w:rPr>
      </w:pPr>
    </w:p>
    <w:p w14:paraId="2D85A160" w14:textId="77777777" w:rsidR="002321AE" w:rsidRPr="001515F0" w:rsidRDefault="002321AE" w:rsidP="002321AE">
      <w:pPr>
        <w:tabs>
          <w:tab w:val="left" w:pos="426"/>
        </w:tabs>
        <w:spacing w:line="276" w:lineRule="auto"/>
        <w:ind w:left="567" w:right="567"/>
        <w:contextualSpacing/>
        <w:jc w:val="both"/>
        <w:rPr>
          <w:rFonts w:ascii="Palatino Linotype" w:eastAsia="MS Mincho" w:hAnsi="Palatino Linotype"/>
          <w:i/>
          <w:sz w:val="22"/>
          <w:szCs w:val="22"/>
          <w:lang w:val="es-ES_tradnl" w:eastAsia="es-ES"/>
        </w:rPr>
      </w:pPr>
      <w:r w:rsidRPr="001515F0">
        <w:rPr>
          <w:rFonts w:ascii="Palatino Linotype" w:eastAsia="MS Mincho" w:hAnsi="Palatino Linotype"/>
          <w:b/>
          <w:i/>
          <w:sz w:val="22"/>
          <w:szCs w:val="22"/>
          <w:lang w:val="es-ES_tradnl" w:eastAsia="es-ES"/>
        </w:rPr>
        <w:t>Disco 1.-</w:t>
      </w:r>
      <w:r w:rsidRPr="001515F0">
        <w:rPr>
          <w:rFonts w:ascii="Palatino Linotype" w:eastAsia="MS Mincho" w:hAnsi="Palatino Linotype"/>
          <w:i/>
          <w:sz w:val="22"/>
          <w:szCs w:val="22"/>
          <w:lang w:val="es-ES_tradnl" w:eastAsia="es-ES"/>
        </w:rPr>
        <w:t xml:space="preserve"> Información Patrimonial (Contable y Administrativa).</w:t>
      </w:r>
    </w:p>
    <w:p w14:paraId="7A8CAA20" w14:textId="77777777" w:rsidR="002321AE" w:rsidRPr="001515F0" w:rsidRDefault="002321AE" w:rsidP="002321AE">
      <w:pPr>
        <w:tabs>
          <w:tab w:val="left" w:pos="426"/>
        </w:tabs>
        <w:spacing w:line="276" w:lineRule="auto"/>
        <w:ind w:left="567" w:right="567"/>
        <w:contextualSpacing/>
        <w:jc w:val="both"/>
        <w:rPr>
          <w:rFonts w:ascii="Palatino Linotype" w:eastAsia="MS Mincho" w:hAnsi="Palatino Linotype"/>
          <w:i/>
          <w:sz w:val="22"/>
          <w:szCs w:val="22"/>
          <w:lang w:val="es-ES_tradnl" w:eastAsia="es-ES"/>
        </w:rPr>
      </w:pPr>
      <w:r w:rsidRPr="001515F0">
        <w:rPr>
          <w:rFonts w:ascii="Palatino Linotype" w:eastAsia="MS Mincho" w:hAnsi="Palatino Linotype"/>
          <w:b/>
          <w:i/>
          <w:sz w:val="22"/>
          <w:szCs w:val="22"/>
          <w:lang w:val="es-ES_tradnl" w:eastAsia="es-ES"/>
        </w:rPr>
        <w:lastRenderedPageBreak/>
        <w:t>Disco 2.-</w:t>
      </w:r>
      <w:r w:rsidRPr="001515F0">
        <w:rPr>
          <w:rFonts w:ascii="Palatino Linotype" w:eastAsia="MS Mincho" w:hAnsi="Palatino Linotype"/>
          <w:i/>
          <w:sz w:val="22"/>
          <w:szCs w:val="22"/>
          <w:lang w:val="es-ES_tradnl" w:eastAsia="es-ES"/>
        </w:rPr>
        <w:t xml:space="preserve"> Información Presupuestal, de Bienes Muebles e Inmuebles y de Recaudación del Impuesto Predial y Derechos de Agua.</w:t>
      </w:r>
    </w:p>
    <w:p w14:paraId="01678E0E" w14:textId="77777777" w:rsidR="002321AE" w:rsidRPr="001515F0" w:rsidRDefault="002321AE" w:rsidP="002321AE">
      <w:pPr>
        <w:tabs>
          <w:tab w:val="left" w:pos="426"/>
        </w:tabs>
        <w:spacing w:line="276" w:lineRule="auto"/>
        <w:ind w:left="567" w:right="567"/>
        <w:contextualSpacing/>
        <w:jc w:val="both"/>
        <w:rPr>
          <w:rFonts w:ascii="Palatino Linotype" w:eastAsia="MS Mincho" w:hAnsi="Palatino Linotype"/>
          <w:i/>
          <w:sz w:val="22"/>
          <w:szCs w:val="22"/>
          <w:lang w:val="es-ES_tradnl" w:eastAsia="es-ES"/>
        </w:rPr>
      </w:pPr>
      <w:r w:rsidRPr="001515F0">
        <w:rPr>
          <w:rFonts w:ascii="Palatino Linotype" w:eastAsia="MS Mincho" w:hAnsi="Palatino Linotype"/>
          <w:b/>
          <w:i/>
          <w:sz w:val="22"/>
          <w:szCs w:val="22"/>
          <w:lang w:val="es-ES_tradnl" w:eastAsia="es-ES"/>
        </w:rPr>
        <w:t>Disco 3.-</w:t>
      </w:r>
      <w:r w:rsidRPr="001515F0">
        <w:rPr>
          <w:rFonts w:ascii="Palatino Linotype" w:eastAsia="MS Mincho" w:hAnsi="Palatino Linotype"/>
          <w:i/>
          <w:sz w:val="22"/>
          <w:szCs w:val="22"/>
          <w:lang w:val="es-ES_tradnl" w:eastAsia="es-ES"/>
        </w:rPr>
        <w:t xml:space="preserve"> Información de Obra.</w:t>
      </w:r>
    </w:p>
    <w:p w14:paraId="7CC16F72" w14:textId="77777777" w:rsidR="002321AE" w:rsidRPr="001515F0" w:rsidRDefault="002321AE" w:rsidP="002321AE">
      <w:pPr>
        <w:tabs>
          <w:tab w:val="left" w:pos="426"/>
        </w:tabs>
        <w:spacing w:line="276" w:lineRule="auto"/>
        <w:ind w:left="567" w:right="567"/>
        <w:contextualSpacing/>
        <w:jc w:val="both"/>
        <w:rPr>
          <w:rFonts w:ascii="Palatino Linotype" w:eastAsia="MS Mincho" w:hAnsi="Palatino Linotype"/>
          <w:i/>
          <w:sz w:val="22"/>
          <w:szCs w:val="22"/>
          <w:lang w:val="es-ES_tradnl" w:eastAsia="es-ES"/>
        </w:rPr>
      </w:pPr>
      <w:r w:rsidRPr="001515F0">
        <w:rPr>
          <w:rFonts w:ascii="Palatino Linotype" w:eastAsia="MS Mincho" w:hAnsi="Palatino Linotype"/>
          <w:b/>
          <w:i/>
          <w:sz w:val="22"/>
          <w:szCs w:val="22"/>
          <w:lang w:val="es-ES_tradnl" w:eastAsia="es-ES"/>
        </w:rPr>
        <w:t>Disco 4.-</w:t>
      </w:r>
      <w:r w:rsidRPr="001515F0">
        <w:rPr>
          <w:rFonts w:ascii="Palatino Linotype" w:eastAsia="MS Mincho" w:hAnsi="Palatino Linotype"/>
          <w:i/>
          <w:sz w:val="22"/>
          <w:szCs w:val="22"/>
          <w:lang w:val="es-ES_tradnl" w:eastAsia="es-ES"/>
        </w:rPr>
        <w:t xml:space="preserve"> Información de Nómina.</w:t>
      </w:r>
    </w:p>
    <w:p w14:paraId="23DD69BE" w14:textId="77777777" w:rsidR="002321AE" w:rsidRPr="001515F0" w:rsidRDefault="002321AE" w:rsidP="002321AE">
      <w:pPr>
        <w:tabs>
          <w:tab w:val="left" w:pos="426"/>
        </w:tabs>
        <w:spacing w:line="276" w:lineRule="auto"/>
        <w:ind w:left="567" w:right="567"/>
        <w:contextualSpacing/>
        <w:jc w:val="both"/>
        <w:rPr>
          <w:rFonts w:ascii="Palatino Linotype" w:eastAsia="MS Mincho" w:hAnsi="Palatino Linotype"/>
          <w:i/>
          <w:sz w:val="22"/>
          <w:szCs w:val="22"/>
          <w:lang w:val="es-ES_tradnl" w:eastAsia="es-ES"/>
        </w:rPr>
      </w:pPr>
      <w:r w:rsidRPr="001515F0">
        <w:rPr>
          <w:rFonts w:ascii="Palatino Linotype" w:eastAsia="MS Mincho" w:hAnsi="Palatino Linotype"/>
          <w:b/>
          <w:i/>
          <w:sz w:val="22"/>
          <w:szCs w:val="22"/>
          <w:lang w:val="es-ES_tradnl" w:eastAsia="es-ES"/>
        </w:rPr>
        <w:t>Disco 5.-</w:t>
      </w:r>
      <w:r w:rsidRPr="001515F0">
        <w:rPr>
          <w:rFonts w:ascii="Palatino Linotype" w:eastAsia="MS Mincho" w:hAnsi="Palatino Linotype"/>
          <w:i/>
          <w:sz w:val="22"/>
          <w:szCs w:val="22"/>
          <w:lang w:val="es-ES_tradnl" w:eastAsia="es-ES"/>
        </w:rPr>
        <w:t xml:space="preserve"> Imágenes Digitalizadas.</w:t>
      </w:r>
    </w:p>
    <w:p w14:paraId="002E70AC" w14:textId="77777777" w:rsidR="002321AE" w:rsidRPr="001515F0" w:rsidRDefault="002321AE" w:rsidP="002321AE">
      <w:pPr>
        <w:tabs>
          <w:tab w:val="left" w:pos="426"/>
        </w:tabs>
        <w:spacing w:line="276" w:lineRule="auto"/>
        <w:ind w:left="567" w:right="567"/>
        <w:contextualSpacing/>
        <w:jc w:val="both"/>
        <w:rPr>
          <w:rFonts w:ascii="Palatino Linotype" w:eastAsia="MS Mincho" w:hAnsi="Palatino Linotype"/>
          <w:i/>
          <w:sz w:val="22"/>
          <w:szCs w:val="22"/>
          <w:lang w:val="es-ES_tradnl" w:eastAsia="es-ES"/>
        </w:rPr>
      </w:pPr>
      <w:r w:rsidRPr="001515F0">
        <w:rPr>
          <w:rFonts w:ascii="Palatino Linotype" w:eastAsia="MS Mincho" w:hAnsi="Palatino Linotype"/>
          <w:b/>
          <w:i/>
          <w:sz w:val="22"/>
          <w:szCs w:val="22"/>
          <w:lang w:val="es-ES_tradnl" w:eastAsia="es-ES"/>
        </w:rPr>
        <w:t>Disco 6.-</w:t>
      </w:r>
      <w:r w:rsidRPr="001515F0">
        <w:rPr>
          <w:rFonts w:ascii="Palatino Linotype" w:eastAsia="MS Mincho" w:hAnsi="Palatino Linotype"/>
          <w:i/>
          <w:sz w:val="22"/>
          <w:szCs w:val="22"/>
          <w:lang w:val="es-ES_tradnl" w:eastAsia="es-ES"/>
        </w:rPr>
        <w:t xml:space="preserve"> Información de evaluación Programática (archivo de texto plano  TXT y PDF)*</w:t>
      </w:r>
    </w:p>
    <w:p w14:paraId="10A53760" w14:textId="77777777" w:rsidR="002321AE" w:rsidRPr="001515F0" w:rsidRDefault="002321AE" w:rsidP="002321AE">
      <w:pPr>
        <w:tabs>
          <w:tab w:val="left" w:pos="426"/>
        </w:tabs>
        <w:spacing w:line="276" w:lineRule="auto"/>
        <w:ind w:left="567" w:right="567"/>
        <w:contextualSpacing/>
        <w:jc w:val="both"/>
        <w:rPr>
          <w:rFonts w:ascii="Palatino Linotype" w:eastAsia="MS Mincho" w:hAnsi="Palatino Linotype"/>
          <w:i/>
          <w:sz w:val="22"/>
          <w:szCs w:val="22"/>
          <w:lang w:val="es-ES_tradnl" w:eastAsia="es-ES"/>
        </w:rPr>
      </w:pPr>
    </w:p>
    <w:p w14:paraId="2D4A1CE5" w14:textId="77777777" w:rsidR="002321AE" w:rsidRPr="001515F0" w:rsidRDefault="002321AE" w:rsidP="002321AE">
      <w:pPr>
        <w:tabs>
          <w:tab w:val="left" w:pos="426"/>
        </w:tabs>
        <w:spacing w:line="276" w:lineRule="auto"/>
        <w:ind w:left="567" w:right="567"/>
        <w:contextualSpacing/>
        <w:jc w:val="both"/>
        <w:rPr>
          <w:rFonts w:ascii="Palatino Linotype" w:eastAsia="MS Mincho" w:hAnsi="Palatino Linotype"/>
          <w:sz w:val="22"/>
          <w:szCs w:val="22"/>
          <w:lang w:val="es-ES_tradnl" w:eastAsia="es-ES"/>
        </w:rPr>
      </w:pPr>
      <w:r w:rsidRPr="001515F0">
        <w:rPr>
          <w:rFonts w:ascii="Palatino Linotype" w:eastAsia="MS Mincho" w:hAnsi="Palatino Linotype"/>
          <w:b/>
          <w:i/>
          <w:sz w:val="22"/>
          <w:szCs w:val="22"/>
          <w:lang w:val="es-ES_tradnl" w:eastAsia="es-ES"/>
        </w:rPr>
        <w:t>*Nota 1:</w:t>
      </w:r>
      <w:r w:rsidRPr="001515F0">
        <w:rPr>
          <w:rFonts w:ascii="Palatino Linotype" w:eastAsia="MS Mincho" w:hAnsi="Palatino Linotype"/>
          <w:i/>
          <w:sz w:val="22"/>
          <w:szCs w:val="22"/>
          <w:lang w:val="es-ES_tradnl" w:eastAsia="es-ES"/>
        </w:rPr>
        <w:t xml:space="preserve"> En la periodicidad que corresponda de acuerdo a los requerimientos establecidos en el apartado del Disco 6.</w:t>
      </w:r>
    </w:p>
    <w:p w14:paraId="0F4335D2"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sz w:val="22"/>
          <w:szCs w:val="22"/>
        </w:rPr>
      </w:pPr>
    </w:p>
    <w:p w14:paraId="207480EC" w14:textId="77777777" w:rsidR="002321AE" w:rsidRPr="001515F0" w:rsidRDefault="002321AE" w:rsidP="002321AE">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1515F0">
        <w:rPr>
          <w:rFonts w:ascii="Palatino Linotype" w:eastAsia="MS Mincho" w:hAnsi="Palatino Linotype" w:cs="Times New Roman"/>
        </w:rPr>
        <w:t>Así, una vez establecidos términos, parámetros y marco normativo, podemos dilucidar todos y cada uno de los documentos referidos en los puntos en estudio.</w:t>
      </w:r>
    </w:p>
    <w:p w14:paraId="3082AA16"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rPr>
      </w:pPr>
    </w:p>
    <w:p w14:paraId="1FC3EB5B" w14:textId="77777777" w:rsidR="002321AE" w:rsidRPr="001515F0" w:rsidRDefault="002321AE" w:rsidP="002321AE">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1515F0">
        <w:rPr>
          <w:rFonts w:ascii="Palatino Linotype" w:eastAsia="MS Mincho" w:hAnsi="Palatino Linotype" w:cs="Times New Roman"/>
        </w:rPr>
        <w:t xml:space="preserve">Por cuanto hace a la </w:t>
      </w:r>
      <w:r w:rsidRPr="001515F0">
        <w:rPr>
          <w:rFonts w:ascii="Palatino Linotype" w:eastAsia="MS Mincho" w:hAnsi="Palatino Linotype" w:cs="Times New Roman"/>
          <w:i/>
        </w:rPr>
        <w:t>relación de todos los bienes inmuebles del Ayuntamiento registrados en la cuenta pública con datos de ubicación, clave catastral, uso y destino, valor comercial, valor catastral, estado de gravámenes, última declaración catastral, último pago de predial y, si está registrado como bien privado o de dominio público,</w:t>
      </w:r>
      <w:r w:rsidRPr="001515F0">
        <w:rPr>
          <w:rFonts w:ascii="Palatino Linotype" w:eastAsia="MS Mincho" w:hAnsi="Palatino Linotype" w:cs="Times New Roman"/>
        </w:rPr>
        <w:t xml:space="preserve"> el documento idóneo para satisfacer la información solicitada por el particular corresponde al </w:t>
      </w:r>
      <w:r w:rsidRPr="001515F0">
        <w:rPr>
          <w:rFonts w:ascii="Palatino Linotype" w:eastAsia="MS Mincho" w:hAnsi="Palatino Linotype" w:cs="Times New Roman"/>
          <w:b/>
        </w:rPr>
        <w:t>Inventario de bienes inmuebles</w:t>
      </w:r>
      <w:r w:rsidRPr="001515F0">
        <w:rPr>
          <w:rFonts w:ascii="Palatino Linotype" w:eastAsia="MS Mincho" w:hAnsi="Palatino Linotype" w:cs="Times New Roman"/>
        </w:rPr>
        <w:t>, el cual, de conformidad con los Lineamientos para la Entrega del Informe Mensual Municipal 2019, deberá contar con los siguientes rubros:</w:t>
      </w:r>
    </w:p>
    <w:p w14:paraId="3A28C1F9" w14:textId="36437E6B" w:rsidR="002321AE" w:rsidRPr="001515F0" w:rsidRDefault="002731AA" w:rsidP="002321AE">
      <w:pPr>
        <w:pStyle w:val="Prrafodelista"/>
        <w:tabs>
          <w:tab w:val="left" w:pos="0"/>
          <w:tab w:val="left" w:pos="426"/>
        </w:tabs>
        <w:spacing w:line="360" w:lineRule="auto"/>
        <w:ind w:left="0" w:right="49"/>
        <w:jc w:val="center"/>
        <w:rPr>
          <w:rFonts w:ascii="Palatino Linotype" w:eastAsia="MS Mincho" w:hAnsi="Palatino Linotype" w:cs="Times New Roman"/>
        </w:rPr>
      </w:pPr>
      <w:r w:rsidRPr="001515F0">
        <w:rPr>
          <w:rFonts w:ascii="Palatino Linotype" w:eastAsia="MS Mincho" w:hAnsi="Palatino Linotype" w:cs="Times New Roman"/>
          <w:noProof/>
          <w:lang w:val="es-MX" w:eastAsia="es-MX"/>
        </w:rPr>
        <w:lastRenderedPageBreak/>
        <mc:AlternateContent>
          <mc:Choice Requires="wps">
            <w:drawing>
              <wp:anchor distT="0" distB="0" distL="114300" distR="114300" simplePos="0" relativeHeight="251669504" behindDoc="0" locked="0" layoutInCell="1" allowOverlap="1" wp14:anchorId="78042ECA" wp14:editId="2C3F41EF">
                <wp:simplePos x="0" y="0"/>
                <wp:positionH relativeFrom="column">
                  <wp:posOffset>732155</wp:posOffset>
                </wp:positionH>
                <wp:positionV relativeFrom="paragraph">
                  <wp:posOffset>4451985</wp:posOffset>
                </wp:positionV>
                <wp:extent cx="4150360" cy="906145"/>
                <wp:effectExtent l="0" t="0" r="15240" b="8255"/>
                <wp:wrapNone/>
                <wp:docPr id="23" name="Marco 23"/>
                <wp:cNvGraphicFramePr/>
                <a:graphic xmlns:a="http://schemas.openxmlformats.org/drawingml/2006/main">
                  <a:graphicData uri="http://schemas.microsoft.com/office/word/2010/wordprocessingShape">
                    <wps:wsp>
                      <wps:cNvSpPr/>
                      <wps:spPr>
                        <a:xfrm>
                          <a:off x="0" y="0"/>
                          <a:ext cx="4150360" cy="906145"/>
                        </a:xfrm>
                        <a:prstGeom prst="frame">
                          <a:avLst>
                            <a:gd name="adj1" fmla="val 175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58D81" id="Marco 23" o:spid="_x0000_s1026" style="position:absolute;margin-left:57.65pt;margin-top:350.55pt;width:326.8pt;height:7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0360,90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" path="m,l4150360,r,906145l,906145,,xm15921,15921r,874303l4134439,890224r,-874303l15921,15921xe" fillcolor="red" strokecolor="red" strokeweight="1pt">
                <v:stroke joinstyle="miter"/>
                <v:path arrowok="t" o:connecttype="custom" o:connectlocs="0,0;4150360,0;4150360,906145;0,906145;0,0;15921,15921;15921,890224;4134439,890224;4134439,15921;15921,15921" o:connectangles="0,0,0,0,0,0,0,0,0,0"/>
              </v:shape>
            </w:pict>
          </mc:Fallback>
        </mc:AlternateContent>
      </w:r>
      <w:r w:rsidRPr="001515F0">
        <w:rPr>
          <w:rFonts w:ascii="Palatino Linotype" w:eastAsia="MS Mincho" w:hAnsi="Palatino Linotype" w:cs="Times New Roman"/>
          <w:noProof/>
          <w:lang w:val="es-MX" w:eastAsia="es-MX"/>
        </w:rPr>
        <mc:AlternateContent>
          <mc:Choice Requires="wps">
            <w:drawing>
              <wp:anchor distT="0" distB="0" distL="114300" distR="114300" simplePos="0" relativeHeight="251670528" behindDoc="0" locked="0" layoutInCell="1" allowOverlap="1" wp14:anchorId="3432BA4C" wp14:editId="565594EE">
                <wp:simplePos x="0" y="0"/>
                <wp:positionH relativeFrom="column">
                  <wp:posOffset>732762</wp:posOffset>
                </wp:positionH>
                <wp:positionV relativeFrom="paragraph">
                  <wp:posOffset>6400275</wp:posOffset>
                </wp:positionV>
                <wp:extent cx="4545330" cy="357505"/>
                <wp:effectExtent l="0" t="0" r="13970" b="10795"/>
                <wp:wrapNone/>
                <wp:docPr id="24" name="Marco 24"/>
                <wp:cNvGraphicFramePr/>
                <a:graphic xmlns:a="http://schemas.openxmlformats.org/drawingml/2006/main">
                  <a:graphicData uri="http://schemas.microsoft.com/office/word/2010/wordprocessingShape">
                    <wps:wsp>
                      <wps:cNvSpPr/>
                      <wps:spPr>
                        <a:xfrm>
                          <a:off x="0" y="0"/>
                          <a:ext cx="4545330" cy="357505"/>
                        </a:xfrm>
                        <a:prstGeom prst="frame">
                          <a:avLst>
                            <a:gd name="adj1" fmla="val 360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F25036" id="Marco 24" o:spid="_x0000_s1026" style="position:absolute;margin-left:57.7pt;margin-top:503.95pt;width:357.9pt;height:28.1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454533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" path="m,l4545330,r,357505l,357505,,xm12884,12884r,331737l4532446,344621r,-331737l12884,12884xe" fillcolor="red" strokecolor="red" strokeweight="1pt">
                <v:stroke joinstyle="miter"/>
                <v:path arrowok="t" o:connecttype="custom" o:connectlocs="0,0;4545330,0;4545330,357505;0,357505;0,0;12884,12884;12884,344621;4532446,344621;4532446,12884;12884,12884" o:connectangles="0,0,0,0,0,0,0,0,0,0"/>
              </v:shape>
            </w:pict>
          </mc:Fallback>
        </mc:AlternateContent>
      </w:r>
      <w:r w:rsidRPr="001515F0">
        <w:rPr>
          <w:rFonts w:ascii="Palatino Linotype" w:eastAsia="MS Mincho" w:hAnsi="Palatino Linotype" w:cs="Times New Roman"/>
          <w:noProof/>
          <w:lang w:val="es-MX" w:eastAsia="es-MX"/>
        </w:rPr>
        <w:drawing>
          <wp:inline distT="0" distB="0" distL="0" distR="0" wp14:anchorId="6AA6F630" wp14:editId="746C393D">
            <wp:extent cx="4982845" cy="690816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2845" cy="6908165"/>
                    </a:xfrm>
                    <a:prstGeom prst="rect">
                      <a:avLst/>
                    </a:prstGeom>
                  </pic:spPr>
                </pic:pic>
              </a:graphicData>
            </a:graphic>
          </wp:inline>
        </w:drawing>
      </w:r>
    </w:p>
    <w:p w14:paraId="2DB0E44B" w14:textId="53112498" w:rsidR="002321AE" w:rsidRPr="001515F0" w:rsidRDefault="002731AA" w:rsidP="002731AA">
      <w:pPr>
        <w:pStyle w:val="Prrafodelista"/>
        <w:tabs>
          <w:tab w:val="left" w:pos="0"/>
          <w:tab w:val="left" w:pos="426"/>
        </w:tabs>
        <w:spacing w:line="360" w:lineRule="auto"/>
        <w:ind w:left="0" w:right="49"/>
        <w:jc w:val="center"/>
        <w:rPr>
          <w:rFonts w:ascii="Palatino Linotype" w:eastAsia="MS Mincho" w:hAnsi="Palatino Linotype" w:cs="Times New Roman"/>
        </w:rPr>
      </w:pPr>
      <w:r w:rsidRPr="001515F0">
        <w:rPr>
          <w:rFonts w:ascii="Palatino Linotype" w:eastAsia="MS Mincho" w:hAnsi="Palatino Linotype" w:cs="Times New Roman"/>
          <w:noProof/>
          <w:lang w:val="es-MX" w:eastAsia="es-MX"/>
        </w:rPr>
        <w:lastRenderedPageBreak/>
        <mc:AlternateContent>
          <mc:Choice Requires="wps">
            <w:drawing>
              <wp:anchor distT="0" distB="0" distL="114300" distR="114300" simplePos="0" relativeHeight="251671552" behindDoc="0" locked="0" layoutInCell="1" allowOverlap="1" wp14:anchorId="3F062BDF" wp14:editId="6B8471DD">
                <wp:simplePos x="0" y="0"/>
                <wp:positionH relativeFrom="column">
                  <wp:posOffset>398283</wp:posOffset>
                </wp:positionH>
                <wp:positionV relativeFrom="paragraph">
                  <wp:posOffset>1764665</wp:posOffset>
                </wp:positionV>
                <wp:extent cx="4658995" cy="373380"/>
                <wp:effectExtent l="0" t="0" r="14605" b="7620"/>
                <wp:wrapNone/>
                <wp:docPr id="25" name="Marco 25"/>
                <wp:cNvGraphicFramePr/>
                <a:graphic xmlns:a="http://schemas.openxmlformats.org/drawingml/2006/main">
                  <a:graphicData uri="http://schemas.microsoft.com/office/word/2010/wordprocessingShape">
                    <wps:wsp>
                      <wps:cNvSpPr/>
                      <wps:spPr>
                        <a:xfrm>
                          <a:off x="0" y="0"/>
                          <a:ext cx="4658995" cy="373380"/>
                        </a:xfrm>
                        <a:prstGeom prst="frame">
                          <a:avLst>
                            <a:gd name="adj1" fmla="val 398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BC8B8F" id="Marco 25" o:spid="_x0000_s1026" style="position:absolute;margin-left:31.35pt;margin-top:138.95pt;width:366.85pt;height:29.4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4658995,37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" path="m,l4658995,r,373380l,373380,,xm14868,14868r,343644l4644127,358512r,-343644l14868,14868xe" fillcolor="red" strokecolor="red" strokeweight="1pt">
                <v:stroke joinstyle="miter"/>
                <v:path arrowok="t" o:connecttype="custom" o:connectlocs="0,0;4658995,0;4658995,373380;0,373380;0,0;14868,14868;14868,358512;4644127,358512;4644127,14868;14868,14868" o:connectangles="0,0,0,0,0,0,0,0,0,0"/>
              </v:shape>
            </w:pict>
          </mc:Fallback>
        </mc:AlternateContent>
      </w:r>
      <w:r w:rsidRPr="001515F0">
        <w:rPr>
          <w:rFonts w:ascii="Palatino Linotype" w:eastAsia="MS Mincho" w:hAnsi="Palatino Linotype" w:cs="Times New Roman"/>
          <w:noProof/>
          <w:lang w:val="es-MX" w:eastAsia="es-MX"/>
        </w:rPr>
        <w:drawing>
          <wp:inline distT="0" distB="0" distL="0" distR="0" wp14:anchorId="145ECAA1" wp14:editId="10208250">
            <wp:extent cx="5612130" cy="6906260"/>
            <wp:effectExtent l="0" t="0" r="127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6906260"/>
                    </a:xfrm>
                    <a:prstGeom prst="rect">
                      <a:avLst/>
                    </a:prstGeom>
                  </pic:spPr>
                </pic:pic>
              </a:graphicData>
            </a:graphic>
          </wp:inline>
        </w:drawing>
      </w:r>
    </w:p>
    <w:p w14:paraId="7632D0EF" w14:textId="459D5F1B" w:rsidR="002321AE" w:rsidRPr="001515F0" w:rsidRDefault="002321AE" w:rsidP="002321AE">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1515F0">
        <w:rPr>
          <w:rFonts w:ascii="Palatino Linotype" w:eastAsia="MS Mincho" w:hAnsi="Palatino Linotype" w:cs="Times New Roman"/>
        </w:rPr>
        <w:lastRenderedPageBreak/>
        <w:t>De lo anterior se aprecia que el Inventario de bienes muebles contempla los datos de ubicación,</w:t>
      </w:r>
      <w:r w:rsidR="002731AA" w:rsidRPr="001515F0">
        <w:rPr>
          <w:rFonts w:ascii="Palatino Linotype" w:eastAsia="MS Mincho" w:hAnsi="Palatino Linotype" w:cs="Times New Roman"/>
        </w:rPr>
        <w:t xml:space="preserve"> medidas y colindancias,</w:t>
      </w:r>
      <w:r w:rsidRPr="001515F0">
        <w:rPr>
          <w:rFonts w:ascii="Palatino Linotype" w:eastAsia="MS Mincho" w:hAnsi="Palatino Linotype" w:cs="Times New Roman"/>
        </w:rPr>
        <w:t xml:space="preserve"> clave catastral, </w:t>
      </w:r>
      <w:r w:rsidR="002731AA" w:rsidRPr="001515F0">
        <w:rPr>
          <w:rFonts w:ascii="Palatino Linotype" w:eastAsia="MS Mincho" w:hAnsi="Palatino Linotype" w:cs="Times New Roman"/>
        </w:rPr>
        <w:t xml:space="preserve">documentos que acreditan la posesión o propiedad </w:t>
      </w:r>
      <w:r w:rsidRPr="001515F0">
        <w:rPr>
          <w:rFonts w:ascii="Palatino Linotype" w:eastAsia="MS Mincho" w:hAnsi="Palatino Linotype" w:cs="Times New Roman"/>
        </w:rPr>
        <w:t xml:space="preserve">de cada uno de los bienes inmuebles del Ayuntamiento de </w:t>
      </w:r>
      <w:r w:rsidR="002731AA" w:rsidRPr="001515F0">
        <w:rPr>
          <w:rFonts w:ascii="Palatino Linotype" w:eastAsia="MS Mincho" w:hAnsi="Palatino Linotype" w:cs="Times New Roman"/>
        </w:rPr>
        <w:t xml:space="preserve">Huixquilucan. </w:t>
      </w:r>
    </w:p>
    <w:p w14:paraId="168649CD"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rPr>
      </w:pPr>
    </w:p>
    <w:p w14:paraId="38CA0362" w14:textId="08DDBFC2" w:rsidR="002321AE" w:rsidRPr="001515F0" w:rsidRDefault="002321AE" w:rsidP="002321AE">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1515F0">
        <w:rPr>
          <w:rFonts w:ascii="Palatino Linotype" w:eastAsia="MS Mincho" w:hAnsi="Palatino Linotype" w:cs="Times New Roman"/>
        </w:rPr>
        <w:t xml:space="preserve">Por otro lado, por cuanto hace al </w:t>
      </w:r>
      <w:r w:rsidR="002731AA" w:rsidRPr="001515F0">
        <w:rPr>
          <w:rFonts w:ascii="Palatino Linotype" w:eastAsia="MS Mincho" w:hAnsi="Palatino Linotype" w:cs="Times New Roman"/>
        </w:rPr>
        <w:t>documento que acredite la propiedad del inmueble</w:t>
      </w:r>
      <w:r w:rsidRPr="001515F0">
        <w:rPr>
          <w:rFonts w:ascii="Palatino Linotype" w:eastAsia="MS Mincho" w:hAnsi="Palatino Linotype" w:cs="Times New Roman"/>
        </w:rPr>
        <w:t xml:space="preserve">, habrá de constar </w:t>
      </w:r>
      <w:r w:rsidR="002731AA" w:rsidRPr="001515F0">
        <w:rPr>
          <w:rFonts w:ascii="Palatino Linotype" w:eastAsia="MS Mincho" w:hAnsi="Palatino Linotype" w:cs="Times New Roman"/>
        </w:rPr>
        <w:t xml:space="preserve">en </w:t>
      </w:r>
      <w:r w:rsidRPr="001515F0">
        <w:rPr>
          <w:rFonts w:ascii="Palatino Linotype" w:eastAsia="MS Mincho" w:hAnsi="Palatino Linotype" w:cs="Times New Roman"/>
        </w:rPr>
        <w:t>los expedientes individuales de cada uno de los bienes inmuebles, en virtud de que, de conformidad con el numeral 106 de los Lineamientos de Control Financiero y Administrativo para las Entidades Fiscalizables Municipales del Estado de México, para la adquisición de un bien inmueble, se deberá contar con los siguientes documentos:</w:t>
      </w:r>
    </w:p>
    <w:p w14:paraId="38F08C23"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rPr>
      </w:pPr>
    </w:p>
    <w:p w14:paraId="7F3CE3C4"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b/>
          <w:i/>
        </w:rPr>
      </w:pPr>
      <w:r w:rsidRPr="001515F0">
        <w:rPr>
          <w:rFonts w:ascii="Palatino Linotype" w:hAnsi="Palatino Linotype"/>
          <w:b/>
          <w:i/>
        </w:rPr>
        <w:t xml:space="preserve">BIENES INMUEBLES </w:t>
      </w:r>
    </w:p>
    <w:p w14:paraId="5DFADA3A"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106.</w:t>
      </w:r>
      <w:r w:rsidRPr="001515F0">
        <w:rPr>
          <w:rFonts w:ascii="Palatino Linotype" w:hAnsi="Palatino Linotype"/>
          <w:i/>
        </w:rPr>
        <w:t xml:space="preserve"> Previo a la adquisición de un inmueble, la entidad fiscalizable municipal, deberán verificar que no exista impedimento legal o material para ello, debiendo presentar al tesorero o equivalente los documentos siguientes: </w:t>
      </w:r>
    </w:p>
    <w:p w14:paraId="7B92BF01"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b/>
          <w:i/>
        </w:rPr>
      </w:pPr>
      <w:r w:rsidRPr="001515F0">
        <w:rPr>
          <w:rFonts w:ascii="Palatino Linotype" w:hAnsi="Palatino Linotype"/>
          <w:b/>
          <w:i/>
        </w:rPr>
        <w:t xml:space="preserve">a) Documento que acredite la propiedad del inmueble a favor del oferente. </w:t>
      </w:r>
    </w:p>
    <w:p w14:paraId="47B684B2"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b)</w:t>
      </w:r>
      <w:r w:rsidRPr="001515F0">
        <w:rPr>
          <w:rFonts w:ascii="Palatino Linotype" w:hAnsi="Palatino Linotype"/>
          <w:i/>
        </w:rPr>
        <w:t xml:space="preserve"> Documento en el que el oferente manifieste expresamente su intención de transmitir la propiedad a la entidad fiscalizable municipal y el costo pretendido. </w:t>
      </w:r>
    </w:p>
    <w:p w14:paraId="400D79E7"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i/>
        </w:rPr>
        <w:t xml:space="preserve">c) Constancia de régimen de propiedad. </w:t>
      </w:r>
    </w:p>
    <w:p w14:paraId="600A7991"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i/>
        </w:rPr>
        <w:t xml:space="preserve">d) Certificado de libertad de gravámenes. </w:t>
      </w:r>
    </w:p>
    <w:p w14:paraId="0CE6AA0A"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i/>
        </w:rPr>
        <w:t xml:space="preserve">e) Recibo actualizado del pago de impuesto predial. </w:t>
      </w:r>
    </w:p>
    <w:p w14:paraId="0815E680"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f)</w:t>
      </w:r>
      <w:r w:rsidRPr="001515F0">
        <w:rPr>
          <w:rFonts w:ascii="Palatino Linotype" w:hAnsi="Palatino Linotype"/>
          <w:i/>
        </w:rPr>
        <w:t xml:space="preserve"> En su caso, recibo actualizado del pago de derechos de agua potable, drenaje, alcantarillado, tratamiento y disposición de aguas residuales.</w:t>
      </w:r>
    </w:p>
    <w:p w14:paraId="4B387E10"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lastRenderedPageBreak/>
        <w:t>g)</w:t>
      </w:r>
      <w:r w:rsidRPr="001515F0">
        <w:rPr>
          <w:rFonts w:ascii="Palatino Linotype" w:hAnsi="Palatino Linotype"/>
          <w:i/>
        </w:rPr>
        <w:t xml:space="preserve"> En su caso, recibo de pago actualizado de servicios de suministro de energía eléctrica y de teléfono. </w:t>
      </w:r>
    </w:p>
    <w:p w14:paraId="5149032E"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h)</w:t>
      </w:r>
      <w:r w:rsidRPr="001515F0">
        <w:rPr>
          <w:rFonts w:ascii="Palatino Linotype" w:hAnsi="Palatino Linotype"/>
          <w:i/>
        </w:rPr>
        <w:t xml:space="preserve"> En su caso, recibo de pago de aportaciones de mejoras. </w:t>
      </w:r>
    </w:p>
    <w:p w14:paraId="790BCD9B"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i)</w:t>
      </w:r>
      <w:r w:rsidRPr="001515F0">
        <w:rPr>
          <w:rFonts w:ascii="Palatino Linotype" w:hAnsi="Palatino Linotype"/>
          <w:i/>
        </w:rPr>
        <w:t xml:space="preserve"> Plano topográfico del terreno y arquitectónico de las construcciones. </w:t>
      </w:r>
    </w:p>
    <w:p w14:paraId="54DBA19A"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j)</w:t>
      </w:r>
      <w:r w:rsidRPr="001515F0">
        <w:rPr>
          <w:rFonts w:ascii="Palatino Linotype" w:hAnsi="Palatino Linotype"/>
          <w:i/>
        </w:rPr>
        <w:t xml:space="preserve"> Planos estructurales de instalaciones comunes y especiales, en caso de que existan. </w:t>
      </w:r>
    </w:p>
    <w:p w14:paraId="08D3792D"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k)</w:t>
      </w:r>
      <w:r w:rsidRPr="001515F0">
        <w:rPr>
          <w:rFonts w:ascii="Palatino Linotype" w:hAnsi="Palatino Linotype"/>
          <w:i/>
        </w:rPr>
        <w:t xml:space="preserve"> Dictamen de seguridad estructural emitido por perito en la materia. </w:t>
      </w:r>
    </w:p>
    <w:p w14:paraId="33DC59DD"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i/>
        </w:rPr>
      </w:pPr>
      <w:r w:rsidRPr="001515F0">
        <w:rPr>
          <w:rFonts w:ascii="Palatino Linotype" w:hAnsi="Palatino Linotype"/>
          <w:b/>
          <w:i/>
        </w:rPr>
        <w:t>1)</w:t>
      </w:r>
      <w:r w:rsidRPr="001515F0">
        <w:rPr>
          <w:rFonts w:ascii="Palatino Linotype" w:hAnsi="Palatino Linotype"/>
          <w:i/>
        </w:rPr>
        <w:t xml:space="preserve"> Avalúo emitido por el Instituto de Información e Investigación Geográfica, Estadística y Catastral del Estado de México. </w:t>
      </w:r>
    </w:p>
    <w:p w14:paraId="277034B3"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rPr>
      </w:pPr>
      <w:r w:rsidRPr="001515F0">
        <w:rPr>
          <w:rFonts w:ascii="Palatino Linotype" w:hAnsi="Palatino Linotype"/>
          <w:b/>
          <w:i/>
        </w:rPr>
        <w:t>m)</w:t>
      </w:r>
      <w:r w:rsidRPr="001515F0">
        <w:rPr>
          <w:rFonts w:ascii="Palatino Linotype" w:hAnsi="Palatino Linotype"/>
          <w:i/>
        </w:rPr>
        <w:t xml:space="preserve"> Las demás relativas que se consideren necesarias para constatar la situación jurídica del inmueble.</w:t>
      </w:r>
    </w:p>
    <w:p w14:paraId="16A28076" w14:textId="77777777" w:rsidR="002321AE" w:rsidRPr="001515F0" w:rsidRDefault="002321AE" w:rsidP="002321AE">
      <w:pPr>
        <w:pStyle w:val="Prrafodelista"/>
        <w:tabs>
          <w:tab w:val="left" w:pos="0"/>
          <w:tab w:val="left" w:pos="426"/>
        </w:tabs>
        <w:spacing w:line="276" w:lineRule="auto"/>
        <w:ind w:left="567" w:right="567"/>
        <w:jc w:val="both"/>
        <w:rPr>
          <w:rFonts w:ascii="Palatino Linotype" w:hAnsi="Palatino Linotype"/>
        </w:rPr>
      </w:pPr>
      <w:r w:rsidRPr="001515F0">
        <w:rPr>
          <w:rFonts w:ascii="Palatino Linotype" w:hAnsi="Palatino Linotype"/>
        </w:rPr>
        <w:t>(Énfasis añadido)</w:t>
      </w:r>
    </w:p>
    <w:p w14:paraId="7326E2A4" w14:textId="77777777" w:rsidR="002321AE" w:rsidRPr="001515F0" w:rsidRDefault="002321AE" w:rsidP="002321AE">
      <w:pPr>
        <w:pStyle w:val="Prrafodelista"/>
        <w:tabs>
          <w:tab w:val="left" w:pos="0"/>
          <w:tab w:val="left" w:pos="426"/>
        </w:tabs>
        <w:spacing w:line="360" w:lineRule="auto"/>
        <w:ind w:left="0" w:right="49"/>
        <w:jc w:val="both"/>
        <w:rPr>
          <w:rFonts w:ascii="Palatino Linotype" w:eastAsia="MS Mincho" w:hAnsi="Palatino Linotype" w:cs="Times New Roman"/>
        </w:rPr>
      </w:pPr>
    </w:p>
    <w:p w14:paraId="2DE22ED3" w14:textId="3D740FAD" w:rsidR="002F011C" w:rsidRPr="001515F0" w:rsidRDefault="002321AE" w:rsidP="002F011C">
      <w:pPr>
        <w:pStyle w:val="Prrafodelista"/>
        <w:numPr>
          <w:ilvl w:val="0"/>
          <w:numId w:val="1"/>
        </w:numPr>
        <w:tabs>
          <w:tab w:val="left" w:pos="0"/>
          <w:tab w:val="left" w:pos="426"/>
        </w:tabs>
        <w:spacing w:line="360" w:lineRule="auto"/>
        <w:ind w:left="0" w:right="49" w:firstLine="0"/>
        <w:jc w:val="both"/>
        <w:rPr>
          <w:rFonts w:ascii="Palatino Linotype" w:eastAsia="MS Mincho" w:hAnsi="Palatino Linotype" w:cs="Times New Roman"/>
        </w:rPr>
      </w:pPr>
      <w:r w:rsidRPr="001515F0">
        <w:rPr>
          <w:rFonts w:ascii="Palatino Linotype" w:eastAsia="MS Mincho" w:hAnsi="Palatino Linotype" w:cs="Times New Roman"/>
        </w:rPr>
        <w:t xml:space="preserve">En consecuencia, el </w:t>
      </w:r>
      <w:r w:rsidRPr="001515F0">
        <w:rPr>
          <w:rFonts w:ascii="Palatino Linotype" w:eastAsia="MS Mincho" w:hAnsi="Palatino Linotype" w:cs="Times New Roman"/>
          <w:b/>
        </w:rPr>
        <w:t>SUJETO OBLIGADO</w:t>
      </w:r>
      <w:r w:rsidRPr="001515F0">
        <w:rPr>
          <w:rFonts w:ascii="Palatino Linotype" w:eastAsia="MS Mincho" w:hAnsi="Palatino Linotype" w:cs="Times New Roman"/>
        </w:rPr>
        <w:t xml:space="preserve"> deberá hacer entrega</w:t>
      </w:r>
      <w:r w:rsidR="002F011C" w:rsidRPr="001515F0">
        <w:rPr>
          <w:rFonts w:ascii="Palatino Linotype" w:eastAsia="MS Mincho" w:hAnsi="Palatino Linotype" w:cs="Times New Roman"/>
        </w:rPr>
        <w:t>, en versión pública,</w:t>
      </w:r>
      <w:r w:rsidRPr="001515F0">
        <w:rPr>
          <w:rFonts w:ascii="Palatino Linotype" w:eastAsia="MS Mincho" w:hAnsi="Palatino Linotype" w:cs="Times New Roman"/>
        </w:rPr>
        <w:t xml:space="preserve"> de </w:t>
      </w:r>
      <w:r w:rsidR="002F011C" w:rsidRPr="001515F0">
        <w:rPr>
          <w:rFonts w:ascii="Palatino Linotype" w:eastAsia="MS Mincho" w:hAnsi="Palatino Linotype" w:cs="Times New Roman"/>
        </w:rPr>
        <w:t xml:space="preserve">los inmuebles propiedad del Ayuntamiento descritos en el párrafo 40 de la presente resolución, los documentos donde conste: las </w:t>
      </w:r>
      <w:r w:rsidR="002F011C" w:rsidRPr="001515F0">
        <w:rPr>
          <w:rFonts w:ascii="Palatino Linotype" w:hAnsi="Palatino Linotype"/>
          <w:iCs/>
          <w:color w:val="000000"/>
        </w:rPr>
        <w:t>medidas y colindancias, claves catastrales, con los cuales se acredita la propiedad de todos los inmuebles referidos;</w:t>
      </w:r>
      <w:r w:rsidR="002F011C" w:rsidRPr="001515F0">
        <w:rPr>
          <w:rFonts w:ascii="Palatino Linotype" w:eastAsia="MS Mincho" w:hAnsi="Palatino Linotype" w:cs="Times New Roman"/>
        </w:rPr>
        <w:t xml:space="preserve"> </w:t>
      </w:r>
      <w:r w:rsidR="002F011C" w:rsidRPr="001515F0">
        <w:rPr>
          <w:rFonts w:ascii="Palatino Linotype" w:hAnsi="Palatino Linotype"/>
          <w:iCs/>
          <w:color w:val="000000"/>
        </w:rPr>
        <w:t>croquis o plano manzanero y fotografías del estado actual.</w:t>
      </w:r>
    </w:p>
    <w:p w14:paraId="1CBE5BB4" w14:textId="77777777" w:rsidR="002F011C" w:rsidRPr="001515F0" w:rsidRDefault="002F011C" w:rsidP="002F011C">
      <w:pPr>
        <w:tabs>
          <w:tab w:val="left" w:pos="426"/>
        </w:tabs>
        <w:spacing w:line="360" w:lineRule="auto"/>
        <w:ind w:right="49"/>
        <w:contextualSpacing/>
        <w:jc w:val="both"/>
        <w:rPr>
          <w:rFonts w:ascii="Palatino Linotype" w:eastAsia="MS Mincho" w:hAnsi="Palatino Linotype"/>
          <w:lang w:val="es-ES_tradnl" w:eastAsia="es-ES"/>
        </w:rPr>
      </w:pPr>
    </w:p>
    <w:p w14:paraId="4DD0BA11" w14:textId="77777777" w:rsidR="002F011C" w:rsidRPr="001515F0" w:rsidRDefault="002F011C" w:rsidP="002F011C">
      <w:pPr>
        <w:keepNext/>
        <w:keepLines/>
        <w:tabs>
          <w:tab w:val="left" w:pos="0"/>
        </w:tabs>
        <w:spacing w:line="360" w:lineRule="auto"/>
        <w:outlineLvl w:val="0"/>
        <w:rPr>
          <w:rFonts w:ascii="Palatino Linotype" w:eastAsia="MS Gothic" w:hAnsi="Palatino Linotype"/>
          <w:b/>
          <w:szCs w:val="26"/>
        </w:rPr>
      </w:pPr>
      <w:bookmarkStart w:id="129" w:name="_Toc26502567"/>
      <w:r w:rsidRPr="001515F0">
        <w:rPr>
          <w:rFonts w:ascii="Palatino Linotype" w:eastAsia="MS Gothic" w:hAnsi="Palatino Linotype"/>
          <w:b/>
          <w:szCs w:val="26"/>
        </w:rPr>
        <w:t>SEXTO. De la Versión Pública.</w:t>
      </w:r>
      <w:bookmarkEnd w:id="129"/>
      <w:r w:rsidRPr="001515F0">
        <w:rPr>
          <w:rFonts w:ascii="Palatino Linotype" w:eastAsia="MS Gothic" w:hAnsi="Palatino Linotype"/>
          <w:b/>
          <w:szCs w:val="26"/>
        </w:rPr>
        <w:t xml:space="preserve"> </w:t>
      </w:r>
    </w:p>
    <w:p w14:paraId="5B7F086C" w14:textId="77777777" w:rsidR="002F011C" w:rsidRPr="001515F0" w:rsidRDefault="002F011C" w:rsidP="002F011C">
      <w:pPr>
        <w:pStyle w:val="Prrafodelista"/>
        <w:tabs>
          <w:tab w:val="left" w:pos="0"/>
        </w:tabs>
        <w:spacing w:line="360" w:lineRule="auto"/>
        <w:ind w:left="0" w:right="49"/>
        <w:jc w:val="both"/>
        <w:rPr>
          <w:rFonts w:ascii="Palatino Linotype" w:eastAsia="MS Mincho" w:hAnsi="Palatino Linotype" w:cs="Times New Roman"/>
          <w:lang w:val="es-ES"/>
        </w:rPr>
      </w:pPr>
    </w:p>
    <w:p w14:paraId="337306CE" w14:textId="77777777" w:rsidR="002F011C" w:rsidRPr="001515F0" w:rsidRDefault="002F011C" w:rsidP="002F011C">
      <w:pPr>
        <w:pStyle w:val="Prrafodelista"/>
        <w:numPr>
          <w:ilvl w:val="0"/>
          <w:numId w:val="1"/>
        </w:numPr>
        <w:tabs>
          <w:tab w:val="left" w:pos="426"/>
        </w:tabs>
        <w:spacing w:line="360" w:lineRule="auto"/>
        <w:ind w:left="0" w:right="49" w:firstLine="0"/>
        <w:jc w:val="both"/>
        <w:rPr>
          <w:rFonts w:ascii="Palatino Linotype" w:eastAsia="Times New Roman" w:hAnsi="Palatino Linotype" w:cs="Arial"/>
          <w:color w:val="000000"/>
        </w:rPr>
      </w:pPr>
      <w:r w:rsidRPr="001515F0">
        <w:rPr>
          <w:rFonts w:ascii="Palatino Linotype" w:eastAsia="Times New Roman" w:hAnsi="Palatino Linotype" w:cs="Arial"/>
          <w:color w:val="000000"/>
        </w:rPr>
        <w:t>Debe destacarse que, debido a la naturaleza de la información solicitada</w:t>
      </w:r>
      <w:r w:rsidRPr="001515F0">
        <w:rPr>
          <w:rFonts w:ascii="Palatino Linotype" w:eastAsia="Times New Roman" w:hAnsi="Palatino Linotype" w:cs="Arial"/>
          <w:b/>
          <w:color w:val="000000"/>
        </w:rPr>
        <w:t xml:space="preserve">, </w:t>
      </w:r>
      <w:r w:rsidRPr="001515F0">
        <w:rPr>
          <w:rFonts w:ascii="Palatino Linotype" w:eastAsia="Times New Roman" w:hAnsi="Palatino Linotype" w:cs="Arial"/>
          <w:color w:val="000000"/>
        </w:rPr>
        <w:t xml:space="preserve">eventualmente pudieran obrar datos personales susceptibles de protegerse, y toda vez que este Instituto de Transparencia, Acceso a la Información Pública y Protección de Datos Personales del Estado de México tiene el deber de velar por la </w:t>
      </w:r>
      <w:r w:rsidRPr="001515F0">
        <w:rPr>
          <w:rFonts w:ascii="Palatino Linotype" w:eastAsia="Times New Roman" w:hAnsi="Palatino Linotype" w:cs="Arial"/>
          <w:color w:val="000000"/>
        </w:rPr>
        <w:lastRenderedPageBreak/>
        <w:t xml:space="preserve">protección de los datos personales aun tratándose de servidores públicos y en su caso generar la </w:t>
      </w:r>
      <w:r w:rsidRPr="001515F0">
        <w:rPr>
          <w:rFonts w:ascii="Palatino Linotype" w:eastAsia="Times New Roman" w:hAnsi="Palatino Linotype" w:cs="Arial"/>
          <w:b/>
          <w:color w:val="000000"/>
          <w:u w:val="single"/>
        </w:rPr>
        <w:t>versión pública</w:t>
      </w:r>
      <w:r w:rsidRPr="001515F0">
        <w:rPr>
          <w:rFonts w:ascii="Palatino Linotype" w:eastAsia="Times New Roman" w:hAnsi="Palatino Linotype" w:cs="Arial"/>
          <w:color w:val="000000"/>
        </w:rPr>
        <w:t xml:space="preserve"> de los documentos por las consideraciones que se estimen pertinentes.</w:t>
      </w:r>
    </w:p>
    <w:p w14:paraId="5ED8D211" w14:textId="77777777" w:rsidR="002F011C" w:rsidRPr="001515F0" w:rsidRDefault="002F011C" w:rsidP="002F011C">
      <w:pPr>
        <w:pStyle w:val="Prrafodelista"/>
        <w:tabs>
          <w:tab w:val="left" w:pos="0"/>
        </w:tabs>
        <w:spacing w:line="360" w:lineRule="auto"/>
        <w:ind w:left="0" w:right="49"/>
        <w:jc w:val="both"/>
        <w:rPr>
          <w:rFonts w:ascii="Palatino Linotype" w:eastAsia="MS Mincho" w:hAnsi="Palatino Linotype" w:cs="Times New Roman"/>
          <w:lang w:val="es-ES"/>
        </w:rPr>
      </w:pPr>
    </w:p>
    <w:p w14:paraId="3EFFD016" w14:textId="77777777" w:rsidR="002F011C" w:rsidRPr="001515F0" w:rsidRDefault="002F011C" w:rsidP="002F011C">
      <w:pPr>
        <w:numPr>
          <w:ilvl w:val="0"/>
          <w:numId w:val="1"/>
        </w:numPr>
        <w:tabs>
          <w:tab w:val="left" w:pos="426"/>
        </w:tabs>
        <w:spacing w:line="360" w:lineRule="auto"/>
        <w:ind w:left="0" w:right="49" w:firstLine="0"/>
        <w:contextualSpacing/>
        <w:jc w:val="both"/>
        <w:rPr>
          <w:rFonts w:ascii="Palatino Linotype" w:hAnsi="Palatino Linotype" w:cs="Arial"/>
          <w:color w:val="000000"/>
        </w:rPr>
      </w:pPr>
      <w:r w:rsidRPr="001515F0">
        <w:rPr>
          <w:rFonts w:ascii="Palatino Linotype" w:hAnsi="Palatino Linotype" w:cs="Arial"/>
          <w:color w:val="000000"/>
        </w:rPr>
        <w:t xml:space="preserve">La </w:t>
      </w:r>
      <w:r w:rsidRPr="001515F0">
        <w:rPr>
          <w:rFonts w:ascii="Palatino Linotype" w:hAnsi="Palatino Linotype" w:cs="Arial"/>
          <w:color w:val="000000"/>
          <w:lang w:val="es-ES_tradnl"/>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515F0">
        <w:rPr>
          <w:rFonts w:ascii="Palatino Linotype" w:hAnsi="Palatino Linotype" w:cs="Arial"/>
          <w:color w:val="000000"/>
          <w:vertAlign w:val="superscript"/>
          <w:lang w:val="es-ES_tradnl"/>
        </w:rPr>
        <w:footnoteReference w:id="1"/>
      </w:r>
      <w:r w:rsidRPr="001515F0">
        <w:rPr>
          <w:rFonts w:ascii="Palatino Linotype" w:hAnsi="Palatino Linotype" w:cs="Arial"/>
          <w:color w:val="000000"/>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1515F0">
        <w:rPr>
          <w:rFonts w:ascii="Palatino Linotype" w:hAnsi="Palatino Linotype" w:cs="Arial"/>
          <w:color w:val="000000"/>
          <w:vertAlign w:val="superscript"/>
          <w:lang w:val="es-ES_tradnl"/>
        </w:rPr>
        <w:footnoteReference w:id="2"/>
      </w:r>
      <w:r w:rsidRPr="001515F0">
        <w:rPr>
          <w:rFonts w:ascii="Palatino Linotype" w:hAnsi="Palatino Linotype" w:cs="Arial"/>
          <w:color w:val="000000"/>
          <w:lang w:val="es-ES_tradnl"/>
        </w:rPr>
        <w:t xml:space="preserve"> En este caso, la clasificación total o parcial de la información es un </w:t>
      </w:r>
      <w:r w:rsidRPr="001515F0">
        <w:rPr>
          <w:rFonts w:ascii="Palatino Linotype" w:hAnsi="Palatino Linotype" w:cs="Arial"/>
          <w:color w:val="000000"/>
          <w:lang w:val="es-ES_tradnl"/>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6DEA3C5"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563DBD38"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El </w:t>
      </w:r>
      <w:r w:rsidRPr="001515F0">
        <w:rPr>
          <w:rFonts w:ascii="Palatino Linotype" w:eastAsia="MS Mincho" w:hAnsi="Palatino Linotype" w:cs="Arial"/>
          <w:lang w:val="es-ES_tradnl"/>
        </w:rPr>
        <w:t>grave problema que enfrentamos en general, radica en que los acuerdos de clasificación de la información que emiten los Sujetos Obligados, siguen sin observar los requisitos, tanto por la complejidad del procedimiento como por la falta de atención de los operadores jurídicos.</w:t>
      </w:r>
    </w:p>
    <w:p w14:paraId="1990E28A"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664F8FC3" w14:textId="77777777" w:rsidR="002F011C" w:rsidRPr="001515F0" w:rsidRDefault="002F011C" w:rsidP="002F011C">
      <w:pPr>
        <w:pStyle w:val="Ttulo3"/>
        <w:rPr>
          <w:rFonts w:ascii="Palatino Linotype" w:eastAsia="MS Mincho" w:hAnsi="Palatino Linotype" w:cs="Arial"/>
          <w:b/>
          <w:color w:val="auto"/>
        </w:rPr>
      </w:pPr>
      <w:bookmarkStart w:id="130" w:name="_Toc26502568"/>
      <w:r w:rsidRPr="001515F0">
        <w:rPr>
          <w:rFonts w:ascii="Palatino Linotype" w:eastAsia="MS Mincho" w:hAnsi="Palatino Linotype" w:cs="Arial"/>
          <w:b/>
          <w:color w:val="auto"/>
        </w:rPr>
        <w:t>I. Requisitos previos.</w:t>
      </w:r>
      <w:bookmarkEnd w:id="130"/>
    </w:p>
    <w:p w14:paraId="154B1E8F"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7DE00AF1"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Los </w:t>
      </w:r>
      <w:r w:rsidRPr="001515F0">
        <w:rPr>
          <w:rFonts w:ascii="Palatino Linotype" w:eastAsia="MS Mincho" w:hAnsi="Palatino Linotype" w:cs="Arial"/>
          <w:lang w:val="es-ES_tradnl"/>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w:t>
      </w:r>
      <w:r w:rsidRPr="001515F0">
        <w:rPr>
          <w:rFonts w:ascii="Palatino Linotype" w:eastAsia="MS Mincho" w:hAnsi="Palatino Linotype" w:cs="Arial"/>
          <w:u w:val="single"/>
          <w:lang w:val="es-ES_tradnl"/>
        </w:rPr>
        <w:t xml:space="preserve">son los </w:t>
      </w:r>
      <w:r w:rsidRPr="001515F0">
        <w:rPr>
          <w:rFonts w:ascii="Palatino Linotype" w:eastAsia="MS Mincho" w:hAnsi="Palatino Linotype" w:cs="Arial"/>
          <w:b/>
          <w:u w:val="single"/>
          <w:lang w:val="es-ES_tradnl"/>
        </w:rPr>
        <w:t>titulares de las áreas</w:t>
      </w:r>
      <w:r w:rsidRPr="001515F0">
        <w:rPr>
          <w:rFonts w:ascii="Palatino Linotype" w:eastAsia="MS Mincho" w:hAnsi="Palatino Linotype" w:cs="Arial"/>
          <w:u w:val="single"/>
          <w:lang w:val="es-ES_tradnl"/>
        </w:rPr>
        <w:t xml:space="preserve"> que administran la información los que aprueban su clasificación y no el Comité de Transparencia</w:t>
      </w:r>
      <w:r w:rsidRPr="001515F0">
        <w:rPr>
          <w:rFonts w:ascii="Palatino Linotype" w:eastAsia="MS Mincho" w:hAnsi="Palatino Linotype" w:cs="Arial"/>
          <w:lang w:val="es-ES_tradnl"/>
        </w:rPr>
        <w:t xml:space="preserve">. Al hacerlo tienen que precisar de qué información se trata (nombre, registro federal de contribuyentes, edad, fotografía, entre otros) que forme parte de algún documento o el documento que se pretende reservar (contrato, licencia, </w:t>
      </w:r>
      <w:r w:rsidRPr="001515F0">
        <w:rPr>
          <w:rFonts w:ascii="Palatino Linotype" w:eastAsia="MS Mincho" w:hAnsi="Palatino Linotype" w:cs="Arial"/>
          <w:lang w:val="es-ES_tradnl"/>
        </w:rPr>
        <w:lastRenderedPageBreak/>
        <w:t>póliza, entre otros), señalando el supuesto de clasificación (confidencialidad o reserva).</w:t>
      </w:r>
    </w:p>
    <w:p w14:paraId="1710CC32"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7A764B64"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Además, </w:t>
      </w:r>
      <w:r w:rsidRPr="001515F0">
        <w:rPr>
          <w:rFonts w:ascii="Palatino Linotype" w:eastAsia="MS Mincho" w:hAnsi="Palatino Linotype" w:cs="Arial"/>
          <w:lang w:val="es-ES_tradnl"/>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como en el caso concreto, porque se va a generar una versión pública para cumplir con sus obligaciones.</w:t>
      </w:r>
    </w:p>
    <w:p w14:paraId="27372222"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09252DEC"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El </w:t>
      </w:r>
      <w:r w:rsidRPr="001515F0">
        <w:rPr>
          <w:rFonts w:ascii="Palatino Linotype" w:eastAsia="MS Mincho" w:hAnsi="Palatino Linotype" w:cs="Arial"/>
          <w:lang w:val="es-ES_tradnl"/>
        </w:rPr>
        <w:t xml:space="preserve">último de estos requisitos previos consiste en que no se pueden emitir acuerdos de carácter general ni particular, según lo disponen los artículos 134 y 108 de la Ley Estatal y de la Ley General, respectivamente, esto es, </w:t>
      </w:r>
      <w:r w:rsidRPr="001515F0">
        <w:rPr>
          <w:rFonts w:ascii="Palatino Linotype" w:eastAsia="MS Mincho" w:hAnsi="Palatino Linotype" w:cs="Arial"/>
          <w:b/>
          <w:u w:val="single"/>
          <w:lang w:val="es-ES_tradnl"/>
        </w:rPr>
        <w:t>no se puede hacer un acuerdo para clasificar de manera general todos los documentos de un expediente</w:t>
      </w:r>
      <w:r w:rsidRPr="001515F0">
        <w:rPr>
          <w:rFonts w:ascii="Palatino Linotype" w:eastAsia="MS Mincho" w:hAnsi="Palatino Linotype" w:cs="Arial"/>
          <w:lang w:val="es-ES_tradnl"/>
        </w:rPr>
        <w:t xml:space="preserve"> o área, sin individualizar su análisis y tampoco se puede hacer un acuerdo por cada dato que se vaya a clasificar dentro de un documento con diez datos, por ejemplo, susceptibles de ser clasificados.</w:t>
      </w:r>
    </w:p>
    <w:p w14:paraId="725F79B8"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53CD7085" w14:textId="77777777" w:rsidR="002F011C" w:rsidRPr="001515F0" w:rsidRDefault="002F011C" w:rsidP="002F011C">
      <w:pPr>
        <w:pStyle w:val="Ttulo3"/>
        <w:rPr>
          <w:rFonts w:ascii="Palatino Linotype" w:eastAsia="MS Mincho" w:hAnsi="Palatino Linotype" w:cs="Arial"/>
          <w:b/>
          <w:color w:val="auto"/>
        </w:rPr>
      </w:pPr>
      <w:bookmarkStart w:id="131" w:name="_Toc26502569"/>
      <w:r w:rsidRPr="001515F0">
        <w:rPr>
          <w:rFonts w:ascii="Palatino Linotype" w:eastAsia="MS Mincho" w:hAnsi="Palatino Linotype" w:cs="Arial"/>
          <w:b/>
          <w:color w:val="auto"/>
        </w:rPr>
        <w:t>II. Supuestos de clasificación.</w:t>
      </w:r>
      <w:bookmarkEnd w:id="131"/>
    </w:p>
    <w:p w14:paraId="0B626EB8"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5A3E387F"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lastRenderedPageBreak/>
        <w:t xml:space="preserve">Las </w:t>
      </w:r>
      <w:r w:rsidRPr="001515F0">
        <w:rPr>
          <w:rFonts w:ascii="Palatino Linotype" w:eastAsia="MS Mincho" w:hAnsi="Palatino Linotype" w:cs="Arial"/>
          <w:lang w:val="es-ES_tradnl"/>
        </w:rPr>
        <w:t>disposiciones constitucionales y legales en la materia establecen los dos supuestos generales para clasificar la información: por reserva y por confidencialidad.</w:t>
      </w:r>
    </w:p>
    <w:p w14:paraId="200A4E0F"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46615AD5"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Los </w:t>
      </w:r>
      <w:r w:rsidRPr="001515F0">
        <w:rPr>
          <w:rFonts w:ascii="Palatino Linotype" w:eastAsia="MS Mincho" w:hAnsi="Palatino Linotype" w:cs="Arial"/>
          <w:lang w:val="es-ES_tradnl"/>
        </w:rPr>
        <w:t>artículos 143 y 116 de la Ley Estatal y de la Ley General, respectivamente, señalan los supuestos para que la información pueda ser clasificada como confidencial:</w:t>
      </w:r>
    </w:p>
    <w:p w14:paraId="1FE67EDD"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689DA3D2" w14:textId="77777777" w:rsidR="002F011C" w:rsidRPr="001515F0" w:rsidRDefault="002F011C" w:rsidP="002F011C">
      <w:pPr>
        <w:pStyle w:val="Sinespaciado"/>
        <w:ind w:left="567" w:right="567"/>
        <w:jc w:val="both"/>
        <w:rPr>
          <w:rFonts w:ascii="Palatino Linotype" w:hAnsi="Palatino Linotype" w:cs="Times"/>
          <w:i/>
        </w:rPr>
      </w:pPr>
      <w:r w:rsidRPr="001515F0">
        <w:rPr>
          <w:rFonts w:ascii="Palatino Linotype" w:hAnsi="Palatino Linotype"/>
          <w:b/>
          <w:bCs/>
          <w:i/>
        </w:rPr>
        <w:t>“I.</w:t>
      </w:r>
      <w:r w:rsidRPr="001515F0">
        <w:rPr>
          <w:rFonts w:ascii="Palatino Linotype" w:hAnsi="Palatino Linotype"/>
          <w:bCs/>
          <w:i/>
        </w:rPr>
        <w:t xml:space="preserve"> </w:t>
      </w:r>
      <w:r w:rsidRPr="001515F0">
        <w:rPr>
          <w:rFonts w:ascii="Palatino Linotype" w:hAnsi="Palatino Linotype"/>
          <w:i/>
        </w:rPr>
        <w:t xml:space="preserve">Se refiera a la información privada y los datos personales concernientes a una persona física o jurídico colectiva identificada o identificable; </w:t>
      </w:r>
    </w:p>
    <w:p w14:paraId="02A2B0B2" w14:textId="77777777" w:rsidR="002F011C" w:rsidRPr="001515F0" w:rsidRDefault="002F011C" w:rsidP="002F011C">
      <w:pPr>
        <w:pStyle w:val="Sinespaciado"/>
        <w:ind w:left="567" w:right="567"/>
        <w:jc w:val="both"/>
        <w:rPr>
          <w:rFonts w:ascii="Palatino Linotype" w:hAnsi="Palatino Linotype" w:cs="Times"/>
          <w:i/>
        </w:rPr>
      </w:pPr>
      <w:r w:rsidRPr="001515F0">
        <w:rPr>
          <w:rFonts w:ascii="Palatino Linotype" w:hAnsi="Palatino Linotype"/>
          <w:b/>
          <w:bCs/>
          <w:i/>
        </w:rPr>
        <w:t>II.</w:t>
      </w:r>
      <w:r w:rsidRPr="001515F0">
        <w:rPr>
          <w:rFonts w:ascii="Palatino Linotype" w:hAnsi="Palatino Linotype"/>
          <w:bCs/>
          <w:i/>
        </w:rPr>
        <w:t xml:space="preserve"> </w:t>
      </w:r>
      <w:r w:rsidRPr="001515F0">
        <w:rPr>
          <w:rFonts w:ascii="Palatino Linotype" w:hAnsi="Palatino Linotype"/>
          <w:i/>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6614461" w14:textId="77777777" w:rsidR="002F011C" w:rsidRPr="001515F0" w:rsidRDefault="002F011C" w:rsidP="002F011C">
      <w:pPr>
        <w:pStyle w:val="Sinespaciado"/>
        <w:ind w:left="567" w:right="567"/>
        <w:jc w:val="both"/>
        <w:rPr>
          <w:rFonts w:ascii="Palatino Linotype" w:hAnsi="Palatino Linotype" w:cs="Times"/>
          <w:i/>
        </w:rPr>
      </w:pPr>
      <w:r w:rsidRPr="001515F0">
        <w:rPr>
          <w:rFonts w:ascii="Palatino Linotype" w:hAnsi="Palatino Linotype"/>
          <w:b/>
          <w:bCs/>
          <w:i/>
        </w:rPr>
        <w:t>III.</w:t>
      </w:r>
      <w:r w:rsidRPr="001515F0">
        <w:rPr>
          <w:rFonts w:ascii="Palatino Linotype" w:hAnsi="Palatino Linotype"/>
          <w:bCs/>
          <w:i/>
        </w:rPr>
        <w:t xml:space="preserve"> </w:t>
      </w:r>
      <w:r w:rsidRPr="001515F0">
        <w:rPr>
          <w:rFonts w:ascii="Palatino Linotype" w:hAnsi="Palatino Linotype"/>
          <w:i/>
        </w:rPr>
        <w:t xml:space="preserve">La que presenten los particulares a los sujetos obligados, de conformidad con lo dispuesto por las leyes o los tratados internacionales. </w:t>
      </w:r>
    </w:p>
    <w:p w14:paraId="4C88FB0E" w14:textId="77777777" w:rsidR="002F011C" w:rsidRPr="001515F0" w:rsidRDefault="002F011C" w:rsidP="002F011C">
      <w:pPr>
        <w:pStyle w:val="Sinespaciado"/>
        <w:ind w:left="567" w:right="567"/>
        <w:jc w:val="both"/>
        <w:rPr>
          <w:rFonts w:ascii="Palatino Linotype" w:hAnsi="Palatino Linotype"/>
          <w:i/>
        </w:rPr>
      </w:pPr>
      <w:r w:rsidRPr="001515F0">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14:paraId="3E14334F" w14:textId="77777777" w:rsidR="002F011C" w:rsidRPr="001515F0" w:rsidRDefault="002F011C" w:rsidP="002F011C">
      <w:pPr>
        <w:pStyle w:val="Sinespaciado"/>
        <w:ind w:left="567" w:right="567"/>
        <w:jc w:val="both"/>
        <w:rPr>
          <w:rFonts w:ascii="Palatino Linotype" w:hAnsi="Palatino Linotype" w:cs="Arial"/>
        </w:rPr>
      </w:pPr>
      <w:r w:rsidRPr="001515F0">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14:paraId="280134C5"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51521F97"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Mientras </w:t>
      </w:r>
      <w:r w:rsidRPr="001515F0">
        <w:rPr>
          <w:rFonts w:ascii="Palatino Linotype" w:eastAsia="MS Mincho" w:hAnsi="Palatino Linotype" w:cs="Arial"/>
          <w:lang w:val="es-ES_tradnl"/>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692BC45"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564D89CB"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Como </w:t>
      </w:r>
      <w:r w:rsidRPr="001515F0">
        <w:rPr>
          <w:rFonts w:ascii="Palatino Linotype" w:eastAsia="MS Mincho" w:hAnsi="Palatino Linotype" w:cs="Arial"/>
          <w:lang w:val="es-ES_tradnl"/>
        </w:rPr>
        <w:t xml:space="preserve">consecuencia de lo anterior, el </w:t>
      </w:r>
      <w:r w:rsidRPr="001515F0">
        <w:rPr>
          <w:rFonts w:ascii="Palatino Linotype" w:eastAsia="MS Mincho" w:hAnsi="Palatino Linotype" w:cs="Arial"/>
          <w:b/>
          <w:lang w:val="es-ES_tradnl"/>
        </w:rPr>
        <w:t>SUJETO OBLIGADO</w:t>
      </w:r>
      <w:r w:rsidRPr="001515F0">
        <w:rPr>
          <w:rFonts w:ascii="Palatino Linotype" w:eastAsia="MS Mincho" w:hAnsi="Palatino Linotype" w:cs="Arial"/>
          <w:lang w:val="es-ES_tradnl"/>
        </w:rPr>
        <w:t xml:space="preserve"> debe identificar claramente el tipo de información y hacer un juicio de subsunción o encaje</w:t>
      </w:r>
      <w:r w:rsidRPr="001515F0">
        <w:rPr>
          <w:rFonts w:ascii="Palatino Linotype" w:eastAsia="MS Mincho" w:hAnsi="Palatino Linotype" w:cs="Arial"/>
          <w:vertAlign w:val="superscript"/>
          <w:lang w:val="es-ES_tradnl"/>
        </w:rPr>
        <w:footnoteReference w:id="3"/>
      </w:r>
      <w:r w:rsidRPr="001515F0">
        <w:rPr>
          <w:rFonts w:ascii="Palatino Linotype" w:eastAsia="MS Mincho" w:hAnsi="Palatino Linotype" w:cs="Arial"/>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77AC0BB5"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1E4A0C3A"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Una </w:t>
      </w:r>
      <w:r w:rsidRPr="001515F0">
        <w:rPr>
          <w:rFonts w:ascii="Palatino Linotype" w:eastAsia="MS Mincho" w:hAnsi="Palatino Linotype" w:cs="Arial"/>
          <w:lang w:val="es-ES_tradnl"/>
        </w:rPr>
        <w:t>vez hecho lo anterior, se remite la información al Titular de la Unidad de Transparencia, con el acuerdo de clasificación correspondiente, para que sea sometido al conocimiento del Comité de Transparencia.</w:t>
      </w:r>
    </w:p>
    <w:p w14:paraId="19C3CF16"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07EC3372" w14:textId="77777777" w:rsidR="002F011C" w:rsidRPr="001515F0" w:rsidRDefault="002F011C" w:rsidP="002F011C">
      <w:pPr>
        <w:pStyle w:val="Ttulo1"/>
        <w:rPr>
          <w:rFonts w:eastAsia="MS Mincho" w:cs="Arial"/>
          <w:b/>
          <w:szCs w:val="24"/>
        </w:rPr>
      </w:pPr>
      <w:bookmarkStart w:id="132" w:name="_Toc26502570"/>
      <w:r w:rsidRPr="001515F0">
        <w:rPr>
          <w:rFonts w:eastAsia="MS Mincho" w:cs="Arial"/>
          <w:b/>
          <w:szCs w:val="24"/>
        </w:rPr>
        <w:t>III. La intervención del Comité de Transparencia.</w:t>
      </w:r>
      <w:bookmarkEnd w:id="132"/>
    </w:p>
    <w:p w14:paraId="0B7E5596"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b/>
        </w:rPr>
      </w:pPr>
      <w:r w:rsidRPr="001515F0">
        <w:rPr>
          <w:rFonts w:ascii="Palatino Linotype" w:eastAsia="MS Mincho" w:hAnsi="Palatino Linotype" w:cs="Arial"/>
          <w:b/>
        </w:rPr>
        <w:t>a) Formalidades para emitir el Acuerdo de Clasificación.</w:t>
      </w:r>
    </w:p>
    <w:p w14:paraId="08A625AD"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69000A94"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El </w:t>
      </w:r>
      <w:r w:rsidRPr="001515F0">
        <w:rPr>
          <w:rFonts w:ascii="Palatino Linotype" w:eastAsia="MS Mincho" w:hAnsi="Palatino Linotype" w:cs="Arial"/>
          <w:lang w:val="es-ES_tradnl"/>
        </w:rPr>
        <w:t xml:space="preserve">Comité de Transparencia, según lo dispuesto en los artículos 128 y 103 de la Ley Estatal y de la Ley General, respectivamente, y la fracción III del numeral Segundo de los </w:t>
      </w:r>
      <w:r w:rsidRPr="001515F0">
        <w:rPr>
          <w:rFonts w:ascii="Palatino Linotype" w:eastAsia="MS Mincho" w:hAnsi="Palatino Linotype" w:cs="Arial"/>
          <w:i/>
          <w:lang w:val="es-ES_tradnl"/>
        </w:rPr>
        <w:t>Lineamientos Generales en Materia de Clasificación y Desclasificación de la Información, así como para la Elaboración de Versiones Públicas</w:t>
      </w:r>
      <w:r w:rsidRPr="001515F0">
        <w:rPr>
          <w:rFonts w:ascii="Palatino Linotype" w:eastAsia="MS Mincho" w:hAnsi="Palatino Linotype" w:cs="Arial"/>
          <w:lang w:val="es-ES_tradnl"/>
        </w:rPr>
        <w:t xml:space="preserve">, en adelante los Lineamientos Generales, cuenta con las facultades para </w:t>
      </w:r>
      <w:r w:rsidRPr="001515F0">
        <w:rPr>
          <w:rFonts w:ascii="Palatino Linotype" w:eastAsia="MS Mincho" w:hAnsi="Palatino Linotype" w:cs="Arial"/>
          <w:b/>
          <w:u w:val="single"/>
          <w:lang w:val="es-ES_tradnl"/>
        </w:rPr>
        <w:t>confirmar, modificar o revocar</w:t>
      </w:r>
      <w:r w:rsidRPr="001515F0">
        <w:rPr>
          <w:rFonts w:ascii="Palatino Linotype" w:eastAsia="MS Mincho" w:hAnsi="Palatino Linotype" w:cs="Arial"/>
          <w:lang w:val="es-ES_tradnl"/>
        </w:rPr>
        <w:t xml:space="preserve"> la clasificación de la información que ha hecho el titular del área que administra la información. Por lo tanto, el Comité </w:t>
      </w:r>
      <w:r w:rsidRPr="001515F0">
        <w:rPr>
          <w:rFonts w:ascii="Palatino Linotype" w:eastAsia="MS Mincho" w:hAnsi="Palatino Linotype" w:cs="Arial"/>
          <w:b/>
          <w:u w:val="single"/>
          <w:lang w:val="es-ES_tradnl"/>
        </w:rPr>
        <w:t>no aprueba</w:t>
      </w:r>
      <w:r w:rsidRPr="001515F0">
        <w:rPr>
          <w:rFonts w:ascii="Palatino Linotype" w:eastAsia="MS Mincho" w:hAnsi="Palatino Linotype" w:cs="Arial"/>
          <w:lang w:val="es-ES_tradnl"/>
        </w:rPr>
        <w:t xml:space="preserve"> la clasificación, sino que revisa lo que ha hecho el titular del área y confirma, modifica o revoca la decisión a través de un acuerdo.</w:t>
      </w:r>
    </w:p>
    <w:p w14:paraId="41A2BA77"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1AD833E2"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Evidentemente, </w:t>
      </w:r>
      <w:r w:rsidRPr="001515F0">
        <w:rPr>
          <w:rFonts w:ascii="Palatino Linotype" w:eastAsia="MS Mincho" w:hAnsi="Palatino Linotype" w:cs="Arial"/>
          <w:lang w:val="es-ES_tradnl"/>
        </w:rPr>
        <w:t xml:space="preserve">esta decisión implica una restricción a un derecho humano, por lo tanto, puede generar un agravio a la particular y, en consecuencia, es necesario que </w:t>
      </w:r>
      <w:r w:rsidRPr="001515F0">
        <w:rPr>
          <w:rFonts w:ascii="Palatino Linotype" w:eastAsia="MS Mincho" w:hAnsi="Palatino Linotype" w:cs="Arial"/>
          <w:b/>
          <w:u w:val="single"/>
          <w:lang w:val="es-ES_tradnl"/>
        </w:rPr>
        <w:t>el acto reúna con los requisitos elementales</w:t>
      </w:r>
      <w:r w:rsidRPr="001515F0">
        <w:rPr>
          <w:rFonts w:ascii="Palatino Linotype" w:eastAsia="MS Mincho" w:hAnsi="Palatino Linotype" w:cs="Arial"/>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1515F0">
        <w:rPr>
          <w:rFonts w:ascii="Palatino Linotype" w:eastAsia="MS Mincho" w:hAnsi="Palatino Linotype" w:cs="Arial"/>
          <w:lang w:val="es-ES_tradnl"/>
        </w:rPr>
        <w:lastRenderedPageBreak/>
        <w:t>composición del Comité puede generar vicios de legalidad de origen en el acto que restringe un derecho humano.</w:t>
      </w:r>
    </w:p>
    <w:p w14:paraId="734B37F8"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27AF2140"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La </w:t>
      </w:r>
      <w:r w:rsidRPr="001515F0">
        <w:rPr>
          <w:rFonts w:ascii="Palatino Linotype" w:eastAsia="MS Mincho" w:hAnsi="Palatino Linotype" w:cs="Arial"/>
          <w:lang w:val="es-ES_tradnl"/>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049B6D58"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59BE7B52"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b/>
        </w:rPr>
      </w:pPr>
      <w:r w:rsidRPr="001515F0">
        <w:rPr>
          <w:rFonts w:ascii="Palatino Linotype" w:eastAsia="MS Mincho" w:hAnsi="Palatino Linotype" w:cs="Arial"/>
          <w:b/>
        </w:rPr>
        <w:t>b) Requisitos de fondo del Acuerdo de Clasificación.</w:t>
      </w:r>
    </w:p>
    <w:p w14:paraId="7B8DD506"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0B323806"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Como </w:t>
      </w:r>
      <w:r w:rsidRPr="001515F0">
        <w:rPr>
          <w:rFonts w:ascii="Palatino Linotype" w:eastAsia="MS Mincho" w:hAnsi="Palatino Linotype" w:cs="Arial"/>
          <w:lang w:val="es-ES_tradnl"/>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w:t>
      </w:r>
      <w:r w:rsidRPr="001515F0">
        <w:rPr>
          <w:rFonts w:ascii="Palatino Linotype" w:eastAsia="MS Mincho" w:hAnsi="Palatino Linotype" w:cs="Arial"/>
          <w:b/>
          <w:lang w:val="es-ES_tradnl"/>
        </w:rPr>
        <w:t>fundar y motivar debidamente la clasificación.</w:t>
      </w:r>
    </w:p>
    <w:p w14:paraId="209C06F0"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1CC2E6FA"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De </w:t>
      </w:r>
      <w:r w:rsidRPr="001515F0">
        <w:rPr>
          <w:rFonts w:ascii="Palatino Linotype" w:eastAsia="MS Mincho" w:hAnsi="Palatino Linotype" w:cs="Arial"/>
          <w:lang w:val="es-ES_tradnl"/>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C23CABA"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04252D79"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Han </w:t>
      </w:r>
      <w:r w:rsidRPr="001515F0">
        <w:rPr>
          <w:rFonts w:ascii="Palatino Linotype" w:eastAsia="MS Mincho" w:hAnsi="Palatino Linotype" w:cs="Arial"/>
          <w:lang w:val="es-ES_tradnl"/>
        </w:rPr>
        <w:t xml:space="preserve">sido vastos los estudios doctrinarios relativos a estos derechos fundamentales y al principio de legalidad en ellos contenidos; como ejemplo, el procesalista José Ovalle Fabela, en su obra “Garantías Constitucionales del Proceso”, refiere que </w:t>
      </w:r>
      <w:r w:rsidRPr="001515F0">
        <w:rPr>
          <w:rFonts w:ascii="Palatino Linotype" w:eastAsia="MS Mincho" w:hAnsi="Palatino Linotype" w:cs="Arial"/>
          <w:i/>
          <w:lang w:val="es-ES_tradnl"/>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1515F0">
        <w:rPr>
          <w:rFonts w:ascii="Palatino Linotype" w:eastAsia="MS Mincho" w:hAnsi="Palatino Linotype" w:cs="Arial"/>
          <w:i/>
          <w:vertAlign w:val="superscript"/>
          <w:lang w:val="es-ES_tradnl"/>
        </w:rPr>
        <w:footnoteReference w:id="4"/>
      </w:r>
    </w:p>
    <w:p w14:paraId="214E1DA7"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4CD446F7"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lastRenderedPageBreak/>
        <w:t xml:space="preserve">Por </w:t>
      </w:r>
      <w:r w:rsidRPr="001515F0">
        <w:rPr>
          <w:rFonts w:ascii="Palatino Linotype" w:eastAsia="MS Mincho" w:hAnsi="Palatino Linotype" w:cs="Arial"/>
          <w:lang w:val="es-ES_tradnl"/>
        </w:rPr>
        <w:t>su parte, el intérprete judicial del país ha establecido una jurisprudencia respecto a qué debe entenderse por fundamentación y motivación, en los siguientes términos:</w:t>
      </w:r>
    </w:p>
    <w:p w14:paraId="06B34D85"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27B1AE5A" w14:textId="77777777" w:rsidR="002F011C" w:rsidRPr="001515F0" w:rsidRDefault="002F011C" w:rsidP="002F011C">
      <w:pPr>
        <w:pStyle w:val="Sinespaciado"/>
        <w:ind w:left="567" w:right="567"/>
        <w:jc w:val="both"/>
        <w:rPr>
          <w:rFonts w:ascii="Palatino Linotype" w:hAnsi="Palatino Linotype"/>
          <w:i/>
        </w:rPr>
      </w:pPr>
      <w:r w:rsidRPr="001515F0">
        <w:rPr>
          <w:rFonts w:ascii="Palatino Linotype" w:hAnsi="Palatino Linotype"/>
          <w:b/>
          <w:i/>
        </w:rPr>
        <w:t>FUNDAMENTACIÓN Y MOTIVACIÓN.</w:t>
      </w:r>
      <w:r w:rsidRPr="001515F0">
        <w:rPr>
          <w:rFonts w:ascii="Palatino Linotype" w:hAnsi="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67A6DA9" w14:textId="77777777" w:rsidR="002F011C" w:rsidRPr="001515F0" w:rsidRDefault="002F011C" w:rsidP="002F011C">
      <w:pPr>
        <w:pStyle w:val="Sinespaciado"/>
        <w:ind w:left="567" w:right="567"/>
        <w:jc w:val="both"/>
        <w:rPr>
          <w:rFonts w:ascii="Palatino Linotype" w:hAnsi="Palatino Linotype"/>
          <w:b/>
          <w:i/>
        </w:rPr>
      </w:pPr>
      <w:r w:rsidRPr="001515F0">
        <w:rPr>
          <w:rFonts w:ascii="Palatino Linotype" w:hAnsi="Palatino Linotype"/>
          <w:b/>
          <w:i/>
        </w:rPr>
        <w:t>SEGUNDO TRIBUNAL COLEGIADO DEL SEXTO CIRCUITO.</w:t>
      </w:r>
    </w:p>
    <w:p w14:paraId="01CDEABA" w14:textId="77777777" w:rsidR="002F011C" w:rsidRPr="001515F0" w:rsidRDefault="002F011C" w:rsidP="002F011C">
      <w:pPr>
        <w:pStyle w:val="Sinespaciado"/>
        <w:ind w:left="567" w:right="567"/>
        <w:jc w:val="both"/>
        <w:rPr>
          <w:rFonts w:ascii="Palatino Linotype" w:hAnsi="Palatino Linotype"/>
          <w:i/>
        </w:rPr>
      </w:pPr>
      <w:r w:rsidRPr="001515F0">
        <w:rPr>
          <w:rFonts w:ascii="Palatino Linotype" w:hAnsi="Palatino Linotype"/>
          <w:i/>
        </w:rPr>
        <w:t>Amparo directo 194/88. Bufete Industrial Construcciones, S.A. de C.V. 28 de junio de 1988. Unanimidad de votos. Ponente: Gustavo Calvillo Rangel. Secretario: Jorge Alberto González Álvarez.</w:t>
      </w:r>
    </w:p>
    <w:p w14:paraId="53B29E7C" w14:textId="77777777" w:rsidR="002F011C" w:rsidRPr="001515F0" w:rsidRDefault="002F011C" w:rsidP="002F011C">
      <w:pPr>
        <w:pStyle w:val="Sinespaciado"/>
        <w:ind w:left="567" w:right="567"/>
        <w:jc w:val="both"/>
        <w:rPr>
          <w:rFonts w:ascii="Palatino Linotype" w:hAnsi="Palatino Linotype"/>
          <w:i/>
        </w:rPr>
      </w:pPr>
      <w:r w:rsidRPr="001515F0">
        <w:rPr>
          <w:rFonts w:ascii="Palatino Linotype" w:hAnsi="Palatino Linotype"/>
          <w:i/>
        </w:rPr>
        <w:t>Revisión fiscal 103/88. Instituto Mexicano del Seguro Social. 18 de octubre de 1988. Unanimidad de votos. Ponente: Arnoldo Nájera Virgen. Secretario: Alejandro Esponda Rincón.</w:t>
      </w:r>
    </w:p>
    <w:p w14:paraId="0676EEBE" w14:textId="77777777" w:rsidR="002F011C" w:rsidRPr="001515F0" w:rsidRDefault="002F011C" w:rsidP="002F011C">
      <w:pPr>
        <w:pStyle w:val="Sinespaciado"/>
        <w:ind w:left="567" w:right="567"/>
        <w:jc w:val="both"/>
        <w:rPr>
          <w:rFonts w:ascii="Palatino Linotype" w:hAnsi="Palatino Linotype"/>
          <w:i/>
        </w:rPr>
      </w:pPr>
      <w:r w:rsidRPr="001515F0">
        <w:rPr>
          <w:rFonts w:ascii="Palatino Linotype" w:hAnsi="Palatino Linotype"/>
          <w:i/>
        </w:rPr>
        <w:t>Amparo en revisión 333/88. Adilia Romero. 26 de octubre de 1988. Unanimidad de votos. Ponente: Arnoldo Nájera Virgen. Secretario: Enrique Crispín Campos Ramírez.</w:t>
      </w:r>
    </w:p>
    <w:p w14:paraId="1BB1A486" w14:textId="77777777" w:rsidR="002F011C" w:rsidRPr="001515F0" w:rsidRDefault="002F011C" w:rsidP="002F011C">
      <w:pPr>
        <w:pStyle w:val="Sinespaciado"/>
        <w:ind w:left="567" w:right="567"/>
        <w:jc w:val="both"/>
        <w:rPr>
          <w:rFonts w:ascii="Palatino Linotype" w:hAnsi="Palatino Linotype"/>
          <w:i/>
        </w:rPr>
      </w:pPr>
      <w:r w:rsidRPr="001515F0">
        <w:rPr>
          <w:rFonts w:ascii="Palatino Linotype" w:hAnsi="Palatino Linotype"/>
          <w:i/>
        </w:rPr>
        <w:t>Amparo en revisión 597/95. Emilio Maurer Bretón. 15 de noviembre de 1995. Unanimidad de votos. Ponente: Clementina Ramírez Moguel Goyzueta. Secretario: Gonzalo Carrera Molina.</w:t>
      </w:r>
    </w:p>
    <w:p w14:paraId="090176AF" w14:textId="77777777" w:rsidR="002F011C" w:rsidRPr="001515F0" w:rsidRDefault="002F011C" w:rsidP="002F011C">
      <w:pPr>
        <w:pStyle w:val="Sinespaciado"/>
        <w:ind w:left="567" w:right="567"/>
        <w:jc w:val="both"/>
        <w:rPr>
          <w:rFonts w:ascii="Palatino Linotype" w:hAnsi="Palatino Linotype"/>
        </w:rPr>
      </w:pPr>
      <w:r w:rsidRPr="001515F0">
        <w:rPr>
          <w:rFonts w:ascii="Palatino Linotype" w:hAnsi="Palatino Linotype"/>
          <w:i/>
        </w:rPr>
        <w:t xml:space="preserve">Amparo directo 7/96. Pedro Vicente López Miro. 21 de febrero de 1996. Unanimidad de votos. Ponente: María Eugenia Estela Martínez Cardiel. Secretario: Enrique </w:t>
      </w:r>
      <w:proofErr w:type="spellStart"/>
      <w:r w:rsidRPr="001515F0">
        <w:rPr>
          <w:rFonts w:ascii="Palatino Linotype" w:hAnsi="Palatino Linotype"/>
          <w:i/>
        </w:rPr>
        <w:t>Baigts</w:t>
      </w:r>
      <w:proofErr w:type="spellEnd"/>
      <w:r w:rsidRPr="001515F0">
        <w:rPr>
          <w:rFonts w:ascii="Palatino Linotype" w:hAnsi="Palatino Linotype"/>
          <w:i/>
        </w:rPr>
        <w:t xml:space="preserve"> Muñoz.</w:t>
      </w:r>
    </w:p>
    <w:p w14:paraId="1832CE6D"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7025DD92"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Así, </w:t>
      </w:r>
      <w:r w:rsidRPr="001515F0">
        <w:rPr>
          <w:rFonts w:ascii="Palatino Linotype" w:eastAsia="MS Mincho" w:hAnsi="Palatino Linotype" w:cs="Arial"/>
          <w:lang w:val="es-ES_tradnl"/>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7B23028"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09EE7422"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lastRenderedPageBreak/>
        <w:t xml:space="preserve">En </w:t>
      </w:r>
      <w:r w:rsidRPr="001515F0">
        <w:rPr>
          <w:rFonts w:ascii="Palatino Linotype" w:eastAsia="MS Mincho" w:hAnsi="Palatino Linotype" w:cs="Arial"/>
          <w:lang w:val="es-ES_tradnl"/>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BE9EABC"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77DEF27B"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En </w:t>
      </w:r>
      <w:r w:rsidRPr="001515F0">
        <w:rPr>
          <w:rFonts w:ascii="Palatino Linotype" w:eastAsia="MS Mincho" w:hAnsi="Palatino Linotype" w:cs="Arial"/>
          <w:lang w:val="es-ES_tradnl"/>
        </w:rPr>
        <w:t>ese mismo sentido, el numeral trigésimo tercero fracción V de los Lineamientos Generales, precisa que para motivar la clasificación se deben acreditar las circunstancias de tiempo, modo y lugar.</w:t>
      </w:r>
    </w:p>
    <w:p w14:paraId="3F093DC3"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60933D07"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Asimismo, </w:t>
      </w:r>
      <w:r w:rsidRPr="001515F0">
        <w:rPr>
          <w:rFonts w:ascii="Palatino Linotype" w:eastAsia="MS Mincho" w:hAnsi="Palatino Linotype" w:cs="Arial"/>
          <w:b/>
          <w:u w:val="single"/>
          <w:lang w:val="es-ES_tradnl"/>
        </w:rPr>
        <w:t>para cada caso además de fundar y motivar</w:t>
      </w:r>
      <w:r w:rsidRPr="001515F0">
        <w:rPr>
          <w:rFonts w:ascii="Palatino Linotype" w:eastAsia="MS Mincho" w:hAnsi="Palatino Linotype" w:cs="Arial"/>
          <w:lang w:val="es-ES_tradn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1515F0">
        <w:rPr>
          <w:rFonts w:ascii="Palatino Linotype" w:eastAsia="MS Mincho" w:hAnsi="Palatino Linotype" w:cs="Arial"/>
          <w:vertAlign w:val="superscript"/>
          <w:lang w:val="es-ES_tradnl"/>
        </w:rPr>
        <w:footnoteReference w:id="5"/>
      </w:r>
      <w:r w:rsidRPr="001515F0">
        <w:rPr>
          <w:rFonts w:ascii="Palatino Linotype" w:eastAsia="MS Mincho" w:hAnsi="Palatino Linotype" w:cs="Arial"/>
          <w:lang w:val="es-ES_tradnl"/>
        </w:rPr>
        <w:t xml:space="preserve"> del servidor público que no tienen ninguna injerencia en el tema de la transparencia y la rendición de cuentas, por ejemplo, </w:t>
      </w:r>
      <w:r w:rsidRPr="001515F0">
        <w:rPr>
          <w:rFonts w:ascii="Palatino Linotype" w:eastAsia="MS Mincho" w:hAnsi="Palatino Linotype" w:cs="Arial"/>
          <w:lang w:val="es-ES"/>
        </w:rPr>
        <w:t xml:space="preserve">Clave Única de Registro de Población (CURP), </w:t>
      </w:r>
      <w:r w:rsidRPr="001515F0">
        <w:rPr>
          <w:rFonts w:ascii="Palatino Linotype" w:eastAsia="MS Mincho" w:hAnsi="Palatino Linotype" w:cs="Arial"/>
          <w:b/>
          <w:lang w:val="es-ES"/>
        </w:rPr>
        <w:t>Registro Federal de Contribuyentes (R.F.C.)</w:t>
      </w:r>
      <w:r w:rsidRPr="001515F0">
        <w:rPr>
          <w:rFonts w:ascii="Palatino Linotype" w:eastAsia="MS Mincho" w:hAnsi="Palatino Linotype" w:cs="Arial"/>
          <w:lang w:val="es-ES"/>
        </w:rPr>
        <w:t xml:space="preserve">, </w:t>
      </w:r>
      <w:r w:rsidRPr="001515F0">
        <w:rPr>
          <w:rFonts w:ascii="Palatino Linotype" w:eastAsia="MS Mincho" w:hAnsi="Palatino Linotype" w:cs="Arial"/>
          <w:b/>
          <w:lang w:val="es-ES"/>
        </w:rPr>
        <w:t>Número de Seguridad Social</w:t>
      </w:r>
      <w:r w:rsidRPr="001515F0">
        <w:rPr>
          <w:rFonts w:ascii="Palatino Linotype" w:eastAsia="MS Mincho" w:hAnsi="Palatino Linotype" w:cs="Arial"/>
          <w:lang w:val="es-ES"/>
        </w:rPr>
        <w:t xml:space="preserve">, clave de Cadenas Originales del Sellos Digitales y los Códigos Bidimensionales, también </w:t>
      </w:r>
      <w:r w:rsidRPr="001515F0">
        <w:rPr>
          <w:rFonts w:ascii="Palatino Linotype" w:eastAsia="MS Mincho" w:hAnsi="Palatino Linotype" w:cs="Arial"/>
          <w:lang w:val="es-ES"/>
        </w:rPr>
        <w:lastRenderedPageBreak/>
        <w:t>denominados Códigos QR, son datos susceptibles de clasificarse como confidenciales mediante una versión pública que deje a la vista los datos que ofrezcan la información requerida.</w:t>
      </w:r>
    </w:p>
    <w:p w14:paraId="0B99118F"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0A435087"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Otro </w:t>
      </w:r>
      <w:r w:rsidRPr="001515F0">
        <w:rPr>
          <w:rFonts w:ascii="Palatino Linotype" w:eastAsia="MS Mincho" w:hAnsi="Palatino Linotype" w:cs="Arial"/>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374F9A6"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499A2E65"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De </w:t>
      </w:r>
      <w:r w:rsidRPr="001515F0">
        <w:rPr>
          <w:rFonts w:ascii="Palatino Linotype" w:eastAsia="MS Mincho" w:hAnsi="Palatino Linotype" w:cs="Arial"/>
          <w:lang w:val="es-ES_tradnl"/>
        </w:rPr>
        <w:t xml:space="preserve">las </w:t>
      </w:r>
      <w:r w:rsidRPr="001515F0">
        <w:rPr>
          <w:rFonts w:ascii="Palatino Linotype" w:eastAsia="MS Mincho" w:hAnsi="Palatino Linotype" w:cs="Arial"/>
          <w:lang w:val="es-ES"/>
        </w:rPr>
        <w:t>consideraciones señaladas, los Sujetos Obligados deberán de elaborar las</w:t>
      </w:r>
      <w:r w:rsidRPr="001515F0">
        <w:rPr>
          <w:rFonts w:ascii="Palatino Linotype" w:eastAsia="MS Mincho" w:hAnsi="Palatino Linotype" w:cs="Arial"/>
          <w:lang w:val="es-ES_tradnl"/>
        </w:rPr>
        <w:t xml:space="preserve"> versiones públicas respecto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w:t>
      </w:r>
    </w:p>
    <w:p w14:paraId="3AF2B168"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0B8CBF06" w14:textId="77777777" w:rsidR="002F011C" w:rsidRPr="001515F0" w:rsidRDefault="002F011C" w:rsidP="002F011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rPr>
      </w:pPr>
      <w:r w:rsidRPr="001515F0">
        <w:rPr>
          <w:rFonts w:ascii="Palatino Linotype" w:eastAsia="MS Mincho" w:hAnsi="Palatino Linotype" w:cs="Arial"/>
        </w:rPr>
        <w:t xml:space="preserve">Por </w:t>
      </w:r>
      <w:r w:rsidRPr="001515F0">
        <w:rPr>
          <w:rFonts w:ascii="Palatino Linotype" w:eastAsia="MS Mincho" w:hAnsi="Palatino Linotype" w:cs="Arial"/>
          <w:lang w:val="es-ES"/>
        </w:rPr>
        <w:t xml:space="preserve">lo anteriormente expuesto, resultan fundadas las razones o motivos de </w:t>
      </w:r>
      <w:r w:rsidRPr="001515F0">
        <w:rPr>
          <w:rFonts w:ascii="Palatino Linotype" w:eastAsia="MS Mincho" w:hAnsi="Palatino Linotype" w:cs="Arial"/>
          <w:lang w:val="es-ES_tradnl"/>
        </w:rPr>
        <w:t xml:space="preserve">inconformidad hechos valer por el </w:t>
      </w:r>
      <w:r w:rsidRPr="001515F0">
        <w:rPr>
          <w:rFonts w:ascii="Palatino Linotype" w:eastAsia="MS Mincho" w:hAnsi="Palatino Linotype" w:cs="Arial"/>
          <w:b/>
          <w:lang w:val="es-ES_tradnl"/>
        </w:rPr>
        <w:t>RECURRENTE</w:t>
      </w:r>
      <w:r w:rsidRPr="001515F0">
        <w:rPr>
          <w:rFonts w:ascii="Palatino Linotype" w:eastAsia="MS Mincho" w:hAnsi="Palatino Linotype" w:cs="Arial"/>
          <w:lang w:val="es-ES_tradnl"/>
        </w:rPr>
        <w:t>, toda vez que se actualizan las hipótesis de procedencia</w:t>
      </w:r>
      <w:r w:rsidRPr="001515F0">
        <w:rPr>
          <w:rFonts w:ascii="Palatino Linotype" w:eastAsia="MS Mincho" w:hAnsi="Palatino Linotype" w:cs="Arial"/>
          <w:b/>
          <w:lang w:val="es-ES_tradnl"/>
        </w:rPr>
        <w:t xml:space="preserve"> </w:t>
      </w:r>
      <w:r w:rsidRPr="001515F0">
        <w:rPr>
          <w:rFonts w:ascii="Palatino Linotype" w:eastAsia="MS Mincho" w:hAnsi="Palatino Linotype" w:cs="Arial"/>
          <w:lang w:val="es-ES_tradnl"/>
        </w:rPr>
        <w:t xml:space="preserve">contenidas en </w:t>
      </w:r>
      <w:r w:rsidRPr="001515F0">
        <w:rPr>
          <w:rFonts w:ascii="Palatino Linotype" w:eastAsia="MS Mincho" w:hAnsi="Palatino Linotype" w:cs="Arial"/>
          <w:lang w:val="es-ES"/>
        </w:rPr>
        <w:t xml:space="preserve">el artículo 179, fracciones V y XIII de la </w:t>
      </w:r>
      <w:r w:rsidRPr="001515F0">
        <w:rPr>
          <w:rFonts w:ascii="Palatino Linotype" w:eastAsia="MS Mincho" w:hAnsi="Palatino Linotype" w:cs="Arial"/>
          <w:b/>
          <w:lang w:val="es-ES"/>
        </w:rPr>
        <w:t>Ley de Transparencia y Acceso a la Información Pública del Estado de México y Municipios</w:t>
      </w:r>
      <w:r w:rsidRPr="001515F0">
        <w:rPr>
          <w:rFonts w:ascii="Palatino Linotype" w:eastAsia="MS Mincho" w:hAnsi="Palatino Linotype" w:cs="Arial"/>
          <w:lang w:val="es-ES"/>
        </w:rPr>
        <w:t>.</w:t>
      </w:r>
    </w:p>
    <w:p w14:paraId="3188ED4C" w14:textId="77777777" w:rsidR="002F011C" w:rsidRPr="001515F0" w:rsidRDefault="002F011C" w:rsidP="002F011C">
      <w:pPr>
        <w:tabs>
          <w:tab w:val="left" w:pos="0"/>
          <w:tab w:val="left" w:pos="426"/>
        </w:tabs>
        <w:spacing w:line="360" w:lineRule="auto"/>
        <w:ind w:right="49"/>
        <w:contextualSpacing/>
        <w:jc w:val="both"/>
        <w:rPr>
          <w:rFonts w:ascii="Palatino Linotype" w:eastAsia="MS Mincho" w:hAnsi="Palatino Linotype" w:cs="Arial"/>
        </w:rPr>
      </w:pPr>
    </w:p>
    <w:p w14:paraId="6D044536" w14:textId="77777777" w:rsidR="002F011C" w:rsidRPr="001515F0" w:rsidRDefault="002F011C" w:rsidP="002F011C">
      <w:pPr>
        <w:pStyle w:val="Prrafodelista"/>
        <w:numPr>
          <w:ilvl w:val="0"/>
          <w:numId w:val="1"/>
        </w:numPr>
        <w:tabs>
          <w:tab w:val="left" w:pos="426"/>
        </w:tabs>
        <w:spacing w:line="360" w:lineRule="auto"/>
        <w:ind w:left="0" w:firstLine="0"/>
        <w:jc w:val="both"/>
        <w:rPr>
          <w:rFonts w:ascii="Palatino Linotype" w:hAnsi="Palatino Linotype" w:cs="Arial"/>
          <w:color w:val="000000" w:themeColor="text1"/>
        </w:rPr>
      </w:pPr>
      <w:r w:rsidRPr="001515F0">
        <w:rPr>
          <w:rFonts w:ascii="Palatino Linotype" w:hAnsi="Palatino Linotype" w:cs="Arial"/>
          <w:color w:val="000000" w:themeColor="text1"/>
        </w:rPr>
        <w:t xml:space="preserve">Por lo anteriormente expuesto y fundado, y con fundamento este </w:t>
      </w:r>
      <w:r w:rsidRPr="001515F0">
        <w:rPr>
          <w:rFonts w:ascii="Palatino Linotype" w:hAnsi="Palatino Linotype" w:cs="Arial"/>
          <w:b/>
          <w:color w:val="000000" w:themeColor="text1"/>
        </w:rPr>
        <w:t>ÓRGANO GARANTE</w:t>
      </w:r>
      <w:r w:rsidRPr="001515F0">
        <w:rPr>
          <w:rFonts w:ascii="Palatino Linotype" w:hAnsi="Palatino Linotype" w:cs="Arial"/>
          <w:color w:val="000000" w:themeColor="text1"/>
        </w:rPr>
        <w:t xml:space="preserve"> emite los siguientes:</w:t>
      </w:r>
    </w:p>
    <w:p w14:paraId="4D993150" w14:textId="77777777" w:rsidR="002F011C" w:rsidRPr="001515F0" w:rsidRDefault="002F011C" w:rsidP="002F011C">
      <w:pPr>
        <w:pStyle w:val="Ttulo1"/>
        <w:jc w:val="center"/>
        <w:rPr>
          <w:rFonts w:eastAsia="Times New Roman"/>
          <w:b/>
          <w:szCs w:val="24"/>
          <w:lang w:val="es-ES_tradnl" w:eastAsia="es-ES"/>
        </w:rPr>
      </w:pPr>
      <w:bookmarkStart w:id="133" w:name="_Toc26502571"/>
      <w:r w:rsidRPr="001515F0">
        <w:rPr>
          <w:rFonts w:eastAsia="Times New Roman"/>
          <w:b/>
          <w:szCs w:val="24"/>
          <w:lang w:val="es-ES_tradnl" w:eastAsia="es-ES"/>
        </w:rPr>
        <w:t>R E S O L U T I V O S</w:t>
      </w:r>
      <w:bookmarkEnd w:id="133"/>
    </w:p>
    <w:p w14:paraId="0905B537" w14:textId="77777777" w:rsidR="002F011C" w:rsidRPr="001515F0" w:rsidRDefault="002F011C" w:rsidP="002F011C">
      <w:pPr>
        <w:tabs>
          <w:tab w:val="left" w:pos="0"/>
        </w:tabs>
        <w:spacing w:line="360" w:lineRule="auto"/>
        <w:jc w:val="center"/>
        <w:rPr>
          <w:lang w:val="es-ES_tradnl" w:eastAsia="es-ES"/>
        </w:rPr>
      </w:pPr>
    </w:p>
    <w:p w14:paraId="3B05A8B7" w14:textId="4E98FA44" w:rsidR="002F011C" w:rsidRPr="001515F0" w:rsidRDefault="002F011C" w:rsidP="002F011C">
      <w:pPr>
        <w:spacing w:line="360" w:lineRule="auto"/>
        <w:jc w:val="both"/>
        <w:rPr>
          <w:rFonts w:ascii="Palatino Linotype" w:hAnsi="Palatino Linotype"/>
          <w:lang w:val="es-ES_tradnl" w:eastAsia="es-ES"/>
        </w:rPr>
      </w:pPr>
      <w:r w:rsidRPr="001515F0">
        <w:rPr>
          <w:rFonts w:ascii="Palatino Linotype" w:hAnsi="Palatino Linotype" w:cs="Arial"/>
          <w:b/>
          <w:lang w:val="es-ES_tradnl" w:eastAsia="es-ES"/>
        </w:rPr>
        <w:t xml:space="preserve">PRIMERO. </w:t>
      </w:r>
      <w:r w:rsidRPr="001515F0">
        <w:rPr>
          <w:rFonts w:ascii="Palatino Linotype" w:hAnsi="Palatino Linotype" w:cs="Arial"/>
          <w:lang w:val="es-ES_tradnl" w:eastAsia="es-ES"/>
        </w:rPr>
        <w:t>Resultan fundadas las</w:t>
      </w:r>
      <w:r w:rsidRPr="001515F0">
        <w:rPr>
          <w:rFonts w:ascii="Palatino Linotype" w:hAnsi="Palatino Linotype" w:cs="Arial"/>
          <w:b/>
          <w:lang w:val="es-ES_tradnl" w:eastAsia="es-ES"/>
        </w:rPr>
        <w:t xml:space="preserve"> </w:t>
      </w:r>
      <w:r w:rsidRPr="001515F0">
        <w:rPr>
          <w:rFonts w:ascii="Palatino Linotype" w:hAnsi="Palatino Linotype" w:cs="Arial"/>
          <w:lang w:val="es-ES" w:eastAsia="es-ES"/>
        </w:rPr>
        <w:t xml:space="preserve">razones o motivos de inconformidad hechos valer </w:t>
      </w:r>
      <w:r w:rsidRPr="001515F0">
        <w:rPr>
          <w:rFonts w:ascii="Palatino Linotype" w:eastAsia="Calibri" w:hAnsi="Palatino Linotype" w:cs="Arial"/>
          <w:lang w:val="es-ES" w:eastAsia="es-ES"/>
        </w:rPr>
        <w:t>en</w:t>
      </w:r>
      <w:r w:rsidR="008D0E93" w:rsidRPr="001515F0">
        <w:rPr>
          <w:rFonts w:ascii="Palatino Linotype" w:eastAsia="Calibri" w:hAnsi="Palatino Linotype" w:cs="Arial"/>
          <w:lang w:val="es-ES" w:eastAsia="es-ES"/>
        </w:rPr>
        <w:t xml:space="preserve"> el recurso de </w:t>
      </w:r>
      <w:r w:rsidRPr="001515F0">
        <w:rPr>
          <w:rFonts w:ascii="Palatino Linotype" w:eastAsia="Calibri" w:hAnsi="Palatino Linotype" w:cs="Arial"/>
          <w:lang w:val="es-ES" w:eastAsia="es-ES"/>
        </w:rPr>
        <w:t xml:space="preserve">revisión </w:t>
      </w:r>
      <w:r w:rsidRPr="001515F0">
        <w:rPr>
          <w:rFonts w:ascii="Palatino Linotype" w:hAnsi="Palatino Linotype"/>
          <w:b/>
          <w:lang w:val="es-ES_tradnl" w:eastAsia="es-ES"/>
        </w:rPr>
        <w:t>0</w:t>
      </w:r>
      <w:r w:rsidR="008D0E93" w:rsidRPr="001515F0">
        <w:rPr>
          <w:rFonts w:ascii="Palatino Linotype" w:hAnsi="Palatino Linotype"/>
          <w:b/>
          <w:lang w:val="es-ES_tradnl" w:eastAsia="es-ES"/>
        </w:rPr>
        <w:t>1463</w:t>
      </w:r>
      <w:r w:rsidRPr="001515F0">
        <w:rPr>
          <w:rFonts w:ascii="Palatino Linotype" w:hAnsi="Palatino Linotype"/>
          <w:b/>
          <w:lang w:val="es-ES_tradnl" w:eastAsia="es-ES"/>
        </w:rPr>
        <w:t>/INFOEM/IP/RR/20</w:t>
      </w:r>
      <w:r w:rsidR="008D0E93" w:rsidRPr="001515F0">
        <w:rPr>
          <w:rFonts w:ascii="Palatino Linotype" w:hAnsi="Palatino Linotype"/>
          <w:b/>
          <w:lang w:val="es-ES_tradnl" w:eastAsia="es-ES"/>
        </w:rPr>
        <w:t>21</w:t>
      </w:r>
      <w:r w:rsidRPr="001515F0">
        <w:rPr>
          <w:rFonts w:ascii="Palatino Linotype" w:hAnsi="Palatino Linotype"/>
          <w:b/>
          <w:lang w:val="es-ES_tradnl" w:eastAsia="es-ES"/>
        </w:rPr>
        <w:t xml:space="preserve">, </w:t>
      </w:r>
      <w:r w:rsidRPr="001515F0">
        <w:rPr>
          <w:rFonts w:ascii="Palatino Linotype" w:hAnsi="Palatino Linotype"/>
          <w:lang w:val="es-ES_tradnl" w:eastAsia="es-ES"/>
        </w:rPr>
        <w:t xml:space="preserve">en términos de los </w:t>
      </w:r>
      <w:r w:rsidRPr="001515F0">
        <w:rPr>
          <w:rFonts w:ascii="Palatino Linotype" w:hAnsi="Palatino Linotype"/>
          <w:b/>
          <w:bCs/>
          <w:lang w:val="es-ES_tradnl" w:eastAsia="es-ES"/>
        </w:rPr>
        <w:t>Considerandos</w:t>
      </w:r>
      <w:r w:rsidRPr="001515F0">
        <w:rPr>
          <w:rFonts w:ascii="Palatino Linotype" w:hAnsi="Palatino Linotype"/>
          <w:lang w:val="es-ES_tradnl" w:eastAsia="es-ES"/>
        </w:rPr>
        <w:t xml:space="preserve"> </w:t>
      </w:r>
      <w:r w:rsidRPr="001515F0">
        <w:rPr>
          <w:rFonts w:ascii="Palatino Linotype" w:hAnsi="Palatino Linotype"/>
          <w:b/>
          <w:lang w:val="es-ES_tradnl" w:eastAsia="es-ES"/>
        </w:rPr>
        <w:t>QUINTO</w:t>
      </w:r>
      <w:r w:rsidR="008D0E93" w:rsidRPr="001515F0">
        <w:rPr>
          <w:rFonts w:ascii="Palatino Linotype" w:hAnsi="Palatino Linotype"/>
          <w:b/>
          <w:lang w:val="es-ES_tradnl" w:eastAsia="es-ES"/>
        </w:rPr>
        <w:t xml:space="preserve"> y SEXTO</w:t>
      </w:r>
      <w:r w:rsidRPr="001515F0">
        <w:rPr>
          <w:rFonts w:ascii="Palatino Linotype" w:hAnsi="Palatino Linotype"/>
          <w:b/>
          <w:lang w:val="es-ES_tradnl" w:eastAsia="es-ES"/>
        </w:rPr>
        <w:t xml:space="preserve"> </w:t>
      </w:r>
      <w:r w:rsidRPr="001515F0">
        <w:rPr>
          <w:rFonts w:ascii="Palatino Linotype" w:hAnsi="Palatino Linotype"/>
          <w:lang w:val="es-ES_tradnl" w:eastAsia="es-ES"/>
        </w:rPr>
        <w:t xml:space="preserve">de la presente resolución. </w:t>
      </w:r>
    </w:p>
    <w:p w14:paraId="632654FC" w14:textId="77777777" w:rsidR="002F011C" w:rsidRPr="001515F0" w:rsidRDefault="002F011C" w:rsidP="002F011C">
      <w:pPr>
        <w:spacing w:line="360" w:lineRule="auto"/>
        <w:jc w:val="both"/>
        <w:rPr>
          <w:rFonts w:ascii="Palatino Linotype" w:hAnsi="Palatino Linotype"/>
          <w:lang w:val="es-ES_tradnl" w:eastAsia="es-ES"/>
        </w:rPr>
      </w:pPr>
    </w:p>
    <w:p w14:paraId="509745F3" w14:textId="3F0BB914" w:rsidR="002F011C" w:rsidRPr="001515F0" w:rsidRDefault="002F011C" w:rsidP="002F011C">
      <w:pPr>
        <w:spacing w:line="360" w:lineRule="auto"/>
        <w:contextualSpacing/>
        <w:jc w:val="both"/>
        <w:rPr>
          <w:rFonts w:ascii="Palatino Linotype" w:hAnsi="Palatino Linotype" w:cs="Arial"/>
          <w:color w:val="000000"/>
          <w:lang w:val="es-ES_tradnl" w:eastAsia="es-ES"/>
        </w:rPr>
      </w:pPr>
      <w:r w:rsidRPr="001515F0">
        <w:rPr>
          <w:rFonts w:ascii="Palatino Linotype" w:eastAsia="Calibri" w:hAnsi="Palatino Linotype" w:cs="Arial"/>
          <w:b/>
          <w:bCs/>
          <w:lang w:val="es-ES" w:eastAsia="es-ES"/>
        </w:rPr>
        <w:t xml:space="preserve">SEGUNDO. </w:t>
      </w:r>
      <w:r w:rsidRPr="001515F0">
        <w:rPr>
          <w:rFonts w:ascii="Palatino Linotype" w:eastAsia="Calibri" w:hAnsi="Palatino Linotype" w:cs="Arial"/>
          <w:lang w:val="es-ES" w:eastAsia="es-ES"/>
        </w:rPr>
        <w:t xml:space="preserve">Se </w:t>
      </w:r>
      <w:r w:rsidRPr="001515F0">
        <w:rPr>
          <w:rFonts w:ascii="Palatino Linotype" w:eastAsia="Calibri" w:hAnsi="Palatino Linotype" w:cs="Arial"/>
          <w:b/>
          <w:lang w:val="es-ES" w:eastAsia="es-ES"/>
        </w:rPr>
        <w:t>MODIFICA</w:t>
      </w:r>
      <w:r w:rsidRPr="001515F0">
        <w:rPr>
          <w:rFonts w:ascii="Palatino Linotype" w:eastAsia="Calibri" w:hAnsi="Palatino Linotype" w:cs="Arial"/>
          <w:lang w:val="es-ES" w:eastAsia="es-ES"/>
        </w:rPr>
        <w:t xml:space="preserve"> la respuesta del </w:t>
      </w:r>
      <w:r w:rsidRPr="001515F0">
        <w:rPr>
          <w:rFonts w:ascii="Palatino Linotype" w:eastAsia="Calibri" w:hAnsi="Palatino Linotype" w:cs="Arial"/>
          <w:b/>
          <w:lang w:eastAsia="es-ES"/>
        </w:rPr>
        <w:t xml:space="preserve">Ayuntamiento de </w:t>
      </w:r>
      <w:r w:rsidR="008D0E93" w:rsidRPr="001515F0">
        <w:rPr>
          <w:rFonts w:ascii="Palatino Linotype" w:eastAsia="Calibri" w:hAnsi="Palatino Linotype" w:cs="Arial"/>
          <w:b/>
          <w:lang w:eastAsia="es-ES"/>
        </w:rPr>
        <w:t xml:space="preserve">Huixquilucan </w:t>
      </w:r>
      <w:r w:rsidRPr="001515F0">
        <w:rPr>
          <w:rFonts w:ascii="Palatino Linotype" w:eastAsia="Calibri" w:hAnsi="Palatino Linotype" w:cs="Arial"/>
          <w:lang w:eastAsia="es-ES"/>
        </w:rPr>
        <w:t xml:space="preserve">y se </w:t>
      </w:r>
      <w:r w:rsidRPr="001515F0">
        <w:rPr>
          <w:rFonts w:ascii="Palatino Linotype" w:eastAsia="Calibri" w:hAnsi="Palatino Linotype" w:cs="Arial"/>
          <w:b/>
          <w:lang w:eastAsia="es-ES"/>
        </w:rPr>
        <w:t>ORDENA</w:t>
      </w:r>
      <w:r w:rsidRPr="001515F0">
        <w:rPr>
          <w:rFonts w:ascii="Palatino Linotype" w:eastAsia="Calibri" w:hAnsi="Palatino Linotype" w:cs="Arial"/>
          <w:b/>
          <w:lang w:val="es-ES" w:eastAsia="es-ES"/>
        </w:rPr>
        <w:t xml:space="preserve"> </w:t>
      </w:r>
      <w:r w:rsidRPr="001515F0">
        <w:rPr>
          <w:rFonts w:ascii="Palatino Linotype" w:eastAsia="Calibri" w:hAnsi="Palatino Linotype" w:cs="Arial"/>
          <w:lang w:val="es-ES" w:eastAsia="es-ES"/>
        </w:rPr>
        <w:t xml:space="preserve">entregar </w:t>
      </w:r>
      <w:r w:rsidRPr="001515F0">
        <w:rPr>
          <w:rFonts w:ascii="Palatino Linotype" w:eastAsia="Calibri" w:hAnsi="Palatino Linotype" w:cs="Arial"/>
          <w:b/>
          <w:bCs/>
          <w:lang w:val="es-ES" w:eastAsia="es-ES"/>
        </w:rPr>
        <w:t xml:space="preserve">vía Sistema de Acceso a la Información Mexiquense (SAIMEX), </w:t>
      </w:r>
      <w:r w:rsidRPr="001515F0">
        <w:rPr>
          <w:rFonts w:ascii="Palatino Linotype" w:eastAsia="Calibri" w:hAnsi="Palatino Linotype" w:cs="Arial"/>
          <w:bCs/>
          <w:lang w:val="es-ES" w:eastAsia="es-ES"/>
        </w:rPr>
        <w:t xml:space="preserve">previa búsqueda exhaustiva y razonable, </w:t>
      </w:r>
      <w:r w:rsidRPr="001515F0">
        <w:rPr>
          <w:rFonts w:ascii="Palatino Linotype" w:eastAsia="Calibri" w:hAnsi="Palatino Linotype" w:cs="Arial"/>
          <w:b/>
          <w:bCs/>
          <w:lang w:val="es-ES" w:eastAsia="es-ES"/>
        </w:rPr>
        <w:t xml:space="preserve">de ser necesario </w:t>
      </w:r>
      <w:r w:rsidRPr="001515F0">
        <w:rPr>
          <w:rFonts w:ascii="Palatino Linotype" w:hAnsi="Palatino Linotype" w:cs="Arial"/>
          <w:b/>
          <w:color w:val="000000"/>
          <w:lang w:val="es-ES_tradnl" w:eastAsia="es-ES"/>
        </w:rPr>
        <w:t xml:space="preserve">en versión pública, </w:t>
      </w:r>
      <w:r w:rsidR="008D0E93" w:rsidRPr="001515F0">
        <w:rPr>
          <w:rFonts w:ascii="Palatino Linotype" w:hAnsi="Palatino Linotype" w:cs="Arial"/>
          <w:color w:val="000000"/>
        </w:rPr>
        <w:t>de los inmuebles con los números de registro 35, 41 y 65 de su inventario de bienes inmuebles</w:t>
      </w:r>
      <w:r w:rsidR="008D0E93" w:rsidRPr="001515F0">
        <w:rPr>
          <w:rFonts w:ascii="Palatino Linotype" w:hAnsi="Palatino Linotype"/>
          <w:iCs/>
          <w:color w:val="000000"/>
        </w:rPr>
        <w:t>,</w:t>
      </w:r>
      <w:r w:rsidR="008D0E93" w:rsidRPr="001515F0">
        <w:rPr>
          <w:rFonts w:ascii="Palatino Linotype" w:hAnsi="Palatino Linotype"/>
          <w:b/>
          <w:i/>
          <w:iCs/>
          <w:color w:val="000000"/>
        </w:rPr>
        <w:t xml:space="preserve"> </w:t>
      </w:r>
      <w:r w:rsidRPr="001515F0">
        <w:rPr>
          <w:rFonts w:ascii="Palatino Linotype" w:hAnsi="Palatino Linotype" w:cs="Arial"/>
          <w:color w:val="000000"/>
          <w:lang w:val="es-ES_tradnl" w:eastAsia="es-ES"/>
        </w:rPr>
        <w:t>los documentos donde conste la siguiente información:</w:t>
      </w:r>
    </w:p>
    <w:p w14:paraId="70F92EBB" w14:textId="77777777" w:rsidR="008D0E93" w:rsidRPr="001515F0" w:rsidRDefault="008D0E93" w:rsidP="008D0E93">
      <w:pPr>
        <w:pStyle w:val="Prrafodelista"/>
        <w:tabs>
          <w:tab w:val="left" w:pos="0"/>
          <w:tab w:val="left" w:pos="426"/>
        </w:tabs>
        <w:spacing w:line="360" w:lineRule="auto"/>
        <w:ind w:left="0" w:right="49"/>
        <w:jc w:val="both"/>
        <w:rPr>
          <w:rFonts w:ascii="Palatino Linotype" w:eastAsia="Times New Roman" w:hAnsi="Palatino Linotype" w:cs="Arial"/>
          <w:b/>
          <w:color w:val="000000"/>
        </w:rPr>
      </w:pPr>
    </w:p>
    <w:p w14:paraId="487A5542" w14:textId="77777777" w:rsidR="0087606B" w:rsidRPr="001515F0" w:rsidRDefault="008D0E93" w:rsidP="0087606B">
      <w:pPr>
        <w:pStyle w:val="Prrafodelista"/>
        <w:numPr>
          <w:ilvl w:val="0"/>
          <w:numId w:val="17"/>
        </w:numPr>
        <w:tabs>
          <w:tab w:val="left" w:pos="0"/>
          <w:tab w:val="left" w:pos="426"/>
        </w:tabs>
        <w:spacing w:line="360" w:lineRule="auto"/>
        <w:ind w:right="49"/>
        <w:jc w:val="both"/>
        <w:rPr>
          <w:rFonts w:ascii="Palatino Linotype" w:eastAsia="MS Mincho" w:hAnsi="Palatino Linotype" w:cs="Times New Roman"/>
          <w:b/>
        </w:rPr>
      </w:pPr>
      <w:r w:rsidRPr="001515F0">
        <w:rPr>
          <w:rFonts w:ascii="Palatino Linotype" w:eastAsia="MS Mincho" w:hAnsi="Palatino Linotype" w:cs="Times New Roman"/>
          <w:b/>
        </w:rPr>
        <w:t>M</w:t>
      </w:r>
      <w:r w:rsidR="002F011C" w:rsidRPr="001515F0">
        <w:rPr>
          <w:rFonts w:ascii="Palatino Linotype" w:hAnsi="Palatino Linotype"/>
          <w:b/>
          <w:iCs/>
          <w:color w:val="000000"/>
        </w:rPr>
        <w:t>edidas y colindancias</w:t>
      </w:r>
      <w:r w:rsidRPr="001515F0">
        <w:rPr>
          <w:rFonts w:ascii="Palatino Linotype" w:hAnsi="Palatino Linotype"/>
          <w:b/>
          <w:iCs/>
          <w:color w:val="000000"/>
        </w:rPr>
        <w:t>;</w:t>
      </w:r>
    </w:p>
    <w:p w14:paraId="096EBCB7" w14:textId="77777777" w:rsidR="0087606B" w:rsidRPr="001515F0" w:rsidRDefault="002F011C" w:rsidP="0087606B">
      <w:pPr>
        <w:pStyle w:val="Prrafodelista"/>
        <w:numPr>
          <w:ilvl w:val="0"/>
          <w:numId w:val="17"/>
        </w:numPr>
        <w:tabs>
          <w:tab w:val="left" w:pos="0"/>
          <w:tab w:val="left" w:pos="426"/>
        </w:tabs>
        <w:spacing w:line="360" w:lineRule="auto"/>
        <w:ind w:right="49"/>
        <w:jc w:val="both"/>
        <w:rPr>
          <w:rFonts w:ascii="Palatino Linotype" w:eastAsia="MS Mincho" w:hAnsi="Palatino Linotype" w:cs="Times New Roman"/>
          <w:b/>
        </w:rPr>
      </w:pPr>
      <w:r w:rsidRPr="001515F0">
        <w:rPr>
          <w:rFonts w:ascii="Palatino Linotype" w:hAnsi="Palatino Linotype"/>
          <w:b/>
          <w:iCs/>
          <w:color w:val="000000"/>
        </w:rPr>
        <w:t xml:space="preserve"> </w:t>
      </w:r>
      <w:r w:rsidR="008D0E93" w:rsidRPr="001515F0">
        <w:rPr>
          <w:rFonts w:ascii="Palatino Linotype" w:hAnsi="Palatino Linotype"/>
          <w:b/>
          <w:iCs/>
          <w:color w:val="000000"/>
        </w:rPr>
        <w:t>C</w:t>
      </w:r>
      <w:r w:rsidRPr="001515F0">
        <w:rPr>
          <w:rFonts w:ascii="Palatino Linotype" w:hAnsi="Palatino Linotype"/>
          <w:b/>
          <w:iCs/>
          <w:color w:val="000000"/>
        </w:rPr>
        <w:t xml:space="preserve">laves catastrales, </w:t>
      </w:r>
    </w:p>
    <w:p w14:paraId="2E386187" w14:textId="77777777" w:rsidR="0087606B" w:rsidRPr="001515F0" w:rsidRDefault="008D0E93" w:rsidP="0087606B">
      <w:pPr>
        <w:pStyle w:val="Prrafodelista"/>
        <w:numPr>
          <w:ilvl w:val="0"/>
          <w:numId w:val="17"/>
        </w:numPr>
        <w:tabs>
          <w:tab w:val="left" w:pos="0"/>
          <w:tab w:val="left" w:pos="426"/>
        </w:tabs>
        <w:spacing w:line="360" w:lineRule="auto"/>
        <w:ind w:right="49"/>
        <w:jc w:val="both"/>
        <w:rPr>
          <w:rFonts w:ascii="Palatino Linotype" w:eastAsia="MS Mincho" w:hAnsi="Palatino Linotype" w:cs="Times New Roman"/>
          <w:b/>
        </w:rPr>
      </w:pPr>
      <w:r w:rsidRPr="001515F0">
        <w:rPr>
          <w:rFonts w:ascii="Palatino Linotype" w:hAnsi="Palatino Linotype"/>
          <w:b/>
          <w:iCs/>
          <w:color w:val="000000"/>
        </w:rPr>
        <w:t>D</w:t>
      </w:r>
      <w:r w:rsidR="002F011C" w:rsidRPr="001515F0">
        <w:rPr>
          <w:rFonts w:ascii="Palatino Linotype" w:hAnsi="Palatino Linotype"/>
          <w:b/>
          <w:iCs/>
          <w:color w:val="000000"/>
        </w:rPr>
        <w:t>ocumentos con los cuales se acredita la propiedad</w:t>
      </w:r>
      <w:r w:rsidRPr="001515F0">
        <w:rPr>
          <w:rFonts w:ascii="Palatino Linotype" w:hAnsi="Palatino Linotype"/>
          <w:b/>
          <w:iCs/>
          <w:color w:val="000000"/>
        </w:rPr>
        <w:t>;</w:t>
      </w:r>
      <w:r w:rsidR="002F011C" w:rsidRPr="001515F0">
        <w:rPr>
          <w:rFonts w:ascii="Palatino Linotype" w:hAnsi="Palatino Linotype"/>
          <w:b/>
          <w:iCs/>
          <w:color w:val="000000"/>
        </w:rPr>
        <w:t xml:space="preserve"> </w:t>
      </w:r>
    </w:p>
    <w:p w14:paraId="50BCA779" w14:textId="77777777" w:rsidR="0087606B" w:rsidRPr="001515F0" w:rsidRDefault="008D0E93" w:rsidP="0087606B">
      <w:pPr>
        <w:pStyle w:val="Prrafodelista"/>
        <w:numPr>
          <w:ilvl w:val="0"/>
          <w:numId w:val="17"/>
        </w:numPr>
        <w:tabs>
          <w:tab w:val="left" w:pos="0"/>
          <w:tab w:val="left" w:pos="426"/>
        </w:tabs>
        <w:spacing w:line="360" w:lineRule="auto"/>
        <w:ind w:right="49"/>
        <w:jc w:val="both"/>
        <w:rPr>
          <w:rFonts w:ascii="Palatino Linotype" w:eastAsia="MS Mincho" w:hAnsi="Palatino Linotype" w:cs="Times New Roman"/>
          <w:b/>
        </w:rPr>
      </w:pPr>
      <w:r w:rsidRPr="001515F0">
        <w:rPr>
          <w:rFonts w:ascii="Palatino Linotype" w:hAnsi="Palatino Linotype"/>
          <w:b/>
          <w:iCs/>
          <w:color w:val="000000"/>
        </w:rPr>
        <w:t>C</w:t>
      </w:r>
      <w:r w:rsidR="002F011C" w:rsidRPr="001515F0">
        <w:rPr>
          <w:rFonts w:ascii="Palatino Linotype" w:hAnsi="Palatino Linotype"/>
          <w:b/>
          <w:iCs/>
          <w:color w:val="000000"/>
        </w:rPr>
        <w:t>roquis o plano manzanero</w:t>
      </w:r>
      <w:r w:rsidRPr="001515F0">
        <w:rPr>
          <w:rFonts w:ascii="Palatino Linotype" w:hAnsi="Palatino Linotype"/>
          <w:b/>
          <w:iCs/>
          <w:color w:val="000000"/>
        </w:rPr>
        <w:t>;</w:t>
      </w:r>
      <w:r w:rsidR="002F011C" w:rsidRPr="001515F0">
        <w:rPr>
          <w:rFonts w:ascii="Palatino Linotype" w:hAnsi="Palatino Linotype"/>
          <w:b/>
          <w:iCs/>
          <w:color w:val="000000"/>
        </w:rPr>
        <w:t xml:space="preserve"> y </w:t>
      </w:r>
    </w:p>
    <w:p w14:paraId="5140AF09" w14:textId="7071B854" w:rsidR="002F011C" w:rsidRPr="001515F0" w:rsidRDefault="008D0E93" w:rsidP="0087606B">
      <w:pPr>
        <w:pStyle w:val="Prrafodelista"/>
        <w:numPr>
          <w:ilvl w:val="0"/>
          <w:numId w:val="17"/>
        </w:numPr>
        <w:tabs>
          <w:tab w:val="left" w:pos="0"/>
          <w:tab w:val="left" w:pos="426"/>
        </w:tabs>
        <w:spacing w:line="360" w:lineRule="auto"/>
        <w:ind w:right="49"/>
        <w:jc w:val="both"/>
        <w:rPr>
          <w:rFonts w:ascii="Palatino Linotype" w:eastAsia="MS Mincho" w:hAnsi="Palatino Linotype" w:cs="Times New Roman"/>
          <w:b/>
        </w:rPr>
      </w:pPr>
      <w:r w:rsidRPr="001515F0">
        <w:rPr>
          <w:rFonts w:ascii="Palatino Linotype" w:hAnsi="Palatino Linotype"/>
          <w:b/>
          <w:iCs/>
          <w:color w:val="000000"/>
        </w:rPr>
        <w:t>F</w:t>
      </w:r>
      <w:r w:rsidR="002F011C" w:rsidRPr="001515F0">
        <w:rPr>
          <w:rFonts w:ascii="Palatino Linotype" w:hAnsi="Palatino Linotype"/>
          <w:b/>
          <w:iCs/>
          <w:color w:val="000000"/>
        </w:rPr>
        <w:t>otografías del estado actual.</w:t>
      </w:r>
    </w:p>
    <w:p w14:paraId="75521989" w14:textId="77777777" w:rsidR="002F011C" w:rsidRPr="001515F0" w:rsidRDefault="002F011C" w:rsidP="002F011C">
      <w:pPr>
        <w:spacing w:line="360" w:lineRule="auto"/>
        <w:contextualSpacing/>
        <w:jc w:val="both"/>
        <w:rPr>
          <w:rFonts w:ascii="Palatino Linotype" w:hAnsi="Palatino Linotype" w:cs="Arial"/>
          <w:b/>
          <w:color w:val="000000"/>
          <w:lang w:val="es-ES_tradnl" w:eastAsia="es-ES"/>
        </w:rPr>
      </w:pPr>
    </w:p>
    <w:p w14:paraId="033E160E" w14:textId="77777777" w:rsidR="008D0E93" w:rsidRPr="001515F0" w:rsidRDefault="002F011C" w:rsidP="002F011C">
      <w:pPr>
        <w:spacing w:line="360" w:lineRule="auto"/>
        <w:jc w:val="both"/>
        <w:rPr>
          <w:rFonts w:ascii="Palatino Linotype" w:eastAsia="Calibri" w:hAnsi="Palatino Linotype" w:cs="Arial"/>
        </w:rPr>
      </w:pPr>
      <w:r w:rsidRPr="001515F0">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8D0E93" w:rsidRPr="001515F0">
        <w:rPr>
          <w:rFonts w:ascii="Palatino Linotype" w:eastAsia="Calibri" w:hAnsi="Palatino Linotype" w:cs="Arial"/>
        </w:rPr>
        <w:t>l particular.</w:t>
      </w:r>
    </w:p>
    <w:p w14:paraId="0B609B70" w14:textId="77777777" w:rsidR="008D0E93" w:rsidRPr="001515F0" w:rsidRDefault="008D0E93" w:rsidP="008D0E93">
      <w:pPr>
        <w:shd w:val="clear" w:color="auto" w:fill="FFFFFF"/>
        <w:tabs>
          <w:tab w:val="left" w:pos="567"/>
        </w:tabs>
        <w:spacing w:line="360" w:lineRule="auto"/>
        <w:ind w:left="567" w:right="567"/>
        <w:jc w:val="both"/>
        <w:rPr>
          <w:rFonts w:ascii="Palatino Linotype" w:hAnsi="Palatino Linotype" w:cs="Arial"/>
          <w:color w:val="222222"/>
          <w:lang w:val="es-ES" w:eastAsia="es-MX"/>
        </w:rPr>
      </w:pPr>
    </w:p>
    <w:p w14:paraId="1437DD39" w14:textId="77777777" w:rsidR="008D0E93" w:rsidRPr="001515F0" w:rsidRDefault="008D0E93" w:rsidP="008D0E93">
      <w:pPr>
        <w:tabs>
          <w:tab w:val="left" w:pos="8080"/>
        </w:tabs>
        <w:spacing w:line="360" w:lineRule="auto"/>
        <w:ind w:right="49"/>
        <w:contextualSpacing/>
        <w:jc w:val="both"/>
        <w:rPr>
          <w:rFonts w:ascii="Palatino Linotype" w:hAnsi="Palatino Linotype"/>
          <w:color w:val="222222"/>
          <w:shd w:val="clear" w:color="auto" w:fill="FFFFFF"/>
        </w:rPr>
      </w:pPr>
      <w:r w:rsidRPr="001515F0">
        <w:rPr>
          <w:rFonts w:ascii="Palatino Linotype" w:eastAsia="Palatino Linotype" w:hAnsi="Palatino Linotype" w:cs="Palatino Linotype"/>
          <w:b/>
        </w:rPr>
        <w:t xml:space="preserve">TERCERO. Notifíquese </w:t>
      </w:r>
      <w:r w:rsidRPr="001515F0">
        <w:rPr>
          <w:rFonts w:ascii="Palatino Linotype" w:eastAsia="Palatino Linotype" w:hAnsi="Palatino Linotype" w:cs="Palatino Linotype"/>
        </w:rPr>
        <w:t xml:space="preserve">al Titular de la Unidad de Transparencia del </w:t>
      </w:r>
      <w:r w:rsidRPr="001515F0">
        <w:rPr>
          <w:rFonts w:ascii="Palatino Linotype" w:eastAsia="Palatino Linotype" w:hAnsi="Palatino Linotype" w:cs="Palatino Linotype"/>
          <w:b/>
        </w:rPr>
        <w:t>SUJETO OBLIGADO</w:t>
      </w:r>
      <w:r w:rsidRPr="001515F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515F0">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E2E9CC3" w14:textId="77777777" w:rsidR="008D0E93" w:rsidRPr="001515F0" w:rsidRDefault="008D0E93" w:rsidP="008D0E93">
      <w:pPr>
        <w:tabs>
          <w:tab w:val="left" w:pos="8080"/>
        </w:tabs>
        <w:spacing w:line="360" w:lineRule="auto"/>
        <w:ind w:right="49"/>
        <w:contextualSpacing/>
        <w:jc w:val="both"/>
        <w:rPr>
          <w:rFonts w:ascii="Palatino Linotype" w:hAnsi="Palatino Linotype"/>
          <w:color w:val="222222"/>
          <w:shd w:val="clear" w:color="auto" w:fill="FFFFFF"/>
        </w:rPr>
      </w:pPr>
    </w:p>
    <w:p w14:paraId="1D40C281" w14:textId="77777777" w:rsidR="008D0E93" w:rsidRPr="001515F0" w:rsidRDefault="008D0E93" w:rsidP="008D0E93">
      <w:pPr>
        <w:spacing w:line="360" w:lineRule="auto"/>
        <w:jc w:val="both"/>
        <w:rPr>
          <w:rFonts w:ascii="Palatino Linotype" w:eastAsia="Calibri" w:hAnsi="Palatino Linotype" w:cs="Arial"/>
          <w:bCs/>
        </w:rPr>
      </w:pPr>
      <w:r w:rsidRPr="001515F0">
        <w:rPr>
          <w:rFonts w:ascii="Palatino Linotype" w:hAnsi="Palatino Linotype" w:cs="Arial"/>
          <w:b/>
        </w:rPr>
        <w:t xml:space="preserve">CUARTO. </w:t>
      </w:r>
      <w:r w:rsidRPr="001515F0">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728449" w14:textId="77777777" w:rsidR="008D0E93" w:rsidRPr="001515F0" w:rsidRDefault="008D0E93" w:rsidP="008D0E93">
      <w:pPr>
        <w:spacing w:line="360" w:lineRule="auto"/>
        <w:jc w:val="both"/>
        <w:rPr>
          <w:rFonts w:ascii="Palatino Linotype" w:eastAsia="Calibri" w:hAnsi="Palatino Linotype" w:cs="Arial"/>
          <w:bCs/>
        </w:rPr>
      </w:pPr>
    </w:p>
    <w:p w14:paraId="3C49D1EA" w14:textId="77777777" w:rsidR="008D0E93" w:rsidRPr="001515F0" w:rsidRDefault="008D0E93" w:rsidP="008D0E93">
      <w:pPr>
        <w:shd w:val="clear" w:color="auto" w:fill="FFFFFF"/>
        <w:spacing w:line="360" w:lineRule="auto"/>
        <w:jc w:val="both"/>
        <w:rPr>
          <w:rFonts w:ascii="Palatino Linotype" w:hAnsi="Palatino Linotype"/>
        </w:rPr>
      </w:pPr>
      <w:r w:rsidRPr="001515F0">
        <w:rPr>
          <w:rFonts w:ascii="Palatino Linotype" w:hAnsi="Palatino Linotype" w:cs="Arial"/>
          <w:b/>
        </w:rPr>
        <w:t xml:space="preserve">QUINTO. </w:t>
      </w:r>
      <w:r w:rsidRPr="001515F0">
        <w:rPr>
          <w:rFonts w:ascii="Palatino Linotype" w:hAnsi="Palatino Linotype"/>
          <w:b/>
          <w:bCs/>
          <w:color w:val="222222"/>
          <w:lang w:val="es-ES"/>
        </w:rPr>
        <w:t xml:space="preserve">Notifíquese </w:t>
      </w:r>
      <w:r w:rsidRPr="001515F0">
        <w:rPr>
          <w:rFonts w:ascii="Palatino Linotype" w:hAnsi="Palatino Linotype"/>
          <w:color w:val="222222"/>
          <w:lang w:val="es-ES"/>
        </w:rPr>
        <w:t xml:space="preserve">al </w:t>
      </w:r>
      <w:r w:rsidRPr="001515F0">
        <w:rPr>
          <w:rFonts w:ascii="Palatino Linotype" w:hAnsi="Palatino Linotype"/>
          <w:b/>
          <w:color w:val="222222"/>
          <w:lang w:val="es-ES"/>
        </w:rPr>
        <w:t>RECURRENTE</w:t>
      </w:r>
      <w:r w:rsidRPr="001515F0">
        <w:rPr>
          <w:rFonts w:ascii="Palatino Linotype" w:hAnsi="Palatino Linotype"/>
          <w:color w:val="222222"/>
          <w:lang w:val="es-ES"/>
        </w:rPr>
        <w:t xml:space="preserve"> </w:t>
      </w:r>
      <w:r w:rsidRPr="001515F0">
        <w:rPr>
          <w:rFonts w:ascii="Palatino Linotype" w:hAnsi="Palatino Linotype"/>
        </w:rPr>
        <w:t>la presente resolución.</w:t>
      </w:r>
    </w:p>
    <w:p w14:paraId="7706DF56" w14:textId="77777777" w:rsidR="008D0E93" w:rsidRPr="001515F0" w:rsidRDefault="008D0E93" w:rsidP="008D0E93">
      <w:pPr>
        <w:shd w:val="clear" w:color="auto" w:fill="FFFFFF"/>
        <w:spacing w:line="360" w:lineRule="auto"/>
        <w:jc w:val="both"/>
        <w:rPr>
          <w:rFonts w:ascii="Palatino Linotype" w:eastAsia="Calibri" w:hAnsi="Palatino Linotype" w:cs="Arial"/>
          <w:b/>
          <w:bCs/>
        </w:rPr>
      </w:pPr>
    </w:p>
    <w:p w14:paraId="5DB2E492" w14:textId="77777777" w:rsidR="008D0E93" w:rsidRPr="001515F0" w:rsidRDefault="008D0E93" w:rsidP="008D0E93">
      <w:pPr>
        <w:shd w:val="clear" w:color="auto" w:fill="FFFFFF"/>
        <w:spacing w:line="360" w:lineRule="auto"/>
        <w:jc w:val="both"/>
        <w:rPr>
          <w:rFonts w:ascii="Palatino Linotype" w:eastAsia="MS Mincho" w:hAnsi="Palatino Linotype"/>
          <w:lang w:val="es-ES"/>
        </w:rPr>
      </w:pPr>
      <w:r w:rsidRPr="001515F0">
        <w:rPr>
          <w:rFonts w:ascii="Palatino Linotype" w:eastAsia="MS Mincho" w:hAnsi="Palatino Linotype"/>
          <w:b/>
          <w:lang w:val="es-MX"/>
        </w:rPr>
        <w:lastRenderedPageBreak/>
        <w:t>SEXTO.</w:t>
      </w:r>
      <w:r w:rsidRPr="001515F0">
        <w:rPr>
          <w:rFonts w:ascii="Palatino Linotype" w:eastAsia="MS Mincho" w:hAnsi="Palatino Linotype"/>
          <w:lang w:val="es-MX"/>
        </w:rPr>
        <w:t xml:space="preserve"> </w:t>
      </w:r>
      <w:r w:rsidRPr="001515F0">
        <w:rPr>
          <w:rFonts w:ascii="Palatino Linotype" w:eastAsia="MS Mincho" w:hAnsi="Palatino Linotype"/>
          <w:lang w:val="es-ES"/>
        </w:rPr>
        <w:t xml:space="preserve">Se hace del conocimiento del recurrente que, de conformidad con lo establecido en el artículo 196 de la Ley de Transparencia y Acceso a la Información Pública del Estado de México y Municipios, en caso de que considere que la resolución le cause algún perjuicio podrá impugnarla </w:t>
      </w:r>
      <w:r w:rsidRPr="001515F0">
        <w:rPr>
          <w:rFonts w:ascii="Palatino Linotype" w:eastAsia="MS Mincho" w:hAnsi="Palatino Linotype"/>
          <w:bCs/>
          <w:lang w:val="es-ES"/>
        </w:rPr>
        <w:t>vía juicio de amparo</w:t>
      </w:r>
      <w:r w:rsidRPr="001515F0">
        <w:rPr>
          <w:rFonts w:ascii="Palatino Linotype" w:eastAsia="MS Mincho" w:hAnsi="Palatino Linotype"/>
          <w:lang w:val="es-ES"/>
        </w:rPr>
        <w:t xml:space="preserve"> en los términos de las leyes aplicables.</w:t>
      </w:r>
    </w:p>
    <w:p w14:paraId="32F79878" w14:textId="77777777" w:rsidR="008D0E93" w:rsidRPr="001515F0" w:rsidRDefault="008D0E93" w:rsidP="008D0E93">
      <w:pPr>
        <w:shd w:val="clear" w:color="auto" w:fill="FFFFFF"/>
        <w:spacing w:line="360" w:lineRule="auto"/>
        <w:jc w:val="both"/>
        <w:rPr>
          <w:rFonts w:ascii="Palatino Linotype" w:eastAsia="MS Mincho" w:hAnsi="Palatino Linotype"/>
          <w:lang w:val="es-ES"/>
        </w:rPr>
      </w:pPr>
    </w:p>
    <w:p w14:paraId="5FA10EDB" w14:textId="77777777" w:rsidR="008D0E93" w:rsidRPr="001515F0" w:rsidRDefault="008D0E93" w:rsidP="008D0E93">
      <w:pPr>
        <w:shd w:val="clear" w:color="auto" w:fill="FFFFFF"/>
        <w:spacing w:line="360" w:lineRule="auto"/>
        <w:jc w:val="both"/>
        <w:rPr>
          <w:rFonts w:ascii="Palatino Linotype" w:hAnsi="Palatino Linotype"/>
          <w:color w:val="000000"/>
          <w:shd w:val="clear" w:color="auto" w:fill="FFFFFF"/>
        </w:rPr>
      </w:pPr>
      <w:r w:rsidRPr="001515F0">
        <w:rPr>
          <w:rFonts w:ascii="Palatino Linotype" w:hAnsi="Palatino Linotype"/>
          <w:b/>
          <w:bCs/>
          <w:color w:val="000000"/>
          <w:shd w:val="clear" w:color="auto" w:fill="FFFFFF"/>
        </w:rPr>
        <w:t>SÉPTIMO.</w:t>
      </w:r>
      <w:r w:rsidRPr="001515F0">
        <w:rPr>
          <w:rFonts w:ascii="Palatino Linotype" w:hAnsi="Palatino Linotype"/>
          <w:color w:val="000000"/>
          <w:shd w:val="clear" w:color="auto" w:fill="FFFFFF"/>
        </w:rPr>
        <w:t xml:space="preserve"> Con fundamento en el artículo 198 de la Ley de Transparencia y Acceso a la Información Pública del Estado de México y Municipios, se apercibe al </w:t>
      </w:r>
      <w:r w:rsidRPr="001515F0">
        <w:rPr>
          <w:rFonts w:ascii="Palatino Linotype" w:hAnsi="Palatino Linotype"/>
          <w:b/>
          <w:bCs/>
          <w:color w:val="000000"/>
          <w:shd w:val="clear" w:color="auto" w:fill="FFFFFF"/>
        </w:rPr>
        <w:t>SUJETO OBLIGADO</w:t>
      </w:r>
      <w:r w:rsidRPr="001515F0">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w:t>
      </w:r>
    </w:p>
    <w:p w14:paraId="47E21B07" w14:textId="68DC262A" w:rsidR="00A566D9" w:rsidRPr="001515F0" w:rsidRDefault="00A566D9" w:rsidP="00A566D9">
      <w:pPr>
        <w:pStyle w:val="Prrafodelista"/>
        <w:tabs>
          <w:tab w:val="left" w:pos="0"/>
        </w:tabs>
        <w:spacing w:line="360" w:lineRule="auto"/>
        <w:ind w:left="0" w:right="49"/>
        <w:jc w:val="both"/>
        <w:rPr>
          <w:rFonts w:ascii="Palatino Linotype" w:hAnsi="Palatino Linotype" w:cs="Arial"/>
          <w:color w:val="000000" w:themeColor="text1"/>
          <w:lang w:val="es-US"/>
        </w:rPr>
      </w:pPr>
    </w:p>
    <w:p w14:paraId="38A9380B" w14:textId="11FCE215" w:rsidR="00A566D9" w:rsidRDefault="00A566D9" w:rsidP="00A566D9">
      <w:pPr>
        <w:shd w:val="clear" w:color="auto" w:fill="FFFFFF"/>
        <w:spacing w:before="240" w:after="360" w:line="360" w:lineRule="auto"/>
        <w:ind w:right="49"/>
        <w:jc w:val="both"/>
        <w:rPr>
          <w:rFonts w:ascii="Palatino Linotype" w:eastAsiaTheme="minorEastAsia" w:hAnsi="Palatino Linotype" w:cs="Arial"/>
          <w:lang w:val="es-ES_tradnl" w:eastAsia="es-ES"/>
        </w:rPr>
      </w:pPr>
      <w:r w:rsidRPr="001515F0">
        <w:rPr>
          <w:rFonts w:ascii="Palatino Linotype" w:eastAsiaTheme="minorEastAsia" w:hAnsi="Palatino Linotype"/>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1515F0" w:rsidRPr="001515F0">
        <w:rPr>
          <w:rFonts w:ascii="Palatino Linotype" w:eastAsiaTheme="minorEastAsia" w:hAnsi="Palatino Linotype"/>
          <w:lang w:val="es-ES_tradnl" w:eastAsia="es-ES"/>
        </w:rPr>
        <w:t>MARTÍNEZ</w:t>
      </w:r>
      <w:r w:rsidRPr="001515F0">
        <w:rPr>
          <w:rFonts w:ascii="Palatino Linotype" w:eastAsiaTheme="minorEastAsia" w:hAnsi="Palatino Linotype"/>
          <w:lang w:val="es-ES_tradnl" w:eastAsia="es-ES"/>
        </w:rPr>
        <w:t xml:space="preserve"> </w:t>
      </w:r>
      <w:r w:rsidR="001515F0" w:rsidRPr="001515F0">
        <w:rPr>
          <w:rFonts w:ascii="Palatino Linotype" w:eastAsiaTheme="minorEastAsia" w:hAnsi="Palatino Linotype"/>
          <w:lang w:val="es-ES_tradnl" w:eastAsia="es-ES"/>
        </w:rPr>
        <w:t>SÁNCHEZ</w:t>
      </w:r>
      <w:r w:rsidRPr="001515F0">
        <w:rPr>
          <w:rFonts w:ascii="Palatino Linotype" w:eastAsiaTheme="minorEastAsia" w:hAnsi="Palatino Linotype"/>
          <w:lang w:val="es-ES_tradnl" w:eastAsia="es-ES"/>
        </w:rPr>
        <w:t>; EVA ABAID YAPUR; JOSÉ GUADALUPE LUNA HERNÁNDEZ; JAVIER MARTÍNEZ CRUZ</w:t>
      </w:r>
      <w:r w:rsidR="001515F0">
        <w:rPr>
          <w:rFonts w:ascii="Palatino Linotype" w:eastAsiaTheme="minorEastAsia" w:hAnsi="Palatino Linotype"/>
          <w:lang w:val="es-ES_tradnl" w:eastAsia="es-ES"/>
        </w:rPr>
        <w:t xml:space="preserve"> EMITIENDO VOTO PARTICULAR</w:t>
      </w:r>
      <w:r w:rsidRPr="001515F0">
        <w:rPr>
          <w:rFonts w:ascii="Palatino Linotype" w:eastAsiaTheme="minorEastAsia" w:hAnsi="Palatino Linotype"/>
          <w:lang w:val="es-ES_tradnl" w:eastAsia="es-ES"/>
        </w:rPr>
        <w:t xml:space="preserve"> Y LUIS GUSTAVO PARRA NORIEGA; EN LA DÉCIMA </w:t>
      </w:r>
      <w:r w:rsidR="001515F0">
        <w:rPr>
          <w:rFonts w:ascii="Palatino Linotype" w:eastAsiaTheme="minorEastAsia" w:hAnsi="Palatino Linotype"/>
          <w:lang w:val="es-ES_tradnl" w:eastAsia="es-ES"/>
        </w:rPr>
        <w:t>SÉPTIMA</w:t>
      </w:r>
      <w:r w:rsidRPr="001515F0">
        <w:rPr>
          <w:rFonts w:ascii="Palatino Linotype" w:eastAsiaTheme="minorEastAsia" w:hAnsi="Palatino Linotype"/>
          <w:lang w:val="es-ES_tradnl" w:eastAsia="es-ES"/>
        </w:rPr>
        <w:t xml:space="preserve"> SESIÓN ORDINARIA CELEBRADA EL </w:t>
      </w:r>
      <w:r w:rsidR="001515F0">
        <w:rPr>
          <w:rFonts w:ascii="Palatino Linotype" w:eastAsiaTheme="minorEastAsia" w:hAnsi="Palatino Linotype"/>
          <w:lang w:val="es-ES_tradnl" w:eastAsia="es-ES"/>
        </w:rPr>
        <w:t>DIECINUEVE</w:t>
      </w:r>
      <w:r w:rsidRPr="001515F0">
        <w:rPr>
          <w:rFonts w:ascii="Palatino Linotype" w:eastAsiaTheme="minorEastAsia" w:hAnsi="Palatino Linotype"/>
          <w:lang w:val="es-ES_tradnl" w:eastAsia="es-ES"/>
        </w:rPr>
        <w:t xml:space="preserve"> (</w:t>
      </w:r>
      <w:r w:rsidR="001515F0">
        <w:rPr>
          <w:rFonts w:ascii="Palatino Linotype" w:eastAsiaTheme="minorEastAsia" w:hAnsi="Palatino Linotype"/>
          <w:lang w:val="es-ES_tradnl" w:eastAsia="es-ES"/>
        </w:rPr>
        <w:t>19</w:t>
      </w:r>
      <w:r w:rsidRPr="001515F0">
        <w:rPr>
          <w:rFonts w:ascii="Palatino Linotype" w:eastAsiaTheme="minorEastAsia" w:hAnsi="Palatino Linotype"/>
          <w:lang w:val="es-ES_tradnl" w:eastAsia="es-ES"/>
        </w:rPr>
        <w:t>) DE ABRIL DE DOS MIL VEINTIUNO, ANTE EL SECRETARIO TÉCNICO DEL PLENO ALEXIS TAPIA RAMÍREZ.</w:t>
      </w:r>
      <w:r w:rsidRPr="001B44E9">
        <w:rPr>
          <w:rFonts w:ascii="Palatino Linotype" w:eastAsiaTheme="minorEastAsia" w:hAnsi="Palatino Linotype" w:cs="Arial"/>
          <w:lang w:val="es-ES_tradnl" w:eastAsia="es-ES"/>
        </w:rPr>
        <w:t xml:space="preserve">  </w:t>
      </w:r>
    </w:p>
    <w:p w14:paraId="4ED7C986" w14:textId="77777777" w:rsidR="00A566D9" w:rsidRDefault="00A566D9" w:rsidP="00A566D9">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475AF71D" w14:textId="77777777" w:rsidR="00A566D9" w:rsidRDefault="00A566D9" w:rsidP="00A566D9">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07C700C9" w14:textId="77777777" w:rsidR="00A566D9" w:rsidRDefault="00A566D9" w:rsidP="00A566D9">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7875CC0C" w14:textId="77777777" w:rsidR="00A566D9" w:rsidRPr="001B44E9" w:rsidRDefault="00A566D9" w:rsidP="00A566D9">
      <w:pPr>
        <w:shd w:val="clear" w:color="auto" w:fill="FFFFFF"/>
        <w:spacing w:before="240" w:after="360" w:line="360" w:lineRule="auto"/>
        <w:ind w:right="49"/>
        <w:jc w:val="both"/>
        <w:rPr>
          <w:rFonts w:ascii="Palatino Linotype" w:eastAsiaTheme="minorEastAsia" w:hAnsi="Palatino Linotype" w:cs="Arial"/>
          <w:lang w:val="es-ES_tradnl" w:eastAsia="es-ES"/>
        </w:rPr>
      </w:pPr>
    </w:p>
    <w:p w14:paraId="5A21EEEE" w14:textId="77777777" w:rsidR="00A566D9" w:rsidRPr="005B114B" w:rsidRDefault="00A566D9" w:rsidP="00A566D9">
      <w:pPr>
        <w:pStyle w:val="Prrafodelista"/>
        <w:spacing w:before="240" w:after="240" w:line="360" w:lineRule="auto"/>
        <w:ind w:left="0"/>
        <w:jc w:val="both"/>
      </w:pPr>
    </w:p>
    <w:p w14:paraId="62D802FD" w14:textId="77777777" w:rsidR="00A566D9" w:rsidRPr="00E0252A" w:rsidRDefault="00A566D9" w:rsidP="00A566D9">
      <w:pPr>
        <w:spacing w:before="240" w:after="240" w:line="360" w:lineRule="auto"/>
        <w:jc w:val="both"/>
        <w:rPr>
          <w:rFonts w:ascii="Palatino Linotype" w:hAnsi="Palatino Linotype"/>
          <w:lang w:val="es-ES_tradnl"/>
        </w:rPr>
      </w:pPr>
    </w:p>
    <w:p w14:paraId="13F79EA5" w14:textId="77777777" w:rsidR="00A566D9" w:rsidRDefault="00A566D9" w:rsidP="00A566D9"/>
    <w:p w14:paraId="1D8DE7A6" w14:textId="77777777" w:rsidR="00A566D9" w:rsidRDefault="00A566D9"/>
    <w:sectPr w:rsidR="00A566D9" w:rsidSect="00AF7651">
      <w:headerReference w:type="even" r:id="rId17"/>
      <w:headerReference w:type="default" r:id="rId18"/>
      <w:footerReference w:type="default" r:id="rId19"/>
      <w:headerReference w:type="first" r:id="rId20"/>
      <w:footerReference w:type="first" r:id="rId21"/>
      <w:pgSz w:w="12240" w:h="15840"/>
      <w:pgMar w:top="2693"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DE223" w14:textId="77777777" w:rsidR="00B368D4" w:rsidRDefault="00B368D4" w:rsidP="00A566D9">
      <w:r>
        <w:separator/>
      </w:r>
    </w:p>
  </w:endnote>
  <w:endnote w:type="continuationSeparator" w:id="0">
    <w:p w14:paraId="165050C4" w14:textId="77777777" w:rsidR="00B368D4" w:rsidRDefault="00B368D4" w:rsidP="00A56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2DF16EDB" w14:textId="77777777" w:rsidR="00AF7651" w:rsidRPr="005B089B" w:rsidRDefault="00AF7651" w:rsidP="00AF765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515F0">
              <w:rPr>
                <w:rFonts w:ascii="Palatino Linotype" w:hAnsi="Palatino Linotype"/>
                <w:b/>
                <w:bCs/>
                <w:noProof/>
                <w:sz w:val="22"/>
                <w:szCs w:val="20"/>
              </w:rPr>
              <w:t>58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515F0">
              <w:rPr>
                <w:rFonts w:ascii="Palatino Linotype" w:hAnsi="Palatino Linotype"/>
                <w:b/>
                <w:bCs/>
                <w:noProof/>
                <w:sz w:val="22"/>
                <w:szCs w:val="20"/>
              </w:rPr>
              <w:t>59</w:t>
            </w:r>
            <w:r w:rsidRPr="00883450">
              <w:rPr>
                <w:rFonts w:ascii="Palatino Linotype" w:hAnsi="Palatino Linotype"/>
                <w:b/>
                <w:bCs/>
                <w:sz w:val="22"/>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79DC" w14:textId="77777777" w:rsidR="00AF7651" w:rsidRPr="00883450" w:rsidRDefault="00AF7651" w:rsidP="00AF765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515F0">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515F0" w:rsidRPr="001515F0">
      <w:rPr>
        <w:rFonts w:ascii="Palatino Linotype" w:hAnsi="Palatino Linotype"/>
        <w:noProof/>
        <w:sz w:val="22"/>
        <w:szCs w:val="22"/>
        <w:lang w:val="es-ES"/>
      </w:rPr>
      <w:t>59</w:t>
    </w:r>
    <w:r w:rsidRPr="00883450">
      <w:rPr>
        <w:rFonts w:ascii="Palatino Linotype" w:hAnsi="Palatino Linotype"/>
        <w:sz w:val="22"/>
        <w:szCs w:val="22"/>
      </w:rPr>
      <w:fldChar w:fldCharType="end"/>
    </w:r>
  </w:p>
  <w:p w14:paraId="251AE269" w14:textId="77777777" w:rsidR="00AF7651" w:rsidRPr="00883450" w:rsidRDefault="00AF7651">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1C873" w14:textId="77777777" w:rsidR="00B368D4" w:rsidRDefault="00B368D4" w:rsidP="00A566D9">
      <w:r>
        <w:separator/>
      </w:r>
    </w:p>
  </w:footnote>
  <w:footnote w:type="continuationSeparator" w:id="0">
    <w:p w14:paraId="5E13BC4D" w14:textId="77777777" w:rsidR="00B368D4" w:rsidRDefault="00B368D4" w:rsidP="00A566D9">
      <w:r>
        <w:continuationSeparator/>
      </w:r>
    </w:p>
  </w:footnote>
  <w:footnote w:id="1">
    <w:p w14:paraId="1BDD8DDD" w14:textId="77777777" w:rsidR="002F011C" w:rsidRPr="00034B44" w:rsidRDefault="002F011C" w:rsidP="002F011C">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D9822D1" w14:textId="77777777" w:rsidR="002F011C" w:rsidRPr="00034B44" w:rsidRDefault="002F011C" w:rsidP="002F011C">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2">
    <w:p w14:paraId="707C62FF" w14:textId="77777777" w:rsidR="002F011C" w:rsidRPr="00034B44" w:rsidRDefault="002F011C" w:rsidP="002F011C">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14:paraId="6EEEBDE1" w14:textId="77777777" w:rsidR="002F011C" w:rsidRPr="00034B44" w:rsidRDefault="002F011C" w:rsidP="002F011C">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7F75AA5" w14:textId="77777777" w:rsidR="002F011C" w:rsidRPr="00034B44" w:rsidRDefault="002F011C" w:rsidP="002F011C">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75D5A29" w14:textId="77777777" w:rsidR="002F011C" w:rsidRPr="00034B44" w:rsidRDefault="002F011C" w:rsidP="002F011C">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14:paraId="6358B826" w14:textId="77777777" w:rsidR="002F011C" w:rsidRPr="00034B44" w:rsidRDefault="002F011C" w:rsidP="002F011C">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5">
    <w:p w14:paraId="5D9D812A" w14:textId="77777777" w:rsidR="002F011C" w:rsidRPr="00034B44" w:rsidRDefault="002F011C" w:rsidP="002F011C">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7E710FA8" w14:textId="77777777" w:rsidR="002F011C" w:rsidRPr="00034B44" w:rsidRDefault="002F011C" w:rsidP="002F011C">
      <w:pPr>
        <w:pStyle w:val="Textonotapie"/>
        <w:jc w:val="both"/>
        <w:rPr>
          <w:rFonts w:ascii="Palatino Linotype" w:hAnsi="Palatino Linotype"/>
          <w:sz w:val="18"/>
        </w:rPr>
      </w:pPr>
      <w:r w:rsidRPr="00034B44">
        <w:rPr>
          <w:rFonts w:ascii="Palatino Linotype" w:hAnsi="Palatino Linotype"/>
          <w:sz w:val="18"/>
        </w:rPr>
        <w:t xml:space="preserve"> (…)</w:t>
      </w:r>
    </w:p>
    <w:p w14:paraId="52729358" w14:textId="77777777" w:rsidR="002F011C" w:rsidRPr="00034B44" w:rsidRDefault="002F011C" w:rsidP="002F011C">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970DB" w14:textId="6B6AB6E6" w:rsidR="001515F0" w:rsidRDefault="006C6012">
    <w:pPr>
      <w:pStyle w:val="Encabezado"/>
    </w:pPr>
    <w:r>
      <w:rPr>
        <w:noProof/>
        <w:lang w:val="es-MX" w:eastAsia="es-MX"/>
      </w:rPr>
      <w:pict w14:anchorId="77F77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91251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8CBA7" w14:textId="6B98BA81" w:rsidR="00AF7651" w:rsidRDefault="006C6012">
    <w:pPr>
      <w:pStyle w:val="Encabezado"/>
    </w:pPr>
    <w:r>
      <w:rPr>
        <w:noProof/>
        <w:lang w:val="es-MX" w:eastAsia="es-MX"/>
      </w:rPr>
      <w:pict w14:anchorId="5D37D1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912517" o:spid="_x0000_s2051" type="#_x0000_t75" style="position:absolute;margin-left:-87.65pt;margin-top:-133.9pt;width:609.4pt;height:793.75pt;z-index:-251656192;mso-position-horizontal-relative:margin;mso-position-vertical-relative:margin" o:allowincell="f">
          <v:imagedata r:id="rId1" o:title="resolución"/>
          <w10:wrap anchorx="margin" anchory="margin"/>
        </v:shape>
      </w:pict>
    </w:r>
  </w:p>
  <w:tbl>
    <w:tblPr>
      <w:tblStyle w:val="Tablaconcuadrcula"/>
      <w:tblW w:w="7372" w:type="dxa"/>
      <w:tblInd w:w="2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F7651" w:rsidRPr="00674A46" w14:paraId="12F46107" w14:textId="77777777" w:rsidTr="001515F0">
      <w:trPr>
        <w:trHeight w:val="138"/>
      </w:trPr>
      <w:tc>
        <w:tcPr>
          <w:tcW w:w="3261" w:type="dxa"/>
          <w:vAlign w:val="center"/>
        </w:tcPr>
        <w:p w14:paraId="40F9A2E1" w14:textId="77777777" w:rsidR="00AF7651" w:rsidRPr="00674A46" w:rsidRDefault="00AF7651" w:rsidP="00A130BB">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43EA6A14" w14:textId="28570BCC" w:rsidR="00AF7651" w:rsidRPr="00F92C71" w:rsidRDefault="00AF7651" w:rsidP="00A130BB">
          <w:pPr>
            <w:pStyle w:val="Encabezado"/>
            <w:rPr>
              <w:rFonts w:ascii="Palatino Linotype" w:hAnsi="Palatino Linotype"/>
              <w:b/>
              <w:sz w:val="22"/>
              <w:szCs w:val="22"/>
            </w:rPr>
          </w:pPr>
          <w:r w:rsidRPr="00F92C71">
            <w:rPr>
              <w:rFonts w:ascii="Palatino Linotype" w:hAnsi="Palatino Linotype"/>
              <w:b/>
              <w:bCs/>
              <w:color w:val="000000" w:themeColor="text1"/>
              <w:sz w:val="22"/>
              <w:szCs w:val="22"/>
            </w:rPr>
            <w:t>01463/INFOEM/IP/RR/2021</w:t>
          </w:r>
        </w:p>
      </w:tc>
    </w:tr>
    <w:tr w:rsidR="00AF7651" w:rsidRPr="00674A46" w14:paraId="7BEDDB25" w14:textId="77777777" w:rsidTr="001515F0">
      <w:trPr>
        <w:trHeight w:val="321"/>
      </w:trPr>
      <w:tc>
        <w:tcPr>
          <w:tcW w:w="3261" w:type="dxa"/>
          <w:vAlign w:val="center"/>
        </w:tcPr>
        <w:p w14:paraId="443B0244" w14:textId="77777777" w:rsidR="00AF7651" w:rsidRPr="00674A46" w:rsidRDefault="00AF7651" w:rsidP="00A130BB">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26D2B170" w14:textId="4B7F8718" w:rsidR="00AF7651" w:rsidRPr="00F92C71" w:rsidRDefault="00AF7651" w:rsidP="00A130BB">
          <w:pPr>
            <w:pStyle w:val="Encabezado"/>
            <w:jc w:val="both"/>
            <w:rPr>
              <w:rFonts w:ascii="Palatino Linotype" w:hAnsi="Palatino Linotype"/>
              <w:b/>
              <w:sz w:val="22"/>
              <w:szCs w:val="22"/>
            </w:rPr>
          </w:pPr>
          <w:r w:rsidRPr="00F92C71">
            <w:rPr>
              <w:rFonts w:ascii="Palatino Linotype" w:hAnsi="Palatino Linotype"/>
              <w:b/>
              <w:sz w:val="22"/>
              <w:szCs w:val="22"/>
            </w:rPr>
            <w:t xml:space="preserve">Ayuntamiento de Huixquilucan </w:t>
          </w:r>
        </w:p>
      </w:tc>
    </w:tr>
    <w:tr w:rsidR="00AF7651" w:rsidRPr="00674A46" w14:paraId="6429E9E6" w14:textId="77777777" w:rsidTr="001515F0">
      <w:trPr>
        <w:trHeight w:val="321"/>
      </w:trPr>
      <w:tc>
        <w:tcPr>
          <w:tcW w:w="3261" w:type="dxa"/>
          <w:vAlign w:val="center"/>
        </w:tcPr>
        <w:p w14:paraId="6EFD02E4" w14:textId="77777777" w:rsidR="00AF7651" w:rsidRPr="00674A46" w:rsidRDefault="00AF7651" w:rsidP="00A130BB">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7B64C6C2" w14:textId="77777777" w:rsidR="00AF7651" w:rsidRPr="00F92C71" w:rsidRDefault="00AF7651" w:rsidP="00A130BB">
          <w:pPr>
            <w:pStyle w:val="Encabezado"/>
            <w:rPr>
              <w:rFonts w:ascii="Palatino Linotype" w:hAnsi="Palatino Linotype"/>
              <w:b/>
              <w:sz w:val="22"/>
              <w:szCs w:val="22"/>
            </w:rPr>
          </w:pPr>
          <w:r w:rsidRPr="00F92C71">
            <w:rPr>
              <w:rFonts w:ascii="Palatino Linotype" w:hAnsi="Palatino Linotype"/>
              <w:b/>
              <w:sz w:val="22"/>
              <w:szCs w:val="22"/>
            </w:rPr>
            <w:t>José Guadalupe Luna Hernández</w:t>
          </w:r>
        </w:p>
      </w:tc>
    </w:tr>
  </w:tbl>
  <w:p w14:paraId="36FF0C46" w14:textId="77777777" w:rsidR="00AF7651" w:rsidRDefault="00AF7651" w:rsidP="00AF7651">
    <w:pPr>
      <w:pStyle w:val="Encabezado"/>
    </w:pPr>
  </w:p>
  <w:p w14:paraId="7186AC99" w14:textId="77777777" w:rsidR="00AF7651" w:rsidRDefault="00AF7651" w:rsidP="00AF765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8F715" w14:textId="5C7D4D9C" w:rsidR="00AF7651" w:rsidRPr="00E6537A" w:rsidRDefault="006C6012">
    <w:pPr>
      <w:pStyle w:val="Encabezado"/>
      <w:rPr>
        <w:rFonts w:ascii="Palatino Linotype" w:hAnsi="Palatino Linotype"/>
      </w:rPr>
    </w:pPr>
    <w:r>
      <w:rPr>
        <w:rFonts w:ascii="Palatino Linotype" w:hAnsi="Palatino Linotype"/>
        <w:noProof/>
        <w:lang w:val="es-MX" w:eastAsia="es-MX"/>
      </w:rPr>
      <w:pict w14:anchorId="4E173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91251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tbl>
    <w:tblPr>
      <w:tblStyle w:val="Tablaconcuadrcula"/>
      <w:tblW w:w="7372" w:type="dxa"/>
      <w:tblInd w:w="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F7651" w:rsidRPr="00E6537A" w14:paraId="1AC251D2" w14:textId="77777777" w:rsidTr="00AF7651">
      <w:trPr>
        <w:trHeight w:val="138"/>
      </w:trPr>
      <w:tc>
        <w:tcPr>
          <w:tcW w:w="3261" w:type="dxa"/>
          <w:vAlign w:val="center"/>
        </w:tcPr>
        <w:p w14:paraId="185BA56A" w14:textId="77777777" w:rsidR="00AF7651" w:rsidRPr="00E6537A" w:rsidRDefault="00AF7651" w:rsidP="00AF7651">
          <w:pPr>
            <w:jc w:val="right"/>
            <w:rPr>
              <w:rFonts w:ascii="Palatino Linotype" w:hAnsi="Palatino Linotype"/>
              <w:b/>
              <w:sz w:val="22"/>
              <w:szCs w:val="22"/>
            </w:rPr>
          </w:pPr>
          <w:r w:rsidRPr="00E6537A">
            <w:rPr>
              <w:rFonts w:ascii="Palatino Linotype" w:hAnsi="Palatino Linotype"/>
              <w:b/>
              <w:sz w:val="22"/>
              <w:szCs w:val="22"/>
            </w:rPr>
            <w:t>RECURSO DE REVISIÓN:</w:t>
          </w:r>
        </w:p>
      </w:tc>
      <w:tc>
        <w:tcPr>
          <w:tcW w:w="4111" w:type="dxa"/>
          <w:vAlign w:val="center"/>
        </w:tcPr>
        <w:p w14:paraId="0EE5A39C" w14:textId="3F8FE51C" w:rsidR="00AF7651" w:rsidRPr="00E6537A" w:rsidRDefault="00AF7651" w:rsidP="00AF7651">
          <w:pPr>
            <w:pStyle w:val="Encabezado"/>
            <w:rPr>
              <w:rFonts w:ascii="Palatino Linotype" w:hAnsi="Palatino Linotype"/>
              <w:b/>
              <w:sz w:val="22"/>
              <w:szCs w:val="22"/>
            </w:rPr>
          </w:pPr>
          <w:r w:rsidRPr="00E6537A">
            <w:rPr>
              <w:rFonts w:ascii="Palatino Linotype" w:hAnsi="Palatino Linotype"/>
              <w:b/>
              <w:bCs/>
              <w:color w:val="000000" w:themeColor="text1"/>
              <w:sz w:val="22"/>
              <w:szCs w:val="22"/>
            </w:rPr>
            <w:t>01463/INFOEM/IP/RR/2021</w:t>
          </w:r>
        </w:p>
      </w:tc>
    </w:tr>
    <w:tr w:rsidR="00AF7651" w:rsidRPr="00E6537A" w14:paraId="04884564" w14:textId="77777777" w:rsidTr="00AF7651">
      <w:trPr>
        <w:trHeight w:val="93"/>
      </w:trPr>
      <w:tc>
        <w:tcPr>
          <w:tcW w:w="3261" w:type="dxa"/>
          <w:vAlign w:val="center"/>
        </w:tcPr>
        <w:p w14:paraId="2BC996F8" w14:textId="77777777" w:rsidR="00AF7651" w:rsidRPr="00E6537A" w:rsidRDefault="00AF7651" w:rsidP="00AF7651">
          <w:pPr>
            <w:jc w:val="right"/>
            <w:rPr>
              <w:rFonts w:ascii="Palatino Linotype" w:hAnsi="Palatino Linotype"/>
              <w:b/>
              <w:sz w:val="22"/>
              <w:szCs w:val="22"/>
            </w:rPr>
          </w:pPr>
          <w:r w:rsidRPr="00E6537A">
            <w:rPr>
              <w:rFonts w:ascii="Palatino Linotype" w:hAnsi="Palatino Linotype"/>
              <w:b/>
              <w:sz w:val="22"/>
              <w:szCs w:val="22"/>
            </w:rPr>
            <w:t>RECURRENTE:</w:t>
          </w:r>
        </w:p>
      </w:tc>
      <w:tc>
        <w:tcPr>
          <w:tcW w:w="4111" w:type="dxa"/>
        </w:tcPr>
        <w:p w14:paraId="6FB16BFA" w14:textId="3FB402A2" w:rsidR="00AF7651" w:rsidRPr="00E6537A" w:rsidRDefault="00563E1B" w:rsidP="00AF7651">
          <w:pPr>
            <w:pStyle w:val="Encabezado"/>
            <w:tabs>
              <w:tab w:val="clear" w:pos="4252"/>
              <w:tab w:val="clear" w:pos="8504"/>
              <w:tab w:val="left" w:pos="521"/>
            </w:tabs>
            <w:rPr>
              <w:rFonts w:ascii="Palatino Linotype" w:hAnsi="Palatino Linotype"/>
              <w:b/>
              <w:sz w:val="22"/>
              <w:szCs w:val="22"/>
            </w:rPr>
          </w:pPr>
          <w:r w:rsidRPr="00563E1B">
            <w:rPr>
              <w:rFonts w:ascii="Palatino Linotype" w:hAnsi="Palatino Linotype"/>
              <w:b/>
              <w:highlight w:val="black"/>
            </w:rPr>
            <w:t>--------------------------------</w:t>
          </w:r>
        </w:p>
      </w:tc>
    </w:tr>
    <w:tr w:rsidR="00AF7651" w:rsidRPr="00E6537A" w14:paraId="31167698" w14:textId="77777777" w:rsidTr="00AF7651">
      <w:trPr>
        <w:trHeight w:val="321"/>
      </w:trPr>
      <w:tc>
        <w:tcPr>
          <w:tcW w:w="3261" w:type="dxa"/>
          <w:vAlign w:val="center"/>
        </w:tcPr>
        <w:p w14:paraId="7ADAD2A2" w14:textId="77777777" w:rsidR="00AF7651" w:rsidRPr="00E6537A" w:rsidRDefault="00AF7651" w:rsidP="00AF7651">
          <w:pPr>
            <w:jc w:val="right"/>
            <w:rPr>
              <w:rFonts w:ascii="Palatino Linotype" w:hAnsi="Palatino Linotype"/>
              <w:b/>
              <w:sz w:val="22"/>
              <w:szCs w:val="22"/>
            </w:rPr>
          </w:pPr>
          <w:r w:rsidRPr="00E6537A">
            <w:rPr>
              <w:rFonts w:ascii="Palatino Linotype" w:hAnsi="Palatino Linotype"/>
              <w:b/>
              <w:sz w:val="22"/>
              <w:szCs w:val="22"/>
            </w:rPr>
            <w:t>SUJETO OBLIGADO:</w:t>
          </w:r>
        </w:p>
      </w:tc>
      <w:tc>
        <w:tcPr>
          <w:tcW w:w="4111" w:type="dxa"/>
          <w:vAlign w:val="center"/>
        </w:tcPr>
        <w:p w14:paraId="37CF91BB" w14:textId="596A9760" w:rsidR="00AF7651" w:rsidRPr="00E6537A" w:rsidRDefault="00AF7651" w:rsidP="00AF7651">
          <w:pPr>
            <w:pStyle w:val="Encabezado"/>
            <w:jc w:val="both"/>
            <w:rPr>
              <w:rFonts w:ascii="Palatino Linotype" w:hAnsi="Palatino Linotype"/>
              <w:b/>
              <w:sz w:val="18"/>
              <w:szCs w:val="18"/>
            </w:rPr>
          </w:pPr>
          <w:r w:rsidRPr="00E6537A">
            <w:rPr>
              <w:rFonts w:ascii="Palatino Linotype" w:hAnsi="Palatino Linotype"/>
              <w:b/>
              <w:bCs/>
              <w:color w:val="000000"/>
              <w:sz w:val="20"/>
              <w:szCs w:val="20"/>
            </w:rPr>
            <w:t>Ayuntamiento de Huixquilucan</w:t>
          </w:r>
        </w:p>
      </w:tc>
    </w:tr>
    <w:tr w:rsidR="00AF7651" w:rsidRPr="00E6537A" w14:paraId="688DEF72" w14:textId="77777777" w:rsidTr="00AF7651">
      <w:trPr>
        <w:trHeight w:val="321"/>
      </w:trPr>
      <w:tc>
        <w:tcPr>
          <w:tcW w:w="3261" w:type="dxa"/>
          <w:vAlign w:val="center"/>
        </w:tcPr>
        <w:p w14:paraId="45D07FE2" w14:textId="77777777" w:rsidR="00AF7651" w:rsidRPr="00E6537A" w:rsidRDefault="00AF7651" w:rsidP="00AF7651">
          <w:pPr>
            <w:jc w:val="right"/>
            <w:rPr>
              <w:rFonts w:ascii="Palatino Linotype" w:hAnsi="Palatino Linotype"/>
              <w:b/>
              <w:sz w:val="22"/>
              <w:szCs w:val="22"/>
            </w:rPr>
          </w:pPr>
          <w:r w:rsidRPr="00E6537A">
            <w:rPr>
              <w:rFonts w:ascii="Palatino Linotype" w:hAnsi="Palatino Linotype"/>
              <w:b/>
              <w:sz w:val="22"/>
              <w:szCs w:val="22"/>
            </w:rPr>
            <w:t>COMISIONADO PONENTE:</w:t>
          </w:r>
        </w:p>
      </w:tc>
      <w:tc>
        <w:tcPr>
          <w:tcW w:w="4111" w:type="dxa"/>
          <w:vAlign w:val="center"/>
        </w:tcPr>
        <w:p w14:paraId="6AC6D2B2" w14:textId="77777777" w:rsidR="00AF7651" w:rsidRPr="00E6537A" w:rsidRDefault="00AF7651" w:rsidP="00AF7651">
          <w:pPr>
            <w:pStyle w:val="Encabezado"/>
            <w:rPr>
              <w:rFonts w:ascii="Palatino Linotype" w:hAnsi="Palatino Linotype"/>
              <w:b/>
              <w:sz w:val="22"/>
              <w:szCs w:val="22"/>
            </w:rPr>
          </w:pPr>
          <w:r w:rsidRPr="00E6537A">
            <w:rPr>
              <w:rFonts w:ascii="Palatino Linotype" w:hAnsi="Palatino Linotype"/>
              <w:b/>
              <w:sz w:val="22"/>
              <w:szCs w:val="22"/>
            </w:rPr>
            <w:t>José Guadalupe Luna Hernández</w:t>
          </w:r>
        </w:p>
      </w:tc>
    </w:tr>
  </w:tbl>
  <w:p w14:paraId="2827E120" w14:textId="77777777" w:rsidR="00AF7651" w:rsidRPr="00E6537A" w:rsidRDefault="00AF7651" w:rsidP="00AF7651">
    <w:pPr>
      <w:pStyle w:val="Encabezado"/>
      <w:tabs>
        <w:tab w:val="clear" w:pos="4252"/>
        <w:tab w:val="clear" w:pos="8504"/>
        <w:tab w:val="left" w:pos="3103"/>
      </w:tabs>
      <w:rPr>
        <w:rFonts w:ascii="Palatino Linotype" w:hAnsi="Palatino Linotyp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1C3"/>
    <w:multiLevelType w:val="hybridMultilevel"/>
    <w:tmpl w:val="9A58BD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8E6610"/>
    <w:multiLevelType w:val="hybridMultilevel"/>
    <w:tmpl w:val="C8DC24E8"/>
    <w:lvl w:ilvl="0" w:tplc="06CC1562">
      <w:start w:val="2"/>
      <w:numFmt w:val="upp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2" w15:restartNumberingAfterBreak="0">
    <w:nsid w:val="026F0769"/>
    <w:multiLevelType w:val="hybridMultilevel"/>
    <w:tmpl w:val="41023E48"/>
    <w:lvl w:ilvl="0" w:tplc="063229F6">
      <w:start w:val="1"/>
      <w:numFmt w:val="lowerLetter"/>
      <w:lvlText w:val="%1)"/>
      <w:lvlJc w:val="left"/>
      <w:pPr>
        <w:ind w:left="1170" w:hanging="360"/>
      </w:pPr>
      <w:rPr>
        <w:rFonts w:hint="default"/>
      </w:rPr>
    </w:lvl>
    <w:lvl w:ilvl="1" w:tplc="040A0019" w:tentative="1">
      <w:start w:val="1"/>
      <w:numFmt w:val="lowerLetter"/>
      <w:lvlText w:val="%2."/>
      <w:lvlJc w:val="left"/>
      <w:pPr>
        <w:ind w:left="1890" w:hanging="360"/>
      </w:pPr>
    </w:lvl>
    <w:lvl w:ilvl="2" w:tplc="040A001B" w:tentative="1">
      <w:start w:val="1"/>
      <w:numFmt w:val="lowerRoman"/>
      <w:lvlText w:val="%3."/>
      <w:lvlJc w:val="right"/>
      <w:pPr>
        <w:ind w:left="2610" w:hanging="180"/>
      </w:pPr>
    </w:lvl>
    <w:lvl w:ilvl="3" w:tplc="040A000F" w:tentative="1">
      <w:start w:val="1"/>
      <w:numFmt w:val="decimal"/>
      <w:lvlText w:val="%4."/>
      <w:lvlJc w:val="left"/>
      <w:pPr>
        <w:ind w:left="3330" w:hanging="360"/>
      </w:pPr>
    </w:lvl>
    <w:lvl w:ilvl="4" w:tplc="040A0019" w:tentative="1">
      <w:start w:val="1"/>
      <w:numFmt w:val="lowerLetter"/>
      <w:lvlText w:val="%5."/>
      <w:lvlJc w:val="left"/>
      <w:pPr>
        <w:ind w:left="4050" w:hanging="360"/>
      </w:pPr>
    </w:lvl>
    <w:lvl w:ilvl="5" w:tplc="040A001B" w:tentative="1">
      <w:start w:val="1"/>
      <w:numFmt w:val="lowerRoman"/>
      <w:lvlText w:val="%6."/>
      <w:lvlJc w:val="right"/>
      <w:pPr>
        <w:ind w:left="4770" w:hanging="180"/>
      </w:pPr>
    </w:lvl>
    <w:lvl w:ilvl="6" w:tplc="040A000F" w:tentative="1">
      <w:start w:val="1"/>
      <w:numFmt w:val="decimal"/>
      <w:lvlText w:val="%7."/>
      <w:lvlJc w:val="left"/>
      <w:pPr>
        <w:ind w:left="5490" w:hanging="360"/>
      </w:pPr>
    </w:lvl>
    <w:lvl w:ilvl="7" w:tplc="040A0019" w:tentative="1">
      <w:start w:val="1"/>
      <w:numFmt w:val="lowerLetter"/>
      <w:lvlText w:val="%8."/>
      <w:lvlJc w:val="left"/>
      <w:pPr>
        <w:ind w:left="6210" w:hanging="360"/>
      </w:pPr>
    </w:lvl>
    <w:lvl w:ilvl="8" w:tplc="040A001B" w:tentative="1">
      <w:start w:val="1"/>
      <w:numFmt w:val="lowerRoman"/>
      <w:lvlText w:val="%9."/>
      <w:lvlJc w:val="right"/>
      <w:pPr>
        <w:ind w:left="6930" w:hanging="180"/>
      </w:pPr>
    </w:lvl>
  </w:abstractNum>
  <w:abstractNum w:abstractNumId="3" w15:restartNumberingAfterBreak="0">
    <w:nsid w:val="062D2039"/>
    <w:multiLevelType w:val="hybridMultilevel"/>
    <w:tmpl w:val="4DD8A54C"/>
    <w:lvl w:ilvl="0" w:tplc="24FE874A">
      <w:start w:val="1"/>
      <w:numFmt w:val="lowerRoman"/>
      <w:lvlText w:val="%1."/>
      <w:lvlJc w:val="right"/>
      <w:pPr>
        <w:ind w:left="3851" w:hanging="360"/>
      </w:pPr>
      <w:rPr>
        <w:b/>
      </w:rPr>
    </w:lvl>
    <w:lvl w:ilvl="1" w:tplc="BDF01878">
      <w:start w:val="1"/>
      <w:numFmt w:val="decimal"/>
      <w:lvlText w:val="%2."/>
      <w:lvlJc w:val="left"/>
      <w:pPr>
        <w:ind w:left="3284" w:hanging="360"/>
      </w:pPr>
      <w:rPr>
        <w:rFonts w:hint="default"/>
      </w:rPr>
    </w:lvl>
    <w:lvl w:ilvl="2" w:tplc="080A001B" w:tentative="1">
      <w:start w:val="1"/>
      <w:numFmt w:val="lowerRoman"/>
      <w:lvlText w:val="%3."/>
      <w:lvlJc w:val="right"/>
      <w:pPr>
        <w:ind w:left="4004" w:hanging="180"/>
      </w:pPr>
    </w:lvl>
    <w:lvl w:ilvl="3" w:tplc="080A000F" w:tentative="1">
      <w:start w:val="1"/>
      <w:numFmt w:val="decimal"/>
      <w:lvlText w:val="%4."/>
      <w:lvlJc w:val="left"/>
      <w:pPr>
        <w:ind w:left="4724" w:hanging="360"/>
      </w:pPr>
    </w:lvl>
    <w:lvl w:ilvl="4" w:tplc="080A0019" w:tentative="1">
      <w:start w:val="1"/>
      <w:numFmt w:val="lowerLetter"/>
      <w:lvlText w:val="%5."/>
      <w:lvlJc w:val="left"/>
      <w:pPr>
        <w:ind w:left="5444" w:hanging="360"/>
      </w:pPr>
    </w:lvl>
    <w:lvl w:ilvl="5" w:tplc="080A001B" w:tentative="1">
      <w:start w:val="1"/>
      <w:numFmt w:val="lowerRoman"/>
      <w:lvlText w:val="%6."/>
      <w:lvlJc w:val="right"/>
      <w:pPr>
        <w:ind w:left="6164" w:hanging="180"/>
      </w:pPr>
    </w:lvl>
    <w:lvl w:ilvl="6" w:tplc="080A000F" w:tentative="1">
      <w:start w:val="1"/>
      <w:numFmt w:val="decimal"/>
      <w:lvlText w:val="%7."/>
      <w:lvlJc w:val="left"/>
      <w:pPr>
        <w:ind w:left="6884" w:hanging="360"/>
      </w:pPr>
    </w:lvl>
    <w:lvl w:ilvl="7" w:tplc="080A0019" w:tentative="1">
      <w:start w:val="1"/>
      <w:numFmt w:val="lowerLetter"/>
      <w:lvlText w:val="%8."/>
      <w:lvlJc w:val="left"/>
      <w:pPr>
        <w:ind w:left="7604" w:hanging="360"/>
      </w:pPr>
    </w:lvl>
    <w:lvl w:ilvl="8" w:tplc="080A001B" w:tentative="1">
      <w:start w:val="1"/>
      <w:numFmt w:val="lowerRoman"/>
      <w:lvlText w:val="%9."/>
      <w:lvlJc w:val="right"/>
      <w:pPr>
        <w:ind w:left="8324" w:hanging="180"/>
      </w:pPr>
    </w:lvl>
  </w:abstractNum>
  <w:abstractNum w:abstractNumId="4"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162412"/>
    <w:multiLevelType w:val="hybridMultilevel"/>
    <w:tmpl w:val="D226A4A2"/>
    <w:lvl w:ilvl="0" w:tplc="81840846">
      <w:start w:val="1"/>
      <w:numFmt w:val="upperLetter"/>
      <w:lvlText w:val="%1)"/>
      <w:lvlJc w:val="left"/>
      <w:pPr>
        <w:ind w:left="786" w:hanging="360"/>
      </w:pPr>
      <w:rPr>
        <w:rFonts w:eastAsia="Calibri"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B25E50"/>
    <w:multiLevelType w:val="hybridMultilevel"/>
    <w:tmpl w:val="EE282F26"/>
    <w:lvl w:ilvl="0" w:tplc="50FE83F2">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24902AE"/>
    <w:multiLevelType w:val="hybridMultilevel"/>
    <w:tmpl w:val="19423B56"/>
    <w:lvl w:ilvl="0" w:tplc="8F5AF6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30D8558E"/>
    <w:lvl w:ilvl="0" w:tplc="97B68A0C">
      <w:start w:val="1"/>
      <w:numFmt w:val="decimal"/>
      <w:lvlText w:val="%1."/>
      <w:lvlJc w:val="left"/>
      <w:pPr>
        <w:ind w:left="657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361D30"/>
    <w:multiLevelType w:val="hybridMultilevel"/>
    <w:tmpl w:val="41023E48"/>
    <w:lvl w:ilvl="0" w:tplc="063229F6">
      <w:start w:val="1"/>
      <w:numFmt w:val="lowerLetter"/>
      <w:lvlText w:val="%1)"/>
      <w:lvlJc w:val="left"/>
      <w:pPr>
        <w:ind w:left="1170" w:hanging="360"/>
      </w:pPr>
      <w:rPr>
        <w:rFonts w:hint="default"/>
      </w:rPr>
    </w:lvl>
    <w:lvl w:ilvl="1" w:tplc="040A0019" w:tentative="1">
      <w:start w:val="1"/>
      <w:numFmt w:val="lowerLetter"/>
      <w:lvlText w:val="%2."/>
      <w:lvlJc w:val="left"/>
      <w:pPr>
        <w:ind w:left="1890" w:hanging="360"/>
      </w:pPr>
    </w:lvl>
    <w:lvl w:ilvl="2" w:tplc="040A001B" w:tentative="1">
      <w:start w:val="1"/>
      <w:numFmt w:val="lowerRoman"/>
      <w:lvlText w:val="%3."/>
      <w:lvlJc w:val="right"/>
      <w:pPr>
        <w:ind w:left="2610" w:hanging="180"/>
      </w:pPr>
    </w:lvl>
    <w:lvl w:ilvl="3" w:tplc="040A000F" w:tentative="1">
      <w:start w:val="1"/>
      <w:numFmt w:val="decimal"/>
      <w:lvlText w:val="%4."/>
      <w:lvlJc w:val="left"/>
      <w:pPr>
        <w:ind w:left="3330" w:hanging="360"/>
      </w:pPr>
    </w:lvl>
    <w:lvl w:ilvl="4" w:tplc="040A0019" w:tentative="1">
      <w:start w:val="1"/>
      <w:numFmt w:val="lowerLetter"/>
      <w:lvlText w:val="%5."/>
      <w:lvlJc w:val="left"/>
      <w:pPr>
        <w:ind w:left="4050" w:hanging="360"/>
      </w:pPr>
    </w:lvl>
    <w:lvl w:ilvl="5" w:tplc="040A001B" w:tentative="1">
      <w:start w:val="1"/>
      <w:numFmt w:val="lowerRoman"/>
      <w:lvlText w:val="%6."/>
      <w:lvlJc w:val="right"/>
      <w:pPr>
        <w:ind w:left="4770" w:hanging="180"/>
      </w:pPr>
    </w:lvl>
    <w:lvl w:ilvl="6" w:tplc="040A000F" w:tentative="1">
      <w:start w:val="1"/>
      <w:numFmt w:val="decimal"/>
      <w:lvlText w:val="%7."/>
      <w:lvlJc w:val="left"/>
      <w:pPr>
        <w:ind w:left="5490" w:hanging="360"/>
      </w:pPr>
    </w:lvl>
    <w:lvl w:ilvl="7" w:tplc="040A0019" w:tentative="1">
      <w:start w:val="1"/>
      <w:numFmt w:val="lowerLetter"/>
      <w:lvlText w:val="%8."/>
      <w:lvlJc w:val="left"/>
      <w:pPr>
        <w:ind w:left="6210" w:hanging="360"/>
      </w:pPr>
    </w:lvl>
    <w:lvl w:ilvl="8" w:tplc="040A001B" w:tentative="1">
      <w:start w:val="1"/>
      <w:numFmt w:val="lowerRoman"/>
      <w:lvlText w:val="%9."/>
      <w:lvlJc w:val="right"/>
      <w:pPr>
        <w:ind w:left="6930" w:hanging="180"/>
      </w:pPr>
    </w:lvl>
  </w:abstractNum>
  <w:abstractNum w:abstractNumId="10" w15:restartNumberingAfterBreak="0">
    <w:nsid w:val="3E5B64D2"/>
    <w:multiLevelType w:val="hybridMultilevel"/>
    <w:tmpl w:val="F1B07BB0"/>
    <w:lvl w:ilvl="0" w:tplc="1B560144">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4054025"/>
    <w:multiLevelType w:val="hybridMultilevel"/>
    <w:tmpl w:val="F9C21E8A"/>
    <w:lvl w:ilvl="0" w:tplc="C09A74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61526C1"/>
    <w:multiLevelType w:val="hybridMultilevel"/>
    <w:tmpl w:val="5E5A124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5B0F1DBB"/>
    <w:multiLevelType w:val="hybridMultilevel"/>
    <w:tmpl w:val="EE282F26"/>
    <w:lvl w:ilvl="0" w:tplc="50FE83F2">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5FDC54E6"/>
    <w:multiLevelType w:val="hybridMultilevel"/>
    <w:tmpl w:val="EE282F26"/>
    <w:lvl w:ilvl="0" w:tplc="50FE83F2">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AF3DB4"/>
    <w:multiLevelType w:val="hybridMultilevel"/>
    <w:tmpl w:val="911C54D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8"/>
  </w:num>
  <w:num w:numId="2">
    <w:abstractNumId w:val="15"/>
  </w:num>
  <w:num w:numId="3">
    <w:abstractNumId w:val="16"/>
  </w:num>
  <w:num w:numId="4">
    <w:abstractNumId w:val="1"/>
  </w:num>
  <w:num w:numId="5">
    <w:abstractNumId w:val="5"/>
  </w:num>
  <w:num w:numId="6">
    <w:abstractNumId w:val="4"/>
  </w:num>
  <w:num w:numId="7">
    <w:abstractNumId w:val="2"/>
  </w:num>
  <w:num w:numId="8">
    <w:abstractNumId w:val="11"/>
  </w:num>
  <w:num w:numId="9">
    <w:abstractNumId w:val="0"/>
  </w:num>
  <w:num w:numId="10">
    <w:abstractNumId w:val="9"/>
  </w:num>
  <w:num w:numId="11">
    <w:abstractNumId w:val="13"/>
  </w:num>
  <w:num w:numId="12">
    <w:abstractNumId w:val="6"/>
  </w:num>
  <w:num w:numId="13">
    <w:abstractNumId w:val="14"/>
  </w:num>
  <w:num w:numId="14">
    <w:abstractNumId w:val="3"/>
  </w:num>
  <w:num w:numId="15">
    <w:abstractNumId w:val="12"/>
  </w:num>
  <w:num w:numId="16">
    <w:abstractNumId w:val="10"/>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6D9"/>
    <w:rsid w:val="000C5D11"/>
    <w:rsid w:val="0015137E"/>
    <w:rsid w:val="001515F0"/>
    <w:rsid w:val="0018018B"/>
    <w:rsid w:val="002321AE"/>
    <w:rsid w:val="002637F3"/>
    <w:rsid w:val="002731AA"/>
    <w:rsid w:val="002867F8"/>
    <w:rsid w:val="0028743E"/>
    <w:rsid w:val="002B4C04"/>
    <w:rsid w:val="002F011C"/>
    <w:rsid w:val="00313765"/>
    <w:rsid w:val="00393C57"/>
    <w:rsid w:val="003D5285"/>
    <w:rsid w:val="003F4783"/>
    <w:rsid w:val="00476A54"/>
    <w:rsid w:val="004D4DFF"/>
    <w:rsid w:val="004E5F37"/>
    <w:rsid w:val="00563E1B"/>
    <w:rsid w:val="00571345"/>
    <w:rsid w:val="005F0DE9"/>
    <w:rsid w:val="00676D71"/>
    <w:rsid w:val="006C6012"/>
    <w:rsid w:val="006E61F1"/>
    <w:rsid w:val="00732CF6"/>
    <w:rsid w:val="007F0592"/>
    <w:rsid w:val="0084798D"/>
    <w:rsid w:val="0087606B"/>
    <w:rsid w:val="008B504C"/>
    <w:rsid w:val="008D0E93"/>
    <w:rsid w:val="00956D5A"/>
    <w:rsid w:val="009673EB"/>
    <w:rsid w:val="00A130BB"/>
    <w:rsid w:val="00A566D9"/>
    <w:rsid w:val="00A66041"/>
    <w:rsid w:val="00AB3A59"/>
    <w:rsid w:val="00AD6EEE"/>
    <w:rsid w:val="00AF7651"/>
    <w:rsid w:val="00B368D4"/>
    <w:rsid w:val="00C81CA9"/>
    <w:rsid w:val="00C8636A"/>
    <w:rsid w:val="00D265A2"/>
    <w:rsid w:val="00E6537A"/>
    <w:rsid w:val="00EB0A76"/>
    <w:rsid w:val="00F35285"/>
    <w:rsid w:val="00F92C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266605"/>
  <w15:chartTrackingRefBased/>
  <w15:docId w15:val="{BAF7421C-2708-44F9-9BAB-C30B7FCAA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6D9"/>
    <w:pPr>
      <w:spacing w:after="0" w:line="240" w:lineRule="auto"/>
    </w:pPr>
    <w:rPr>
      <w:rFonts w:ascii="Times New Roman" w:eastAsia="Times New Roman" w:hAnsi="Times New Roman" w:cs="Times New Roman"/>
      <w:sz w:val="24"/>
      <w:szCs w:val="24"/>
      <w:lang w:val="es-US" w:eastAsia="es-ES_tradnl"/>
    </w:rPr>
  </w:style>
  <w:style w:type="paragraph" w:styleId="Ttulo1">
    <w:name w:val="heading 1"/>
    <w:basedOn w:val="Normal"/>
    <w:next w:val="Normal"/>
    <w:link w:val="Ttulo1Car"/>
    <w:uiPriority w:val="9"/>
    <w:qFormat/>
    <w:rsid w:val="00A566D9"/>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566D9"/>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2F011C"/>
    <w:pPr>
      <w:keepNext/>
      <w:keepLines/>
      <w:spacing w:before="40" w:line="259" w:lineRule="auto"/>
      <w:outlineLvl w:val="2"/>
    </w:pPr>
    <w:rPr>
      <w:rFonts w:asciiTheme="majorHAnsi" w:eastAsiaTheme="majorEastAsia" w:hAnsiTheme="majorHAnsi" w:cstheme="majorBidi"/>
      <w:color w:val="1F3763"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66D9"/>
    <w:rPr>
      <w:rFonts w:ascii="Palatino Linotype" w:eastAsiaTheme="majorEastAsia" w:hAnsi="Palatino Linotype" w:cstheme="majorBidi"/>
      <w:sz w:val="24"/>
      <w:szCs w:val="32"/>
    </w:rPr>
  </w:style>
  <w:style w:type="character" w:customStyle="1" w:styleId="Ttulo2Car">
    <w:name w:val="Título 2 Car"/>
    <w:basedOn w:val="Fuentedeprrafopredeter"/>
    <w:link w:val="Ttulo2"/>
    <w:uiPriority w:val="9"/>
    <w:rsid w:val="00A566D9"/>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A566D9"/>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A566D9"/>
    <w:rPr>
      <w:rFonts w:eastAsiaTheme="minorEastAsia"/>
      <w:sz w:val="24"/>
      <w:szCs w:val="24"/>
      <w:lang w:val="es-ES_tradnl" w:eastAsia="es-ES"/>
    </w:rPr>
  </w:style>
  <w:style w:type="paragraph" w:styleId="Piedepgina">
    <w:name w:val="footer"/>
    <w:basedOn w:val="Normal"/>
    <w:link w:val="PiedepginaCar"/>
    <w:uiPriority w:val="99"/>
    <w:unhideWhenUsed/>
    <w:rsid w:val="00A566D9"/>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A566D9"/>
    <w:rPr>
      <w:rFonts w:eastAsiaTheme="minorEastAsia"/>
      <w:sz w:val="24"/>
      <w:szCs w:val="24"/>
      <w:lang w:val="es-ES_tradnl" w:eastAsia="es-ES"/>
    </w:rPr>
  </w:style>
  <w:style w:type="table" w:styleId="Tablaconcuadrcula">
    <w:name w:val="Table Grid"/>
    <w:basedOn w:val="Tablanormal"/>
    <w:uiPriority w:val="39"/>
    <w:rsid w:val="00A566D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66D9"/>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66D9"/>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A566D9"/>
    <w:rPr>
      <w:color w:val="0563C1" w:themeColor="hyperlink"/>
      <w:u w:val="single"/>
    </w:rPr>
  </w:style>
  <w:style w:type="paragraph" w:styleId="TDC1">
    <w:name w:val="toc 1"/>
    <w:basedOn w:val="Normal"/>
    <w:next w:val="Normal"/>
    <w:autoRedefine/>
    <w:uiPriority w:val="39"/>
    <w:unhideWhenUsed/>
    <w:rsid w:val="00A566D9"/>
    <w:pPr>
      <w:tabs>
        <w:tab w:val="left" w:pos="440"/>
        <w:tab w:val="right" w:leader="dot" w:pos="8828"/>
      </w:tabs>
      <w:spacing w:after="100" w:line="480" w:lineRule="auto"/>
      <w:ind w:left="708"/>
      <w:jc w:val="both"/>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566D9"/>
    <w:pPr>
      <w:tabs>
        <w:tab w:val="right" w:leader="dot" w:pos="9676"/>
      </w:tabs>
      <w:spacing w:after="100" w:line="360" w:lineRule="auto"/>
    </w:pPr>
    <w:rPr>
      <w:rFonts w:asciiTheme="minorHAnsi" w:eastAsiaTheme="minorEastAsia" w:hAnsiTheme="minorHAnsi" w:cstheme="minorBidi"/>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566D9"/>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566D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A566D9"/>
    <w:rPr>
      <w:vertAlign w:val="superscript"/>
    </w:rPr>
  </w:style>
  <w:style w:type="character" w:customStyle="1" w:styleId="Mencinsinresolver1">
    <w:name w:val="Mención sin resolver1"/>
    <w:basedOn w:val="Fuentedeprrafopredeter"/>
    <w:uiPriority w:val="99"/>
    <w:semiHidden/>
    <w:unhideWhenUsed/>
    <w:rsid w:val="008B504C"/>
    <w:rPr>
      <w:color w:val="605E5C"/>
      <w:shd w:val="clear" w:color="auto" w:fill="E1DFDD"/>
    </w:rPr>
  </w:style>
  <w:style w:type="character" w:customStyle="1" w:styleId="Ttulo3Car">
    <w:name w:val="Título 3 Car"/>
    <w:basedOn w:val="Fuentedeprrafopredeter"/>
    <w:link w:val="Ttulo3"/>
    <w:uiPriority w:val="9"/>
    <w:semiHidden/>
    <w:rsid w:val="002F011C"/>
    <w:rPr>
      <w:rFonts w:asciiTheme="majorHAnsi" w:eastAsiaTheme="majorEastAsia" w:hAnsiTheme="majorHAnsi" w:cstheme="majorBidi"/>
      <w:color w:val="1F3763" w:themeColor="accent1" w:themeShade="7F"/>
      <w:sz w:val="24"/>
      <w:szCs w:val="24"/>
    </w:rPr>
  </w:style>
  <w:style w:type="paragraph" w:styleId="Sinespaciado">
    <w:name w:val="No Spacing"/>
    <w:aliases w:val="Francesa"/>
    <w:link w:val="SinespaciadoCar"/>
    <w:uiPriority w:val="1"/>
    <w:qFormat/>
    <w:rsid w:val="002F011C"/>
    <w:pPr>
      <w:spacing w:after="0" w:line="240" w:lineRule="auto"/>
    </w:pPr>
  </w:style>
  <w:style w:type="character" w:customStyle="1" w:styleId="SinespaciadoCar">
    <w:name w:val="Sin espaciado Car"/>
    <w:aliases w:val="Francesa Car"/>
    <w:link w:val="Sinespaciado"/>
    <w:uiPriority w:val="1"/>
    <w:locked/>
    <w:rsid w:val="002F01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590623">
      <w:bodyDiv w:val="1"/>
      <w:marLeft w:val="0"/>
      <w:marRight w:val="0"/>
      <w:marTop w:val="0"/>
      <w:marBottom w:val="0"/>
      <w:divBdr>
        <w:top w:val="none" w:sz="0" w:space="0" w:color="auto"/>
        <w:left w:val="none" w:sz="0" w:space="0" w:color="auto"/>
        <w:bottom w:val="none" w:sz="0" w:space="0" w:color="auto"/>
        <w:right w:val="none" w:sz="0" w:space="0" w:color="auto"/>
      </w:divBdr>
    </w:div>
    <w:div w:id="1490517018">
      <w:bodyDiv w:val="1"/>
      <w:marLeft w:val="0"/>
      <w:marRight w:val="0"/>
      <w:marTop w:val="0"/>
      <w:marBottom w:val="0"/>
      <w:divBdr>
        <w:top w:val="none" w:sz="0" w:space="0" w:color="auto"/>
        <w:left w:val="none" w:sz="0" w:space="0" w:color="auto"/>
        <w:bottom w:val="none" w:sz="0" w:space="0" w:color="auto"/>
        <w:right w:val="none" w:sz="0" w:space="0" w:color="auto"/>
      </w:divBdr>
    </w:div>
    <w:div w:id="202921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HUIXQUILUCAN/AR92xxxviiid.wed" TargetMode="External"/><Relationship Id="rId13" Type="http://schemas.openxmlformats.org/officeDocument/2006/relationships/image" Target="media/image3.tif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saimex.org.mx/saimex/solicitud/downloadAttach/1092182.page" TargetMode="External"/><Relationship Id="rId12" Type="http://schemas.openxmlformats.org/officeDocument/2006/relationships/image" Target="media/image2.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hyperlink" Target="https://www.ipomex.org.mx/ipo3/lgt/indice/HUIXQUILUCAN/art_92_xxxviii_d.web"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pomex.org.mx/ipo3/lgt/indice/HUIXQUILUCAN/art_92_xxxviii_d.web" TargetMode="External"/><Relationship Id="rId14" Type="http://schemas.openxmlformats.org/officeDocument/2006/relationships/image" Target="media/image4.tif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59</Pages>
  <Words>11259</Words>
  <Characters>61926</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Vallejo Ramirez</dc:creator>
  <cp:keywords/>
  <dc:description/>
  <cp:lastModifiedBy>C.P. Verónica Mtz</cp:lastModifiedBy>
  <cp:revision>6</cp:revision>
  <dcterms:created xsi:type="dcterms:W3CDTF">2021-05-13T21:25:00Z</dcterms:created>
  <dcterms:modified xsi:type="dcterms:W3CDTF">2021-06-24T05:20:00Z</dcterms:modified>
</cp:coreProperties>
</file>