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39F4" w:rsidRPr="005E2220" w:rsidRDefault="003E479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5E2220">
        <w:rPr>
          <w:rFonts w:ascii="Palatino Linotype" w:eastAsia="Palatino Linotype" w:hAnsi="Palatino Linotype" w:cs="Palatino Linotype"/>
          <w:color w:val="000000"/>
          <w:sz w:val="24"/>
          <w:szCs w:val="24"/>
        </w:rPr>
        <w:t>Resolución del Pleno del Instituto de Transparencia, Acceso a la Información Pública y Protección de Datos Personales del Estado de México y Municipios, con domi</w:t>
      </w:r>
      <w:r w:rsidR="00AF5EE1">
        <w:rPr>
          <w:rFonts w:ascii="Palatino Linotype" w:eastAsia="Palatino Linotype" w:hAnsi="Palatino Linotype" w:cs="Palatino Linotype"/>
          <w:color w:val="000000"/>
          <w:sz w:val="24"/>
          <w:szCs w:val="24"/>
        </w:rPr>
        <w:t>cilio en Metepec, México, a veinte d</w:t>
      </w:r>
      <w:r w:rsidRPr="005E2220">
        <w:rPr>
          <w:rFonts w:ascii="Palatino Linotype" w:eastAsia="Palatino Linotype" w:hAnsi="Palatino Linotype" w:cs="Palatino Linotype"/>
          <w:color w:val="000000"/>
          <w:sz w:val="24"/>
          <w:szCs w:val="24"/>
        </w:rPr>
        <w:t>e octubre de dos mil veintiuno.</w:t>
      </w:r>
    </w:p>
    <w:p w:rsidR="00FF39F4" w:rsidRPr="005E2220" w:rsidRDefault="00FF39F4">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FF39F4" w:rsidRPr="005E2220" w:rsidRDefault="003E479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5E2220">
        <w:rPr>
          <w:rFonts w:ascii="Palatino Linotype" w:eastAsia="Palatino Linotype" w:hAnsi="Palatino Linotype" w:cs="Palatino Linotype"/>
          <w:b/>
          <w:color w:val="000000"/>
          <w:sz w:val="24"/>
          <w:szCs w:val="24"/>
        </w:rPr>
        <w:t>VISTO</w:t>
      </w:r>
      <w:r w:rsidRPr="005E2220">
        <w:rPr>
          <w:rFonts w:ascii="Palatino Linotype" w:eastAsia="Palatino Linotype" w:hAnsi="Palatino Linotype" w:cs="Palatino Linotype"/>
          <w:color w:val="000000"/>
          <w:sz w:val="24"/>
          <w:szCs w:val="24"/>
        </w:rPr>
        <w:t xml:space="preserve"> el expediente electrónico formado con motivo del recurso de revisión número </w:t>
      </w:r>
      <w:r w:rsidRPr="005E2220">
        <w:rPr>
          <w:rFonts w:ascii="Palatino Linotype" w:eastAsia="Palatino Linotype" w:hAnsi="Palatino Linotype" w:cs="Palatino Linotype"/>
          <w:b/>
          <w:color w:val="000000"/>
          <w:sz w:val="24"/>
          <w:szCs w:val="24"/>
        </w:rPr>
        <w:t>04540/INFOEM/IP/RR/2021</w:t>
      </w:r>
      <w:r w:rsidRPr="005E2220">
        <w:rPr>
          <w:rFonts w:ascii="Palatino Linotype" w:eastAsia="Palatino Linotype" w:hAnsi="Palatino Linotype" w:cs="Palatino Linotype"/>
          <w:color w:val="000000"/>
          <w:sz w:val="24"/>
          <w:szCs w:val="24"/>
        </w:rPr>
        <w:t xml:space="preserve"> interpuestos por </w:t>
      </w:r>
      <w:proofErr w:type="spellStart"/>
      <w:r w:rsidR="00B55D1D">
        <w:rPr>
          <w:rFonts w:ascii="Palatino Linotype" w:eastAsia="Palatino Linotype" w:hAnsi="Palatino Linotype" w:cs="Palatino Linotype"/>
          <w:b/>
          <w:color w:val="000000"/>
          <w:sz w:val="24"/>
          <w:szCs w:val="24"/>
        </w:rPr>
        <w:t>xxxxxxxxxxxxxxx</w:t>
      </w:r>
      <w:proofErr w:type="spellEnd"/>
      <w:r w:rsidRPr="005E2220">
        <w:rPr>
          <w:rFonts w:ascii="Palatino Linotype" w:eastAsia="Palatino Linotype" w:hAnsi="Palatino Linotype" w:cs="Palatino Linotype"/>
          <w:b/>
          <w:color w:val="000000"/>
          <w:sz w:val="24"/>
          <w:szCs w:val="24"/>
        </w:rPr>
        <w:t>,</w:t>
      </w:r>
      <w:r w:rsidRPr="005E2220">
        <w:rPr>
          <w:rFonts w:ascii="Palatino Linotype" w:eastAsia="Palatino Linotype" w:hAnsi="Palatino Linotype" w:cs="Palatino Linotype"/>
          <w:color w:val="000000"/>
          <w:sz w:val="24"/>
          <w:szCs w:val="24"/>
        </w:rPr>
        <w:t xml:space="preserve"> en lo sucesivo el</w:t>
      </w:r>
      <w:r w:rsidRPr="005E2220">
        <w:rPr>
          <w:rFonts w:ascii="Palatino Linotype" w:eastAsia="Palatino Linotype" w:hAnsi="Palatino Linotype" w:cs="Palatino Linotype"/>
          <w:b/>
          <w:color w:val="000000"/>
          <w:sz w:val="24"/>
          <w:szCs w:val="24"/>
        </w:rPr>
        <w:t xml:space="preserve"> Recurrente</w:t>
      </w:r>
      <w:r w:rsidRPr="005E2220">
        <w:rPr>
          <w:rFonts w:ascii="Palatino Linotype" w:eastAsia="Palatino Linotype" w:hAnsi="Palatino Linotype" w:cs="Palatino Linotype"/>
          <w:color w:val="000000"/>
          <w:sz w:val="24"/>
          <w:szCs w:val="24"/>
        </w:rPr>
        <w:t xml:space="preserve">; en contra de la falta de respuesta del </w:t>
      </w:r>
      <w:r w:rsidRPr="005E2220">
        <w:rPr>
          <w:rFonts w:ascii="Palatino Linotype" w:eastAsia="Palatino Linotype" w:hAnsi="Palatino Linotype" w:cs="Palatino Linotype"/>
          <w:b/>
          <w:color w:val="000000"/>
          <w:sz w:val="24"/>
          <w:szCs w:val="24"/>
        </w:rPr>
        <w:t xml:space="preserve">Ayuntamiento de Tonatico, </w:t>
      </w:r>
      <w:r w:rsidRPr="005E2220">
        <w:rPr>
          <w:rFonts w:ascii="Palatino Linotype" w:eastAsia="Palatino Linotype" w:hAnsi="Palatino Linotype" w:cs="Palatino Linotype"/>
          <w:color w:val="000000"/>
          <w:sz w:val="24"/>
          <w:szCs w:val="24"/>
        </w:rPr>
        <w:t>en lo subsecuente</w:t>
      </w:r>
      <w:r w:rsidRPr="005E2220">
        <w:rPr>
          <w:rFonts w:ascii="Palatino Linotype" w:eastAsia="Palatino Linotype" w:hAnsi="Palatino Linotype" w:cs="Palatino Linotype"/>
          <w:b/>
          <w:color w:val="000000"/>
          <w:sz w:val="24"/>
          <w:szCs w:val="24"/>
        </w:rPr>
        <w:t xml:space="preserve"> </w:t>
      </w:r>
      <w:r w:rsidRPr="005E2220">
        <w:rPr>
          <w:rFonts w:ascii="Palatino Linotype" w:eastAsia="Palatino Linotype" w:hAnsi="Palatino Linotype" w:cs="Palatino Linotype"/>
          <w:color w:val="000000"/>
          <w:sz w:val="24"/>
          <w:szCs w:val="24"/>
        </w:rPr>
        <w:t>el</w:t>
      </w:r>
      <w:r w:rsidRPr="005E2220">
        <w:rPr>
          <w:rFonts w:ascii="Palatino Linotype" w:eastAsia="Palatino Linotype" w:hAnsi="Palatino Linotype" w:cs="Palatino Linotype"/>
          <w:b/>
          <w:color w:val="000000"/>
          <w:sz w:val="24"/>
          <w:szCs w:val="24"/>
        </w:rPr>
        <w:t xml:space="preserve"> Sujeto Obligado</w:t>
      </w:r>
      <w:r w:rsidRPr="005E2220">
        <w:rPr>
          <w:rFonts w:ascii="Palatino Linotype" w:eastAsia="Palatino Linotype" w:hAnsi="Palatino Linotype" w:cs="Palatino Linotype"/>
          <w:color w:val="000000"/>
          <w:sz w:val="24"/>
          <w:szCs w:val="24"/>
        </w:rPr>
        <w:t>,</w:t>
      </w:r>
      <w:r w:rsidRPr="005E2220">
        <w:rPr>
          <w:rFonts w:ascii="Palatino Linotype" w:eastAsia="Palatino Linotype" w:hAnsi="Palatino Linotype" w:cs="Palatino Linotype"/>
          <w:b/>
          <w:color w:val="000000"/>
          <w:sz w:val="24"/>
          <w:szCs w:val="24"/>
        </w:rPr>
        <w:t xml:space="preserve"> </w:t>
      </w:r>
      <w:r w:rsidRPr="005E2220">
        <w:rPr>
          <w:rFonts w:ascii="Palatino Linotype" w:eastAsia="Palatino Linotype" w:hAnsi="Palatino Linotype" w:cs="Palatino Linotype"/>
          <w:color w:val="000000"/>
          <w:sz w:val="24"/>
          <w:szCs w:val="24"/>
        </w:rPr>
        <w:t>se procede a dictar la presente resolución.</w:t>
      </w:r>
    </w:p>
    <w:p w:rsidR="00FF39F4" w:rsidRPr="005E2220" w:rsidRDefault="00FF39F4">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FF39F4" w:rsidRPr="005E2220" w:rsidRDefault="003E4790">
      <w:pPr>
        <w:pBdr>
          <w:top w:val="nil"/>
          <w:left w:val="nil"/>
          <w:bottom w:val="nil"/>
          <w:right w:val="nil"/>
          <w:between w:val="nil"/>
        </w:pBdr>
        <w:spacing w:after="0" w:line="360" w:lineRule="auto"/>
        <w:jc w:val="center"/>
        <w:rPr>
          <w:rFonts w:ascii="Palatino Linotype" w:eastAsia="Palatino Linotype" w:hAnsi="Palatino Linotype" w:cs="Palatino Linotype"/>
          <w:b/>
          <w:color w:val="000000"/>
          <w:sz w:val="28"/>
          <w:szCs w:val="28"/>
        </w:rPr>
      </w:pPr>
      <w:r w:rsidRPr="005E2220">
        <w:rPr>
          <w:rFonts w:ascii="Palatino Linotype" w:eastAsia="Palatino Linotype" w:hAnsi="Palatino Linotype" w:cs="Palatino Linotype"/>
          <w:b/>
          <w:color w:val="000000"/>
          <w:sz w:val="28"/>
          <w:szCs w:val="28"/>
        </w:rPr>
        <w:t>A N T E C E D E N T E S</w:t>
      </w:r>
    </w:p>
    <w:p w:rsidR="00FF39F4" w:rsidRPr="005E2220" w:rsidRDefault="00FF39F4">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rPr>
      </w:pPr>
    </w:p>
    <w:p w:rsidR="00FF39F4" w:rsidRPr="005E2220" w:rsidRDefault="003E4790">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6"/>
          <w:szCs w:val="26"/>
        </w:rPr>
      </w:pPr>
      <w:r w:rsidRPr="005E2220">
        <w:rPr>
          <w:rFonts w:ascii="Palatino Linotype" w:eastAsia="Palatino Linotype" w:hAnsi="Palatino Linotype" w:cs="Palatino Linotype"/>
          <w:b/>
          <w:color w:val="000000"/>
          <w:sz w:val="26"/>
          <w:szCs w:val="26"/>
        </w:rPr>
        <w:t>PRIMERO.</w:t>
      </w:r>
      <w:r w:rsidRPr="005E2220">
        <w:rPr>
          <w:rFonts w:ascii="Palatino Linotype" w:eastAsia="Palatino Linotype" w:hAnsi="Palatino Linotype" w:cs="Palatino Linotype"/>
          <w:color w:val="000000"/>
          <w:sz w:val="26"/>
          <w:szCs w:val="26"/>
        </w:rPr>
        <w:t xml:space="preserve"> </w:t>
      </w:r>
      <w:r w:rsidRPr="005E2220">
        <w:rPr>
          <w:rFonts w:ascii="Palatino Linotype" w:eastAsia="Palatino Linotype" w:hAnsi="Palatino Linotype" w:cs="Palatino Linotype"/>
          <w:b/>
          <w:color w:val="000000"/>
          <w:sz w:val="26"/>
          <w:szCs w:val="26"/>
        </w:rPr>
        <w:t>De la Solicitud de Información.</w:t>
      </w:r>
    </w:p>
    <w:p w:rsidR="00FF39F4" w:rsidRPr="005E2220" w:rsidRDefault="003E479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5E2220">
        <w:rPr>
          <w:rFonts w:ascii="Palatino Linotype" w:eastAsia="Palatino Linotype" w:hAnsi="Palatino Linotype" w:cs="Palatino Linotype"/>
          <w:color w:val="000000"/>
          <w:sz w:val="24"/>
          <w:szCs w:val="24"/>
        </w:rPr>
        <w:t>Con fecha ocho de julio de dos mil veintiuno, el Recurrente presentó a través del Sistema de Acceso a la Información Mexiquense (</w:t>
      </w:r>
      <w:r w:rsidRPr="005E2220">
        <w:rPr>
          <w:rFonts w:ascii="Palatino Linotype" w:eastAsia="Palatino Linotype" w:hAnsi="Palatino Linotype" w:cs="Palatino Linotype"/>
          <w:b/>
          <w:color w:val="000000"/>
          <w:sz w:val="24"/>
          <w:szCs w:val="24"/>
        </w:rPr>
        <w:t>SAIMEX)</w:t>
      </w:r>
      <w:r w:rsidRPr="005E2220">
        <w:rPr>
          <w:rFonts w:ascii="Palatino Linotype" w:eastAsia="Palatino Linotype" w:hAnsi="Palatino Linotype" w:cs="Palatino Linotype"/>
          <w:color w:val="000000"/>
          <w:sz w:val="24"/>
          <w:szCs w:val="24"/>
        </w:rPr>
        <w:t xml:space="preserve"> ante el Sujeto Obligado, solicitud de acceso a la información pública registrada bajo el número de expediente</w:t>
      </w:r>
      <w:r w:rsidRPr="005E2220">
        <w:rPr>
          <w:rFonts w:ascii="Palatino Linotype" w:eastAsia="Palatino Linotype" w:hAnsi="Palatino Linotype" w:cs="Palatino Linotype"/>
          <w:b/>
          <w:color w:val="000000"/>
          <w:sz w:val="24"/>
          <w:szCs w:val="24"/>
        </w:rPr>
        <w:t xml:space="preserve"> 00058/TONATICO/IP/2021</w:t>
      </w:r>
      <w:r w:rsidRPr="005E2220">
        <w:rPr>
          <w:rFonts w:ascii="Palatino Linotype" w:eastAsia="Palatino Linotype" w:hAnsi="Palatino Linotype" w:cs="Palatino Linotype"/>
          <w:color w:val="000000"/>
          <w:sz w:val="24"/>
          <w:szCs w:val="24"/>
        </w:rPr>
        <w:t>,</w:t>
      </w:r>
      <w:r w:rsidRPr="005E2220">
        <w:rPr>
          <w:rFonts w:ascii="Palatino Linotype" w:eastAsia="Palatino Linotype" w:hAnsi="Palatino Linotype" w:cs="Palatino Linotype"/>
          <w:b/>
          <w:color w:val="000000"/>
          <w:sz w:val="24"/>
          <w:szCs w:val="24"/>
        </w:rPr>
        <w:t xml:space="preserve"> </w:t>
      </w:r>
      <w:r w:rsidRPr="005E2220">
        <w:rPr>
          <w:rFonts w:ascii="Palatino Linotype" w:eastAsia="Palatino Linotype" w:hAnsi="Palatino Linotype" w:cs="Palatino Linotype"/>
          <w:color w:val="000000"/>
          <w:sz w:val="24"/>
          <w:szCs w:val="24"/>
        </w:rPr>
        <w:t>mediante la cual solicitó información en el tenor siguiente:</w:t>
      </w:r>
    </w:p>
    <w:p w:rsidR="00FF39F4" w:rsidRPr="005E2220" w:rsidRDefault="00FF39F4">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FF39F4" w:rsidRPr="005E2220" w:rsidRDefault="003E4790">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sz w:val="24"/>
          <w:szCs w:val="24"/>
        </w:rPr>
      </w:pPr>
      <w:r w:rsidRPr="005E2220">
        <w:rPr>
          <w:rFonts w:ascii="Palatino Linotype" w:eastAsia="Palatino Linotype" w:hAnsi="Palatino Linotype" w:cs="Palatino Linotype"/>
          <w:i/>
          <w:color w:val="000000"/>
          <w:sz w:val="24"/>
          <w:szCs w:val="24"/>
        </w:rPr>
        <w:t>“1. Si existe una solicitud al Ayuntamiento y /o a la Dirección de Desarrollo Urbano del Ayuntamiento de Tonatico, México, de cambio de uso de suelo en el paraje conocido como Santa Eduviges/</w:t>
      </w:r>
      <w:proofErr w:type="spellStart"/>
      <w:r w:rsidRPr="005E2220">
        <w:rPr>
          <w:rFonts w:ascii="Palatino Linotype" w:eastAsia="Palatino Linotype" w:hAnsi="Palatino Linotype" w:cs="Palatino Linotype"/>
          <w:i/>
          <w:color w:val="000000"/>
          <w:sz w:val="24"/>
          <w:szCs w:val="24"/>
        </w:rPr>
        <w:t>Edwiges</w:t>
      </w:r>
      <w:proofErr w:type="spellEnd"/>
      <w:r w:rsidRPr="005E2220">
        <w:rPr>
          <w:rFonts w:ascii="Palatino Linotype" w:eastAsia="Palatino Linotype" w:hAnsi="Palatino Linotype" w:cs="Palatino Linotype"/>
          <w:i/>
          <w:color w:val="000000"/>
          <w:sz w:val="24"/>
          <w:szCs w:val="24"/>
        </w:rPr>
        <w:t xml:space="preserve"> en la comunidad de la Vega, Tonatico, Estado de México, en el periodo comprendido de enero de 2016 a la fecha. Solicito el documento de solicitud y documento de autorización en su caso del cambio de uso de suelo en el paraje conocido como Santa Eduviges/</w:t>
      </w:r>
      <w:proofErr w:type="spellStart"/>
      <w:r w:rsidRPr="005E2220">
        <w:rPr>
          <w:rFonts w:ascii="Palatino Linotype" w:eastAsia="Palatino Linotype" w:hAnsi="Palatino Linotype" w:cs="Palatino Linotype"/>
          <w:i/>
          <w:color w:val="000000"/>
          <w:sz w:val="24"/>
          <w:szCs w:val="24"/>
        </w:rPr>
        <w:t>Edwiges</w:t>
      </w:r>
      <w:proofErr w:type="spellEnd"/>
      <w:r w:rsidRPr="005E2220">
        <w:rPr>
          <w:rFonts w:ascii="Palatino Linotype" w:eastAsia="Palatino Linotype" w:hAnsi="Palatino Linotype" w:cs="Palatino Linotype"/>
          <w:i/>
          <w:color w:val="000000"/>
          <w:sz w:val="24"/>
          <w:szCs w:val="24"/>
        </w:rPr>
        <w:t xml:space="preserve"> en la </w:t>
      </w:r>
      <w:r w:rsidRPr="005E2220">
        <w:rPr>
          <w:rFonts w:ascii="Palatino Linotype" w:eastAsia="Palatino Linotype" w:hAnsi="Palatino Linotype" w:cs="Palatino Linotype"/>
          <w:i/>
          <w:color w:val="000000"/>
          <w:sz w:val="24"/>
          <w:szCs w:val="24"/>
        </w:rPr>
        <w:lastRenderedPageBreak/>
        <w:t>comunidad de la Vega, Tonatico, Estado de México, en el periodo comprendido de enero de 2016 a la fecha.</w:t>
      </w:r>
    </w:p>
    <w:p w:rsidR="00FF39F4" w:rsidRPr="005E2220" w:rsidRDefault="003E4790">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sz w:val="24"/>
          <w:szCs w:val="24"/>
        </w:rPr>
      </w:pPr>
      <w:r w:rsidRPr="005E2220">
        <w:rPr>
          <w:rFonts w:ascii="Palatino Linotype" w:eastAsia="Palatino Linotype" w:hAnsi="Palatino Linotype" w:cs="Palatino Linotype"/>
          <w:i/>
          <w:color w:val="000000"/>
          <w:sz w:val="24"/>
          <w:szCs w:val="24"/>
        </w:rPr>
        <w:t>2. Si existen solicitud ante el Ayuntamiento y /o a la Dirección de Desarrollo Urbano del Ayuntamiento de Tonatico, México, de lotificación condominio, para el paraje conocido Santa Eduviges/</w:t>
      </w:r>
      <w:proofErr w:type="spellStart"/>
      <w:r w:rsidRPr="005E2220">
        <w:rPr>
          <w:rFonts w:ascii="Palatino Linotype" w:eastAsia="Palatino Linotype" w:hAnsi="Palatino Linotype" w:cs="Palatino Linotype"/>
          <w:i/>
          <w:color w:val="000000"/>
          <w:sz w:val="24"/>
          <w:szCs w:val="24"/>
        </w:rPr>
        <w:t>Edwiges</w:t>
      </w:r>
      <w:proofErr w:type="spellEnd"/>
      <w:r w:rsidRPr="005E2220">
        <w:rPr>
          <w:rFonts w:ascii="Palatino Linotype" w:eastAsia="Palatino Linotype" w:hAnsi="Palatino Linotype" w:cs="Palatino Linotype"/>
          <w:i/>
          <w:color w:val="000000"/>
          <w:sz w:val="24"/>
          <w:szCs w:val="24"/>
        </w:rPr>
        <w:t xml:space="preserve"> en la comunidad de la Vega, Tonatico, Estado de México, en el periodo comprendido de enero de 2016 a la fecha. Solicito documento en el que se apruebe la autorización de la lotificación de condominio, para el paraje conocido Santa Eduviges/</w:t>
      </w:r>
      <w:proofErr w:type="spellStart"/>
      <w:r w:rsidRPr="005E2220">
        <w:rPr>
          <w:rFonts w:ascii="Palatino Linotype" w:eastAsia="Palatino Linotype" w:hAnsi="Palatino Linotype" w:cs="Palatino Linotype"/>
          <w:i/>
          <w:color w:val="000000"/>
          <w:sz w:val="24"/>
          <w:szCs w:val="24"/>
        </w:rPr>
        <w:t>Edwiges</w:t>
      </w:r>
      <w:proofErr w:type="spellEnd"/>
      <w:r w:rsidRPr="005E2220">
        <w:rPr>
          <w:rFonts w:ascii="Palatino Linotype" w:eastAsia="Palatino Linotype" w:hAnsi="Palatino Linotype" w:cs="Palatino Linotype"/>
          <w:i/>
          <w:color w:val="000000"/>
          <w:sz w:val="24"/>
          <w:szCs w:val="24"/>
        </w:rPr>
        <w:t xml:space="preserve"> en la comunidad de la Vega, Tonatico, Estado de México,</w:t>
      </w:r>
    </w:p>
    <w:p w:rsidR="00FF39F4" w:rsidRPr="005E2220" w:rsidRDefault="003E4790">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sz w:val="24"/>
          <w:szCs w:val="24"/>
        </w:rPr>
      </w:pPr>
      <w:r w:rsidRPr="005E2220">
        <w:rPr>
          <w:rFonts w:ascii="Palatino Linotype" w:eastAsia="Palatino Linotype" w:hAnsi="Palatino Linotype" w:cs="Palatino Linotype"/>
          <w:i/>
          <w:color w:val="000000"/>
          <w:sz w:val="24"/>
          <w:szCs w:val="24"/>
        </w:rPr>
        <w:t>3. Si existen solicitud de conjunto urbano Ayuntamiento y /o a la Dirección de Desarrollo Urbano del Ayuntamiento de Tonatico, México, en el paraje conocido Santa Eduviges/</w:t>
      </w:r>
      <w:proofErr w:type="spellStart"/>
      <w:r w:rsidRPr="005E2220">
        <w:rPr>
          <w:rFonts w:ascii="Palatino Linotype" w:eastAsia="Palatino Linotype" w:hAnsi="Palatino Linotype" w:cs="Palatino Linotype"/>
          <w:i/>
          <w:color w:val="000000"/>
          <w:sz w:val="24"/>
          <w:szCs w:val="24"/>
        </w:rPr>
        <w:t>Edwiges</w:t>
      </w:r>
      <w:proofErr w:type="spellEnd"/>
      <w:r w:rsidRPr="005E2220">
        <w:rPr>
          <w:rFonts w:ascii="Palatino Linotype" w:eastAsia="Palatino Linotype" w:hAnsi="Palatino Linotype" w:cs="Palatino Linotype"/>
          <w:i/>
          <w:color w:val="000000"/>
          <w:sz w:val="24"/>
          <w:szCs w:val="24"/>
        </w:rPr>
        <w:t>, en la comunidad de la Vega, Tonatico, Estado de México, en el periodo comprendido de enero de 2016 a la fecha. Solicito documento en el que se apruebe la autorización de la lotificación de condominio, para el paraje conocido Santa Eduviges/</w:t>
      </w:r>
      <w:proofErr w:type="spellStart"/>
      <w:r w:rsidRPr="005E2220">
        <w:rPr>
          <w:rFonts w:ascii="Palatino Linotype" w:eastAsia="Palatino Linotype" w:hAnsi="Palatino Linotype" w:cs="Palatino Linotype"/>
          <w:i/>
          <w:color w:val="000000"/>
          <w:sz w:val="24"/>
          <w:szCs w:val="24"/>
        </w:rPr>
        <w:t>Edwiges</w:t>
      </w:r>
      <w:proofErr w:type="spellEnd"/>
      <w:r w:rsidRPr="005E2220">
        <w:rPr>
          <w:rFonts w:ascii="Palatino Linotype" w:eastAsia="Palatino Linotype" w:hAnsi="Palatino Linotype" w:cs="Palatino Linotype"/>
          <w:i/>
          <w:color w:val="000000"/>
          <w:sz w:val="24"/>
          <w:szCs w:val="24"/>
        </w:rPr>
        <w:t xml:space="preserve"> en la comunidad de la Vega, Tonatico, Estado de México.</w:t>
      </w:r>
    </w:p>
    <w:p w:rsidR="00FF39F4" w:rsidRPr="005E2220" w:rsidRDefault="003E4790">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sz w:val="24"/>
          <w:szCs w:val="24"/>
        </w:rPr>
      </w:pPr>
      <w:r w:rsidRPr="005E2220">
        <w:rPr>
          <w:rFonts w:ascii="Palatino Linotype" w:eastAsia="Palatino Linotype" w:hAnsi="Palatino Linotype" w:cs="Palatino Linotype"/>
          <w:i/>
          <w:color w:val="000000"/>
          <w:sz w:val="24"/>
          <w:szCs w:val="24"/>
        </w:rPr>
        <w:t>4. Si se tiene solicitud y permiso de construcción ante el Ayuntamiento y /o a la Dirección de Desarrollo Urbano del Ayuntamiento de Tonatico, México, en el paraje conocido Santa Eduviges/</w:t>
      </w:r>
      <w:proofErr w:type="spellStart"/>
      <w:r w:rsidRPr="005E2220">
        <w:rPr>
          <w:rFonts w:ascii="Palatino Linotype" w:eastAsia="Palatino Linotype" w:hAnsi="Palatino Linotype" w:cs="Palatino Linotype"/>
          <w:i/>
          <w:color w:val="000000"/>
          <w:sz w:val="24"/>
          <w:szCs w:val="24"/>
        </w:rPr>
        <w:t>Edwiges</w:t>
      </w:r>
      <w:proofErr w:type="spellEnd"/>
      <w:r w:rsidRPr="005E2220">
        <w:rPr>
          <w:rFonts w:ascii="Palatino Linotype" w:eastAsia="Palatino Linotype" w:hAnsi="Palatino Linotype" w:cs="Palatino Linotype"/>
          <w:i/>
          <w:color w:val="000000"/>
          <w:sz w:val="24"/>
          <w:szCs w:val="24"/>
        </w:rPr>
        <w:t>, en la comunidad de la Vega, Tonatico, Estado de México, en el periodo comprendido de enero de 2016 a la fecha, anexar documentos que soporten la solicitud y permiso de construcción.</w:t>
      </w:r>
    </w:p>
    <w:p w:rsidR="00FF39F4" w:rsidRPr="005E2220" w:rsidRDefault="003E4790">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sz w:val="24"/>
          <w:szCs w:val="24"/>
        </w:rPr>
      </w:pPr>
      <w:r w:rsidRPr="005E2220">
        <w:rPr>
          <w:rFonts w:ascii="Palatino Linotype" w:eastAsia="Palatino Linotype" w:hAnsi="Palatino Linotype" w:cs="Palatino Linotype"/>
          <w:i/>
          <w:color w:val="000000"/>
          <w:sz w:val="24"/>
          <w:szCs w:val="24"/>
        </w:rPr>
        <w:t>5. Si dentro del plan de desarrollo municipio, existe actualización del 2019 a la fecha, en la que contemple la generación de infraestructura hidráulica, alumbrado, para asentamientos urbanos en el paraje conocido Santa Eduviges/</w:t>
      </w:r>
      <w:proofErr w:type="spellStart"/>
      <w:r w:rsidRPr="005E2220">
        <w:rPr>
          <w:rFonts w:ascii="Palatino Linotype" w:eastAsia="Palatino Linotype" w:hAnsi="Palatino Linotype" w:cs="Palatino Linotype"/>
          <w:i/>
          <w:color w:val="000000"/>
          <w:sz w:val="24"/>
          <w:szCs w:val="24"/>
        </w:rPr>
        <w:t>Edwiges</w:t>
      </w:r>
      <w:proofErr w:type="spellEnd"/>
      <w:r w:rsidRPr="005E2220">
        <w:rPr>
          <w:rFonts w:ascii="Palatino Linotype" w:eastAsia="Palatino Linotype" w:hAnsi="Palatino Linotype" w:cs="Palatino Linotype"/>
          <w:i/>
          <w:color w:val="000000"/>
          <w:sz w:val="24"/>
          <w:szCs w:val="24"/>
        </w:rPr>
        <w:t xml:space="preserve">, la Vega, Tonatico, Estado de México </w:t>
      </w:r>
    </w:p>
    <w:p w:rsidR="00FF39F4" w:rsidRPr="005E2220" w:rsidRDefault="003E4790">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sz w:val="24"/>
          <w:szCs w:val="24"/>
        </w:rPr>
      </w:pPr>
      <w:r w:rsidRPr="005E2220">
        <w:rPr>
          <w:rFonts w:ascii="Palatino Linotype" w:eastAsia="Palatino Linotype" w:hAnsi="Palatino Linotype" w:cs="Palatino Linotype"/>
          <w:i/>
          <w:color w:val="000000"/>
          <w:sz w:val="24"/>
          <w:szCs w:val="24"/>
        </w:rPr>
        <w:t>6. Si se tiene en trámite o autorizado por parte de Ayuntamiento de Tonatico /Dirección de Desarrollo Urbano de Tonatico, Estado de México, el proyecto de construcción de la ciudad de la Torá en la comunidad de la Vega, Tonatico, Estado de México, enero de 2016 a la fecha; anexe copia de solicitud, escritura pública de constitución, planos y autorización.</w:t>
      </w:r>
    </w:p>
    <w:p w:rsidR="00FF39F4" w:rsidRPr="005E2220" w:rsidRDefault="003E4790">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b/>
          <w:color w:val="000000"/>
          <w:sz w:val="24"/>
          <w:szCs w:val="24"/>
          <w:u w:val="single"/>
        </w:rPr>
      </w:pPr>
      <w:r w:rsidRPr="005E2220">
        <w:rPr>
          <w:rFonts w:ascii="Palatino Linotype" w:eastAsia="Palatino Linotype" w:hAnsi="Palatino Linotype" w:cs="Palatino Linotype"/>
          <w:i/>
          <w:color w:val="000000"/>
          <w:sz w:val="24"/>
          <w:szCs w:val="24"/>
        </w:rPr>
        <w:t>7. Si se tiene solicitud de deforestación ante el Ayuntamiento de Tonatico/Comisión de medio Ambiente/ Dirección de Medio Ambiente; en el paraje conocido Santa Eduviges/</w:t>
      </w:r>
      <w:proofErr w:type="spellStart"/>
      <w:r w:rsidRPr="005E2220">
        <w:rPr>
          <w:rFonts w:ascii="Palatino Linotype" w:eastAsia="Palatino Linotype" w:hAnsi="Palatino Linotype" w:cs="Palatino Linotype"/>
          <w:i/>
          <w:color w:val="000000"/>
          <w:sz w:val="24"/>
          <w:szCs w:val="24"/>
        </w:rPr>
        <w:t>Edwiges</w:t>
      </w:r>
      <w:proofErr w:type="spellEnd"/>
      <w:r w:rsidRPr="005E2220">
        <w:rPr>
          <w:rFonts w:ascii="Palatino Linotype" w:eastAsia="Palatino Linotype" w:hAnsi="Palatino Linotype" w:cs="Palatino Linotype"/>
          <w:i/>
          <w:color w:val="000000"/>
          <w:sz w:val="24"/>
          <w:szCs w:val="24"/>
        </w:rPr>
        <w:t>, en la comunidad de la Vega, Tonatico, Estado de México, anexar solicitud y autorización.” (Sic)</w:t>
      </w:r>
    </w:p>
    <w:p w:rsidR="00FF39F4" w:rsidRPr="005E2220" w:rsidRDefault="00FF39F4">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u w:val="single"/>
        </w:rPr>
      </w:pPr>
    </w:p>
    <w:p w:rsidR="00FF39F4" w:rsidRPr="005E2220" w:rsidRDefault="003E479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5E2220">
        <w:rPr>
          <w:rFonts w:ascii="Palatino Linotype" w:eastAsia="Palatino Linotype" w:hAnsi="Palatino Linotype" w:cs="Palatino Linotype"/>
          <w:color w:val="000000"/>
          <w:sz w:val="24"/>
          <w:szCs w:val="24"/>
        </w:rPr>
        <w:t xml:space="preserve">Modalidad de entrega: a través del </w:t>
      </w:r>
      <w:r w:rsidRPr="005E2220">
        <w:rPr>
          <w:rFonts w:ascii="Palatino Linotype" w:eastAsia="Palatino Linotype" w:hAnsi="Palatino Linotype" w:cs="Palatino Linotype"/>
          <w:b/>
          <w:color w:val="000000"/>
          <w:sz w:val="24"/>
          <w:szCs w:val="24"/>
        </w:rPr>
        <w:t>SAIMEX</w:t>
      </w:r>
      <w:r w:rsidRPr="005E2220">
        <w:rPr>
          <w:rFonts w:ascii="Palatino Linotype" w:eastAsia="Palatino Linotype" w:hAnsi="Palatino Linotype" w:cs="Palatino Linotype"/>
          <w:color w:val="000000"/>
          <w:sz w:val="24"/>
          <w:szCs w:val="24"/>
        </w:rPr>
        <w:t>.</w:t>
      </w:r>
      <w:bookmarkStart w:id="0" w:name="_GoBack"/>
      <w:bookmarkEnd w:id="0"/>
    </w:p>
    <w:p w:rsidR="00FF39F4" w:rsidRPr="005E2220" w:rsidRDefault="00FF39F4">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FF39F4" w:rsidRPr="005E2220" w:rsidRDefault="003E479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5E2220">
        <w:rPr>
          <w:rFonts w:ascii="Palatino Linotype" w:eastAsia="Palatino Linotype" w:hAnsi="Palatino Linotype" w:cs="Palatino Linotype"/>
          <w:b/>
          <w:color w:val="000000"/>
          <w:sz w:val="26"/>
          <w:szCs w:val="26"/>
        </w:rPr>
        <w:t>SEGUNDO. De la respuesta del Sujeto Obligado.</w:t>
      </w:r>
    </w:p>
    <w:p w:rsidR="00FF39F4" w:rsidRPr="005E2220" w:rsidRDefault="003E479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5E2220">
        <w:rPr>
          <w:rFonts w:ascii="Palatino Linotype" w:eastAsia="Palatino Linotype" w:hAnsi="Palatino Linotype" w:cs="Palatino Linotype"/>
          <w:color w:val="000000"/>
          <w:sz w:val="24"/>
          <w:szCs w:val="24"/>
        </w:rPr>
        <w:t xml:space="preserve">En el expediente electrónico </w:t>
      </w:r>
      <w:r w:rsidRPr="005E2220">
        <w:rPr>
          <w:rFonts w:ascii="Palatino Linotype" w:eastAsia="Palatino Linotype" w:hAnsi="Palatino Linotype" w:cs="Palatino Linotype"/>
          <w:b/>
          <w:color w:val="000000"/>
          <w:sz w:val="24"/>
          <w:szCs w:val="24"/>
        </w:rPr>
        <w:t>SAIMEX</w:t>
      </w:r>
      <w:r w:rsidRPr="005E2220">
        <w:rPr>
          <w:rFonts w:ascii="Palatino Linotype" w:eastAsia="Palatino Linotype" w:hAnsi="Palatino Linotype" w:cs="Palatino Linotype"/>
          <w:color w:val="000000"/>
          <w:sz w:val="24"/>
          <w:szCs w:val="24"/>
        </w:rPr>
        <w:t xml:space="preserve">, se observa que el Sujeto Obligado fue omiso en dar respuesta a la solicitud de información presentada por el Recurrente. Derivado de lo anterior, se constituye la figura de la </w:t>
      </w:r>
      <w:r w:rsidRPr="005E2220">
        <w:rPr>
          <w:rFonts w:ascii="Palatino Linotype" w:eastAsia="Palatino Linotype" w:hAnsi="Palatino Linotype" w:cs="Palatino Linotype"/>
          <w:b/>
          <w:i/>
          <w:color w:val="000000"/>
          <w:sz w:val="24"/>
          <w:szCs w:val="24"/>
        </w:rPr>
        <w:t>Negativa Ficta</w:t>
      </w:r>
      <w:r w:rsidRPr="005E2220">
        <w:rPr>
          <w:rFonts w:ascii="Palatino Linotype" w:eastAsia="Palatino Linotype" w:hAnsi="Palatino Linotype" w:cs="Palatino Linotype"/>
          <w:color w:val="000000"/>
          <w:sz w:val="24"/>
          <w:szCs w:val="24"/>
        </w:rPr>
        <w:t>, cuya esencia consiste en atribuir un efecto negativo de la autoridad administrativa frente a las instancias y solicitudes que hagan los particulares.</w:t>
      </w:r>
    </w:p>
    <w:p w:rsidR="00FF39F4" w:rsidRPr="005E2220" w:rsidRDefault="00FF39F4">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FF39F4" w:rsidRPr="005E2220" w:rsidRDefault="003E4790">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6"/>
          <w:szCs w:val="26"/>
        </w:rPr>
      </w:pPr>
      <w:r w:rsidRPr="005E2220">
        <w:rPr>
          <w:rFonts w:ascii="Palatino Linotype" w:eastAsia="Palatino Linotype" w:hAnsi="Palatino Linotype" w:cs="Palatino Linotype"/>
          <w:b/>
          <w:color w:val="000000"/>
          <w:sz w:val="26"/>
          <w:szCs w:val="26"/>
        </w:rPr>
        <w:t>TERCERO. Del recurso de revisión.</w:t>
      </w:r>
    </w:p>
    <w:p w:rsidR="00FF39F4" w:rsidRPr="005E2220" w:rsidRDefault="003E479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5E2220">
        <w:rPr>
          <w:rFonts w:ascii="Palatino Linotype" w:eastAsia="Palatino Linotype" w:hAnsi="Palatino Linotype" w:cs="Palatino Linotype"/>
          <w:color w:val="000000"/>
          <w:sz w:val="24"/>
          <w:szCs w:val="24"/>
        </w:rPr>
        <w:t>En fecha tres de septiembre de dos mil veintiuno, el Recurrente interpuso recurso de revisión, el cual fue registrado</w:t>
      </w:r>
      <w:r w:rsidRPr="005E2220">
        <w:rPr>
          <w:rFonts w:ascii="Palatino Linotype" w:eastAsia="Palatino Linotype" w:hAnsi="Palatino Linotype" w:cs="Palatino Linotype"/>
          <w:b/>
          <w:color w:val="000000"/>
          <w:sz w:val="24"/>
          <w:szCs w:val="24"/>
        </w:rPr>
        <w:t xml:space="preserve"> </w:t>
      </w:r>
      <w:r w:rsidRPr="005E2220">
        <w:rPr>
          <w:rFonts w:ascii="Palatino Linotype" w:eastAsia="Palatino Linotype" w:hAnsi="Palatino Linotype" w:cs="Palatino Linotype"/>
          <w:color w:val="000000"/>
          <w:sz w:val="24"/>
          <w:szCs w:val="24"/>
        </w:rPr>
        <w:t xml:space="preserve">en el </w:t>
      </w:r>
      <w:r w:rsidRPr="005E2220">
        <w:rPr>
          <w:rFonts w:ascii="Palatino Linotype" w:eastAsia="Palatino Linotype" w:hAnsi="Palatino Linotype" w:cs="Palatino Linotype"/>
          <w:b/>
          <w:color w:val="000000"/>
          <w:sz w:val="24"/>
          <w:szCs w:val="24"/>
        </w:rPr>
        <w:t>SAIMEX</w:t>
      </w:r>
      <w:r w:rsidRPr="005E2220">
        <w:rPr>
          <w:rFonts w:ascii="Palatino Linotype" w:eastAsia="Palatino Linotype" w:hAnsi="Palatino Linotype" w:cs="Palatino Linotype"/>
          <w:color w:val="000000"/>
          <w:sz w:val="24"/>
          <w:szCs w:val="24"/>
        </w:rPr>
        <w:t xml:space="preserve"> con el expediente número</w:t>
      </w:r>
      <w:r w:rsidRPr="005E2220">
        <w:rPr>
          <w:rFonts w:ascii="Palatino Linotype" w:eastAsia="Palatino Linotype" w:hAnsi="Palatino Linotype" w:cs="Palatino Linotype"/>
          <w:b/>
          <w:color w:val="000000"/>
          <w:sz w:val="24"/>
          <w:szCs w:val="24"/>
        </w:rPr>
        <w:t xml:space="preserve"> 04540/INFOEM/IP/RR/2021 </w:t>
      </w:r>
      <w:r w:rsidRPr="005E2220">
        <w:rPr>
          <w:rFonts w:ascii="Palatino Linotype" w:eastAsia="Palatino Linotype" w:hAnsi="Palatino Linotype" w:cs="Palatino Linotype"/>
          <w:color w:val="000000"/>
          <w:sz w:val="24"/>
          <w:szCs w:val="24"/>
        </w:rPr>
        <w:t>manifestando lo siguiente en ambos recursos:</w:t>
      </w:r>
    </w:p>
    <w:p w:rsidR="00FF39F4" w:rsidRPr="005E2220" w:rsidRDefault="00FF39F4">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FF39F4" w:rsidRPr="005E2220" w:rsidRDefault="003E4790">
      <w:pPr>
        <w:pBdr>
          <w:top w:val="nil"/>
          <w:left w:val="nil"/>
          <w:bottom w:val="nil"/>
          <w:right w:val="nil"/>
          <w:between w:val="nil"/>
        </w:pBdr>
        <w:spacing w:after="0" w:line="240" w:lineRule="auto"/>
        <w:jc w:val="both"/>
        <w:rPr>
          <w:rFonts w:ascii="Palatino Linotype" w:eastAsia="Palatino Linotype" w:hAnsi="Palatino Linotype" w:cs="Palatino Linotype"/>
          <w:i/>
          <w:color w:val="000000"/>
          <w:sz w:val="24"/>
          <w:szCs w:val="24"/>
        </w:rPr>
      </w:pPr>
      <w:r w:rsidRPr="005E2220">
        <w:rPr>
          <w:rFonts w:ascii="Palatino Linotype" w:eastAsia="Palatino Linotype" w:hAnsi="Palatino Linotype" w:cs="Palatino Linotype"/>
          <w:b/>
          <w:color w:val="000000"/>
          <w:sz w:val="24"/>
          <w:szCs w:val="24"/>
        </w:rPr>
        <w:t xml:space="preserve">Actos Impugnados: </w:t>
      </w:r>
      <w:r w:rsidRPr="005E2220">
        <w:rPr>
          <w:rFonts w:ascii="Palatino Linotype" w:eastAsia="Palatino Linotype" w:hAnsi="Palatino Linotype" w:cs="Palatino Linotype"/>
          <w:i/>
          <w:color w:val="000000"/>
          <w:sz w:val="24"/>
          <w:szCs w:val="24"/>
        </w:rPr>
        <w:t xml:space="preserve">“LA OMISIÓN DE RESPUESTA A LA SOLICITUD DE INFORMACIÓN CON FOLIO: 00058/TONATICO/IP/2021” (Sic) </w:t>
      </w:r>
    </w:p>
    <w:p w:rsidR="00FF39F4" w:rsidRPr="005E2220" w:rsidRDefault="00FF39F4">
      <w:pPr>
        <w:pBdr>
          <w:top w:val="nil"/>
          <w:left w:val="nil"/>
          <w:bottom w:val="nil"/>
          <w:right w:val="nil"/>
          <w:between w:val="nil"/>
        </w:pBdr>
        <w:spacing w:after="0" w:line="240" w:lineRule="auto"/>
        <w:jc w:val="both"/>
        <w:rPr>
          <w:rFonts w:ascii="Palatino Linotype" w:eastAsia="Palatino Linotype" w:hAnsi="Palatino Linotype" w:cs="Palatino Linotype"/>
          <w:color w:val="000000"/>
          <w:sz w:val="24"/>
          <w:szCs w:val="24"/>
        </w:rPr>
      </w:pPr>
    </w:p>
    <w:p w:rsidR="00FF39F4" w:rsidRPr="005E2220" w:rsidRDefault="003E4790">
      <w:pPr>
        <w:pBdr>
          <w:top w:val="nil"/>
          <w:left w:val="nil"/>
          <w:bottom w:val="nil"/>
          <w:right w:val="nil"/>
          <w:between w:val="nil"/>
        </w:pBdr>
        <w:spacing w:after="0" w:line="240" w:lineRule="auto"/>
        <w:jc w:val="both"/>
        <w:rPr>
          <w:rFonts w:ascii="Palatino Linotype" w:eastAsia="Palatino Linotype" w:hAnsi="Palatino Linotype" w:cs="Palatino Linotype"/>
          <w:i/>
          <w:color w:val="000000"/>
          <w:sz w:val="24"/>
          <w:szCs w:val="24"/>
        </w:rPr>
      </w:pPr>
      <w:r w:rsidRPr="005E2220">
        <w:rPr>
          <w:rFonts w:ascii="Palatino Linotype" w:eastAsia="Palatino Linotype" w:hAnsi="Palatino Linotype" w:cs="Palatino Linotype"/>
          <w:b/>
          <w:color w:val="000000"/>
          <w:sz w:val="24"/>
          <w:szCs w:val="24"/>
        </w:rPr>
        <w:t>Razones o Motivos de Inconformidad</w:t>
      </w:r>
      <w:r w:rsidRPr="005E2220">
        <w:rPr>
          <w:rFonts w:ascii="Palatino Linotype" w:eastAsia="Palatino Linotype" w:hAnsi="Palatino Linotype" w:cs="Palatino Linotype"/>
          <w:color w:val="000000"/>
          <w:sz w:val="24"/>
          <w:szCs w:val="24"/>
        </w:rPr>
        <w:t xml:space="preserve">: </w:t>
      </w:r>
      <w:r w:rsidRPr="005E2220">
        <w:rPr>
          <w:rFonts w:ascii="Palatino Linotype" w:eastAsia="Palatino Linotype" w:hAnsi="Palatino Linotype" w:cs="Palatino Linotype"/>
          <w:i/>
          <w:color w:val="000000"/>
          <w:sz w:val="24"/>
          <w:szCs w:val="24"/>
        </w:rPr>
        <w:t>“DADO QUE NO SE HA ATENDIDO A LA FECHA TAL SOLICITUD CON FOLIO: 00058/TONATICO/IP/2021, POR ENDE NO EXISTE RESPUESTA</w:t>
      </w:r>
      <w:proofErr w:type="gramStart"/>
      <w:r w:rsidRPr="005E2220">
        <w:rPr>
          <w:rFonts w:ascii="Palatino Linotype" w:eastAsia="Palatino Linotype" w:hAnsi="Palatino Linotype" w:cs="Palatino Linotype"/>
          <w:i/>
          <w:color w:val="000000"/>
          <w:sz w:val="24"/>
          <w:szCs w:val="24"/>
        </w:rPr>
        <w:t>,AÚN</w:t>
      </w:r>
      <w:proofErr w:type="gramEnd"/>
      <w:r w:rsidRPr="005E2220">
        <w:rPr>
          <w:rFonts w:ascii="Palatino Linotype" w:eastAsia="Palatino Linotype" w:hAnsi="Palatino Linotype" w:cs="Palatino Linotype"/>
          <w:i/>
          <w:color w:val="000000"/>
          <w:sz w:val="24"/>
          <w:szCs w:val="24"/>
        </w:rPr>
        <w:t xml:space="preserve"> CUANDO LA AUTORIDAD HUBISE SOLICITADO PRORROGA/AMPLIACIÓN DE PLAZO PARA CONTESTAR.” (Sic) </w:t>
      </w:r>
    </w:p>
    <w:p w:rsidR="00FF39F4" w:rsidRPr="005E2220" w:rsidRDefault="00FF39F4">
      <w:pPr>
        <w:pBdr>
          <w:top w:val="nil"/>
          <w:left w:val="nil"/>
          <w:bottom w:val="nil"/>
          <w:right w:val="nil"/>
          <w:between w:val="nil"/>
        </w:pBdr>
        <w:spacing w:after="0" w:line="360" w:lineRule="auto"/>
        <w:ind w:right="567"/>
        <w:jc w:val="both"/>
        <w:rPr>
          <w:rFonts w:ascii="Palatino Linotype" w:eastAsia="Palatino Linotype" w:hAnsi="Palatino Linotype" w:cs="Palatino Linotype"/>
          <w:color w:val="000000"/>
          <w:sz w:val="24"/>
          <w:szCs w:val="24"/>
        </w:rPr>
      </w:pPr>
    </w:p>
    <w:p w:rsidR="00FF39F4" w:rsidRPr="005E2220" w:rsidRDefault="003E4790">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6"/>
          <w:szCs w:val="26"/>
        </w:rPr>
      </w:pPr>
      <w:r w:rsidRPr="005E2220">
        <w:rPr>
          <w:rFonts w:ascii="Palatino Linotype" w:eastAsia="Palatino Linotype" w:hAnsi="Palatino Linotype" w:cs="Palatino Linotype"/>
          <w:b/>
          <w:color w:val="000000"/>
          <w:sz w:val="26"/>
          <w:szCs w:val="26"/>
        </w:rPr>
        <w:t>CUARTO. Del turno y admisión del recurso de revisión.</w:t>
      </w:r>
    </w:p>
    <w:p w:rsidR="00FF39F4" w:rsidRPr="005E2220" w:rsidRDefault="003E479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5E2220">
        <w:rPr>
          <w:rFonts w:ascii="Palatino Linotype" w:eastAsia="Palatino Linotype" w:hAnsi="Palatino Linotype" w:cs="Palatino Linotype"/>
          <w:color w:val="000000"/>
          <w:sz w:val="24"/>
          <w:szCs w:val="24"/>
        </w:rPr>
        <w:t xml:space="preserve">En términos del numeral 185 fracción I de la Ley de Transparencia y Acceso a la Información Pública del Estado de México y Municipios, el recurso de revisión descrito anteriormente fue turnado al </w:t>
      </w:r>
      <w:r w:rsidRPr="005E2220">
        <w:rPr>
          <w:rFonts w:ascii="Palatino Linotype" w:eastAsia="Palatino Linotype" w:hAnsi="Palatino Linotype" w:cs="Palatino Linotype"/>
          <w:b/>
          <w:color w:val="000000"/>
          <w:sz w:val="24"/>
          <w:szCs w:val="24"/>
        </w:rPr>
        <w:t>Comisionado José Martínez Vilchis</w:t>
      </w:r>
      <w:r w:rsidRPr="005E2220">
        <w:rPr>
          <w:rFonts w:ascii="Palatino Linotype" w:eastAsia="Palatino Linotype" w:hAnsi="Palatino Linotype" w:cs="Palatino Linotype"/>
          <w:color w:val="000000"/>
          <w:sz w:val="24"/>
          <w:szCs w:val="24"/>
        </w:rPr>
        <w:t xml:space="preserve"> para su revisión y análisis sobre la admisión o desechamiento; por lo que en fecha nueve de septiembre </w:t>
      </w:r>
      <w:r w:rsidRPr="005E2220">
        <w:rPr>
          <w:rFonts w:ascii="Palatino Linotype" w:eastAsia="Palatino Linotype" w:hAnsi="Palatino Linotype" w:cs="Palatino Linotype"/>
          <w:color w:val="000000"/>
          <w:sz w:val="24"/>
          <w:szCs w:val="24"/>
        </w:rPr>
        <w:lastRenderedPageBreak/>
        <w:t>de dos mil veintiuno, dicho medio de impugnación se admitió en la vía interpuesta, poniendo el expediente a disposición de las partes para que, en un plazo máximo de siete días, manifestaran lo que a su derecho corresponda a efecto de ofrecer pruebas, informe justificado y presentar alegatos, con fundamento en el artículo 185 fracciones I, II y IV de la Ley de Transparencia y Acceso a la Información Pública del Estado de México y Municipios.</w:t>
      </w:r>
    </w:p>
    <w:p w:rsidR="00FF39F4" w:rsidRPr="005E2220" w:rsidRDefault="00FF39F4">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FF39F4" w:rsidRPr="005E2220" w:rsidRDefault="003E4790">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6"/>
          <w:szCs w:val="26"/>
        </w:rPr>
      </w:pPr>
      <w:r w:rsidRPr="005E2220">
        <w:rPr>
          <w:rFonts w:ascii="Palatino Linotype" w:eastAsia="Palatino Linotype" w:hAnsi="Palatino Linotype" w:cs="Palatino Linotype"/>
          <w:b/>
          <w:color w:val="000000"/>
          <w:sz w:val="26"/>
          <w:szCs w:val="26"/>
        </w:rPr>
        <w:t>QUINTO. De la etapa de instrucción.</w:t>
      </w:r>
    </w:p>
    <w:p w:rsidR="00FF39F4" w:rsidRPr="005E2220" w:rsidRDefault="003E479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5E2220">
        <w:rPr>
          <w:rFonts w:ascii="Palatino Linotype" w:eastAsia="Palatino Linotype" w:hAnsi="Palatino Linotype" w:cs="Palatino Linotype"/>
          <w:color w:val="000000"/>
          <w:sz w:val="24"/>
          <w:szCs w:val="24"/>
        </w:rPr>
        <w:t xml:space="preserve">Así, una vez abierta la etapa de instrucción, en el sumario se observa que, en fecha trece de septiembre de dos mil veintiuno, el Sujeto Obligado remitió un documento electrónico denominado </w:t>
      </w:r>
      <w:r w:rsidRPr="005E2220">
        <w:rPr>
          <w:rFonts w:ascii="Palatino Linotype" w:eastAsia="Palatino Linotype" w:hAnsi="Palatino Linotype" w:cs="Palatino Linotype"/>
          <w:b/>
          <w:color w:val="000000"/>
          <w:sz w:val="24"/>
          <w:szCs w:val="24"/>
        </w:rPr>
        <w:t>“contestación 58 de 2021.pdf”</w:t>
      </w:r>
      <w:r w:rsidRPr="005E2220">
        <w:rPr>
          <w:rFonts w:ascii="Palatino Linotype" w:eastAsia="Palatino Linotype" w:hAnsi="Palatino Linotype" w:cs="Palatino Linotype"/>
          <w:color w:val="000000"/>
          <w:sz w:val="24"/>
          <w:szCs w:val="24"/>
        </w:rPr>
        <w:t>, el cual fue puesto a la vista del Recurrente mediante acuerdo de fecha diecisiete de septiembre del año en curso, en términos de la fracción III del artículo 185 de la Ley de Transparencia y Acceso a la Información Pública del Estado de México y Municipios, otorgando al solicitante un término de tres días para manifestar lo que a su derecho conviniera. Por su parte, el Recurrente no realizó manifestaciones, vertió alegatos o presentó pruebas que a su derecho convinieran dentro del término previsto.</w:t>
      </w:r>
    </w:p>
    <w:p w:rsidR="00FF39F4" w:rsidRPr="005E2220" w:rsidRDefault="00FF39F4">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FF39F4" w:rsidRPr="005E2220" w:rsidRDefault="003E4790">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6"/>
          <w:szCs w:val="26"/>
        </w:rPr>
      </w:pPr>
      <w:r w:rsidRPr="005E2220">
        <w:rPr>
          <w:rFonts w:ascii="Palatino Linotype" w:eastAsia="Palatino Linotype" w:hAnsi="Palatino Linotype" w:cs="Palatino Linotype"/>
          <w:b/>
          <w:color w:val="000000"/>
          <w:sz w:val="26"/>
          <w:szCs w:val="26"/>
        </w:rPr>
        <w:t>SEXTO. Del cierre de instrucción.</w:t>
      </w:r>
    </w:p>
    <w:p w:rsidR="00FF39F4" w:rsidRPr="005E2220" w:rsidRDefault="003E479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5E2220">
        <w:rPr>
          <w:rFonts w:ascii="Palatino Linotype" w:eastAsia="Palatino Linotype" w:hAnsi="Palatino Linotype" w:cs="Palatino Linotype"/>
          <w:color w:val="000000"/>
          <w:sz w:val="24"/>
          <w:szCs w:val="24"/>
        </w:rPr>
        <w:t>Así, una vez transcurrido el término legal, se decretó el cierre de instrucción en el recurso de revisión en fecha veintitrés de septiembre de dos mil veintiuno, en términos del artículo 185 Fracción VI de la Ley de Transparencia y Acceso a la Información Pública del Estado de México y Municipios, iniciando el término legal para dictar resolución definitiva del asunto.</w:t>
      </w:r>
    </w:p>
    <w:p w:rsidR="00FF39F4" w:rsidRPr="005E2220" w:rsidRDefault="00FF39F4">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FF39F4" w:rsidRPr="005E2220" w:rsidRDefault="003E4790">
      <w:pPr>
        <w:pBdr>
          <w:top w:val="nil"/>
          <w:left w:val="nil"/>
          <w:bottom w:val="nil"/>
          <w:right w:val="nil"/>
          <w:between w:val="nil"/>
        </w:pBdr>
        <w:spacing w:after="0" w:line="360" w:lineRule="auto"/>
        <w:jc w:val="center"/>
        <w:rPr>
          <w:rFonts w:ascii="Palatino Linotype" w:eastAsia="Palatino Linotype" w:hAnsi="Palatino Linotype" w:cs="Palatino Linotype"/>
          <w:b/>
          <w:color w:val="000000"/>
          <w:sz w:val="28"/>
          <w:szCs w:val="28"/>
        </w:rPr>
      </w:pPr>
      <w:r w:rsidRPr="005E2220">
        <w:rPr>
          <w:rFonts w:ascii="Palatino Linotype" w:eastAsia="Palatino Linotype" w:hAnsi="Palatino Linotype" w:cs="Palatino Linotype"/>
          <w:b/>
          <w:color w:val="000000"/>
          <w:sz w:val="28"/>
          <w:szCs w:val="28"/>
        </w:rPr>
        <w:t>C O N S I D E R A N D O</w:t>
      </w:r>
    </w:p>
    <w:p w:rsidR="00FF39F4" w:rsidRPr="005E2220" w:rsidRDefault="00FF39F4">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FF39F4" w:rsidRPr="005E2220" w:rsidRDefault="003E4790">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6"/>
          <w:szCs w:val="26"/>
        </w:rPr>
      </w:pPr>
      <w:r w:rsidRPr="005E2220">
        <w:rPr>
          <w:rFonts w:ascii="Palatino Linotype" w:eastAsia="Palatino Linotype" w:hAnsi="Palatino Linotype" w:cs="Palatino Linotype"/>
          <w:b/>
          <w:color w:val="000000"/>
          <w:sz w:val="26"/>
          <w:szCs w:val="26"/>
        </w:rPr>
        <w:t>PRIMERO. De la competencia.</w:t>
      </w:r>
    </w:p>
    <w:p w:rsidR="00FF39F4" w:rsidRPr="005E2220" w:rsidRDefault="003E479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5E2220">
        <w:rPr>
          <w:rFonts w:ascii="Palatino Linotype" w:eastAsia="Palatino Linotype" w:hAnsi="Palatino Linotype" w:cs="Palatino Linotype"/>
          <w:color w:val="000000"/>
          <w:sz w:val="24"/>
          <w:szCs w:val="24"/>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rsidR="00FF39F4" w:rsidRPr="005E2220" w:rsidRDefault="00FF39F4">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0"/>
          <w:szCs w:val="20"/>
        </w:rPr>
      </w:pPr>
    </w:p>
    <w:p w:rsidR="00FF39F4" w:rsidRPr="005E2220" w:rsidRDefault="003E4790">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6"/>
          <w:szCs w:val="26"/>
        </w:rPr>
      </w:pPr>
      <w:r w:rsidRPr="005E2220">
        <w:rPr>
          <w:rFonts w:ascii="Palatino Linotype" w:eastAsia="Palatino Linotype" w:hAnsi="Palatino Linotype" w:cs="Palatino Linotype"/>
          <w:b/>
          <w:color w:val="000000"/>
          <w:sz w:val="26"/>
          <w:szCs w:val="26"/>
        </w:rPr>
        <w:t xml:space="preserve">SEGUNDO. Sobre los alcances del recurso de revisión. </w:t>
      </w:r>
    </w:p>
    <w:p w:rsidR="00FF39F4" w:rsidRPr="005E2220" w:rsidRDefault="003E479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5E2220">
        <w:rPr>
          <w:rFonts w:ascii="Palatino Linotype" w:eastAsia="Palatino Linotype" w:hAnsi="Palatino Linotype" w:cs="Palatino Linotype"/>
          <w:color w:val="000000"/>
          <w:sz w:val="24"/>
          <w:szCs w:val="24"/>
        </w:rPr>
        <w:t xml:space="preserve">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w:t>
      </w:r>
      <w:r w:rsidRPr="005E2220">
        <w:rPr>
          <w:rFonts w:ascii="Palatino Linotype" w:eastAsia="Palatino Linotype" w:hAnsi="Palatino Linotype" w:cs="Palatino Linotype"/>
          <w:color w:val="000000"/>
          <w:sz w:val="24"/>
          <w:szCs w:val="24"/>
        </w:rPr>
        <w:lastRenderedPageBreak/>
        <w:t>derecho de acceso a la información pública y garantizando el principio rector de máxima publicidad.</w:t>
      </w:r>
    </w:p>
    <w:p w:rsidR="00FF39F4" w:rsidRPr="005E2220" w:rsidRDefault="00FF39F4">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FF39F4" w:rsidRPr="005E2220" w:rsidRDefault="003E4790">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6"/>
          <w:szCs w:val="26"/>
        </w:rPr>
      </w:pPr>
      <w:r w:rsidRPr="005E2220">
        <w:rPr>
          <w:rFonts w:ascii="Palatino Linotype" w:eastAsia="Palatino Linotype" w:hAnsi="Palatino Linotype" w:cs="Palatino Linotype"/>
          <w:b/>
          <w:color w:val="000000"/>
          <w:sz w:val="26"/>
          <w:szCs w:val="26"/>
        </w:rPr>
        <w:t>TERCERO. Cuestiones de previo y especial pronunciamiento.</w:t>
      </w:r>
    </w:p>
    <w:p w:rsidR="00FF39F4" w:rsidRPr="005E2220" w:rsidRDefault="003E4790">
      <w:pPr>
        <w:spacing w:after="0" w:line="360" w:lineRule="auto"/>
        <w:jc w:val="both"/>
        <w:rPr>
          <w:rFonts w:ascii="Palatino Linotype" w:eastAsia="Palatino Linotype" w:hAnsi="Palatino Linotype" w:cs="Palatino Linotype"/>
          <w:sz w:val="24"/>
          <w:szCs w:val="24"/>
        </w:rPr>
      </w:pPr>
      <w:r w:rsidRPr="005E2220">
        <w:rPr>
          <w:rFonts w:ascii="Palatino Linotype" w:eastAsia="Palatino Linotype" w:hAnsi="Palatino Linotype" w:cs="Palatino Linotype"/>
          <w:sz w:val="24"/>
          <w:szCs w:val="24"/>
        </w:rPr>
        <w:t>El recurso de revisión en estudio contiene los elementos normativos de validez exigidos en la Ley de Transparencia y Acceso a la Información Pública del Estado de México y Municipios, establecidos en el artículo 180 que enuncia:</w:t>
      </w:r>
    </w:p>
    <w:p w:rsidR="00FF39F4" w:rsidRPr="005E2220" w:rsidRDefault="00FF39F4">
      <w:pPr>
        <w:spacing w:after="0" w:line="360" w:lineRule="auto"/>
        <w:jc w:val="both"/>
        <w:rPr>
          <w:rFonts w:ascii="Palatino Linotype" w:eastAsia="Palatino Linotype" w:hAnsi="Palatino Linotype" w:cs="Palatino Linotype"/>
          <w:sz w:val="24"/>
          <w:szCs w:val="24"/>
        </w:rPr>
      </w:pPr>
    </w:p>
    <w:p w:rsidR="00FF39F4" w:rsidRPr="005E2220" w:rsidRDefault="003E4790">
      <w:pPr>
        <w:spacing w:after="0" w:line="240" w:lineRule="auto"/>
        <w:ind w:left="567" w:right="567"/>
        <w:jc w:val="both"/>
        <w:rPr>
          <w:rFonts w:ascii="Palatino Linotype" w:eastAsia="Palatino Linotype" w:hAnsi="Palatino Linotype" w:cs="Palatino Linotype"/>
          <w:i/>
          <w:sz w:val="24"/>
          <w:szCs w:val="24"/>
        </w:rPr>
      </w:pPr>
      <w:r w:rsidRPr="005E2220">
        <w:rPr>
          <w:rFonts w:ascii="Palatino Linotype" w:eastAsia="Palatino Linotype" w:hAnsi="Palatino Linotype" w:cs="Palatino Linotype"/>
          <w:b/>
          <w:i/>
          <w:sz w:val="24"/>
          <w:szCs w:val="24"/>
        </w:rPr>
        <w:t xml:space="preserve">Artículo 180. </w:t>
      </w:r>
      <w:r w:rsidRPr="005E2220">
        <w:rPr>
          <w:rFonts w:ascii="Palatino Linotype" w:eastAsia="Palatino Linotype" w:hAnsi="Palatino Linotype" w:cs="Palatino Linotype"/>
          <w:i/>
          <w:sz w:val="24"/>
          <w:szCs w:val="24"/>
        </w:rPr>
        <w:t>El recurso de revisión contendrá:</w:t>
      </w:r>
    </w:p>
    <w:p w:rsidR="00FF39F4" w:rsidRPr="005E2220" w:rsidRDefault="003E4790">
      <w:pPr>
        <w:spacing w:after="0" w:line="240" w:lineRule="auto"/>
        <w:ind w:left="567" w:right="567"/>
        <w:jc w:val="both"/>
        <w:rPr>
          <w:rFonts w:ascii="Palatino Linotype" w:eastAsia="Palatino Linotype" w:hAnsi="Palatino Linotype" w:cs="Palatino Linotype"/>
          <w:i/>
          <w:sz w:val="24"/>
          <w:szCs w:val="24"/>
        </w:rPr>
      </w:pPr>
      <w:r w:rsidRPr="005E2220">
        <w:rPr>
          <w:rFonts w:ascii="Palatino Linotype" w:eastAsia="Palatino Linotype" w:hAnsi="Palatino Linotype" w:cs="Palatino Linotype"/>
          <w:i/>
          <w:sz w:val="24"/>
          <w:szCs w:val="24"/>
        </w:rPr>
        <w:t>I. El sujeto obligado ante la cual se presentó la solicitud;</w:t>
      </w:r>
    </w:p>
    <w:p w:rsidR="00FF39F4" w:rsidRPr="005E2220" w:rsidRDefault="003E4790">
      <w:pPr>
        <w:spacing w:after="0" w:line="240" w:lineRule="auto"/>
        <w:ind w:left="567" w:right="567"/>
        <w:jc w:val="both"/>
        <w:rPr>
          <w:rFonts w:ascii="Palatino Linotype" w:eastAsia="Palatino Linotype" w:hAnsi="Palatino Linotype" w:cs="Palatino Linotype"/>
          <w:i/>
          <w:sz w:val="24"/>
          <w:szCs w:val="24"/>
        </w:rPr>
      </w:pPr>
      <w:r w:rsidRPr="005E2220">
        <w:rPr>
          <w:rFonts w:ascii="Palatino Linotype" w:eastAsia="Palatino Linotype" w:hAnsi="Palatino Linotype" w:cs="Palatino Linotype"/>
          <w:b/>
          <w:i/>
          <w:sz w:val="24"/>
          <w:szCs w:val="24"/>
        </w:rPr>
        <w:t>II. El nombre del solicitante que recurre</w:t>
      </w:r>
      <w:r w:rsidRPr="005E2220">
        <w:rPr>
          <w:rFonts w:ascii="Palatino Linotype" w:eastAsia="Palatino Linotype" w:hAnsi="Palatino Linotype" w:cs="Palatino Linotype"/>
          <w:i/>
          <w:sz w:val="24"/>
          <w:szCs w:val="24"/>
        </w:rPr>
        <w:t xml:space="preserve"> o de su representante y, en su caso, del tercero interesado, así como la dirección o medio que señale para recibir notificaciones;</w:t>
      </w:r>
    </w:p>
    <w:p w:rsidR="00FF39F4" w:rsidRPr="005E2220" w:rsidRDefault="003E4790">
      <w:pPr>
        <w:spacing w:after="0" w:line="240" w:lineRule="auto"/>
        <w:ind w:left="567" w:right="567"/>
        <w:jc w:val="both"/>
        <w:rPr>
          <w:rFonts w:ascii="Palatino Linotype" w:eastAsia="Palatino Linotype" w:hAnsi="Palatino Linotype" w:cs="Palatino Linotype"/>
          <w:i/>
          <w:sz w:val="24"/>
          <w:szCs w:val="24"/>
        </w:rPr>
      </w:pPr>
      <w:r w:rsidRPr="005E2220">
        <w:rPr>
          <w:rFonts w:ascii="Palatino Linotype" w:eastAsia="Palatino Linotype" w:hAnsi="Palatino Linotype" w:cs="Palatino Linotype"/>
          <w:i/>
          <w:sz w:val="24"/>
          <w:szCs w:val="24"/>
        </w:rPr>
        <w:t>III. El número de folio de respuesta de la solicitud de acceso;</w:t>
      </w:r>
    </w:p>
    <w:p w:rsidR="00FF39F4" w:rsidRPr="005E2220" w:rsidRDefault="003E4790">
      <w:pPr>
        <w:spacing w:after="0" w:line="240" w:lineRule="auto"/>
        <w:ind w:left="567" w:right="567"/>
        <w:jc w:val="both"/>
        <w:rPr>
          <w:rFonts w:ascii="Palatino Linotype" w:eastAsia="Palatino Linotype" w:hAnsi="Palatino Linotype" w:cs="Palatino Linotype"/>
          <w:i/>
          <w:sz w:val="24"/>
          <w:szCs w:val="24"/>
        </w:rPr>
      </w:pPr>
      <w:r w:rsidRPr="005E2220">
        <w:rPr>
          <w:rFonts w:ascii="Palatino Linotype" w:eastAsia="Palatino Linotype" w:hAnsi="Palatino Linotype" w:cs="Palatino Linotype"/>
          <w:i/>
          <w:sz w:val="24"/>
          <w:szCs w:val="24"/>
        </w:rPr>
        <w:t>IV. La fecha en que fue notificada la respuesta al solicitante o tuvo conocimiento del acto reclamado, o de presentación de la solicitud, en caso de falta de respuesta;</w:t>
      </w:r>
    </w:p>
    <w:p w:rsidR="00FF39F4" w:rsidRPr="005E2220" w:rsidRDefault="003E4790">
      <w:pPr>
        <w:spacing w:after="0" w:line="240" w:lineRule="auto"/>
        <w:ind w:left="567" w:right="567"/>
        <w:jc w:val="both"/>
        <w:rPr>
          <w:rFonts w:ascii="Palatino Linotype" w:eastAsia="Palatino Linotype" w:hAnsi="Palatino Linotype" w:cs="Palatino Linotype"/>
          <w:i/>
          <w:sz w:val="24"/>
          <w:szCs w:val="24"/>
        </w:rPr>
      </w:pPr>
      <w:r w:rsidRPr="005E2220">
        <w:rPr>
          <w:rFonts w:ascii="Palatino Linotype" w:eastAsia="Palatino Linotype" w:hAnsi="Palatino Linotype" w:cs="Palatino Linotype"/>
          <w:i/>
          <w:sz w:val="24"/>
          <w:szCs w:val="24"/>
        </w:rPr>
        <w:t>V. El acto que se recurre;</w:t>
      </w:r>
    </w:p>
    <w:p w:rsidR="00FF39F4" w:rsidRPr="005E2220" w:rsidRDefault="003E4790">
      <w:pPr>
        <w:spacing w:after="0" w:line="240" w:lineRule="auto"/>
        <w:ind w:left="567" w:right="567"/>
        <w:jc w:val="both"/>
        <w:rPr>
          <w:rFonts w:ascii="Palatino Linotype" w:eastAsia="Palatino Linotype" w:hAnsi="Palatino Linotype" w:cs="Palatino Linotype"/>
          <w:i/>
          <w:sz w:val="24"/>
          <w:szCs w:val="24"/>
        </w:rPr>
      </w:pPr>
      <w:r w:rsidRPr="005E2220">
        <w:rPr>
          <w:rFonts w:ascii="Palatino Linotype" w:eastAsia="Palatino Linotype" w:hAnsi="Palatino Linotype" w:cs="Palatino Linotype"/>
          <w:i/>
          <w:sz w:val="24"/>
          <w:szCs w:val="24"/>
        </w:rPr>
        <w:t>VI. Las razones o motivos de inconformidad;</w:t>
      </w:r>
    </w:p>
    <w:p w:rsidR="00FF39F4" w:rsidRPr="005E2220" w:rsidRDefault="003E4790">
      <w:pPr>
        <w:spacing w:after="0" w:line="240" w:lineRule="auto"/>
        <w:ind w:left="567" w:right="567"/>
        <w:jc w:val="both"/>
        <w:rPr>
          <w:rFonts w:ascii="Palatino Linotype" w:eastAsia="Palatino Linotype" w:hAnsi="Palatino Linotype" w:cs="Palatino Linotype"/>
          <w:i/>
          <w:sz w:val="24"/>
          <w:szCs w:val="24"/>
        </w:rPr>
      </w:pPr>
      <w:r w:rsidRPr="005E2220">
        <w:rPr>
          <w:rFonts w:ascii="Palatino Linotype" w:eastAsia="Palatino Linotype" w:hAnsi="Palatino Linotype" w:cs="Palatino Linotype"/>
          <w:i/>
          <w:sz w:val="24"/>
          <w:szCs w:val="24"/>
        </w:rPr>
        <w:t>VII. La copia de la respuesta que se impugna y, en su caso, de la notificación correspondiente, en el caso de respuesta de la solicitud; y</w:t>
      </w:r>
    </w:p>
    <w:p w:rsidR="00FF39F4" w:rsidRPr="005E2220" w:rsidRDefault="003E4790">
      <w:pPr>
        <w:spacing w:after="0" w:line="240" w:lineRule="auto"/>
        <w:ind w:left="567" w:right="567"/>
        <w:jc w:val="both"/>
        <w:rPr>
          <w:rFonts w:ascii="Palatino Linotype" w:eastAsia="Palatino Linotype" w:hAnsi="Palatino Linotype" w:cs="Palatino Linotype"/>
          <w:i/>
          <w:sz w:val="24"/>
          <w:szCs w:val="24"/>
        </w:rPr>
      </w:pPr>
      <w:r w:rsidRPr="005E2220">
        <w:rPr>
          <w:rFonts w:ascii="Palatino Linotype" w:eastAsia="Palatino Linotype" w:hAnsi="Palatino Linotype" w:cs="Palatino Linotype"/>
          <w:i/>
          <w:sz w:val="24"/>
          <w:szCs w:val="24"/>
        </w:rPr>
        <w:t>VIII. Firma del recurrente, en su caso, cuando se presente por escrito, requisito sin el cual se dará trámite al recurso.</w:t>
      </w:r>
    </w:p>
    <w:p w:rsidR="00FF39F4" w:rsidRPr="005E2220" w:rsidRDefault="00FF39F4">
      <w:pPr>
        <w:spacing w:after="0" w:line="240" w:lineRule="auto"/>
        <w:ind w:left="567" w:right="567"/>
        <w:jc w:val="both"/>
        <w:rPr>
          <w:rFonts w:ascii="Palatino Linotype" w:eastAsia="Palatino Linotype" w:hAnsi="Palatino Linotype" w:cs="Palatino Linotype"/>
          <w:i/>
          <w:sz w:val="24"/>
          <w:szCs w:val="24"/>
        </w:rPr>
      </w:pPr>
    </w:p>
    <w:p w:rsidR="00FF39F4" w:rsidRPr="005E2220" w:rsidRDefault="003E4790">
      <w:pPr>
        <w:spacing w:after="0" w:line="240" w:lineRule="auto"/>
        <w:ind w:left="567" w:right="567"/>
        <w:jc w:val="both"/>
        <w:rPr>
          <w:rFonts w:ascii="Palatino Linotype" w:eastAsia="Palatino Linotype" w:hAnsi="Palatino Linotype" w:cs="Palatino Linotype"/>
          <w:i/>
          <w:sz w:val="24"/>
          <w:szCs w:val="24"/>
        </w:rPr>
      </w:pPr>
      <w:r w:rsidRPr="005E2220">
        <w:rPr>
          <w:rFonts w:ascii="Palatino Linotype" w:eastAsia="Palatino Linotype" w:hAnsi="Palatino Linotype" w:cs="Palatino Linotype"/>
          <w:i/>
          <w:sz w:val="24"/>
          <w:szCs w:val="24"/>
        </w:rPr>
        <w:t>Adicionalmente, se podrán anexar las pruebas y demás elementos que considere procedentes someter a juicio del Instituto.</w:t>
      </w:r>
    </w:p>
    <w:p w:rsidR="00FF39F4" w:rsidRPr="005E2220" w:rsidRDefault="00FF39F4">
      <w:pPr>
        <w:spacing w:after="0" w:line="240" w:lineRule="auto"/>
        <w:ind w:left="567" w:right="567"/>
        <w:jc w:val="both"/>
        <w:rPr>
          <w:rFonts w:ascii="Palatino Linotype" w:eastAsia="Palatino Linotype" w:hAnsi="Palatino Linotype" w:cs="Palatino Linotype"/>
          <w:i/>
          <w:sz w:val="24"/>
          <w:szCs w:val="24"/>
        </w:rPr>
      </w:pPr>
    </w:p>
    <w:p w:rsidR="00FF39F4" w:rsidRPr="005E2220" w:rsidRDefault="003E4790">
      <w:pPr>
        <w:spacing w:after="0" w:line="240" w:lineRule="auto"/>
        <w:ind w:left="567" w:right="567"/>
        <w:jc w:val="both"/>
        <w:rPr>
          <w:rFonts w:ascii="Palatino Linotype" w:eastAsia="Palatino Linotype" w:hAnsi="Palatino Linotype" w:cs="Palatino Linotype"/>
          <w:i/>
          <w:sz w:val="24"/>
          <w:szCs w:val="24"/>
        </w:rPr>
      </w:pPr>
      <w:r w:rsidRPr="005E2220">
        <w:rPr>
          <w:rFonts w:ascii="Palatino Linotype" w:eastAsia="Palatino Linotype" w:hAnsi="Palatino Linotype" w:cs="Palatino Linotype"/>
          <w:i/>
          <w:sz w:val="24"/>
          <w:szCs w:val="24"/>
        </w:rPr>
        <w:t>En ningún caso será necesario que el particular ratifique el recurso de revisión interpuesto.</w:t>
      </w:r>
    </w:p>
    <w:p w:rsidR="00FF39F4" w:rsidRPr="005E2220" w:rsidRDefault="00FF39F4">
      <w:pPr>
        <w:spacing w:after="0" w:line="240" w:lineRule="auto"/>
        <w:ind w:left="567" w:right="567"/>
        <w:jc w:val="both"/>
        <w:rPr>
          <w:rFonts w:ascii="Palatino Linotype" w:eastAsia="Palatino Linotype" w:hAnsi="Palatino Linotype" w:cs="Palatino Linotype"/>
          <w:i/>
          <w:sz w:val="24"/>
          <w:szCs w:val="24"/>
        </w:rPr>
      </w:pPr>
    </w:p>
    <w:p w:rsidR="00FF39F4" w:rsidRPr="005E2220" w:rsidRDefault="003E4790">
      <w:pPr>
        <w:spacing w:after="0" w:line="240" w:lineRule="auto"/>
        <w:ind w:left="567" w:right="567"/>
        <w:jc w:val="both"/>
        <w:rPr>
          <w:rFonts w:ascii="Palatino Linotype" w:eastAsia="Palatino Linotype" w:hAnsi="Palatino Linotype" w:cs="Palatino Linotype"/>
          <w:i/>
          <w:sz w:val="24"/>
          <w:szCs w:val="24"/>
        </w:rPr>
      </w:pPr>
      <w:r w:rsidRPr="005E2220">
        <w:rPr>
          <w:rFonts w:ascii="Palatino Linotype" w:eastAsia="Palatino Linotype" w:hAnsi="Palatino Linotype" w:cs="Palatino Linotype"/>
          <w:b/>
          <w:i/>
          <w:sz w:val="24"/>
          <w:szCs w:val="24"/>
        </w:rPr>
        <w:lastRenderedPageBreak/>
        <w:t>En caso de que el recurso se interponga de manera electrónica no será indispensable que contengan los requisitos establecidos en las fracciones II</w:t>
      </w:r>
      <w:r w:rsidRPr="005E2220">
        <w:rPr>
          <w:rFonts w:ascii="Palatino Linotype" w:eastAsia="Palatino Linotype" w:hAnsi="Palatino Linotype" w:cs="Palatino Linotype"/>
          <w:i/>
          <w:sz w:val="24"/>
          <w:szCs w:val="24"/>
        </w:rPr>
        <w:t>, IV, VII y VIII.</w:t>
      </w:r>
    </w:p>
    <w:p w:rsidR="00FF39F4" w:rsidRPr="005E2220" w:rsidRDefault="00FF39F4">
      <w:pPr>
        <w:spacing w:after="0" w:line="360" w:lineRule="auto"/>
        <w:jc w:val="both"/>
        <w:rPr>
          <w:rFonts w:ascii="Palatino Linotype" w:eastAsia="Palatino Linotype" w:hAnsi="Palatino Linotype" w:cs="Palatino Linotype"/>
          <w:b/>
          <w:i/>
          <w:sz w:val="24"/>
          <w:szCs w:val="24"/>
        </w:rPr>
      </w:pPr>
    </w:p>
    <w:p w:rsidR="00FF39F4" w:rsidRPr="005E2220" w:rsidRDefault="003E4790">
      <w:pPr>
        <w:spacing w:after="0" w:line="360" w:lineRule="auto"/>
        <w:jc w:val="both"/>
        <w:rPr>
          <w:rFonts w:ascii="Palatino Linotype" w:eastAsia="Palatino Linotype" w:hAnsi="Palatino Linotype" w:cs="Palatino Linotype"/>
          <w:sz w:val="24"/>
          <w:szCs w:val="24"/>
        </w:rPr>
      </w:pPr>
      <w:r w:rsidRPr="005E2220">
        <w:rPr>
          <w:rFonts w:ascii="Palatino Linotype" w:eastAsia="Palatino Linotype" w:hAnsi="Palatino Linotype" w:cs="Palatino Linotype"/>
          <w:sz w:val="24"/>
          <w:szCs w:val="24"/>
        </w:rPr>
        <w:t xml:space="preserve">Cabe señalar que el hoy Recurrente se identificó como </w:t>
      </w:r>
      <w:r w:rsidRPr="005E2220">
        <w:rPr>
          <w:rFonts w:ascii="Palatino Linotype" w:eastAsia="Palatino Linotype" w:hAnsi="Palatino Linotype" w:cs="Palatino Linotype"/>
          <w:b/>
          <w:sz w:val="24"/>
          <w:szCs w:val="24"/>
        </w:rPr>
        <w:t xml:space="preserve">“JAMES BOND”. </w:t>
      </w:r>
      <w:r w:rsidRPr="005E2220">
        <w:rPr>
          <w:rFonts w:ascii="Palatino Linotype" w:eastAsia="Palatino Linotype" w:hAnsi="Palatino Linotype" w:cs="Palatino Linotype"/>
          <w:sz w:val="24"/>
          <w:szCs w:val="24"/>
        </w:rPr>
        <w:t>No obstante, proporcionar el nombre incompleto o un seudónimo no es motivo para desechar las solicitudes de acceso a la información pública conforme a lo previsto en el artículo 155, penúltimo párrafo de la Ley de Transparencia y Acceso a la Información Pública del Estado de México y Municipios que señala lo siguiente:</w:t>
      </w:r>
    </w:p>
    <w:p w:rsidR="00FF39F4" w:rsidRPr="005E2220" w:rsidRDefault="00FF39F4">
      <w:pPr>
        <w:spacing w:after="0" w:line="360" w:lineRule="auto"/>
        <w:jc w:val="both"/>
        <w:rPr>
          <w:rFonts w:ascii="Palatino Linotype" w:eastAsia="Palatino Linotype" w:hAnsi="Palatino Linotype" w:cs="Palatino Linotype"/>
          <w:sz w:val="24"/>
          <w:szCs w:val="24"/>
        </w:rPr>
      </w:pPr>
    </w:p>
    <w:p w:rsidR="00FF39F4" w:rsidRPr="005E2220" w:rsidRDefault="003E4790">
      <w:pPr>
        <w:spacing w:after="0" w:line="240" w:lineRule="auto"/>
        <w:ind w:left="567" w:right="567"/>
        <w:jc w:val="both"/>
        <w:rPr>
          <w:rFonts w:ascii="Palatino Linotype" w:eastAsia="Palatino Linotype" w:hAnsi="Palatino Linotype" w:cs="Palatino Linotype"/>
          <w:i/>
          <w:sz w:val="24"/>
          <w:szCs w:val="24"/>
        </w:rPr>
      </w:pPr>
      <w:r w:rsidRPr="005E2220">
        <w:rPr>
          <w:rFonts w:ascii="Palatino Linotype" w:eastAsia="Palatino Linotype" w:hAnsi="Palatino Linotype" w:cs="Palatino Linotype"/>
          <w:i/>
          <w:sz w:val="24"/>
          <w:szCs w:val="24"/>
        </w:rPr>
        <w:t>Las solicitudes anónimas, con nombre incompleto o seudónimo serán procedentes para su trámite por parte del sujeto obligado ante quien se presente. No podrá requerirse información adicional con motivo del nombre proporcionado por el solicitante.</w:t>
      </w:r>
    </w:p>
    <w:p w:rsidR="00FF39F4" w:rsidRPr="005E2220" w:rsidRDefault="00FF39F4">
      <w:pPr>
        <w:spacing w:after="0" w:line="360" w:lineRule="auto"/>
        <w:jc w:val="both"/>
        <w:rPr>
          <w:rFonts w:ascii="Palatino Linotype" w:eastAsia="Palatino Linotype" w:hAnsi="Palatino Linotype" w:cs="Palatino Linotype"/>
          <w:sz w:val="24"/>
          <w:szCs w:val="24"/>
        </w:rPr>
      </w:pPr>
    </w:p>
    <w:p w:rsidR="00FF39F4" w:rsidRPr="005E2220" w:rsidRDefault="003E4790">
      <w:pPr>
        <w:spacing w:after="0" w:line="360" w:lineRule="auto"/>
        <w:jc w:val="both"/>
        <w:rPr>
          <w:rFonts w:ascii="Palatino Linotype" w:eastAsia="Palatino Linotype" w:hAnsi="Palatino Linotype" w:cs="Palatino Linotype"/>
          <w:sz w:val="24"/>
          <w:szCs w:val="24"/>
        </w:rPr>
      </w:pPr>
      <w:r w:rsidRPr="005E2220">
        <w:rPr>
          <w:rFonts w:ascii="Palatino Linotype" w:eastAsia="Palatino Linotype" w:hAnsi="Palatino Linotype" w:cs="Palatino Linotype"/>
          <w:sz w:val="24"/>
          <w:szCs w:val="24"/>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p w:rsidR="00FF39F4" w:rsidRPr="005E2220" w:rsidRDefault="00FF39F4">
      <w:pPr>
        <w:spacing w:after="0" w:line="360" w:lineRule="auto"/>
        <w:jc w:val="both"/>
        <w:rPr>
          <w:rFonts w:ascii="Palatino Linotype" w:eastAsia="Palatino Linotype" w:hAnsi="Palatino Linotype" w:cs="Palatino Linotype"/>
          <w:sz w:val="24"/>
          <w:szCs w:val="24"/>
        </w:rPr>
      </w:pPr>
    </w:p>
    <w:p w:rsidR="00FF39F4" w:rsidRPr="005E2220" w:rsidRDefault="003E4790">
      <w:pPr>
        <w:spacing w:after="0" w:line="240" w:lineRule="auto"/>
        <w:ind w:left="567" w:right="567"/>
        <w:jc w:val="center"/>
        <w:rPr>
          <w:rFonts w:ascii="Palatino Linotype" w:eastAsia="Palatino Linotype" w:hAnsi="Palatino Linotype" w:cs="Palatino Linotype"/>
          <w:b/>
          <w:i/>
          <w:sz w:val="24"/>
          <w:szCs w:val="24"/>
          <w:u w:val="single"/>
        </w:rPr>
      </w:pPr>
      <w:r w:rsidRPr="005E2220">
        <w:rPr>
          <w:rFonts w:ascii="Palatino Linotype" w:eastAsia="Palatino Linotype" w:hAnsi="Palatino Linotype" w:cs="Palatino Linotype"/>
          <w:b/>
          <w:i/>
          <w:sz w:val="24"/>
          <w:szCs w:val="24"/>
          <w:u w:val="single"/>
        </w:rPr>
        <w:t>Constitución Política de los Estados Unidos Mexicanos</w:t>
      </w:r>
    </w:p>
    <w:p w:rsidR="00FF39F4" w:rsidRPr="005E2220" w:rsidRDefault="003E4790">
      <w:pPr>
        <w:spacing w:after="0" w:line="240" w:lineRule="auto"/>
        <w:ind w:left="567" w:right="567"/>
        <w:jc w:val="both"/>
        <w:rPr>
          <w:rFonts w:ascii="Palatino Linotype" w:eastAsia="Palatino Linotype" w:hAnsi="Palatino Linotype" w:cs="Palatino Linotype"/>
          <w:i/>
          <w:sz w:val="24"/>
          <w:szCs w:val="24"/>
        </w:rPr>
      </w:pPr>
      <w:r w:rsidRPr="005E2220">
        <w:rPr>
          <w:rFonts w:ascii="Palatino Linotype" w:eastAsia="Palatino Linotype" w:hAnsi="Palatino Linotype" w:cs="Palatino Linotype"/>
          <w:b/>
          <w:i/>
          <w:sz w:val="24"/>
          <w:szCs w:val="24"/>
        </w:rPr>
        <w:t>Artículo 6</w:t>
      </w:r>
      <w:r w:rsidRPr="005E2220">
        <w:rPr>
          <w:rFonts w:ascii="Palatino Linotype" w:eastAsia="Palatino Linotype" w:hAnsi="Palatino Linotype" w:cs="Palatino Linotype"/>
          <w:i/>
          <w:sz w:val="24"/>
          <w:szCs w:val="24"/>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FF39F4" w:rsidRPr="005E2220" w:rsidRDefault="003E4790">
      <w:pPr>
        <w:spacing w:after="0" w:line="240" w:lineRule="auto"/>
        <w:ind w:left="567" w:right="567"/>
        <w:jc w:val="both"/>
        <w:rPr>
          <w:rFonts w:ascii="Palatino Linotype" w:eastAsia="Palatino Linotype" w:hAnsi="Palatino Linotype" w:cs="Palatino Linotype"/>
          <w:i/>
          <w:sz w:val="24"/>
          <w:szCs w:val="24"/>
        </w:rPr>
      </w:pPr>
      <w:r w:rsidRPr="005E2220">
        <w:rPr>
          <w:rFonts w:ascii="Palatino Linotype" w:eastAsia="Palatino Linotype" w:hAnsi="Palatino Linotype" w:cs="Palatino Linotype"/>
          <w:i/>
          <w:sz w:val="24"/>
          <w:szCs w:val="24"/>
        </w:rPr>
        <w:t>(…)</w:t>
      </w:r>
    </w:p>
    <w:p w:rsidR="00FF39F4" w:rsidRPr="005E2220" w:rsidRDefault="003E4790">
      <w:pPr>
        <w:spacing w:after="0" w:line="240" w:lineRule="auto"/>
        <w:ind w:left="567" w:right="567"/>
        <w:jc w:val="both"/>
        <w:rPr>
          <w:rFonts w:ascii="Palatino Linotype" w:eastAsia="Palatino Linotype" w:hAnsi="Palatino Linotype" w:cs="Palatino Linotype"/>
          <w:i/>
          <w:sz w:val="24"/>
          <w:szCs w:val="24"/>
        </w:rPr>
      </w:pPr>
      <w:r w:rsidRPr="005E2220">
        <w:rPr>
          <w:rFonts w:ascii="Palatino Linotype" w:eastAsia="Palatino Linotype" w:hAnsi="Palatino Linotype" w:cs="Palatino Linotype"/>
          <w:i/>
          <w:sz w:val="24"/>
          <w:szCs w:val="24"/>
        </w:rPr>
        <w:t xml:space="preserve">Para efectos de lo dispuesto en el presente artículo se observará lo siguiente: </w:t>
      </w:r>
    </w:p>
    <w:p w:rsidR="00FF39F4" w:rsidRPr="005E2220" w:rsidRDefault="003E4790">
      <w:pPr>
        <w:spacing w:after="0" w:line="240" w:lineRule="auto"/>
        <w:ind w:left="567" w:right="567"/>
        <w:jc w:val="both"/>
        <w:rPr>
          <w:rFonts w:ascii="Palatino Linotype" w:eastAsia="Palatino Linotype" w:hAnsi="Palatino Linotype" w:cs="Palatino Linotype"/>
          <w:i/>
          <w:sz w:val="24"/>
          <w:szCs w:val="24"/>
        </w:rPr>
      </w:pPr>
      <w:r w:rsidRPr="005E2220">
        <w:rPr>
          <w:rFonts w:ascii="Palatino Linotype" w:eastAsia="Palatino Linotype" w:hAnsi="Palatino Linotype" w:cs="Palatino Linotype"/>
          <w:i/>
          <w:sz w:val="24"/>
          <w:szCs w:val="24"/>
        </w:rPr>
        <w:lastRenderedPageBreak/>
        <w:t>A. Para el ejercicio del derecho de acceso a la información, la Federación, los Estados y el Distrito Federal, en el ámbito de sus respectivas competencias, se regirán por los siguientes principios y bases:</w:t>
      </w:r>
    </w:p>
    <w:p w:rsidR="00FF39F4" w:rsidRPr="005E2220" w:rsidRDefault="003E4790">
      <w:pPr>
        <w:spacing w:after="0" w:line="240" w:lineRule="auto"/>
        <w:ind w:left="567" w:right="567"/>
        <w:jc w:val="both"/>
        <w:rPr>
          <w:rFonts w:ascii="Palatino Linotype" w:eastAsia="Palatino Linotype" w:hAnsi="Palatino Linotype" w:cs="Palatino Linotype"/>
          <w:i/>
          <w:sz w:val="24"/>
          <w:szCs w:val="24"/>
        </w:rPr>
      </w:pPr>
      <w:r w:rsidRPr="005E2220">
        <w:rPr>
          <w:rFonts w:ascii="Palatino Linotype" w:eastAsia="Palatino Linotype" w:hAnsi="Palatino Linotype" w:cs="Palatino Linotype"/>
          <w:i/>
          <w:sz w:val="24"/>
          <w:szCs w:val="24"/>
        </w:rPr>
        <w:t>(…)</w:t>
      </w:r>
    </w:p>
    <w:p w:rsidR="00FF39F4" w:rsidRPr="005E2220" w:rsidRDefault="003E4790">
      <w:pPr>
        <w:spacing w:after="0" w:line="240" w:lineRule="auto"/>
        <w:ind w:left="567" w:right="567"/>
        <w:jc w:val="both"/>
        <w:rPr>
          <w:rFonts w:ascii="Palatino Linotype" w:eastAsia="Palatino Linotype" w:hAnsi="Palatino Linotype" w:cs="Palatino Linotype"/>
          <w:i/>
          <w:sz w:val="24"/>
          <w:szCs w:val="24"/>
        </w:rPr>
      </w:pPr>
      <w:r w:rsidRPr="005E2220">
        <w:rPr>
          <w:rFonts w:ascii="Palatino Linotype" w:eastAsia="Palatino Linotype" w:hAnsi="Palatino Linotype" w:cs="Palatino Linotype"/>
          <w:i/>
          <w:sz w:val="24"/>
          <w:szCs w:val="24"/>
        </w:rPr>
        <w:t xml:space="preserve">III. Toda persona, sin necesidad de acreditar interés alguno o justificar su utilización, tendrá acceso gratuito a la información pública, a sus datos personales o a la rectificación de éstos. </w:t>
      </w:r>
    </w:p>
    <w:p w:rsidR="00FF39F4" w:rsidRPr="005E2220" w:rsidRDefault="003E4790">
      <w:pPr>
        <w:spacing w:after="0" w:line="240" w:lineRule="auto"/>
        <w:ind w:left="567" w:right="567"/>
        <w:jc w:val="both"/>
        <w:rPr>
          <w:rFonts w:ascii="Palatino Linotype" w:eastAsia="Palatino Linotype" w:hAnsi="Palatino Linotype" w:cs="Palatino Linotype"/>
          <w:i/>
          <w:sz w:val="24"/>
          <w:szCs w:val="24"/>
        </w:rPr>
      </w:pPr>
      <w:r w:rsidRPr="005E2220">
        <w:rPr>
          <w:rFonts w:ascii="Palatino Linotype" w:eastAsia="Palatino Linotype" w:hAnsi="Palatino Linotype" w:cs="Palatino Linotype"/>
          <w:i/>
          <w:sz w:val="24"/>
          <w:szCs w:val="24"/>
        </w:rPr>
        <w:t>IV. Se establecerán mecanismos de acceso a la información y procedimientos de revisión expeditos que se sustanciarán ante los organismos autónomos especializados e imparciales que establece esta Constitución.</w:t>
      </w:r>
    </w:p>
    <w:p w:rsidR="00FF39F4" w:rsidRPr="005E2220" w:rsidRDefault="00FF39F4">
      <w:pPr>
        <w:spacing w:after="0" w:line="240" w:lineRule="auto"/>
        <w:ind w:left="567" w:right="567"/>
        <w:jc w:val="both"/>
        <w:rPr>
          <w:rFonts w:ascii="Palatino Linotype" w:eastAsia="Palatino Linotype" w:hAnsi="Palatino Linotype" w:cs="Palatino Linotype"/>
          <w:i/>
          <w:sz w:val="24"/>
          <w:szCs w:val="24"/>
        </w:rPr>
      </w:pPr>
    </w:p>
    <w:p w:rsidR="00FF39F4" w:rsidRPr="005E2220" w:rsidRDefault="003E4790">
      <w:pPr>
        <w:spacing w:after="0" w:line="240" w:lineRule="auto"/>
        <w:ind w:left="567" w:right="567"/>
        <w:jc w:val="center"/>
        <w:rPr>
          <w:rFonts w:ascii="Palatino Linotype" w:eastAsia="Palatino Linotype" w:hAnsi="Palatino Linotype" w:cs="Palatino Linotype"/>
          <w:b/>
          <w:i/>
          <w:sz w:val="24"/>
          <w:szCs w:val="24"/>
          <w:u w:val="single"/>
        </w:rPr>
      </w:pPr>
      <w:r w:rsidRPr="005E2220">
        <w:rPr>
          <w:rFonts w:ascii="Palatino Linotype" w:eastAsia="Palatino Linotype" w:hAnsi="Palatino Linotype" w:cs="Palatino Linotype"/>
          <w:b/>
          <w:i/>
          <w:sz w:val="24"/>
          <w:szCs w:val="24"/>
          <w:u w:val="single"/>
        </w:rPr>
        <w:t>Constitución Política del Estado Libre y Soberano de México</w:t>
      </w:r>
    </w:p>
    <w:p w:rsidR="00FF39F4" w:rsidRPr="005E2220" w:rsidRDefault="003E4790">
      <w:pPr>
        <w:spacing w:after="0" w:line="240" w:lineRule="auto"/>
        <w:ind w:left="567" w:right="567"/>
        <w:jc w:val="both"/>
        <w:rPr>
          <w:rFonts w:ascii="Palatino Linotype" w:eastAsia="Palatino Linotype" w:hAnsi="Palatino Linotype" w:cs="Palatino Linotype"/>
          <w:i/>
          <w:sz w:val="24"/>
          <w:szCs w:val="24"/>
        </w:rPr>
      </w:pPr>
      <w:r w:rsidRPr="005E2220">
        <w:rPr>
          <w:rFonts w:ascii="Palatino Linotype" w:eastAsia="Palatino Linotype" w:hAnsi="Palatino Linotype" w:cs="Palatino Linotype"/>
          <w:b/>
          <w:i/>
          <w:sz w:val="24"/>
          <w:szCs w:val="24"/>
        </w:rPr>
        <w:t>Artículo 5</w:t>
      </w:r>
      <w:r w:rsidRPr="005E2220">
        <w:rPr>
          <w:rFonts w:ascii="Palatino Linotype" w:eastAsia="Palatino Linotype" w:hAnsi="Palatino Linotype" w:cs="Palatino Linotype"/>
          <w:i/>
          <w:sz w:val="24"/>
          <w:szCs w:val="24"/>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rsidR="00FF39F4" w:rsidRPr="005E2220" w:rsidRDefault="003E4790">
      <w:pPr>
        <w:spacing w:after="0" w:line="240" w:lineRule="auto"/>
        <w:ind w:left="567" w:right="567"/>
        <w:jc w:val="both"/>
        <w:rPr>
          <w:rFonts w:ascii="Palatino Linotype" w:eastAsia="Palatino Linotype" w:hAnsi="Palatino Linotype" w:cs="Palatino Linotype"/>
          <w:i/>
          <w:sz w:val="24"/>
          <w:szCs w:val="24"/>
        </w:rPr>
      </w:pPr>
      <w:r w:rsidRPr="005E2220">
        <w:rPr>
          <w:rFonts w:ascii="Palatino Linotype" w:eastAsia="Palatino Linotype" w:hAnsi="Palatino Linotype" w:cs="Palatino Linotype"/>
          <w:i/>
          <w:sz w:val="24"/>
          <w:szCs w:val="24"/>
        </w:rPr>
        <w:t>(…)</w:t>
      </w:r>
    </w:p>
    <w:p w:rsidR="00FF39F4" w:rsidRPr="005E2220" w:rsidRDefault="003E4790">
      <w:pPr>
        <w:spacing w:after="0" w:line="240" w:lineRule="auto"/>
        <w:ind w:left="567" w:right="567"/>
        <w:jc w:val="both"/>
        <w:rPr>
          <w:rFonts w:ascii="Palatino Linotype" w:eastAsia="Palatino Linotype" w:hAnsi="Palatino Linotype" w:cs="Palatino Linotype"/>
          <w:i/>
          <w:sz w:val="24"/>
          <w:szCs w:val="24"/>
        </w:rPr>
      </w:pPr>
      <w:r w:rsidRPr="005E2220">
        <w:rPr>
          <w:rFonts w:ascii="Palatino Linotype" w:eastAsia="Palatino Linotype" w:hAnsi="Palatino Linotype" w:cs="Palatino Linotype"/>
          <w:i/>
          <w:sz w:val="24"/>
          <w:szCs w:val="24"/>
        </w:rPr>
        <w:t>Toda persona en el Estado de México, tiene derecho al libre acceso a la información plural y oportuna, así como a buscar recibir y difundir información e ideas de toda índole por cualquier medio de expresión.</w:t>
      </w:r>
    </w:p>
    <w:p w:rsidR="00FF39F4" w:rsidRPr="005E2220" w:rsidRDefault="003E4790">
      <w:pPr>
        <w:spacing w:after="0" w:line="240" w:lineRule="auto"/>
        <w:ind w:left="567" w:right="567"/>
        <w:jc w:val="both"/>
        <w:rPr>
          <w:rFonts w:ascii="Palatino Linotype" w:eastAsia="Palatino Linotype" w:hAnsi="Palatino Linotype" w:cs="Palatino Linotype"/>
          <w:i/>
          <w:sz w:val="24"/>
          <w:szCs w:val="24"/>
        </w:rPr>
      </w:pPr>
      <w:r w:rsidRPr="005E2220">
        <w:rPr>
          <w:rFonts w:ascii="Palatino Linotype" w:eastAsia="Palatino Linotype" w:hAnsi="Palatino Linotype" w:cs="Palatino Linotype"/>
          <w:i/>
          <w:sz w:val="24"/>
          <w:szCs w:val="24"/>
        </w:rPr>
        <w:t>(…)</w:t>
      </w:r>
    </w:p>
    <w:p w:rsidR="00FF39F4" w:rsidRPr="005E2220" w:rsidRDefault="003E4790">
      <w:pPr>
        <w:spacing w:after="0" w:line="240" w:lineRule="auto"/>
        <w:ind w:left="567" w:right="567"/>
        <w:jc w:val="both"/>
        <w:rPr>
          <w:rFonts w:ascii="Palatino Linotype" w:eastAsia="Palatino Linotype" w:hAnsi="Palatino Linotype" w:cs="Palatino Linotype"/>
          <w:i/>
          <w:sz w:val="24"/>
          <w:szCs w:val="24"/>
        </w:rPr>
      </w:pPr>
      <w:r w:rsidRPr="005E2220">
        <w:rPr>
          <w:rFonts w:ascii="Palatino Linotype" w:eastAsia="Palatino Linotype" w:hAnsi="Palatino Linotype" w:cs="Palatino Linotype"/>
          <w:i/>
          <w:sz w:val="24"/>
          <w:szCs w:val="24"/>
        </w:rPr>
        <w:t xml:space="preserve">El derecho a la información será garantizado por el Estado. La ley establecerá las previsiones que permitan asegurar la protección, el respeto y la difusión de este derecho. </w:t>
      </w:r>
    </w:p>
    <w:p w:rsidR="00FF39F4" w:rsidRPr="005E2220" w:rsidRDefault="00FF39F4">
      <w:pPr>
        <w:spacing w:after="0" w:line="240" w:lineRule="auto"/>
        <w:ind w:left="567" w:right="567"/>
        <w:jc w:val="both"/>
        <w:rPr>
          <w:rFonts w:ascii="Palatino Linotype" w:eastAsia="Palatino Linotype" w:hAnsi="Palatino Linotype" w:cs="Palatino Linotype"/>
          <w:i/>
          <w:sz w:val="24"/>
          <w:szCs w:val="24"/>
        </w:rPr>
      </w:pPr>
    </w:p>
    <w:p w:rsidR="00FF39F4" w:rsidRPr="005E2220" w:rsidRDefault="003E4790">
      <w:pPr>
        <w:spacing w:after="0" w:line="240" w:lineRule="auto"/>
        <w:ind w:left="567" w:right="567"/>
        <w:jc w:val="both"/>
        <w:rPr>
          <w:rFonts w:ascii="Palatino Linotype" w:eastAsia="Palatino Linotype" w:hAnsi="Palatino Linotype" w:cs="Palatino Linotype"/>
          <w:i/>
          <w:sz w:val="24"/>
          <w:szCs w:val="24"/>
        </w:rPr>
      </w:pPr>
      <w:r w:rsidRPr="005E2220">
        <w:rPr>
          <w:rFonts w:ascii="Palatino Linotype" w:eastAsia="Palatino Linotype" w:hAnsi="Palatino Linotype" w:cs="Palatino Linotype"/>
          <w:i/>
          <w:sz w:val="24"/>
          <w:szCs w:val="24"/>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FF39F4" w:rsidRPr="005E2220" w:rsidRDefault="00FF39F4">
      <w:pPr>
        <w:spacing w:after="0" w:line="240" w:lineRule="auto"/>
        <w:ind w:left="567" w:right="567"/>
        <w:jc w:val="both"/>
        <w:rPr>
          <w:rFonts w:ascii="Palatino Linotype" w:eastAsia="Palatino Linotype" w:hAnsi="Palatino Linotype" w:cs="Palatino Linotype"/>
          <w:i/>
          <w:sz w:val="24"/>
          <w:szCs w:val="24"/>
        </w:rPr>
      </w:pPr>
    </w:p>
    <w:p w:rsidR="00FF39F4" w:rsidRPr="005E2220" w:rsidRDefault="003E4790">
      <w:pPr>
        <w:spacing w:after="0" w:line="240" w:lineRule="auto"/>
        <w:ind w:left="567" w:right="567"/>
        <w:jc w:val="both"/>
        <w:rPr>
          <w:rFonts w:ascii="Palatino Linotype" w:eastAsia="Palatino Linotype" w:hAnsi="Palatino Linotype" w:cs="Palatino Linotype"/>
          <w:i/>
          <w:sz w:val="24"/>
          <w:szCs w:val="24"/>
        </w:rPr>
      </w:pPr>
      <w:r w:rsidRPr="005E2220">
        <w:rPr>
          <w:rFonts w:ascii="Palatino Linotype" w:eastAsia="Palatino Linotype" w:hAnsi="Palatino Linotype" w:cs="Palatino Linotype"/>
          <w:i/>
          <w:sz w:val="24"/>
          <w:szCs w:val="24"/>
        </w:rPr>
        <w:t>Este derecho se regirá por los principios y bases siguientes:</w:t>
      </w:r>
    </w:p>
    <w:p w:rsidR="00FF39F4" w:rsidRPr="005E2220" w:rsidRDefault="003E4790">
      <w:pPr>
        <w:spacing w:after="0" w:line="240" w:lineRule="auto"/>
        <w:ind w:left="567" w:right="567"/>
        <w:jc w:val="both"/>
        <w:rPr>
          <w:rFonts w:ascii="Palatino Linotype" w:eastAsia="Palatino Linotype" w:hAnsi="Palatino Linotype" w:cs="Palatino Linotype"/>
          <w:i/>
          <w:sz w:val="24"/>
          <w:szCs w:val="24"/>
        </w:rPr>
      </w:pPr>
      <w:r w:rsidRPr="005E2220">
        <w:rPr>
          <w:rFonts w:ascii="Palatino Linotype" w:eastAsia="Palatino Linotype" w:hAnsi="Palatino Linotype" w:cs="Palatino Linotype"/>
          <w:i/>
          <w:sz w:val="24"/>
          <w:szCs w:val="24"/>
        </w:rPr>
        <w:t>(...)</w:t>
      </w:r>
    </w:p>
    <w:p w:rsidR="00FF39F4" w:rsidRPr="005E2220" w:rsidRDefault="003E4790">
      <w:pPr>
        <w:spacing w:after="0" w:line="240" w:lineRule="auto"/>
        <w:ind w:left="567" w:right="567"/>
        <w:jc w:val="both"/>
        <w:rPr>
          <w:rFonts w:ascii="Palatino Linotype" w:eastAsia="Palatino Linotype" w:hAnsi="Palatino Linotype" w:cs="Palatino Linotype"/>
          <w:i/>
          <w:sz w:val="24"/>
          <w:szCs w:val="24"/>
        </w:rPr>
      </w:pPr>
      <w:r w:rsidRPr="005E2220">
        <w:rPr>
          <w:rFonts w:ascii="Palatino Linotype" w:eastAsia="Palatino Linotype" w:hAnsi="Palatino Linotype" w:cs="Palatino Linotype"/>
          <w:b/>
          <w:i/>
          <w:sz w:val="24"/>
          <w:szCs w:val="24"/>
        </w:rPr>
        <w:lastRenderedPageBreak/>
        <w:t>III.</w:t>
      </w:r>
      <w:r w:rsidRPr="005E2220">
        <w:rPr>
          <w:rFonts w:ascii="Palatino Linotype" w:eastAsia="Palatino Linotype" w:hAnsi="Palatino Linotype" w:cs="Palatino Linotype"/>
          <w:i/>
          <w:sz w:val="24"/>
          <w:szCs w:val="24"/>
        </w:rPr>
        <w:t xml:space="preserve"> Toda persona, sin necesidad de acreditar interés alguno o justificar su utilización, tendrá acceso gratuito a la información pública, a sus datos personales o a la rectificación de éstos;</w:t>
      </w:r>
    </w:p>
    <w:p w:rsidR="00FF39F4" w:rsidRPr="005E2220" w:rsidRDefault="003E4790">
      <w:pPr>
        <w:spacing w:after="0" w:line="240" w:lineRule="auto"/>
        <w:ind w:left="567" w:right="567"/>
        <w:jc w:val="both"/>
        <w:rPr>
          <w:rFonts w:ascii="Palatino Linotype" w:eastAsia="Palatino Linotype" w:hAnsi="Palatino Linotype" w:cs="Palatino Linotype"/>
          <w:i/>
          <w:sz w:val="24"/>
          <w:szCs w:val="24"/>
        </w:rPr>
      </w:pPr>
      <w:r w:rsidRPr="005E2220">
        <w:rPr>
          <w:rFonts w:ascii="Palatino Linotype" w:eastAsia="Palatino Linotype" w:hAnsi="Palatino Linotype" w:cs="Palatino Linotype"/>
          <w:b/>
          <w:i/>
          <w:sz w:val="24"/>
          <w:szCs w:val="24"/>
        </w:rPr>
        <w:t>IV.</w:t>
      </w:r>
      <w:r w:rsidRPr="005E2220">
        <w:rPr>
          <w:rFonts w:ascii="Palatino Linotype" w:eastAsia="Palatino Linotype" w:hAnsi="Palatino Linotype" w:cs="Palatino Linotype"/>
          <w:i/>
          <w:sz w:val="24"/>
          <w:szCs w:val="24"/>
        </w:rPr>
        <w:t xml:space="preserve"> Se establecerán mecanismos de acceso a la información y procedimientos de revisión expeditos que se sustanciarán ante el organismo autónomo especializado e imparcial que establece esta Constitución.</w:t>
      </w:r>
    </w:p>
    <w:p w:rsidR="00FF39F4" w:rsidRPr="005E2220" w:rsidRDefault="003E4790">
      <w:pPr>
        <w:spacing w:after="0" w:line="240" w:lineRule="auto"/>
        <w:ind w:left="567" w:right="567"/>
        <w:jc w:val="both"/>
        <w:rPr>
          <w:rFonts w:ascii="Palatino Linotype" w:eastAsia="Palatino Linotype" w:hAnsi="Palatino Linotype" w:cs="Palatino Linotype"/>
          <w:i/>
          <w:sz w:val="24"/>
          <w:szCs w:val="24"/>
        </w:rPr>
      </w:pPr>
      <w:r w:rsidRPr="005E2220">
        <w:rPr>
          <w:rFonts w:ascii="Palatino Linotype" w:eastAsia="Palatino Linotype" w:hAnsi="Palatino Linotype" w:cs="Palatino Linotype"/>
          <w:i/>
          <w:sz w:val="24"/>
          <w:szCs w:val="24"/>
        </w:rPr>
        <w:t>(…)</w:t>
      </w:r>
    </w:p>
    <w:p w:rsidR="00FF39F4" w:rsidRPr="005E2220" w:rsidRDefault="003E4790">
      <w:pPr>
        <w:spacing w:after="0" w:line="240" w:lineRule="auto"/>
        <w:ind w:left="567" w:right="567"/>
        <w:jc w:val="both"/>
        <w:rPr>
          <w:rFonts w:ascii="Palatino Linotype" w:eastAsia="Palatino Linotype" w:hAnsi="Palatino Linotype" w:cs="Palatino Linotype"/>
          <w:i/>
          <w:sz w:val="24"/>
          <w:szCs w:val="24"/>
        </w:rPr>
      </w:pPr>
      <w:r w:rsidRPr="005E2220">
        <w:rPr>
          <w:rFonts w:ascii="Palatino Linotype" w:eastAsia="Palatino Linotype" w:hAnsi="Palatino Linotype" w:cs="Palatino Linotype"/>
          <w:b/>
          <w:i/>
          <w:sz w:val="24"/>
          <w:szCs w:val="24"/>
        </w:rPr>
        <w:t>VIII.</w:t>
      </w:r>
      <w:r w:rsidRPr="005E2220">
        <w:rPr>
          <w:rFonts w:ascii="Palatino Linotype" w:eastAsia="Palatino Linotype" w:hAnsi="Palatino Linotype" w:cs="Palatino Linotype"/>
          <w:i/>
          <w:sz w:val="24"/>
          <w:szCs w:val="24"/>
        </w:rPr>
        <w:t xml:space="preserve">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rsidR="00FF39F4" w:rsidRPr="005E2220" w:rsidRDefault="003E4790">
      <w:pPr>
        <w:spacing w:after="0" w:line="240" w:lineRule="auto"/>
        <w:ind w:left="567" w:right="567"/>
        <w:jc w:val="both"/>
        <w:rPr>
          <w:rFonts w:ascii="Palatino Linotype" w:eastAsia="Palatino Linotype" w:hAnsi="Palatino Linotype" w:cs="Palatino Linotype"/>
          <w:i/>
          <w:sz w:val="24"/>
          <w:szCs w:val="24"/>
        </w:rPr>
      </w:pPr>
      <w:r w:rsidRPr="005E2220">
        <w:rPr>
          <w:rFonts w:ascii="Palatino Linotype" w:eastAsia="Palatino Linotype" w:hAnsi="Palatino Linotype" w:cs="Palatino Linotype"/>
          <w:i/>
          <w:sz w:val="24"/>
          <w:szCs w:val="24"/>
        </w:rPr>
        <w:t>(…)</w:t>
      </w:r>
    </w:p>
    <w:p w:rsidR="00FF39F4" w:rsidRPr="005E2220" w:rsidRDefault="00FF39F4">
      <w:pPr>
        <w:spacing w:after="0" w:line="360" w:lineRule="auto"/>
        <w:ind w:left="567" w:right="567"/>
        <w:jc w:val="both"/>
        <w:rPr>
          <w:rFonts w:ascii="Palatino Linotype" w:eastAsia="Palatino Linotype" w:hAnsi="Palatino Linotype" w:cs="Palatino Linotype"/>
          <w:sz w:val="24"/>
          <w:szCs w:val="24"/>
        </w:rPr>
      </w:pPr>
    </w:p>
    <w:p w:rsidR="00FF39F4" w:rsidRPr="005E2220" w:rsidRDefault="003E4790">
      <w:pPr>
        <w:spacing w:after="0" w:line="360" w:lineRule="auto"/>
        <w:jc w:val="both"/>
        <w:rPr>
          <w:rFonts w:ascii="Palatino Linotype" w:eastAsia="Palatino Linotype" w:hAnsi="Palatino Linotype" w:cs="Palatino Linotype"/>
          <w:sz w:val="24"/>
          <w:szCs w:val="24"/>
        </w:rPr>
      </w:pPr>
      <w:r w:rsidRPr="005E2220">
        <w:rPr>
          <w:rFonts w:ascii="Palatino Linotype" w:eastAsia="Palatino Linotype" w:hAnsi="Palatino Linotype" w:cs="Palatino Linotype"/>
          <w:sz w:val="24"/>
          <w:szCs w:val="24"/>
        </w:rPr>
        <w:t>Por otra parte, del contenido del artículo 1 de la Constitución Política de los Estados Unidos Mexicanos, se destaca lo siguiente:</w:t>
      </w:r>
    </w:p>
    <w:p w:rsidR="00FF39F4" w:rsidRPr="005E2220" w:rsidRDefault="00FF39F4">
      <w:pPr>
        <w:spacing w:after="0" w:line="240" w:lineRule="auto"/>
        <w:ind w:left="567" w:right="567"/>
        <w:jc w:val="both"/>
        <w:rPr>
          <w:rFonts w:ascii="Palatino Linotype" w:eastAsia="Palatino Linotype" w:hAnsi="Palatino Linotype" w:cs="Palatino Linotype"/>
          <w:sz w:val="24"/>
          <w:szCs w:val="24"/>
        </w:rPr>
      </w:pPr>
    </w:p>
    <w:p w:rsidR="00FF39F4" w:rsidRPr="005E2220" w:rsidRDefault="003E4790">
      <w:pPr>
        <w:spacing w:after="0" w:line="240" w:lineRule="auto"/>
        <w:ind w:left="567" w:right="567"/>
        <w:jc w:val="both"/>
        <w:rPr>
          <w:rFonts w:ascii="Palatino Linotype" w:eastAsia="Palatino Linotype" w:hAnsi="Palatino Linotype" w:cs="Palatino Linotype"/>
          <w:i/>
          <w:sz w:val="24"/>
          <w:szCs w:val="24"/>
        </w:rPr>
      </w:pPr>
      <w:r w:rsidRPr="005E2220">
        <w:rPr>
          <w:rFonts w:ascii="Palatino Linotype" w:eastAsia="Palatino Linotype" w:hAnsi="Palatino Linotype" w:cs="Palatino Linotype"/>
          <w:b/>
          <w:i/>
          <w:sz w:val="24"/>
          <w:szCs w:val="24"/>
        </w:rPr>
        <w:t>Artículo 1o</w:t>
      </w:r>
      <w:r w:rsidRPr="005E2220">
        <w:rPr>
          <w:rFonts w:ascii="Palatino Linotype" w:eastAsia="Palatino Linotype" w:hAnsi="Palatino Linotype" w:cs="Palatino Linotype"/>
          <w:i/>
          <w:sz w:val="24"/>
          <w:szCs w:val="24"/>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FF39F4" w:rsidRPr="005E2220" w:rsidRDefault="00FF39F4">
      <w:pPr>
        <w:spacing w:after="0" w:line="240" w:lineRule="auto"/>
        <w:ind w:left="567" w:right="567"/>
        <w:jc w:val="both"/>
        <w:rPr>
          <w:rFonts w:ascii="Palatino Linotype" w:eastAsia="Palatino Linotype" w:hAnsi="Palatino Linotype" w:cs="Palatino Linotype"/>
          <w:i/>
          <w:sz w:val="24"/>
          <w:szCs w:val="24"/>
        </w:rPr>
      </w:pPr>
    </w:p>
    <w:p w:rsidR="00FF39F4" w:rsidRPr="005E2220" w:rsidRDefault="003E4790">
      <w:pPr>
        <w:spacing w:after="0" w:line="240" w:lineRule="auto"/>
        <w:ind w:left="567" w:right="567"/>
        <w:jc w:val="both"/>
        <w:rPr>
          <w:rFonts w:ascii="Palatino Linotype" w:eastAsia="Palatino Linotype" w:hAnsi="Palatino Linotype" w:cs="Palatino Linotype"/>
          <w:i/>
          <w:sz w:val="24"/>
          <w:szCs w:val="24"/>
        </w:rPr>
      </w:pPr>
      <w:r w:rsidRPr="005E2220">
        <w:rPr>
          <w:rFonts w:ascii="Palatino Linotype" w:eastAsia="Palatino Linotype" w:hAnsi="Palatino Linotype" w:cs="Palatino Linotype"/>
          <w:i/>
          <w:sz w:val="24"/>
          <w:szCs w:val="24"/>
        </w:rPr>
        <w:t>Las normas relativas a los derechos humanos se interpretarán de conformidad con esta Constitución y con los tratados internacionales de la materia favoreciendo en todo tiempo a las personas la protección más amplia.</w:t>
      </w:r>
    </w:p>
    <w:p w:rsidR="00FF39F4" w:rsidRPr="005E2220" w:rsidRDefault="00FF39F4">
      <w:pPr>
        <w:spacing w:after="0" w:line="240" w:lineRule="auto"/>
        <w:ind w:left="567" w:right="567"/>
        <w:jc w:val="both"/>
        <w:rPr>
          <w:rFonts w:ascii="Palatino Linotype" w:eastAsia="Palatino Linotype" w:hAnsi="Palatino Linotype" w:cs="Palatino Linotype"/>
          <w:i/>
          <w:sz w:val="24"/>
          <w:szCs w:val="24"/>
        </w:rPr>
      </w:pPr>
    </w:p>
    <w:p w:rsidR="00FF39F4" w:rsidRPr="005E2220" w:rsidRDefault="003E4790">
      <w:pPr>
        <w:spacing w:after="0" w:line="240" w:lineRule="auto"/>
        <w:ind w:left="567" w:right="567"/>
        <w:jc w:val="both"/>
        <w:rPr>
          <w:rFonts w:ascii="Palatino Linotype" w:eastAsia="Palatino Linotype" w:hAnsi="Palatino Linotype" w:cs="Palatino Linotype"/>
          <w:i/>
          <w:sz w:val="24"/>
          <w:szCs w:val="24"/>
        </w:rPr>
      </w:pPr>
      <w:r w:rsidRPr="005E2220">
        <w:rPr>
          <w:rFonts w:ascii="Palatino Linotype" w:eastAsia="Palatino Linotype" w:hAnsi="Palatino Linotype" w:cs="Palatino Linotype"/>
          <w:i/>
          <w:sz w:val="24"/>
          <w:szCs w:val="24"/>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FF39F4" w:rsidRPr="005E2220" w:rsidRDefault="00FF39F4">
      <w:pPr>
        <w:spacing w:after="0" w:line="360" w:lineRule="auto"/>
        <w:ind w:left="567" w:right="567"/>
        <w:jc w:val="both"/>
        <w:rPr>
          <w:rFonts w:ascii="Palatino Linotype" w:eastAsia="Palatino Linotype" w:hAnsi="Palatino Linotype" w:cs="Palatino Linotype"/>
          <w:sz w:val="24"/>
          <w:szCs w:val="24"/>
        </w:rPr>
      </w:pPr>
    </w:p>
    <w:p w:rsidR="00FF39F4" w:rsidRPr="005E2220" w:rsidRDefault="003E4790">
      <w:pPr>
        <w:spacing w:after="0" w:line="360" w:lineRule="auto"/>
        <w:jc w:val="both"/>
        <w:rPr>
          <w:rFonts w:ascii="Palatino Linotype" w:eastAsia="Palatino Linotype" w:hAnsi="Palatino Linotype" w:cs="Palatino Linotype"/>
          <w:sz w:val="24"/>
          <w:szCs w:val="24"/>
        </w:rPr>
      </w:pPr>
      <w:r w:rsidRPr="005E2220">
        <w:rPr>
          <w:rFonts w:ascii="Palatino Linotype" w:eastAsia="Palatino Linotype" w:hAnsi="Palatino Linotype" w:cs="Palatino Linotype"/>
          <w:sz w:val="24"/>
          <w:szCs w:val="24"/>
        </w:rPr>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FF39F4" w:rsidRPr="005E2220" w:rsidRDefault="00FF39F4">
      <w:pPr>
        <w:spacing w:after="0" w:line="360" w:lineRule="auto"/>
        <w:jc w:val="both"/>
        <w:rPr>
          <w:rFonts w:ascii="Palatino Linotype" w:eastAsia="Palatino Linotype" w:hAnsi="Palatino Linotype" w:cs="Palatino Linotype"/>
          <w:sz w:val="24"/>
          <w:szCs w:val="24"/>
        </w:rPr>
      </w:pPr>
    </w:p>
    <w:p w:rsidR="00FF39F4" w:rsidRPr="005E2220" w:rsidRDefault="003E4790">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rPr>
      </w:pPr>
      <w:r w:rsidRPr="005E2220">
        <w:rPr>
          <w:rFonts w:ascii="Palatino Linotype" w:eastAsia="Palatino Linotype" w:hAnsi="Palatino Linotype" w:cs="Palatino Linotype"/>
          <w:color w:val="000000"/>
          <w:sz w:val="24"/>
          <w:szCs w:val="24"/>
        </w:rPr>
        <w:t>En conclusión, se cubrieron los requisitos de procedencia y procedibilidad y conforme a las constancias que obran en el expediente.</w:t>
      </w:r>
    </w:p>
    <w:p w:rsidR="00FF39F4" w:rsidRPr="005E2220" w:rsidRDefault="00FF39F4">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FF39F4" w:rsidRPr="005E2220" w:rsidRDefault="003E4790">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6"/>
          <w:szCs w:val="26"/>
        </w:rPr>
      </w:pPr>
      <w:r w:rsidRPr="005E2220">
        <w:rPr>
          <w:rFonts w:ascii="Palatino Linotype" w:eastAsia="Palatino Linotype" w:hAnsi="Palatino Linotype" w:cs="Palatino Linotype"/>
          <w:b/>
          <w:color w:val="000000"/>
          <w:sz w:val="26"/>
          <w:szCs w:val="26"/>
        </w:rPr>
        <w:t>CUARTO. De las causas de improcedencia.</w:t>
      </w:r>
    </w:p>
    <w:p w:rsidR="00FF39F4" w:rsidRPr="005E2220" w:rsidRDefault="003E479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5E2220">
        <w:rPr>
          <w:rFonts w:ascii="Palatino Linotype" w:eastAsia="Palatino Linotype" w:hAnsi="Palatino Linotype" w:cs="Palatino Linotype"/>
          <w:color w:val="000000"/>
          <w:sz w:val="24"/>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FF39F4" w:rsidRPr="005E2220" w:rsidRDefault="00FF39F4">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FF39F4" w:rsidRPr="005E2220" w:rsidRDefault="003E479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5E2220">
        <w:rPr>
          <w:rFonts w:ascii="Palatino Linotype" w:eastAsia="Palatino Linotype" w:hAnsi="Palatino Linotype" w:cs="Palatino Linotype"/>
          <w:color w:val="000000"/>
          <w:sz w:val="24"/>
          <w:szCs w:val="24"/>
        </w:rPr>
        <w:t xml:space="preserve">Por lo anterior, es una facultad legal entrar al estudio de las causas de improcedencia que hagan valer las partes o que se adviertan de oficio por este Resolutor y por ende objeto de análisis previo al estudio de fondo del asunto; presupuestos procesales de </w:t>
      </w:r>
      <w:r w:rsidRPr="005E2220">
        <w:rPr>
          <w:rFonts w:ascii="Palatino Linotype" w:eastAsia="Palatino Linotype" w:hAnsi="Palatino Linotype" w:cs="Palatino Linotype"/>
          <w:color w:val="000000"/>
          <w:sz w:val="24"/>
          <w:szCs w:val="24"/>
        </w:rPr>
        <w:lastRenderedPageBreak/>
        <w:t>inicio o trámite de un proceso que dotan de seguridad jurídica las resoluciones, máxime que es una figura procesal adoptada en la ley de la materia</w:t>
      </w:r>
      <w:r w:rsidRPr="005E2220">
        <w:rPr>
          <w:rFonts w:ascii="Palatino Linotype" w:eastAsia="Palatino Linotype" w:hAnsi="Palatino Linotype" w:cs="Palatino Linotype"/>
          <w:color w:val="000000"/>
          <w:sz w:val="24"/>
          <w:szCs w:val="24"/>
          <w:vertAlign w:val="superscript"/>
        </w:rPr>
        <w:footnoteReference w:id="1"/>
      </w:r>
      <w:r w:rsidRPr="005E2220">
        <w:rPr>
          <w:rFonts w:ascii="Palatino Linotype" w:eastAsia="Palatino Linotype" w:hAnsi="Palatino Linotype" w:cs="Palatino Linotype"/>
          <w:color w:val="000000"/>
          <w:sz w:val="24"/>
          <w:szCs w:val="24"/>
        </w:rPr>
        <w:t>, la cual permite dilucidar alguna causal que impida el estudio y resolución, cuando una vez admitido el recurso de revisión se advierta una causa de improcedencia que permita sobreseerlo, sin estudiar el fondo del asunto.</w:t>
      </w:r>
    </w:p>
    <w:p w:rsidR="00FF39F4" w:rsidRPr="005E2220" w:rsidRDefault="00FF39F4">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FF39F4" w:rsidRPr="005E2220" w:rsidRDefault="003E479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5E2220">
        <w:rPr>
          <w:rFonts w:ascii="Palatino Linotype" w:eastAsia="Palatino Linotype" w:hAnsi="Palatino Linotype" w:cs="Palatino Linotype"/>
          <w:color w:val="000000"/>
          <w:sz w:val="24"/>
          <w:szCs w:val="24"/>
        </w:rPr>
        <w:t xml:space="preserve">Así las cosas, en la especie, no se actualiza ninguna causa de improcedencia de las referidas en el artículo 191 de la Ley de Transparencia y Acceso a la Información Pública del Estado de México y Municipios, encontrándose actualizados todos los </w:t>
      </w:r>
      <w:r w:rsidRPr="005E2220">
        <w:rPr>
          <w:rFonts w:ascii="Palatino Linotype" w:eastAsia="Palatino Linotype" w:hAnsi="Palatino Linotype" w:cs="Palatino Linotype"/>
          <w:color w:val="000000"/>
          <w:sz w:val="24"/>
          <w:szCs w:val="24"/>
        </w:rPr>
        <w:lastRenderedPageBreak/>
        <w:t>presupuestos procesales para atender el fondo del asunto, en los términos del considerando posterior.</w:t>
      </w:r>
    </w:p>
    <w:p w:rsidR="00FF39F4" w:rsidRPr="005E2220" w:rsidRDefault="00FF39F4">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FF39F4" w:rsidRPr="005E2220" w:rsidRDefault="003E479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6"/>
          <w:szCs w:val="26"/>
        </w:rPr>
      </w:pPr>
      <w:r w:rsidRPr="005E2220">
        <w:rPr>
          <w:rFonts w:ascii="Palatino Linotype" w:eastAsia="Palatino Linotype" w:hAnsi="Palatino Linotype" w:cs="Palatino Linotype"/>
          <w:b/>
          <w:color w:val="000000"/>
          <w:sz w:val="26"/>
          <w:szCs w:val="26"/>
        </w:rPr>
        <w:t>QUINTO. Estudio y resolución del asunto.</w:t>
      </w:r>
    </w:p>
    <w:p w:rsidR="00FF39F4" w:rsidRPr="005E2220" w:rsidRDefault="003E479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5E2220">
        <w:rPr>
          <w:rFonts w:ascii="Palatino Linotype" w:eastAsia="Palatino Linotype" w:hAnsi="Palatino Linotype" w:cs="Palatino Linotype"/>
          <w:color w:val="000000"/>
          <w:sz w:val="24"/>
          <w:szCs w:val="24"/>
        </w:rPr>
        <w:t>Antes del entrar al estudio, cabe precisar que el Sujeto Obligado no realizó pronunciamiento alguno, pues no se debe perder de vista que el objeto del presente fallo nace a la vida jurídica en el momento en el que el particular reviste la figura de Recurrente interponiendo dicho medio de impugnación, el cual tiene como motivo de inconformidad la omisión de la autoridad en dar respuesta a su solicitud, en consecuencia se actualizan las hipótesis, señaladas en las fracciones I y VII del artículo 179 de la Ley de Transparencia y Acceso a la Información Pública del Estado de México y Municipios, resultando procedente la interposición del recurso de revisión cuando no se dé respuesta a una solicitud de información.</w:t>
      </w:r>
    </w:p>
    <w:p w:rsidR="00FF39F4" w:rsidRPr="005E2220" w:rsidRDefault="00FF39F4">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FF39F4" w:rsidRPr="005E2220" w:rsidRDefault="003E479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5E2220">
        <w:rPr>
          <w:rFonts w:ascii="Palatino Linotype" w:eastAsia="Palatino Linotype" w:hAnsi="Palatino Linotype" w:cs="Palatino Linotype"/>
          <w:color w:val="000000"/>
          <w:sz w:val="24"/>
          <w:szCs w:val="24"/>
        </w:rPr>
        <w:t xml:space="preserve">Así las cosas, ante la omisión del Sujeto Obligado para dar respuesta al Recurrente, se advierte lo que en la doctrina se le conoce como </w:t>
      </w:r>
      <w:r w:rsidRPr="005E2220">
        <w:rPr>
          <w:rFonts w:ascii="Palatino Linotype" w:eastAsia="Palatino Linotype" w:hAnsi="Palatino Linotype" w:cs="Palatino Linotype"/>
          <w:b/>
          <w:color w:val="000000"/>
          <w:sz w:val="24"/>
          <w:szCs w:val="24"/>
          <w:u w:val="single"/>
        </w:rPr>
        <w:t>negativa ficta</w:t>
      </w:r>
      <w:r w:rsidRPr="005E2220">
        <w:rPr>
          <w:rFonts w:ascii="Palatino Linotype" w:eastAsia="Palatino Linotype" w:hAnsi="Palatino Linotype" w:cs="Palatino Linotype"/>
          <w:color w:val="000000"/>
          <w:sz w:val="24"/>
          <w:szCs w:val="24"/>
        </w:rPr>
        <w:t>, figura jurídica cuya esencia consiste en atribuir un efecto negativo al silencio de la autoridad administrativa frente a las instancias y solicitudes que hagan los particulares.</w:t>
      </w:r>
    </w:p>
    <w:p w:rsidR="00FF39F4" w:rsidRPr="005E2220" w:rsidRDefault="00FF39F4">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FF39F4" w:rsidRPr="005E2220" w:rsidRDefault="003E479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5E2220">
        <w:rPr>
          <w:rFonts w:ascii="Palatino Linotype" w:eastAsia="Palatino Linotype" w:hAnsi="Palatino Linotype" w:cs="Palatino Linotype"/>
          <w:color w:val="000000"/>
          <w:sz w:val="24"/>
          <w:szCs w:val="24"/>
        </w:rPr>
        <w:t>En este sentido la negativa ficta constituye una presunción legal, en el entendido de que donde no hubo respuesta por parte del Sujeto Obligado</w:t>
      </w:r>
      <w:r w:rsidRPr="005E2220">
        <w:rPr>
          <w:rFonts w:ascii="Palatino Linotype" w:eastAsia="Palatino Linotype" w:hAnsi="Palatino Linotype" w:cs="Palatino Linotype"/>
          <w:b/>
          <w:color w:val="000000"/>
          <w:sz w:val="24"/>
          <w:szCs w:val="24"/>
        </w:rPr>
        <w:t xml:space="preserve"> </w:t>
      </w:r>
      <w:r w:rsidRPr="005E2220">
        <w:rPr>
          <w:rFonts w:ascii="Palatino Linotype" w:eastAsia="Palatino Linotype" w:hAnsi="Palatino Linotype" w:cs="Palatino Linotype"/>
          <w:color w:val="000000"/>
          <w:sz w:val="24"/>
          <w:szCs w:val="24"/>
        </w:rPr>
        <w:t xml:space="preserve">existe, una resolución de rechazo ante la solicitud del ciudadano; ya que efectivamente, dicha figura se encuentra íntimamente vinculada con el Derecho al Acceso de Información, consagrado en nuestra Carta Magna, es por ello que constituye un instrumento que </w:t>
      </w:r>
      <w:r w:rsidRPr="005E2220">
        <w:rPr>
          <w:rFonts w:ascii="Palatino Linotype" w:eastAsia="Palatino Linotype" w:hAnsi="Palatino Linotype" w:cs="Palatino Linotype"/>
          <w:color w:val="000000"/>
          <w:sz w:val="24"/>
          <w:szCs w:val="24"/>
        </w:rPr>
        <w:lastRenderedPageBreak/>
        <w:t>garantiza la posibilidad de defensa del particular en contra de la incertidumbre jurídica y que tiende a realizar ese Estado de Derecho en el que, el particular, tiene siempre una vía de defensa.</w:t>
      </w:r>
    </w:p>
    <w:p w:rsidR="00FF39F4" w:rsidRPr="005E2220" w:rsidRDefault="00FF39F4">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FF39F4" w:rsidRPr="005E2220" w:rsidRDefault="003E479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5E2220">
        <w:rPr>
          <w:rFonts w:ascii="Palatino Linotype" w:eastAsia="Palatino Linotype" w:hAnsi="Palatino Linotype" w:cs="Palatino Linotype"/>
          <w:color w:val="000000"/>
          <w:sz w:val="24"/>
          <w:szCs w:val="24"/>
        </w:rPr>
        <w:t>En este sentido en el marco del derecho de acceso a la información pública, la figura de la negativa ficta brinda al ciudadano la oportunidad de inconformarse en los casos en que estime violentado su derecho; en consecuencia, resulta indispensable subrayar que 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rsidR="00FF39F4" w:rsidRPr="005E2220" w:rsidRDefault="00FF39F4">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FF39F4" w:rsidRPr="005E2220" w:rsidRDefault="003E4790">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sz w:val="24"/>
          <w:szCs w:val="24"/>
        </w:rPr>
      </w:pPr>
      <w:r w:rsidRPr="005E2220">
        <w:rPr>
          <w:rFonts w:ascii="Palatino Linotype" w:eastAsia="Palatino Linotype" w:hAnsi="Palatino Linotype" w:cs="Palatino Linotype"/>
          <w:b/>
          <w:i/>
          <w:color w:val="000000"/>
          <w:sz w:val="24"/>
          <w:szCs w:val="24"/>
        </w:rPr>
        <w:t>Artículo 4.</w:t>
      </w:r>
      <w:r w:rsidRPr="005E2220">
        <w:rPr>
          <w:rFonts w:ascii="Palatino Linotype" w:eastAsia="Palatino Linotype" w:hAnsi="Palatino Linotype" w:cs="Palatino Linotype"/>
          <w:i/>
          <w:color w:val="000000"/>
          <w:sz w:val="24"/>
          <w:szCs w:val="24"/>
        </w:rPr>
        <w:t xml:space="preserve"> El derecho humano de acceso a la información pública es la prerrogativa de las personas para buscar, difundir, investigar, recabar, recibir y solicitar información pública, sin necesidad de acreditar personalidad ni interés jurídico.</w:t>
      </w:r>
    </w:p>
    <w:p w:rsidR="00FF39F4" w:rsidRPr="005E2220" w:rsidRDefault="00FF39F4">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sz w:val="24"/>
          <w:szCs w:val="24"/>
        </w:rPr>
      </w:pPr>
    </w:p>
    <w:p w:rsidR="00FF39F4" w:rsidRPr="005E2220" w:rsidRDefault="003E4790">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sz w:val="24"/>
          <w:szCs w:val="24"/>
        </w:rPr>
      </w:pPr>
      <w:r w:rsidRPr="005E2220">
        <w:rPr>
          <w:rFonts w:ascii="Palatino Linotype" w:eastAsia="Palatino Linotype" w:hAnsi="Palatino Linotype" w:cs="Palatino Linotype"/>
          <w:i/>
          <w:color w:val="000000"/>
          <w:sz w:val="24"/>
          <w:szCs w:val="24"/>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FF39F4" w:rsidRPr="005E2220" w:rsidRDefault="00FF39F4">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sz w:val="24"/>
          <w:szCs w:val="24"/>
        </w:rPr>
      </w:pPr>
    </w:p>
    <w:p w:rsidR="00FF39F4" w:rsidRPr="005E2220" w:rsidRDefault="003E4790">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sz w:val="24"/>
          <w:szCs w:val="24"/>
        </w:rPr>
      </w:pPr>
      <w:r w:rsidRPr="005E2220">
        <w:rPr>
          <w:rFonts w:ascii="Palatino Linotype" w:eastAsia="Palatino Linotype" w:hAnsi="Palatino Linotype" w:cs="Palatino Linotype"/>
          <w:i/>
          <w:color w:val="000000"/>
          <w:sz w:val="24"/>
          <w:szCs w:val="24"/>
        </w:rPr>
        <w:t>Los sujetos obligados deben poner en práctica, políticas y programas de acceso a la información que se apeguen a criterios de publicidad, veracidad, oportunidad, precisión y suficiencia en beneficio de los solicitantes.</w:t>
      </w:r>
    </w:p>
    <w:p w:rsidR="00FF39F4" w:rsidRPr="005E2220" w:rsidRDefault="00FF39F4">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sz w:val="24"/>
          <w:szCs w:val="24"/>
        </w:rPr>
      </w:pPr>
    </w:p>
    <w:p w:rsidR="00FF39F4" w:rsidRPr="005E2220" w:rsidRDefault="003E4790">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sz w:val="24"/>
          <w:szCs w:val="24"/>
        </w:rPr>
      </w:pPr>
      <w:r w:rsidRPr="005E2220">
        <w:rPr>
          <w:rFonts w:ascii="Palatino Linotype" w:eastAsia="Palatino Linotype" w:hAnsi="Palatino Linotype" w:cs="Palatino Linotype"/>
          <w:b/>
          <w:i/>
          <w:color w:val="000000"/>
          <w:sz w:val="24"/>
          <w:szCs w:val="24"/>
        </w:rPr>
        <w:lastRenderedPageBreak/>
        <w:t>Artículo 12.</w:t>
      </w:r>
      <w:r w:rsidRPr="005E2220">
        <w:rPr>
          <w:rFonts w:ascii="Palatino Linotype" w:eastAsia="Palatino Linotype" w:hAnsi="Palatino Linotype" w:cs="Palatino Linotype"/>
          <w:i/>
          <w:color w:val="000000"/>
          <w:sz w:val="24"/>
          <w:szCs w:val="24"/>
        </w:rPr>
        <w:t xml:space="preserve"> Quienes generen, recopilen, administren, manejen, procesen, archiven o conserven información pública serán responsables de la misma en los términos de las disposiciones jurídicas aplicables.</w:t>
      </w:r>
    </w:p>
    <w:p w:rsidR="00FF39F4" w:rsidRPr="005E2220" w:rsidRDefault="00FF39F4">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sz w:val="24"/>
          <w:szCs w:val="24"/>
        </w:rPr>
      </w:pPr>
    </w:p>
    <w:p w:rsidR="00FF39F4" w:rsidRPr="005E2220" w:rsidRDefault="003E4790">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sz w:val="24"/>
          <w:szCs w:val="24"/>
        </w:rPr>
      </w:pPr>
      <w:r w:rsidRPr="005E2220">
        <w:rPr>
          <w:rFonts w:ascii="Palatino Linotype" w:eastAsia="Palatino Linotype" w:hAnsi="Palatino Linotype" w:cs="Palatino Linotype"/>
          <w:i/>
          <w:color w:val="000000"/>
          <w:sz w:val="24"/>
          <w:szCs w:val="24"/>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FF39F4" w:rsidRPr="005E2220" w:rsidRDefault="003E4790">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sz w:val="24"/>
          <w:szCs w:val="24"/>
        </w:rPr>
      </w:pPr>
      <w:r w:rsidRPr="005E2220">
        <w:rPr>
          <w:rFonts w:ascii="Palatino Linotype" w:eastAsia="Palatino Linotype" w:hAnsi="Palatino Linotype" w:cs="Palatino Linotype"/>
          <w:i/>
          <w:color w:val="000000"/>
          <w:sz w:val="24"/>
          <w:szCs w:val="24"/>
        </w:rPr>
        <w:t>(…)</w:t>
      </w:r>
    </w:p>
    <w:p w:rsidR="00FF39F4" w:rsidRPr="005E2220" w:rsidRDefault="00FF39F4">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b/>
          <w:i/>
          <w:color w:val="000000"/>
          <w:sz w:val="24"/>
          <w:szCs w:val="24"/>
        </w:rPr>
      </w:pPr>
    </w:p>
    <w:p w:rsidR="00FF39F4" w:rsidRPr="005E2220" w:rsidRDefault="003E4790">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b/>
          <w:i/>
          <w:color w:val="000000"/>
          <w:sz w:val="24"/>
          <w:szCs w:val="24"/>
        </w:rPr>
      </w:pPr>
      <w:r w:rsidRPr="005E2220">
        <w:rPr>
          <w:rFonts w:ascii="Palatino Linotype" w:eastAsia="Palatino Linotype" w:hAnsi="Palatino Linotype" w:cs="Palatino Linotype"/>
          <w:b/>
          <w:i/>
          <w:color w:val="000000"/>
          <w:sz w:val="24"/>
          <w:szCs w:val="24"/>
        </w:rPr>
        <w:t xml:space="preserve">Artículo 24. </w:t>
      </w:r>
    </w:p>
    <w:p w:rsidR="00FF39F4" w:rsidRPr="005E2220" w:rsidRDefault="003E4790">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sz w:val="24"/>
          <w:szCs w:val="24"/>
        </w:rPr>
      </w:pPr>
      <w:r w:rsidRPr="005E2220">
        <w:rPr>
          <w:rFonts w:ascii="Palatino Linotype" w:eastAsia="Palatino Linotype" w:hAnsi="Palatino Linotype" w:cs="Palatino Linotype"/>
          <w:i/>
          <w:color w:val="000000"/>
          <w:sz w:val="24"/>
          <w:szCs w:val="24"/>
        </w:rPr>
        <w:t>(…)</w:t>
      </w:r>
    </w:p>
    <w:p w:rsidR="00FF39F4" w:rsidRPr="005E2220" w:rsidRDefault="003E4790">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sz w:val="24"/>
          <w:szCs w:val="24"/>
        </w:rPr>
      </w:pPr>
      <w:r w:rsidRPr="005E2220">
        <w:rPr>
          <w:rFonts w:ascii="Palatino Linotype" w:eastAsia="Palatino Linotype" w:hAnsi="Palatino Linotype" w:cs="Palatino Linotype"/>
          <w:i/>
          <w:color w:val="000000"/>
          <w:sz w:val="24"/>
          <w:szCs w:val="24"/>
        </w:rPr>
        <w:t>Los sujetos obligados solo proporcionarán la información pública que generen, administren o posean en el ejercicio de sus atribuciones.”</w:t>
      </w:r>
    </w:p>
    <w:p w:rsidR="00FF39F4" w:rsidRPr="005E2220" w:rsidRDefault="003E4790">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sz w:val="24"/>
          <w:szCs w:val="24"/>
        </w:rPr>
      </w:pPr>
      <w:r w:rsidRPr="005E2220">
        <w:rPr>
          <w:rFonts w:ascii="Palatino Linotype" w:eastAsia="Palatino Linotype" w:hAnsi="Palatino Linotype" w:cs="Palatino Linotype"/>
          <w:i/>
          <w:color w:val="000000"/>
          <w:sz w:val="24"/>
          <w:szCs w:val="24"/>
        </w:rPr>
        <w:t>(…)</w:t>
      </w:r>
    </w:p>
    <w:p w:rsidR="00FF39F4" w:rsidRPr="005E2220" w:rsidRDefault="00FF39F4">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sz w:val="24"/>
          <w:szCs w:val="24"/>
        </w:rPr>
      </w:pPr>
    </w:p>
    <w:p w:rsidR="00FF39F4" w:rsidRPr="005E2220" w:rsidRDefault="003E4790">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sz w:val="24"/>
          <w:szCs w:val="24"/>
        </w:rPr>
      </w:pPr>
      <w:r w:rsidRPr="005E2220">
        <w:rPr>
          <w:rFonts w:ascii="Palatino Linotype" w:eastAsia="Palatino Linotype" w:hAnsi="Palatino Linotype" w:cs="Palatino Linotype"/>
          <w:b/>
          <w:i/>
          <w:color w:val="000000"/>
          <w:sz w:val="24"/>
          <w:szCs w:val="24"/>
        </w:rPr>
        <w:t>Artículo 160.</w:t>
      </w:r>
      <w:r w:rsidRPr="005E2220">
        <w:rPr>
          <w:rFonts w:ascii="Palatino Linotype" w:eastAsia="Palatino Linotype" w:hAnsi="Palatino Linotype" w:cs="Palatino Linotype"/>
          <w:i/>
          <w:color w:val="000000"/>
          <w:sz w:val="24"/>
          <w:szCs w:val="24"/>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FF39F4" w:rsidRPr="005E2220" w:rsidRDefault="00FF39F4">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sz w:val="24"/>
          <w:szCs w:val="24"/>
        </w:rPr>
      </w:pPr>
    </w:p>
    <w:p w:rsidR="00FF39F4" w:rsidRPr="005E2220" w:rsidRDefault="003E4790">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sz w:val="24"/>
          <w:szCs w:val="24"/>
        </w:rPr>
      </w:pPr>
      <w:r w:rsidRPr="005E2220">
        <w:rPr>
          <w:rFonts w:ascii="Palatino Linotype" w:eastAsia="Palatino Linotype" w:hAnsi="Palatino Linotype" w:cs="Palatino Linotype"/>
          <w:i/>
          <w:color w:val="000000"/>
          <w:sz w:val="24"/>
          <w:szCs w:val="24"/>
        </w:rPr>
        <w:t>En caso que la información solicitada consista en bases de datos se deberá privilegiar la entrega de la misma en formatos abiertos.</w:t>
      </w:r>
    </w:p>
    <w:p w:rsidR="00FF39F4" w:rsidRPr="005E2220" w:rsidRDefault="00FF39F4">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FF39F4" w:rsidRPr="005E2220" w:rsidRDefault="003E479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5E2220">
        <w:rPr>
          <w:rFonts w:ascii="Palatino Linotype" w:eastAsia="Palatino Linotype" w:hAnsi="Palatino Linotype" w:cs="Palatino Linotype"/>
          <w:color w:val="000000"/>
          <w:sz w:val="24"/>
          <w:szCs w:val="24"/>
        </w:rPr>
        <w:t>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de la Ley local en la materia, que se reproduce de la siguiente forma:</w:t>
      </w:r>
    </w:p>
    <w:p w:rsidR="00FF39F4" w:rsidRPr="005E2220" w:rsidRDefault="00FF39F4">
      <w:pPr>
        <w:pBdr>
          <w:top w:val="nil"/>
          <w:left w:val="nil"/>
          <w:bottom w:val="nil"/>
          <w:right w:val="nil"/>
          <w:between w:val="nil"/>
        </w:pBdr>
        <w:spacing w:after="0" w:line="360" w:lineRule="auto"/>
        <w:rPr>
          <w:rFonts w:ascii="Palatino Linotype" w:eastAsia="Palatino Linotype" w:hAnsi="Palatino Linotype" w:cs="Palatino Linotype"/>
          <w:color w:val="000000"/>
          <w:sz w:val="24"/>
          <w:szCs w:val="24"/>
        </w:rPr>
      </w:pPr>
    </w:p>
    <w:p w:rsidR="00FF39F4" w:rsidRPr="005E2220" w:rsidRDefault="003E4790">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sz w:val="24"/>
          <w:szCs w:val="24"/>
        </w:rPr>
      </w:pPr>
      <w:r w:rsidRPr="005E2220">
        <w:rPr>
          <w:rFonts w:ascii="Palatino Linotype" w:eastAsia="Palatino Linotype" w:hAnsi="Palatino Linotype" w:cs="Palatino Linotype"/>
          <w:b/>
          <w:i/>
          <w:color w:val="000000"/>
          <w:sz w:val="24"/>
          <w:szCs w:val="24"/>
        </w:rPr>
        <w:lastRenderedPageBreak/>
        <w:t>Artículo 166.</w:t>
      </w:r>
      <w:r w:rsidRPr="005E2220">
        <w:rPr>
          <w:rFonts w:ascii="Palatino Linotype" w:eastAsia="Palatino Linotype" w:hAnsi="Palatino Linotype" w:cs="Palatino Linotype"/>
          <w:i/>
          <w:color w:val="000000"/>
          <w:sz w:val="24"/>
          <w:szCs w:val="24"/>
        </w:rPr>
        <w:t xml:space="preserve"> La obligación de acceso a la información pública se tendrá por cumplida cuando el solicitante tenga a su disposición la información requerida, o cuando realice la consulta de la misma en el lugar en el que ésta se localice.</w:t>
      </w:r>
    </w:p>
    <w:p w:rsidR="00FF39F4" w:rsidRPr="005E2220" w:rsidRDefault="00FF39F4">
      <w:pPr>
        <w:pBdr>
          <w:top w:val="nil"/>
          <w:left w:val="nil"/>
          <w:bottom w:val="nil"/>
          <w:right w:val="nil"/>
          <w:between w:val="nil"/>
        </w:pBdr>
        <w:spacing w:after="0" w:line="360" w:lineRule="auto"/>
        <w:rPr>
          <w:rFonts w:ascii="Palatino Linotype" w:eastAsia="Palatino Linotype" w:hAnsi="Palatino Linotype" w:cs="Palatino Linotype"/>
          <w:color w:val="000000"/>
          <w:sz w:val="24"/>
          <w:szCs w:val="24"/>
        </w:rPr>
      </w:pPr>
    </w:p>
    <w:p w:rsidR="00FF39F4" w:rsidRPr="005E2220" w:rsidRDefault="003E479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5E2220">
        <w:rPr>
          <w:rFonts w:ascii="Palatino Linotype" w:eastAsia="Palatino Linotype" w:hAnsi="Palatino Linotype" w:cs="Palatino Linotype"/>
          <w:color w:val="000000"/>
          <w:sz w:val="24"/>
          <w:szCs w:val="24"/>
        </w:rPr>
        <w:t>De lo anterior, conforme a las acciones del Sujeto Obligado, se establece que éste vulnera el derecho de acceso a la información pública del Recurrente, toda vez que no entrega respuesta a la solicitud de información presentada, de conformidad a lo establecido en los artículos 24 fracción XI, y 166 de la ley local en la materia, y que señalan:</w:t>
      </w:r>
    </w:p>
    <w:p w:rsidR="00FF39F4" w:rsidRPr="005E2220" w:rsidRDefault="00FF39F4">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FF39F4" w:rsidRPr="005E2220" w:rsidRDefault="003E4790">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sz w:val="24"/>
          <w:szCs w:val="24"/>
        </w:rPr>
      </w:pPr>
      <w:r w:rsidRPr="005E2220">
        <w:rPr>
          <w:rFonts w:ascii="Palatino Linotype" w:eastAsia="Palatino Linotype" w:hAnsi="Palatino Linotype" w:cs="Palatino Linotype"/>
          <w:b/>
          <w:i/>
          <w:color w:val="000000"/>
          <w:sz w:val="24"/>
          <w:szCs w:val="24"/>
        </w:rPr>
        <w:t>Artículo 24.</w:t>
      </w:r>
      <w:r w:rsidRPr="005E2220">
        <w:rPr>
          <w:rFonts w:ascii="Palatino Linotype" w:eastAsia="Palatino Linotype" w:hAnsi="Palatino Linotype" w:cs="Palatino Linotype"/>
          <w:i/>
          <w:color w:val="000000"/>
          <w:sz w:val="24"/>
          <w:szCs w:val="24"/>
        </w:rPr>
        <w:t xml:space="preserve"> Para el cumplimiento de los objetivos de esta Ley, los sujetos obligados deberán cumplir con las siguientes obligaciones, según corresponda, de acuerdo a su naturaleza:</w:t>
      </w:r>
    </w:p>
    <w:p w:rsidR="00FF39F4" w:rsidRPr="005E2220" w:rsidRDefault="003E4790">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sz w:val="24"/>
          <w:szCs w:val="24"/>
        </w:rPr>
      </w:pPr>
      <w:r w:rsidRPr="005E2220">
        <w:rPr>
          <w:rFonts w:ascii="Palatino Linotype" w:eastAsia="Palatino Linotype" w:hAnsi="Palatino Linotype" w:cs="Palatino Linotype"/>
          <w:i/>
          <w:color w:val="000000"/>
          <w:sz w:val="24"/>
          <w:szCs w:val="24"/>
        </w:rPr>
        <w:t>(...)</w:t>
      </w:r>
    </w:p>
    <w:p w:rsidR="00FF39F4" w:rsidRPr="005E2220" w:rsidRDefault="003E4790">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sz w:val="24"/>
          <w:szCs w:val="24"/>
        </w:rPr>
      </w:pPr>
      <w:r w:rsidRPr="005E2220">
        <w:rPr>
          <w:rFonts w:ascii="Palatino Linotype" w:eastAsia="Palatino Linotype" w:hAnsi="Palatino Linotype" w:cs="Palatino Linotype"/>
          <w:i/>
          <w:color w:val="000000"/>
          <w:sz w:val="24"/>
          <w:szCs w:val="24"/>
        </w:rPr>
        <w:t>XI. Dar acceso a la información pública que le sea requerida, en los términos de la Ley General, esta Ley y demás disposiciones jurídicas aplicables;</w:t>
      </w:r>
    </w:p>
    <w:p w:rsidR="00FF39F4" w:rsidRPr="005E2220" w:rsidRDefault="003E4790">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sz w:val="24"/>
          <w:szCs w:val="24"/>
        </w:rPr>
      </w:pPr>
      <w:r w:rsidRPr="005E2220">
        <w:rPr>
          <w:rFonts w:ascii="Palatino Linotype" w:eastAsia="Palatino Linotype" w:hAnsi="Palatino Linotype" w:cs="Palatino Linotype"/>
          <w:i/>
          <w:color w:val="000000"/>
          <w:sz w:val="24"/>
          <w:szCs w:val="24"/>
        </w:rPr>
        <w:t>(...)</w:t>
      </w:r>
    </w:p>
    <w:p w:rsidR="00FF39F4" w:rsidRPr="005E2220" w:rsidRDefault="00FF39F4">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FF39F4" w:rsidRPr="005E2220" w:rsidRDefault="003E479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5E2220">
        <w:rPr>
          <w:rFonts w:ascii="Palatino Linotype" w:eastAsia="Palatino Linotype" w:hAnsi="Palatino Linotype" w:cs="Palatino Linotype"/>
          <w:color w:val="000000"/>
          <w:sz w:val="24"/>
          <w:szCs w:val="24"/>
        </w:rPr>
        <w:t>Del análisis efectuado, se advierte que el Recurso de Revisión de que se trata es procedente; toda vez, que se actualizan las hipótesis previstas en las fracciones VII y XI del artículo 179 de la Ley de la materia, que a la letra dice:</w:t>
      </w:r>
    </w:p>
    <w:p w:rsidR="00FF39F4" w:rsidRPr="005E2220" w:rsidRDefault="00FF39F4">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FF39F4" w:rsidRPr="005E2220" w:rsidRDefault="003E4790">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sz w:val="24"/>
          <w:szCs w:val="24"/>
        </w:rPr>
      </w:pPr>
      <w:r w:rsidRPr="005E2220">
        <w:rPr>
          <w:rFonts w:ascii="Palatino Linotype" w:eastAsia="Palatino Linotype" w:hAnsi="Palatino Linotype" w:cs="Palatino Linotype"/>
          <w:b/>
          <w:i/>
          <w:color w:val="000000"/>
          <w:sz w:val="24"/>
          <w:szCs w:val="24"/>
        </w:rPr>
        <w:t>Artículo 179.</w:t>
      </w:r>
      <w:r w:rsidRPr="005E2220">
        <w:rPr>
          <w:rFonts w:ascii="Palatino Linotype" w:eastAsia="Palatino Linotype" w:hAnsi="Palatino Linotype" w:cs="Palatino Linotype"/>
          <w:i/>
          <w:color w:val="000000"/>
          <w:sz w:val="24"/>
          <w:szCs w:val="24"/>
        </w:rPr>
        <w:t xml:space="preserve"> El recurso de revisión es un medio de protección que la Ley otorga a los particulares, para hacer valer su derecho de acceso a la información pública, y procederá en contra de las siguientes causas:</w:t>
      </w:r>
    </w:p>
    <w:p w:rsidR="00FF39F4" w:rsidRPr="005E2220" w:rsidRDefault="003E4790">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sz w:val="24"/>
          <w:szCs w:val="24"/>
        </w:rPr>
      </w:pPr>
      <w:r w:rsidRPr="005E2220">
        <w:rPr>
          <w:rFonts w:ascii="Palatino Linotype" w:eastAsia="Palatino Linotype" w:hAnsi="Palatino Linotype" w:cs="Palatino Linotype"/>
          <w:b/>
          <w:i/>
          <w:color w:val="000000"/>
          <w:sz w:val="24"/>
          <w:szCs w:val="24"/>
        </w:rPr>
        <w:t>(…)</w:t>
      </w:r>
    </w:p>
    <w:p w:rsidR="00FF39F4" w:rsidRPr="005E2220" w:rsidRDefault="003E4790">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b/>
          <w:i/>
          <w:color w:val="000000"/>
          <w:sz w:val="24"/>
          <w:szCs w:val="24"/>
        </w:rPr>
      </w:pPr>
      <w:r w:rsidRPr="005E2220">
        <w:rPr>
          <w:rFonts w:ascii="Palatino Linotype" w:eastAsia="Palatino Linotype" w:hAnsi="Palatino Linotype" w:cs="Palatino Linotype"/>
          <w:b/>
          <w:i/>
          <w:color w:val="000000"/>
          <w:sz w:val="24"/>
          <w:szCs w:val="24"/>
        </w:rPr>
        <w:t>VII. La falta de respuesta a una solicitud de acceso a la información;</w:t>
      </w:r>
    </w:p>
    <w:p w:rsidR="00FF39F4" w:rsidRPr="005E2220" w:rsidRDefault="003E4790">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b/>
          <w:i/>
          <w:color w:val="000000"/>
          <w:sz w:val="24"/>
          <w:szCs w:val="24"/>
        </w:rPr>
      </w:pPr>
      <w:r w:rsidRPr="005E2220">
        <w:rPr>
          <w:rFonts w:ascii="Palatino Linotype" w:eastAsia="Palatino Linotype" w:hAnsi="Palatino Linotype" w:cs="Palatino Linotype"/>
          <w:b/>
          <w:i/>
          <w:color w:val="000000"/>
          <w:sz w:val="24"/>
          <w:szCs w:val="24"/>
        </w:rPr>
        <w:t>(…)</w:t>
      </w:r>
    </w:p>
    <w:p w:rsidR="00356EB2" w:rsidRDefault="003E4790">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b/>
          <w:i/>
          <w:color w:val="000000"/>
          <w:sz w:val="24"/>
          <w:szCs w:val="24"/>
        </w:rPr>
      </w:pPr>
      <w:r w:rsidRPr="005E2220">
        <w:rPr>
          <w:rFonts w:ascii="Palatino Linotype" w:eastAsia="Palatino Linotype" w:hAnsi="Palatino Linotype" w:cs="Palatino Linotype"/>
          <w:b/>
          <w:i/>
          <w:color w:val="000000"/>
          <w:sz w:val="24"/>
          <w:szCs w:val="24"/>
        </w:rPr>
        <w:t>XI. La falta de trámite a una solicitud;</w:t>
      </w:r>
    </w:p>
    <w:p w:rsidR="00FF39F4" w:rsidRPr="005E2220" w:rsidRDefault="003E4790">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b/>
          <w:i/>
          <w:color w:val="000000"/>
          <w:sz w:val="24"/>
          <w:szCs w:val="24"/>
        </w:rPr>
      </w:pPr>
      <w:r w:rsidRPr="005E2220">
        <w:rPr>
          <w:rFonts w:ascii="Palatino Linotype" w:eastAsia="Palatino Linotype" w:hAnsi="Palatino Linotype" w:cs="Palatino Linotype"/>
          <w:b/>
          <w:i/>
          <w:color w:val="000000"/>
          <w:sz w:val="24"/>
          <w:szCs w:val="24"/>
        </w:rPr>
        <w:lastRenderedPageBreak/>
        <w:t>(…</w:t>
      </w:r>
      <w:r w:rsidRPr="005E2220">
        <w:rPr>
          <w:rFonts w:ascii="Palatino Linotype" w:eastAsia="Palatino Linotype" w:hAnsi="Palatino Linotype" w:cs="Palatino Linotype"/>
          <w:i/>
          <w:color w:val="000000"/>
          <w:sz w:val="24"/>
          <w:szCs w:val="24"/>
        </w:rPr>
        <w:t>)</w:t>
      </w:r>
    </w:p>
    <w:p w:rsidR="00FF39F4" w:rsidRPr="005E2220" w:rsidRDefault="00FF39F4">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FF39F4" w:rsidRPr="005E2220" w:rsidRDefault="003E4790">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rPr>
      </w:pPr>
      <w:r w:rsidRPr="005E2220">
        <w:rPr>
          <w:rFonts w:ascii="Palatino Linotype" w:eastAsia="Palatino Linotype" w:hAnsi="Palatino Linotype" w:cs="Palatino Linotype"/>
          <w:color w:val="000000"/>
          <w:sz w:val="24"/>
          <w:szCs w:val="24"/>
        </w:rPr>
        <w:t>El precepto legal citado, establece como supuestos de procedencia del recurso de revisión, en aquellos casos en que no se dé respuesta a lo solicitado por los particulares y en el presente asunto, el Sujeto Obligado omitió dar, tanto trámite como respuesta a lo requerido por el ahora Recurrente.</w:t>
      </w:r>
      <w:r w:rsidRPr="005E2220">
        <w:rPr>
          <w:rFonts w:ascii="Palatino Linotype" w:eastAsia="Palatino Linotype" w:hAnsi="Palatino Linotype" w:cs="Palatino Linotype"/>
          <w:b/>
          <w:color w:val="000000"/>
          <w:sz w:val="24"/>
          <w:szCs w:val="24"/>
        </w:rPr>
        <w:t xml:space="preserve"> </w:t>
      </w:r>
    </w:p>
    <w:p w:rsidR="00FF39F4" w:rsidRPr="005E2220" w:rsidRDefault="00FF39F4">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rPr>
      </w:pPr>
    </w:p>
    <w:p w:rsidR="00FF39F4" w:rsidRPr="005E2220" w:rsidRDefault="003E479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5E2220">
        <w:rPr>
          <w:rFonts w:ascii="Palatino Linotype" w:eastAsia="Palatino Linotype" w:hAnsi="Palatino Linotype" w:cs="Palatino Linotype"/>
          <w:color w:val="000000"/>
          <w:sz w:val="24"/>
          <w:szCs w:val="24"/>
        </w:rPr>
        <w:t>Una vez determinada la vía sobre la que versará el presente asunto y previa revisión de los expedientes electrónicos formados en el SAIMEX</w:t>
      </w:r>
      <w:r w:rsidRPr="005E2220">
        <w:rPr>
          <w:rFonts w:ascii="Palatino Linotype" w:eastAsia="Palatino Linotype" w:hAnsi="Palatino Linotype" w:cs="Palatino Linotype"/>
          <w:b/>
          <w:color w:val="000000"/>
          <w:sz w:val="24"/>
          <w:szCs w:val="24"/>
        </w:rPr>
        <w:t>,</w:t>
      </w:r>
      <w:r w:rsidRPr="005E2220">
        <w:rPr>
          <w:rFonts w:ascii="Palatino Linotype" w:eastAsia="Palatino Linotype" w:hAnsi="Palatino Linotype" w:cs="Palatino Linotype"/>
          <w:color w:val="000000"/>
          <w:sz w:val="24"/>
          <w:szCs w:val="24"/>
        </w:rPr>
        <w:t xml:space="preserve"> por motivo de las solicitudes de información y de los recursos de revisión a que dieron origen, se observa que el Sujeto Obligado</w:t>
      </w:r>
      <w:r w:rsidRPr="005E2220">
        <w:rPr>
          <w:rFonts w:ascii="Palatino Linotype" w:eastAsia="Palatino Linotype" w:hAnsi="Palatino Linotype" w:cs="Palatino Linotype"/>
          <w:b/>
          <w:color w:val="000000"/>
          <w:sz w:val="24"/>
          <w:szCs w:val="24"/>
        </w:rPr>
        <w:t>,</w:t>
      </w:r>
      <w:r w:rsidRPr="005E2220">
        <w:rPr>
          <w:rFonts w:ascii="Palatino Linotype" w:eastAsia="Palatino Linotype" w:hAnsi="Palatino Linotype" w:cs="Palatino Linotype"/>
          <w:color w:val="000000"/>
          <w:sz w:val="24"/>
          <w:szCs w:val="24"/>
        </w:rPr>
        <w:t xml:space="preserve"> no dio respuesta a la solicitud de información planteada por el particular, lo que se traduce como la configuración de la negativa ficta.</w:t>
      </w:r>
    </w:p>
    <w:p w:rsidR="00FF39F4" w:rsidRPr="005E2220" w:rsidRDefault="00FF39F4">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FF39F4" w:rsidRPr="005E2220" w:rsidRDefault="003E479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5E2220">
        <w:rPr>
          <w:rFonts w:ascii="Palatino Linotype" w:eastAsia="Palatino Linotype" w:hAnsi="Palatino Linotype" w:cs="Palatino Linotype"/>
          <w:color w:val="000000"/>
          <w:sz w:val="24"/>
          <w:szCs w:val="24"/>
        </w:rPr>
        <w:t xml:space="preserve">Así, se debe recordar que el Recurrente realizó diversos requerimientos al Sujeto Obligado, los cuales consisten sucintamente en </w:t>
      </w:r>
      <w:proofErr w:type="gramStart"/>
      <w:r w:rsidRPr="005E2220">
        <w:rPr>
          <w:rFonts w:ascii="Palatino Linotype" w:eastAsia="Palatino Linotype" w:hAnsi="Palatino Linotype" w:cs="Palatino Linotype"/>
          <w:color w:val="000000"/>
          <w:sz w:val="24"/>
          <w:szCs w:val="24"/>
        </w:rPr>
        <w:t>los siguiente</w:t>
      </w:r>
      <w:proofErr w:type="gramEnd"/>
      <w:r w:rsidRPr="005E2220">
        <w:rPr>
          <w:rFonts w:ascii="Palatino Linotype" w:eastAsia="Palatino Linotype" w:hAnsi="Palatino Linotype" w:cs="Palatino Linotype"/>
          <w:color w:val="000000"/>
          <w:sz w:val="24"/>
          <w:szCs w:val="24"/>
        </w:rPr>
        <w:t>:</w:t>
      </w:r>
    </w:p>
    <w:p w:rsidR="00FF39F4" w:rsidRPr="005E2220" w:rsidRDefault="00FF39F4">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FF39F4" w:rsidRPr="005E2220" w:rsidRDefault="003E4790">
      <w:pPr>
        <w:numPr>
          <w:ilvl w:val="0"/>
          <w:numId w:val="2"/>
        </w:numPr>
        <w:pBdr>
          <w:top w:val="nil"/>
          <w:left w:val="nil"/>
          <w:bottom w:val="nil"/>
          <w:right w:val="nil"/>
          <w:between w:val="nil"/>
        </w:pBdr>
        <w:spacing w:after="0" w:line="360" w:lineRule="auto"/>
        <w:ind w:left="851" w:hanging="567"/>
        <w:jc w:val="both"/>
        <w:rPr>
          <w:rFonts w:ascii="Palatino Linotype" w:eastAsia="Palatino Linotype" w:hAnsi="Palatino Linotype" w:cs="Palatino Linotype"/>
          <w:color w:val="000000"/>
          <w:sz w:val="24"/>
          <w:szCs w:val="24"/>
        </w:rPr>
      </w:pPr>
      <w:r w:rsidRPr="005E2220">
        <w:rPr>
          <w:rFonts w:ascii="Palatino Linotype" w:eastAsia="Palatino Linotype" w:hAnsi="Palatino Linotype" w:cs="Palatino Linotype"/>
          <w:color w:val="000000"/>
          <w:sz w:val="24"/>
          <w:szCs w:val="24"/>
        </w:rPr>
        <w:t>Saber si existe ante el Ayuntamiento o Dirección de Desarrollo Urbano una solicitud de cambio de uso de suelo en el paraje conocido como Santa Eduviges/</w:t>
      </w:r>
      <w:proofErr w:type="spellStart"/>
      <w:r w:rsidRPr="005E2220">
        <w:rPr>
          <w:rFonts w:ascii="Palatino Linotype" w:eastAsia="Palatino Linotype" w:hAnsi="Palatino Linotype" w:cs="Palatino Linotype"/>
          <w:color w:val="000000"/>
          <w:sz w:val="24"/>
          <w:szCs w:val="24"/>
        </w:rPr>
        <w:t>Edwiges</w:t>
      </w:r>
      <w:proofErr w:type="spellEnd"/>
      <w:r w:rsidRPr="005E2220">
        <w:rPr>
          <w:rFonts w:ascii="Palatino Linotype" w:eastAsia="Palatino Linotype" w:hAnsi="Palatino Linotype" w:cs="Palatino Linotype"/>
          <w:color w:val="000000"/>
          <w:sz w:val="24"/>
          <w:szCs w:val="24"/>
        </w:rPr>
        <w:t xml:space="preserve"> en la comunidad de la Vega, durante el periodo comprendido de enero de 2016 a la fecha. Si fuese afirmativo, se solicitó el documento de solicitud y de autorización.</w:t>
      </w:r>
    </w:p>
    <w:p w:rsidR="00FF39F4" w:rsidRPr="005E2220" w:rsidRDefault="003E4790">
      <w:pPr>
        <w:numPr>
          <w:ilvl w:val="0"/>
          <w:numId w:val="2"/>
        </w:numPr>
        <w:pBdr>
          <w:top w:val="nil"/>
          <w:left w:val="nil"/>
          <w:bottom w:val="nil"/>
          <w:right w:val="nil"/>
          <w:between w:val="nil"/>
        </w:pBdr>
        <w:spacing w:after="0" w:line="360" w:lineRule="auto"/>
        <w:ind w:left="851" w:hanging="567"/>
        <w:jc w:val="both"/>
        <w:rPr>
          <w:rFonts w:ascii="Palatino Linotype" w:eastAsia="Palatino Linotype" w:hAnsi="Palatino Linotype" w:cs="Palatino Linotype"/>
          <w:color w:val="000000"/>
          <w:sz w:val="24"/>
          <w:szCs w:val="24"/>
        </w:rPr>
      </w:pPr>
      <w:r w:rsidRPr="005E2220">
        <w:rPr>
          <w:rFonts w:ascii="Palatino Linotype" w:eastAsia="Palatino Linotype" w:hAnsi="Palatino Linotype" w:cs="Palatino Linotype"/>
          <w:color w:val="000000"/>
          <w:sz w:val="24"/>
          <w:szCs w:val="24"/>
        </w:rPr>
        <w:t>Saber si existe ante el Ayuntamiento o Dirección de Desarrollo Urbano una solicitud de lotificación de condominio para el paraje conocido Santa Eduviges/</w:t>
      </w:r>
      <w:proofErr w:type="spellStart"/>
      <w:r w:rsidRPr="005E2220">
        <w:rPr>
          <w:rFonts w:ascii="Palatino Linotype" w:eastAsia="Palatino Linotype" w:hAnsi="Palatino Linotype" w:cs="Palatino Linotype"/>
          <w:color w:val="000000"/>
          <w:sz w:val="24"/>
          <w:szCs w:val="24"/>
        </w:rPr>
        <w:t>Edwiges</w:t>
      </w:r>
      <w:proofErr w:type="spellEnd"/>
      <w:r w:rsidRPr="005E2220">
        <w:rPr>
          <w:rFonts w:ascii="Palatino Linotype" w:eastAsia="Palatino Linotype" w:hAnsi="Palatino Linotype" w:cs="Palatino Linotype"/>
          <w:color w:val="000000"/>
          <w:sz w:val="24"/>
          <w:szCs w:val="24"/>
        </w:rPr>
        <w:t xml:space="preserve"> en la comunidad de la Vega, Tonatico, durante el periodo </w:t>
      </w:r>
      <w:r w:rsidRPr="005E2220">
        <w:rPr>
          <w:rFonts w:ascii="Palatino Linotype" w:eastAsia="Palatino Linotype" w:hAnsi="Palatino Linotype" w:cs="Palatino Linotype"/>
          <w:color w:val="000000"/>
          <w:sz w:val="24"/>
          <w:szCs w:val="24"/>
        </w:rPr>
        <w:lastRenderedPageBreak/>
        <w:t>comprendido de enero de 2016 a la fecha. De ser afirmativa la respuesta, se solicitó el documento en el que se otorgue la autorización de la lotificación de condominio.</w:t>
      </w:r>
    </w:p>
    <w:p w:rsidR="00FF39F4" w:rsidRPr="005E2220" w:rsidRDefault="003E4790">
      <w:pPr>
        <w:numPr>
          <w:ilvl w:val="0"/>
          <w:numId w:val="2"/>
        </w:numPr>
        <w:pBdr>
          <w:top w:val="nil"/>
          <w:left w:val="nil"/>
          <w:bottom w:val="nil"/>
          <w:right w:val="nil"/>
          <w:between w:val="nil"/>
        </w:pBdr>
        <w:spacing w:after="0" w:line="360" w:lineRule="auto"/>
        <w:ind w:left="851" w:hanging="567"/>
        <w:jc w:val="both"/>
        <w:rPr>
          <w:rFonts w:ascii="Palatino Linotype" w:eastAsia="Palatino Linotype" w:hAnsi="Palatino Linotype" w:cs="Palatino Linotype"/>
          <w:color w:val="000000"/>
          <w:sz w:val="24"/>
          <w:szCs w:val="24"/>
        </w:rPr>
      </w:pPr>
      <w:r w:rsidRPr="005E2220">
        <w:rPr>
          <w:rFonts w:ascii="Palatino Linotype" w:eastAsia="Palatino Linotype" w:hAnsi="Palatino Linotype" w:cs="Palatino Linotype"/>
          <w:color w:val="000000"/>
          <w:sz w:val="24"/>
          <w:szCs w:val="24"/>
        </w:rPr>
        <w:t>Se proporcione el documento en el que se apruebe la autorización de la lotificación de condominio, para el paraje conocido Santa Eduviges/</w:t>
      </w:r>
      <w:proofErr w:type="spellStart"/>
      <w:r w:rsidRPr="005E2220">
        <w:rPr>
          <w:rFonts w:ascii="Palatino Linotype" w:eastAsia="Palatino Linotype" w:hAnsi="Palatino Linotype" w:cs="Palatino Linotype"/>
          <w:color w:val="000000"/>
          <w:sz w:val="24"/>
          <w:szCs w:val="24"/>
        </w:rPr>
        <w:t>Edwiges</w:t>
      </w:r>
      <w:proofErr w:type="spellEnd"/>
      <w:r w:rsidRPr="005E2220">
        <w:rPr>
          <w:rFonts w:ascii="Palatino Linotype" w:eastAsia="Palatino Linotype" w:hAnsi="Palatino Linotype" w:cs="Palatino Linotype"/>
          <w:color w:val="000000"/>
          <w:sz w:val="24"/>
          <w:szCs w:val="24"/>
        </w:rPr>
        <w:t xml:space="preserve"> en la comunidad de la Vega.</w:t>
      </w:r>
    </w:p>
    <w:p w:rsidR="00FF39F4" w:rsidRPr="005E2220" w:rsidRDefault="003E4790">
      <w:pPr>
        <w:numPr>
          <w:ilvl w:val="0"/>
          <w:numId w:val="2"/>
        </w:numPr>
        <w:pBdr>
          <w:top w:val="nil"/>
          <w:left w:val="nil"/>
          <w:bottom w:val="nil"/>
          <w:right w:val="nil"/>
          <w:between w:val="nil"/>
        </w:pBdr>
        <w:spacing w:after="0" w:line="360" w:lineRule="auto"/>
        <w:ind w:left="851" w:hanging="567"/>
        <w:jc w:val="both"/>
        <w:rPr>
          <w:rFonts w:ascii="Palatino Linotype" w:eastAsia="Palatino Linotype" w:hAnsi="Palatino Linotype" w:cs="Palatino Linotype"/>
          <w:color w:val="000000"/>
          <w:sz w:val="24"/>
          <w:szCs w:val="24"/>
        </w:rPr>
      </w:pPr>
      <w:r w:rsidRPr="005E2220">
        <w:rPr>
          <w:rFonts w:ascii="Palatino Linotype" w:eastAsia="Palatino Linotype" w:hAnsi="Palatino Linotype" w:cs="Palatino Linotype"/>
          <w:color w:val="000000"/>
          <w:sz w:val="24"/>
          <w:szCs w:val="24"/>
        </w:rPr>
        <w:t>Saber si existe una solicitud y el permiso de construcción ante el Ayuntamiento o Dirección de Desarrollo Urbano relativo al paraje conocido Santa Eduviges/</w:t>
      </w:r>
      <w:proofErr w:type="spellStart"/>
      <w:r w:rsidRPr="005E2220">
        <w:rPr>
          <w:rFonts w:ascii="Palatino Linotype" w:eastAsia="Palatino Linotype" w:hAnsi="Palatino Linotype" w:cs="Palatino Linotype"/>
          <w:color w:val="000000"/>
          <w:sz w:val="24"/>
          <w:szCs w:val="24"/>
        </w:rPr>
        <w:t>Edwiges</w:t>
      </w:r>
      <w:proofErr w:type="spellEnd"/>
      <w:r w:rsidRPr="005E2220">
        <w:rPr>
          <w:rFonts w:ascii="Palatino Linotype" w:eastAsia="Palatino Linotype" w:hAnsi="Palatino Linotype" w:cs="Palatino Linotype"/>
          <w:color w:val="000000"/>
          <w:sz w:val="24"/>
          <w:szCs w:val="24"/>
        </w:rPr>
        <w:t>, en la comunidad de la Vega, durante el periodo comprendido de enero de 2016 a la fecha. De ser afirmativa la respuesta, proporcionar los documentos que soporten la solicitud y permiso de construcción.</w:t>
      </w:r>
    </w:p>
    <w:p w:rsidR="00FF39F4" w:rsidRPr="005E2220" w:rsidRDefault="003E4790">
      <w:pPr>
        <w:numPr>
          <w:ilvl w:val="0"/>
          <w:numId w:val="2"/>
        </w:numPr>
        <w:pBdr>
          <w:top w:val="nil"/>
          <w:left w:val="nil"/>
          <w:bottom w:val="nil"/>
          <w:right w:val="nil"/>
          <w:between w:val="nil"/>
        </w:pBdr>
        <w:spacing w:after="0" w:line="360" w:lineRule="auto"/>
        <w:ind w:left="851" w:hanging="567"/>
        <w:jc w:val="both"/>
        <w:rPr>
          <w:rFonts w:ascii="Palatino Linotype" w:eastAsia="Palatino Linotype" w:hAnsi="Palatino Linotype" w:cs="Palatino Linotype"/>
          <w:color w:val="000000"/>
          <w:sz w:val="24"/>
          <w:szCs w:val="24"/>
        </w:rPr>
      </w:pPr>
      <w:r w:rsidRPr="005E2220">
        <w:rPr>
          <w:rFonts w:ascii="Palatino Linotype" w:eastAsia="Palatino Linotype" w:hAnsi="Palatino Linotype" w:cs="Palatino Linotype"/>
          <w:color w:val="000000"/>
          <w:sz w:val="24"/>
          <w:szCs w:val="24"/>
        </w:rPr>
        <w:t>Saber si dentro del Plan de Desarrollo Municipal, existe alguna actualización de 2019 a la fecha, en la que contemple la generación de infraestructura hidráulica, alumbrado, para asentamientos urbanos en el paraje conocido Santa Eduviges/</w:t>
      </w:r>
      <w:proofErr w:type="spellStart"/>
      <w:r w:rsidRPr="005E2220">
        <w:rPr>
          <w:rFonts w:ascii="Palatino Linotype" w:eastAsia="Palatino Linotype" w:hAnsi="Palatino Linotype" w:cs="Palatino Linotype"/>
          <w:color w:val="000000"/>
          <w:sz w:val="24"/>
          <w:szCs w:val="24"/>
        </w:rPr>
        <w:t>Edwiges</w:t>
      </w:r>
      <w:proofErr w:type="spellEnd"/>
      <w:r w:rsidRPr="005E2220">
        <w:rPr>
          <w:rFonts w:ascii="Palatino Linotype" w:eastAsia="Palatino Linotype" w:hAnsi="Palatino Linotype" w:cs="Palatino Linotype"/>
          <w:color w:val="000000"/>
          <w:sz w:val="24"/>
          <w:szCs w:val="24"/>
        </w:rPr>
        <w:t xml:space="preserve">, la Vega. </w:t>
      </w:r>
    </w:p>
    <w:p w:rsidR="00FF39F4" w:rsidRPr="005E2220" w:rsidRDefault="003E4790">
      <w:pPr>
        <w:numPr>
          <w:ilvl w:val="0"/>
          <w:numId w:val="2"/>
        </w:numPr>
        <w:pBdr>
          <w:top w:val="nil"/>
          <w:left w:val="nil"/>
          <w:bottom w:val="nil"/>
          <w:right w:val="nil"/>
          <w:between w:val="nil"/>
        </w:pBdr>
        <w:spacing w:after="0" w:line="360" w:lineRule="auto"/>
        <w:ind w:left="851" w:hanging="567"/>
        <w:jc w:val="both"/>
        <w:rPr>
          <w:rFonts w:ascii="Palatino Linotype" w:eastAsia="Palatino Linotype" w:hAnsi="Palatino Linotype" w:cs="Palatino Linotype"/>
          <w:color w:val="000000"/>
          <w:sz w:val="24"/>
          <w:szCs w:val="24"/>
        </w:rPr>
      </w:pPr>
      <w:r w:rsidRPr="005E2220">
        <w:rPr>
          <w:rFonts w:ascii="Palatino Linotype" w:eastAsia="Palatino Linotype" w:hAnsi="Palatino Linotype" w:cs="Palatino Linotype"/>
          <w:color w:val="000000"/>
          <w:sz w:val="24"/>
          <w:szCs w:val="24"/>
        </w:rPr>
        <w:t>Saber si por parte del Ayuntamiento o la Dirección de Desarrollo Urbano se tiene en trámite o autorizado el proyecto de construcción de la Ciudad de la Torá en la comunidad de la Vega, durante el periodo comprendido de enero de 2016 a la fecha. De ser afirmativa la respuesta, se proporcione copia de solicitud, escritura pública de constitución, planos y autorización.</w:t>
      </w:r>
    </w:p>
    <w:p w:rsidR="00FF39F4" w:rsidRPr="005E2220" w:rsidRDefault="003E4790">
      <w:pPr>
        <w:numPr>
          <w:ilvl w:val="0"/>
          <w:numId w:val="2"/>
        </w:numPr>
        <w:pBdr>
          <w:top w:val="nil"/>
          <w:left w:val="nil"/>
          <w:bottom w:val="nil"/>
          <w:right w:val="nil"/>
          <w:between w:val="nil"/>
        </w:pBdr>
        <w:spacing w:after="0" w:line="360" w:lineRule="auto"/>
        <w:ind w:left="851" w:hanging="567"/>
        <w:jc w:val="both"/>
        <w:rPr>
          <w:rFonts w:ascii="Palatino Linotype" w:eastAsia="Palatino Linotype" w:hAnsi="Palatino Linotype" w:cs="Palatino Linotype"/>
          <w:color w:val="000000"/>
          <w:sz w:val="24"/>
          <w:szCs w:val="24"/>
        </w:rPr>
      </w:pPr>
      <w:r w:rsidRPr="005E2220">
        <w:rPr>
          <w:rFonts w:ascii="Palatino Linotype" w:eastAsia="Palatino Linotype" w:hAnsi="Palatino Linotype" w:cs="Palatino Linotype"/>
          <w:color w:val="000000"/>
          <w:sz w:val="24"/>
          <w:szCs w:val="24"/>
        </w:rPr>
        <w:t xml:space="preserve">Saber si existe ante el Ayuntamiento, Comisión de Medio Ambiente o Dirección de Medio Ambiente, alguna solicitud de deforestación en el paraje </w:t>
      </w:r>
      <w:r w:rsidRPr="005E2220">
        <w:rPr>
          <w:rFonts w:ascii="Palatino Linotype" w:eastAsia="Palatino Linotype" w:hAnsi="Palatino Linotype" w:cs="Palatino Linotype"/>
          <w:color w:val="000000"/>
          <w:sz w:val="24"/>
          <w:szCs w:val="24"/>
        </w:rPr>
        <w:lastRenderedPageBreak/>
        <w:t>conocido Santa Eduviges/</w:t>
      </w:r>
      <w:proofErr w:type="spellStart"/>
      <w:r w:rsidRPr="005E2220">
        <w:rPr>
          <w:rFonts w:ascii="Palatino Linotype" w:eastAsia="Palatino Linotype" w:hAnsi="Palatino Linotype" w:cs="Palatino Linotype"/>
          <w:color w:val="000000"/>
          <w:sz w:val="24"/>
          <w:szCs w:val="24"/>
        </w:rPr>
        <w:t>Edwiges</w:t>
      </w:r>
      <w:proofErr w:type="spellEnd"/>
      <w:r w:rsidRPr="005E2220">
        <w:rPr>
          <w:rFonts w:ascii="Palatino Linotype" w:eastAsia="Palatino Linotype" w:hAnsi="Palatino Linotype" w:cs="Palatino Linotype"/>
          <w:color w:val="000000"/>
          <w:sz w:val="24"/>
          <w:szCs w:val="24"/>
        </w:rPr>
        <w:t>, en la comunidad de la Vega. De ser afirmativa la respuesta, se proporcione la solicitud y autorización.</w:t>
      </w:r>
    </w:p>
    <w:p w:rsidR="00FF39F4" w:rsidRPr="005E2220" w:rsidRDefault="00FF39F4">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FF39F4" w:rsidRPr="005E2220" w:rsidRDefault="003E479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5E2220">
        <w:rPr>
          <w:rFonts w:ascii="Palatino Linotype" w:eastAsia="Palatino Linotype" w:hAnsi="Palatino Linotype" w:cs="Palatino Linotype"/>
          <w:color w:val="000000"/>
          <w:sz w:val="24"/>
          <w:szCs w:val="24"/>
        </w:rPr>
        <w:t>Al respecto, se destaca que el Sujeto Obligado no dio respuesta a la solicitud de acceso a la información, motivo por el cual el hoy Recurrente interpuso los medios de defensa en análisis.</w:t>
      </w:r>
    </w:p>
    <w:p w:rsidR="00FF39F4" w:rsidRPr="005E2220" w:rsidRDefault="00FF39F4">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FF39F4" w:rsidRPr="005E2220" w:rsidRDefault="003E479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5E2220">
        <w:rPr>
          <w:rFonts w:ascii="Palatino Linotype" w:eastAsia="Palatino Linotype" w:hAnsi="Palatino Linotype" w:cs="Palatino Linotype"/>
          <w:color w:val="000000"/>
          <w:sz w:val="24"/>
          <w:szCs w:val="24"/>
        </w:rPr>
        <w:t xml:space="preserve">En ese orden de ideas, se tiene que el Recurrente no realizó manifestaciones, vertió alegatos o presentó pruebas que a su derecho convinieran durante la etapa de instrucción. Por otra parte, el Sujeto Obligado remitió vía Informe Justificado, el documento electrónico denominado </w:t>
      </w:r>
      <w:r w:rsidRPr="005E2220">
        <w:rPr>
          <w:rFonts w:ascii="Palatino Linotype" w:eastAsia="Palatino Linotype" w:hAnsi="Palatino Linotype" w:cs="Palatino Linotype"/>
          <w:b/>
          <w:color w:val="000000"/>
          <w:sz w:val="24"/>
          <w:szCs w:val="24"/>
        </w:rPr>
        <w:t>“contestación 58 de 2021.pdf”</w:t>
      </w:r>
      <w:r w:rsidRPr="005E2220">
        <w:rPr>
          <w:rFonts w:ascii="Palatino Linotype" w:eastAsia="Palatino Linotype" w:hAnsi="Palatino Linotype" w:cs="Palatino Linotype"/>
          <w:color w:val="000000"/>
          <w:sz w:val="24"/>
          <w:szCs w:val="24"/>
        </w:rPr>
        <w:t>, consistente de la Declaratoria de Inexistencia de la Información emitida por el Comité de Transparencia del Municipio de Tonatico en fecha nueve de septiembre de dos mil veintiuno.</w:t>
      </w:r>
    </w:p>
    <w:p w:rsidR="00FF39F4" w:rsidRPr="005E2220" w:rsidRDefault="00FF39F4">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FF39F4" w:rsidRPr="005E2220" w:rsidRDefault="003E479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5E2220">
        <w:rPr>
          <w:rFonts w:ascii="Palatino Linotype" w:eastAsia="Palatino Linotype" w:hAnsi="Palatino Linotype" w:cs="Palatino Linotype"/>
          <w:color w:val="000000"/>
          <w:sz w:val="24"/>
          <w:szCs w:val="24"/>
        </w:rPr>
        <w:t xml:space="preserve">En ese contexto, este Instituto analizó la totalidad de constancias que integran el expediente electrónico del </w:t>
      </w:r>
      <w:r w:rsidRPr="005E2220">
        <w:rPr>
          <w:rFonts w:ascii="Palatino Linotype" w:eastAsia="Palatino Linotype" w:hAnsi="Palatino Linotype" w:cs="Palatino Linotype"/>
          <w:b/>
          <w:color w:val="000000"/>
          <w:sz w:val="24"/>
          <w:szCs w:val="24"/>
        </w:rPr>
        <w:t>SAIMEX</w:t>
      </w:r>
      <w:r w:rsidRPr="005E2220">
        <w:rPr>
          <w:rFonts w:ascii="Palatino Linotype" w:eastAsia="Palatino Linotype" w:hAnsi="Palatino Linotype" w:cs="Palatino Linotype"/>
          <w:color w:val="000000"/>
          <w:sz w:val="24"/>
          <w:szCs w:val="24"/>
        </w:rPr>
        <w:t xml:space="preserve"> y observó que las razones o motivos de inconformidad hechos valer por el Recurrente devienen </w:t>
      </w:r>
      <w:r w:rsidRPr="005E2220">
        <w:rPr>
          <w:rFonts w:ascii="Palatino Linotype" w:eastAsia="Palatino Linotype" w:hAnsi="Palatino Linotype" w:cs="Palatino Linotype"/>
          <w:b/>
          <w:color w:val="000000"/>
          <w:sz w:val="24"/>
          <w:szCs w:val="24"/>
        </w:rPr>
        <w:t>fundados</w:t>
      </w:r>
      <w:r w:rsidRPr="005E2220">
        <w:rPr>
          <w:rFonts w:ascii="Palatino Linotype" w:eastAsia="Palatino Linotype" w:hAnsi="Palatino Linotype" w:cs="Palatino Linotype"/>
          <w:color w:val="000000"/>
          <w:sz w:val="24"/>
          <w:szCs w:val="24"/>
        </w:rPr>
        <w:t>, en atención a las siguientes consideraciones de hecho y de Derecho:</w:t>
      </w:r>
    </w:p>
    <w:p w:rsidR="00FF39F4" w:rsidRPr="005E2220" w:rsidRDefault="00FF39F4">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FF39F4" w:rsidRPr="005E2220" w:rsidRDefault="003E479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5E2220">
        <w:rPr>
          <w:rFonts w:ascii="Palatino Linotype" w:eastAsia="Palatino Linotype" w:hAnsi="Palatino Linotype" w:cs="Palatino Linotype"/>
          <w:color w:val="000000"/>
          <w:sz w:val="24"/>
          <w:szCs w:val="24"/>
        </w:rPr>
        <w:t>Es pertinente enfatizar lo que, respecto al derecho de acceso a la información pública, refiere el artículo 6° de la Constitución Política de los Estados Unidos Mexicanos, que en su parte conducente señala:</w:t>
      </w:r>
    </w:p>
    <w:p w:rsidR="00FF39F4" w:rsidRPr="005E2220" w:rsidRDefault="00FF39F4">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FF39F4" w:rsidRPr="005E2220" w:rsidRDefault="003E4790">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sz w:val="24"/>
          <w:szCs w:val="24"/>
        </w:rPr>
      </w:pPr>
      <w:r w:rsidRPr="005E2220">
        <w:rPr>
          <w:rFonts w:ascii="Palatino Linotype" w:eastAsia="Palatino Linotype" w:hAnsi="Palatino Linotype" w:cs="Palatino Linotype"/>
          <w:b/>
          <w:i/>
          <w:color w:val="000000"/>
          <w:sz w:val="24"/>
          <w:szCs w:val="24"/>
        </w:rPr>
        <w:lastRenderedPageBreak/>
        <w:t>Artículo 6o.</w:t>
      </w:r>
      <w:r w:rsidRPr="005E2220">
        <w:rPr>
          <w:rFonts w:ascii="Palatino Linotype" w:eastAsia="Palatino Linotype" w:hAnsi="Palatino Linotype" w:cs="Palatino Linotype"/>
          <w:i/>
          <w:color w:val="000000"/>
          <w:sz w:val="24"/>
          <w:szCs w:val="24"/>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5E2220">
        <w:rPr>
          <w:rFonts w:ascii="Palatino Linotype" w:eastAsia="Palatino Linotype" w:hAnsi="Palatino Linotype" w:cs="Palatino Linotype"/>
          <w:b/>
          <w:i/>
          <w:color w:val="000000"/>
          <w:sz w:val="24"/>
          <w:szCs w:val="24"/>
        </w:rPr>
        <w:t>El derecho a la información será garantizado por el Estado.</w:t>
      </w:r>
      <w:r w:rsidRPr="005E2220">
        <w:rPr>
          <w:rFonts w:ascii="Palatino Linotype" w:eastAsia="Palatino Linotype" w:hAnsi="Palatino Linotype" w:cs="Palatino Linotype"/>
          <w:i/>
          <w:color w:val="000000"/>
          <w:sz w:val="24"/>
          <w:szCs w:val="24"/>
        </w:rPr>
        <w:t xml:space="preserve"> </w:t>
      </w:r>
    </w:p>
    <w:p w:rsidR="00FF39F4" w:rsidRPr="005E2220" w:rsidRDefault="00FF39F4">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sz w:val="24"/>
          <w:szCs w:val="24"/>
        </w:rPr>
      </w:pPr>
    </w:p>
    <w:p w:rsidR="00FF39F4" w:rsidRPr="005E2220" w:rsidRDefault="003E4790">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sz w:val="24"/>
          <w:szCs w:val="24"/>
        </w:rPr>
      </w:pPr>
      <w:r w:rsidRPr="005E2220">
        <w:rPr>
          <w:rFonts w:ascii="Palatino Linotype" w:eastAsia="Palatino Linotype" w:hAnsi="Palatino Linotype" w:cs="Palatino Linotype"/>
          <w:i/>
          <w:color w:val="000000"/>
          <w:sz w:val="24"/>
          <w:szCs w:val="24"/>
        </w:rPr>
        <w:t>Toda persona tiene derecho al libre acceso a información plural y oportuna, así como a buscar, recibir y difundir información e ideas de toda índole por cualquier medio de expresión.</w:t>
      </w:r>
    </w:p>
    <w:p w:rsidR="00FF39F4" w:rsidRPr="005E2220" w:rsidRDefault="00FF39F4">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sz w:val="24"/>
          <w:szCs w:val="24"/>
        </w:rPr>
      </w:pPr>
    </w:p>
    <w:p w:rsidR="00FF39F4" w:rsidRPr="005E2220" w:rsidRDefault="003E4790">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sz w:val="24"/>
          <w:szCs w:val="24"/>
        </w:rPr>
      </w:pPr>
      <w:r w:rsidRPr="005E2220">
        <w:rPr>
          <w:rFonts w:ascii="Palatino Linotype" w:eastAsia="Palatino Linotype" w:hAnsi="Palatino Linotype" w:cs="Palatino Linotype"/>
          <w:i/>
          <w:color w:val="000000"/>
          <w:sz w:val="24"/>
          <w:szCs w:val="24"/>
        </w:rPr>
        <w:t>Para efectos de lo dispuesto en el presente artículo se observará lo siguiente:</w:t>
      </w:r>
    </w:p>
    <w:p w:rsidR="00FF39F4" w:rsidRPr="005E2220" w:rsidRDefault="00FF39F4">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sz w:val="24"/>
          <w:szCs w:val="24"/>
        </w:rPr>
      </w:pPr>
    </w:p>
    <w:p w:rsidR="00FF39F4" w:rsidRPr="005E2220" w:rsidRDefault="003E4790">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sz w:val="24"/>
          <w:szCs w:val="24"/>
        </w:rPr>
      </w:pPr>
      <w:r w:rsidRPr="005E2220">
        <w:rPr>
          <w:rFonts w:ascii="Palatino Linotype" w:eastAsia="Palatino Linotype" w:hAnsi="Palatino Linotype" w:cs="Palatino Linotype"/>
          <w:i/>
          <w:color w:val="000000"/>
          <w:sz w:val="24"/>
          <w:szCs w:val="24"/>
        </w:rPr>
        <w:t>A. Para el ejercicio del derecho de acceso a la información, la Federación, los Estados y el Distrito Federal, en el ámbito de sus respectivas competencias, se regirán por los siguientes principios y bases:</w:t>
      </w:r>
    </w:p>
    <w:p w:rsidR="00FF39F4" w:rsidRPr="005E2220" w:rsidRDefault="00FF39F4">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sz w:val="24"/>
          <w:szCs w:val="24"/>
        </w:rPr>
      </w:pPr>
    </w:p>
    <w:p w:rsidR="00FF39F4" w:rsidRPr="005E2220" w:rsidRDefault="003E4790">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sz w:val="24"/>
          <w:szCs w:val="24"/>
        </w:rPr>
      </w:pPr>
      <w:r w:rsidRPr="005E2220">
        <w:rPr>
          <w:rFonts w:ascii="Palatino Linotype" w:eastAsia="Palatino Linotype" w:hAnsi="Palatino Linotype" w:cs="Palatino Linotype"/>
          <w:b/>
          <w:i/>
          <w:color w:val="000000"/>
          <w:sz w:val="24"/>
          <w:szCs w:val="24"/>
        </w:rPr>
        <w:t>I. Toda la información en posesión de</w:t>
      </w:r>
      <w:r w:rsidRPr="005E2220">
        <w:rPr>
          <w:rFonts w:ascii="Palatino Linotype" w:eastAsia="Palatino Linotype" w:hAnsi="Palatino Linotype" w:cs="Palatino Linotype"/>
          <w:i/>
          <w:color w:val="000000"/>
          <w:sz w:val="24"/>
          <w:szCs w:val="24"/>
        </w:rPr>
        <w:t xml:space="preserve"> </w:t>
      </w:r>
      <w:r w:rsidRPr="005E2220">
        <w:rPr>
          <w:rFonts w:ascii="Palatino Linotype" w:eastAsia="Palatino Linotype" w:hAnsi="Palatino Linotype" w:cs="Palatino Linotype"/>
          <w:b/>
          <w:i/>
          <w:color w:val="000000"/>
          <w:sz w:val="24"/>
          <w:szCs w:val="24"/>
        </w:rPr>
        <w:t>cualquier autoridad</w:t>
      </w:r>
      <w:r w:rsidRPr="005E2220">
        <w:rPr>
          <w:rFonts w:ascii="Palatino Linotype" w:eastAsia="Palatino Linotype" w:hAnsi="Palatino Linotype" w:cs="Palatino Linotype"/>
          <w:i/>
          <w:color w:val="000000"/>
          <w:sz w:val="24"/>
          <w:szCs w:val="24"/>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5E2220">
        <w:rPr>
          <w:rFonts w:ascii="Palatino Linotype" w:eastAsia="Palatino Linotype" w:hAnsi="Palatino Linotype" w:cs="Palatino Linotype"/>
          <w:b/>
          <w:i/>
          <w:color w:val="000000"/>
          <w:sz w:val="24"/>
          <w:szCs w:val="24"/>
        </w:rPr>
        <w:t>en el ámbito federal, estatal y municipal, es pública</w:t>
      </w:r>
      <w:r w:rsidRPr="005E2220">
        <w:rPr>
          <w:rFonts w:ascii="Palatino Linotype" w:eastAsia="Palatino Linotype" w:hAnsi="Palatino Linotype" w:cs="Palatino Linotype"/>
          <w:i/>
          <w:color w:val="000000"/>
          <w:sz w:val="24"/>
          <w:szCs w:val="24"/>
        </w:rPr>
        <w:t xml:space="preserve"> y sólo podrá ser reservada temporalmente por razones de interés público y seguridad nacional, en los términos que fijen las leyes. En la interpretación de este derecho deberá prevalecer el principio de máxima publicidad. </w:t>
      </w:r>
      <w:r w:rsidRPr="005E2220">
        <w:rPr>
          <w:rFonts w:ascii="Palatino Linotype" w:eastAsia="Palatino Linotype" w:hAnsi="Palatino Linotype" w:cs="Palatino Linotype"/>
          <w:b/>
          <w:i/>
          <w:color w:val="000000"/>
          <w:sz w:val="24"/>
          <w:szCs w:val="24"/>
        </w:rPr>
        <w:t>Los sujetos obligados deberán documentar todo acto que derive del ejercicio de sus facultades, competencias o funciones</w:t>
      </w:r>
      <w:r w:rsidRPr="005E2220">
        <w:rPr>
          <w:rFonts w:ascii="Palatino Linotype" w:eastAsia="Palatino Linotype" w:hAnsi="Palatino Linotype" w:cs="Palatino Linotype"/>
          <w:i/>
          <w:color w:val="000000"/>
          <w:sz w:val="24"/>
          <w:szCs w:val="24"/>
        </w:rPr>
        <w:t>, la ley determinará los supuestos específicos bajo los cuales procederá la declaración de inexistencia de la información.</w:t>
      </w:r>
    </w:p>
    <w:p w:rsidR="00FF39F4" w:rsidRPr="005E2220" w:rsidRDefault="003E4790">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sz w:val="24"/>
          <w:szCs w:val="24"/>
        </w:rPr>
      </w:pPr>
      <w:r w:rsidRPr="005E2220">
        <w:rPr>
          <w:rFonts w:ascii="Palatino Linotype" w:eastAsia="Palatino Linotype" w:hAnsi="Palatino Linotype" w:cs="Palatino Linotype"/>
          <w:i/>
          <w:color w:val="000000"/>
          <w:sz w:val="24"/>
          <w:szCs w:val="24"/>
        </w:rPr>
        <w:t>II. La información que se refiere a la vida privada y los datos personales será protegida en los términos y con las excepciones que fijen las leyes.</w:t>
      </w:r>
    </w:p>
    <w:p w:rsidR="00FF39F4" w:rsidRPr="005E2220" w:rsidRDefault="003E4790">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sz w:val="24"/>
          <w:szCs w:val="24"/>
        </w:rPr>
      </w:pPr>
      <w:r w:rsidRPr="005E2220">
        <w:rPr>
          <w:rFonts w:ascii="Palatino Linotype" w:eastAsia="Palatino Linotype" w:hAnsi="Palatino Linotype" w:cs="Palatino Linotype"/>
          <w:i/>
          <w:color w:val="000000"/>
          <w:sz w:val="24"/>
          <w:szCs w:val="24"/>
        </w:rPr>
        <w:t>III. Toda persona, sin necesidad de acreditar interés alguno o justificar su utilización, tendrá acceso gratuito a la información pública, a sus datos personales o a la rectificación de éstos.</w:t>
      </w:r>
    </w:p>
    <w:p w:rsidR="00FF39F4" w:rsidRPr="005E2220" w:rsidRDefault="003E4790">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sz w:val="24"/>
          <w:szCs w:val="24"/>
        </w:rPr>
      </w:pPr>
      <w:r w:rsidRPr="005E2220">
        <w:rPr>
          <w:rFonts w:ascii="Palatino Linotype" w:eastAsia="Palatino Linotype" w:hAnsi="Palatino Linotype" w:cs="Palatino Linotype"/>
          <w:i/>
          <w:color w:val="000000"/>
          <w:sz w:val="24"/>
          <w:szCs w:val="24"/>
        </w:rPr>
        <w:t>IV. Se establecerán mecanismos de acceso a la información y procedimientos de revisión expeditos que se sustanciarán ante los organismos autónomos especializados e imparciales que establece esta Constitución.</w:t>
      </w:r>
    </w:p>
    <w:p w:rsidR="00FF39F4" w:rsidRPr="005E2220" w:rsidRDefault="003E4790">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sz w:val="24"/>
          <w:szCs w:val="24"/>
        </w:rPr>
      </w:pPr>
      <w:r w:rsidRPr="005E2220">
        <w:rPr>
          <w:rFonts w:ascii="Palatino Linotype" w:eastAsia="Palatino Linotype" w:hAnsi="Palatino Linotype" w:cs="Palatino Linotype"/>
          <w:b/>
          <w:i/>
          <w:color w:val="000000"/>
          <w:sz w:val="24"/>
          <w:szCs w:val="24"/>
        </w:rPr>
        <w:lastRenderedPageBreak/>
        <w:t>V. Los sujetos obligados deberán preservar sus documentos en archivos administrativos actualizados y publicarán, a través de los medios electrónicos disponibles</w:t>
      </w:r>
      <w:r w:rsidRPr="005E2220">
        <w:rPr>
          <w:rFonts w:ascii="Palatino Linotype" w:eastAsia="Palatino Linotype" w:hAnsi="Palatino Linotype" w:cs="Palatino Linotype"/>
          <w:i/>
          <w:color w:val="000000"/>
          <w:sz w:val="24"/>
          <w:szCs w:val="24"/>
        </w:rPr>
        <w:t xml:space="preserve">, </w:t>
      </w:r>
      <w:r w:rsidRPr="005E2220">
        <w:rPr>
          <w:rFonts w:ascii="Palatino Linotype" w:eastAsia="Palatino Linotype" w:hAnsi="Palatino Linotype" w:cs="Palatino Linotype"/>
          <w:b/>
          <w:i/>
          <w:color w:val="000000"/>
          <w:sz w:val="24"/>
          <w:szCs w:val="24"/>
        </w:rPr>
        <w:t xml:space="preserve">la información completa y actualizada sobre el ejercicio de los recursos públicos </w:t>
      </w:r>
      <w:r w:rsidRPr="005E2220">
        <w:rPr>
          <w:rFonts w:ascii="Palatino Linotype" w:eastAsia="Palatino Linotype" w:hAnsi="Palatino Linotype" w:cs="Palatino Linotype"/>
          <w:i/>
          <w:color w:val="000000"/>
          <w:sz w:val="24"/>
          <w:szCs w:val="24"/>
        </w:rPr>
        <w:t>y los indicadores que permitan rendir cuenta del cumplimiento de sus objetivos y de los resultados obtenidos.</w:t>
      </w:r>
    </w:p>
    <w:p w:rsidR="00FF39F4" w:rsidRPr="005E2220" w:rsidRDefault="003E4790">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sz w:val="24"/>
          <w:szCs w:val="24"/>
        </w:rPr>
      </w:pPr>
      <w:r w:rsidRPr="005E2220">
        <w:rPr>
          <w:rFonts w:ascii="Palatino Linotype" w:eastAsia="Palatino Linotype" w:hAnsi="Palatino Linotype" w:cs="Palatino Linotype"/>
          <w:i/>
          <w:color w:val="000000"/>
          <w:sz w:val="24"/>
          <w:szCs w:val="24"/>
        </w:rPr>
        <w:t>VI. Las leyes determinarán la manera en que los sujetos obligados deberán hacer pública la información relativa a los recursos públicos que entreguen a personas físicas o morales.</w:t>
      </w:r>
    </w:p>
    <w:p w:rsidR="00FF39F4" w:rsidRPr="005E2220" w:rsidRDefault="003E4790">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sz w:val="24"/>
          <w:szCs w:val="24"/>
        </w:rPr>
      </w:pPr>
      <w:r w:rsidRPr="005E2220">
        <w:rPr>
          <w:rFonts w:ascii="Palatino Linotype" w:eastAsia="Palatino Linotype" w:hAnsi="Palatino Linotype" w:cs="Palatino Linotype"/>
          <w:i/>
          <w:color w:val="000000"/>
          <w:sz w:val="24"/>
          <w:szCs w:val="24"/>
        </w:rPr>
        <w:t>VII. La inobservancia a las disposiciones en materia de acceso a la información pública será sancionada en los términos que dispongan las leyes.</w:t>
      </w:r>
    </w:p>
    <w:p w:rsidR="00FF39F4" w:rsidRPr="005E2220" w:rsidRDefault="003E4790">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sz w:val="24"/>
          <w:szCs w:val="24"/>
        </w:rPr>
      </w:pPr>
      <w:r w:rsidRPr="005E2220">
        <w:rPr>
          <w:rFonts w:ascii="Palatino Linotype" w:eastAsia="Palatino Linotype" w:hAnsi="Palatino Linotype" w:cs="Palatino Linotype"/>
          <w:i/>
          <w:color w:val="000000"/>
          <w:sz w:val="24"/>
          <w:szCs w:val="24"/>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FF39F4" w:rsidRPr="005E2220" w:rsidRDefault="003E4790">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sz w:val="24"/>
          <w:szCs w:val="24"/>
        </w:rPr>
      </w:pPr>
      <w:r w:rsidRPr="005E2220">
        <w:rPr>
          <w:rFonts w:ascii="Palatino Linotype" w:eastAsia="Palatino Linotype" w:hAnsi="Palatino Linotype" w:cs="Palatino Linotype"/>
          <w:i/>
          <w:color w:val="000000"/>
          <w:sz w:val="24"/>
          <w:szCs w:val="24"/>
        </w:rPr>
        <w:t>(…)</w:t>
      </w:r>
    </w:p>
    <w:p w:rsidR="00FF39F4" w:rsidRPr="005E2220" w:rsidRDefault="003E4790">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sz w:val="24"/>
          <w:szCs w:val="24"/>
        </w:rPr>
      </w:pPr>
      <w:r w:rsidRPr="005E2220">
        <w:rPr>
          <w:rFonts w:ascii="Palatino Linotype" w:eastAsia="Palatino Linotype" w:hAnsi="Palatino Linotype" w:cs="Palatino Linotype"/>
          <w:i/>
          <w:color w:val="000000"/>
          <w:sz w:val="24"/>
          <w:szCs w:val="24"/>
        </w:rPr>
        <w:t>La ley establecerá aquella información que se considere reservada o confidencial.</w:t>
      </w:r>
    </w:p>
    <w:p w:rsidR="00FF39F4" w:rsidRPr="005E2220" w:rsidRDefault="003E4790">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sz w:val="24"/>
          <w:szCs w:val="24"/>
        </w:rPr>
      </w:pPr>
      <w:r w:rsidRPr="005E2220">
        <w:rPr>
          <w:rFonts w:ascii="Palatino Linotype" w:eastAsia="Palatino Linotype" w:hAnsi="Palatino Linotype" w:cs="Palatino Linotype"/>
          <w:i/>
          <w:color w:val="000000"/>
          <w:sz w:val="24"/>
          <w:szCs w:val="24"/>
        </w:rPr>
        <w:t xml:space="preserve">(…) </w:t>
      </w:r>
    </w:p>
    <w:p w:rsidR="00FF39F4" w:rsidRPr="005E2220" w:rsidRDefault="00FF39F4">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FF39F4" w:rsidRPr="005E2220" w:rsidRDefault="003E479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5E2220">
        <w:rPr>
          <w:rFonts w:ascii="Palatino Linotype" w:eastAsia="Palatino Linotype" w:hAnsi="Palatino Linotype" w:cs="Palatino Linotype"/>
          <w:color w:val="000000"/>
          <w:sz w:val="24"/>
          <w:szCs w:val="24"/>
        </w:rPr>
        <w:t>Por su parte, la Constitución Política del Estado Libre y Soberano de México, en su artículo 5°, dispone en su parte conducente, lo siguiente:</w:t>
      </w:r>
    </w:p>
    <w:p w:rsidR="00FF39F4" w:rsidRPr="005E2220" w:rsidRDefault="00FF39F4">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FF39F4" w:rsidRPr="005E2220" w:rsidRDefault="003E4790">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sz w:val="24"/>
          <w:szCs w:val="24"/>
        </w:rPr>
      </w:pPr>
      <w:r w:rsidRPr="005E2220">
        <w:rPr>
          <w:rFonts w:ascii="Palatino Linotype" w:eastAsia="Palatino Linotype" w:hAnsi="Palatino Linotype" w:cs="Palatino Linotype"/>
          <w:b/>
          <w:i/>
          <w:color w:val="000000"/>
          <w:sz w:val="24"/>
          <w:szCs w:val="24"/>
        </w:rPr>
        <w:t>Artículo 5.</w:t>
      </w:r>
      <w:r w:rsidRPr="005E2220">
        <w:rPr>
          <w:rFonts w:ascii="Palatino Linotype" w:eastAsia="Palatino Linotype" w:hAnsi="Palatino Linotype" w:cs="Palatino Linotype"/>
          <w:i/>
          <w:color w:val="000000"/>
          <w:sz w:val="24"/>
          <w:szCs w:val="24"/>
        </w:rPr>
        <w:t xml:space="preserve"> (…)</w:t>
      </w:r>
    </w:p>
    <w:p w:rsidR="00FF39F4" w:rsidRPr="005E2220" w:rsidRDefault="00FF39F4">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sz w:val="24"/>
          <w:szCs w:val="24"/>
        </w:rPr>
      </w:pPr>
    </w:p>
    <w:p w:rsidR="00FF39F4" w:rsidRPr="005E2220" w:rsidRDefault="003E4790">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sz w:val="24"/>
          <w:szCs w:val="24"/>
        </w:rPr>
      </w:pPr>
      <w:r w:rsidRPr="005E2220">
        <w:rPr>
          <w:rFonts w:ascii="Palatino Linotype" w:eastAsia="Palatino Linotype" w:hAnsi="Palatino Linotype" w:cs="Palatino Linotype"/>
          <w:b/>
          <w:i/>
          <w:color w:val="000000"/>
          <w:sz w:val="24"/>
          <w:szCs w:val="24"/>
        </w:rPr>
        <w:t>El derecho a la información será garantizado por el Estado</w:t>
      </w:r>
      <w:r w:rsidRPr="005E2220">
        <w:rPr>
          <w:rFonts w:ascii="Palatino Linotype" w:eastAsia="Palatino Linotype" w:hAnsi="Palatino Linotype" w:cs="Palatino Linotype"/>
          <w:i/>
          <w:color w:val="000000"/>
          <w:sz w:val="24"/>
          <w:szCs w:val="24"/>
        </w:rPr>
        <w:t xml:space="preserve">. La ley establecerá las previsiones que permitan asegurar la protección, el respeto y la difusión de este derecho. </w:t>
      </w:r>
    </w:p>
    <w:p w:rsidR="00FF39F4" w:rsidRPr="005E2220" w:rsidRDefault="00FF39F4">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sz w:val="24"/>
          <w:szCs w:val="24"/>
        </w:rPr>
      </w:pPr>
    </w:p>
    <w:p w:rsidR="00FF39F4" w:rsidRPr="005E2220" w:rsidRDefault="003E4790">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sz w:val="24"/>
          <w:szCs w:val="24"/>
        </w:rPr>
      </w:pPr>
      <w:r w:rsidRPr="005E2220">
        <w:rPr>
          <w:rFonts w:ascii="Palatino Linotype" w:eastAsia="Palatino Linotype" w:hAnsi="Palatino Linotype" w:cs="Palatino Linotype"/>
          <w:i/>
          <w:color w:val="000000"/>
          <w:sz w:val="24"/>
          <w:szCs w:val="24"/>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FF39F4" w:rsidRPr="005E2220" w:rsidRDefault="00FF39F4">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sz w:val="24"/>
          <w:szCs w:val="24"/>
        </w:rPr>
      </w:pPr>
    </w:p>
    <w:p w:rsidR="00FF39F4" w:rsidRPr="005E2220" w:rsidRDefault="003E4790">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sz w:val="24"/>
          <w:szCs w:val="24"/>
        </w:rPr>
      </w:pPr>
      <w:r w:rsidRPr="005E2220">
        <w:rPr>
          <w:rFonts w:ascii="Palatino Linotype" w:eastAsia="Palatino Linotype" w:hAnsi="Palatino Linotype" w:cs="Palatino Linotype"/>
          <w:i/>
          <w:color w:val="000000"/>
          <w:sz w:val="24"/>
          <w:szCs w:val="24"/>
        </w:rPr>
        <w:t>Este derecho se regirá por los principios y bases siguientes:</w:t>
      </w:r>
    </w:p>
    <w:p w:rsidR="00FF39F4" w:rsidRPr="005E2220" w:rsidRDefault="00FF39F4">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sz w:val="24"/>
          <w:szCs w:val="24"/>
        </w:rPr>
      </w:pPr>
    </w:p>
    <w:p w:rsidR="00FF39F4" w:rsidRPr="005E2220" w:rsidRDefault="003E4790">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sz w:val="24"/>
          <w:szCs w:val="24"/>
        </w:rPr>
      </w:pPr>
      <w:r w:rsidRPr="005E2220">
        <w:rPr>
          <w:rFonts w:ascii="Palatino Linotype" w:eastAsia="Palatino Linotype" w:hAnsi="Palatino Linotype" w:cs="Palatino Linotype"/>
          <w:b/>
          <w:i/>
          <w:color w:val="000000"/>
          <w:sz w:val="24"/>
          <w:szCs w:val="24"/>
        </w:rPr>
        <w:t>I. Toda la información en posesión de</w:t>
      </w:r>
      <w:r w:rsidRPr="005E2220">
        <w:rPr>
          <w:rFonts w:ascii="Palatino Linotype" w:eastAsia="Palatino Linotype" w:hAnsi="Palatino Linotype" w:cs="Palatino Linotype"/>
          <w:i/>
          <w:color w:val="000000"/>
          <w:sz w:val="24"/>
          <w:szCs w:val="24"/>
        </w:rPr>
        <w:t xml:space="preserve"> cualquier autoridad, entidad, órgano y organismos de los Poderes Ejecutivo, Legislativo y Judicial, órganos autónomos, partidos políticos, fideicomisos y fondos públicos estatales y municipales, así como del gobierno y de </w:t>
      </w:r>
      <w:r w:rsidRPr="005E2220">
        <w:rPr>
          <w:rFonts w:ascii="Palatino Linotype" w:eastAsia="Palatino Linotype" w:hAnsi="Palatino Linotype" w:cs="Palatino Linotype"/>
          <w:b/>
          <w:i/>
          <w:color w:val="000000"/>
          <w:sz w:val="24"/>
          <w:szCs w:val="24"/>
          <w:u w:val="single"/>
        </w:rPr>
        <w:t>la administración pública municipal y sus organismos descentralizados</w:t>
      </w:r>
      <w:r w:rsidRPr="005E2220">
        <w:rPr>
          <w:rFonts w:ascii="Palatino Linotype" w:eastAsia="Palatino Linotype" w:hAnsi="Palatino Linotype" w:cs="Palatino Linotype"/>
          <w:i/>
          <w:color w:val="000000"/>
          <w:sz w:val="24"/>
          <w:szCs w:val="24"/>
        </w:rPr>
        <w:t>,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FF39F4" w:rsidRPr="005E2220" w:rsidRDefault="003E4790">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sz w:val="24"/>
          <w:szCs w:val="24"/>
        </w:rPr>
      </w:pPr>
      <w:r w:rsidRPr="005E2220">
        <w:rPr>
          <w:rFonts w:ascii="Palatino Linotype" w:eastAsia="Palatino Linotype" w:hAnsi="Palatino Linotype" w:cs="Palatino Linotype"/>
          <w:b/>
          <w:i/>
          <w:color w:val="000000"/>
          <w:sz w:val="24"/>
          <w:szCs w:val="24"/>
        </w:rPr>
        <w:t>II.</w:t>
      </w:r>
      <w:r w:rsidRPr="005E2220">
        <w:rPr>
          <w:rFonts w:ascii="Palatino Linotype" w:eastAsia="Palatino Linotype" w:hAnsi="Palatino Linotype" w:cs="Palatino Linotype"/>
          <w:i/>
          <w:color w:val="000000"/>
          <w:sz w:val="24"/>
          <w:szCs w:val="24"/>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rsidR="00FF39F4" w:rsidRPr="005E2220" w:rsidRDefault="003E4790">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sz w:val="24"/>
          <w:szCs w:val="24"/>
        </w:rPr>
      </w:pPr>
      <w:r w:rsidRPr="005E2220">
        <w:rPr>
          <w:rFonts w:ascii="Palatino Linotype" w:eastAsia="Palatino Linotype" w:hAnsi="Palatino Linotype" w:cs="Palatino Linotype"/>
          <w:b/>
          <w:i/>
          <w:color w:val="000000"/>
          <w:sz w:val="24"/>
          <w:szCs w:val="24"/>
        </w:rPr>
        <w:t>III.</w:t>
      </w:r>
      <w:r w:rsidRPr="005E2220">
        <w:rPr>
          <w:rFonts w:ascii="Palatino Linotype" w:eastAsia="Palatino Linotype" w:hAnsi="Palatino Linotype" w:cs="Palatino Linotype"/>
          <w:i/>
          <w:color w:val="000000"/>
          <w:sz w:val="24"/>
          <w:szCs w:val="24"/>
        </w:rPr>
        <w:t xml:space="preserve"> </w:t>
      </w:r>
      <w:r w:rsidRPr="005E2220">
        <w:rPr>
          <w:rFonts w:ascii="Palatino Linotype" w:eastAsia="Palatino Linotype" w:hAnsi="Palatino Linotype" w:cs="Palatino Linotype"/>
          <w:b/>
          <w:i/>
          <w:color w:val="000000"/>
          <w:sz w:val="24"/>
          <w:szCs w:val="24"/>
        </w:rPr>
        <w:t>Toda persona, sin necesidad de acreditar interés alguno o justificar su utilización, tendrá acceso gratuito a la información pública, a sus datos personales o a la rectificación de éstos</w:t>
      </w:r>
      <w:r w:rsidRPr="005E2220">
        <w:rPr>
          <w:rFonts w:ascii="Palatino Linotype" w:eastAsia="Palatino Linotype" w:hAnsi="Palatino Linotype" w:cs="Palatino Linotype"/>
          <w:i/>
          <w:color w:val="000000"/>
          <w:sz w:val="24"/>
          <w:szCs w:val="24"/>
        </w:rPr>
        <w:t>.</w:t>
      </w:r>
    </w:p>
    <w:p w:rsidR="00FF39F4" w:rsidRPr="005E2220" w:rsidRDefault="003E4790">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sz w:val="24"/>
          <w:szCs w:val="24"/>
        </w:rPr>
      </w:pPr>
      <w:r w:rsidRPr="005E2220">
        <w:rPr>
          <w:rFonts w:ascii="Palatino Linotype" w:eastAsia="Palatino Linotype" w:hAnsi="Palatino Linotype" w:cs="Palatino Linotype"/>
          <w:i/>
          <w:color w:val="000000"/>
          <w:sz w:val="24"/>
          <w:szCs w:val="24"/>
        </w:rPr>
        <w:t>IV. Se establecerán mecanismos de acceso a la información y procedimientos de revisión expeditos que se sustanciarán ante el organismo autónomo especializado e imparcial que establece esta Constitución.</w:t>
      </w:r>
    </w:p>
    <w:p w:rsidR="00FF39F4" w:rsidRPr="005E2220" w:rsidRDefault="003E4790">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sz w:val="24"/>
          <w:szCs w:val="24"/>
        </w:rPr>
      </w:pPr>
      <w:r w:rsidRPr="005E2220">
        <w:rPr>
          <w:rFonts w:ascii="Palatino Linotype" w:eastAsia="Palatino Linotype" w:hAnsi="Palatino Linotype" w:cs="Palatino Linotype"/>
          <w:i/>
          <w:color w:val="000000"/>
          <w:sz w:val="24"/>
          <w:szCs w:val="24"/>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FF39F4" w:rsidRPr="005E2220" w:rsidRDefault="003E4790">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sz w:val="24"/>
          <w:szCs w:val="24"/>
        </w:rPr>
      </w:pPr>
      <w:r w:rsidRPr="005E2220">
        <w:rPr>
          <w:rFonts w:ascii="Palatino Linotype" w:eastAsia="Palatino Linotype" w:hAnsi="Palatino Linotype" w:cs="Palatino Linotype"/>
          <w:i/>
          <w:color w:val="000000"/>
          <w:sz w:val="24"/>
          <w:szCs w:val="24"/>
        </w:rPr>
        <w:t xml:space="preserve">VI. Los sujetos obligados deberán preservar sus documentos en archivos administrativos actualizados y publicarán, a través de los medios electrónicos disponibles, la información completa y actualizada sobre el ejercicio de los recursos </w:t>
      </w:r>
      <w:r w:rsidRPr="005E2220">
        <w:rPr>
          <w:rFonts w:ascii="Palatino Linotype" w:eastAsia="Palatino Linotype" w:hAnsi="Palatino Linotype" w:cs="Palatino Linotype"/>
          <w:i/>
          <w:color w:val="000000"/>
          <w:sz w:val="24"/>
          <w:szCs w:val="24"/>
        </w:rPr>
        <w:lastRenderedPageBreak/>
        <w:t>públicos y los indicadores que permitan rendir cuenta del cumplimiento de sus objetivos y los resultados obtenidos.</w:t>
      </w:r>
    </w:p>
    <w:p w:rsidR="00FF39F4" w:rsidRPr="005E2220" w:rsidRDefault="003E4790">
      <w:pPr>
        <w:pBdr>
          <w:top w:val="nil"/>
          <w:left w:val="nil"/>
          <w:bottom w:val="nil"/>
          <w:right w:val="nil"/>
          <w:between w:val="nil"/>
        </w:pBdr>
        <w:spacing w:after="0" w:line="240" w:lineRule="auto"/>
        <w:ind w:left="567" w:right="567"/>
        <w:jc w:val="both"/>
        <w:rPr>
          <w:rFonts w:ascii="Times New Roman" w:eastAsia="Times New Roman" w:hAnsi="Times New Roman" w:cs="Times New Roman"/>
          <w:color w:val="000000"/>
          <w:sz w:val="24"/>
          <w:szCs w:val="24"/>
        </w:rPr>
      </w:pPr>
      <w:r w:rsidRPr="005E2220">
        <w:rPr>
          <w:rFonts w:ascii="Palatino Linotype" w:eastAsia="Palatino Linotype" w:hAnsi="Palatino Linotype" w:cs="Palatino Linotype"/>
          <w:i/>
          <w:color w:val="000000"/>
          <w:sz w:val="24"/>
          <w:szCs w:val="24"/>
        </w:rPr>
        <w:t>VII. La ley reglamentaria, determinará la manera en que los sujetos obligados deberán hacer pública la información relativa a los recursos públicos que entreguen a personas físicas o jurídicas colectivas</w:t>
      </w:r>
      <w:r w:rsidRPr="005E2220">
        <w:rPr>
          <w:rFonts w:ascii="Times New Roman" w:eastAsia="Times New Roman" w:hAnsi="Times New Roman" w:cs="Times New Roman"/>
          <w:color w:val="000000"/>
          <w:sz w:val="24"/>
          <w:szCs w:val="24"/>
        </w:rPr>
        <w:t>.</w:t>
      </w:r>
    </w:p>
    <w:p w:rsidR="00FF39F4" w:rsidRPr="005E2220" w:rsidRDefault="00FF39F4">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color w:val="000000"/>
          <w:sz w:val="24"/>
          <w:szCs w:val="24"/>
        </w:rPr>
      </w:pPr>
    </w:p>
    <w:p w:rsidR="00FF39F4" w:rsidRPr="005E2220" w:rsidRDefault="003E479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5E2220">
        <w:rPr>
          <w:rFonts w:ascii="Palatino Linotype" w:eastAsia="Palatino Linotype" w:hAnsi="Palatino Linotype" w:cs="Palatino Linotype"/>
          <w:color w:val="000000"/>
          <w:sz w:val="24"/>
          <w:szCs w:val="24"/>
        </w:rPr>
        <w:t>En ese orden de ideas, la Ley de Transparencia y Acceso a la Información Pública del Estado de México y Municipios, prevé en su artículo 23, fracción IV, lo siguiente:</w:t>
      </w:r>
    </w:p>
    <w:p w:rsidR="00FF39F4" w:rsidRPr="005E2220" w:rsidRDefault="00FF39F4">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FF39F4" w:rsidRPr="005E2220" w:rsidRDefault="003E4790">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sz w:val="24"/>
          <w:szCs w:val="24"/>
        </w:rPr>
      </w:pPr>
      <w:r w:rsidRPr="005E2220">
        <w:rPr>
          <w:rFonts w:ascii="Palatino Linotype" w:eastAsia="Palatino Linotype" w:hAnsi="Palatino Linotype" w:cs="Palatino Linotype"/>
          <w:b/>
          <w:i/>
          <w:color w:val="000000"/>
          <w:sz w:val="24"/>
          <w:szCs w:val="24"/>
        </w:rPr>
        <w:t>Artículo 23.</w:t>
      </w:r>
      <w:r w:rsidRPr="005E2220">
        <w:rPr>
          <w:rFonts w:ascii="Palatino Linotype" w:eastAsia="Palatino Linotype" w:hAnsi="Palatino Linotype" w:cs="Palatino Linotype"/>
          <w:i/>
          <w:color w:val="000000"/>
          <w:sz w:val="24"/>
          <w:szCs w:val="24"/>
        </w:rPr>
        <w:t xml:space="preserve"> </w:t>
      </w:r>
      <w:r w:rsidRPr="005E2220">
        <w:rPr>
          <w:rFonts w:ascii="Palatino Linotype" w:eastAsia="Palatino Linotype" w:hAnsi="Palatino Linotype" w:cs="Palatino Linotype"/>
          <w:b/>
          <w:i/>
          <w:color w:val="000000"/>
          <w:sz w:val="24"/>
          <w:szCs w:val="24"/>
        </w:rPr>
        <w:t>Son sujetos obligados a transparentar y permitir el acceso a su información y proteger los datos personales que obren en su poder</w:t>
      </w:r>
      <w:r w:rsidRPr="005E2220">
        <w:rPr>
          <w:rFonts w:ascii="Palatino Linotype" w:eastAsia="Palatino Linotype" w:hAnsi="Palatino Linotype" w:cs="Palatino Linotype"/>
          <w:i/>
          <w:color w:val="000000"/>
          <w:sz w:val="24"/>
          <w:szCs w:val="24"/>
        </w:rPr>
        <w:t>:</w:t>
      </w:r>
    </w:p>
    <w:p w:rsidR="00FF39F4" w:rsidRPr="005E2220" w:rsidRDefault="00FF39F4">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sz w:val="24"/>
          <w:szCs w:val="24"/>
        </w:rPr>
      </w:pPr>
    </w:p>
    <w:p w:rsidR="00FF39F4" w:rsidRPr="005E2220" w:rsidRDefault="003E4790">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sz w:val="24"/>
          <w:szCs w:val="24"/>
        </w:rPr>
      </w:pPr>
      <w:r w:rsidRPr="005E2220">
        <w:rPr>
          <w:rFonts w:ascii="Palatino Linotype" w:eastAsia="Palatino Linotype" w:hAnsi="Palatino Linotype" w:cs="Palatino Linotype"/>
          <w:i/>
          <w:color w:val="000000"/>
          <w:sz w:val="24"/>
          <w:szCs w:val="24"/>
        </w:rPr>
        <w:t xml:space="preserve">(…) </w:t>
      </w:r>
    </w:p>
    <w:p w:rsidR="00FF39F4" w:rsidRPr="005E2220" w:rsidRDefault="003E4790">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sz w:val="24"/>
          <w:szCs w:val="24"/>
        </w:rPr>
      </w:pPr>
      <w:r w:rsidRPr="005E2220">
        <w:rPr>
          <w:rFonts w:ascii="Palatino Linotype" w:eastAsia="Palatino Linotype" w:hAnsi="Palatino Linotype" w:cs="Palatino Linotype"/>
          <w:i/>
          <w:color w:val="000000"/>
          <w:sz w:val="24"/>
          <w:szCs w:val="24"/>
        </w:rPr>
        <w:t xml:space="preserve">IV. </w:t>
      </w:r>
      <w:r w:rsidRPr="005E2220">
        <w:rPr>
          <w:rFonts w:ascii="Palatino Linotype" w:eastAsia="Palatino Linotype" w:hAnsi="Palatino Linotype" w:cs="Palatino Linotype"/>
          <w:b/>
          <w:i/>
          <w:color w:val="000000"/>
          <w:sz w:val="24"/>
          <w:szCs w:val="24"/>
          <w:u w:val="single"/>
        </w:rPr>
        <w:t>Los ayuntamientos y las dependencias, organismos, órganos y entidades de la administración municipal</w:t>
      </w:r>
      <w:r w:rsidRPr="005E2220">
        <w:rPr>
          <w:rFonts w:ascii="Palatino Linotype" w:eastAsia="Palatino Linotype" w:hAnsi="Palatino Linotype" w:cs="Palatino Linotype"/>
          <w:i/>
          <w:color w:val="000000"/>
          <w:sz w:val="24"/>
          <w:szCs w:val="24"/>
        </w:rPr>
        <w:t>;</w:t>
      </w:r>
    </w:p>
    <w:p w:rsidR="00FF39F4" w:rsidRPr="005E2220" w:rsidRDefault="003E4790">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sz w:val="24"/>
          <w:szCs w:val="24"/>
        </w:rPr>
      </w:pPr>
      <w:r w:rsidRPr="005E2220">
        <w:rPr>
          <w:rFonts w:ascii="Palatino Linotype" w:eastAsia="Palatino Linotype" w:hAnsi="Palatino Linotype" w:cs="Palatino Linotype"/>
          <w:i/>
          <w:color w:val="000000"/>
          <w:sz w:val="24"/>
          <w:szCs w:val="24"/>
        </w:rPr>
        <w:t>(…)</w:t>
      </w:r>
    </w:p>
    <w:p w:rsidR="00FF39F4" w:rsidRPr="005E2220" w:rsidRDefault="003E4790">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sz w:val="24"/>
          <w:szCs w:val="24"/>
        </w:rPr>
      </w:pPr>
      <w:r w:rsidRPr="005E2220">
        <w:rPr>
          <w:rFonts w:ascii="Palatino Linotype" w:eastAsia="Palatino Linotype" w:hAnsi="Palatino Linotype" w:cs="Palatino Linotype"/>
          <w:i/>
          <w:color w:val="000000"/>
          <w:sz w:val="24"/>
          <w:szCs w:val="24"/>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FF39F4" w:rsidRPr="005E2220" w:rsidRDefault="00FF39F4">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sz w:val="24"/>
          <w:szCs w:val="24"/>
        </w:rPr>
      </w:pPr>
    </w:p>
    <w:p w:rsidR="00FF39F4" w:rsidRPr="005E2220" w:rsidRDefault="003E4790">
      <w:pPr>
        <w:pBdr>
          <w:top w:val="nil"/>
          <w:left w:val="nil"/>
          <w:bottom w:val="nil"/>
          <w:right w:val="nil"/>
          <w:between w:val="nil"/>
        </w:pBdr>
        <w:spacing w:after="0" w:line="240" w:lineRule="auto"/>
        <w:ind w:left="567" w:right="567"/>
        <w:jc w:val="both"/>
        <w:rPr>
          <w:rFonts w:ascii="Times New Roman" w:eastAsia="Times New Roman" w:hAnsi="Times New Roman" w:cs="Times New Roman"/>
          <w:color w:val="000000"/>
          <w:sz w:val="24"/>
          <w:szCs w:val="24"/>
        </w:rPr>
      </w:pPr>
      <w:r w:rsidRPr="005E2220">
        <w:rPr>
          <w:rFonts w:ascii="Palatino Linotype" w:eastAsia="Palatino Linotype" w:hAnsi="Palatino Linotype" w:cs="Palatino Linotype"/>
          <w:b/>
          <w:i/>
          <w:color w:val="000000"/>
          <w:sz w:val="24"/>
          <w:szCs w:val="24"/>
        </w:rPr>
        <w:t>Los servidores públicos deberán transparentar sus acciones, así como garantizar y respetar el derecho de acceso a la información pública</w:t>
      </w:r>
      <w:r w:rsidRPr="005E2220">
        <w:rPr>
          <w:rFonts w:ascii="Palatino Linotype" w:eastAsia="Palatino Linotype" w:hAnsi="Palatino Linotype" w:cs="Palatino Linotype"/>
          <w:i/>
          <w:color w:val="000000"/>
          <w:sz w:val="24"/>
          <w:szCs w:val="24"/>
        </w:rPr>
        <w:t>.</w:t>
      </w:r>
    </w:p>
    <w:p w:rsidR="00FF39F4" w:rsidRPr="005E2220" w:rsidRDefault="00FF39F4">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FF39F4" w:rsidRPr="005E2220" w:rsidRDefault="003E479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5E2220">
        <w:rPr>
          <w:rFonts w:ascii="Palatino Linotype" w:eastAsia="Palatino Linotype" w:hAnsi="Palatino Linotype" w:cs="Palatino Linotype"/>
          <w:color w:val="000000"/>
          <w:sz w:val="24"/>
          <w:szCs w:val="24"/>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rsidR="00FF39F4" w:rsidRPr="005E2220" w:rsidRDefault="00FF39F4">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FF39F4" w:rsidRPr="005E2220" w:rsidRDefault="003E479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5E2220">
        <w:rPr>
          <w:rFonts w:ascii="Palatino Linotype" w:eastAsia="Palatino Linotype" w:hAnsi="Palatino Linotype" w:cs="Palatino Linotype"/>
          <w:color w:val="000000"/>
          <w:sz w:val="24"/>
          <w:szCs w:val="24"/>
        </w:rPr>
        <w:lastRenderedPageBreak/>
        <w:t xml:space="preserve">En esa tesitura, 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rsidR="00FF39F4" w:rsidRPr="005E2220" w:rsidRDefault="00FF39F4">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FF39F4" w:rsidRPr="005E2220" w:rsidRDefault="003E4790">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5E2220">
        <w:rPr>
          <w:rFonts w:ascii="Palatino Linotype" w:eastAsia="Palatino Linotype" w:hAnsi="Palatino Linotype" w:cs="Palatino Linotype"/>
          <w:sz w:val="24"/>
          <w:szCs w:val="24"/>
        </w:rPr>
        <w:t>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del Estado de México y Municipios.</w:t>
      </w:r>
    </w:p>
    <w:p w:rsidR="00FF39F4" w:rsidRPr="005E2220" w:rsidRDefault="00FF39F4">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FF39F4" w:rsidRPr="005E2220" w:rsidRDefault="003E479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5E2220">
        <w:rPr>
          <w:rFonts w:ascii="Palatino Linotype" w:eastAsia="Palatino Linotype" w:hAnsi="Palatino Linotype" w:cs="Palatino Linotype"/>
          <w:color w:val="000000"/>
          <w:sz w:val="24"/>
          <w:szCs w:val="24"/>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rsidR="00FF39F4" w:rsidRPr="005E2220" w:rsidRDefault="00FF39F4">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FF39F4" w:rsidRPr="005E2220" w:rsidRDefault="003E479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5E2220">
        <w:rPr>
          <w:rFonts w:ascii="Palatino Linotype" w:eastAsia="Palatino Linotype" w:hAnsi="Palatino Linotype" w:cs="Palatino Linotype"/>
          <w:color w:val="000000"/>
          <w:sz w:val="24"/>
          <w:szCs w:val="24"/>
        </w:rPr>
        <w:t>Asimismo, el diverso artículo 54 de la Ley de Transparencia y Acceso a la Información Pública del Estado de México y Municipios establece que cuando algún área de los sujetos obligados se negara a colaborar con la Unidad de Transparencia, esta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rsidR="00FF39F4" w:rsidRPr="005E2220" w:rsidRDefault="00FF39F4">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FF39F4" w:rsidRPr="005E2220" w:rsidRDefault="003E479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5E2220">
        <w:rPr>
          <w:rFonts w:ascii="Palatino Linotype" w:eastAsia="Palatino Linotype" w:hAnsi="Palatino Linotype" w:cs="Palatino Linotype"/>
          <w:color w:val="000000"/>
          <w:sz w:val="24"/>
          <w:szCs w:val="24"/>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rsidR="00FF39F4" w:rsidRPr="005E2220" w:rsidRDefault="00FF39F4">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FF39F4" w:rsidRPr="005E2220" w:rsidRDefault="003E479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5E2220">
        <w:rPr>
          <w:rFonts w:ascii="Palatino Linotype" w:eastAsia="Palatino Linotype" w:hAnsi="Palatino Linotype" w:cs="Palatino Linotype"/>
          <w:color w:val="000000"/>
          <w:sz w:val="24"/>
          <w:szCs w:val="24"/>
        </w:rPr>
        <w:t>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tendiendo como excepción al plazo referido, una prórroga de hasta siete días hábiles adicionales, siempre y cuando existan razones fundadas y motivadas, las cuales deberán ser aprobadas por el Comité de Transparencia. Situación que en la especie no aconteció. Sirve de sustento a lo anterior el precepto legal en cita:</w:t>
      </w:r>
    </w:p>
    <w:p w:rsidR="00FF39F4" w:rsidRPr="005E2220" w:rsidRDefault="00FF39F4">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FF39F4" w:rsidRPr="005E2220" w:rsidRDefault="003E4790">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sz w:val="24"/>
          <w:szCs w:val="24"/>
        </w:rPr>
      </w:pPr>
      <w:r w:rsidRPr="005E2220">
        <w:rPr>
          <w:rFonts w:ascii="Palatino Linotype" w:eastAsia="Palatino Linotype" w:hAnsi="Palatino Linotype" w:cs="Palatino Linotype"/>
          <w:b/>
          <w:i/>
          <w:color w:val="000000"/>
          <w:sz w:val="24"/>
          <w:szCs w:val="24"/>
        </w:rPr>
        <w:t>Artículo 163. La Unidad de Transparencia deberá notificar la respuesta a la solicitud al interesado en el menor tiempo posible, que no podrá exceder de quince días hábiles</w:t>
      </w:r>
      <w:r w:rsidRPr="005E2220">
        <w:rPr>
          <w:rFonts w:ascii="Palatino Linotype" w:eastAsia="Palatino Linotype" w:hAnsi="Palatino Linotype" w:cs="Palatino Linotype"/>
          <w:i/>
          <w:color w:val="000000"/>
          <w:sz w:val="24"/>
          <w:szCs w:val="24"/>
        </w:rPr>
        <w:t xml:space="preserve">, contados a partir del día siguiente a la presentación de aquélla. </w:t>
      </w:r>
    </w:p>
    <w:p w:rsidR="00FF39F4" w:rsidRPr="005E2220" w:rsidRDefault="00FF39F4">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sz w:val="24"/>
          <w:szCs w:val="24"/>
        </w:rPr>
      </w:pPr>
    </w:p>
    <w:p w:rsidR="00FF39F4" w:rsidRPr="005E2220" w:rsidRDefault="003E4790">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sz w:val="24"/>
          <w:szCs w:val="24"/>
        </w:rPr>
      </w:pPr>
      <w:r w:rsidRPr="005E2220">
        <w:rPr>
          <w:rFonts w:ascii="Palatino Linotype" w:eastAsia="Palatino Linotype" w:hAnsi="Palatino Linotype" w:cs="Palatino Linotype"/>
          <w:i/>
          <w:color w:val="000000"/>
          <w:sz w:val="24"/>
          <w:szCs w:val="24"/>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rsidR="00FF39F4" w:rsidRPr="005E2220" w:rsidRDefault="00FF39F4">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FF39F4" w:rsidRPr="005E2220" w:rsidRDefault="003E479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5E2220">
        <w:rPr>
          <w:rFonts w:ascii="Palatino Linotype" w:eastAsia="Palatino Linotype" w:hAnsi="Palatino Linotype" w:cs="Palatino Linotype"/>
          <w:color w:val="000000"/>
          <w:sz w:val="24"/>
          <w:szCs w:val="24"/>
        </w:rPr>
        <w:lastRenderedPageBreak/>
        <w:t>En mérito de lo expuesto, es claro que en este caso en particular la Unidad de Transparencia incumplió la normativa en la materia, puesto que no dio trámite ni respuesta a la solicitud de acceso a la información, limitando el derecho de acceso a la información, accionado por el particular.</w:t>
      </w:r>
    </w:p>
    <w:p w:rsidR="00FF39F4" w:rsidRPr="005E2220" w:rsidRDefault="00FF39F4">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FF39F4" w:rsidRPr="005E2220" w:rsidRDefault="003E479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5E2220">
        <w:rPr>
          <w:rFonts w:ascii="Palatino Linotype" w:eastAsia="Palatino Linotype" w:hAnsi="Palatino Linotype" w:cs="Palatino Linotype"/>
          <w:color w:val="000000"/>
          <w:sz w:val="24"/>
          <w:szCs w:val="24"/>
        </w:rPr>
        <w:t xml:space="preserve">Consecuentemente, este Instituto estima toral reiterar que, de conformidad con el artículo 150 de la Ley de Transparencia y Acceso a la Información Pública del Estado de México y Municipios,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 Por ello, esta Autoridad como órgano garante del derecho de acceso a la información estima que lo procedente es ordenar al Sujeto Obligado dé </w:t>
      </w:r>
      <w:r w:rsidRPr="005E2220">
        <w:rPr>
          <w:rFonts w:ascii="Palatino Linotype" w:eastAsia="Palatino Linotype" w:hAnsi="Palatino Linotype" w:cs="Palatino Linotype"/>
          <w:sz w:val="24"/>
          <w:szCs w:val="24"/>
        </w:rPr>
        <w:t>trámite</w:t>
      </w:r>
      <w:r w:rsidRPr="005E2220">
        <w:rPr>
          <w:rFonts w:ascii="Palatino Linotype" w:eastAsia="Palatino Linotype" w:hAnsi="Palatino Linotype" w:cs="Palatino Linotype"/>
          <w:color w:val="000000"/>
          <w:sz w:val="24"/>
          <w:szCs w:val="24"/>
        </w:rPr>
        <w:t xml:space="preserve"> y respuesta a la solicitud del particular</w:t>
      </w:r>
    </w:p>
    <w:p w:rsidR="00FF39F4" w:rsidRPr="005E2220" w:rsidRDefault="00FF39F4">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FF39F4" w:rsidRPr="005E2220" w:rsidRDefault="003E479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5E2220">
        <w:rPr>
          <w:rFonts w:ascii="Palatino Linotype" w:eastAsia="Palatino Linotype" w:hAnsi="Palatino Linotype" w:cs="Palatino Linotype"/>
          <w:color w:val="000000"/>
          <w:sz w:val="24"/>
          <w:szCs w:val="24"/>
        </w:rPr>
        <w:t>Aunado a lo anterior, este Instituto estima dable referir lo que dispone el artículo 172, último párrafo de la Ley de Transparencia y Acceso a la Información Pública del Estado de México y Municipios, el cual refiere que los argumentos para justificar cualquier negativa de acceso a la información deben recaer en el Sujeto Obligado, por lo que, en caso de no atender de manera positiva</w:t>
      </w:r>
      <w:r w:rsidRPr="005E2220">
        <w:rPr>
          <w:rFonts w:ascii="Palatino Linotype" w:eastAsia="Palatino Linotype" w:hAnsi="Palatino Linotype" w:cs="Palatino Linotype"/>
          <w:color w:val="000000"/>
          <w:sz w:val="24"/>
          <w:szCs w:val="24"/>
          <w:vertAlign w:val="superscript"/>
        </w:rPr>
        <w:footnoteReference w:id="2"/>
      </w:r>
      <w:r w:rsidRPr="005E2220">
        <w:rPr>
          <w:rFonts w:ascii="Palatino Linotype" w:eastAsia="Palatino Linotype" w:hAnsi="Palatino Linotype" w:cs="Palatino Linotype"/>
          <w:color w:val="000000"/>
          <w:sz w:val="24"/>
          <w:szCs w:val="24"/>
        </w:rPr>
        <w:t>, el requerimiento de información deberá manifestarse al respecto.</w:t>
      </w:r>
    </w:p>
    <w:p w:rsidR="00FF39F4" w:rsidRPr="005E2220" w:rsidRDefault="00FF39F4">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FF39F4" w:rsidRPr="005E2220" w:rsidRDefault="003E479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5E2220">
        <w:rPr>
          <w:rFonts w:ascii="Palatino Linotype" w:eastAsia="Palatino Linotype" w:hAnsi="Palatino Linotype" w:cs="Palatino Linotype"/>
          <w:color w:val="000000"/>
          <w:sz w:val="24"/>
          <w:szCs w:val="24"/>
        </w:rPr>
        <w:t>Así, dado que la Unidad de Transparencia es la encargada de turnar la solicitud a las dependencias o unidades administrativas que consideren competentes para conocer de la solicitud planteada, resulta conveniente verificar si el Sujeto Obligado cuenta con el área que pudiese contener en sus archivos los requerimientos del Recurrente.</w:t>
      </w:r>
    </w:p>
    <w:p w:rsidR="00FF39F4" w:rsidRPr="005E2220" w:rsidRDefault="00FF39F4">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FF39F4" w:rsidRPr="005E2220" w:rsidRDefault="003E479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5E2220">
        <w:rPr>
          <w:rFonts w:ascii="Palatino Linotype" w:eastAsia="Palatino Linotype" w:hAnsi="Palatino Linotype" w:cs="Palatino Linotype"/>
          <w:color w:val="000000"/>
          <w:sz w:val="24"/>
          <w:szCs w:val="24"/>
        </w:rPr>
        <w:t>Para este propósito, se debe recordar que el hoy Recurrente realizó diversos requerimientos al Sujeto Obligado, los cuales, concretamente, son saber si existe ante el Ayuntamiento o su Dirección de Desarrollo Urbano solicitudes de cambio de uso de suelo, de lotificación de condominio, de construcción relacionadas con el paraje conocido como Santa Eduviges/</w:t>
      </w:r>
      <w:proofErr w:type="spellStart"/>
      <w:r w:rsidRPr="005E2220">
        <w:rPr>
          <w:rFonts w:ascii="Palatino Linotype" w:eastAsia="Palatino Linotype" w:hAnsi="Palatino Linotype" w:cs="Palatino Linotype"/>
          <w:color w:val="000000"/>
          <w:sz w:val="24"/>
          <w:szCs w:val="24"/>
        </w:rPr>
        <w:t>Edwiges</w:t>
      </w:r>
      <w:proofErr w:type="spellEnd"/>
      <w:r w:rsidRPr="005E2220">
        <w:rPr>
          <w:rFonts w:ascii="Palatino Linotype" w:eastAsia="Palatino Linotype" w:hAnsi="Palatino Linotype" w:cs="Palatino Linotype"/>
          <w:color w:val="000000"/>
          <w:sz w:val="24"/>
          <w:szCs w:val="24"/>
        </w:rPr>
        <w:t xml:space="preserve"> en la comunidad de la Vega, así como el trámite o autorización del proyecto de construcción de la Ciudad de la Tora en dicho paraje, y en caso de existir, se proporcionen la solicitud y la autorización otorgada, lo anterior desde enero de dos mil dieciséis al ocho de julio de dos mil veintiuno; también se solicitó información respecto de alguna actualización desde el año dos mil diecinueve al Plan de Desarrollo Municipal en la que se contemple la generación de infraestructura y alumbrado para asentamientos urbanos en el mismo inmueble; y por último, saber si existe ante el Ayuntamiento, Comisión de Medio Ambiente o Dirección de Medio Ambiente, alguna solicitud de deforestación en el multicitado paraje, y de existir, se proporcione la solicitud y autorización.</w:t>
      </w:r>
    </w:p>
    <w:p w:rsidR="00FF39F4" w:rsidRPr="005E2220" w:rsidRDefault="00FF39F4">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FF39F4" w:rsidRPr="005E2220" w:rsidRDefault="003E479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5E2220">
        <w:rPr>
          <w:rFonts w:ascii="Palatino Linotype" w:eastAsia="Palatino Linotype" w:hAnsi="Palatino Linotype" w:cs="Palatino Linotype"/>
          <w:color w:val="000000"/>
          <w:sz w:val="24"/>
          <w:szCs w:val="24"/>
        </w:rPr>
        <w:t>Así, se puede observar en el expediente electrónico en el SAIMEX que el titular de la Unidad de Transparencia turnó la solicitud al área que consideró competente, como se advierte en la siguiente imagen:</w:t>
      </w:r>
    </w:p>
    <w:p w:rsidR="00FF39F4" w:rsidRPr="005E2220" w:rsidRDefault="00FF39F4">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FF39F4" w:rsidRPr="005E2220" w:rsidRDefault="003E479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5E2220">
        <w:rPr>
          <w:rFonts w:ascii="Times New Roman" w:eastAsia="Times New Roman" w:hAnsi="Times New Roman" w:cs="Times New Roman"/>
          <w:noProof/>
          <w:color w:val="000000"/>
          <w:sz w:val="24"/>
          <w:szCs w:val="24"/>
        </w:rPr>
        <w:drawing>
          <wp:inline distT="0" distB="0" distL="0" distR="0">
            <wp:extent cx="6008279" cy="567463"/>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l="4798" t="33153" r="29478" b="55807"/>
                    <a:stretch>
                      <a:fillRect/>
                    </a:stretch>
                  </pic:blipFill>
                  <pic:spPr>
                    <a:xfrm>
                      <a:off x="0" y="0"/>
                      <a:ext cx="6008279" cy="567463"/>
                    </a:xfrm>
                    <a:prstGeom prst="rect">
                      <a:avLst/>
                    </a:prstGeom>
                    <a:ln/>
                  </pic:spPr>
                </pic:pic>
              </a:graphicData>
            </a:graphic>
          </wp:inline>
        </w:drawing>
      </w:r>
    </w:p>
    <w:p w:rsidR="00FF39F4" w:rsidRPr="005E2220" w:rsidRDefault="00FF39F4">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FF39F4" w:rsidRPr="005E2220" w:rsidRDefault="003E479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5E2220">
        <w:rPr>
          <w:rFonts w:ascii="Palatino Linotype" w:eastAsia="Palatino Linotype" w:hAnsi="Palatino Linotype" w:cs="Palatino Linotype"/>
          <w:color w:val="000000"/>
          <w:sz w:val="24"/>
          <w:szCs w:val="24"/>
        </w:rPr>
        <w:t>Al respecto, se observa que la servidora pública a la que le fue turnada la solicitud es la Directora de Desarrollo Urbano e IMEVIS (Instituto Mexiquense de la Vivienda Social), de acuerdo a lo publicado en el portal de Información Pública de Oficio Mexiquense del Sujeto Obligado y que se observa a continuación:</w:t>
      </w:r>
    </w:p>
    <w:p w:rsidR="00FF39F4" w:rsidRPr="005E2220" w:rsidRDefault="00FF39F4">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FF39F4" w:rsidRPr="005E2220" w:rsidRDefault="003E4790">
      <w:pPr>
        <w:pBdr>
          <w:top w:val="nil"/>
          <w:left w:val="nil"/>
          <w:bottom w:val="nil"/>
          <w:right w:val="nil"/>
          <w:between w:val="nil"/>
        </w:pBdr>
        <w:spacing w:after="0" w:line="360" w:lineRule="auto"/>
        <w:jc w:val="center"/>
        <w:rPr>
          <w:rFonts w:ascii="Palatino Linotype" w:eastAsia="Palatino Linotype" w:hAnsi="Palatino Linotype" w:cs="Palatino Linotype"/>
          <w:color w:val="000000"/>
          <w:sz w:val="24"/>
          <w:szCs w:val="24"/>
        </w:rPr>
      </w:pPr>
      <w:r w:rsidRPr="005E2220">
        <w:rPr>
          <w:rFonts w:ascii="Times New Roman" w:eastAsia="Times New Roman" w:hAnsi="Times New Roman" w:cs="Times New Roman"/>
          <w:noProof/>
          <w:color w:val="000000"/>
          <w:sz w:val="24"/>
          <w:szCs w:val="24"/>
        </w:rPr>
        <w:drawing>
          <wp:inline distT="0" distB="0" distL="0" distR="0">
            <wp:extent cx="4036048" cy="3573585"/>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l="28108" t="27044" r="40146" b="22984"/>
                    <a:stretch>
                      <a:fillRect/>
                    </a:stretch>
                  </pic:blipFill>
                  <pic:spPr>
                    <a:xfrm>
                      <a:off x="0" y="0"/>
                      <a:ext cx="4036048" cy="3573585"/>
                    </a:xfrm>
                    <a:prstGeom prst="rect">
                      <a:avLst/>
                    </a:prstGeom>
                    <a:ln/>
                  </pic:spPr>
                </pic:pic>
              </a:graphicData>
            </a:graphic>
          </wp:inline>
        </w:drawing>
      </w:r>
    </w:p>
    <w:p w:rsidR="00FF39F4" w:rsidRPr="005E2220" w:rsidRDefault="00FF39F4">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FF39F4" w:rsidRPr="005E2220" w:rsidRDefault="003E479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5E2220">
        <w:rPr>
          <w:rFonts w:ascii="Palatino Linotype" w:eastAsia="Palatino Linotype" w:hAnsi="Palatino Linotype" w:cs="Palatino Linotype"/>
          <w:color w:val="000000"/>
          <w:sz w:val="24"/>
          <w:szCs w:val="24"/>
        </w:rPr>
        <w:t>En este punto es importante recordar que el Sujeto Obligado no otorgó respuesta alguna a la solicitud del hoy Recurrente.</w:t>
      </w:r>
    </w:p>
    <w:p w:rsidR="00FF39F4" w:rsidRPr="005E2220" w:rsidRDefault="00FF39F4">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FF39F4" w:rsidRPr="005E2220" w:rsidRDefault="003E479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5E2220">
        <w:rPr>
          <w:rFonts w:ascii="Palatino Linotype" w:eastAsia="Palatino Linotype" w:hAnsi="Palatino Linotype" w:cs="Palatino Linotype"/>
          <w:color w:val="000000"/>
          <w:sz w:val="24"/>
          <w:szCs w:val="24"/>
        </w:rPr>
        <w:t xml:space="preserve">Ahora bien, dado que el Sujeto Obligado intentó reparar la falta de respuesta mediante Informe Justificado, se tiene que en dicho Informe se hizo entrega de una declaratoria de inexistencia de la información, la cual fue emitida por el Comité de Transparencia </w:t>
      </w:r>
      <w:r w:rsidRPr="005E2220">
        <w:rPr>
          <w:rFonts w:ascii="Palatino Linotype" w:eastAsia="Palatino Linotype" w:hAnsi="Palatino Linotype" w:cs="Palatino Linotype"/>
          <w:b/>
          <w:color w:val="000000"/>
          <w:sz w:val="24"/>
          <w:szCs w:val="24"/>
        </w:rPr>
        <w:t>al resolver el contenido de</w:t>
      </w:r>
      <w:r w:rsidR="003356BF">
        <w:rPr>
          <w:rFonts w:ascii="Palatino Linotype" w:eastAsia="Palatino Linotype" w:hAnsi="Palatino Linotype" w:cs="Palatino Linotype"/>
          <w:b/>
          <w:color w:val="000000"/>
          <w:sz w:val="24"/>
          <w:szCs w:val="24"/>
        </w:rPr>
        <w:t>l oficio DU/27/2021 remitido po</w:t>
      </w:r>
      <w:r w:rsidRPr="005E2220">
        <w:rPr>
          <w:rFonts w:ascii="Palatino Linotype" w:eastAsia="Palatino Linotype" w:hAnsi="Palatino Linotype" w:cs="Palatino Linotype"/>
          <w:b/>
          <w:color w:val="000000"/>
          <w:sz w:val="24"/>
          <w:szCs w:val="24"/>
        </w:rPr>
        <w:t>r el Servidor Público Habilitado de la Dirección de Desarrollo Urbano</w:t>
      </w:r>
      <w:r w:rsidRPr="005E2220">
        <w:rPr>
          <w:rFonts w:ascii="Palatino Linotype" w:eastAsia="Palatino Linotype" w:hAnsi="Palatino Linotype" w:cs="Palatino Linotype"/>
          <w:color w:val="000000"/>
          <w:sz w:val="24"/>
          <w:szCs w:val="24"/>
        </w:rPr>
        <w:t>. Por lo anterior, se debe entender que el Sujeto Obligado declaró la inexistencia de la información que le compete a dicha Dirección, pues la declaratoria se realizó conforme a lo planteado por el servidor público habilitado de la misma, sin que se advierta que otra área de la administración pública municipal fuera consultada.</w:t>
      </w:r>
    </w:p>
    <w:p w:rsidR="00FF39F4" w:rsidRPr="005E2220" w:rsidRDefault="00FF39F4">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FF39F4" w:rsidRPr="005E2220" w:rsidRDefault="003E479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5E2220">
        <w:rPr>
          <w:rFonts w:ascii="Palatino Linotype" w:eastAsia="Palatino Linotype" w:hAnsi="Palatino Linotype" w:cs="Palatino Linotype"/>
          <w:color w:val="000000"/>
          <w:sz w:val="24"/>
          <w:szCs w:val="24"/>
        </w:rPr>
        <w:t>Lo anterior puede observarse en la siguiente imagen:</w:t>
      </w:r>
    </w:p>
    <w:p w:rsidR="00FF39F4" w:rsidRPr="005E2220" w:rsidRDefault="00FF39F4">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FF39F4" w:rsidRPr="005E2220" w:rsidRDefault="003E479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5E2220">
        <w:rPr>
          <w:rFonts w:ascii="Times New Roman" w:eastAsia="Times New Roman" w:hAnsi="Times New Roman" w:cs="Times New Roman"/>
          <w:noProof/>
          <w:color w:val="000000"/>
          <w:sz w:val="24"/>
          <w:szCs w:val="24"/>
        </w:rPr>
        <w:drawing>
          <wp:inline distT="0" distB="0" distL="0" distR="0">
            <wp:extent cx="5650127" cy="2777979"/>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l="29927" t="17931" r="30390" b="47383"/>
                    <a:stretch>
                      <a:fillRect/>
                    </a:stretch>
                  </pic:blipFill>
                  <pic:spPr>
                    <a:xfrm>
                      <a:off x="0" y="0"/>
                      <a:ext cx="5650127" cy="2777979"/>
                    </a:xfrm>
                    <a:prstGeom prst="rect">
                      <a:avLst/>
                    </a:prstGeom>
                    <a:ln/>
                  </pic:spPr>
                </pic:pic>
              </a:graphicData>
            </a:graphic>
          </wp:inline>
        </w:drawing>
      </w:r>
      <w:r w:rsidRPr="005E2220">
        <w:rPr>
          <w:noProof/>
        </w:rPr>
        <mc:AlternateContent>
          <mc:Choice Requires="wpg">
            <w:drawing>
              <wp:anchor distT="0" distB="0" distL="114300" distR="114300" simplePos="0" relativeHeight="251658240" behindDoc="0" locked="0" layoutInCell="1" hidden="0" allowOverlap="1">
                <wp:simplePos x="0" y="0"/>
                <wp:positionH relativeFrom="column">
                  <wp:posOffset>457200</wp:posOffset>
                </wp:positionH>
                <wp:positionV relativeFrom="paragraph">
                  <wp:posOffset>1892300</wp:posOffset>
                </wp:positionV>
                <wp:extent cx="4610100" cy="19050"/>
                <wp:effectExtent l="0" t="0" r="0" b="0"/>
                <wp:wrapNone/>
                <wp:docPr id="7" name="Conector recto de flecha 7"/>
                <wp:cNvGraphicFramePr/>
                <a:graphic xmlns:a="http://schemas.openxmlformats.org/drawingml/2006/main">
                  <a:graphicData uri="http://schemas.microsoft.com/office/word/2010/wordprocessingShape">
                    <wps:wsp>
                      <wps:cNvCnPr/>
                      <wps:spPr>
                        <a:xfrm>
                          <a:off x="3040950" y="3780000"/>
                          <a:ext cx="4610100" cy="0"/>
                        </a:xfrm>
                        <a:prstGeom prst="straightConnector1">
                          <a:avLst/>
                        </a:prstGeom>
                        <a:noFill/>
                        <a:ln w="19050" cap="flat" cmpd="sng">
                          <a:solidFill>
                            <a:srgbClr val="FF0000"/>
                          </a:solidFill>
                          <a:prstDash val="solid"/>
                          <a:miter lim="800000"/>
                          <a:headEnd type="none" w="sm" len="sm"/>
                          <a:tailEnd type="none" w="sm" len="sm"/>
                        </a:ln>
                      </wps:spPr>
                      <wps:bodyPr/>
                    </wps:wsp>
                  </a:graphicData>
                </a:graphic>
              </wp:anchor>
            </w:drawing>
          </mc:Choice>
          <mc:Fallback xmlns:cx="http://schemas.microsoft.com/office/drawing/2014/chartex" xmlns:w16se="http://schemas.microsoft.com/office/word/2015/wordml/symex"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457200</wp:posOffset>
                </wp:positionH>
                <wp:positionV relativeFrom="paragraph">
                  <wp:posOffset>1892300</wp:posOffset>
                </wp:positionV>
                <wp:extent cx="4610100" cy="19050"/>
                <wp:effectExtent b="0" l="0" r="0" t="0"/>
                <wp:wrapNone/>
                <wp:docPr id="7" name="image2.png"/>
                <a:graphic>
                  <a:graphicData uri="http://schemas.openxmlformats.org/drawingml/2006/picture">
                    <pic:pic>
                      <pic:nvPicPr>
                        <pic:cNvPr id="0" name="image2.png"/>
                        <pic:cNvPicPr preferRelativeResize="0"/>
                      </pic:nvPicPr>
                      <pic:blipFill>
                        <a:blip r:embed="rId11"/>
                        <a:srcRect/>
                        <a:stretch>
                          <a:fillRect/>
                        </a:stretch>
                      </pic:blipFill>
                      <pic:spPr>
                        <a:xfrm>
                          <a:off x="0" y="0"/>
                          <a:ext cx="4610100" cy="19050"/>
                        </a:xfrm>
                        <a:prstGeom prst="rect"/>
                        <a:ln/>
                      </pic:spPr>
                    </pic:pic>
                  </a:graphicData>
                </a:graphic>
              </wp:anchor>
            </w:drawing>
          </mc:Fallback>
        </mc:AlternateContent>
      </w:r>
      <w:r w:rsidRPr="005E2220">
        <w:rPr>
          <w:noProof/>
        </w:rPr>
        <mc:AlternateContent>
          <mc:Choice Requires="wpg">
            <w:drawing>
              <wp:anchor distT="0" distB="0" distL="114300" distR="114300" simplePos="0" relativeHeight="251659264" behindDoc="0" locked="0" layoutInCell="1" hidden="0" allowOverlap="1">
                <wp:simplePos x="0" y="0"/>
                <wp:positionH relativeFrom="column">
                  <wp:posOffset>457200</wp:posOffset>
                </wp:positionH>
                <wp:positionV relativeFrom="paragraph">
                  <wp:posOffset>2057400</wp:posOffset>
                </wp:positionV>
                <wp:extent cx="2600325" cy="19050"/>
                <wp:effectExtent l="0" t="0" r="0" b="0"/>
                <wp:wrapNone/>
                <wp:docPr id="8" name="Conector recto de flecha 8"/>
                <wp:cNvGraphicFramePr/>
                <a:graphic xmlns:a="http://schemas.openxmlformats.org/drawingml/2006/main">
                  <a:graphicData uri="http://schemas.microsoft.com/office/word/2010/wordprocessingShape">
                    <wps:wsp>
                      <wps:cNvCnPr/>
                      <wps:spPr>
                        <a:xfrm>
                          <a:off x="4045838" y="3780000"/>
                          <a:ext cx="2600325" cy="0"/>
                        </a:xfrm>
                        <a:prstGeom prst="straightConnector1">
                          <a:avLst/>
                        </a:prstGeom>
                        <a:noFill/>
                        <a:ln w="19050" cap="flat" cmpd="sng">
                          <a:solidFill>
                            <a:srgbClr val="FF0000"/>
                          </a:solidFill>
                          <a:prstDash val="solid"/>
                          <a:miter lim="800000"/>
                          <a:headEnd type="none" w="sm" len="sm"/>
                          <a:tailEnd type="none" w="sm" len="sm"/>
                        </a:ln>
                      </wps:spPr>
                      <wps:bodyPr/>
                    </wps:wsp>
                  </a:graphicData>
                </a:graphic>
              </wp:anchor>
            </w:drawing>
          </mc:Choice>
          <mc:Fallback xmlns:cx="http://schemas.microsoft.com/office/drawing/2014/chartex" xmlns:w16se="http://schemas.microsoft.com/office/word/2015/wordml/symex"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457200</wp:posOffset>
                </wp:positionH>
                <wp:positionV relativeFrom="paragraph">
                  <wp:posOffset>2057400</wp:posOffset>
                </wp:positionV>
                <wp:extent cx="2600325" cy="19050"/>
                <wp:effectExtent b="0" l="0" r="0" t="0"/>
                <wp:wrapNone/>
                <wp:docPr id="8" name="image3.png"/>
                <a:graphic>
                  <a:graphicData uri="http://schemas.openxmlformats.org/drawingml/2006/picture">
                    <pic:pic>
                      <pic:nvPicPr>
                        <pic:cNvPr id="0" name="image3.png"/>
                        <pic:cNvPicPr preferRelativeResize="0"/>
                      </pic:nvPicPr>
                      <pic:blipFill>
                        <a:blip r:embed="rId12"/>
                        <a:srcRect/>
                        <a:stretch>
                          <a:fillRect/>
                        </a:stretch>
                      </pic:blipFill>
                      <pic:spPr>
                        <a:xfrm>
                          <a:off x="0" y="0"/>
                          <a:ext cx="2600325" cy="19050"/>
                        </a:xfrm>
                        <a:prstGeom prst="rect"/>
                        <a:ln/>
                      </pic:spPr>
                    </pic:pic>
                  </a:graphicData>
                </a:graphic>
              </wp:anchor>
            </w:drawing>
          </mc:Fallback>
        </mc:AlternateContent>
      </w:r>
    </w:p>
    <w:p w:rsidR="00FF39F4" w:rsidRPr="005E2220" w:rsidRDefault="00FF39F4">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FF39F4" w:rsidRPr="005E2220" w:rsidRDefault="00FF39F4">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FF39F4" w:rsidRPr="005E2220" w:rsidRDefault="003E479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5E2220">
        <w:rPr>
          <w:rFonts w:ascii="Palatino Linotype" w:eastAsia="Palatino Linotype" w:hAnsi="Palatino Linotype" w:cs="Palatino Linotype"/>
          <w:color w:val="000000"/>
          <w:sz w:val="24"/>
          <w:szCs w:val="24"/>
        </w:rPr>
        <w:t>En ese contexto, es conveniente verificar las atribuciones de la Dirección de Desarrollo Urbano del Sujeto Obligado, a fin de dilucidar si es la unidad administrativa competente para atender todos los puntos de la solicitud de información.</w:t>
      </w:r>
    </w:p>
    <w:p w:rsidR="00FF39F4" w:rsidRPr="005E2220" w:rsidRDefault="00FF39F4">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FF39F4" w:rsidRPr="005E2220" w:rsidRDefault="003E479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5E2220">
        <w:rPr>
          <w:rFonts w:ascii="Palatino Linotype" w:eastAsia="Palatino Linotype" w:hAnsi="Palatino Linotype" w:cs="Palatino Linotype"/>
          <w:color w:val="000000"/>
          <w:sz w:val="24"/>
          <w:szCs w:val="24"/>
        </w:rPr>
        <w:t>De tal forma que el Manual de Organización de la Dirección de Desarrollo Urbano publicado en la Gaceta Oficial del H. Ayuntamiento Constitucional de Tonatico, México en febrero de 2021, establece que la estructura de la Dirección es la siguiente:</w:t>
      </w:r>
    </w:p>
    <w:p w:rsidR="00FF39F4" w:rsidRPr="005E2220" w:rsidRDefault="00FF39F4">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FF39F4" w:rsidRPr="005E2220" w:rsidRDefault="003E4790">
      <w:pPr>
        <w:pBdr>
          <w:top w:val="nil"/>
          <w:left w:val="nil"/>
          <w:bottom w:val="nil"/>
          <w:right w:val="nil"/>
          <w:between w:val="nil"/>
        </w:pBdr>
        <w:spacing w:after="0" w:line="360" w:lineRule="auto"/>
        <w:jc w:val="center"/>
        <w:rPr>
          <w:rFonts w:ascii="Palatino Linotype" w:eastAsia="Palatino Linotype" w:hAnsi="Palatino Linotype" w:cs="Palatino Linotype"/>
          <w:color w:val="000000"/>
          <w:sz w:val="24"/>
          <w:szCs w:val="24"/>
        </w:rPr>
      </w:pPr>
      <w:r w:rsidRPr="005E2220">
        <w:rPr>
          <w:rFonts w:ascii="Times New Roman" w:eastAsia="Times New Roman" w:hAnsi="Times New Roman" w:cs="Times New Roman"/>
          <w:noProof/>
          <w:color w:val="000000"/>
          <w:sz w:val="24"/>
          <w:szCs w:val="24"/>
        </w:rPr>
        <w:drawing>
          <wp:inline distT="0" distB="0" distL="0" distR="0">
            <wp:extent cx="3527826" cy="4290011"/>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l="11739" t="28806" r="61475" b="13286"/>
                    <a:stretch>
                      <a:fillRect/>
                    </a:stretch>
                  </pic:blipFill>
                  <pic:spPr>
                    <a:xfrm>
                      <a:off x="0" y="0"/>
                      <a:ext cx="3527826" cy="4290011"/>
                    </a:xfrm>
                    <a:prstGeom prst="rect">
                      <a:avLst/>
                    </a:prstGeom>
                    <a:ln/>
                  </pic:spPr>
                </pic:pic>
              </a:graphicData>
            </a:graphic>
          </wp:inline>
        </w:drawing>
      </w:r>
    </w:p>
    <w:p w:rsidR="00FF39F4" w:rsidRPr="005E2220" w:rsidRDefault="00FF39F4">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FF39F4" w:rsidRPr="005E2220" w:rsidRDefault="003E479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5E2220">
        <w:rPr>
          <w:rFonts w:ascii="Palatino Linotype" w:eastAsia="Palatino Linotype" w:hAnsi="Palatino Linotype" w:cs="Palatino Linotype"/>
          <w:color w:val="000000"/>
          <w:sz w:val="24"/>
          <w:szCs w:val="24"/>
        </w:rPr>
        <w:t>Asimismo, el Manual en cita establece las atribuciones y funciones de la Dirección de Desarrollo Urbano, entre las que se destacan las siguientes:</w:t>
      </w:r>
    </w:p>
    <w:p w:rsidR="00FF39F4" w:rsidRPr="005E2220" w:rsidRDefault="00FF39F4">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FF39F4" w:rsidRPr="005E2220" w:rsidRDefault="003E479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5E2220">
        <w:rPr>
          <w:rFonts w:ascii="Palatino Linotype" w:eastAsia="Palatino Linotype" w:hAnsi="Palatino Linotype" w:cs="Palatino Linotype"/>
          <w:color w:val="000000"/>
          <w:sz w:val="24"/>
          <w:szCs w:val="24"/>
        </w:rPr>
        <w:t>ATRIBUCIONES:</w:t>
      </w:r>
    </w:p>
    <w:p w:rsidR="00FF39F4" w:rsidRPr="005E2220" w:rsidRDefault="003E4790">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5E2220">
        <w:rPr>
          <w:rFonts w:ascii="Palatino Linotype" w:eastAsia="Palatino Linotype" w:hAnsi="Palatino Linotype" w:cs="Palatino Linotype"/>
          <w:color w:val="000000"/>
          <w:sz w:val="24"/>
          <w:szCs w:val="24"/>
        </w:rPr>
        <w:t>Formular, aprobar, ejecutar, evaluar, modificar y actualizar los planes municipales de desarrollo urbano y los parciales que de ellos deriven.</w:t>
      </w:r>
    </w:p>
    <w:p w:rsidR="00FF39F4" w:rsidRPr="005E2220" w:rsidRDefault="003E4790">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5E2220">
        <w:rPr>
          <w:rFonts w:ascii="Palatino Linotype" w:eastAsia="Palatino Linotype" w:hAnsi="Palatino Linotype" w:cs="Palatino Linotype"/>
          <w:color w:val="000000"/>
          <w:sz w:val="24"/>
          <w:szCs w:val="24"/>
        </w:rPr>
        <w:t>Aprobar los proyectos ejecutivos, las memorias de cálculo y las especificaciones técnicas de las obras de infraestructura hidráulica, sanitaria y de urbanización, que establezcan los acuerdos de autorización de conjuntos urbanos, subdivisiones y condominios, con excepción de los proyectos que sean de competencia de las autoridades estatales o federales.</w:t>
      </w:r>
    </w:p>
    <w:p w:rsidR="00FF39F4" w:rsidRPr="005E2220" w:rsidRDefault="003E4790">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5E2220">
        <w:rPr>
          <w:rFonts w:ascii="Palatino Linotype" w:eastAsia="Palatino Linotype" w:hAnsi="Palatino Linotype" w:cs="Palatino Linotype"/>
          <w:color w:val="000000"/>
          <w:sz w:val="24"/>
          <w:szCs w:val="24"/>
        </w:rPr>
        <w:t>Supervisar la ejecución de las obras de urbanización e infraestructura hidráulica y sanitaria que establezcan los acuerdos de autorización de conjuntos urbanos, subdivisiones y condominios, que sean de su ámbito de competencia, verificando que éstos cumplan las condiciones para la adecuada prestación de servicios públicos.</w:t>
      </w:r>
    </w:p>
    <w:p w:rsidR="00FF39F4" w:rsidRPr="005E2220" w:rsidRDefault="003E4790">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5E2220">
        <w:rPr>
          <w:rFonts w:ascii="Palatino Linotype" w:eastAsia="Palatino Linotype" w:hAnsi="Palatino Linotype" w:cs="Palatino Linotype"/>
          <w:color w:val="000000"/>
          <w:sz w:val="24"/>
          <w:szCs w:val="24"/>
        </w:rPr>
        <w:t>-Expedir cédulas informativas de zonificación, licencias de uso de suelo y licencias de construcción;</w:t>
      </w:r>
    </w:p>
    <w:p w:rsidR="00FF39F4" w:rsidRPr="005E2220" w:rsidRDefault="003E4790">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5E2220">
        <w:rPr>
          <w:rFonts w:ascii="Palatino Linotype" w:eastAsia="Palatino Linotype" w:hAnsi="Palatino Linotype" w:cs="Palatino Linotype"/>
          <w:color w:val="000000"/>
          <w:sz w:val="24"/>
          <w:szCs w:val="24"/>
        </w:rPr>
        <w:t>Autorizar cambios de uso del suelo, del coeficiente de ocupación, del coeficiente de utilización, densidad y altura de edificaciones;</w:t>
      </w:r>
    </w:p>
    <w:p w:rsidR="00FF39F4" w:rsidRPr="005E2220" w:rsidRDefault="003E4790">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5E2220">
        <w:rPr>
          <w:rFonts w:ascii="Palatino Linotype" w:eastAsia="Palatino Linotype" w:hAnsi="Palatino Linotype" w:cs="Palatino Linotype"/>
          <w:color w:val="000000"/>
          <w:sz w:val="24"/>
          <w:szCs w:val="24"/>
        </w:rPr>
        <w:t>Difundir los planes de desarrollo urbano, así como los trámites para obtener las autorizaciones y licencias de su competencia;</w:t>
      </w:r>
    </w:p>
    <w:p w:rsidR="00FF39F4" w:rsidRPr="005E2220" w:rsidRDefault="003E4790">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5E2220">
        <w:rPr>
          <w:rFonts w:ascii="Palatino Linotype" w:eastAsia="Palatino Linotype" w:hAnsi="Palatino Linotype" w:cs="Palatino Linotype"/>
          <w:color w:val="000000"/>
          <w:sz w:val="24"/>
          <w:szCs w:val="24"/>
        </w:rPr>
        <w:lastRenderedPageBreak/>
        <w:t>Vigilar, conforme a su competencia, el cumplimiento de este Libro y sus disposiciones reglamentarias, de los planes de desarrollo urbano, de las disposiciones administrativas y reglamentarias que emita en la materia y de las autorizaciones y licencias que otorgue.</w:t>
      </w:r>
    </w:p>
    <w:p w:rsidR="00FF39F4" w:rsidRPr="005E2220" w:rsidRDefault="00FF39F4">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FF39F4" w:rsidRPr="005E2220" w:rsidRDefault="003E479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5E2220">
        <w:rPr>
          <w:rFonts w:ascii="Palatino Linotype" w:eastAsia="Palatino Linotype" w:hAnsi="Palatino Linotype" w:cs="Palatino Linotype"/>
          <w:color w:val="000000"/>
          <w:sz w:val="24"/>
          <w:szCs w:val="24"/>
        </w:rPr>
        <w:t>FUNCIONES:</w:t>
      </w:r>
    </w:p>
    <w:p w:rsidR="00FF39F4" w:rsidRPr="005E2220" w:rsidRDefault="003E4790">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5E2220">
        <w:rPr>
          <w:rFonts w:ascii="Palatino Linotype" w:eastAsia="Palatino Linotype" w:hAnsi="Palatino Linotype" w:cs="Palatino Linotype"/>
          <w:color w:val="000000"/>
          <w:sz w:val="24"/>
          <w:szCs w:val="24"/>
        </w:rPr>
        <w:t>Formular, aprobar ejecutar, evaluar, modificar y actualizar los planes municipales de desarrollo urbano y los parciales que de ellos deriven.</w:t>
      </w:r>
    </w:p>
    <w:p w:rsidR="00FF39F4" w:rsidRPr="005E2220" w:rsidRDefault="003E4790">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5E2220">
        <w:rPr>
          <w:rFonts w:ascii="Palatino Linotype" w:eastAsia="Palatino Linotype" w:hAnsi="Palatino Linotype" w:cs="Palatino Linotype"/>
          <w:color w:val="000000"/>
          <w:sz w:val="24"/>
          <w:szCs w:val="24"/>
        </w:rPr>
        <w:t>Promover y vigilar el desarrollo urbano de las diversas comunidades y centros de población del municipio, mediante una adecuada zonificación y planeación basadas en la identificación de la problemática a corto, mediano y largo plazos de los asentamientos humanos, su crecimiento y requerimientos de vivienda y servicios en territorio del municipio.</w:t>
      </w:r>
    </w:p>
    <w:p w:rsidR="00FF39F4" w:rsidRPr="005E2220" w:rsidRDefault="003E4790">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5E2220">
        <w:rPr>
          <w:rFonts w:ascii="Palatino Linotype" w:eastAsia="Palatino Linotype" w:hAnsi="Palatino Linotype" w:cs="Palatino Linotype"/>
          <w:color w:val="000000"/>
          <w:sz w:val="24"/>
          <w:szCs w:val="24"/>
        </w:rPr>
        <w:t>Autorizar y otorgar licencias de construcción, apertura de ventana o zaguán; licencias de uso de suelo; cedulas informativas de zonificación; constancias de alineamiento; Licencias de demolición y excavación; constancia de factibilidad de servicios, factibilidad de uso de suelo; constancias de terminación de obra; licencias de demolición, excavación y rellenos; licencias para cambios de losa.</w:t>
      </w:r>
    </w:p>
    <w:p w:rsidR="00FF39F4" w:rsidRPr="005E2220" w:rsidRDefault="003E4790">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5E2220">
        <w:rPr>
          <w:rFonts w:ascii="Palatino Linotype" w:eastAsia="Palatino Linotype" w:hAnsi="Palatino Linotype" w:cs="Palatino Linotype"/>
          <w:color w:val="000000"/>
          <w:sz w:val="24"/>
          <w:szCs w:val="24"/>
        </w:rPr>
        <w:t>Autorizar cambios de uso de suelo, del coeficiente de ocupación, del coeficiente de utilización, densidad y altura de edificaciones.</w:t>
      </w:r>
    </w:p>
    <w:p w:rsidR="00FF39F4" w:rsidRPr="005E2220" w:rsidRDefault="003E4790">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5E2220">
        <w:rPr>
          <w:rFonts w:ascii="Palatino Linotype" w:eastAsia="Palatino Linotype" w:hAnsi="Palatino Linotype" w:cs="Palatino Linotype"/>
          <w:color w:val="000000"/>
          <w:sz w:val="24"/>
          <w:szCs w:val="24"/>
        </w:rPr>
        <w:t xml:space="preserve">Aprobar los proyectos ejecutivos, las memorias de cálculo y las especificaciones técnicas de las obras de infraestructura hidráulica, sanitaria y de urbanización, que establezcan los acuerdos de autorización de conjuntos urbanos, </w:t>
      </w:r>
      <w:r w:rsidRPr="005E2220">
        <w:rPr>
          <w:rFonts w:ascii="Palatino Linotype" w:eastAsia="Palatino Linotype" w:hAnsi="Palatino Linotype" w:cs="Palatino Linotype"/>
          <w:color w:val="000000"/>
          <w:sz w:val="24"/>
          <w:szCs w:val="24"/>
        </w:rPr>
        <w:lastRenderedPageBreak/>
        <w:t>subdivisiones y condominios, con excepción de los proyectos que sean de competencia de las autoridades estatales o federales.</w:t>
      </w:r>
    </w:p>
    <w:p w:rsidR="00FF39F4" w:rsidRPr="005E2220" w:rsidRDefault="00FF39F4">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FF39F4" w:rsidRPr="005E2220" w:rsidRDefault="003E479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5E2220">
        <w:rPr>
          <w:rFonts w:ascii="Palatino Linotype" w:eastAsia="Palatino Linotype" w:hAnsi="Palatino Linotype" w:cs="Palatino Linotype"/>
          <w:color w:val="000000"/>
          <w:sz w:val="24"/>
          <w:szCs w:val="24"/>
        </w:rPr>
        <w:t>Por tanto, una vez analizadas las atribuciones y las funciones descritas anteriormente se puede concluir que la Dirección de Desarrollo Urbano es la competente para conocer la información solicitada por el particular con respecto a la existencia de solicitudes de cambio de uso de suelo, de lotificación de condominio, de construcción relacionadas con el paraje conocido como Santa Eduviges/</w:t>
      </w:r>
      <w:proofErr w:type="spellStart"/>
      <w:r w:rsidRPr="005E2220">
        <w:rPr>
          <w:rFonts w:ascii="Palatino Linotype" w:eastAsia="Palatino Linotype" w:hAnsi="Palatino Linotype" w:cs="Palatino Linotype"/>
          <w:color w:val="000000"/>
          <w:sz w:val="24"/>
          <w:szCs w:val="24"/>
        </w:rPr>
        <w:t>Edwiges</w:t>
      </w:r>
      <w:proofErr w:type="spellEnd"/>
      <w:r w:rsidRPr="005E2220">
        <w:rPr>
          <w:rFonts w:ascii="Palatino Linotype" w:eastAsia="Palatino Linotype" w:hAnsi="Palatino Linotype" w:cs="Palatino Linotype"/>
          <w:color w:val="000000"/>
          <w:sz w:val="24"/>
          <w:szCs w:val="24"/>
        </w:rPr>
        <w:t xml:space="preserve"> en la comunidad de la Vega; la posible existencia de un trámite o autorización del proyecto de construcción de la Ciudad de la Tora en dicho paraje; así como de la posible actualización desde el año dos mil diecinueve al Plan de Desarrollo Municipal en la que se contemple la generación de infraestructura y alumbrado para asentamientos urbanos en el mismo inmueble. Sin embargo, no se advierte que esa Dirección tenga competencia para otorgar autorizaciones, permisos o licencias de deforestación.</w:t>
      </w:r>
    </w:p>
    <w:p w:rsidR="00FF39F4" w:rsidRPr="005E2220" w:rsidRDefault="00FF39F4">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FF39F4" w:rsidRPr="005E2220" w:rsidRDefault="003E479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5E2220">
        <w:rPr>
          <w:rFonts w:ascii="Palatino Linotype" w:eastAsia="Palatino Linotype" w:hAnsi="Palatino Linotype" w:cs="Palatino Linotype"/>
          <w:color w:val="000000"/>
          <w:sz w:val="24"/>
          <w:szCs w:val="24"/>
        </w:rPr>
        <w:t>En esa tesitura, mediante la presentación de la declaración de inexistencia de la información, el Sujeto Obligado atendió los primeros seis puntos requeridos por el hoy Recurrente, puesto que su Comité de Transparencia así lo confirmó y aprobó en la sesión celebrada en fecha nueve de septiembre de dos mil veintiuno. Para mayor abundamiento, es preciso traer a colación el Criterio 04/19 emitido por el Instituto Nacional de Transparencia, Acceso a la Información y Protección de Datos Personales, en el que se establece lo siguiente:</w:t>
      </w:r>
    </w:p>
    <w:p w:rsidR="00FF39F4" w:rsidRPr="005E2220" w:rsidRDefault="00FF39F4">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FF39F4" w:rsidRPr="005E2220" w:rsidRDefault="003E4790">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sz w:val="24"/>
          <w:szCs w:val="24"/>
        </w:rPr>
      </w:pPr>
      <w:r w:rsidRPr="005E2220">
        <w:rPr>
          <w:rFonts w:ascii="Palatino Linotype" w:eastAsia="Palatino Linotype" w:hAnsi="Palatino Linotype" w:cs="Palatino Linotype"/>
          <w:b/>
          <w:i/>
          <w:color w:val="000000"/>
          <w:sz w:val="24"/>
          <w:szCs w:val="24"/>
        </w:rPr>
        <w:lastRenderedPageBreak/>
        <w:t xml:space="preserve">Propósito de la declaración formal de inexistencia. </w:t>
      </w:r>
      <w:r w:rsidRPr="005E2220">
        <w:rPr>
          <w:rFonts w:ascii="Palatino Linotype" w:eastAsia="Palatino Linotype" w:hAnsi="Palatino Linotype" w:cs="Palatino Linotype"/>
          <w:i/>
          <w:color w:val="000000"/>
          <w:sz w:val="24"/>
          <w:szCs w:val="24"/>
        </w:rPr>
        <w:t xml:space="preserve">El propósito de que los Comités de Transparencia emitan una declaración que confirme la inexistencia de la información solicitada, es garantizar al solicitante que se realizaron las gestiones necesarias para la ubicación de la información de su interés; por lo cual, el acta en el que se haga constar esa declaración formal de inexistencia, debe contener los elementos suficientes para generar en los solicitantes la certeza del carácter exhaustivo de la búsqueda de lo solicitado. </w:t>
      </w:r>
    </w:p>
    <w:p w:rsidR="00FF39F4" w:rsidRPr="005E2220" w:rsidRDefault="00FF39F4">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FF39F4" w:rsidRPr="005E2220" w:rsidRDefault="003E479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5E2220">
        <w:rPr>
          <w:rFonts w:ascii="Palatino Linotype" w:eastAsia="Palatino Linotype" w:hAnsi="Palatino Linotype" w:cs="Palatino Linotype"/>
          <w:color w:val="000000"/>
          <w:sz w:val="24"/>
          <w:szCs w:val="24"/>
        </w:rPr>
        <w:t>Adicionalmente, derivado de la remisión de la declaratoria de inexistencia en cita, debe entenderse que existe un pronunciamiento del Sujeto Obligado, por lo que Órgano Garante estima conveniente señalar que no está facultado para manifestarse sobre la veracidad de la información proporcionada, ya que no existe precepto legal alguna en la Ley de la Materia que permita, vía recurso de revisión, conocer al respecto. Por analogía, sirve de apoyo a lo anterior el Criterio 31/10 emitido por el entonces Instituto Federal de Acceso a la Información y Protección de Datos, que a la letra establece lo siguiente:</w:t>
      </w:r>
    </w:p>
    <w:p w:rsidR="00FF39F4" w:rsidRPr="005E2220" w:rsidRDefault="00FF39F4">
      <w:pPr>
        <w:spacing w:after="0" w:line="360" w:lineRule="auto"/>
        <w:jc w:val="both"/>
        <w:rPr>
          <w:rFonts w:ascii="Palatino Linotype" w:eastAsia="Palatino Linotype" w:hAnsi="Palatino Linotype" w:cs="Palatino Linotype"/>
        </w:rPr>
      </w:pPr>
    </w:p>
    <w:p w:rsidR="00FF39F4" w:rsidRPr="005E2220" w:rsidRDefault="003E4790">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color w:val="000000"/>
          <w:sz w:val="24"/>
          <w:szCs w:val="24"/>
        </w:rPr>
      </w:pPr>
      <w:r w:rsidRPr="005E2220">
        <w:rPr>
          <w:rFonts w:ascii="Palatino Linotype" w:eastAsia="Palatino Linotype" w:hAnsi="Palatino Linotype" w:cs="Palatino Linotype"/>
          <w:b/>
          <w:i/>
          <w:color w:val="000000"/>
          <w:sz w:val="24"/>
          <w:szCs w:val="24"/>
        </w:rPr>
        <w:t>EL INSTITUTO FEDERAL DE ACCESO A LA INFORMACIÓN Y PROTECCIÓN DE DATOS NO CUENTA CON FACULTADES PARA PRONUNCIARSE RESPECTO DE LA VERACIDAD DE LOS DOCUMENTOS PROPORCIONADOS POR LOS SUJETOS OBLIGADOS.</w:t>
      </w:r>
      <w:r w:rsidRPr="005E2220">
        <w:rPr>
          <w:rFonts w:ascii="Palatino Linotype" w:eastAsia="Palatino Linotype" w:hAnsi="Palatino Linotype" w:cs="Palatino Linotype"/>
          <w:i/>
          <w:color w:val="000000"/>
          <w:sz w:val="24"/>
          <w:szCs w:val="24"/>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Accesos a la Información Pública </w:t>
      </w:r>
      <w:r w:rsidRPr="005E2220">
        <w:rPr>
          <w:rFonts w:ascii="Palatino Linotype" w:eastAsia="Palatino Linotype" w:hAnsi="Palatino Linotype" w:cs="Palatino Linotype"/>
          <w:i/>
          <w:color w:val="000000"/>
          <w:sz w:val="24"/>
          <w:szCs w:val="24"/>
        </w:rPr>
        <w:lastRenderedPageBreak/>
        <w:t>Gubernamental no se prevé una causal que permita al Instituto Federal de Acceso a la Información y Protección de Datos conocer, vía recurso de revisión, al respecto.</w:t>
      </w:r>
    </w:p>
    <w:p w:rsidR="00FF39F4" w:rsidRPr="005E2220" w:rsidRDefault="00FF39F4">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FF39F4" w:rsidRPr="005E2220" w:rsidRDefault="003E4790">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5E2220">
        <w:rPr>
          <w:rFonts w:ascii="Palatino Linotype" w:eastAsia="Palatino Linotype" w:hAnsi="Palatino Linotype" w:cs="Palatino Linotype"/>
          <w:sz w:val="24"/>
          <w:szCs w:val="24"/>
        </w:rPr>
        <w:t>Por otra parte, no pasa desapercibido que el particular también solicitó saber si existe ante el Ayuntamiento, Comisión de Medio Ambiente o Dirección de Medio Ambiente, alguna solicitud de deforestación en el multicitado paraje, y de existir, se proporcione la solicitud y autorización, sin que precisara una temporalidad específica.</w:t>
      </w:r>
    </w:p>
    <w:p w:rsidR="00FF39F4" w:rsidRPr="005E2220" w:rsidRDefault="00FF39F4">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rsidR="00FF39F4" w:rsidRPr="005E2220" w:rsidRDefault="003E479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5E2220">
        <w:rPr>
          <w:rFonts w:ascii="Palatino Linotype" w:eastAsia="Palatino Linotype" w:hAnsi="Palatino Linotype" w:cs="Palatino Linotype"/>
          <w:color w:val="000000"/>
          <w:sz w:val="24"/>
          <w:szCs w:val="24"/>
        </w:rPr>
        <w:t>En ese sentido, este Órgano Garante estima que la solicitud del Recurrente no puede ser colmada a plenitud mediante el Informe Justificado remitido por el Sujeto Obligado, debido a que no se pronunció la unidad administrativa competente para emitir los permisos, autorizaciones o licencias relativas a poda o deforestación.</w:t>
      </w:r>
    </w:p>
    <w:p w:rsidR="00FF39F4" w:rsidRPr="005E2220" w:rsidRDefault="00FF39F4">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FF39F4" w:rsidRPr="005E2220" w:rsidRDefault="003E479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5E2220">
        <w:rPr>
          <w:rFonts w:ascii="Palatino Linotype" w:eastAsia="Palatino Linotype" w:hAnsi="Palatino Linotype" w:cs="Palatino Linotype"/>
          <w:color w:val="000000"/>
          <w:sz w:val="24"/>
          <w:szCs w:val="24"/>
        </w:rPr>
        <w:t>Por tanto, es conveniente verificar si el Sujeto Obligado cuenta con alguna área que otorgue dichas autorizaciones, por lo que se debe atender lo dispuesto en el Bando Municipal de Tonatico 2021, que en sus artículos 20, numeral 18, y 104 último párrafo, establece lo siguiente:</w:t>
      </w:r>
    </w:p>
    <w:p w:rsidR="00FF39F4" w:rsidRPr="005E2220" w:rsidRDefault="00FF39F4">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FF39F4" w:rsidRPr="005E2220" w:rsidRDefault="003E4790">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sz w:val="24"/>
          <w:szCs w:val="24"/>
        </w:rPr>
      </w:pPr>
      <w:r w:rsidRPr="005E2220">
        <w:rPr>
          <w:rFonts w:ascii="Palatino Linotype" w:eastAsia="Palatino Linotype" w:hAnsi="Palatino Linotype" w:cs="Palatino Linotype"/>
          <w:b/>
          <w:i/>
          <w:color w:val="000000"/>
          <w:sz w:val="24"/>
          <w:szCs w:val="24"/>
        </w:rPr>
        <w:t>ARTÍCULO 20.-</w:t>
      </w:r>
      <w:r w:rsidRPr="005E2220">
        <w:rPr>
          <w:rFonts w:ascii="Palatino Linotype" w:eastAsia="Palatino Linotype" w:hAnsi="Palatino Linotype" w:cs="Palatino Linotype"/>
          <w:i/>
          <w:color w:val="000000"/>
          <w:sz w:val="24"/>
          <w:szCs w:val="24"/>
        </w:rPr>
        <w:t xml:space="preserve"> El Municipio libre de Tonatico, Estado de México, tiene personalidad jurídica, patrimonio y gobierno propios, conforme a lo dispuesto por el artículo 115 de la Constitución Política de los Estados Unidos Mexicanos, la Constitución Política del Estado Libre y Soberano de México y la Ley Orgánica Municipal del Estado de México, como fundamento normativo y en las leyes que de una y otra emanen, así como en el presente Bando, en los reglamentos que de él deriven, circulares y disposiciones administrativas aprobadas por el Ayuntamiento. </w:t>
      </w:r>
    </w:p>
    <w:p w:rsidR="00FF39F4" w:rsidRPr="005E2220" w:rsidRDefault="00FF39F4">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sz w:val="24"/>
          <w:szCs w:val="24"/>
        </w:rPr>
      </w:pPr>
    </w:p>
    <w:p w:rsidR="00FF39F4" w:rsidRPr="005E2220" w:rsidRDefault="003E4790">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sz w:val="24"/>
          <w:szCs w:val="24"/>
        </w:rPr>
      </w:pPr>
      <w:r w:rsidRPr="005E2220">
        <w:rPr>
          <w:rFonts w:ascii="Palatino Linotype" w:eastAsia="Palatino Linotype" w:hAnsi="Palatino Linotype" w:cs="Palatino Linotype"/>
          <w:i/>
          <w:color w:val="000000"/>
          <w:sz w:val="24"/>
          <w:szCs w:val="24"/>
        </w:rPr>
        <w:lastRenderedPageBreak/>
        <w:t xml:space="preserve">Para el despacho de los asuntos Municipales, el Ayuntamiento se auxiliará de las Áreas Administrativas, Organismos Públicos Centralizados, Descentralizados y Entidades de la Administración Pública Municipal que considere necesarias: </w:t>
      </w:r>
    </w:p>
    <w:p w:rsidR="00FF39F4" w:rsidRPr="005E2220" w:rsidRDefault="00FF39F4">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sz w:val="24"/>
          <w:szCs w:val="24"/>
        </w:rPr>
      </w:pPr>
    </w:p>
    <w:p w:rsidR="00FF39F4" w:rsidRPr="005E2220" w:rsidRDefault="003E4790">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sz w:val="24"/>
          <w:szCs w:val="24"/>
        </w:rPr>
      </w:pPr>
      <w:r w:rsidRPr="005E2220">
        <w:rPr>
          <w:rFonts w:ascii="Palatino Linotype" w:eastAsia="Palatino Linotype" w:hAnsi="Palatino Linotype" w:cs="Palatino Linotype"/>
          <w:i/>
          <w:color w:val="000000"/>
          <w:sz w:val="24"/>
          <w:szCs w:val="24"/>
        </w:rPr>
        <w:t>DEPENDENCIAS ADMINISTRATIVAS:</w:t>
      </w:r>
    </w:p>
    <w:p w:rsidR="00FF39F4" w:rsidRPr="005E2220" w:rsidRDefault="003E4790">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sz w:val="24"/>
          <w:szCs w:val="24"/>
        </w:rPr>
      </w:pPr>
      <w:r w:rsidRPr="005E2220">
        <w:rPr>
          <w:rFonts w:ascii="Palatino Linotype" w:eastAsia="Palatino Linotype" w:hAnsi="Palatino Linotype" w:cs="Palatino Linotype"/>
          <w:i/>
          <w:color w:val="000000"/>
          <w:sz w:val="24"/>
          <w:szCs w:val="24"/>
        </w:rPr>
        <w:t>(…)</w:t>
      </w:r>
    </w:p>
    <w:p w:rsidR="00FF39F4" w:rsidRPr="005E2220" w:rsidRDefault="003E4790">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b/>
          <w:i/>
          <w:color w:val="000000"/>
          <w:sz w:val="24"/>
          <w:szCs w:val="24"/>
        </w:rPr>
      </w:pPr>
      <w:r w:rsidRPr="005E2220">
        <w:rPr>
          <w:rFonts w:ascii="Palatino Linotype" w:eastAsia="Palatino Linotype" w:hAnsi="Palatino Linotype" w:cs="Palatino Linotype"/>
          <w:b/>
          <w:i/>
          <w:color w:val="000000"/>
          <w:sz w:val="24"/>
          <w:szCs w:val="24"/>
        </w:rPr>
        <w:t>18.- Dirección de Ecología y Desarrollo Sustentable;</w:t>
      </w:r>
    </w:p>
    <w:p w:rsidR="00FF39F4" w:rsidRPr="005E2220" w:rsidRDefault="003E4790">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sz w:val="24"/>
          <w:szCs w:val="24"/>
        </w:rPr>
      </w:pPr>
      <w:r w:rsidRPr="005E2220">
        <w:rPr>
          <w:rFonts w:ascii="Palatino Linotype" w:eastAsia="Palatino Linotype" w:hAnsi="Palatino Linotype" w:cs="Palatino Linotype"/>
          <w:i/>
          <w:color w:val="000000"/>
          <w:sz w:val="24"/>
          <w:szCs w:val="24"/>
        </w:rPr>
        <w:t>(…)</w:t>
      </w:r>
    </w:p>
    <w:p w:rsidR="00FF39F4" w:rsidRPr="005E2220" w:rsidRDefault="00FF39F4">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sz w:val="24"/>
          <w:szCs w:val="24"/>
        </w:rPr>
      </w:pPr>
    </w:p>
    <w:p w:rsidR="00FF39F4" w:rsidRPr="005E2220" w:rsidRDefault="003E4790">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sz w:val="24"/>
          <w:szCs w:val="24"/>
        </w:rPr>
      </w:pPr>
      <w:r w:rsidRPr="005E2220">
        <w:rPr>
          <w:rFonts w:ascii="Palatino Linotype" w:eastAsia="Palatino Linotype" w:hAnsi="Palatino Linotype" w:cs="Palatino Linotype"/>
          <w:b/>
          <w:i/>
          <w:color w:val="000000"/>
          <w:sz w:val="24"/>
          <w:szCs w:val="24"/>
        </w:rPr>
        <w:t>ARTÍCULO 104.-</w:t>
      </w:r>
      <w:r w:rsidRPr="005E2220">
        <w:rPr>
          <w:rFonts w:ascii="Palatino Linotype" w:eastAsia="Palatino Linotype" w:hAnsi="Palatino Linotype" w:cs="Palatino Linotype"/>
          <w:i/>
          <w:color w:val="000000"/>
          <w:sz w:val="24"/>
          <w:szCs w:val="24"/>
        </w:rPr>
        <w:t xml:space="preserve"> (…)</w:t>
      </w:r>
    </w:p>
    <w:p w:rsidR="00FF39F4" w:rsidRPr="005E2220" w:rsidRDefault="00FF39F4">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sz w:val="24"/>
          <w:szCs w:val="24"/>
        </w:rPr>
      </w:pPr>
    </w:p>
    <w:p w:rsidR="00FF39F4" w:rsidRPr="005E2220" w:rsidRDefault="003E4790">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color w:val="000000"/>
          <w:sz w:val="24"/>
          <w:szCs w:val="24"/>
        </w:rPr>
      </w:pPr>
      <w:r w:rsidRPr="005E2220">
        <w:rPr>
          <w:rFonts w:ascii="Palatino Linotype" w:eastAsia="Palatino Linotype" w:hAnsi="Palatino Linotype" w:cs="Palatino Linotype"/>
          <w:b/>
          <w:i/>
          <w:color w:val="000000"/>
          <w:sz w:val="24"/>
          <w:szCs w:val="24"/>
          <w:u w:val="single"/>
        </w:rPr>
        <w:t>Será competencia del Ayuntamiento a través de la supervisión de la Dirección de Ecología y Servicios Públicos, autorizar la poda, derribo y/o trasplante de la flora nativa dentro del territorio municipal</w:t>
      </w:r>
      <w:r w:rsidRPr="005E2220">
        <w:rPr>
          <w:rFonts w:ascii="Palatino Linotype" w:eastAsia="Palatino Linotype" w:hAnsi="Palatino Linotype" w:cs="Palatino Linotype"/>
          <w:i/>
          <w:color w:val="000000"/>
          <w:sz w:val="24"/>
          <w:szCs w:val="24"/>
        </w:rPr>
        <w:t>, conforme a la Ley General del Equilibrio Ecológico y la Protección al Ambiente, la Ley del Cambio Climático del Estado de México; el Código para la Biodiversidad del Estado de México y el Reglamento del Libro Cuarto del Código para el Biodiversidad del Estado de México.</w:t>
      </w:r>
    </w:p>
    <w:p w:rsidR="00FF39F4" w:rsidRPr="005E2220" w:rsidRDefault="00FF39F4">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FF39F4" w:rsidRPr="005E2220" w:rsidRDefault="003E479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5E2220">
        <w:rPr>
          <w:rFonts w:ascii="Palatino Linotype" w:eastAsia="Palatino Linotype" w:hAnsi="Palatino Linotype" w:cs="Palatino Linotype"/>
          <w:color w:val="000000"/>
          <w:sz w:val="24"/>
          <w:szCs w:val="24"/>
        </w:rPr>
        <w:t>Así, se tiene que entre las áreas administrativas que conforman la administración pública municipal del Sujeto Obligado está la Dirección de Ecología y Servicios Públicos, la cual tiene entre sus funciones la de autorizar la poda, derribo y/o trasplante de la flora nativa dentro del territorio municipal. En este punto se debe recordar que el Recurrente hizo referencia a alguna solicitud de deforestación ante el Ayuntamiento, Comisión de Medio Ambiente o Dirección de Medio Ambiente; no obstante, no se observa que existan esas unidades en la estructura del gobierno municipal.</w:t>
      </w:r>
    </w:p>
    <w:p w:rsidR="00FF39F4" w:rsidRPr="005E2220" w:rsidRDefault="00FF39F4">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FF39F4" w:rsidRPr="005E2220" w:rsidRDefault="003E479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5E2220">
        <w:rPr>
          <w:rFonts w:ascii="Palatino Linotype" w:eastAsia="Palatino Linotype" w:hAnsi="Palatino Linotype" w:cs="Palatino Linotype"/>
          <w:color w:val="000000"/>
          <w:sz w:val="24"/>
          <w:szCs w:val="24"/>
        </w:rPr>
        <w:t xml:space="preserve">Al respecto, dado que el solicitante no es experto en la materia, existe la posibilidad de que no conozca el nombre del área competente, por lo que se debió darle un sentido amplio a su solicitud, por tanto este Instituto en uso de la facultad otorgada en los </w:t>
      </w:r>
      <w:r w:rsidRPr="005E2220">
        <w:rPr>
          <w:rFonts w:ascii="Palatino Linotype" w:eastAsia="Palatino Linotype" w:hAnsi="Palatino Linotype" w:cs="Palatino Linotype"/>
          <w:color w:val="000000"/>
          <w:sz w:val="24"/>
          <w:szCs w:val="24"/>
        </w:rPr>
        <w:lastRenderedPageBreak/>
        <w:t>artículos 13 y 18 en su cuarto párrafo de la Ley de Transparencia estatal, suple la deficiencia de la queja del particular y establece que se requirió la información del área equivalente, en el caso concreto, de la Dirección de Ecología y Desarrollo Sustentable, por ser ésta la unidad competente para conocer de las autorizaciones relativas a la poda, derribo y/o trasplante de flora.</w:t>
      </w:r>
    </w:p>
    <w:p w:rsidR="00FF39F4" w:rsidRPr="005E2220" w:rsidRDefault="00FF39F4">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FF39F4" w:rsidRPr="005E2220" w:rsidRDefault="003E479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5E2220">
        <w:rPr>
          <w:rFonts w:ascii="Palatino Linotype" w:eastAsia="Palatino Linotype" w:hAnsi="Palatino Linotype" w:cs="Palatino Linotype"/>
          <w:color w:val="000000"/>
          <w:sz w:val="24"/>
          <w:szCs w:val="24"/>
        </w:rPr>
        <w:t>Asimismo, toda vez que en su solicitud el Recurrente no precisó la temporalidad de la información requerida, este Instituto toma en consideración el Criterio 03/19 emitido por el Instituto Nacional de Transparencia, Acceso a la Información y Protección de Datos Personales, que a la letra señala:</w:t>
      </w:r>
    </w:p>
    <w:p w:rsidR="00FF39F4" w:rsidRPr="005E2220" w:rsidRDefault="00FF39F4">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FF39F4" w:rsidRPr="005E2220" w:rsidRDefault="003E4790">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sz w:val="24"/>
          <w:szCs w:val="24"/>
        </w:rPr>
      </w:pPr>
      <w:r w:rsidRPr="005E2220">
        <w:rPr>
          <w:rFonts w:ascii="Palatino Linotype" w:eastAsia="Palatino Linotype" w:hAnsi="Palatino Linotype" w:cs="Palatino Linotype"/>
          <w:b/>
          <w:i/>
          <w:color w:val="000000"/>
          <w:sz w:val="24"/>
          <w:szCs w:val="24"/>
        </w:rPr>
        <w:t xml:space="preserve">Periodo de búsqueda de la información. </w:t>
      </w:r>
      <w:r w:rsidRPr="005E2220">
        <w:rPr>
          <w:rFonts w:ascii="Palatino Linotype" w:eastAsia="Palatino Linotype" w:hAnsi="Palatino Linotype" w:cs="Palatino Linotype"/>
          <w:i/>
          <w:color w:val="000000"/>
          <w:sz w:val="24"/>
          <w:szCs w:val="24"/>
        </w:rPr>
        <w:t xml:space="preserve">En el supuesto de que el particular no haya señalado el periodo respecto del cual requiere la información, o bien, de la solicitud presentada no se adviertan elementos que permitan identificarlo, </w:t>
      </w:r>
      <w:r w:rsidRPr="005E2220">
        <w:rPr>
          <w:rFonts w:ascii="Palatino Linotype" w:eastAsia="Palatino Linotype" w:hAnsi="Palatino Linotype" w:cs="Palatino Linotype"/>
          <w:b/>
          <w:i/>
          <w:color w:val="000000"/>
          <w:sz w:val="24"/>
          <w:szCs w:val="24"/>
          <w:u w:val="single"/>
        </w:rPr>
        <w:t>deberá considerarse, para efectos de la búsqueda de la información, que el requerimiento se refiere al año inmediato anterior, contado a partir de la fecha en que se presentó la solicitud</w:t>
      </w:r>
      <w:r w:rsidRPr="005E2220">
        <w:rPr>
          <w:rFonts w:ascii="Palatino Linotype" w:eastAsia="Palatino Linotype" w:hAnsi="Palatino Linotype" w:cs="Palatino Linotype"/>
          <w:i/>
          <w:color w:val="000000"/>
          <w:sz w:val="24"/>
          <w:szCs w:val="24"/>
        </w:rPr>
        <w:t>.</w:t>
      </w:r>
    </w:p>
    <w:p w:rsidR="00FF39F4" w:rsidRPr="005E2220" w:rsidRDefault="00FF39F4">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FF39F4" w:rsidRPr="005E2220" w:rsidRDefault="003E479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5E2220">
        <w:rPr>
          <w:rFonts w:ascii="Palatino Linotype" w:eastAsia="Palatino Linotype" w:hAnsi="Palatino Linotype" w:cs="Palatino Linotype"/>
          <w:color w:val="000000"/>
          <w:sz w:val="24"/>
          <w:szCs w:val="24"/>
        </w:rPr>
        <w:t xml:space="preserve">Por tanto, con el propósito de que se atender debidamente la solicitud del particular, el Sujeto Obligado deberá realizar una búsqueda exhaustiva y razonable en los archivos del área administrativa competente abarcando el periodo comprendido del ocho de julio de dos mil veinte al ocho de julio de dos mil veintiuno y, en el supuesto de localizar la documentación requerida, hacer entrega al Recurrente de la solicitud y la autorización emitida. En caso de que no se encuentre la información, el Sujeto Obligado deberá hacerlo del conocimiento del Recurrente en términos del segundo </w:t>
      </w:r>
      <w:r w:rsidRPr="005E2220">
        <w:rPr>
          <w:rFonts w:ascii="Palatino Linotype" w:eastAsia="Palatino Linotype" w:hAnsi="Palatino Linotype" w:cs="Palatino Linotype"/>
          <w:color w:val="000000"/>
          <w:sz w:val="24"/>
          <w:szCs w:val="24"/>
        </w:rPr>
        <w:lastRenderedPageBreak/>
        <w:t>párrafo del artículo 19 de la Ley de Transparencia local, que a la letra señala lo siguiente:</w:t>
      </w:r>
    </w:p>
    <w:p w:rsidR="00FF39F4" w:rsidRPr="005E2220" w:rsidRDefault="00FF39F4">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FF39F4" w:rsidRPr="005E2220" w:rsidRDefault="003E4790">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sz w:val="24"/>
          <w:szCs w:val="24"/>
        </w:rPr>
      </w:pPr>
      <w:r w:rsidRPr="005E2220">
        <w:rPr>
          <w:rFonts w:ascii="Palatino Linotype" w:eastAsia="Palatino Linotype" w:hAnsi="Palatino Linotype" w:cs="Palatino Linotype"/>
          <w:b/>
          <w:i/>
          <w:color w:val="000000"/>
          <w:sz w:val="24"/>
          <w:szCs w:val="24"/>
        </w:rPr>
        <w:t>Artículo 19.</w:t>
      </w:r>
      <w:r w:rsidRPr="005E2220">
        <w:rPr>
          <w:rFonts w:ascii="Palatino Linotype" w:eastAsia="Palatino Linotype" w:hAnsi="Palatino Linotype" w:cs="Palatino Linotype"/>
          <w:i/>
          <w:color w:val="000000"/>
          <w:sz w:val="24"/>
          <w:szCs w:val="24"/>
        </w:rPr>
        <w:t xml:space="preserve"> Se presume que la información debe existir si se refiere a las facultades, competencias y funciones que los ordenamientos jurídicos aplicables otorgan a los sujetos obligados.</w:t>
      </w:r>
    </w:p>
    <w:p w:rsidR="00FF39F4" w:rsidRPr="005E2220" w:rsidRDefault="00FF39F4">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sz w:val="24"/>
          <w:szCs w:val="24"/>
        </w:rPr>
      </w:pPr>
    </w:p>
    <w:p w:rsidR="00FF39F4" w:rsidRPr="005E2220" w:rsidRDefault="003E4790">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b/>
          <w:i/>
          <w:color w:val="000000"/>
          <w:sz w:val="24"/>
          <w:szCs w:val="24"/>
        </w:rPr>
      </w:pPr>
      <w:r w:rsidRPr="005E2220">
        <w:rPr>
          <w:rFonts w:ascii="Palatino Linotype" w:eastAsia="Palatino Linotype" w:hAnsi="Palatino Linotype" w:cs="Palatino Linotype"/>
          <w:b/>
          <w:i/>
          <w:color w:val="000000"/>
          <w:sz w:val="24"/>
          <w:szCs w:val="24"/>
        </w:rPr>
        <w:t>En los casos en que ciertas facultades, competencias o funciones no se hayan ejercido, se debe motivar la respuesta en función de las causas que motiven tal circunstancia.</w:t>
      </w:r>
    </w:p>
    <w:p w:rsidR="00FF39F4" w:rsidRPr="005E2220" w:rsidRDefault="00FF39F4">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sz w:val="24"/>
          <w:szCs w:val="24"/>
        </w:rPr>
      </w:pPr>
    </w:p>
    <w:p w:rsidR="00FF39F4" w:rsidRPr="005E2220" w:rsidRDefault="003E4790">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color w:val="000000"/>
          <w:sz w:val="24"/>
          <w:szCs w:val="24"/>
        </w:rPr>
      </w:pPr>
      <w:r w:rsidRPr="005E2220">
        <w:rPr>
          <w:rFonts w:ascii="Palatino Linotype" w:eastAsia="Palatino Linotype" w:hAnsi="Palatino Linotype" w:cs="Palatino Linotype"/>
          <w:i/>
          <w:color w:val="000000"/>
          <w:sz w:val="24"/>
          <w:szCs w:val="24"/>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FF39F4" w:rsidRPr="005E2220" w:rsidRDefault="00FF39F4">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FF39F4" w:rsidRPr="005E2220" w:rsidRDefault="003E479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5E2220">
        <w:rPr>
          <w:rFonts w:ascii="Palatino Linotype" w:eastAsia="Palatino Linotype" w:hAnsi="Palatino Linotype" w:cs="Palatino Linotype"/>
          <w:color w:val="000000"/>
          <w:sz w:val="24"/>
          <w:szCs w:val="24"/>
        </w:rPr>
        <w:t>Lo anterior es así debido a que, si bien es cierto que el Sujeto Obligado posee facultades para expedir el documento solicitado, también lo es que el trámite solicitado se inicia a petición de parte, es decir, que es necesario que una persona solicite el permiso de poda, derribo o trasplante de flora a la autoridad competente para que ésta genere el expediente respectivo y su resolución.</w:t>
      </w:r>
    </w:p>
    <w:p w:rsidR="00FF39F4" w:rsidRPr="005E2220" w:rsidRDefault="00FF39F4">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FF39F4" w:rsidRPr="005E2220" w:rsidRDefault="003E479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5E2220">
        <w:rPr>
          <w:rFonts w:ascii="Palatino Linotype" w:eastAsia="Palatino Linotype" w:hAnsi="Palatino Linotype" w:cs="Palatino Linotype"/>
          <w:color w:val="000000"/>
          <w:sz w:val="24"/>
          <w:szCs w:val="24"/>
        </w:rPr>
        <w:t xml:space="preserve">En conclusión, se tiene que el Sujeto Obligado intentó solventar su falta de respuesta mediante el envío de la declaración de inexistencia de la información emitida por su Comité de Transparencia relativa a la competencia de la Dirección de Desarrollo Urbano; no obstante, no es posible considerar que dicha declaración colme a plenitud el derecho del Recurrente, puesto que ya quedó establecido que la Unidad de Transparencia no turnó la solicitud a todas las áreas competente, por lo que no hubo </w:t>
      </w:r>
      <w:r w:rsidRPr="005E2220">
        <w:rPr>
          <w:rFonts w:ascii="Palatino Linotype" w:eastAsia="Palatino Linotype" w:hAnsi="Palatino Linotype" w:cs="Palatino Linotype"/>
          <w:color w:val="000000"/>
          <w:sz w:val="24"/>
          <w:szCs w:val="24"/>
        </w:rPr>
        <w:lastRenderedPageBreak/>
        <w:t>un pronunciamiento del área que pudiese atender el último requerimiento del peticionario, por lo que es procedente ordenar que el Sujeto Obligado realice una búsqueda exhaustiva y razonable en los archivos de las áreas competentes comprendiendo el periodo del ocho de julio de dos mil veinte al ocho de julio de dos mil veintiuno a fin de hacer entrega al Recurrente de la solicitud de deforestación en el paraje conocido Santa Eduviges/</w:t>
      </w:r>
      <w:proofErr w:type="spellStart"/>
      <w:r w:rsidRPr="005E2220">
        <w:rPr>
          <w:rFonts w:ascii="Palatino Linotype" w:eastAsia="Palatino Linotype" w:hAnsi="Palatino Linotype" w:cs="Palatino Linotype"/>
          <w:color w:val="000000"/>
          <w:sz w:val="24"/>
          <w:szCs w:val="24"/>
        </w:rPr>
        <w:t>Edwiges</w:t>
      </w:r>
      <w:proofErr w:type="spellEnd"/>
      <w:r w:rsidRPr="005E2220">
        <w:rPr>
          <w:rFonts w:ascii="Palatino Linotype" w:eastAsia="Palatino Linotype" w:hAnsi="Palatino Linotype" w:cs="Palatino Linotype"/>
          <w:color w:val="000000"/>
          <w:sz w:val="24"/>
          <w:szCs w:val="24"/>
        </w:rPr>
        <w:t>, en la comunidad de la Vega y la autorización emitida, esto en versión pública de ser procedente; en el supuesto de que no se haya generado dicha información, bastará con que así lo haga del conocimiento del particular, en términos del segundo párrafo del artículo 19 de la Ley de la Materia.</w:t>
      </w:r>
    </w:p>
    <w:p w:rsidR="00FF39F4" w:rsidRPr="005E2220" w:rsidRDefault="00FF39F4">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FF39F4" w:rsidRPr="005E2220" w:rsidRDefault="003E479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5E2220">
        <w:rPr>
          <w:rFonts w:ascii="Palatino Linotype" w:eastAsia="Palatino Linotype" w:hAnsi="Palatino Linotype" w:cs="Palatino Linotype"/>
          <w:color w:val="000000"/>
          <w:sz w:val="24"/>
          <w:szCs w:val="24"/>
        </w:rPr>
        <w:t xml:space="preserve">En mérito de todo lo expuesto, ante lo </w:t>
      </w:r>
      <w:r w:rsidRPr="005E2220">
        <w:rPr>
          <w:rFonts w:ascii="Palatino Linotype" w:eastAsia="Palatino Linotype" w:hAnsi="Palatino Linotype" w:cs="Palatino Linotype"/>
          <w:b/>
          <w:color w:val="000000"/>
          <w:sz w:val="24"/>
          <w:szCs w:val="24"/>
        </w:rPr>
        <w:t>fundado</w:t>
      </w:r>
      <w:r w:rsidRPr="005E2220">
        <w:rPr>
          <w:rFonts w:ascii="Palatino Linotype" w:eastAsia="Palatino Linotype" w:hAnsi="Palatino Linotype" w:cs="Palatino Linotype"/>
          <w:color w:val="000000"/>
          <w:sz w:val="24"/>
          <w:szCs w:val="24"/>
        </w:rPr>
        <w:t xml:space="preserve"> de las razones o motivos de inconformidad hechos valer por el Recurrente, este Instituto estima que lo dable es ordenar al Sujeto Obligado dé trámite y respuesta a la solicitud de acceso a la información, atendiendo lo señalado en el presente Considerando.</w:t>
      </w:r>
    </w:p>
    <w:p w:rsidR="00FF39F4" w:rsidRPr="005E2220" w:rsidRDefault="00FF39F4">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FF39F4" w:rsidRPr="005E2220" w:rsidRDefault="003E479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5E2220">
        <w:rPr>
          <w:rFonts w:ascii="Palatino Linotype" w:eastAsia="Palatino Linotype" w:hAnsi="Palatino Linotype" w:cs="Palatino Linotype"/>
          <w:color w:val="000000"/>
          <w:sz w:val="24"/>
          <w:szCs w:val="24"/>
        </w:rPr>
        <w:t xml:space="preserve">Antes de concluir, es de señalar que, como ya se mencionó, el Sujeto Obligado omitió proporcionar la respuesta a su solicitud de acceso a la información pública, en el término contemplado en el ya citado artículo 163 de la Ley de la materia razón por la que </w:t>
      </w:r>
      <w:r w:rsidRPr="005E2220">
        <w:rPr>
          <w:rFonts w:ascii="Palatino Linotype" w:eastAsia="Palatino Linotype" w:hAnsi="Palatino Linotype" w:cs="Palatino Linotype"/>
          <w:b/>
          <w:color w:val="000000"/>
          <w:sz w:val="24"/>
          <w:szCs w:val="24"/>
        </w:rPr>
        <w:t>se ordena dar vista al Titular de la Contraloría Interna y Órgano de Control y Vigilancia de este Instituto</w:t>
      </w:r>
      <w:r w:rsidRPr="005E2220">
        <w:rPr>
          <w:rFonts w:ascii="Palatino Linotype" w:eastAsia="Palatino Linotype" w:hAnsi="Palatino Linotype" w:cs="Palatino Linotype"/>
          <w:color w:val="000000"/>
          <w:sz w:val="24"/>
          <w:szCs w:val="24"/>
        </w:rPr>
        <w:t>, para que resuelva lo conducente y determine en su caso el grado de responsabilidad en el incumplimiento de las obligaciones establecidas en la misma, en términos del artículo 190 de la Ley de Transparencia y Acceso a la Información Pública del Estado de México y Municipios.</w:t>
      </w:r>
    </w:p>
    <w:p w:rsidR="00FF39F4" w:rsidRPr="005E2220" w:rsidRDefault="00FF39F4">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FF39F4" w:rsidRPr="005E2220" w:rsidRDefault="003E4790">
      <w:pPr>
        <w:spacing w:after="0" w:line="360" w:lineRule="auto"/>
        <w:jc w:val="both"/>
        <w:rPr>
          <w:rFonts w:ascii="Palatino Linotype" w:eastAsia="Palatino Linotype" w:hAnsi="Palatino Linotype" w:cs="Palatino Linotype"/>
          <w:b/>
          <w:i/>
          <w:sz w:val="26"/>
          <w:szCs w:val="26"/>
          <w:u w:val="single"/>
        </w:rPr>
      </w:pPr>
      <w:r w:rsidRPr="005E2220">
        <w:rPr>
          <w:rFonts w:ascii="Palatino Linotype" w:eastAsia="Palatino Linotype" w:hAnsi="Palatino Linotype" w:cs="Palatino Linotype"/>
          <w:b/>
          <w:i/>
          <w:sz w:val="26"/>
          <w:szCs w:val="26"/>
          <w:u w:val="single"/>
        </w:rPr>
        <w:lastRenderedPageBreak/>
        <w:t>DE LA VERSIÓN PÚBLICA.</w:t>
      </w:r>
    </w:p>
    <w:p w:rsidR="00FF39F4" w:rsidRPr="005E2220" w:rsidRDefault="003E4790">
      <w:pPr>
        <w:spacing w:after="0" w:line="360" w:lineRule="auto"/>
        <w:jc w:val="both"/>
        <w:rPr>
          <w:rFonts w:ascii="Palatino Linotype" w:eastAsia="Palatino Linotype" w:hAnsi="Palatino Linotype" w:cs="Palatino Linotype"/>
          <w:sz w:val="24"/>
          <w:szCs w:val="24"/>
        </w:rPr>
      </w:pPr>
      <w:r w:rsidRPr="005E2220">
        <w:rPr>
          <w:rFonts w:ascii="Palatino Linotype" w:eastAsia="Palatino Linotype" w:hAnsi="Palatino Linotype" w:cs="Palatino Linotype"/>
          <w:sz w:val="24"/>
          <w:szCs w:val="24"/>
        </w:rPr>
        <w:t>En la elaboración de la versión pública se deberá considera lo dispuesto en los artículos 3 fracciones IX, XX, XXI y XLV, 91 y 132 fracciones II y III de la Ley de Transparencia y Acceso a la Información Pública del Estado de México y Municipios que establecen:</w:t>
      </w:r>
    </w:p>
    <w:p w:rsidR="00FF39F4" w:rsidRPr="005E2220" w:rsidRDefault="00FF39F4">
      <w:pPr>
        <w:spacing w:after="0" w:line="360" w:lineRule="auto"/>
        <w:jc w:val="both"/>
        <w:rPr>
          <w:rFonts w:ascii="Palatino Linotype" w:eastAsia="Palatino Linotype" w:hAnsi="Palatino Linotype" w:cs="Palatino Linotype"/>
          <w:sz w:val="24"/>
          <w:szCs w:val="24"/>
        </w:rPr>
      </w:pPr>
    </w:p>
    <w:p w:rsidR="00FF39F4" w:rsidRPr="005E2220" w:rsidRDefault="003E4790">
      <w:pPr>
        <w:spacing w:after="0" w:line="240" w:lineRule="auto"/>
        <w:ind w:left="567" w:right="567"/>
        <w:jc w:val="both"/>
        <w:rPr>
          <w:rFonts w:ascii="Palatino Linotype" w:eastAsia="Palatino Linotype" w:hAnsi="Palatino Linotype" w:cs="Palatino Linotype"/>
          <w:i/>
          <w:sz w:val="24"/>
          <w:szCs w:val="24"/>
        </w:rPr>
      </w:pPr>
      <w:r w:rsidRPr="005E2220">
        <w:rPr>
          <w:rFonts w:ascii="Palatino Linotype" w:eastAsia="Palatino Linotype" w:hAnsi="Palatino Linotype" w:cs="Palatino Linotype"/>
          <w:b/>
          <w:i/>
          <w:sz w:val="24"/>
          <w:szCs w:val="24"/>
        </w:rPr>
        <w:t>Artículo 3.</w:t>
      </w:r>
      <w:r w:rsidRPr="005E2220">
        <w:rPr>
          <w:rFonts w:ascii="Palatino Linotype" w:eastAsia="Palatino Linotype" w:hAnsi="Palatino Linotype" w:cs="Palatino Linotype"/>
          <w:i/>
          <w:sz w:val="24"/>
          <w:szCs w:val="24"/>
        </w:rPr>
        <w:t xml:space="preserve"> Para los efectos de la presente Ley se entenderá por:</w:t>
      </w:r>
    </w:p>
    <w:p w:rsidR="00FF39F4" w:rsidRPr="005E2220" w:rsidRDefault="003E4790">
      <w:pPr>
        <w:spacing w:after="0" w:line="240" w:lineRule="auto"/>
        <w:ind w:left="567" w:right="567"/>
        <w:jc w:val="both"/>
        <w:rPr>
          <w:rFonts w:ascii="Palatino Linotype" w:eastAsia="Palatino Linotype" w:hAnsi="Palatino Linotype" w:cs="Palatino Linotype"/>
          <w:i/>
          <w:sz w:val="24"/>
          <w:szCs w:val="24"/>
        </w:rPr>
      </w:pPr>
      <w:r w:rsidRPr="005E2220">
        <w:rPr>
          <w:rFonts w:ascii="Palatino Linotype" w:eastAsia="Palatino Linotype" w:hAnsi="Palatino Linotype" w:cs="Palatino Linotype"/>
          <w:i/>
          <w:sz w:val="24"/>
          <w:szCs w:val="24"/>
        </w:rPr>
        <w:t>(…)</w:t>
      </w:r>
    </w:p>
    <w:p w:rsidR="00FF39F4" w:rsidRPr="005E2220" w:rsidRDefault="003E4790">
      <w:pPr>
        <w:spacing w:after="0" w:line="240" w:lineRule="auto"/>
        <w:ind w:left="567" w:right="567"/>
        <w:jc w:val="both"/>
        <w:rPr>
          <w:rFonts w:ascii="Palatino Linotype" w:eastAsia="Palatino Linotype" w:hAnsi="Palatino Linotype" w:cs="Palatino Linotype"/>
          <w:i/>
          <w:sz w:val="24"/>
          <w:szCs w:val="24"/>
        </w:rPr>
      </w:pPr>
      <w:r w:rsidRPr="005E2220">
        <w:rPr>
          <w:rFonts w:ascii="Palatino Linotype" w:eastAsia="Palatino Linotype" w:hAnsi="Palatino Linotype" w:cs="Palatino Linotype"/>
          <w:b/>
          <w:i/>
          <w:sz w:val="24"/>
          <w:szCs w:val="24"/>
        </w:rPr>
        <w:t>IX. Datos personales:</w:t>
      </w:r>
      <w:r w:rsidRPr="005E2220">
        <w:rPr>
          <w:rFonts w:ascii="Palatino Linotype" w:eastAsia="Palatino Linotype" w:hAnsi="Palatino Linotype" w:cs="Palatino Linotype"/>
          <w:i/>
          <w:sz w:val="24"/>
          <w:szCs w:val="24"/>
        </w:rPr>
        <w:t xml:space="preserve"> La información concerniente a una persona, identificada o identificable según lo dispuesto por la Ley de Protección de Datos Personales del Estado de México; </w:t>
      </w:r>
    </w:p>
    <w:p w:rsidR="00FF39F4" w:rsidRPr="005E2220" w:rsidRDefault="003E4790">
      <w:pPr>
        <w:spacing w:after="0" w:line="240" w:lineRule="auto"/>
        <w:ind w:left="567" w:right="567"/>
        <w:jc w:val="both"/>
        <w:rPr>
          <w:rFonts w:ascii="Palatino Linotype" w:eastAsia="Palatino Linotype" w:hAnsi="Palatino Linotype" w:cs="Palatino Linotype"/>
          <w:i/>
          <w:sz w:val="24"/>
          <w:szCs w:val="24"/>
        </w:rPr>
      </w:pPr>
      <w:r w:rsidRPr="005E2220">
        <w:rPr>
          <w:rFonts w:ascii="Palatino Linotype" w:eastAsia="Palatino Linotype" w:hAnsi="Palatino Linotype" w:cs="Palatino Linotype"/>
          <w:b/>
          <w:i/>
          <w:sz w:val="24"/>
          <w:szCs w:val="24"/>
        </w:rPr>
        <w:t>XX.</w:t>
      </w:r>
      <w:r w:rsidRPr="005E2220">
        <w:rPr>
          <w:rFonts w:ascii="Palatino Linotype" w:eastAsia="Palatino Linotype" w:hAnsi="Palatino Linotype" w:cs="Palatino Linotype"/>
          <w:i/>
          <w:sz w:val="24"/>
          <w:szCs w:val="24"/>
        </w:rPr>
        <w:t xml:space="preserve"> </w:t>
      </w:r>
      <w:r w:rsidRPr="005E2220">
        <w:rPr>
          <w:rFonts w:ascii="Palatino Linotype" w:eastAsia="Palatino Linotype" w:hAnsi="Palatino Linotype" w:cs="Palatino Linotype"/>
          <w:b/>
          <w:i/>
          <w:sz w:val="24"/>
          <w:szCs w:val="24"/>
        </w:rPr>
        <w:t>Información clasificada:</w:t>
      </w:r>
      <w:r w:rsidRPr="005E2220">
        <w:rPr>
          <w:rFonts w:ascii="Palatino Linotype" w:eastAsia="Palatino Linotype" w:hAnsi="Palatino Linotype" w:cs="Palatino Linotype"/>
          <w:i/>
          <w:sz w:val="24"/>
          <w:szCs w:val="24"/>
        </w:rPr>
        <w:t xml:space="preserve"> Aquella considerada por la presente Ley como reservada o confidencial;</w:t>
      </w:r>
    </w:p>
    <w:p w:rsidR="00FF39F4" w:rsidRPr="005E2220" w:rsidRDefault="003E4790">
      <w:pPr>
        <w:spacing w:after="0" w:line="240" w:lineRule="auto"/>
        <w:ind w:left="567" w:right="567"/>
        <w:jc w:val="both"/>
        <w:rPr>
          <w:rFonts w:ascii="Palatino Linotype" w:eastAsia="Palatino Linotype" w:hAnsi="Palatino Linotype" w:cs="Palatino Linotype"/>
          <w:i/>
          <w:sz w:val="24"/>
          <w:szCs w:val="24"/>
        </w:rPr>
      </w:pPr>
      <w:r w:rsidRPr="005E2220">
        <w:rPr>
          <w:rFonts w:ascii="Palatino Linotype" w:eastAsia="Palatino Linotype" w:hAnsi="Palatino Linotype" w:cs="Palatino Linotype"/>
          <w:b/>
          <w:i/>
          <w:sz w:val="24"/>
          <w:szCs w:val="24"/>
        </w:rPr>
        <w:t>XXI.</w:t>
      </w:r>
      <w:r w:rsidRPr="005E2220">
        <w:rPr>
          <w:rFonts w:ascii="Palatino Linotype" w:eastAsia="Palatino Linotype" w:hAnsi="Palatino Linotype" w:cs="Palatino Linotype"/>
          <w:i/>
          <w:sz w:val="24"/>
          <w:szCs w:val="24"/>
        </w:rPr>
        <w:t xml:space="preserve"> </w:t>
      </w:r>
      <w:r w:rsidRPr="005E2220">
        <w:rPr>
          <w:rFonts w:ascii="Palatino Linotype" w:eastAsia="Palatino Linotype" w:hAnsi="Palatino Linotype" w:cs="Palatino Linotype"/>
          <w:b/>
          <w:i/>
          <w:sz w:val="24"/>
          <w:szCs w:val="24"/>
        </w:rPr>
        <w:t>Información confidencial:</w:t>
      </w:r>
      <w:r w:rsidRPr="005E2220">
        <w:rPr>
          <w:rFonts w:ascii="Palatino Linotype" w:eastAsia="Palatino Linotype" w:hAnsi="Palatino Linotype" w:cs="Palatino Linotype"/>
          <w:i/>
          <w:sz w:val="24"/>
          <w:szCs w:val="24"/>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FF39F4" w:rsidRPr="005E2220" w:rsidRDefault="003E4790">
      <w:pPr>
        <w:spacing w:after="0" w:line="240" w:lineRule="auto"/>
        <w:ind w:left="567" w:right="567"/>
        <w:jc w:val="both"/>
        <w:rPr>
          <w:rFonts w:ascii="Palatino Linotype" w:eastAsia="Palatino Linotype" w:hAnsi="Palatino Linotype" w:cs="Palatino Linotype"/>
          <w:i/>
          <w:sz w:val="24"/>
          <w:szCs w:val="24"/>
        </w:rPr>
      </w:pPr>
      <w:r w:rsidRPr="005E2220">
        <w:rPr>
          <w:rFonts w:ascii="Palatino Linotype" w:eastAsia="Palatino Linotype" w:hAnsi="Palatino Linotype" w:cs="Palatino Linotype"/>
          <w:b/>
          <w:i/>
          <w:sz w:val="24"/>
          <w:szCs w:val="24"/>
        </w:rPr>
        <w:t>…</w:t>
      </w:r>
    </w:p>
    <w:p w:rsidR="00FF39F4" w:rsidRPr="005E2220" w:rsidRDefault="003E4790">
      <w:pPr>
        <w:spacing w:after="0" w:line="240" w:lineRule="auto"/>
        <w:ind w:left="567" w:right="567"/>
        <w:jc w:val="both"/>
        <w:rPr>
          <w:rFonts w:ascii="Palatino Linotype" w:eastAsia="Palatino Linotype" w:hAnsi="Palatino Linotype" w:cs="Palatino Linotype"/>
          <w:i/>
          <w:sz w:val="24"/>
          <w:szCs w:val="24"/>
        </w:rPr>
      </w:pPr>
      <w:r w:rsidRPr="005E2220">
        <w:rPr>
          <w:rFonts w:ascii="Palatino Linotype" w:eastAsia="Palatino Linotype" w:hAnsi="Palatino Linotype" w:cs="Palatino Linotype"/>
          <w:b/>
          <w:i/>
          <w:sz w:val="24"/>
          <w:szCs w:val="24"/>
        </w:rPr>
        <w:t>XLV.</w:t>
      </w:r>
      <w:r w:rsidRPr="005E2220">
        <w:rPr>
          <w:rFonts w:ascii="Palatino Linotype" w:eastAsia="Palatino Linotype" w:hAnsi="Palatino Linotype" w:cs="Palatino Linotype"/>
          <w:i/>
          <w:sz w:val="24"/>
          <w:szCs w:val="24"/>
        </w:rPr>
        <w:t xml:space="preserve"> </w:t>
      </w:r>
      <w:r w:rsidRPr="005E2220">
        <w:rPr>
          <w:rFonts w:ascii="Palatino Linotype" w:eastAsia="Palatino Linotype" w:hAnsi="Palatino Linotype" w:cs="Palatino Linotype"/>
          <w:b/>
          <w:i/>
          <w:sz w:val="24"/>
          <w:szCs w:val="24"/>
        </w:rPr>
        <w:t>Versión pública:</w:t>
      </w:r>
      <w:r w:rsidRPr="005E2220">
        <w:rPr>
          <w:rFonts w:ascii="Palatino Linotype" w:eastAsia="Palatino Linotype" w:hAnsi="Palatino Linotype" w:cs="Palatino Linotype"/>
          <w:i/>
          <w:sz w:val="24"/>
          <w:szCs w:val="24"/>
        </w:rPr>
        <w:t xml:space="preserve"> Documento en el que se elimine, suprime o borra la información clasificada como reservada o confidencial para permitir su acceso.</w:t>
      </w:r>
    </w:p>
    <w:p w:rsidR="00FF39F4" w:rsidRPr="005E2220" w:rsidRDefault="003E4790">
      <w:pPr>
        <w:spacing w:after="0" w:line="240" w:lineRule="auto"/>
        <w:ind w:left="567" w:right="567"/>
        <w:jc w:val="both"/>
        <w:rPr>
          <w:rFonts w:ascii="Palatino Linotype" w:eastAsia="Palatino Linotype" w:hAnsi="Palatino Linotype" w:cs="Palatino Linotype"/>
          <w:i/>
          <w:sz w:val="24"/>
          <w:szCs w:val="24"/>
        </w:rPr>
      </w:pPr>
      <w:r w:rsidRPr="005E2220">
        <w:rPr>
          <w:rFonts w:ascii="Palatino Linotype" w:eastAsia="Palatino Linotype" w:hAnsi="Palatino Linotype" w:cs="Palatino Linotype"/>
          <w:i/>
          <w:sz w:val="24"/>
          <w:szCs w:val="24"/>
        </w:rPr>
        <w:t>(…)</w:t>
      </w:r>
    </w:p>
    <w:p w:rsidR="00FF39F4" w:rsidRPr="005E2220" w:rsidRDefault="003E4790">
      <w:pPr>
        <w:spacing w:after="0" w:line="240" w:lineRule="auto"/>
        <w:ind w:left="567" w:right="567"/>
        <w:jc w:val="both"/>
        <w:rPr>
          <w:rFonts w:ascii="Palatino Linotype" w:eastAsia="Palatino Linotype" w:hAnsi="Palatino Linotype" w:cs="Palatino Linotype"/>
          <w:i/>
          <w:sz w:val="24"/>
          <w:szCs w:val="24"/>
        </w:rPr>
      </w:pPr>
      <w:r w:rsidRPr="005E2220">
        <w:rPr>
          <w:rFonts w:ascii="Palatino Linotype" w:eastAsia="Palatino Linotype" w:hAnsi="Palatino Linotype" w:cs="Palatino Linotype"/>
          <w:b/>
          <w:i/>
          <w:sz w:val="24"/>
          <w:szCs w:val="24"/>
        </w:rPr>
        <w:t xml:space="preserve">Artículo 91. </w:t>
      </w:r>
      <w:r w:rsidRPr="005E2220">
        <w:rPr>
          <w:rFonts w:ascii="Palatino Linotype" w:eastAsia="Palatino Linotype" w:hAnsi="Palatino Linotype" w:cs="Palatino Linotype"/>
          <w:i/>
          <w:sz w:val="24"/>
          <w:szCs w:val="24"/>
        </w:rPr>
        <w:t>El acceso a la información pública será restringido excepcionalmente, cuando ésta sea clasificada como reservada o confidencial.</w:t>
      </w:r>
    </w:p>
    <w:p w:rsidR="00FF39F4" w:rsidRPr="005E2220" w:rsidRDefault="003E4790">
      <w:pPr>
        <w:spacing w:after="0" w:line="240" w:lineRule="auto"/>
        <w:ind w:left="567" w:right="567"/>
        <w:jc w:val="both"/>
        <w:rPr>
          <w:rFonts w:ascii="Palatino Linotype" w:eastAsia="Palatino Linotype" w:hAnsi="Palatino Linotype" w:cs="Palatino Linotype"/>
          <w:i/>
          <w:sz w:val="24"/>
          <w:szCs w:val="24"/>
        </w:rPr>
      </w:pPr>
      <w:r w:rsidRPr="005E2220">
        <w:rPr>
          <w:rFonts w:ascii="Palatino Linotype" w:eastAsia="Palatino Linotype" w:hAnsi="Palatino Linotype" w:cs="Palatino Linotype"/>
          <w:b/>
          <w:i/>
          <w:sz w:val="24"/>
          <w:szCs w:val="24"/>
        </w:rPr>
        <w:t>Artículo 132.</w:t>
      </w:r>
      <w:r w:rsidRPr="005E2220">
        <w:rPr>
          <w:rFonts w:ascii="Palatino Linotype" w:eastAsia="Palatino Linotype" w:hAnsi="Palatino Linotype" w:cs="Palatino Linotype"/>
          <w:i/>
          <w:sz w:val="24"/>
          <w:szCs w:val="24"/>
        </w:rPr>
        <w:t xml:space="preserve"> </w:t>
      </w:r>
      <w:r w:rsidRPr="005E2220">
        <w:rPr>
          <w:rFonts w:ascii="Palatino Linotype" w:eastAsia="Palatino Linotype" w:hAnsi="Palatino Linotype" w:cs="Palatino Linotype"/>
          <w:i/>
          <w:sz w:val="24"/>
          <w:szCs w:val="24"/>
          <w:u w:val="single"/>
        </w:rPr>
        <w:t>La clasificación de la información se llevará a cabo en el momento en que</w:t>
      </w:r>
      <w:r w:rsidRPr="005E2220">
        <w:rPr>
          <w:rFonts w:ascii="Palatino Linotype" w:eastAsia="Palatino Linotype" w:hAnsi="Palatino Linotype" w:cs="Palatino Linotype"/>
          <w:i/>
          <w:sz w:val="24"/>
          <w:szCs w:val="24"/>
        </w:rPr>
        <w:t>:</w:t>
      </w:r>
    </w:p>
    <w:p w:rsidR="00FF39F4" w:rsidRPr="005E2220" w:rsidRDefault="003E4790">
      <w:pPr>
        <w:spacing w:after="0" w:line="240" w:lineRule="auto"/>
        <w:ind w:left="567" w:right="567"/>
        <w:jc w:val="both"/>
        <w:rPr>
          <w:rFonts w:ascii="Palatino Linotype" w:eastAsia="Palatino Linotype" w:hAnsi="Palatino Linotype" w:cs="Palatino Linotype"/>
          <w:i/>
          <w:sz w:val="24"/>
          <w:szCs w:val="24"/>
        </w:rPr>
      </w:pPr>
      <w:r w:rsidRPr="005E2220">
        <w:rPr>
          <w:rFonts w:ascii="Palatino Linotype" w:eastAsia="Palatino Linotype" w:hAnsi="Palatino Linotype" w:cs="Palatino Linotype"/>
          <w:b/>
          <w:i/>
          <w:sz w:val="24"/>
          <w:szCs w:val="24"/>
        </w:rPr>
        <w:t>I.</w:t>
      </w:r>
      <w:r w:rsidRPr="005E2220">
        <w:rPr>
          <w:rFonts w:ascii="Palatino Linotype" w:eastAsia="Palatino Linotype" w:hAnsi="Palatino Linotype" w:cs="Palatino Linotype"/>
          <w:i/>
          <w:sz w:val="24"/>
          <w:szCs w:val="24"/>
        </w:rPr>
        <w:t xml:space="preserve"> Se reciba una solicitud de acceso a la información;</w:t>
      </w:r>
    </w:p>
    <w:p w:rsidR="00FF39F4" w:rsidRPr="005E2220" w:rsidRDefault="003E4790">
      <w:pPr>
        <w:spacing w:after="0" w:line="240" w:lineRule="auto"/>
        <w:ind w:left="567" w:right="567"/>
        <w:jc w:val="both"/>
        <w:rPr>
          <w:rFonts w:ascii="Palatino Linotype" w:eastAsia="Palatino Linotype" w:hAnsi="Palatino Linotype" w:cs="Palatino Linotype"/>
          <w:i/>
          <w:sz w:val="24"/>
          <w:szCs w:val="24"/>
        </w:rPr>
      </w:pPr>
      <w:r w:rsidRPr="005E2220">
        <w:rPr>
          <w:rFonts w:ascii="Palatino Linotype" w:eastAsia="Palatino Linotype" w:hAnsi="Palatino Linotype" w:cs="Palatino Linotype"/>
          <w:b/>
          <w:i/>
          <w:sz w:val="24"/>
          <w:szCs w:val="24"/>
        </w:rPr>
        <w:t>II.</w:t>
      </w:r>
      <w:r w:rsidRPr="005E2220">
        <w:rPr>
          <w:rFonts w:ascii="Palatino Linotype" w:eastAsia="Palatino Linotype" w:hAnsi="Palatino Linotype" w:cs="Palatino Linotype"/>
          <w:i/>
          <w:sz w:val="24"/>
          <w:szCs w:val="24"/>
        </w:rPr>
        <w:t xml:space="preserve"> </w:t>
      </w:r>
      <w:r w:rsidRPr="005E2220">
        <w:rPr>
          <w:rFonts w:ascii="Palatino Linotype" w:eastAsia="Palatino Linotype" w:hAnsi="Palatino Linotype" w:cs="Palatino Linotype"/>
          <w:i/>
          <w:sz w:val="24"/>
          <w:szCs w:val="24"/>
          <w:u w:val="single"/>
        </w:rPr>
        <w:t>Se determine mediante resolución de autoridad competente; o</w:t>
      </w:r>
    </w:p>
    <w:p w:rsidR="00FF39F4" w:rsidRPr="005E2220" w:rsidRDefault="003E4790">
      <w:pPr>
        <w:spacing w:after="0" w:line="240" w:lineRule="auto"/>
        <w:ind w:left="567" w:right="567"/>
        <w:jc w:val="both"/>
        <w:rPr>
          <w:rFonts w:ascii="Palatino Linotype" w:eastAsia="Palatino Linotype" w:hAnsi="Palatino Linotype" w:cs="Palatino Linotype"/>
          <w:i/>
          <w:sz w:val="24"/>
          <w:szCs w:val="24"/>
          <w:u w:val="single"/>
        </w:rPr>
      </w:pPr>
      <w:r w:rsidRPr="005E2220">
        <w:rPr>
          <w:rFonts w:ascii="Palatino Linotype" w:eastAsia="Palatino Linotype" w:hAnsi="Palatino Linotype" w:cs="Palatino Linotype"/>
          <w:b/>
          <w:i/>
          <w:sz w:val="24"/>
          <w:szCs w:val="24"/>
        </w:rPr>
        <w:t>III.</w:t>
      </w:r>
      <w:r w:rsidRPr="005E2220">
        <w:rPr>
          <w:rFonts w:ascii="Palatino Linotype" w:eastAsia="Palatino Linotype" w:hAnsi="Palatino Linotype" w:cs="Palatino Linotype"/>
          <w:i/>
          <w:sz w:val="24"/>
          <w:szCs w:val="24"/>
        </w:rPr>
        <w:t xml:space="preserve"> </w:t>
      </w:r>
      <w:r w:rsidRPr="005E2220">
        <w:rPr>
          <w:rFonts w:ascii="Palatino Linotype" w:eastAsia="Palatino Linotype" w:hAnsi="Palatino Linotype" w:cs="Palatino Linotype"/>
          <w:i/>
          <w:sz w:val="24"/>
          <w:szCs w:val="24"/>
          <w:u w:val="single"/>
        </w:rPr>
        <w:t>Se generen versiones públicas para dar cumplimiento a las obligaciones de transparencia previstas en esta Ley.</w:t>
      </w:r>
    </w:p>
    <w:p w:rsidR="00FF39F4" w:rsidRPr="005E2220" w:rsidRDefault="003E4790">
      <w:pPr>
        <w:spacing w:after="0" w:line="240" w:lineRule="auto"/>
        <w:ind w:left="567" w:right="567"/>
        <w:jc w:val="both"/>
        <w:rPr>
          <w:rFonts w:ascii="Palatino Linotype" w:eastAsia="Palatino Linotype" w:hAnsi="Palatino Linotype" w:cs="Palatino Linotype"/>
          <w:i/>
          <w:sz w:val="24"/>
          <w:szCs w:val="24"/>
        </w:rPr>
      </w:pPr>
      <w:r w:rsidRPr="005E2220">
        <w:rPr>
          <w:rFonts w:ascii="Palatino Linotype" w:eastAsia="Palatino Linotype" w:hAnsi="Palatino Linotype" w:cs="Palatino Linotype"/>
          <w:i/>
          <w:sz w:val="24"/>
          <w:szCs w:val="24"/>
        </w:rPr>
        <w:t>(…)</w:t>
      </w:r>
    </w:p>
    <w:p w:rsidR="00FF39F4" w:rsidRPr="005E2220" w:rsidRDefault="00FF39F4">
      <w:pPr>
        <w:spacing w:after="0" w:line="360" w:lineRule="auto"/>
        <w:jc w:val="both"/>
        <w:rPr>
          <w:rFonts w:ascii="Palatino Linotype" w:eastAsia="Palatino Linotype" w:hAnsi="Palatino Linotype" w:cs="Palatino Linotype"/>
          <w:i/>
        </w:rPr>
      </w:pPr>
    </w:p>
    <w:p w:rsidR="00FF39F4" w:rsidRPr="005E2220" w:rsidRDefault="003E4790">
      <w:pPr>
        <w:spacing w:after="0" w:line="360" w:lineRule="auto"/>
        <w:jc w:val="both"/>
        <w:rPr>
          <w:rFonts w:ascii="Palatino Linotype" w:eastAsia="Palatino Linotype" w:hAnsi="Palatino Linotype" w:cs="Palatino Linotype"/>
          <w:sz w:val="24"/>
          <w:szCs w:val="24"/>
        </w:rPr>
      </w:pPr>
      <w:r w:rsidRPr="005E2220">
        <w:rPr>
          <w:rFonts w:ascii="Palatino Linotype" w:eastAsia="Palatino Linotype" w:hAnsi="Palatino Linotype" w:cs="Palatino Linotype"/>
          <w:sz w:val="24"/>
          <w:szCs w:val="24"/>
        </w:rPr>
        <w:t xml:space="preserve">De este modo, en armonía entre los principios constitucionales de máxima publicidad y de protección de datos personales, la Ley permite la elaboración de versiones </w:t>
      </w:r>
      <w:r w:rsidRPr="005E2220">
        <w:rPr>
          <w:rFonts w:ascii="Palatino Linotype" w:eastAsia="Palatino Linotype" w:hAnsi="Palatino Linotype" w:cs="Palatino Linotype"/>
          <w:sz w:val="24"/>
          <w:szCs w:val="24"/>
        </w:rPr>
        <w:lastRenderedPageBreak/>
        <w:t>públicas en las que se suprima aquella información relacionada con la vida privada de los particulares.</w:t>
      </w:r>
    </w:p>
    <w:p w:rsidR="00FF39F4" w:rsidRPr="005E2220" w:rsidRDefault="00FF39F4">
      <w:pPr>
        <w:spacing w:after="0" w:line="360" w:lineRule="auto"/>
        <w:jc w:val="both"/>
        <w:rPr>
          <w:rFonts w:ascii="Palatino Linotype" w:eastAsia="Palatino Linotype" w:hAnsi="Palatino Linotype" w:cs="Palatino Linotype"/>
          <w:sz w:val="24"/>
          <w:szCs w:val="24"/>
        </w:rPr>
      </w:pPr>
    </w:p>
    <w:p w:rsidR="00FF39F4" w:rsidRPr="005E2220" w:rsidRDefault="003E4790">
      <w:pPr>
        <w:spacing w:after="0" w:line="360" w:lineRule="auto"/>
        <w:jc w:val="both"/>
        <w:rPr>
          <w:rFonts w:ascii="Palatino Linotype" w:eastAsia="Palatino Linotype" w:hAnsi="Palatino Linotype" w:cs="Palatino Linotype"/>
          <w:sz w:val="24"/>
          <w:szCs w:val="24"/>
        </w:rPr>
      </w:pPr>
      <w:r w:rsidRPr="005E2220">
        <w:rPr>
          <w:rFonts w:ascii="Palatino Linotype" w:eastAsia="Palatino Linotype" w:hAnsi="Palatino Linotype" w:cs="Palatino Linotype"/>
          <w:sz w:val="24"/>
          <w:szCs w:val="24"/>
        </w:rPr>
        <w:t xml:space="preserve">Por otro lado, los </w:t>
      </w:r>
      <w:r w:rsidRPr="005E2220">
        <w:rPr>
          <w:rFonts w:ascii="Palatino Linotype" w:eastAsia="Palatino Linotype" w:hAnsi="Palatino Linotype" w:cs="Palatino Linotype"/>
          <w:i/>
          <w:sz w:val="24"/>
          <w:szCs w:val="24"/>
        </w:rPr>
        <w:t>Lineamientos Generales en Materia de Clasificación y Desclasificación de la Información, así como para la elaboración de Versiones Públicas</w:t>
      </w:r>
      <w:r w:rsidRPr="005E2220">
        <w:rPr>
          <w:rFonts w:ascii="Palatino Linotype" w:eastAsia="Palatino Linotype" w:hAnsi="Palatino Linotype" w:cs="Palatino Linotype"/>
          <w:sz w:val="24"/>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FF39F4" w:rsidRPr="005E2220" w:rsidRDefault="00FF39F4">
      <w:pPr>
        <w:spacing w:after="0" w:line="360" w:lineRule="auto"/>
        <w:jc w:val="both"/>
        <w:rPr>
          <w:rFonts w:ascii="Palatino Linotype" w:eastAsia="Palatino Linotype" w:hAnsi="Palatino Linotype" w:cs="Palatino Linotype"/>
          <w:sz w:val="24"/>
          <w:szCs w:val="24"/>
        </w:rPr>
      </w:pPr>
    </w:p>
    <w:p w:rsidR="00FF39F4" w:rsidRPr="005E2220" w:rsidRDefault="003E4790">
      <w:pPr>
        <w:spacing w:after="0" w:line="360" w:lineRule="auto"/>
        <w:jc w:val="both"/>
        <w:rPr>
          <w:rFonts w:ascii="Palatino Linotype" w:eastAsia="Palatino Linotype" w:hAnsi="Palatino Linotype" w:cs="Palatino Linotype"/>
          <w:sz w:val="24"/>
          <w:szCs w:val="24"/>
        </w:rPr>
      </w:pPr>
      <w:r w:rsidRPr="005E2220">
        <w:rPr>
          <w:rFonts w:ascii="Palatino Linotype" w:eastAsia="Palatino Linotype" w:hAnsi="Palatino Linotype" w:cs="Palatino Linotype"/>
          <w:sz w:val="24"/>
          <w:szCs w:val="24"/>
        </w:rPr>
        <w:t>Entorno a lo que aquí nos interesa, los Lineamientos Quincuagésimo sexto, Quincuagésimo séptimo y Quincuagésimo octavo, establecen lo siguiente:</w:t>
      </w:r>
    </w:p>
    <w:p w:rsidR="00FF39F4" w:rsidRPr="005E2220" w:rsidRDefault="00FF39F4">
      <w:pPr>
        <w:spacing w:after="0" w:line="360" w:lineRule="auto"/>
        <w:jc w:val="both"/>
        <w:rPr>
          <w:rFonts w:ascii="Palatino Linotype" w:eastAsia="Palatino Linotype" w:hAnsi="Palatino Linotype" w:cs="Palatino Linotype"/>
          <w:sz w:val="24"/>
          <w:szCs w:val="24"/>
        </w:rPr>
      </w:pPr>
    </w:p>
    <w:p w:rsidR="00FF39F4" w:rsidRPr="005E2220" w:rsidRDefault="003E4790">
      <w:pPr>
        <w:spacing w:after="0" w:line="240" w:lineRule="auto"/>
        <w:ind w:left="567" w:right="567"/>
        <w:jc w:val="both"/>
        <w:rPr>
          <w:rFonts w:ascii="Palatino Linotype" w:eastAsia="Palatino Linotype" w:hAnsi="Palatino Linotype" w:cs="Palatino Linotype"/>
          <w:i/>
          <w:sz w:val="24"/>
          <w:szCs w:val="24"/>
        </w:rPr>
      </w:pPr>
      <w:r w:rsidRPr="005E2220">
        <w:rPr>
          <w:rFonts w:ascii="Palatino Linotype" w:eastAsia="Palatino Linotype" w:hAnsi="Palatino Linotype" w:cs="Palatino Linotype"/>
          <w:b/>
          <w:i/>
          <w:sz w:val="24"/>
          <w:szCs w:val="24"/>
        </w:rPr>
        <w:t>Quincuagésimo sexto.</w:t>
      </w:r>
      <w:r w:rsidRPr="005E2220">
        <w:rPr>
          <w:rFonts w:ascii="Palatino Linotype" w:eastAsia="Palatino Linotype" w:hAnsi="Palatino Linotype" w:cs="Palatino Linotype"/>
          <w:i/>
          <w:sz w:val="24"/>
          <w:szCs w:val="24"/>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FF39F4" w:rsidRPr="005E2220" w:rsidRDefault="00FF39F4">
      <w:pPr>
        <w:spacing w:after="0" w:line="240" w:lineRule="auto"/>
        <w:ind w:left="567" w:right="567"/>
        <w:jc w:val="both"/>
        <w:rPr>
          <w:rFonts w:ascii="Palatino Linotype" w:eastAsia="Palatino Linotype" w:hAnsi="Palatino Linotype" w:cs="Palatino Linotype"/>
          <w:i/>
          <w:sz w:val="24"/>
          <w:szCs w:val="24"/>
        </w:rPr>
      </w:pPr>
    </w:p>
    <w:p w:rsidR="00FF39F4" w:rsidRPr="005E2220" w:rsidRDefault="003E4790">
      <w:pPr>
        <w:spacing w:after="0" w:line="240" w:lineRule="auto"/>
        <w:ind w:left="567" w:right="567"/>
        <w:jc w:val="both"/>
        <w:rPr>
          <w:rFonts w:ascii="Palatino Linotype" w:eastAsia="Palatino Linotype" w:hAnsi="Palatino Linotype" w:cs="Palatino Linotype"/>
          <w:i/>
          <w:sz w:val="24"/>
          <w:szCs w:val="24"/>
        </w:rPr>
      </w:pPr>
      <w:r w:rsidRPr="005E2220">
        <w:rPr>
          <w:rFonts w:ascii="Palatino Linotype" w:eastAsia="Palatino Linotype" w:hAnsi="Palatino Linotype" w:cs="Palatino Linotype"/>
          <w:b/>
          <w:i/>
          <w:sz w:val="24"/>
          <w:szCs w:val="24"/>
        </w:rPr>
        <w:t>Quincuagésimo séptimo.</w:t>
      </w:r>
      <w:r w:rsidRPr="005E2220">
        <w:rPr>
          <w:rFonts w:ascii="Palatino Linotype" w:eastAsia="Palatino Linotype" w:hAnsi="Palatino Linotype" w:cs="Palatino Linotype"/>
          <w:i/>
          <w:sz w:val="24"/>
          <w:szCs w:val="24"/>
        </w:rPr>
        <w:t xml:space="preserve"> Se considera, en principio, como información pública y no podrá omitirse de las versiones públicas la siguiente:</w:t>
      </w:r>
    </w:p>
    <w:p w:rsidR="00FF39F4" w:rsidRPr="005E2220" w:rsidRDefault="003E4790">
      <w:pPr>
        <w:spacing w:after="0" w:line="240" w:lineRule="auto"/>
        <w:ind w:left="567" w:right="567"/>
        <w:jc w:val="both"/>
        <w:rPr>
          <w:rFonts w:ascii="Palatino Linotype" w:eastAsia="Palatino Linotype" w:hAnsi="Palatino Linotype" w:cs="Palatino Linotype"/>
          <w:i/>
          <w:sz w:val="24"/>
          <w:szCs w:val="24"/>
        </w:rPr>
      </w:pPr>
      <w:r w:rsidRPr="005E2220">
        <w:rPr>
          <w:rFonts w:ascii="Palatino Linotype" w:eastAsia="Palatino Linotype" w:hAnsi="Palatino Linotype" w:cs="Palatino Linotype"/>
          <w:i/>
          <w:sz w:val="24"/>
          <w:szCs w:val="24"/>
        </w:rPr>
        <w:t xml:space="preserve"> </w:t>
      </w:r>
    </w:p>
    <w:p w:rsidR="00FF39F4" w:rsidRPr="005E2220" w:rsidRDefault="003E4790">
      <w:pPr>
        <w:spacing w:after="0" w:line="240" w:lineRule="auto"/>
        <w:ind w:left="567" w:right="567"/>
        <w:jc w:val="both"/>
        <w:rPr>
          <w:rFonts w:ascii="Palatino Linotype" w:eastAsia="Palatino Linotype" w:hAnsi="Palatino Linotype" w:cs="Palatino Linotype"/>
          <w:i/>
          <w:sz w:val="24"/>
          <w:szCs w:val="24"/>
        </w:rPr>
      </w:pPr>
      <w:r w:rsidRPr="005E2220">
        <w:rPr>
          <w:rFonts w:ascii="Palatino Linotype" w:eastAsia="Palatino Linotype" w:hAnsi="Palatino Linotype" w:cs="Palatino Linotype"/>
          <w:i/>
          <w:sz w:val="24"/>
          <w:szCs w:val="24"/>
        </w:rPr>
        <w:t xml:space="preserve">I. La relativa a las Obligaciones de Transparencia que contempla el Título V de la Ley General y las demás disposiciones legales aplicables; </w:t>
      </w:r>
    </w:p>
    <w:p w:rsidR="00FF39F4" w:rsidRPr="005E2220" w:rsidRDefault="003E4790">
      <w:pPr>
        <w:spacing w:after="0" w:line="240" w:lineRule="auto"/>
        <w:ind w:left="567" w:right="567"/>
        <w:jc w:val="both"/>
        <w:rPr>
          <w:rFonts w:ascii="Palatino Linotype" w:eastAsia="Palatino Linotype" w:hAnsi="Palatino Linotype" w:cs="Palatino Linotype"/>
          <w:i/>
          <w:sz w:val="24"/>
          <w:szCs w:val="24"/>
        </w:rPr>
      </w:pPr>
      <w:r w:rsidRPr="005E2220">
        <w:rPr>
          <w:rFonts w:ascii="Palatino Linotype" w:eastAsia="Palatino Linotype" w:hAnsi="Palatino Linotype" w:cs="Palatino Linotype"/>
          <w:i/>
          <w:sz w:val="24"/>
          <w:szCs w:val="24"/>
        </w:rPr>
        <w:t xml:space="preserve">II. El nombre de los servidores públicos en los documentos, y sus firmas autógrafas, cuando sean utilizados en el ejercicio de las facultades conferidas para el desempeño del servicio público, y </w:t>
      </w:r>
    </w:p>
    <w:p w:rsidR="00FF39F4" w:rsidRPr="005E2220" w:rsidRDefault="003E4790">
      <w:pPr>
        <w:spacing w:after="0" w:line="240" w:lineRule="auto"/>
        <w:ind w:left="567" w:right="567"/>
        <w:jc w:val="both"/>
        <w:rPr>
          <w:rFonts w:ascii="Palatino Linotype" w:eastAsia="Palatino Linotype" w:hAnsi="Palatino Linotype" w:cs="Palatino Linotype"/>
          <w:i/>
          <w:sz w:val="24"/>
          <w:szCs w:val="24"/>
        </w:rPr>
      </w:pPr>
      <w:r w:rsidRPr="005E2220">
        <w:rPr>
          <w:rFonts w:ascii="Palatino Linotype" w:eastAsia="Palatino Linotype" w:hAnsi="Palatino Linotype" w:cs="Palatino Linotype"/>
          <w:i/>
          <w:sz w:val="24"/>
          <w:szCs w:val="24"/>
        </w:rPr>
        <w:lastRenderedPageBreak/>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rsidR="00FF39F4" w:rsidRPr="005E2220" w:rsidRDefault="00FF39F4">
      <w:pPr>
        <w:spacing w:after="0" w:line="240" w:lineRule="auto"/>
        <w:ind w:left="567" w:right="567"/>
        <w:jc w:val="both"/>
        <w:rPr>
          <w:rFonts w:ascii="Palatino Linotype" w:eastAsia="Palatino Linotype" w:hAnsi="Palatino Linotype" w:cs="Palatino Linotype"/>
          <w:i/>
          <w:sz w:val="24"/>
          <w:szCs w:val="24"/>
        </w:rPr>
      </w:pPr>
    </w:p>
    <w:p w:rsidR="00FF39F4" w:rsidRPr="005E2220" w:rsidRDefault="003E4790">
      <w:pPr>
        <w:spacing w:after="0" w:line="240" w:lineRule="auto"/>
        <w:ind w:left="567" w:right="567"/>
        <w:jc w:val="both"/>
        <w:rPr>
          <w:rFonts w:ascii="Palatino Linotype" w:eastAsia="Palatino Linotype" w:hAnsi="Palatino Linotype" w:cs="Palatino Linotype"/>
          <w:i/>
          <w:sz w:val="24"/>
          <w:szCs w:val="24"/>
        </w:rPr>
      </w:pPr>
      <w:r w:rsidRPr="005E2220">
        <w:rPr>
          <w:rFonts w:ascii="Palatino Linotype" w:eastAsia="Palatino Linotype" w:hAnsi="Palatino Linotype" w:cs="Palatino Linotype"/>
          <w:i/>
          <w:sz w:val="24"/>
          <w:szCs w:val="24"/>
        </w:rPr>
        <w:t xml:space="preserve">Lo anterior, siempre y cuando no se acredite alguna causal de clasificación, prevista en las leyes o en los tratados internaciones suscritos por el Estado mexicano. </w:t>
      </w:r>
    </w:p>
    <w:p w:rsidR="00FF39F4" w:rsidRPr="005E2220" w:rsidRDefault="00FF39F4">
      <w:pPr>
        <w:spacing w:after="0" w:line="240" w:lineRule="auto"/>
        <w:ind w:left="567" w:right="567"/>
        <w:jc w:val="both"/>
        <w:rPr>
          <w:rFonts w:ascii="Palatino Linotype" w:eastAsia="Palatino Linotype" w:hAnsi="Palatino Linotype" w:cs="Palatino Linotype"/>
          <w:i/>
          <w:sz w:val="24"/>
          <w:szCs w:val="24"/>
        </w:rPr>
      </w:pPr>
    </w:p>
    <w:p w:rsidR="00FF39F4" w:rsidRPr="005E2220" w:rsidRDefault="003E4790">
      <w:pPr>
        <w:spacing w:after="0" w:line="240" w:lineRule="auto"/>
        <w:ind w:left="567" w:right="567"/>
        <w:jc w:val="both"/>
        <w:rPr>
          <w:rFonts w:ascii="Palatino Linotype" w:eastAsia="Palatino Linotype" w:hAnsi="Palatino Linotype" w:cs="Palatino Linotype"/>
          <w:i/>
          <w:sz w:val="24"/>
          <w:szCs w:val="24"/>
        </w:rPr>
      </w:pPr>
      <w:r w:rsidRPr="005E2220">
        <w:rPr>
          <w:rFonts w:ascii="Palatino Linotype" w:eastAsia="Palatino Linotype" w:hAnsi="Palatino Linotype" w:cs="Palatino Linotype"/>
          <w:b/>
          <w:i/>
          <w:sz w:val="24"/>
          <w:szCs w:val="24"/>
        </w:rPr>
        <w:t>Quincuagésimo octavo.</w:t>
      </w:r>
      <w:r w:rsidRPr="005E2220">
        <w:rPr>
          <w:rFonts w:ascii="Palatino Linotype" w:eastAsia="Palatino Linotype" w:hAnsi="Palatino Linotype" w:cs="Palatino Linotype"/>
          <w:i/>
          <w:sz w:val="24"/>
          <w:szCs w:val="24"/>
        </w:rPr>
        <w:t xml:space="preserve"> Los sujetos obligados garantizarán que los sistemas o medios empleados para eliminar la información en las versiones públicas no permitan la recuperación o visualización de la misma.</w:t>
      </w:r>
    </w:p>
    <w:p w:rsidR="00FF39F4" w:rsidRPr="005E2220" w:rsidRDefault="00FF39F4">
      <w:pPr>
        <w:spacing w:after="0" w:line="360" w:lineRule="auto"/>
        <w:jc w:val="both"/>
        <w:rPr>
          <w:rFonts w:ascii="Palatino Linotype" w:eastAsia="Palatino Linotype" w:hAnsi="Palatino Linotype" w:cs="Palatino Linotype"/>
          <w:i/>
          <w:sz w:val="24"/>
          <w:szCs w:val="24"/>
        </w:rPr>
      </w:pPr>
    </w:p>
    <w:p w:rsidR="00FF39F4" w:rsidRPr="005E2220" w:rsidRDefault="003E4790">
      <w:pPr>
        <w:spacing w:after="0" w:line="360" w:lineRule="auto"/>
        <w:jc w:val="both"/>
        <w:rPr>
          <w:rFonts w:ascii="Palatino Linotype" w:eastAsia="Palatino Linotype" w:hAnsi="Palatino Linotype" w:cs="Palatino Linotype"/>
          <w:sz w:val="24"/>
          <w:szCs w:val="24"/>
        </w:rPr>
      </w:pPr>
      <w:r w:rsidRPr="005E2220">
        <w:rPr>
          <w:rFonts w:ascii="Palatino Linotype" w:eastAsia="Palatino Linotype" w:hAnsi="Palatino Linotype" w:cs="Palatino Linotype"/>
          <w:sz w:val="24"/>
          <w:szCs w:val="24"/>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rsidR="00FF39F4" w:rsidRPr="005E2220" w:rsidRDefault="00FF39F4">
      <w:pPr>
        <w:spacing w:after="0" w:line="360" w:lineRule="auto"/>
        <w:jc w:val="both"/>
        <w:rPr>
          <w:rFonts w:ascii="Palatino Linotype" w:eastAsia="Palatino Linotype" w:hAnsi="Palatino Linotype" w:cs="Palatino Linotype"/>
          <w:sz w:val="24"/>
          <w:szCs w:val="24"/>
        </w:rPr>
      </w:pPr>
    </w:p>
    <w:p w:rsidR="00FF39F4" w:rsidRPr="005E2220" w:rsidRDefault="003E4790">
      <w:pPr>
        <w:spacing w:after="0" w:line="360" w:lineRule="auto"/>
        <w:jc w:val="both"/>
        <w:rPr>
          <w:rFonts w:ascii="Palatino Linotype" w:eastAsia="Palatino Linotype" w:hAnsi="Palatino Linotype" w:cs="Palatino Linotype"/>
          <w:sz w:val="24"/>
          <w:szCs w:val="24"/>
        </w:rPr>
      </w:pPr>
      <w:r w:rsidRPr="005E2220">
        <w:rPr>
          <w:rFonts w:ascii="Palatino Linotype" w:eastAsia="Palatino Linotype" w:hAnsi="Palatino Linotype" w:cs="Palatino Linotype"/>
          <w:sz w:val="24"/>
          <w:szCs w:val="24"/>
        </w:rPr>
        <w:t>Por lo que respecta al Acuerdo del Comité de Transparencia que la sustente la versión pública, de la documentación a entregar, deberá ser notificado mediante el SAIMEX.</w:t>
      </w:r>
    </w:p>
    <w:p w:rsidR="00FF39F4" w:rsidRPr="005E2220" w:rsidRDefault="00FF39F4">
      <w:pPr>
        <w:spacing w:after="0" w:line="360" w:lineRule="auto"/>
        <w:jc w:val="both"/>
        <w:rPr>
          <w:rFonts w:ascii="Palatino Linotype" w:eastAsia="Palatino Linotype" w:hAnsi="Palatino Linotype" w:cs="Palatino Linotype"/>
          <w:sz w:val="24"/>
          <w:szCs w:val="24"/>
        </w:rPr>
      </w:pPr>
    </w:p>
    <w:p w:rsidR="00FF39F4" w:rsidRPr="005E2220" w:rsidRDefault="003E479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5E2220">
        <w:rPr>
          <w:rFonts w:ascii="Palatino Linotype" w:eastAsia="Palatino Linotype" w:hAnsi="Palatino Linotype" w:cs="Palatino Linotype"/>
          <w:color w:val="000000"/>
          <w:sz w:val="24"/>
          <w:szCs w:val="24"/>
        </w:rPr>
        <w:t xml:space="preserve">En ese tenor y de acuerdo a la interpretación en el orden administrativo que le da la Ley de la materia a este Instituto específicamente, en términos de su artículo 36, </w:t>
      </w:r>
      <w:r w:rsidRPr="005E2220">
        <w:rPr>
          <w:rFonts w:ascii="Palatino Linotype" w:eastAsia="Palatino Linotype" w:hAnsi="Palatino Linotype" w:cs="Palatino Linotype"/>
          <w:color w:val="000000"/>
          <w:sz w:val="24"/>
          <w:szCs w:val="24"/>
        </w:rPr>
        <w:lastRenderedPageBreak/>
        <w:t>fracción I, de la Ley de Transparencia y Acceso a la Información Pública del Estado de México y Municipios, a efecto de salvaguardar el derecho de acceso a la información pública consignado a favor del Recurrente.</w:t>
      </w:r>
    </w:p>
    <w:p w:rsidR="00FF39F4" w:rsidRPr="005E2220" w:rsidRDefault="00FF39F4">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FF39F4" w:rsidRPr="005E2220" w:rsidRDefault="003E479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5E2220">
        <w:rPr>
          <w:rFonts w:ascii="Palatino Linotype" w:eastAsia="Palatino Linotype" w:hAnsi="Palatino Linotype" w:cs="Palatino Linotype"/>
          <w:color w:val="000000"/>
          <w:sz w:val="24"/>
          <w:szCs w:val="24"/>
        </w:rPr>
        <w:t>Así, con fundamento en lo prescrito en los artículos 5, vigésimo segundo, vigésimo tercero y vigésimo cuarto, fracciones IV y V de la Constitución Política del Estado Libre y Soberano de México y los artículos 2, fracción II, 9, 29, 36, fracciones I y II, 176, 178, 179, 181, 185, fracción I, 186 y 188 de la Ley de Transparencia y Acceso a la Información Pública del Estado de México y Municipios, este Pleno:</w:t>
      </w:r>
    </w:p>
    <w:p w:rsidR="00FF39F4" w:rsidRPr="005E2220" w:rsidRDefault="00FF39F4">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FF39F4" w:rsidRPr="005E2220" w:rsidRDefault="003E4790">
      <w:pPr>
        <w:pBdr>
          <w:top w:val="nil"/>
          <w:left w:val="nil"/>
          <w:bottom w:val="nil"/>
          <w:right w:val="nil"/>
          <w:between w:val="nil"/>
        </w:pBdr>
        <w:spacing w:after="0" w:line="360" w:lineRule="auto"/>
        <w:jc w:val="center"/>
        <w:rPr>
          <w:rFonts w:ascii="Palatino Linotype" w:eastAsia="Palatino Linotype" w:hAnsi="Palatino Linotype" w:cs="Palatino Linotype"/>
          <w:b/>
          <w:color w:val="000000"/>
          <w:sz w:val="26"/>
          <w:szCs w:val="26"/>
        </w:rPr>
      </w:pPr>
      <w:r w:rsidRPr="005E2220">
        <w:rPr>
          <w:rFonts w:ascii="Palatino Linotype" w:eastAsia="Palatino Linotype" w:hAnsi="Palatino Linotype" w:cs="Palatino Linotype"/>
          <w:b/>
          <w:color w:val="000000"/>
          <w:sz w:val="26"/>
          <w:szCs w:val="26"/>
        </w:rPr>
        <w:t>R E S U E L V E</w:t>
      </w:r>
    </w:p>
    <w:p w:rsidR="00FF39F4" w:rsidRPr="005E2220" w:rsidRDefault="00FF39F4">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FF39F4" w:rsidRPr="005E2220" w:rsidRDefault="003E479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5E2220">
        <w:rPr>
          <w:rFonts w:ascii="Palatino Linotype" w:eastAsia="Palatino Linotype" w:hAnsi="Palatino Linotype" w:cs="Palatino Linotype"/>
          <w:b/>
          <w:color w:val="000000"/>
          <w:sz w:val="24"/>
          <w:szCs w:val="24"/>
        </w:rPr>
        <w:t>PRIMERO.</w:t>
      </w:r>
      <w:r w:rsidRPr="005E2220">
        <w:rPr>
          <w:rFonts w:ascii="Palatino Linotype" w:eastAsia="Palatino Linotype" w:hAnsi="Palatino Linotype" w:cs="Palatino Linotype"/>
          <w:color w:val="000000"/>
          <w:sz w:val="24"/>
          <w:szCs w:val="24"/>
        </w:rPr>
        <w:t xml:space="preserve"> Resultan fundadas las razones o motivos de inconformidad hechos valer por el Recurrente</w:t>
      </w:r>
      <w:r w:rsidRPr="005E2220">
        <w:rPr>
          <w:rFonts w:ascii="Palatino Linotype" w:eastAsia="Palatino Linotype" w:hAnsi="Palatino Linotype" w:cs="Palatino Linotype"/>
          <w:b/>
          <w:color w:val="000000"/>
          <w:sz w:val="24"/>
          <w:szCs w:val="24"/>
        </w:rPr>
        <w:t>,</w:t>
      </w:r>
      <w:r w:rsidRPr="005E2220">
        <w:rPr>
          <w:rFonts w:ascii="Palatino Linotype" w:eastAsia="Palatino Linotype" w:hAnsi="Palatino Linotype" w:cs="Palatino Linotype"/>
          <w:color w:val="000000"/>
          <w:sz w:val="24"/>
          <w:szCs w:val="24"/>
        </w:rPr>
        <w:t xml:space="preserve"> en términos del </w:t>
      </w:r>
      <w:r w:rsidRPr="005E2220">
        <w:rPr>
          <w:rFonts w:ascii="Palatino Linotype" w:eastAsia="Palatino Linotype" w:hAnsi="Palatino Linotype" w:cs="Palatino Linotype"/>
          <w:b/>
          <w:color w:val="000000"/>
          <w:sz w:val="24"/>
          <w:szCs w:val="24"/>
        </w:rPr>
        <w:t xml:space="preserve">Considerando QUINTO </w:t>
      </w:r>
      <w:r w:rsidRPr="005E2220">
        <w:rPr>
          <w:rFonts w:ascii="Palatino Linotype" w:eastAsia="Palatino Linotype" w:hAnsi="Palatino Linotype" w:cs="Palatino Linotype"/>
          <w:color w:val="000000"/>
          <w:sz w:val="24"/>
          <w:szCs w:val="24"/>
        </w:rPr>
        <w:t>de la presente resolución.</w:t>
      </w:r>
    </w:p>
    <w:p w:rsidR="00FF39F4" w:rsidRPr="005E2220" w:rsidRDefault="00FF39F4">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FF39F4" w:rsidRPr="005E2220" w:rsidRDefault="003E479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5E2220">
        <w:rPr>
          <w:rFonts w:ascii="Palatino Linotype" w:eastAsia="Palatino Linotype" w:hAnsi="Palatino Linotype" w:cs="Palatino Linotype"/>
          <w:b/>
          <w:color w:val="000000"/>
          <w:sz w:val="24"/>
          <w:szCs w:val="24"/>
        </w:rPr>
        <w:t xml:space="preserve">SEGUNDO. </w:t>
      </w:r>
      <w:r w:rsidRPr="005E2220">
        <w:rPr>
          <w:rFonts w:ascii="Palatino Linotype" w:eastAsia="Palatino Linotype" w:hAnsi="Palatino Linotype" w:cs="Palatino Linotype"/>
          <w:color w:val="000000"/>
          <w:sz w:val="24"/>
          <w:szCs w:val="24"/>
        </w:rPr>
        <w:t>Se</w:t>
      </w:r>
      <w:r w:rsidRPr="005E2220">
        <w:rPr>
          <w:rFonts w:ascii="Palatino Linotype" w:eastAsia="Palatino Linotype" w:hAnsi="Palatino Linotype" w:cs="Palatino Linotype"/>
          <w:b/>
          <w:color w:val="000000"/>
          <w:sz w:val="24"/>
          <w:szCs w:val="24"/>
        </w:rPr>
        <w:t xml:space="preserve"> ORDENA </w:t>
      </w:r>
      <w:r w:rsidRPr="005E2220">
        <w:rPr>
          <w:rFonts w:ascii="Palatino Linotype" w:eastAsia="Palatino Linotype" w:hAnsi="Palatino Linotype" w:cs="Palatino Linotype"/>
          <w:color w:val="000000"/>
          <w:sz w:val="24"/>
          <w:szCs w:val="24"/>
        </w:rPr>
        <w:t>al Sujeto Obligado que</w:t>
      </w:r>
      <w:r w:rsidRPr="005E2220">
        <w:rPr>
          <w:rFonts w:ascii="Palatino Linotype" w:eastAsia="Palatino Linotype" w:hAnsi="Palatino Linotype" w:cs="Palatino Linotype"/>
          <w:b/>
          <w:color w:val="000000"/>
          <w:sz w:val="24"/>
          <w:szCs w:val="24"/>
        </w:rPr>
        <w:t xml:space="preserve"> </w:t>
      </w:r>
      <w:r w:rsidRPr="005E2220">
        <w:rPr>
          <w:rFonts w:ascii="Palatino Linotype" w:eastAsia="Palatino Linotype" w:hAnsi="Palatino Linotype" w:cs="Palatino Linotype"/>
          <w:color w:val="000000"/>
          <w:sz w:val="24"/>
          <w:szCs w:val="24"/>
        </w:rPr>
        <w:t xml:space="preserve">atienda la solicitud de información </w:t>
      </w:r>
      <w:r w:rsidRPr="005E2220">
        <w:rPr>
          <w:rFonts w:ascii="Palatino Linotype" w:eastAsia="Palatino Linotype" w:hAnsi="Palatino Linotype" w:cs="Palatino Linotype"/>
          <w:b/>
          <w:color w:val="000000"/>
          <w:sz w:val="24"/>
          <w:szCs w:val="24"/>
        </w:rPr>
        <w:t>00058/TONATICO/IP/2021</w:t>
      </w:r>
      <w:r w:rsidRPr="005E2220">
        <w:rPr>
          <w:rFonts w:ascii="Palatino Linotype" w:eastAsia="Palatino Linotype" w:hAnsi="Palatino Linotype" w:cs="Palatino Linotype"/>
          <w:color w:val="000000"/>
          <w:sz w:val="24"/>
          <w:szCs w:val="24"/>
        </w:rPr>
        <w:t xml:space="preserve">, en términos del </w:t>
      </w:r>
      <w:r w:rsidRPr="005E2220">
        <w:rPr>
          <w:rFonts w:ascii="Palatino Linotype" w:eastAsia="Palatino Linotype" w:hAnsi="Palatino Linotype" w:cs="Palatino Linotype"/>
          <w:b/>
          <w:color w:val="000000"/>
          <w:sz w:val="24"/>
          <w:szCs w:val="24"/>
        </w:rPr>
        <w:t xml:space="preserve">Considerando QUINTO </w:t>
      </w:r>
      <w:r w:rsidRPr="005E2220">
        <w:rPr>
          <w:rFonts w:ascii="Palatino Linotype" w:eastAsia="Palatino Linotype" w:hAnsi="Palatino Linotype" w:cs="Palatino Linotype"/>
          <w:color w:val="000000"/>
          <w:sz w:val="24"/>
          <w:szCs w:val="24"/>
        </w:rPr>
        <w:t>de esta resolución y realice una búsqueda exhaustiva y razonable en los archivos de las áreas competentes comprendiendo el periodo del ocho de julio de dos mil veinte al ocho de julio de dos mil veintiuno, a fin de hacer entrega al Recurrente vía Sistema de Acceso a la Información Mexiquense, en versión pública de ser procedente, de lo siguiente:</w:t>
      </w:r>
    </w:p>
    <w:p w:rsidR="00FF39F4" w:rsidRPr="005E2220" w:rsidRDefault="00FF39F4">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FF39F4" w:rsidRPr="005E2220" w:rsidRDefault="003E4790">
      <w:pPr>
        <w:numPr>
          <w:ilvl w:val="0"/>
          <w:numId w:val="1"/>
        </w:numPr>
        <w:pBdr>
          <w:top w:val="nil"/>
          <w:left w:val="nil"/>
          <w:bottom w:val="nil"/>
          <w:right w:val="nil"/>
          <w:between w:val="nil"/>
        </w:pBdr>
        <w:spacing w:after="0" w:line="360" w:lineRule="auto"/>
        <w:ind w:left="851" w:hanging="567"/>
        <w:jc w:val="both"/>
        <w:rPr>
          <w:rFonts w:ascii="Palatino Linotype" w:eastAsia="Palatino Linotype" w:hAnsi="Palatino Linotype" w:cs="Palatino Linotype"/>
          <w:color w:val="000000"/>
          <w:sz w:val="24"/>
          <w:szCs w:val="24"/>
        </w:rPr>
      </w:pPr>
      <w:r w:rsidRPr="005E2220">
        <w:rPr>
          <w:rFonts w:ascii="Palatino Linotype" w:eastAsia="Palatino Linotype" w:hAnsi="Palatino Linotype" w:cs="Palatino Linotype"/>
          <w:color w:val="000000"/>
          <w:sz w:val="24"/>
          <w:szCs w:val="24"/>
        </w:rPr>
        <w:t>Solicitud de deforestación en el paraje conocido Santa Eduviges/</w:t>
      </w:r>
      <w:proofErr w:type="spellStart"/>
      <w:r w:rsidRPr="005E2220">
        <w:rPr>
          <w:rFonts w:ascii="Palatino Linotype" w:eastAsia="Palatino Linotype" w:hAnsi="Palatino Linotype" w:cs="Palatino Linotype"/>
          <w:color w:val="000000"/>
          <w:sz w:val="24"/>
          <w:szCs w:val="24"/>
        </w:rPr>
        <w:t>Edwiges</w:t>
      </w:r>
      <w:proofErr w:type="spellEnd"/>
      <w:r w:rsidRPr="005E2220">
        <w:rPr>
          <w:rFonts w:ascii="Palatino Linotype" w:eastAsia="Palatino Linotype" w:hAnsi="Palatino Linotype" w:cs="Palatino Linotype"/>
          <w:color w:val="000000"/>
          <w:sz w:val="24"/>
          <w:szCs w:val="24"/>
        </w:rPr>
        <w:t>, en la comunidad de la Vega y la autorización emitida al respecto.</w:t>
      </w:r>
    </w:p>
    <w:p w:rsidR="00FF39F4" w:rsidRPr="005E2220" w:rsidRDefault="00FF39F4">
      <w:pPr>
        <w:pBdr>
          <w:top w:val="nil"/>
          <w:left w:val="nil"/>
          <w:bottom w:val="nil"/>
          <w:right w:val="nil"/>
          <w:between w:val="nil"/>
        </w:pBdr>
        <w:spacing w:after="0" w:line="360" w:lineRule="auto"/>
        <w:ind w:left="851"/>
        <w:jc w:val="both"/>
        <w:rPr>
          <w:rFonts w:ascii="Palatino Linotype" w:eastAsia="Palatino Linotype" w:hAnsi="Palatino Linotype" w:cs="Palatino Linotype"/>
          <w:color w:val="000000"/>
          <w:sz w:val="24"/>
          <w:szCs w:val="24"/>
        </w:rPr>
      </w:pPr>
    </w:p>
    <w:p w:rsidR="00FF39F4" w:rsidRPr="005E2220" w:rsidRDefault="003E479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5E2220">
        <w:rPr>
          <w:rFonts w:ascii="Palatino Linotype" w:eastAsia="Palatino Linotype" w:hAnsi="Palatino Linotype" w:cs="Palatino Linotype"/>
          <w:color w:val="000000"/>
          <w:sz w:val="24"/>
          <w:szCs w:val="24"/>
        </w:rPr>
        <w:t>Como sustento de la versión pública, se deberá emitir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w:t>
      </w:r>
    </w:p>
    <w:p w:rsidR="00FF39F4" w:rsidRPr="005E2220" w:rsidRDefault="00FF39F4">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FF39F4" w:rsidRPr="005E2220" w:rsidRDefault="003E479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5E2220">
        <w:rPr>
          <w:rFonts w:ascii="Palatino Linotype" w:eastAsia="Palatino Linotype" w:hAnsi="Palatino Linotype" w:cs="Palatino Linotype"/>
          <w:color w:val="000000"/>
          <w:sz w:val="24"/>
          <w:szCs w:val="24"/>
        </w:rPr>
        <w:t>En el supuesto de que el Sujeto Obligado no haya generado la información en el periodo señalado, bastará con que así lo haga del conocimiento del Recurrente, en términos del segundo párrafo del artículo 19 de la Ley de Transparencia y Acceso a la Información Pública del Estado de México y Municipios.</w:t>
      </w:r>
    </w:p>
    <w:p w:rsidR="00FF39F4" w:rsidRPr="005E2220" w:rsidRDefault="00FF39F4">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FF39F4" w:rsidRPr="005E2220" w:rsidRDefault="003E479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5E2220">
        <w:rPr>
          <w:rFonts w:ascii="Palatino Linotype" w:eastAsia="Palatino Linotype" w:hAnsi="Palatino Linotype" w:cs="Palatino Linotype"/>
          <w:b/>
          <w:color w:val="000000"/>
          <w:sz w:val="24"/>
          <w:szCs w:val="24"/>
        </w:rPr>
        <w:t>TERCERO. Notifíquese</w:t>
      </w:r>
      <w:r w:rsidRPr="005E2220">
        <w:rPr>
          <w:rFonts w:ascii="Palatino Linotype" w:eastAsia="Palatino Linotype" w:hAnsi="Palatino Linotype" w:cs="Palatino Linotype"/>
          <w:i/>
          <w:color w:val="000000"/>
          <w:sz w:val="24"/>
          <w:szCs w:val="24"/>
        </w:rPr>
        <w:t xml:space="preserve"> </w:t>
      </w:r>
      <w:r w:rsidRPr="005E2220">
        <w:rPr>
          <w:rFonts w:ascii="Palatino Linotype" w:eastAsia="Palatino Linotype" w:hAnsi="Palatino Linotype" w:cs="Palatino Linotype"/>
          <w:color w:val="000000"/>
          <w:sz w:val="24"/>
          <w:szCs w:val="24"/>
        </w:rPr>
        <w:t>la presente resolución al Titular de la Unidad de Transparencia del</w:t>
      </w:r>
      <w:r w:rsidRPr="005E2220">
        <w:rPr>
          <w:rFonts w:ascii="Palatino Linotype" w:eastAsia="Palatino Linotype" w:hAnsi="Palatino Linotype" w:cs="Palatino Linotype"/>
          <w:b/>
          <w:color w:val="000000"/>
          <w:sz w:val="24"/>
          <w:szCs w:val="24"/>
        </w:rPr>
        <w:t xml:space="preserve"> </w:t>
      </w:r>
      <w:r w:rsidRPr="005E2220">
        <w:rPr>
          <w:rFonts w:ascii="Palatino Linotype" w:eastAsia="Palatino Linotype" w:hAnsi="Palatino Linotype" w:cs="Palatino Linotype"/>
          <w:color w:val="000000"/>
          <w:sz w:val="24"/>
          <w:szCs w:val="24"/>
        </w:rPr>
        <w:t>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rsidR="00FF39F4" w:rsidRPr="005E2220" w:rsidRDefault="00FF39F4">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FF39F4" w:rsidRPr="005E2220" w:rsidRDefault="003E479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5E2220">
        <w:rPr>
          <w:rFonts w:ascii="Palatino Linotype" w:eastAsia="Palatino Linotype" w:hAnsi="Palatino Linotype" w:cs="Palatino Linotype"/>
          <w:b/>
          <w:color w:val="000000"/>
          <w:sz w:val="24"/>
          <w:szCs w:val="24"/>
        </w:rPr>
        <w:t xml:space="preserve">CUARTO. Notifíquese </w:t>
      </w:r>
      <w:r w:rsidRPr="005E2220">
        <w:rPr>
          <w:rFonts w:ascii="Palatino Linotype" w:eastAsia="Palatino Linotype" w:hAnsi="Palatino Linotype" w:cs="Palatino Linotype"/>
          <w:color w:val="000000"/>
          <w:sz w:val="24"/>
          <w:szCs w:val="24"/>
        </w:rPr>
        <w:t>al Recurrente la presente resolución y hágase de su conocimiento que, en caso de considerar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rsidR="00FF39F4" w:rsidRPr="005E2220" w:rsidRDefault="00FF39F4">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FF39F4" w:rsidRPr="005E2220" w:rsidRDefault="003E479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5E2220">
        <w:rPr>
          <w:rFonts w:ascii="Palatino Linotype" w:eastAsia="Palatino Linotype" w:hAnsi="Palatino Linotype" w:cs="Palatino Linotype"/>
          <w:b/>
          <w:color w:val="000000"/>
          <w:sz w:val="24"/>
          <w:szCs w:val="24"/>
        </w:rPr>
        <w:t>QUINTO. Gírese</w:t>
      </w:r>
      <w:r w:rsidRPr="005E2220">
        <w:rPr>
          <w:rFonts w:ascii="Palatino Linotype" w:eastAsia="Palatino Linotype" w:hAnsi="Palatino Linotype" w:cs="Palatino Linotype"/>
          <w:color w:val="000000"/>
          <w:sz w:val="24"/>
          <w:szCs w:val="24"/>
        </w:rPr>
        <w:t xml:space="preserv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 lo señalado en el </w:t>
      </w:r>
      <w:r w:rsidRPr="005E2220">
        <w:rPr>
          <w:rFonts w:ascii="Palatino Linotype" w:eastAsia="Palatino Linotype" w:hAnsi="Palatino Linotype" w:cs="Palatino Linotype"/>
          <w:b/>
          <w:color w:val="000000"/>
          <w:sz w:val="24"/>
          <w:szCs w:val="24"/>
        </w:rPr>
        <w:t>Considerando</w:t>
      </w:r>
      <w:r w:rsidRPr="005E2220">
        <w:rPr>
          <w:rFonts w:ascii="Palatino Linotype" w:eastAsia="Palatino Linotype" w:hAnsi="Palatino Linotype" w:cs="Palatino Linotype"/>
          <w:color w:val="000000"/>
          <w:sz w:val="24"/>
          <w:szCs w:val="24"/>
        </w:rPr>
        <w:t xml:space="preserve"> </w:t>
      </w:r>
      <w:r w:rsidRPr="005E2220">
        <w:rPr>
          <w:rFonts w:ascii="Palatino Linotype" w:eastAsia="Palatino Linotype" w:hAnsi="Palatino Linotype" w:cs="Palatino Linotype"/>
          <w:b/>
          <w:color w:val="000000"/>
          <w:sz w:val="24"/>
          <w:szCs w:val="24"/>
        </w:rPr>
        <w:t>QUINTO</w:t>
      </w:r>
      <w:r w:rsidRPr="005E2220">
        <w:rPr>
          <w:rFonts w:ascii="Palatino Linotype" w:eastAsia="Palatino Linotype" w:hAnsi="Palatino Linotype" w:cs="Palatino Linotype"/>
          <w:color w:val="000000"/>
          <w:sz w:val="24"/>
          <w:szCs w:val="24"/>
        </w:rPr>
        <w:t xml:space="preserve"> de la presente resolución. </w:t>
      </w:r>
    </w:p>
    <w:p w:rsidR="00FF39F4" w:rsidRPr="005E2220" w:rsidRDefault="00FF39F4">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FF39F4" w:rsidRPr="005E2220" w:rsidRDefault="003E479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5E2220">
        <w:rPr>
          <w:rFonts w:ascii="Palatino Linotype" w:eastAsia="Palatino Linotype" w:hAnsi="Palatino Linotype" w:cs="Palatino Linotype"/>
          <w:b/>
          <w:color w:val="000000"/>
          <w:sz w:val="24"/>
          <w:szCs w:val="24"/>
        </w:rPr>
        <w:t>SEXTO.</w:t>
      </w:r>
      <w:r w:rsidRPr="005E2220">
        <w:rPr>
          <w:rFonts w:ascii="Palatino Linotype" w:eastAsia="Palatino Linotype" w:hAnsi="Palatino Linotype" w:cs="Palatino Linotype"/>
          <w:color w:val="000000"/>
          <w:sz w:val="24"/>
          <w:szCs w:val="24"/>
        </w:rPr>
        <w:t xml:space="preserve"> Se hace del conocimiento del Recurrente que, de conformidad con lo establecido en el artículo 179, párrafo segundo, de la Ley de Transparencia y Acceso a la Información Pública del Estado de México y Municipios, tiene derecho a interponer nuevamente recurso de revisión ante este Instituto, por la respuesta que proporcione el Sujeto Obligado, en cumplimiento a esta Resolución.</w:t>
      </w:r>
    </w:p>
    <w:p w:rsidR="00FF39F4" w:rsidRPr="005E2220" w:rsidRDefault="00FF39F4">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FF39F4" w:rsidRPr="005E2220" w:rsidRDefault="003E479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5E2220">
        <w:rPr>
          <w:rFonts w:ascii="Palatino Linotype" w:eastAsia="Palatino Linotype" w:hAnsi="Palatino Linotype" w:cs="Palatino Linotype"/>
          <w:b/>
          <w:color w:val="000000"/>
          <w:sz w:val="24"/>
          <w:szCs w:val="24"/>
        </w:rPr>
        <w:t>SÉPTIMO.</w:t>
      </w:r>
      <w:r w:rsidRPr="005E2220">
        <w:rPr>
          <w:rFonts w:ascii="Palatino Linotype" w:eastAsia="Palatino Linotype" w:hAnsi="Palatino Linotype" w:cs="Palatino Linotype"/>
          <w:color w:val="000000"/>
          <w:sz w:val="24"/>
          <w:szCs w:val="24"/>
        </w:rPr>
        <w:t xml:space="preserve"> Con fundamento en el artículo 198 de la Ley de Transparencia y Acceso a la Información Pública del Estado de México y Municipios, se apercibe al Sujeto Obligado a que, en caso de negarse a cumplir la presente resolución o hacerlo de manera parcial, se actuará de conformidad con lo previsto en los artículos 213, 214, 216 y 217 de la Ley en cita.</w:t>
      </w:r>
    </w:p>
    <w:p w:rsidR="00FF39F4" w:rsidRPr="005E2220" w:rsidRDefault="00FF39F4">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FF39F4" w:rsidRPr="005E2220" w:rsidRDefault="003E479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bookmarkStart w:id="1" w:name="_heading=h.gjdgxs" w:colFirst="0" w:colLast="0"/>
      <w:bookmarkEnd w:id="1"/>
      <w:r w:rsidRPr="005E2220">
        <w:rPr>
          <w:rFonts w:ascii="Palatino Linotype" w:eastAsia="Palatino Linotype" w:hAnsi="Palatino Linotype" w:cs="Palatino Linotype"/>
          <w:color w:val="000000"/>
          <w:sz w:val="24"/>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w:t>
      </w:r>
      <w:r w:rsidRPr="005E2220">
        <w:rPr>
          <w:rFonts w:ascii="Palatino Linotype" w:eastAsia="Palatino Linotype" w:hAnsi="Palatino Linotype" w:cs="Palatino Linotype"/>
          <w:color w:val="000000"/>
          <w:sz w:val="24"/>
          <w:szCs w:val="24"/>
        </w:rPr>
        <w:lastRenderedPageBreak/>
        <w:t>DEL ROSARIO MEJÍA AYALA, SHARON CRISTINA MORALES MARTÍNEZ, LUIS GUSTAVO PARRA NORIEGA Y GUADALUPE R</w:t>
      </w:r>
      <w:r w:rsidR="00AF5EE1">
        <w:rPr>
          <w:rFonts w:ascii="Palatino Linotype" w:eastAsia="Palatino Linotype" w:hAnsi="Palatino Linotype" w:cs="Palatino Linotype"/>
          <w:color w:val="000000"/>
          <w:sz w:val="24"/>
          <w:szCs w:val="24"/>
        </w:rPr>
        <w:t>AMÍREZ PEÑA, EN LA TRIGÉSIMA SÉPTIMA</w:t>
      </w:r>
      <w:r w:rsidRPr="005E2220">
        <w:rPr>
          <w:rFonts w:ascii="Palatino Linotype" w:eastAsia="Palatino Linotype" w:hAnsi="Palatino Linotype" w:cs="Palatino Linotype"/>
          <w:color w:val="000000"/>
          <w:sz w:val="24"/>
          <w:szCs w:val="24"/>
        </w:rPr>
        <w:t xml:space="preserve"> SE</w:t>
      </w:r>
      <w:r w:rsidR="00AF5EE1">
        <w:rPr>
          <w:rFonts w:ascii="Palatino Linotype" w:eastAsia="Palatino Linotype" w:hAnsi="Palatino Linotype" w:cs="Palatino Linotype"/>
          <w:color w:val="000000"/>
          <w:sz w:val="24"/>
          <w:szCs w:val="24"/>
        </w:rPr>
        <w:t>SIÓN ORDINARIA CELEBRADA EL VEINTE</w:t>
      </w:r>
      <w:r w:rsidRPr="005E2220">
        <w:rPr>
          <w:rFonts w:ascii="Palatino Linotype" w:eastAsia="Palatino Linotype" w:hAnsi="Palatino Linotype" w:cs="Palatino Linotype"/>
          <w:color w:val="000000"/>
          <w:sz w:val="24"/>
          <w:szCs w:val="24"/>
        </w:rPr>
        <w:t xml:space="preserve"> DE OCTUBRE DE DOS MIL VEINTIUNO, ANTE EL SECRETARIO TÉCNICO DEL PLENO, ALEXIS TAPIA RAMÍREZ.---------------------------------------------------------------------------------------------------------------------------------------------------</w:t>
      </w:r>
      <w:r w:rsidR="00AF5EE1">
        <w:rPr>
          <w:rFonts w:ascii="Palatino Linotype" w:eastAsia="Palatino Linotype" w:hAnsi="Palatino Linotype" w:cs="Palatino Linotype"/>
          <w:color w:val="000000"/>
          <w:sz w:val="24"/>
          <w:szCs w:val="24"/>
        </w:rPr>
        <w:t>-------------------------------</w:t>
      </w:r>
      <w:r w:rsidRPr="005E2220">
        <w:rPr>
          <w:rFonts w:ascii="Palatino Linotype" w:eastAsia="Palatino Linotype" w:hAnsi="Palatino Linotype" w:cs="Palatino Linotype"/>
          <w:color w:val="000000"/>
          <w:sz w:val="24"/>
          <w:szCs w:val="24"/>
        </w:rPr>
        <w:t>---------------------------------------------------------------------------------------------------------------------------------------------------------------------------------------------------------------------------------------------------------------------------------------------------------------------------------------------------------------------------------------------------------------------------------------------------------------------------------------------------------------------------------------------------------------------------------------------------------------------------------------------------------------------------------------------------------------------------------------------------------------------------------------------------------------------------------------------------------------------------------------------------------------------------------------------------------------------------------------------------------------------------------------------------------------------------------------------------------------------------------------------------------------------------------------------------------------------------------------------------------------------------------------------------------------------------------------------------------------------------------------------------------------------------------------------------------------------------------------------------------------------------------------------------------------------------------------------------------------------------------------------------------------------------------------------------------------------------------------------------------------------------------------------------------------------------------------------------------------------------------------------------------------------------------------------------------------------------------------</w:t>
      </w:r>
      <w:r w:rsidR="00AF5EE1">
        <w:rPr>
          <w:rFonts w:ascii="Palatino Linotype" w:eastAsia="Palatino Linotype" w:hAnsi="Palatino Linotype" w:cs="Palatino Linotype"/>
          <w:color w:val="000000"/>
          <w:sz w:val="24"/>
          <w:szCs w:val="24"/>
        </w:rPr>
        <w:t>----------</w:t>
      </w:r>
    </w:p>
    <w:p w:rsidR="00FF39F4" w:rsidRPr="005E2220" w:rsidRDefault="003E4790">
      <w:pPr>
        <w:spacing w:after="0" w:line="240" w:lineRule="auto"/>
        <w:jc w:val="both"/>
        <w:rPr>
          <w:rFonts w:ascii="Palatino Linotype" w:eastAsia="Palatino Linotype" w:hAnsi="Palatino Linotype" w:cs="Palatino Linotype"/>
          <w:sz w:val="18"/>
          <w:szCs w:val="18"/>
        </w:rPr>
      </w:pPr>
      <w:r w:rsidRPr="005E2220">
        <w:rPr>
          <w:rFonts w:ascii="Palatino Linotype" w:eastAsia="Palatino Linotype" w:hAnsi="Palatino Linotype" w:cs="Palatino Linotype"/>
          <w:sz w:val="18"/>
          <w:szCs w:val="18"/>
        </w:rPr>
        <w:t>JMV/CCR/</w:t>
      </w:r>
      <w:proofErr w:type="spellStart"/>
      <w:r w:rsidRPr="005E2220">
        <w:rPr>
          <w:rFonts w:ascii="Palatino Linotype" w:eastAsia="Palatino Linotype" w:hAnsi="Palatino Linotype" w:cs="Palatino Linotype"/>
          <w:sz w:val="18"/>
          <w:szCs w:val="18"/>
        </w:rPr>
        <w:t>fzh</w:t>
      </w:r>
      <w:proofErr w:type="spellEnd"/>
    </w:p>
    <w:p w:rsidR="00FF39F4" w:rsidRDefault="00FF39F4">
      <w:pPr>
        <w:spacing w:after="0" w:line="240" w:lineRule="auto"/>
        <w:jc w:val="both"/>
        <w:rPr>
          <w:rFonts w:ascii="Palatino Linotype" w:eastAsia="Palatino Linotype" w:hAnsi="Palatino Linotype" w:cs="Palatino Linotype"/>
          <w:sz w:val="18"/>
          <w:szCs w:val="18"/>
        </w:rPr>
      </w:pPr>
    </w:p>
    <w:p w:rsidR="00FF39F4" w:rsidRDefault="00FF39F4">
      <w:pPr>
        <w:spacing w:after="0" w:line="240" w:lineRule="auto"/>
        <w:jc w:val="both"/>
        <w:rPr>
          <w:rFonts w:ascii="Palatino Linotype" w:eastAsia="Palatino Linotype" w:hAnsi="Palatino Linotype" w:cs="Palatino Linotype"/>
          <w:sz w:val="18"/>
          <w:szCs w:val="18"/>
        </w:rPr>
      </w:pPr>
    </w:p>
    <w:p w:rsidR="00FF39F4" w:rsidRDefault="00FF39F4">
      <w:pPr>
        <w:spacing w:after="0" w:line="240" w:lineRule="auto"/>
        <w:jc w:val="both"/>
        <w:rPr>
          <w:rFonts w:ascii="Palatino Linotype" w:eastAsia="Palatino Linotype" w:hAnsi="Palatino Linotype" w:cs="Palatino Linotype"/>
          <w:sz w:val="18"/>
          <w:szCs w:val="18"/>
        </w:rPr>
      </w:pPr>
    </w:p>
    <w:p w:rsidR="00FF39F4" w:rsidRDefault="00FF39F4">
      <w:pPr>
        <w:spacing w:after="0" w:line="240" w:lineRule="auto"/>
        <w:jc w:val="both"/>
        <w:rPr>
          <w:rFonts w:ascii="Palatino Linotype" w:eastAsia="Palatino Linotype" w:hAnsi="Palatino Linotype" w:cs="Palatino Linotype"/>
          <w:sz w:val="18"/>
          <w:szCs w:val="18"/>
        </w:rPr>
      </w:pPr>
    </w:p>
    <w:p w:rsidR="00FF39F4" w:rsidRDefault="00FF39F4">
      <w:pPr>
        <w:spacing w:after="0" w:line="240" w:lineRule="auto"/>
        <w:jc w:val="both"/>
        <w:rPr>
          <w:rFonts w:ascii="Palatino Linotype" w:eastAsia="Palatino Linotype" w:hAnsi="Palatino Linotype" w:cs="Palatino Linotype"/>
          <w:sz w:val="18"/>
          <w:szCs w:val="18"/>
        </w:rPr>
      </w:pPr>
    </w:p>
    <w:p w:rsidR="00FF39F4" w:rsidRDefault="00FF39F4">
      <w:pPr>
        <w:spacing w:after="0" w:line="240" w:lineRule="auto"/>
        <w:jc w:val="both"/>
        <w:rPr>
          <w:rFonts w:ascii="Palatino Linotype" w:eastAsia="Palatino Linotype" w:hAnsi="Palatino Linotype" w:cs="Palatino Linotype"/>
          <w:sz w:val="18"/>
          <w:szCs w:val="18"/>
        </w:rPr>
      </w:pPr>
    </w:p>
    <w:p w:rsidR="00FF39F4" w:rsidRDefault="00FF39F4">
      <w:pPr>
        <w:spacing w:after="0" w:line="240" w:lineRule="auto"/>
        <w:jc w:val="both"/>
        <w:rPr>
          <w:rFonts w:ascii="Palatino Linotype" w:eastAsia="Palatino Linotype" w:hAnsi="Palatino Linotype" w:cs="Palatino Linotype"/>
          <w:sz w:val="18"/>
          <w:szCs w:val="18"/>
        </w:rPr>
      </w:pPr>
    </w:p>
    <w:p w:rsidR="00FF39F4" w:rsidRDefault="00FF39F4">
      <w:pPr>
        <w:spacing w:after="0" w:line="240" w:lineRule="auto"/>
        <w:jc w:val="both"/>
        <w:rPr>
          <w:rFonts w:ascii="Palatino Linotype" w:eastAsia="Palatino Linotype" w:hAnsi="Palatino Linotype" w:cs="Palatino Linotype"/>
          <w:sz w:val="18"/>
          <w:szCs w:val="18"/>
        </w:rPr>
      </w:pPr>
    </w:p>
    <w:p w:rsidR="00FF39F4" w:rsidRDefault="00FF39F4">
      <w:pPr>
        <w:spacing w:after="0" w:line="240" w:lineRule="auto"/>
        <w:jc w:val="both"/>
        <w:rPr>
          <w:rFonts w:ascii="Palatino Linotype" w:eastAsia="Palatino Linotype" w:hAnsi="Palatino Linotype" w:cs="Palatino Linotype"/>
          <w:sz w:val="18"/>
          <w:szCs w:val="18"/>
        </w:rPr>
      </w:pPr>
    </w:p>
    <w:sectPr w:rsidR="00FF39F4">
      <w:headerReference w:type="even" r:id="rId14"/>
      <w:headerReference w:type="default" r:id="rId15"/>
      <w:footerReference w:type="default" r:id="rId16"/>
      <w:headerReference w:type="first" r:id="rId17"/>
      <w:footerReference w:type="first" r:id="rId18"/>
      <w:pgSz w:w="12240" w:h="15840"/>
      <w:pgMar w:top="1417" w:right="1467" w:bottom="1417"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1E9B" w:rsidRDefault="00801E9B">
      <w:pPr>
        <w:spacing w:after="0" w:line="240" w:lineRule="auto"/>
      </w:pPr>
      <w:r>
        <w:separator/>
      </w:r>
    </w:p>
  </w:endnote>
  <w:endnote w:type="continuationSeparator" w:id="0">
    <w:p w:rsidR="00801E9B" w:rsidRDefault="00801E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39F4" w:rsidRDefault="003E4790">
    <w:pPr>
      <w:pBdr>
        <w:top w:val="nil"/>
        <w:left w:val="nil"/>
        <w:bottom w:val="nil"/>
        <w:right w:val="nil"/>
        <w:between w:val="nil"/>
      </w:pBdr>
      <w:tabs>
        <w:tab w:val="center" w:pos="4419"/>
        <w:tab w:val="right" w:pos="8838"/>
      </w:tabs>
      <w:spacing w:after="0" w:line="240" w:lineRule="auto"/>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B55D1D">
      <w:rPr>
        <w:rFonts w:ascii="Palatino Linotype" w:eastAsia="Palatino Linotype" w:hAnsi="Palatino Linotype" w:cs="Palatino Linotype"/>
        <w:noProof/>
        <w:color w:val="000000"/>
        <w:sz w:val="20"/>
        <w:szCs w:val="20"/>
      </w:rPr>
      <w:t>46</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B55D1D">
      <w:rPr>
        <w:rFonts w:ascii="Palatino Linotype" w:eastAsia="Palatino Linotype" w:hAnsi="Palatino Linotype" w:cs="Palatino Linotype"/>
        <w:noProof/>
        <w:color w:val="000000"/>
        <w:sz w:val="20"/>
        <w:szCs w:val="20"/>
      </w:rPr>
      <w:t>46</w:t>
    </w:r>
    <w:r>
      <w:rPr>
        <w:rFonts w:ascii="Palatino Linotype" w:eastAsia="Palatino Linotype" w:hAnsi="Palatino Linotype" w:cs="Palatino Linotype"/>
        <w:color w:val="000000"/>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39F4" w:rsidRDefault="003E4790">
    <w:pPr>
      <w:pBdr>
        <w:top w:val="nil"/>
        <w:left w:val="nil"/>
        <w:bottom w:val="nil"/>
        <w:right w:val="nil"/>
        <w:between w:val="nil"/>
      </w:pBdr>
      <w:tabs>
        <w:tab w:val="center" w:pos="4419"/>
        <w:tab w:val="right" w:pos="8838"/>
      </w:tabs>
      <w:spacing w:after="0" w:line="240" w:lineRule="auto"/>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B55D1D">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B55D1D">
      <w:rPr>
        <w:rFonts w:ascii="Palatino Linotype" w:eastAsia="Palatino Linotype" w:hAnsi="Palatino Linotype" w:cs="Palatino Linotype"/>
        <w:noProof/>
        <w:color w:val="000000"/>
        <w:sz w:val="20"/>
        <w:szCs w:val="20"/>
      </w:rPr>
      <w:t>46</w:t>
    </w:r>
    <w:r>
      <w:rPr>
        <w:rFonts w:ascii="Palatino Linotype" w:eastAsia="Palatino Linotype" w:hAnsi="Palatino Linotype" w:cs="Palatino Linotype"/>
        <w:color w:val="000000"/>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1E9B" w:rsidRDefault="00801E9B">
      <w:pPr>
        <w:spacing w:after="0" w:line="240" w:lineRule="auto"/>
      </w:pPr>
      <w:r>
        <w:separator/>
      </w:r>
    </w:p>
  </w:footnote>
  <w:footnote w:type="continuationSeparator" w:id="0">
    <w:p w:rsidR="00801E9B" w:rsidRDefault="00801E9B">
      <w:pPr>
        <w:spacing w:after="0" w:line="240" w:lineRule="auto"/>
      </w:pPr>
      <w:r>
        <w:continuationSeparator/>
      </w:r>
    </w:p>
  </w:footnote>
  <w:footnote w:id="1">
    <w:p w:rsidR="00FF39F4" w:rsidRDefault="003E4790">
      <w:pPr>
        <w:pBdr>
          <w:top w:val="nil"/>
          <w:left w:val="nil"/>
          <w:bottom w:val="nil"/>
          <w:right w:val="nil"/>
          <w:between w:val="nil"/>
        </w:pBdr>
        <w:spacing w:after="0" w:line="240" w:lineRule="auto"/>
        <w:jc w:val="both"/>
        <w:rPr>
          <w:rFonts w:ascii="Palatino Linotype" w:eastAsia="Palatino Linotype" w:hAnsi="Palatino Linotype" w:cs="Palatino Linotype"/>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rsidR="00FF39F4" w:rsidRDefault="00FF39F4">
      <w:pPr>
        <w:pBdr>
          <w:top w:val="nil"/>
          <w:left w:val="nil"/>
          <w:bottom w:val="nil"/>
          <w:right w:val="nil"/>
          <w:between w:val="nil"/>
        </w:pBdr>
        <w:spacing w:after="0" w:line="240" w:lineRule="auto"/>
        <w:jc w:val="both"/>
        <w:rPr>
          <w:rFonts w:ascii="Palatino Linotype" w:eastAsia="Palatino Linotype" w:hAnsi="Palatino Linotype" w:cs="Palatino Linotype"/>
          <w:color w:val="000000"/>
          <w:sz w:val="20"/>
          <w:szCs w:val="20"/>
        </w:rPr>
      </w:pPr>
    </w:p>
    <w:p w:rsidR="00FF39F4" w:rsidRDefault="003E4790">
      <w:pPr>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Pr>
          <w:rFonts w:ascii="Palatino Linotype" w:eastAsia="Palatino Linotype" w:hAnsi="Palatino Linotype" w:cs="Palatino Linotype"/>
          <w:i/>
          <w:sz w:val="20"/>
          <w:szCs w:val="20"/>
        </w:rPr>
        <w:t>Del examen de compatibilidad de los artículos </w:t>
      </w:r>
      <w:hyperlink r:id="rId1">
        <w:r>
          <w:rPr>
            <w:rFonts w:ascii="Palatino Linotype" w:eastAsia="Palatino Linotype" w:hAnsi="Palatino Linotype" w:cs="Palatino Linotype"/>
            <w:i/>
            <w:color w:val="0563C1"/>
            <w:u w:val="single"/>
          </w:rPr>
          <w:t>73 y 74 de la Ley de Amparo</w:t>
        </w:r>
      </w:hyperlink>
      <w:r>
        <w:rPr>
          <w:rFonts w:ascii="Palatino Linotype" w:eastAsia="Palatino Linotype" w:hAnsi="Palatino Linotype" w:cs="Palatino Linotype"/>
          <w:i/>
          <w:sz w:val="20"/>
          <w:szCs w:val="20"/>
        </w:rPr>
        <w:t> con el artículo </w:t>
      </w:r>
      <w:hyperlink r:id="rId2">
        <w:r>
          <w:rPr>
            <w:rFonts w:ascii="Palatino Linotype" w:eastAsia="Palatino Linotype" w:hAnsi="Palatino Linotype" w:cs="Palatino Linotype"/>
            <w:i/>
            <w:color w:val="0563C1"/>
            <w:u w:val="single"/>
          </w:rPr>
          <w:t>25.1 de la Convención Americana sobre Derechos Humanos</w:t>
        </w:r>
      </w:hyperlink>
      <w:r>
        <w:rPr>
          <w:rFonts w:ascii="Palatino Linotype" w:eastAsia="Palatino Linotype" w:hAnsi="Palatino Linotype" w:cs="Palatino Linotype"/>
          <w:i/>
          <w:sz w:val="20"/>
          <w:szCs w:val="20"/>
        </w:rPr>
        <w:t> </w:t>
      </w:r>
      <w:r>
        <w:rPr>
          <w:rFonts w:ascii="Palatino Linotype" w:eastAsia="Palatino Linotype" w:hAnsi="Palatino Linotype"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Pr>
          <w:rFonts w:ascii="Palatino Linotype" w:eastAsia="Palatino Linotype" w:hAnsi="Palatino Linotype"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Pr>
          <w:rFonts w:ascii="Palatino Linotype" w:eastAsia="Palatino Linotype" w:hAnsi="Palatino Linotype" w:cs="Palatino Linotype"/>
          <w:i/>
          <w:sz w:val="20"/>
          <w:szCs w:val="20"/>
        </w:rPr>
        <w:t>concesoria</w:t>
      </w:r>
      <w:proofErr w:type="spellEnd"/>
      <w:r>
        <w:rPr>
          <w:rFonts w:ascii="Palatino Linotype" w:eastAsia="Palatino Linotype" w:hAnsi="Palatino Linotype" w:cs="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FF39F4" w:rsidRDefault="003E4790">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20"/>
          <w:szCs w:val="20"/>
        </w:rPr>
        <w:t>Al encontrarse en algún supuesto restrictivo, previsto en la normatividad aplicable.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39CB" w:rsidRDefault="00B55D1D">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80006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39F4" w:rsidRDefault="00B55D1D">
    <w:pPr>
      <w:pBdr>
        <w:top w:val="nil"/>
        <w:left w:val="nil"/>
        <w:bottom w:val="nil"/>
        <w:right w:val="nil"/>
        <w:between w:val="nil"/>
      </w:pBdr>
      <w:tabs>
        <w:tab w:val="center" w:pos="4419"/>
        <w:tab w:val="right" w:pos="8838"/>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800064" o:spid="_x0000_s2051" type="#_x0000_t75" style="position:absolute;margin-left:0;margin-top:0;width:609.4pt;height:793.75pt;z-index:-251656192;mso-position-horizontal:center;mso-position-horizontal-relative:margin;mso-position-vertical:center;mso-position-vertical-relative:margin" o:allowincell="f">
          <v:imagedata r:id="rId1" o:title="logo infoem (1)"/>
          <w10:wrap anchorx="margin" anchory="margin"/>
        </v:shape>
      </w:pict>
    </w:r>
  </w:p>
  <w:tbl>
    <w:tblPr>
      <w:tblStyle w:val="a0"/>
      <w:tblW w:w="10065" w:type="dxa"/>
      <w:tblInd w:w="-851" w:type="dxa"/>
      <w:tblLayout w:type="fixed"/>
      <w:tblLook w:val="0400" w:firstRow="0" w:lastRow="0" w:firstColumn="0" w:lastColumn="0" w:noHBand="0" w:noVBand="1"/>
    </w:tblPr>
    <w:tblGrid>
      <w:gridCol w:w="6521"/>
      <w:gridCol w:w="3544"/>
    </w:tblGrid>
    <w:tr w:rsidR="00FF39F4">
      <w:trPr>
        <w:trHeight w:val="227"/>
      </w:trPr>
      <w:tc>
        <w:tcPr>
          <w:tcW w:w="6521" w:type="dxa"/>
        </w:tcPr>
        <w:p w:rsidR="00FF39F4" w:rsidRDefault="003E4790">
          <w:pPr>
            <w:spacing w:after="120" w:line="256" w:lineRule="auto"/>
            <w:ind w:right="204"/>
            <w:jc w:val="right"/>
            <w:rPr>
              <w:rFonts w:ascii="Palatino Linotype" w:eastAsia="Palatino Linotype" w:hAnsi="Palatino Linotype" w:cs="Palatino Linotype"/>
              <w:b/>
            </w:rPr>
          </w:pPr>
          <w:r>
            <w:rPr>
              <w:rFonts w:ascii="Palatino Linotype" w:eastAsia="Palatino Linotype" w:hAnsi="Palatino Linotype" w:cs="Palatino Linotype"/>
              <w:b/>
            </w:rPr>
            <w:t>Recurso de Revisión N°:</w:t>
          </w:r>
        </w:p>
      </w:tc>
      <w:tc>
        <w:tcPr>
          <w:tcW w:w="3544" w:type="dxa"/>
        </w:tcPr>
        <w:p w:rsidR="00FF39F4" w:rsidRDefault="003E4790">
          <w:pPr>
            <w:spacing w:after="120" w:line="256" w:lineRule="auto"/>
            <w:ind w:right="214"/>
            <w:jc w:val="right"/>
            <w:rPr>
              <w:rFonts w:ascii="Palatino Linotype" w:eastAsia="Palatino Linotype" w:hAnsi="Palatino Linotype" w:cs="Palatino Linotype"/>
            </w:rPr>
          </w:pPr>
          <w:r>
            <w:rPr>
              <w:rFonts w:ascii="Palatino Linotype" w:eastAsia="Palatino Linotype" w:hAnsi="Palatino Linotype" w:cs="Palatino Linotype"/>
            </w:rPr>
            <w:t>04540/INFOEM/IP/RR/2021</w:t>
          </w:r>
        </w:p>
      </w:tc>
    </w:tr>
    <w:tr w:rsidR="00FF39F4">
      <w:trPr>
        <w:trHeight w:val="242"/>
      </w:trPr>
      <w:tc>
        <w:tcPr>
          <w:tcW w:w="6521" w:type="dxa"/>
        </w:tcPr>
        <w:p w:rsidR="00FF39F4" w:rsidRDefault="003E4790">
          <w:pPr>
            <w:spacing w:after="120" w:line="256" w:lineRule="auto"/>
            <w:ind w:right="204"/>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544" w:type="dxa"/>
        </w:tcPr>
        <w:p w:rsidR="00FF39F4" w:rsidRDefault="003E4790">
          <w:pPr>
            <w:spacing w:after="120" w:line="256" w:lineRule="auto"/>
            <w:ind w:right="214"/>
            <w:jc w:val="right"/>
            <w:rPr>
              <w:rFonts w:ascii="Palatino Linotype" w:eastAsia="Palatino Linotype" w:hAnsi="Palatino Linotype" w:cs="Palatino Linotype"/>
            </w:rPr>
          </w:pPr>
          <w:r>
            <w:rPr>
              <w:rFonts w:ascii="Palatino Linotype" w:eastAsia="Palatino Linotype" w:hAnsi="Palatino Linotype" w:cs="Palatino Linotype"/>
            </w:rPr>
            <w:t>Ayuntamiento de Tonatico</w:t>
          </w:r>
        </w:p>
      </w:tc>
    </w:tr>
    <w:tr w:rsidR="00FF39F4">
      <w:trPr>
        <w:trHeight w:val="342"/>
      </w:trPr>
      <w:tc>
        <w:tcPr>
          <w:tcW w:w="6521" w:type="dxa"/>
        </w:tcPr>
        <w:p w:rsidR="00FF39F4" w:rsidRDefault="003E4790">
          <w:pPr>
            <w:tabs>
              <w:tab w:val="left" w:pos="4892"/>
            </w:tabs>
            <w:spacing w:after="120" w:line="256" w:lineRule="auto"/>
            <w:ind w:right="204"/>
            <w:jc w:val="right"/>
            <w:rPr>
              <w:rFonts w:ascii="Palatino Linotype" w:eastAsia="Palatino Linotype" w:hAnsi="Palatino Linotype" w:cs="Palatino Linotype"/>
              <w:b/>
            </w:rPr>
          </w:pPr>
          <w:r>
            <w:rPr>
              <w:rFonts w:ascii="Palatino Linotype" w:eastAsia="Palatino Linotype" w:hAnsi="Palatino Linotype" w:cs="Palatino Linotype"/>
              <w:b/>
            </w:rPr>
            <w:t>Comisionado Ponente:</w:t>
          </w:r>
        </w:p>
      </w:tc>
      <w:tc>
        <w:tcPr>
          <w:tcW w:w="3544" w:type="dxa"/>
        </w:tcPr>
        <w:p w:rsidR="00FF39F4" w:rsidRDefault="003E4790">
          <w:pPr>
            <w:spacing w:after="120" w:line="256" w:lineRule="auto"/>
            <w:ind w:right="214"/>
            <w:jc w:val="right"/>
            <w:rPr>
              <w:rFonts w:ascii="Palatino Linotype" w:eastAsia="Palatino Linotype" w:hAnsi="Palatino Linotype" w:cs="Palatino Linotype"/>
            </w:rPr>
          </w:pPr>
          <w:r>
            <w:rPr>
              <w:rFonts w:ascii="Palatino Linotype" w:eastAsia="Palatino Linotype" w:hAnsi="Palatino Linotype" w:cs="Palatino Linotype"/>
            </w:rPr>
            <w:t>José Martínez Vilchis</w:t>
          </w:r>
        </w:p>
      </w:tc>
    </w:tr>
  </w:tbl>
  <w:p w:rsidR="00FF39F4" w:rsidRDefault="00FF39F4">
    <w:pPr>
      <w:pBdr>
        <w:top w:val="nil"/>
        <w:left w:val="nil"/>
        <w:bottom w:val="nil"/>
        <w:right w:val="nil"/>
        <w:between w:val="nil"/>
      </w:pBdr>
      <w:tabs>
        <w:tab w:val="center" w:pos="4419"/>
        <w:tab w:val="right" w:pos="8838"/>
      </w:tabs>
      <w:spacing w:after="0" w:line="240" w:lineRule="auto"/>
      <w:rPr>
        <w:rFonts w:ascii="Times New Roman" w:eastAsia="Times New Roman" w:hAnsi="Times New Roman" w:cs="Times New Roman"/>
        <w:color w:val="000000"/>
        <w:sz w:val="24"/>
        <w:szCs w:val="24"/>
      </w:rPr>
    </w:pPr>
  </w:p>
  <w:p w:rsidR="00FF39F4" w:rsidRDefault="00FF39F4">
    <w:pPr>
      <w:pBdr>
        <w:top w:val="nil"/>
        <w:left w:val="nil"/>
        <w:bottom w:val="nil"/>
        <w:right w:val="nil"/>
        <w:between w:val="nil"/>
      </w:pBdr>
      <w:tabs>
        <w:tab w:val="center" w:pos="4419"/>
        <w:tab w:val="right" w:pos="8838"/>
      </w:tabs>
      <w:spacing w:after="0" w:line="240" w:lineRule="auto"/>
      <w:rPr>
        <w:rFonts w:ascii="Times New Roman" w:eastAsia="Times New Roman" w:hAnsi="Times New Roman" w:cs="Times New Roman"/>
        <w:color w:val="000000"/>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39F4" w:rsidRDefault="00B55D1D">
    <w:pPr>
      <w:widowControl w:val="0"/>
      <w:pBdr>
        <w:top w:val="nil"/>
        <w:left w:val="nil"/>
        <w:bottom w:val="nil"/>
        <w:right w:val="nil"/>
        <w:between w:val="nil"/>
      </w:pBdr>
      <w:spacing w:after="0" w:line="276" w:lineRule="auto"/>
      <w:rPr>
        <w:color w:val="000000"/>
        <w:sz w:val="20"/>
        <w:szCs w:val="20"/>
      </w:rPr>
    </w:pPr>
    <w:r>
      <w:rPr>
        <w:noProof/>
        <w:color w:val="000000"/>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800062" o:spid="_x0000_s2049" type="#_x0000_t75" style="position:absolute;margin-left:0;margin-top:0;width:609.4pt;height:793.75pt;z-index:-251658240;mso-position-horizontal:center;mso-position-horizontal-relative:margin;mso-position-vertical:center;mso-position-vertical-relative:margin" o:allowincell="f">
          <v:imagedata r:id="rId1" o:title="logo infoem (1)"/>
          <w10:wrap anchorx="margin" anchory="margin"/>
        </v:shape>
      </w:pict>
    </w:r>
  </w:p>
  <w:tbl>
    <w:tblPr>
      <w:tblStyle w:val="a"/>
      <w:tblW w:w="10065" w:type="dxa"/>
      <w:tblInd w:w="-851" w:type="dxa"/>
      <w:tblLayout w:type="fixed"/>
      <w:tblLook w:val="0400" w:firstRow="0" w:lastRow="0" w:firstColumn="0" w:lastColumn="0" w:noHBand="0" w:noVBand="1"/>
    </w:tblPr>
    <w:tblGrid>
      <w:gridCol w:w="6521"/>
      <w:gridCol w:w="3544"/>
    </w:tblGrid>
    <w:tr w:rsidR="00FF39F4">
      <w:trPr>
        <w:trHeight w:val="227"/>
      </w:trPr>
      <w:tc>
        <w:tcPr>
          <w:tcW w:w="6521" w:type="dxa"/>
        </w:tcPr>
        <w:p w:rsidR="00FF39F4" w:rsidRDefault="003E4790">
          <w:pPr>
            <w:spacing w:after="120" w:line="256" w:lineRule="auto"/>
            <w:ind w:right="204"/>
            <w:jc w:val="right"/>
            <w:rPr>
              <w:rFonts w:ascii="Palatino Linotype" w:eastAsia="Palatino Linotype" w:hAnsi="Palatino Linotype" w:cs="Palatino Linotype"/>
              <w:b/>
            </w:rPr>
          </w:pPr>
          <w:r>
            <w:rPr>
              <w:rFonts w:ascii="Palatino Linotype" w:eastAsia="Palatino Linotype" w:hAnsi="Palatino Linotype" w:cs="Palatino Linotype"/>
              <w:b/>
            </w:rPr>
            <w:t>Recurso de Revisión N°:</w:t>
          </w:r>
        </w:p>
      </w:tc>
      <w:tc>
        <w:tcPr>
          <w:tcW w:w="3544" w:type="dxa"/>
        </w:tcPr>
        <w:p w:rsidR="00FF39F4" w:rsidRDefault="003E4790">
          <w:pPr>
            <w:spacing w:after="120" w:line="256" w:lineRule="auto"/>
            <w:ind w:right="214"/>
            <w:jc w:val="right"/>
            <w:rPr>
              <w:rFonts w:ascii="Palatino Linotype" w:eastAsia="Palatino Linotype" w:hAnsi="Palatino Linotype" w:cs="Palatino Linotype"/>
            </w:rPr>
          </w:pPr>
          <w:r>
            <w:rPr>
              <w:rFonts w:ascii="Palatino Linotype" w:eastAsia="Palatino Linotype" w:hAnsi="Palatino Linotype" w:cs="Palatino Linotype"/>
            </w:rPr>
            <w:t>04540/INFOEM/IP/RR/2021</w:t>
          </w:r>
        </w:p>
      </w:tc>
    </w:tr>
    <w:tr w:rsidR="00FF39F4">
      <w:trPr>
        <w:trHeight w:val="196"/>
      </w:trPr>
      <w:tc>
        <w:tcPr>
          <w:tcW w:w="6521" w:type="dxa"/>
        </w:tcPr>
        <w:p w:rsidR="00FF39F4" w:rsidRDefault="003E4790">
          <w:pPr>
            <w:spacing w:after="120" w:line="256" w:lineRule="auto"/>
            <w:ind w:right="204"/>
            <w:jc w:val="right"/>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544" w:type="dxa"/>
        </w:tcPr>
        <w:p w:rsidR="00FF39F4" w:rsidRDefault="00B55D1D">
          <w:pPr>
            <w:spacing w:after="120" w:line="256" w:lineRule="auto"/>
            <w:ind w:right="214"/>
            <w:jc w:val="right"/>
            <w:rPr>
              <w:rFonts w:ascii="Palatino Linotype" w:eastAsia="Palatino Linotype" w:hAnsi="Palatino Linotype" w:cs="Palatino Linotype"/>
            </w:rPr>
          </w:pPr>
          <w:proofErr w:type="spellStart"/>
          <w:r>
            <w:rPr>
              <w:rFonts w:ascii="Palatino Linotype" w:eastAsia="Palatino Linotype" w:hAnsi="Palatino Linotype" w:cs="Palatino Linotype"/>
            </w:rPr>
            <w:t>xxxxxxxxxxxxx</w:t>
          </w:r>
          <w:proofErr w:type="spellEnd"/>
        </w:p>
      </w:tc>
    </w:tr>
    <w:tr w:rsidR="00FF39F4">
      <w:trPr>
        <w:trHeight w:val="242"/>
      </w:trPr>
      <w:tc>
        <w:tcPr>
          <w:tcW w:w="6521" w:type="dxa"/>
        </w:tcPr>
        <w:p w:rsidR="00FF39F4" w:rsidRDefault="003E4790">
          <w:pPr>
            <w:spacing w:after="120" w:line="256" w:lineRule="auto"/>
            <w:ind w:right="204"/>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544" w:type="dxa"/>
        </w:tcPr>
        <w:p w:rsidR="00FF39F4" w:rsidRDefault="003E4790">
          <w:pPr>
            <w:spacing w:after="120" w:line="256" w:lineRule="auto"/>
            <w:ind w:right="214"/>
            <w:jc w:val="right"/>
            <w:rPr>
              <w:rFonts w:ascii="Palatino Linotype" w:eastAsia="Palatino Linotype" w:hAnsi="Palatino Linotype" w:cs="Palatino Linotype"/>
            </w:rPr>
          </w:pPr>
          <w:r>
            <w:rPr>
              <w:rFonts w:ascii="Palatino Linotype" w:eastAsia="Palatino Linotype" w:hAnsi="Palatino Linotype" w:cs="Palatino Linotype"/>
            </w:rPr>
            <w:t>Ayuntamiento de Tonatico</w:t>
          </w:r>
        </w:p>
      </w:tc>
    </w:tr>
    <w:tr w:rsidR="00FF39F4">
      <w:trPr>
        <w:trHeight w:val="342"/>
      </w:trPr>
      <w:tc>
        <w:tcPr>
          <w:tcW w:w="6521" w:type="dxa"/>
        </w:tcPr>
        <w:p w:rsidR="00FF39F4" w:rsidRDefault="003E4790">
          <w:pPr>
            <w:tabs>
              <w:tab w:val="left" w:pos="4892"/>
            </w:tabs>
            <w:spacing w:after="120" w:line="256" w:lineRule="auto"/>
            <w:ind w:right="204"/>
            <w:jc w:val="right"/>
            <w:rPr>
              <w:rFonts w:ascii="Palatino Linotype" w:eastAsia="Palatino Linotype" w:hAnsi="Palatino Linotype" w:cs="Palatino Linotype"/>
              <w:b/>
            </w:rPr>
          </w:pPr>
          <w:r>
            <w:rPr>
              <w:rFonts w:ascii="Palatino Linotype" w:eastAsia="Palatino Linotype" w:hAnsi="Palatino Linotype" w:cs="Palatino Linotype"/>
              <w:b/>
            </w:rPr>
            <w:t>Comisionado Ponente:</w:t>
          </w:r>
        </w:p>
      </w:tc>
      <w:tc>
        <w:tcPr>
          <w:tcW w:w="3544" w:type="dxa"/>
        </w:tcPr>
        <w:p w:rsidR="00FF39F4" w:rsidRDefault="003E4790">
          <w:pPr>
            <w:spacing w:after="120" w:line="256" w:lineRule="auto"/>
            <w:ind w:right="214"/>
            <w:jc w:val="right"/>
            <w:rPr>
              <w:rFonts w:ascii="Palatino Linotype" w:eastAsia="Palatino Linotype" w:hAnsi="Palatino Linotype" w:cs="Palatino Linotype"/>
            </w:rPr>
          </w:pPr>
          <w:r>
            <w:rPr>
              <w:rFonts w:ascii="Palatino Linotype" w:eastAsia="Palatino Linotype" w:hAnsi="Palatino Linotype" w:cs="Palatino Linotype"/>
            </w:rPr>
            <w:t>José Martínez Vilchis</w:t>
          </w:r>
        </w:p>
      </w:tc>
    </w:tr>
  </w:tbl>
  <w:p w:rsidR="00FF39F4" w:rsidRDefault="00FF39F4">
    <w:pPr>
      <w:pBdr>
        <w:top w:val="nil"/>
        <w:left w:val="nil"/>
        <w:bottom w:val="nil"/>
        <w:right w:val="nil"/>
        <w:between w:val="nil"/>
      </w:pBdr>
      <w:tabs>
        <w:tab w:val="center" w:pos="4419"/>
        <w:tab w:val="right" w:pos="8838"/>
      </w:tabs>
      <w:spacing w:after="0" w:line="240" w:lineRule="auto"/>
      <w:rPr>
        <w:rFonts w:ascii="Times New Roman" w:eastAsia="Times New Roman" w:hAnsi="Times New Roman" w:cs="Times New Roman"/>
        <w:color w:val="000000"/>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023C96"/>
    <w:multiLevelType w:val="multilevel"/>
    <w:tmpl w:val="FFC4B8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DB4427D"/>
    <w:multiLevelType w:val="multilevel"/>
    <w:tmpl w:val="CE7AB4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23CC0FAB"/>
    <w:multiLevelType w:val="multilevel"/>
    <w:tmpl w:val="9B4E86CE"/>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644C0A22"/>
    <w:multiLevelType w:val="multilevel"/>
    <w:tmpl w:val="C592E3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78E9469E"/>
    <w:multiLevelType w:val="multilevel"/>
    <w:tmpl w:val="DC0AF50A"/>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3"/>
  </w:num>
  <w:num w:numId="3">
    <w:abstractNumId w:val="2"/>
  </w:num>
  <w:num w:numId="4">
    <w:abstractNumId w:val="4"/>
  </w:num>
  <w:num w:numId="5">
    <w:abstractNumId w:val="1"/>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39F4"/>
    <w:rsid w:val="003356BF"/>
    <w:rsid w:val="00356EB2"/>
    <w:rsid w:val="003E4790"/>
    <w:rsid w:val="005E2220"/>
    <w:rsid w:val="0068453A"/>
    <w:rsid w:val="00801E9B"/>
    <w:rsid w:val="009A50FD"/>
    <w:rsid w:val="009B39CB"/>
    <w:rsid w:val="00AC3F0D"/>
    <w:rsid w:val="00AF5EE1"/>
    <w:rsid w:val="00B55D1D"/>
    <w:rsid w:val="00FF39F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C339BF90-8A00-4DD6-B6D4-4A193E804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2F01"/>
  </w:style>
  <w:style w:type="paragraph" w:styleId="Ttulo1">
    <w:name w:val="heading 1"/>
    <w:basedOn w:val="Normal"/>
    <w:next w:val="Normal"/>
    <w:link w:val="Ttulo1Car"/>
    <w:uiPriority w:val="9"/>
    <w:qFormat/>
    <w:rsid w:val="006059B7"/>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6059B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6059B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Ttulo4">
    <w:name w:val="heading 4"/>
    <w:basedOn w:val="Normal"/>
    <w:next w:val="Normal"/>
    <w:link w:val="Ttulo4Car"/>
    <w:uiPriority w:val="9"/>
    <w:unhideWhenUsed/>
    <w:qFormat/>
    <w:rsid w:val="006059B7"/>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lang w:val="es-ES" w:eastAsia="es-ES"/>
    </w:rPr>
  </w:style>
  <w:style w:type="paragraph" w:styleId="Ttulo5">
    <w:name w:val="heading 5"/>
    <w:basedOn w:val="Normal"/>
    <w:next w:val="Normal"/>
    <w:link w:val="Ttulo5Car"/>
    <w:uiPriority w:val="9"/>
    <w:unhideWhenUsed/>
    <w:qFormat/>
    <w:rsid w:val="006059B7"/>
    <w:pPr>
      <w:keepNext/>
      <w:keepLines/>
      <w:spacing w:before="40" w:after="0" w:line="240" w:lineRule="auto"/>
      <w:outlineLvl w:val="4"/>
    </w:pPr>
    <w:rPr>
      <w:rFonts w:asciiTheme="majorHAnsi" w:eastAsiaTheme="majorEastAsia" w:hAnsiTheme="majorHAnsi" w:cstheme="majorBidi"/>
      <w:color w:val="2E74B5" w:themeColor="accent1" w:themeShade="BF"/>
      <w:sz w:val="24"/>
      <w:szCs w:val="24"/>
      <w:lang w:val="es-ES" w:eastAsia="es-ES"/>
    </w:rPr>
  </w:style>
  <w:style w:type="paragraph" w:styleId="Ttulo6">
    <w:name w:val="heading 6"/>
    <w:basedOn w:val="Normal"/>
    <w:next w:val="Normal"/>
    <w:link w:val="Ttulo6Car"/>
    <w:uiPriority w:val="9"/>
    <w:unhideWhenUsed/>
    <w:qFormat/>
    <w:rsid w:val="006059B7"/>
    <w:pPr>
      <w:keepNext/>
      <w:keepLines/>
      <w:spacing w:before="40" w:after="0" w:line="240" w:lineRule="auto"/>
      <w:outlineLvl w:val="5"/>
    </w:pPr>
    <w:rPr>
      <w:rFonts w:asciiTheme="majorHAnsi" w:eastAsiaTheme="majorEastAsia" w:hAnsiTheme="majorHAnsi" w:cstheme="majorBidi"/>
      <w:color w:val="1F4D78" w:themeColor="accent1" w:themeShade="7F"/>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1032D4"/>
    <w:pPr>
      <w:tabs>
        <w:tab w:val="center" w:pos="4419"/>
        <w:tab w:val="right" w:pos="8838"/>
      </w:tabs>
      <w:spacing w:after="0" w:line="240" w:lineRule="auto"/>
    </w:pPr>
    <w:rPr>
      <w:rFonts w:ascii="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sid w:val="001032D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032D4"/>
    <w:pPr>
      <w:tabs>
        <w:tab w:val="center" w:pos="4419"/>
        <w:tab w:val="right" w:pos="8838"/>
      </w:tabs>
      <w:spacing w:after="0" w:line="240" w:lineRule="auto"/>
    </w:pPr>
    <w:rPr>
      <w:rFonts w:ascii="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032D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032D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032D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032D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032D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032D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1032D4"/>
    <w:rPr>
      <w:vertAlign w:val="superscript"/>
    </w:rPr>
  </w:style>
  <w:style w:type="character" w:styleId="Hipervnculo">
    <w:name w:val="Hyperlink"/>
    <w:basedOn w:val="Fuentedeprrafopredeter"/>
    <w:uiPriority w:val="99"/>
    <w:unhideWhenUsed/>
    <w:rsid w:val="001032D4"/>
    <w:rPr>
      <w:color w:val="0563C1" w:themeColor="hyperlink"/>
      <w:u w:val="single"/>
    </w:rPr>
  </w:style>
  <w:style w:type="paragraph" w:styleId="Textosinformato">
    <w:name w:val="Plain Text"/>
    <w:basedOn w:val="Normal"/>
    <w:link w:val="TextosinformatoCar"/>
    <w:rsid w:val="00416F83"/>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416F83"/>
    <w:rPr>
      <w:rFonts w:ascii="Courier New" w:eastAsia="Times New Roman" w:hAnsi="Courier New" w:cs="Times New Roman"/>
      <w:sz w:val="20"/>
      <w:szCs w:val="20"/>
      <w:lang w:val="es-ES" w:eastAsia="es-ES"/>
    </w:rPr>
  </w:style>
  <w:style w:type="paragraph" w:customStyle="1" w:styleId="Default">
    <w:name w:val="Default"/>
    <w:rsid w:val="00526858"/>
    <w:pPr>
      <w:autoSpaceDE w:val="0"/>
      <w:autoSpaceDN w:val="0"/>
      <w:adjustRightInd w:val="0"/>
      <w:spacing w:after="0" w:line="240" w:lineRule="auto"/>
    </w:pPr>
    <w:rPr>
      <w:rFonts w:ascii="Arial" w:hAnsi="Arial" w:cs="Arial"/>
      <w:color w:val="000000"/>
      <w:sz w:val="24"/>
      <w:szCs w:val="24"/>
    </w:rPr>
  </w:style>
  <w:style w:type="paragraph" w:styleId="Sinespaciado">
    <w:name w:val="No Spacing"/>
    <w:aliases w:val="Francesa"/>
    <w:link w:val="SinespaciadoCar"/>
    <w:uiPriority w:val="1"/>
    <w:qFormat/>
    <w:rsid w:val="00F70417"/>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F70417"/>
    <w:rPr>
      <w:b/>
      <w:bCs/>
    </w:rPr>
  </w:style>
  <w:style w:type="character" w:customStyle="1" w:styleId="SinespaciadoCar">
    <w:name w:val="Sin espaciado Car"/>
    <w:aliases w:val="Francesa Car"/>
    <w:link w:val="Sinespaciado"/>
    <w:uiPriority w:val="1"/>
    <w:locked/>
    <w:rsid w:val="00F70417"/>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qFormat/>
    <w:rsid w:val="00AA0EB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99"/>
    <w:rsid w:val="00AA0EB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9543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43B9"/>
    <w:rPr>
      <w:rFonts w:ascii="Segoe UI" w:hAnsi="Segoe UI" w:cs="Segoe UI"/>
      <w:sz w:val="18"/>
      <w:szCs w:val="18"/>
    </w:rPr>
  </w:style>
  <w:style w:type="character" w:customStyle="1" w:styleId="lbl-encabezado-negro">
    <w:name w:val="lbl-encabezado-negro"/>
    <w:basedOn w:val="Fuentedeprrafopredeter"/>
    <w:rsid w:val="007533A3"/>
  </w:style>
  <w:style w:type="character" w:customStyle="1" w:styleId="red">
    <w:name w:val="red"/>
    <w:basedOn w:val="Fuentedeprrafopredeter"/>
    <w:rsid w:val="007533A3"/>
  </w:style>
  <w:style w:type="paragraph" w:customStyle="1" w:styleId="francesa">
    <w:name w:val="francesa"/>
    <w:basedOn w:val="Normal"/>
    <w:rsid w:val="007533A3"/>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39"/>
    <w:rsid w:val="00CC03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0">
    <w:name w:val="Pa0"/>
    <w:basedOn w:val="Default"/>
    <w:next w:val="Default"/>
    <w:uiPriority w:val="99"/>
    <w:rsid w:val="0039322C"/>
    <w:pPr>
      <w:spacing w:line="221" w:lineRule="atLeast"/>
    </w:pPr>
    <w:rPr>
      <w:color w:val="auto"/>
    </w:rPr>
  </w:style>
  <w:style w:type="paragraph" w:customStyle="1" w:styleId="n2">
    <w:name w:val="n2"/>
    <w:basedOn w:val="Normal"/>
    <w:rsid w:val="00300888"/>
    <w:pPr>
      <w:spacing w:before="100" w:beforeAutospacing="1" w:after="100" w:afterAutospacing="1" w:line="240" w:lineRule="auto"/>
    </w:pPr>
    <w:rPr>
      <w:rFonts w:ascii="Times New Roman" w:eastAsia="Times New Roman" w:hAnsi="Times New Roman" w:cs="Times New Roman"/>
      <w:sz w:val="24"/>
      <w:szCs w:val="24"/>
    </w:rPr>
  </w:style>
  <w:style w:type="character" w:styleId="nfasis">
    <w:name w:val="Emphasis"/>
    <w:basedOn w:val="Fuentedeprrafopredeter"/>
    <w:uiPriority w:val="20"/>
    <w:qFormat/>
    <w:rsid w:val="00300888"/>
    <w:rPr>
      <w:i/>
      <w:iCs/>
    </w:rPr>
  </w:style>
  <w:style w:type="paragraph" w:customStyle="1" w:styleId="j">
    <w:name w:val="j"/>
    <w:basedOn w:val="Normal"/>
    <w:rsid w:val="003008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2">
    <w:name w:val="j2"/>
    <w:basedOn w:val="Normal"/>
    <w:rsid w:val="003008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
    <w:name w:val="o"/>
    <w:basedOn w:val="Normal"/>
    <w:rsid w:val="0030088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cep">
    <w:name w:val="n_acep"/>
    <w:basedOn w:val="Fuentedeprrafopredeter"/>
    <w:rsid w:val="00300888"/>
  </w:style>
  <w:style w:type="character" w:customStyle="1" w:styleId="h">
    <w:name w:val="h"/>
    <w:basedOn w:val="Fuentedeprrafopredeter"/>
    <w:rsid w:val="00300888"/>
  </w:style>
  <w:style w:type="character" w:customStyle="1" w:styleId="i1">
    <w:name w:val="i1"/>
    <w:basedOn w:val="Fuentedeprrafopredeter"/>
    <w:rsid w:val="00300888"/>
  </w:style>
  <w:style w:type="paragraph" w:styleId="Textocomentario">
    <w:name w:val="annotation text"/>
    <w:basedOn w:val="Normal"/>
    <w:link w:val="TextocomentarioCar"/>
    <w:uiPriority w:val="99"/>
    <w:semiHidden/>
    <w:unhideWhenUsed/>
    <w:rsid w:val="00307963"/>
    <w:pPr>
      <w:spacing w:after="200" w:line="240" w:lineRule="auto"/>
    </w:pPr>
    <w:rPr>
      <w:sz w:val="20"/>
      <w:szCs w:val="20"/>
    </w:rPr>
  </w:style>
  <w:style w:type="character" w:customStyle="1" w:styleId="TextocomentarioCar">
    <w:name w:val="Texto comentario Car"/>
    <w:basedOn w:val="Fuentedeprrafopredeter"/>
    <w:link w:val="Textocomentario"/>
    <w:uiPriority w:val="99"/>
    <w:semiHidden/>
    <w:rsid w:val="00307963"/>
    <w:rPr>
      <w:sz w:val="20"/>
      <w:szCs w:val="20"/>
    </w:rPr>
  </w:style>
  <w:style w:type="character" w:styleId="Refdecomentario">
    <w:name w:val="annotation reference"/>
    <w:basedOn w:val="Fuentedeprrafopredeter"/>
    <w:uiPriority w:val="99"/>
    <w:semiHidden/>
    <w:unhideWhenUsed/>
    <w:rsid w:val="00C5722D"/>
    <w:rPr>
      <w:sz w:val="16"/>
      <w:szCs w:val="16"/>
    </w:rPr>
  </w:style>
  <w:style w:type="character" w:customStyle="1" w:styleId="Ttulo1Car">
    <w:name w:val="Título 1 Car"/>
    <w:basedOn w:val="Fuentedeprrafopredeter"/>
    <w:link w:val="Ttulo1"/>
    <w:uiPriority w:val="9"/>
    <w:rsid w:val="006059B7"/>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6059B7"/>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6059B7"/>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6059B7"/>
    <w:rPr>
      <w:rFonts w:asciiTheme="majorHAnsi" w:eastAsiaTheme="majorEastAsia" w:hAnsiTheme="majorHAnsi" w:cstheme="majorBidi"/>
      <w:i/>
      <w:iCs/>
      <w:color w:val="2E74B5" w:themeColor="accent1" w:themeShade="BF"/>
      <w:sz w:val="24"/>
      <w:szCs w:val="24"/>
      <w:lang w:val="es-ES" w:eastAsia="es-ES"/>
    </w:rPr>
  </w:style>
  <w:style w:type="character" w:customStyle="1" w:styleId="Ttulo5Car">
    <w:name w:val="Título 5 Car"/>
    <w:basedOn w:val="Fuentedeprrafopredeter"/>
    <w:link w:val="Ttulo5"/>
    <w:uiPriority w:val="9"/>
    <w:rsid w:val="006059B7"/>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uiPriority w:val="9"/>
    <w:rsid w:val="006059B7"/>
    <w:rPr>
      <w:rFonts w:asciiTheme="majorHAnsi" w:eastAsiaTheme="majorEastAsia" w:hAnsiTheme="majorHAnsi" w:cstheme="majorBidi"/>
      <w:color w:val="1F4D78" w:themeColor="accent1" w:themeShade="7F"/>
      <w:sz w:val="24"/>
      <w:szCs w:val="24"/>
      <w:lang w:val="es-ES" w:eastAsia="es-ES"/>
    </w:rPr>
  </w:style>
  <w:style w:type="paragraph" w:styleId="NormalWeb">
    <w:name w:val="Normal (Web)"/>
    <w:basedOn w:val="Normal"/>
    <w:uiPriority w:val="99"/>
    <w:rsid w:val="006059B7"/>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visitado">
    <w:name w:val="FollowedHyperlink"/>
    <w:basedOn w:val="Fuentedeprrafopredeter"/>
    <w:uiPriority w:val="99"/>
    <w:semiHidden/>
    <w:unhideWhenUsed/>
    <w:rsid w:val="006059B7"/>
    <w:rPr>
      <w:color w:val="954F72" w:themeColor="followedHyperlink"/>
      <w:u w:val="single"/>
    </w:rPr>
  </w:style>
  <w:style w:type="paragraph" w:styleId="Textoindependiente2">
    <w:name w:val="Body Text 2"/>
    <w:basedOn w:val="Normal"/>
    <w:link w:val="Textoindependiente2Car"/>
    <w:uiPriority w:val="99"/>
    <w:unhideWhenUsed/>
    <w:rsid w:val="006059B7"/>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6059B7"/>
    <w:rPr>
      <w:rFonts w:ascii="Times New Roman" w:eastAsia="Times New Roman" w:hAnsi="Times New Roman" w:cs="Times New Roman"/>
      <w:sz w:val="24"/>
      <w:szCs w:val="24"/>
      <w:lang w:eastAsia="es-ES"/>
    </w:rPr>
  </w:style>
  <w:style w:type="paragraph" w:customStyle="1" w:styleId="Listavistosa-nfasis11">
    <w:name w:val="Lista vistosa - Énfasis 11"/>
    <w:basedOn w:val="Normal"/>
    <w:link w:val="Listavistosa-nfasis1Car"/>
    <w:uiPriority w:val="34"/>
    <w:qFormat/>
    <w:rsid w:val="006059B7"/>
    <w:pPr>
      <w:spacing w:after="0" w:line="240" w:lineRule="auto"/>
      <w:ind w:left="708"/>
    </w:pPr>
    <w:rPr>
      <w:rFonts w:ascii="Times New Roman" w:eastAsia="Times New Roman" w:hAnsi="Times New Roman" w:cs="Times New Roman"/>
      <w:sz w:val="24"/>
      <w:szCs w:val="24"/>
      <w:lang w:eastAsia="es-ES"/>
    </w:rPr>
  </w:style>
  <w:style w:type="character" w:customStyle="1" w:styleId="Listavistosa-nfasis1Car">
    <w:name w:val="Lista vistosa - Énfasis 1 Car"/>
    <w:link w:val="Listavistosa-nfasis11"/>
    <w:uiPriority w:val="34"/>
    <w:locked/>
    <w:rsid w:val="006059B7"/>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6059B7"/>
    <w:pPr>
      <w:spacing w:after="101" w:line="216" w:lineRule="exact"/>
      <w:ind w:firstLine="288"/>
      <w:jc w:val="both"/>
    </w:pPr>
    <w:rPr>
      <w:rFonts w:ascii="Arial" w:eastAsia="Times New Roman" w:hAnsi="Arial" w:cs="Arial"/>
      <w:sz w:val="18"/>
      <w:szCs w:val="18"/>
      <w:lang w:eastAsia="es-ES"/>
    </w:rPr>
  </w:style>
  <w:style w:type="character" w:customStyle="1" w:styleId="apple-style-span">
    <w:name w:val="apple-style-span"/>
    <w:rsid w:val="006059B7"/>
  </w:style>
  <w:style w:type="paragraph" w:customStyle="1" w:styleId="Standard">
    <w:name w:val="Standard"/>
    <w:rsid w:val="006059B7"/>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6059B7"/>
    <w:rPr>
      <w:rFonts w:ascii="Arial" w:hAnsi="Arial" w:cs="Arial" w:hint="default"/>
      <w:b/>
      <w:bCs/>
      <w:sz w:val="18"/>
      <w:szCs w:val="18"/>
    </w:rPr>
  </w:style>
  <w:style w:type="paragraph" w:customStyle="1" w:styleId="Pa2">
    <w:name w:val="Pa2"/>
    <w:basedOn w:val="Normal"/>
    <w:next w:val="Normal"/>
    <w:uiPriority w:val="99"/>
    <w:rsid w:val="006059B7"/>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q">
    <w:name w:val="q"/>
    <w:basedOn w:val="Normal"/>
    <w:rsid w:val="006059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
    <w:name w:val="d"/>
    <w:basedOn w:val="Fuentedeprrafopredeter"/>
    <w:rsid w:val="006059B7"/>
  </w:style>
  <w:style w:type="character" w:customStyle="1" w:styleId="b">
    <w:name w:val="b"/>
    <w:basedOn w:val="Fuentedeprrafopredeter"/>
    <w:rsid w:val="006059B7"/>
  </w:style>
  <w:style w:type="character" w:customStyle="1" w:styleId="k">
    <w:name w:val="k"/>
    <w:basedOn w:val="Fuentedeprrafopredeter"/>
    <w:rsid w:val="006059B7"/>
  </w:style>
  <w:style w:type="character" w:styleId="CitaHTML">
    <w:name w:val="HTML Cite"/>
    <w:uiPriority w:val="99"/>
    <w:semiHidden/>
    <w:unhideWhenUsed/>
    <w:rsid w:val="006059B7"/>
    <w:rPr>
      <w:i/>
      <w:iCs/>
    </w:rPr>
  </w:style>
  <w:style w:type="paragraph" w:customStyle="1" w:styleId="RSCGnotaalpie">
    <w:name w:val="RSCG nota al pie"/>
    <w:basedOn w:val="Normal"/>
    <w:uiPriority w:val="99"/>
    <w:qFormat/>
    <w:rsid w:val="006059B7"/>
    <w:pPr>
      <w:spacing w:after="120" w:line="240" w:lineRule="auto"/>
      <w:jc w:val="both"/>
    </w:pPr>
    <w:rPr>
      <w:rFonts w:ascii="palatino" w:eastAsia="Times New Roman" w:hAnsi="palatino"/>
    </w:rPr>
  </w:style>
  <w:style w:type="character" w:customStyle="1" w:styleId="lbl-encabezado-blanco2">
    <w:name w:val="lbl-encabezado-blanco2"/>
    <w:rsid w:val="006059B7"/>
    <w:rPr>
      <w:color w:val="FFFFFF"/>
    </w:rPr>
  </w:style>
  <w:style w:type="character" w:customStyle="1" w:styleId="TextoCar">
    <w:name w:val="Texto Car"/>
    <w:link w:val="Texto"/>
    <w:locked/>
    <w:rsid w:val="006059B7"/>
    <w:rPr>
      <w:rFonts w:ascii="Arial" w:eastAsia="Times New Roman" w:hAnsi="Arial" w:cs="Arial"/>
      <w:sz w:val="18"/>
      <w:szCs w:val="18"/>
      <w:lang w:eastAsia="es-ES"/>
    </w:rPr>
  </w:style>
  <w:style w:type="paragraph" w:customStyle="1" w:styleId="ANOTACION">
    <w:name w:val="ANOTACION"/>
    <w:basedOn w:val="Normal"/>
    <w:link w:val="ANOTACIONCar"/>
    <w:rsid w:val="006059B7"/>
    <w:pPr>
      <w:spacing w:before="101" w:after="101" w:line="240" w:lineRule="auto"/>
      <w:jc w:val="center"/>
    </w:pPr>
    <w:rPr>
      <w:rFonts w:ascii="Times New Roman" w:eastAsia="Times New Roman" w:hAnsi="Times New Roman" w:cs="Times New Roman"/>
      <w:b/>
      <w:sz w:val="18"/>
      <w:szCs w:val="18"/>
      <w:lang w:eastAsia="es-ES"/>
    </w:rPr>
  </w:style>
  <w:style w:type="character" w:customStyle="1" w:styleId="ANOTACIONCar">
    <w:name w:val="ANOTACION Car"/>
    <w:link w:val="ANOTACION"/>
    <w:locked/>
    <w:rsid w:val="006059B7"/>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6059B7"/>
    <w:pPr>
      <w:spacing w:after="0" w:line="240" w:lineRule="auto"/>
    </w:pPr>
    <w:rPr>
      <w:rFonts w:ascii="Times New Roman" w:eastAsia="Times New Roman" w:hAnsi="Times New Roman" w:cs="Times New Roman"/>
      <w:sz w:val="24"/>
      <w:szCs w:val="24"/>
      <w:lang w:eastAsia="es-ES"/>
    </w:rPr>
  </w:style>
  <w:style w:type="paragraph" w:styleId="Asuntodelcomentario">
    <w:name w:val="annotation subject"/>
    <w:basedOn w:val="Textocomentario"/>
    <w:next w:val="Textocomentario"/>
    <w:link w:val="AsuntodelcomentarioCar"/>
    <w:uiPriority w:val="99"/>
    <w:semiHidden/>
    <w:unhideWhenUsed/>
    <w:rsid w:val="006059B7"/>
    <w:pPr>
      <w:spacing w:after="0"/>
    </w:pPr>
    <w:rPr>
      <w:rFonts w:ascii="Times New Roman" w:eastAsia="Times New Roman" w:hAnsi="Times New Roman" w:cs="Times New Roman"/>
      <w:b/>
      <w:bCs/>
      <w:lang w:eastAsia="es-ES"/>
    </w:rPr>
  </w:style>
  <w:style w:type="character" w:customStyle="1" w:styleId="AsuntodelcomentarioCar">
    <w:name w:val="Asunto del comentario Car"/>
    <w:basedOn w:val="TextocomentarioCar"/>
    <w:link w:val="Asuntodelcomentario"/>
    <w:uiPriority w:val="99"/>
    <w:semiHidden/>
    <w:rsid w:val="006059B7"/>
    <w:rPr>
      <w:rFonts w:ascii="Times New Roman" w:eastAsia="Times New Roman" w:hAnsi="Times New Roman" w:cs="Times New Roman"/>
      <w:b/>
      <w:bCs/>
      <w:sz w:val="20"/>
      <w:szCs w:val="20"/>
      <w:lang w:eastAsia="es-ES"/>
    </w:rPr>
  </w:style>
  <w:style w:type="paragraph" w:customStyle="1" w:styleId="ROMANOS">
    <w:name w:val="ROMANOS"/>
    <w:basedOn w:val="Normal"/>
    <w:link w:val="ROMANOSCar"/>
    <w:rsid w:val="006059B7"/>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6059B7"/>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6059B7"/>
  </w:style>
  <w:style w:type="character" w:customStyle="1" w:styleId="Ninguno">
    <w:name w:val="Ninguno"/>
    <w:rsid w:val="006059B7"/>
    <w:rPr>
      <w:lang w:val="es-ES_tradnl"/>
    </w:rPr>
  </w:style>
  <w:style w:type="paragraph" w:customStyle="1" w:styleId="Cuerpo">
    <w:name w:val="Cuerpo"/>
    <w:rsid w:val="006059B7"/>
    <w:pPr>
      <w:pBdr>
        <w:top w:val="nil"/>
        <w:left w:val="nil"/>
        <w:bottom w:val="nil"/>
        <w:right w:val="nil"/>
        <w:between w:val="nil"/>
        <w:bar w:val="nil"/>
      </w:pBdr>
    </w:pPr>
    <w:rPr>
      <w:color w:val="000000"/>
      <w:u w:color="000000"/>
      <w:bdr w:val="nil"/>
      <w:lang w:val="de-DE" w:eastAsia="es-ES"/>
    </w:rPr>
  </w:style>
  <w:style w:type="numbering" w:customStyle="1" w:styleId="Estiloimportado2">
    <w:name w:val="Estilo importado 2"/>
    <w:rsid w:val="006059B7"/>
  </w:style>
  <w:style w:type="numbering" w:customStyle="1" w:styleId="Estiloimportado1">
    <w:name w:val="Estilo importado 1"/>
    <w:rsid w:val="006059B7"/>
  </w:style>
  <w:style w:type="character" w:customStyle="1" w:styleId="normaltextrun">
    <w:name w:val="normaltextrun"/>
    <w:basedOn w:val="Fuentedeprrafopredeter"/>
    <w:rsid w:val="006059B7"/>
  </w:style>
  <w:style w:type="paragraph" w:customStyle="1" w:styleId="INCISO">
    <w:name w:val="INCISO"/>
    <w:basedOn w:val="Normal"/>
    <w:rsid w:val="006059B7"/>
    <w:pPr>
      <w:spacing w:after="101" w:line="216" w:lineRule="exact"/>
      <w:ind w:left="1080" w:hanging="360"/>
      <w:jc w:val="both"/>
    </w:pPr>
    <w:rPr>
      <w:rFonts w:ascii="Arial" w:eastAsia="Times New Roman" w:hAnsi="Arial" w:cs="Arial"/>
      <w:sz w:val="18"/>
      <w:szCs w:val="18"/>
      <w:lang w:val="es-ES"/>
    </w:rPr>
  </w:style>
  <w:style w:type="paragraph" w:customStyle="1" w:styleId="m5212863947045306324gmail-msonormal">
    <w:name w:val="m_5212863947045306324gmail-msonormal"/>
    <w:basedOn w:val="Normal"/>
    <w:rsid w:val="006059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ser-highlighted-active">
    <w:name w:val="user-highlighted-active"/>
    <w:basedOn w:val="Fuentedeprrafopredeter"/>
    <w:rsid w:val="006059B7"/>
  </w:style>
  <w:style w:type="paragraph" w:styleId="Lista">
    <w:name w:val="List"/>
    <w:basedOn w:val="Normal"/>
    <w:uiPriority w:val="99"/>
    <w:unhideWhenUsed/>
    <w:rsid w:val="006059B7"/>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6059B7"/>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Lista3">
    <w:name w:val="List 3"/>
    <w:basedOn w:val="Normal"/>
    <w:uiPriority w:val="99"/>
    <w:unhideWhenUsed/>
    <w:rsid w:val="006059B7"/>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6059B7"/>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6059B7"/>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6059B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59B7"/>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6059B7"/>
  </w:style>
  <w:style w:type="character" w:customStyle="1" w:styleId="titulorubrolgt">
    <w:name w:val="titulorubrolgt"/>
    <w:basedOn w:val="Fuentedeprrafopredeter"/>
    <w:rsid w:val="006059B7"/>
  </w:style>
  <w:style w:type="paragraph" w:customStyle="1" w:styleId="Text">
    <w:name w:val="Text"/>
    <w:basedOn w:val="Normal"/>
    <w:link w:val="TextChar"/>
    <w:rsid w:val="006059B7"/>
    <w:pPr>
      <w:spacing w:after="240" w:line="240" w:lineRule="auto"/>
    </w:pPr>
    <w:rPr>
      <w:rFonts w:ascii="Times New Roman" w:eastAsia="Times New Roman" w:hAnsi="Times New Roman" w:cs="Times New Roman"/>
      <w:sz w:val="24"/>
      <w:szCs w:val="20"/>
      <w:lang w:val="en-US"/>
    </w:rPr>
  </w:style>
  <w:style w:type="character" w:customStyle="1" w:styleId="TextChar">
    <w:name w:val="Text Char"/>
    <w:link w:val="Text"/>
    <w:locked/>
    <w:rsid w:val="006059B7"/>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6059B7"/>
    <w:pPr>
      <w:spacing w:after="0" w:line="360" w:lineRule="auto"/>
      <w:ind w:left="709" w:right="709"/>
      <w:jc w:val="both"/>
    </w:pPr>
    <w:rPr>
      <w:rFonts w:ascii="Arial" w:eastAsia="Times New Roman" w:hAnsi="Arial" w:cs="Arial"/>
      <w:b/>
      <w:bCs/>
      <w:i/>
      <w:iCs/>
      <w:sz w:val="30"/>
      <w:szCs w:val="30"/>
    </w:rPr>
  </w:style>
  <w:style w:type="table" w:customStyle="1" w:styleId="Tablaconcuadrcula1">
    <w:name w:val="Tabla con cuadrícula1"/>
    <w:basedOn w:val="Tablanormal"/>
    <w:next w:val="Tablaconcuadrcula"/>
    <w:uiPriority w:val="39"/>
    <w:rsid w:val="00605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6059B7"/>
  </w:style>
  <w:style w:type="table" w:customStyle="1" w:styleId="Tablaconcuadrcula2">
    <w:name w:val="Tabla con cuadrícula2"/>
    <w:basedOn w:val="Tablanormal"/>
    <w:next w:val="Tablaconcuadrcula"/>
    <w:uiPriority w:val="39"/>
    <w:rsid w:val="00605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uiPriority w:val="99"/>
    <w:semiHidden/>
    <w:unhideWhenUsed/>
    <w:rsid w:val="006059B7"/>
  </w:style>
  <w:style w:type="table" w:customStyle="1" w:styleId="Tablaconcuadrcula11">
    <w:name w:val="Tabla con cuadrícula11"/>
    <w:basedOn w:val="Tablanormal"/>
    <w:next w:val="Tablaconcuadrcula"/>
    <w:uiPriority w:val="39"/>
    <w:rsid w:val="00605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uiPriority w:val="99"/>
    <w:semiHidden/>
    <w:unhideWhenUsed/>
    <w:rsid w:val="006059B7"/>
    <w:pPr>
      <w:spacing w:after="120" w:line="240" w:lineRule="auto"/>
    </w:pPr>
    <w:rPr>
      <w:rFonts w:ascii="Times New Roman" w:eastAsia="Times New Roman" w:hAnsi="Times New Roman" w:cs="Times New Roman"/>
      <w:sz w:val="16"/>
      <w:szCs w:val="16"/>
      <w:lang w:eastAsia="es-ES"/>
    </w:rPr>
  </w:style>
  <w:style w:type="character" w:customStyle="1" w:styleId="Textoindependiente3Car">
    <w:name w:val="Texto independiente 3 Car"/>
    <w:basedOn w:val="Fuentedeprrafopredeter"/>
    <w:link w:val="Textoindependiente3"/>
    <w:uiPriority w:val="99"/>
    <w:semiHidden/>
    <w:rsid w:val="006059B7"/>
    <w:rPr>
      <w:rFonts w:ascii="Times New Roman" w:eastAsia="Times New Roman" w:hAnsi="Times New Roman" w:cs="Times New Roman"/>
      <w:sz w:val="16"/>
      <w:szCs w:val="16"/>
      <w:lang w:eastAsia="es-ES"/>
    </w:rPr>
  </w:style>
  <w:style w:type="paragraph" w:customStyle="1" w:styleId="xmsonormal">
    <w:name w:val="x_msonormal"/>
    <w:basedOn w:val="Normal"/>
    <w:rsid w:val="006059B7"/>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Sinlista2">
    <w:name w:val="Sin lista2"/>
    <w:next w:val="Sinlista"/>
    <w:uiPriority w:val="99"/>
    <w:semiHidden/>
    <w:unhideWhenUsed/>
    <w:rsid w:val="006059B7"/>
  </w:style>
  <w:style w:type="numbering" w:customStyle="1" w:styleId="Sinlista3">
    <w:name w:val="Sin lista3"/>
    <w:next w:val="Sinlista"/>
    <w:uiPriority w:val="99"/>
    <w:semiHidden/>
    <w:unhideWhenUsed/>
    <w:rsid w:val="006059B7"/>
  </w:style>
  <w:style w:type="table" w:customStyle="1" w:styleId="Tablaconcuadrcula3">
    <w:name w:val="Tabla con cuadrícula3"/>
    <w:basedOn w:val="Tablanormal"/>
    <w:next w:val="Tablaconcuadrcula"/>
    <w:uiPriority w:val="39"/>
    <w:rsid w:val="00605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6059B7"/>
  </w:style>
  <w:style w:type="table" w:customStyle="1" w:styleId="Tablaconcuadrcula4">
    <w:name w:val="Tabla con cuadrícula4"/>
    <w:basedOn w:val="Tablanormal"/>
    <w:next w:val="Tablaconcuadrcula"/>
    <w:uiPriority w:val="39"/>
    <w:rsid w:val="00605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Normal"/>
    <w:uiPriority w:val="99"/>
    <w:rsid w:val="006059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Fuentedeprrafopredeter"/>
    <w:rsid w:val="006059B7"/>
  </w:style>
  <w:style w:type="numbering" w:customStyle="1" w:styleId="Sinlista5">
    <w:name w:val="Sin lista5"/>
    <w:next w:val="Sinlista"/>
    <w:uiPriority w:val="99"/>
    <w:semiHidden/>
    <w:unhideWhenUsed/>
    <w:rsid w:val="006059B7"/>
  </w:style>
  <w:style w:type="table" w:customStyle="1" w:styleId="Tablaconcuadrcula5">
    <w:name w:val="Tabla con cuadrícula5"/>
    <w:basedOn w:val="Tablanormal"/>
    <w:next w:val="Tablaconcuadrcula"/>
    <w:uiPriority w:val="39"/>
    <w:rsid w:val="00605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605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6059B7"/>
  </w:style>
  <w:style w:type="table" w:customStyle="1" w:styleId="Tablaconcuadrcula21">
    <w:name w:val="Tabla con cuadrícula21"/>
    <w:basedOn w:val="Tablanormal"/>
    <w:next w:val="Tablaconcuadrcula"/>
    <w:uiPriority w:val="39"/>
    <w:rsid w:val="00605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
    <w:name w:val="Sin lista111"/>
    <w:next w:val="Sinlista"/>
    <w:uiPriority w:val="99"/>
    <w:semiHidden/>
    <w:unhideWhenUsed/>
    <w:rsid w:val="006059B7"/>
  </w:style>
  <w:style w:type="table" w:customStyle="1" w:styleId="Tablaconcuadrcula111">
    <w:name w:val="Tabla con cuadrícula111"/>
    <w:basedOn w:val="Tablanormal"/>
    <w:next w:val="Tablaconcuadrcula"/>
    <w:uiPriority w:val="39"/>
    <w:rsid w:val="00605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6059B7"/>
  </w:style>
  <w:style w:type="numbering" w:customStyle="1" w:styleId="Sinlista31">
    <w:name w:val="Sin lista31"/>
    <w:next w:val="Sinlista"/>
    <w:uiPriority w:val="99"/>
    <w:semiHidden/>
    <w:unhideWhenUsed/>
    <w:rsid w:val="006059B7"/>
  </w:style>
  <w:style w:type="table" w:customStyle="1" w:styleId="Tablaconcuadrcula31">
    <w:name w:val="Tabla con cuadrícula31"/>
    <w:basedOn w:val="Tablanormal"/>
    <w:next w:val="Tablaconcuadrcula"/>
    <w:uiPriority w:val="39"/>
    <w:rsid w:val="00605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
    <w:name w:val="Sin lista41"/>
    <w:next w:val="Sinlista"/>
    <w:uiPriority w:val="99"/>
    <w:semiHidden/>
    <w:unhideWhenUsed/>
    <w:rsid w:val="006059B7"/>
  </w:style>
  <w:style w:type="table" w:customStyle="1" w:styleId="Tablaconcuadrcula41">
    <w:name w:val="Tabla con cuadrícula41"/>
    <w:basedOn w:val="Tablanormal"/>
    <w:next w:val="Tablaconcuadrcula"/>
    <w:uiPriority w:val="39"/>
    <w:rsid w:val="00605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39"/>
    <w:rsid w:val="006059B7"/>
    <w:pPr>
      <w:spacing w:after="0" w:line="240" w:lineRule="auto"/>
    </w:pPr>
    <w:rPr>
      <w:rFonts w:ascii="Cambria"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
    <w:name w:val="Estilo importado 21"/>
    <w:rsid w:val="006059B7"/>
  </w:style>
  <w:style w:type="numbering" w:customStyle="1" w:styleId="Estiloimportado11">
    <w:name w:val="Estilo importado 11"/>
    <w:rsid w:val="006059B7"/>
  </w:style>
  <w:style w:type="numbering" w:customStyle="1" w:styleId="Sinlista1111">
    <w:name w:val="Sin lista1111"/>
    <w:next w:val="Sinlista"/>
    <w:uiPriority w:val="99"/>
    <w:semiHidden/>
    <w:unhideWhenUsed/>
    <w:rsid w:val="006059B7"/>
  </w:style>
  <w:style w:type="numbering" w:customStyle="1" w:styleId="Sinlista6">
    <w:name w:val="Sin lista6"/>
    <w:next w:val="Sinlista"/>
    <w:uiPriority w:val="99"/>
    <w:semiHidden/>
    <w:unhideWhenUsed/>
    <w:rsid w:val="006059B7"/>
  </w:style>
  <w:style w:type="table" w:customStyle="1" w:styleId="Tablaconcuadrcula6">
    <w:name w:val="Tabla con cuadrícula6"/>
    <w:basedOn w:val="Tablanormal"/>
    <w:next w:val="Tablaconcuadrcula"/>
    <w:uiPriority w:val="39"/>
    <w:rsid w:val="00605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39"/>
    <w:rsid w:val="006059B7"/>
    <w:pPr>
      <w:spacing w:after="0" w:line="240" w:lineRule="auto"/>
    </w:pPr>
    <w:rPr>
      <w:rFonts w:ascii="Cambria"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6059B7"/>
  </w:style>
  <w:style w:type="table" w:customStyle="1" w:styleId="Tablaconcuadrcula7">
    <w:name w:val="Tabla con cuadrícula7"/>
    <w:basedOn w:val="Tablanormal"/>
    <w:next w:val="Tablaconcuadrcula"/>
    <w:uiPriority w:val="39"/>
    <w:rsid w:val="00605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
    <w:name w:val="Sin lista13"/>
    <w:next w:val="Sinlista"/>
    <w:uiPriority w:val="99"/>
    <w:semiHidden/>
    <w:unhideWhenUsed/>
    <w:rsid w:val="006059B7"/>
  </w:style>
  <w:style w:type="table" w:customStyle="1" w:styleId="Tablaconcuadrcula13">
    <w:name w:val="Tabla con cuadrícula13"/>
    <w:basedOn w:val="Tablanormal"/>
    <w:next w:val="Tablaconcuadrcula"/>
    <w:uiPriority w:val="59"/>
    <w:rsid w:val="00605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6059B7"/>
  </w:style>
  <w:style w:type="table" w:customStyle="1" w:styleId="Tablaconcuadrcula22">
    <w:name w:val="Tabla con cuadrícula22"/>
    <w:basedOn w:val="Tablanormal"/>
    <w:next w:val="Tablaconcuadrcula"/>
    <w:uiPriority w:val="39"/>
    <w:rsid w:val="00605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6059B7"/>
  </w:style>
  <w:style w:type="table" w:customStyle="1" w:styleId="Tablaconcuadrcula32">
    <w:name w:val="Tabla con cuadrícula32"/>
    <w:basedOn w:val="Tablanormal"/>
    <w:next w:val="Tablaconcuadrcula"/>
    <w:uiPriority w:val="39"/>
    <w:rsid w:val="00605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
    <w:name w:val="Sin lista42"/>
    <w:next w:val="Sinlista"/>
    <w:uiPriority w:val="99"/>
    <w:semiHidden/>
    <w:unhideWhenUsed/>
    <w:rsid w:val="006059B7"/>
  </w:style>
  <w:style w:type="table" w:customStyle="1" w:styleId="Tablaconcuadrcula42">
    <w:name w:val="Tabla con cuadrícula42"/>
    <w:basedOn w:val="Tablanormal"/>
    <w:next w:val="Tablaconcuadrcula"/>
    <w:uiPriority w:val="39"/>
    <w:rsid w:val="00605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
    <w:name w:val="Sin lista51"/>
    <w:next w:val="Sinlista"/>
    <w:uiPriority w:val="99"/>
    <w:semiHidden/>
    <w:unhideWhenUsed/>
    <w:rsid w:val="006059B7"/>
  </w:style>
  <w:style w:type="table" w:customStyle="1" w:styleId="Tablaconcuadrcula51">
    <w:name w:val="Tabla con cuadrícula51"/>
    <w:basedOn w:val="Tablanormal"/>
    <w:next w:val="Tablaconcuadrcula"/>
    <w:uiPriority w:val="39"/>
    <w:rsid w:val="00605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39"/>
    <w:rsid w:val="00605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
    <w:name w:val="Sin lista61"/>
    <w:next w:val="Sinlista"/>
    <w:uiPriority w:val="99"/>
    <w:semiHidden/>
    <w:unhideWhenUsed/>
    <w:rsid w:val="006059B7"/>
  </w:style>
  <w:style w:type="table" w:customStyle="1" w:styleId="Tablaconcuadrcula61">
    <w:name w:val="Tabla con cuadrícula61"/>
    <w:basedOn w:val="Tablanormal"/>
    <w:next w:val="Tablaconcuadrcula"/>
    <w:uiPriority w:val="39"/>
    <w:rsid w:val="00605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2">
    <w:name w:val="Estilo importado 22"/>
    <w:rsid w:val="006059B7"/>
  </w:style>
  <w:style w:type="numbering" w:customStyle="1" w:styleId="Estiloimportado12">
    <w:name w:val="Estilo importado 12"/>
    <w:rsid w:val="006059B7"/>
  </w:style>
  <w:style w:type="table" w:customStyle="1" w:styleId="Tablaconcuadrcula121">
    <w:name w:val="Tabla con cuadrícula121"/>
    <w:basedOn w:val="Tablanormal"/>
    <w:next w:val="Tablaconcuadrcula"/>
    <w:uiPriority w:val="59"/>
    <w:rsid w:val="00605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uiPriority w:val="99"/>
    <w:semiHidden/>
    <w:unhideWhenUsed/>
    <w:rsid w:val="006059B7"/>
  </w:style>
  <w:style w:type="table" w:customStyle="1" w:styleId="Tablaconcuadrcula211">
    <w:name w:val="Tabla con cuadrícula211"/>
    <w:basedOn w:val="Tablanormal"/>
    <w:next w:val="Tablaconcuadrcula"/>
    <w:uiPriority w:val="39"/>
    <w:rsid w:val="00605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
    <w:name w:val="Sin lista1112"/>
    <w:next w:val="Sinlista"/>
    <w:uiPriority w:val="99"/>
    <w:semiHidden/>
    <w:unhideWhenUsed/>
    <w:rsid w:val="006059B7"/>
  </w:style>
  <w:style w:type="table" w:customStyle="1" w:styleId="Tablaconcuadrcula1111">
    <w:name w:val="Tabla con cuadrícula1111"/>
    <w:basedOn w:val="Tablanormal"/>
    <w:next w:val="Tablaconcuadrcula"/>
    <w:uiPriority w:val="39"/>
    <w:rsid w:val="00605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6059B7"/>
  </w:style>
  <w:style w:type="numbering" w:customStyle="1" w:styleId="Sinlista311">
    <w:name w:val="Sin lista311"/>
    <w:next w:val="Sinlista"/>
    <w:uiPriority w:val="99"/>
    <w:semiHidden/>
    <w:unhideWhenUsed/>
    <w:rsid w:val="006059B7"/>
  </w:style>
  <w:style w:type="table" w:customStyle="1" w:styleId="Tablaconcuadrcula311">
    <w:name w:val="Tabla con cuadrícula311"/>
    <w:basedOn w:val="Tablanormal"/>
    <w:next w:val="Tablaconcuadrcula"/>
    <w:uiPriority w:val="39"/>
    <w:rsid w:val="00605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
    <w:name w:val="Sin lista411"/>
    <w:next w:val="Sinlista"/>
    <w:uiPriority w:val="99"/>
    <w:semiHidden/>
    <w:unhideWhenUsed/>
    <w:rsid w:val="006059B7"/>
  </w:style>
  <w:style w:type="table" w:customStyle="1" w:styleId="Tablaconcuadrcula411">
    <w:name w:val="Tabla con cuadrícula411"/>
    <w:basedOn w:val="Tablanormal"/>
    <w:next w:val="Tablaconcuadrcula"/>
    <w:uiPriority w:val="39"/>
    <w:rsid w:val="00605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
    <w:name w:val="Sin lista511"/>
    <w:next w:val="Sinlista"/>
    <w:uiPriority w:val="99"/>
    <w:semiHidden/>
    <w:unhideWhenUsed/>
    <w:rsid w:val="006059B7"/>
  </w:style>
  <w:style w:type="numbering" w:customStyle="1" w:styleId="Sinlista121">
    <w:name w:val="Sin lista121"/>
    <w:next w:val="Sinlista"/>
    <w:uiPriority w:val="99"/>
    <w:semiHidden/>
    <w:unhideWhenUsed/>
    <w:rsid w:val="006059B7"/>
  </w:style>
  <w:style w:type="numbering" w:customStyle="1" w:styleId="Sinlista11111">
    <w:name w:val="Sin lista11111"/>
    <w:next w:val="Sinlista"/>
    <w:uiPriority w:val="99"/>
    <w:semiHidden/>
    <w:unhideWhenUsed/>
    <w:rsid w:val="006059B7"/>
  </w:style>
  <w:style w:type="numbering" w:customStyle="1" w:styleId="Sinlista2111">
    <w:name w:val="Sin lista2111"/>
    <w:next w:val="Sinlista"/>
    <w:uiPriority w:val="99"/>
    <w:semiHidden/>
    <w:unhideWhenUsed/>
    <w:rsid w:val="006059B7"/>
  </w:style>
  <w:style w:type="numbering" w:customStyle="1" w:styleId="Sinlista3111">
    <w:name w:val="Sin lista3111"/>
    <w:next w:val="Sinlista"/>
    <w:uiPriority w:val="99"/>
    <w:semiHidden/>
    <w:unhideWhenUsed/>
    <w:rsid w:val="006059B7"/>
  </w:style>
  <w:style w:type="numbering" w:customStyle="1" w:styleId="Sinlista4111">
    <w:name w:val="Sin lista4111"/>
    <w:next w:val="Sinlista"/>
    <w:uiPriority w:val="99"/>
    <w:semiHidden/>
    <w:unhideWhenUsed/>
    <w:rsid w:val="006059B7"/>
  </w:style>
  <w:style w:type="numbering" w:customStyle="1" w:styleId="Sinlista71">
    <w:name w:val="Sin lista71"/>
    <w:next w:val="Sinlista"/>
    <w:uiPriority w:val="99"/>
    <w:semiHidden/>
    <w:unhideWhenUsed/>
    <w:rsid w:val="006059B7"/>
  </w:style>
  <w:style w:type="table" w:customStyle="1" w:styleId="Tablaconcuadrcula8">
    <w:name w:val="Tabla con cuadrícula8"/>
    <w:basedOn w:val="Tablanormal"/>
    <w:next w:val="Tablaconcuadrcula"/>
    <w:uiPriority w:val="39"/>
    <w:rsid w:val="00605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1">
    <w:name w:val="Estilo importado 211"/>
    <w:rsid w:val="006059B7"/>
  </w:style>
  <w:style w:type="numbering" w:customStyle="1" w:styleId="Estiloimportado111">
    <w:name w:val="Estilo importado 111"/>
    <w:rsid w:val="006059B7"/>
  </w:style>
  <w:style w:type="numbering" w:customStyle="1" w:styleId="Sinlista131">
    <w:name w:val="Sin lista131"/>
    <w:next w:val="Sinlista"/>
    <w:uiPriority w:val="99"/>
    <w:semiHidden/>
    <w:unhideWhenUsed/>
    <w:rsid w:val="006059B7"/>
  </w:style>
  <w:style w:type="numbering" w:customStyle="1" w:styleId="Sinlista1121">
    <w:name w:val="Sin lista1121"/>
    <w:next w:val="Sinlista"/>
    <w:uiPriority w:val="99"/>
    <w:semiHidden/>
    <w:unhideWhenUsed/>
    <w:rsid w:val="006059B7"/>
  </w:style>
  <w:style w:type="table" w:customStyle="1" w:styleId="Tablaconcuadrcula1121">
    <w:name w:val="Tabla con cuadrícula1121"/>
    <w:basedOn w:val="Tablanormal"/>
    <w:next w:val="Tablaconcuadrcula"/>
    <w:uiPriority w:val="39"/>
    <w:rsid w:val="00605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1">
    <w:name w:val="Sin lista221"/>
    <w:next w:val="Sinlista"/>
    <w:uiPriority w:val="99"/>
    <w:semiHidden/>
    <w:unhideWhenUsed/>
    <w:rsid w:val="006059B7"/>
  </w:style>
  <w:style w:type="numbering" w:customStyle="1" w:styleId="Sinlista321">
    <w:name w:val="Sin lista321"/>
    <w:next w:val="Sinlista"/>
    <w:uiPriority w:val="99"/>
    <w:semiHidden/>
    <w:unhideWhenUsed/>
    <w:rsid w:val="006059B7"/>
  </w:style>
  <w:style w:type="numbering" w:customStyle="1" w:styleId="Sinlista421">
    <w:name w:val="Sin lista421"/>
    <w:next w:val="Sinlista"/>
    <w:uiPriority w:val="99"/>
    <w:semiHidden/>
    <w:unhideWhenUsed/>
    <w:rsid w:val="006059B7"/>
  </w:style>
  <w:style w:type="numbering" w:customStyle="1" w:styleId="Estiloimportado23">
    <w:name w:val="Estilo importado 23"/>
    <w:rsid w:val="006059B7"/>
  </w:style>
  <w:style w:type="numbering" w:customStyle="1" w:styleId="Estiloimportado13">
    <w:name w:val="Estilo importado 13"/>
    <w:rsid w:val="006059B7"/>
  </w:style>
  <w:style w:type="numbering" w:customStyle="1" w:styleId="Estiloimportado212">
    <w:name w:val="Estilo importado 212"/>
    <w:rsid w:val="006059B7"/>
  </w:style>
  <w:style w:type="numbering" w:customStyle="1" w:styleId="Estiloimportado112">
    <w:name w:val="Estilo importado 112"/>
    <w:rsid w:val="006059B7"/>
  </w:style>
  <w:style w:type="table" w:customStyle="1" w:styleId="Tablaconcuadrcula1122">
    <w:name w:val="Tabla con cuadrícula1122"/>
    <w:basedOn w:val="Tablanormal"/>
    <w:next w:val="Tablaconcuadrcula"/>
    <w:uiPriority w:val="39"/>
    <w:rsid w:val="00605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6059B7"/>
  </w:style>
  <w:style w:type="table" w:customStyle="1" w:styleId="Tablaconcuadrcula9">
    <w:name w:val="Tabla con cuadrícula9"/>
    <w:basedOn w:val="Tablanormal"/>
    <w:next w:val="Tablaconcuadrcula"/>
    <w:uiPriority w:val="59"/>
    <w:rsid w:val="00605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
    <w:name w:val="Sin lista14"/>
    <w:next w:val="Sinlista"/>
    <w:uiPriority w:val="99"/>
    <w:semiHidden/>
    <w:unhideWhenUsed/>
    <w:rsid w:val="006059B7"/>
  </w:style>
  <w:style w:type="table" w:customStyle="1" w:styleId="Tablaconcuadrcula14">
    <w:name w:val="Tabla con cuadrícula14"/>
    <w:basedOn w:val="Tablanormal"/>
    <w:next w:val="Tablaconcuadrcula"/>
    <w:uiPriority w:val="39"/>
    <w:rsid w:val="00605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
    <w:name w:val="Sin lista23"/>
    <w:next w:val="Sinlista"/>
    <w:uiPriority w:val="99"/>
    <w:semiHidden/>
    <w:unhideWhenUsed/>
    <w:rsid w:val="006059B7"/>
  </w:style>
  <w:style w:type="table" w:customStyle="1" w:styleId="Tablaconcuadrcula23">
    <w:name w:val="Tabla con cuadrícula23"/>
    <w:basedOn w:val="Tablanormal"/>
    <w:next w:val="Tablaconcuadrcula"/>
    <w:uiPriority w:val="39"/>
    <w:rsid w:val="00605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
    <w:name w:val="Sin lista33"/>
    <w:next w:val="Sinlista"/>
    <w:uiPriority w:val="99"/>
    <w:semiHidden/>
    <w:unhideWhenUsed/>
    <w:rsid w:val="006059B7"/>
  </w:style>
  <w:style w:type="table" w:customStyle="1" w:styleId="Tablaconcuadrcula33">
    <w:name w:val="Tabla con cuadrícula33"/>
    <w:basedOn w:val="Tablanormal"/>
    <w:next w:val="Tablaconcuadrcula"/>
    <w:uiPriority w:val="39"/>
    <w:rsid w:val="00605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
    <w:name w:val="Sin lista43"/>
    <w:next w:val="Sinlista"/>
    <w:uiPriority w:val="99"/>
    <w:semiHidden/>
    <w:unhideWhenUsed/>
    <w:rsid w:val="006059B7"/>
  </w:style>
  <w:style w:type="table" w:customStyle="1" w:styleId="Tablaconcuadrcula43">
    <w:name w:val="Tabla con cuadrícula43"/>
    <w:basedOn w:val="Tablanormal"/>
    <w:next w:val="Tablaconcuadrcula"/>
    <w:uiPriority w:val="39"/>
    <w:rsid w:val="00605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
    <w:name w:val="Sin lista52"/>
    <w:next w:val="Sinlista"/>
    <w:uiPriority w:val="99"/>
    <w:semiHidden/>
    <w:unhideWhenUsed/>
    <w:rsid w:val="006059B7"/>
  </w:style>
  <w:style w:type="table" w:customStyle="1" w:styleId="Tablaconcuadrcula52">
    <w:name w:val="Tabla con cuadrícula52"/>
    <w:basedOn w:val="Tablanormal"/>
    <w:next w:val="Tablaconcuadrcula"/>
    <w:uiPriority w:val="39"/>
    <w:rsid w:val="00605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next w:val="Tablaconcuadrcula"/>
    <w:uiPriority w:val="39"/>
    <w:rsid w:val="00605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39"/>
    <w:rsid w:val="00605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
    <w:name w:val="Sin lista62"/>
    <w:next w:val="Sinlista"/>
    <w:uiPriority w:val="99"/>
    <w:semiHidden/>
    <w:unhideWhenUsed/>
    <w:rsid w:val="006059B7"/>
  </w:style>
  <w:style w:type="table" w:customStyle="1" w:styleId="Tablaconcuadrcula62">
    <w:name w:val="Tabla con cuadrícula62"/>
    <w:basedOn w:val="Tablanormal"/>
    <w:next w:val="Tablaconcuadrcula"/>
    <w:uiPriority w:val="39"/>
    <w:rsid w:val="00605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4">
    <w:name w:val="Estilo importado 24"/>
    <w:rsid w:val="006059B7"/>
  </w:style>
  <w:style w:type="numbering" w:customStyle="1" w:styleId="Estiloimportado14">
    <w:name w:val="Estilo importado 14"/>
    <w:rsid w:val="006059B7"/>
  </w:style>
  <w:style w:type="table" w:customStyle="1" w:styleId="Tablaconcuadrcula122">
    <w:name w:val="Tabla con cuadrícula122"/>
    <w:basedOn w:val="Tablanormal"/>
    <w:next w:val="Tablaconcuadrcula"/>
    <w:uiPriority w:val="59"/>
    <w:rsid w:val="00605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
    <w:name w:val="Sin lista113"/>
    <w:next w:val="Sinlista"/>
    <w:uiPriority w:val="99"/>
    <w:semiHidden/>
    <w:unhideWhenUsed/>
    <w:rsid w:val="006059B7"/>
  </w:style>
  <w:style w:type="table" w:customStyle="1" w:styleId="Tablaconcuadrcula212">
    <w:name w:val="Tabla con cuadrícula212"/>
    <w:basedOn w:val="Tablanormal"/>
    <w:next w:val="Tablaconcuadrcula"/>
    <w:uiPriority w:val="39"/>
    <w:rsid w:val="00605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
    <w:name w:val="Sin lista1113"/>
    <w:next w:val="Sinlista"/>
    <w:uiPriority w:val="99"/>
    <w:semiHidden/>
    <w:unhideWhenUsed/>
    <w:rsid w:val="006059B7"/>
  </w:style>
  <w:style w:type="table" w:customStyle="1" w:styleId="Tablaconcuadrcula1112">
    <w:name w:val="Tabla con cuadrícula1112"/>
    <w:basedOn w:val="Tablanormal"/>
    <w:next w:val="Tablaconcuadrcula"/>
    <w:uiPriority w:val="39"/>
    <w:rsid w:val="00605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
    <w:name w:val="Sin lista212"/>
    <w:next w:val="Sinlista"/>
    <w:uiPriority w:val="99"/>
    <w:semiHidden/>
    <w:unhideWhenUsed/>
    <w:rsid w:val="006059B7"/>
  </w:style>
  <w:style w:type="numbering" w:customStyle="1" w:styleId="Sinlista312">
    <w:name w:val="Sin lista312"/>
    <w:next w:val="Sinlista"/>
    <w:uiPriority w:val="99"/>
    <w:semiHidden/>
    <w:unhideWhenUsed/>
    <w:rsid w:val="006059B7"/>
  </w:style>
  <w:style w:type="table" w:customStyle="1" w:styleId="Tablaconcuadrcula312">
    <w:name w:val="Tabla con cuadrícula312"/>
    <w:basedOn w:val="Tablanormal"/>
    <w:next w:val="Tablaconcuadrcula"/>
    <w:uiPriority w:val="39"/>
    <w:rsid w:val="00605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6059B7"/>
  </w:style>
  <w:style w:type="table" w:customStyle="1" w:styleId="Tablaconcuadrcula412">
    <w:name w:val="Tabla con cuadrícula412"/>
    <w:basedOn w:val="Tablanormal"/>
    <w:next w:val="Tablaconcuadrcula"/>
    <w:uiPriority w:val="39"/>
    <w:rsid w:val="00605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6059B7"/>
  </w:style>
  <w:style w:type="table" w:customStyle="1" w:styleId="Tablaconcuadrcula511">
    <w:name w:val="Tabla con cuadrícula511"/>
    <w:basedOn w:val="Tablanormal"/>
    <w:next w:val="Tablaconcuadrcula"/>
    <w:uiPriority w:val="39"/>
    <w:rsid w:val="00605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6059B7"/>
  </w:style>
  <w:style w:type="numbering" w:customStyle="1" w:styleId="Sinlista11112">
    <w:name w:val="Sin lista11112"/>
    <w:next w:val="Sinlista"/>
    <w:uiPriority w:val="99"/>
    <w:semiHidden/>
    <w:unhideWhenUsed/>
    <w:rsid w:val="006059B7"/>
  </w:style>
  <w:style w:type="numbering" w:customStyle="1" w:styleId="Sinlista2112">
    <w:name w:val="Sin lista2112"/>
    <w:next w:val="Sinlista"/>
    <w:uiPriority w:val="99"/>
    <w:semiHidden/>
    <w:unhideWhenUsed/>
    <w:rsid w:val="006059B7"/>
  </w:style>
  <w:style w:type="numbering" w:customStyle="1" w:styleId="Sinlista3112">
    <w:name w:val="Sin lista3112"/>
    <w:next w:val="Sinlista"/>
    <w:uiPriority w:val="99"/>
    <w:semiHidden/>
    <w:unhideWhenUsed/>
    <w:rsid w:val="006059B7"/>
  </w:style>
  <w:style w:type="numbering" w:customStyle="1" w:styleId="Sinlista4112">
    <w:name w:val="Sin lista4112"/>
    <w:next w:val="Sinlista"/>
    <w:uiPriority w:val="99"/>
    <w:semiHidden/>
    <w:unhideWhenUsed/>
    <w:rsid w:val="006059B7"/>
  </w:style>
  <w:style w:type="numbering" w:customStyle="1" w:styleId="Sinlista72">
    <w:name w:val="Sin lista72"/>
    <w:next w:val="Sinlista"/>
    <w:uiPriority w:val="99"/>
    <w:semiHidden/>
    <w:unhideWhenUsed/>
    <w:rsid w:val="006059B7"/>
  </w:style>
  <w:style w:type="table" w:customStyle="1" w:styleId="Tablaconcuadrcula81">
    <w:name w:val="Tabla con cuadrícula81"/>
    <w:basedOn w:val="Tablanormal"/>
    <w:next w:val="Tablaconcuadrcula"/>
    <w:uiPriority w:val="39"/>
    <w:rsid w:val="00605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3">
    <w:name w:val="Estilo importado 213"/>
    <w:rsid w:val="006059B7"/>
  </w:style>
  <w:style w:type="numbering" w:customStyle="1" w:styleId="Estiloimportado113">
    <w:name w:val="Estilo importado 113"/>
    <w:rsid w:val="006059B7"/>
  </w:style>
  <w:style w:type="table" w:customStyle="1" w:styleId="Tablaconcuadrcula131">
    <w:name w:val="Tabla con cuadrícula131"/>
    <w:basedOn w:val="Tablanormal"/>
    <w:next w:val="Tablaconcuadrcula"/>
    <w:uiPriority w:val="59"/>
    <w:rsid w:val="00605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2">
    <w:name w:val="Sin lista132"/>
    <w:next w:val="Sinlista"/>
    <w:uiPriority w:val="99"/>
    <w:semiHidden/>
    <w:unhideWhenUsed/>
    <w:rsid w:val="006059B7"/>
  </w:style>
  <w:style w:type="table" w:customStyle="1" w:styleId="Tablaconcuadrcula221">
    <w:name w:val="Tabla con cuadrícula221"/>
    <w:basedOn w:val="Tablanormal"/>
    <w:next w:val="Tablaconcuadrcula"/>
    <w:uiPriority w:val="39"/>
    <w:rsid w:val="00605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
    <w:name w:val="Sin lista1122"/>
    <w:next w:val="Sinlista"/>
    <w:uiPriority w:val="99"/>
    <w:semiHidden/>
    <w:unhideWhenUsed/>
    <w:rsid w:val="006059B7"/>
  </w:style>
  <w:style w:type="table" w:customStyle="1" w:styleId="Tablaconcuadrcula1123">
    <w:name w:val="Tabla con cuadrícula1123"/>
    <w:basedOn w:val="Tablanormal"/>
    <w:next w:val="Tablaconcuadrcula"/>
    <w:uiPriority w:val="39"/>
    <w:rsid w:val="00605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2">
    <w:name w:val="Sin lista222"/>
    <w:next w:val="Sinlista"/>
    <w:uiPriority w:val="99"/>
    <w:semiHidden/>
    <w:unhideWhenUsed/>
    <w:rsid w:val="006059B7"/>
  </w:style>
  <w:style w:type="numbering" w:customStyle="1" w:styleId="Sinlista322">
    <w:name w:val="Sin lista322"/>
    <w:next w:val="Sinlista"/>
    <w:uiPriority w:val="99"/>
    <w:semiHidden/>
    <w:unhideWhenUsed/>
    <w:rsid w:val="006059B7"/>
  </w:style>
  <w:style w:type="table" w:customStyle="1" w:styleId="Tablaconcuadrcula321">
    <w:name w:val="Tabla con cuadrícula321"/>
    <w:basedOn w:val="Tablanormal"/>
    <w:next w:val="Tablaconcuadrcula"/>
    <w:uiPriority w:val="39"/>
    <w:rsid w:val="00605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6059B7"/>
  </w:style>
  <w:style w:type="table" w:customStyle="1" w:styleId="Tablaconcuadrcula421">
    <w:name w:val="Tabla con cuadrícula421"/>
    <w:basedOn w:val="Tablanormal"/>
    <w:next w:val="Tablaconcuadrcula"/>
    <w:uiPriority w:val="39"/>
    <w:rsid w:val="00605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6059B7"/>
  </w:style>
  <w:style w:type="table" w:customStyle="1" w:styleId="Tablaconcuadrcula10">
    <w:name w:val="Tabla con cuadrícula10"/>
    <w:basedOn w:val="Tablanormal"/>
    <w:next w:val="Tablaconcuadrcula"/>
    <w:uiPriority w:val="39"/>
    <w:rsid w:val="00605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39"/>
    <w:rsid w:val="00605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
    <w:name w:val="Sin lista15"/>
    <w:next w:val="Sinlista"/>
    <w:uiPriority w:val="99"/>
    <w:semiHidden/>
    <w:unhideWhenUsed/>
    <w:rsid w:val="006059B7"/>
  </w:style>
  <w:style w:type="table" w:customStyle="1" w:styleId="Tablaconcuadrcula24">
    <w:name w:val="Tabla con cuadrícula24"/>
    <w:basedOn w:val="Tablanormal"/>
    <w:next w:val="Tablaconcuadrcula"/>
    <w:uiPriority w:val="39"/>
    <w:rsid w:val="00605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
    <w:name w:val="Sin lista114"/>
    <w:next w:val="Sinlista"/>
    <w:uiPriority w:val="99"/>
    <w:semiHidden/>
    <w:unhideWhenUsed/>
    <w:rsid w:val="006059B7"/>
  </w:style>
  <w:style w:type="table" w:customStyle="1" w:styleId="Tablaconcuadrcula116">
    <w:name w:val="Tabla con cuadrícula116"/>
    <w:basedOn w:val="Tablanormal"/>
    <w:next w:val="Tablaconcuadrcula"/>
    <w:uiPriority w:val="39"/>
    <w:rsid w:val="00605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
    <w:name w:val="Sin lista24"/>
    <w:next w:val="Sinlista"/>
    <w:uiPriority w:val="99"/>
    <w:semiHidden/>
    <w:unhideWhenUsed/>
    <w:rsid w:val="006059B7"/>
  </w:style>
  <w:style w:type="numbering" w:customStyle="1" w:styleId="Sinlista34">
    <w:name w:val="Sin lista34"/>
    <w:next w:val="Sinlista"/>
    <w:uiPriority w:val="99"/>
    <w:semiHidden/>
    <w:unhideWhenUsed/>
    <w:rsid w:val="006059B7"/>
  </w:style>
  <w:style w:type="table" w:customStyle="1" w:styleId="Tablaconcuadrcula34">
    <w:name w:val="Tabla con cuadrícula34"/>
    <w:basedOn w:val="Tablanormal"/>
    <w:next w:val="Tablaconcuadrcula"/>
    <w:uiPriority w:val="39"/>
    <w:rsid w:val="00605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
    <w:name w:val="Sin lista44"/>
    <w:next w:val="Sinlista"/>
    <w:uiPriority w:val="99"/>
    <w:semiHidden/>
    <w:unhideWhenUsed/>
    <w:rsid w:val="006059B7"/>
  </w:style>
  <w:style w:type="table" w:customStyle="1" w:styleId="Tablaconcuadrcula44">
    <w:name w:val="Tabla con cuadrícula44"/>
    <w:basedOn w:val="Tablanormal"/>
    <w:next w:val="Tablaconcuadrcula"/>
    <w:uiPriority w:val="39"/>
    <w:rsid w:val="00605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
    <w:name w:val="Sin lista53"/>
    <w:next w:val="Sinlista"/>
    <w:uiPriority w:val="99"/>
    <w:semiHidden/>
    <w:unhideWhenUsed/>
    <w:rsid w:val="006059B7"/>
  </w:style>
  <w:style w:type="table" w:customStyle="1" w:styleId="Tablaconcuadrcula53">
    <w:name w:val="Tabla con cuadrícula53"/>
    <w:basedOn w:val="Tablanormal"/>
    <w:next w:val="Tablaconcuadrcula"/>
    <w:uiPriority w:val="39"/>
    <w:rsid w:val="00605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next w:val="Tablaconcuadrcula"/>
    <w:uiPriority w:val="59"/>
    <w:rsid w:val="00605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
    <w:name w:val="Sin lista123"/>
    <w:next w:val="Sinlista"/>
    <w:uiPriority w:val="99"/>
    <w:semiHidden/>
    <w:unhideWhenUsed/>
    <w:rsid w:val="006059B7"/>
  </w:style>
  <w:style w:type="table" w:customStyle="1" w:styleId="Tablaconcuadrcula213">
    <w:name w:val="Tabla con cuadrícula213"/>
    <w:basedOn w:val="Tablanormal"/>
    <w:next w:val="Tablaconcuadrcula"/>
    <w:uiPriority w:val="39"/>
    <w:rsid w:val="00605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
    <w:name w:val="Sin lista1114"/>
    <w:next w:val="Sinlista"/>
    <w:uiPriority w:val="99"/>
    <w:semiHidden/>
    <w:unhideWhenUsed/>
    <w:rsid w:val="006059B7"/>
  </w:style>
  <w:style w:type="table" w:customStyle="1" w:styleId="Tablaconcuadrcula1113">
    <w:name w:val="Tabla con cuadrícula1113"/>
    <w:basedOn w:val="Tablanormal"/>
    <w:next w:val="Tablaconcuadrcula"/>
    <w:uiPriority w:val="39"/>
    <w:rsid w:val="00605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3">
    <w:name w:val="Sin lista213"/>
    <w:next w:val="Sinlista"/>
    <w:uiPriority w:val="99"/>
    <w:semiHidden/>
    <w:unhideWhenUsed/>
    <w:rsid w:val="006059B7"/>
  </w:style>
  <w:style w:type="numbering" w:customStyle="1" w:styleId="Sinlista313">
    <w:name w:val="Sin lista313"/>
    <w:next w:val="Sinlista"/>
    <w:uiPriority w:val="99"/>
    <w:semiHidden/>
    <w:unhideWhenUsed/>
    <w:rsid w:val="006059B7"/>
  </w:style>
  <w:style w:type="table" w:customStyle="1" w:styleId="Tablaconcuadrcula313">
    <w:name w:val="Tabla con cuadrícula313"/>
    <w:basedOn w:val="Tablanormal"/>
    <w:next w:val="Tablaconcuadrcula"/>
    <w:uiPriority w:val="39"/>
    <w:rsid w:val="00605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6059B7"/>
  </w:style>
  <w:style w:type="table" w:customStyle="1" w:styleId="Tablaconcuadrcula413">
    <w:name w:val="Tabla con cuadrícula413"/>
    <w:basedOn w:val="Tablanormal"/>
    <w:next w:val="Tablaconcuadrcula"/>
    <w:uiPriority w:val="39"/>
    <w:rsid w:val="00605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4">
    <w:name w:val="Tabla con cuadrícula1124"/>
    <w:basedOn w:val="Tablanormal"/>
    <w:next w:val="Tablaconcuadrcula"/>
    <w:uiPriority w:val="39"/>
    <w:rsid w:val="006059B7"/>
    <w:pPr>
      <w:spacing w:after="0" w:line="240" w:lineRule="auto"/>
    </w:pPr>
    <w:rPr>
      <w:rFonts w:ascii="Cambria"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4">
    <w:name w:val="Estilo importado 214"/>
    <w:rsid w:val="006059B7"/>
  </w:style>
  <w:style w:type="numbering" w:customStyle="1" w:styleId="Estiloimportado114">
    <w:name w:val="Estilo importado 114"/>
    <w:rsid w:val="006059B7"/>
  </w:style>
  <w:style w:type="numbering" w:customStyle="1" w:styleId="Sinlista11113">
    <w:name w:val="Sin lista11113"/>
    <w:next w:val="Sinlista"/>
    <w:uiPriority w:val="99"/>
    <w:semiHidden/>
    <w:unhideWhenUsed/>
    <w:rsid w:val="006059B7"/>
  </w:style>
  <w:style w:type="numbering" w:customStyle="1" w:styleId="Sinlista63">
    <w:name w:val="Sin lista63"/>
    <w:next w:val="Sinlista"/>
    <w:uiPriority w:val="99"/>
    <w:semiHidden/>
    <w:unhideWhenUsed/>
    <w:rsid w:val="006059B7"/>
  </w:style>
  <w:style w:type="table" w:customStyle="1" w:styleId="Tablaconcuadrcula63">
    <w:name w:val="Tabla con cuadrícula63"/>
    <w:basedOn w:val="Tablanormal"/>
    <w:next w:val="Tablaconcuadrcula"/>
    <w:uiPriority w:val="39"/>
    <w:rsid w:val="00605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next w:val="Tablaconcuadrcula"/>
    <w:uiPriority w:val="39"/>
    <w:rsid w:val="006059B7"/>
    <w:pPr>
      <w:spacing w:after="0" w:line="240" w:lineRule="auto"/>
    </w:pPr>
    <w:rPr>
      <w:rFonts w:ascii="Cambria"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
    <w:name w:val="Sin lista10"/>
    <w:next w:val="Sinlista"/>
    <w:uiPriority w:val="99"/>
    <w:semiHidden/>
    <w:unhideWhenUsed/>
    <w:rsid w:val="006059B7"/>
  </w:style>
  <w:style w:type="table" w:customStyle="1" w:styleId="Tablaconcuadrcula16">
    <w:name w:val="Tabla con cuadrícula16"/>
    <w:basedOn w:val="Tablanormal"/>
    <w:next w:val="Tablaconcuadrcula"/>
    <w:uiPriority w:val="39"/>
    <w:rsid w:val="00605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5">
    <w:name w:val="Estilo importado 25"/>
    <w:rsid w:val="006059B7"/>
  </w:style>
  <w:style w:type="numbering" w:customStyle="1" w:styleId="Estiloimportado15">
    <w:name w:val="Estilo importado 15"/>
    <w:rsid w:val="006059B7"/>
  </w:style>
  <w:style w:type="table" w:customStyle="1" w:styleId="Tablaconcuadrcula1114">
    <w:name w:val="Tabla con cuadrícula1114"/>
    <w:basedOn w:val="Tablanormal"/>
    <w:next w:val="Tablaconcuadrcula"/>
    <w:uiPriority w:val="39"/>
    <w:rsid w:val="00605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uiPriority w:val="99"/>
    <w:semiHidden/>
    <w:unhideWhenUsed/>
    <w:rsid w:val="006059B7"/>
  </w:style>
  <w:style w:type="table" w:customStyle="1" w:styleId="Tablaconcuadrcula17">
    <w:name w:val="Tabla con cuadrícula17"/>
    <w:basedOn w:val="Tablanormal"/>
    <w:next w:val="Tablaconcuadrcula"/>
    <w:uiPriority w:val="39"/>
    <w:rsid w:val="00605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
    <w:name w:val="Tabla con cuadrícula118"/>
    <w:basedOn w:val="Tablanormal"/>
    <w:next w:val="Tablaconcuadrcula"/>
    <w:uiPriority w:val="39"/>
    <w:rsid w:val="00605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5">
    <w:name w:val="Tabla con cuadrícula1125"/>
    <w:basedOn w:val="Tablanormal"/>
    <w:next w:val="Tablaconcuadrcula"/>
    <w:uiPriority w:val="39"/>
    <w:rsid w:val="006059B7"/>
    <w:pPr>
      <w:spacing w:after="0" w:line="240" w:lineRule="auto"/>
    </w:pPr>
    <w:rPr>
      <w:rFonts w:ascii="Cambria"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39"/>
    <w:rsid w:val="00605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
    <w:name w:val="Sin lista115"/>
    <w:next w:val="Sinlista"/>
    <w:uiPriority w:val="99"/>
    <w:semiHidden/>
    <w:unhideWhenUsed/>
    <w:rsid w:val="006059B7"/>
  </w:style>
  <w:style w:type="numbering" w:customStyle="1" w:styleId="Sinlista25">
    <w:name w:val="Sin lista25"/>
    <w:next w:val="Sinlista"/>
    <w:uiPriority w:val="99"/>
    <w:semiHidden/>
    <w:unhideWhenUsed/>
    <w:rsid w:val="006059B7"/>
  </w:style>
  <w:style w:type="numbering" w:customStyle="1" w:styleId="Sinlista35">
    <w:name w:val="Sin lista35"/>
    <w:next w:val="Sinlista"/>
    <w:uiPriority w:val="99"/>
    <w:semiHidden/>
    <w:unhideWhenUsed/>
    <w:rsid w:val="006059B7"/>
  </w:style>
  <w:style w:type="table" w:customStyle="1" w:styleId="Tablaconcuadrcula35">
    <w:name w:val="Tabla con cuadrícula35"/>
    <w:basedOn w:val="Tablanormal"/>
    <w:next w:val="Tablaconcuadrcula"/>
    <w:uiPriority w:val="39"/>
    <w:rsid w:val="00605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
    <w:name w:val="Sin lista45"/>
    <w:next w:val="Sinlista"/>
    <w:uiPriority w:val="99"/>
    <w:semiHidden/>
    <w:unhideWhenUsed/>
    <w:rsid w:val="006059B7"/>
  </w:style>
  <w:style w:type="table" w:customStyle="1" w:styleId="Tablaconcuadrcula45">
    <w:name w:val="Tabla con cuadrícula45"/>
    <w:basedOn w:val="Tablanormal"/>
    <w:next w:val="Tablaconcuadrcula"/>
    <w:uiPriority w:val="39"/>
    <w:rsid w:val="00605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
    <w:name w:val="Sin lista54"/>
    <w:next w:val="Sinlista"/>
    <w:uiPriority w:val="99"/>
    <w:semiHidden/>
    <w:unhideWhenUsed/>
    <w:rsid w:val="006059B7"/>
  </w:style>
  <w:style w:type="table" w:customStyle="1" w:styleId="Tablaconcuadrcula54">
    <w:name w:val="Tabla con cuadrícula54"/>
    <w:basedOn w:val="Tablanormal"/>
    <w:next w:val="Tablaconcuadrcula"/>
    <w:uiPriority w:val="39"/>
    <w:rsid w:val="00605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next w:val="Tablaconcuadrcula"/>
    <w:uiPriority w:val="59"/>
    <w:rsid w:val="00605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
    <w:name w:val="Sin lista124"/>
    <w:next w:val="Sinlista"/>
    <w:uiPriority w:val="99"/>
    <w:semiHidden/>
    <w:unhideWhenUsed/>
    <w:rsid w:val="006059B7"/>
  </w:style>
  <w:style w:type="table" w:customStyle="1" w:styleId="Tablaconcuadrcula214">
    <w:name w:val="Tabla con cuadrícula214"/>
    <w:basedOn w:val="Tablanormal"/>
    <w:next w:val="Tablaconcuadrcula"/>
    <w:uiPriority w:val="39"/>
    <w:rsid w:val="00605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5">
    <w:name w:val="Sin lista1115"/>
    <w:next w:val="Sinlista"/>
    <w:uiPriority w:val="99"/>
    <w:semiHidden/>
    <w:unhideWhenUsed/>
    <w:rsid w:val="006059B7"/>
  </w:style>
  <w:style w:type="numbering" w:customStyle="1" w:styleId="Sinlista214">
    <w:name w:val="Sin lista214"/>
    <w:next w:val="Sinlista"/>
    <w:uiPriority w:val="99"/>
    <w:semiHidden/>
    <w:unhideWhenUsed/>
    <w:rsid w:val="006059B7"/>
  </w:style>
  <w:style w:type="numbering" w:customStyle="1" w:styleId="Sinlista314">
    <w:name w:val="Sin lista314"/>
    <w:next w:val="Sinlista"/>
    <w:uiPriority w:val="99"/>
    <w:semiHidden/>
    <w:unhideWhenUsed/>
    <w:rsid w:val="006059B7"/>
  </w:style>
  <w:style w:type="table" w:customStyle="1" w:styleId="Tablaconcuadrcula314">
    <w:name w:val="Tabla con cuadrícula314"/>
    <w:basedOn w:val="Tablanormal"/>
    <w:next w:val="Tablaconcuadrcula"/>
    <w:uiPriority w:val="39"/>
    <w:rsid w:val="00605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6059B7"/>
  </w:style>
  <w:style w:type="table" w:customStyle="1" w:styleId="Tablaconcuadrcula414">
    <w:name w:val="Tabla con cuadrícula414"/>
    <w:basedOn w:val="Tablanormal"/>
    <w:next w:val="Tablaconcuadrcula"/>
    <w:uiPriority w:val="39"/>
    <w:rsid w:val="00605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next w:val="Tablaconcuadrcula"/>
    <w:uiPriority w:val="39"/>
    <w:rsid w:val="00605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5">
    <w:name w:val="Estilo importado 215"/>
    <w:rsid w:val="006059B7"/>
  </w:style>
  <w:style w:type="numbering" w:customStyle="1" w:styleId="Estiloimportado115">
    <w:name w:val="Estilo importado 115"/>
    <w:rsid w:val="006059B7"/>
  </w:style>
  <w:style w:type="numbering" w:customStyle="1" w:styleId="Sinlista64">
    <w:name w:val="Sin lista64"/>
    <w:next w:val="Sinlista"/>
    <w:uiPriority w:val="99"/>
    <w:semiHidden/>
    <w:unhideWhenUsed/>
    <w:rsid w:val="006059B7"/>
  </w:style>
  <w:style w:type="table" w:customStyle="1" w:styleId="Tablaconcuadrcula64">
    <w:name w:val="Tabla con cuadrícula64"/>
    <w:basedOn w:val="Tablanormal"/>
    <w:next w:val="Tablaconcuadrcula"/>
    <w:uiPriority w:val="39"/>
    <w:rsid w:val="00605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
    <w:name w:val="Sin lista73"/>
    <w:next w:val="Sinlista"/>
    <w:uiPriority w:val="99"/>
    <w:semiHidden/>
    <w:unhideWhenUsed/>
    <w:rsid w:val="006059B7"/>
  </w:style>
  <w:style w:type="table" w:customStyle="1" w:styleId="Tablaconcuadrcula72">
    <w:name w:val="Tabla con cuadrícula72"/>
    <w:basedOn w:val="Tablanormal"/>
    <w:next w:val="Tablaconcuadrcula"/>
    <w:uiPriority w:val="39"/>
    <w:rsid w:val="00605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21">
    <w:name w:val="Estilo importado 221"/>
    <w:rsid w:val="006059B7"/>
  </w:style>
  <w:style w:type="numbering" w:customStyle="1" w:styleId="Estiloimportado121">
    <w:name w:val="Estilo importado 121"/>
    <w:rsid w:val="006059B7"/>
  </w:style>
  <w:style w:type="table" w:customStyle="1" w:styleId="Tablaconcuadrcula11121">
    <w:name w:val="Tabla con cuadrícula11121"/>
    <w:basedOn w:val="Tablanormal"/>
    <w:next w:val="Tablaconcuadrcula"/>
    <w:uiPriority w:val="39"/>
    <w:rsid w:val="00605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3">
    <w:name w:val="Sin lista133"/>
    <w:next w:val="Sinlista"/>
    <w:uiPriority w:val="99"/>
    <w:semiHidden/>
    <w:unhideWhenUsed/>
    <w:rsid w:val="006059B7"/>
  </w:style>
  <w:style w:type="table" w:customStyle="1" w:styleId="Tablaconcuadrcula132">
    <w:name w:val="Tabla con cuadrícula132"/>
    <w:basedOn w:val="Tablanormal"/>
    <w:next w:val="Tablaconcuadrcula"/>
    <w:uiPriority w:val="39"/>
    <w:rsid w:val="00605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next w:val="Tablaconcuadrcula"/>
    <w:uiPriority w:val="39"/>
    <w:rsid w:val="00605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1">
    <w:name w:val="Tabla con cuadrícula11211"/>
    <w:basedOn w:val="Tablanormal"/>
    <w:next w:val="Tablaconcuadrcula"/>
    <w:uiPriority w:val="39"/>
    <w:rsid w:val="006059B7"/>
    <w:pPr>
      <w:spacing w:after="0" w:line="240" w:lineRule="auto"/>
    </w:pPr>
    <w:rPr>
      <w:rFonts w:ascii="Cambria"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39"/>
    <w:rsid w:val="00605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
    <w:name w:val="Sin lista1123"/>
    <w:next w:val="Sinlista"/>
    <w:uiPriority w:val="99"/>
    <w:semiHidden/>
    <w:unhideWhenUsed/>
    <w:rsid w:val="006059B7"/>
  </w:style>
  <w:style w:type="numbering" w:customStyle="1" w:styleId="Sinlista223">
    <w:name w:val="Sin lista223"/>
    <w:next w:val="Sinlista"/>
    <w:uiPriority w:val="99"/>
    <w:semiHidden/>
    <w:unhideWhenUsed/>
    <w:rsid w:val="006059B7"/>
  </w:style>
  <w:style w:type="numbering" w:customStyle="1" w:styleId="Sinlista323">
    <w:name w:val="Sin lista323"/>
    <w:next w:val="Sinlista"/>
    <w:uiPriority w:val="99"/>
    <w:semiHidden/>
    <w:unhideWhenUsed/>
    <w:rsid w:val="006059B7"/>
  </w:style>
  <w:style w:type="table" w:customStyle="1" w:styleId="Tablaconcuadrcula322">
    <w:name w:val="Tabla con cuadrícula322"/>
    <w:basedOn w:val="Tablanormal"/>
    <w:next w:val="Tablaconcuadrcula"/>
    <w:uiPriority w:val="39"/>
    <w:rsid w:val="00605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6059B7"/>
  </w:style>
  <w:style w:type="table" w:customStyle="1" w:styleId="Tablaconcuadrcula422">
    <w:name w:val="Tabla con cuadrícula422"/>
    <w:basedOn w:val="Tablanormal"/>
    <w:next w:val="Tablaconcuadrcula"/>
    <w:uiPriority w:val="39"/>
    <w:rsid w:val="00605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6059B7"/>
  </w:style>
  <w:style w:type="table" w:customStyle="1" w:styleId="Tablaconcuadrcula512">
    <w:name w:val="Tabla con cuadrícula512"/>
    <w:basedOn w:val="Tablanormal"/>
    <w:next w:val="Tablaconcuadrcula"/>
    <w:uiPriority w:val="39"/>
    <w:rsid w:val="00605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next w:val="Tablaconcuadrcula"/>
    <w:uiPriority w:val="59"/>
    <w:rsid w:val="00605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
    <w:name w:val="Sin lista1211"/>
    <w:next w:val="Sinlista"/>
    <w:uiPriority w:val="99"/>
    <w:semiHidden/>
    <w:unhideWhenUsed/>
    <w:rsid w:val="006059B7"/>
  </w:style>
  <w:style w:type="table" w:customStyle="1" w:styleId="Tablaconcuadrcula2111">
    <w:name w:val="Tabla con cuadrícula2111"/>
    <w:basedOn w:val="Tablanormal"/>
    <w:next w:val="Tablaconcuadrcula"/>
    <w:uiPriority w:val="39"/>
    <w:rsid w:val="00605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6059B7"/>
  </w:style>
  <w:style w:type="numbering" w:customStyle="1" w:styleId="Sinlista2113">
    <w:name w:val="Sin lista2113"/>
    <w:next w:val="Sinlista"/>
    <w:uiPriority w:val="99"/>
    <w:semiHidden/>
    <w:unhideWhenUsed/>
    <w:rsid w:val="006059B7"/>
  </w:style>
  <w:style w:type="numbering" w:customStyle="1" w:styleId="Sinlista3113">
    <w:name w:val="Sin lista3113"/>
    <w:next w:val="Sinlista"/>
    <w:uiPriority w:val="99"/>
    <w:semiHidden/>
    <w:unhideWhenUsed/>
    <w:rsid w:val="006059B7"/>
  </w:style>
  <w:style w:type="table" w:customStyle="1" w:styleId="Tablaconcuadrcula3111">
    <w:name w:val="Tabla con cuadrícula3111"/>
    <w:basedOn w:val="Tablanormal"/>
    <w:next w:val="Tablaconcuadrcula"/>
    <w:uiPriority w:val="39"/>
    <w:rsid w:val="00605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6059B7"/>
  </w:style>
  <w:style w:type="table" w:customStyle="1" w:styleId="Tablaconcuadrcula4111">
    <w:name w:val="Tabla con cuadrícula4111"/>
    <w:basedOn w:val="Tablanormal"/>
    <w:next w:val="Tablaconcuadrcula"/>
    <w:uiPriority w:val="39"/>
    <w:rsid w:val="00605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next w:val="Tablaconcuadrcula"/>
    <w:uiPriority w:val="39"/>
    <w:rsid w:val="00605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1">
    <w:name w:val="Tabla con cuadrícula111111"/>
    <w:basedOn w:val="Tablanormal"/>
    <w:next w:val="Tablaconcuadrcula"/>
    <w:uiPriority w:val="39"/>
    <w:rsid w:val="00605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11">
    <w:name w:val="Estilo importado 2111"/>
    <w:rsid w:val="006059B7"/>
  </w:style>
  <w:style w:type="numbering" w:customStyle="1" w:styleId="Estiloimportado1111">
    <w:name w:val="Estilo importado 1111"/>
    <w:rsid w:val="006059B7"/>
  </w:style>
  <w:style w:type="numbering" w:customStyle="1" w:styleId="Sinlista611">
    <w:name w:val="Sin lista611"/>
    <w:next w:val="Sinlista"/>
    <w:uiPriority w:val="99"/>
    <w:semiHidden/>
    <w:unhideWhenUsed/>
    <w:rsid w:val="006059B7"/>
  </w:style>
  <w:style w:type="table" w:customStyle="1" w:styleId="Tablaconcuadrcula611">
    <w:name w:val="Tabla con cuadrícula611"/>
    <w:basedOn w:val="Tablanormal"/>
    <w:next w:val="Tablaconcuadrcula"/>
    <w:uiPriority w:val="39"/>
    <w:rsid w:val="00605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next w:val="Tablaconcuadrcula"/>
    <w:uiPriority w:val="39"/>
    <w:rsid w:val="00605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31">
    <w:name w:val="Estilo importado 231"/>
    <w:rsid w:val="006059B7"/>
  </w:style>
  <w:style w:type="numbering" w:customStyle="1" w:styleId="Estiloimportado131">
    <w:name w:val="Estilo importado 131"/>
    <w:rsid w:val="006059B7"/>
  </w:style>
  <w:style w:type="table" w:customStyle="1" w:styleId="Tablaconcuadrcula11221">
    <w:name w:val="Tabla con cuadrícula11221"/>
    <w:basedOn w:val="Tablanormal"/>
    <w:next w:val="Tablaconcuadrcula"/>
    <w:uiPriority w:val="39"/>
    <w:rsid w:val="006059B7"/>
    <w:pPr>
      <w:spacing w:after="0" w:line="240" w:lineRule="auto"/>
    </w:pPr>
    <w:rPr>
      <w:rFonts w:ascii="Cambria"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6059B7"/>
    <w:pPr>
      <w:spacing w:after="0" w:line="240" w:lineRule="auto"/>
    </w:pPr>
    <w:rPr>
      <w:rFonts w:cs="Times New Roman"/>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4-nfasis31">
    <w:name w:val="Tabla de cuadrícula 4 - Énfasis 31"/>
    <w:basedOn w:val="Tablanormal"/>
    <w:uiPriority w:val="49"/>
    <w:rsid w:val="006059B7"/>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concuadrcula19">
    <w:name w:val="Tabla con cuadrícula19"/>
    <w:basedOn w:val="Tablanormal"/>
    <w:next w:val="Tablaconcuadrcula"/>
    <w:uiPriority w:val="39"/>
    <w:rsid w:val="00A83E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0.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hxKV+SZA+DTOayvz5+GD0kWH/nQ==">AMUW2mU8Rn1d1ncScBjR4sGNvIiWvRtA9sg7lrgPw27jYHNKnM/pBBv/BJZRuzlqkTkC+iKQhROD32hQyla7DrJW+ms7cUegjPbN74AAFm5TzcVy7tKg06wxGyNRw+X5vq0PSmvMXdFl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46</Pages>
  <Words>11037</Words>
  <Characters>60704</Characters>
  <Application>Microsoft Office Word</Application>
  <DocSecurity>0</DocSecurity>
  <Lines>505</Lines>
  <Paragraphs>143</Paragraphs>
  <ScaleCrop>false</ScaleCrop>
  <Company/>
  <LinksUpToDate>false</LinksUpToDate>
  <CharactersWithSpaces>71598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Alexis Tapia</dc:creator>
  <cp:lastModifiedBy>USUARIO</cp:lastModifiedBy>
  <cp:revision>7</cp:revision>
  <dcterms:created xsi:type="dcterms:W3CDTF">2021-09-22T20:28:00Z</dcterms:created>
  <dcterms:modified xsi:type="dcterms:W3CDTF">2021-11-05T00:23:00Z</dcterms:modified>
</cp:coreProperties>
</file>