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quince de diciembre de dos mil veintiuno.</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relativo al recurso de revisión </w:t>
      </w:r>
      <w:r w:rsidDel="00000000" w:rsidR="00000000" w:rsidRPr="00000000">
        <w:rPr>
          <w:rFonts w:ascii="Palatino Linotype" w:cs="Palatino Linotype" w:eastAsia="Palatino Linotype" w:hAnsi="Palatino Linotype"/>
          <w:b w:val="1"/>
          <w:rtl w:val="0"/>
        </w:rPr>
        <w:t xml:space="preserve">04009/INFOEM/IP/RR/2021 </w:t>
      </w:r>
      <w:r w:rsidDel="00000000" w:rsidR="00000000" w:rsidRPr="00000000">
        <w:rPr>
          <w:rFonts w:ascii="Palatino Linotype" w:cs="Palatino Linotype" w:eastAsia="Palatino Linotype" w:hAnsi="Palatino Linotype"/>
          <w:rtl w:val="0"/>
        </w:rPr>
        <w:t xml:space="preserve">interpuesto por</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rtl w:val="0"/>
        </w:rPr>
        <w:t xml:space="preserve">Xxxx Xxxx Xxxx Xxxxxxx</w:t>
      </w:r>
      <w:r w:rsidDel="00000000" w:rsidR="00000000" w:rsidRPr="00000000">
        <w:rPr>
          <w:rFonts w:ascii="Palatino Linotype" w:cs="Palatino Linotype" w:eastAsia="Palatino Linotype" w:hAnsi="Palatino Linotype"/>
          <w:rtl w:val="0"/>
        </w:rPr>
        <w:t xml:space="preserve">, en lo sucesivo el recurrente en contra de la respuesta a la solicitud de información con número de folio </w:t>
      </w:r>
      <w:r w:rsidDel="00000000" w:rsidR="00000000" w:rsidRPr="00000000">
        <w:rPr>
          <w:rFonts w:ascii="Palatino Linotype" w:cs="Palatino Linotype" w:eastAsia="Palatino Linotype" w:hAnsi="Palatino Linotype"/>
          <w:b w:val="1"/>
          <w:rtl w:val="0"/>
        </w:rPr>
        <w:t xml:space="preserve">00623/INFOEM/IP/2021</w:t>
      </w:r>
      <w:r w:rsidDel="00000000" w:rsidR="00000000" w:rsidRPr="00000000">
        <w:rPr>
          <w:rFonts w:ascii="Palatino Linotype" w:cs="Palatino Linotype" w:eastAsia="Palatino Linotype" w:hAnsi="Palatino Linotype"/>
          <w:rtl w:val="0"/>
        </w:rPr>
        <w:t xml:space="preserve">, por parte del</w:t>
      </w:r>
      <w:r w:rsidDel="00000000" w:rsidR="00000000" w:rsidRPr="00000000">
        <w:rPr>
          <w:rFonts w:ascii="Palatino Linotype" w:cs="Palatino Linotype" w:eastAsia="Palatino Linotype" w:hAnsi="Palatino Linotype"/>
          <w:b w:val="1"/>
          <w:rtl w:val="0"/>
        </w:rPr>
        <w:t xml:space="preserve"> Instituto de Transparencia, Acceso a la Información Pública y Protección de Datos Personales del Estado de México y Municipios</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360" w:lineRule="auto"/>
        <w:ind w:left="1077"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 </w:t>
      </w:r>
      <w:r w:rsidDel="00000000" w:rsidR="00000000" w:rsidRPr="00000000">
        <w:rPr>
          <w:rFonts w:ascii="Palatino Linotype" w:cs="Palatino Linotype" w:eastAsia="Palatino Linotype" w:hAnsi="Palatino Linotype"/>
          <w:rtl w:val="0"/>
        </w:rPr>
        <w:t xml:space="preserve">Con fecha doce de agosto de dos mil veintiuno,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la solicitud de acceso 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requiriéndole lo siguiente:</w:t>
      </w:r>
    </w:p>
    <w:p w:rsidR="00000000" w:rsidDel="00000000" w:rsidP="00000000" w:rsidRDefault="00000000" w:rsidRPr="00000000" w14:paraId="00000005">
      <w:pPr>
        <w:spacing w:after="240" w:before="240" w:lineRule="auto"/>
        <w:ind w:left="851" w:right="900"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sz w:val="22"/>
          <w:szCs w:val="22"/>
          <w:rtl w:val="0"/>
        </w:rPr>
        <w:t xml:space="preserve"> “Solicito el </w:t>
      </w:r>
      <w:r w:rsidDel="00000000" w:rsidR="00000000" w:rsidRPr="00000000">
        <w:rPr>
          <w:rFonts w:ascii="Palatino Linotype" w:cs="Palatino Linotype" w:eastAsia="Palatino Linotype" w:hAnsi="Palatino Linotype"/>
          <w:b w:val="1"/>
          <w:i w:val="1"/>
          <w:sz w:val="22"/>
          <w:szCs w:val="22"/>
          <w:u w:val="single"/>
          <w:rtl w:val="0"/>
        </w:rPr>
        <w:t xml:space="preserve">formato ST 1 de Riesgo de Trabajo del 2 de octubre del 2006 emitido por el HGZ 57 de la quebrada, por fractura de hombro izquierdo </w:t>
      </w:r>
      <w:r w:rsidDel="00000000" w:rsidR="00000000" w:rsidRPr="00000000">
        <w:rPr>
          <w:rFonts w:ascii="Palatino Linotype" w:cs="Palatino Linotype" w:eastAsia="Palatino Linotype" w:hAnsi="Palatino Linotype"/>
          <w:i w:val="1"/>
          <w:sz w:val="22"/>
          <w:szCs w:val="22"/>
          <w:rtl w:val="0"/>
        </w:rPr>
        <w:t xml:space="preserve">mi clínica familiar es la Umf /60 de Tlalnepantla, </w:t>
      </w:r>
      <w:r w:rsidDel="00000000" w:rsidR="00000000" w:rsidRPr="00000000">
        <w:rPr>
          <w:rFonts w:ascii="Palatino Linotype" w:cs="Palatino Linotype" w:eastAsia="Palatino Linotype" w:hAnsi="Palatino Linotype"/>
          <w:b w:val="1"/>
          <w:i w:val="1"/>
          <w:sz w:val="22"/>
          <w:szCs w:val="22"/>
          <w:u w:val="single"/>
          <w:rtl w:val="0"/>
        </w:rPr>
        <w:t xml:space="preserve">tipo de derecho ARCO</w:t>
      </w:r>
      <w:r w:rsidDel="00000000" w:rsidR="00000000" w:rsidRPr="00000000">
        <w:rPr>
          <w:rFonts w:ascii="Palatino Linotype" w:cs="Palatino Linotype" w:eastAsia="Palatino Linotype" w:hAnsi="Palatino Linotype"/>
          <w:i w:val="1"/>
          <w:sz w:val="22"/>
          <w:szCs w:val="22"/>
          <w:rtl w:val="0"/>
        </w:rPr>
        <w:t xml:space="preserve">: , presento solicitud: Titular, representante: ,tipo de persona: Titular” (Sic</w:t>
      </w: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06">
      <w:pPr>
        <w:spacing w:after="240" w:before="240" w:lineRule="auto"/>
        <w:ind w:left="851" w:right="900"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r w:rsidDel="00000000" w:rsidR="00000000" w:rsidRPr="00000000">
        <w:rPr>
          <w:rtl w:val="0"/>
        </w:rPr>
      </w:r>
    </w:p>
    <w:p w:rsidR="00000000" w:rsidDel="00000000" w:rsidP="00000000" w:rsidRDefault="00000000" w:rsidRPr="00000000" w14:paraId="00000007">
      <w:pPr>
        <w:spacing w:after="240" w:before="240" w:lineRule="auto"/>
        <w:ind w:left="851" w:right="900" w:firstLine="0"/>
        <w:jc w:val="both"/>
        <w:rPr>
          <w:rFonts w:ascii="Palatino Linotype" w:cs="Palatino Linotype" w:eastAsia="Palatino Linotype" w:hAnsi="Palatino Linotype"/>
          <w:b w:val="1"/>
          <w:i w:val="1"/>
          <w:color w:val="000000"/>
          <w:sz w:val="22"/>
          <w:szCs w:val="22"/>
        </w:rPr>
      </w:pPr>
      <w:r w:rsidDel="00000000" w:rsidR="00000000" w:rsidRPr="00000000">
        <w:rPr>
          <w:rtl w:val="0"/>
        </w:rPr>
      </w:r>
    </w:p>
    <w:p w:rsidR="00000000" w:rsidDel="00000000" w:rsidP="00000000" w:rsidRDefault="00000000" w:rsidRPr="00000000" w14:paraId="00000008">
      <w:pPr>
        <w:tabs>
          <w:tab w:val="left" w:pos="3689"/>
        </w:tabs>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ab/>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elegida por el particular para la entrega de la información:</w:t>
      </w:r>
      <w:r w:rsidDel="00000000" w:rsidR="00000000" w:rsidRPr="00000000">
        <w:rPr>
          <w:rFonts w:ascii="Palatino Linotype" w:cs="Palatino Linotype" w:eastAsia="Palatino Linotype" w:hAnsi="Palatino Linotype"/>
          <w:rtl w:val="0"/>
        </w:rPr>
        <w:t xml:space="preserve"> copias certificadas con costo.</w:t>
      </w:r>
    </w:p>
    <w:p w:rsidR="00000000" w:rsidDel="00000000" w:rsidP="00000000" w:rsidRDefault="00000000" w:rsidRPr="00000000" w14:paraId="0000000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trece de agosto de dos mil veintiuno</w:t>
      </w:r>
      <w:r w:rsidDel="00000000" w:rsidR="00000000" w:rsidRPr="00000000">
        <w:rPr>
          <w:rFonts w:ascii="Palatino Linotype" w:cs="Palatino Linotype" w:eastAsia="Palatino Linotype" w:hAnsi="Palatino Linotype"/>
          <w:rtl w:val="0"/>
        </w:rPr>
        <w:t xml:space="preserve">, el Sujeto Obligado emitió respuesta a la solicitud de acceso a la información a través del SAIMEX, sustancialmente en los términos siguientes: </w:t>
      </w:r>
    </w:p>
    <w:p w:rsidR="00000000" w:rsidDel="00000000" w:rsidP="00000000" w:rsidRDefault="00000000" w:rsidRPr="00000000" w14:paraId="0000000B">
      <w:pPr>
        <w:ind w:left="851" w:right="900"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0C">
      <w:pPr>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“Con fundamento en el artículo 167 de la Ley de Transparencia y Acceso a la Información Pública del Estado de México y Municipios, </w:t>
      </w:r>
      <w:r w:rsidDel="00000000" w:rsidR="00000000" w:rsidRPr="00000000">
        <w:rPr>
          <w:rFonts w:ascii="Palatino Linotype" w:cs="Palatino Linotype" w:eastAsia="Palatino Linotype" w:hAnsi="Palatino Linotype"/>
          <w:b w:val="1"/>
          <w:i w:val="1"/>
          <w:sz w:val="22"/>
          <w:szCs w:val="22"/>
          <w:u w:val="single"/>
          <w:rtl w:val="0"/>
        </w:rPr>
        <w:t xml:space="preserve">se orienta sobre el Sujeto Obligado que puede atender a su solicitud de información</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0D">
      <w:pPr>
        <w:ind w:left="851"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E">
      <w:pPr>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ATENTAMENTE</w:t>
      </w:r>
    </w:p>
    <w:p w:rsidR="00000000" w:rsidDel="00000000" w:rsidP="00000000" w:rsidRDefault="00000000" w:rsidRPr="00000000" w14:paraId="0000000F">
      <w:pPr>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Lic. Pedro J. Isaac González” (Sic) </w:t>
      </w:r>
    </w:p>
    <w:p w:rsidR="00000000" w:rsidDel="00000000" w:rsidP="00000000" w:rsidRDefault="00000000" w:rsidRPr="00000000" w14:paraId="00000010">
      <w:pPr>
        <w:spacing w:after="240" w:before="240" w:lineRule="auto"/>
        <w:ind w:right="900"/>
        <w:jc w:val="both"/>
        <w:rPr>
          <w:rFonts w:ascii="Palatino Linotype" w:cs="Palatino Linotype" w:eastAsia="Palatino Linotype" w:hAnsi="Palatino Linotype"/>
          <w:b w:val="1"/>
          <w:i w:val="1"/>
          <w:color w:val="000000"/>
          <w:sz w:val="22"/>
          <w:szCs w:val="22"/>
        </w:rPr>
      </w:pPr>
      <w:r w:rsidDel="00000000" w:rsidR="00000000" w:rsidRPr="00000000">
        <w:rPr>
          <w:rtl w:val="0"/>
        </w:rPr>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suma importancia mencionar que el sujeto obligado adjunto archivo electrónico denominado “</w:t>
      </w:r>
      <w:hyperlink r:id="rId7">
        <w:r w:rsidDel="00000000" w:rsidR="00000000" w:rsidRPr="00000000">
          <w:rPr>
            <w:rFonts w:ascii="Palatino Linotype" w:cs="Palatino Linotype" w:eastAsia="Palatino Linotype" w:hAnsi="Palatino Linotype"/>
            <w:b w:val="1"/>
            <w:color w:val="0563c1"/>
            <w:u w:val="single"/>
            <w:rtl w:val="0"/>
          </w:rPr>
          <w:t xml:space="preserve">OrientaciónSolicitud00623.pdf</w:t>
        </w:r>
      </w:hyperlink>
      <w:r w:rsidDel="00000000" w:rsidR="00000000" w:rsidRPr="00000000">
        <w:rPr>
          <w:rFonts w:ascii="Palatino Linotype" w:cs="Palatino Linotype" w:eastAsia="Palatino Linotype" w:hAnsi="Palatino Linotype"/>
          <w:rtl w:val="0"/>
        </w:rPr>
        <w:t xml:space="preserve">” que contiene el acuerdo  de fecha trece de agosto de dos mil veintiuno, a través del cual el Titular de la Unidad de Transparencia del Sujeto Obligado manifiesta que del análisis realizado a la solicitud del recurrente se advierte que la misma no se refiere al ejercicio del derecho de acceso a la información pública, sino a una solicitud del ejercicio del derecho de acceso a datos personales, agregando que no es la autoridad competente para hacer la entrega de la información solicitada ya que la misma pudiera estar en poder de otro Sujeto Obligado (</w:t>
      </w:r>
      <w:r w:rsidDel="00000000" w:rsidR="00000000" w:rsidRPr="00000000">
        <w:rPr>
          <w:rFonts w:ascii="Palatino Linotype" w:cs="Palatino Linotype" w:eastAsia="Palatino Linotype" w:hAnsi="Palatino Linotype"/>
          <w:i w:val="1"/>
          <w:rtl w:val="0"/>
        </w:rPr>
        <w:t xml:space="preserve">Instituto Mexicano del Seguro Social</w:t>
      </w:r>
      <w:r w:rsidDel="00000000" w:rsidR="00000000" w:rsidRPr="00000000">
        <w:rPr>
          <w:rFonts w:ascii="Palatino Linotype" w:cs="Palatino Linotype" w:eastAsia="Palatino Linotype" w:hAnsi="Palatino Linotype"/>
          <w:rtl w:val="0"/>
        </w:rPr>
        <w:t xml:space="preserve">), toda vez que de las facultades, competencias o funciones de dicho Órgano Garante no se advierte que genere, administre o posea la documentación que requiere, toda vez que está facultado para garantizar el ejercicio de los derecho de acceso a la información pública y la protección de datos personales en posesión de los Sujetos Obligados del Estado de México, cabe mencionar que explica el procedimiento para dirigir la solicitud al Sujeto Obligado competente que puede proporcionar la información solicitada.</w:t>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el solicitante con 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interpuso el recurso de revisión a través del SAIMEX el trece de agosto de dos mil veintiuno, a través del cual expresó lo siguiente:</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14">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“Copia certificada del formato ST-1 del Riesgo de trabajo, de fecha el 2 de octubre por fractura de hombro izquierdo, emitido por el HGZ 57 LA QUEBRADA. umf.60 Tlalnepantla” (Sic</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15">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Razones o Motivos de inconformidad.</w:t>
      </w:r>
    </w:p>
    <w:p w:rsidR="00000000" w:rsidDel="00000000" w:rsidP="00000000" w:rsidRDefault="00000000" w:rsidRPr="00000000" w14:paraId="00000016">
      <w:pPr>
        <w:spacing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b w:val="1"/>
          <w:i w:val="1"/>
          <w:color w:val="000000"/>
          <w:sz w:val="22"/>
          <w:szCs w:val="22"/>
          <w:u w:val="single"/>
          <w:rtl w:val="0"/>
        </w:rPr>
        <w:t xml:space="preserve">En contra del acuerdo mediante el cual el pleno del instituto del Infoem, suspende plazos para el trámite de desahogo de los procedimientos establecido s en la Ley de Transparencia</w:t>
      </w:r>
      <w:r w:rsidDel="00000000" w:rsidR="00000000" w:rsidRPr="00000000">
        <w:rPr>
          <w:rFonts w:ascii="Palatino Linotype" w:cs="Palatino Linotype" w:eastAsia="Palatino Linotype" w:hAnsi="Palatino Linotype"/>
          <w:i w:val="1"/>
          <w:color w:val="000000"/>
          <w:sz w:val="22"/>
          <w:szCs w:val="22"/>
          <w:rtl w:val="0"/>
        </w:rPr>
        <w:t xml:space="preserve"> y Acceso a la Información Pública del Estado de México y Municipios y la Ley de protección de Datos Personales en posesión de sujeto a obligados del Estado de México y Municipios </w:t>
      </w:r>
      <w:r w:rsidDel="00000000" w:rsidR="00000000" w:rsidRPr="00000000">
        <w:rPr>
          <w:rFonts w:ascii="Palatino Linotype" w:cs="Palatino Linotype" w:eastAsia="Palatino Linotype" w:hAnsi="Palatino Linotype"/>
          <w:b w:val="1"/>
          <w:i w:val="1"/>
          <w:color w:val="000000"/>
          <w:sz w:val="22"/>
          <w:szCs w:val="22"/>
          <w:u w:val="single"/>
          <w:rtl w:val="0"/>
        </w:rPr>
        <w:t xml:space="preserve">hasta el 15 de enero de 2021.ante la situación generada por el virus Sars-cov-2</w:t>
      </w:r>
      <w:r w:rsidDel="00000000" w:rsidR="00000000" w:rsidRPr="00000000">
        <w:rPr>
          <w:rFonts w:ascii="Palatino Linotype" w:cs="Palatino Linotype" w:eastAsia="Palatino Linotype" w:hAnsi="Palatino Linotype"/>
          <w:i w:val="1"/>
          <w:color w:val="000000"/>
          <w:sz w:val="22"/>
          <w:szCs w:val="22"/>
          <w:rtl w:val="0"/>
        </w:rPr>
        <w:t xml:space="preserve">” (Sic</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17">
      <w:pPr>
        <w:spacing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8">
      <w:pPr>
        <w:spacing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w:t>
      </w:r>
      <w:r w:rsidDel="00000000" w:rsidR="00000000" w:rsidRPr="00000000">
        <w:rPr>
          <w:rFonts w:ascii="Palatino Linotype" w:cs="Palatino Linotype" w:eastAsia="Palatino Linotype" w:hAnsi="Palatino Linotype"/>
          <w:highlight w:val="white"/>
          <w:rtl w:val="0"/>
        </w:rPr>
        <w:t xml:space="preserve">de la Ley Transparencia y Acceso a la Información Pública</w:t>
      </w:r>
      <w:r w:rsidDel="00000000" w:rsidR="00000000" w:rsidRPr="00000000">
        <w:rPr>
          <w:rFonts w:ascii="Palatino Linotype" w:cs="Palatino Linotype" w:eastAsia="Palatino Linotype" w:hAnsi="Palatino Linotype"/>
          <w:rtl w:val="0"/>
        </w:rPr>
        <w:t xml:space="preserve">, el recurso de revisión número </w:t>
      </w:r>
      <w:r w:rsidDel="00000000" w:rsidR="00000000" w:rsidRPr="00000000">
        <w:rPr>
          <w:rFonts w:ascii="Palatino Linotype" w:cs="Palatino Linotype" w:eastAsia="Palatino Linotype" w:hAnsi="Palatino Linotype"/>
          <w:b w:val="1"/>
          <w:rtl w:val="0"/>
        </w:rPr>
        <w:t xml:space="preserve">04009/INFOEM/IP/RR/2021 </w:t>
      </w:r>
      <w:r w:rsidDel="00000000" w:rsidR="00000000" w:rsidRPr="00000000">
        <w:rPr>
          <w:rFonts w:ascii="Palatino Linotype" w:cs="Palatino Linotype" w:eastAsia="Palatino Linotype" w:hAnsi="Palatino Linotype"/>
          <w:rtl w:val="0"/>
        </w:rPr>
        <w:t xml:space="preserve">fue turnado al </w:t>
      </w:r>
      <w:r w:rsidDel="00000000" w:rsidR="00000000" w:rsidRPr="00000000">
        <w:rPr>
          <w:rFonts w:ascii="Palatino Linotype" w:cs="Palatino Linotype" w:eastAsia="Palatino Linotype" w:hAnsi="Palatino Linotype"/>
          <w:b w:val="1"/>
          <w:rtl w:val="0"/>
        </w:rPr>
        <w:t xml:space="preserve">entonces Comisionado Ponente Javier Martínez Cruz</w:t>
      </w:r>
      <w:r w:rsidDel="00000000" w:rsidR="00000000" w:rsidRPr="00000000">
        <w:rPr>
          <w:rFonts w:ascii="Palatino Linotype" w:cs="Palatino Linotype" w:eastAsia="Palatino Linotype" w:hAnsi="Palatino Linotype"/>
          <w:rtl w:val="0"/>
        </w:rPr>
        <w:t xml:space="preserve">; a efecto de presentar al Pleno el proyecto de resolución correspondiente.</w:t>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Admisión. </w:t>
      </w:r>
      <w:r w:rsidDel="00000000" w:rsidR="00000000" w:rsidRPr="00000000">
        <w:rPr>
          <w:rFonts w:ascii="Palatino Linotype" w:cs="Palatino Linotype" w:eastAsia="Palatino Linotype" w:hAnsi="Palatino Linotype"/>
          <w:rtl w:val="0"/>
        </w:rPr>
        <w:t xml:space="preserve">Con fecha</w:t>
      </w:r>
      <w:r w:rsidDel="00000000" w:rsidR="00000000" w:rsidRPr="00000000">
        <w:rPr>
          <w:rFonts w:ascii="Palatino Linotype" w:cs="Palatino Linotype" w:eastAsia="Palatino Linotype" w:hAnsi="Palatino Linotype"/>
          <w:b w:val="1"/>
          <w:rtl w:val="0"/>
        </w:rPr>
        <w:t xml:space="preserve"> dieciocho de agosto de dos mil veintiuno,</w:t>
      </w:r>
      <w:r w:rsidDel="00000000" w:rsidR="00000000" w:rsidRPr="00000000">
        <w:rPr>
          <w:rFonts w:ascii="Palatino Linotype" w:cs="Palatino Linotype" w:eastAsia="Palatino Linotype" w:hAnsi="Palatino Linotype"/>
          <w:b w:val="1"/>
          <w:color w:val="c00000"/>
          <w:rtl w:val="0"/>
        </w:rPr>
        <w:t xml:space="preserve">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Del="00000000" w:rsidR="00000000" w:rsidRPr="00000000">
        <w:rPr>
          <w:rtl w:val="0"/>
        </w:rPr>
      </w:r>
    </w:p>
    <w:p w:rsidR="00000000" w:rsidDel="00000000" w:rsidP="00000000" w:rsidRDefault="00000000" w:rsidRPr="00000000" w14:paraId="0000001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Manifestaciones: </w:t>
      </w:r>
      <w:r w:rsidDel="00000000" w:rsidR="00000000" w:rsidRPr="00000000">
        <w:rPr>
          <w:rFonts w:ascii="Palatino Linotype" w:cs="Palatino Linotype" w:eastAsia="Palatino Linotype" w:hAnsi="Palatino Linotype"/>
          <w:rtl w:val="0"/>
        </w:rPr>
        <w:t xml:space="preserve">De las constancias que obran en el expediente electrónico del SAIMEX se desprende que el Sujeto Obligado en fecha veinticuatro de agosto de dos mil veintiuno rindió su informe de justificado, adjuntando el archivo electrónico “</w:t>
      </w:r>
      <w:hyperlink r:id="rId8">
        <w:r w:rsidDel="00000000" w:rsidR="00000000" w:rsidRPr="00000000">
          <w:rPr>
            <w:rFonts w:ascii="Palatino Linotype" w:cs="Palatino Linotype" w:eastAsia="Palatino Linotype" w:hAnsi="Palatino Linotype"/>
            <w:b w:val="1"/>
            <w:color w:val="0563c1"/>
            <w:u w:val="single"/>
            <w:rtl w:val="0"/>
          </w:rPr>
          <w:t xml:space="preserve">InformeJustificadoRR04009.pdf</w:t>
        </w:r>
      </w:hyperlink>
      <w:r w:rsidDel="00000000" w:rsidR="00000000" w:rsidRPr="00000000">
        <w:rPr>
          <w:rFonts w:ascii="Palatino Linotype" w:cs="Palatino Linotype" w:eastAsia="Palatino Linotype" w:hAnsi="Palatino Linotype"/>
          <w:rtl w:val="0"/>
        </w:rPr>
        <w:t xml:space="preserve">” que contiene el oficio de fecha veintitrés de agosto de dos mil veintiuno a través del cual el Titular de la Unidad de Transparencia del Sujeto obligado rinde informe justificado manifestando sustancialmente que el acto impugnado que pretende hacer valer el recurrente es infundado, en virtud de que la respuesta notificada se realizó en observancia al artículo 167 de la Ley de Transparencia vigente en el Estado de México, esto es, al analizar el requerimiento del solicitante, de conformidad con las atribuciones y competencias del Sujeto Obligado, determinó que no es competente para atender lo solicitado, motivo por el cual las razones o motivos de inconformidad que hace valer la recurrente, resultan infundadas e inoperantes, ante la notoria incompetencia de dicho Instituto para entregar la información solicitada.</w:t>
      </w:r>
    </w:p>
    <w:p w:rsidR="00000000" w:rsidDel="00000000" w:rsidP="00000000" w:rsidRDefault="00000000" w:rsidRPr="00000000" w14:paraId="0000001C">
      <w:pPr>
        <w:spacing w:after="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Cierre de instrucción.</w:t>
      </w:r>
      <w:r w:rsidDel="00000000" w:rsidR="00000000" w:rsidRPr="00000000">
        <w:rPr>
          <w:rFonts w:ascii="Palatino Linotype" w:cs="Palatino Linotype" w:eastAsia="Palatino Linotype" w:hAnsi="Palatino Linotype"/>
          <w:rtl w:val="0"/>
        </w:rPr>
        <w:t xml:space="preserve"> En fecha diez de diciembre de dos mil veintiuno el Comisionado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1D">
      <w:pPr>
        <w:spacing w:after="240" w:before="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 O N S I D E R A N D O:</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 7, </w:t>
      </w:r>
      <w:r w:rsidDel="00000000" w:rsidR="00000000" w:rsidRPr="00000000">
        <w:rPr>
          <w:rFonts w:ascii="Palatino Linotype" w:cs="Palatino Linotype" w:eastAsia="Palatino Linotype" w:hAnsi="Palatino Linotype"/>
          <w:rtl w:val="0"/>
        </w:rPr>
        <w:t xml:space="preserve">9, fracciones I y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w:t>
      </w:r>
      <w:r w:rsidDel="00000000" w:rsidR="00000000" w:rsidRPr="00000000">
        <w:rPr>
          <w:rFonts w:ascii="Palatino Linotype" w:cs="Palatino Linotype" w:eastAsia="Palatino Linotype" w:hAnsi="Palatino Linotype"/>
          <w:rtl w:val="0"/>
        </w:rPr>
        <w:t xml:space="preserve">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ya que el Sujeto Obligado proporcionó respuesta a la solicitud de información el trece de agosto de dos mil veintiuno, mientras que el recurrente interpuso el recurso de revisión el trece de agosto de la anualidad en curso, esto es, el mismo día en que le fue notificada la respuesta, por ende, dentro del término legal que prevé el arábigo de referencia.</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right="-147"/>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resulta procedente la interposición del recurso, según lo aducido por el recurrente en sus razones o motivos de inconformidad, de acuerdo al artículo 179, fracción IV de la Ley de Transparencia y Acceso a la Información Pública del Estado de México y Municipios; que a la letra dice: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right="-147"/>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 recurso de revisión</w:t>
      </w:r>
      <w:r w:rsidDel="00000000" w:rsidR="00000000" w:rsidRPr="00000000">
        <w:rPr>
          <w:rFonts w:ascii="Palatino Linotype" w:cs="Palatino Linotype" w:eastAsia="Palatino Linotype" w:hAnsi="Palatino Linotype"/>
          <w:i w:val="1"/>
          <w:sz w:val="22"/>
          <w:szCs w:val="22"/>
          <w:rtl w:val="0"/>
        </w:rPr>
        <w:t xml:space="preserve"> es un medio de protección que la Ley otorga a los particulares, para hacer valer su derecho de acceso a la información pública</w:t>
      </w:r>
      <w:r w:rsidDel="00000000" w:rsidR="00000000" w:rsidRPr="00000000">
        <w:rPr>
          <w:rFonts w:ascii="Palatino Linotype" w:cs="Palatino Linotype" w:eastAsia="Palatino Linotype" w:hAnsi="Palatino Linotype"/>
          <w:b w:val="1"/>
          <w:i w:val="1"/>
          <w:sz w:val="22"/>
          <w:szCs w:val="22"/>
          <w:rtl w:val="0"/>
        </w:rPr>
        <w:t xml:space="preserve">, y procederá en contra de las siguientes causas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La declaración de incompetencia por el sujeto obligado;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Rule="auto"/>
        <w:ind w:left="992" w:right="10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(Sic)</w:t>
      </w:r>
    </w:p>
    <w:p w:rsidR="00000000" w:rsidDel="00000000" w:rsidP="00000000" w:rsidRDefault="00000000" w:rsidRPr="00000000" w14:paraId="00000028">
      <w:pPr>
        <w:shd w:fill="ffffff" w:val="clear"/>
        <w:spacing w:after="240" w:before="0" w:line="360" w:lineRule="auto"/>
        <w:jc w:val="both"/>
        <w:rPr/>
      </w:pPr>
      <w:r w:rsidDel="00000000" w:rsidR="00000000" w:rsidRPr="00000000">
        <w:rPr>
          <w:rtl w:val="0"/>
        </w:rPr>
      </w:r>
    </w:p>
    <w:p w:rsidR="00000000" w:rsidDel="00000000" w:rsidP="00000000" w:rsidRDefault="00000000" w:rsidRPr="00000000" w14:paraId="00000029">
      <w:pPr>
        <w:shd w:fill="ffffff" w:val="clear"/>
        <w:spacing w:after="240" w:before="240" w:line="360" w:lineRule="auto"/>
        <w:jc w:val="both"/>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 revisión a las constancias que obran en el expediente electrónico se advierte que el tema sobre el que este Instituto se pronunciará será: </w:t>
      </w:r>
      <w:r w:rsidDel="00000000" w:rsidR="00000000" w:rsidRPr="00000000">
        <w:rPr>
          <w:rFonts w:ascii="Palatino Linotype" w:cs="Palatino Linotype" w:eastAsia="Palatino Linotype" w:hAnsi="Palatino Linotype"/>
          <w:b w:val="1"/>
          <w:rtl w:val="0"/>
        </w:rPr>
        <w:t xml:space="preserve">verificar si la respuesta otorgada por parte del Sujeto Obligado satisface el requerimiento del ahora recurrente, o en su caso procede ordenar la entrega de la misma.</w:t>
      </w:r>
      <w:r w:rsidDel="00000000" w:rsidR="00000000" w:rsidRPr="00000000">
        <w:rPr>
          <w:rtl w:val="0"/>
        </w:rPr>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b w:val="1"/>
        </w:rPr>
      </w:pPr>
      <w:bookmarkStart w:colFirst="0" w:colLast="0" w:name="_heading=h.30j0zll" w:id="1"/>
      <w:bookmarkEnd w:id="1"/>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Primeramente, es de suma importancia mencionar que del análisis de la solicitud de información motivo del recurso de revisión que ahora se resuelve se advierte que la recurrente en su solicitud número </w:t>
      </w:r>
      <w:r w:rsidDel="00000000" w:rsidR="00000000" w:rsidRPr="00000000">
        <w:rPr>
          <w:rFonts w:ascii="Palatino Linotype" w:cs="Palatino Linotype" w:eastAsia="Palatino Linotype" w:hAnsi="Palatino Linotype"/>
          <w:b w:val="1"/>
          <w:rtl w:val="0"/>
        </w:rPr>
        <w:t xml:space="preserve">00623/INFOEM/IP/2021 </w:t>
      </w:r>
      <w:r w:rsidDel="00000000" w:rsidR="00000000" w:rsidRPr="00000000">
        <w:rPr>
          <w:rFonts w:ascii="Palatino Linotype" w:cs="Palatino Linotype" w:eastAsia="Palatino Linotype" w:hAnsi="Palatino Linotype"/>
          <w:rtl w:val="0"/>
        </w:rPr>
        <w:t xml:space="preserve">requirió al </w:t>
      </w:r>
      <w:r w:rsidDel="00000000" w:rsidR="00000000" w:rsidRPr="00000000">
        <w:rPr>
          <w:rFonts w:ascii="Palatino Linotype" w:cs="Palatino Linotype" w:eastAsia="Palatino Linotype" w:hAnsi="Palatino Linotype"/>
          <w:b w:val="1"/>
          <w:rtl w:val="0"/>
        </w:rPr>
        <w:t xml:space="preserve">Instituto de Transparencia, Acceso a la Información Pública y Protección de Datos Personales del Estado de México y Municipios, </w:t>
      </w:r>
      <w:r w:rsidDel="00000000" w:rsidR="00000000" w:rsidRPr="00000000">
        <w:rPr>
          <w:rFonts w:ascii="Palatino Linotype" w:cs="Palatino Linotype" w:eastAsia="Palatino Linotype" w:hAnsi="Palatino Linotype"/>
          <w:rtl w:val="0"/>
        </w:rPr>
        <w:t xml:space="preserve">que le proporcionara lo siguiente: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928"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formato ST 1 de Riesgo de Trabajo del 2 de octubre del 2006 emitido por el HGZ 57 de la quebrada, por fractura de hombro izquierdo, UMF /60 de Tlalnepantla, tipo de derecho ARCO, presento solicitud: Titular, representante, tipo de persona: Titular </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necesario hacer referencia que, con motivo de la solicitud de información del recurrente, el Sujeto Obligado mediante acuerdo de fecha trece de agosto del presente año, refirió que del análisis realizado a la solicitud del recurrente se advierte que la misma no se refiere al ejercicio del derecho de acceso a la información pública, sino a una solicitud del ejercicio del derecho de acceso a datos personales, agregando que no es la autoridad competente para hacer la entrega de la información solicitada ya que la misma pudiera estar en poder de otro Sujeto Obligado (</w:t>
      </w:r>
      <w:r w:rsidDel="00000000" w:rsidR="00000000" w:rsidRPr="00000000">
        <w:rPr>
          <w:rFonts w:ascii="Palatino Linotype" w:cs="Palatino Linotype" w:eastAsia="Palatino Linotype" w:hAnsi="Palatino Linotype"/>
          <w:i w:val="1"/>
          <w:rtl w:val="0"/>
        </w:rPr>
        <w:t xml:space="preserve">Instituto Mexicano del Seguro Social</w:t>
      </w:r>
      <w:r w:rsidDel="00000000" w:rsidR="00000000" w:rsidRPr="00000000">
        <w:rPr>
          <w:rFonts w:ascii="Palatino Linotype" w:cs="Palatino Linotype" w:eastAsia="Palatino Linotype" w:hAnsi="Palatino Linotype"/>
          <w:rtl w:val="0"/>
        </w:rPr>
        <w:t xml:space="preserve">), toda vez que de las facultades, competencias o funciones de dicho Órgano Garante no se advierte que genere, administre o posea la documentación que requiere, toda vez que está facultado para garantizar el ejercicio de los derecho de acceso a la información pública y la protección de datos personales en posesión de los Sujetos Obligados del Estado de México, cabe mencionar que explica el procedimiento para dirigir la solicitud al Sujeto Obligado competente que puede proporcionar la información solicitada.</w:t>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estar inconforme con la respuesta emitida, el recurrente interpuso el recurso de revisión manifestando como acto impugnado la copia certificada del formato ST-1 del Riesgo de trabajo, de fecha el 2 de octubre, de lo que se deduce que requiere que se le haga entrega de la información que requiere, por tal motivo combate la respuesta del Sujeto Obligado y como motivos de inconformidad sustancialmente en contra del acuerdo mediante el cual el pleno del instituto del INFOEM, suspende plazos para el trámite de desahogo de los procedimientos establecidos en la Ley de Transparencia y Acceso a la Información Pública del Estado de México y Municipios y la Ley de protección de Datos Personales en posesión de sujeto a obligados del Estado de México y Municipios.</w:t>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de hacer notar que el Sujeto Obligado al momento de rendir informe justificado refirió entre otras cosas que el acto impugnado que pretende hacer valer el recurrente es infundado, en virtud de que la respuesta notificada se realizó en observancia al artículo 167 de la Ley de Transparencia vigente en el Estado de México, esto es, al analizar el requerimiento del solicitante, de conformidad con las atribuciones y competencias del Sujeto Obligado, determinó que no es competente para atender lo solicitado, motivo por el cual las razones o motivos de inconformidad que hace valer el recurrente, resultan infundadas e inoperantes, ante la notoria incompetencia de dicho Instituto para entregar la información solicitada.</w:t>
      </w:r>
    </w:p>
    <w:p w:rsidR="00000000" w:rsidDel="00000000" w:rsidP="00000000" w:rsidRDefault="00000000" w:rsidRPr="00000000" w14:paraId="0000002F">
      <w:pPr>
        <w:spacing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Una vez precisado lo anterior, 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000000" w:rsidDel="00000000" w:rsidP="00000000" w:rsidRDefault="00000000" w:rsidRPr="00000000" w14:paraId="00000030">
      <w:pPr>
        <w:spacing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relación con lo anterior, resulta relevante el Criterio 028-10, emitido por el Pleno del anteriormente denominado Instituto Federal de Acceso a la Información y Protección de Datos, ahora Instituto Nacional de Transparencia, Acceso a la Información y Protección de Datos Personales, que establece:</w:t>
      </w:r>
    </w:p>
    <w:p w:rsidR="00000000" w:rsidDel="00000000" w:rsidP="00000000" w:rsidRDefault="00000000" w:rsidRPr="00000000" w14:paraId="00000031">
      <w:pPr>
        <w:ind w:left="992" w:right="1327"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32">
      <w:pPr>
        <w:spacing w:after="120" w:before="120" w:lineRule="auto"/>
        <w:ind w:left="992" w:right="1327" w:firstLine="0"/>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i w:val="1"/>
          <w:color w:val="000000"/>
          <w:sz w:val="22"/>
          <w:szCs w:val="22"/>
          <w:rtl w:val="0"/>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(Sic)</w:t>
      </w:r>
      <w:r w:rsidDel="00000000" w:rsidR="00000000" w:rsidRPr="00000000">
        <w:rPr>
          <w:rtl w:val="0"/>
        </w:rPr>
      </w:r>
    </w:p>
    <w:p w:rsidR="00000000" w:rsidDel="00000000" w:rsidP="00000000" w:rsidRDefault="00000000" w:rsidRPr="00000000" w14:paraId="00000033">
      <w:pPr>
        <w:ind w:left="992" w:right="1327" w:firstLine="0"/>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4">
      <w:pPr>
        <w:spacing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Además, cabe precisar que el Sujeto Obligado, en estricta aplicación a lo dispuesto en el artículo 12 segundo párrafo</w:t>
      </w:r>
      <w:r w:rsidDel="00000000" w:rsidR="00000000" w:rsidRPr="00000000">
        <w:rPr>
          <w:rFonts w:ascii="Palatino Linotype" w:cs="Palatino Linotype" w:eastAsia="Palatino Linotype" w:hAnsi="Palatino Linotype"/>
          <w:color w:val="000000"/>
          <w:u w:val="single"/>
          <w:rtl w:val="0"/>
        </w:rPr>
        <w:t xml:space="preserve">, </w:t>
      </w:r>
      <w:r w:rsidDel="00000000" w:rsidR="00000000" w:rsidRPr="00000000">
        <w:rPr>
          <w:rFonts w:ascii="Palatino Linotype" w:cs="Palatino Linotype" w:eastAsia="Palatino Linotype" w:hAnsi="Palatino Linotype"/>
          <w:b w:val="1"/>
          <w:color w:val="000000"/>
          <w:u w:val="single"/>
          <w:rtl w:val="0"/>
        </w:rPr>
        <w:t xml:space="preserve">sólo tiene el deber de entregar la información solicitada, en los términos en que la hubiese generado, posea o administre</w:t>
      </w:r>
      <w:r w:rsidDel="00000000" w:rsidR="00000000" w:rsidRPr="00000000">
        <w:rPr>
          <w:rFonts w:ascii="Palatino Linotype" w:cs="Palatino Linotype" w:eastAsia="Palatino Linotype" w:hAnsi="Palatino Linotype"/>
          <w:b w:val="1"/>
          <w:color w:val="000000"/>
          <w:rtl w:val="0"/>
        </w:rPr>
        <w:t xml:space="preserve">;</w:t>
      </w:r>
      <w:r w:rsidDel="00000000" w:rsidR="00000000" w:rsidRPr="00000000">
        <w:rPr>
          <w:rFonts w:ascii="Palatino Linotype" w:cs="Palatino Linotype" w:eastAsia="Palatino Linotype" w:hAnsi="Palatino Linotype"/>
          <w:color w:val="000000"/>
          <w:rtl w:val="0"/>
        </w:rPr>
        <w:t xml:space="preserve"> esto es, no tiene la obligación jurídica de procesarla, resumirla, realizar cálculos o investigaciones, en su intención de satisfacer el derecho de acceso a la información pública del recurrente.</w:t>
      </w:r>
    </w:p>
    <w:p w:rsidR="00000000" w:rsidDel="00000000" w:rsidP="00000000" w:rsidRDefault="00000000" w:rsidRPr="00000000" w14:paraId="00000035">
      <w:pPr>
        <w:spacing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este sentido es conveniente mencionar que del análisis realizado a los motivos de inconformidad expresados por el recurrente se advierte que son infundados, lo anterior es así en atención a lo siguiente:</w:t>
      </w:r>
    </w:p>
    <w:p w:rsidR="00000000" w:rsidDel="00000000" w:rsidP="00000000" w:rsidRDefault="00000000" w:rsidRPr="00000000" w14:paraId="00000036">
      <w:pPr>
        <w:spacing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primer término, se estima pertinente mencionar que el artículo 167 de la Ley de Transparencia vigente en el Estado de México establece:</w:t>
      </w:r>
    </w:p>
    <w:p w:rsidR="00000000" w:rsidDel="00000000" w:rsidP="00000000" w:rsidRDefault="00000000" w:rsidRPr="00000000" w14:paraId="00000037">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38">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167.</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Cuando las unidades de transparencia determinen la notoria incompetencia</w:t>
      </w:r>
      <w:r w:rsidDel="00000000" w:rsidR="00000000" w:rsidRPr="00000000">
        <w:rPr>
          <w:rFonts w:ascii="Palatino Linotype" w:cs="Palatino Linotype" w:eastAsia="Palatino Linotype" w:hAnsi="Palatino Linotype"/>
          <w:i w:val="1"/>
          <w:sz w:val="22"/>
          <w:szCs w:val="22"/>
          <w:rtl w:val="0"/>
        </w:rPr>
        <w:t xml:space="preserve"> por parte de los sujetos obligados, dentro del ámbito de aplicación, </w:t>
      </w:r>
      <w:r w:rsidDel="00000000" w:rsidR="00000000" w:rsidRPr="00000000">
        <w:rPr>
          <w:rFonts w:ascii="Palatino Linotype" w:cs="Palatino Linotype" w:eastAsia="Palatino Linotype" w:hAnsi="Palatino Linotype"/>
          <w:b w:val="1"/>
          <w:i w:val="1"/>
          <w:sz w:val="22"/>
          <w:szCs w:val="22"/>
          <w:u w:val="single"/>
          <w:rtl w:val="0"/>
        </w:rPr>
        <w:t xml:space="preserve">para atender la solicitud de acceso a la información, deberán comunicarlo</w:t>
      </w:r>
      <w:r w:rsidDel="00000000" w:rsidR="00000000" w:rsidRPr="00000000">
        <w:rPr>
          <w:rFonts w:ascii="Palatino Linotype" w:cs="Palatino Linotype" w:eastAsia="Palatino Linotype" w:hAnsi="Palatino Linotype"/>
          <w:i w:val="1"/>
          <w:sz w:val="22"/>
          <w:szCs w:val="22"/>
          <w:rtl w:val="0"/>
        </w:rPr>
        <w:t xml:space="preserve"> al solicitante, </w:t>
      </w:r>
      <w:r w:rsidDel="00000000" w:rsidR="00000000" w:rsidRPr="00000000">
        <w:rPr>
          <w:rFonts w:ascii="Palatino Linotype" w:cs="Palatino Linotype" w:eastAsia="Palatino Linotype" w:hAnsi="Palatino Linotype"/>
          <w:b w:val="1"/>
          <w:i w:val="1"/>
          <w:sz w:val="22"/>
          <w:szCs w:val="22"/>
          <w:u w:val="single"/>
          <w:rtl w:val="0"/>
        </w:rPr>
        <w:t xml:space="preserve">dentro de los tres días hábiles posteriores a la recepción de la solicitud</w:t>
      </w:r>
      <w:r w:rsidDel="00000000" w:rsidR="00000000" w:rsidRPr="00000000">
        <w:rPr>
          <w:rFonts w:ascii="Palatino Linotype" w:cs="Palatino Linotype" w:eastAsia="Palatino Linotype" w:hAnsi="Palatino Linotype"/>
          <w:i w:val="1"/>
          <w:sz w:val="22"/>
          <w:szCs w:val="22"/>
          <w:rtl w:val="0"/>
        </w:rPr>
        <w:t xml:space="preserve"> y, </w:t>
      </w:r>
      <w:r w:rsidDel="00000000" w:rsidR="00000000" w:rsidRPr="00000000">
        <w:rPr>
          <w:rFonts w:ascii="Palatino Linotype" w:cs="Palatino Linotype" w:eastAsia="Palatino Linotype" w:hAnsi="Palatino Linotype"/>
          <w:b w:val="1"/>
          <w:i w:val="1"/>
          <w:sz w:val="22"/>
          <w:szCs w:val="22"/>
          <w:u w:val="single"/>
          <w:rtl w:val="0"/>
        </w:rPr>
        <w:t xml:space="preserve">en su caso orientar al solicitante, el o los sujetos obligados competentes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9">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A">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000000" w:rsidDel="00000000" w:rsidP="00000000" w:rsidRDefault="00000000" w:rsidRPr="00000000" w14:paraId="0000003B">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C">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Si transcurrido el plazo señalado en el primer párrafo de este artículo, el sujeto obligado no declina la competencia en los términos establecidos, podrá canalizar la solicitud ante el sujeto obligado competente.</w:t>
      </w:r>
    </w:p>
    <w:p w:rsidR="00000000" w:rsidDel="00000000" w:rsidP="00000000" w:rsidRDefault="00000000" w:rsidRPr="00000000" w14:paraId="0000003D">
      <w:pP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E">
      <w:pPr>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3F">
      <w:pPr>
        <w:ind w:left="851" w:right="85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40">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Del dispositivo legal en comento, se advierte que </w:t>
      </w:r>
      <w:r w:rsidDel="00000000" w:rsidR="00000000" w:rsidRPr="00000000">
        <w:rPr>
          <w:rFonts w:ascii="Palatino Linotype" w:cs="Palatino Linotype" w:eastAsia="Palatino Linotype" w:hAnsi="Palatino Linotype"/>
          <w:b w:val="1"/>
          <w:i w:val="1"/>
          <w:color w:val="000000"/>
          <w:u w:val="single"/>
          <w:rtl w:val="0"/>
        </w:rPr>
        <w:t xml:space="preserve">cuando las unidades de transparencia determinen la notoria incompetencia</w:t>
      </w:r>
      <w:r w:rsidDel="00000000" w:rsidR="00000000" w:rsidRPr="00000000">
        <w:rPr>
          <w:rFonts w:ascii="Palatino Linotype" w:cs="Palatino Linotype" w:eastAsia="Palatino Linotype" w:hAnsi="Palatino Linotype"/>
          <w:i w:val="1"/>
          <w:color w:val="000000"/>
          <w:rtl w:val="0"/>
        </w:rPr>
        <w:t xml:space="preserve"> </w:t>
      </w:r>
      <w:r w:rsidDel="00000000" w:rsidR="00000000" w:rsidRPr="00000000">
        <w:rPr>
          <w:rFonts w:ascii="Palatino Linotype" w:cs="Palatino Linotype" w:eastAsia="Palatino Linotype" w:hAnsi="Palatino Linotype"/>
          <w:b w:val="1"/>
          <w:i w:val="1"/>
          <w:color w:val="000000"/>
          <w:u w:val="single"/>
          <w:rtl w:val="0"/>
        </w:rPr>
        <w:t xml:space="preserve">para atender la solicitud de acceso a la información, deberán comunicarlo</w:t>
      </w:r>
      <w:r w:rsidDel="00000000" w:rsidR="00000000" w:rsidRPr="00000000">
        <w:rPr>
          <w:rFonts w:ascii="Palatino Linotype" w:cs="Palatino Linotype" w:eastAsia="Palatino Linotype" w:hAnsi="Palatino Linotype"/>
          <w:i w:val="1"/>
          <w:color w:val="000000"/>
          <w:rtl w:val="0"/>
        </w:rPr>
        <w:t xml:space="preserve"> al solicitante, </w:t>
      </w:r>
      <w:r w:rsidDel="00000000" w:rsidR="00000000" w:rsidRPr="00000000">
        <w:rPr>
          <w:rFonts w:ascii="Palatino Linotype" w:cs="Palatino Linotype" w:eastAsia="Palatino Linotype" w:hAnsi="Palatino Linotype"/>
          <w:b w:val="1"/>
          <w:i w:val="1"/>
          <w:color w:val="000000"/>
          <w:u w:val="single"/>
          <w:rtl w:val="0"/>
        </w:rPr>
        <w:t xml:space="preserve">dentro de los tres días hábiles posteriores a la recepción de la solicitud</w:t>
      </w:r>
      <w:r w:rsidDel="00000000" w:rsidR="00000000" w:rsidRPr="00000000">
        <w:rPr>
          <w:rFonts w:ascii="Palatino Linotype" w:cs="Palatino Linotype" w:eastAsia="Palatino Linotype" w:hAnsi="Palatino Linotype"/>
          <w:i w:val="1"/>
          <w:color w:val="000000"/>
          <w:rtl w:val="0"/>
        </w:rPr>
        <w:t xml:space="preserve"> y, </w:t>
      </w:r>
      <w:r w:rsidDel="00000000" w:rsidR="00000000" w:rsidRPr="00000000">
        <w:rPr>
          <w:rFonts w:ascii="Palatino Linotype" w:cs="Palatino Linotype" w:eastAsia="Palatino Linotype" w:hAnsi="Palatino Linotype"/>
          <w:b w:val="1"/>
          <w:i w:val="1"/>
          <w:color w:val="000000"/>
          <w:u w:val="single"/>
          <w:rtl w:val="0"/>
        </w:rPr>
        <w:t xml:space="preserve">en su caso orientar al solicitante, el o los sujetos obligados competentes; </w:t>
      </w:r>
      <w:r w:rsidDel="00000000" w:rsidR="00000000" w:rsidRPr="00000000">
        <w:rPr>
          <w:rFonts w:ascii="Palatino Linotype" w:cs="Palatino Linotype" w:eastAsia="Palatino Linotype" w:hAnsi="Palatino Linotype"/>
          <w:color w:val="000000"/>
          <w:rtl w:val="0"/>
        </w:rPr>
        <w:t xml:space="preserve">aspectos que fueron observados por el Sujeto Obligado, en virtud de que no se debe perder de vista que la solicitud materia del presente asunto se formuló el doce de agosto del presente año, mientras que el Sujeto Obligado mediante acuerdo de fecha trece de agosto de dos mil veintiuno, manifestó su imposibilidad para atender la misma, en razón de ser incompetente, esto es, al día hábil siguiente.</w:t>
      </w:r>
    </w:p>
    <w:p w:rsidR="00000000" w:rsidDel="00000000" w:rsidP="00000000" w:rsidRDefault="00000000" w:rsidRPr="00000000" w14:paraId="00000041">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este sentido debe mencionarse que el Instituto de Transparencia, Acceso a la Información Pública y Protección de Datos Personales del Estado de México y Municipios,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y la protección de datos personales en posesión de los sujetos obligados, conforme a los principios y bases establecidas en la Constitución Federal, Constitución Local, Ley General, así como, lo previsto en la Ley de Transparencia  y demás disposiciones jurídicas aplicables, cabe mencionar que la Ley de Transparencia vigente en el Estado de México establece:</w:t>
      </w:r>
    </w:p>
    <w:p w:rsidR="00000000" w:rsidDel="00000000" w:rsidP="00000000" w:rsidRDefault="00000000" w:rsidRPr="00000000" w14:paraId="00000042">
      <w:pPr>
        <w:ind w:left="851" w:right="85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43">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Artículo 36.</w:t>
      </w:r>
      <w:r w:rsidDel="00000000" w:rsidR="00000000" w:rsidRPr="00000000">
        <w:rPr>
          <w:rFonts w:ascii="Palatino Linotype" w:cs="Palatino Linotype" w:eastAsia="Palatino Linotype" w:hAnsi="Palatino Linotype"/>
          <w:i w:val="1"/>
          <w:sz w:val="21"/>
          <w:szCs w:val="21"/>
          <w:rtl w:val="0"/>
        </w:rPr>
        <w:t xml:space="preserve"> </w:t>
      </w:r>
      <w:r w:rsidDel="00000000" w:rsidR="00000000" w:rsidRPr="00000000">
        <w:rPr>
          <w:rFonts w:ascii="Palatino Linotype" w:cs="Palatino Linotype" w:eastAsia="Palatino Linotype" w:hAnsi="Palatino Linotype"/>
          <w:b w:val="1"/>
          <w:i w:val="1"/>
          <w:sz w:val="21"/>
          <w:szCs w:val="21"/>
          <w:u w:val="single"/>
          <w:rtl w:val="0"/>
        </w:rPr>
        <w:t xml:space="preserve">El Instituto tendrá, en el ámbito de su competencia, las atribuciones siguientes</w:t>
      </w:r>
      <w:r w:rsidDel="00000000" w:rsidR="00000000" w:rsidRPr="00000000">
        <w:rPr>
          <w:rFonts w:ascii="Palatino Linotype" w:cs="Palatino Linotype" w:eastAsia="Palatino Linotype" w:hAnsi="Palatino Linotype"/>
          <w:i w:val="1"/>
          <w:sz w:val="21"/>
          <w:szCs w:val="21"/>
          <w:rtl w:val="0"/>
        </w:rPr>
        <w:t xml:space="preserve">:</w:t>
      </w:r>
    </w:p>
    <w:p w:rsidR="00000000" w:rsidDel="00000000" w:rsidP="00000000" w:rsidRDefault="00000000" w:rsidRPr="00000000" w14:paraId="00000044">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w:t>
      </w:r>
      <w:r w:rsidDel="00000000" w:rsidR="00000000" w:rsidRPr="00000000">
        <w:rPr>
          <w:rFonts w:ascii="Palatino Linotype" w:cs="Palatino Linotype" w:eastAsia="Palatino Linotype" w:hAnsi="Palatino Linotype"/>
          <w:i w:val="1"/>
          <w:sz w:val="21"/>
          <w:szCs w:val="21"/>
          <w:rtl w:val="0"/>
        </w:rPr>
        <w:t xml:space="preserve"> Interpretar los ordenamientos que les resulten aplicables y que deriven de la Constitución Federal, la Constitución Local, la Ley General y esta Ley;</w:t>
      </w:r>
    </w:p>
    <w:p w:rsidR="00000000" w:rsidDel="00000000" w:rsidP="00000000" w:rsidRDefault="00000000" w:rsidRPr="00000000" w14:paraId="00000045">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II.</w:t>
      </w:r>
      <w:r w:rsidDel="00000000" w:rsidR="00000000" w:rsidRPr="00000000">
        <w:rPr>
          <w:rFonts w:ascii="Palatino Linotype" w:cs="Palatino Linotype" w:eastAsia="Palatino Linotype" w:hAnsi="Palatino Linotype"/>
          <w:i w:val="1"/>
          <w:sz w:val="21"/>
          <w:szCs w:val="21"/>
          <w:rtl w:val="0"/>
        </w:rPr>
        <w:t xml:space="preserve"> Conocer y resolver los recursos de revisión interpuestos por los particulares en contra de las resoluciones de los sujetos obligados en el ámbito estatal en términos de lo dispuesto en el Capítulo I del Título Octavo de la presente Ley;</w:t>
      </w:r>
    </w:p>
    <w:p w:rsidR="00000000" w:rsidDel="00000000" w:rsidP="00000000" w:rsidRDefault="00000000" w:rsidRPr="00000000" w14:paraId="00000046">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III.</w:t>
      </w:r>
      <w:r w:rsidDel="00000000" w:rsidR="00000000" w:rsidRPr="00000000">
        <w:rPr>
          <w:rFonts w:ascii="Palatino Linotype" w:cs="Palatino Linotype" w:eastAsia="Palatino Linotype" w:hAnsi="Palatino Linotype"/>
          <w:i w:val="1"/>
          <w:sz w:val="21"/>
          <w:szCs w:val="21"/>
          <w:rtl w:val="0"/>
        </w:rPr>
        <w:t xml:space="preserve"> Tramitar, en el ámbito de su competencia, los recursos de inconformidad que interpongan los particulares, en los supuestos previstos en la presente Ley;</w:t>
      </w:r>
    </w:p>
    <w:p w:rsidR="00000000" w:rsidDel="00000000" w:rsidP="00000000" w:rsidRDefault="00000000" w:rsidRPr="00000000" w14:paraId="00000047">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IV.</w:t>
      </w:r>
      <w:r w:rsidDel="00000000" w:rsidR="00000000" w:rsidRPr="00000000">
        <w:rPr>
          <w:rFonts w:ascii="Palatino Linotype" w:cs="Palatino Linotype" w:eastAsia="Palatino Linotype" w:hAnsi="Palatino Linotype"/>
          <w:i w:val="1"/>
          <w:sz w:val="21"/>
          <w:szCs w:val="21"/>
          <w:rtl w:val="0"/>
        </w:rPr>
        <w:t xml:space="preserve"> Establecer lineamientos y criterios administrativos o por reiteración en materia de acceso a la información pública para todos los sujetos obligados de la Ley y vigilar su cumplimiento;</w:t>
      </w:r>
    </w:p>
    <w:p w:rsidR="00000000" w:rsidDel="00000000" w:rsidP="00000000" w:rsidRDefault="00000000" w:rsidRPr="00000000" w14:paraId="00000048">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w:t>
      </w:r>
      <w:r w:rsidDel="00000000" w:rsidR="00000000" w:rsidRPr="00000000">
        <w:rPr>
          <w:rFonts w:ascii="Palatino Linotype" w:cs="Palatino Linotype" w:eastAsia="Palatino Linotype" w:hAnsi="Palatino Linotype"/>
          <w:i w:val="1"/>
          <w:sz w:val="21"/>
          <w:szCs w:val="21"/>
          <w:rtl w:val="0"/>
        </w:rPr>
        <w:t xml:space="preserve"> Emitir criterios para la clasificación de la información pública y vigilar su cumplimiento;</w:t>
      </w:r>
    </w:p>
    <w:p w:rsidR="00000000" w:rsidDel="00000000" w:rsidP="00000000" w:rsidRDefault="00000000" w:rsidRPr="00000000" w14:paraId="00000049">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VI.</w:t>
      </w:r>
      <w:r w:rsidDel="00000000" w:rsidR="00000000" w:rsidRPr="00000000">
        <w:rPr>
          <w:rFonts w:ascii="Palatino Linotype" w:cs="Palatino Linotype" w:eastAsia="Palatino Linotype" w:hAnsi="Palatino Linotype"/>
          <w:i w:val="1"/>
          <w:sz w:val="21"/>
          <w:szCs w:val="21"/>
          <w:rtl w:val="0"/>
        </w:rPr>
        <w:t xml:space="preserve"> Solicitar a los sujetos obligados los datos para la integración de su informe anual, incluidas la atención de solicitudes de información presentadas verbalmente;</w:t>
      </w:r>
    </w:p>
    <w:p w:rsidR="00000000" w:rsidDel="00000000" w:rsidP="00000000" w:rsidRDefault="00000000" w:rsidRPr="00000000" w14:paraId="0000004A">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VII.</w:t>
      </w:r>
      <w:r w:rsidDel="00000000" w:rsidR="00000000" w:rsidRPr="00000000">
        <w:rPr>
          <w:rFonts w:ascii="Palatino Linotype" w:cs="Palatino Linotype" w:eastAsia="Palatino Linotype" w:hAnsi="Palatino Linotype"/>
          <w:i w:val="1"/>
          <w:sz w:val="21"/>
          <w:szCs w:val="21"/>
          <w:rtl w:val="0"/>
        </w:rPr>
        <w:t xml:space="preserve"> Capacitar y proporcionar asesoría y apoyo técnico a los sujetos obligados para la elaboración y ejecución de programas de información, así como, en materia de transparencia y acceso a la información;</w:t>
      </w:r>
    </w:p>
    <w:p w:rsidR="00000000" w:rsidDel="00000000" w:rsidP="00000000" w:rsidRDefault="00000000" w:rsidRPr="00000000" w14:paraId="0000004B">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VIII.</w:t>
      </w:r>
      <w:r w:rsidDel="00000000" w:rsidR="00000000" w:rsidRPr="00000000">
        <w:rPr>
          <w:rFonts w:ascii="Palatino Linotype" w:cs="Palatino Linotype" w:eastAsia="Palatino Linotype" w:hAnsi="Palatino Linotype"/>
          <w:i w:val="1"/>
          <w:sz w:val="21"/>
          <w:szCs w:val="21"/>
          <w:rtl w:val="0"/>
        </w:rPr>
        <w:t xml:space="preserve"> Proporcionar a los sujetos obligados un sitio web dentro de sus ordenadores o servidores, el cual deberá contener cuando menos las obligaciones de transparencia comunes y específicas que correspondan, así como cualquier otra información que considere conveniente difundir en materia de transparencia y acceso a la información;</w:t>
      </w:r>
    </w:p>
    <w:p w:rsidR="00000000" w:rsidDel="00000000" w:rsidP="00000000" w:rsidRDefault="00000000" w:rsidRPr="00000000" w14:paraId="0000004C">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IX.</w:t>
      </w:r>
      <w:r w:rsidDel="00000000" w:rsidR="00000000" w:rsidRPr="00000000">
        <w:rPr>
          <w:rFonts w:ascii="Palatino Linotype" w:cs="Palatino Linotype" w:eastAsia="Palatino Linotype" w:hAnsi="Palatino Linotype"/>
          <w:i w:val="1"/>
          <w:sz w:val="21"/>
          <w:szCs w:val="21"/>
          <w:rtl w:val="0"/>
        </w:rPr>
        <w:t xml:space="preserve"> Apoyar a los sujetos obligados en el cumplimiento de las obligaciones que les impone la presente Ley;</w:t>
      </w:r>
    </w:p>
    <w:p w:rsidR="00000000" w:rsidDel="00000000" w:rsidP="00000000" w:rsidRDefault="00000000" w:rsidRPr="00000000" w14:paraId="0000004D">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w:t>
      </w:r>
      <w:r w:rsidDel="00000000" w:rsidR="00000000" w:rsidRPr="00000000">
        <w:rPr>
          <w:rFonts w:ascii="Palatino Linotype" w:cs="Palatino Linotype" w:eastAsia="Palatino Linotype" w:hAnsi="Palatino Linotype"/>
          <w:i w:val="1"/>
          <w:sz w:val="21"/>
          <w:szCs w:val="21"/>
          <w:rtl w:val="0"/>
        </w:rPr>
        <w:t xml:space="preserve"> Hacer del conocimiento del órgano interno de control o equivalente de cada sujeto obligado las infracciones a esta Ley;</w:t>
      </w:r>
    </w:p>
    <w:p w:rsidR="00000000" w:rsidDel="00000000" w:rsidP="00000000" w:rsidRDefault="00000000" w:rsidRPr="00000000" w14:paraId="0000004E">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XI.</w:t>
      </w:r>
      <w:r w:rsidDel="00000000" w:rsidR="00000000" w:rsidRPr="00000000">
        <w:rPr>
          <w:rFonts w:ascii="Palatino Linotype" w:cs="Palatino Linotype" w:eastAsia="Palatino Linotype" w:hAnsi="Palatino Linotype"/>
          <w:i w:val="1"/>
          <w:sz w:val="21"/>
          <w:szCs w:val="21"/>
          <w:rtl w:val="0"/>
        </w:rPr>
        <w:t xml:space="preserve"> Certificar las competencias de los titulares de las unidades de transparencia;</w:t>
      </w:r>
    </w:p>
    <w:p w:rsidR="00000000" w:rsidDel="00000000" w:rsidP="00000000" w:rsidRDefault="00000000" w:rsidRPr="00000000" w14:paraId="0000004F">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XII.</w:t>
      </w:r>
      <w:r w:rsidDel="00000000" w:rsidR="00000000" w:rsidRPr="00000000">
        <w:rPr>
          <w:rFonts w:ascii="Palatino Linotype" w:cs="Palatino Linotype" w:eastAsia="Palatino Linotype" w:hAnsi="Palatino Linotype"/>
          <w:i w:val="1"/>
          <w:sz w:val="21"/>
          <w:szCs w:val="21"/>
          <w:rtl w:val="0"/>
        </w:rPr>
        <w:t xml:space="preserve"> Elaborar formatos de solicitudes de acceso a la información pública y orientar a los particulares;</w:t>
      </w:r>
    </w:p>
    <w:p w:rsidR="00000000" w:rsidDel="00000000" w:rsidP="00000000" w:rsidRDefault="00000000" w:rsidRPr="00000000" w14:paraId="00000050">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XIII.</w:t>
      </w:r>
      <w:r w:rsidDel="00000000" w:rsidR="00000000" w:rsidRPr="00000000">
        <w:rPr>
          <w:rFonts w:ascii="Palatino Linotype" w:cs="Palatino Linotype" w:eastAsia="Palatino Linotype" w:hAnsi="Palatino Linotype"/>
          <w:i w:val="1"/>
          <w:sz w:val="21"/>
          <w:szCs w:val="21"/>
          <w:rtl w:val="0"/>
        </w:rPr>
        <w:t xml:space="preserve"> Coadyuvar a la elaboración y aplicación de los criterios para la conservación y archivo de la información pública;</w:t>
      </w:r>
    </w:p>
    <w:p w:rsidR="00000000" w:rsidDel="00000000" w:rsidP="00000000" w:rsidRDefault="00000000" w:rsidRPr="00000000" w14:paraId="00000051">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XIV.</w:t>
      </w:r>
      <w:r w:rsidDel="00000000" w:rsidR="00000000" w:rsidRPr="00000000">
        <w:rPr>
          <w:rFonts w:ascii="Palatino Linotype" w:cs="Palatino Linotype" w:eastAsia="Palatino Linotype" w:hAnsi="Palatino Linotype"/>
          <w:i w:val="1"/>
          <w:sz w:val="21"/>
          <w:szCs w:val="21"/>
          <w:rtl w:val="0"/>
        </w:rPr>
        <w:t xml:space="preserve"> Podrá actuar subsidiariamente para que los municipios den cumplimiento a sus obligaciones en materia de transparencia y acceso a la información, en los términos de lo señalado por la Ley General;</w:t>
      </w:r>
    </w:p>
    <w:p w:rsidR="00000000" w:rsidDel="00000000" w:rsidP="00000000" w:rsidRDefault="00000000" w:rsidRPr="00000000" w14:paraId="00000052">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XV.</w:t>
      </w:r>
      <w:r w:rsidDel="00000000" w:rsidR="00000000" w:rsidRPr="00000000">
        <w:rPr>
          <w:rFonts w:ascii="Palatino Linotype" w:cs="Palatino Linotype" w:eastAsia="Palatino Linotype" w:hAnsi="Palatino Linotype"/>
          <w:i w:val="1"/>
          <w:sz w:val="21"/>
          <w:szCs w:val="21"/>
          <w:rtl w:val="0"/>
        </w:rPr>
        <w:t xml:space="preserve"> Realizar y publicar estudios e investigaciones para difundir y ampliar el conocimiento sobre la transparencia y el derecho de acceso a la información;</w:t>
      </w:r>
    </w:p>
    <w:p w:rsidR="00000000" w:rsidDel="00000000" w:rsidP="00000000" w:rsidRDefault="00000000" w:rsidRPr="00000000" w14:paraId="00000053">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XVI.</w:t>
      </w:r>
      <w:r w:rsidDel="00000000" w:rsidR="00000000" w:rsidRPr="00000000">
        <w:rPr>
          <w:rFonts w:ascii="Palatino Linotype" w:cs="Palatino Linotype" w:eastAsia="Palatino Linotype" w:hAnsi="Palatino Linotype"/>
          <w:i w:val="1"/>
          <w:sz w:val="21"/>
          <w:szCs w:val="21"/>
          <w:rtl w:val="0"/>
        </w:rPr>
        <w:t xml:space="preserve"> Difundir entre los servidores públicos y los particulares los beneficios del manejo público de la información, así como sus responsabilidades en el buen uso y conservación de aquélla;</w:t>
      </w:r>
    </w:p>
    <w:p w:rsidR="00000000" w:rsidDel="00000000" w:rsidP="00000000" w:rsidRDefault="00000000" w:rsidRPr="00000000" w14:paraId="00000054">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XVII.</w:t>
      </w:r>
      <w:r w:rsidDel="00000000" w:rsidR="00000000" w:rsidRPr="00000000">
        <w:rPr>
          <w:rFonts w:ascii="Palatino Linotype" w:cs="Palatino Linotype" w:eastAsia="Palatino Linotype" w:hAnsi="Palatino Linotype"/>
          <w:i w:val="1"/>
          <w:sz w:val="21"/>
          <w:szCs w:val="21"/>
          <w:rtl w:val="0"/>
        </w:rPr>
        <w:t xml:space="preserve"> Designar, a través de la o el Comisionado Presidente, a los servidores públicos de su adscripción para administrar sus recursos materiales y financieros;</w:t>
      </w:r>
    </w:p>
    <w:p w:rsidR="00000000" w:rsidDel="00000000" w:rsidP="00000000" w:rsidRDefault="00000000" w:rsidRPr="00000000" w14:paraId="00000055">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XVIII.</w:t>
      </w:r>
      <w:r w:rsidDel="00000000" w:rsidR="00000000" w:rsidRPr="00000000">
        <w:rPr>
          <w:rFonts w:ascii="Palatino Linotype" w:cs="Palatino Linotype" w:eastAsia="Palatino Linotype" w:hAnsi="Palatino Linotype"/>
          <w:i w:val="1"/>
          <w:sz w:val="21"/>
          <w:szCs w:val="21"/>
          <w:rtl w:val="0"/>
        </w:rPr>
        <w:t xml:space="preserve"> Elaborar y remitir a la Secretaría de Finanzas su proyecto de presupuesto anual para que sea integrado al proyecto de presupuesto del Gobierno del Estado;</w:t>
      </w:r>
    </w:p>
    <w:p w:rsidR="00000000" w:rsidDel="00000000" w:rsidP="00000000" w:rsidRDefault="00000000" w:rsidRPr="00000000" w14:paraId="00000056">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XIX.</w:t>
      </w:r>
      <w:r w:rsidDel="00000000" w:rsidR="00000000" w:rsidRPr="00000000">
        <w:rPr>
          <w:rFonts w:ascii="Palatino Linotype" w:cs="Palatino Linotype" w:eastAsia="Palatino Linotype" w:hAnsi="Palatino Linotype"/>
          <w:i w:val="1"/>
          <w:sz w:val="21"/>
          <w:szCs w:val="21"/>
          <w:rtl w:val="0"/>
        </w:rPr>
        <w:t xml:space="preserve"> Expedir su Reglamento Interior y demás normas de operación;</w:t>
      </w:r>
    </w:p>
    <w:p w:rsidR="00000000" w:rsidDel="00000000" w:rsidP="00000000" w:rsidRDefault="00000000" w:rsidRPr="00000000" w14:paraId="00000057">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w:t>
      </w:r>
      <w:r w:rsidDel="00000000" w:rsidR="00000000" w:rsidRPr="00000000">
        <w:rPr>
          <w:rFonts w:ascii="Palatino Linotype" w:cs="Palatino Linotype" w:eastAsia="Palatino Linotype" w:hAnsi="Palatino Linotype"/>
          <w:i w:val="1"/>
          <w:sz w:val="21"/>
          <w:szCs w:val="21"/>
          <w:rtl w:val="0"/>
        </w:rPr>
        <w:t xml:space="preserve"> Administrar los recursos humanos, bienes y patrimonio del Instituto, así como determinar y autorizar su estructura orgánica y su personal;</w:t>
      </w:r>
    </w:p>
    <w:p w:rsidR="00000000" w:rsidDel="00000000" w:rsidP="00000000" w:rsidRDefault="00000000" w:rsidRPr="00000000" w14:paraId="00000058">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XXI.</w:t>
      </w:r>
      <w:r w:rsidDel="00000000" w:rsidR="00000000" w:rsidRPr="00000000">
        <w:rPr>
          <w:rFonts w:ascii="Palatino Linotype" w:cs="Palatino Linotype" w:eastAsia="Palatino Linotype" w:hAnsi="Palatino Linotype"/>
          <w:i w:val="1"/>
          <w:sz w:val="21"/>
          <w:szCs w:val="21"/>
          <w:rtl w:val="0"/>
        </w:rPr>
        <w:t xml:space="preserve"> Realizar de oficio y a petición de parte, análisis y recomendaciones o en su caso, lineamientos en relación con presuntos incumplimientos a las disposiciones de la Ley, cuando existan elementos suficientes a juicio del Pleno del Instituto;</w:t>
      </w:r>
    </w:p>
    <w:p w:rsidR="00000000" w:rsidDel="00000000" w:rsidP="00000000" w:rsidRDefault="00000000" w:rsidRPr="00000000" w14:paraId="00000059">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XXII.</w:t>
      </w:r>
      <w:r w:rsidDel="00000000" w:rsidR="00000000" w:rsidRPr="00000000">
        <w:rPr>
          <w:rFonts w:ascii="Palatino Linotype" w:cs="Palatino Linotype" w:eastAsia="Palatino Linotype" w:hAnsi="Palatino Linotype"/>
          <w:i w:val="1"/>
          <w:sz w:val="21"/>
          <w:szCs w:val="21"/>
          <w:rtl w:val="0"/>
        </w:rPr>
        <w:t xml:space="preserve"> Emitir comunicados públicos sobre el incumplimiento de sus resoluciones o por infracciones reiteradas a la Ley, en el ámbito de su competencia;</w:t>
      </w:r>
    </w:p>
    <w:p w:rsidR="00000000" w:rsidDel="00000000" w:rsidP="00000000" w:rsidRDefault="00000000" w:rsidRPr="00000000" w14:paraId="0000005A">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XXIII.</w:t>
      </w:r>
      <w:r w:rsidDel="00000000" w:rsidR="00000000" w:rsidRPr="00000000">
        <w:rPr>
          <w:rFonts w:ascii="Palatino Linotype" w:cs="Palatino Linotype" w:eastAsia="Palatino Linotype" w:hAnsi="Palatino Linotype"/>
          <w:i w:val="1"/>
          <w:sz w:val="21"/>
          <w:szCs w:val="21"/>
          <w:rtl w:val="0"/>
        </w:rPr>
        <w:t xml:space="preserve"> Ordenar a los sujetos obligados la ejecutoría en la entrega de información en términos de la presente Ley;</w:t>
      </w:r>
    </w:p>
    <w:p w:rsidR="00000000" w:rsidDel="00000000" w:rsidP="00000000" w:rsidRDefault="00000000" w:rsidRPr="00000000" w14:paraId="0000005B">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XXIV.</w:t>
      </w:r>
      <w:r w:rsidDel="00000000" w:rsidR="00000000" w:rsidRPr="00000000">
        <w:rPr>
          <w:rFonts w:ascii="Palatino Linotype" w:cs="Palatino Linotype" w:eastAsia="Palatino Linotype" w:hAnsi="Palatino Linotype"/>
          <w:i w:val="1"/>
          <w:sz w:val="21"/>
          <w:szCs w:val="21"/>
          <w:rtl w:val="0"/>
        </w:rPr>
        <w:t xml:space="preserve"> Revisar los criterios de clasificación, desclasificación y custodia de la información reservada y confidencial en el ámbito de su competencia;</w:t>
      </w:r>
    </w:p>
    <w:p w:rsidR="00000000" w:rsidDel="00000000" w:rsidP="00000000" w:rsidRDefault="00000000" w:rsidRPr="00000000" w14:paraId="0000005C">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XXV.</w:t>
      </w:r>
      <w:r w:rsidDel="00000000" w:rsidR="00000000" w:rsidRPr="00000000">
        <w:rPr>
          <w:rFonts w:ascii="Palatino Linotype" w:cs="Palatino Linotype" w:eastAsia="Palatino Linotype" w:hAnsi="Palatino Linotype"/>
          <w:i w:val="1"/>
          <w:sz w:val="21"/>
          <w:szCs w:val="21"/>
          <w:rtl w:val="0"/>
        </w:rPr>
        <w:t xml:space="preserve"> Establecer procedimientos para verificar las acciones realizadas por los sujetos obligados en el cumplimiento de sus obligaciones en términos de la presente Ley;</w:t>
      </w:r>
    </w:p>
    <w:p w:rsidR="00000000" w:rsidDel="00000000" w:rsidP="00000000" w:rsidRDefault="00000000" w:rsidRPr="00000000" w14:paraId="0000005D">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XXVI.</w:t>
      </w:r>
      <w:r w:rsidDel="00000000" w:rsidR="00000000" w:rsidRPr="00000000">
        <w:rPr>
          <w:rFonts w:ascii="Palatino Linotype" w:cs="Palatino Linotype" w:eastAsia="Palatino Linotype" w:hAnsi="Palatino Linotype"/>
          <w:i w:val="1"/>
          <w:sz w:val="21"/>
          <w:szCs w:val="21"/>
          <w:rtl w:val="0"/>
        </w:rPr>
        <w:t xml:space="preserve"> Nombrar al Contralor Interno del Instituto;</w:t>
      </w:r>
    </w:p>
    <w:p w:rsidR="00000000" w:rsidDel="00000000" w:rsidP="00000000" w:rsidRDefault="00000000" w:rsidRPr="00000000" w14:paraId="0000005E">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XXVII.</w:t>
      </w:r>
      <w:r w:rsidDel="00000000" w:rsidR="00000000" w:rsidRPr="00000000">
        <w:rPr>
          <w:rFonts w:ascii="Palatino Linotype" w:cs="Palatino Linotype" w:eastAsia="Palatino Linotype" w:hAnsi="Palatino Linotype"/>
          <w:i w:val="1"/>
          <w:sz w:val="21"/>
          <w:szCs w:val="21"/>
          <w:rtl w:val="0"/>
        </w:rPr>
        <w:t xml:space="preserve"> Imponer las medidas de apremio para asegurar el cumplimiento de sus determinaciones;</w:t>
      </w:r>
    </w:p>
    <w:p w:rsidR="00000000" w:rsidDel="00000000" w:rsidP="00000000" w:rsidRDefault="00000000" w:rsidRPr="00000000" w14:paraId="0000005F">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XXVIII.</w:t>
      </w:r>
      <w:r w:rsidDel="00000000" w:rsidR="00000000" w:rsidRPr="00000000">
        <w:rPr>
          <w:rFonts w:ascii="Palatino Linotype" w:cs="Palatino Linotype" w:eastAsia="Palatino Linotype" w:hAnsi="Palatino Linotype"/>
          <w:i w:val="1"/>
          <w:sz w:val="21"/>
          <w:szCs w:val="21"/>
          <w:rtl w:val="0"/>
        </w:rPr>
        <w:t xml:space="preserve"> Presentar petición fundada al Instituto Nacional, para que conozca de los recursos de revisión que por su interés y trascendencia así lo ameriten;</w:t>
      </w:r>
    </w:p>
    <w:p w:rsidR="00000000" w:rsidDel="00000000" w:rsidP="00000000" w:rsidRDefault="00000000" w:rsidRPr="00000000" w14:paraId="00000060">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XXIX.</w:t>
      </w:r>
      <w:r w:rsidDel="00000000" w:rsidR="00000000" w:rsidRPr="00000000">
        <w:rPr>
          <w:rFonts w:ascii="Palatino Linotype" w:cs="Palatino Linotype" w:eastAsia="Palatino Linotype" w:hAnsi="Palatino Linotype"/>
          <w:i w:val="1"/>
          <w:sz w:val="21"/>
          <w:szCs w:val="21"/>
          <w:rtl w:val="0"/>
        </w:rPr>
        <w:t xml:space="preserve"> Promover y difundir el ejercicio del derecho de acceso a la información;</w:t>
      </w:r>
    </w:p>
    <w:p w:rsidR="00000000" w:rsidDel="00000000" w:rsidP="00000000" w:rsidRDefault="00000000" w:rsidRPr="00000000" w14:paraId="00000061">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w:t>
      </w:r>
      <w:r w:rsidDel="00000000" w:rsidR="00000000" w:rsidRPr="00000000">
        <w:rPr>
          <w:rFonts w:ascii="Palatino Linotype" w:cs="Palatino Linotype" w:eastAsia="Palatino Linotype" w:hAnsi="Palatino Linotype"/>
          <w:i w:val="1"/>
          <w:sz w:val="21"/>
          <w:szCs w:val="21"/>
          <w:rtl w:val="0"/>
        </w:rPr>
        <w:t xml:space="preserve"> Promover la cultura de la transparencia en el sistema educativo;</w:t>
      </w:r>
    </w:p>
    <w:p w:rsidR="00000000" w:rsidDel="00000000" w:rsidP="00000000" w:rsidRDefault="00000000" w:rsidRPr="00000000" w14:paraId="00000062">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XXXI.</w:t>
      </w:r>
      <w:r w:rsidDel="00000000" w:rsidR="00000000" w:rsidRPr="00000000">
        <w:rPr>
          <w:rFonts w:ascii="Palatino Linotype" w:cs="Palatino Linotype" w:eastAsia="Palatino Linotype" w:hAnsi="Palatino Linotype"/>
          <w:i w:val="1"/>
          <w:sz w:val="21"/>
          <w:szCs w:val="21"/>
          <w:rtl w:val="0"/>
        </w:rPr>
        <w:t xml:space="preserve"> Establecer políticas de transparencia proactiva atendiendo a las condiciones económicas, sociales y culturales;</w:t>
      </w:r>
    </w:p>
    <w:p w:rsidR="00000000" w:rsidDel="00000000" w:rsidP="00000000" w:rsidRDefault="00000000" w:rsidRPr="00000000" w14:paraId="00000063">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XXXII.</w:t>
      </w:r>
      <w:r w:rsidDel="00000000" w:rsidR="00000000" w:rsidRPr="00000000">
        <w:rPr>
          <w:rFonts w:ascii="Palatino Linotype" w:cs="Palatino Linotype" w:eastAsia="Palatino Linotype" w:hAnsi="Palatino Linotype"/>
          <w:i w:val="1"/>
          <w:sz w:val="21"/>
          <w:szCs w:val="21"/>
          <w:rtl w:val="0"/>
        </w:rPr>
        <w:t xml:space="preserve"> Suscribir convenios con los sujetos obligados que propicien la publicación de información en el marco de las políticas de transparencia proactiva;</w:t>
      </w:r>
    </w:p>
    <w:p w:rsidR="00000000" w:rsidDel="00000000" w:rsidP="00000000" w:rsidRDefault="00000000" w:rsidRPr="00000000" w14:paraId="00000064">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XXXIII.</w:t>
      </w:r>
      <w:r w:rsidDel="00000000" w:rsidR="00000000" w:rsidRPr="00000000">
        <w:rPr>
          <w:rFonts w:ascii="Palatino Linotype" w:cs="Palatino Linotype" w:eastAsia="Palatino Linotype" w:hAnsi="Palatino Linotype"/>
          <w:i w:val="1"/>
          <w:sz w:val="21"/>
          <w:szCs w:val="21"/>
          <w:rtl w:val="0"/>
        </w:rPr>
        <w:t xml:space="preserve"> Suscribir convenios de colaboración con particulares o sectores de la sociedad cuando sus actividades o productos resulten de interés público o relevancia social;</w:t>
      </w:r>
    </w:p>
    <w:p w:rsidR="00000000" w:rsidDel="00000000" w:rsidP="00000000" w:rsidRDefault="00000000" w:rsidRPr="00000000" w14:paraId="00000065">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XXXIV.</w:t>
      </w:r>
      <w:r w:rsidDel="00000000" w:rsidR="00000000" w:rsidRPr="00000000">
        <w:rPr>
          <w:rFonts w:ascii="Palatino Linotype" w:cs="Palatino Linotype" w:eastAsia="Palatino Linotype" w:hAnsi="Palatino Linotype"/>
          <w:i w:val="1"/>
          <w:sz w:val="21"/>
          <w:szCs w:val="21"/>
          <w:rtl w:val="0"/>
        </w:rPr>
        <w:t xml:space="preserve"> Suscribir convenios de colaboración con otros organismos garantes para el cumplimiento de sus atribuciones y promover mejores prácticas en la materia;</w:t>
      </w:r>
    </w:p>
    <w:p w:rsidR="00000000" w:rsidDel="00000000" w:rsidP="00000000" w:rsidRDefault="00000000" w:rsidRPr="00000000" w14:paraId="00000066">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XXXV.</w:t>
      </w:r>
      <w:r w:rsidDel="00000000" w:rsidR="00000000" w:rsidRPr="00000000">
        <w:rPr>
          <w:rFonts w:ascii="Palatino Linotype" w:cs="Palatino Linotype" w:eastAsia="Palatino Linotype" w:hAnsi="Palatino Linotype"/>
          <w:i w:val="1"/>
          <w:sz w:val="21"/>
          <w:szCs w:val="21"/>
          <w:rtl w:val="0"/>
        </w:rPr>
        <w:t xml:space="preserve"> Eliminar toda forma de discriminación en el ejercicio del derecho de acceso a la información;</w:t>
      </w:r>
    </w:p>
    <w:p w:rsidR="00000000" w:rsidDel="00000000" w:rsidP="00000000" w:rsidRDefault="00000000" w:rsidRPr="00000000" w14:paraId="00000067">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XXXVI.</w:t>
      </w:r>
      <w:r w:rsidDel="00000000" w:rsidR="00000000" w:rsidRPr="00000000">
        <w:rPr>
          <w:rFonts w:ascii="Palatino Linotype" w:cs="Palatino Linotype" w:eastAsia="Palatino Linotype" w:hAnsi="Palatino Linotype"/>
          <w:i w:val="1"/>
          <w:sz w:val="21"/>
          <w:szCs w:val="21"/>
          <w:rtl w:val="0"/>
        </w:rPr>
        <w:t xml:space="preserve"> Coordinarse con las autoridades competentes para que en los procedimientos de acceso a la información, así como en los medios de impugnación, se contemple contar con la información necesaria en lenguas indígenas y formatos accesibles, para que sean sustanciados y atendidos en la misma lengua y en su caso, se promuevan los ajustes razonables necesarios si se tratara de personas con discapacidad;</w:t>
      </w:r>
    </w:p>
    <w:p w:rsidR="00000000" w:rsidDel="00000000" w:rsidP="00000000" w:rsidRDefault="00000000" w:rsidRPr="00000000" w14:paraId="00000068">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XXXVII.</w:t>
      </w:r>
      <w:r w:rsidDel="00000000" w:rsidR="00000000" w:rsidRPr="00000000">
        <w:rPr>
          <w:rFonts w:ascii="Palatino Linotype" w:cs="Palatino Linotype" w:eastAsia="Palatino Linotype" w:hAnsi="Palatino Linotype"/>
          <w:i w:val="1"/>
          <w:sz w:val="21"/>
          <w:szCs w:val="21"/>
          <w:rtl w:val="0"/>
        </w:rPr>
        <w:t xml:space="preserve"> Garantizar condiciones de accesibilidad para que los grupos vulnerables puedan ejercer, en igualdad de circunstancias, su derecho de acceso a la información;</w:t>
      </w:r>
    </w:p>
    <w:p w:rsidR="00000000" w:rsidDel="00000000" w:rsidP="00000000" w:rsidRDefault="00000000" w:rsidRPr="00000000" w14:paraId="00000069">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XXXVIII.</w:t>
      </w:r>
      <w:r w:rsidDel="00000000" w:rsidR="00000000" w:rsidRPr="00000000">
        <w:rPr>
          <w:rFonts w:ascii="Palatino Linotype" w:cs="Palatino Linotype" w:eastAsia="Palatino Linotype" w:hAnsi="Palatino Linotype"/>
          <w:i w:val="1"/>
          <w:sz w:val="21"/>
          <w:szCs w:val="21"/>
          <w:rtl w:val="0"/>
        </w:rPr>
        <w:t xml:space="preserve"> Hacer del conocimiento de la instancia competente la probable responsabilidad por el incumplimiento de las obligaciones previstas en la presente Ley y en las demás disposiciones aplicables;</w:t>
      </w:r>
    </w:p>
    <w:p w:rsidR="00000000" w:rsidDel="00000000" w:rsidP="00000000" w:rsidRDefault="00000000" w:rsidRPr="00000000" w14:paraId="0000006A">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XXXIX.</w:t>
      </w:r>
      <w:r w:rsidDel="00000000" w:rsidR="00000000" w:rsidRPr="00000000">
        <w:rPr>
          <w:rFonts w:ascii="Palatino Linotype" w:cs="Palatino Linotype" w:eastAsia="Palatino Linotype" w:hAnsi="Palatino Linotype"/>
          <w:i w:val="1"/>
          <w:sz w:val="21"/>
          <w:szCs w:val="21"/>
          <w:rtl w:val="0"/>
        </w:rPr>
        <w:t xml:space="preserve"> Determinar y ejecutar según corresponda las sanciones por el incumplimiento a las disposiciones de la presente Ley;</w:t>
      </w:r>
    </w:p>
    <w:p w:rsidR="00000000" w:rsidDel="00000000" w:rsidP="00000000" w:rsidRDefault="00000000" w:rsidRPr="00000000" w14:paraId="0000006B">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w:t>
      </w:r>
      <w:r w:rsidDel="00000000" w:rsidR="00000000" w:rsidRPr="00000000">
        <w:rPr>
          <w:rFonts w:ascii="Palatino Linotype" w:cs="Palatino Linotype" w:eastAsia="Palatino Linotype" w:hAnsi="Palatino Linotype"/>
          <w:i w:val="1"/>
          <w:sz w:val="21"/>
          <w:szCs w:val="21"/>
          <w:rtl w:val="0"/>
        </w:rPr>
        <w:t xml:space="preserve"> Promover la participación y colaboración con organismos internacionales, en el análisis y mejores prácticas en materia de acceso a la información pública;</w:t>
      </w:r>
    </w:p>
    <w:p w:rsidR="00000000" w:rsidDel="00000000" w:rsidP="00000000" w:rsidRDefault="00000000" w:rsidRPr="00000000" w14:paraId="0000006C">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XLI.</w:t>
      </w:r>
      <w:r w:rsidDel="00000000" w:rsidR="00000000" w:rsidRPr="00000000">
        <w:rPr>
          <w:rFonts w:ascii="Palatino Linotype" w:cs="Palatino Linotype" w:eastAsia="Palatino Linotype" w:hAnsi="Palatino Linotype"/>
          <w:i w:val="1"/>
          <w:sz w:val="21"/>
          <w:szCs w:val="21"/>
          <w:rtl w:val="0"/>
        </w:rPr>
        <w:t xml:space="preserve"> Fomentar los principios de gobierno abierto, la transparencia, la rendición de cuentas, la participación ciudadana, la accesibilidad y la innovación tecnológica;</w:t>
      </w:r>
    </w:p>
    <w:p w:rsidR="00000000" w:rsidDel="00000000" w:rsidP="00000000" w:rsidRDefault="00000000" w:rsidRPr="00000000" w14:paraId="0000006D">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XLII.</w:t>
      </w:r>
      <w:r w:rsidDel="00000000" w:rsidR="00000000" w:rsidRPr="00000000">
        <w:rPr>
          <w:rFonts w:ascii="Palatino Linotype" w:cs="Palatino Linotype" w:eastAsia="Palatino Linotype" w:hAnsi="Palatino Linotype"/>
          <w:i w:val="1"/>
          <w:sz w:val="21"/>
          <w:szCs w:val="21"/>
          <w:rtl w:val="0"/>
        </w:rPr>
        <w:t xml:space="preserve"> Emitir recomendaciones a los sujetos obligados para diseñar, implementar y evaluar acciones de apertura gubernamental que permitan orientar las políticas internas en la materia;</w:t>
      </w:r>
    </w:p>
    <w:p w:rsidR="00000000" w:rsidDel="00000000" w:rsidP="00000000" w:rsidRDefault="00000000" w:rsidRPr="00000000" w14:paraId="0000006E">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XLIII.</w:t>
      </w:r>
      <w:r w:rsidDel="00000000" w:rsidR="00000000" w:rsidRPr="00000000">
        <w:rPr>
          <w:rFonts w:ascii="Palatino Linotype" w:cs="Palatino Linotype" w:eastAsia="Palatino Linotype" w:hAnsi="Palatino Linotype"/>
          <w:i w:val="1"/>
          <w:sz w:val="21"/>
          <w:szCs w:val="21"/>
          <w:rtl w:val="0"/>
        </w:rPr>
        <w:t xml:space="preserve"> Vigilar el cumplimiento de la presente Ley;</w:t>
      </w:r>
    </w:p>
    <w:p w:rsidR="00000000" w:rsidDel="00000000" w:rsidP="00000000" w:rsidRDefault="00000000" w:rsidRPr="00000000" w14:paraId="0000006F">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XLIV.</w:t>
      </w:r>
      <w:r w:rsidDel="00000000" w:rsidR="00000000" w:rsidRPr="00000000">
        <w:rPr>
          <w:rFonts w:ascii="Palatino Linotype" w:cs="Palatino Linotype" w:eastAsia="Palatino Linotype" w:hAnsi="Palatino Linotype"/>
          <w:i w:val="1"/>
          <w:sz w:val="21"/>
          <w:szCs w:val="21"/>
          <w:rtl w:val="0"/>
        </w:rPr>
        <w:t xml:space="preserve"> Interponer acciones de inconstitucionalidad en contra de leyes expedidas por la Legislatura del Estado de México, que vulneren el derecho de acceso a la información pública y la protección de datos personales;</w:t>
      </w:r>
    </w:p>
    <w:p w:rsidR="00000000" w:rsidDel="00000000" w:rsidP="00000000" w:rsidRDefault="00000000" w:rsidRPr="00000000" w14:paraId="00000070">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XLV.</w:t>
      </w:r>
      <w:r w:rsidDel="00000000" w:rsidR="00000000" w:rsidRPr="00000000">
        <w:rPr>
          <w:rFonts w:ascii="Palatino Linotype" w:cs="Palatino Linotype" w:eastAsia="Palatino Linotype" w:hAnsi="Palatino Linotype"/>
          <w:i w:val="1"/>
          <w:sz w:val="21"/>
          <w:szCs w:val="21"/>
          <w:rtl w:val="0"/>
        </w:rPr>
        <w:t xml:space="preserve"> Rendir informe anual de actividades a través de su presidente ante el Pleno de la Legislatura, dentro del primer periodo ordinario de sesiones del año;</w:t>
      </w:r>
    </w:p>
    <w:p w:rsidR="00000000" w:rsidDel="00000000" w:rsidP="00000000" w:rsidRDefault="00000000" w:rsidRPr="00000000" w14:paraId="00000071">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XLVI.</w:t>
      </w:r>
      <w:r w:rsidDel="00000000" w:rsidR="00000000" w:rsidRPr="00000000">
        <w:rPr>
          <w:rFonts w:ascii="Palatino Linotype" w:cs="Palatino Linotype" w:eastAsia="Palatino Linotype" w:hAnsi="Palatino Linotype"/>
          <w:i w:val="1"/>
          <w:sz w:val="21"/>
          <w:szCs w:val="21"/>
          <w:rtl w:val="0"/>
        </w:rPr>
        <w:t xml:space="preserve"> Expedir los lineamientos que regulen el servicio profesional en materia de transparencia, acceso a la información pública y protección de datos personales; y</w:t>
      </w:r>
    </w:p>
    <w:p w:rsidR="00000000" w:rsidDel="00000000" w:rsidP="00000000" w:rsidRDefault="00000000" w:rsidRPr="00000000" w14:paraId="00000072">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XLVII.</w:t>
      </w:r>
      <w:r w:rsidDel="00000000" w:rsidR="00000000" w:rsidRPr="00000000">
        <w:rPr>
          <w:rFonts w:ascii="Palatino Linotype" w:cs="Palatino Linotype" w:eastAsia="Palatino Linotype" w:hAnsi="Palatino Linotype"/>
          <w:i w:val="1"/>
          <w:sz w:val="21"/>
          <w:szCs w:val="21"/>
          <w:rtl w:val="0"/>
        </w:rPr>
        <w:t xml:space="preserve"> Proponer Iniciativas de Ley y Decreto sobre los asuntos de su competencia a cualquiera de los facultados para iniciar leyes, por la Constitución del Estado, y</w:t>
      </w:r>
    </w:p>
    <w:p w:rsidR="00000000" w:rsidDel="00000000" w:rsidP="00000000" w:rsidRDefault="00000000" w:rsidRPr="00000000" w14:paraId="00000073">
      <w:pPr>
        <w:ind w:left="851" w:right="851"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XLVIII.</w:t>
      </w:r>
      <w:r w:rsidDel="00000000" w:rsidR="00000000" w:rsidRPr="00000000">
        <w:rPr>
          <w:rFonts w:ascii="Palatino Linotype" w:cs="Palatino Linotype" w:eastAsia="Palatino Linotype" w:hAnsi="Palatino Linotype"/>
          <w:i w:val="1"/>
          <w:sz w:val="21"/>
          <w:szCs w:val="21"/>
          <w:rtl w:val="0"/>
        </w:rPr>
        <w:t xml:space="preserve"> Las demás que les confieran esta Ley y otras disposiciones jurídicas aplicables.</w:t>
      </w:r>
    </w:p>
    <w:p w:rsidR="00000000" w:rsidDel="00000000" w:rsidP="00000000" w:rsidRDefault="00000000" w:rsidRPr="00000000" w14:paraId="00000074">
      <w:pPr>
        <w:ind w:left="851" w:right="851" w:firstLine="0"/>
        <w:jc w:val="both"/>
        <w:rPr>
          <w:rFonts w:ascii="Palatino Linotype" w:cs="Palatino Linotype" w:eastAsia="Palatino Linotype" w:hAnsi="Palatino Linotype"/>
          <w:i w:val="1"/>
          <w:color w:val="000000"/>
          <w:sz w:val="21"/>
          <w:szCs w:val="21"/>
        </w:rPr>
      </w:pPr>
      <w:r w:rsidDel="00000000" w:rsidR="00000000" w:rsidRPr="00000000">
        <w:rPr>
          <w:rtl w:val="0"/>
        </w:rPr>
      </w:r>
    </w:p>
    <w:p w:rsidR="00000000" w:rsidDel="00000000" w:rsidP="00000000" w:rsidRDefault="00000000" w:rsidRPr="00000000" w14:paraId="00000075">
      <w:pPr>
        <w:ind w:left="851" w:right="851" w:firstLine="0"/>
        <w:jc w:val="both"/>
        <w:rPr>
          <w:rFonts w:ascii="Palatino Linotype" w:cs="Palatino Linotype" w:eastAsia="Palatino Linotype" w:hAnsi="Palatino Linotype"/>
          <w:i w:val="1"/>
          <w:color w:val="000000"/>
          <w:sz w:val="21"/>
          <w:szCs w:val="21"/>
        </w:rPr>
      </w:pPr>
      <w:r w:rsidDel="00000000" w:rsidR="00000000" w:rsidRPr="00000000">
        <w:rPr>
          <w:rFonts w:ascii="Palatino Linotype" w:cs="Palatino Linotype" w:eastAsia="Palatino Linotype" w:hAnsi="Palatino Linotype"/>
          <w:i w:val="1"/>
          <w:color w:val="000000"/>
          <w:sz w:val="21"/>
          <w:szCs w:val="21"/>
          <w:rtl w:val="0"/>
        </w:rPr>
        <w:t xml:space="preserve">Énfasis añadido.</w:t>
      </w:r>
    </w:p>
    <w:p w:rsidR="00000000" w:rsidDel="00000000" w:rsidP="00000000" w:rsidRDefault="00000000" w:rsidRPr="00000000" w14:paraId="00000076">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Del dispositivo legal en análisis se advierte que el Sujeto Obligado no está facultado para generar la información que requiere el recurrente, en razón de que la misma se puede encontrar en poder de otro Sujeto Obligado del ámbito federal, es decir, el Instituto Mexicano del Seguro Social, motivo por el cual se le indicó al particular el procedimiento que debía seguir para que presentara una solicitud de acceso a datos personales vía electrónica en la página electrónica de la Plataforma Nacional de Transparencia.</w:t>
      </w:r>
    </w:p>
    <w:p w:rsidR="00000000" w:rsidDel="00000000" w:rsidP="00000000" w:rsidRDefault="00000000" w:rsidRPr="00000000" w14:paraId="00000077">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Por otra parte, se advierte que los motivos de inconformidad que expresa el recurrente no tienden a combatir la respuesta emitida por el Sujeto Obligado.</w:t>
      </w:r>
    </w:p>
    <w:p w:rsidR="00000000" w:rsidDel="00000000" w:rsidP="00000000" w:rsidRDefault="00000000" w:rsidRPr="00000000" w14:paraId="00000078">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este sentido, se concluye que del análisis realizado a la información proporcionada por el Sujeto Obligado al momento de emitir respuesta, así como al rendir informe justificado se advierte con claridad que la solicitud del recurrente ha sido satisfecha.</w:t>
      </w:r>
    </w:p>
    <w:p w:rsidR="00000000" w:rsidDel="00000000" w:rsidP="00000000" w:rsidRDefault="00000000" w:rsidRPr="00000000" w14:paraId="00000079">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Aunado a todo lo anterior, este Instituto no está facultado para pronunciarse sobre la veracidad de la respuesta emitida por el </w:t>
      </w:r>
      <w:r w:rsidDel="00000000" w:rsidR="00000000" w:rsidRPr="00000000">
        <w:rPr>
          <w:rFonts w:ascii="Palatino Linotype" w:cs="Palatino Linotype" w:eastAsia="Palatino Linotype" w:hAnsi="Palatino Linotype"/>
          <w:b w:val="1"/>
          <w:color w:val="000000"/>
          <w:rtl w:val="0"/>
        </w:rPr>
        <w:t xml:space="preserve">Sujeto Obligado, </w:t>
      </w:r>
      <w:r w:rsidDel="00000000" w:rsidR="00000000" w:rsidRPr="00000000">
        <w:rPr>
          <w:rFonts w:ascii="Palatino Linotype" w:cs="Palatino Linotype" w:eastAsia="Palatino Linotype" w:hAnsi="Palatino Linotype"/>
          <w:color w:val="000000"/>
          <w:rtl w:val="0"/>
        </w:rPr>
        <w:t xml:space="preserve">pues no existe precepto legal alguno en la Ley que lo faculte para ello, toda vez que la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 debido a que admite prueba en contrario; es decir, supone una declaración </w:t>
      </w:r>
      <w:r w:rsidDel="00000000" w:rsidR="00000000" w:rsidRPr="00000000">
        <w:rPr>
          <w:rFonts w:ascii="Palatino Linotype" w:cs="Palatino Linotype" w:eastAsia="Palatino Linotype" w:hAnsi="Palatino Linotype"/>
          <w:i w:val="1"/>
          <w:color w:val="000000"/>
          <w:rtl w:val="0"/>
        </w:rPr>
        <w:t xml:space="preserve">iuris tantum, </w:t>
      </w:r>
      <w:r w:rsidDel="00000000" w:rsidR="00000000" w:rsidRPr="00000000">
        <w:rPr>
          <w:rFonts w:ascii="Palatino Linotype" w:cs="Palatino Linotype" w:eastAsia="Palatino Linotype" w:hAnsi="Palatino Linotype"/>
          <w:color w:val="000000"/>
          <w:rtl w:val="0"/>
        </w:rPr>
        <w:t xml:space="preserve">por lo que este Órgano no está facultado para pronunciarse sobre la veracidad de la respuesta emitida, aun y cuando ésta no satisfaga el derecho de acceso a la información del </w:t>
      </w:r>
      <w:r w:rsidDel="00000000" w:rsidR="00000000" w:rsidRPr="00000000">
        <w:rPr>
          <w:rFonts w:ascii="Palatino Linotype" w:cs="Palatino Linotype" w:eastAsia="Palatino Linotype" w:hAnsi="Palatino Linotype"/>
          <w:b w:val="1"/>
          <w:i w:val="1"/>
          <w:color w:val="000000"/>
          <w:rtl w:val="0"/>
        </w:rPr>
        <w:t xml:space="preserve">Recurrente. </w:t>
      </w:r>
      <w:r w:rsidDel="00000000" w:rsidR="00000000" w:rsidRPr="00000000">
        <w:rPr>
          <w:rFonts w:ascii="Palatino Linotype" w:cs="Palatino Linotype" w:eastAsia="Palatino Linotype" w:hAnsi="Palatino Linotype"/>
          <w:color w:val="000000"/>
          <w:rtl w:val="0"/>
        </w:rPr>
        <w:t xml:space="preserve">Sirve de apoyo a lo anterior por analogía el criterio 31-10 emitido por el entonces Instituto Federal de Acceso a la Información y Protección de Datos, que a la letra dice:</w:t>
      </w:r>
    </w:p>
    <w:p w:rsidR="00000000" w:rsidDel="00000000" w:rsidP="00000000" w:rsidRDefault="00000000" w:rsidRPr="00000000" w14:paraId="0000007A">
      <w:pPr>
        <w:spacing w:after="240" w:before="240" w:lineRule="auto"/>
        <w:ind w:left="851" w:right="900"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3"/>
          <w:szCs w:val="23"/>
          <w:rtl w:val="0"/>
        </w:rPr>
        <w:t xml:space="preserve"> </w:t>
      </w: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b w:val="1"/>
          <w:i w:val="1"/>
          <w:color w:val="000000"/>
          <w:sz w:val="22"/>
          <w:szCs w:val="22"/>
          <w:rtl w:val="0"/>
        </w:rPr>
        <w:t xml:space="preserve">El Instituto Federal de Acceso a la Información y Protección de Datos no cuenta con facultades para pronunciarse respecto de la veracidad de los documentos proporcionados por los sujetos obligados</w:t>
      </w:r>
      <w:r w:rsidDel="00000000" w:rsidR="00000000" w:rsidRPr="00000000">
        <w:rPr>
          <w:rFonts w:ascii="Palatino Linotype" w:cs="Palatino Linotype" w:eastAsia="Palatino Linotype" w:hAnsi="Palatino Linotype"/>
          <w:i w:val="1"/>
          <w:color w:val="000000"/>
          <w:sz w:val="22"/>
          <w:szCs w:val="22"/>
          <w:rtl w:val="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00000" w:rsidDel="00000000" w:rsidP="00000000" w:rsidRDefault="00000000" w:rsidRPr="00000000" w14:paraId="0000007B">
      <w:pPr>
        <w:spacing w:after="240" w:before="240" w:line="360" w:lineRule="auto"/>
        <w:ind w:right="49"/>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mérito de lo mencionado con anterioridad, este Órgano Garante considera infundadas las razones o motivos de inconformidad que plantea el</w:t>
      </w:r>
      <w:r w:rsidDel="00000000" w:rsidR="00000000" w:rsidRPr="00000000">
        <w:rPr>
          <w:rFonts w:ascii="Palatino Linotype" w:cs="Palatino Linotype" w:eastAsia="Palatino Linotype" w:hAnsi="Palatino Linotype"/>
          <w:b w:val="1"/>
          <w:color w:val="000000"/>
          <w:rtl w:val="0"/>
        </w:rPr>
        <w:t xml:space="preserve"> Recurrente</w:t>
      </w:r>
      <w:r w:rsidDel="00000000" w:rsidR="00000000" w:rsidRPr="00000000">
        <w:rPr>
          <w:rFonts w:ascii="Palatino Linotype" w:cs="Palatino Linotype" w:eastAsia="Palatino Linotype" w:hAnsi="Palatino Linotype"/>
          <w:color w:val="000000"/>
          <w:rtl w:val="0"/>
        </w:rPr>
        <w:t xml:space="preserve">, de tal manera que con fundamento en el artículo 186 fracción II de la Ley de Transparencia vigente en la entidad, se </w:t>
      </w:r>
      <w:r w:rsidDel="00000000" w:rsidR="00000000" w:rsidRPr="00000000">
        <w:rPr>
          <w:rFonts w:ascii="Palatino Linotype" w:cs="Palatino Linotype" w:eastAsia="Palatino Linotype" w:hAnsi="Palatino Linotype"/>
          <w:b w:val="1"/>
          <w:color w:val="000000"/>
          <w:rtl w:val="0"/>
        </w:rPr>
        <w:t xml:space="preserve">CONFIRMA</w:t>
      </w:r>
      <w:r w:rsidDel="00000000" w:rsidR="00000000" w:rsidRPr="00000000">
        <w:rPr>
          <w:rFonts w:ascii="Palatino Linotype" w:cs="Palatino Linotype" w:eastAsia="Palatino Linotype" w:hAnsi="Palatino Linotype"/>
          <w:color w:val="000000"/>
          <w:rtl w:val="0"/>
        </w:rPr>
        <w:t xml:space="preserve"> la respuesta del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7C">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Así, con fundamento en lo prescrito en los artículos </w:t>
      </w:r>
      <w:r w:rsidDel="00000000" w:rsidR="00000000" w:rsidRPr="00000000">
        <w:rPr>
          <w:rFonts w:ascii="Palatino Linotype" w:cs="Palatino Linotype" w:eastAsia="Palatino Linotype" w:hAnsi="Palatino Linotype"/>
          <w:color w:val="000000"/>
          <w:highlight w:val="white"/>
          <w:rtl w:val="0"/>
        </w:rPr>
        <w:t xml:space="preserve">5, párrafos vigésimo noveno, trigésimo y trigésimo primero fracciones IV y V </w:t>
      </w:r>
      <w:r w:rsidDel="00000000" w:rsidR="00000000" w:rsidRPr="00000000">
        <w:rPr>
          <w:rFonts w:ascii="Palatino Linotype" w:cs="Palatino Linotype" w:eastAsia="Palatino Linotype" w:hAnsi="Palatino Linotype"/>
          <w:color w:val="000000"/>
          <w:rtl w:val="0"/>
        </w:rPr>
        <w:t xml:space="preserve">de la Constitución Política del Estado Libre y Soberano de México; 2, fracción II; 29, 36 fracciones I y II; 176, 178, 181, 185 de la Ley de Transparencia y Acceso a la Información Pública del Estado de México y Municipios, este Pleno:</w:t>
      </w:r>
    </w:p>
    <w:p w:rsidR="00000000" w:rsidDel="00000000" w:rsidP="00000000" w:rsidRDefault="00000000" w:rsidRPr="00000000" w14:paraId="0000007D">
      <w:pPr>
        <w:spacing w:after="0" w:before="240" w:line="360" w:lineRule="auto"/>
        <w:ind w:left="360" w:firstLine="0"/>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III. R E S U E L V E:</w:t>
      </w:r>
    </w:p>
    <w:p w:rsidR="00000000" w:rsidDel="00000000" w:rsidP="00000000" w:rsidRDefault="00000000" w:rsidRPr="00000000" w14:paraId="0000007E">
      <w:pPr>
        <w:spacing w:after="0" w:before="0" w:line="360" w:lineRule="auto"/>
        <w:ind w:left="360" w:firstLine="0"/>
        <w:jc w:val="center"/>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7F">
      <w:pPr>
        <w:spacing w:after="240" w:before="0" w:line="360" w:lineRule="auto"/>
        <w:ind w:right="49"/>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Primero. </w:t>
      </w:r>
      <w:r w:rsidDel="00000000" w:rsidR="00000000" w:rsidRPr="00000000">
        <w:rPr>
          <w:rFonts w:ascii="Palatino Linotype" w:cs="Palatino Linotype" w:eastAsia="Palatino Linotype" w:hAnsi="Palatino Linotype"/>
          <w:color w:val="000000"/>
          <w:rtl w:val="0"/>
        </w:rPr>
        <w:t xml:space="preserve">Resultan infundadas las razones o motivos de inconformidad hechos valer por el recurrente</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Fonts w:ascii="Palatino Linotype" w:cs="Palatino Linotype" w:eastAsia="Palatino Linotype" w:hAnsi="Palatino Linotype"/>
          <w:color w:val="000000"/>
          <w:rtl w:val="0"/>
        </w:rPr>
        <w:t xml:space="preserve">en el recurso de revisión </w:t>
      </w:r>
      <w:r w:rsidDel="00000000" w:rsidR="00000000" w:rsidRPr="00000000">
        <w:rPr>
          <w:rFonts w:ascii="Palatino Linotype" w:cs="Palatino Linotype" w:eastAsia="Palatino Linotype" w:hAnsi="Palatino Linotype"/>
          <w:b w:val="1"/>
          <w:color w:val="000000"/>
          <w:rtl w:val="0"/>
        </w:rPr>
        <w:t xml:space="preserve">04009/INFOEM/IP/RR/2021 </w:t>
      </w:r>
      <w:r w:rsidDel="00000000" w:rsidR="00000000" w:rsidRPr="00000000">
        <w:rPr>
          <w:rFonts w:ascii="Palatino Linotype" w:cs="Palatino Linotype" w:eastAsia="Palatino Linotype" w:hAnsi="Palatino Linotype"/>
          <w:color w:val="000000"/>
          <w:rtl w:val="0"/>
        </w:rPr>
        <w:t xml:space="preserve">en términos del Considerando Cuarto de la presente resolución.</w:t>
      </w:r>
    </w:p>
    <w:p w:rsidR="00000000" w:rsidDel="00000000" w:rsidP="00000000" w:rsidRDefault="00000000" w:rsidRPr="00000000" w14:paraId="00000080">
      <w:pPr>
        <w:spacing w:after="240" w:before="240" w:line="360"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Segundo. </w:t>
      </w:r>
      <w:r w:rsidDel="00000000" w:rsidR="00000000" w:rsidRPr="00000000">
        <w:rPr>
          <w:rFonts w:ascii="Palatino Linotype" w:cs="Palatino Linotype" w:eastAsia="Palatino Linotype" w:hAnsi="Palatino Linotype"/>
          <w:color w:val="000000"/>
          <w:rtl w:val="0"/>
        </w:rPr>
        <w:t xml:space="preserve">Se </w:t>
      </w:r>
      <w:r w:rsidDel="00000000" w:rsidR="00000000" w:rsidRPr="00000000">
        <w:rPr>
          <w:rFonts w:ascii="Palatino Linotype" w:cs="Palatino Linotype" w:eastAsia="Palatino Linotype" w:hAnsi="Palatino Linotype"/>
          <w:b w:val="1"/>
          <w:color w:val="000000"/>
          <w:rtl w:val="0"/>
        </w:rPr>
        <w:t xml:space="preserve">CONFIRMA</w:t>
      </w:r>
      <w:r w:rsidDel="00000000" w:rsidR="00000000" w:rsidRPr="00000000">
        <w:rPr>
          <w:rFonts w:ascii="Palatino Linotype" w:cs="Palatino Linotype" w:eastAsia="Palatino Linotype" w:hAnsi="Palatino Linotype"/>
          <w:color w:val="000000"/>
          <w:rtl w:val="0"/>
        </w:rPr>
        <w:t xml:space="preserve"> la respuesta del</w:t>
      </w:r>
      <w:r w:rsidDel="00000000" w:rsidR="00000000" w:rsidRPr="00000000">
        <w:rPr>
          <w:rFonts w:ascii="Palatino Linotype" w:cs="Palatino Linotype" w:eastAsia="Palatino Linotype" w:hAnsi="Palatino Linotype"/>
          <w:b w:val="1"/>
          <w:color w:val="000000"/>
          <w:rtl w:val="0"/>
        </w:rPr>
        <w:t xml:space="preserve"> Sujeto Obligado </w:t>
      </w:r>
      <w:r w:rsidDel="00000000" w:rsidR="00000000" w:rsidRPr="00000000">
        <w:rPr>
          <w:rFonts w:ascii="Palatino Linotype" w:cs="Palatino Linotype" w:eastAsia="Palatino Linotype" w:hAnsi="Palatino Linotype"/>
          <w:color w:val="000000"/>
          <w:rtl w:val="0"/>
        </w:rPr>
        <w:t xml:space="preserve">otorgada a la solicitud de información </w:t>
      </w:r>
      <w:r w:rsidDel="00000000" w:rsidR="00000000" w:rsidRPr="00000000">
        <w:rPr>
          <w:rFonts w:ascii="Palatino Linotype" w:cs="Palatino Linotype" w:eastAsia="Palatino Linotype" w:hAnsi="Palatino Linotype"/>
          <w:b w:val="1"/>
          <w:color w:val="000000"/>
          <w:rtl w:val="0"/>
        </w:rPr>
        <w:t xml:space="preserve">00623/INFOEM/IP/2021.</w:t>
      </w:r>
    </w:p>
    <w:p w:rsidR="00000000" w:rsidDel="00000000" w:rsidP="00000000" w:rsidRDefault="00000000" w:rsidRPr="00000000" w14:paraId="00000081">
      <w:pPr>
        <w:spacing w:after="240" w:before="240" w:line="360" w:lineRule="auto"/>
        <w:jc w:val="both"/>
        <w:rPr>
          <w:rFonts w:ascii="Palatino Linotype" w:cs="Palatino Linotype" w:eastAsia="Palatino Linotype" w:hAnsi="Palatino Linotype"/>
          <w:color w:val="000000"/>
        </w:rPr>
      </w:pPr>
      <w:bookmarkStart w:colFirst="0" w:colLast="0" w:name="_heading=h.1fob9te" w:id="2"/>
      <w:bookmarkEnd w:id="2"/>
      <w:r w:rsidDel="00000000" w:rsidR="00000000" w:rsidRPr="00000000">
        <w:rPr>
          <w:rFonts w:ascii="Palatino Linotype" w:cs="Palatino Linotype" w:eastAsia="Palatino Linotype" w:hAnsi="Palatino Linotype"/>
          <w:b w:val="1"/>
          <w:color w:val="000000"/>
          <w:highlight w:val="white"/>
          <w:rtl w:val="0"/>
        </w:rPr>
        <w:t xml:space="preserve">Tercero. Notifíquese</w:t>
      </w:r>
      <w:r w:rsidDel="00000000" w:rsidR="00000000" w:rsidRPr="00000000">
        <w:rPr>
          <w:rFonts w:ascii="Palatino Linotype" w:cs="Palatino Linotype" w:eastAsia="Palatino Linotype" w:hAnsi="Palatino Linotype"/>
          <w:i w:val="1"/>
          <w:color w:val="000000"/>
          <w:highlight w:val="white"/>
          <w:rtl w:val="0"/>
        </w:rPr>
        <w:t xml:space="preserve"> </w:t>
      </w:r>
      <w:r w:rsidDel="00000000" w:rsidR="00000000" w:rsidRPr="00000000">
        <w:rPr>
          <w:rFonts w:ascii="Palatino Linotype" w:cs="Palatino Linotype" w:eastAsia="Palatino Linotype" w:hAnsi="Palatino Linotype"/>
          <w:b w:val="1"/>
          <w:color w:val="000000"/>
          <w:rtl w:val="0"/>
        </w:rPr>
        <w:t xml:space="preserve">vía SAIMEX</w:t>
      </w:r>
      <w:r w:rsidDel="00000000" w:rsidR="00000000" w:rsidRPr="00000000">
        <w:rPr>
          <w:rFonts w:ascii="Palatino Linotype" w:cs="Palatino Linotype" w:eastAsia="Palatino Linotype" w:hAnsi="Palatino Linotype"/>
          <w:color w:val="000000"/>
          <w:highlight w:val="white"/>
          <w:rtl w:val="0"/>
        </w:rPr>
        <w:t xml:space="preserve"> al Titular de la Unidad de Transparencia del </w:t>
      </w:r>
      <w:r w:rsidDel="00000000" w:rsidR="00000000" w:rsidRPr="00000000">
        <w:rPr>
          <w:rFonts w:ascii="Palatino Linotype" w:cs="Palatino Linotype" w:eastAsia="Palatino Linotype" w:hAnsi="Palatino Linotype"/>
          <w:b w:val="1"/>
          <w:color w:val="000000"/>
          <w:highlight w:val="white"/>
          <w:rtl w:val="0"/>
        </w:rPr>
        <w:t xml:space="preserve">Sujeto Obligado</w:t>
      </w:r>
      <w:r w:rsidDel="00000000" w:rsidR="00000000" w:rsidRPr="00000000">
        <w:rPr>
          <w:rFonts w:ascii="Palatino Linotype" w:cs="Palatino Linotype" w:eastAsia="Palatino Linotype" w:hAnsi="Palatino Linotype"/>
          <w:color w:val="000000"/>
          <w:highlight w:val="white"/>
          <w:rtl w:val="0"/>
        </w:rPr>
        <w:t xml:space="preserve">, para su conocimiento. </w:t>
      </w:r>
      <w:r w:rsidDel="00000000" w:rsidR="00000000" w:rsidRPr="00000000">
        <w:rPr>
          <w:rtl w:val="0"/>
        </w:rPr>
      </w:r>
    </w:p>
    <w:p w:rsidR="00000000" w:rsidDel="00000000" w:rsidP="00000000" w:rsidRDefault="00000000" w:rsidRPr="00000000" w14:paraId="00000082">
      <w:pPr>
        <w:spacing w:after="280" w:before="28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Cuarto. </w:t>
      </w:r>
      <w:r w:rsidDel="00000000" w:rsidR="00000000" w:rsidRPr="00000000">
        <w:rPr>
          <w:rFonts w:ascii="Palatino Linotype" w:cs="Palatino Linotype" w:eastAsia="Palatino Linotype" w:hAnsi="Palatino Linotype"/>
          <w:b w:val="1"/>
          <w:color w:val="000000"/>
          <w:highlight w:val="white"/>
          <w:rtl w:val="0"/>
        </w:rPr>
        <w:t xml:space="preserve">Notifíquese</w:t>
      </w:r>
      <w:r w:rsidDel="00000000" w:rsidR="00000000" w:rsidRPr="00000000">
        <w:rPr>
          <w:rFonts w:ascii="Palatino Linotype" w:cs="Palatino Linotype" w:eastAsia="Palatino Linotype" w:hAnsi="Palatino Linotype"/>
          <w:b w:val="1"/>
          <w:color w:val="000000"/>
          <w:rtl w:val="0"/>
        </w:rPr>
        <w:t xml:space="preserve"> al recurrente vía SAIMEX y correo electrónico</w:t>
      </w:r>
      <w:r w:rsidDel="00000000" w:rsidR="00000000" w:rsidRPr="00000000">
        <w:rPr>
          <w:rFonts w:ascii="Palatino Linotype" w:cs="Palatino Linotype" w:eastAsia="Palatino Linotype" w:hAnsi="Palatino Linotype"/>
          <w:color w:val="000000"/>
          <w:rtl w:val="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00000" w:rsidDel="00000000" w:rsidP="00000000" w:rsidRDefault="00000000" w:rsidRPr="00000000" w14:paraId="0000008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Del="00000000" w:rsidR="00000000" w:rsidRPr="00000000">
        <w:rPr>
          <w:rFonts w:ascii="Palatino Linotype" w:cs="Palatino Linotype" w:eastAsia="Palatino Linotype" w:hAnsi="Palatino Linotype"/>
          <w:sz w:val="23"/>
          <w:szCs w:val="23"/>
          <w:rtl w:val="0"/>
        </w:rPr>
        <w:t xml:space="preserve">AUSENCIA JUSTIFICADA</w:t>
      </w:r>
      <w:r w:rsidDel="00000000" w:rsidR="00000000" w:rsidRPr="00000000">
        <w:rPr>
          <w:rFonts w:ascii="Palatino Linotype" w:cs="Palatino Linotype" w:eastAsia="Palatino Linotype" w:hAnsi="Palatino Linotype"/>
          <w:rtl w:val="0"/>
        </w:rPr>
        <w:t xml:space="preserve">), LUIS GUSTAVO PARRA NORIEGA Y GUADALUPE RAMÍREZ PEÑA; EN LA CUADRAGÉSIMA QUINTA SESIÓN ORDINARIA CELEBRADA EL QUINCE DE DICIEMBRE DE DOS MIL VEINTIUNO, ANTE EL SECRETARIO TÉCNICO DEL PLENO ALEXIS TAPIA RAMÍREZ. </w:t>
      </w:r>
    </w:p>
    <w:p w:rsidR="00000000" w:rsidDel="00000000" w:rsidP="00000000" w:rsidRDefault="00000000" w:rsidRPr="00000000" w14:paraId="00000084">
      <w:pPr>
        <w:spacing w:after="280" w:before="28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5">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6">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-438784</wp:posOffset>
          </wp:positionV>
          <wp:extent cx="7635875" cy="994346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tbl>
    <w:tblPr>
      <w:tblStyle w:val="Table1"/>
      <w:tblW w:w="6238.0" w:type="dxa"/>
      <w:jc w:val="left"/>
      <w:tblInd w:w="3119.0" w:type="dxa"/>
      <w:tblLayout w:type="fixed"/>
      <w:tblLook w:val="0400"/>
    </w:tblPr>
    <w:tblGrid>
      <w:gridCol w:w="2551"/>
      <w:gridCol w:w="3687"/>
      <w:tblGridChange w:id="0">
        <w:tblGrid>
          <w:gridCol w:w="2551"/>
          <w:gridCol w:w="3687"/>
        </w:tblGrid>
      </w:tblGridChange>
    </w:tblGrid>
    <w:tr>
      <w:trPr>
        <w:cantSplit w:val="0"/>
        <w:tblHeader w:val="0"/>
      </w:trPr>
      <w:tc>
        <w:tcPr>
          <w:vAlign w:val="center"/>
        </w:tcPr>
        <w:p w:rsidR="00000000" w:rsidDel="00000000" w:rsidP="00000000" w:rsidRDefault="00000000" w:rsidRPr="00000000" w14:paraId="000000A8">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A9">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04009/INFOEM/IP/RR/2021.</w:t>
          </w:r>
        </w:p>
      </w:tc>
    </w:tr>
    <w:tr>
      <w:trPr>
        <w:cantSplit w:val="0"/>
        <w:tblHeader w:val="0"/>
      </w:trPr>
      <w:tc>
        <w:tcPr>
          <w:vAlign w:val="center"/>
        </w:tcPr>
        <w:p w:rsidR="00000000" w:rsidDel="00000000" w:rsidP="00000000" w:rsidRDefault="00000000" w:rsidRPr="00000000" w14:paraId="000000AA">
          <w:pPr>
            <w:ind w:left="35" w:hanging="35"/>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Recurrente:</w:t>
          </w:r>
        </w:p>
      </w:tc>
      <w:tc>
        <w:tcPr>
          <w:vAlign w:val="center"/>
        </w:tcPr>
        <w:p w:rsidR="00000000" w:rsidDel="00000000" w:rsidP="00000000" w:rsidRDefault="00000000" w:rsidRPr="00000000" w14:paraId="000000AB">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Xxxx Xxxx Xxxx Xxxxxxx</w:t>
          </w:r>
        </w:p>
      </w:tc>
    </w:tr>
    <w:tr>
      <w:trPr>
        <w:cantSplit w:val="0"/>
        <w:trHeight w:val="228" w:hRule="atLeast"/>
        <w:tblHeader w:val="0"/>
      </w:trPr>
      <w:tc>
        <w:tcPr>
          <w:vAlign w:val="center"/>
        </w:tcPr>
        <w:p w:rsidR="00000000" w:rsidDel="00000000" w:rsidP="00000000" w:rsidRDefault="00000000" w:rsidRPr="00000000" w14:paraId="000000AC">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AD">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Instituto de Transparencia, Acceso a la Información Pública y Protección de Datos Personales del Estado de México y Municipios.</w:t>
          </w:r>
        </w:p>
      </w:tc>
    </w:tr>
    <w:tr>
      <w:trPr>
        <w:cantSplit w:val="0"/>
        <w:tblHeader w:val="0"/>
      </w:trPr>
      <w:tc>
        <w:tcPr>
          <w:vAlign w:val="center"/>
        </w:tcPr>
        <w:p w:rsidR="00000000" w:rsidDel="00000000" w:rsidP="00000000" w:rsidRDefault="00000000" w:rsidRPr="00000000" w14:paraId="000000AE">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AF">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5528.0" w:type="dxa"/>
      <w:jc w:val="left"/>
      <w:tblInd w:w="3261.0" w:type="dxa"/>
      <w:tblLayout w:type="fixed"/>
      <w:tblLook w:val="0400"/>
    </w:tblPr>
    <w:tblGrid>
      <w:gridCol w:w="2552"/>
      <w:gridCol w:w="2976"/>
      <w:tblGridChange w:id="0">
        <w:tblGrid>
          <w:gridCol w:w="2552"/>
          <w:gridCol w:w="2976"/>
        </w:tblGrid>
      </w:tblGridChange>
    </w:tblGrid>
    <w:tr>
      <w:trPr>
        <w:cantSplit w:val="0"/>
        <w:tblHeader w:val="0"/>
      </w:trPr>
      <w:tc>
        <w:tcPr>
          <w:vAlign w:val="center"/>
        </w:tcPr>
        <w:p w:rsidR="00000000" w:rsidDel="00000000" w:rsidP="00000000" w:rsidRDefault="00000000" w:rsidRPr="00000000" w14:paraId="000000B2">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0B3">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04009/INFOEM/IP/RR/2021</w:t>
          </w:r>
        </w:p>
      </w:tc>
    </w:tr>
    <w:tr>
      <w:trPr>
        <w:cantSplit w:val="0"/>
        <w:trHeight w:val="228" w:hRule="atLeast"/>
        <w:tblHeader w:val="0"/>
      </w:trPr>
      <w:tc>
        <w:tcPr>
          <w:vAlign w:val="center"/>
        </w:tcPr>
        <w:p w:rsidR="00000000" w:rsidDel="00000000" w:rsidP="00000000" w:rsidRDefault="00000000" w:rsidRPr="00000000" w14:paraId="000000B4">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tc>
      <w:tc>
        <w:tcPr>
          <w:vAlign w:val="center"/>
        </w:tcPr>
        <w:p w:rsidR="00000000" w:rsidDel="00000000" w:rsidP="00000000" w:rsidRDefault="00000000" w:rsidRPr="00000000" w14:paraId="000000B5">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Instituto de Transparencia, Acceso a la Información Pública y Protección de Datos Personales del Estado de México y Municipios.</w:t>
          </w:r>
        </w:p>
      </w:tc>
    </w:tr>
    <w:tr>
      <w:trPr>
        <w:cantSplit w:val="0"/>
        <w:tblHeader w:val="0"/>
      </w:trPr>
      <w:tc>
        <w:tcPr>
          <w:vAlign w:val="center"/>
        </w:tcPr>
        <w:p w:rsidR="00000000" w:rsidDel="00000000" w:rsidP="00000000" w:rsidRDefault="00000000" w:rsidRPr="00000000" w14:paraId="000000B6">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Comisionado ponente:</w:t>
          </w:r>
        </w:p>
      </w:tc>
      <w:tc>
        <w:tcPr>
          <w:vAlign w:val="center"/>
        </w:tcPr>
        <w:p w:rsidR="00000000" w:rsidDel="00000000" w:rsidP="00000000" w:rsidRDefault="00000000" w:rsidRPr="00000000" w14:paraId="000000B7">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-1156334</wp:posOffset>
          </wp:positionH>
          <wp:positionV relativeFrom="paragraph">
            <wp:posOffset>-1173479</wp:posOffset>
          </wp:positionV>
          <wp:extent cx="7635240" cy="9944100"/>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240" cy="9944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8"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0EEB"/>
    <w:pPr>
      <w:spacing w:after="0" w:line="240" w:lineRule="auto"/>
    </w:pPr>
    <w:rPr>
      <w:rFonts w:ascii="Times New Roman" w:cs="Times New Roman" w:eastAsia="Times New Roman" w:hAnsi="Times New Roman"/>
      <w:sz w:val="24"/>
      <w:szCs w:val="24"/>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D4E80"/>
    <w:pPr>
      <w:ind w:left="720"/>
      <w:contextualSpacing w:val="1"/>
    </w:pPr>
  </w:style>
  <w:style w:type="paragraph" w:styleId="Encabezado">
    <w:name w:val="header"/>
    <w:basedOn w:val="Normal"/>
    <w:link w:val="EncabezadoCar"/>
    <w:uiPriority w:val="99"/>
    <w:unhideWhenUsed w:val="1"/>
    <w:rsid w:val="007D4E80"/>
    <w:pPr>
      <w:tabs>
        <w:tab w:val="center" w:pos="4252"/>
        <w:tab w:val="right" w:pos="8504"/>
      </w:tabs>
    </w:pPr>
    <w:rPr>
      <w:rFonts w:ascii="Calibri" w:hAnsi="Calibri"/>
      <w:lang w:val="es-ES_tradnl"/>
    </w:rPr>
  </w:style>
  <w:style w:type="character" w:styleId="EncabezadoCar" w:customStyle="1">
    <w:name w:val="Encabezado Car"/>
    <w:basedOn w:val="Fuentedeprrafopredeter"/>
    <w:link w:val="Encabezado"/>
    <w:uiPriority w:val="99"/>
    <w:rsid w:val="007D4E80"/>
    <w:rPr>
      <w:rFonts w:ascii="Calibri" w:cs="Times New Roman" w:eastAsia="Times New Roman" w:hAnsi="Calibri"/>
      <w:sz w:val="24"/>
      <w:szCs w:val="24"/>
      <w:lang w:eastAsia="es-ES" w:val="es-ES_tradnl"/>
    </w:rPr>
  </w:style>
  <w:style w:type="paragraph" w:styleId="Piedepgina">
    <w:name w:val="footer"/>
    <w:basedOn w:val="Normal"/>
    <w:link w:val="PiedepginaCar"/>
    <w:uiPriority w:val="99"/>
    <w:unhideWhenUsed w:val="1"/>
    <w:rsid w:val="007D4E80"/>
    <w:pPr>
      <w:tabs>
        <w:tab w:val="center" w:pos="4252"/>
        <w:tab w:val="right" w:pos="8504"/>
      </w:tabs>
    </w:pPr>
    <w:rPr>
      <w:rFonts w:ascii="Calibri" w:hAnsi="Calibri"/>
      <w:lang w:val="es-ES_tradnl"/>
    </w:rPr>
  </w:style>
  <w:style w:type="character" w:styleId="PiedepginaCar" w:customStyle="1">
    <w:name w:val="Pie de página Car"/>
    <w:basedOn w:val="Fuentedeprrafopredeter"/>
    <w:link w:val="Piedepgina"/>
    <w:uiPriority w:val="99"/>
    <w:rsid w:val="007D4E80"/>
    <w:rPr>
      <w:rFonts w:ascii="Calibri" w:cs="Times New Roman" w:eastAsia="Times New Roman" w:hAnsi="Calibri"/>
      <w:sz w:val="24"/>
      <w:szCs w:val="24"/>
      <w:lang w:eastAsia="es-ES"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D4E80"/>
    <w:rPr>
      <w:rFonts w:ascii="Times New Roman" w:cs="Times New Roman" w:eastAsia="Times New Roman" w:hAnsi="Times New Roman"/>
      <w:sz w:val="24"/>
      <w:szCs w:val="24"/>
      <w:lang w:eastAsia="es-ES"/>
    </w:rPr>
  </w:style>
  <w:style w:type="character" w:styleId="normaltextrun" w:customStyle="1">
    <w:name w:val="normaltextrun"/>
    <w:basedOn w:val="Fuentedeprrafopredeter"/>
    <w:rsid w:val="007D4E80"/>
  </w:style>
  <w:style w:type="character" w:styleId="apple-converted-space" w:customStyle="1">
    <w:name w:val="apple-converted-space"/>
    <w:basedOn w:val="Fuentedeprrafopredeter"/>
    <w:rsid w:val="007D4E80"/>
  </w:style>
  <w:style w:type="paragraph" w:styleId="paragraph" w:customStyle="1">
    <w:name w:val="paragraph"/>
    <w:basedOn w:val="Normal"/>
    <w:rsid w:val="007D4E80"/>
    <w:pPr>
      <w:spacing w:after="100" w:afterAutospacing="1" w:before="100" w:before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7D4E80"/>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4E8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7D4E80"/>
    <w:rPr>
      <w:vertAlign w:val="superscript"/>
    </w:rPr>
  </w:style>
  <w:style w:type="character" w:styleId="Hipervnculo">
    <w:name w:val="Hyperlink"/>
    <w:basedOn w:val="Fuentedeprrafopredeter"/>
    <w:uiPriority w:val="99"/>
    <w:unhideWhenUsed w:val="1"/>
    <w:rsid w:val="00136268"/>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imex.org.mx/saimex/solicitud/downloadAttach/1191551.page" TargetMode="External"/><Relationship Id="rId8" Type="http://schemas.openxmlformats.org/officeDocument/2006/relationships/hyperlink" Target="https://www.saimex.org.mx/saimex/solicitud/downloadAttach/1200242.p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Smnk5uz1FbMo1sxQioZRJBnzJQ==">AMUW2mULp1gnjIklPqfoj4myPw93N2Jz2VSBLYZVbxkjat1VJF/b4HE68u7Vtpo90lcry5x2q1+JkMeQEKmVqxEOL5aKHQ3XHpiibJWqtR/JngZ8a65IhUv0Q/lU6mnm0vFhSEZBUNWbUwbOgzSnqlych/+t72InYA==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2021-12-05T23:16:00Z</dcterms:created>
  <dc:creator>Usuario de Windows</dc:creator>
</cp:coreProperties>
</file>