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8D98" w14:textId="77777777" w:rsidR="001F4AD8" w:rsidRPr="004B5D57" w:rsidRDefault="001F4AD8" w:rsidP="001F4AD8">
      <w:pPr>
        <w:tabs>
          <w:tab w:val="left" w:pos="0"/>
          <w:tab w:val="center" w:pos="4419"/>
          <w:tab w:val="right" w:pos="8838"/>
        </w:tabs>
        <w:spacing w:after="0" w:line="360" w:lineRule="auto"/>
        <w:jc w:val="center"/>
        <w:rPr>
          <w:rFonts w:ascii="Palatino Linotype" w:hAnsi="Palatino Linotype"/>
          <w:b/>
        </w:rPr>
      </w:pPr>
      <w:bookmarkStart w:id="0" w:name="_Toc512340965"/>
      <w:bookmarkStart w:id="1" w:name="_Toc527041797"/>
      <w:r w:rsidRPr="004B5D57">
        <w:rPr>
          <w:rFonts w:ascii="Palatino Linotype" w:hAnsi="Palatino Linotype"/>
          <w:b/>
        </w:rPr>
        <w:t>RESUMEN</w:t>
      </w:r>
    </w:p>
    <w:p w14:paraId="4E3CDF9A" w14:textId="77777777" w:rsidR="001F4AD8" w:rsidRPr="004B5D57" w:rsidRDefault="001F4AD8" w:rsidP="001F4AD8">
      <w:pPr>
        <w:tabs>
          <w:tab w:val="left" w:pos="0"/>
          <w:tab w:val="center" w:pos="4419"/>
          <w:tab w:val="right" w:pos="8838"/>
        </w:tabs>
        <w:spacing w:after="0" w:line="360" w:lineRule="auto"/>
        <w:jc w:val="both"/>
        <w:rPr>
          <w:rFonts w:ascii="Palatino Linotype" w:hAnsi="Palatino Linotype"/>
          <w:b/>
        </w:rPr>
      </w:pPr>
    </w:p>
    <w:p w14:paraId="105AF98E" w14:textId="77777777" w:rsidR="001F4AD8" w:rsidRPr="004B5D57" w:rsidRDefault="001F4AD8" w:rsidP="001F4AD8">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4B5D57">
        <w:rPr>
          <w:rFonts w:ascii="Palatino Linotype" w:eastAsia="MS Mincho" w:hAnsi="Palatino Linotype" w:cs="Times New Roman"/>
          <w:b/>
          <w:sz w:val="24"/>
          <w:szCs w:val="24"/>
          <w:lang w:val="es-ES_tradnl" w:eastAsia="es-ES"/>
        </w:rPr>
        <w:t xml:space="preserve">Tema: </w:t>
      </w:r>
      <w:r w:rsidR="00321347">
        <w:rPr>
          <w:rFonts w:ascii="Palatino Linotype" w:eastAsia="MS Mincho" w:hAnsi="Palatino Linotype" w:cs="Times New Roman"/>
          <w:sz w:val="24"/>
          <w:szCs w:val="24"/>
          <w:lang w:val="es-ES_tradnl" w:eastAsia="es-ES"/>
        </w:rPr>
        <w:t>Entrega de información completa y clasificación de datos contenidos en las autorizaciones de prórroga de cambio de uso de suelo</w:t>
      </w:r>
      <w:r w:rsidR="00DE6EBD" w:rsidRPr="004B5D57">
        <w:rPr>
          <w:rFonts w:ascii="Palatino Linotype" w:eastAsia="MS Mincho" w:hAnsi="Palatino Linotype" w:cs="Times New Roman"/>
          <w:sz w:val="24"/>
          <w:szCs w:val="24"/>
          <w:lang w:val="es-ES_tradnl" w:eastAsia="es-ES"/>
        </w:rPr>
        <w:t>.</w:t>
      </w:r>
      <w:r w:rsidRPr="004B5D57">
        <w:rPr>
          <w:rFonts w:ascii="Palatino Linotype" w:eastAsia="MS Mincho" w:hAnsi="Palatino Linotype" w:cs="Times New Roman"/>
          <w:sz w:val="24"/>
          <w:szCs w:val="24"/>
          <w:lang w:val="es-ES_tradnl" w:eastAsia="es-ES"/>
        </w:rPr>
        <w:t xml:space="preserve"> </w:t>
      </w:r>
    </w:p>
    <w:p w14:paraId="0D247190" w14:textId="77777777" w:rsidR="001F4AD8" w:rsidRPr="004B5D57" w:rsidRDefault="001F4AD8" w:rsidP="001F4AD8">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14:paraId="4A2564E6" w14:textId="77777777" w:rsidR="008C6BC2" w:rsidRDefault="001F4AD8" w:rsidP="001F4AD8">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4B5D57">
        <w:rPr>
          <w:rFonts w:ascii="Palatino Linotype" w:eastAsia="MS Mincho" w:hAnsi="Palatino Linotype" w:cs="Times New Roman"/>
          <w:b/>
          <w:sz w:val="24"/>
          <w:szCs w:val="24"/>
          <w:lang w:val="es-ES_tradnl" w:eastAsia="es-ES"/>
        </w:rPr>
        <w:t xml:space="preserve">El caso: </w:t>
      </w:r>
      <w:r w:rsidR="00321347">
        <w:rPr>
          <w:rFonts w:ascii="Palatino Linotype" w:eastAsia="MS Mincho" w:hAnsi="Palatino Linotype" w:cs="Times New Roman"/>
          <w:sz w:val="24"/>
          <w:szCs w:val="24"/>
          <w:lang w:val="es-ES_tradnl" w:eastAsia="es-ES"/>
        </w:rPr>
        <w:t>Solicitud al Ayuntamiento de Atizapán de Zaragoza de las autorizaciones pró</w:t>
      </w:r>
      <w:r w:rsidR="008C6BC2">
        <w:rPr>
          <w:rFonts w:ascii="Palatino Linotype" w:eastAsia="MS Mincho" w:hAnsi="Palatino Linotype" w:cs="Times New Roman"/>
          <w:sz w:val="24"/>
          <w:szCs w:val="24"/>
          <w:lang w:val="es-ES_tradnl" w:eastAsia="es-ES"/>
        </w:rPr>
        <w:t xml:space="preserve">rroga de cambio de uso de suelo emitidas por la Dirección General de Desarrollo Territorial del año dos mil diecinueve a la fecha en que presentó el requerimiento; información que pidió se le entregara en CD-ROM (con costo) </w:t>
      </w:r>
    </w:p>
    <w:p w14:paraId="179C9F41" w14:textId="77777777" w:rsidR="008C6BC2" w:rsidRPr="004B5D57" w:rsidRDefault="008C6BC2" w:rsidP="001F4AD8">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6E962FF7" w14:textId="77777777" w:rsidR="00F71D42" w:rsidRDefault="008C6BC2" w:rsidP="001F4AD8">
      <w:pPr>
        <w:spacing w:after="0" w:line="360" w:lineRule="auto"/>
        <w:jc w:val="both"/>
        <w:rPr>
          <w:rFonts w:ascii="Palatino Linotype" w:eastAsiaTheme="minorEastAsia" w:hAnsi="Palatino Linotype"/>
          <w:sz w:val="24"/>
          <w:szCs w:val="24"/>
          <w:lang w:eastAsia="es-ES"/>
        </w:rPr>
      </w:pPr>
      <w:r>
        <w:rPr>
          <w:rFonts w:ascii="Palatino Linotype" w:eastAsiaTheme="minorEastAsia" w:hAnsi="Palatino Linotype"/>
          <w:sz w:val="24"/>
          <w:szCs w:val="24"/>
          <w:lang w:eastAsia="es-ES"/>
        </w:rPr>
        <w:t xml:space="preserve">En su respuesta, el Sujeto Obligado entregó, vía Sistema de Acceso a la Información Mexiquense (SAIMEX), versión pública de tres autorizaciones de prórroga de cambio de uso de suelo, en las que se testaron tanto datos del titular, como datos de identificación </w:t>
      </w:r>
      <w:r w:rsidR="00AD6455">
        <w:rPr>
          <w:rFonts w:ascii="Palatino Linotype" w:eastAsiaTheme="minorEastAsia" w:hAnsi="Palatino Linotype"/>
          <w:sz w:val="24"/>
          <w:szCs w:val="24"/>
          <w:lang w:eastAsia="es-ES"/>
        </w:rPr>
        <w:t>de los predios o inmuebles.</w:t>
      </w:r>
    </w:p>
    <w:p w14:paraId="12BB0F25" w14:textId="77777777" w:rsidR="00AD6455" w:rsidRDefault="00AD6455" w:rsidP="001F4AD8">
      <w:pPr>
        <w:spacing w:after="0" w:line="360" w:lineRule="auto"/>
        <w:jc w:val="both"/>
        <w:rPr>
          <w:rFonts w:ascii="Palatino Linotype" w:eastAsiaTheme="minorEastAsia" w:hAnsi="Palatino Linotype"/>
          <w:sz w:val="24"/>
          <w:szCs w:val="24"/>
          <w:lang w:eastAsia="es-ES"/>
        </w:rPr>
      </w:pPr>
    </w:p>
    <w:p w14:paraId="2D40AE06" w14:textId="77777777" w:rsidR="008C6BC2" w:rsidRDefault="00AD6455" w:rsidP="001F4AD8">
      <w:pPr>
        <w:spacing w:after="0" w:line="360" w:lineRule="auto"/>
        <w:jc w:val="both"/>
        <w:rPr>
          <w:rFonts w:ascii="Palatino Linotype" w:eastAsiaTheme="minorEastAsia" w:hAnsi="Palatino Linotype"/>
          <w:sz w:val="24"/>
          <w:szCs w:val="24"/>
          <w:lang w:eastAsia="es-ES"/>
        </w:rPr>
      </w:pPr>
      <w:r>
        <w:rPr>
          <w:rFonts w:ascii="Palatino Linotype" w:eastAsiaTheme="minorEastAsia" w:hAnsi="Palatino Linotype"/>
          <w:sz w:val="24"/>
          <w:szCs w:val="24"/>
          <w:lang w:eastAsia="es-ES"/>
        </w:rPr>
        <w:t>E</w:t>
      </w:r>
      <w:r w:rsidR="008C6BC2">
        <w:rPr>
          <w:rFonts w:ascii="Palatino Linotype" w:eastAsiaTheme="minorEastAsia" w:hAnsi="Palatino Linotype"/>
          <w:sz w:val="24"/>
          <w:szCs w:val="24"/>
          <w:lang w:eastAsia="es-ES"/>
        </w:rPr>
        <w:t>l Recurrente interpuso el recurso de revisi</w:t>
      </w:r>
      <w:r>
        <w:rPr>
          <w:rFonts w:ascii="Palatino Linotype" w:eastAsiaTheme="minorEastAsia" w:hAnsi="Palatino Linotype"/>
          <w:sz w:val="24"/>
          <w:szCs w:val="24"/>
          <w:lang w:eastAsia="es-ES"/>
        </w:rPr>
        <w:t>ón, en el que manifestó como inconformidad la entrega de información incompleta, la clasificación de informaci</w:t>
      </w:r>
      <w:r w:rsidR="00992504">
        <w:rPr>
          <w:rFonts w:ascii="Palatino Linotype" w:eastAsiaTheme="minorEastAsia" w:hAnsi="Palatino Linotype"/>
          <w:sz w:val="24"/>
          <w:szCs w:val="24"/>
          <w:lang w:eastAsia="es-ES"/>
        </w:rPr>
        <w:t xml:space="preserve">ón de información; así como que la modalidad en que se le entregó la información no fue la solicitada. </w:t>
      </w:r>
    </w:p>
    <w:p w14:paraId="2560DCC5" w14:textId="77777777" w:rsidR="00992504" w:rsidRDefault="00992504" w:rsidP="001F4AD8">
      <w:pPr>
        <w:spacing w:after="0" w:line="360" w:lineRule="auto"/>
        <w:jc w:val="both"/>
        <w:rPr>
          <w:rFonts w:ascii="Palatino Linotype" w:eastAsia="MS Mincho" w:hAnsi="Palatino Linotype"/>
          <w:sz w:val="24"/>
          <w:szCs w:val="24"/>
          <w:lang w:val="es-ES" w:eastAsia="es-ES"/>
        </w:rPr>
      </w:pPr>
    </w:p>
    <w:p w14:paraId="10023B13" w14:textId="77777777" w:rsidR="008217C7" w:rsidRPr="00370121" w:rsidRDefault="001F4AD8" w:rsidP="008217C7">
      <w:pPr>
        <w:spacing w:line="360" w:lineRule="auto"/>
        <w:jc w:val="both"/>
        <w:rPr>
          <w:rFonts w:ascii="Palatino Linotype" w:hAnsi="Palatino Linotype"/>
          <w:sz w:val="24"/>
          <w:szCs w:val="24"/>
        </w:rPr>
      </w:pPr>
      <w:r w:rsidRPr="004B5D57">
        <w:rPr>
          <w:rFonts w:ascii="Palatino Linotype" w:eastAsiaTheme="minorEastAsia" w:hAnsi="Palatino Linotype"/>
          <w:b/>
          <w:sz w:val="23"/>
          <w:szCs w:val="23"/>
          <w:lang w:eastAsia="es-ES"/>
        </w:rPr>
        <w:t>Propuesta:</w:t>
      </w:r>
      <w:r w:rsidRPr="004B5D57">
        <w:rPr>
          <w:rFonts w:ascii="Palatino Linotype" w:eastAsiaTheme="minorEastAsia" w:hAnsi="Palatino Linotype"/>
          <w:sz w:val="23"/>
          <w:szCs w:val="23"/>
          <w:lang w:eastAsia="es-ES"/>
        </w:rPr>
        <w:t xml:space="preserve"> </w:t>
      </w:r>
      <w:r w:rsidR="008217C7">
        <w:rPr>
          <w:rFonts w:ascii="Palatino Linotype" w:hAnsi="Palatino Linotype"/>
          <w:sz w:val="24"/>
          <w:szCs w:val="24"/>
        </w:rPr>
        <w:t>E</w:t>
      </w:r>
      <w:r w:rsidR="008217C7" w:rsidRPr="00370121">
        <w:rPr>
          <w:rFonts w:ascii="Palatino Linotype" w:hAnsi="Palatino Linotype"/>
          <w:sz w:val="24"/>
          <w:szCs w:val="24"/>
        </w:rPr>
        <w:t xml:space="preserve">l artículo 11 de la Ley de la materia establece que en la entrega de información se deberá garantizar, entre otras condiciones, </w:t>
      </w:r>
      <w:r w:rsidR="008217C7">
        <w:rPr>
          <w:rFonts w:ascii="Palatino Linotype" w:hAnsi="Palatino Linotype"/>
          <w:sz w:val="24"/>
          <w:szCs w:val="24"/>
        </w:rPr>
        <w:t xml:space="preserve">que sea completa y sujeta a un claro régimen de excepciones. </w:t>
      </w:r>
    </w:p>
    <w:p w14:paraId="40A102A5" w14:textId="77777777" w:rsidR="008217C7" w:rsidRDefault="008217C7" w:rsidP="008217C7">
      <w:pPr>
        <w:spacing w:line="360" w:lineRule="auto"/>
        <w:jc w:val="both"/>
        <w:rPr>
          <w:rFonts w:ascii="Palatino Linotype" w:eastAsiaTheme="minorEastAsia" w:hAnsi="Palatino Linotype"/>
          <w:sz w:val="23"/>
          <w:szCs w:val="23"/>
          <w:lang w:eastAsia="es-ES"/>
        </w:rPr>
      </w:pPr>
    </w:p>
    <w:p w14:paraId="7BEF5D5D" w14:textId="77777777" w:rsidR="00992504" w:rsidRDefault="008217C7" w:rsidP="008217C7">
      <w:pPr>
        <w:spacing w:line="360" w:lineRule="auto"/>
        <w:jc w:val="both"/>
        <w:rPr>
          <w:rFonts w:ascii="Palatino Linotype" w:eastAsiaTheme="minorEastAsia" w:hAnsi="Palatino Linotype"/>
          <w:sz w:val="24"/>
          <w:szCs w:val="23"/>
          <w:lang w:eastAsia="es-ES"/>
        </w:rPr>
      </w:pPr>
      <w:r>
        <w:rPr>
          <w:rFonts w:ascii="Palatino Linotype" w:eastAsiaTheme="minorEastAsia" w:hAnsi="Palatino Linotype"/>
          <w:sz w:val="23"/>
          <w:szCs w:val="23"/>
          <w:lang w:eastAsia="es-ES"/>
        </w:rPr>
        <w:lastRenderedPageBreak/>
        <w:t xml:space="preserve">Las </w:t>
      </w:r>
      <w:r>
        <w:rPr>
          <w:rFonts w:ascii="Palatino Linotype" w:hAnsi="Palatino Linotype"/>
          <w:sz w:val="24"/>
          <w:szCs w:val="24"/>
        </w:rPr>
        <w:t xml:space="preserve">autorizaciones por las que se cambia el uso de suelo, la densidad los coeficientes de ocupación del suelo o la altura de las edificaciones de un inmueble se emiten siempre que se encuentre dentro del área urbana y/o urbanizable, mediante opinión favorable de la Comisión de Planeación para el Desarrollo Municipal (COPLADEMUN), siempre que el uso pretendido sea compatible con los usos o aprovechamientos previstos en la zona y no altere las características de la estructura urbano y de su imagen, por tanto, la mayor parte de su contenido se trata de información de carácter pública ya que la misma da certeza de que se cumplió con los requisitos establecidos por los ordenamientos para su emisión. </w:t>
      </w:r>
    </w:p>
    <w:p w14:paraId="28DDA86E" w14:textId="77777777" w:rsidR="006B24D8" w:rsidRDefault="006B24D8" w:rsidP="001F4AD8">
      <w:pPr>
        <w:tabs>
          <w:tab w:val="left" w:pos="0"/>
          <w:tab w:val="center" w:pos="4419"/>
          <w:tab w:val="right" w:pos="8838"/>
        </w:tabs>
        <w:spacing w:after="0" w:line="360" w:lineRule="auto"/>
        <w:jc w:val="both"/>
        <w:rPr>
          <w:rFonts w:ascii="Palatino Linotype" w:eastAsiaTheme="minorEastAsia" w:hAnsi="Palatino Linotype"/>
          <w:sz w:val="24"/>
          <w:szCs w:val="23"/>
          <w:lang w:eastAsia="es-ES"/>
        </w:rPr>
      </w:pPr>
    </w:p>
    <w:p w14:paraId="5A935050" w14:textId="77777777" w:rsidR="008217C7" w:rsidRPr="00732F23" w:rsidRDefault="008217C7" w:rsidP="008217C7">
      <w:pPr>
        <w:pStyle w:val="Prrafodelista"/>
        <w:spacing w:after="0" w:line="360" w:lineRule="auto"/>
        <w:ind w:left="0"/>
        <w:jc w:val="both"/>
        <w:rPr>
          <w:rFonts w:ascii="Palatino Linotype" w:eastAsia="Calibri" w:hAnsi="Palatino Linotype" w:cs="Arial"/>
          <w:sz w:val="24"/>
          <w:szCs w:val="24"/>
          <w:lang w:val="es-ES"/>
        </w:rPr>
      </w:pPr>
      <w:r>
        <w:rPr>
          <w:rFonts w:ascii="Palatino Linotype" w:eastAsiaTheme="minorEastAsia" w:hAnsi="Palatino Linotype"/>
          <w:b/>
          <w:sz w:val="24"/>
          <w:szCs w:val="23"/>
          <w:lang w:eastAsia="es-ES"/>
        </w:rPr>
        <w:t>D</w:t>
      </w:r>
      <w:r w:rsidR="006B24D8">
        <w:rPr>
          <w:rFonts w:ascii="Palatino Linotype" w:eastAsiaTheme="minorEastAsia" w:hAnsi="Palatino Linotype"/>
          <w:b/>
          <w:sz w:val="24"/>
          <w:szCs w:val="23"/>
          <w:lang w:eastAsia="es-ES"/>
        </w:rPr>
        <w:t xml:space="preserve">eterminación: </w:t>
      </w:r>
      <w:r>
        <w:rPr>
          <w:rFonts w:ascii="Palatino Linotype" w:eastAsiaTheme="minorEastAsia" w:hAnsi="Palatino Linotype"/>
          <w:sz w:val="24"/>
          <w:szCs w:val="23"/>
          <w:lang w:eastAsia="es-ES"/>
        </w:rPr>
        <w:t xml:space="preserve">Se resuelve </w:t>
      </w:r>
      <w:r>
        <w:rPr>
          <w:rFonts w:ascii="Palatino Linotype" w:hAnsi="Palatino Linotype"/>
          <w:sz w:val="24"/>
          <w:szCs w:val="24"/>
        </w:rPr>
        <w:t>revocar</w:t>
      </w:r>
      <w:r w:rsidRPr="00030C01">
        <w:rPr>
          <w:rFonts w:ascii="Palatino Linotype" w:hAnsi="Palatino Linotype"/>
          <w:b/>
          <w:sz w:val="24"/>
          <w:szCs w:val="24"/>
        </w:rPr>
        <w:t xml:space="preserve"> </w:t>
      </w:r>
      <w:r>
        <w:rPr>
          <w:rFonts w:ascii="Palatino Linotype" w:hAnsi="Palatino Linotype"/>
          <w:sz w:val="24"/>
          <w:szCs w:val="24"/>
        </w:rPr>
        <w:t>la respuesta del Sujeto Obligado</w:t>
      </w:r>
      <w:r>
        <w:rPr>
          <w:rFonts w:ascii="Palatino Linotype" w:eastAsia="MS Mincho" w:hAnsi="Palatino Linotype" w:cs="Arial"/>
          <w:color w:val="000000" w:themeColor="text1"/>
          <w:sz w:val="24"/>
          <w:szCs w:val="24"/>
        </w:rPr>
        <w:t xml:space="preserve"> y ordena entregar en versión pública las autorizaciones de prórroga de cambio de uso de suelo emitidas por la Dirección General de Desarrollo Territorial del Municipio de Atizapán de Zaragoza del uno (01) de enero de dos mil diecinueve al veintiocho (28) de enero de dos mil veintiuno. </w:t>
      </w:r>
    </w:p>
    <w:p w14:paraId="607CEA6C" w14:textId="77777777" w:rsidR="00025113" w:rsidRDefault="00025113" w:rsidP="001F4AD8">
      <w:pPr>
        <w:tabs>
          <w:tab w:val="left" w:pos="0"/>
          <w:tab w:val="center" w:pos="4419"/>
          <w:tab w:val="right" w:pos="8838"/>
        </w:tabs>
        <w:spacing w:after="0" w:line="360" w:lineRule="auto"/>
        <w:jc w:val="both"/>
        <w:rPr>
          <w:rFonts w:ascii="Palatino Linotype" w:hAnsi="Palatino Linotype"/>
          <w:sz w:val="24"/>
          <w:szCs w:val="24"/>
        </w:rPr>
      </w:pPr>
    </w:p>
    <w:p w14:paraId="333A1783" w14:textId="77777777" w:rsidR="00CE7AB0" w:rsidRDefault="00CE7AB0" w:rsidP="001F4AD8">
      <w:pPr>
        <w:tabs>
          <w:tab w:val="left" w:pos="0"/>
          <w:tab w:val="center" w:pos="4419"/>
          <w:tab w:val="right" w:pos="8838"/>
        </w:tabs>
        <w:spacing w:after="0" w:line="360" w:lineRule="auto"/>
        <w:jc w:val="both"/>
        <w:rPr>
          <w:rFonts w:ascii="Palatino Linotype" w:hAnsi="Palatino Linotype"/>
          <w:sz w:val="24"/>
          <w:szCs w:val="24"/>
        </w:rPr>
      </w:pPr>
    </w:p>
    <w:p w14:paraId="56A4D41B" w14:textId="77777777" w:rsidR="00CE7AB0" w:rsidRDefault="00CE7AB0" w:rsidP="001F4AD8">
      <w:pPr>
        <w:tabs>
          <w:tab w:val="left" w:pos="0"/>
          <w:tab w:val="center" w:pos="4419"/>
          <w:tab w:val="right" w:pos="8838"/>
        </w:tabs>
        <w:spacing w:after="0" w:line="360" w:lineRule="auto"/>
        <w:jc w:val="both"/>
        <w:rPr>
          <w:rFonts w:ascii="Palatino Linotype" w:hAnsi="Palatino Linotype"/>
          <w:sz w:val="24"/>
          <w:szCs w:val="24"/>
        </w:rPr>
      </w:pPr>
    </w:p>
    <w:p w14:paraId="0C69EFA5" w14:textId="77777777" w:rsidR="00CE7AB0" w:rsidRPr="004B5D57" w:rsidRDefault="00CE7AB0" w:rsidP="001F4AD8">
      <w:pPr>
        <w:tabs>
          <w:tab w:val="left" w:pos="0"/>
          <w:tab w:val="center" w:pos="4419"/>
          <w:tab w:val="right" w:pos="8838"/>
        </w:tabs>
        <w:spacing w:after="0" w:line="360" w:lineRule="auto"/>
        <w:jc w:val="both"/>
        <w:rPr>
          <w:rFonts w:ascii="Palatino Linotype" w:hAnsi="Palatino Linotype"/>
          <w:sz w:val="24"/>
          <w:szCs w:val="24"/>
        </w:rPr>
      </w:pPr>
    </w:p>
    <w:p w14:paraId="571B4CA1" w14:textId="77777777" w:rsidR="00CE7AB0" w:rsidRDefault="00CE7AB0" w:rsidP="00510857">
      <w:pPr>
        <w:tabs>
          <w:tab w:val="left" w:pos="0"/>
        </w:tabs>
        <w:spacing w:line="360" w:lineRule="auto"/>
        <w:jc w:val="center"/>
        <w:rPr>
          <w:rFonts w:ascii="Palatino Linotype" w:hAnsi="Palatino Linotype"/>
          <w:b/>
        </w:rPr>
      </w:pPr>
    </w:p>
    <w:p w14:paraId="4D57A576" w14:textId="77777777" w:rsidR="00CE7AB0" w:rsidRDefault="00CE7AB0" w:rsidP="00510857">
      <w:pPr>
        <w:tabs>
          <w:tab w:val="left" w:pos="0"/>
        </w:tabs>
        <w:spacing w:line="360" w:lineRule="auto"/>
        <w:jc w:val="center"/>
        <w:rPr>
          <w:rFonts w:ascii="Palatino Linotype" w:hAnsi="Palatino Linotype"/>
          <w:b/>
        </w:rPr>
      </w:pPr>
    </w:p>
    <w:p w14:paraId="36738C11" w14:textId="77777777" w:rsidR="00CE7AB0" w:rsidRDefault="00CE7AB0" w:rsidP="00510857">
      <w:pPr>
        <w:tabs>
          <w:tab w:val="left" w:pos="0"/>
        </w:tabs>
        <w:spacing w:line="360" w:lineRule="auto"/>
        <w:jc w:val="center"/>
        <w:rPr>
          <w:rFonts w:ascii="Palatino Linotype" w:hAnsi="Palatino Linotype"/>
          <w:b/>
        </w:rPr>
      </w:pPr>
    </w:p>
    <w:p w14:paraId="09D126BF" w14:textId="77777777" w:rsidR="00CE7AB0" w:rsidRDefault="00CE7AB0" w:rsidP="00510857">
      <w:pPr>
        <w:tabs>
          <w:tab w:val="left" w:pos="0"/>
        </w:tabs>
        <w:spacing w:line="360" w:lineRule="auto"/>
        <w:jc w:val="center"/>
        <w:rPr>
          <w:rFonts w:ascii="Palatino Linotype" w:hAnsi="Palatino Linotype"/>
          <w:b/>
        </w:rPr>
      </w:pPr>
    </w:p>
    <w:p w14:paraId="37C81433" w14:textId="77777777" w:rsidR="00CE7AB0" w:rsidRDefault="00CE7AB0" w:rsidP="00510857">
      <w:pPr>
        <w:tabs>
          <w:tab w:val="left" w:pos="0"/>
        </w:tabs>
        <w:spacing w:line="360" w:lineRule="auto"/>
        <w:jc w:val="center"/>
        <w:rPr>
          <w:rFonts w:ascii="Palatino Linotype" w:hAnsi="Palatino Linotype"/>
          <w:b/>
        </w:rPr>
      </w:pPr>
    </w:p>
    <w:p w14:paraId="11BBC5D1" w14:textId="77777777" w:rsidR="00510857" w:rsidRDefault="00510857" w:rsidP="00510857">
      <w:pPr>
        <w:tabs>
          <w:tab w:val="left" w:pos="0"/>
        </w:tabs>
        <w:spacing w:line="360" w:lineRule="auto"/>
        <w:jc w:val="center"/>
        <w:rPr>
          <w:rFonts w:ascii="Palatino Linotype" w:hAnsi="Palatino Linotype"/>
          <w:b/>
        </w:rPr>
      </w:pPr>
      <w:r w:rsidRPr="001105B5">
        <w:rPr>
          <w:rFonts w:ascii="Palatino Linotype" w:hAnsi="Palatino Linotype"/>
          <w:b/>
        </w:rPr>
        <w:lastRenderedPageBreak/>
        <w:t>LÍNEAS ARGUMENTATIVAS.</w:t>
      </w:r>
    </w:p>
    <w:p w14:paraId="6BA09BDE" w14:textId="77777777" w:rsidR="00510857" w:rsidRPr="001105B5" w:rsidRDefault="00510857" w:rsidP="00510857">
      <w:pPr>
        <w:tabs>
          <w:tab w:val="left" w:pos="0"/>
        </w:tabs>
        <w:spacing w:line="360" w:lineRule="auto"/>
        <w:jc w:val="right"/>
        <w:rPr>
          <w:rFonts w:ascii="Palatino Linotype" w:hAnsi="Palatino Linotype"/>
          <w:b/>
        </w:rPr>
      </w:pPr>
    </w:p>
    <w:p w14:paraId="0B8895A7" w14:textId="77777777" w:rsidR="00510857" w:rsidRDefault="00510857" w:rsidP="00510857">
      <w:pPr>
        <w:spacing w:line="360" w:lineRule="auto"/>
        <w:jc w:val="both"/>
        <w:rPr>
          <w:rFonts w:ascii="Palatino Linotype" w:hAnsi="Palatino Linotype"/>
          <w:sz w:val="24"/>
          <w:szCs w:val="24"/>
        </w:rPr>
      </w:pPr>
      <w:r w:rsidRPr="00510857">
        <w:rPr>
          <w:rFonts w:ascii="Palatino Linotype" w:hAnsi="Palatino Linotype"/>
          <w:b/>
          <w:sz w:val="24"/>
          <w:szCs w:val="24"/>
        </w:rPr>
        <w:t>DEBERES DE LAS AUTORIDADES.</w:t>
      </w:r>
      <w:r w:rsidRPr="00510857">
        <w:rPr>
          <w:rFonts w:ascii="Palatino Linotype" w:hAnsi="Palatino Linotype"/>
          <w:sz w:val="24"/>
          <w:szCs w:val="24"/>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11E1E0D7" w14:textId="77777777" w:rsidR="00992504" w:rsidRPr="00510857" w:rsidRDefault="00992504" w:rsidP="00510857">
      <w:pPr>
        <w:spacing w:line="360" w:lineRule="auto"/>
        <w:jc w:val="both"/>
        <w:rPr>
          <w:rFonts w:ascii="Palatino Linotype" w:hAnsi="Palatino Linotype"/>
          <w:sz w:val="24"/>
          <w:szCs w:val="24"/>
        </w:rPr>
      </w:pPr>
    </w:p>
    <w:p w14:paraId="217B6249" w14:textId="77777777" w:rsidR="00992504" w:rsidRPr="00370121" w:rsidRDefault="00992504" w:rsidP="00992504">
      <w:pPr>
        <w:spacing w:before="240" w:after="240" w:line="360" w:lineRule="auto"/>
        <w:jc w:val="both"/>
        <w:rPr>
          <w:rFonts w:ascii="Palatino Linotype" w:hAnsi="Palatino Linotype"/>
          <w:sz w:val="24"/>
          <w:szCs w:val="24"/>
          <w:lang w:eastAsia="es-MX"/>
        </w:rPr>
      </w:pPr>
      <w:r w:rsidRPr="00370121">
        <w:rPr>
          <w:rFonts w:ascii="Palatino Linotype" w:hAnsi="Palatino Linotype"/>
          <w:b/>
          <w:sz w:val="24"/>
          <w:szCs w:val="24"/>
        </w:rPr>
        <w:t xml:space="preserve">RESPUESTAS IMPRECISAS O INCOMPLETAS, DEBER DE REPARACIÓN. </w:t>
      </w:r>
      <w:r w:rsidRPr="00370121">
        <w:rPr>
          <w:rFonts w:ascii="Palatino Linotype" w:hAnsi="Palatino Linotype"/>
          <w:sz w:val="24"/>
          <w:szCs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5765D9E" w14:textId="77777777" w:rsidR="00510857" w:rsidRPr="00510857" w:rsidRDefault="00510857" w:rsidP="00510857">
      <w:pPr>
        <w:spacing w:line="360" w:lineRule="auto"/>
        <w:jc w:val="both"/>
        <w:rPr>
          <w:rFonts w:ascii="Palatino Linotype" w:hAnsi="Palatino Linotype"/>
          <w:sz w:val="24"/>
          <w:szCs w:val="24"/>
        </w:rPr>
      </w:pPr>
    </w:p>
    <w:p w14:paraId="78F23ABB" w14:textId="77777777" w:rsidR="00510857" w:rsidRPr="00510857" w:rsidRDefault="00510857" w:rsidP="008F2F7C">
      <w:pPr>
        <w:spacing w:after="0" w:line="360" w:lineRule="auto"/>
        <w:jc w:val="both"/>
        <w:rPr>
          <w:rFonts w:ascii="Palatino Linotype" w:eastAsia="Calibri" w:hAnsi="Palatino Linotype" w:cs="Arial"/>
          <w:i/>
          <w:sz w:val="24"/>
          <w:szCs w:val="24"/>
          <w:lang w:val="es-ES" w:eastAsia="es-ES"/>
        </w:rPr>
      </w:pPr>
    </w:p>
    <w:p w14:paraId="7FC40AF2" w14:textId="77777777" w:rsidR="001F4AD8" w:rsidRPr="004B5D57" w:rsidRDefault="001F4AD8" w:rsidP="004F1E7D">
      <w:pPr>
        <w:tabs>
          <w:tab w:val="left" w:pos="5387"/>
        </w:tabs>
        <w:spacing w:after="0" w:line="360" w:lineRule="auto"/>
        <w:jc w:val="center"/>
        <w:rPr>
          <w:rFonts w:ascii="Palatino Linotype" w:hAnsi="Palatino Linotype"/>
          <w:b/>
        </w:rPr>
      </w:pPr>
    </w:p>
    <w:p w14:paraId="1EE4DF3A" w14:textId="77777777" w:rsidR="001F4AD8" w:rsidRPr="004B5D57" w:rsidRDefault="001F4AD8" w:rsidP="001F4AD8">
      <w:pPr>
        <w:tabs>
          <w:tab w:val="left" w:pos="5387"/>
        </w:tabs>
        <w:spacing w:after="0" w:line="360" w:lineRule="auto"/>
        <w:rPr>
          <w:rFonts w:ascii="Palatino Linotype" w:hAnsi="Palatino Linotype"/>
          <w:b/>
        </w:rPr>
      </w:pPr>
    </w:p>
    <w:p w14:paraId="4D546A8B" w14:textId="77777777" w:rsidR="004F1E7D" w:rsidRPr="004B5D57" w:rsidRDefault="004F1E7D" w:rsidP="004F1E7D">
      <w:pPr>
        <w:spacing w:after="0" w:line="360" w:lineRule="auto"/>
        <w:jc w:val="both"/>
        <w:rPr>
          <w:rFonts w:ascii="Palatino Linotype" w:eastAsia="MS Mincho" w:hAnsi="Palatino Linotype" w:cs="Times New Roman"/>
          <w:sz w:val="24"/>
          <w:szCs w:val="24"/>
          <w:lang w:val="es-ES_tradnl" w:eastAsia="es-ES"/>
        </w:rPr>
      </w:pPr>
    </w:p>
    <w:p w14:paraId="3A88325C" w14:textId="77777777" w:rsidR="004F1E7D" w:rsidRPr="004B5D57" w:rsidRDefault="004F1E7D" w:rsidP="004F1E7D">
      <w:pPr>
        <w:spacing w:after="0" w:line="360" w:lineRule="auto"/>
        <w:jc w:val="both"/>
        <w:rPr>
          <w:rFonts w:ascii="Palatino Linotype" w:eastAsia="MS Mincho" w:hAnsi="Palatino Linotype"/>
          <w:b/>
          <w:sz w:val="24"/>
          <w:szCs w:val="24"/>
          <w:lang w:val="es-ES_tradnl" w:eastAsia="es-ES"/>
        </w:rPr>
      </w:pPr>
    </w:p>
    <w:p w14:paraId="1600C16D" w14:textId="77777777" w:rsidR="004F1E7D" w:rsidRPr="004B5D57" w:rsidRDefault="004F1E7D" w:rsidP="004F1E7D">
      <w:pPr>
        <w:spacing w:after="0" w:line="360" w:lineRule="auto"/>
        <w:jc w:val="both"/>
        <w:rPr>
          <w:rFonts w:ascii="Palatino Linotype" w:eastAsia="MS Mincho" w:hAnsi="Palatino Linotype"/>
          <w:b/>
          <w:sz w:val="24"/>
          <w:szCs w:val="24"/>
          <w:lang w:val="es-ES_tradnl" w:eastAsia="es-ES"/>
        </w:rPr>
      </w:pPr>
    </w:p>
    <w:p w14:paraId="36092972" w14:textId="77777777" w:rsidR="004F1E7D" w:rsidRDefault="004F1E7D" w:rsidP="004F1E7D">
      <w:pPr>
        <w:spacing w:after="0" w:line="360" w:lineRule="auto"/>
        <w:jc w:val="both"/>
        <w:rPr>
          <w:rFonts w:ascii="Palatino Linotype" w:eastAsia="MS Mincho" w:hAnsi="Palatino Linotype"/>
          <w:b/>
          <w:sz w:val="24"/>
          <w:szCs w:val="24"/>
          <w:lang w:val="es-ES_tradnl" w:eastAsia="es-ES"/>
        </w:rPr>
      </w:pPr>
    </w:p>
    <w:p w14:paraId="1887D2C2" w14:textId="77777777" w:rsidR="00992504" w:rsidRDefault="00992504" w:rsidP="004F1E7D">
      <w:pPr>
        <w:spacing w:after="0" w:line="360" w:lineRule="auto"/>
        <w:jc w:val="both"/>
        <w:rPr>
          <w:rFonts w:ascii="Palatino Linotype" w:eastAsia="MS Mincho" w:hAnsi="Palatino Linotype"/>
          <w:b/>
          <w:sz w:val="24"/>
          <w:szCs w:val="24"/>
          <w:lang w:val="es-ES_tradnl" w:eastAsia="es-ES"/>
        </w:rPr>
      </w:pPr>
    </w:p>
    <w:p w14:paraId="2DAD15E0" w14:textId="77777777" w:rsidR="00992504" w:rsidRDefault="00992504" w:rsidP="004F1E7D">
      <w:pPr>
        <w:spacing w:after="0" w:line="360" w:lineRule="auto"/>
        <w:jc w:val="both"/>
        <w:rPr>
          <w:rFonts w:ascii="Palatino Linotype" w:eastAsia="MS Mincho" w:hAnsi="Palatino Linotype"/>
          <w:b/>
          <w:sz w:val="24"/>
          <w:szCs w:val="24"/>
          <w:lang w:val="es-ES_tradnl" w:eastAsia="es-ES"/>
        </w:rPr>
      </w:pPr>
    </w:p>
    <w:p w14:paraId="642CEB18" w14:textId="77777777" w:rsidR="00992504" w:rsidRDefault="00992504" w:rsidP="004F1E7D">
      <w:pPr>
        <w:spacing w:after="0" w:line="360" w:lineRule="auto"/>
        <w:jc w:val="both"/>
        <w:rPr>
          <w:rFonts w:ascii="Palatino Linotype" w:eastAsia="MS Mincho" w:hAnsi="Palatino Linotype"/>
          <w:b/>
          <w:sz w:val="24"/>
          <w:szCs w:val="24"/>
          <w:lang w:val="es-ES_tradnl" w:eastAsia="es-ES"/>
        </w:rPr>
      </w:pPr>
    </w:p>
    <w:p w14:paraId="2A43E4D1" w14:textId="77777777" w:rsidR="00992504" w:rsidRDefault="00992504" w:rsidP="004F1E7D">
      <w:pPr>
        <w:spacing w:after="0" w:line="360" w:lineRule="auto"/>
        <w:jc w:val="both"/>
        <w:rPr>
          <w:rFonts w:ascii="Palatino Linotype" w:eastAsia="MS Mincho" w:hAnsi="Palatino Linotype"/>
          <w:b/>
          <w:sz w:val="24"/>
          <w:szCs w:val="24"/>
          <w:lang w:val="es-ES_tradnl" w:eastAsia="es-ES"/>
        </w:rPr>
      </w:pPr>
    </w:p>
    <w:p w14:paraId="09ADEB63" w14:textId="77777777" w:rsidR="00992504" w:rsidRDefault="00992504" w:rsidP="004F1E7D">
      <w:pPr>
        <w:spacing w:after="0" w:line="360" w:lineRule="auto"/>
        <w:jc w:val="both"/>
        <w:rPr>
          <w:rFonts w:ascii="Palatino Linotype" w:eastAsia="MS Mincho" w:hAnsi="Palatino Linotype"/>
          <w:b/>
          <w:sz w:val="24"/>
          <w:szCs w:val="24"/>
          <w:lang w:val="es-ES_tradnl" w:eastAsia="es-ES"/>
        </w:rPr>
      </w:pPr>
    </w:p>
    <w:p w14:paraId="702BF70D" w14:textId="77777777" w:rsidR="00992504" w:rsidRPr="004B5D57" w:rsidRDefault="00992504" w:rsidP="004F1E7D">
      <w:pPr>
        <w:spacing w:after="0" w:line="360" w:lineRule="auto"/>
        <w:jc w:val="both"/>
        <w:rPr>
          <w:rFonts w:ascii="Palatino Linotype" w:eastAsia="MS Mincho" w:hAnsi="Palatino Linotype"/>
          <w:b/>
          <w:sz w:val="24"/>
          <w:szCs w:val="24"/>
          <w:lang w:val="es-ES_tradnl" w:eastAsia="es-ES"/>
        </w:rPr>
      </w:pPr>
    </w:p>
    <w:p w14:paraId="61B18F81" w14:textId="77777777" w:rsidR="004F1E7D" w:rsidRPr="004B5D57" w:rsidRDefault="004F1E7D" w:rsidP="004F1E7D">
      <w:pPr>
        <w:spacing w:after="0" w:line="360" w:lineRule="auto"/>
        <w:jc w:val="both"/>
        <w:rPr>
          <w:rFonts w:ascii="Palatino Linotype" w:eastAsia="MS Mincho" w:hAnsi="Palatino Linotype"/>
          <w:b/>
          <w:sz w:val="24"/>
          <w:szCs w:val="24"/>
          <w:lang w:val="es-ES_tradnl" w:eastAsia="es-ES"/>
        </w:rPr>
      </w:pPr>
    </w:p>
    <w:bookmarkEnd w:id="0"/>
    <w:bookmarkEnd w:id="1"/>
    <w:p w14:paraId="73DB2359" w14:textId="77777777" w:rsidR="004F1E7D" w:rsidRPr="004B5D57" w:rsidRDefault="004F1E7D" w:rsidP="004F1E7D">
      <w:pPr>
        <w:spacing w:after="0" w:line="360" w:lineRule="auto"/>
        <w:jc w:val="center"/>
        <w:rPr>
          <w:rFonts w:ascii="Palatino Linotype" w:eastAsiaTheme="minorEastAsia" w:hAnsi="Palatino Linotype"/>
          <w:sz w:val="24"/>
          <w:szCs w:val="24"/>
          <w:lang w:val="es-ES_tradnl" w:eastAsia="es-ES"/>
        </w:rPr>
      </w:pPr>
      <w:r w:rsidRPr="004B5D57">
        <w:rPr>
          <w:rFonts w:ascii="Palatino Linotype" w:eastAsiaTheme="minorEastAsia" w:hAnsi="Palatino Linotype"/>
          <w:b/>
          <w:sz w:val="24"/>
          <w:szCs w:val="24"/>
          <w:lang w:val="es-ES_tradnl" w:eastAsia="es-ES"/>
        </w:rPr>
        <w:t>ÍNDICE</w:t>
      </w:r>
      <w:r w:rsidRPr="004B5D57">
        <w:rPr>
          <w:rFonts w:ascii="Palatino Linotype" w:eastAsiaTheme="minorEastAsia" w:hAnsi="Palatino Linotype"/>
          <w:sz w:val="24"/>
          <w:szCs w:val="24"/>
          <w:lang w:val="es-ES_tradnl" w:eastAsia="es-ES"/>
        </w:rPr>
        <w:t>.</w:t>
      </w:r>
    </w:p>
    <w:p w14:paraId="38E80538" w14:textId="77777777" w:rsidR="004F1E7D" w:rsidRPr="004B5D57" w:rsidRDefault="004F1E7D" w:rsidP="004F1E7D">
      <w:pPr>
        <w:spacing w:after="0" w:line="360" w:lineRule="auto"/>
        <w:jc w:val="both"/>
        <w:rPr>
          <w:rFonts w:ascii="Palatino Linotype" w:eastAsiaTheme="minorEastAsia" w:hAnsi="Palatino Linotype"/>
          <w:sz w:val="24"/>
          <w:szCs w:val="24"/>
          <w:lang w:val="es-ES_tradnl" w:eastAsia="es-ES"/>
        </w:rPr>
      </w:pPr>
    </w:p>
    <w:sdt>
      <w:sdtPr>
        <w:rPr>
          <w:rFonts w:asciiTheme="minorHAnsi" w:eastAsiaTheme="minorHAnsi" w:hAnsiTheme="minorHAnsi" w:cstheme="minorBidi"/>
          <w:b w:val="0"/>
          <w:sz w:val="22"/>
          <w:szCs w:val="22"/>
          <w:lang w:val="es-ES" w:eastAsia="en-US"/>
        </w:rPr>
        <w:id w:val="327864783"/>
        <w:docPartObj>
          <w:docPartGallery w:val="Table of Contents"/>
          <w:docPartUnique/>
        </w:docPartObj>
      </w:sdtPr>
      <w:sdtEndPr>
        <w:rPr>
          <w:rFonts w:cs="Arial"/>
          <w:bCs/>
          <w:szCs w:val="24"/>
        </w:rPr>
      </w:sdtEndPr>
      <w:sdtContent>
        <w:p w14:paraId="381D00CC" w14:textId="77777777" w:rsidR="007074A2" w:rsidRDefault="007074A2">
          <w:pPr>
            <w:pStyle w:val="TtuloTDC"/>
          </w:pPr>
        </w:p>
        <w:p w14:paraId="4BB46894" w14:textId="77777777" w:rsidR="008217C7" w:rsidRPr="008217C7" w:rsidRDefault="007074A2">
          <w:pPr>
            <w:pStyle w:val="TDC1"/>
            <w:rPr>
              <w:rFonts w:ascii="Palatino Linotype" w:eastAsiaTheme="minorEastAsia" w:hAnsi="Palatino Linotype"/>
              <w:b/>
              <w:noProof/>
              <w:sz w:val="20"/>
              <w:szCs w:val="20"/>
              <w:lang w:eastAsia="es-MX"/>
            </w:rPr>
          </w:pPr>
          <w:r w:rsidRPr="007074A2">
            <w:rPr>
              <w:rFonts w:ascii="Palatino Linotype" w:hAnsi="Palatino Linotype" w:cs="Arial"/>
              <w:b/>
              <w:sz w:val="24"/>
              <w:szCs w:val="24"/>
            </w:rPr>
            <w:fldChar w:fldCharType="begin"/>
          </w:r>
          <w:r w:rsidRPr="007074A2">
            <w:rPr>
              <w:rFonts w:ascii="Palatino Linotype" w:hAnsi="Palatino Linotype" w:cs="Arial"/>
              <w:b/>
              <w:sz w:val="24"/>
              <w:szCs w:val="24"/>
            </w:rPr>
            <w:instrText xml:space="preserve"> TOC \o "1-3" \h \z \u </w:instrText>
          </w:r>
          <w:r w:rsidRPr="007074A2">
            <w:rPr>
              <w:rFonts w:ascii="Palatino Linotype" w:hAnsi="Palatino Linotype" w:cs="Arial"/>
              <w:b/>
              <w:sz w:val="24"/>
              <w:szCs w:val="24"/>
            </w:rPr>
            <w:fldChar w:fldCharType="separate"/>
          </w:r>
          <w:hyperlink w:anchor="_Toc70709627" w:history="1">
            <w:r w:rsidR="008217C7" w:rsidRPr="008217C7">
              <w:rPr>
                <w:rStyle w:val="Hipervnculo"/>
                <w:rFonts w:ascii="Palatino Linotype" w:eastAsiaTheme="majorEastAsia" w:hAnsi="Palatino Linotype" w:cstheme="majorBidi"/>
                <w:b/>
                <w:noProof/>
                <w:sz w:val="20"/>
                <w:szCs w:val="20"/>
              </w:rPr>
              <w:t>A N T E C E D E N T E S</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_Toc70709627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5</w:t>
            </w:r>
            <w:r w:rsidR="008217C7" w:rsidRPr="008217C7">
              <w:rPr>
                <w:rFonts w:ascii="Palatino Linotype" w:hAnsi="Palatino Linotype"/>
                <w:b/>
                <w:noProof/>
                <w:webHidden/>
                <w:sz w:val="20"/>
                <w:szCs w:val="20"/>
              </w:rPr>
              <w:fldChar w:fldCharType="end"/>
            </w:r>
          </w:hyperlink>
        </w:p>
        <w:p w14:paraId="631CC0C4" w14:textId="77777777" w:rsidR="008217C7" w:rsidRPr="008217C7" w:rsidRDefault="00094C8D">
          <w:pPr>
            <w:pStyle w:val="TDC1"/>
            <w:rPr>
              <w:rFonts w:ascii="Palatino Linotype" w:eastAsiaTheme="minorEastAsia" w:hAnsi="Palatino Linotype"/>
              <w:b/>
              <w:noProof/>
              <w:sz w:val="20"/>
              <w:szCs w:val="20"/>
              <w:lang w:eastAsia="es-MX"/>
            </w:rPr>
          </w:pPr>
          <w:hyperlink w:anchor="_Toc70709628" w:history="1">
            <w:r w:rsidR="008217C7" w:rsidRPr="008217C7">
              <w:rPr>
                <w:rStyle w:val="Hipervnculo"/>
                <w:rFonts w:ascii="Palatino Linotype" w:eastAsiaTheme="majorEastAsia" w:hAnsi="Palatino Linotype" w:cstheme="majorBidi"/>
                <w:b/>
                <w:noProof/>
                <w:sz w:val="20"/>
                <w:szCs w:val="20"/>
              </w:rPr>
              <w:t>C O N S I D E R A N D O S</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_Toc70709628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12</w:t>
            </w:r>
            <w:r w:rsidR="008217C7" w:rsidRPr="008217C7">
              <w:rPr>
                <w:rFonts w:ascii="Palatino Linotype" w:hAnsi="Palatino Linotype"/>
                <w:b/>
                <w:noProof/>
                <w:webHidden/>
                <w:sz w:val="20"/>
                <w:szCs w:val="20"/>
              </w:rPr>
              <w:fldChar w:fldCharType="end"/>
            </w:r>
          </w:hyperlink>
        </w:p>
        <w:p w14:paraId="611C1896" w14:textId="77777777" w:rsidR="008217C7" w:rsidRPr="008217C7" w:rsidRDefault="00094C8D">
          <w:pPr>
            <w:pStyle w:val="TDC1"/>
            <w:rPr>
              <w:rFonts w:ascii="Palatino Linotype" w:eastAsiaTheme="minorEastAsia" w:hAnsi="Palatino Linotype"/>
              <w:b/>
              <w:noProof/>
              <w:sz w:val="20"/>
              <w:szCs w:val="20"/>
              <w:lang w:eastAsia="es-MX"/>
            </w:rPr>
          </w:pPr>
          <w:hyperlink w:anchor="_Toc70709629" w:history="1">
            <w:r w:rsidR="008217C7" w:rsidRPr="008217C7">
              <w:rPr>
                <w:rStyle w:val="Hipervnculo"/>
                <w:rFonts w:ascii="Palatino Linotype" w:hAnsi="Palatino Linotype"/>
                <w:b/>
                <w:noProof/>
                <w:sz w:val="20"/>
                <w:szCs w:val="20"/>
              </w:rPr>
              <w:t>PRIMERO. De la competencia</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_Toc70709629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12</w:t>
            </w:r>
            <w:r w:rsidR="008217C7" w:rsidRPr="008217C7">
              <w:rPr>
                <w:rFonts w:ascii="Palatino Linotype" w:hAnsi="Palatino Linotype"/>
                <w:b/>
                <w:noProof/>
                <w:webHidden/>
                <w:sz w:val="20"/>
                <w:szCs w:val="20"/>
              </w:rPr>
              <w:fldChar w:fldCharType="end"/>
            </w:r>
          </w:hyperlink>
        </w:p>
        <w:p w14:paraId="0DE8163A" w14:textId="77777777" w:rsidR="008217C7" w:rsidRPr="008217C7" w:rsidRDefault="00094C8D">
          <w:pPr>
            <w:pStyle w:val="TDC1"/>
            <w:rPr>
              <w:rFonts w:ascii="Palatino Linotype" w:eastAsiaTheme="minorEastAsia" w:hAnsi="Palatino Linotype"/>
              <w:b/>
              <w:noProof/>
              <w:sz w:val="20"/>
              <w:szCs w:val="20"/>
              <w:lang w:eastAsia="es-MX"/>
            </w:rPr>
          </w:pPr>
          <w:hyperlink w:anchor="_Toc70709630" w:history="1">
            <w:r w:rsidR="008217C7" w:rsidRPr="008217C7">
              <w:rPr>
                <w:rStyle w:val="Hipervnculo"/>
                <w:rFonts w:ascii="Palatino Linotype" w:hAnsi="Palatino Linotype"/>
                <w:b/>
                <w:noProof/>
                <w:sz w:val="20"/>
                <w:szCs w:val="20"/>
              </w:rPr>
              <w:t>SEGUNDO. De la oportunidad y procedencia.</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_Toc70709630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13</w:t>
            </w:r>
            <w:r w:rsidR="008217C7" w:rsidRPr="008217C7">
              <w:rPr>
                <w:rFonts w:ascii="Palatino Linotype" w:hAnsi="Palatino Linotype"/>
                <w:b/>
                <w:noProof/>
                <w:webHidden/>
                <w:sz w:val="20"/>
                <w:szCs w:val="20"/>
              </w:rPr>
              <w:fldChar w:fldCharType="end"/>
            </w:r>
          </w:hyperlink>
        </w:p>
        <w:p w14:paraId="1BA9597B" w14:textId="77777777" w:rsidR="008217C7" w:rsidRPr="008217C7" w:rsidRDefault="00094C8D">
          <w:pPr>
            <w:pStyle w:val="TDC1"/>
            <w:rPr>
              <w:rFonts w:ascii="Palatino Linotype" w:eastAsiaTheme="minorEastAsia" w:hAnsi="Palatino Linotype"/>
              <w:b/>
              <w:noProof/>
              <w:sz w:val="20"/>
              <w:szCs w:val="20"/>
              <w:lang w:eastAsia="es-MX"/>
            </w:rPr>
          </w:pPr>
          <w:hyperlink w:anchor="_Toc70709631" w:history="1">
            <w:r w:rsidR="008217C7" w:rsidRPr="008217C7">
              <w:rPr>
                <w:rStyle w:val="Hipervnculo"/>
                <w:rFonts w:ascii="Palatino Linotype" w:eastAsia="MS Mincho" w:hAnsi="Palatino Linotype"/>
                <w:b/>
                <w:noProof/>
                <w:sz w:val="20"/>
                <w:szCs w:val="20"/>
                <w:lang w:val="es-ES_tradnl" w:eastAsia="es-ES"/>
              </w:rPr>
              <w:t>TERCERO. De previo y especial pronunciamiento</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_Toc70709631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13</w:t>
            </w:r>
            <w:r w:rsidR="008217C7" w:rsidRPr="008217C7">
              <w:rPr>
                <w:rFonts w:ascii="Palatino Linotype" w:hAnsi="Palatino Linotype"/>
                <w:b/>
                <w:noProof/>
                <w:webHidden/>
                <w:sz w:val="20"/>
                <w:szCs w:val="20"/>
              </w:rPr>
              <w:fldChar w:fldCharType="end"/>
            </w:r>
          </w:hyperlink>
        </w:p>
        <w:p w14:paraId="4ADA962E" w14:textId="77777777" w:rsidR="008217C7" w:rsidRPr="008217C7" w:rsidRDefault="00094C8D">
          <w:pPr>
            <w:pStyle w:val="TDC1"/>
            <w:rPr>
              <w:rFonts w:ascii="Palatino Linotype" w:eastAsiaTheme="minorEastAsia" w:hAnsi="Palatino Linotype"/>
              <w:b/>
              <w:noProof/>
              <w:sz w:val="20"/>
              <w:szCs w:val="20"/>
              <w:lang w:eastAsia="es-MX"/>
            </w:rPr>
          </w:pPr>
          <w:hyperlink w:anchor="_Toc70709632" w:history="1">
            <w:r w:rsidR="008217C7" w:rsidRPr="008217C7">
              <w:rPr>
                <w:rStyle w:val="Hipervnculo"/>
                <w:rFonts w:ascii="Palatino Linotype" w:hAnsi="Palatino Linotype"/>
                <w:b/>
                <w:noProof/>
                <w:sz w:val="20"/>
                <w:szCs w:val="20"/>
              </w:rPr>
              <w:t>CUARTO. Planteamiento de la Litis.</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_Toc70709632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18</w:t>
            </w:r>
            <w:r w:rsidR="008217C7" w:rsidRPr="008217C7">
              <w:rPr>
                <w:rFonts w:ascii="Palatino Linotype" w:hAnsi="Palatino Linotype"/>
                <w:b/>
                <w:noProof/>
                <w:webHidden/>
                <w:sz w:val="20"/>
                <w:szCs w:val="20"/>
              </w:rPr>
              <w:fldChar w:fldCharType="end"/>
            </w:r>
          </w:hyperlink>
        </w:p>
        <w:p w14:paraId="3EC03C07" w14:textId="77777777" w:rsidR="008217C7" w:rsidRPr="008217C7" w:rsidRDefault="00094C8D">
          <w:pPr>
            <w:pStyle w:val="TDC1"/>
            <w:rPr>
              <w:rFonts w:ascii="Palatino Linotype" w:eastAsiaTheme="minorEastAsia" w:hAnsi="Palatino Linotype"/>
              <w:b/>
              <w:noProof/>
              <w:sz w:val="20"/>
              <w:szCs w:val="20"/>
              <w:lang w:eastAsia="es-MX"/>
            </w:rPr>
          </w:pPr>
          <w:hyperlink w:anchor="_Toc70709633" w:history="1">
            <w:r w:rsidR="008217C7" w:rsidRPr="008217C7">
              <w:rPr>
                <w:rStyle w:val="Hipervnculo"/>
                <w:rFonts w:ascii="Palatino Linotype" w:hAnsi="Palatino Linotype"/>
                <w:b/>
                <w:noProof/>
                <w:sz w:val="20"/>
                <w:szCs w:val="20"/>
              </w:rPr>
              <w:t>QUINTO. Del estudio y resolución del asunto.</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_Toc70709633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19</w:t>
            </w:r>
            <w:r w:rsidR="008217C7" w:rsidRPr="008217C7">
              <w:rPr>
                <w:rFonts w:ascii="Palatino Linotype" w:hAnsi="Palatino Linotype"/>
                <w:b/>
                <w:noProof/>
                <w:webHidden/>
                <w:sz w:val="20"/>
                <w:szCs w:val="20"/>
              </w:rPr>
              <w:fldChar w:fldCharType="end"/>
            </w:r>
          </w:hyperlink>
        </w:p>
        <w:p w14:paraId="6FCB9FCC" w14:textId="77777777" w:rsidR="008217C7" w:rsidRPr="008217C7" w:rsidRDefault="00094C8D">
          <w:pPr>
            <w:pStyle w:val="TDC1"/>
            <w:rPr>
              <w:rFonts w:ascii="Palatino Linotype" w:eastAsiaTheme="minorEastAsia" w:hAnsi="Palatino Linotype"/>
              <w:b/>
              <w:noProof/>
              <w:sz w:val="20"/>
              <w:szCs w:val="20"/>
              <w:lang w:eastAsia="es-MX"/>
            </w:rPr>
          </w:pPr>
          <w:hyperlink w:anchor="_Toc70709634" w:history="1">
            <w:r w:rsidR="008217C7" w:rsidRPr="008217C7">
              <w:rPr>
                <w:rStyle w:val="Hipervnculo"/>
                <w:rFonts w:ascii="Palatino Linotype" w:eastAsia="Calibri" w:hAnsi="Palatino Linotype"/>
                <w:b/>
                <w:noProof/>
                <w:sz w:val="20"/>
                <w:szCs w:val="20"/>
              </w:rPr>
              <w:t>I. De la respuesta a la solicitud de información.</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_Toc70709634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19</w:t>
            </w:r>
            <w:r w:rsidR="008217C7" w:rsidRPr="008217C7">
              <w:rPr>
                <w:rFonts w:ascii="Palatino Linotype" w:hAnsi="Palatino Linotype"/>
                <w:b/>
                <w:noProof/>
                <w:webHidden/>
                <w:sz w:val="20"/>
                <w:szCs w:val="20"/>
              </w:rPr>
              <w:fldChar w:fldCharType="end"/>
            </w:r>
          </w:hyperlink>
        </w:p>
        <w:p w14:paraId="71BE4B58" w14:textId="77777777" w:rsidR="008217C7" w:rsidRPr="008217C7" w:rsidRDefault="00094C8D">
          <w:pPr>
            <w:pStyle w:val="TDC1"/>
            <w:rPr>
              <w:rFonts w:ascii="Palatino Linotype" w:eastAsiaTheme="minorEastAsia" w:hAnsi="Palatino Linotype"/>
              <w:b/>
              <w:noProof/>
              <w:sz w:val="20"/>
              <w:szCs w:val="20"/>
              <w:lang w:eastAsia="es-MX"/>
            </w:rPr>
          </w:pPr>
          <w:hyperlink w:anchor="_Toc70709635" w:history="1">
            <w:r w:rsidR="008217C7" w:rsidRPr="008217C7">
              <w:rPr>
                <w:rStyle w:val="Hipervnculo"/>
                <w:rFonts w:ascii="Palatino Linotype" w:eastAsia="Calibri" w:hAnsi="Palatino Linotype"/>
                <w:b/>
                <w:noProof/>
                <w:sz w:val="20"/>
                <w:szCs w:val="20"/>
              </w:rPr>
              <w:t>II.  Del deber del Sujeto Obligado de garantizar que la entrega de información sea completa.</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_Toc70709635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22</w:t>
            </w:r>
            <w:r w:rsidR="008217C7" w:rsidRPr="008217C7">
              <w:rPr>
                <w:rFonts w:ascii="Palatino Linotype" w:hAnsi="Palatino Linotype"/>
                <w:b/>
                <w:noProof/>
                <w:webHidden/>
                <w:sz w:val="20"/>
                <w:szCs w:val="20"/>
              </w:rPr>
              <w:fldChar w:fldCharType="end"/>
            </w:r>
          </w:hyperlink>
        </w:p>
        <w:p w14:paraId="2C5D6116" w14:textId="77777777" w:rsidR="008217C7" w:rsidRPr="008217C7" w:rsidRDefault="00094C8D">
          <w:pPr>
            <w:pStyle w:val="TDC1"/>
            <w:rPr>
              <w:rFonts w:ascii="Palatino Linotype" w:eastAsiaTheme="minorEastAsia" w:hAnsi="Palatino Linotype"/>
              <w:b/>
              <w:noProof/>
              <w:sz w:val="20"/>
              <w:szCs w:val="20"/>
              <w:lang w:eastAsia="es-MX"/>
            </w:rPr>
          </w:pPr>
          <w:hyperlink w:anchor="_Toc70709636" w:history="1">
            <w:r w:rsidR="008217C7" w:rsidRPr="008217C7">
              <w:rPr>
                <w:rStyle w:val="Hipervnculo"/>
                <w:rFonts w:ascii="Palatino Linotype" w:hAnsi="Palatino Linotype"/>
                <w:b/>
                <w:noProof/>
                <w:sz w:val="20"/>
                <w:szCs w:val="20"/>
              </w:rPr>
              <w:t>IV.  De la naturaleza jurídica de la información pública solicitada</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_Toc70709636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24</w:t>
            </w:r>
            <w:r w:rsidR="008217C7" w:rsidRPr="008217C7">
              <w:rPr>
                <w:rFonts w:ascii="Palatino Linotype" w:hAnsi="Palatino Linotype"/>
                <w:b/>
                <w:noProof/>
                <w:webHidden/>
                <w:sz w:val="20"/>
                <w:szCs w:val="20"/>
              </w:rPr>
              <w:fldChar w:fldCharType="end"/>
            </w:r>
          </w:hyperlink>
        </w:p>
        <w:p w14:paraId="1562550C" w14:textId="77777777" w:rsidR="008217C7" w:rsidRPr="008217C7" w:rsidRDefault="00094C8D">
          <w:pPr>
            <w:pStyle w:val="TDC1"/>
            <w:rPr>
              <w:rFonts w:ascii="Palatino Linotype" w:eastAsiaTheme="minorEastAsia" w:hAnsi="Palatino Linotype"/>
              <w:b/>
              <w:noProof/>
              <w:sz w:val="20"/>
              <w:szCs w:val="20"/>
              <w:lang w:eastAsia="es-MX"/>
            </w:rPr>
          </w:pPr>
          <w:hyperlink w:anchor="_Toc70709637" w:history="1">
            <w:r w:rsidR="008217C7" w:rsidRPr="008217C7">
              <w:rPr>
                <w:rStyle w:val="Hipervnculo"/>
                <w:rFonts w:ascii="Palatino Linotype" w:hAnsi="Palatino Linotype"/>
                <w:b/>
                <w:noProof/>
                <w:sz w:val="20"/>
                <w:szCs w:val="20"/>
              </w:rPr>
              <w:t>.</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_Toc70709637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24</w:t>
            </w:r>
            <w:r w:rsidR="008217C7" w:rsidRPr="008217C7">
              <w:rPr>
                <w:rFonts w:ascii="Palatino Linotype" w:hAnsi="Palatino Linotype"/>
                <w:b/>
                <w:noProof/>
                <w:webHidden/>
                <w:sz w:val="20"/>
                <w:szCs w:val="20"/>
              </w:rPr>
              <w:fldChar w:fldCharType="end"/>
            </w:r>
          </w:hyperlink>
        </w:p>
        <w:p w14:paraId="78656ED8" w14:textId="77777777" w:rsidR="008217C7" w:rsidRPr="008217C7" w:rsidRDefault="00094C8D">
          <w:pPr>
            <w:pStyle w:val="TDC1"/>
            <w:rPr>
              <w:rFonts w:ascii="Palatino Linotype" w:eastAsiaTheme="minorEastAsia" w:hAnsi="Palatino Linotype"/>
              <w:b/>
              <w:noProof/>
              <w:sz w:val="20"/>
              <w:szCs w:val="20"/>
              <w:lang w:eastAsia="es-MX"/>
            </w:rPr>
          </w:pPr>
          <w:hyperlink w:anchor="_Toc70709638" w:history="1">
            <w:r w:rsidR="008217C7" w:rsidRPr="008217C7">
              <w:rPr>
                <w:rStyle w:val="Hipervnculo"/>
                <w:rFonts w:ascii="Palatino Linotype" w:hAnsi="Palatino Linotype"/>
                <w:b/>
                <w:noProof/>
                <w:sz w:val="20"/>
                <w:szCs w:val="20"/>
              </w:rPr>
              <w:t>V. De la publicidad de datos contenidos en las autorizaciones de prórroga de cambio de uso de suelo; clasificados por el Sujeto Obligado.</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_Toc70709638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27</w:t>
            </w:r>
            <w:r w:rsidR="008217C7" w:rsidRPr="008217C7">
              <w:rPr>
                <w:rFonts w:ascii="Palatino Linotype" w:hAnsi="Palatino Linotype"/>
                <w:b/>
                <w:noProof/>
                <w:webHidden/>
                <w:sz w:val="20"/>
                <w:szCs w:val="20"/>
              </w:rPr>
              <w:fldChar w:fldCharType="end"/>
            </w:r>
          </w:hyperlink>
        </w:p>
        <w:p w14:paraId="665A4B3A" w14:textId="77777777" w:rsidR="008217C7" w:rsidRPr="008217C7" w:rsidRDefault="00094C8D">
          <w:pPr>
            <w:pStyle w:val="TDC1"/>
            <w:rPr>
              <w:rFonts w:ascii="Palatino Linotype" w:eastAsiaTheme="minorEastAsia" w:hAnsi="Palatino Linotype"/>
              <w:b/>
              <w:noProof/>
              <w:sz w:val="20"/>
              <w:szCs w:val="20"/>
              <w:lang w:eastAsia="es-MX"/>
            </w:rPr>
          </w:pPr>
          <w:hyperlink w:anchor="_Toc70709639" w:history="1">
            <w:r w:rsidR="008217C7" w:rsidRPr="008217C7">
              <w:rPr>
                <w:rStyle w:val="Hipervnculo"/>
                <w:rFonts w:ascii="Palatino Linotype" w:hAnsi="Palatino Linotype"/>
                <w:b/>
                <w:noProof/>
                <w:sz w:val="20"/>
                <w:szCs w:val="20"/>
              </w:rPr>
              <w:t>.</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_Toc70709639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27</w:t>
            </w:r>
            <w:r w:rsidR="008217C7" w:rsidRPr="008217C7">
              <w:rPr>
                <w:rFonts w:ascii="Palatino Linotype" w:hAnsi="Palatino Linotype"/>
                <w:b/>
                <w:noProof/>
                <w:webHidden/>
                <w:sz w:val="20"/>
                <w:szCs w:val="20"/>
              </w:rPr>
              <w:fldChar w:fldCharType="end"/>
            </w:r>
          </w:hyperlink>
        </w:p>
        <w:p w14:paraId="3104EC87" w14:textId="77777777" w:rsidR="008217C7" w:rsidRPr="008217C7" w:rsidRDefault="00094C8D">
          <w:pPr>
            <w:pStyle w:val="TDC1"/>
            <w:rPr>
              <w:rFonts w:ascii="Palatino Linotype" w:eastAsiaTheme="minorEastAsia" w:hAnsi="Palatino Linotype"/>
              <w:b/>
              <w:noProof/>
              <w:sz w:val="20"/>
              <w:szCs w:val="20"/>
              <w:lang w:eastAsia="es-MX"/>
            </w:rPr>
          </w:pPr>
          <w:hyperlink w:anchor="_Toc70709640" w:history="1">
            <w:r w:rsidR="008217C7" w:rsidRPr="008217C7">
              <w:rPr>
                <w:rStyle w:val="Hipervnculo"/>
                <w:rFonts w:ascii="Palatino Linotype" w:hAnsi="Palatino Linotype"/>
                <w:b/>
                <w:noProof/>
                <w:sz w:val="20"/>
                <w:szCs w:val="20"/>
              </w:rPr>
              <w:t xml:space="preserve">V. De la </w:t>
            </w:r>
            <w:r w:rsidR="008217C7" w:rsidRPr="008217C7">
              <w:rPr>
                <w:rStyle w:val="Hipervnculo"/>
                <w:rFonts w:ascii="Palatino Linotype" w:eastAsia="Calibri" w:hAnsi="Palatino Linotype"/>
                <w:b/>
                <w:noProof/>
                <w:sz w:val="20"/>
                <w:szCs w:val="20"/>
              </w:rPr>
              <w:t>modalidad</w:t>
            </w:r>
            <w:r w:rsidR="008217C7" w:rsidRPr="008217C7">
              <w:rPr>
                <w:rStyle w:val="Hipervnculo"/>
                <w:rFonts w:ascii="Palatino Linotype" w:hAnsi="Palatino Linotype"/>
                <w:b/>
                <w:noProof/>
                <w:sz w:val="20"/>
                <w:szCs w:val="20"/>
              </w:rPr>
              <w:t xml:space="preserve"> de entrega.</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_Toc70709640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39</w:t>
            </w:r>
            <w:r w:rsidR="008217C7" w:rsidRPr="008217C7">
              <w:rPr>
                <w:rFonts w:ascii="Palatino Linotype" w:hAnsi="Palatino Linotype"/>
                <w:b/>
                <w:noProof/>
                <w:webHidden/>
                <w:sz w:val="20"/>
                <w:szCs w:val="20"/>
              </w:rPr>
              <w:fldChar w:fldCharType="end"/>
            </w:r>
          </w:hyperlink>
        </w:p>
        <w:p w14:paraId="24F2C592" w14:textId="77777777" w:rsidR="008217C7" w:rsidRPr="008217C7" w:rsidRDefault="00094C8D">
          <w:pPr>
            <w:pStyle w:val="TDC1"/>
            <w:rPr>
              <w:rFonts w:ascii="Palatino Linotype" w:eastAsiaTheme="minorEastAsia" w:hAnsi="Palatino Linotype"/>
              <w:b/>
              <w:noProof/>
              <w:sz w:val="20"/>
              <w:szCs w:val="20"/>
              <w:lang w:eastAsia="es-MX"/>
            </w:rPr>
          </w:pPr>
          <w:hyperlink w:anchor="_Toc70709641" w:history="1">
            <w:r w:rsidR="008217C7" w:rsidRPr="008217C7">
              <w:rPr>
                <w:rStyle w:val="Hipervnculo"/>
                <w:rFonts w:ascii="Palatino Linotype" w:hAnsi="Palatino Linotype" w:cs="Arial"/>
                <w:b/>
                <w:noProof/>
                <w:sz w:val="20"/>
                <w:szCs w:val="20"/>
                <w:lang w:val="es-ES_tradnl" w:eastAsia="es-ES"/>
              </w:rPr>
              <w:t>OCTAVO. De la versión pública.</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_Toc70709641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43</w:t>
            </w:r>
            <w:r w:rsidR="008217C7" w:rsidRPr="008217C7">
              <w:rPr>
                <w:rFonts w:ascii="Palatino Linotype" w:hAnsi="Palatino Linotype"/>
                <w:b/>
                <w:noProof/>
                <w:webHidden/>
                <w:sz w:val="20"/>
                <w:szCs w:val="20"/>
              </w:rPr>
              <w:fldChar w:fldCharType="end"/>
            </w:r>
          </w:hyperlink>
        </w:p>
        <w:p w14:paraId="1092334E" w14:textId="77777777" w:rsidR="008217C7" w:rsidRPr="008217C7" w:rsidRDefault="00094C8D" w:rsidP="008217C7">
          <w:pPr>
            <w:pStyle w:val="TDC3"/>
            <w:tabs>
              <w:tab w:val="right" w:leader="dot" w:pos="9062"/>
            </w:tabs>
            <w:ind w:left="0"/>
            <w:rPr>
              <w:rFonts w:ascii="Palatino Linotype" w:eastAsiaTheme="minorEastAsia" w:hAnsi="Palatino Linotype"/>
              <w:b/>
              <w:noProof/>
              <w:sz w:val="20"/>
              <w:szCs w:val="20"/>
              <w:lang w:eastAsia="es-MX"/>
            </w:rPr>
          </w:pPr>
          <w:hyperlink w:anchor="_Toc70709642" w:history="1">
            <w:r w:rsidR="008217C7" w:rsidRPr="008217C7">
              <w:rPr>
                <w:rStyle w:val="Hipervnculo"/>
                <w:rFonts w:ascii="Palatino Linotype" w:hAnsi="Palatino Linotype" w:cs="Arial"/>
                <w:b/>
                <w:noProof/>
                <w:sz w:val="20"/>
                <w:szCs w:val="20"/>
              </w:rPr>
              <w:t>I. Requisitos previos.</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_Toc70709642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45</w:t>
            </w:r>
            <w:r w:rsidR="008217C7" w:rsidRPr="008217C7">
              <w:rPr>
                <w:rFonts w:ascii="Palatino Linotype" w:hAnsi="Palatino Linotype"/>
                <w:b/>
                <w:noProof/>
                <w:webHidden/>
                <w:sz w:val="20"/>
                <w:szCs w:val="20"/>
              </w:rPr>
              <w:fldChar w:fldCharType="end"/>
            </w:r>
          </w:hyperlink>
        </w:p>
        <w:p w14:paraId="53C6F2D4" w14:textId="77777777" w:rsidR="008217C7" w:rsidRPr="008217C7" w:rsidRDefault="00094C8D" w:rsidP="008217C7">
          <w:pPr>
            <w:pStyle w:val="TDC3"/>
            <w:tabs>
              <w:tab w:val="right" w:leader="dot" w:pos="9062"/>
            </w:tabs>
            <w:ind w:left="0"/>
            <w:rPr>
              <w:rFonts w:ascii="Palatino Linotype" w:eastAsiaTheme="minorEastAsia" w:hAnsi="Palatino Linotype"/>
              <w:b/>
              <w:noProof/>
              <w:sz w:val="20"/>
              <w:szCs w:val="20"/>
              <w:lang w:eastAsia="es-MX"/>
            </w:rPr>
          </w:pPr>
          <w:hyperlink w:anchor="_Toc70709643" w:history="1">
            <w:r w:rsidR="008217C7" w:rsidRPr="008217C7">
              <w:rPr>
                <w:rStyle w:val="Hipervnculo"/>
                <w:rFonts w:ascii="Palatino Linotype" w:hAnsi="Palatino Linotype" w:cs="Arial"/>
                <w:b/>
                <w:noProof/>
                <w:sz w:val="20"/>
                <w:szCs w:val="20"/>
              </w:rPr>
              <w:t>II. Supuestos de clasificación.</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_Toc70709643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46</w:t>
            </w:r>
            <w:r w:rsidR="008217C7" w:rsidRPr="008217C7">
              <w:rPr>
                <w:rFonts w:ascii="Palatino Linotype" w:hAnsi="Palatino Linotype"/>
                <w:b/>
                <w:noProof/>
                <w:webHidden/>
                <w:sz w:val="20"/>
                <w:szCs w:val="20"/>
              </w:rPr>
              <w:fldChar w:fldCharType="end"/>
            </w:r>
          </w:hyperlink>
        </w:p>
        <w:p w14:paraId="125E9166" w14:textId="77777777" w:rsidR="008217C7" w:rsidRPr="008217C7" w:rsidRDefault="00094C8D" w:rsidP="008217C7">
          <w:pPr>
            <w:pStyle w:val="TDC3"/>
            <w:tabs>
              <w:tab w:val="right" w:leader="dot" w:pos="9062"/>
            </w:tabs>
            <w:ind w:left="0"/>
            <w:rPr>
              <w:rFonts w:ascii="Palatino Linotype" w:eastAsiaTheme="minorEastAsia" w:hAnsi="Palatino Linotype"/>
              <w:b/>
              <w:noProof/>
              <w:sz w:val="20"/>
              <w:szCs w:val="20"/>
              <w:lang w:eastAsia="es-MX"/>
            </w:rPr>
          </w:pPr>
          <w:hyperlink w:anchor="_Toc70709644" w:history="1">
            <w:r w:rsidR="008217C7" w:rsidRPr="008217C7">
              <w:rPr>
                <w:rStyle w:val="Hipervnculo"/>
                <w:rFonts w:ascii="Palatino Linotype" w:hAnsi="Palatino Linotype" w:cs="Arial"/>
                <w:b/>
                <w:noProof/>
                <w:sz w:val="20"/>
                <w:szCs w:val="20"/>
              </w:rPr>
              <w:t>III. La intervención del Comité de Transparencia.</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_Toc70709644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49</w:t>
            </w:r>
            <w:r w:rsidR="008217C7" w:rsidRPr="008217C7">
              <w:rPr>
                <w:rFonts w:ascii="Palatino Linotype" w:hAnsi="Palatino Linotype"/>
                <w:b/>
                <w:noProof/>
                <w:webHidden/>
                <w:sz w:val="20"/>
                <w:szCs w:val="20"/>
              </w:rPr>
              <w:fldChar w:fldCharType="end"/>
            </w:r>
          </w:hyperlink>
        </w:p>
        <w:p w14:paraId="50FCBC7D" w14:textId="77777777" w:rsidR="008217C7" w:rsidRPr="008217C7" w:rsidRDefault="00094C8D">
          <w:pPr>
            <w:pStyle w:val="TDC1"/>
            <w:rPr>
              <w:rFonts w:ascii="Palatino Linotype" w:eastAsiaTheme="minorEastAsia" w:hAnsi="Palatino Linotype"/>
              <w:b/>
              <w:noProof/>
              <w:lang w:eastAsia="es-MX"/>
            </w:rPr>
          </w:pPr>
          <w:hyperlink w:anchor="_Toc70709645" w:history="1">
            <w:r w:rsidR="008217C7" w:rsidRPr="008217C7">
              <w:rPr>
                <w:rStyle w:val="Hipervnculo"/>
                <w:rFonts w:ascii="Palatino Linotype" w:hAnsi="Palatino Linotype"/>
                <w:b/>
                <w:noProof/>
                <w:sz w:val="20"/>
                <w:szCs w:val="20"/>
              </w:rPr>
              <w:t>SEXTO. De la determinación.</w:t>
            </w:r>
            <w:r w:rsidR="008217C7" w:rsidRPr="008217C7">
              <w:rPr>
                <w:rFonts w:ascii="Palatino Linotype" w:hAnsi="Palatino Linotype"/>
                <w:b/>
                <w:noProof/>
                <w:webHidden/>
                <w:sz w:val="20"/>
                <w:szCs w:val="20"/>
              </w:rPr>
              <w:tab/>
            </w:r>
            <w:r w:rsidR="008217C7" w:rsidRPr="008217C7">
              <w:rPr>
                <w:rFonts w:ascii="Palatino Linotype" w:hAnsi="Palatino Linotype"/>
                <w:b/>
                <w:noProof/>
                <w:webHidden/>
                <w:sz w:val="20"/>
                <w:szCs w:val="20"/>
              </w:rPr>
              <w:fldChar w:fldCharType="begin"/>
            </w:r>
            <w:r w:rsidR="008217C7" w:rsidRPr="008217C7">
              <w:rPr>
                <w:rFonts w:ascii="Palatino Linotype" w:hAnsi="Palatino Linotype"/>
                <w:b/>
                <w:noProof/>
                <w:webHidden/>
                <w:sz w:val="20"/>
                <w:szCs w:val="20"/>
              </w:rPr>
              <w:instrText xml:space="preserve"> PAGEREF _Toc70709645 \h </w:instrText>
            </w:r>
            <w:r w:rsidR="008217C7" w:rsidRPr="008217C7">
              <w:rPr>
                <w:rFonts w:ascii="Palatino Linotype" w:hAnsi="Palatino Linotype"/>
                <w:b/>
                <w:noProof/>
                <w:webHidden/>
                <w:sz w:val="20"/>
                <w:szCs w:val="20"/>
              </w:rPr>
            </w:r>
            <w:r w:rsidR="008217C7" w:rsidRPr="008217C7">
              <w:rPr>
                <w:rFonts w:ascii="Palatino Linotype" w:hAnsi="Palatino Linotype"/>
                <w:b/>
                <w:noProof/>
                <w:webHidden/>
                <w:sz w:val="20"/>
                <w:szCs w:val="20"/>
              </w:rPr>
              <w:fldChar w:fldCharType="separate"/>
            </w:r>
            <w:r w:rsidR="008217C7" w:rsidRPr="008217C7">
              <w:rPr>
                <w:rFonts w:ascii="Palatino Linotype" w:hAnsi="Palatino Linotype"/>
                <w:b/>
                <w:noProof/>
                <w:webHidden/>
                <w:sz w:val="20"/>
                <w:szCs w:val="20"/>
              </w:rPr>
              <w:t>54</w:t>
            </w:r>
            <w:r w:rsidR="008217C7" w:rsidRPr="008217C7">
              <w:rPr>
                <w:rFonts w:ascii="Palatino Linotype" w:hAnsi="Palatino Linotype"/>
                <w:b/>
                <w:noProof/>
                <w:webHidden/>
                <w:sz w:val="20"/>
                <w:szCs w:val="20"/>
              </w:rPr>
              <w:fldChar w:fldCharType="end"/>
            </w:r>
          </w:hyperlink>
        </w:p>
        <w:p w14:paraId="0AD7D75D" w14:textId="77777777" w:rsidR="008217C7" w:rsidRDefault="00094C8D">
          <w:pPr>
            <w:pStyle w:val="TDC1"/>
            <w:rPr>
              <w:rFonts w:eastAsiaTheme="minorEastAsia"/>
              <w:noProof/>
              <w:lang w:eastAsia="es-MX"/>
            </w:rPr>
          </w:pPr>
          <w:hyperlink w:anchor="_Toc70709646" w:history="1">
            <w:r w:rsidR="008217C7" w:rsidRPr="008217C7">
              <w:rPr>
                <w:rStyle w:val="Hipervnculo"/>
                <w:rFonts w:ascii="Palatino Linotype" w:eastAsia="Times New Roman" w:hAnsi="Palatino Linotype"/>
                <w:b/>
                <w:noProof/>
                <w:lang w:val="es-ES_tradnl" w:eastAsia="es-ES"/>
              </w:rPr>
              <w:t>R E S O L U T I V O S</w:t>
            </w:r>
            <w:r w:rsidR="008217C7" w:rsidRPr="008217C7">
              <w:rPr>
                <w:rFonts w:ascii="Palatino Linotype" w:hAnsi="Palatino Linotype"/>
                <w:b/>
                <w:noProof/>
                <w:webHidden/>
              </w:rPr>
              <w:tab/>
            </w:r>
            <w:r w:rsidR="008217C7" w:rsidRPr="008217C7">
              <w:rPr>
                <w:rFonts w:ascii="Palatino Linotype" w:hAnsi="Palatino Linotype"/>
                <w:b/>
                <w:noProof/>
                <w:webHidden/>
              </w:rPr>
              <w:fldChar w:fldCharType="begin"/>
            </w:r>
            <w:r w:rsidR="008217C7" w:rsidRPr="008217C7">
              <w:rPr>
                <w:rFonts w:ascii="Palatino Linotype" w:hAnsi="Palatino Linotype"/>
                <w:b/>
                <w:noProof/>
                <w:webHidden/>
              </w:rPr>
              <w:instrText xml:space="preserve"> PAGEREF _Toc70709646 \h </w:instrText>
            </w:r>
            <w:r w:rsidR="008217C7" w:rsidRPr="008217C7">
              <w:rPr>
                <w:rFonts w:ascii="Palatino Linotype" w:hAnsi="Palatino Linotype"/>
                <w:b/>
                <w:noProof/>
                <w:webHidden/>
              </w:rPr>
            </w:r>
            <w:r w:rsidR="008217C7" w:rsidRPr="008217C7">
              <w:rPr>
                <w:rFonts w:ascii="Palatino Linotype" w:hAnsi="Palatino Linotype"/>
                <w:b/>
                <w:noProof/>
                <w:webHidden/>
              </w:rPr>
              <w:fldChar w:fldCharType="separate"/>
            </w:r>
            <w:r w:rsidR="008217C7" w:rsidRPr="008217C7">
              <w:rPr>
                <w:rFonts w:ascii="Palatino Linotype" w:hAnsi="Palatino Linotype"/>
                <w:b/>
                <w:noProof/>
                <w:webHidden/>
              </w:rPr>
              <w:t>56</w:t>
            </w:r>
            <w:r w:rsidR="008217C7" w:rsidRPr="008217C7">
              <w:rPr>
                <w:rFonts w:ascii="Palatino Linotype" w:hAnsi="Palatino Linotype"/>
                <w:b/>
                <w:noProof/>
                <w:webHidden/>
              </w:rPr>
              <w:fldChar w:fldCharType="end"/>
            </w:r>
          </w:hyperlink>
        </w:p>
        <w:p w14:paraId="156DB6FF" w14:textId="77777777" w:rsidR="007074A2" w:rsidRPr="007074A2" w:rsidRDefault="007074A2">
          <w:pPr>
            <w:rPr>
              <w:rFonts w:ascii="Palatino Linotype" w:hAnsi="Palatino Linotype" w:cs="Arial"/>
              <w:b/>
              <w:sz w:val="24"/>
              <w:szCs w:val="24"/>
            </w:rPr>
          </w:pPr>
          <w:r w:rsidRPr="007074A2">
            <w:rPr>
              <w:rFonts w:ascii="Palatino Linotype" w:hAnsi="Palatino Linotype" w:cs="Arial"/>
              <w:b/>
              <w:bCs/>
              <w:sz w:val="24"/>
              <w:szCs w:val="24"/>
              <w:lang w:val="es-ES"/>
            </w:rPr>
            <w:fldChar w:fldCharType="end"/>
          </w:r>
        </w:p>
      </w:sdtContent>
    </w:sdt>
    <w:p w14:paraId="2D120E8F" w14:textId="77777777" w:rsidR="004F1E7D" w:rsidRPr="004B5D57" w:rsidRDefault="004F1E7D" w:rsidP="004F1E7D">
      <w:pPr>
        <w:spacing w:after="0" w:line="360" w:lineRule="auto"/>
        <w:jc w:val="both"/>
        <w:rPr>
          <w:rFonts w:ascii="Palatino Linotype" w:eastAsiaTheme="minorEastAsia" w:hAnsi="Palatino Linotype"/>
          <w:sz w:val="24"/>
          <w:szCs w:val="24"/>
          <w:lang w:val="es-ES_tradnl" w:eastAsia="es-ES"/>
        </w:rPr>
      </w:pPr>
      <w:r w:rsidRPr="004B5D57">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826149">
        <w:rPr>
          <w:rFonts w:ascii="Palatino Linotype" w:eastAsiaTheme="minorEastAsia" w:hAnsi="Palatino Linotype"/>
          <w:sz w:val="24"/>
          <w:szCs w:val="24"/>
          <w:lang w:val="es-ES_tradnl" w:eastAsia="es-ES"/>
        </w:rPr>
        <w:t xml:space="preserve">éxico; de fecha seis </w:t>
      </w:r>
      <w:r w:rsidR="00426E8E">
        <w:rPr>
          <w:rFonts w:ascii="Palatino Linotype" w:eastAsiaTheme="minorEastAsia" w:hAnsi="Palatino Linotype"/>
          <w:sz w:val="24"/>
          <w:szCs w:val="24"/>
          <w:lang w:val="es-ES_tradnl" w:eastAsia="es-ES"/>
        </w:rPr>
        <w:t>(</w:t>
      </w:r>
      <w:r w:rsidR="00826149">
        <w:rPr>
          <w:rFonts w:ascii="Palatino Linotype" w:eastAsiaTheme="minorEastAsia" w:hAnsi="Palatino Linotype"/>
          <w:sz w:val="24"/>
          <w:szCs w:val="24"/>
          <w:lang w:val="es-ES_tradnl" w:eastAsia="es-ES"/>
        </w:rPr>
        <w:t>06</w:t>
      </w:r>
      <w:r w:rsidRPr="004B5D57">
        <w:rPr>
          <w:rFonts w:ascii="Palatino Linotype" w:eastAsiaTheme="minorEastAsia" w:hAnsi="Palatino Linotype"/>
          <w:sz w:val="24"/>
          <w:szCs w:val="24"/>
          <w:lang w:val="es-ES_tradnl" w:eastAsia="es-ES"/>
        </w:rPr>
        <w:t>) de</w:t>
      </w:r>
      <w:r w:rsidR="00826149">
        <w:rPr>
          <w:rFonts w:ascii="Palatino Linotype" w:eastAsiaTheme="minorEastAsia" w:hAnsi="Palatino Linotype"/>
          <w:sz w:val="24"/>
          <w:szCs w:val="24"/>
          <w:lang w:val="es-ES_tradnl" w:eastAsia="es-ES"/>
        </w:rPr>
        <w:t xml:space="preserve"> mayo</w:t>
      </w:r>
      <w:r w:rsidRPr="004B5D57">
        <w:rPr>
          <w:rFonts w:ascii="Palatino Linotype" w:eastAsiaTheme="minorEastAsia" w:hAnsi="Palatino Linotype"/>
          <w:sz w:val="24"/>
          <w:szCs w:val="24"/>
          <w:lang w:val="es-ES_tradnl" w:eastAsia="es-ES"/>
        </w:rPr>
        <w:t xml:space="preserve"> de dos mil veintiuno.</w:t>
      </w:r>
    </w:p>
    <w:p w14:paraId="28C54716" w14:textId="77777777" w:rsidR="004F1E7D" w:rsidRPr="004B5D57" w:rsidRDefault="004F1E7D" w:rsidP="004F1E7D">
      <w:pPr>
        <w:spacing w:after="0" w:line="360" w:lineRule="auto"/>
        <w:jc w:val="both"/>
        <w:rPr>
          <w:rFonts w:ascii="Palatino Linotype" w:eastAsiaTheme="minorEastAsia" w:hAnsi="Palatino Linotype"/>
          <w:sz w:val="24"/>
          <w:szCs w:val="24"/>
          <w:lang w:val="es-ES_tradnl" w:eastAsia="es-ES"/>
        </w:rPr>
      </w:pPr>
    </w:p>
    <w:p w14:paraId="3344E73E" w14:textId="0C83F323" w:rsidR="004F1E7D" w:rsidRPr="004B5D57" w:rsidRDefault="004F1E7D" w:rsidP="004F1E7D">
      <w:pPr>
        <w:spacing w:after="0" w:line="360" w:lineRule="auto"/>
        <w:jc w:val="both"/>
        <w:rPr>
          <w:rFonts w:ascii="Palatino Linotype" w:hAnsi="Palatino Linotype"/>
          <w:sz w:val="24"/>
        </w:rPr>
      </w:pPr>
      <w:r w:rsidRPr="004B5D57">
        <w:rPr>
          <w:rFonts w:ascii="Palatino Linotype" w:hAnsi="Palatino Linotype"/>
          <w:b/>
          <w:sz w:val="24"/>
        </w:rPr>
        <w:t>VISTO</w:t>
      </w:r>
      <w:r w:rsidRPr="004B5D57">
        <w:rPr>
          <w:rFonts w:ascii="Palatino Linotype" w:hAnsi="Palatino Linotype"/>
          <w:sz w:val="24"/>
        </w:rPr>
        <w:t xml:space="preserve"> el expediente electrónico formado con motivo del recurso de revisión </w:t>
      </w:r>
      <w:r w:rsidRPr="004B5D57">
        <w:rPr>
          <w:rFonts w:ascii="Palatino Linotype" w:hAnsi="Palatino Linotype"/>
          <w:b/>
          <w:sz w:val="24"/>
        </w:rPr>
        <w:t>00</w:t>
      </w:r>
      <w:r w:rsidR="00826149">
        <w:rPr>
          <w:rFonts w:ascii="Palatino Linotype" w:hAnsi="Palatino Linotype"/>
          <w:b/>
          <w:sz w:val="24"/>
        </w:rPr>
        <w:t>528</w:t>
      </w:r>
      <w:r w:rsidRPr="004B5D57">
        <w:rPr>
          <w:rFonts w:ascii="Palatino Linotype" w:hAnsi="Palatino Linotype"/>
          <w:b/>
          <w:sz w:val="24"/>
        </w:rPr>
        <w:t>/INFOEM/IP/RR/2021,</w:t>
      </w:r>
      <w:r w:rsidRPr="004B5D57">
        <w:rPr>
          <w:rFonts w:ascii="Palatino Linotype" w:hAnsi="Palatino Linotype" w:cs="Arial"/>
          <w:b/>
          <w:bCs/>
          <w:sz w:val="24"/>
        </w:rPr>
        <w:t xml:space="preserve"> </w:t>
      </w:r>
      <w:r w:rsidR="00826149">
        <w:rPr>
          <w:rFonts w:ascii="Palatino Linotype" w:eastAsiaTheme="minorEastAsia" w:hAnsi="Palatino Linotype"/>
          <w:sz w:val="24"/>
          <w:szCs w:val="24"/>
          <w:lang w:val="es-ES_tradnl" w:eastAsia="es-ES"/>
        </w:rPr>
        <w:t xml:space="preserve">promovido por </w:t>
      </w:r>
      <w:r w:rsidR="00211CC7" w:rsidRPr="00211CC7">
        <w:rPr>
          <w:rFonts w:ascii="Palatino Linotype" w:eastAsiaTheme="minorEastAsia" w:hAnsi="Palatino Linotype"/>
          <w:b/>
          <w:sz w:val="24"/>
          <w:szCs w:val="24"/>
          <w:highlight w:val="black"/>
          <w:lang w:val="es-ES_tradnl" w:eastAsia="es-ES"/>
        </w:rPr>
        <w:t>-----------------------------------------------</w:t>
      </w:r>
      <w:r w:rsidRPr="004B5D57">
        <w:rPr>
          <w:rFonts w:ascii="Palatino Linotype" w:hAnsi="Palatino Linotype"/>
          <w:sz w:val="24"/>
        </w:rPr>
        <w:t xml:space="preserve">, quien en lo sucesivo se identificará como </w:t>
      </w:r>
      <w:r w:rsidRPr="004B5D57">
        <w:rPr>
          <w:rFonts w:ascii="Palatino Linotype" w:hAnsi="Palatino Linotype"/>
          <w:b/>
          <w:sz w:val="24"/>
        </w:rPr>
        <w:t xml:space="preserve">EL </w:t>
      </w:r>
      <w:r w:rsidRPr="004B5D57">
        <w:rPr>
          <w:rFonts w:ascii="Palatino Linotype" w:hAnsi="Palatino Linotype" w:cs="Arial"/>
          <w:b/>
          <w:sz w:val="24"/>
        </w:rPr>
        <w:t>RECURRENTE</w:t>
      </w:r>
      <w:r w:rsidRPr="004B5D57">
        <w:rPr>
          <w:rFonts w:ascii="Palatino Linotype" w:hAnsi="Palatino Linotype" w:cs="Arial"/>
          <w:sz w:val="24"/>
        </w:rPr>
        <w:t>,</w:t>
      </w:r>
      <w:r w:rsidR="00345239">
        <w:rPr>
          <w:rFonts w:ascii="Palatino Linotype" w:hAnsi="Palatino Linotype" w:cs="Arial"/>
          <w:sz w:val="24"/>
        </w:rPr>
        <w:t xml:space="preserve"> en contra de la respuesta del</w:t>
      </w:r>
      <w:r w:rsidRPr="004B5D57">
        <w:rPr>
          <w:rFonts w:ascii="Palatino Linotype" w:hAnsi="Palatino Linotype" w:cs="Arial"/>
          <w:sz w:val="24"/>
        </w:rPr>
        <w:t xml:space="preserve"> </w:t>
      </w:r>
      <w:r w:rsidR="00345239">
        <w:rPr>
          <w:rFonts w:ascii="Palatino Linotype" w:hAnsi="Palatino Linotype" w:cs="Arial"/>
          <w:b/>
          <w:sz w:val="24"/>
        </w:rPr>
        <w:t>Ayuntamiento de Atizapán de Zaragoza</w:t>
      </w:r>
      <w:r w:rsidRPr="004B5D57">
        <w:rPr>
          <w:rFonts w:ascii="Palatino Linotype" w:hAnsi="Palatino Linotype" w:cs="Arial"/>
          <w:b/>
          <w:sz w:val="24"/>
        </w:rPr>
        <w:t>,</w:t>
      </w:r>
      <w:r w:rsidRPr="004B5D57">
        <w:rPr>
          <w:rFonts w:ascii="Palatino Linotype" w:hAnsi="Palatino Linotype"/>
          <w:b/>
          <w:sz w:val="24"/>
        </w:rPr>
        <w:t xml:space="preserve"> </w:t>
      </w:r>
      <w:r w:rsidRPr="004B5D57">
        <w:rPr>
          <w:rFonts w:ascii="Palatino Linotype" w:hAnsi="Palatino Linotype"/>
          <w:sz w:val="24"/>
        </w:rPr>
        <w:t>en lo sucesivo el</w:t>
      </w:r>
      <w:r w:rsidRPr="004B5D57">
        <w:rPr>
          <w:rFonts w:ascii="Palatino Linotype" w:hAnsi="Palatino Linotype"/>
          <w:b/>
          <w:sz w:val="24"/>
        </w:rPr>
        <w:t xml:space="preserve"> SUJETO OBLIGADO</w:t>
      </w:r>
      <w:r w:rsidRPr="004B5D57">
        <w:rPr>
          <w:rFonts w:ascii="Palatino Linotype" w:hAnsi="Palatino Linotype"/>
          <w:sz w:val="24"/>
        </w:rPr>
        <w:t>, por lo que se procede a dictar la presente resolución, con base en los siguientes:</w:t>
      </w:r>
    </w:p>
    <w:p w14:paraId="7567FD9A" w14:textId="77777777" w:rsidR="00CE7AB0" w:rsidRDefault="00CE7AB0" w:rsidP="00CE7AB0">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2" w:name="_Toc70709627"/>
      <w:r w:rsidRPr="00E2121E">
        <w:rPr>
          <w:rFonts w:ascii="Palatino Linotype" w:eastAsiaTheme="majorEastAsia" w:hAnsi="Palatino Linotype" w:cstheme="majorBidi"/>
          <w:b/>
          <w:sz w:val="24"/>
          <w:szCs w:val="32"/>
        </w:rPr>
        <w:t>A N T E C E D E N T E S</w:t>
      </w:r>
      <w:bookmarkEnd w:id="2"/>
    </w:p>
    <w:p w14:paraId="3178F31C" w14:textId="77777777" w:rsidR="004F1E7D" w:rsidRPr="004B5D57" w:rsidRDefault="004F1E7D" w:rsidP="004F1E7D">
      <w:pPr>
        <w:spacing w:after="0" w:line="360" w:lineRule="auto"/>
        <w:rPr>
          <w:rFonts w:ascii="Palatino Linotype" w:eastAsiaTheme="minorEastAsia" w:hAnsi="Palatino Linotype"/>
          <w:sz w:val="24"/>
          <w:szCs w:val="24"/>
        </w:rPr>
      </w:pPr>
    </w:p>
    <w:p w14:paraId="08133DE3" w14:textId="77777777" w:rsidR="00426E8E" w:rsidRPr="002D7235" w:rsidRDefault="004F1E7D" w:rsidP="00426E8E">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426E8E">
        <w:rPr>
          <w:rFonts w:ascii="Palatino Linotype" w:eastAsia="Calibri" w:hAnsi="Palatino Linotype" w:cs="Arial"/>
          <w:sz w:val="24"/>
          <w:szCs w:val="24"/>
          <w:lang w:val="es-ES" w:eastAsia="es-ES"/>
        </w:rPr>
        <w:t>El</w:t>
      </w:r>
      <w:r w:rsidR="00345239">
        <w:rPr>
          <w:rFonts w:ascii="Palatino Linotype" w:eastAsia="Calibri" w:hAnsi="Palatino Linotype" w:cs="Arial"/>
          <w:sz w:val="24"/>
          <w:szCs w:val="24"/>
          <w:lang w:val="es-ES" w:eastAsia="es-ES"/>
        </w:rPr>
        <w:t xml:space="preserve"> veintiocho</w:t>
      </w:r>
      <w:r w:rsidRPr="00426E8E">
        <w:rPr>
          <w:rFonts w:ascii="Palatino Linotype" w:eastAsia="Calibri" w:hAnsi="Palatino Linotype" w:cs="Arial"/>
          <w:sz w:val="24"/>
          <w:szCs w:val="24"/>
          <w:lang w:val="es-ES" w:eastAsia="es-ES"/>
        </w:rPr>
        <w:t xml:space="preserve"> (</w:t>
      </w:r>
      <w:r w:rsidR="00345239">
        <w:rPr>
          <w:rFonts w:ascii="Palatino Linotype" w:eastAsia="Calibri" w:hAnsi="Palatino Linotype" w:cs="Arial"/>
          <w:sz w:val="24"/>
          <w:szCs w:val="24"/>
          <w:lang w:val="es-ES" w:eastAsia="es-ES"/>
        </w:rPr>
        <w:t>28</w:t>
      </w:r>
      <w:r w:rsidR="00F71D42">
        <w:rPr>
          <w:rFonts w:ascii="Palatino Linotype" w:eastAsia="Calibri" w:hAnsi="Palatino Linotype" w:cs="Arial"/>
          <w:sz w:val="24"/>
          <w:szCs w:val="24"/>
          <w:lang w:val="es-ES" w:eastAsia="es-ES"/>
        </w:rPr>
        <w:t xml:space="preserve">) de </w:t>
      </w:r>
      <w:r w:rsidR="00345239">
        <w:rPr>
          <w:rFonts w:ascii="Palatino Linotype" w:eastAsia="Calibri" w:hAnsi="Palatino Linotype" w:cs="Arial"/>
          <w:sz w:val="24"/>
          <w:szCs w:val="24"/>
          <w:lang w:val="es-ES" w:eastAsia="es-ES"/>
        </w:rPr>
        <w:t>enero</w:t>
      </w:r>
      <w:r w:rsidR="00F71D42">
        <w:rPr>
          <w:rFonts w:ascii="Palatino Linotype" w:eastAsia="Calibri" w:hAnsi="Palatino Linotype" w:cs="Arial"/>
          <w:sz w:val="24"/>
          <w:szCs w:val="24"/>
          <w:lang w:val="es-ES" w:eastAsia="es-ES"/>
        </w:rPr>
        <w:t xml:space="preserve"> de dos </w:t>
      </w:r>
      <w:r w:rsidRPr="00426E8E">
        <w:rPr>
          <w:rFonts w:ascii="Palatino Linotype" w:eastAsia="Calibri" w:hAnsi="Palatino Linotype" w:cs="Arial"/>
          <w:sz w:val="24"/>
          <w:szCs w:val="24"/>
          <w:lang w:val="es-ES" w:eastAsia="es-ES"/>
        </w:rPr>
        <w:t>mil veintiuno,</w:t>
      </w:r>
      <w:r w:rsidRPr="00426E8E">
        <w:rPr>
          <w:rFonts w:ascii="Palatino Linotype" w:eastAsia="Calibri" w:hAnsi="Palatino Linotype" w:cs="Times New Roman"/>
          <w:sz w:val="24"/>
          <w:szCs w:val="24"/>
          <w:lang w:val="es-ES" w:eastAsia="es-ES"/>
        </w:rPr>
        <w:t xml:space="preserve"> </w:t>
      </w:r>
      <w:r w:rsidR="00426E8E" w:rsidRPr="002D7235">
        <w:rPr>
          <w:rFonts w:ascii="Palatino Linotype" w:eastAsia="Calibri" w:hAnsi="Palatino Linotype" w:cs="Times New Roman"/>
          <w:sz w:val="24"/>
          <w:szCs w:val="24"/>
          <w:lang w:val="es-ES" w:eastAsia="es-ES"/>
        </w:rPr>
        <w:t>se</w:t>
      </w:r>
      <w:r w:rsidR="00426E8E" w:rsidRPr="002D7235">
        <w:rPr>
          <w:rFonts w:ascii="Palatino Linotype" w:eastAsiaTheme="minorEastAsia" w:hAnsi="Palatino Linotype"/>
          <w:b/>
          <w:sz w:val="24"/>
          <w:lang w:val="es-ES_tradnl" w:eastAsia="es-ES"/>
        </w:rPr>
        <w:t xml:space="preserve"> </w:t>
      </w:r>
      <w:r w:rsidR="00426E8E" w:rsidRPr="002D7235">
        <w:rPr>
          <w:rFonts w:ascii="Palatino Linotype" w:eastAsiaTheme="minorEastAsia" w:hAnsi="Palatino Linotype"/>
          <w:sz w:val="24"/>
          <w:lang w:val="es-ES_tradnl" w:eastAsia="es-ES"/>
        </w:rPr>
        <w:t xml:space="preserve">presentó </w:t>
      </w:r>
      <w:r w:rsidR="00426E8E" w:rsidRPr="002D7235">
        <w:rPr>
          <w:rFonts w:ascii="Palatino Linotype" w:eastAsia="Calibri" w:hAnsi="Palatino Linotype" w:cs="Arial"/>
          <w:sz w:val="24"/>
          <w:szCs w:val="24"/>
          <w:lang w:val="es-ES" w:eastAsia="es-ES"/>
        </w:rPr>
        <w:t xml:space="preserve">ante el </w:t>
      </w:r>
      <w:r w:rsidR="00426E8E" w:rsidRPr="002D7235">
        <w:rPr>
          <w:rFonts w:ascii="Palatino Linotype" w:eastAsia="Calibri" w:hAnsi="Palatino Linotype" w:cs="Arial"/>
          <w:b/>
          <w:sz w:val="24"/>
          <w:szCs w:val="24"/>
          <w:lang w:val="es-ES" w:eastAsia="es-ES"/>
        </w:rPr>
        <w:t>SUJETO OBLIGADO,</w:t>
      </w:r>
      <w:r w:rsidR="00426E8E" w:rsidRPr="002D7235">
        <w:rPr>
          <w:rFonts w:ascii="Palatino Linotype" w:eastAsia="Calibri" w:hAnsi="Palatino Linotype" w:cs="Arial"/>
          <w:sz w:val="24"/>
          <w:szCs w:val="24"/>
          <w:lang w:val="es-ES_tradnl" w:eastAsia="es-ES"/>
        </w:rPr>
        <w:t xml:space="preserve"> vía </w:t>
      </w:r>
      <w:r w:rsidR="00426E8E" w:rsidRPr="002D7235">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426E8E" w:rsidRPr="002D7235">
        <w:rPr>
          <w:rFonts w:ascii="Palatino Linotype" w:eastAsia="Times New Roman" w:hAnsi="Palatino Linotype" w:cs="Arial"/>
          <w:b/>
          <w:sz w:val="24"/>
          <w:szCs w:val="24"/>
          <w:lang w:val="es-ES" w:eastAsia="es-ES"/>
        </w:rPr>
        <w:t>0</w:t>
      </w:r>
      <w:r w:rsidR="00345239">
        <w:rPr>
          <w:rFonts w:ascii="Palatino Linotype" w:eastAsia="Times New Roman" w:hAnsi="Palatino Linotype" w:cs="Arial"/>
          <w:b/>
          <w:sz w:val="24"/>
          <w:szCs w:val="24"/>
          <w:lang w:val="es-ES" w:eastAsia="es-ES"/>
        </w:rPr>
        <w:t>0025</w:t>
      </w:r>
      <w:r w:rsidR="00426E8E" w:rsidRPr="002D7235">
        <w:rPr>
          <w:rFonts w:ascii="Palatino Linotype" w:eastAsia="Times New Roman" w:hAnsi="Palatino Linotype" w:cs="Arial"/>
          <w:b/>
          <w:sz w:val="24"/>
          <w:szCs w:val="24"/>
          <w:lang w:val="es-ES" w:eastAsia="es-ES"/>
        </w:rPr>
        <w:t>/</w:t>
      </w:r>
      <w:r w:rsidR="00345239">
        <w:rPr>
          <w:rFonts w:ascii="Palatino Linotype" w:eastAsia="Times New Roman" w:hAnsi="Palatino Linotype" w:cs="Arial"/>
          <w:b/>
          <w:sz w:val="24"/>
          <w:szCs w:val="24"/>
          <w:lang w:val="es-ES" w:eastAsia="es-ES"/>
        </w:rPr>
        <w:t>ATIZARA</w:t>
      </w:r>
      <w:r w:rsidR="00426E8E" w:rsidRPr="002D7235">
        <w:rPr>
          <w:rFonts w:ascii="Palatino Linotype" w:eastAsia="Times New Roman" w:hAnsi="Palatino Linotype" w:cs="Arial"/>
          <w:b/>
          <w:sz w:val="24"/>
          <w:szCs w:val="24"/>
          <w:lang w:val="es-ES" w:eastAsia="es-ES"/>
        </w:rPr>
        <w:t>/IP/202</w:t>
      </w:r>
      <w:r w:rsidR="00426E8E">
        <w:rPr>
          <w:rFonts w:ascii="Palatino Linotype" w:eastAsia="Times New Roman" w:hAnsi="Palatino Linotype" w:cs="Arial"/>
          <w:b/>
          <w:sz w:val="24"/>
          <w:szCs w:val="24"/>
          <w:lang w:val="es-ES" w:eastAsia="es-ES"/>
        </w:rPr>
        <w:t>1</w:t>
      </w:r>
      <w:r w:rsidR="00426E8E" w:rsidRPr="002D7235">
        <w:rPr>
          <w:rFonts w:ascii="Palatino Linotype" w:eastAsia="Times New Roman" w:hAnsi="Palatino Linotype" w:cs="Arial"/>
          <w:b/>
          <w:sz w:val="24"/>
          <w:szCs w:val="24"/>
          <w:lang w:val="es-ES" w:eastAsia="es-ES"/>
        </w:rPr>
        <w:t xml:space="preserve">, </w:t>
      </w:r>
      <w:r w:rsidR="00426E8E" w:rsidRPr="002D7235">
        <w:rPr>
          <w:rFonts w:ascii="Palatino Linotype" w:eastAsia="Calibri" w:hAnsi="Palatino Linotype" w:cs="Arial"/>
          <w:sz w:val="24"/>
          <w:szCs w:val="24"/>
          <w:lang w:val="es-ES" w:eastAsia="es-ES"/>
        </w:rPr>
        <w:t>mediante la cual se requirió lo siguiente:</w:t>
      </w:r>
    </w:p>
    <w:p w14:paraId="6539D03B" w14:textId="77777777" w:rsidR="004F1E7D" w:rsidRPr="00426E8E" w:rsidRDefault="004F1E7D" w:rsidP="00426E8E">
      <w:pPr>
        <w:spacing w:after="0" w:line="360" w:lineRule="auto"/>
        <w:contextualSpacing/>
        <w:jc w:val="both"/>
        <w:rPr>
          <w:rFonts w:ascii="Palatino Linotype" w:eastAsia="Times New Roman" w:hAnsi="Palatino Linotype" w:cs="Arial"/>
          <w:sz w:val="24"/>
          <w:szCs w:val="24"/>
          <w:lang w:val="es-ES" w:eastAsia="es-ES"/>
        </w:rPr>
      </w:pPr>
    </w:p>
    <w:p w14:paraId="75F64C0F" w14:textId="77777777" w:rsidR="004F1E7D" w:rsidRPr="004B5D57" w:rsidRDefault="004F1E7D" w:rsidP="004F1E7D">
      <w:pPr>
        <w:pStyle w:val="Prrafodelista"/>
        <w:spacing w:after="0" w:line="360" w:lineRule="auto"/>
        <w:ind w:left="1069" w:right="567"/>
        <w:jc w:val="both"/>
        <w:rPr>
          <w:rFonts w:ascii="Palatino Linotype" w:hAnsi="Palatino Linotype"/>
          <w:i/>
          <w:color w:val="000000"/>
        </w:rPr>
      </w:pPr>
      <w:r w:rsidRPr="004B5D57">
        <w:rPr>
          <w:rFonts w:ascii="Palatino Linotype" w:hAnsi="Palatino Linotype"/>
          <w:i/>
          <w:color w:val="000000"/>
        </w:rPr>
        <w:t>“</w:t>
      </w:r>
      <w:r w:rsidR="000E3423" w:rsidRPr="000E3423">
        <w:rPr>
          <w:rFonts w:ascii="Palatino Linotype" w:hAnsi="Palatino Linotype"/>
          <w:i/>
          <w:color w:val="000000"/>
        </w:rPr>
        <w:t>SOLICITO ME SEAN PROPORCIONADAS EN VERSIÓN PUBLICA TODAS Y CADA UNA DE LAS AUTORIZACIONES DE "PRORROGA DE AUTORIZACIÓN DE CAMBIO DE USO DEL SUELO" EMITIDAS POR LA DIRECCIÓN GENERAL DE DESARROLLO TERRITORIAL DEL AYUNTAMIENTO DE ATIZAPAN DE ZARAGOZA DEL AÑO 2019 A LA FECHA DE LA PRESENTE SOLICITUD.</w:t>
      </w:r>
      <w:r w:rsidRPr="004B5D57">
        <w:rPr>
          <w:rFonts w:ascii="Palatino Linotype" w:hAnsi="Palatino Linotype"/>
          <w:i/>
          <w:color w:val="000000"/>
        </w:rPr>
        <w:t xml:space="preserve">” (Sic) </w:t>
      </w:r>
    </w:p>
    <w:p w14:paraId="04D0D97C" w14:textId="77777777" w:rsidR="004F1E7D" w:rsidRPr="004B5D57" w:rsidRDefault="004F1E7D" w:rsidP="004F1E7D">
      <w:pPr>
        <w:pStyle w:val="Prrafodelista"/>
        <w:spacing w:after="0" w:line="360" w:lineRule="auto"/>
        <w:ind w:left="1069" w:right="567"/>
        <w:jc w:val="both"/>
        <w:rPr>
          <w:rFonts w:ascii="Palatino Linotype" w:eastAsia="Calibri" w:hAnsi="Palatino Linotype" w:cs="Arial"/>
          <w:i/>
          <w:lang w:val="es-ES" w:eastAsia="es-ES"/>
        </w:rPr>
      </w:pPr>
    </w:p>
    <w:p w14:paraId="5B340B3D" w14:textId="77777777" w:rsidR="00426E8E" w:rsidRPr="000E3423" w:rsidRDefault="00426E8E" w:rsidP="000E3423">
      <w:pPr>
        <w:pStyle w:val="Prrafodelista"/>
        <w:numPr>
          <w:ilvl w:val="0"/>
          <w:numId w:val="1"/>
        </w:numPr>
        <w:tabs>
          <w:tab w:val="left" w:pos="426"/>
        </w:tabs>
        <w:spacing w:before="240" w:after="0" w:line="360" w:lineRule="auto"/>
        <w:ind w:left="0" w:firstLine="0"/>
        <w:jc w:val="both"/>
        <w:rPr>
          <w:rFonts w:ascii="Palatino Linotype" w:eastAsia="Calibri" w:hAnsi="Palatino Linotype" w:cs="Times New Roman"/>
          <w:b/>
          <w:sz w:val="24"/>
          <w:szCs w:val="24"/>
          <w:lang w:val="es-ES" w:eastAsia="es-ES"/>
        </w:rPr>
      </w:pPr>
      <w:r w:rsidRPr="000E3423">
        <w:rPr>
          <w:rFonts w:ascii="Palatino Linotype" w:hAnsi="Palatino Linotype" w:cs="Arial"/>
          <w:sz w:val="24"/>
        </w:rPr>
        <w:t xml:space="preserve">Se hace constar que </w:t>
      </w:r>
      <w:r w:rsidRPr="000E3423">
        <w:rPr>
          <w:rFonts w:ascii="Palatino Linotype" w:eastAsia="Times New Roman" w:hAnsi="Palatino Linotype" w:cs="Arial"/>
          <w:sz w:val="24"/>
          <w:lang w:val="es-ES"/>
        </w:rPr>
        <w:t>se señaló como modalida</w:t>
      </w:r>
      <w:r w:rsidR="000E3423">
        <w:rPr>
          <w:rFonts w:ascii="Palatino Linotype" w:eastAsia="Times New Roman" w:hAnsi="Palatino Linotype" w:cs="Arial"/>
          <w:sz w:val="24"/>
          <w:lang w:val="es-ES"/>
        </w:rPr>
        <w:t xml:space="preserve">d de entrega de la información: </w:t>
      </w:r>
      <w:r w:rsidR="000E3423" w:rsidRPr="000E3423">
        <w:rPr>
          <w:rFonts w:ascii="Palatino Linotype" w:eastAsia="Times New Roman" w:hAnsi="Palatino Linotype" w:cs="Arial"/>
          <w:b/>
          <w:sz w:val="24"/>
          <w:lang w:val="es-ES"/>
        </w:rPr>
        <w:t>CD-ROM (con costo)</w:t>
      </w:r>
    </w:p>
    <w:p w14:paraId="76A00EE7" w14:textId="77777777" w:rsidR="004F1E7D" w:rsidRPr="00426E8E" w:rsidRDefault="004F1E7D" w:rsidP="004F1E7D">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4B5D57">
        <w:rPr>
          <w:rFonts w:ascii="Palatino Linotype" w:eastAsiaTheme="minorEastAsia" w:hAnsi="Palatino Linotype"/>
          <w:sz w:val="24"/>
          <w:szCs w:val="24"/>
          <w:lang w:val="es-ES_tradnl" w:eastAsia="es-ES"/>
        </w:rPr>
        <w:lastRenderedPageBreak/>
        <w:t>E</w:t>
      </w:r>
      <w:r w:rsidR="000E3423">
        <w:rPr>
          <w:rFonts w:ascii="Palatino Linotype" w:eastAsiaTheme="minorEastAsia" w:hAnsi="Palatino Linotype"/>
          <w:sz w:val="24"/>
          <w:szCs w:val="24"/>
          <w:lang w:val="es-ES_tradnl" w:eastAsia="es-ES"/>
        </w:rPr>
        <w:t>l diecinueve</w:t>
      </w:r>
      <w:r w:rsidR="00E37476" w:rsidRPr="004B5D57">
        <w:rPr>
          <w:rFonts w:ascii="Palatino Linotype" w:eastAsiaTheme="minorEastAsia" w:hAnsi="Palatino Linotype"/>
          <w:sz w:val="24"/>
          <w:szCs w:val="24"/>
          <w:lang w:val="es-ES_tradnl" w:eastAsia="es-ES"/>
        </w:rPr>
        <w:t xml:space="preserve"> (</w:t>
      </w:r>
      <w:r w:rsidR="000E3423">
        <w:rPr>
          <w:rFonts w:ascii="Palatino Linotype" w:eastAsiaTheme="minorEastAsia" w:hAnsi="Palatino Linotype"/>
          <w:sz w:val="24"/>
          <w:szCs w:val="24"/>
          <w:lang w:val="es-ES_tradnl" w:eastAsia="es-ES"/>
        </w:rPr>
        <w:t>19</w:t>
      </w:r>
      <w:r w:rsidR="00E37476" w:rsidRPr="004B5D57">
        <w:rPr>
          <w:rFonts w:ascii="Palatino Linotype" w:eastAsiaTheme="minorEastAsia" w:hAnsi="Palatino Linotype"/>
          <w:sz w:val="24"/>
          <w:szCs w:val="24"/>
          <w:lang w:val="es-ES_tradnl" w:eastAsia="es-ES"/>
        </w:rPr>
        <w:t>) de febrero de dos mil veintiuno</w:t>
      </w:r>
      <w:r w:rsidRPr="004B5D57">
        <w:rPr>
          <w:rFonts w:ascii="Palatino Linotype" w:eastAsiaTheme="minorEastAsia" w:hAnsi="Palatino Linotype"/>
          <w:sz w:val="24"/>
          <w:szCs w:val="24"/>
          <w:lang w:val="es-ES_tradnl" w:eastAsia="es-ES"/>
        </w:rPr>
        <w:t xml:space="preserve">, </w:t>
      </w:r>
      <w:r w:rsidRPr="004B5D57">
        <w:rPr>
          <w:rFonts w:ascii="Palatino Linotype" w:eastAsia="Calibri" w:hAnsi="Palatino Linotype" w:cs="Times New Roman"/>
          <w:sz w:val="24"/>
          <w:szCs w:val="24"/>
          <w:lang w:val="es-ES" w:eastAsia="es-ES"/>
        </w:rPr>
        <w:t xml:space="preserve">el </w:t>
      </w:r>
      <w:r w:rsidRPr="004B5D57">
        <w:rPr>
          <w:rFonts w:ascii="Palatino Linotype" w:eastAsia="Calibri" w:hAnsi="Palatino Linotype" w:cs="Arial"/>
          <w:b/>
          <w:sz w:val="24"/>
          <w:szCs w:val="24"/>
          <w:lang w:val="es-AR" w:eastAsia="es-ES"/>
        </w:rPr>
        <w:t>SUJETO OBLIGADO</w:t>
      </w:r>
      <w:r w:rsidRPr="004B5D57">
        <w:rPr>
          <w:rFonts w:ascii="Palatino Linotype" w:eastAsia="Calibri" w:hAnsi="Palatino Linotype" w:cs="Arial"/>
          <w:b/>
          <w:i/>
          <w:sz w:val="24"/>
          <w:szCs w:val="24"/>
          <w:lang w:val="es-AR" w:eastAsia="es-ES"/>
        </w:rPr>
        <w:t xml:space="preserve"> </w:t>
      </w:r>
      <w:r w:rsidR="00426E8E">
        <w:rPr>
          <w:rFonts w:ascii="Palatino Linotype" w:eastAsia="Times New Roman" w:hAnsi="Palatino Linotype" w:cs="Arial"/>
          <w:sz w:val="24"/>
          <w:szCs w:val="24"/>
          <w:lang w:val="es-ES" w:eastAsia="es-ES"/>
        </w:rPr>
        <w:t>respondió</w:t>
      </w:r>
      <w:r w:rsidRPr="004B5D57">
        <w:rPr>
          <w:rFonts w:ascii="Palatino Linotype" w:eastAsia="Times New Roman" w:hAnsi="Palatino Linotype" w:cs="Arial"/>
          <w:sz w:val="24"/>
          <w:szCs w:val="24"/>
          <w:lang w:val="es-ES" w:eastAsia="es-ES"/>
        </w:rPr>
        <w:t xml:space="preserve"> a la solicitud de información en los siguientes términos:</w:t>
      </w:r>
    </w:p>
    <w:p w14:paraId="7568BBC3" w14:textId="77777777" w:rsidR="00426E8E" w:rsidRPr="004B5D57" w:rsidRDefault="00426E8E" w:rsidP="00426E8E">
      <w:pPr>
        <w:spacing w:after="0" w:line="360" w:lineRule="auto"/>
        <w:contextualSpacing/>
        <w:jc w:val="both"/>
        <w:rPr>
          <w:rFonts w:ascii="Palatino Linotype" w:eastAsia="Calibri" w:hAnsi="Palatino Linotype" w:cs="Times New Roman"/>
          <w:sz w:val="24"/>
          <w:szCs w:val="24"/>
          <w:lang w:val="es-ES" w:eastAsia="es-ES"/>
        </w:rPr>
      </w:pPr>
    </w:p>
    <w:p w14:paraId="4DF80DD1" w14:textId="77777777" w:rsidR="004F1E7D" w:rsidRPr="00426E8E" w:rsidRDefault="00426E8E" w:rsidP="00426E8E">
      <w:pPr>
        <w:spacing w:after="0" w:line="360" w:lineRule="auto"/>
        <w:ind w:left="851" w:right="850"/>
        <w:contextualSpacing/>
        <w:jc w:val="both"/>
        <w:rPr>
          <w:rFonts w:ascii="Palatino Linotype" w:eastAsia="Times New Roman" w:hAnsi="Palatino Linotype" w:cs="Arial"/>
          <w:i/>
          <w:lang w:val="es-ES" w:eastAsia="es-ES"/>
        </w:rPr>
      </w:pPr>
      <w:r>
        <w:rPr>
          <w:rFonts w:ascii="Palatino Linotype" w:hAnsi="Palatino Linotype"/>
          <w:i/>
          <w:color w:val="000000"/>
        </w:rPr>
        <w:t>“</w:t>
      </w:r>
      <w:r w:rsidR="000E3423" w:rsidRPr="000E3423">
        <w:rPr>
          <w:rFonts w:ascii="Palatino Linotype" w:hAnsi="Palatino Linotype"/>
          <w:i/>
          <w:color w:val="000000"/>
        </w:rPr>
        <w:t>En atención a su número de folio 00025/ATIZARA/IP/2021, al respecto me permito anexar en archivo electrónico en versión pública, las Prórrogas de Autorización de Cambio de uso del suelo, emitidas por esta Dirección General de Desarrollo Territorial, de acuerdo al Artículo 52 de la Ley de Transparencia y Acceso a la Información Pública del Estado de México y Municipios, que a la letra dice: Artículo 52.- “…Las solicitudes de acceso a la información y las respuestas que se les dé, incluyendo, en su caso, la información entregada, así como las resoluciones a los recursos que en su caso se promuevan serán públicas, y de ser el caso que contengan datos personales que deban ser protegidos se podrá dar su acceso en su versión pública, siempre y cuando la resolución de referencia se someta a un proceso de disociación, es decir, no haga identificable al titular de tales datos personales…” Lo anterior por disposición al “ACUERDO NÚMERO ACT/UTI/CTATIZARA/2°/2019-2021/SEGUNDO DEL COMITÉ DE TRANSPARENCIA DEL H. AYUNTAMIENTO DE ATIZAPÁN DE ZARAGOZA 2019-2021, DE SU SOLICITUD DE INFORMACIÓN EN MODALIDAD DE CONFIDENCIAL, EN SU SEGUNDA SESIÓN EXTRAORDINARIA, de fecha diez de febrero del año dos mil veinte, (mismo que anexo al presente). Agradeceré su atención al presente, quedo de usted. A T E N T A M E N T E ING. ARQ. NINA HERMOSILLO MIRANDA DIRECTORA GENERAL DE DESARROLLO TERRITORIAL</w:t>
      </w:r>
      <w:r w:rsidRPr="00426E8E">
        <w:rPr>
          <w:rFonts w:ascii="Palatino Linotype" w:hAnsi="Palatino Linotype"/>
          <w:i/>
          <w:color w:val="000000"/>
        </w:rPr>
        <w:t>.</w:t>
      </w:r>
      <w:r>
        <w:rPr>
          <w:rFonts w:ascii="Palatino Linotype" w:hAnsi="Palatino Linotype"/>
          <w:i/>
          <w:color w:val="000000"/>
        </w:rPr>
        <w:t>” (Sic)</w:t>
      </w:r>
    </w:p>
    <w:p w14:paraId="4036ED02" w14:textId="77777777" w:rsidR="004673C1" w:rsidRDefault="004673C1" w:rsidP="004673C1">
      <w:pPr>
        <w:pStyle w:val="Prrafodelista"/>
        <w:spacing w:after="0" w:line="360" w:lineRule="auto"/>
        <w:ind w:right="567"/>
        <w:jc w:val="both"/>
        <w:rPr>
          <w:rFonts w:ascii="Palatino Linotype" w:eastAsiaTheme="minorEastAsia" w:hAnsi="Palatino Linotype"/>
          <w:b/>
          <w:sz w:val="24"/>
          <w:szCs w:val="24"/>
          <w:lang w:val="es-ES_tradnl" w:eastAsia="es-ES"/>
        </w:rPr>
      </w:pPr>
    </w:p>
    <w:p w14:paraId="162F36A7" w14:textId="77777777" w:rsidR="00FF324B" w:rsidRDefault="00462575" w:rsidP="004673C1">
      <w:pPr>
        <w:pStyle w:val="Prrafodelista"/>
        <w:spacing w:after="0" w:line="360" w:lineRule="auto"/>
        <w:ind w:right="567"/>
        <w:jc w:val="both"/>
        <w:rPr>
          <w:rFonts w:ascii="Palatino Linotype" w:eastAsiaTheme="minorEastAsia" w:hAnsi="Palatino Linotype"/>
          <w:sz w:val="24"/>
          <w:szCs w:val="24"/>
          <w:lang w:val="es-ES_tradnl" w:eastAsia="es-ES"/>
        </w:rPr>
      </w:pPr>
      <w:r w:rsidRPr="000A07A8">
        <w:rPr>
          <w:rFonts w:ascii="Palatino Linotype" w:eastAsiaTheme="minorEastAsia" w:hAnsi="Palatino Linotype"/>
          <w:sz w:val="24"/>
          <w:szCs w:val="24"/>
          <w:lang w:val="es-ES_tradnl" w:eastAsia="es-ES"/>
        </w:rPr>
        <w:t>Ma</w:t>
      </w:r>
      <w:r w:rsidR="000E3423">
        <w:rPr>
          <w:rFonts w:ascii="Palatino Linotype" w:eastAsiaTheme="minorEastAsia" w:hAnsi="Palatino Linotype"/>
          <w:sz w:val="24"/>
          <w:szCs w:val="24"/>
          <w:lang w:val="es-ES_tradnl" w:eastAsia="es-ES"/>
        </w:rPr>
        <w:t>nifestación a la que adjuntó los</w:t>
      </w:r>
      <w:r w:rsidRPr="000A07A8">
        <w:rPr>
          <w:rFonts w:ascii="Palatino Linotype" w:eastAsiaTheme="minorEastAsia" w:hAnsi="Palatino Linotype"/>
          <w:sz w:val="24"/>
          <w:szCs w:val="24"/>
          <w:lang w:val="es-ES_tradnl" w:eastAsia="es-ES"/>
        </w:rPr>
        <w:t xml:space="preserve"> archivo</w:t>
      </w:r>
      <w:r w:rsidR="000E3423">
        <w:rPr>
          <w:rFonts w:ascii="Palatino Linotype" w:eastAsiaTheme="minorEastAsia" w:hAnsi="Palatino Linotype"/>
          <w:sz w:val="24"/>
          <w:szCs w:val="24"/>
          <w:lang w:val="es-ES_tradnl" w:eastAsia="es-ES"/>
        </w:rPr>
        <w:t>s</w:t>
      </w:r>
      <w:r w:rsidRPr="000A07A8">
        <w:rPr>
          <w:rFonts w:ascii="Palatino Linotype" w:eastAsiaTheme="minorEastAsia" w:hAnsi="Palatino Linotype"/>
          <w:sz w:val="24"/>
          <w:szCs w:val="24"/>
          <w:lang w:val="es-ES_tradnl" w:eastAsia="es-ES"/>
        </w:rPr>
        <w:t xml:space="preserve"> electrónico</w:t>
      </w:r>
      <w:r w:rsidR="000E3423">
        <w:rPr>
          <w:rFonts w:ascii="Palatino Linotype" w:eastAsiaTheme="minorEastAsia" w:hAnsi="Palatino Linotype"/>
          <w:sz w:val="24"/>
          <w:szCs w:val="24"/>
          <w:lang w:val="es-ES_tradnl" w:eastAsia="es-ES"/>
        </w:rPr>
        <w:t>s</w:t>
      </w:r>
      <w:r w:rsidRPr="000A07A8">
        <w:rPr>
          <w:rFonts w:ascii="Palatino Linotype" w:eastAsiaTheme="minorEastAsia" w:hAnsi="Palatino Linotype"/>
          <w:sz w:val="24"/>
          <w:szCs w:val="24"/>
          <w:lang w:val="es-ES_tradnl" w:eastAsia="es-ES"/>
        </w:rPr>
        <w:t xml:space="preserve"> </w:t>
      </w:r>
      <w:r w:rsidR="000E3423">
        <w:rPr>
          <w:rFonts w:ascii="Palatino Linotype" w:eastAsiaTheme="minorEastAsia" w:hAnsi="Palatino Linotype"/>
          <w:sz w:val="24"/>
          <w:szCs w:val="24"/>
          <w:lang w:val="es-ES_tradnl" w:eastAsia="es-ES"/>
        </w:rPr>
        <w:t xml:space="preserve">descritos en el siguiente orden: </w:t>
      </w:r>
    </w:p>
    <w:p w14:paraId="2C505EBD" w14:textId="77777777" w:rsidR="008701DD" w:rsidRPr="008701DD" w:rsidRDefault="000E3423" w:rsidP="00426392">
      <w:pPr>
        <w:pStyle w:val="Prrafodelista"/>
        <w:numPr>
          <w:ilvl w:val="0"/>
          <w:numId w:val="10"/>
        </w:numPr>
        <w:spacing w:after="0" w:line="360" w:lineRule="auto"/>
        <w:ind w:right="567"/>
        <w:jc w:val="both"/>
        <w:rPr>
          <w:rFonts w:ascii="Palatino Linotype" w:eastAsiaTheme="minorEastAsia" w:hAnsi="Palatino Linotype"/>
          <w:b/>
          <w:sz w:val="24"/>
          <w:szCs w:val="24"/>
          <w:lang w:val="es-ES_tradnl" w:eastAsia="es-ES"/>
        </w:rPr>
      </w:pPr>
      <w:r w:rsidRPr="008701DD">
        <w:rPr>
          <w:rFonts w:ascii="Palatino Linotype" w:eastAsiaTheme="minorEastAsia" w:hAnsi="Palatino Linotype"/>
          <w:b/>
          <w:i/>
          <w:sz w:val="24"/>
          <w:szCs w:val="24"/>
          <w:lang w:val="es-ES_tradnl" w:eastAsia="es-ES"/>
        </w:rPr>
        <w:lastRenderedPageBreak/>
        <w:t>SOL.00025-ATIZ-ACTA.pdf</w:t>
      </w:r>
      <w:r w:rsidR="008701DD" w:rsidRPr="008701DD">
        <w:rPr>
          <w:rFonts w:ascii="Palatino Linotype" w:eastAsiaTheme="minorEastAsia" w:hAnsi="Palatino Linotype"/>
          <w:b/>
          <w:i/>
          <w:sz w:val="24"/>
          <w:szCs w:val="24"/>
          <w:lang w:val="es-ES_tradnl" w:eastAsia="es-ES"/>
        </w:rPr>
        <w:t xml:space="preserve">: </w:t>
      </w:r>
      <w:r w:rsidR="008701DD" w:rsidRPr="008701DD">
        <w:rPr>
          <w:rFonts w:ascii="Palatino Linotype" w:eastAsiaTheme="minorEastAsia" w:hAnsi="Palatino Linotype"/>
          <w:sz w:val="24"/>
          <w:szCs w:val="24"/>
          <w:lang w:val="es-ES_tradnl" w:eastAsia="es-ES"/>
        </w:rPr>
        <w:t>Acta de la Segunda Sesión Extraordinaria del Comité de Transparencia del Ayuntamiento de Atizapán de Zaragoza del ocho (08) de febrero de dos mil veintiuno, en la que</w:t>
      </w:r>
      <w:r w:rsidR="008701DD">
        <w:rPr>
          <w:rFonts w:ascii="Palatino Linotype" w:eastAsiaTheme="minorEastAsia" w:hAnsi="Palatino Linotype"/>
          <w:sz w:val="24"/>
          <w:szCs w:val="24"/>
          <w:lang w:val="es-ES_tradnl" w:eastAsia="es-ES"/>
        </w:rPr>
        <w:t xml:space="preserve"> se aprueba la versión pública de documentos entregados en respuesta.</w:t>
      </w:r>
      <w:r w:rsidR="008701DD">
        <w:rPr>
          <w:rFonts w:ascii="Palatino Linotype" w:eastAsiaTheme="minorEastAsia" w:hAnsi="Palatino Linotype"/>
          <w:b/>
          <w:sz w:val="24"/>
          <w:szCs w:val="24"/>
          <w:lang w:val="es-ES_tradnl" w:eastAsia="es-ES"/>
        </w:rPr>
        <w:t xml:space="preserve"> </w:t>
      </w:r>
    </w:p>
    <w:p w14:paraId="224F49BC" w14:textId="77777777" w:rsidR="000E3423" w:rsidRPr="008701DD" w:rsidRDefault="000E3423" w:rsidP="00426392">
      <w:pPr>
        <w:pStyle w:val="Prrafodelista"/>
        <w:numPr>
          <w:ilvl w:val="0"/>
          <w:numId w:val="10"/>
        </w:numPr>
        <w:spacing w:after="0" w:line="360" w:lineRule="auto"/>
        <w:ind w:right="567"/>
        <w:jc w:val="both"/>
        <w:rPr>
          <w:rFonts w:ascii="Palatino Linotype" w:eastAsiaTheme="minorEastAsia" w:hAnsi="Palatino Linotype"/>
          <w:b/>
          <w:sz w:val="24"/>
          <w:szCs w:val="24"/>
          <w:lang w:val="es-ES_tradnl" w:eastAsia="es-ES"/>
        </w:rPr>
      </w:pPr>
      <w:r w:rsidRPr="008701DD">
        <w:rPr>
          <w:rFonts w:ascii="Palatino Linotype" w:eastAsiaTheme="minorEastAsia" w:hAnsi="Palatino Linotype"/>
          <w:b/>
          <w:i/>
          <w:sz w:val="24"/>
          <w:szCs w:val="24"/>
          <w:lang w:val="es-ES_tradnl" w:eastAsia="es-ES"/>
        </w:rPr>
        <w:t>Sol. 00025-ATIZ-OFICIO.pdf</w:t>
      </w:r>
      <w:r w:rsidR="00F95C3C">
        <w:rPr>
          <w:rFonts w:ascii="Palatino Linotype" w:eastAsiaTheme="minorEastAsia" w:hAnsi="Palatino Linotype"/>
          <w:b/>
          <w:i/>
          <w:sz w:val="24"/>
          <w:szCs w:val="24"/>
          <w:lang w:val="es-ES_tradnl" w:eastAsia="es-ES"/>
        </w:rPr>
        <w:t xml:space="preserve">: </w:t>
      </w:r>
      <w:r w:rsidR="00F95C3C">
        <w:rPr>
          <w:rFonts w:ascii="Palatino Linotype" w:eastAsiaTheme="minorEastAsia" w:hAnsi="Palatino Linotype"/>
          <w:sz w:val="24"/>
          <w:szCs w:val="24"/>
          <w:lang w:val="es-ES_tradnl" w:eastAsia="es-ES"/>
        </w:rPr>
        <w:t xml:space="preserve">Oficio DGDT/EJ/763/2021 de fecha dieciséis de febrero de dos mil veintiuno, suscrito por la </w:t>
      </w:r>
      <w:proofErr w:type="gramStart"/>
      <w:r w:rsidR="00F95C3C">
        <w:rPr>
          <w:rFonts w:ascii="Palatino Linotype" w:eastAsiaTheme="minorEastAsia" w:hAnsi="Palatino Linotype"/>
          <w:sz w:val="24"/>
          <w:szCs w:val="24"/>
          <w:lang w:val="es-ES_tradnl" w:eastAsia="es-ES"/>
        </w:rPr>
        <w:t>Directora General</w:t>
      </w:r>
      <w:proofErr w:type="gramEnd"/>
      <w:r w:rsidR="00F95C3C">
        <w:rPr>
          <w:rFonts w:ascii="Palatino Linotype" w:eastAsiaTheme="minorEastAsia" w:hAnsi="Palatino Linotype"/>
          <w:sz w:val="24"/>
          <w:szCs w:val="24"/>
          <w:lang w:val="es-ES_tradnl" w:eastAsia="es-ES"/>
        </w:rPr>
        <w:t xml:space="preserve"> de Desarrollo Territorial, enviado a la Titular de la Unidad de Transparencia, mediante el cual remite la versión púbica de las Prórrogas de Autorización de Cambio de Uso del Suelo. </w:t>
      </w:r>
    </w:p>
    <w:p w14:paraId="56CC794D" w14:textId="77777777" w:rsidR="00F95C3C" w:rsidRPr="00F95C3C" w:rsidRDefault="00655121" w:rsidP="00426392">
      <w:pPr>
        <w:pStyle w:val="Prrafodelista"/>
        <w:numPr>
          <w:ilvl w:val="0"/>
          <w:numId w:val="10"/>
        </w:numPr>
        <w:spacing w:after="0" w:line="360" w:lineRule="auto"/>
        <w:ind w:right="567"/>
        <w:jc w:val="both"/>
        <w:rPr>
          <w:rFonts w:ascii="Palatino Linotype" w:eastAsiaTheme="minorEastAsia" w:hAnsi="Palatino Linotype"/>
          <w:b/>
          <w:sz w:val="24"/>
          <w:szCs w:val="24"/>
          <w:lang w:val="es-ES_tradnl" w:eastAsia="es-ES"/>
        </w:rPr>
      </w:pPr>
      <w:r w:rsidRPr="00F95C3C">
        <w:rPr>
          <w:rFonts w:ascii="Palatino Linotype" w:eastAsiaTheme="minorEastAsia" w:hAnsi="Palatino Linotype"/>
          <w:b/>
          <w:i/>
          <w:sz w:val="24"/>
          <w:szCs w:val="24"/>
          <w:lang w:val="es-ES_tradnl" w:eastAsia="es-ES"/>
        </w:rPr>
        <w:t>SOL.00025-ATIZ-ACTA.pdf</w:t>
      </w:r>
      <w:r w:rsidR="00F95C3C" w:rsidRPr="00F95C3C">
        <w:rPr>
          <w:rFonts w:ascii="Palatino Linotype" w:eastAsiaTheme="minorEastAsia" w:hAnsi="Palatino Linotype"/>
          <w:b/>
          <w:i/>
          <w:sz w:val="24"/>
          <w:szCs w:val="24"/>
          <w:lang w:val="es-ES_tradnl" w:eastAsia="es-ES"/>
        </w:rPr>
        <w:t xml:space="preserve">: </w:t>
      </w:r>
      <w:r w:rsidR="00F95C3C" w:rsidRPr="008701DD">
        <w:rPr>
          <w:rFonts w:ascii="Palatino Linotype" w:eastAsiaTheme="minorEastAsia" w:hAnsi="Palatino Linotype"/>
          <w:sz w:val="24"/>
          <w:szCs w:val="24"/>
          <w:lang w:val="es-ES_tradnl" w:eastAsia="es-ES"/>
        </w:rPr>
        <w:t xml:space="preserve">de la Segunda Sesión Extraordinaria del Comité de Transparencia </w:t>
      </w:r>
      <w:r w:rsidR="00F95C3C">
        <w:rPr>
          <w:rFonts w:ascii="Palatino Linotype" w:eastAsiaTheme="minorEastAsia" w:hAnsi="Palatino Linotype"/>
          <w:sz w:val="24"/>
          <w:szCs w:val="24"/>
          <w:lang w:val="es-ES_tradnl" w:eastAsia="es-ES"/>
        </w:rPr>
        <w:t>ya descrita en el primer archivo.</w:t>
      </w:r>
      <w:r w:rsidR="00F95C3C">
        <w:rPr>
          <w:rFonts w:ascii="Palatino Linotype" w:eastAsiaTheme="minorEastAsia" w:hAnsi="Palatino Linotype"/>
          <w:b/>
          <w:sz w:val="24"/>
          <w:szCs w:val="24"/>
          <w:lang w:val="es-ES_tradnl" w:eastAsia="es-ES"/>
        </w:rPr>
        <w:t xml:space="preserve"> </w:t>
      </w:r>
    </w:p>
    <w:p w14:paraId="7D566E2A" w14:textId="77777777" w:rsidR="00655121" w:rsidRPr="00F95C3C" w:rsidRDefault="00655121" w:rsidP="00426392">
      <w:pPr>
        <w:pStyle w:val="Prrafodelista"/>
        <w:numPr>
          <w:ilvl w:val="0"/>
          <w:numId w:val="10"/>
        </w:numPr>
        <w:spacing w:after="0" w:line="360" w:lineRule="auto"/>
        <w:ind w:right="567"/>
        <w:jc w:val="both"/>
        <w:rPr>
          <w:rFonts w:ascii="Palatino Linotype" w:eastAsiaTheme="minorEastAsia" w:hAnsi="Palatino Linotype"/>
          <w:b/>
          <w:sz w:val="24"/>
          <w:szCs w:val="24"/>
          <w:lang w:val="es-ES_tradnl" w:eastAsia="es-ES"/>
        </w:rPr>
      </w:pPr>
      <w:r w:rsidRPr="00F95C3C">
        <w:rPr>
          <w:rFonts w:ascii="Palatino Linotype" w:eastAsiaTheme="minorEastAsia" w:hAnsi="Palatino Linotype"/>
          <w:b/>
          <w:i/>
          <w:sz w:val="24"/>
          <w:szCs w:val="24"/>
          <w:lang w:val="es-ES_tradnl" w:eastAsia="es-ES"/>
        </w:rPr>
        <w:t>SOL.00025-ATIZ-ANEXOS.pdf</w:t>
      </w:r>
      <w:r w:rsidR="00F95C3C">
        <w:rPr>
          <w:rFonts w:ascii="Palatino Linotype" w:eastAsiaTheme="minorEastAsia" w:hAnsi="Palatino Linotype"/>
          <w:b/>
          <w:i/>
          <w:sz w:val="24"/>
          <w:szCs w:val="24"/>
          <w:lang w:val="es-ES_tradnl" w:eastAsia="es-ES"/>
        </w:rPr>
        <w:t xml:space="preserve">: </w:t>
      </w:r>
      <w:r w:rsidR="00F95C3C">
        <w:rPr>
          <w:rFonts w:ascii="Palatino Linotype" w:eastAsiaTheme="minorEastAsia" w:hAnsi="Palatino Linotype"/>
          <w:sz w:val="24"/>
          <w:szCs w:val="24"/>
          <w:lang w:val="es-ES_tradnl" w:eastAsia="es-ES"/>
        </w:rPr>
        <w:t xml:space="preserve">Contiene la versión pública de las Prórrogas de Autorización de Cambio de Uso de Suelo. </w:t>
      </w:r>
    </w:p>
    <w:p w14:paraId="77CD3060" w14:textId="77777777" w:rsidR="00655121" w:rsidRPr="00FF324B" w:rsidRDefault="00655121" w:rsidP="00655121">
      <w:pPr>
        <w:pStyle w:val="Prrafodelista"/>
        <w:spacing w:after="0" w:line="360" w:lineRule="auto"/>
        <w:ind w:left="1440" w:right="567"/>
        <w:jc w:val="both"/>
        <w:rPr>
          <w:rFonts w:ascii="Palatino Linotype" w:eastAsiaTheme="minorEastAsia" w:hAnsi="Palatino Linotype"/>
          <w:b/>
          <w:sz w:val="24"/>
          <w:szCs w:val="24"/>
          <w:lang w:val="es-ES_tradnl" w:eastAsia="es-ES"/>
        </w:rPr>
      </w:pPr>
    </w:p>
    <w:p w14:paraId="15C5BB1A" w14:textId="77777777" w:rsidR="004F1E7D" w:rsidRPr="004B5D57" w:rsidRDefault="004F1E7D" w:rsidP="004F1E7D">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4B5D57">
        <w:rPr>
          <w:rFonts w:ascii="Palatino Linotype" w:eastAsia="Calibri" w:hAnsi="Palatino Linotype" w:cs="Arial"/>
          <w:sz w:val="24"/>
          <w:szCs w:val="24"/>
          <w:lang w:val="es-AR" w:eastAsia="es-ES"/>
        </w:rPr>
        <w:t xml:space="preserve">El </w:t>
      </w:r>
      <w:r w:rsidR="00F95C3C">
        <w:rPr>
          <w:rFonts w:ascii="Palatino Linotype" w:eastAsia="Calibri" w:hAnsi="Palatino Linotype" w:cs="Arial"/>
          <w:sz w:val="24"/>
          <w:szCs w:val="24"/>
          <w:lang w:val="es-AR" w:eastAsia="es-ES"/>
        </w:rPr>
        <w:t>veintidós</w:t>
      </w:r>
      <w:r w:rsidR="004673C1" w:rsidRPr="004B5D57">
        <w:rPr>
          <w:rFonts w:ascii="Palatino Linotype" w:eastAsia="Calibri" w:hAnsi="Palatino Linotype" w:cs="Arial"/>
          <w:sz w:val="24"/>
          <w:szCs w:val="24"/>
          <w:lang w:val="es-AR" w:eastAsia="es-ES"/>
        </w:rPr>
        <w:t xml:space="preserve"> (</w:t>
      </w:r>
      <w:r w:rsidR="00F95C3C">
        <w:rPr>
          <w:rFonts w:ascii="Palatino Linotype" w:eastAsia="Calibri" w:hAnsi="Palatino Linotype" w:cs="Arial"/>
          <w:sz w:val="24"/>
          <w:szCs w:val="24"/>
          <w:lang w:val="es-AR" w:eastAsia="es-ES"/>
        </w:rPr>
        <w:t>22</w:t>
      </w:r>
      <w:r w:rsidR="004673C1" w:rsidRPr="004B5D57">
        <w:rPr>
          <w:rFonts w:ascii="Palatino Linotype" w:eastAsia="Calibri" w:hAnsi="Palatino Linotype" w:cs="Arial"/>
          <w:sz w:val="24"/>
          <w:szCs w:val="24"/>
          <w:lang w:val="es-AR" w:eastAsia="es-ES"/>
        </w:rPr>
        <w:t>) de febrero de dos</w:t>
      </w:r>
      <w:r w:rsidR="00F71D42">
        <w:rPr>
          <w:rFonts w:ascii="Palatino Linotype" w:eastAsia="Calibri" w:hAnsi="Palatino Linotype" w:cs="Arial"/>
          <w:sz w:val="24"/>
          <w:szCs w:val="24"/>
          <w:lang w:val="es-AR" w:eastAsia="es-ES"/>
        </w:rPr>
        <w:t xml:space="preserve"> </w:t>
      </w:r>
      <w:r w:rsidR="004673C1" w:rsidRPr="004B5D57">
        <w:rPr>
          <w:rFonts w:ascii="Palatino Linotype" w:eastAsia="Calibri" w:hAnsi="Palatino Linotype" w:cs="Arial"/>
          <w:sz w:val="24"/>
          <w:szCs w:val="24"/>
          <w:lang w:val="es-AR" w:eastAsia="es-ES"/>
        </w:rPr>
        <w:t>mil veintiuno</w:t>
      </w:r>
      <w:r w:rsidRPr="004B5D57">
        <w:rPr>
          <w:rFonts w:ascii="Palatino Linotype" w:eastAsia="Times New Roman" w:hAnsi="Palatino Linotype" w:cs="Arial"/>
          <w:sz w:val="24"/>
          <w:szCs w:val="24"/>
          <w:lang w:val="es-ES" w:eastAsia="es-ES"/>
        </w:rPr>
        <w:t xml:space="preserve">, </w:t>
      </w:r>
      <w:r w:rsidRPr="004B5D57">
        <w:rPr>
          <w:rFonts w:ascii="Palatino Linotype" w:eastAsiaTheme="minorEastAsia" w:hAnsi="Palatino Linotype"/>
          <w:b/>
          <w:sz w:val="24"/>
          <w:szCs w:val="24"/>
          <w:lang w:val="es-ES_tradnl" w:eastAsia="es-ES"/>
        </w:rPr>
        <w:t>EL RECURRENTE</w:t>
      </w:r>
      <w:r w:rsidRPr="004B5D57">
        <w:rPr>
          <w:rFonts w:ascii="Palatino Linotype" w:eastAsia="Times New Roman" w:hAnsi="Palatino Linotype" w:cs="Arial"/>
          <w:sz w:val="24"/>
          <w:szCs w:val="24"/>
          <w:lang w:val="es-ES" w:eastAsia="es-ES"/>
        </w:rPr>
        <w:t xml:space="preserve"> interpuso el recurso de revisión, en contra de la respuesta, señalando como:</w:t>
      </w:r>
      <w:bookmarkStart w:id="3" w:name="_Toc462307683"/>
      <w:bookmarkStart w:id="4" w:name="_Toc472427085"/>
      <w:bookmarkStart w:id="5" w:name="_Toc472500652"/>
    </w:p>
    <w:p w14:paraId="5DA7A165" w14:textId="77777777" w:rsidR="004F1E7D" w:rsidRPr="004B5D57" w:rsidRDefault="004F1E7D" w:rsidP="004F1E7D">
      <w:pPr>
        <w:spacing w:after="0" w:line="360" w:lineRule="auto"/>
        <w:ind w:left="567" w:right="567"/>
        <w:contextualSpacing/>
        <w:rPr>
          <w:rFonts w:ascii="Palatino Linotype" w:eastAsiaTheme="minorEastAsia" w:hAnsi="Palatino Linotype" w:cs="Arial"/>
          <w:i/>
          <w:lang w:val="es-ES_tradnl" w:eastAsia="es-ES"/>
        </w:rPr>
      </w:pPr>
    </w:p>
    <w:p w14:paraId="02E78E71" w14:textId="77777777" w:rsidR="004F1E7D" w:rsidRPr="004B5D57" w:rsidRDefault="004F1E7D" w:rsidP="004F1E7D">
      <w:pPr>
        <w:spacing w:after="0" w:line="360" w:lineRule="auto"/>
        <w:ind w:left="567" w:right="567"/>
        <w:contextualSpacing/>
        <w:jc w:val="both"/>
        <w:rPr>
          <w:rFonts w:ascii="Palatino Linotype" w:eastAsia="Calibri" w:hAnsi="Palatino Linotype" w:cs="Arial"/>
          <w:i/>
          <w:lang w:val="es-ES" w:eastAsia="es-ES"/>
        </w:rPr>
      </w:pPr>
      <w:r w:rsidRPr="004B5D57">
        <w:rPr>
          <w:rFonts w:ascii="Palatino Linotype" w:eastAsiaTheme="minorEastAsia" w:hAnsi="Palatino Linotype"/>
          <w:b/>
          <w:sz w:val="24"/>
          <w:szCs w:val="24"/>
          <w:lang w:val="es-ES_tradnl" w:eastAsia="es-ES"/>
        </w:rPr>
        <w:t>Acto impugnado</w:t>
      </w:r>
      <w:r w:rsidRPr="004B5D57">
        <w:rPr>
          <w:rFonts w:ascii="Palatino Linotype" w:eastAsiaTheme="minorEastAsia" w:hAnsi="Palatino Linotype"/>
          <w:b/>
          <w:i/>
          <w:lang w:val="es-ES_tradnl" w:eastAsia="es-ES"/>
        </w:rPr>
        <w:t>:</w:t>
      </w:r>
      <w:r w:rsidRPr="004B5D57">
        <w:rPr>
          <w:rFonts w:ascii="Palatino Linotype" w:hAnsi="Palatino Linotype"/>
          <w:i/>
          <w:color w:val="000000"/>
        </w:rPr>
        <w:t xml:space="preserve"> “</w:t>
      </w:r>
      <w:r w:rsidR="00F95C3C" w:rsidRPr="00F95C3C">
        <w:rPr>
          <w:rFonts w:ascii="Palatino Linotype" w:hAnsi="Palatino Linotype"/>
          <w:i/>
          <w:color w:val="000000"/>
        </w:rPr>
        <w:t>00025/ATIZARA/IP/2021</w:t>
      </w:r>
      <w:r w:rsidR="000A07A8" w:rsidRPr="000A07A8">
        <w:rPr>
          <w:rFonts w:ascii="Palatino Linotype" w:hAnsi="Palatino Linotype"/>
          <w:i/>
          <w:color w:val="000000"/>
        </w:rPr>
        <w:t>.</w:t>
      </w:r>
      <w:r w:rsidR="00F95C3C">
        <w:rPr>
          <w:rFonts w:ascii="Palatino Linotype" w:hAnsi="Palatino Linotype"/>
          <w:i/>
          <w:color w:val="000000"/>
        </w:rPr>
        <w:t>” (Sic)</w:t>
      </w:r>
    </w:p>
    <w:p w14:paraId="08502400" w14:textId="77777777" w:rsidR="004F1E7D" w:rsidRPr="004B5D57" w:rsidRDefault="004F1E7D" w:rsidP="004F1E7D">
      <w:pPr>
        <w:spacing w:after="0" w:line="360" w:lineRule="auto"/>
        <w:ind w:left="567" w:right="567"/>
        <w:contextualSpacing/>
        <w:jc w:val="both"/>
        <w:rPr>
          <w:rFonts w:ascii="Palatino Linotype" w:eastAsia="Calibri" w:hAnsi="Palatino Linotype" w:cs="Arial"/>
          <w:sz w:val="24"/>
          <w:lang w:val="es-ES" w:eastAsia="es-ES"/>
        </w:rPr>
      </w:pPr>
    </w:p>
    <w:p w14:paraId="0581C828" w14:textId="77777777" w:rsidR="004F1E7D" w:rsidRPr="004B5D57" w:rsidRDefault="004F1E7D" w:rsidP="004F1E7D">
      <w:pPr>
        <w:spacing w:after="0" w:line="360" w:lineRule="auto"/>
        <w:ind w:left="567" w:right="567"/>
        <w:contextualSpacing/>
        <w:jc w:val="both"/>
        <w:rPr>
          <w:rFonts w:ascii="Palatino Linotype" w:hAnsi="Palatino Linotype"/>
          <w:i/>
          <w:color w:val="000000"/>
        </w:rPr>
      </w:pPr>
      <w:r w:rsidRPr="004B5D57">
        <w:rPr>
          <w:rFonts w:ascii="Palatino Linotype" w:eastAsiaTheme="minorEastAsia" w:hAnsi="Palatino Linotype"/>
          <w:b/>
          <w:sz w:val="24"/>
          <w:szCs w:val="24"/>
          <w:lang w:val="es-ES_tradnl" w:eastAsia="es-ES"/>
        </w:rPr>
        <w:t>Razones o Motivos de inconformidad:</w:t>
      </w:r>
      <w:r w:rsidRPr="004B5D57">
        <w:rPr>
          <w:rFonts w:ascii="Palatino Linotype" w:eastAsiaTheme="majorEastAsia" w:hAnsi="Palatino Linotype" w:cstheme="majorBidi"/>
          <w:b/>
          <w:color w:val="2E74B5" w:themeColor="accent1" w:themeShade="BF"/>
          <w:sz w:val="26"/>
          <w:szCs w:val="26"/>
          <w:lang w:val="es-ES" w:eastAsia="es-ES"/>
        </w:rPr>
        <w:t xml:space="preserve"> </w:t>
      </w:r>
      <w:r w:rsidRPr="004B5D57">
        <w:rPr>
          <w:rFonts w:ascii="Palatino Linotype" w:eastAsiaTheme="majorEastAsia" w:hAnsi="Palatino Linotype" w:cstheme="majorBidi"/>
          <w:i/>
          <w:lang w:val="es-ES" w:eastAsia="es-ES"/>
        </w:rPr>
        <w:t>“</w:t>
      </w:r>
      <w:r w:rsidR="00F95C3C" w:rsidRPr="00F95C3C">
        <w:rPr>
          <w:rFonts w:ascii="Palatino Linotype" w:hAnsi="Palatino Linotype"/>
          <w:i/>
          <w:color w:val="000000"/>
        </w:rPr>
        <w:t xml:space="preserve">Primero.- La inconformidad es </w:t>
      </w:r>
      <w:proofErr w:type="spellStart"/>
      <w:r w:rsidR="00F95C3C" w:rsidRPr="00F95C3C">
        <w:rPr>
          <w:rFonts w:ascii="Palatino Linotype" w:hAnsi="Palatino Linotype"/>
          <w:i/>
          <w:color w:val="000000"/>
        </w:rPr>
        <w:t>por que</w:t>
      </w:r>
      <w:proofErr w:type="spellEnd"/>
      <w:r w:rsidR="00F95C3C" w:rsidRPr="00F95C3C">
        <w:rPr>
          <w:rFonts w:ascii="Palatino Linotype" w:hAnsi="Palatino Linotype"/>
          <w:i/>
          <w:color w:val="000000"/>
        </w:rPr>
        <w:t xml:space="preserve"> la información solicitada </w:t>
      </w:r>
      <w:proofErr w:type="spellStart"/>
      <w:r w:rsidR="00F95C3C" w:rsidRPr="00F95C3C">
        <w:rPr>
          <w:rFonts w:ascii="Palatino Linotype" w:hAnsi="Palatino Linotype"/>
          <w:i/>
          <w:color w:val="000000"/>
        </w:rPr>
        <w:t>esta</w:t>
      </w:r>
      <w:proofErr w:type="spellEnd"/>
      <w:r w:rsidR="00F95C3C" w:rsidRPr="00F95C3C">
        <w:rPr>
          <w:rFonts w:ascii="Palatino Linotype" w:hAnsi="Palatino Linotype"/>
          <w:i/>
          <w:color w:val="000000"/>
        </w:rPr>
        <w:t xml:space="preserve"> incompleta y con esto el sujeto obligado oculta información, la </w:t>
      </w:r>
      <w:proofErr w:type="spellStart"/>
      <w:r w:rsidR="00F95C3C" w:rsidRPr="00F95C3C">
        <w:rPr>
          <w:rFonts w:ascii="Palatino Linotype" w:hAnsi="Palatino Linotype"/>
          <w:i/>
          <w:color w:val="000000"/>
        </w:rPr>
        <w:t>razon</w:t>
      </w:r>
      <w:proofErr w:type="spellEnd"/>
      <w:r w:rsidR="00F95C3C" w:rsidRPr="00F95C3C">
        <w:rPr>
          <w:rFonts w:ascii="Palatino Linotype" w:hAnsi="Palatino Linotype"/>
          <w:i/>
          <w:color w:val="000000"/>
        </w:rPr>
        <w:t xml:space="preserve"> de la conclusión de que la información </w:t>
      </w:r>
      <w:proofErr w:type="spellStart"/>
      <w:r w:rsidR="00F95C3C" w:rsidRPr="00F95C3C">
        <w:rPr>
          <w:rFonts w:ascii="Palatino Linotype" w:hAnsi="Palatino Linotype"/>
          <w:i/>
          <w:color w:val="000000"/>
        </w:rPr>
        <w:t>esta</w:t>
      </w:r>
      <w:proofErr w:type="spellEnd"/>
      <w:r w:rsidR="00F95C3C" w:rsidRPr="00F95C3C">
        <w:rPr>
          <w:rFonts w:ascii="Palatino Linotype" w:hAnsi="Palatino Linotype"/>
          <w:i/>
          <w:color w:val="000000"/>
        </w:rPr>
        <w:t xml:space="preserve"> incompleta es que solo anexan tres prorrogas de autorizaciones de cambios de uso del suelo, siendo que de acuerdo a los folios manejados en dichas autorizaciones en la parte inferior izquierda de las mismas no son </w:t>
      </w:r>
      <w:r w:rsidR="00F95C3C" w:rsidRPr="00F95C3C">
        <w:rPr>
          <w:rFonts w:ascii="Palatino Linotype" w:hAnsi="Palatino Linotype"/>
          <w:i/>
          <w:color w:val="000000"/>
        </w:rPr>
        <w:lastRenderedPageBreak/>
        <w:t xml:space="preserve">consecutivas es decir folio 000008, folio 000004 y el folio 000003, es decir </w:t>
      </w:r>
      <w:proofErr w:type="spellStart"/>
      <w:r w:rsidR="00F95C3C" w:rsidRPr="00F95C3C">
        <w:rPr>
          <w:rFonts w:ascii="Palatino Linotype" w:hAnsi="Palatino Linotype"/>
          <w:i/>
          <w:color w:val="000000"/>
        </w:rPr>
        <w:t>donde</w:t>
      </w:r>
      <w:proofErr w:type="spellEnd"/>
      <w:r w:rsidR="00F95C3C" w:rsidRPr="00F95C3C">
        <w:rPr>
          <w:rFonts w:ascii="Palatino Linotype" w:hAnsi="Palatino Linotype"/>
          <w:i/>
          <w:color w:val="000000"/>
        </w:rPr>
        <w:t xml:space="preserve"> están las restantes autorizaciones folios 00001, 000002, 00005, 000006 y 000007 en cuyo caso se hayan autorizado solo 8, en mi poder cuento con una autorización cuyo folio es el 000007 (anexo archivo) que es la misma autorización del folio 000008 como es que se asignan dos folios a la misma autorización? Dicho lo anterior se considera incompleta la información solicitada y se deduce que el sujeto obligado miente con dicha información y oculta la misma por lo que de acuerdo a la ley de transparencia esto </w:t>
      </w:r>
      <w:proofErr w:type="spellStart"/>
      <w:r w:rsidR="00F95C3C" w:rsidRPr="00F95C3C">
        <w:rPr>
          <w:rFonts w:ascii="Palatino Linotype" w:hAnsi="Palatino Linotype"/>
          <w:i/>
          <w:color w:val="000000"/>
        </w:rPr>
        <w:t>esta</w:t>
      </w:r>
      <w:proofErr w:type="spellEnd"/>
      <w:r w:rsidR="00F95C3C" w:rsidRPr="00F95C3C">
        <w:rPr>
          <w:rFonts w:ascii="Palatino Linotype" w:hAnsi="Palatino Linotype"/>
          <w:i/>
          <w:color w:val="000000"/>
        </w:rPr>
        <w:t xml:space="preserve"> catalogado como un delito. Segundo.- hasta donde tengo entendido cuando se solicita información se testan los datos personales de acuerdo a lo establecido en la ley es decir nombre dirección teléfono entre los principales sobre todo en las personas físicas mas no así con las personas morales en este caso se testan hasta las personas morales a demás tengo entendido que el domicilio de la autorización tampoco se puede testar, pero lo </w:t>
      </w:r>
      <w:proofErr w:type="spellStart"/>
      <w:r w:rsidR="00F95C3C" w:rsidRPr="00F95C3C">
        <w:rPr>
          <w:rFonts w:ascii="Palatino Linotype" w:hAnsi="Palatino Linotype"/>
          <w:i/>
          <w:color w:val="000000"/>
        </w:rPr>
        <w:t>mas</w:t>
      </w:r>
      <w:proofErr w:type="spellEnd"/>
      <w:r w:rsidR="00F95C3C" w:rsidRPr="00F95C3C">
        <w:rPr>
          <w:rFonts w:ascii="Palatino Linotype" w:hAnsi="Palatino Linotype"/>
          <w:i/>
          <w:color w:val="000000"/>
        </w:rPr>
        <w:t xml:space="preserve"> grave en estos casos es que se testan los datos de las autorizaciones es decir que es lo que se autoriza como por ejemplo de estos casos es superficie total de construcción, superficie de desplante área libre y verde de construcción, la superficie del lote y monto de los derechos pagados. es </w:t>
      </w:r>
      <w:proofErr w:type="gramStart"/>
      <w:r w:rsidR="00F95C3C" w:rsidRPr="00F95C3C">
        <w:rPr>
          <w:rFonts w:ascii="Palatino Linotype" w:hAnsi="Palatino Linotype"/>
          <w:i/>
          <w:color w:val="000000"/>
        </w:rPr>
        <w:t>decir</w:t>
      </w:r>
      <w:proofErr w:type="gramEnd"/>
      <w:r w:rsidR="00F95C3C" w:rsidRPr="00F95C3C">
        <w:rPr>
          <w:rFonts w:ascii="Palatino Linotype" w:hAnsi="Palatino Linotype"/>
          <w:i/>
          <w:color w:val="000000"/>
        </w:rPr>
        <w:t xml:space="preserve"> son datos que no se consideran personales y que son del predio al cual se le emitió dicha autorización. (anexo archivo con las tres autorizaciones que se me enviaron) Tercero la información solicitada independientemente de estar incompleta e inservible con la falta de datos de autorización y de que el sujeto obligado </w:t>
      </w:r>
      <w:proofErr w:type="spellStart"/>
      <w:r w:rsidR="00F95C3C" w:rsidRPr="00F95C3C">
        <w:rPr>
          <w:rFonts w:ascii="Palatino Linotype" w:hAnsi="Palatino Linotype"/>
          <w:i/>
          <w:color w:val="000000"/>
        </w:rPr>
        <w:t>esta</w:t>
      </w:r>
      <w:proofErr w:type="spellEnd"/>
      <w:r w:rsidR="00F95C3C" w:rsidRPr="00F95C3C">
        <w:rPr>
          <w:rFonts w:ascii="Palatino Linotype" w:hAnsi="Palatino Linotype"/>
          <w:i/>
          <w:color w:val="000000"/>
        </w:rPr>
        <w:t xml:space="preserve"> ocultándola por alguna razón entre ellas la duplicidad de autorizaciones con folios diferentes se </w:t>
      </w:r>
      <w:proofErr w:type="spellStart"/>
      <w:r w:rsidR="00F95C3C" w:rsidRPr="00F95C3C">
        <w:rPr>
          <w:rFonts w:ascii="Palatino Linotype" w:hAnsi="Palatino Linotype"/>
          <w:i/>
          <w:color w:val="000000"/>
        </w:rPr>
        <w:t>solicito</w:t>
      </w:r>
      <w:proofErr w:type="spellEnd"/>
      <w:r w:rsidR="00F95C3C" w:rsidRPr="00F95C3C">
        <w:rPr>
          <w:rFonts w:ascii="Palatino Linotype" w:hAnsi="Palatino Linotype"/>
          <w:i/>
          <w:color w:val="000000"/>
        </w:rPr>
        <w:t xml:space="preserve"> en un CD con costo cosa que nunca se me notifico para acudir a cubrir el monto del mismo</w:t>
      </w:r>
      <w:r w:rsidR="0006227A" w:rsidRPr="004B5D57">
        <w:rPr>
          <w:rFonts w:ascii="Palatino Linotype" w:hAnsi="Palatino Linotype"/>
          <w:i/>
          <w:color w:val="000000"/>
        </w:rPr>
        <w:t>.</w:t>
      </w:r>
      <w:r w:rsidRPr="004B5D57">
        <w:rPr>
          <w:rFonts w:ascii="Palatino Linotype" w:hAnsi="Palatino Linotype"/>
          <w:i/>
          <w:color w:val="000000"/>
        </w:rPr>
        <w:t>” (Sic).</w:t>
      </w:r>
    </w:p>
    <w:p w14:paraId="5EE85AD2" w14:textId="77777777" w:rsidR="0006227A" w:rsidRDefault="0006227A" w:rsidP="004F1E7D">
      <w:pPr>
        <w:spacing w:after="0" w:line="360" w:lineRule="auto"/>
        <w:ind w:left="567" w:right="567"/>
        <w:contextualSpacing/>
        <w:jc w:val="both"/>
        <w:rPr>
          <w:rFonts w:ascii="Palatino Linotype" w:eastAsiaTheme="minorEastAsia" w:hAnsi="Palatino Linotype" w:cs="Arial"/>
          <w:i/>
          <w:lang w:val="es-ES_tradnl" w:eastAsia="es-ES"/>
        </w:rPr>
      </w:pPr>
    </w:p>
    <w:p w14:paraId="12F112FF" w14:textId="77777777" w:rsidR="00903117" w:rsidRDefault="00903117" w:rsidP="004F1E7D">
      <w:pPr>
        <w:spacing w:after="0" w:line="360" w:lineRule="auto"/>
        <w:ind w:left="567" w:right="567"/>
        <w:contextualSpacing/>
        <w:jc w:val="both"/>
        <w:rPr>
          <w:rFonts w:ascii="Palatino Linotype" w:eastAsiaTheme="minorEastAsia" w:hAnsi="Palatino Linotype" w:cs="Arial"/>
          <w:b/>
          <w:lang w:val="es-ES_tradnl" w:eastAsia="es-ES"/>
        </w:rPr>
      </w:pPr>
      <w:r>
        <w:rPr>
          <w:rFonts w:ascii="Palatino Linotype" w:eastAsiaTheme="minorEastAsia" w:hAnsi="Palatino Linotype" w:cs="Arial"/>
          <w:lang w:val="es-ES_tradnl" w:eastAsia="es-ES"/>
        </w:rPr>
        <w:t xml:space="preserve">Inconformidad a la que agregó el archivo </w:t>
      </w:r>
      <w:r>
        <w:rPr>
          <w:rFonts w:ascii="Palatino Linotype" w:eastAsiaTheme="minorEastAsia" w:hAnsi="Palatino Linotype" w:cs="Arial"/>
          <w:b/>
          <w:i/>
          <w:lang w:val="es-ES_tradnl" w:eastAsia="es-ES"/>
        </w:rPr>
        <w:t xml:space="preserve">SOL.00025-ATIZ-ANEXOS.pdf; </w:t>
      </w:r>
      <w:r>
        <w:rPr>
          <w:rFonts w:ascii="Palatino Linotype" w:eastAsiaTheme="minorEastAsia" w:hAnsi="Palatino Linotype" w:cs="Arial"/>
          <w:lang w:val="es-ES_tradnl" w:eastAsia="es-ES"/>
        </w:rPr>
        <w:t xml:space="preserve">en el que se observan las Prórrogas de Autorización de Uso de Suelo, entregadas en respuesta por el </w:t>
      </w:r>
      <w:r>
        <w:rPr>
          <w:rFonts w:ascii="Palatino Linotype" w:eastAsiaTheme="minorEastAsia" w:hAnsi="Palatino Linotype" w:cs="Arial"/>
          <w:b/>
          <w:lang w:val="es-ES_tradnl" w:eastAsia="es-ES"/>
        </w:rPr>
        <w:t xml:space="preserve">SUJETO OBLIGADO. </w:t>
      </w:r>
    </w:p>
    <w:p w14:paraId="45727204" w14:textId="77777777" w:rsidR="00903117" w:rsidRPr="00903117" w:rsidRDefault="00903117" w:rsidP="00903117">
      <w:pPr>
        <w:spacing w:after="0" w:line="360" w:lineRule="auto"/>
        <w:ind w:right="567"/>
        <w:contextualSpacing/>
        <w:jc w:val="both"/>
        <w:rPr>
          <w:rFonts w:ascii="Palatino Linotype" w:eastAsiaTheme="minorEastAsia" w:hAnsi="Palatino Linotype" w:cs="Arial"/>
          <w:b/>
          <w:lang w:val="es-ES_tradnl" w:eastAsia="es-ES"/>
        </w:rPr>
      </w:pPr>
    </w:p>
    <w:bookmarkEnd w:id="3"/>
    <w:bookmarkEnd w:id="4"/>
    <w:bookmarkEnd w:id="5"/>
    <w:p w14:paraId="528CD1D4" w14:textId="77777777" w:rsidR="004F1E7D" w:rsidRPr="004B5D57" w:rsidRDefault="004F1E7D" w:rsidP="004F1E7D">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4B5D57">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4B5D57">
        <w:rPr>
          <w:rFonts w:ascii="Palatino Linotype" w:eastAsiaTheme="minorEastAsia" w:hAnsi="Palatino Linotype" w:cs="Arial"/>
          <w:bCs/>
          <w:sz w:val="24"/>
          <w:szCs w:val="24"/>
          <w:lang w:val="es-ES_tradnl" w:eastAsia="es-ES"/>
        </w:rPr>
        <w:t xml:space="preserve">al rubro indicado, asimismo con fundamento en lo dispuesto por el </w:t>
      </w:r>
      <w:r w:rsidRPr="004B5D57">
        <w:rPr>
          <w:rFonts w:ascii="Palatino Linotype" w:eastAsia="Calibri" w:hAnsi="Palatino Linotype" w:cs="Arial"/>
          <w:sz w:val="24"/>
          <w:szCs w:val="24"/>
          <w:lang w:val="es-ES" w:eastAsia="es-ES"/>
        </w:rPr>
        <w:t xml:space="preserve">artículo 185 fracción I de la </w:t>
      </w:r>
      <w:r w:rsidRPr="004B5D5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B5D57">
        <w:rPr>
          <w:rFonts w:ascii="Palatino Linotype" w:eastAsia="Times New Roman" w:hAnsi="Palatino Linotype" w:cs="Arial"/>
          <w:sz w:val="24"/>
          <w:szCs w:val="24"/>
          <w:lang w:val="es-ES" w:eastAsia="es-ES"/>
        </w:rPr>
        <w:t xml:space="preserve">se turnó al </w:t>
      </w:r>
      <w:r w:rsidRPr="004B5D57">
        <w:rPr>
          <w:rFonts w:ascii="Palatino Linotype" w:eastAsia="Times New Roman" w:hAnsi="Palatino Linotype" w:cs="Arial"/>
          <w:b/>
          <w:sz w:val="24"/>
          <w:szCs w:val="24"/>
          <w:lang w:val="es-ES" w:eastAsia="es-ES"/>
        </w:rPr>
        <w:t xml:space="preserve">Comisionado José Guadalupe Luna Hernández, </w:t>
      </w:r>
      <w:r w:rsidRPr="004B5D57">
        <w:rPr>
          <w:rFonts w:ascii="Palatino Linotype" w:eastAsia="Times New Roman" w:hAnsi="Palatino Linotype" w:cs="Arial"/>
          <w:sz w:val="24"/>
          <w:szCs w:val="24"/>
          <w:lang w:val="es-ES" w:eastAsia="es-ES"/>
        </w:rPr>
        <w:t xml:space="preserve">con el objeto de </w:t>
      </w:r>
      <w:r w:rsidRPr="004B5D57">
        <w:rPr>
          <w:rFonts w:ascii="Palatino Linotype" w:eastAsia="Times New Roman" w:hAnsi="Palatino Linotype" w:cs="Arial"/>
          <w:sz w:val="24"/>
          <w:szCs w:val="24"/>
          <w:lang w:eastAsia="es-ES"/>
        </w:rPr>
        <w:t xml:space="preserve">su análisis. </w:t>
      </w:r>
    </w:p>
    <w:p w14:paraId="7F5A8BB4" w14:textId="77777777" w:rsidR="004F1E7D" w:rsidRPr="004B5D57" w:rsidRDefault="004F1E7D" w:rsidP="004F1E7D">
      <w:pPr>
        <w:spacing w:after="0" w:line="360" w:lineRule="auto"/>
        <w:contextualSpacing/>
        <w:jc w:val="both"/>
        <w:rPr>
          <w:rFonts w:ascii="Palatino Linotype" w:eastAsia="Calibri" w:hAnsi="Palatino Linotype" w:cs="Arial"/>
          <w:sz w:val="24"/>
          <w:szCs w:val="24"/>
          <w:lang w:val="es-AR" w:eastAsia="es-ES"/>
        </w:rPr>
      </w:pPr>
    </w:p>
    <w:p w14:paraId="4FAE627D" w14:textId="77777777" w:rsidR="004F1E7D" w:rsidRPr="004B5D57" w:rsidRDefault="004F1E7D" w:rsidP="004F1E7D">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4B5D5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w:t>
      </w:r>
      <w:r w:rsidR="00903117">
        <w:rPr>
          <w:rFonts w:ascii="Palatino Linotype" w:eastAsia="Calibri" w:hAnsi="Palatino Linotype" w:cs="Arial"/>
          <w:sz w:val="24"/>
          <w:szCs w:val="24"/>
          <w:lang w:val="es-ES" w:eastAsia="es-ES"/>
        </w:rPr>
        <w:t>veinticuatro</w:t>
      </w:r>
      <w:r w:rsidR="000A07A8">
        <w:rPr>
          <w:rFonts w:ascii="Palatino Linotype" w:eastAsia="Calibri" w:hAnsi="Palatino Linotype" w:cs="Arial"/>
          <w:sz w:val="24"/>
          <w:szCs w:val="24"/>
          <w:lang w:val="es-ES" w:eastAsia="es-ES"/>
        </w:rPr>
        <w:t xml:space="preserve"> (</w:t>
      </w:r>
      <w:r w:rsidR="00903117">
        <w:rPr>
          <w:rFonts w:ascii="Palatino Linotype" w:eastAsia="Calibri" w:hAnsi="Palatino Linotype" w:cs="Arial"/>
          <w:sz w:val="24"/>
          <w:szCs w:val="24"/>
          <w:lang w:val="es-ES" w:eastAsia="es-ES"/>
        </w:rPr>
        <w:t>24</w:t>
      </w:r>
      <w:r w:rsidR="0006227A" w:rsidRPr="004B5D57">
        <w:rPr>
          <w:rFonts w:ascii="Palatino Linotype" w:eastAsia="Calibri" w:hAnsi="Palatino Linotype" w:cs="Arial"/>
          <w:sz w:val="24"/>
          <w:szCs w:val="24"/>
          <w:lang w:val="es-ES" w:eastAsia="es-ES"/>
        </w:rPr>
        <w:t xml:space="preserve">) de </w:t>
      </w:r>
      <w:r w:rsidR="000A07A8">
        <w:rPr>
          <w:rFonts w:ascii="Palatino Linotype" w:eastAsia="Calibri" w:hAnsi="Palatino Linotype" w:cs="Arial"/>
          <w:sz w:val="24"/>
          <w:szCs w:val="24"/>
          <w:lang w:val="es-ES" w:eastAsia="es-ES"/>
        </w:rPr>
        <w:t>febrero</w:t>
      </w:r>
      <w:r w:rsidR="0006227A" w:rsidRPr="004B5D57">
        <w:rPr>
          <w:rFonts w:ascii="Palatino Linotype" w:eastAsia="Calibri" w:hAnsi="Palatino Linotype" w:cs="Arial"/>
          <w:sz w:val="24"/>
          <w:szCs w:val="24"/>
          <w:lang w:val="es-ES" w:eastAsia="es-ES"/>
        </w:rPr>
        <w:t xml:space="preserve"> de dos mil veintiuno</w:t>
      </w:r>
      <w:r w:rsidRPr="004B5D57">
        <w:rPr>
          <w:rFonts w:ascii="Palatino Linotype" w:eastAsia="Calibri" w:hAnsi="Palatino Linotype" w:cs="Arial"/>
          <w:sz w:val="24"/>
          <w:szCs w:val="24"/>
          <w:lang w:val="es-ES" w:eastAsia="es-ES"/>
        </w:rPr>
        <w:t xml:space="preserve">, puso a disposición de las partes el expediente electrónico </w:t>
      </w:r>
      <w:r w:rsidRPr="004B5D57">
        <w:rPr>
          <w:rFonts w:ascii="Palatino Linotype" w:eastAsia="Calibri" w:hAnsi="Palatino Linotype" w:cs="Arial"/>
          <w:sz w:val="24"/>
          <w:szCs w:val="24"/>
          <w:lang w:val="es-ES_tradnl" w:eastAsia="es-ES"/>
        </w:rPr>
        <w:t xml:space="preserve">vía </w:t>
      </w:r>
      <w:r w:rsidRPr="004B5D57">
        <w:rPr>
          <w:rFonts w:ascii="Palatino Linotype" w:eastAsia="Calibri" w:hAnsi="Palatino Linotype" w:cs="Arial"/>
          <w:b/>
          <w:sz w:val="24"/>
          <w:szCs w:val="24"/>
          <w:lang w:val="es-ES" w:eastAsia="es-ES"/>
        </w:rPr>
        <w:t xml:space="preserve">SAIMEX </w:t>
      </w:r>
      <w:r w:rsidRPr="004B5D5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B5D57">
        <w:rPr>
          <w:rFonts w:ascii="Palatino Linotype" w:eastAsia="Calibri" w:hAnsi="Palatino Linotype" w:cs="Arial"/>
          <w:b/>
          <w:sz w:val="24"/>
          <w:szCs w:val="24"/>
          <w:lang w:val="es-ES" w:eastAsia="es-ES"/>
        </w:rPr>
        <w:t>SUJETO OBLIGADO</w:t>
      </w:r>
      <w:r w:rsidRPr="004B5D57">
        <w:rPr>
          <w:rFonts w:ascii="Palatino Linotype" w:eastAsia="Calibri" w:hAnsi="Palatino Linotype" w:cs="Arial"/>
          <w:sz w:val="24"/>
          <w:szCs w:val="24"/>
          <w:lang w:val="es-ES" w:eastAsia="es-ES"/>
        </w:rPr>
        <w:t xml:space="preserve"> presentara el informe justificado procedente. De las constancias que obran en el expediente electrónico SAIMEX el particular no realizó manifestaciones.</w:t>
      </w:r>
    </w:p>
    <w:p w14:paraId="7005370A" w14:textId="77777777" w:rsidR="004F1E7D" w:rsidRPr="004B5D57" w:rsidRDefault="004F1E7D" w:rsidP="004F1E7D">
      <w:pPr>
        <w:spacing w:after="0" w:line="360" w:lineRule="auto"/>
        <w:contextualSpacing/>
        <w:jc w:val="both"/>
        <w:rPr>
          <w:rFonts w:ascii="Palatino Linotype" w:eastAsiaTheme="minorEastAsia" w:hAnsi="Palatino Linotype"/>
          <w:i/>
          <w:color w:val="000000"/>
          <w:lang w:val="es-ES_tradnl" w:eastAsia="es-ES"/>
        </w:rPr>
      </w:pPr>
    </w:p>
    <w:p w14:paraId="131D6E7A" w14:textId="77777777" w:rsidR="00E06A07" w:rsidRPr="004C5B47" w:rsidRDefault="00903117" w:rsidP="00426392">
      <w:pPr>
        <w:pStyle w:val="Prrafodelista"/>
        <w:numPr>
          <w:ilvl w:val="0"/>
          <w:numId w:val="1"/>
        </w:numPr>
        <w:tabs>
          <w:tab w:val="left" w:pos="0"/>
        </w:tabs>
        <w:spacing w:before="240" w:after="0" w:line="360" w:lineRule="auto"/>
        <w:ind w:left="0" w:right="49" w:firstLine="0"/>
        <w:jc w:val="both"/>
        <w:rPr>
          <w:rFonts w:ascii="Palatino Linotype" w:eastAsiaTheme="minorEastAsia" w:hAnsi="Palatino Linotype"/>
          <w:b/>
          <w:sz w:val="24"/>
          <w:szCs w:val="24"/>
          <w:u w:val="single"/>
          <w:lang w:val="es-ES_tradnl" w:eastAsia="es-ES"/>
        </w:rPr>
      </w:pPr>
      <w:r w:rsidRPr="004C5B47">
        <w:rPr>
          <w:rFonts w:ascii="Palatino Linotype" w:eastAsia="Calibri" w:hAnsi="Palatino Linotype" w:cs="Arial"/>
          <w:sz w:val="24"/>
          <w:szCs w:val="24"/>
          <w:lang w:val="es-ES" w:eastAsia="es-ES"/>
        </w:rPr>
        <w:t>El cuatro</w:t>
      </w:r>
      <w:r w:rsidR="004F1E7D" w:rsidRPr="004C5B47">
        <w:rPr>
          <w:rFonts w:ascii="Palatino Linotype" w:eastAsia="Calibri" w:hAnsi="Palatino Linotype" w:cs="Arial"/>
          <w:sz w:val="24"/>
          <w:szCs w:val="24"/>
          <w:lang w:val="es-ES" w:eastAsia="es-ES"/>
        </w:rPr>
        <w:t xml:space="preserve"> (</w:t>
      </w:r>
      <w:r w:rsidRPr="004C5B47">
        <w:rPr>
          <w:rFonts w:ascii="Palatino Linotype" w:eastAsia="Calibri" w:hAnsi="Palatino Linotype" w:cs="Arial"/>
          <w:sz w:val="24"/>
          <w:szCs w:val="24"/>
          <w:lang w:val="es-ES" w:eastAsia="es-ES"/>
        </w:rPr>
        <w:t>04</w:t>
      </w:r>
      <w:r w:rsidR="000A07A8" w:rsidRPr="004C5B47">
        <w:rPr>
          <w:rFonts w:ascii="Palatino Linotype" w:eastAsia="Calibri" w:hAnsi="Palatino Linotype" w:cs="Arial"/>
          <w:sz w:val="24"/>
          <w:szCs w:val="24"/>
          <w:lang w:val="es-ES" w:eastAsia="es-ES"/>
        </w:rPr>
        <w:t>)</w:t>
      </w:r>
      <w:r w:rsidR="004F1E7D" w:rsidRPr="004C5B47">
        <w:rPr>
          <w:rFonts w:ascii="Palatino Linotype" w:eastAsia="Calibri" w:hAnsi="Palatino Linotype" w:cs="Arial"/>
          <w:sz w:val="24"/>
          <w:szCs w:val="24"/>
          <w:lang w:val="es-ES" w:eastAsia="es-ES"/>
        </w:rPr>
        <w:t xml:space="preserve"> de </w:t>
      </w:r>
      <w:r w:rsidRPr="004C5B47">
        <w:rPr>
          <w:rFonts w:ascii="Palatino Linotype" w:eastAsia="Calibri" w:hAnsi="Palatino Linotype" w:cs="Arial"/>
          <w:sz w:val="24"/>
          <w:szCs w:val="24"/>
          <w:lang w:val="es-ES" w:eastAsia="es-ES"/>
        </w:rPr>
        <w:t>marzo</w:t>
      </w:r>
      <w:r w:rsidR="00B245D0" w:rsidRPr="004C5B47">
        <w:rPr>
          <w:rFonts w:ascii="Palatino Linotype" w:eastAsia="Calibri" w:hAnsi="Palatino Linotype" w:cs="Arial"/>
          <w:sz w:val="24"/>
          <w:szCs w:val="24"/>
          <w:lang w:val="es-ES" w:eastAsia="es-ES"/>
        </w:rPr>
        <w:t xml:space="preserve"> de dos mil veintiuno</w:t>
      </w:r>
      <w:r w:rsidR="004F1E7D" w:rsidRPr="004C5B47">
        <w:rPr>
          <w:rFonts w:ascii="Palatino Linotype" w:eastAsia="Calibri" w:hAnsi="Palatino Linotype" w:cs="Arial"/>
          <w:sz w:val="24"/>
          <w:szCs w:val="24"/>
          <w:lang w:val="es-ES" w:eastAsia="es-ES"/>
        </w:rPr>
        <w:t xml:space="preserve"> el </w:t>
      </w:r>
      <w:r w:rsidR="004F1E7D" w:rsidRPr="004C5B47">
        <w:rPr>
          <w:rFonts w:ascii="Palatino Linotype" w:eastAsia="Calibri" w:hAnsi="Palatino Linotype" w:cs="Arial"/>
          <w:b/>
          <w:sz w:val="24"/>
          <w:szCs w:val="24"/>
          <w:lang w:val="es-ES" w:eastAsia="es-ES"/>
        </w:rPr>
        <w:t>SUJETO OBLIGADO</w:t>
      </w:r>
      <w:r w:rsidR="004F1E7D" w:rsidRPr="004C5B47">
        <w:rPr>
          <w:rFonts w:ascii="Palatino Linotype" w:eastAsia="Calibri" w:hAnsi="Palatino Linotype" w:cs="Arial"/>
          <w:sz w:val="24"/>
          <w:szCs w:val="24"/>
          <w:lang w:val="es-ES" w:eastAsia="es-ES"/>
        </w:rPr>
        <w:t xml:space="preserve"> </w:t>
      </w:r>
      <w:r w:rsidR="00B245D0" w:rsidRPr="004C5B47">
        <w:rPr>
          <w:rFonts w:ascii="Palatino Linotype" w:eastAsia="Calibri" w:hAnsi="Palatino Linotype" w:cs="Arial"/>
          <w:sz w:val="24"/>
          <w:lang w:val="es-ES"/>
        </w:rPr>
        <w:t xml:space="preserve">rindió el informe justificado consistente en el archivo </w:t>
      </w:r>
      <w:r w:rsidRPr="004C5B47">
        <w:rPr>
          <w:rFonts w:ascii="Palatino Linotype" w:eastAsia="Calibri" w:hAnsi="Palatino Linotype" w:cs="Arial"/>
          <w:b/>
          <w:i/>
          <w:sz w:val="24"/>
          <w:lang w:val="es-ES"/>
        </w:rPr>
        <w:t xml:space="preserve">20210304174514721.pdf  </w:t>
      </w:r>
      <w:r w:rsidRPr="004C5B47">
        <w:rPr>
          <w:rFonts w:ascii="Palatino Linotype" w:eastAsia="Calibri" w:hAnsi="Palatino Linotype" w:cs="Arial"/>
          <w:sz w:val="24"/>
          <w:lang w:val="es-ES"/>
        </w:rPr>
        <w:t>que en su parte sustantiva la Directora General de Desarrollo Territorial manifestó que los folios que refiere el recurrente como faltantes fueron cancelados</w:t>
      </w:r>
      <w:r w:rsidR="004C5B47" w:rsidRPr="004C5B47">
        <w:rPr>
          <w:rFonts w:ascii="Palatino Linotype" w:eastAsia="Calibri" w:hAnsi="Palatino Linotype" w:cs="Arial"/>
          <w:sz w:val="24"/>
          <w:lang w:val="es-ES"/>
        </w:rPr>
        <w:t xml:space="preserve"> y los cuales anexa para mayor referencia, además manifiesta que en caso de requerir la información en CD-ROM, deberá presentarse en las oficinas que ocupa el Enlace Jurídico dependiente de la Dirección General de Desarrollo Territorial, de lunes a viernes en un horario de 9:00 </w:t>
      </w:r>
      <w:proofErr w:type="spellStart"/>
      <w:r w:rsidR="004C5B47" w:rsidRPr="004C5B47">
        <w:rPr>
          <w:rFonts w:ascii="Palatino Linotype" w:eastAsia="Calibri" w:hAnsi="Palatino Linotype" w:cs="Arial"/>
          <w:sz w:val="24"/>
          <w:lang w:val="es-ES"/>
        </w:rPr>
        <w:t>al</w:t>
      </w:r>
      <w:proofErr w:type="spellEnd"/>
      <w:r w:rsidR="004C5B47" w:rsidRPr="004C5B47">
        <w:rPr>
          <w:rFonts w:ascii="Palatino Linotype" w:eastAsia="Calibri" w:hAnsi="Palatino Linotype" w:cs="Arial"/>
          <w:sz w:val="24"/>
          <w:lang w:val="es-ES"/>
        </w:rPr>
        <w:t xml:space="preserve"> 14:30 para hacer el pago correspondiente de acuerdo al artículo 148, fracción IV del Código Financiero del Estado de México y Municipios, el consto del CD-ROM ES $30.11. </w:t>
      </w:r>
      <w:r w:rsidR="00E06A07" w:rsidRPr="004C5B47">
        <w:rPr>
          <w:rFonts w:ascii="Palatino Linotype" w:eastAsia="Calibri" w:hAnsi="Palatino Linotype" w:cs="Arial"/>
          <w:sz w:val="24"/>
          <w:lang w:val="es-ES"/>
        </w:rPr>
        <w:t xml:space="preserve">. </w:t>
      </w:r>
      <w:r w:rsidR="004C5B47" w:rsidRPr="004C5B47">
        <w:rPr>
          <w:rFonts w:ascii="Palatino Linotype" w:eastAsia="Calibri" w:hAnsi="Palatino Linotype" w:cs="Arial"/>
          <w:sz w:val="24"/>
          <w:lang w:val="es-ES"/>
        </w:rPr>
        <w:t xml:space="preserve">Documento </w:t>
      </w:r>
      <w:r w:rsidR="004C5B47">
        <w:rPr>
          <w:rFonts w:ascii="Palatino Linotype" w:eastAsia="Calibri" w:hAnsi="Palatino Linotype" w:cs="Arial"/>
          <w:sz w:val="24"/>
          <w:lang w:val="es-ES"/>
        </w:rPr>
        <w:t xml:space="preserve">que el dieciséis (16) de marzo de dos mil veintiuno </w:t>
      </w:r>
      <w:r w:rsidR="00B245D0" w:rsidRPr="004C5B47">
        <w:rPr>
          <w:rFonts w:ascii="Palatino Linotype" w:eastAsia="Calibri" w:hAnsi="Palatino Linotype" w:cs="Arial"/>
          <w:sz w:val="24"/>
          <w:lang w:val="es-ES"/>
        </w:rPr>
        <w:t xml:space="preserve">se notificó al </w:t>
      </w:r>
      <w:r w:rsidR="00B245D0" w:rsidRPr="004C5B47">
        <w:rPr>
          <w:rFonts w:ascii="Palatino Linotype" w:eastAsia="Calibri" w:hAnsi="Palatino Linotype" w:cs="Arial"/>
          <w:b/>
          <w:sz w:val="24"/>
          <w:lang w:val="es-ES"/>
        </w:rPr>
        <w:lastRenderedPageBreak/>
        <w:t xml:space="preserve">RECURRENTE </w:t>
      </w:r>
      <w:r w:rsidR="004C5B47" w:rsidRPr="004C5B47">
        <w:rPr>
          <w:rFonts w:ascii="Palatino Linotype" w:eastAsia="Calibri" w:hAnsi="Palatino Linotype" w:cs="Arial"/>
          <w:sz w:val="24"/>
          <w:lang w:val="es-ES"/>
        </w:rPr>
        <w:t>por</w:t>
      </w:r>
      <w:r w:rsidR="00B245D0" w:rsidRPr="004C5B47">
        <w:rPr>
          <w:rFonts w:ascii="Palatino Linotype" w:eastAsia="Calibri" w:hAnsi="Palatino Linotype" w:cs="Arial"/>
          <w:sz w:val="24"/>
          <w:lang w:val="es-ES"/>
        </w:rPr>
        <w:t xml:space="preserve"> encontrarse en el supuesto establecido en la fracción III del artículo 185 de la </w:t>
      </w:r>
      <w:r w:rsidR="00B245D0" w:rsidRPr="004C5B47">
        <w:rPr>
          <w:rFonts w:ascii="Palatino Linotype" w:eastAsia="Calibri" w:hAnsi="Palatino Linotype" w:cs="Arial"/>
          <w:b/>
          <w:sz w:val="24"/>
          <w:szCs w:val="24"/>
          <w:lang w:val="es-ES" w:eastAsia="es-ES"/>
        </w:rPr>
        <w:t>Ley de Transparencia y Acceso a la Información Pública del Estado de México y Municipios</w:t>
      </w:r>
      <w:r w:rsidR="004C5B47">
        <w:rPr>
          <w:rFonts w:ascii="Palatino Linotype" w:eastAsia="Calibri" w:hAnsi="Palatino Linotype" w:cs="Arial"/>
          <w:b/>
          <w:sz w:val="24"/>
          <w:szCs w:val="24"/>
          <w:lang w:val="es-ES" w:eastAsia="es-ES"/>
        </w:rPr>
        <w:t xml:space="preserve">. </w:t>
      </w:r>
    </w:p>
    <w:p w14:paraId="6B23EAE6" w14:textId="77777777" w:rsidR="004C5B47" w:rsidRPr="004C5B47" w:rsidRDefault="004C5B47" w:rsidP="004C5B47">
      <w:pPr>
        <w:pStyle w:val="Prrafodelista"/>
        <w:tabs>
          <w:tab w:val="left" w:pos="0"/>
        </w:tabs>
        <w:spacing w:before="240" w:after="0" w:line="360" w:lineRule="auto"/>
        <w:ind w:left="0" w:right="49"/>
        <w:jc w:val="both"/>
        <w:rPr>
          <w:rFonts w:ascii="Palatino Linotype" w:eastAsiaTheme="minorEastAsia" w:hAnsi="Palatino Linotype"/>
          <w:b/>
          <w:sz w:val="24"/>
          <w:szCs w:val="24"/>
          <w:u w:val="single"/>
          <w:lang w:val="es-ES_tradnl" w:eastAsia="es-ES"/>
        </w:rPr>
      </w:pPr>
    </w:p>
    <w:p w14:paraId="5BF77CAE" w14:textId="77777777" w:rsidR="00416D53" w:rsidRPr="00416D53" w:rsidRDefault="004C5B47" w:rsidP="00E03587">
      <w:pPr>
        <w:pStyle w:val="Prrafodelista"/>
        <w:numPr>
          <w:ilvl w:val="0"/>
          <w:numId w:val="1"/>
        </w:numPr>
        <w:spacing w:before="240" w:after="0" w:line="360" w:lineRule="auto"/>
        <w:ind w:left="0" w:firstLine="0"/>
        <w:jc w:val="both"/>
        <w:rPr>
          <w:rFonts w:ascii="Palatino Linotype" w:eastAsiaTheme="minorEastAsia" w:hAnsi="Palatino Linotype"/>
          <w:b/>
          <w:i/>
          <w:sz w:val="24"/>
          <w:szCs w:val="24"/>
          <w:u w:val="single"/>
          <w:lang w:val="es-ES_tradnl" w:eastAsia="es-ES"/>
        </w:rPr>
      </w:pPr>
      <w:r>
        <w:rPr>
          <w:rFonts w:ascii="Palatino Linotype" w:eastAsiaTheme="minorEastAsia" w:hAnsi="Palatino Linotype"/>
          <w:sz w:val="24"/>
          <w:szCs w:val="24"/>
          <w:lang w:val="es-ES_tradnl" w:eastAsia="es-ES"/>
        </w:rPr>
        <w:t xml:space="preserve">El diecisiete de marzo de dos mil veintiuno, el </w:t>
      </w:r>
      <w:r>
        <w:rPr>
          <w:rFonts w:ascii="Palatino Linotype" w:eastAsiaTheme="minorEastAsia" w:hAnsi="Palatino Linotype"/>
          <w:b/>
          <w:sz w:val="24"/>
          <w:szCs w:val="24"/>
          <w:lang w:val="es-ES_tradnl" w:eastAsia="es-ES"/>
        </w:rPr>
        <w:t xml:space="preserve">RECURENTE </w:t>
      </w:r>
      <w:r>
        <w:rPr>
          <w:rFonts w:ascii="Palatino Linotype" w:eastAsiaTheme="minorEastAsia" w:hAnsi="Palatino Linotype"/>
          <w:sz w:val="24"/>
          <w:szCs w:val="24"/>
          <w:lang w:val="es-ES_tradnl" w:eastAsia="es-ES"/>
        </w:rPr>
        <w:t xml:space="preserve">remitió los archivos electrónicos </w:t>
      </w:r>
    </w:p>
    <w:p w14:paraId="4076F441" w14:textId="77777777" w:rsidR="00416D53" w:rsidRPr="00416D53" w:rsidRDefault="00416D53" w:rsidP="00416D53">
      <w:pPr>
        <w:pStyle w:val="Prrafodelista"/>
        <w:rPr>
          <w:rFonts w:ascii="Palatino Linotype" w:eastAsiaTheme="minorEastAsia" w:hAnsi="Palatino Linotype"/>
          <w:b/>
          <w:i/>
          <w:sz w:val="24"/>
          <w:szCs w:val="24"/>
          <w:lang w:val="es-ES_tradnl" w:eastAsia="es-ES"/>
        </w:rPr>
      </w:pPr>
    </w:p>
    <w:p w14:paraId="2E8541AC" w14:textId="77777777" w:rsidR="004C5B47" w:rsidRPr="00416D53" w:rsidRDefault="004C5B47" w:rsidP="00416D53">
      <w:pPr>
        <w:pStyle w:val="Prrafodelista"/>
        <w:numPr>
          <w:ilvl w:val="0"/>
          <w:numId w:val="11"/>
        </w:numPr>
        <w:spacing w:before="240" w:after="0" w:line="360" w:lineRule="auto"/>
        <w:jc w:val="both"/>
        <w:rPr>
          <w:rFonts w:ascii="Palatino Linotype" w:eastAsiaTheme="minorEastAsia" w:hAnsi="Palatino Linotype"/>
          <w:b/>
          <w:i/>
          <w:sz w:val="24"/>
          <w:szCs w:val="24"/>
          <w:u w:val="single"/>
          <w:lang w:val="es-ES_tradnl" w:eastAsia="es-ES"/>
        </w:rPr>
      </w:pPr>
      <w:r>
        <w:rPr>
          <w:rFonts w:ascii="Palatino Linotype" w:eastAsiaTheme="minorEastAsia" w:hAnsi="Palatino Linotype"/>
          <w:b/>
          <w:i/>
          <w:sz w:val="24"/>
          <w:szCs w:val="24"/>
          <w:lang w:val="es-ES_tradnl" w:eastAsia="es-ES"/>
        </w:rPr>
        <w:t xml:space="preserve">folio 000007.png </w:t>
      </w:r>
      <w:r w:rsidR="00416D53">
        <w:rPr>
          <w:rFonts w:ascii="Palatino Linotype" w:eastAsiaTheme="minorEastAsia" w:hAnsi="Palatino Linotype"/>
          <w:sz w:val="24"/>
          <w:szCs w:val="24"/>
          <w:lang w:val="es-ES_tradnl" w:eastAsia="es-ES"/>
        </w:rPr>
        <w:t>en el que se observa la imagen de la Prórroga de Autorización de Cambio de Uso del Suelo con número de folio 000007 emitida por la Directora General de Desarrollo Territorial; así mismo manifiesta: “</w:t>
      </w:r>
      <w:r w:rsidR="00416D53" w:rsidRPr="00416D53">
        <w:rPr>
          <w:rFonts w:ascii="Palatino Linotype" w:hAnsi="Palatino Linotype" w:cs="Arial"/>
          <w:i/>
          <w:color w:val="333333"/>
          <w:sz w:val="24"/>
          <w:szCs w:val="24"/>
        </w:rPr>
        <w:t xml:space="preserve">anexo folio 000007 para comprobar mi dicho de que el sujeto obligado miente y oculta información esperando se tomen las medidas pertinentes que establece la ley de transparencia ya que no es la primera </w:t>
      </w:r>
      <w:proofErr w:type="spellStart"/>
      <w:r w:rsidR="00416D53" w:rsidRPr="00416D53">
        <w:rPr>
          <w:rFonts w:ascii="Palatino Linotype" w:hAnsi="Palatino Linotype" w:cs="Arial"/>
          <w:i/>
          <w:color w:val="333333"/>
          <w:sz w:val="24"/>
          <w:szCs w:val="24"/>
        </w:rPr>
        <w:t>ves</w:t>
      </w:r>
      <w:proofErr w:type="spellEnd"/>
      <w:r w:rsidR="00416D53" w:rsidRPr="00416D53">
        <w:rPr>
          <w:rFonts w:ascii="Palatino Linotype" w:hAnsi="Palatino Linotype" w:cs="Arial"/>
          <w:i/>
          <w:color w:val="333333"/>
          <w:sz w:val="24"/>
          <w:szCs w:val="24"/>
        </w:rPr>
        <w:t xml:space="preserve"> que el sujeto obligado oculta información y/o la manipula a su conveniencia lo comento </w:t>
      </w:r>
      <w:proofErr w:type="spellStart"/>
      <w:r w:rsidR="00416D53" w:rsidRPr="00416D53">
        <w:rPr>
          <w:rFonts w:ascii="Palatino Linotype" w:hAnsi="Palatino Linotype" w:cs="Arial"/>
          <w:i/>
          <w:color w:val="333333"/>
          <w:sz w:val="24"/>
          <w:szCs w:val="24"/>
        </w:rPr>
        <w:t>por que</w:t>
      </w:r>
      <w:proofErr w:type="spellEnd"/>
      <w:r w:rsidR="00416D53" w:rsidRPr="00416D53">
        <w:rPr>
          <w:rFonts w:ascii="Palatino Linotype" w:hAnsi="Palatino Linotype" w:cs="Arial"/>
          <w:i/>
          <w:color w:val="333333"/>
          <w:sz w:val="24"/>
          <w:szCs w:val="24"/>
        </w:rPr>
        <w:t xml:space="preserve"> tengo otras peticiones y el sujeto obligado lo ha hecho.</w:t>
      </w:r>
      <w:r w:rsidR="00416D53">
        <w:rPr>
          <w:rFonts w:ascii="Palatino Linotype" w:hAnsi="Palatino Linotype" w:cs="Arial"/>
          <w:i/>
          <w:color w:val="333333"/>
          <w:sz w:val="24"/>
          <w:szCs w:val="24"/>
        </w:rPr>
        <w:t>” (Sic)</w:t>
      </w:r>
    </w:p>
    <w:p w14:paraId="49353814" w14:textId="77777777" w:rsidR="00416D53" w:rsidRPr="00416D53" w:rsidRDefault="00416D53" w:rsidP="00416D53">
      <w:pPr>
        <w:pStyle w:val="Prrafodelista"/>
        <w:numPr>
          <w:ilvl w:val="0"/>
          <w:numId w:val="11"/>
        </w:numPr>
        <w:spacing w:before="240" w:after="0" w:line="360" w:lineRule="auto"/>
        <w:jc w:val="both"/>
        <w:rPr>
          <w:rFonts w:ascii="Palatino Linotype" w:eastAsiaTheme="minorEastAsia" w:hAnsi="Palatino Linotype"/>
          <w:b/>
          <w:i/>
          <w:sz w:val="24"/>
          <w:szCs w:val="24"/>
          <w:u w:val="single"/>
          <w:lang w:val="es-ES_tradnl" w:eastAsia="es-ES"/>
        </w:rPr>
      </w:pPr>
      <w:r>
        <w:rPr>
          <w:rFonts w:ascii="Palatino Linotype" w:eastAsiaTheme="minorEastAsia" w:hAnsi="Palatino Linotype"/>
          <w:b/>
          <w:i/>
          <w:sz w:val="24"/>
          <w:szCs w:val="24"/>
          <w:lang w:val="es-ES_tradnl" w:eastAsia="es-ES"/>
        </w:rPr>
        <w:t xml:space="preserve">sol.00025-ATIZ-OFICIO.pdf: </w:t>
      </w:r>
      <w:r>
        <w:rPr>
          <w:rFonts w:ascii="Palatino Linotype" w:eastAsiaTheme="minorEastAsia" w:hAnsi="Palatino Linotype"/>
          <w:sz w:val="24"/>
          <w:szCs w:val="24"/>
          <w:lang w:val="es-ES_tradnl" w:eastAsia="es-ES"/>
        </w:rPr>
        <w:t xml:space="preserve">Se trata del oficio DGDT/EJ/763/2021 de fecha dieciséis de febrero de dos mil veintiuno, remitido por el </w:t>
      </w:r>
      <w:r>
        <w:rPr>
          <w:rFonts w:ascii="Palatino Linotype" w:eastAsiaTheme="minorEastAsia" w:hAnsi="Palatino Linotype"/>
          <w:b/>
          <w:sz w:val="24"/>
          <w:szCs w:val="24"/>
          <w:lang w:val="es-ES_tradnl" w:eastAsia="es-ES"/>
        </w:rPr>
        <w:t xml:space="preserve">SUJETO OBLIGADO </w:t>
      </w:r>
      <w:r>
        <w:rPr>
          <w:rFonts w:ascii="Palatino Linotype" w:eastAsiaTheme="minorEastAsia" w:hAnsi="Palatino Linotype"/>
          <w:sz w:val="24"/>
          <w:szCs w:val="24"/>
          <w:lang w:val="es-ES_tradnl" w:eastAsia="es-ES"/>
        </w:rPr>
        <w:t xml:space="preserve">en respuesta a la solicitud de información. Además de adjuntar el documento, el </w:t>
      </w:r>
      <w:r>
        <w:rPr>
          <w:rFonts w:ascii="Palatino Linotype" w:eastAsiaTheme="minorEastAsia" w:hAnsi="Palatino Linotype"/>
          <w:b/>
          <w:sz w:val="24"/>
          <w:szCs w:val="24"/>
          <w:lang w:val="es-ES_tradnl" w:eastAsia="es-ES"/>
        </w:rPr>
        <w:t xml:space="preserve">RECURRENTE </w:t>
      </w:r>
      <w:r>
        <w:rPr>
          <w:rFonts w:ascii="Palatino Linotype" w:eastAsiaTheme="minorEastAsia" w:hAnsi="Palatino Linotype"/>
          <w:sz w:val="24"/>
          <w:szCs w:val="24"/>
          <w:lang w:val="es-ES_tradnl" w:eastAsia="es-ES"/>
        </w:rPr>
        <w:t xml:space="preserve">refirió:  </w:t>
      </w:r>
      <w:r w:rsidRPr="00416D53">
        <w:rPr>
          <w:rFonts w:ascii="Palatino Linotype" w:eastAsiaTheme="minorEastAsia" w:hAnsi="Palatino Linotype"/>
          <w:i/>
          <w:sz w:val="24"/>
          <w:szCs w:val="24"/>
          <w:lang w:val="es-ES_tradnl" w:eastAsia="es-ES"/>
        </w:rPr>
        <w:t>“</w:t>
      </w:r>
      <w:r w:rsidRPr="00416D53">
        <w:rPr>
          <w:rFonts w:ascii="Palatino Linotype" w:hAnsi="Palatino Linotype" w:cs="Arial"/>
          <w:i/>
          <w:color w:val="333333"/>
          <w:sz w:val="24"/>
          <w:szCs w:val="24"/>
        </w:rPr>
        <w:t xml:space="preserve">De acuerdo a la respuesta emitida por el sujeto obligado y de la cual anexo el archivo, no estoy conforme en virtud de que de acuerdo a su oficio DGDT/EJ/1112/2021 menciona que en el oficio DGDT/EJ/763/2021 hace referencia a que los folios faltantes fueron cancelados cosa que no se menciona en dicho oficio por lo que se presume </w:t>
      </w:r>
      <w:proofErr w:type="spellStart"/>
      <w:r w:rsidRPr="00416D53">
        <w:rPr>
          <w:rFonts w:ascii="Palatino Linotype" w:hAnsi="Palatino Linotype" w:cs="Arial"/>
          <w:i/>
          <w:color w:val="333333"/>
          <w:sz w:val="24"/>
          <w:szCs w:val="24"/>
        </w:rPr>
        <w:t>esta</w:t>
      </w:r>
      <w:proofErr w:type="spellEnd"/>
      <w:r w:rsidRPr="00416D53">
        <w:rPr>
          <w:rFonts w:ascii="Palatino Linotype" w:hAnsi="Palatino Linotype" w:cs="Arial"/>
          <w:i/>
          <w:color w:val="333333"/>
          <w:sz w:val="24"/>
          <w:szCs w:val="24"/>
        </w:rPr>
        <w:t xml:space="preserve"> justificando el no haberlos proporcionado faltando </w:t>
      </w:r>
      <w:proofErr w:type="spellStart"/>
      <w:r w:rsidRPr="00416D53">
        <w:rPr>
          <w:rFonts w:ascii="Palatino Linotype" w:hAnsi="Palatino Linotype" w:cs="Arial"/>
          <w:i/>
          <w:color w:val="333333"/>
          <w:sz w:val="24"/>
          <w:szCs w:val="24"/>
        </w:rPr>
        <w:t>ademas</w:t>
      </w:r>
      <w:proofErr w:type="spellEnd"/>
      <w:r w:rsidRPr="00416D53">
        <w:rPr>
          <w:rFonts w:ascii="Palatino Linotype" w:hAnsi="Palatino Linotype" w:cs="Arial"/>
          <w:i/>
          <w:color w:val="333333"/>
          <w:sz w:val="24"/>
          <w:szCs w:val="24"/>
        </w:rPr>
        <w:t xml:space="preserve"> de anexar el folio 000007 por lo que insisto el sujeto obligado oculta información toda </w:t>
      </w:r>
      <w:proofErr w:type="spellStart"/>
      <w:r w:rsidRPr="00416D53">
        <w:rPr>
          <w:rFonts w:ascii="Palatino Linotype" w:hAnsi="Palatino Linotype" w:cs="Arial"/>
          <w:i/>
          <w:color w:val="333333"/>
          <w:sz w:val="24"/>
          <w:szCs w:val="24"/>
        </w:rPr>
        <w:t>ves</w:t>
      </w:r>
      <w:proofErr w:type="spellEnd"/>
      <w:r w:rsidRPr="00416D53">
        <w:rPr>
          <w:rFonts w:ascii="Palatino Linotype" w:hAnsi="Palatino Linotype" w:cs="Arial"/>
          <w:i/>
          <w:color w:val="333333"/>
          <w:sz w:val="24"/>
          <w:szCs w:val="24"/>
        </w:rPr>
        <w:t xml:space="preserve"> que dicho folio no </w:t>
      </w:r>
      <w:proofErr w:type="spellStart"/>
      <w:r w:rsidRPr="00416D53">
        <w:rPr>
          <w:rFonts w:ascii="Palatino Linotype" w:hAnsi="Palatino Linotype" w:cs="Arial"/>
          <w:i/>
          <w:color w:val="333333"/>
          <w:sz w:val="24"/>
          <w:szCs w:val="24"/>
        </w:rPr>
        <w:t>esta</w:t>
      </w:r>
      <w:proofErr w:type="spellEnd"/>
      <w:r w:rsidRPr="00416D53">
        <w:rPr>
          <w:rFonts w:ascii="Palatino Linotype" w:hAnsi="Palatino Linotype" w:cs="Arial"/>
          <w:i/>
          <w:color w:val="333333"/>
          <w:sz w:val="24"/>
          <w:szCs w:val="24"/>
        </w:rPr>
        <w:t xml:space="preserve"> cancelado ya que obra en mi poder una copia del mismo y el cual en ningún </w:t>
      </w:r>
      <w:r w:rsidRPr="00416D53">
        <w:rPr>
          <w:rFonts w:ascii="Palatino Linotype" w:hAnsi="Palatino Linotype" w:cs="Arial"/>
          <w:i/>
          <w:color w:val="333333"/>
          <w:sz w:val="24"/>
          <w:szCs w:val="24"/>
        </w:rPr>
        <w:lastRenderedPageBreak/>
        <w:t xml:space="preserve">lado se especifica que esta cancelado, por otro lado el sujeto obligado no justifica el hecho de haber testado el contenido de las autorizaciones emitidas es decir lo que autorizan dichas prorrogas y que no son datos personales y que es la cantidad de metros cuadrados de construcción, la superficie de desplante, el área libre y verde de construcción. también testa la cantidad pagada por dicho </w:t>
      </w:r>
      <w:proofErr w:type="spellStart"/>
      <w:r w:rsidRPr="00416D53">
        <w:rPr>
          <w:rFonts w:ascii="Palatino Linotype" w:hAnsi="Palatino Linotype" w:cs="Arial"/>
          <w:i/>
          <w:color w:val="333333"/>
          <w:sz w:val="24"/>
          <w:szCs w:val="24"/>
        </w:rPr>
        <w:t>tramite</w:t>
      </w:r>
      <w:proofErr w:type="spellEnd"/>
      <w:r w:rsidRPr="00416D53">
        <w:rPr>
          <w:rFonts w:ascii="Palatino Linotype" w:hAnsi="Palatino Linotype" w:cs="Arial"/>
          <w:i/>
          <w:color w:val="333333"/>
          <w:sz w:val="24"/>
          <w:szCs w:val="24"/>
        </w:rPr>
        <w:t xml:space="preserve"> cosa que tampoco son datos personales y que en teoría lo establece la ley ese cobro de derechos si es que en realidad </w:t>
      </w:r>
      <w:proofErr w:type="spellStart"/>
      <w:r w:rsidRPr="00416D53">
        <w:rPr>
          <w:rFonts w:ascii="Palatino Linotype" w:hAnsi="Palatino Linotype" w:cs="Arial"/>
          <w:i/>
          <w:color w:val="333333"/>
          <w:sz w:val="24"/>
          <w:szCs w:val="24"/>
        </w:rPr>
        <w:t>esta</w:t>
      </w:r>
      <w:proofErr w:type="spellEnd"/>
      <w:r w:rsidRPr="00416D53">
        <w:rPr>
          <w:rFonts w:ascii="Palatino Linotype" w:hAnsi="Palatino Linotype" w:cs="Arial"/>
          <w:i/>
          <w:color w:val="333333"/>
          <w:sz w:val="24"/>
          <w:szCs w:val="24"/>
        </w:rPr>
        <w:t xml:space="preserve"> </w:t>
      </w:r>
      <w:proofErr w:type="gramStart"/>
      <w:r w:rsidRPr="00416D53">
        <w:rPr>
          <w:rFonts w:ascii="Palatino Linotype" w:hAnsi="Palatino Linotype" w:cs="Arial"/>
          <w:i/>
          <w:color w:val="333333"/>
          <w:sz w:val="24"/>
          <w:szCs w:val="24"/>
        </w:rPr>
        <w:t>establecido ,</w:t>
      </w:r>
      <w:proofErr w:type="gramEnd"/>
      <w:r w:rsidRPr="00416D53">
        <w:rPr>
          <w:rFonts w:ascii="Palatino Linotype" w:hAnsi="Palatino Linotype" w:cs="Arial"/>
          <w:i/>
          <w:color w:val="333333"/>
          <w:sz w:val="24"/>
          <w:szCs w:val="24"/>
        </w:rPr>
        <w:t xml:space="preserve"> testan </w:t>
      </w:r>
      <w:proofErr w:type="spellStart"/>
      <w:r w:rsidRPr="00416D53">
        <w:rPr>
          <w:rFonts w:ascii="Palatino Linotype" w:hAnsi="Palatino Linotype" w:cs="Arial"/>
          <w:i/>
          <w:color w:val="333333"/>
          <w:sz w:val="24"/>
          <w:szCs w:val="24"/>
        </w:rPr>
        <w:t>ademas</w:t>
      </w:r>
      <w:proofErr w:type="spellEnd"/>
      <w:r w:rsidRPr="00416D53">
        <w:rPr>
          <w:rFonts w:ascii="Palatino Linotype" w:hAnsi="Palatino Linotype" w:cs="Arial"/>
          <w:i/>
          <w:color w:val="333333"/>
          <w:sz w:val="24"/>
          <w:szCs w:val="24"/>
        </w:rPr>
        <w:t xml:space="preserve"> la superficie de terreno y tampoco es considerada dato personal. en conclusión no estoy de acuerdo con la respuesta del sujeto obligado y solicito se revise a fondo el estatus de mi petición por lo siguiente que pasa con el folio 000007 el cual obra en mi poder una copia y que es el mismo trasmite del folio 000008 lo que considero grave ya que existen dos autorizaciones con mismo </w:t>
      </w:r>
      <w:proofErr w:type="spellStart"/>
      <w:r w:rsidRPr="00416D53">
        <w:rPr>
          <w:rFonts w:ascii="Palatino Linotype" w:hAnsi="Palatino Linotype" w:cs="Arial"/>
          <w:i/>
          <w:color w:val="333333"/>
          <w:sz w:val="24"/>
          <w:szCs w:val="24"/>
        </w:rPr>
        <w:t>numero</w:t>
      </w:r>
      <w:proofErr w:type="spellEnd"/>
      <w:r w:rsidRPr="00416D53">
        <w:rPr>
          <w:rFonts w:ascii="Palatino Linotype" w:hAnsi="Palatino Linotype" w:cs="Arial"/>
          <w:i/>
          <w:color w:val="333333"/>
          <w:sz w:val="24"/>
          <w:szCs w:val="24"/>
        </w:rPr>
        <w:t xml:space="preserve"> de expediente pero diferente folio la pregunta es </w:t>
      </w:r>
      <w:proofErr w:type="spellStart"/>
      <w:r w:rsidRPr="00416D53">
        <w:rPr>
          <w:rFonts w:ascii="Palatino Linotype" w:hAnsi="Palatino Linotype" w:cs="Arial"/>
          <w:i/>
          <w:color w:val="333333"/>
          <w:sz w:val="24"/>
          <w:szCs w:val="24"/>
        </w:rPr>
        <w:t>por que</w:t>
      </w:r>
      <w:proofErr w:type="spellEnd"/>
      <w:r w:rsidRPr="00416D53">
        <w:rPr>
          <w:rFonts w:ascii="Palatino Linotype" w:hAnsi="Palatino Linotype" w:cs="Arial"/>
          <w:i/>
          <w:color w:val="333333"/>
          <w:sz w:val="24"/>
          <w:szCs w:val="24"/>
        </w:rPr>
        <w:t xml:space="preserve"> no proporciono ese folio el sujeto obligado?, </w:t>
      </w:r>
      <w:proofErr w:type="spellStart"/>
      <w:r w:rsidRPr="00416D53">
        <w:rPr>
          <w:rFonts w:ascii="Palatino Linotype" w:hAnsi="Palatino Linotype" w:cs="Arial"/>
          <w:i/>
          <w:color w:val="333333"/>
          <w:sz w:val="24"/>
          <w:szCs w:val="24"/>
        </w:rPr>
        <w:t>por que</w:t>
      </w:r>
      <w:proofErr w:type="spellEnd"/>
      <w:r w:rsidRPr="00416D53">
        <w:rPr>
          <w:rFonts w:ascii="Palatino Linotype" w:hAnsi="Palatino Linotype" w:cs="Arial"/>
          <w:i/>
          <w:color w:val="333333"/>
          <w:sz w:val="24"/>
          <w:szCs w:val="24"/>
        </w:rPr>
        <w:t xml:space="preserve"> testar el contenido de dichas autorizaciones si no son datos personales?, </w:t>
      </w:r>
      <w:proofErr w:type="spellStart"/>
      <w:r w:rsidRPr="00416D53">
        <w:rPr>
          <w:rFonts w:ascii="Palatino Linotype" w:hAnsi="Palatino Linotype" w:cs="Arial"/>
          <w:i/>
          <w:color w:val="333333"/>
          <w:sz w:val="24"/>
          <w:szCs w:val="24"/>
        </w:rPr>
        <w:t>por que</w:t>
      </w:r>
      <w:proofErr w:type="spellEnd"/>
      <w:r w:rsidRPr="00416D53">
        <w:rPr>
          <w:rFonts w:ascii="Palatino Linotype" w:hAnsi="Palatino Linotype" w:cs="Arial"/>
          <w:i/>
          <w:color w:val="333333"/>
          <w:sz w:val="24"/>
          <w:szCs w:val="24"/>
        </w:rPr>
        <w:t xml:space="preserve"> no proporcionar todas las autorizaciones y/o copia de las autorizaciones canceladas?. </w:t>
      </w:r>
      <w:proofErr w:type="gramStart"/>
      <w:r w:rsidRPr="00416D53">
        <w:rPr>
          <w:rFonts w:ascii="Palatino Linotype" w:hAnsi="Palatino Linotype" w:cs="Arial"/>
          <w:i/>
          <w:color w:val="333333"/>
          <w:sz w:val="24"/>
          <w:szCs w:val="24"/>
        </w:rPr>
        <w:t>Que no se supone que el SAIMEX es precisamente acceso a la información?</w:t>
      </w:r>
      <w:proofErr w:type="gramEnd"/>
      <w:r w:rsidRPr="00416D53">
        <w:rPr>
          <w:rFonts w:ascii="Palatino Linotype" w:hAnsi="Palatino Linotype" w:cs="Arial"/>
          <w:i/>
          <w:color w:val="333333"/>
          <w:sz w:val="24"/>
          <w:szCs w:val="24"/>
        </w:rPr>
        <w:t xml:space="preserve"> información que no se </w:t>
      </w:r>
      <w:proofErr w:type="spellStart"/>
      <w:r w:rsidRPr="00416D53">
        <w:rPr>
          <w:rFonts w:ascii="Palatino Linotype" w:hAnsi="Palatino Linotype" w:cs="Arial"/>
          <w:i/>
          <w:color w:val="333333"/>
          <w:sz w:val="24"/>
          <w:szCs w:val="24"/>
        </w:rPr>
        <w:t>esta</w:t>
      </w:r>
      <w:proofErr w:type="spellEnd"/>
      <w:r w:rsidRPr="00416D53">
        <w:rPr>
          <w:rFonts w:ascii="Palatino Linotype" w:hAnsi="Palatino Linotype" w:cs="Arial"/>
          <w:i/>
          <w:color w:val="333333"/>
          <w:sz w:val="24"/>
          <w:szCs w:val="24"/>
        </w:rPr>
        <w:t xml:space="preserve"> proporcionando completa y que </w:t>
      </w:r>
      <w:proofErr w:type="spellStart"/>
      <w:r w:rsidRPr="00416D53">
        <w:rPr>
          <w:rFonts w:ascii="Palatino Linotype" w:hAnsi="Palatino Linotype" w:cs="Arial"/>
          <w:i/>
          <w:color w:val="333333"/>
          <w:sz w:val="24"/>
          <w:szCs w:val="24"/>
        </w:rPr>
        <w:t>ademas</w:t>
      </w:r>
      <w:proofErr w:type="spellEnd"/>
      <w:r w:rsidRPr="00416D53">
        <w:rPr>
          <w:rFonts w:ascii="Palatino Linotype" w:hAnsi="Palatino Linotype" w:cs="Arial"/>
          <w:i/>
          <w:color w:val="333333"/>
          <w:sz w:val="24"/>
          <w:szCs w:val="24"/>
        </w:rPr>
        <w:t xml:space="preserve"> se testa el contenido de lo que el sujeto obligado autoriza u otorga?</w:t>
      </w:r>
      <w:r>
        <w:rPr>
          <w:rFonts w:ascii="Palatino Linotype" w:hAnsi="Palatino Linotype" w:cs="Arial"/>
          <w:i/>
          <w:color w:val="333333"/>
          <w:sz w:val="24"/>
          <w:szCs w:val="24"/>
        </w:rPr>
        <w:t xml:space="preserve"> (Sic)</w:t>
      </w:r>
    </w:p>
    <w:p w14:paraId="19B533E1" w14:textId="77777777" w:rsidR="004C5B47" w:rsidRPr="004C5B47" w:rsidRDefault="004C5B47" w:rsidP="004C5B47">
      <w:pPr>
        <w:pStyle w:val="Prrafodelista"/>
        <w:rPr>
          <w:rFonts w:ascii="Palatino Linotype" w:eastAsiaTheme="minorEastAsia" w:hAnsi="Palatino Linotype"/>
          <w:sz w:val="24"/>
          <w:szCs w:val="24"/>
          <w:lang w:val="es-ES_tradnl" w:eastAsia="es-ES"/>
        </w:rPr>
      </w:pPr>
    </w:p>
    <w:p w14:paraId="579405B2" w14:textId="77777777" w:rsidR="00416D53" w:rsidRPr="00416D53" w:rsidRDefault="004F1E7D" w:rsidP="00E03587">
      <w:pPr>
        <w:pStyle w:val="Prrafodelista"/>
        <w:numPr>
          <w:ilvl w:val="0"/>
          <w:numId w:val="1"/>
        </w:numPr>
        <w:spacing w:before="240" w:after="0" w:line="360" w:lineRule="auto"/>
        <w:ind w:left="0" w:firstLine="0"/>
        <w:jc w:val="both"/>
        <w:rPr>
          <w:rFonts w:ascii="Palatino Linotype" w:eastAsiaTheme="minorEastAsia" w:hAnsi="Palatino Linotype"/>
          <w:b/>
          <w:sz w:val="24"/>
          <w:szCs w:val="24"/>
          <w:u w:val="single"/>
          <w:lang w:val="es-ES_tradnl" w:eastAsia="es-ES"/>
        </w:rPr>
      </w:pPr>
      <w:r w:rsidRPr="00E06A07">
        <w:rPr>
          <w:rFonts w:ascii="Palatino Linotype" w:eastAsiaTheme="minorEastAsia" w:hAnsi="Palatino Linotype"/>
          <w:sz w:val="24"/>
          <w:szCs w:val="24"/>
          <w:lang w:val="es-ES_tradnl" w:eastAsia="es-ES"/>
        </w:rPr>
        <w:t>El Comisionado Ponente decretó el cierre de instrucción</w:t>
      </w:r>
      <w:r w:rsidRPr="00E06A07">
        <w:rPr>
          <w:rFonts w:ascii="Palatino Linotype" w:eastAsiaTheme="minorEastAsia" w:hAnsi="Palatino Linotype" w:cs="Arial"/>
          <w:sz w:val="24"/>
          <w:szCs w:val="24"/>
          <w:lang w:val="es-ES_tradnl" w:eastAsia="es-ES"/>
        </w:rPr>
        <w:t xml:space="preserve"> </w:t>
      </w:r>
      <w:r w:rsidRPr="00E06A07">
        <w:rPr>
          <w:rFonts w:ascii="Palatino Linotype" w:eastAsiaTheme="minorEastAsia" w:hAnsi="Palatino Linotype"/>
          <w:sz w:val="24"/>
          <w:szCs w:val="24"/>
          <w:lang w:val="es-ES_tradnl" w:eastAsia="es-ES"/>
        </w:rPr>
        <w:t xml:space="preserve">mediante el acuerdo de fecha </w:t>
      </w:r>
      <w:r w:rsidR="00416D53">
        <w:rPr>
          <w:rFonts w:ascii="Palatino Linotype" w:eastAsiaTheme="minorEastAsia" w:hAnsi="Palatino Linotype"/>
          <w:sz w:val="24"/>
          <w:szCs w:val="24"/>
          <w:lang w:val="es-ES_tradnl" w:eastAsia="es-ES"/>
        </w:rPr>
        <w:t>veintidós</w:t>
      </w:r>
      <w:r w:rsidR="00D16C3D" w:rsidRPr="00E06A07">
        <w:rPr>
          <w:rFonts w:ascii="Palatino Linotype" w:eastAsiaTheme="minorEastAsia" w:hAnsi="Palatino Linotype"/>
          <w:sz w:val="24"/>
          <w:szCs w:val="24"/>
          <w:lang w:val="es-ES_tradnl" w:eastAsia="es-ES"/>
        </w:rPr>
        <w:t xml:space="preserve"> (</w:t>
      </w:r>
      <w:r w:rsidR="00416D53">
        <w:rPr>
          <w:rFonts w:ascii="Palatino Linotype" w:eastAsiaTheme="minorEastAsia" w:hAnsi="Palatino Linotype"/>
          <w:sz w:val="24"/>
          <w:szCs w:val="24"/>
          <w:lang w:val="es-ES_tradnl" w:eastAsia="es-ES"/>
        </w:rPr>
        <w:t>22</w:t>
      </w:r>
      <w:r w:rsidR="005F02F7">
        <w:rPr>
          <w:rFonts w:ascii="Palatino Linotype" w:eastAsiaTheme="minorEastAsia" w:hAnsi="Palatino Linotype"/>
          <w:sz w:val="24"/>
          <w:szCs w:val="24"/>
          <w:lang w:val="es-ES_tradnl" w:eastAsia="es-ES"/>
        </w:rPr>
        <w:t xml:space="preserve">) de marzo de dos mil </w:t>
      </w:r>
      <w:r w:rsidR="00E06A07" w:rsidRPr="00E06A07">
        <w:rPr>
          <w:rFonts w:ascii="Palatino Linotype" w:eastAsiaTheme="minorEastAsia" w:hAnsi="Palatino Linotype"/>
          <w:sz w:val="24"/>
          <w:szCs w:val="24"/>
          <w:lang w:val="es-ES_tradnl" w:eastAsia="es-ES"/>
        </w:rPr>
        <w:t xml:space="preserve">veintiuno, </w:t>
      </w:r>
      <w:r w:rsidR="00E06A07" w:rsidRPr="00E06A07">
        <w:rPr>
          <w:rFonts w:ascii="Palatino Linotype" w:hAnsi="Palatino Linotype"/>
          <w:sz w:val="24"/>
          <w:szCs w:val="24"/>
        </w:rPr>
        <w:t>por lo que se</w:t>
      </w:r>
      <w:r w:rsidR="00416D53">
        <w:rPr>
          <w:rFonts w:ascii="Palatino Linotype" w:hAnsi="Palatino Linotype" w:cs="Arial"/>
          <w:sz w:val="24"/>
          <w:szCs w:val="24"/>
        </w:rPr>
        <w:t xml:space="preserve"> ordenó turnar el expedi</w:t>
      </w:r>
      <w:r w:rsidR="00E06A07" w:rsidRPr="00E06A07">
        <w:rPr>
          <w:rFonts w:ascii="Palatino Linotype" w:hAnsi="Palatino Linotype" w:cs="Arial"/>
          <w:sz w:val="24"/>
          <w:szCs w:val="24"/>
        </w:rPr>
        <w:t>ente a resolución</w:t>
      </w:r>
      <w:r w:rsidR="00416D53">
        <w:rPr>
          <w:rFonts w:ascii="Palatino Linotype" w:hAnsi="Palatino Linotype" w:cs="Arial"/>
          <w:sz w:val="24"/>
          <w:szCs w:val="24"/>
        </w:rPr>
        <w:t xml:space="preserve">. </w:t>
      </w:r>
    </w:p>
    <w:p w14:paraId="64AB5807" w14:textId="77777777" w:rsidR="00416D53" w:rsidRPr="00416D53" w:rsidRDefault="00416D53" w:rsidP="00416D53">
      <w:pPr>
        <w:pStyle w:val="Prrafodelista"/>
        <w:spacing w:before="240" w:after="0" w:line="360" w:lineRule="auto"/>
        <w:ind w:left="0"/>
        <w:jc w:val="both"/>
        <w:rPr>
          <w:rFonts w:ascii="Palatino Linotype" w:eastAsiaTheme="minorEastAsia" w:hAnsi="Palatino Linotype"/>
          <w:b/>
          <w:sz w:val="24"/>
          <w:szCs w:val="24"/>
          <w:u w:val="single"/>
          <w:lang w:val="es-ES_tradnl" w:eastAsia="es-ES"/>
        </w:rPr>
      </w:pPr>
    </w:p>
    <w:p w14:paraId="1C5CE0A2" w14:textId="77777777" w:rsidR="004F1E7D" w:rsidRPr="00E06A07" w:rsidRDefault="00416D53" w:rsidP="00E03587">
      <w:pPr>
        <w:pStyle w:val="Prrafodelista"/>
        <w:numPr>
          <w:ilvl w:val="0"/>
          <w:numId w:val="1"/>
        </w:numPr>
        <w:spacing w:before="240" w:after="0" w:line="360" w:lineRule="auto"/>
        <w:ind w:left="0" w:firstLine="0"/>
        <w:jc w:val="both"/>
        <w:rPr>
          <w:rFonts w:ascii="Palatino Linotype" w:eastAsiaTheme="minorEastAsia" w:hAnsi="Palatino Linotype"/>
          <w:b/>
          <w:sz w:val="24"/>
          <w:szCs w:val="24"/>
          <w:u w:val="single"/>
          <w:lang w:val="es-ES_tradnl" w:eastAsia="es-ES"/>
        </w:rPr>
      </w:pPr>
      <w:r>
        <w:rPr>
          <w:rFonts w:ascii="Palatino Linotype" w:hAnsi="Palatino Linotype" w:cs="Arial"/>
          <w:sz w:val="24"/>
          <w:szCs w:val="24"/>
        </w:rPr>
        <w:t xml:space="preserve">El veinte (20) de abril de dos mil veintiuno </w:t>
      </w:r>
      <w:r w:rsidRPr="00E6237D">
        <w:rPr>
          <w:rFonts w:ascii="Palatino Linotype" w:hAnsi="Palatino Linotype"/>
          <w:sz w:val="24"/>
          <w:szCs w:val="24"/>
        </w:rPr>
        <w:t xml:space="preserve">con fundamento en el artículo 181 tercer párrafo de la Ley de Transparencia y Acceso a la Información Pública del Estado de México y Municipios, se notificó que el plazo de treinta (30) días para resolver los </w:t>
      </w:r>
      <w:r w:rsidRPr="00E6237D">
        <w:rPr>
          <w:rFonts w:ascii="Palatino Linotype" w:hAnsi="Palatino Linotype"/>
          <w:sz w:val="24"/>
          <w:szCs w:val="24"/>
        </w:rPr>
        <w:lastRenderedPageBreak/>
        <w:t xml:space="preserve">recursos de revisión, sería ampliado por un periodo de quince (15) días hábiles adicionales, </w:t>
      </w:r>
      <w:r w:rsidR="00426392">
        <w:rPr>
          <w:rFonts w:ascii="Palatino Linotype" w:hAnsi="Palatino Linotype"/>
          <w:sz w:val="24"/>
          <w:szCs w:val="24"/>
        </w:rPr>
        <w:t>ya que es necesario realizar una análisis minucioso, para determinar si es procedente la clasificación de los datos contenidos en las prórrogas de autorización de cambio de uso del suelo o si por el contrario se trata de información que por su naturaleza es de carácter público</w:t>
      </w:r>
      <w:r>
        <w:rPr>
          <w:rFonts w:ascii="Palatino Linotype" w:hAnsi="Palatino Linotype"/>
          <w:sz w:val="24"/>
          <w:szCs w:val="24"/>
        </w:rPr>
        <w:t xml:space="preserve">; </w:t>
      </w:r>
      <w:r w:rsidRPr="004B13BC">
        <w:rPr>
          <w:rFonts w:ascii="Palatino Linotype" w:hAnsi="Palatino Linotype" w:cs="Arial"/>
          <w:sz w:val="24"/>
          <w:szCs w:val="24"/>
        </w:rPr>
        <w:t>no habiendo más que hacer consta</w:t>
      </w:r>
      <w:r w:rsidR="00426392">
        <w:rPr>
          <w:rFonts w:ascii="Palatino Linotype" w:hAnsi="Palatino Linotype" w:cs="Arial"/>
          <w:sz w:val="24"/>
          <w:szCs w:val="24"/>
        </w:rPr>
        <w:t>r</w:t>
      </w:r>
      <w:r w:rsidR="00E06A07" w:rsidRPr="00E06A07">
        <w:rPr>
          <w:rFonts w:ascii="Palatino Linotype" w:hAnsi="Palatino Linotype" w:cs="Arial"/>
          <w:sz w:val="24"/>
          <w:szCs w:val="24"/>
        </w:rPr>
        <w:t xml:space="preserve">, y - - - - - - - - - - </w:t>
      </w:r>
    </w:p>
    <w:p w14:paraId="32226365" w14:textId="77777777" w:rsidR="004F1E7D" w:rsidRPr="004B5D57" w:rsidRDefault="004F1E7D" w:rsidP="004F1E7D">
      <w:pPr>
        <w:spacing w:after="0" w:line="360" w:lineRule="auto"/>
        <w:contextualSpacing/>
        <w:jc w:val="both"/>
        <w:rPr>
          <w:rFonts w:ascii="Palatino Linotype" w:eastAsiaTheme="minorEastAsia" w:hAnsi="Palatino Linotype"/>
          <w:b/>
          <w:sz w:val="24"/>
          <w:szCs w:val="24"/>
          <w:u w:val="single"/>
          <w:lang w:val="es-ES_tradnl" w:eastAsia="es-ES"/>
        </w:rPr>
      </w:pPr>
    </w:p>
    <w:p w14:paraId="6C4BEA89" w14:textId="77777777" w:rsidR="00CE7AB0" w:rsidRPr="00E113EC" w:rsidRDefault="00CE7AB0" w:rsidP="00CE7AB0">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6" w:name="_Toc70709628"/>
      <w:r w:rsidRPr="00E113EC">
        <w:rPr>
          <w:rFonts w:ascii="Palatino Linotype" w:eastAsiaTheme="majorEastAsia" w:hAnsi="Palatino Linotype" w:cstheme="majorBidi"/>
          <w:b/>
          <w:sz w:val="24"/>
          <w:szCs w:val="24"/>
        </w:rPr>
        <w:t xml:space="preserve">C O N S I D E R A N D O </w:t>
      </w:r>
      <w:r>
        <w:rPr>
          <w:rFonts w:ascii="Palatino Linotype" w:eastAsiaTheme="majorEastAsia" w:hAnsi="Palatino Linotype" w:cstheme="majorBidi"/>
          <w:b/>
          <w:sz w:val="24"/>
          <w:szCs w:val="24"/>
        </w:rPr>
        <w:t>S</w:t>
      </w:r>
      <w:bookmarkEnd w:id="6"/>
    </w:p>
    <w:p w14:paraId="37718999" w14:textId="77777777" w:rsidR="004F1E7D" w:rsidRPr="004B5D57" w:rsidRDefault="004F1E7D" w:rsidP="004F1E7D">
      <w:pPr>
        <w:spacing w:after="0" w:line="360" w:lineRule="auto"/>
        <w:rPr>
          <w:rFonts w:ascii="Palatino Linotype" w:eastAsiaTheme="minorEastAsia" w:hAnsi="Palatino Linotype"/>
          <w:sz w:val="24"/>
          <w:szCs w:val="24"/>
        </w:rPr>
      </w:pPr>
    </w:p>
    <w:p w14:paraId="19B887EE" w14:textId="77777777" w:rsidR="004F1E7D" w:rsidRPr="004B5D57" w:rsidRDefault="004F1E7D" w:rsidP="007074A2">
      <w:pPr>
        <w:pStyle w:val="Ttulo1"/>
      </w:pPr>
      <w:bookmarkStart w:id="7" w:name="_Toc70709629"/>
      <w:r w:rsidRPr="007074A2">
        <w:t>PRIMERO</w:t>
      </w:r>
      <w:r w:rsidRPr="004B5D57">
        <w:t>. De la competencia</w:t>
      </w:r>
      <w:bookmarkEnd w:id="7"/>
    </w:p>
    <w:p w14:paraId="574364AA" w14:textId="77777777" w:rsidR="004F1E7D" w:rsidRPr="004B5D57" w:rsidRDefault="004F1E7D" w:rsidP="004F1E7D">
      <w:pPr>
        <w:keepNext/>
        <w:keepLines/>
        <w:spacing w:after="0" w:line="360" w:lineRule="auto"/>
        <w:outlineLvl w:val="1"/>
        <w:rPr>
          <w:rFonts w:ascii="Palatino Linotype" w:eastAsiaTheme="majorEastAsia" w:hAnsi="Palatino Linotype" w:cstheme="majorBidi"/>
          <w:b/>
          <w:bCs/>
          <w:spacing w:val="60"/>
          <w:sz w:val="24"/>
          <w:szCs w:val="26"/>
        </w:rPr>
      </w:pPr>
    </w:p>
    <w:p w14:paraId="4F79B83B" w14:textId="77777777" w:rsidR="004F1E7D" w:rsidRPr="004B5D57" w:rsidRDefault="004F1E7D" w:rsidP="00426392">
      <w:pPr>
        <w:pStyle w:val="Prrafodelista"/>
        <w:numPr>
          <w:ilvl w:val="0"/>
          <w:numId w:val="1"/>
        </w:numPr>
        <w:spacing w:before="240" w:after="0" w:line="360" w:lineRule="auto"/>
        <w:ind w:left="0" w:firstLine="0"/>
        <w:jc w:val="both"/>
        <w:rPr>
          <w:rFonts w:ascii="Palatino Linotype" w:eastAsiaTheme="minorEastAsia" w:hAnsi="Palatino Linotype"/>
          <w:sz w:val="24"/>
          <w:szCs w:val="24"/>
          <w:lang w:val="es-ES_tradnl" w:eastAsia="es-ES"/>
        </w:rPr>
      </w:pPr>
      <w:r w:rsidRPr="004B5D5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5D57">
        <w:rPr>
          <w:rFonts w:ascii="Palatino Linotype" w:eastAsia="Calibri" w:hAnsi="Palatino Linotype" w:cs="Times New Roman"/>
          <w:b/>
          <w:sz w:val="24"/>
          <w:szCs w:val="24"/>
          <w:lang w:val="es-ES" w:eastAsia="es-ES"/>
        </w:rPr>
        <w:t>Constitución Política de los Estados Unidos Mexicanos</w:t>
      </w:r>
      <w:r w:rsidRPr="004B5D57">
        <w:rPr>
          <w:rFonts w:ascii="Palatino Linotype" w:eastAsia="Calibri" w:hAnsi="Palatino Linotype" w:cs="Times New Roman"/>
          <w:sz w:val="24"/>
          <w:szCs w:val="24"/>
          <w:lang w:val="es-ES" w:eastAsia="es-ES"/>
        </w:rPr>
        <w:t xml:space="preserve">; 5, párrafos </w:t>
      </w:r>
      <w:r w:rsidR="00426392" w:rsidRPr="00E113EC">
        <w:rPr>
          <w:rFonts w:ascii="Palatino Linotype" w:eastAsiaTheme="minorEastAsia" w:hAnsi="Palatino Linotype" w:cs="Arial"/>
          <w:bCs/>
          <w:sz w:val="24"/>
          <w:szCs w:val="24"/>
          <w:lang w:val="es-ES" w:eastAsia="es-ES"/>
        </w:rPr>
        <w:t>vigésimo</w:t>
      </w:r>
      <w:r w:rsidR="00426392">
        <w:rPr>
          <w:rFonts w:ascii="Palatino Linotype" w:eastAsiaTheme="minorEastAsia" w:hAnsi="Palatino Linotype" w:cs="Arial"/>
          <w:bCs/>
          <w:sz w:val="24"/>
          <w:szCs w:val="24"/>
          <w:lang w:val="es-ES" w:eastAsia="es-ES"/>
        </w:rPr>
        <w:t xml:space="preserve"> noveno</w:t>
      </w:r>
      <w:r w:rsidR="00426392" w:rsidRPr="00E113EC">
        <w:rPr>
          <w:rFonts w:ascii="Palatino Linotype" w:eastAsiaTheme="minorEastAsia" w:hAnsi="Palatino Linotype" w:cs="Arial"/>
          <w:bCs/>
          <w:sz w:val="24"/>
          <w:szCs w:val="24"/>
          <w:lang w:val="es-ES" w:eastAsia="es-ES"/>
        </w:rPr>
        <w:t xml:space="preserve">, </w:t>
      </w:r>
      <w:r w:rsidR="00426392">
        <w:rPr>
          <w:rFonts w:ascii="Palatino Linotype" w:eastAsiaTheme="minorEastAsia" w:hAnsi="Palatino Linotype" w:cs="Arial"/>
          <w:bCs/>
          <w:sz w:val="24"/>
          <w:szCs w:val="24"/>
          <w:lang w:val="es-ES" w:eastAsia="es-ES"/>
        </w:rPr>
        <w:t>trigésimo y trigésimo primero</w:t>
      </w:r>
      <w:r w:rsidR="00426392">
        <w:rPr>
          <w:rFonts w:ascii="Palatino Linotype" w:eastAsiaTheme="minorEastAsia" w:hAnsi="Palatino Linotype" w:cs="Arial"/>
          <w:bCs/>
          <w:color w:val="222222"/>
          <w:sz w:val="24"/>
          <w:szCs w:val="24"/>
          <w:lang w:val="es-ES" w:eastAsia="es-ES"/>
        </w:rPr>
        <w:t xml:space="preserve">, </w:t>
      </w:r>
      <w:r w:rsidRPr="004B5D57">
        <w:rPr>
          <w:rFonts w:ascii="Palatino Linotype" w:eastAsia="Calibri" w:hAnsi="Palatino Linotype" w:cs="Times New Roman"/>
          <w:sz w:val="24"/>
          <w:szCs w:val="24"/>
          <w:lang w:val="es-ES" w:eastAsia="es-ES"/>
        </w:rPr>
        <w:t xml:space="preserve">fracciones IV y V de la </w:t>
      </w:r>
      <w:r w:rsidRPr="004B5D57">
        <w:rPr>
          <w:rFonts w:ascii="Palatino Linotype" w:eastAsia="Calibri" w:hAnsi="Palatino Linotype" w:cs="Times New Roman"/>
          <w:b/>
          <w:sz w:val="24"/>
          <w:szCs w:val="24"/>
          <w:lang w:val="es-ES" w:eastAsia="es-ES"/>
        </w:rPr>
        <w:t>Constitución Política del Estado Libre y Soberano de México</w:t>
      </w:r>
      <w:r w:rsidRPr="004B5D5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B5D57">
        <w:rPr>
          <w:rFonts w:ascii="Palatino Linotype" w:eastAsia="Calibri" w:hAnsi="Palatino Linotype" w:cs="Arial"/>
          <w:sz w:val="24"/>
          <w:szCs w:val="24"/>
          <w:lang w:val="es-ES" w:eastAsia="es-ES"/>
        </w:rPr>
        <w:t xml:space="preserve">de la </w:t>
      </w:r>
      <w:r w:rsidRPr="004B5D57">
        <w:rPr>
          <w:rFonts w:ascii="Palatino Linotype" w:eastAsia="Calibri" w:hAnsi="Palatino Linotype" w:cs="Arial"/>
          <w:b/>
          <w:sz w:val="24"/>
          <w:szCs w:val="24"/>
          <w:lang w:val="es-ES" w:eastAsia="es-ES"/>
        </w:rPr>
        <w:t>Ley de Transparencia y Acceso a la Información Pública del Estado de México y Municipios</w:t>
      </w:r>
      <w:r w:rsidRPr="004B5D57">
        <w:rPr>
          <w:rFonts w:ascii="Palatino Linotype" w:eastAsia="Calibri" w:hAnsi="Palatino Linotype" w:cs="Arial"/>
          <w:sz w:val="24"/>
          <w:szCs w:val="24"/>
          <w:lang w:val="es-ES" w:eastAsia="es-ES"/>
        </w:rPr>
        <w:t xml:space="preserve">; y 7, 9 fracciones I y XXIV, y 11 del </w:t>
      </w:r>
      <w:r w:rsidRPr="004B5D5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B5D57">
        <w:rPr>
          <w:rFonts w:ascii="Palatino Linotype" w:eastAsiaTheme="minorEastAsia" w:hAnsi="Palatino Linotype"/>
          <w:sz w:val="24"/>
          <w:szCs w:val="24"/>
          <w:lang w:val="es-ES_tradnl" w:eastAsia="es-ES"/>
        </w:rPr>
        <w:t>.</w:t>
      </w:r>
    </w:p>
    <w:p w14:paraId="0B9D8D8C" w14:textId="77777777" w:rsidR="004F1E7D" w:rsidRPr="004B5D57" w:rsidRDefault="004F1E7D" w:rsidP="004F1E7D">
      <w:pPr>
        <w:spacing w:after="0" w:line="360" w:lineRule="auto"/>
        <w:contextualSpacing/>
        <w:jc w:val="both"/>
        <w:rPr>
          <w:rFonts w:ascii="Palatino Linotype" w:eastAsiaTheme="minorEastAsia" w:hAnsi="Palatino Linotype"/>
          <w:sz w:val="24"/>
          <w:szCs w:val="24"/>
          <w:lang w:val="es-ES_tradnl" w:eastAsia="es-ES"/>
        </w:rPr>
      </w:pPr>
    </w:p>
    <w:p w14:paraId="364BECBB" w14:textId="77777777" w:rsidR="004F1E7D" w:rsidRPr="004B5D57" w:rsidRDefault="004F1E7D" w:rsidP="007074A2">
      <w:pPr>
        <w:pStyle w:val="Ttulo1"/>
      </w:pPr>
      <w:bookmarkStart w:id="8" w:name="_Toc70709630"/>
      <w:r w:rsidRPr="004B5D57">
        <w:t>SEGUNDO. De la oportunidad y procedencia.</w:t>
      </w:r>
      <w:bookmarkEnd w:id="8"/>
    </w:p>
    <w:p w14:paraId="19C5969B" w14:textId="77777777" w:rsidR="004F1E7D" w:rsidRPr="004B5D57" w:rsidRDefault="004F1E7D" w:rsidP="004F1E7D">
      <w:pPr>
        <w:spacing w:after="0" w:line="360" w:lineRule="auto"/>
        <w:rPr>
          <w:rFonts w:ascii="Palatino Linotype" w:eastAsiaTheme="minorEastAsia" w:hAnsi="Palatino Linotype"/>
          <w:sz w:val="24"/>
          <w:szCs w:val="24"/>
        </w:rPr>
      </w:pPr>
    </w:p>
    <w:p w14:paraId="4C2F7586" w14:textId="77777777" w:rsidR="004F1E7D" w:rsidRPr="004B5D57" w:rsidRDefault="004F1E7D" w:rsidP="004F1E7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4B5D57">
        <w:rPr>
          <w:rFonts w:ascii="Palatino Linotype" w:eastAsia="Calibri" w:hAnsi="Palatino Linotype" w:cs="Arial"/>
          <w:sz w:val="24"/>
          <w:szCs w:val="24"/>
          <w:lang w:val="es-ES_tradnl" w:eastAsia="es-ES"/>
        </w:rPr>
        <w:lastRenderedPageBreak/>
        <w:t xml:space="preserve">El medio de impugnación fue presentado a través del </w:t>
      </w:r>
      <w:r w:rsidRPr="004B5D57">
        <w:rPr>
          <w:rFonts w:ascii="Palatino Linotype" w:eastAsia="Calibri" w:hAnsi="Palatino Linotype" w:cs="Arial"/>
          <w:b/>
          <w:sz w:val="24"/>
          <w:szCs w:val="24"/>
          <w:lang w:val="es-ES_tradnl" w:eastAsia="es-ES"/>
        </w:rPr>
        <w:t>SAIMEX,</w:t>
      </w:r>
      <w:r w:rsidRPr="004B5D57">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4B5D57">
        <w:rPr>
          <w:rFonts w:ascii="Palatino Linotype" w:eastAsia="Calibri" w:hAnsi="Palatino Linotype" w:cs="Arial"/>
          <w:b/>
          <w:sz w:val="24"/>
          <w:szCs w:val="24"/>
          <w:lang w:val="es-ES_tradnl" w:eastAsia="es-ES"/>
        </w:rPr>
        <w:t>SUJETO OBLIGADO</w:t>
      </w:r>
      <w:r w:rsidRPr="004B5D57">
        <w:rPr>
          <w:rFonts w:ascii="Palatino Linotype" w:eastAsia="Calibri" w:hAnsi="Palatino Linotype" w:cs="Arial"/>
          <w:sz w:val="24"/>
          <w:szCs w:val="24"/>
          <w:lang w:val="es-ES_tradnl" w:eastAsia="es-ES"/>
        </w:rPr>
        <w:t xml:space="preserve"> </w:t>
      </w:r>
      <w:r w:rsidR="006A02EF">
        <w:rPr>
          <w:rFonts w:ascii="Palatino Linotype" w:eastAsia="Calibri" w:hAnsi="Palatino Linotype" w:cs="Arial"/>
          <w:sz w:val="24"/>
          <w:szCs w:val="24"/>
          <w:lang w:val="es-ES_tradnl" w:eastAsia="es-ES"/>
        </w:rPr>
        <w:t>respondió</w:t>
      </w:r>
      <w:r w:rsidRPr="004B5D57">
        <w:rPr>
          <w:rFonts w:ascii="Palatino Linotype" w:eastAsia="Calibri" w:hAnsi="Palatino Linotype" w:cs="Arial"/>
          <w:sz w:val="24"/>
          <w:szCs w:val="24"/>
          <w:lang w:val="es-ES_tradnl" w:eastAsia="es-ES"/>
        </w:rPr>
        <w:t xml:space="preserve"> a la solicitud el </w:t>
      </w:r>
      <w:r w:rsidR="00426392">
        <w:rPr>
          <w:rFonts w:ascii="Palatino Linotype" w:eastAsia="Calibri" w:hAnsi="Palatino Linotype" w:cs="Arial"/>
          <w:sz w:val="24"/>
          <w:szCs w:val="24"/>
          <w:lang w:val="es-ES_tradnl" w:eastAsia="es-ES"/>
        </w:rPr>
        <w:t>dieci</w:t>
      </w:r>
      <w:r w:rsidR="006A02EF">
        <w:rPr>
          <w:rFonts w:ascii="Palatino Linotype" w:eastAsia="Calibri" w:hAnsi="Palatino Linotype" w:cs="Arial"/>
          <w:sz w:val="24"/>
          <w:szCs w:val="24"/>
          <w:lang w:val="es-ES_tradnl" w:eastAsia="es-ES"/>
        </w:rPr>
        <w:t xml:space="preserve">nueve </w:t>
      </w:r>
      <w:r w:rsidR="001D3502" w:rsidRPr="004B5D57">
        <w:rPr>
          <w:rFonts w:ascii="Palatino Linotype" w:eastAsia="Calibri" w:hAnsi="Palatino Linotype" w:cs="Arial"/>
          <w:sz w:val="24"/>
          <w:szCs w:val="24"/>
          <w:lang w:val="es-ES_tradnl" w:eastAsia="es-ES"/>
        </w:rPr>
        <w:t>(</w:t>
      </w:r>
      <w:r w:rsidR="00426392">
        <w:rPr>
          <w:rFonts w:ascii="Palatino Linotype" w:eastAsia="Calibri" w:hAnsi="Palatino Linotype" w:cs="Arial"/>
          <w:sz w:val="24"/>
          <w:szCs w:val="24"/>
          <w:lang w:val="es-ES_tradnl" w:eastAsia="es-ES"/>
        </w:rPr>
        <w:t>1</w:t>
      </w:r>
      <w:r w:rsidR="006A02EF">
        <w:rPr>
          <w:rFonts w:ascii="Palatino Linotype" w:eastAsia="Calibri" w:hAnsi="Palatino Linotype" w:cs="Arial"/>
          <w:sz w:val="24"/>
          <w:szCs w:val="24"/>
          <w:lang w:val="es-ES_tradnl" w:eastAsia="es-ES"/>
        </w:rPr>
        <w:t>9</w:t>
      </w:r>
      <w:r w:rsidR="001D3502" w:rsidRPr="004B5D57">
        <w:rPr>
          <w:rFonts w:ascii="Palatino Linotype" w:eastAsia="Calibri" w:hAnsi="Palatino Linotype" w:cs="Arial"/>
          <w:sz w:val="24"/>
          <w:szCs w:val="24"/>
          <w:lang w:val="es-ES_tradnl" w:eastAsia="es-ES"/>
        </w:rPr>
        <w:t>) de febrero de dos mil veintiuno</w:t>
      </w:r>
      <w:r w:rsidRPr="004B5D57">
        <w:rPr>
          <w:rFonts w:ascii="Palatino Linotype" w:eastAsia="Calibri" w:hAnsi="Palatino Linotype" w:cs="Arial"/>
          <w:sz w:val="24"/>
          <w:szCs w:val="24"/>
          <w:lang w:val="es-ES_tradnl" w:eastAsia="es-ES"/>
        </w:rPr>
        <w:t xml:space="preserve">, </w:t>
      </w:r>
      <w:r w:rsidRPr="004B5D57">
        <w:rPr>
          <w:rFonts w:ascii="Palatino Linotype" w:eastAsiaTheme="minorEastAsia" w:hAnsi="Palatino Linotype" w:cs="Arial"/>
          <w:sz w:val="24"/>
          <w:szCs w:val="24"/>
          <w:lang w:val="es-ES_tradnl" w:eastAsia="es-ES"/>
        </w:rPr>
        <w:t xml:space="preserve">de tal forma que el plazo para interponer el recurso de revisión transcurrió del </w:t>
      </w:r>
      <w:r w:rsidR="00426392">
        <w:rPr>
          <w:rFonts w:ascii="Palatino Linotype" w:eastAsiaTheme="minorEastAsia" w:hAnsi="Palatino Linotype" w:cs="Arial"/>
          <w:sz w:val="24"/>
          <w:szCs w:val="24"/>
          <w:lang w:val="es-ES_tradnl" w:eastAsia="es-ES"/>
        </w:rPr>
        <w:t>veintidós</w:t>
      </w:r>
      <w:r w:rsidR="001D3502" w:rsidRPr="004B5D57">
        <w:rPr>
          <w:rFonts w:ascii="Palatino Linotype" w:eastAsiaTheme="minorEastAsia" w:hAnsi="Palatino Linotype" w:cs="Arial"/>
          <w:sz w:val="24"/>
          <w:szCs w:val="24"/>
          <w:lang w:val="es-ES_tradnl" w:eastAsia="es-ES"/>
        </w:rPr>
        <w:t xml:space="preserve"> (</w:t>
      </w:r>
      <w:r w:rsidR="00426392">
        <w:rPr>
          <w:rFonts w:ascii="Palatino Linotype" w:eastAsiaTheme="minorEastAsia" w:hAnsi="Palatino Linotype" w:cs="Arial"/>
          <w:sz w:val="24"/>
          <w:szCs w:val="24"/>
          <w:lang w:val="es-ES_tradnl" w:eastAsia="es-ES"/>
        </w:rPr>
        <w:t>22</w:t>
      </w:r>
      <w:r w:rsidR="001D3502" w:rsidRPr="004B5D57">
        <w:rPr>
          <w:rFonts w:ascii="Palatino Linotype" w:eastAsiaTheme="minorEastAsia" w:hAnsi="Palatino Linotype" w:cs="Arial"/>
          <w:sz w:val="24"/>
          <w:szCs w:val="24"/>
          <w:lang w:val="es-ES_tradnl" w:eastAsia="es-ES"/>
        </w:rPr>
        <w:t>) de febrero</w:t>
      </w:r>
      <w:r w:rsidR="006A02EF">
        <w:rPr>
          <w:rFonts w:ascii="Palatino Linotype" w:eastAsiaTheme="minorEastAsia" w:hAnsi="Palatino Linotype" w:cs="Arial"/>
          <w:sz w:val="24"/>
          <w:szCs w:val="24"/>
          <w:lang w:val="es-ES_tradnl" w:eastAsia="es-ES"/>
        </w:rPr>
        <w:t xml:space="preserve"> </w:t>
      </w:r>
      <w:r w:rsidRPr="004B5D57">
        <w:rPr>
          <w:rFonts w:ascii="Palatino Linotype" w:eastAsiaTheme="minorEastAsia" w:hAnsi="Palatino Linotype" w:cs="Arial"/>
          <w:sz w:val="24"/>
          <w:szCs w:val="24"/>
          <w:lang w:val="es-ES_tradnl" w:eastAsia="es-ES"/>
        </w:rPr>
        <w:t xml:space="preserve">al </w:t>
      </w:r>
      <w:r w:rsidR="00426392">
        <w:rPr>
          <w:rFonts w:ascii="Palatino Linotype" w:eastAsiaTheme="minorEastAsia" w:hAnsi="Palatino Linotype" w:cs="Arial"/>
          <w:sz w:val="24"/>
          <w:szCs w:val="24"/>
          <w:lang w:val="es-ES_tradnl" w:eastAsia="es-ES"/>
        </w:rPr>
        <w:t>dieciséis</w:t>
      </w:r>
      <w:r w:rsidR="001D3502" w:rsidRPr="004B5D57">
        <w:rPr>
          <w:rFonts w:ascii="Palatino Linotype" w:eastAsiaTheme="minorEastAsia" w:hAnsi="Palatino Linotype" w:cs="Arial"/>
          <w:sz w:val="24"/>
          <w:szCs w:val="24"/>
          <w:lang w:val="es-ES_tradnl" w:eastAsia="es-ES"/>
        </w:rPr>
        <w:t xml:space="preserve"> (</w:t>
      </w:r>
      <w:r w:rsidR="00426392">
        <w:rPr>
          <w:rFonts w:ascii="Palatino Linotype" w:eastAsiaTheme="minorEastAsia" w:hAnsi="Palatino Linotype" w:cs="Arial"/>
          <w:sz w:val="24"/>
          <w:szCs w:val="24"/>
          <w:lang w:val="es-ES_tradnl" w:eastAsia="es-ES"/>
        </w:rPr>
        <w:t>16</w:t>
      </w:r>
      <w:r w:rsidR="001D3502" w:rsidRPr="004B5D57">
        <w:rPr>
          <w:rFonts w:ascii="Palatino Linotype" w:eastAsiaTheme="minorEastAsia" w:hAnsi="Palatino Linotype" w:cs="Arial"/>
          <w:sz w:val="24"/>
          <w:szCs w:val="24"/>
          <w:lang w:val="es-ES_tradnl" w:eastAsia="es-ES"/>
        </w:rPr>
        <w:t>) de marzo de dos mil veintiuno</w:t>
      </w:r>
      <w:r w:rsidRPr="004B5D57">
        <w:rPr>
          <w:rFonts w:ascii="Palatino Linotype" w:eastAsiaTheme="minorEastAsia" w:hAnsi="Palatino Linotype" w:cs="Arial"/>
          <w:sz w:val="24"/>
          <w:szCs w:val="24"/>
          <w:lang w:val="es-ES_tradnl" w:eastAsia="es-ES"/>
        </w:rPr>
        <w:t xml:space="preserve">; en consecuencia, </w:t>
      </w:r>
      <w:r w:rsidR="006A02EF">
        <w:rPr>
          <w:rFonts w:ascii="Palatino Linotype" w:eastAsiaTheme="minorEastAsia" w:hAnsi="Palatino Linotype" w:cs="Arial"/>
          <w:sz w:val="24"/>
          <w:szCs w:val="24"/>
          <w:lang w:val="es-ES_tradnl" w:eastAsia="es-ES"/>
        </w:rPr>
        <w:t>pres</w:t>
      </w:r>
      <w:r w:rsidR="00426392">
        <w:rPr>
          <w:rFonts w:ascii="Palatino Linotype" w:eastAsiaTheme="minorEastAsia" w:hAnsi="Palatino Linotype" w:cs="Arial"/>
          <w:sz w:val="24"/>
          <w:szCs w:val="24"/>
          <w:lang w:val="es-ES_tradnl" w:eastAsia="es-ES"/>
        </w:rPr>
        <w:t>entó su inconformidad el veinte</w:t>
      </w:r>
      <w:r w:rsidR="001D3502" w:rsidRPr="004B5D57">
        <w:rPr>
          <w:rFonts w:ascii="Palatino Linotype" w:eastAsiaTheme="minorEastAsia" w:hAnsi="Palatino Linotype" w:cs="Arial"/>
          <w:sz w:val="24"/>
          <w:szCs w:val="24"/>
          <w:lang w:val="es-ES_tradnl" w:eastAsia="es-ES"/>
        </w:rPr>
        <w:t xml:space="preserve"> (</w:t>
      </w:r>
      <w:r w:rsidR="00426392">
        <w:rPr>
          <w:rFonts w:ascii="Palatino Linotype" w:eastAsiaTheme="minorEastAsia" w:hAnsi="Palatino Linotype" w:cs="Arial"/>
          <w:sz w:val="24"/>
          <w:szCs w:val="24"/>
          <w:lang w:val="es-ES_tradnl" w:eastAsia="es-ES"/>
        </w:rPr>
        <w:t>20</w:t>
      </w:r>
      <w:r w:rsidR="001D3502" w:rsidRPr="004B5D57">
        <w:rPr>
          <w:rFonts w:ascii="Palatino Linotype" w:eastAsiaTheme="minorEastAsia" w:hAnsi="Palatino Linotype" w:cs="Arial"/>
          <w:sz w:val="24"/>
          <w:szCs w:val="24"/>
          <w:lang w:val="es-ES_tradnl" w:eastAsia="es-ES"/>
        </w:rPr>
        <w:t>) de febrero de dos mil veintiuno</w:t>
      </w:r>
      <w:r w:rsidRPr="004B5D57">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4B5D5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4B5D57">
        <w:rPr>
          <w:rFonts w:ascii="Palatino Linotype" w:eastAsiaTheme="minorEastAsia" w:hAnsi="Palatino Linotype" w:cs="Arial"/>
          <w:sz w:val="24"/>
          <w:szCs w:val="24"/>
          <w:lang w:val="es-ES_tradnl" w:eastAsia="es-ES"/>
        </w:rPr>
        <w:t>vigente.</w:t>
      </w:r>
    </w:p>
    <w:p w14:paraId="53BC7EE1" w14:textId="77777777" w:rsidR="004F1E7D" w:rsidRPr="004B5D57" w:rsidRDefault="004F1E7D" w:rsidP="004F1E7D">
      <w:pPr>
        <w:spacing w:after="0" w:line="360" w:lineRule="auto"/>
        <w:ind w:right="49"/>
        <w:contextualSpacing/>
        <w:jc w:val="both"/>
        <w:rPr>
          <w:rFonts w:ascii="Palatino Linotype" w:eastAsiaTheme="minorEastAsia" w:hAnsi="Palatino Linotype"/>
          <w:sz w:val="24"/>
          <w:szCs w:val="24"/>
          <w:lang w:val="es-ES_tradnl" w:eastAsia="es-ES"/>
        </w:rPr>
      </w:pPr>
    </w:p>
    <w:p w14:paraId="015C587B" w14:textId="77777777" w:rsidR="004F1E7D" w:rsidRPr="004B5D57" w:rsidRDefault="004F1E7D" w:rsidP="004F1E7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4B5D57">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EBB18E3" w14:textId="77777777" w:rsidR="009E1679" w:rsidRPr="004B5D57" w:rsidRDefault="009E1679" w:rsidP="009E1679">
      <w:pPr>
        <w:pStyle w:val="Prrafodelista"/>
        <w:rPr>
          <w:rFonts w:ascii="Palatino Linotype" w:eastAsiaTheme="minorEastAsia" w:hAnsi="Palatino Linotype"/>
          <w:sz w:val="24"/>
          <w:szCs w:val="24"/>
          <w:lang w:val="es-ES_tradnl" w:eastAsia="es-ES"/>
        </w:rPr>
      </w:pPr>
    </w:p>
    <w:p w14:paraId="7AB68AC3" w14:textId="77777777" w:rsidR="006A02EF" w:rsidRDefault="009E1679" w:rsidP="00426392">
      <w:pPr>
        <w:pStyle w:val="Ttulo1"/>
        <w:rPr>
          <w:rFonts w:eastAsia="MS Gothic" w:cs="Times New Roman"/>
        </w:rPr>
      </w:pPr>
      <w:bookmarkStart w:id="9" w:name="_Toc66371794"/>
      <w:bookmarkStart w:id="10" w:name="_Toc70709631"/>
      <w:r w:rsidRPr="004B5D57">
        <w:rPr>
          <w:rFonts w:eastAsia="MS Mincho"/>
          <w:lang w:val="es-ES_tradnl" w:eastAsia="es-ES"/>
        </w:rPr>
        <w:t>TERCERO. De previo y especial pronunciamiento</w:t>
      </w:r>
      <w:bookmarkEnd w:id="9"/>
      <w:bookmarkEnd w:id="10"/>
    </w:p>
    <w:p w14:paraId="47F65F63" w14:textId="77777777" w:rsidR="00426392" w:rsidRPr="00426392" w:rsidRDefault="00426392" w:rsidP="00426392"/>
    <w:p w14:paraId="51B63F3E"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t xml:space="preserve">Ahora bien, desde que inició, a finales de 2019, la crisis generada por el virus </w:t>
      </w:r>
      <w:r w:rsidRPr="004B5D57">
        <w:rPr>
          <w:rFonts w:ascii="Palatino Linotype" w:hAnsi="Palatino Linotype"/>
          <w:b/>
          <w:sz w:val="24"/>
          <w:szCs w:val="24"/>
          <w:lang w:val="es-ES"/>
        </w:rPr>
        <w:t xml:space="preserve">SARS-Cov-2 </w:t>
      </w:r>
      <w:proofErr w:type="gramStart"/>
      <w:r w:rsidRPr="004B5D57">
        <w:rPr>
          <w:rFonts w:ascii="Palatino Linotype" w:hAnsi="Palatino Linotype"/>
          <w:b/>
          <w:sz w:val="24"/>
          <w:szCs w:val="24"/>
          <w:lang w:val="es-ES"/>
        </w:rPr>
        <w:t>-  COVID</w:t>
      </w:r>
      <w:proofErr w:type="gramEnd"/>
      <w:r w:rsidRPr="004B5D57">
        <w:rPr>
          <w:rFonts w:ascii="Palatino Linotype" w:hAnsi="Palatino Linotype"/>
          <w:b/>
          <w:sz w:val="24"/>
          <w:szCs w:val="24"/>
          <w:lang w:val="es-ES"/>
        </w:rPr>
        <w:t>-19</w:t>
      </w:r>
      <w:r w:rsidRPr="004B5D57">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7A5050A" w14:textId="77777777" w:rsidR="009E1679" w:rsidRPr="004B5D57" w:rsidRDefault="009E1679" w:rsidP="009E1679">
      <w:pPr>
        <w:pStyle w:val="Prrafodelista"/>
        <w:ind w:left="1778"/>
        <w:jc w:val="both"/>
        <w:rPr>
          <w:rFonts w:ascii="Palatino Linotype" w:hAnsi="Palatino Linotype"/>
          <w:sz w:val="24"/>
          <w:szCs w:val="24"/>
          <w:lang w:val="es-ES"/>
        </w:rPr>
      </w:pPr>
    </w:p>
    <w:p w14:paraId="70BF3077"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1B32B48" w14:textId="77777777" w:rsidR="009E1679" w:rsidRPr="004B5D57" w:rsidRDefault="009E1679" w:rsidP="009E1679">
      <w:pPr>
        <w:pStyle w:val="Prrafodelista"/>
        <w:spacing w:line="360" w:lineRule="auto"/>
        <w:ind w:left="0"/>
        <w:jc w:val="both"/>
        <w:rPr>
          <w:rFonts w:ascii="Palatino Linotype" w:hAnsi="Palatino Linotype"/>
          <w:sz w:val="24"/>
          <w:szCs w:val="24"/>
          <w:lang w:val="es-ES"/>
        </w:rPr>
      </w:pPr>
    </w:p>
    <w:p w14:paraId="01905249"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8B16801" w14:textId="77777777" w:rsidR="009E1679" w:rsidRPr="004B5D57" w:rsidRDefault="009E1679" w:rsidP="009E1679">
      <w:pPr>
        <w:pStyle w:val="Prrafodelista"/>
        <w:spacing w:line="360" w:lineRule="auto"/>
        <w:ind w:left="0"/>
        <w:jc w:val="both"/>
        <w:rPr>
          <w:rFonts w:ascii="Palatino Linotype" w:hAnsi="Palatino Linotype"/>
          <w:sz w:val="24"/>
          <w:szCs w:val="24"/>
          <w:lang w:val="es-ES"/>
        </w:rPr>
      </w:pPr>
    </w:p>
    <w:p w14:paraId="68EFABA7"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D992156" w14:textId="77777777" w:rsidR="009E1679" w:rsidRPr="004B5D57" w:rsidRDefault="009E1679" w:rsidP="009E1679">
      <w:pPr>
        <w:pStyle w:val="Prrafodelista"/>
        <w:spacing w:line="360" w:lineRule="auto"/>
        <w:ind w:left="0"/>
        <w:jc w:val="both"/>
        <w:rPr>
          <w:rFonts w:ascii="Palatino Linotype" w:hAnsi="Palatino Linotype"/>
          <w:sz w:val="24"/>
          <w:szCs w:val="24"/>
          <w:lang w:val="es-ES"/>
        </w:rPr>
      </w:pPr>
    </w:p>
    <w:p w14:paraId="06A0C58D"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0C75583" w14:textId="77777777" w:rsidR="009E1679" w:rsidRPr="004B5D57" w:rsidRDefault="009E1679" w:rsidP="009E1679">
      <w:pPr>
        <w:pStyle w:val="Prrafodelista"/>
        <w:spacing w:line="360" w:lineRule="auto"/>
        <w:ind w:left="0"/>
        <w:jc w:val="both"/>
        <w:rPr>
          <w:rFonts w:ascii="Palatino Linotype" w:hAnsi="Palatino Linotype"/>
          <w:sz w:val="24"/>
          <w:szCs w:val="24"/>
          <w:lang w:val="es-ES"/>
        </w:rPr>
      </w:pPr>
    </w:p>
    <w:p w14:paraId="5A2871A2"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5C9C3508" w14:textId="77777777" w:rsidR="009E1679" w:rsidRPr="004B5D57" w:rsidRDefault="009E1679" w:rsidP="009E1679">
      <w:pPr>
        <w:pStyle w:val="Prrafodelista"/>
        <w:spacing w:line="360" w:lineRule="auto"/>
        <w:ind w:left="0"/>
        <w:jc w:val="both"/>
        <w:rPr>
          <w:rFonts w:ascii="Palatino Linotype" w:hAnsi="Palatino Linotype"/>
          <w:sz w:val="24"/>
          <w:szCs w:val="24"/>
          <w:lang w:val="es-ES"/>
        </w:rPr>
      </w:pPr>
    </w:p>
    <w:p w14:paraId="6FAB644C"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w:t>
      </w:r>
      <w:r w:rsidRPr="004B5D57">
        <w:rPr>
          <w:rFonts w:ascii="Palatino Linotype" w:hAnsi="Palatino Linotype"/>
          <w:sz w:val="24"/>
          <w:szCs w:val="24"/>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D33A322" w14:textId="77777777" w:rsidR="009E1679" w:rsidRPr="004B5D57" w:rsidRDefault="009E1679" w:rsidP="009E1679">
      <w:pPr>
        <w:pStyle w:val="Prrafodelista"/>
        <w:spacing w:line="360" w:lineRule="auto"/>
        <w:ind w:left="0"/>
        <w:jc w:val="both"/>
        <w:rPr>
          <w:rFonts w:ascii="Palatino Linotype" w:hAnsi="Palatino Linotype"/>
          <w:sz w:val="24"/>
          <w:szCs w:val="24"/>
          <w:lang w:val="es-ES"/>
        </w:rPr>
      </w:pPr>
    </w:p>
    <w:p w14:paraId="61061C00"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6D253C" w14:textId="77777777" w:rsidR="009E1679" w:rsidRPr="004B5D57" w:rsidRDefault="009E1679" w:rsidP="009E1679">
      <w:pPr>
        <w:pStyle w:val="Prrafodelista"/>
        <w:spacing w:line="360" w:lineRule="auto"/>
        <w:ind w:left="0"/>
        <w:jc w:val="both"/>
        <w:rPr>
          <w:rFonts w:ascii="Palatino Linotype" w:hAnsi="Palatino Linotype"/>
          <w:sz w:val="24"/>
          <w:szCs w:val="24"/>
          <w:lang w:val="es-ES"/>
        </w:rPr>
      </w:pPr>
    </w:p>
    <w:p w14:paraId="703A4496"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4B5D57">
        <w:rPr>
          <w:rFonts w:ascii="Palatino Linotype" w:hAnsi="Palatino Linotype"/>
          <w:sz w:val="24"/>
          <w:szCs w:val="24"/>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6662DE0" w14:textId="77777777" w:rsidR="009E1679" w:rsidRPr="004B5D57" w:rsidRDefault="009E1679" w:rsidP="009E1679">
      <w:pPr>
        <w:pStyle w:val="Prrafodelista"/>
        <w:spacing w:line="360" w:lineRule="auto"/>
        <w:ind w:left="0"/>
        <w:jc w:val="both"/>
        <w:rPr>
          <w:rFonts w:ascii="Palatino Linotype" w:hAnsi="Palatino Linotype"/>
          <w:sz w:val="24"/>
          <w:szCs w:val="24"/>
          <w:lang w:val="es-ES"/>
        </w:rPr>
      </w:pPr>
    </w:p>
    <w:p w14:paraId="18FA95C3"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05013D5" w14:textId="77777777" w:rsidR="009E1679" w:rsidRPr="004B5D57" w:rsidRDefault="009E1679" w:rsidP="009E1679">
      <w:pPr>
        <w:pStyle w:val="Prrafodelista"/>
        <w:spacing w:line="360" w:lineRule="auto"/>
        <w:ind w:left="0"/>
        <w:jc w:val="both"/>
        <w:rPr>
          <w:rFonts w:ascii="Palatino Linotype" w:hAnsi="Palatino Linotype"/>
          <w:sz w:val="24"/>
          <w:szCs w:val="24"/>
          <w:lang w:val="es-ES"/>
        </w:rPr>
      </w:pPr>
    </w:p>
    <w:p w14:paraId="7B15C2D8" w14:textId="77777777" w:rsidR="009E1679" w:rsidRPr="004B5D57" w:rsidRDefault="009E1679" w:rsidP="009E1679">
      <w:pPr>
        <w:pStyle w:val="Prrafodelista"/>
        <w:numPr>
          <w:ilvl w:val="0"/>
          <w:numId w:val="1"/>
        </w:numPr>
        <w:spacing w:line="360" w:lineRule="auto"/>
        <w:ind w:left="0" w:firstLine="0"/>
        <w:jc w:val="both"/>
        <w:rPr>
          <w:rFonts w:ascii="Palatino Linotype" w:hAnsi="Palatino Linotype"/>
          <w:sz w:val="24"/>
          <w:szCs w:val="24"/>
          <w:lang w:val="es-ES"/>
        </w:rPr>
      </w:pPr>
      <w:r w:rsidRPr="004B5D57">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w:t>
      </w:r>
      <w:r w:rsidRPr="004B5D57">
        <w:rPr>
          <w:rFonts w:ascii="Palatino Linotype" w:hAnsi="Palatino Linotype"/>
          <w:sz w:val="24"/>
          <w:szCs w:val="24"/>
          <w:lang w:val="es-ES"/>
        </w:rPr>
        <w:lastRenderedPageBreak/>
        <w:t>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CE0CAF6" w14:textId="77777777" w:rsidR="004F1E7D" w:rsidRPr="004B5D57" w:rsidRDefault="009E1679" w:rsidP="007074A2">
      <w:pPr>
        <w:pStyle w:val="Ttulo1"/>
      </w:pPr>
      <w:bookmarkStart w:id="11" w:name="_Toc486525253"/>
      <w:bookmarkStart w:id="12" w:name="_Toc70709632"/>
      <w:r w:rsidRPr="004B5D57">
        <w:t>CUARTO</w:t>
      </w:r>
      <w:r w:rsidR="004F1E7D" w:rsidRPr="004B5D57">
        <w:t xml:space="preserve">. </w:t>
      </w:r>
      <w:bookmarkEnd w:id="11"/>
      <w:r w:rsidR="004F1E7D" w:rsidRPr="004B5D57">
        <w:t>Planteamiento de la Litis.</w:t>
      </w:r>
      <w:bookmarkEnd w:id="12"/>
    </w:p>
    <w:p w14:paraId="26D707D3" w14:textId="77777777" w:rsidR="004F1E7D" w:rsidRPr="004B5D57" w:rsidRDefault="004F1E7D" w:rsidP="004F1E7D">
      <w:pPr>
        <w:spacing w:after="0" w:line="360" w:lineRule="auto"/>
        <w:rPr>
          <w:rFonts w:ascii="Palatino Linotype" w:eastAsiaTheme="minorEastAsia" w:hAnsi="Palatino Linotype"/>
          <w:sz w:val="24"/>
          <w:szCs w:val="24"/>
        </w:rPr>
      </w:pPr>
    </w:p>
    <w:p w14:paraId="2253F5EE" w14:textId="77777777" w:rsidR="004F1E7D" w:rsidRPr="004B5D57" w:rsidRDefault="004F1E7D" w:rsidP="004F1E7D">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4B5D57">
        <w:rPr>
          <w:rFonts w:ascii="Palatino Linotype" w:eastAsia="MS Gothic" w:hAnsi="Palatino Linotype" w:cs="Times New Roman"/>
          <w:sz w:val="24"/>
        </w:rPr>
        <w:t>De las constancias que obran en el expediente electrónico SAIMEX, el partic</w:t>
      </w:r>
      <w:r w:rsidR="001D3502" w:rsidRPr="004B5D57">
        <w:rPr>
          <w:rFonts w:ascii="Palatino Linotype" w:eastAsia="MS Gothic" w:hAnsi="Palatino Linotype" w:cs="Times New Roman"/>
          <w:sz w:val="24"/>
        </w:rPr>
        <w:t xml:space="preserve">ular solicitó </w:t>
      </w:r>
      <w:r w:rsidR="0072428A">
        <w:rPr>
          <w:rFonts w:ascii="Palatino Linotype" w:eastAsia="MS Gothic" w:hAnsi="Palatino Linotype" w:cs="Times New Roman"/>
          <w:sz w:val="24"/>
        </w:rPr>
        <w:t xml:space="preserve">en versión pública, todas y cada una de las autorizaciones de prórroga de autorización de cambio de uno del suelo, emitidas por la Dirección General de Desarrollo Territorial del </w:t>
      </w:r>
      <w:r w:rsidR="0072428A">
        <w:rPr>
          <w:rFonts w:ascii="Palatino Linotype" w:eastAsia="MS Gothic" w:hAnsi="Palatino Linotype" w:cs="Times New Roman"/>
          <w:b/>
          <w:sz w:val="24"/>
        </w:rPr>
        <w:t xml:space="preserve">Municipio de Atizapán de Zaragoza </w:t>
      </w:r>
      <w:r w:rsidR="0072428A">
        <w:rPr>
          <w:rFonts w:ascii="Palatino Linotype" w:eastAsia="MS Gothic" w:hAnsi="Palatino Linotype" w:cs="Times New Roman"/>
          <w:sz w:val="24"/>
        </w:rPr>
        <w:t xml:space="preserve">el año dos mil diecinueve al veintiocho (28) de enero de dos mil veintiuno. </w:t>
      </w:r>
    </w:p>
    <w:p w14:paraId="0A0E81DB" w14:textId="77777777" w:rsidR="004F1E7D" w:rsidRPr="004B5D57" w:rsidRDefault="004F1E7D" w:rsidP="004F1E7D">
      <w:pPr>
        <w:spacing w:after="0" w:line="360" w:lineRule="auto"/>
        <w:jc w:val="both"/>
        <w:rPr>
          <w:rFonts w:ascii="Palatino Linotype" w:eastAsia="MS Gothic" w:hAnsi="Palatino Linotype" w:cs="Times New Roman"/>
          <w:sz w:val="24"/>
        </w:rPr>
      </w:pPr>
    </w:p>
    <w:p w14:paraId="69987297" w14:textId="77777777" w:rsidR="001D3502" w:rsidRPr="004B5D57" w:rsidRDefault="004F1E7D" w:rsidP="001D3502">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4B5D57">
        <w:rPr>
          <w:rFonts w:ascii="Palatino Linotype" w:eastAsia="MS Gothic" w:hAnsi="Palatino Linotype" w:cs="Times New Roman"/>
          <w:sz w:val="24"/>
        </w:rPr>
        <w:t xml:space="preserve">El </w:t>
      </w:r>
      <w:r w:rsidRPr="004B5D57">
        <w:rPr>
          <w:rFonts w:ascii="Palatino Linotype" w:eastAsia="MS Gothic" w:hAnsi="Palatino Linotype" w:cs="Times New Roman"/>
          <w:b/>
          <w:sz w:val="24"/>
        </w:rPr>
        <w:t>SUJETO OBLIGADO</w:t>
      </w:r>
      <w:r w:rsidRPr="004B5D57">
        <w:rPr>
          <w:rFonts w:ascii="Palatino Linotype" w:eastAsia="MS Gothic" w:hAnsi="Palatino Linotype" w:cs="Times New Roman"/>
          <w:sz w:val="24"/>
        </w:rPr>
        <w:t xml:space="preserve"> </w:t>
      </w:r>
      <w:r w:rsidR="0072428A">
        <w:rPr>
          <w:rFonts w:ascii="Palatino Linotype" w:eastAsia="MS Gothic" w:hAnsi="Palatino Linotype" w:cs="Times New Roman"/>
          <w:sz w:val="24"/>
        </w:rPr>
        <w:t xml:space="preserve">entregó en versión pública tres (03) prórrogas de autorización de cambio de uso del suelo emitidas por la Dirección General de Desarrollo Territorial, así como el acta del Comité de Transparencia que aprueba la clasificación de los datos personales contenidos en los documentos como información confidencial. </w:t>
      </w:r>
    </w:p>
    <w:p w14:paraId="1871085D" w14:textId="77777777" w:rsidR="001D3502" w:rsidRPr="004B5D57" w:rsidRDefault="001D3502" w:rsidP="001D3502">
      <w:pPr>
        <w:pStyle w:val="Prrafodelista"/>
        <w:rPr>
          <w:rFonts w:ascii="Palatino Linotype" w:eastAsia="MS Gothic" w:hAnsi="Palatino Linotype" w:cs="Times New Roman"/>
          <w:sz w:val="24"/>
        </w:rPr>
      </w:pPr>
    </w:p>
    <w:p w14:paraId="435A94C7" w14:textId="77777777" w:rsidR="001D3502" w:rsidRPr="004B5D57" w:rsidRDefault="00B6396F" w:rsidP="001D3502">
      <w:pPr>
        <w:pStyle w:val="Prrafodelista"/>
        <w:numPr>
          <w:ilvl w:val="0"/>
          <w:numId w:val="1"/>
        </w:numPr>
        <w:spacing w:after="0" w:line="360" w:lineRule="auto"/>
        <w:ind w:left="0" w:firstLine="0"/>
        <w:jc w:val="both"/>
        <w:rPr>
          <w:rFonts w:ascii="Palatino Linotype" w:eastAsia="MS Gothic" w:hAnsi="Palatino Linotype" w:cs="Times New Roman"/>
          <w:sz w:val="24"/>
        </w:rPr>
      </w:pPr>
      <w:r>
        <w:rPr>
          <w:rFonts w:ascii="Palatino Linotype" w:eastAsia="MS Gothic" w:hAnsi="Palatino Linotype" w:cs="Times New Roman"/>
          <w:sz w:val="24"/>
        </w:rPr>
        <w:t xml:space="preserve">Inconforme con la respuesta, el </w:t>
      </w:r>
      <w:r>
        <w:rPr>
          <w:rFonts w:ascii="Palatino Linotype" w:eastAsia="MS Gothic" w:hAnsi="Palatino Linotype" w:cs="Times New Roman"/>
          <w:b/>
          <w:sz w:val="24"/>
        </w:rPr>
        <w:t xml:space="preserve">RECURRENTE </w:t>
      </w:r>
      <w:r>
        <w:rPr>
          <w:rFonts w:ascii="Palatino Linotype" w:eastAsia="MS Gothic" w:hAnsi="Palatino Linotype" w:cs="Times New Roman"/>
          <w:sz w:val="24"/>
        </w:rPr>
        <w:t xml:space="preserve">interpuso el recurso de revisión en el que manifestó como razones o motivos de inconformidad </w:t>
      </w:r>
      <w:r w:rsidR="0072428A">
        <w:rPr>
          <w:rFonts w:ascii="Palatino Linotype" w:eastAsia="MS Gothic" w:hAnsi="Palatino Linotype" w:cs="Times New Roman"/>
          <w:sz w:val="24"/>
        </w:rPr>
        <w:t xml:space="preserve">la entrega de </w:t>
      </w:r>
      <w:r w:rsidR="0072428A">
        <w:rPr>
          <w:rFonts w:ascii="Palatino Linotype" w:eastAsia="MS Gothic" w:hAnsi="Palatino Linotype" w:cs="Times New Roman"/>
          <w:sz w:val="24"/>
        </w:rPr>
        <w:lastRenderedPageBreak/>
        <w:t xml:space="preserve">información incompleta, y que la información se solicitó en un CD con costo y no se le notificó para acudir a cubrir el monto del mismo. </w:t>
      </w:r>
    </w:p>
    <w:p w14:paraId="050A6A97" w14:textId="77777777" w:rsidR="004F1E7D" w:rsidRPr="004B5D57" w:rsidRDefault="004F1E7D" w:rsidP="004F1E7D">
      <w:pPr>
        <w:pStyle w:val="Prrafodelista"/>
        <w:spacing w:after="0" w:line="360" w:lineRule="auto"/>
        <w:ind w:left="0"/>
        <w:jc w:val="both"/>
        <w:rPr>
          <w:rFonts w:ascii="Palatino Linotype" w:eastAsia="MS Gothic" w:hAnsi="Palatino Linotype" w:cs="Times New Roman"/>
          <w:sz w:val="24"/>
        </w:rPr>
      </w:pPr>
    </w:p>
    <w:p w14:paraId="7BA7E397" w14:textId="77777777" w:rsidR="005417EB" w:rsidRPr="0039357F" w:rsidRDefault="005417EB" w:rsidP="005417EB">
      <w:pPr>
        <w:numPr>
          <w:ilvl w:val="0"/>
          <w:numId w:val="1"/>
        </w:numPr>
        <w:spacing w:after="0" w:line="360" w:lineRule="auto"/>
        <w:ind w:left="0" w:firstLine="0"/>
        <w:contextualSpacing/>
        <w:jc w:val="both"/>
        <w:rPr>
          <w:rFonts w:ascii="Palatino Linotype" w:eastAsia="MS Mincho" w:hAnsi="Palatino Linotype" w:cs="Arial"/>
          <w:sz w:val="24"/>
          <w:szCs w:val="24"/>
        </w:rPr>
      </w:pPr>
      <w:r w:rsidRPr="0039357F">
        <w:rPr>
          <w:rFonts w:ascii="Palatino Linotype" w:eastAsia="MS Mincho" w:hAnsi="Palatino Linotype" w:cs="Arial"/>
          <w:sz w:val="24"/>
          <w:szCs w:val="24"/>
        </w:rPr>
        <w:t xml:space="preserve">En </w:t>
      </w:r>
      <w:r w:rsidRPr="0039357F">
        <w:rPr>
          <w:rFonts w:ascii="Palatino Linotype" w:hAnsi="Palatino Linotype" w:cs="Arial"/>
          <w:sz w:val="24"/>
          <w:szCs w:val="24"/>
          <w:lang w:eastAsia="es-MX"/>
        </w:rPr>
        <w:t>dichas</w:t>
      </w:r>
      <w:r w:rsidRPr="0039357F">
        <w:rPr>
          <w:rFonts w:ascii="Palatino Linotype" w:eastAsia="Times New Roman" w:hAnsi="Palatino Linotype" w:cs="Arial"/>
          <w:sz w:val="24"/>
          <w:szCs w:val="24"/>
        </w:rPr>
        <w:t xml:space="preserve"> condiciones, la </w:t>
      </w:r>
      <w:r w:rsidRPr="0039357F">
        <w:rPr>
          <w:rFonts w:ascii="Palatino Linotype" w:eastAsia="Times New Roman" w:hAnsi="Palatino Linotype" w:cs="Arial"/>
          <w:i/>
          <w:sz w:val="24"/>
          <w:szCs w:val="24"/>
        </w:rPr>
        <w:t>Litis</w:t>
      </w:r>
      <w:r w:rsidRPr="0039357F">
        <w:rPr>
          <w:rFonts w:ascii="Palatino Linotype" w:eastAsia="Times New Roman" w:hAnsi="Palatino Linotype" w:cs="Arial"/>
          <w:sz w:val="24"/>
          <w:szCs w:val="24"/>
        </w:rPr>
        <w:t xml:space="preserve"> a resolver e</w:t>
      </w:r>
      <w:r w:rsidR="00CA2ACA">
        <w:rPr>
          <w:rFonts w:ascii="Palatino Linotype" w:eastAsia="Times New Roman" w:hAnsi="Palatino Linotype" w:cs="Arial"/>
          <w:sz w:val="24"/>
          <w:szCs w:val="24"/>
        </w:rPr>
        <w:t>n este recurso se circunscribe en</w:t>
      </w:r>
      <w:r w:rsidRPr="0039357F">
        <w:rPr>
          <w:rFonts w:ascii="Palatino Linotype" w:eastAsia="Times New Roman" w:hAnsi="Palatino Linotype" w:cs="Arial"/>
          <w:sz w:val="24"/>
          <w:szCs w:val="24"/>
        </w:rPr>
        <w:t xml:space="preserve"> determinar si </w:t>
      </w:r>
      <w:r w:rsidRPr="0039357F">
        <w:rPr>
          <w:rFonts w:ascii="Palatino Linotype" w:eastAsia="MS Mincho" w:hAnsi="Palatino Linotype" w:cs="Arial"/>
          <w:sz w:val="24"/>
          <w:szCs w:val="24"/>
        </w:rPr>
        <w:t>se actualizan la causales de procedencia prevista</w:t>
      </w:r>
      <w:r w:rsidR="00CA2ACA">
        <w:rPr>
          <w:rFonts w:ascii="Palatino Linotype" w:eastAsia="MS Mincho" w:hAnsi="Palatino Linotype" w:cs="Arial"/>
          <w:sz w:val="24"/>
          <w:szCs w:val="24"/>
        </w:rPr>
        <w:t>s</w:t>
      </w:r>
      <w:r w:rsidRPr="0039357F">
        <w:rPr>
          <w:rFonts w:ascii="Palatino Linotype" w:eastAsia="MS Mincho" w:hAnsi="Palatino Linotype" w:cs="Arial"/>
          <w:sz w:val="24"/>
          <w:szCs w:val="24"/>
        </w:rPr>
        <w:t xml:space="preserve"> en </w:t>
      </w:r>
      <w:r w:rsidR="0072428A">
        <w:rPr>
          <w:rFonts w:ascii="Palatino Linotype" w:eastAsia="MS Mincho" w:hAnsi="Palatino Linotype" w:cs="Arial"/>
          <w:sz w:val="24"/>
          <w:szCs w:val="24"/>
        </w:rPr>
        <w:t xml:space="preserve">el artículo 179, fracciones V </w:t>
      </w:r>
      <w:r w:rsidR="00CA2ACA">
        <w:rPr>
          <w:rFonts w:ascii="Palatino Linotype" w:eastAsia="MS Mincho" w:hAnsi="Palatino Linotype" w:cs="Arial"/>
          <w:sz w:val="24"/>
          <w:szCs w:val="24"/>
        </w:rPr>
        <w:t>y VIII</w:t>
      </w:r>
      <w:r w:rsidRPr="0039357F">
        <w:rPr>
          <w:rFonts w:ascii="Palatino Linotype" w:eastAsia="MS Mincho" w:hAnsi="Palatino Linotype" w:cs="Arial"/>
          <w:sz w:val="24"/>
          <w:szCs w:val="24"/>
        </w:rPr>
        <w:t xml:space="preserve"> de la </w:t>
      </w:r>
      <w:r w:rsidRPr="0039357F">
        <w:rPr>
          <w:rFonts w:ascii="Palatino Linotype" w:eastAsia="MS Mincho" w:hAnsi="Palatino Linotype" w:cs="Arial"/>
          <w:b/>
          <w:sz w:val="24"/>
          <w:szCs w:val="24"/>
        </w:rPr>
        <w:t>Ley de Transparencia y Acceso a la Información Pública del Estado de México y Municipios</w:t>
      </w:r>
      <w:r w:rsidRPr="0039357F">
        <w:rPr>
          <w:rFonts w:ascii="Palatino Linotype" w:eastAsia="MS Mincho" w:hAnsi="Palatino Linotype" w:cs="Arial"/>
          <w:sz w:val="24"/>
          <w:szCs w:val="24"/>
        </w:rPr>
        <w:t xml:space="preserve">; </w:t>
      </w:r>
      <w:r w:rsidRPr="0039357F">
        <w:rPr>
          <w:rFonts w:ascii="Palatino Linotype" w:eastAsia="Times New Roman" w:hAnsi="Palatino Linotype" w:cs="Arial"/>
          <w:color w:val="000000" w:themeColor="text1"/>
          <w:sz w:val="24"/>
          <w:szCs w:val="24"/>
          <w:lang w:val="es-ES" w:eastAsia="es-MX"/>
        </w:rPr>
        <w:t xml:space="preserve">fracciones que determinan las hipótesis jurídicas relativas </w:t>
      </w:r>
      <w:r w:rsidR="00CA2ACA">
        <w:rPr>
          <w:rFonts w:ascii="Palatino Linotype" w:eastAsia="Times New Roman" w:hAnsi="Palatino Linotype" w:cs="Arial"/>
          <w:color w:val="000000" w:themeColor="text1"/>
          <w:sz w:val="24"/>
          <w:szCs w:val="24"/>
          <w:lang w:val="es-ES" w:eastAsia="es-MX"/>
        </w:rPr>
        <w:t>a la entrega de información incompleta y la notificación, entrega o puesta a disposición de información en una modalidad o formato distinto al solicitado</w:t>
      </w:r>
      <w:r w:rsidRPr="0039357F">
        <w:rPr>
          <w:rFonts w:ascii="Palatino Linotype" w:eastAsia="Times New Roman" w:hAnsi="Palatino Linotype" w:cs="Arial"/>
          <w:color w:val="000000" w:themeColor="text1"/>
          <w:sz w:val="24"/>
          <w:szCs w:val="24"/>
          <w:lang w:val="es-ES" w:eastAsia="es-MX"/>
        </w:rPr>
        <w:t xml:space="preserve">; </w:t>
      </w:r>
      <w:r w:rsidRPr="0039357F">
        <w:rPr>
          <w:rFonts w:ascii="Palatino Linotype" w:eastAsia="MS Mincho" w:hAnsi="Palatino Linotype" w:cs="Arial"/>
          <w:sz w:val="24"/>
          <w:szCs w:val="24"/>
        </w:rPr>
        <w:t>con</w:t>
      </w:r>
      <w:r>
        <w:rPr>
          <w:rFonts w:ascii="Palatino Linotype" w:eastAsia="MS Mincho" w:hAnsi="Palatino Linotype" w:cs="Arial"/>
          <w:sz w:val="24"/>
          <w:szCs w:val="24"/>
        </w:rPr>
        <w:t>textos de los cuales se dolió el</w:t>
      </w:r>
      <w:r w:rsidRPr="0039357F">
        <w:rPr>
          <w:rFonts w:ascii="Palatino Linotype" w:eastAsia="MS Mincho" w:hAnsi="Palatino Linotype" w:cs="Arial"/>
          <w:sz w:val="24"/>
          <w:szCs w:val="24"/>
        </w:rPr>
        <w:t xml:space="preserve"> </w:t>
      </w:r>
      <w:r w:rsidRPr="0039357F">
        <w:rPr>
          <w:rFonts w:ascii="Palatino Linotype" w:eastAsia="MS Mincho" w:hAnsi="Palatino Linotype" w:cs="Arial"/>
          <w:b/>
          <w:sz w:val="24"/>
          <w:szCs w:val="24"/>
        </w:rPr>
        <w:t>RECURRENTE</w:t>
      </w:r>
      <w:r w:rsidRPr="0039357F">
        <w:rPr>
          <w:rFonts w:ascii="Palatino Linotype" w:eastAsia="MS Mincho" w:hAnsi="Palatino Linotype" w:cs="Arial"/>
          <w:sz w:val="24"/>
          <w:szCs w:val="24"/>
        </w:rPr>
        <w:t xml:space="preserve"> al momento de interponer su inconformidad.</w:t>
      </w:r>
      <w:r w:rsidRPr="0039357F">
        <w:rPr>
          <w:rFonts w:ascii="Palatino Linotype" w:eastAsia="Times New Roman" w:hAnsi="Palatino Linotype" w:cs="Arial"/>
          <w:color w:val="000000" w:themeColor="text1"/>
          <w:sz w:val="24"/>
          <w:szCs w:val="24"/>
          <w:lang w:val="es-ES" w:eastAsia="es-MX"/>
        </w:rPr>
        <w:t xml:space="preserve"> Por lo tanto, </w:t>
      </w:r>
      <w:r w:rsidRPr="0039357F">
        <w:rPr>
          <w:rFonts w:ascii="Palatino Linotype" w:hAnsi="Palatino Linotype" w:cs="Arial"/>
          <w:color w:val="000000" w:themeColor="text1"/>
          <w:sz w:val="24"/>
          <w:szCs w:val="24"/>
        </w:rPr>
        <w:t xml:space="preserve">el presente recurso de revisión se </w:t>
      </w:r>
      <w:r w:rsidR="00CA2ACA">
        <w:rPr>
          <w:rFonts w:ascii="Palatino Linotype" w:hAnsi="Palatino Linotype" w:cs="Arial"/>
          <w:color w:val="000000" w:themeColor="text1"/>
          <w:sz w:val="24"/>
          <w:szCs w:val="24"/>
        </w:rPr>
        <w:t>resolverá</w:t>
      </w:r>
      <w:r w:rsidRPr="0039357F">
        <w:rPr>
          <w:rFonts w:ascii="Palatino Linotype" w:hAnsi="Palatino Linotype" w:cs="Arial"/>
          <w:color w:val="000000" w:themeColor="text1"/>
          <w:sz w:val="24"/>
          <w:szCs w:val="24"/>
        </w:rPr>
        <w:t xml:space="preserve"> si el </w:t>
      </w:r>
      <w:r w:rsidRPr="0039357F">
        <w:rPr>
          <w:rFonts w:ascii="Palatino Linotype" w:hAnsi="Palatino Linotype" w:cs="Arial"/>
          <w:b/>
          <w:color w:val="000000" w:themeColor="text1"/>
          <w:sz w:val="24"/>
          <w:szCs w:val="24"/>
        </w:rPr>
        <w:t>SUJETO</w:t>
      </w:r>
      <w:r w:rsidRPr="0039357F">
        <w:rPr>
          <w:rFonts w:ascii="Palatino Linotype" w:hAnsi="Palatino Linotype" w:cs="Arial"/>
          <w:color w:val="000000" w:themeColor="text1"/>
          <w:sz w:val="24"/>
          <w:szCs w:val="24"/>
        </w:rPr>
        <w:t xml:space="preserve"> </w:t>
      </w:r>
      <w:r w:rsidRPr="0039357F">
        <w:rPr>
          <w:rFonts w:ascii="Palatino Linotype" w:hAnsi="Palatino Linotype" w:cs="Arial"/>
          <w:b/>
          <w:color w:val="000000" w:themeColor="text1"/>
          <w:sz w:val="24"/>
          <w:szCs w:val="24"/>
        </w:rPr>
        <w:t>OBLIGADO</w:t>
      </w:r>
      <w:r w:rsidRPr="0039357F">
        <w:rPr>
          <w:rFonts w:ascii="Palatino Linotype" w:hAnsi="Palatino Linotype" w:cs="Arial"/>
          <w:color w:val="000000" w:themeColor="text1"/>
          <w:sz w:val="24"/>
          <w:szCs w:val="24"/>
        </w:rPr>
        <w:t xml:space="preserve"> con su respuesta </w:t>
      </w:r>
      <w:r w:rsidRPr="0039357F">
        <w:rPr>
          <w:rFonts w:ascii="Palatino Linotype" w:eastAsia="Times New Roman" w:hAnsi="Palatino Linotype"/>
          <w:color w:val="000000" w:themeColor="text1"/>
          <w:sz w:val="24"/>
          <w:szCs w:val="24"/>
        </w:rPr>
        <w:t>actualiza las causas de procedencia</w:t>
      </w:r>
      <w:r w:rsidRPr="0039357F">
        <w:rPr>
          <w:rFonts w:ascii="Palatino Linotype" w:eastAsia="Times New Roman" w:hAnsi="Palatino Linotype"/>
          <w:b/>
          <w:color w:val="000000" w:themeColor="text1"/>
          <w:sz w:val="24"/>
          <w:szCs w:val="24"/>
        </w:rPr>
        <w:t xml:space="preserve"> </w:t>
      </w:r>
      <w:r w:rsidRPr="0039357F">
        <w:rPr>
          <w:rFonts w:ascii="Palatino Linotype" w:eastAsia="Times New Roman" w:hAnsi="Palatino Linotype" w:cs="Arial"/>
          <w:color w:val="000000" w:themeColor="text1"/>
          <w:sz w:val="24"/>
          <w:szCs w:val="24"/>
          <w:lang w:eastAsia="es-MX"/>
        </w:rPr>
        <w:t xml:space="preserve">antes señaladas. Así como comprobar </w:t>
      </w:r>
      <w:r>
        <w:rPr>
          <w:rFonts w:ascii="Palatino Linotype" w:eastAsia="Times New Roman" w:hAnsi="Palatino Linotype" w:cs="Arial"/>
          <w:color w:val="000000" w:themeColor="text1"/>
          <w:sz w:val="24"/>
          <w:szCs w:val="24"/>
          <w:lang w:eastAsia="es-MX"/>
        </w:rPr>
        <w:t xml:space="preserve">si la misma es </w:t>
      </w:r>
      <w:r w:rsidR="00CA2ACA">
        <w:rPr>
          <w:rFonts w:ascii="Palatino Linotype" w:eastAsia="Times New Roman" w:hAnsi="Palatino Linotype" w:cs="Arial"/>
          <w:color w:val="000000" w:themeColor="text1"/>
          <w:sz w:val="24"/>
          <w:szCs w:val="24"/>
          <w:lang w:eastAsia="es-MX"/>
        </w:rPr>
        <w:t>completa y sujeta a un régimen limitado de restricciones</w:t>
      </w:r>
      <w:r>
        <w:rPr>
          <w:rFonts w:ascii="Palatino Linotype" w:eastAsia="Times New Roman" w:hAnsi="Palatino Linotype" w:cs="Arial"/>
          <w:color w:val="000000" w:themeColor="text1"/>
          <w:sz w:val="24"/>
          <w:szCs w:val="24"/>
          <w:lang w:eastAsia="es-MX"/>
        </w:rPr>
        <w:t xml:space="preserve"> </w:t>
      </w:r>
      <w:r w:rsidRPr="0039357F">
        <w:rPr>
          <w:rFonts w:ascii="Palatino Linotype" w:eastAsia="Times New Roman" w:hAnsi="Palatino Linotype" w:cs="Arial"/>
          <w:color w:val="000000" w:themeColor="text1"/>
          <w:sz w:val="24"/>
          <w:szCs w:val="24"/>
          <w:lang w:eastAsia="es-MX"/>
        </w:rPr>
        <w:t>en términos del Artículo 11 de la ley de la materia.</w:t>
      </w:r>
    </w:p>
    <w:p w14:paraId="72D315A8" w14:textId="77777777" w:rsidR="004F1E7D" w:rsidRPr="004B5D57" w:rsidRDefault="004F1E7D" w:rsidP="004F1E7D">
      <w:pPr>
        <w:pStyle w:val="Prrafodelista"/>
        <w:spacing w:after="0" w:line="360" w:lineRule="auto"/>
        <w:ind w:left="0"/>
        <w:jc w:val="both"/>
        <w:rPr>
          <w:rFonts w:ascii="Palatino Linotype" w:eastAsia="MS Gothic" w:hAnsi="Palatino Linotype" w:cs="Times New Roman"/>
          <w:sz w:val="24"/>
        </w:rPr>
      </w:pPr>
    </w:p>
    <w:p w14:paraId="26F2CD56" w14:textId="77777777" w:rsidR="00871D7C" w:rsidRDefault="00C1020A" w:rsidP="007074A2">
      <w:pPr>
        <w:pStyle w:val="Ttulo1"/>
      </w:pPr>
      <w:bookmarkStart w:id="13" w:name="_Toc70709633"/>
      <w:r w:rsidRPr="004B5D57">
        <w:t>QUINTO</w:t>
      </w:r>
      <w:r w:rsidR="004F1E7D" w:rsidRPr="004B5D57">
        <w:t>. Del estudio y resolución del asunto.</w:t>
      </w:r>
      <w:bookmarkEnd w:id="13"/>
    </w:p>
    <w:p w14:paraId="4BBC2718" w14:textId="77777777" w:rsidR="00AC1BAD" w:rsidRDefault="00AC1BAD" w:rsidP="00AC1BAD">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bookmarkStart w:id="14" w:name="_Toc452722829"/>
      <w:bookmarkStart w:id="15" w:name="_Toc454373811"/>
      <w:bookmarkStart w:id="16" w:name="_Toc476675991"/>
    </w:p>
    <w:p w14:paraId="0C34AF2B" w14:textId="77777777" w:rsidR="00A7165F" w:rsidRDefault="00A7165F" w:rsidP="00A7165F">
      <w:pPr>
        <w:pStyle w:val="Ttulo1"/>
        <w:rPr>
          <w:rFonts w:eastAsia="Calibri"/>
        </w:rPr>
      </w:pPr>
      <w:bookmarkStart w:id="17" w:name="_Toc70709634"/>
      <w:r>
        <w:rPr>
          <w:rFonts w:eastAsia="Calibri"/>
        </w:rPr>
        <w:t>I. De la respuesta a la solicitud de info</w:t>
      </w:r>
      <w:r w:rsidR="00345EB2">
        <w:rPr>
          <w:rFonts w:eastAsia="Calibri"/>
        </w:rPr>
        <w:t>rma</w:t>
      </w:r>
      <w:r>
        <w:rPr>
          <w:rFonts w:eastAsia="Calibri"/>
        </w:rPr>
        <w:t>ción.</w:t>
      </w:r>
      <w:bookmarkEnd w:id="17"/>
      <w:r>
        <w:rPr>
          <w:rFonts w:eastAsia="Calibri"/>
        </w:rPr>
        <w:t xml:space="preserve"> </w:t>
      </w:r>
    </w:p>
    <w:p w14:paraId="5C30CA3A" w14:textId="77777777" w:rsidR="00A7165F" w:rsidRPr="00AC1BAD" w:rsidRDefault="00A7165F" w:rsidP="00AC1BAD">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p>
    <w:p w14:paraId="56CB0975" w14:textId="77777777" w:rsidR="00397DDD" w:rsidRPr="00A9278D" w:rsidRDefault="00397DDD" w:rsidP="00397DDD">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A9278D">
        <w:rPr>
          <w:rFonts w:ascii="Palatino Linotype" w:hAnsi="Palatino Linotype" w:cs="Arial"/>
          <w:sz w:val="24"/>
          <w:szCs w:val="24"/>
        </w:rPr>
        <w:t>Derivado del planteamiento de la Litis, se procede a analiz</w:t>
      </w:r>
      <w:r>
        <w:rPr>
          <w:rFonts w:ascii="Palatino Linotype" w:hAnsi="Palatino Linotype" w:cs="Arial"/>
          <w:sz w:val="24"/>
          <w:szCs w:val="24"/>
        </w:rPr>
        <w:t xml:space="preserve">ar el contenido íntegro de las </w:t>
      </w:r>
      <w:r w:rsidRPr="00A9278D">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9278D">
        <w:rPr>
          <w:rFonts w:ascii="Palatino Linotype" w:eastAsia="Calibri" w:hAnsi="Palatino Linotype" w:cs="Arial"/>
          <w:sz w:val="24"/>
          <w:szCs w:val="24"/>
          <w:lang w:val="es-ES"/>
        </w:rPr>
        <w:t>Ley de Transparencia y Acceso a la Información Pública del Estado de México y Municipios</w:t>
      </w:r>
      <w:r w:rsidRPr="00A9278D">
        <w:rPr>
          <w:rFonts w:ascii="Palatino Linotype" w:eastAsia="Times New Roman" w:hAnsi="Palatino Linotype" w:cs="Arial"/>
          <w:sz w:val="24"/>
          <w:szCs w:val="24"/>
          <w:lang w:val="es-ES" w:eastAsia="es-MX"/>
        </w:rPr>
        <w:t>.</w:t>
      </w:r>
    </w:p>
    <w:p w14:paraId="4636A70B" w14:textId="77777777" w:rsidR="00397DDD" w:rsidRPr="00A9278D" w:rsidRDefault="00397DDD" w:rsidP="00397DDD">
      <w:pPr>
        <w:pStyle w:val="Prrafodelista"/>
        <w:tabs>
          <w:tab w:val="left" w:pos="0"/>
        </w:tabs>
        <w:spacing w:line="360" w:lineRule="auto"/>
        <w:ind w:left="0" w:right="49"/>
        <w:jc w:val="both"/>
        <w:rPr>
          <w:rFonts w:ascii="Palatino Linotype" w:eastAsia="MS Mincho" w:hAnsi="Palatino Linotype" w:cs="Times New Roman"/>
          <w:color w:val="000000"/>
          <w:sz w:val="24"/>
          <w:szCs w:val="24"/>
        </w:rPr>
      </w:pPr>
    </w:p>
    <w:p w14:paraId="39B32D29" w14:textId="77777777" w:rsidR="00397DDD" w:rsidRPr="00E338BF" w:rsidRDefault="00397DDD" w:rsidP="00397DDD">
      <w:pPr>
        <w:pStyle w:val="Prrafodelista"/>
        <w:numPr>
          <w:ilvl w:val="0"/>
          <w:numId w:val="1"/>
        </w:numPr>
        <w:spacing w:after="0" w:line="360" w:lineRule="auto"/>
        <w:ind w:left="0" w:firstLine="0"/>
        <w:jc w:val="both"/>
        <w:rPr>
          <w:rFonts w:ascii="Palatino Linotype" w:eastAsia="MS Mincho" w:hAnsi="Palatino Linotype"/>
          <w:sz w:val="24"/>
          <w:szCs w:val="24"/>
        </w:rPr>
      </w:pPr>
      <w:r>
        <w:rPr>
          <w:rFonts w:ascii="Palatino Linotype" w:eastAsia="MS Mincho" w:hAnsi="Palatino Linotype"/>
          <w:sz w:val="24"/>
          <w:szCs w:val="24"/>
        </w:rPr>
        <w:t>Es importante</w:t>
      </w:r>
      <w:r w:rsidRPr="00E338BF">
        <w:rPr>
          <w:rFonts w:ascii="Palatino Linotype" w:eastAsia="MS Mincho" w:hAnsi="Palatino Linotype"/>
          <w:sz w:val="24"/>
          <w:szCs w:val="24"/>
        </w:rPr>
        <w:t xml:space="preserve"> mencionar que el acceso a la información es un derecho humano constitucional y convencionalmente reconocido y para tal efecto </w:t>
      </w:r>
      <w:r w:rsidRPr="00E338BF">
        <w:rPr>
          <w:rFonts w:ascii="Palatino Linotype" w:eastAsia="Calibri" w:hAnsi="Palatino Linotype"/>
          <w:sz w:val="24"/>
          <w:szCs w:val="24"/>
          <w:lang w:val="es-ES"/>
        </w:rPr>
        <w:t xml:space="preserve">el párrafo tercero del artículo primero de la Constitución Política de los Estados Unidos Mexicanos establece que el deber de todas las autoridades, </w:t>
      </w:r>
      <w:r w:rsidRPr="00E338BF">
        <w:rPr>
          <w:rFonts w:ascii="Palatino Linotype" w:eastAsia="Calibri" w:hAnsi="Palatino Linotype"/>
          <w:i/>
          <w:sz w:val="24"/>
          <w:szCs w:val="24"/>
          <w:lang w:val="es-ES"/>
        </w:rPr>
        <w:t xml:space="preserve">en el ámbito de sus atribuciones, de promover, respetar, proteger y </w:t>
      </w:r>
      <w:r w:rsidRPr="00E338BF">
        <w:rPr>
          <w:rFonts w:ascii="Palatino Linotype" w:eastAsia="Calibri" w:hAnsi="Palatino Linotype"/>
          <w:b/>
          <w:i/>
          <w:sz w:val="24"/>
          <w:szCs w:val="24"/>
          <w:lang w:val="es-ES"/>
        </w:rPr>
        <w:t>garantizar</w:t>
      </w:r>
      <w:r w:rsidRPr="00E338BF">
        <w:rPr>
          <w:rFonts w:ascii="Palatino Linotype" w:eastAsia="Calibri" w:hAnsi="Palatino Linotype"/>
          <w:i/>
          <w:sz w:val="24"/>
          <w:szCs w:val="24"/>
          <w:lang w:val="es-ES"/>
        </w:rPr>
        <w:t xml:space="preserve"> los derechos humanos. </w:t>
      </w:r>
      <w:r w:rsidRPr="00E338BF">
        <w:rPr>
          <w:rFonts w:ascii="Palatino Linotype" w:eastAsia="Calibri" w:hAnsi="Palatino Linotype"/>
          <w:b/>
          <w:i/>
          <w:sz w:val="24"/>
          <w:szCs w:val="24"/>
          <w:lang w:val="es-ES"/>
        </w:rPr>
        <w:t>En cuanto al derecho de acceso a la información, la Ley de Transparencia y Acceso a la Información Pública del Estado de México y Municipios prevé establece que e</w:t>
      </w:r>
      <w:r w:rsidRPr="00E338BF">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E338BF">
        <w:rPr>
          <w:rStyle w:val="Refdenotaalpie"/>
          <w:rFonts w:ascii="Palatino Linotype" w:hAnsi="Palatino Linotype"/>
          <w:i/>
          <w:sz w:val="24"/>
          <w:szCs w:val="24"/>
        </w:rPr>
        <w:footnoteReference w:id="1"/>
      </w:r>
      <w:r w:rsidRPr="00E338BF">
        <w:rPr>
          <w:rFonts w:ascii="Palatino Linotype" w:hAnsi="Palatino Linotype"/>
          <w:i/>
          <w:sz w:val="24"/>
          <w:szCs w:val="24"/>
        </w:rPr>
        <w:t xml:space="preserve">, </w:t>
      </w:r>
      <w:r w:rsidRPr="00E338BF">
        <w:rPr>
          <w:rFonts w:ascii="Palatino Linotype" w:hAnsi="Palatino Linotype"/>
          <w:sz w:val="24"/>
          <w:szCs w:val="24"/>
        </w:rPr>
        <w:t>asimismo establece</w:t>
      </w:r>
      <w:r w:rsidRPr="00E338BF">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9D84168" w14:textId="77777777" w:rsidR="00397DDD" w:rsidRPr="00E338BF" w:rsidRDefault="00397DDD" w:rsidP="00397DDD">
      <w:pPr>
        <w:pStyle w:val="Prrafodelista"/>
        <w:rPr>
          <w:rFonts w:ascii="Palatino Linotype" w:eastAsia="Calibri" w:hAnsi="Palatino Linotype" w:cs="Arial"/>
          <w:sz w:val="24"/>
          <w:szCs w:val="24"/>
        </w:rPr>
      </w:pPr>
    </w:p>
    <w:p w14:paraId="6851FF81" w14:textId="77777777" w:rsidR="00397DDD" w:rsidRPr="00E338BF" w:rsidRDefault="00397DDD" w:rsidP="00397DDD">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E338BF">
        <w:rPr>
          <w:rFonts w:ascii="Palatino Linotype" w:hAnsi="Palatino Linotype"/>
          <w:sz w:val="24"/>
          <w:szCs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w:t>
      </w:r>
      <w:r>
        <w:rPr>
          <w:rFonts w:ascii="Palatino Linotype" w:hAnsi="Palatino Linotype"/>
          <w:sz w:val="24"/>
          <w:szCs w:val="24"/>
        </w:rPr>
        <w:t>n</w:t>
      </w:r>
      <w:r w:rsidRPr="00E338BF">
        <w:rPr>
          <w:rFonts w:ascii="Palatino Linotype" w:hAnsi="Palatino Linotype"/>
          <w:sz w:val="24"/>
          <w:szCs w:val="24"/>
        </w:rPr>
        <w:t xml:space="preserve">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2CC3F811" w14:textId="77777777" w:rsidR="00397DDD" w:rsidRPr="00E338BF" w:rsidRDefault="00397DDD" w:rsidP="00397DDD">
      <w:pPr>
        <w:pStyle w:val="Prrafodelista"/>
        <w:rPr>
          <w:rFonts w:ascii="Palatino Linotype" w:hAnsi="Palatino Linotype"/>
          <w:sz w:val="24"/>
          <w:szCs w:val="24"/>
        </w:rPr>
      </w:pPr>
    </w:p>
    <w:p w14:paraId="751075D8" w14:textId="77777777" w:rsidR="00397DDD" w:rsidRPr="00345EB2" w:rsidRDefault="00397DDD" w:rsidP="00397DDD">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E338BF">
        <w:rPr>
          <w:rFonts w:ascii="Palatino Linotype" w:hAnsi="Palatino Linotype"/>
          <w:sz w:val="24"/>
          <w:szCs w:val="24"/>
        </w:rPr>
        <w:lastRenderedPageBreak/>
        <w:t xml:space="preserve">Es así que, su obligación es </w:t>
      </w:r>
      <w:r w:rsidRPr="00E338BF">
        <w:rPr>
          <w:rFonts w:ascii="Palatino Linotype" w:hAnsi="Palatino Linotype"/>
          <w:i/>
          <w:sz w:val="24"/>
          <w:szCs w:val="24"/>
        </w:rPr>
        <w:t>realizar, con efectividad, los trámites internos necesarios para la atención de las solicitudes de información</w:t>
      </w:r>
      <w:r w:rsidRPr="00E338BF">
        <w:rPr>
          <w:rStyle w:val="Refdenotaalpie"/>
          <w:rFonts w:ascii="Palatino Linotype" w:hAnsi="Palatino Linotype"/>
          <w:sz w:val="24"/>
          <w:szCs w:val="24"/>
        </w:rPr>
        <w:footnoteReference w:id="2"/>
      </w:r>
      <w:r w:rsidRPr="00E338BF">
        <w:rPr>
          <w:rFonts w:ascii="Palatino Linotype" w:hAnsi="Palatino Linotype"/>
          <w:sz w:val="24"/>
          <w:szCs w:val="24"/>
        </w:rPr>
        <w:t>, es decir, deben otorgar respuestas concisas, contundentes y sobre todo que den la certeza de los actos que realizan.</w:t>
      </w:r>
    </w:p>
    <w:p w14:paraId="1385DF39" w14:textId="77777777" w:rsidR="00345EB2" w:rsidRPr="00345EB2" w:rsidRDefault="00345EB2" w:rsidP="00345EB2">
      <w:pPr>
        <w:pStyle w:val="Prrafodelista"/>
        <w:rPr>
          <w:rFonts w:ascii="Palatino Linotype" w:eastAsia="Calibri" w:hAnsi="Palatino Linotype" w:cs="Arial"/>
          <w:sz w:val="24"/>
          <w:szCs w:val="24"/>
        </w:rPr>
      </w:pPr>
    </w:p>
    <w:p w14:paraId="11D15C03" w14:textId="77777777" w:rsidR="00345EB2" w:rsidRDefault="00345EB2" w:rsidP="00397DDD">
      <w:pPr>
        <w:pStyle w:val="Prrafodelista"/>
        <w:numPr>
          <w:ilvl w:val="0"/>
          <w:numId w:val="1"/>
        </w:numPr>
        <w:spacing w:after="0" w:line="360" w:lineRule="auto"/>
        <w:ind w:left="0" w:firstLine="0"/>
        <w:jc w:val="both"/>
        <w:rPr>
          <w:rFonts w:ascii="Palatino Linotype" w:eastAsia="Calibri" w:hAnsi="Palatino Linotype" w:cs="Arial"/>
          <w:sz w:val="24"/>
          <w:szCs w:val="24"/>
        </w:rPr>
      </w:pPr>
      <w:r>
        <w:rPr>
          <w:rFonts w:ascii="Palatino Linotype" w:eastAsia="Calibri" w:hAnsi="Palatino Linotype" w:cs="Arial"/>
          <w:sz w:val="24"/>
          <w:szCs w:val="24"/>
        </w:rPr>
        <w:t xml:space="preserve">Asimismo, el artículo 162 de la Ley de la materia, establece que las Unidades de Transparencia deberán garantizar que las solicitudes de información se turnen a todas las áreas competentes que cuenten con la información o deban tenerla de acuerdo a sus facultades, competencias y funciones, con el objeto de que realicen la búsqueda exhaustiva y razonable de la información. </w:t>
      </w:r>
    </w:p>
    <w:p w14:paraId="27C38B73" w14:textId="77777777" w:rsidR="00345EB2" w:rsidRPr="00345EB2" w:rsidRDefault="00345EB2" w:rsidP="00345EB2">
      <w:pPr>
        <w:pStyle w:val="Prrafodelista"/>
        <w:rPr>
          <w:rFonts w:ascii="Palatino Linotype" w:eastAsia="Calibri" w:hAnsi="Palatino Linotype" w:cs="Arial"/>
          <w:sz w:val="24"/>
          <w:szCs w:val="24"/>
        </w:rPr>
      </w:pPr>
    </w:p>
    <w:p w14:paraId="13C982A3" w14:textId="77777777" w:rsidR="00345EB2" w:rsidRDefault="00345EB2" w:rsidP="00397DDD">
      <w:pPr>
        <w:pStyle w:val="Prrafodelista"/>
        <w:numPr>
          <w:ilvl w:val="0"/>
          <w:numId w:val="1"/>
        </w:numPr>
        <w:spacing w:after="0" w:line="360" w:lineRule="auto"/>
        <w:ind w:left="0" w:firstLine="0"/>
        <w:jc w:val="both"/>
        <w:rPr>
          <w:rFonts w:ascii="Palatino Linotype" w:eastAsia="Calibri" w:hAnsi="Palatino Linotype" w:cs="Arial"/>
          <w:sz w:val="24"/>
          <w:szCs w:val="24"/>
        </w:rPr>
      </w:pPr>
      <w:r>
        <w:rPr>
          <w:rFonts w:ascii="Palatino Linotype" w:eastAsia="Calibri" w:hAnsi="Palatino Linotype" w:cs="Arial"/>
          <w:sz w:val="24"/>
          <w:szCs w:val="24"/>
        </w:rPr>
        <w:t>E</w:t>
      </w:r>
      <w:r w:rsidR="00121408">
        <w:rPr>
          <w:rFonts w:ascii="Palatino Linotype" w:eastAsia="Calibri" w:hAnsi="Palatino Linotype" w:cs="Arial"/>
          <w:sz w:val="24"/>
          <w:szCs w:val="24"/>
        </w:rPr>
        <w:t>s importante referir</w:t>
      </w:r>
      <w:r>
        <w:rPr>
          <w:rFonts w:ascii="Palatino Linotype" w:eastAsia="Calibri" w:hAnsi="Palatino Linotype" w:cs="Arial"/>
          <w:sz w:val="24"/>
          <w:szCs w:val="24"/>
        </w:rPr>
        <w:t xml:space="preserve"> que</w:t>
      </w:r>
      <w:r w:rsidR="00121408">
        <w:rPr>
          <w:rFonts w:ascii="Palatino Linotype" w:eastAsia="Calibri" w:hAnsi="Palatino Linotype" w:cs="Arial"/>
          <w:sz w:val="24"/>
          <w:szCs w:val="24"/>
        </w:rPr>
        <w:t>,</w:t>
      </w:r>
      <w:r>
        <w:rPr>
          <w:rFonts w:ascii="Palatino Linotype" w:eastAsia="Calibri" w:hAnsi="Palatino Linotype" w:cs="Arial"/>
          <w:sz w:val="24"/>
          <w:szCs w:val="24"/>
        </w:rPr>
        <w:t xml:space="preserve"> el Titular de la Unidad de Transparencia de Atizapán de Zaragoza</w:t>
      </w:r>
      <w:r w:rsidR="00121408">
        <w:rPr>
          <w:rFonts w:ascii="Palatino Linotype" w:eastAsia="Calibri" w:hAnsi="Palatino Linotype" w:cs="Arial"/>
          <w:sz w:val="24"/>
          <w:szCs w:val="24"/>
        </w:rPr>
        <w:t xml:space="preserve">, turnó la solicitud de información a la </w:t>
      </w:r>
      <w:proofErr w:type="gramStart"/>
      <w:r w:rsidR="00121408">
        <w:rPr>
          <w:rFonts w:ascii="Palatino Linotype" w:eastAsia="Calibri" w:hAnsi="Palatino Linotype" w:cs="Arial"/>
          <w:sz w:val="24"/>
          <w:szCs w:val="24"/>
        </w:rPr>
        <w:t>Directora General</w:t>
      </w:r>
      <w:proofErr w:type="gramEnd"/>
      <w:r w:rsidR="00121408">
        <w:rPr>
          <w:rFonts w:ascii="Palatino Linotype" w:eastAsia="Calibri" w:hAnsi="Palatino Linotype" w:cs="Arial"/>
          <w:sz w:val="24"/>
          <w:szCs w:val="24"/>
        </w:rPr>
        <w:t xml:space="preserve"> de Desarrollo Territorial, quien es el Servidor Público Habilitado, con las facultades competencia y funciones para atender el requerimiento del solicitante. </w:t>
      </w:r>
    </w:p>
    <w:p w14:paraId="34A5621C" w14:textId="77777777" w:rsidR="00121408" w:rsidRPr="00121408" w:rsidRDefault="00121408" w:rsidP="00121408">
      <w:pPr>
        <w:pStyle w:val="Prrafodelista"/>
        <w:rPr>
          <w:rFonts w:ascii="Palatino Linotype" w:eastAsia="Calibri" w:hAnsi="Palatino Linotype" w:cs="Arial"/>
          <w:sz w:val="24"/>
          <w:szCs w:val="24"/>
        </w:rPr>
      </w:pPr>
    </w:p>
    <w:p w14:paraId="47B19D2B" w14:textId="77777777" w:rsidR="00FF072C" w:rsidRDefault="00121408" w:rsidP="00397DDD">
      <w:pPr>
        <w:pStyle w:val="Prrafodelista"/>
        <w:numPr>
          <w:ilvl w:val="0"/>
          <w:numId w:val="1"/>
        </w:numPr>
        <w:spacing w:after="0" w:line="360" w:lineRule="auto"/>
        <w:ind w:left="0" w:firstLine="0"/>
        <w:jc w:val="both"/>
        <w:rPr>
          <w:rFonts w:ascii="Palatino Linotype" w:eastAsia="Calibri" w:hAnsi="Palatino Linotype" w:cs="Arial"/>
          <w:sz w:val="24"/>
          <w:szCs w:val="24"/>
        </w:rPr>
      </w:pPr>
      <w:r>
        <w:rPr>
          <w:rFonts w:ascii="Palatino Linotype" w:eastAsia="Calibri" w:hAnsi="Palatino Linotype" w:cs="Arial"/>
          <w:sz w:val="24"/>
          <w:szCs w:val="24"/>
        </w:rPr>
        <w:t xml:space="preserve">Es así que, una vez que el Servidor Público Habilitado atendió </w:t>
      </w:r>
      <w:r w:rsidR="00FF072C">
        <w:rPr>
          <w:rFonts w:ascii="Palatino Linotype" w:eastAsia="Calibri" w:hAnsi="Palatino Linotype" w:cs="Arial"/>
          <w:sz w:val="24"/>
          <w:szCs w:val="24"/>
        </w:rPr>
        <w:t>el requerimiento</w:t>
      </w:r>
      <w:r>
        <w:rPr>
          <w:rFonts w:ascii="Palatino Linotype" w:eastAsia="Calibri" w:hAnsi="Palatino Linotype" w:cs="Arial"/>
          <w:sz w:val="24"/>
          <w:szCs w:val="24"/>
        </w:rPr>
        <w:t>, el Titular de la Unidad de Transparencia, respondió a la solicitud de informaci</w:t>
      </w:r>
      <w:r w:rsidR="00FF072C">
        <w:rPr>
          <w:rFonts w:ascii="Palatino Linotype" w:eastAsia="Calibri" w:hAnsi="Palatino Linotype" w:cs="Arial"/>
          <w:sz w:val="24"/>
          <w:szCs w:val="24"/>
        </w:rPr>
        <w:t xml:space="preserve">ón y entregó el oficio de respuesta suscrito por la </w:t>
      </w:r>
      <w:proofErr w:type="gramStart"/>
      <w:r w:rsidR="00FF072C">
        <w:rPr>
          <w:rFonts w:ascii="Palatino Linotype" w:eastAsia="Calibri" w:hAnsi="Palatino Linotype" w:cs="Arial"/>
          <w:sz w:val="24"/>
          <w:szCs w:val="24"/>
        </w:rPr>
        <w:t>Directora General</w:t>
      </w:r>
      <w:proofErr w:type="gramEnd"/>
      <w:r w:rsidR="00FF072C">
        <w:rPr>
          <w:rFonts w:ascii="Palatino Linotype" w:eastAsia="Calibri" w:hAnsi="Palatino Linotype" w:cs="Arial"/>
          <w:sz w:val="24"/>
          <w:szCs w:val="24"/>
        </w:rPr>
        <w:t xml:space="preserve"> de Desarrollo Territorial; tres autorizaciones de prórroga de cambio de uso de suelo; y, Acta de la Segunda Sesión Extraordinaria del Comité de Transparencia que sustenta la clasificación de los datos personales contenidos en las autorizaciones entregadas. </w:t>
      </w:r>
    </w:p>
    <w:p w14:paraId="03E76207" w14:textId="77777777" w:rsidR="00FF072C" w:rsidRPr="00FF072C" w:rsidRDefault="00FF072C" w:rsidP="00FF072C">
      <w:pPr>
        <w:pStyle w:val="Prrafodelista"/>
        <w:rPr>
          <w:rFonts w:ascii="Palatino Linotype" w:eastAsia="Calibri" w:hAnsi="Palatino Linotype" w:cs="Arial"/>
          <w:sz w:val="24"/>
          <w:szCs w:val="24"/>
        </w:rPr>
      </w:pPr>
    </w:p>
    <w:p w14:paraId="5EA84D21" w14:textId="77777777" w:rsidR="00AC1BAD" w:rsidRPr="005212F1" w:rsidRDefault="00FF072C" w:rsidP="005212F1">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5212F1">
        <w:rPr>
          <w:rFonts w:ascii="Palatino Linotype" w:eastAsia="Calibri" w:hAnsi="Palatino Linotype" w:cs="Arial"/>
          <w:sz w:val="24"/>
          <w:szCs w:val="24"/>
        </w:rPr>
        <w:t xml:space="preserve">En este entendido, el Sujeto Obligado </w:t>
      </w:r>
      <w:r w:rsidR="005212F1" w:rsidRPr="005212F1">
        <w:rPr>
          <w:rFonts w:ascii="Palatino Linotype" w:eastAsia="Calibri" w:hAnsi="Palatino Linotype" w:cs="Arial"/>
          <w:sz w:val="24"/>
          <w:szCs w:val="24"/>
        </w:rPr>
        <w:t>observó el procedimiento establecido por la Ley de Transparencia L</w:t>
      </w:r>
      <w:r w:rsidR="005212F1">
        <w:rPr>
          <w:rFonts w:ascii="Palatino Linotype" w:eastAsia="Calibri" w:hAnsi="Palatino Linotype" w:cs="Arial"/>
          <w:sz w:val="24"/>
          <w:szCs w:val="24"/>
        </w:rPr>
        <w:t xml:space="preserve">ocal, es decir, recibió, tramitó y respondió a la solicitud de información. </w:t>
      </w:r>
    </w:p>
    <w:p w14:paraId="79A3D9BB" w14:textId="77777777" w:rsidR="00397DDD" w:rsidRDefault="005212F1" w:rsidP="007074A2">
      <w:pPr>
        <w:pStyle w:val="Ttulo1"/>
        <w:rPr>
          <w:rFonts w:eastAsia="Calibri"/>
        </w:rPr>
      </w:pPr>
      <w:bookmarkStart w:id="18" w:name="_Toc70709635"/>
      <w:r>
        <w:rPr>
          <w:rFonts w:eastAsia="Calibri"/>
        </w:rPr>
        <w:lastRenderedPageBreak/>
        <w:t xml:space="preserve">II. </w:t>
      </w:r>
      <w:r w:rsidR="007074A2">
        <w:rPr>
          <w:rFonts w:eastAsia="Calibri"/>
        </w:rPr>
        <w:t xml:space="preserve"> </w:t>
      </w:r>
      <w:r>
        <w:rPr>
          <w:rFonts w:eastAsia="Calibri"/>
        </w:rPr>
        <w:t>Del deber del Sujeto Obligado de garantizar que la entrega de información sea</w:t>
      </w:r>
      <w:r w:rsidR="0003449F">
        <w:rPr>
          <w:rFonts w:eastAsia="Calibri"/>
        </w:rPr>
        <w:t xml:space="preserve"> completa</w:t>
      </w:r>
      <w:r w:rsidR="00AC1BAD">
        <w:rPr>
          <w:rFonts w:eastAsia="Calibri"/>
        </w:rPr>
        <w:t>.</w:t>
      </w:r>
      <w:bookmarkEnd w:id="18"/>
      <w:r w:rsidR="00AC1BAD">
        <w:rPr>
          <w:rFonts w:eastAsia="Calibri"/>
        </w:rPr>
        <w:t xml:space="preserve"> </w:t>
      </w:r>
    </w:p>
    <w:p w14:paraId="1DE4C69C" w14:textId="77777777" w:rsidR="0003449F" w:rsidRPr="0003449F" w:rsidRDefault="0003449F" w:rsidP="0003449F"/>
    <w:p w14:paraId="6CA402E5" w14:textId="77777777" w:rsidR="00226F33" w:rsidRPr="00226F33" w:rsidRDefault="00226F33" w:rsidP="00226F33">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i/>
          <w:sz w:val="24"/>
          <w:szCs w:val="24"/>
          <w:lang w:val="es-ES" w:eastAsia="es-ES_tradnl"/>
        </w:rPr>
      </w:pPr>
      <w:r>
        <w:rPr>
          <w:rFonts w:ascii="Palatino Linotype" w:eastAsia="MS Mincho" w:hAnsi="Palatino Linotype" w:cs="Arial"/>
          <w:sz w:val="24"/>
          <w:szCs w:val="24"/>
          <w:lang w:val="es-ES_tradnl" w:eastAsia="es-ES"/>
        </w:rPr>
        <w:t>En primer término, es importante referir que, e</w:t>
      </w:r>
      <w:r w:rsidRPr="00ED438A">
        <w:rPr>
          <w:rFonts w:ascii="Palatino Linotype" w:eastAsia="MS Mincho" w:hAnsi="Palatino Linotype" w:cs="Arial"/>
          <w:sz w:val="24"/>
          <w:szCs w:val="24"/>
          <w:lang w:val="es-ES_tradnl" w:eastAsia="es-ES"/>
        </w:rPr>
        <w:t xml:space="preserve">l artículo 4 de la </w:t>
      </w:r>
      <w:r w:rsidRPr="00ED438A">
        <w:rPr>
          <w:rFonts w:ascii="Palatino Linotype" w:eastAsia="MS Mincho" w:hAnsi="Palatino Linotype" w:cs="Arial"/>
          <w:b/>
          <w:sz w:val="24"/>
          <w:szCs w:val="24"/>
          <w:lang w:val="es-ES_tradnl" w:eastAsia="es-ES"/>
        </w:rPr>
        <w:t>Ley de Transparencia y Acceso a la Información Pública del Estado de México y Municipios</w:t>
      </w:r>
      <w:r w:rsidRPr="00ED438A">
        <w:rPr>
          <w:rFonts w:ascii="Palatino Linotype" w:eastAsia="MS Mincho" w:hAnsi="Palatino Linotype" w:cs="Arial"/>
          <w:sz w:val="24"/>
          <w:szCs w:val="24"/>
          <w:lang w:val="es-ES_tradnl" w:eastAsia="es-ES"/>
        </w:rPr>
        <w:t xml:space="preserve"> </w:t>
      </w:r>
      <w:r>
        <w:rPr>
          <w:rFonts w:ascii="Palatino Linotype" w:eastAsia="MS Mincho" w:hAnsi="Palatino Linotype" w:cs="Arial"/>
          <w:sz w:val="24"/>
          <w:szCs w:val="24"/>
          <w:lang w:val="es-ES_tradnl" w:eastAsia="es-ES"/>
        </w:rPr>
        <w:t xml:space="preserve">mismo que </w:t>
      </w:r>
      <w:r w:rsidRPr="00ED438A">
        <w:rPr>
          <w:rFonts w:ascii="Palatino Linotype" w:eastAsia="MS Mincho" w:hAnsi="Palatino Linotype" w:cs="Arial"/>
          <w:sz w:val="24"/>
          <w:szCs w:val="24"/>
          <w:lang w:val="es-ES_tradnl" w:eastAsia="es-ES"/>
        </w:rPr>
        <w:t xml:space="preserve">establece que la información </w:t>
      </w:r>
      <w:r w:rsidRPr="00226F33">
        <w:rPr>
          <w:rFonts w:ascii="Palatino Linotype" w:eastAsia="MS Mincho" w:hAnsi="Palatino Linotype" w:cs="Arial"/>
          <w:sz w:val="24"/>
          <w:szCs w:val="24"/>
          <w:u w:val="single"/>
          <w:lang w:val="es-ES_tradnl" w:eastAsia="es-ES"/>
        </w:rPr>
        <w:t>generada</w:t>
      </w:r>
      <w:r w:rsidRPr="00ED438A">
        <w:rPr>
          <w:rFonts w:ascii="Palatino Linotype" w:eastAsia="MS Mincho" w:hAnsi="Palatino Linotype" w:cs="Arial"/>
          <w:sz w:val="24"/>
          <w:szCs w:val="24"/>
          <w:lang w:val="es-ES_tradnl" w:eastAsia="es-ES"/>
        </w:rPr>
        <w:t xml:space="preserve">, obtenida, adquirida, transformada, administrada o en posesión de los sujetos obligados </w:t>
      </w:r>
      <w:r w:rsidRPr="00226F33">
        <w:rPr>
          <w:rFonts w:ascii="Palatino Linotype" w:eastAsia="MS Mincho" w:hAnsi="Palatino Linotype" w:cs="Arial"/>
          <w:sz w:val="24"/>
          <w:szCs w:val="24"/>
          <w:u w:val="single"/>
          <w:lang w:val="es-ES_tradnl" w:eastAsia="es-ES"/>
        </w:rPr>
        <w:t>es pública</w:t>
      </w:r>
      <w:r w:rsidRPr="00ED438A">
        <w:rPr>
          <w:rFonts w:ascii="Palatino Linotype" w:eastAsia="MS Mincho" w:hAnsi="Palatino Linotype" w:cs="Arial"/>
          <w:sz w:val="24"/>
          <w:szCs w:val="24"/>
          <w:lang w:val="es-ES_tradnl" w:eastAsia="es-ES"/>
        </w:rPr>
        <w:t xml:space="preserve"> y accesible de manera permanente a cualquier persona, privilegiando el principio de máxima publicidad de la información.</w:t>
      </w:r>
    </w:p>
    <w:p w14:paraId="6B0FFC2E" w14:textId="77777777" w:rsidR="0003449F" w:rsidRPr="00370121" w:rsidRDefault="00226F33" w:rsidP="0003449F">
      <w:pPr>
        <w:numPr>
          <w:ilvl w:val="0"/>
          <w:numId w:val="1"/>
        </w:numPr>
        <w:spacing w:after="0" w:line="360" w:lineRule="auto"/>
        <w:ind w:left="0" w:firstLine="0"/>
        <w:contextualSpacing/>
        <w:jc w:val="both"/>
        <w:rPr>
          <w:b/>
        </w:rPr>
      </w:pPr>
      <w:r>
        <w:rPr>
          <w:rFonts w:ascii="Palatino Linotype" w:hAnsi="Palatino Linotype"/>
          <w:sz w:val="24"/>
          <w:szCs w:val="24"/>
        </w:rPr>
        <w:t>Por otra parte, la Ley en cita</w:t>
      </w:r>
      <w:r w:rsidR="0003449F" w:rsidRPr="00370121">
        <w:rPr>
          <w:rFonts w:ascii="Palatino Linotype" w:hAnsi="Palatino Linotype"/>
          <w:b/>
          <w:sz w:val="24"/>
          <w:szCs w:val="24"/>
        </w:rPr>
        <w:t xml:space="preserve"> </w:t>
      </w:r>
      <w:r w:rsidR="0003449F" w:rsidRPr="00370121">
        <w:rPr>
          <w:rFonts w:ascii="Palatino Linotype" w:hAnsi="Palatino Linotype"/>
          <w:sz w:val="24"/>
          <w:szCs w:val="24"/>
        </w:rPr>
        <w:t xml:space="preserve">en el artículo 11 dispone: </w:t>
      </w:r>
    </w:p>
    <w:p w14:paraId="5F4A6D9D" w14:textId="77777777" w:rsidR="0003449F" w:rsidRPr="00370121" w:rsidRDefault="0003449F" w:rsidP="0003449F">
      <w:pPr>
        <w:spacing w:after="0" w:line="360" w:lineRule="auto"/>
        <w:contextualSpacing/>
        <w:jc w:val="both"/>
        <w:rPr>
          <w:rFonts w:ascii="Palatino Linotype" w:hAnsi="Palatino Linotype"/>
          <w:b/>
          <w:sz w:val="24"/>
          <w:szCs w:val="24"/>
        </w:rPr>
      </w:pPr>
    </w:p>
    <w:p w14:paraId="455C1872" w14:textId="77777777" w:rsidR="0003449F" w:rsidRPr="00370121" w:rsidRDefault="0003449F" w:rsidP="0003449F">
      <w:pPr>
        <w:spacing w:after="0" w:line="360" w:lineRule="auto"/>
        <w:ind w:left="851" w:right="567"/>
        <w:contextualSpacing/>
        <w:jc w:val="both"/>
        <w:rPr>
          <w:rStyle w:val="A3"/>
        </w:rPr>
      </w:pPr>
      <w:r w:rsidRPr="00370121">
        <w:rPr>
          <w:rStyle w:val="A3"/>
          <w:rFonts w:ascii="Palatino Linotype" w:hAnsi="Palatino Linotype"/>
          <w:b/>
          <w:bCs/>
          <w:i/>
        </w:rPr>
        <w:t xml:space="preserve">“Artículo 11. </w:t>
      </w:r>
      <w:r w:rsidRPr="00370121">
        <w:rPr>
          <w:rStyle w:val="A3"/>
          <w:rFonts w:ascii="Palatino Linotype" w:hAnsi="Palatino Linotype"/>
          <w:i/>
        </w:rPr>
        <w:t xml:space="preserve">En la generación, publicación y </w:t>
      </w:r>
      <w:r w:rsidRPr="00370121">
        <w:rPr>
          <w:rStyle w:val="A3"/>
          <w:rFonts w:ascii="Palatino Linotype" w:hAnsi="Palatino Linotype"/>
          <w:b/>
          <w:i/>
        </w:rPr>
        <w:t>entrega de información</w:t>
      </w:r>
      <w:r w:rsidRPr="00370121">
        <w:rPr>
          <w:rStyle w:val="A3"/>
          <w:rFonts w:ascii="Palatino Linotype" w:hAnsi="Palatino Linotype"/>
          <w:i/>
        </w:rPr>
        <w:t xml:space="preserve"> se </w:t>
      </w:r>
      <w:r w:rsidRPr="00370121">
        <w:rPr>
          <w:rStyle w:val="A3"/>
          <w:rFonts w:ascii="Palatino Linotype" w:hAnsi="Palatino Linotype"/>
          <w:b/>
          <w:i/>
        </w:rPr>
        <w:t xml:space="preserve">deberá garantizar </w:t>
      </w:r>
      <w:r w:rsidRPr="0003449F">
        <w:rPr>
          <w:rStyle w:val="A3"/>
          <w:rFonts w:ascii="Palatino Linotype" w:hAnsi="Palatino Linotype"/>
          <w:i/>
        </w:rPr>
        <w:t>que ésta sea accesible, actualizada</w:t>
      </w:r>
      <w:r w:rsidRPr="00370121">
        <w:rPr>
          <w:rStyle w:val="A3"/>
          <w:rFonts w:ascii="Palatino Linotype" w:hAnsi="Palatino Linotype"/>
          <w:b/>
          <w:i/>
        </w:rPr>
        <w:t>, completa</w:t>
      </w:r>
      <w:r w:rsidRPr="00370121">
        <w:rPr>
          <w:rStyle w:val="A3"/>
          <w:rFonts w:ascii="Palatino Linotype" w:hAnsi="Palatino Linotype"/>
          <w:i/>
        </w:rPr>
        <w:t>,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370121">
        <w:rPr>
          <w:rStyle w:val="A3"/>
        </w:rPr>
        <w:t>.</w:t>
      </w:r>
    </w:p>
    <w:p w14:paraId="7922A347" w14:textId="77777777" w:rsidR="0003449F" w:rsidRPr="00370121" w:rsidRDefault="0003449F" w:rsidP="0003449F">
      <w:pPr>
        <w:spacing w:after="0" w:line="360" w:lineRule="auto"/>
        <w:ind w:left="851" w:right="567"/>
        <w:contextualSpacing/>
        <w:jc w:val="both"/>
        <w:rPr>
          <w:b/>
        </w:rPr>
      </w:pPr>
      <w:r w:rsidRPr="00370121">
        <w:rPr>
          <w:b/>
        </w:rPr>
        <w:t>…”</w:t>
      </w:r>
    </w:p>
    <w:p w14:paraId="40DEE124" w14:textId="77777777" w:rsidR="00226F33" w:rsidRDefault="00226F33" w:rsidP="00226F33">
      <w:pPr>
        <w:pStyle w:val="Prrafodelista"/>
        <w:spacing w:after="0" w:line="360" w:lineRule="auto"/>
        <w:ind w:left="0"/>
        <w:jc w:val="both"/>
        <w:rPr>
          <w:rFonts w:ascii="Palatino Linotype" w:eastAsia="Calibri" w:hAnsi="Palatino Linotype" w:cs="Arial"/>
          <w:sz w:val="24"/>
          <w:szCs w:val="24"/>
        </w:rPr>
      </w:pPr>
    </w:p>
    <w:p w14:paraId="416FEFC7" w14:textId="77777777" w:rsidR="00AC1BAD" w:rsidRDefault="0003449F" w:rsidP="0003449F">
      <w:pPr>
        <w:pStyle w:val="Prrafodelista"/>
        <w:numPr>
          <w:ilvl w:val="0"/>
          <w:numId w:val="1"/>
        </w:numPr>
        <w:spacing w:after="0" w:line="360" w:lineRule="auto"/>
        <w:ind w:left="0" w:firstLine="0"/>
        <w:jc w:val="both"/>
        <w:rPr>
          <w:rFonts w:ascii="Palatino Linotype" w:eastAsia="Calibri" w:hAnsi="Palatino Linotype" w:cs="Arial"/>
          <w:sz w:val="24"/>
          <w:szCs w:val="24"/>
        </w:rPr>
      </w:pPr>
      <w:r>
        <w:rPr>
          <w:rFonts w:ascii="Palatino Linotype" w:eastAsia="Calibri" w:hAnsi="Palatino Linotype" w:cs="Arial"/>
          <w:sz w:val="24"/>
          <w:szCs w:val="24"/>
        </w:rPr>
        <w:t xml:space="preserve">En este sentido, el artículo 160 de la Ley en cita, establece que los –Sujetos Obligados deberán otorgar acceso a los documentos que se encuentren en sus archivos o que estén obligados a documentar de acuerdo a sus facultades, competencias o funciones. </w:t>
      </w:r>
    </w:p>
    <w:p w14:paraId="7E4E8CFE" w14:textId="77777777" w:rsidR="00226F33" w:rsidRDefault="00226F33" w:rsidP="00226F33">
      <w:pPr>
        <w:pStyle w:val="Prrafodelista"/>
        <w:spacing w:after="0" w:line="360" w:lineRule="auto"/>
        <w:ind w:left="0"/>
        <w:jc w:val="both"/>
        <w:rPr>
          <w:rFonts w:ascii="Palatino Linotype" w:eastAsia="Calibri" w:hAnsi="Palatino Linotype" w:cs="Arial"/>
          <w:sz w:val="24"/>
          <w:szCs w:val="24"/>
        </w:rPr>
      </w:pPr>
    </w:p>
    <w:p w14:paraId="2683D51A" w14:textId="77777777" w:rsidR="00226F33" w:rsidRDefault="00226F33" w:rsidP="0003449F">
      <w:pPr>
        <w:pStyle w:val="Prrafodelista"/>
        <w:numPr>
          <w:ilvl w:val="0"/>
          <w:numId w:val="1"/>
        </w:numPr>
        <w:spacing w:after="0" w:line="360" w:lineRule="auto"/>
        <w:ind w:left="0" w:firstLine="0"/>
        <w:jc w:val="both"/>
        <w:rPr>
          <w:rFonts w:ascii="Palatino Linotype" w:eastAsia="Calibri" w:hAnsi="Palatino Linotype" w:cs="Arial"/>
          <w:sz w:val="24"/>
          <w:szCs w:val="24"/>
        </w:rPr>
      </w:pPr>
      <w:r>
        <w:rPr>
          <w:rFonts w:ascii="Palatino Linotype" w:eastAsia="Calibri" w:hAnsi="Palatino Linotype" w:cs="Arial"/>
          <w:sz w:val="24"/>
          <w:szCs w:val="24"/>
        </w:rPr>
        <w:lastRenderedPageBreak/>
        <w:t xml:space="preserve">Por consiguiente, el derecho de acceso a la información pública se satisface en los casos en que se entrega el soporte documental que colma cada uno de los requerimientos formulados por el solicitante. </w:t>
      </w:r>
    </w:p>
    <w:p w14:paraId="2A92FE6B" w14:textId="77777777" w:rsidR="00226F33" w:rsidRPr="00226F33" w:rsidRDefault="00226F33" w:rsidP="00226F33">
      <w:pPr>
        <w:pStyle w:val="Prrafodelista"/>
        <w:rPr>
          <w:rFonts w:ascii="Palatino Linotype" w:eastAsia="Calibri" w:hAnsi="Palatino Linotype" w:cs="Arial"/>
          <w:sz w:val="24"/>
          <w:szCs w:val="24"/>
        </w:rPr>
      </w:pPr>
    </w:p>
    <w:p w14:paraId="64371CA5" w14:textId="77777777" w:rsidR="00226F33" w:rsidRDefault="00226F33" w:rsidP="0003449F">
      <w:pPr>
        <w:pStyle w:val="Prrafodelista"/>
        <w:numPr>
          <w:ilvl w:val="0"/>
          <w:numId w:val="1"/>
        </w:numPr>
        <w:spacing w:after="0" w:line="360" w:lineRule="auto"/>
        <w:ind w:left="0" w:firstLine="0"/>
        <w:jc w:val="both"/>
        <w:rPr>
          <w:rFonts w:ascii="Palatino Linotype" w:eastAsia="Calibri" w:hAnsi="Palatino Linotype" w:cs="Arial"/>
          <w:sz w:val="24"/>
          <w:szCs w:val="24"/>
        </w:rPr>
      </w:pPr>
      <w:r>
        <w:rPr>
          <w:rFonts w:ascii="Palatino Linotype" w:eastAsia="Calibri" w:hAnsi="Palatino Linotype" w:cs="Arial"/>
          <w:sz w:val="24"/>
          <w:szCs w:val="24"/>
        </w:rPr>
        <w:t xml:space="preserve">En el recurso de revisión que nos ocupa, el </w:t>
      </w:r>
      <w:r>
        <w:rPr>
          <w:rFonts w:ascii="Palatino Linotype" w:eastAsia="Calibri" w:hAnsi="Palatino Linotype" w:cs="Arial"/>
          <w:b/>
          <w:sz w:val="24"/>
          <w:szCs w:val="24"/>
        </w:rPr>
        <w:t xml:space="preserve">SUJETO OBLIGADO </w:t>
      </w:r>
      <w:r>
        <w:rPr>
          <w:rFonts w:ascii="Palatino Linotype" w:eastAsia="Calibri" w:hAnsi="Palatino Linotype" w:cs="Arial"/>
          <w:sz w:val="24"/>
          <w:szCs w:val="24"/>
        </w:rPr>
        <w:t xml:space="preserve">entregó </w:t>
      </w:r>
      <w:r w:rsidR="00A76D9F">
        <w:rPr>
          <w:rFonts w:ascii="Palatino Linotype" w:eastAsia="Calibri" w:hAnsi="Palatino Linotype" w:cs="Arial"/>
          <w:sz w:val="24"/>
          <w:szCs w:val="24"/>
        </w:rPr>
        <w:t xml:space="preserve">tres prórrogas de autorización de cambio de uso de suelo, con número de folio 00003, 00004 y 00008; no obstante, omitió remitir o pronunciase en relación a los folios 00001, 00002, 00005 y 00007, situación que argumento el </w:t>
      </w:r>
      <w:r w:rsidR="00A76D9F">
        <w:rPr>
          <w:rFonts w:ascii="Palatino Linotype" w:eastAsia="Calibri" w:hAnsi="Palatino Linotype" w:cs="Arial"/>
          <w:b/>
          <w:sz w:val="24"/>
          <w:szCs w:val="24"/>
        </w:rPr>
        <w:t xml:space="preserve">RECURRENTE </w:t>
      </w:r>
      <w:r w:rsidR="00A76D9F">
        <w:rPr>
          <w:rFonts w:ascii="Palatino Linotype" w:eastAsia="Calibri" w:hAnsi="Palatino Linotype" w:cs="Arial"/>
          <w:sz w:val="24"/>
          <w:szCs w:val="24"/>
        </w:rPr>
        <w:t xml:space="preserve">en las razones o motivos de inconformidad. </w:t>
      </w:r>
    </w:p>
    <w:p w14:paraId="3152D49D" w14:textId="77777777" w:rsidR="00A76D9F" w:rsidRPr="00A76D9F" w:rsidRDefault="00A76D9F" w:rsidP="00A76D9F">
      <w:pPr>
        <w:pStyle w:val="Prrafodelista"/>
        <w:rPr>
          <w:rFonts w:ascii="Palatino Linotype" w:eastAsia="Calibri" w:hAnsi="Palatino Linotype" w:cs="Arial"/>
          <w:sz w:val="24"/>
          <w:szCs w:val="24"/>
        </w:rPr>
      </w:pPr>
    </w:p>
    <w:p w14:paraId="51B34960" w14:textId="77777777" w:rsidR="00A76D9F" w:rsidRDefault="00A76D9F" w:rsidP="0003449F">
      <w:pPr>
        <w:pStyle w:val="Prrafodelista"/>
        <w:numPr>
          <w:ilvl w:val="0"/>
          <w:numId w:val="1"/>
        </w:numPr>
        <w:spacing w:after="0" w:line="360" w:lineRule="auto"/>
        <w:ind w:left="0" w:firstLine="0"/>
        <w:jc w:val="both"/>
        <w:rPr>
          <w:rFonts w:ascii="Palatino Linotype" w:eastAsia="Calibri" w:hAnsi="Palatino Linotype" w:cs="Arial"/>
          <w:sz w:val="24"/>
          <w:szCs w:val="24"/>
        </w:rPr>
      </w:pPr>
      <w:r>
        <w:rPr>
          <w:rFonts w:ascii="Palatino Linotype" w:eastAsia="Calibri" w:hAnsi="Palatino Linotype" w:cs="Arial"/>
          <w:sz w:val="24"/>
          <w:szCs w:val="24"/>
        </w:rPr>
        <w:t xml:space="preserve">El </w:t>
      </w:r>
      <w:r>
        <w:rPr>
          <w:rFonts w:ascii="Palatino Linotype" w:eastAsia="Calibri" w:hAnsi="Palatino Linotype" w:cs="Arial"/>
          <w:b/>
          <w:sz w:val="24"/>
          <w:szCs w:val="24"/>
        </w:rPr>
        <w:t xml:space="preserve">SUJETO OBLIGADO </w:t>
      </w:r>
      <w:r>
        <w:rPr>
          <w:rFonts w:ascii="Palatino Linotype" w:eastAsia="Calibri" w:hAnsi="Palatino Linotype" w:cs="Arial"/>
          <w:sz w:val="24"/>
          <w:szCs w:val="24"/>
        </w:rPr>
        <w:t xml:space="preserve">haciendo uso de su derecho, remitió su informe justificado en el que la </w:t>
      </w:r>
      <w:proofErr w:type="gramStart"/>
      <w:r>
        <w:rPr>
          <w:rFonts w:ascii="Palatino Linotype" w:eastAsia="Calibri" w:hAnsi="Palatino Linotype" w:cs="Arial"/>
          <w:sz w:val="24"/>
          <w:szCs w:val="24"/>
        </w:rPr>
        <w:t>Directora General</w:t>
      </w:r>
      <w:proofErr w:type="gramEnd"/>
      <w:r>
        <w:rPr>
          <w:rFonts w:ascii="Palatino Linotype" w:eastAsia="Calibri" w:hAnsi="Palatino Linotype" w:cs="Arial"/>
          <w:sz w:val="24"/>
          <w:szCs w:val="24"/>
        </w:rPr>
        <w:t xml:space="preserve"> de Desarrollo Territorial manifiesta que los folios faltantes fueron cancelados, documentos que</w:t>
      </w:r>
      <w:r w:rsidR="009446A9">
        <w:rPr>
          <w:rFonts w:ascii="Palatino Linotype" w:eastAsia="Calibri" w:hAnsi="Palatino Linotype" w:cs="Arial"/>
          <w:sz w:val="24"/>
          <w:szCs w:val="24"/>
        </w:rPr>
        <w:t>,</w:t>
      </w:r>
      <w:r>
        <w:rPr>
          <w:rFonts w:ascii="Palatino Linotype" w:eastAsia="Calibri" w:hAnsi="Palatino Linotype" w:cs="Arial"/>
          <w:sz w:val="24"/>
          <w:szCs w:val="24"/>
        </w:rPr>
        <w:t xml:space="preserve"> si bien refiere que anexa para may</w:t>
      </w:r>
      <w:r w:rsidR="009446A9">
        <w:rPr>
          <w:rFonts w:ascii="Palatino Linotype" w:eastAsia="Calibri" w:hAnsi="Palatino Linotype" w:cs="Arial"/>
          <w:sz w:val="24"/>
          <w:szCs w:val="24"/>
        </w:rPr>
        <w:t xml:space="preserve">or referencia, no se entregaron. </w:t>
      </w:r>
    </w:p>
    <w:p w14:paraId="6612C682" w14:textId="77777777" w:rsidR="009446A9" w:rsidRPr="009446A9" w:rsidRDefault="009446A9" w:rsidP="009446A9">
      <w:pPr>
        <w:pStyle w:val="Prrafodelista"/>
        <w:rPr>
          <w:rFonts w:ascii="Palatino Linotype" w:eastAsia="Calibri" w:hAnsi="Palatino Linotype" w:cs="Arial"/>
          <w:sz w:val="24"/>
          <w:szCs w:val="24"/>
        </w:rPr>
      </w:pPr>
    </w:p>
    <w:p w14:paraId="795652DF" w14:textId="77777777" w:rsidR="009446A9" w:rsidRDefault="009446A9" w:rsidP="0003449F">
      <w:pPr>
        <w:pStyle w:val="Prrafodelista"/>
        <w:numPr>
          <w:ilvl w:val="0"/>
          <w:numId w:val="1"/>
        </w:numPr>
        <w:spacing w:after="0" w:line="360" w:lineRule="auto"/>
        <w:ind w:left="0" w:firstLine="0"/>
        <w:jc w:val="both"/>
        <w:rPr>
          <w:rFonts w:ascii="Palatino Linotype" w:eastAsia="Calibri" w:hAnsi="Palatino Linotype" w:cs="Arial"/>
          <w:sz w:val="24"/>
          <w:szCs w:val="24"/>
        </w:rPr>
      </w:pPr>
      <w:r>
        <w:rPr>
          <w:rFonts w:ascii="Palatino Linotype" w:eastAsia="Calibri" w:hAnsi="Palatino Linotype" w:cs="Arial"/>
          <w:sz w:val="24"/>
          <w:szCs w:val="24"/>
        </w:rPr>
        <w:t xml:space="preserve">En consecuencia, el </w:t>
      </w:r>
      <w:r>
        <w:rPr>
          <w:rFonts w:ascii="Palatino Linotype" w:eastAsia="Calibri" w:hAnsi="Palatino Linotype" w:cs="Arial"/>
          <w:b/>
          <w:sz w:val="24"/>
          <w:szCs w:val="24"/>
        </w:rPr>
        <w:t xml:space="preserve">SUJETO OBLIGADO </w:t>
      </w:r>
      <w:r>
        <w:rPr>
          <w:rFonts w:ascii="Palatino Linotype" w:eastAsia="Calibri" w:hAnsi="Palatino Linotype" w:cs="Arial"/>
          <w:sz w:val="24"/>
          <w:szCs w:val="24"/>
        </w:rPr>
        <w:t xml:space="preserve">no garantizó la entrega de información completa; vulnerando el derecho de acceso a la información pública del particular al proporcionar únicamente parte de la documentación solicitada. </w:t>
      </w:r>
    </w:p>
    <w:p w14:paraId="7FB6398E" w14:textId="77777777" w:rsidR="0003449F" w:rsidRPr="00226F33" w:rsidRDefault="0003449F" w:rsidP="00226F33">
      <w:pPr>
        <w:spacing w:after="0" w:line="360" w:lineRule="auto"/>
        <w:jc w:val="both"/>
        <w:rPr>
          <w:rFonts w:ascii="Palatino Linotype" w:eastAsia="Calibri" w:hAnsi="Palatino Linotype" w:cs="Arial"/>
          <w:sz w:val="24"/>
          <w:szCs w:val="24"/>
        </w:rPr>
      </w:pPr>
    </w:p>
    <w:p w14:paraId="0CCB093B" w14:textId="77777777" w:rsidR="001530CB" w:rsidRDefault="00B32595" w:rsidP="001530CB">
      <w:pPr>
        <w:pStyle w:val="Ttulo1"/>
        <w:rPr>
          <w:sz w:val="22"/>
          <w:szCs w:val="22"/>
        </w:rPr>
      </w:pPr>
      <w:bookmarkStart w:id="19" w:name="_Toc70709636"/>
      <w:bookmarkStart w:id="20" w:name="_Toc10139828"/>
      <w:r>
        <w:t xml:space="preserve">IV.  </w:t>
      </w:r>
      <w:r w:rsidR="001530CB">
        <w:rPr>
          <w:sz w:val="22"/>
          <w:szCs w:val="22"/>
        </w:rPr>
        <w:t>De la naturaleza jurídica de la información pública solicitada</w:t>
      </w:r>
      <w:bookmarkEnd w:id="19"/>
    </w:p>
    <w:p w14:paraId="642DCDA9" w14:textId="77777777" w:rsidR="00B32595" w:rsidRDefault="00B32595" w:rsidP="005212F1">
      <w:pPr>
        <w:pStyle w:val="Ttulo1"/>
      </w:pPr>
      <w:bookmarkStart w:id="21" w:name="_Toc70709637"/>
      <w:r>
        <w:t>.</w:t>
      </w:r>
      <w:bookmarkEnd w:id="21"/>
      <w:r>
        <w:t xml:space="preserve"> </w:t>
      </w:r>
    </w:p>
    <w:p w14:paraId="4C37B332" w14:textId="77777777" w:rsidR="00E314D1" w:rsidRDefault="00E314D1" w:rsidP="00E314D1">
      <w:pPr>
        <w:pStyle w:val="Prrafodelista"/>
        <w:numPr>
          <w:ilvl w:val="0"/>
          <w:numId w:val="1"/>
        </w:numPr>
        <w:spacing w:after="0" w:line="360" w:lineRule="auto"/>
        <w:ind w:left="0" w:firstLine="0"/>
        <w:jc w:val="both"/>
        <w:rPr>
          <w:rFonts w:ascii="Palatino Linotype" w:eastAsia="Calibri" w:hAnsi="Palatino Linotype" w:cs="Tahoma"/>
          <w:iCs/>
          <w:sz w:val="24"/>
          <w:szCs w:val="24"/>
          <w:lang w:val="es-ES" w:eastAsia="es-ES_tradnl"/>
        </w:rPr>
      </w:pPr>
      <w:r>
        <w:rPr>
          <w:rFonts w:ascii="Palatino Linotype" w:hAnsi="Palatino Linotype"/>
          <w:sz w:val="24"/>
          <w:szCs w:val="24"/>
        </w:rPr>
        <w:t xml:space="preserve">El </w:t>
      </w:r>
      <w:r w:rsidRPr="00E314D1">
        <w:rPr>
          <w:rFonts w:ascii="Palatino Linotype" w:eastAsia="Calibri" w:hAnsi="Palatino Linotype" w:cs="Tahoma"/>
          <w:b/>
          <w:iCs/>
          <w:sz w:val="24"/>
          <w:szCs w:val="24"/>
          <w:lang w:val="es-ES" w:eastAsia="es-ES_tradnl"/>
        </w:rPr>
        <w:t>Código Administrativo del Estado de México</w:t>
      </w:r>
      <w:r>
        <w:rPr>
          <w:rFonts w:ascii="Palatino Linotype" w:eastAsia="Calibri" w:hAnsi="Palatino Linotype" w:cs="Tahoma"/>
          <w:iCs/>
          <w:sz w:val="24"/>
          <w:szCs w:val="24"/>
          <w:lang w:val="es-ES" w:eastAsia="es-ES_tradnl"/>
        </w:rPr>
        <w:t xml:space="preserve"> en el </w:t>
      </w:r>
      <w:r w:rsidRPr="00E314D1">
        <w:rPr>
          <w:rFonts w:ascii="Palatino Linotype" w:eastAsia="Calibri" w:hAnsi="Palatino Linotype" w:cs="Tahoma"/>
          <w:iCs/>
          <w:sz w:val="24"/>
          <w:szCs w:val="24"/>
          <w:lang w:val="es-ES" w:eastAsia="es-ES_tradnl"/>
        </w:rPr>
        <w:t>artículo 5.10, fracción V</w:t>
      </w:r>
      <w:r>
        <w:rPr>
          <w:rFonts w:ascii="Palatino Linotype" w:eastAsia="Calibri" w:hAnsi="Palatino Linotype" w:cs="Tahoma"/>
          <w:iCs/>
          <w:sz w:val="24"/>
          <w:szCs w:val="24"/>
          <w:lang w:val="es-ES" w:eastAsia="es-ES_tradnl"/>
        </w:rPr>
        <w:t>I</w:t>
      </w:r>
      <w:r w:rsidRPr="00E314D1">
        <w:rPr>
          <w:rFonts w:ascii="Palatino Linotype" w:eastAsia="Calibri" w:hAnsi="Palatino Linotype" w:cs="Tahoma"/>
          <w:iCs/>
          <w:sz w:val="24"/>
          <w:szCs w:val="24"/>
          <w:lang w:val="es-ES" w:eastAsia="es-ES_tradnl"/>
        </w:rPr>
        <w:t xml:space="preserve"> </w:t>
      </w:r>
      <w:r>
        <w:rPr>
          <w:rFonts w:ascii="Palatino Linotype" w:eastAsia="Calibri" w:hAnsi="Palatino Linotype" w:cs="Tahoma"/>
          <w:iCs/>
          <w:sz w:val="24"/>
          <w:szCs w:val="24"/>
          <w:lang w:val="es-ES" w:eastAsia="es-ES_tradnl"/>
        </w:rPr>
        <w:t>dispone</w:t>
      </w:r>
      <w:r w:rsidRPr="00E314D1">
        <w:rPr>
          <w:rFonts w:ascii="Palatino Linotype" w:eastAsia="Calibri" w:hAnsi="Palatino Linotype" w:cs="Tahoma"/>
          <w:iCs/>
          <w:sz w:val="24"/>
          <w:szCs w:val="24"/>
          <w:lang w:val="es-ES" w:eastAsia="es-ES_tradnl"/>
        </w:rPr>
        <w:t xml:space="preserve"> que los municipios tendrán la atribución de expedir cédulas informativas de zonificación, </w:t>
      </w:r>
      <w:r w:rsidRPr="00E314D1">
        <w:rPr>
          <w:rFonts w:ascii="Palatino Linotype" w:eastAsia="Calibri" w:hAnsi="Palatino Linotype" w:cs="Tahoma"/>
          <w:b/>
          <w:iCs/>
          <w:sz w:val="24"/>
          <w:szCs w:val="24"/>
          <w:lang w:val="es-ES" w:eastAsia="es-ES_tradnl"/>
        </w:rPr>
        <w:t>licencias de uso de suelo</w:t>
      </w:r>
      <w:r w:rsidRPr="00E314D1">
        <w:rPr>
          <w:rFonts w:ascii="Palatino Linotype" w:eastAsia="Calibri" w:hAnsi="Palatino Linotype" w:cs="Tahoma"/>
          <w:iCs/>
          <w:sz w:val="24"/>
          <w:szCs w:val="24"/>
          <w:lang w:val="es-ES" w:eastAsia="es-ES_tradnl"/>
        </w:rPr>
        <w:t xml:space="preserve"> y licencias de construcción.</w:t>
      </w:r>
    </w:p>
    <w:p w14:paraId="0FE26719" w14:textId="77777777" w:rsidR="00E314D1" w:rsidRPr="00E314D1" w:rsidRDefault="00E314D1" w:rsidP="00E314D1">
      <w:pPr>
        <w:pStyle w:val="Prrafodelista"/>
        <w:spacing w:after="0" w:line="360" w:lineRule="auto"/>
        <w:ind w:left="0"/>
        <w:jc w:val="both"/>
        <w:rPr>
          <w:rFonts w:ascii="Palatino Linotype" w:eastAsia="Calibri" w:hAnsi="Palatino Linotype" w:cs="Tahoma"/>
          <w:iCs/>
          <w:sz w:val="24"/>
          <w:szCs w:val="24"/>
          <w:lang w:val="es-ES" w:eastAsia="es-ES_tradnl"/>
        </w:rPr>
      </w:pPr>
    </w:p>
    <w:p w14:paraId="7B99ED11" w14:textId="77777777" w:rsidR="00E314D1" w:rsidRDefault="00E314D1" w:rsidP="00E314D1">
      <w:pPr>
        <w:pStyle w:val="Prrafodelista"/>
        <w:numPr>
          <w:ilvl w:val="0"/>
          <w:numId w:val="1"/>
        </w:numPr>
        <w:spacing w:after="0" w:line="360" w:lineRule="auto"/>
        <w:ind w:left="0" w:firstLine="0"/>
        <w:jc w:val="both"/>
        <w:rPr>
          <w:rFonts w:ascii="Palatino Linotype" w:eastAsia="Calibri" w:hAnsi="Palatino Linotype" w:cs="Tahoma"/>
          <w:iCs/>
          <w:lang w:val="es-ES" w:eastAsia="es-ES_tradnl"/>
        </w:rPr>
      </w:pPr>
      <w:r>
        <w:rPr>
          <w:rFonts w:ascii="Palatino Linotype" w:eastAsia="Calibri" w:hAnsi="Palatino Linotype" w:cs="Tahoma"/>
          <w:iCs/>
          <w:lang w:val="es-ES" w:eastAsia="es-ES_tradnl"/>
        </w:rPr>
        <w:lastRenderedPageBreak/>
        <w:t xml:space="preserve">Por su parte el </w:t>
      </w:r>
      <w:r w:rsidRPr="00E314D1">
        <w:rPr>
          <w:rFonts w:ascii="Palatino Linotype" w:eastAsia="Calibri" w:hAnsi="Palatino Linotype" w:cs="Tahoma"/>
          <w:b/>
          <w:iCs/>
          <w:sz w:val="24"/>
          <w:szCs w:val="24"/>
          <w:lang w:val="es-ES" w:eastAsia="es-ES_tradnl"/>
        </w:rPr>
        <w:t>R</w:t>
      </w:r>
      <w:r w:rsidR="00AF645C">
        <w:rPr>
          <w:rFonts w:ascii="Palatino Linotype" w:eastAsia="Calibri" w:hAnsi="Palatino Linotype" w:cs="Tahoma"/>
          <w:b/>
          <w:iCs/>
          <w:sz w:val="24"/>
          <w:szCs w:val="24"/>
          <w:lang w:val="es-ES" w:eastAsia="es-ES_tradnl"/>
        </w:rPr>
        <w:t>eglamento del Libro Quinto del C</w:t>
      </w:r>
      <w:r w:rsidRPr="00E314D1">
        <w:rPr>
          <w:rFonts w:ascii="Palatino Linotype" w:eastAsia="Calibri" w:hAnsi="Palatino Linotype" w:cs="Tahoma"/>
          <w:b/>
          <w:iCs/>
          <w:sz w:val="24"/>
          <w:szCs w:val="24"/>
          <w:lang w:val="es-ES" w:eastAsia="es-ES_tradnl"/>
        </w:rPr>
        <w:t>ódigo Administrativo del Estado de México</w:t>
      </w:r>
      <w:r>
        <w:rPr>
          <w:rFonts w:ascii="Palatino Linotype" w:eastAsia="Calibri" w:hAnsi="Palatino Linotype" w:cs="Tahoma"/>
          <w:iCs/>
          <w:lang w:val="es-ES" w:eastAsia="es-ES_tradnl"/>
        </w:rPr>
        <w:t>, respecto las licencias de uso de suelo señala lo siguiente:</w:t>
      </w:r>
    </w:p>
    <w:p w14:paraId="5B288DD9" w14:textId="77777777" w:rsidR="00E314D1" w:rsidRDefault="00E314D1" w:rsidP="00E314D1">
      <w:pPr>
        <w:tabs>
          <w:tab w:val="left" w:pos="4962"/>
        </w:tabs>
        <w:spacing w:line="360" w:lineRule="auto"/>
        <w:jc w:val="both"/>
        <w:rPr>
          <w:rFonts w:ascii="Palatino Linotype" w:eastAsia="Calibri" w:hAnsi="Palatino Linotype" w:cs="Tahoma"/>
          <w:iCs/>
          <w:lang w:val="es-ES" w:eastAsia="es-ES_tradnl"/>
        </w:rPr>
      </w:pPr>
    </w:p>
    <w:p w14:paraId="3DD6B498" w14:textId="77777777" w:rsidR="00E314D1" w:rsidRPr="003E5203" w:rsidRDefault="00E314D1" w:rsidP="00E314D1">
      <w:pPr>
        <w:tabs>
          <w:tab w:val="left" w:pos="4962"/>
        </w:tabs>
        <w:spacing w:line="360" w:lineRule="auto"/>
        <w:ind w:left="567" w:right="539"/>
        <w:jc w:val="both"/>
        <w:rPr>
          <w:rFonts w:ascii="Palatino Linotype" w:eastAsia="Calibri" w:hAnsi="Palatino Linotype" w:cs="Tahoma"/>
          <w:b/>
          <w:i/>
          <w:iCs/>
          <w:lang w:eastAsia="es-ES_tradnl"/>
        </w:rPr>
      </w:pPr>
      <w:r w:rsidRPr="003E5203">
        <w:rPr>
          <w:rFonts w:ascii="Palatino Linotype" w:eastAsia="Calibri" w:hAnsi="Palatino Linotype" w:cs="Tahoma"/>
          <w:b/>
          <w:i/>
          <w:iCs/>
          <w:lang w:eastAsia="es-ES_tradnl"/>
        </w:rPr>
        <w:t>DEL OBJETO DE LA LICENCIA DE USO DEL SUELO</w:t>
      </w:r>
    </w:p>
    <w:p w14:paraId="70DB013C" w14:textId="77777777" w:rsidR="00E314D1" w:rsidRDefault="00E314D1" w:rsidP="00E314D1">
      <w:pPr>
        <w:tabs>
          <w:tab w:val="left" w:pos="4962"/>
        </w:tabs>
        <w:spacing w:line="360" w:lineRule="auto"/>
        <w:ind w:left="567" w:right="539"/>
        <w:jc w:val="both"/>
        <w:rPr>
          <w:rFonts w:ascii="Palatino Linotype" w:eastAsia="Calibri" w:hAnsi="Palatino Linotype" w:cs="Tahoma"/>
          <w:i/>
          <w:iCs/>
          <w:lang w:eastAsia="es-ES_tradnl"/>
        </w:rPr>
      </w:pPr>
      <w:r w:rsidRPr="003E5203">
        <w:rPr>
          <w:rFonts w:ascii="Palatino Linotype" w:eastAsia="Calibri" w:hAnsi="Palatino Linotype" w:cs="Tahoma"/>
          <w:b/>
          <w:i/>
          <w:iCs/>
          <w:lang w:eastAsia="es-ES_tradnl"/>
        </w:rPr>
        <w:t>Artículo 135.</w:t>
      </w:r>
      <w:r w:rsidRPr="003E5203">
        <w:rPr>
          <w:rFonts w:ascii="Palatino Linotype" w:eastAsia="Calibri" w:hAnsi="Palatino Linotype" w:cs="Tahoma"/>
          <w:i/>
          <w:iCs/>
          <w:lang w:eastAsia="es-ES_tradnl"/>
        </w:rPr>
        <w:t xml:space="preserve"> La licencia de uso del suelo tendrá por </w:t>
      </w:r>
      <w:r w:rsidRPr="00E314D1">
        <w:rPr>
          <w:rFonts w:ascii="Palatino Linotype" w:eastAsia="Calibri" w:hAnsi="Palatino Linotype" w:cs="Tahoma"/>
          <w:b/>
          <w:i/>
          <w:iCs/>
          <w:lang w:eastAsia="es-ES_tradnl"/>
        </w:rPr>
        <w:t>objeto autorizar las normas para el uso y aprovechamiento de un determinado</w:t>
      </w:r>
      <w:r w:rsidRPr="003E5203">
        <w:rPr>
          <w:rFonts w:ascii="Palatino Linotype" w:eastAsia="Calibri" w:hAnsi="Palatino Linotype" w:cs="Tahoma"/>
          <w:i/>
          <w:iCs/>
          <w:lang w:eastAsia="es-ES_tradnl"/>
        </w:rPr>
        <w:t xml:space="preserve"> predio tales como: </w:t>
      </w:r>
      <w:r w:rsidRPr="00E314D1">
        <w:rPr>
          <w:rFonts w:ascii="Palatino Linotype" w:eastAsia="Calibri" w:hAnsi="Palatino Linotype" w:cs="Tahoma"/>
          <w:b/>
          <w:i/>
          <w:iCs/>
          <w:lang w:eastAsia="es-ES_tradnl"/>
        </w:rPr>
        <w:t>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w:t>
      </w:r>
      <w:r w:rsidRPr="003E5203">
        <w:rPr>
          <w:rFonts w:ascii="Palatino Linotype" w:eastAsia="Calibri" w:hAnsi="Palatino Linotype" w:cs="Tahoma"/>
          <w:i/>
          <w:iCs/>
          <w:lang w:eastAsia="es-ES_tradnl"/>
        </w:rPr>
        <w:t>. A solicitud del interesado la licencia de uso del suelo podrá contener también el alineamiento y número oficial.</w:t>
      </w:r>
    </w:p>
    <w:p w14:paraId="1CCB48B8" w14:textId="77777777" w:rsidR="00E314D1" w:rsidRDefault="00E314D1" w:rsidP="00E314D1">
      <w:pPr>
        <w:tabs>
          <w:tab w:val="left" w:pos="4962"/>
        </w:tabs>
        <w:spacing w:line="360" w:lineRule="auto"/>
        <w:ind w:left="567" w:right="539"/>
        <w:jc w:val="both"/>
        <w:rPr>
          <w:rFonts w:ascii="Palatino Linotype" w:eastAsia="Calibri" w:hAnsi="Palatino Linotype" w:cs="Tahoma"/>
          <w:b/>
          <w:i/>
          <w:iCs/>
          <w:lang w:eastAsia="es-ES_tradnl"/>
        </w:rPr>
      </w:pPr>
    </w:p>
    <w:p w14:paraId="3DB1804E" w14:textId="77777777" w:rsidR="00E314D1" w:rsidRDefault="00E314D1" w:rsidP="00E314D1">
      <w:pPr>
        <w:tabs>
          <w:tab w:val="left" w:pos="4962"/>
        </w:tabs>
        <w:spacing w:line="360" w:lineRule="auto"/>
        <w:ind w:left="567" w:right="539"/>
        <w:jc w:val="both"/>
        <w:rPr>
          <w:rFonts w:ascii="Palatino Linotype" w:eastAsia="Calibri" w:hAnsi="Palatino Linotype" w:cs="Tahoma"/>
          <w:i/>
          <w:iCs/>
          <w:lang w:eastAsia="es-ES_tradnl"/>
        </w:rPr>
      </w:pPr>
      <w:r w:rsidRPr="003E5203">
        <w:rPr>
          <w:rFonts w:ascii="Palatino Linotype" w:eastAsia="Calibri" w:hAnsi="Palatino Linotype" w:cs="Tahoma"/>
          <w:b/>
          <w:i/>
          <w:iCs/>
          <w:lang w:eastAsia="es-ES_tradnl"/>
        </w:rPr>
        <w:t>DEL PROCEDIMIENTO PARA OBTENER LICENCIA DE USO DEL SUELO</w:t>
      </w:r>
      <w:r w:rsidRPr="003E5203">
        <w:rPr>
          <w:rFonts w:ascii="Palatino Linotype" w:eastAsia="Calibri" w:hAnsi="Palatino Linotype" w:cs="Tahoma"/>
          <w:i/>
          <w:iCs/>
          <w:lang w:eastAsia="es-ES_tradnl"/>
        </w:rPr>
        <w:t xml:space="preserve"> </w:t>
      </w:r>
    </w:p>
    <w:p w14:paraId="5D93F26C" w14:textId="77777777" w:rsidR="00E314D1" w:rsidRDefault="00E314D1" w:rsidP="00AF645C">
      <w:pPr>
        <w:tabs>
          <w:tab w:val="left" w:pos="4962"/>
        </w:tabs>
        <w:spacing w:line="240" w:lineRule="auto"/>
        <w:ind w:left="567" w:right="539"/>
        <w:jc w:val="both"/>
        <w:rPr>
          <w:rFonts w:ascii="Palatino Linotype" w:eastAsia="Calibri" w:hAnsi="Palatino Linotype" w:cs="Tahoma"/>
          <w:i/>
          <w:iCs/>
          <w:lang w:eastAsia="es-ES_tradnl"/>
        </w:rPr>
      </w:pPr>
      <w:r w:rsidRPr="003E5203">
        <w:rPr>
          <w:rFonts w:ascii="Palatino Linotype" w:eastAsia="Calibri" w:hAnsi="Palatino Linotype" w:cs="Tahoma"/>
          <w:b/>
          <w:i/>
          <w:iCs/>
          <w:lang w:eastAsia="es-ES_tradnl"/>
        </w:rPr>
        <w:t>Artículo 136.</w:t>
      </w:r>
      <w:r w:rsidRPr="003E5203">
        <w:rPr>
          <w:rFonts w:ascii="Palatino Linotype" w:eastAsia="Calibri" w:hAnsi="Palatino Linotype" w:cs="Tahoma"/>
          <w:i/>
          <w:iCs/>
          <w:lang w:eastAsia="es-ES_tradnl"/>
        </w:rPr>
        <w:t xml:space="preserve"> El procedimiento para obtener licencia de uso del suelo se sujetará a lo siguiente:</w:t>
      </w:r>
    </w:p>
    <w:p w14:paraId="0FC7FB05"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I. El interesado presentará solicitud ante la autoridad competente, en la que señalará lo</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siguiente:</w:t>
      </w:r>
    </w:p>
    <w:p w14:paraId="05F5A3DF"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A) Uso actual y pretendido del suelo;</w:t>
      </w:r>
    </w:p>
    <w:p w14:paraId="3B9C4634"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B) Superficie total del predio;</w:t>
      </w:r>
    </w:p>
    <w:p w14:paraId="753E0876"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C) Superficie construida o por construir;</w:t>
      </w:r>
    </w:p>
    <w:p w14:paraId="67D79352"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D) Clave catastral, si la hubiere;</w:t>
      </w:r>
    </w:p>
    <w:p w14:paraId="543BA5C0"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E) Localización del inmueble, a través de representación gráfica (croquis);</w:t>
      </w:r>
    </w:p>
    <w:p w14:paraId="0F52A559"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II. A la solicitud se acompañarán los documentos siguientes:</w:t>
      </w:r>
    </w:p>
    <w:p w14:paraId="709DFEB4"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A) Título de propiedad y certificado de inscripción en el Instituto de la Función Registral del</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Estado de México;</w:t>
      </w:r>
    </w:p>
    <w:p w14:paraId="78412225"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lastRenderedPageBreak/>
        <w:t>B) En caso de posesión del inmueble o predio, podrá acreditarse con alguno de los</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documentos siguientes:</w:t>
      </w:r>
      <w:r w:rsidRPr="003E5203">
        <w:rPr>
          <w:rFonts w:ascii="Palatino Linotype" w:eastAsia="Calibri" w:hAnsi="Palatino Linotype" w:cs="Tahoma"/>
          <w:i/>
          <w:iCs/>
          <w:lang w:val="es-ES" w:eastAsia="es-ES_tradnl"/>
        </w:rPr>
        <w:cr/>
      </w:r>
      <w:r w:rsidRPr="003E5203">
        <w:t xml:space="preserve"> </w:t>
      </w:r>
      <w:r w:rsidRPr="003E5203">
        <w:rPr>
          <w:rFonts w:ascii="Palatino Linotype" w:eastAsia="Calibri" w:hAnsi="Palatino Linotype" w:cs="Tahoma"/>
          <w:i/>
          <w:iCs/>
          <w:lang w:val="es-ES" w:eastAsia="es-ES_tradnl"/>
        </w:rPr>
        <w:t>1. Contrato de compra-venta, usufructo, comodato o arrendamiento vigente sobre el</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inmueble;</w:t>
      </w:r>
    </w:p>
    <w:p w14:paraId="75C7CEDD"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2. Resolución judicial firme que constituya o declare la propiedad o posesión o</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cualquier otro derecho real o personal vigente a favor del solicitante sobre el inmueble;</w:t>
      </w:r>
    </w:p>
    <w:p w14:paraId="0D57E402"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3. Inmatriculación administrativa;</w:t>
      </w:r>
    </w:p>
    <w:p w14:paraId="7FD2CD9B"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4. Recibo de pago del impuesto sobre traslación de dominio;</w:t>
      </w:r>
    </w:p>
    <w:p w14:paraId="5526ABF1"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5. Acta de entrega de la posesión, en caso de viviendas;</w:t>
      </w:r>
    </w:p>
    <w:p w14:paraId="479F2779"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6. Cédula de contratación con el Instituto;</w:t>
      </w:r>
    </w:p>
    <w:p w14:paraId="3FBA2E84" w14:textId="77777777" w:rsidR="00E314D1"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7. En el caso de terrenos ejidales o comunales, certificado parcelario, certificado de</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derechos agrarios o resolución agraria, cédula de contratación con el Instituto de Suelo</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Sustentable, y</w:t>
      </w:r>
    </w:p>
    <w:p w14:paraId="64974475" w14:textId="77777777" w:rsidR="00E314D1" w:rsidRPr="003E5203"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C) Dictamen Único, en el caso de usos del suelo de impacto urbano a que se refiere el</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artículo 5.35 del Código.</w:t>
      </w:r>
    </w:p>
    <w:p w14:paraId="1A2A39C9" w14:textId="77777777" w:rsidR="00E314D1"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3E5203">
        <w:rPr>
          <w:rFonts w:ascii="Palatino Linotype" w:eastAsia="Calibri" w:hAnsi="Palatino Linotype" w:cs="Tahoma"/>
          <w:i/>
          <w:iCs/>
          <w:lang w:val="es-ES" w:eastAsia="es-ES_tradnl"/>
        </w:rPr>
        <w:t>La autoridad competente expedirá la licencia de uso del suelo dentro de los cinco días</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siguientes a la presentación de la solicitud y de los documentos que deben acompañarla, previo</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el pago de los derechos correspondientes, salvo que se solicite la opinión de la Secretaría,</w:t>
      </w:r>
      <w:r>
        <w:rPr>
          <w:rFonts w:ascii="Palatino Linotype" w:eastAsia="Calibri" w:hAnsi="Palatino Linotype" w:cs="Tahoma"/>
          <w:i/>
          <w:iCs/>
          <w:lang w:val="es-ES" w:eastAsia="es-ES_tradnl"/>
        </w:rPr>
        <w:t xml:space="preserve"> </w:t>
      </w:r>
      <w:r w:rsidRPr="003E5203">
        <w:rPr>
          <w:rFonts w:ascii="Palatino Linotype" w:eastAsia="Calibri" w:hAnsi="Palatino Linotype" w:cs="Tahoma"/>
          <w:i/>
          <w:iCs/>
          <w:lang w:val="es-ES" w:eastAsia="es-ES_tradnl"/>
        </w:rPr>
        <w:t>cuando no se cuent</w:t>
      </w:r>
      <w:r>
        <w:rPr>
          <w:rFonts w:ascii="Palatino Linotype" w:eastAsia="Calibri" w:hAnsi="Palatino Linotype" w:cs="Tahoma"/>
          <w:i/>
          <w:iCs/>
          <w:lang w:val="es-ES" w:eastAsia="es-ES_tradnl"/>
        </w:rPr>
        <w:t xml:space="preserve">e con plan de desarrollo urbano, en cuyo caso el plazo se extenderá hasta en cinco días </w:t>
      </w:r>
      <w:proofErr w:type="spellStart"/>
      <w:r>
        <w:rPr>
          <w:rFonts w:ascii="Palatino Linotype" w:eastAsia="Calibri" w:hAnsi="Palatino Linotype" w:cs="Tahoma"/>
          <w:i/>
          <w:iCs/>
          <w:lang w:val="es-ES" w:eastAsia="es-ES_tradnl"/>
        </w:rPr>
        <w:t>mas</w:t>
      </w:r>
      <w:proofErr w:type="spellEnd"/>
      <w:r>
        <w:rPr>
          <w:rFonts w:ascii="Palatino Linotype" w:eastAsia="Calibri" w:hAnsi="Palatino Linotype" w:cs="Tahoma"/>
          <w:i/>
          <w:iCs/>
          <w:lang w:val="es-ES" w:eastAsia="es-ES_tradnl"/>
        </w:rPr>
        <w:t>.</w:t>
      </w:r>
    </w:p>
    <w:p w14:paraId="60F7A278" w14:textId="77777777" w:rsidR="00E314D1"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p>
    <w:p w14:paraId="1720B641" w14:textId="77777777" w:rsidR="00E314D1" w:rsidRPr="003E5203" w:rsidRDefault="00E314D1" w:rsidP="00E314D1">
      <w:pPr>
        <w:tabs>
          <w:tab w:val="left" w:pos="4962"/>
        </w:tabs>
        <w:spacing w:line="360" w:lineRule="auto"/>
        <w:ind w:left="567" w:right="539"/>
        <w:jc w:val="both"/>
        <w:rPr>
          <w:rFonts w:ascii="Palatino Linotype" w:eastAsia="Calibri" w:hAnsi="Palatino Linotype" w:cs="Tahoma"/>
          <w:b/>
          <w:i/>
          <w:iCs/>
          <w:lang w:val="es-ES" w:eastAsia="es-ES_tradnl"/>
        </w:rPr>
      </w:pPr>
      <w:r w:rsidRPr="003E5203">
        <w:rPr>
          <w:rFonts w:ascii="Palatino Linotype" w:eastAsia="Calibri" w:hAnsi="Palatino Linotype" w:cs="Tahoma"/>
          <w:b/>
          <w:i/>
          <w:iCs/>
          <w:lang w:val="es-ES" w:eastAsia="es-ES_tradnl"/>
        </w:rPr>
        <w:t>DEL CONTENIDO DE LA LICENCIA DE USO DEL SUELO</w:t>
      </w:r>
    </w:p>
    <w:p w14:paraId="5CFC9B3A"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b/>
          <w:i/>
          <w:iCs/>
          <w:lang w:val="es-ES" w:eastAsia="es-ES_tradnl"/>
        </w:rPr>
        <w:t>Artículo 137</w:t>
      </w:r>
      <w:r w:rsidRPr="00AF645C">
        <w:rPr>
          <w:rFonts w:ascii="Palatino Linotype" w:eastAsia="Calibri" w:hAnsi="Palatino Linotype" w:cs="Tahoma"/>
          <w:i/>
          <w:iCs/>
          <w:lang w:val="es-ES" w:eastAsia="es-ES_tradnl"/>
        </w:rPr>
        <w:t>. La licencia de uso del suelo deberá contener, cuando menos, lo siguiente:</w:t>
      </w:r>
    </w:p>
    <w:p w14:paraId="61DBE213"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I. Número de la licencia;</w:t>
      </w:r>
    </w:p>
    <w:p w14:paraId="4B7CE338"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II. Ubicación del predio o inmueble y en su caso, clave catastral;</w:t>
      </w:r>
    </w:p>
    <w:p w14:paraId="1125BFE7"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III. Nombre y domicilio del solicitante;</w:t>
      </w:r>
    </w:p>
    <w:p w14:paraId="703FAB40"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IV. Uso o usos del suelo que se autorizan;</w:t>
      </w:r>
    </w:p>
    <w:p w14:paraId="5599A824"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V. Densidad de vivienda, en su caso;</w:t>
      </w:r>
    </w:p>
    <w:p w14:paraId="02D44A85"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VI. Coeficiente de ocupación del suelo y coeficiente de utilización del suelo;</w:t>
      </w:r>
    </w:p>
    <w:p w14:paraId="253B70D6"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VII. Altura máxima de edificación;</w:t>
      </w:r>
    </w:p>
    <w:p w14:paraId="74649523"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lastRenderedPageBreak/>
        <w:t>VIII. Número obligatorio de cajones de estacionamiento;</w:t>
      </w:r>
    </w:p>
    <w:p w14:paraId="51BA56ED"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IX. Alineamiento y número oficial;</w:t>
      </w:r>
    </w:p>
    <w:p w14:paraId="74A59BA2"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X. La normatividad, y obligaciones que deriven del Dictamen Único y las Evaluaciones Técnicas</w:t>
      </w:r>
    </w:p>
    <w:p w14:paraId="10509861"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de Factibilidad, en su caso;</w:t>
      </w:r>
    </w:p>
    <w:p w14:paraId="7EF284E5"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XI. Restricciones federales, estatales y municipales;</w:t>
      </w:r>
    </w:p>
    <w:p w14:paraId="38E14638"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XII. La normatividad y obligaciones que deriven de los dictámenes en materia de conservación</w:t>
      </w:r>
    </w:p>
    <w:p w14:paraId="354FA417"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del patrimonio histórico, artístico y cultural, en su caso;</w:t>
      </w:r>
    </w:p>
    <w:p w14:paraId="4B56E6B6"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XIII. Vigencia de la licencia;</w:t>
      </w:r>
    </w:p>
    <w:p w14:paraId="5FDDC495"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XIV. Lugar y fecha en que se expide, y</w:t>
      </w:r>
    </w:p>
    <w:p w14:paraId="59CB7A9E" w14:textId="77777777" w:rsidR="00E314D1" w:rsidRPr="00AF645C" w:rsidRDefault="00E314D1" w:rsidP="00AF645C">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XV. Nombre, cargo y firma de quien la autoriza.</w:t>
      </w:r>
    </w:p>
    <w:p w14:paraId="6E2BEE37" w14:textId="77777777" w:rsidR="00FE378A" w:rsidRDefault="00E314D1" w:rsidP="00FE378A">
      <w:pPr>
        <w:tabs>
          <w:tab w:val="left" w:pos="4962"/>
        </w:tabs>
        <w:spacing w:line="240" w:lineRule="auto"/>
        <w:ind w:left="567" w:right="539"/>
        <w:jc w:val="both"/>
        <w:rPr>
          <w:rFonts w:ascii="Palatino Linotype" w:eastAsia="Calibri" w:hAnsi="Palatino Linotype" w:cs="Tahoma"/>
          <w:i/>
          <w:iCs/>
          <w:lang w:val="es-ES" w:eastAsia="es-ES_tradnl"/>
        </w:rPr>
      </w:pPr>
      <w:r w:rsidRPr="00AF645C">
        <w:rPr>
          <w:rFonts w:ascii="Palatino Linotype" w:eastAsia="Calibri" w:hAnsi="Palatino Linotype" w:cs="Tahoma"/>
          <w:i/>
          <w:iCs/>
          <w:lang w:val="es-ES" w:eastAsia="es-ES_tradnl"/>
        </w:rPr>
        <w:t>Cuando el interesado únicamente solicite alineamiento y número oficial, la licencia de uso de suelo solo contendrá los datos a que refieren las fracciones I, II, III y XI de este artículo</w:t>
      </w:r>
      <w:r w:rsidRPr="003E5203">
        <w:rPr>
          <w:rFonts w:ascii="Palatino Linotype" w:eastAsia="Calibri" w:hAnsi="Palatino Linotype" w:cs="Tahoma"/>
          <w:i/>
          <w:iCs/>
          <w:lang w:val="es-ES" w:eastAsia="es-ES_tradnl"/>
        </w:rPr>
        <w:t>.</w:t>
      </w:r>
      <w:r w:rsidRPr="003E5203">
        <w:rPr>
          <w:rFonts w:ascii="Palatino Linotype" w:eastAsia="Calibri" w:hAnsi="Palatino Linotype" w:cs="Tahoma"/>
          <w:i/>
          <w:iCs/>
          <w:lang w:val="es-ES" w:eastAsia="es-ES_tradnl"/>
        </w:rPr>
        <w:cr/>
      </w:r>
    </w:p>
    <w:p w14:paraId="265EA69F" w14:textId="77777777" w:rsidR="00FE378A" w:rsidRPr="00FE378A" w:rsidRDefault="00FE378A" w:rsidP="00FE378A">
      <w:pPr>
        <w:tabs>
          <w:tab w:val="left" w:pos="4962"/>
        </w:tabs>
        <w:spacing w:line="240" w:lineRule="auto"/>
        <w:ind w:left="567" w:right="539"/>
        <w:jc w:val="both"/>
        <w:rPr>
          <w:rFonts w:ascii="Palatino Linotype" w:eastAsia="Calibri" w:hAnsi="Palatino Linotype" w:cs="Tahoma"/>
          <w:i/>
          <w:iCs/>
          <w:lang w:val="es-ES" w:eastAsia="es-ES_tradnl"/>
        </w:rPr>
      </w:pPr>
    </w:p>
    <w:p w14:paraId="182AF84F" w14:textId="77777777" w:rsidR="002C7FAE" w:rsidRPr="00DF5A24" w:rsidRDefault="00FE378A" w:rsidP="002C7FAE">
      <w:pPr>
        <w:pStyle w:val="Prrafodelista"/>
        <w:numPr>
          <w:ilvl w:val="0"/>
          <w:numId w:val="1"/>
        </w:numPr>
        <w:spacing w:after="0" w:line="360" w:lineRule="auto"/>
        <w:ind w:left="0" w:firstLine="0"/>
        <w:jc w:val="both"/>
      </w:pPr>
      <w:r>
        <w:rPr>
          <w:rFonts w:ascii="Palatino Linotype" w:hAnsi="Palatino Linotype"/>
          <w:sz w:val="24"/>
          <w:szCs w:val="24"/>
        </w:rPr>
        <w:t>Por cuanto hace a la</w:t>
      </w:r>
      <w:r w:rsidR="00C13B63">
        <w:rPr>
          <w:rFonts w:ascii="Palatino Linotype" w:hAnsi="Palatino Linotype"/>
          <w:sz w:val="24"/>
          <w:szCs w:val="24"/>
        </w:rPr>
        <w:t xml:space="preserve"> autorización por la que se cambia el uso de suelo, la densidad los coeficientes de ocupación del suelo o la altura de las edificaciones de un inmueble siempre que se encuentre dentro del área urbana y/o urbanizable, mediante opinión favorable de la Comisión de Planeación para el Desarrollo Municipal (COPLADEMUN), siempre que el uso pretendido sea compatible </w:t>
      </w:r>
      <w:r>
        <w:rPr>
          <w:rFonts w:ascii="Palatino Linotype" w:hAnsi="Palatino Linotype"/>
          <w:sz w:val="24"/>
          <w:szCs w:val="24"/>
        </w:rPr>
        <w:t xml:space="preserve">con los usos o aprovechamientos previstos en la zona y no altere las características de la estructura urbano </w:t>
      </w:r>
      <w:r w:rsidR="00B2638C">
        <w:rPr>
          <w:rFonts w:ascii="Palatino Linotype" w:hAnsi="Palatino Linotype"/>
          <w:sz w:val="24"/>
          <w:szCs w:val="24"/>
        </w:rPr>
        <w:t>y de su imagen</w:t>
      </w:r>
      <w:r w:rsidR="00DF5A24">
        <w:rPr>
          <w:rFonts w:ascii="Palatino Linotype" w:hAnsi="Palatino Linotype"/>
          <w:sz w:val="24"/>
          <w:szCs w:val="24"/>
        </w:rPr>
        <w:t>; esto, de acuerdo  la cédula de información</w:t>
      </w:r>
      <w:r w:rsidR="00DF5A24">
        <w:rPr>
          <w:rStyle w:val="Refdenotaalpie"/>
          <w:rFonts w:ascii="Palatino Linotype" w:hAnsi="Palatino Linotype"/>
          <w:sz w:val="24"/>
          <w:szCs w:val="24"/>
        </w:rPr>
        <w:footnoteReference w:id="3"/>
      </w:r>
      <w:r w:rsidR="00DF5A24">
        <w:rPr>
          <w:rFonts w:ascii="Palatino Linotype" w:hAnsi="Palatino Linotype"/>
          <w:sz w:val="24"/>
          <w:szCs w:val="24"/>
        </w:rPr>
        <w:t xml:space="preserve"> publicada en el sitio electrónico oficial de </w:t>
      </w:r>
      <w:r w:rsidR="00DF5A24" w:rsidRPr="00DF5A24">
        <w:rPr>
          <w:rFonts w:ascii="Palatino Linotype" w:hAnsi="Palatino Linotype"/>
          <w:b/>
          <w:sz w:val="24"/>
          <w:szCs w:val="24"/>
        </w:rPr>
        <w:t>Municipio de Atizapán de Zaragoza</w:t>
      </w:r>
      <w:r w:rsidR="00DF5A24">
        <w:rPr>
          <w:rFonts w:ascii="Palatino Linotype" w:hAnsi="Palatino Linotype"/>
          <w:sz w:val="24"/>
          <w:szCs w:val="24"/>
        </w:rPr>
        <w:t xml:space="preserve">. </w:t>
      </w:r>
    </w:p>
    <w:p w14:paraId="43849A4F" w14:textId="77777777" w:rsidR="001530CB" w:rsidRDefault="001530CB" w:rsidP="001530CB">
      <w:pPr>
        <w:pStyle w:val="Ttulo1"/>
        <w:rPr>
          <w:sz w:val="22"/>
          <w:szCs w:val="22"/>
        </w:rPr>
      </w:pPr>
      <w:bookmarkStart w:id="22" w:name="_Toc70709638"/>
      <w:r>
        <w:rPr>
          <w:sz w:val="22"/>
          <w:szCs w:val="22"/>
        </w:rPr>
        <w:lastRenderedPageBreak/>
        <w:t>V. De la publicidad de datos contenidos en las autorizaciones de prórroga de cambio de uso de suelo; clasificados por el Sujeto Obligado.</w:t>
      </w:r>
      <w:bookmarkEnd w:id="22"/>
      <w:r>
        <w:rPr>
          <w:sz w:val="22"/>
          <w:szCs w:val="22"/>
        </w:rPr>
        <w:t xml:space="preserve"> </w:t>
      </w:r>
    </w:p>
    <w:p w14:paraId="51209799" w14:textId="77777777" w:rsidR="001530CB" w:rsidRDefault="001530CB" w:rsidP="001530CB">
      <w:pPr>
        <w:pStyle w:val="Ttulo1"/>
      </w:pPr>
      <w:bookmarkStart w:id="23" w:name="_Toc70709639"/>
      <w:r>
        <w:t>.</w:t>
      </w:r>
      <w:bookmarkEnd w:id="23"/>
      <w:r>
        <w:t xml:space="preserve"> </w:t>
      </w:r>
    </w:p>
    <w:p w14:paraId="6A64ACAF" w14:textId="77777777" w:rsidR="002C7FAE" w:rsidRPr="00DF5A24" w:rsidRDefault="00B2638C" w:rsidP="00FE378A">
      <w:pPr>
        <w:pStyle w:val="Prrafodelista"/>
        <w:numPr>
          <w:ilvl w:val="0"/>
          <w:numId w:val="1"/>
        </w:numPr>
        <w:spacing w:after="0" w:line="360" w:lineRule="auto"/>
        <w:ind w:left="0" w:firstLine="0"/>
        <w:jc w:val="both"/>
      </w:pPr>
      <w:r>
        <w:rPr>
          <w:rFonts w:ascii="Palatino Linotype" w:hAnsi="Palatino Linotype"/>
          <w:sz w:val="24"/>
          <w:szCs w:val="24"/>
        </w:rPr>
        <w:t>En la normatividad</w:t>
      </w:r>
      <w:r w:rsidR="002468C0">
        <w:rPr>
          <w:rFonts w:ascii="Palatino Linotype" w:hAnsi="Palatino Linotype"/>
          <w:sz w:val="24"/>
          <w:szCs w:val="24"/>
        </w:rPr>
        <w:t xml:space="preserve"> previamente</w:t>
      </w:r>
      <w:r>
        <w:rPr>
          <w:rFonts w:ascii="Palatino Linotype" w:hAnsi="Palatino Linotype"/>
          <w:sz w:val="24"/>
          <w:szCs w:val="24"/>
        </w:rPr>
        <w:t xml:space="preserve"> citada</w:t>
      </w:r>
      <w:r w:rsidR="002468C0">
        <w:rPr>
          <w:rFonts w:ascii="Palatino Linotype" w:hAnsi="Palatino Linotype"/>
          <w:sz w:val="24"/>
          <w:szCs w:val="24"/>
        </w:rPr>
        <w:t>,</w:t>
      </w:r>
      <w:r>
        <w:rPr>
          <w:rFonts w:ascii="Palatino Linotype" w:hAnsi="Palatino Linotype"/>
          <w:sz w:val="24"/>
          <w:szCs w:val="24"/>
        </w:rPr>
        <w:t xml:space="preserve"> se precisan los requis</w:t>
      </w:r>
      <w:r w:rsidR="00DF5A24">
        <w:rPr>
          <w:rFonts w:ascii="Palatino Linotype" w:hAnsi="Palatino Linotype"/>
          <w:sz w:val="24"/>
          <w:szCs w:val="24"/>
        </w:rPr>
        <w:t xml:space="preserve">itos para la emisión y datos que contienen tanto la licencia de uso de suelo, como la autorización de cambio de uso de suelo, información que si bien es cierto contiene datos de carácter personal y por tanto confidencial, así como información de naturaleza pública. </w:t>
      </w:r>
    </w:p>
    <w:p w14:paraId="3341A931" w14:textId="77777777" w:rsidR="001530CB" w:rsidRDefault="001530CB" w:rsidP="001530CB"/>
    <w:p w14:paraId="79047AB0" w14:textId="77777777" w:rsidR="002468C0" w:rsidRPr="002468C0" w:rsidRDefault="002468C0" w:rsidP="002468C0">
      <w:pPr>
        <w:pStyle w:val="Prrafodelista"/>
        <w:numPr>
          <w:ilvl w:val="0"/>
          <w:numId w:val="1"/>
        </w:numPr>
        <w:spacing w:after="0" w:line="360" w:lineRule="auto"/>
        <w:ind w:left="0" w:firstLine="0"/>
        <w:jc w:val="both"/>
        <w:rPr>
          <w:rFonts w:ascii="Palatino Linotype" w:hAnsi="Palatino Linotype" w:cs="Tahoma"/>
          <w:bCs/>
          <w:iCs/>
          <w:sz w:val="24"/>
          <w:szCs w:val="24"/>
        </w:rPr>
      </w:pPr>
      <w:r w:rsidRPr="002468C0">
        <w:rPr>
          <w:rFonts w:ascii="Palatino Linotype" w:hAnsi="Palatino Linotype" w:cs="Tahoma"/>
          <w:bCs/>
          <w:iCs/>
          <w:sz w:val="24"/>
          <w:szCs w:val="24"/>
        </w:rPr>
        <w:t xml:space="preserve">Para determinar la publicidad o clasificación de datos personales, resulta conveniente traer a colación el </w:t>
      </w:r>
      <w:r w:rsidRPr="002468C0">
        <w:rPr>
          <w:rFonts w:ascii="Palatino Linotype" w:hAnsi="Palatino Linotype" w:cs="Tahoma"/>
          <w:b/>
          <w:bCs/>
          <w:iCs/>
          <w:sz w:val="24"/>
          <w:szCs w:val="24"/>
        </w:rPr>
        <w:t>artículo 6°, Apartado A), fracción II, de la Constitución Política de los Estados Unidos Mexicanos</w:t>
      </w:r>
      <w:r w:rsidRPr="002468C0">
        <w:rPr>
          <w:rFonts w:ascii="Palatino Linotype" w:hAnsi="Palatino Linotype" w:cs="Tahoma"/>
          <w:bCs/>
          <w:iCs/>
          <w:sz w:val="24"/>
          <w:szCs w:val="24"/>
        </w:rPr>
        <w:t xml:space="preserve">, prevé que la información que se refiere a la vida privada y los datos personales, </w:t>
      </w:r>
      <w:r w:rsidRPr="002468C0">
        <w:rPr>
          <w:rFonts w:ascii="Palatino Linotype" w:hAnsi="Palatino Linotype" w:cs="Tahoma"/>
          <w:b/>
          <w:bCs/>
          <w:iCs/>
          <w:sz w:val="24"/>
          <w:szCs w:val="24"/>
        </w:rPr>
        <w:t>será protegida en los términos y con las excepciones que fijen las leyes</w:t>
      </w:r>
      <w:r w:rsidRPr="002468C0">
        <w:rPr>
          <w:rFonts w:ascii="Palatino Linotype" w:hAnsi="Palatino Linotype" w:cs="Tahoma"/>
          <w:bCs/>
          <w:iCs/>
          <w:sz w:val="24"/>
          <w:szCs w:val="24"/>
        </w:rPr>
        <w:t>.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BE3B37D" w14:textId="77777777" w:rsidR="002468C0" w:rsidRPr="002468C0" w:rsidRDefault="002468C0" w:rsidP="002468C0">
      <w:pPr>
        <w:spacing w:line="360" w:lineRule="auto"/>
        <w:ind w:right="-93"/>
        <w:jc w:val="both"/>
        <w:rPr>
          <w:rFonts w:ascii="Palatino Linotype" w:hAnsi="Palatino Linotype" w:cs="Tahoma"/>
          <w:bCs/>
          <w:iCs/>
          <w:sz w:val="24"/>
          <w:szCs w:val="24"/>
        </w:rPr>
      </w:pPr>
    </w:p>
    <w:p w14:paraId="29699E80" w14:textId="77777777" w:rsidR="002468C0" w:rsidRDefault="002468C0" w:rsidP="002468C0">
      <w:pPr>
        <w:pStyle w:val="Prrafodelista"/>
        <w:numPr>
          <w:ilvl w:val="0"/>
          <w:numId w:val="1"/>
        </w:numPr>
        <w:spacing w:after="0" w:line="360" w:lineRule="auto"/>
        <w:ind w:left="0" w:firstLine="0"/>
        <w:jc w:val="both"/>
        <w:rPr>
          <w:rFonts w:ascii="Palatino Linotype" w:hAnsi="Palatino Linotype" w:cs="Tahoma"/>
          <w:bCs/>
          <w:iCs/>
          <w:sz w:val="24"/>
          <w:szCs w:val="24"/>
        </w:rPr>
      </w:pPr>
      <w:r w:rsidRPr="002468C0">
        <w:rPr>
          <w:rFonts w:ascii="Palatino Linotype" w:hAnsi="Palatino Linotype" w:cs="Tahoma"/>
          <w:bCs/>
          <w:iCs/>
          <w:sz w:val="24"/>
          <w:szCs w:val="24"/>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3F2510B" w14:textId="77777777" w:rsidR="002468C0" w:rsidRPr="002468C0" w:rsidRDefault="002468C0" w:rsidP="002468C0">
      <w:pPr>
        <w:pStyle w:val="Prrafodelista"/>
        <w:rPr>
          <w:rFonts w:ascii="Palatino Linotype" w:hAnsi="Palatino Linotype" w:cs="Tahoma"/>
          <w:bCs/>
          <w:iCs/>
          <w:sz w:val="24"/>
          <w:szCs w:val="24"/>
        </w:rPr>
      </w:pPr>
    </w:p>
    <w:p w14:paraId="121BE3D9" w14:textId="77777777" w:rsidR="002468C0" w:rsidRDefault="002468C0" w:rsidP="002468C0">
      <w:pPr>
        <w:pStyle w:val="Prrafodelista"/>
        <w:numPr>
          <w:ilvl w:val="0"/>
          <w:numId w:val="1"/>
        </w:numPr>
        <w:spacing w:after="0" w:line="360" w:lineRule="auto"/>
        <w:ind w:left="0" w:firstLine="0"/>
        <w:jc w:val="both"/>
        <w:rPr>
          <w:rFonts w:ascii="Palatino Linotype" w:hAnsi="Palatino Linotype" w:cs="Tahoma"/>
          <w:bCs/>
          <w:iCs/>
          <w:sz w:val="24"/>
          <w:szCs w:val="24"/>
        </w:rPr>
      </w:pPr>
      <w:r w:rsidRPr="002468C0">
        <w:rPr>
          <w:rFonts w:ascii="Palatino Linotype" w:hAnsi="Palatino Linotype" w:cs="Tahoma"/>
          <w:bCs/>
          <w:iCs/>
          <w:sz w:val="24"/>
          <w:szCs w:val="24"/>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300AEEF" w14:textId="77777777" w:rsidR="002468C0" w:rsidRPr="002468C0" w:rsidRDefault="002468C0" w:rsidP="002468C0">
      <w:pPr>
        <w:pStyle w:val="Prrafodelista"/>
        <w:rPr>
          <w:rFonts w:ascii="Palatino Linotype" w:hAnsi="Palatino Linotype" w:cs="Tahoma"/>
          <w:bCs/>
          <w:iCs/>
          <w:sz w:val="24"/>
          <w:szCs w:val="24"/>
        </w:rPr>
      </w:pPr>
    </w:p>
    <w:p w14:paraId="5C43DC04" w14:textId="77777777" w:rsidR="002468C0" w:rsidRDefault="002468C0" w:rsidP="002468C0">
      <w:pPr>
        <w:pStyle w:val="Prrafodelista"/>
        <w:numPr>
          <w:ilvl w:val="0"/>
          <w:numId w:val="1"/>
        </w:numPr>
        <w:spacing w:after="0" w:line="360" w:lineRule="auto"/>
        <w:ind w:left="0" w:firstLine="0"/>
        <w:jc w:val="both"/>
        <w:rPr>
          <w:rFonts w:ascii="Palatino Linotype" w:hAnsi="Palatino Linotype" w:cs="Tahoma"/>
          <w:bCs/>
          <w:iCs/>
          <w:sz w:val="24"/>
          <w:szCs w:val="24"/>
        </w:rPr>
      </w:pPr>
      <w:r w:rsidRPr="002468C0">
        <w:rPr>
          <w:rFonts w:ascii="Palatino Linotype" w:hAnsi="Palatino Linotype" w:cs="Tahoma"/>
          <w:bCs/>
          <w:iCs/>
          <w:sz w:val="24"/>
          <w:szCs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25C7373" w14:textId="77777777" w:rsidR="002468C0" w:rsidRPr="002468C0" w:rsidRDefault="002468C0" w:rsidP="002468C0">
      <w:pPr>
        <w:pStyle w:val="Prrafodelista"/>
        <w:rPr>
          <w:rFonts w:ascii="Palatino Linotype" w:hAnsi="Palatino Linotype" w:cs="Tahoma"/>
          <w:bCs/>
          <w:iCs/>
          <w:sz w:val="24"/>
          <w:szCs w:val="24"/>
        </w:rPr>
      </w:pPr>
    </w:p>
    <w:p w14:paraId="1FC5CF22" w14:textId="77777777" w:rsidR="002468C0" w:rsidRDefault="002468C0" w:rsidP="002468C0">
      <w:pPr>
        <w:pStyle w:val="Prrafodelista"/>
        <w:numPr>
          <w:ilvl w:val="0"/>
          <w:numId w:val="1"/>
        </w:numPr>
        <w:spacing w:after="0" w:line="360" w:lineRule="auto"/>
        <w:ind w:left="0" w:firstLine="0"/>
        <w:jc w:val="both"/>
        <w:rPr>
          <w:rFonts w:ascii="Palatino Linotype" w:hAnsi="Palatino Linotype" w:cs="Tahoma"/>
          <w:bCs/>
          <w:iCs/>
          <w:sz w:val="24"/>
          <w:szCs w:val="24"/>
        </w:rPr>
      </w:pPr>
      <w:r w:rsidRPr="002468C0">
        <w:rPr>
          <w:rFonts w:ascii="Palatino Linotype" w:hAnsi="Palatino Linotype" w:cs="Tahoma"/>
          <w:bCs/>
          <w:iCs/>
          <w:sz w:val="24"/>
          <w:szCs w:val="24"/>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2A8025A" w14:textId="77777777" w:rsidR="002468C0" w:rsidRPr="002468C0" w:rsidRDefault="002468C0" w:rsidP="002468C0">
      <w:pPr>
        <w:pStyle w:val="Prrafodelista"/>
        <w:rPr>
          <w:rFonts w:ascii="Palatino Linotype" w:hAnsi="Palatino Linotype" w:cs="Tahoma"/>
          <w:bCs/>
          <w:iCs/>
          <w:sz w:val="24"/>
          <w:szCs w:val="24"/>
        </w:rPr>
      </w:pPr>
    </w:p>
    <w:p w14:paraId="026EF69D" w14:textId="77777777" w:rsidR="002468C0" w:rsidRPr="002468C0" w:rsidRDefault="002468C0" w:rsidP="002468C0">
      <w:pPr>
        <w:pStyle w:val="Prrafodelista"/>
        <w:numPr>
          <w:ilvl w:val="0"/>
          <w:numId w:val="1"/>
        </w:numPr>
        <w:spacing w:after="0" w:line="360" w:lineRule="auto"/>
        <w:ind w:left="0" w:firstLine="0"/>
        <w:jc w:val="both"/>
        <w:rPr>
          <w:rFonts w:ascii="Palatino Linotype" w:hAnsi="Palatino Linotype" w:cs="Tahoma"/>
          <w:bCs/>
          <w:iCs/>
          <w:sz w:val="24"/>
          <w:szCs w:val="24"/>
        </w:rPr>
      </w:pPr>
      <w:r>
        <w:rPr>
          <w:rFonts w:ascii="Palatino Linotype" w:hAnsi="Palatino Linotype" w:cs="Tahoma"/>
          <w:bCs/>
          <w:iCs/>
          <w:sz w:val="24"/>
          <w:szCs w:val="24"/>
        </w:rPr>
        <w:t>U</w:t>
      </w:r>
      <w:r w:rsidRPr="002468C0">
        <w:rPr>
          <w:rFonts w:ascii="Palatino Linotype" w:hAnsi="Palatino Linotype" w:cs="Tahoma"/>
          <w:bCs/>
          <w:iCs/>
          <w:sz w:val="24"/>
          <w:szCs w:val="24"/>
        </w:rPr>
        <w:t xml:space="preserve">n dato personal es cualquier información que pueda hacer a una persona física identificada e identificable, </w:t>
      </w:r>
      <w:r w:rsidRPr="002468C0">
        <w:rPr>
          <w:rFonts w:ascii="Palatino Linotype" w:hAnsi="Palatino Linotype" w:cs="Tahoma"/>
          <w:iCs/>
          <w:sz w:val="24"/>
          <w:szCs w:val="24"/>
        </w:rPr>
        <w:t>como su nombre</w:t>
      </w:r>
      <w:r w:rsidRPr="002468C0">
        <w:rPr>
          <w:rFonts w:ascii="Palatino Linotype" w:hAnsi="Palatino Linotype" w:cs="Tahoma"/>
          <w:bCs/>
          <w:iCs/>
          <w:sz w:val="24"/>
          <w:szCs w:val="24"/>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5F79630" w14:textId="77777777" w:rsidR="002468C0" w:rsidRPr="002468C0" w:rsidRDefault="002468C0" w:rsidP="002468C0">
      <w:pPr>
        <w:spacing w:line="360" w:lineRule="auto"/>
        <w:ind w:right="-93"/>
        <w:jc w:val="both"/>
        <w:rPr>
          <w:rFonts w:ascii="Palatino Linotype" w:hAnsi="Palatino Linotype" w:cs="Tahoma"/>
          <w:bCs/>
          <w:iCs/>
          <w:sz w:val="24"/>
          <w:szCs w:val="24"/>
        </w:rPr>
      </w:pPr>
    </w:p>
    <w:p w14:paraId="3649A645" w14:textId="77777777" w:rsidR="002468C0" w:rsidRPr="002468C0" w:rsidRDefault="002468C0" w:rsidP="002468C0">
      <w:pPr>
        <w:pStyle w:val="Prrafodelista"/>
        <w:numPr>
          <w:ilvl w:val="0"/>
          <w:numId w:val="1"/>
        </w:numPr>
        <w:spacing w:after="0" w:line="360" w:lineRule="auto"/>
        <w:ind w:left="0" w:firstLine="0"/>
        <w:jc w:val="both"/>
        <w:rPr>
          <w:rFonts w:ascii="Palatino Linotype" w:hAnsi="Palatino Linotype" w:cs="Tahoma"/>
          <w:bCs/>
          <w:iCs/>
          <w:sz w:val="24"/>
          <w:szCs w:val="24"/>
        </w:rPr>
      </w:pPr>
      <w:r w:rsidRPr="002468C0">
        <w:rPr>
          <w:rFonts w:ascii="Palatino Linotype" w:hAnsi="Palatino Linotype" w:cs="Tahoma"/>
          <w:bCs/>
          <w:iCs/>
          <w:sz w:val="24"/>
          <w:szCs w:val="24"/>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w:t>
      </w:r>
      <w:r w:rsidRPr="002468C0">
        <w:rPr>
          <w:rFonts w:ascii="Palatino Linotype" w:hAnsi="Palatino Linotype" w:cs="Tahoma"/>
          <w:bCs/>
          <w:iCs/>
          <w:sz w:val="24"/>
          <w:szCs w:val="24"/>
        </w:rPr>
        <w:lastRenderedPageBreak/>
        <w:t>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27C7A8F" w14:textId="77777777" w:rsidR="002468C0" w:rsidRPr="002468C0" w:rsidRDefault="002468C0" w:rsidP="002468C0">
      <w:pPr>
        <w:spacing w:line="360" w:lineRule="auto"/>
        <w:ind w:right="-93"/>
        <w:jc w:val="both"/>
        <w:rPr>
          <w:rFonts w:ascii="Palatino Linotype" w:hAnsi="Palatino Linotype" w:cs="Tahoma"/>
          <w:bCs/>
          <w:iCs/>
          <w:sz w:val="24"/>
          <w:szCs w:val="24"/>
        </w:rPr>
      </w:pPr>
    </w:p>
    <w:p w14:paraId="3C76A374" w14:textId="77777777" w:rsidR="002468C0" w:rsidRDefault="002468C0" w:rsidP="002468C0">
      <w:pPr>
        <w:pStyle w:val="Prrafodelista"/>
        <w:numPr>
          <w:ilvl w:val="0"/>
          <w:numId w:val="1"/>
        </w:numPr>
        <w:spacing w:after="0" w:line="360" w:lineRule="auto"/>
        <w:ind w:left="0" w:firstLine="0"/>
        <w:jc w:val="both"/>
        <w:rPr>
          <w:rFonts w:ascii="Palatino Linotype" w:hAnsi="Palatino Linotype" w:cs="Tahoma"/>
          <w:bCs/>
          <w:iCs/>
          <w:sz w:val="24"/>
          <w:szCs w:val="24"/>
        </w:rPr>
      </w:pPr>
      <w:r w:rsidRPr="002468C0">
        <w:rPr>
          <w:rFonts w:ascii="Palatino Linotype" w:hAnsi="Palatino Linotype" w:cs="Tahoma"/>
          <w:bCs/>
          <w:iCs/>
          <w:sz w:val="24"/>
          <w:szCs w:val="24"/>
        </w:rPr>
        <w:t>De tal suerte, las instituciones públicas tienen la doble responsabilidad, por un lado, de proteger los datos personales y por otro, darles publicidad cuando la relevancia de esos datos sea de interés público.</w:t>
      </w:r>
    </w:p>
    <w:p w14:paraId="2E697B5F" w14:textId="77777777" w:rsidR="002468C0" w:rsidRPr="002468C0" w:rsidRDefault="002468C0" w:rsidP="002468C0">
      <w:pPr>
        <w:pStyle w:val="Prrafodelista"/>
        <w:rPr>
          <w:rFonts w:ascii="Palatino Linotype" w:hAnsi="Palatino Linotype" w:cs="Tahoma"/>
          <w:bCs/>
          <w:iCs/>
          <w:sz w:val="24"/>
          <w:szCs w:val="24"/>
        </w:rPr>
      </w:pPr>
    </w:p>
    <w:p w14:paraId="1FAECA60" w14:textId="77777777" w:rsidR="002468C0" w:rsidRPr="002468C0" w:rsidRDefault="002468C0" w:rsidP="002468C0">
      <w:pPr>
        <w:pStyle w:val="Prrafodelista"/>
        <w:spacing w:after="0" w:line="360" w:lineRule="auto"/>
        <w:ind w:left="0"/>
        <w:jc w:val="both"/>
        <w:rPr>
          <w:rFonts w:ascii="Palatino Linotype" w:hAnsi="Palatino Linotype" w:cs="Tahoma"/>
          <w:bCs/>
          <w:iCs/>
          <w:sz w:val="24"/>
          <w:szCs w:val="24"/>
        </w:rPr>
      </w:pPr>
    </w:p>
    <w:p w14:paraId="0F9676B5" w14:textId="77777777" w:rsidR="002468C0" w:rsidRPr="002468C0" w:rsidRDefault="002468C0" w:rsidP="002468C0">
      <w:pPr>
        <w:pStyle w:val="Prrafodelista"/>
        <w:numPr>
          <w:ilvl w:val="0"/>
          <w:numId w:val="1"/>
        </w:numPr>
        <w:spacing w:after="0" w:line="360" w:lineRule="auto"/>
        <w:ind w:left="0" w:firstLine="0"/>
        <w:jc w:val="both"/>
        <w:rPr>
          <w:rFonts w:ascii="Palatino Linotype" w:hAnsi="Palatino Linotype" w:cs="Tahoma"/>
          <w:bCs/>
          <w:iCs/>
          <w:sz w:val="24"/>
          <w:szCs w:val="24"/>
        </w:rPr>
      </w:pPr>
      <w:r w:rsidRPr="002468C0">
        <w:rPr>
          <w:rFonts w:ascii="Palatino Linotype" w:hAnsi="Palatino Linotype" w:cs="Tahoma"/>
          <w:bCs/>
          <w:iCs/>
          <w:sz w:val="24"/>
          <w:szCs w:val="24"/>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w:t>
      </w:r>
      <w:r w:rsidRPr="00F414D5">
        <w:rPr>
          <w:rFonts w:ascii="Palatino Linotype" w:hAnsi="Palatino Linotype" w:cs="Tahoma"/>
          <w:b/>
          <w:bCs/>
          <w:iCs/>
          <w:sz w:val="24"/>
          <w:szCs w:val="24"/>
        </w:rPr>
        <w:t>el cumplimiento de requisitos legales</w:t>
      </w:r>
      <w:r w:rsidRPr="002468C0">
        <w:rPr>
          <w:rFonts w:ascii="Palatino Linotype" w:hAnsi="Palatino Linotype" w:cs="Tahoma"/>
          <w:bCs/>
          <w:iCs/>
          <w:sz w:val="24"/>
          <w:szCs w:val="24"/>
        </w:rPr>
        <w:t>, entre otros; información que necesariamente está vinculada con datos personales, que pierden la protección en beneficio del interés público (no por eso dejan de ser datos personales, sólo que no están protegidos en la confidencialidad).</w:t>
      </w:r>
    </w:p>
    <w:p w14:paraId="1A54A937" w14:textId="77777777" w:rsidR="002468C0" w:rsidRPr="002468C0" w:rsidRDefault="002468C0" w:rsidP="002468C0">
      <w:pPr>
        <w:spacing w:line="360" w:lineRule="auto"/>
        <w:ind w:right="-93"/>
        <w:jc w:val="both"/>
        <w:rPr>
          <w:rFonts w:ascii="Palatino Linotype" w:hAnsi="Palatino Linotype" w:cs="Tahoma"/>
          <w:bCs/>
          <w:iCs/>
          <w:sz w:val="24"/>
          <w:szCs w:val="24"/>
        </w:rPr>
      </w:pPr>
    </w:p>
    <w:p w14:paraId="3CEC63F2" w14:textId="77777777" w:rsidR="002468C0" w:rsidRPr="00F414D5" w:rsidRDefault="002468C0" w:rsidP="00BC2A40">
      <w:pPr>
        <w:pStyle w:val="Prrafodelista"/>
        <w:numPr>
          <w:ilvl w:val="0"/>
          <w:numId w:val="1"/>
        </w:numPr>
        <w:spacing w:after="0" w:line="360" w:lineRule="auto"/>
        <w:ind w:left="0" w:firstLine="0"/>
        <w:jc w:val="both"/>
        <w:rPr>
          <w:rFonts w:ascii="Palatino Linotype" w:hAnsi="Palatino Linotype"/>
          <w:noProof/>
          <w:sz w:val="24"/>
          <w:szCs w:val="24"/>
          <w:lang w:eastAsia="es-MX"/>
        </w:rPr>
      </w:pPr>
      <w:r w:rsidRPr="00F414D5">
        <w:rPr>
          <w:rFonts w:ascii="Palatino Linotype" w:hAnsi="Palatino Linotype" w:cs="Tahoma"/>
          <w:bCs/>
          <w:iCs/>
          <w:sz w:val="24"/>
          <w:szCs w:val="24"/>
        </w:rPr>
        <w:t>Bajo este esquema,</w:t>
      </w:r>
      <w:r w:rsidRPr="00F414D5">
        <w:rPr>
          <w:rFonts w:ascii="Palatino Linotype" w:hAnsi="Palatino Linotype"/>
          <w:sz w:val="24"/>
          <w:szCs w:val="24"/>
        </w:rPr>
        <w:t xml:space="preserve"> se analizan los datos personales eliminados por el Sujeto Obligado en los documentos enviados en respuesta que son susceptibles de ser considerados como confidenciales, tales como el </w:t>
      </w:r>
      <w:r w:rsidRPr="00F414D5">
        <w:rPr>
          <w:rFonts w:ascii="Palatino Linotype" w:hAnsi="Palatino Linotype"/>
          <w:b/>
          <w:sz w:val="24"/>
          <w:szCs w:val="24"/>
        </w:rPr>
        <w:t>nombre</w:t>
      </w:r>
      <w:r w:rsidR="00F414D5" w:rsidRPr="00F414D5">
        <w:rPr>
          <w:rFonts w:ascii="Palatino Linotype" w:hAnsi="Palatino Linotype"/>
          <w:b/>
          <w:sz w:val="24"/>
          <w:szCs w:val="24"/>
        </w:rPr>
        <w:t xml:space="preserve"> del </w:t>
      </w:r>
      <w:proofErr w:type="spellStart"/>
      <w:r w:rsidR="00F414D5" w:rsidRPr="00F414D5">
        <w:rPr>
          <w:rFonts w:ascii="Palatino Linotype" w:hAnsi="Palatino Linotype"/>
          <w:b/>
          <w:sz w:val="24"/>
          <w:szCs w:val="24"/>
        </w:rPr>
        <w:t>tiular</w:t>
      </w:r>
      <w:proofErr w:type="spellEnd"/>
      <w:r w:rsidR="00F414D5" w:rsidRPr="00F414D5">
        <w:rPr>
          <w:rFonts w:ascii="Palatino Linotype" w:hAnsi="Palatino Linotype"/>
          <w:b/>
          <w:sz w:val="24"/>
          <w:szCs w:val="24"/>
        </w:rPr>
        <w:t xml:space="preserve">, nombre del representante, domicilio para </w:t>
      </w:r>
      <w:proofErr w:type="spellStart"/>
      <w:r w:rsidR="00F414D5" w:rsidRPr="00F414D5">
        <w:rPr>
          <w:rFonts w:ascii="Palatino Linotype" w:hAnsi="Palatino Linotype"/>
          <w:b/>
          <w:sz w:val="24"/>
          <w:szCs w:val="24"/>
        </w:rPr>
        <w:t>oir</w:t>
      </w:r>
      <w:proofErr w:type="spellEnd"/>
      <w:r w:rsidR="00F414D5" w:rsidRPr="00F414D5">
        <w:rPr>
          <w:rFonts w:ascii="Palatino Linotype" w:hAnsi="Palatino Linotype"/>
          <w:b/>
          <w:sz w:val="24"/>
          <w:szCs w:val="24"/>
        </w:rPr>
        <w:t xml:space="preserve"> y recibir notificaciones, </w:t>
      </w:r>
      <w:r w:rsidR="00F414D5">
        <w:rPr>
          <w:rFonts w:ascii="Palatino Linotype" w:hAnsi="Palatino Linotype"/>
          <w:b/>
          <w:sz w:val="24"/>
          <w:szCs w:val="24"/>
        </w:rPr>
        <w:t xml:space="preserve">clave catastral, </w:t>
      </w:r>
      <w:r w:rsidR="00F414D5" w:rsidRPr="00F414D5">
        <w:rPr>
          <w:rFonts w:ascii="Palatino Linotype" w:hAnsi="Palatino Linotype"/>
          <w:b/>
          <w:sz w:val="24"/>
          <w:szCs w:val="24"/>
        </w:rPr>
        <w:t xml:space="preserve">superficie de predio, superficie total de construcción, superficie de desplante, área libre y </w:t>
      </w:r>
      <w:r w:rsidR="00F414D5" w:rsidRPr="00F414D5">
        <w:rPr>
          <w:rFonts w:ascii="Palatino Linotype" w:hAnsi="Palatino Linotype"/>
          <w:b/>
          <w:sz w:val="24"/>
          <w:szCs w:val="24"/>
        </w:rPr>
        <w:lastRenderedPageBreak/>
        <w:t>verde de construcción, costo de incremento de densidad, altura e intensidad, costo de estudio técnico e inscripción de campo, costo alineamiento y número oficial</w:t>
      </w:r>
      <w:r w:rsidR="00F414D5">
        <w:rPr>
          <w:rFonts w:ascii="Palatino Linotype" w:hAnsi="Palatino Linotype"/>
          <w:b/>
          <w:sz w:val="24"/>
          <w:szCs w:val="24"/>
        </w:rPr>
        <w:t>.</w:t>
      </w:r>
    </w:p>
    <w:p w14:paraId="53C300E5" w14:textId="77777777" w:rsidR="00F414D5" w:rsidRPr="00F414D5" w:rsidRDefault="00F414D5" w:rsidP="00F414D5">
      <w:pPr>
        <w:pStyle w:val="Prrafodelista"/>
        <w:rPr>
          <w:rFonts w:ascii="Palatino Linotype" w:hAnsi="Palatino Linotype"/>
          <w:noProof/>
          <w:sz w:val="24"/>
          <w:szCs w:val="24"/>
          <w:lang w:eastAsia="es-MX"/>
        </w:rPr>
      </w:pPr>
    </w:p>
    <w:p w14:paraId="7B06440E" w14:textId="77777777" w:rsidR="00F414D5" w:rsidRPr="00C87039" w:rsidRDefault="00F414D5" w:rsidP="00F414D5">
      <w:pPr>
        <w:pStyle w:val="Prrafodelista"/>
        <w:numPr>
          <w:ilvl w:val="0"/>
          <w:numId w:val="1"/>
        </w:numPr>
        <w:spacing w:after="0" w:line="360" w:lineRule="auto"/>
        <w:ind w:left="0" w:firstLine="0"/>
        <w:jc w:val="both"/>
        <w:rPr>
          <w:rFonts w:ascii="Palatino Linotype" w:hAnsi="Palatino Linotype"/>
          <w:noProof/>
          <w:sz w:val="24"/>
          <w:szCs w:val="24"/>
          <w:lang w:eastAsia="es-MX"/>
        </w:rPr>
      </w:pPr>
      <w:r w:rsidRPr="00C87039">
        <w:rPr>
          <w:rFonts w:ascii="Palatino Linotype" w:eastAsia="Calibri" w:hAnsi="Palatino Linotype" w:cs="Tahoma"/>
          <w:bCs/>
          <w:sz w:val="24"/>
          <w:szCs w:val="24"/>
        </w:rPr>
        <w:t xml:space="preserve">El nombre </w:t>
      </w:r>
      <w:r w:rsidR="00C87039">
        <w:rPr>
          <w:rFonts w:ascii="Palatino Linotype" w:eastAsia="Calibri" w:hAnsi="Palatino Linotype" w:cs="Tahoma"/>
          <w:bCs/>
          <w:sz w:val="24"/>
          <w:szCs w:val="24"/>
        </w:rPr>
        <w:t xml:space="preserve">del titular o </w:t>
      </w:r>
      <w:r w:rsidRPr="00C87039">
        <w:rPr>
          <w:rFonts w:ascii="Palatino Linotype" w:eastAsia="Calibri" w:hAnsi="Palatino Linotype" w:cs="Tahoma"/>
          <w:bCs/>
          <w:sz w:val="24"/>
          <w:szCs w:val="24"/>
        </w:rPr>
        <w:t xml:space="preserve">nombre del representante legal se integra </w:t>
      </w:r>
      <w:r w:rsidRPr="00C87039">
        <w:rPr>
          <w:rFonts w:ascii="Palatino Linotype" w:eastAsia="Calibri" w:hAnsi="Palatino Linotype" w:cs="Tahoma"/>
          <w:bCs/>
          <w:sz w:val="24"/>
          <w:szCs w:val="24"/>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87039">
        <w:rPr>
          <w:rFonts w:ascii="Palatino Linotype" w:eastAsia="Calibri" w:hAnsi="Palatino Linotype" w:cs="Tahoma"/>
          <w:bCs/>
          <w:i/>
          <w:sz w:val="24"/>
          <w:szCs w:val="24"/>
          <w:lang w:val="es-ES_tradnl"/>
        </w:rPr>
        <w:t>per se</w:t>
      </w:r>
      <w:r w:rsidRPr="00C87039">
        <w:rPr>
          <w:rFonts w:ascii="Palatino Linotype" w:eastAsia="Calibri" w:hAnsi="Palatino Linotype" w:cs="Tahoma"/>
          <w:bCs/>
          <w:sz w:val="24"/>
          <w:szCs w:val="24"/>
          <w:lang w:val="es-ES_tradnl"/>
        </w:rPr>
        <w:t xml:space="preserve"> es un elemento que hace a una persona física identificada o identificable, por lo que, </w:t>
      </w:r>
      <w:r w:rsidRPr="00C87039">
        <w:rPr>
          <w:rFonts w:ascii="Palatino Linotype" w:eastAsia="Calibri" w:hAnsi="Palatino Linotype" w:cs="Tahoma"/>
          <w:sz w:val="24"/>
          <w:szCs w:val="24"/>
          <w:lang w:val="es-ES_tradnl"/>
        </w:rPr>
        <w:t>se considera un dato personal.</w:t>
      </w:r>
    </w:p>
    <w:p w14:paraId="3A6DB862" w14:textId="77777777" w:rsidR="00F414D5" w:rsidRDefault="00F414D5" w:rsidP="00F414D5">
      <w:pPr>
        <w:spacing w:line="360" w:lineRule="auto"/>
        <w:ind w:right="-93"/>
        <w:jc w:val="both"/>
        <w:rPr>
          <w:rFonts w:ascii="Palatino Linotype" w:eastAsia="Calibri" w:hAnsi="Palatino Linotype" w:cs="Tahoma"/>
          <w:b/>
          <w:bCs/>
          <w:lang w:val="es-ES_tradnl"/>
        </w:rPr>
      </w:pPr>
    </w:p>
    <w:p w14:paraId="1E4765A4" w14:textId="77777777" w:rsidR="00F414D5" w:rsidRDefault="00F414D5" w:rsidP="00F414D5">
      <w:pPr>
        <w:spacing w:line="360" w:lineRule="auto"/>
        <w:ind w:right="-93"/>
        <w:jc w:val="both"/>
        <w:rPr>
          <w:rFonts w:ascii="Palatino Linotype" w:eastAsia="Calibri" w:hAnsi="Palatino Linotype" w:cs="Tahoma"/>
          <w:bCs/>
          <w:lang w:val="es-ES_tradnl"/>
        </w:rPr>
      </w:pPr>
      <w:r>
        <w:rPr>
          <w:rFonts w:ascii="Palatino Linotype" w:eastAsia="Calibri" w:hAnsi="Palatino Linotype" w:cs="Tahoma"/>
          <w:bCs/>
          <w:lang w:val="es-ES_tradnl"/>
        </w:rPr>
        <w:t>Ahora bien,</w:t>
      </w:r>
      <w:r w:rsidRPr="005A56F0">
        <w:rPr>
          <w:rFonts w:ascii="Palatino Linotype" w:eastAsia="Calibri" w:hAnsi="Palatino Linotype" w:cs="Tahoma"/>
          <w:bCs/>
          <w:lang w:val="es-ES_tradnl"/>
        </w:rPr>
        <w:t xml:space="preserve"> </w:t>
      </w:r>
      <w:r>
        <w:rPr>
          <w:rFonts w:ascii="Palatino Linotype" w:eastAsia="Calibri" w:hAnsi="Palatino Linotype" w:cs="Tahoma"/>
          <w:bCs/>
          <w:lang w:val="es-ES_tradnl"/>
        </w:rPr>
        <w:t>el Criterio 01/18 emitido por el Pleno de este Instituto el cual se transcribe para pronta referencia:</w:t>
      </w:r>
    </w:p>
    <w:p w14:paraId="3412F67B" w14:textId="77777777" w:rsidR="00F414D5" w:rsidRDefault="00F414D5" w:rsidP="00F414D5">
      <w:pPr>
        <w:spacing w:line="360" w:lineRule="auto"/>
        <w:ind w:right="-93"/>
        <w:jc w:val="both"/>
        <w:rPr>
          <w:rFonts w:ascii="Palatino Linotype" w:eastAsia="Calibri" w:hAnsi="Palatino Linotype" w:cs="Tahoma"/>
          <w:bCs/>
          <w:lang w:val="es-ES_tradnl"/>
        </w:rPr>
      </w:pPr>
    </w:p>
    <w:p w14:paraId="5686A579" w14:textId="77777777" w:rsidR="00F414D5" w:rsidRPr="005A56F0" w:rsidRDefault="00F414D5" w:rsidP="00F414D5">
      <w:pPr>
        <w:spacing w:line="360" w:lineRule="auto"/>
        <w:ind w:left="567" w:right="539"/>
        <w:jc w:val="both"/>
        <w:rPr>
          <w:rFonts w:ascii="Palatino Linotype" w:eastAsia="Calibri" w:hAnsi="Palatino Linotype" w:cs="Tahoma"/>
          <w:bCs/>
          <w:i/>
        </w:rPr>
      </w:pPr>
      <w:r w:rsidRPr="005A56F0">
        <w:rPr>
          <w:rFonts w:ascii="Palatino Linotype" w:eastAsia="Calibri" w:hAnsi="Palatino Linotype" w:cs="Tahoma"/>
          <w:b/>
          <w:bCs/>
          <w:i/>
        </w:rPr>
        <w:t>Nombre del titular de una licencia que no involucre el aprovechamiento de bienes, servicios y/o recursos públicos, constituye un dato personal susceptible de clasificar como confidencial.</w:t>
      </w:r>
      <w:r w:rsidRPr="005A56F0">
        <w:rPr>
          <w:rFonts w:ascii="Palatino Linotype" w:eastAsia="Calibri" w:hAnsi="Palatino Linotype" w:cs="Tahoma"/>
          <w:bCs/>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w:t>
      </w:r>
      <w:r w:rsidRPr="005A56F0">
        <w:rPr>
          <w:rFonts w:ascii="Palatino Linotype" w:eastAsia="Calibri" w:hAnsi="Palatino Linotype" w:cs="Tahoma"/>
          <w:bCs/>
          <w:i/>
        </w:rPr>
        <w:lastRenderedPageBreak/>
        <w:t>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0686F62A" w14:textId="77777777" w:rsidR="00F414D5" w:rsidRPr="005A56F0" w:rsidRDefault="00F414D5" w:rsidP="00F414D5">
      <w:pPr>
        <w:spacing w:line="360" w:lineRule="auto"/>
        <w:ind w:left="567" w:right="539"/>
        <w:jc w:val="both"/>
        <w:rPr>
          <w:rFonts w:ascii="Palatino Linotype" w:eastAsia="Calibri" w:hAnsi="Palatino Linotype" w:cs="Tahoma"/>
          <w:bCs/>
          <w:i/>
        </w:rPr>
      </w:pPr>
      <w:r w:rsidRPr="005A56F0">
        <w:rPr>
          <w:rFonts w:ascii="Palatino Linotype" w:eastAsia="Calibri" w:hAnsi="Palatino Linotype" w:cs="Tahoma"/>
          <w:bCs/>
          <w:i/>
        </w:rPr>
        <w:t>Resolución:</w:t>
      </w:r>
    </w:p>
    <w:p w14:paraId="029E6F9F" w14:textId="77777777" w:rsidR="00F414D5" w:rsidRPr="005A56F0" w:rsidRDefault="00F414D5" w:rsidP="00F414D5">
      <w:pPr>
        <w:spacing w:line="360" w:lineRule="auto"/>
        <w:ind w:left="567" w:right="539"/>
        <w:jc w:val="both"/>
        <w:rPr>
          <w:rFonts w:ascii="Palatino Linotype" w:eastAsia="Calibri" w:hAnsi="Palatino Linotype" w:cs="Tahoma"/>
          <w:bCs/>
          <w:i/>
        </w:rPr>
      </w:pPr>
      <w:r w:rsidRPr="005A56F0">
        <w:rPr>
          <w:rFonts w:ascii="Palatino Linotype" w:eastAsia="Calibri" w:hAnsi="Palatino Linotype" w:cs="Tahoma"/>
          <w:bCs/>
          <w:i/>
        </w:rPr>
        <w:t>02835/INFOEM/IP/RR/2017. Ayuntamiento de Toluca. 07 de marzo de 2018. Por unanimidad. Comisionada Ponente Zulema Martínez</w:t>
      </w:r>
    </w:p>
    <w:p w14:paraId="132CC962" w14:textId="77777777" w:rsidR="00F414D5" w:rsidRPr="005A56F0" w:rsidRDefault="00F414D5" w:rsidP="00F414D5">
      <w:pPr>
        <w:spacing w:line="360" w:lineRule="auto"/>
        <w:ind w:left="567" w:right="539"/>
        <w:jc w:val="both"/>
        <w:rPr>
          <w:rFonts w:ascii="Palatino Linotype" w:eastAsia="Calibri" w:hAnsi="Palatino Linotype" w:cs="Tahoma"/>
          <w:bCs/>
          <w:i/>
        </w:rPr>
      </w:pPr>
      <w:r w:rsidRPr="005A56F0">
        <w:rPr>
          <w:rFonts w:ascii="Palatino Linotype" w:eastAsia="Calibri" w:hAnsi="Palatino Linotype" w:cs="Tahoma"/>
          <w:bCs/>
          <w:i/>
        </w:rPr>
        <w:t>Sánchez.</w:t>
      </w:r>
    </w:p>
    <w:p w14:paraId="383664EF" w14:textId="77777777" w:rsidR="00F414D5" w:rsidRPr="005A56F0" w:rsidRDefault="00F414D5" w:rsidP="00F414D5">
      <w:pPr>
        <w:spacing w:line="360" w:lineRule="auto"/>
        <w:ind w:left="567" w:right="539"/>
        <w:jc w:val="both"/>
        <w:rPr>
          <w:rFonts w:ascii="Palatino Linotype" w:eastAsia="Calibri" w:hAnsi="Palatino Linotype" w:cs="Tahoma"/>
          <w:bCs/>
          <w:i/>
        </w:rPr>
      </w:pPr>
      <w:r w:rsidRPr="005A56F0">
        <w:rPr>
          <w:rFonts w:ascii="Palatino Linotype" w:eastAsia="Calibri" w:hAnsi="Palatino Linotype" w:cs="Tahoma"/>
          <w:bCs/>
          <w:i/>
        </w:rPr>
        <w:t xml:space="preserve">Segunda Época                                                                                       Criterio Relevante 01/18  </w:t>
      </w:r>
    </w:p>
    <w:p w14:paraId="19CAF560" w14:textId="77777777" w:rsidR="00F414D5" w:rsidRDefault="00F414D5" w:rsidP="00F414D5">
      <w:pPr>
        <w:spacing w:line="360" w:lineRule="auto"/>
        <w:jc w:val="both"/>
        <w:rPr>
          <w:rFonts w:ascii="Palatino Linotype" w:eastAsia="Calibri" w:hAnsi="Palatino Linotype" w:cs="Tahoma"/>
          <w:bCs/>
          <w:lang w:val="es-ES"/>
        </w:rPr>
      </w:pPr>
    </w:p>
    <w:p w14:paraId="1A342178" w14:textId="77777777" w:rsidR="00F414D5" w:rsidRPr="00C87039" w:rsidRDefault="00F414D5" w:rsidP="00C87039">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C87039">
        <w:rPr>
          <w:rFonts w:ascii="Palatino Linotype" w:eastAsia="Calibri" w:hAnsi="Palatino Linotype" w:cs="Tahoma"/>
          <w:bCs/>
          <w:sz w:val="24"/>
          <w:szCs w:val="24"/>
          <w:lang w:val="es-ES"/>
        </w:rPr>
        <w:t xml:space="preserve">De acuerdo con lo expuesto, es necesario analizar que si bien, no se trata directamente del aprovechamiento de un bien, recurso o servicio del Municipio, </w:t>
      </w:r>
      <w:r w:rsidR="00C87039">
        <w:rPr>
          <w:rFonts w:ascii="Palatino Linotype" w:eastAsia="Calibri" w:hAnsi="Palatino Linotype" w:cs="Tahoma"/>
          <w:bCs/>
          <w:sz w:val="24"/>
          <w:szCs w:val="24"/>
          <w:lang w:val="es-ES"/>
        </w:rPr>
        <w:t>la autorización de cambio de uso de suelo</w:t>
      </w:r>
      <w:r w:rsidRPr="00C87039">
        <w:rPr>
          <w:rFonts w:ascii="Palatino Linotype" w:eastAsia="Calibri" w:hAnsi="Palatino Linotype" w:cs="Tahoma"/>
          <w:bCs/>
          <w:sz w:val="24"/>
          <w:szCs w:val="24"/>
          <w:lang w:val="es-ES"/>
        </w:rPr>
        <w:t xml:space="preserve"> tiene relevancia para el interés público,  por lo que es posible afirmar que se vincula con los conceptos anteriores, ya que esta licencia permite a </w:t>
      </w:r>
      <w:r w:rsidRPr="00C87039">
        <w:rPr>
          <w:rFonts w:ascii="Palatino Linotype" w:eastAsia="Calibri" w:hAnsi="Palatino Linotype" w:cs="Tahoma"/>
          <w:bCs/>
          <w:sz w:val="24"/>
          <w:szCs w:val="24"/>
          <w:u w:val="single"/>
          <w:lang w:val="es-ES"/>
        </w:rPr>
        <w:t>los particulares, personas físicas o jurídico-colectivas</w:t>
      </w:r>
      <w:r w:rsidRPr="00C87039">
        <w:rPr>
          <w:rFonts w:ascii="Palatino Linotype" w:eastAsia="Calibri" w:hAnsi="Palatino Linotype" w:cs="Tahoma"/>
          <w:bCs/>
          <w:sz w:val="24"/>
          <w:szCs w:val="24"/>
          <w:lang w:val="es-ES"/>
        </w:rPr>
        <w:t xml:space="preserve">, destinar inmuebles para fines específicos, tales como vivienda o zona comercial, en este orden de ideas, al </w:t>
      </w:r>
      <w:r w:rsidRPr="00C87039">
        <w:rPr>
          <w:rFonts w:ascii="Palatino Linotype" w:eastAsia="Calibri" w:hAnsi="Palatino Linotype" w:cs="Tahoma"/>
          <w:bCs/>
          <w:sz w:val="24"/>
          <w:szCs w:val="24"/>
          <w:lang w:val="es-ES"/>
        </w:rPr>
        <w:lastRenderedPageBreak/>
        <w:t>tratarse el uso de suelo del destino que puede darse a un bien inmueble, se advierte interés público en acceder a él.</w:t>
      </w:r>
    </w:p>
    <w:p w14:paraId="5CF4B7E8" w14:textId="77777777" w:rsidR="00F414D5" w:rsidRDefault="00F414D5" w:rsidP="00F414D5">
      <w:pPr>
        <w:spacing w:line="360" w:lineRule="auto"/>
        <w:jc w:val="both"/>
        <w:rPr>
          <w:rFonts w:ascii="Palatino Linotype" w:eastAsia="Calibri" w:hAnsi="Palatino Linotype" w:cs="Tahoma"/>
          <w:bCs/>
          <w:lang w:val="es-ES"/>
        </w:rPr>
      </w:pPr>
    </w:p>
    <w:p w14:paraId="33402BC7" w14:textId="77777777" w:rsidR="00F414D5" w:rsidRPr="007C5759" w:rsidRDefault="00F414D5" w:rsidP="00C87039">
      <w:pPr>
        <w:pStyle w:val="Prrafodelista"/>
        <w:numPr>
          <w:ilvl w:val="0"/>
          <w:numId w:val="1"/>
        </w:numPr>
        <w:spacing w:after="0" w:line="360" w:lineRule="auto"/>
        <w:ind w:left="0" w:firstLine="0"/>
        <w:jc w:val="both"/>
        <w:rPr>
          <w:rFonts w:ascii="Palatino Linotype" w:hAnsi="Palatino Linotype"/>
          <w:color w:val="222222"/>
          <w:lang w:eastAsia="es-MX"/>
        </w:rPr>
      </w:pPr>
      <w:r w:rsidRPr="00C87039">
        <w:rPr>
          <w:rFonts w:ascii="Palatino Linotype" w:eastAsia="Calibri" w:hAnsi="Palatino Linotype" w:cs="Tahoma"/>
          <w:bCs/>
          <w:sz w:val="24"/>
          <w:szCs w:val="24"/>
          <w:lang w:val="es-ES"/>
        </w:rPr>
        <w:t>Por</w:t>
      </w:r>
      <w:r w:rsidRPr="00C87039">
        <w:rPr>
          <w:rFonts w:ascii="Palatino Linotype" w:hAnsi="Palatino Linotype"/>
          <w:color w:val="222222"/>
          <w:sz w:val="24"/>
          <w:szCs w:val="24"/>
        </w:rPr>
        <w:t xml:space="preserve"> cuanto hace a la colisión entre el derecho a la información y el derecho a la intimidad o a la vida privada, el Poder Judicial de la Federación ha sostenido la </w:t>
      </w:r>
      <w:r w:rsidRPr="00C87039">
        <w:rPr>
          <w:rFonts w:ascii="Palatino Linotype" w:hAnsi="Palatino Linotype"/>
          <w:b/>
          <w:bCs/>
          <w:color w:val="222222"/>
          <w:sz w:val="24"/>
          <w:szCs w:val="24"/>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C87039">
        <w:rPr>
          <w:rFonts w:ascii="Palatino Linotype" w:hAnsi="Palatino Linotype"/>
          <w:color w:val="222222"/>
          <w:sz w:val="24"/>
          <w:szCs w:val="24"/>
        </w:rPr>
        <w:t>tal y como se desprende de la tesis 1a. XLIII/2010, emitida por la Primera Sala de la Suprema Corte de Justicia de la Nación, publicada en el Semanario Judicial de la Federación y su Gaceta, Tomo XXXI, página 928, de marzo de 2010, Novena Época, materia constitucional</w:t>
      </w:r>
      <w:r w:rsidRPr="007C5759">
        <w:rPr>
          <w:rFonts w:ascii="Palatino Linotype" w:hAnsi="Palatino Linotype"/>
          <w:color w:val="222222"/>
        </w:rPr>
        <w:t>.</w:t>
      </w:r>
    </w:p>
    <w:p w14:paraId="3FDC4BBB" w14:textId="77777777" w:rsidR="00F414D5" w:rsidRPr="007C5759" w:rsidRDefault="00F414D5" w:rsidP="00F414D5">
      <w:pPr>
        <w:spacing w:line="360" w:lineRule="auto"/>
        <w:rPr>
          <w:rFonts w:ascii="Palatino Linotype" w:hAnsi="Palatino Linotype"/>
          <w:color w:val="222222"/>
        </w:rPr>
      </w:pPr>
      <w:r w:rsidRPr="007C5759">
        <w:rPr>
          <w:rFonts w:ascii="Palatino Linotype" w:hAnsi="Palatino Linotype"/>
          <w:color w:val="222222"/>
        </w:rPr>
        <w:t> </w:t>
      </w:r>
    </w:p>
    <w:p w14:paraId="015227FE" w14:textId="77777777" w:rsidR="00F414D5" w:rsidRPr="00C87039" w:rsidRDefault="00F414D5" w:rsidP="00C87039">
      <w:pPr>
        <w:pStyle w:val="Prrafodelista"/>
        <w:numPr>
          <w:ilvl w:val="0"/>
          <w:numId w:val="1"/>
        </w:numPr>
        <w:spacing w:after="0" w:line="360" w:lineRule="auto"/>
        <w:ind w:left="0" w:firstLine="0"/>
        <w:jc w:val="both"/>
        <w:rPr>
          <w:rFonts w:ascii="Palatino Linotype" w:hAnsi="Palatino Linotype"/>
          <w:color w:val="222222"/>
          <w:sz w:val="24"/>
          <w:szCs w:val="24"/>
        </w:rPr>
      </w:pPr>
      <w:r w:rsidRPr="00C87039">
        <w:rPr>
          <w:rFonts w:ascii="Palatino Linotype" w:hAnsi="Palatino Linotype"/>
          <w:color w:val="222222"/>
          <w:sz w:val="24"/>
          <w:szCs w:val="24"/>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14:paraId="47D4F3B2" w14:textId="77777777" w:rsidR="00F414D5" w:rsidRPr="007C5759" w:rsidRDefault="00F414D5" w:rsidP="00F414D5">
      <w:pPr>
        <w:spacing w:line="360" w:lineRule="auto"/>
        <w:jc w:val="both"/>
        <w:rPr>
          <w:rFonts w:ascii="Palatino Linotype" w:hAnsi="Palatino Linotype"/>
          <w:color w:val="222222"/>
        </w:rPr>
      </w:pPr>
      <w:r w:rsidRPr="007C5759">
        <w:rPr>
          <w:rFonts w:ascii="Palatino Linotype" w:hAnsi="Palatino Linotype"/>
          <w:color w:val="222222"/>
        </w:rPr>
        <w:t> </w:t>
      </w:r>
    </w:p>
    <w:p w14:paraId="4F95C4E3" w14:textId="77777777" w:rsidR="00F414D5" w:rsidRPr="007C5759" w:rsidRDefault="00F414D5" w:rsidP="00F414D5">
      <w:pPr>
        <w:spacing w:line="360" w:lineRule="auto"/>
        <w:ind w:left="851"/>
        <w:jc w:val="both"/>
        <w:rPr>
          <w:rFonts w:ascii="Palatino Linotype" w:hAnsi="Palatino Linotype"/>
          <w:color w:val="222222"/>
        </w:rPr>
      </w:pPr>
      <w:r w:rsidRPr="007C5759">
        <w:rPr>
          <w:rFonts w:ascii="Palatino Linotype" w:hAnsi="Palatino Linotype"/>
          <w:color w:val="222222"/>
        </w:rPr>
        <w:lastRenderedPageBreak/>
        <w:t>-           </w:t>
      </w:r>
      <w:r w:rsidRPr="007C5759">
        <w:rPr>
          <w:rFonts w:ascii="Palatino Linotype" w:hAnsi="Palatino Linotype"/>
          <w:b/>
          <w:bCs/>
          <w:color w:val="222222"/>
        </w:rPr>
        <w:t>Idoneidad:</w:t>
      </w:r>
      <w:r w:rsidRPr="007C5759">
        <w:rPr>
          <w:rFonts w:ascii="Palatino Linotype" w:hAnsi="Palatino Linotype"/>
          <w:color w:val="222222"/>
        </w:rPr>
        <w:t> La legitimidad del derecho adoptado como preferente, que sea el adecuado para el logro de un fin constitucionalmente válido o apto para conseguir el fin pretendido;</w:t>
      </w:r>
    </w:p>
    <w:p w14:paraId="3FAF19DF" w14:textId="77777777" w:rsidR="00F414D5" w:rsidRPr="007C5759" w:rsidRDefault="00F414D5" w:rsidP="00F414D5">
      <w:pPr>
        <w:spacing w:line="360" w:lineRule="auto"/>
        <w:ind w:left="851"/>
        <w:jc w:val="both"/>
        <w:rPr>
          <w:rFonts w:ascii="Palatino Linotype" w:hAnsi="Palatino Linotype"/>
          <w:color w:val="222222"/>
        </w:rPr>
      </w:pPr>
      <w:r w:rsidRPr="007C5759">
        <w:rPr>
          <w:rFonts w:ascii="Palatino Linotype" w:hAnsi="Palatino Linotype"/>
          <w:color w:val="222222"/>
        </w:rPr>
        <w:t> </w:t>
      </w:r>
    </w:p>
    <w:p w14:paraId="3B805EF2" w14:textId="77777777" w:rsidR="00F414D5" w:rsidRPr="007C5759" w:rsidRDefault="00F414D5" w:rsidP="00F414D5">
      <w:pPr>
        <w:spacing w:line="360" w:lineRule="auto"/>
        <w:ind w:left="851"/>
        <w:jc w:val="both"/>
        <w:rPr>
          <w:rFonts w:ascii="Palatino Linotype" w:hAnsi="Palatino Linotype"/>
          <w:color w:val="222222"/>
        </w:rPr>
      </w:pPr>
      <w:r w:rsidRPr="007C5759">
        <w:rPr>
          <w:rFonts w:ascii="Palatino Linotype" w:hAnsi="Palatino Linotype"/>
          <w:color w:val="222222"/>
        </w:rPr>
        <w:t>-           </w:t>
      </w:r>
      <w:r w:rsidRPr="007C5759">
        <w:rPr>
          <w:rFonts w:ascii="Palatino Linotype" w:hAnsi="Palatino Linotype"/>
          <w:b/>
          <w:bCs/>
          <w:color w:val="222222"/>
        </w:rPr>
        <w:t>Necesidad:</w:t>
      </w:r>
      <w:r w:rsidRPr="007C5759">
        <w:rPr>
          <w:rFonts w:ascii="Palatino Linotype" w:hAnsi="Palatino Linotype"/>
          <w:color w:val="222222"/>
        </w:rPr>
        <w:t> La falta de un medio alternativo menos lesivo a la apertura de la información, para satisfacer el interés público, y</w:t>
      </w:r>
    </w:p>
    <w:p w14:paraId="46C74913" w14:textId="77777777" w:rsidR="00F414D5" w:rsidRPr="007C5759" w:rsidRDefault="00F414D5" w:rsidP="00F414D5">
      <w:pPr>
        <w:spacing w:line="360" w:lineRule="auto"/>
        <w:ind w:left="851"/>
        <w:jc w:val="both"/>
        <w:rPr>
          <w:rFonts w:ascii="Palatino Linotype" w:hAnsi="Palatino Linotype"/>
          <w:color w:val="222222"/>
        </w:rPr>
      </w:pPr>
      <w:r w:rsidRPr="007C5759">
        <w:rPr>
          <w:rFonts w:ascii="Palatino Linotype" w:hAnsi="Palatino Linotype"/>
          <w:color w:val="222222"/>
        </w:rPr>
        <w:t> </w:t>
      </w:r>
    </w:p>
    <w:p w14:paraId="664B2B9A" w14:textId="77777777" w:rsidR="00F414D5" w:rsidRPr="007C5759" w:rsidRDefault="00F414D5" w:rsidP="00F414D5">
      <w:pPr>
        <w:spacing w:line="360" w:lineRule="auto"/>
        <w:ind w:left="851"/>
        <w:jc w:val="both"/>
        <w:rPr>
          <w:rFonts w:ascii="Palatino Linotype" w:hAnsi="Palatino Linotype"/>
          <w:color w:val="222222"/>
        </w:rPr>
      </w:pPr>
      <w:r w:rsidRPr="007C5759">
        <w:rPr>
          <w:rFonts w:ascii="Palatino Linotype" w:hAnsi="Palatino Linotype"/>
          <w:color w:val="222222"/>
        </w:rPr>
        <w:t>-           </w:t>
      </w:r>
      <w:r w:rsidRPr="007C5759">
        <w:rPr>
          <w:rFonts w:ascii="Palatino Linotype" w:hAnsi="Palatino Linotype"/>
          <w:b/>
          <w:bCs/>
          <w:color w:val="222222"/>
        </w:rPr>
        <w:t>Proporcionalidad:</w:t>
      </w:r>
      <w:r w:rsidRPr="007C5759">
        <w:rPr>
          <w:rFonts w:ascii="Palatino Linotype" w:hAnsi="Palatino Linotype"/>
          <w:color w:val="222222"/>
        </w:rPr>
        <w:t> El equilibrio entre perjuicio y beneficio a favor del interés público, a fin de que la decisión tomada represente un beneficio mayor al perjuicio que podría causar a la población.</w:t>
      </w:r>
    </w:p>
    <w:p w14:paraId="6CD49AA5" w14:textId="77777777" w:rsidR="00F414D5" w:rsidRPr="007C5759" w:rsidRDefault="00F414D5" w:rsidP="00F414D5">
      <w:pPr>
        <w:spacing w:line="360" w:lineRule="auto"/>
        <w:jc w:val="both"/>
        <w:rPr>
          <w:rFonts w:ascii="Palatino Linotype" w:hAnsi="Palatino Linotype"/>
          <w:color w:val="222222"/>
        </w:rPr>
      </w:pPr>
      <w:r w:rsidRPr="007C5759">
        <w:rPr>
          <w:rFonts w:ascii="Palatino Linotype" w:hAnsi="Palatino Linotype"/>
          <w:color w:val="222222"/>
        </w:rPr>
        <w:t> </w:t>
      </w:r>
    </w:p>
    <w:p w14:paraId="333D94C4" w14:textId="77777777" w:rsidR="00F414D5" w:rsidRPr="00C87039" w:rsidRDefault="00F414D5" w:rsidP="00C87039">
      <w:pPr>
        <w:pStyle w:val="Prrafodelista"/>
        <w:numPr>
          <w:ilvl w:val="0"/>
          <w:numId w:val="1"/>
        </w:numPr>
        <w:spacing w:after="0" w:line="360" w:lineRule="auto"/>
        <w:ind w:left="0" w:firstLine="0"/>
        <w:jc w:val="both"/>
        <w:rPr>
          <w:rFonts w:ascii="Palatino Linotype" w:hAnsi="Palatino Linotype"/>
          <w:color w:val="222222"/>
          <w:sz w:val="24"/>
          <w:szCs w:val="24"/>
        </w:rPr>
      </w:pPr>
      <w:r w:rsidRPr="00C87039">
        <w:rPr>
          <w:rFonts w:ascii="Palatino Linotype" w:hAnsi="Palatino Linotype"/>
          <w:color w:val="222222"/>
          <w:sz w:val="24"/>
          <w:szCs w:val="24"/>
        </w:rPr>
        <w:t>En ese orden de ideas, resulta procedente analizar cada uno de los elementos referidos, partiendo de que, en el caso concreto, se estima como preferente el derecho de acceso a la información, bajo las consideraciones que se verterán a continuación.</w:t>
      </w:r>
    </w:p>
    <w:p w14:paraId="5C810189" w14:textId="77777777" w:rsidR="00F414D5" w:rsidRPr="00C87039" w:rsidRDefault="00F414D5" w:rsidP="00F414D5">
      <w:pPr>
        <w:spacing w:line="360" w:lineRule="auto"/>
        <w:jc w:val="both"/>
        <w:rPr>
          <w:rFonts w:ascii="Palatino Linotype" w:hAnsi="Palatino Linotype"/>
          <w:color w:val="222222"/>
          <w:sz w:val="24"/>
          <w:szCs w:val="24"/>
        </w:rPr>
      </w:pPr>
      <w:r w:rsidRPr="00C87039">
        <w:rPr>
          <w:rFonts w:ascii="Palatino Linotype" w:hAnsi="Palatino Linotype"/>
          <w:color w:val="222222"/>
          <w:sz w:val="24"/>
          <w:szCs w:val="24"/>
        </w:rPr>
        <w:t> </w:t>
      </w:r>
    </w:p>
    <w:p w14:paraId="5C24D8E8" w14:textId="77777777" w:rsidR="00C87039" w:rsidRDefault="00F414D5" w:rsidP="00C87039">
      <w:pPr>
        <w:pStyle w:val="Prrafodelista"/>
        <w:numPr>
          <w:ilvl w:val="0"/>
          <w:numId w:val="22"/>
        </w:numPr>
        <w:spacing w:line="360" w:lineRule="auto"/>
        <w:jc w:val="both"/>
        <w:rPr>
          <w:rFonts w:ascii="Palatino Linotype" w:hAnsi="Palatino Linotype"/>
          <w:color w:val="222222"/>
          <w:sz w:val="24"/>
          <w:szCs w:val="24"/>
        </w:rPr>
      </w:pPr>
      <w:r w:rsidRPr="00C87039">
        <w:rPr>
          <w:rFonts w:ascii="Palatino Linotype" w:hAnsi="Palatino Linotype"/>
          <w:b/>
          <w:bCs/>
          <w:color w:val="222222"/>
          <w:sz w:val="24"/>
          <w:szCs w:val="24"/>
        </w:rPr>
        <w:t>Idoneidad</w:t>
      </w:r>
      <w:r w:rsidRPr="00C87039">
        <w:rPr>
          <w:rFonts w:ascii="Palatino Linotype" w:hAnsi="Palatino Linotype"/>
          <w:color w:val="222222"/>
          <w:sz w:val="24"/>
          <w:szCs w:val="24"/>
        </w:rPr>
        <w:t xml:space="preserve">. </w:t>
      </w:r>
    </w:p>
    <w:p w14:paraId="0CA22AF4" w14:textId="77777777" w:rsidR="00C87039" w:rsidRPr="00C87039" w:rsidRDefault="00C87039" w:rsidP="00C87039">
      <w:pPr>
        <w:pStyle w:val="Prrafodelista"/>
        <w:spacing w:line="360" w:lineRule="auto"/>
        <w:jc w:val="both"/>
        <w:rPr>
          <w:rFonts w:ascii="Palatino Linotype" w:hAnsi="Palatino Linotype"/>
          <w:color w:val="222222"/>
          <w:sz w:val="24"/>
          <w:szCs w:val="24"/>
        </w:rPr>
      </w:pPr>
    </w:p>
    <w:p w14:paraId="445690FB" w14:textId="77777777" w:rsidR="00F414D5" w:rsidRDefault="00F414D5" w:rsidP="00C87039">
      <w:pPr>
        <w:pStyle w:val="Prrafodelista"/>
        <w:numPr>
          <w:ilvl w:val="0"/>
          <w:numId w:val="1"/>
        </w:numPr>
        <w:spacing w:after="0" w:line="360" w:lineRule="auto"/>
        <w:ind w:left="0" w:firstLine="0"/>
        <w:jc w:val="both"/>
        <w:rPr>
          <w:rFonts w:ascii="Palatino Linotype" w:hAnsi="Palatino Linotype"/>
          <w:color w:val="222222"/>
          <w:sz w:val="24"/>
          <w:szCs w:val="24"/>
        </w:rPr>
      </w:pPr>
      <w:r w:rsidRPr="00C87039">
        <w:rPr>
          <w:rFonts w:ascii="Palatino Linotype" w:hAnsi="Palatino Linotype"/>
          <w:color w:val="222222"/>
          <w:sz w:val="24"/>
          <w:szCs w:val="24"/>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4804CBD1" w14:textId="77777777" w:rsidR="00C87039" w:rsidRPr="00C87039" w:rsidRDefault="00C87039" w:rsidP="00C87039">
      <w:pPr>
        <w:pStyle w:val="Prrafodelista"/>
        <w:spacing w:after="0" w:line="360" w:lineRule="auto"/>
        <w:ind w:left="0"/>
        <w:jc w:val="both"/>
        <w:rPr>
          <w:rFonts w:ascii="Palatino Linotype" w:hAnsi="Palatino Linotype"/>
          <w:color w:val="222222"/>
          <w:sz w:val="24"/>
          <w:szCs w:val="24"/>
        </w:rPr>
      </w:pPr>
    </w:p>
    <w:p w14:paraId="7B0BFA92" w14:textId="77777777" w:rsidR="00F414D5" w:rsidRPr="00C87039" w:rsidRDefault="00F414D5" w:rsidP="00C87039">
      <w:pPr>
        <w:pStyle w:val="Prrafodelista"/>
        <w:numPr>
          <w:ilvl w:val="0"/>
          <w:numId w:val="1"/>
        </w:numPr>
        <w:spacing w:after="0" w:line="360" w:lineRule="auto"/>
        <w:ind w:left="0" w:firstLine="0"/>
        <w:jc w:val="both"/>
        <w:rPr>
          <w:rFonts w:ascii="Palatino Linotype" w:hAnsi="Palatino Linotype"/>
          <w:color w:val="222222"/>
          <w:sz w:val="24"/>
          <w:szCs w:val="24"/>
        </w:rPr>
      </w:pPr>
      <w:r w:rsidRPr="00C87039">
        <w:rPr>
          <w:rFonts w:ascii="Palatino Linotype" w:hAnsi="Palatino Linotype"/>
          <w:color w:val="222222"/>
          <w:sz w:val="24"/>
          <w:szCs w:val="24"/>
          <w:lang w:val="es-ES"/>
        </w:rPr>
        <w:t xml:space="preserve">Sin embargo, existen dos fines válidos para otorgar el nombre de un titular </w:t>
      </w:r>
      <w:r w:rsidR="00C87039" w:rsidRPr="00C87039">
        <w:rPr>
          <w:rFonts w:ascii="Palatino Linotype" w:hAnsi="Palatino Linotype"/>
          <w:color w:val="222222"/>
          <w:sz w:val="24"/>
          <w:szCs w:val="24"/>
          <w:lang w:val="es-ES"/>
        </w:rPr>
        <w:t>de la autorización de prórroga de cambio de uso de suelo</w:t>
      </w:r>
      <w:r w:rsidRPr="00C87039">
        <w:rPr>
          <w:rFonts w:ascii="Palatino Linotype" w:hAnsi="Palatino Linotype"/>
          <w:color w:val="222222"/>
          <w:sz w:val="24"/>
          <w:szCs w:val="24"/>
          <w:lang w:val="es-ES"/>
        </w:rPr>
        <w:t xml:space="preserve">; los cuales, consisten en </w:t>
      </w:r>
      <w:r w:rsidRPr="00C87039">
        <w:rPr>
          <w:rFonts w:ascii="Palatino Linotype" w:hAnsi="Palatino Linotype"/>
          <w:color w:val="222222"/>
          <w:sz w:val="24"/>
          <w:szCs w:val="24"/>
          <w:lang w:val="es-ES"/>
        </w:rPr>
        <w:lastRenderedPageBreak/>
        <w:t xml:space="preserve">transparentar a quiénes se conceden los usos de suelo, lo que implica la explotación de un bien inmueble, de tal forma que se evidencie que se otorgan las </w:t>
      </w:r>
      <w:r w:rsidR="00C87039" w:rsidRPr="00C87039">
        <w:rPr>
          <w:rFonts w:ascii="Palatino Linotype" w:hAnsi="Palatino Linotype"/>
          <w:color w:val="222222"/>
          <w:sz w:val="24"/>
          <w:szCs w:val="24"/>
          <w:lang w:val="es-ES"/>
        </w:rPr>
        <w:t>autorizaciones</w:t>
      </w:r>
      <w:r w:rsidRPr="00C87039">
        <w:rPr>
          <w:rFonts w:ascii="Palatino Linotype" w:hAnsi="Palatino Linotype"/>
          <w:color w:val="222222"/>
          <w:sz w:val="24"/>
          <w:szCs w:val="24"/>
          <w:lang w:val="es-ES"/>
        </w:rPr>
        <w:t xml:space="preserve"> a quien cumple con los requisitos para su expedición.</w:t>
      </w:r>
    </w:p>
    <w:p w14:paraId="1598B797" w14:textId="77777777" w:rsidR="00C87039" w:rsidRPr="00C87039" w:rsidRDefault="00C87039" w:rsidP="00C87039">
      <w:pPr>
        <w:pStyle w:val="Prrafodelista"/>
        <w:spacing w:after="0" w:line="360" w:lineRule="auto"/>
        <w:ind w:left="0"/>
        <w:jc w:val="both"/>
        <w:rPr>
          <w:rFonts w:ascii="Palatino Linotype" w:hAnsi="Palatino Linotype"/>
          <w:color w:val="222222"/>
          <w:sz w:val="24"/>
          <w:szCs w:val="24"/>
        </w:rPr>
      </w:pPr>
    </w:p>
    <w:p w14:paraId="1EC7DBC6" w14:textId="77777777" w:rsidR="00C87039" w:rsidRDefault="00F414D5" w:rsidP="00C87039">
      <w:pPr>
        <w:pStyle w:val="Prrafodelista"/>
        <w:numPr>
          <w:ilvl w:val="0"/>
          <w:numId w:val="22"/>
        </w:numPr>
        <w:spacing w:line="360" w:lineRule="auto"/>
        <w:jc w:val="both"/>
        <w:rPr>
          <w:rFonts w:ascii="Palatino Linotype" w:hAnsi="Palatino Linotype"/>
          <w:b/>
          <w:bCs/>
          <w:color w:val="222222"/>
          <w:lang w:val="es-ES"/>
        </w:rPr>
      </w:pPr>
      <w:r w:rsidRPr="00C87039">
        <w:rPr>
          <w:rFonts w:ascii="Palatino Linotype" w:hAnsi="Palatino Linotype"/>
          <w:b/>
          <w:bCs/>
          <w:color w:val="222222"/>
          <w:lang w:val="es-ES"/>
        </w:rPr>
        <w:t>Necesidad: </w:t>
      </w:r>
    </w:p>
    <w:p w14:paraId="7446EC14" w14:textId="77777777" w:rsidR="00C87039" w:rsidRPr="00C87039" w:rsidRDefault="00C87039" w:rsidP="00C87039">
      <w:pPr>
        <w:pStyle w:val="Prrafodelista"/>
        <w:spacing w:line="360" w:lineRule="auto"/>
        <w:jc w:val="both"/>
        <w:rPr>
          <w:rFonts w:ascii="Palatino Linotype" w:hAnsi="Palatino Linotype"/>
          <w:b/>
          <w:bCs/>
          <w:color w:val="222222"/>
          <w:lang w:val="es-ES"/>
        </w:rPr>
      </w:pPr>
    </w:p>
    <w:p w14:paraId="5FDBC176" w14:textId="77777777" w:rsidR="00F414D5" w:rsidRPr="00C87039" w:rsidRDefault="00F414D5" w:rsidP="00C87039">
      <w:pPr>
        <w:pStyle w:val="Prrafodelista"/>
        <w:numPr>
          <w:ilvl w:val="0"/>
          <w:numId w:val="1"/>
        </w:numPr>
        <w:spacing w:after="0" w:line="360" w:lineRule="auto"/>
        <w:ind w:left="0" w:firstLine="0"/>
        <w:jc w:val="both"/>
        <w:rPr>
          <w:rFonts w:ascii="Palatino Linotype" w:hAnsi="Palatino Linotype"/>
          <w:color w:val="222222"/>
          <w:sz w:val="24"/>
          <w:szCs w:val="24"/>
        </w:rPr>
      </w:pPr>
      <w:r w:rsidRPr="00C87039">
        <w:rPr>
          <w:rFonts w:ascii="Palatino Linotype" w:hAnsi="Palatino Linotype"/>
          <w:color w:val="222222"/>
          <w:sz w:val="24"/>
          <w:szCs w:val="24"/>
          <w:lang w:val="es-ES"/>
        </w:rPr>
        <w:t xml:space="preserve">Por otra parte, este Instituto observa que también se actualiza el principio de necesidad, ya que no existe un medio menos oneroso para lograr el fin válido, pues se estima necesaria la difusión de la información requerida, pues los cambios de uso de suelo tiene un impacto en la comunidad, ya sea porque se destinan para uso habitacional o comercial y el tipo de construcciones y su destino, aunque sean propiedad de un particular, el beneficio incluso puede ser para quien use el inmueble que puede </w:t>
      </w:r>
      <w:r w:rsidR="00C87039">
        <w:rPr>
          <w:rFonts w:ascii="Palatino Linotype" w:hAnsi="Palatino Linotype"/>
          <w:color w:val="222222"/>
          <w:sz w:val="24"/>
          <w:szCs w:val="24"/>
          <w:lang w:val="es-ES"/>
        </w:rPr>
        <w:t>ser un tercero. En específico la autorización de prórroga de cambio de</w:t>
      </w:r>
      <w:r w:rsidRPr="00C87039">
        <w:rPr>
          <w:rFonts w:ascii="Palatino Linotype" w:hAnsi="Palatino Linotype"/>
          <w:color w:val="222222"/>
          <w:sz w:val="24"/>
          <w:szCs w:val="24"/>
          <w:lang w:val="es-ES"/>
        </w:rPr>
        <w:t xml:space="preserve"> uso de suelo que se autorice en un territorio sí tiene un impacto en la comunidad y este puede ser en beneficio o en perjuicio de los vecinos, quienes tengan comercios o circulen por la zona, motivo por el cual, al tratarse de un beneficio que se concede a una persona física o jurídico-colectiva con impacto a la comunidad, se advierte la necesidad de transparentar la información. </w:t>
      </w:r>
    </w:p>
    <w:p w14:paraId="0C99B1FF" w14:textId="77777777" w:rsidR="00F414D5" w:rsidRPr="007C5759" w:rsidRDefault="00F414D5" w:rsidP="00F414D5">
      <w:pPr>
        <w:spacing w:line="360" w:lineRule="auto"/>
        <w:jc w:val="both"/>
        <w:rPr>
          <w:rFonts w:ascii="Palatino Linotype" w:hAnsi="Palatino Linotype"/>
          <w:color w:val="222222"/>
        </w:rPr>
      </w:pPr>
      <w:r w:rsidRPr="007C5759">
        <w:rPr>
          <w:rFonts w:ascii="Palatino Linotype" w:hAnsi="Palatino Linotype"/>
          <w:b/>
          <w:bCs/>
          <w:color w:val="222222"/>
          <w:lang w:val="es-ES"/>
        </w:rPr>
        <w:t> </w:t>
      </w:r>
    </w:p>
    <w:p w14:paraId="7F4E4D36" w14:textId="77777777" w:rsidR="00C87039" w:rsidRDefault="00F414D5" w:rsidP="00C87039">
      <w:pPr>
        <w:pStyle w:val="Prrafodelista"/>
        <w:numPr>
          <w:ilvl w:val="0"/>
          <w:numId w:val="22"/>
        </w:numPr>
        <w:spacing w:line="360" w:lineRule="auto"/>
        <w:jc w:val="both"/>
        <w:rPr>
          <w:rFonts w:ascii="Palatino Linotype" w:hAnsi="Palatino Linotype"/>
          <w:color w:val="222222"/>
          <w:lang w:val="es-ES"/>
        </w:rPr>
      </w:pPr>
      <w:r w:rsidRPr="00C87039">
        <w:rPr>
          <w:rFonts w:ascii="Palatino Linotype" w:hAnsi="Palatino Linotype"/>
          <w:b/>
          <w:bCs/>
          <w:color w:val="222222"/>
          <w:sz w:val="24"/>
          <w:szCs w:val="24"/>
          <w:lang w:val="es-ES"/>
        </w:rPr>
        <w:t>Proporcionalidad en sentido estricto</w:t>
      </w:r>
      <w:r w:rsidRPr="00C87039">
        <w:rPr>
          <w:rFonts w:ascii="Palatino Linotype" w:hAnsi="Palatino Linotype"/>
          <w:b/>
          <w:bCs/>
          <w:color w:val="222222"/>
          <w:lang w:val="es-ES"/>
        </w:rPr>
        <w:t>:</w:t>
      </w:r>
      <w:r w:rsidRPr="00C87039">
        <w:rPr>
          <w:rFonts w:ascii="Palatino Linotype" w:hAnsi="Palatino Linotype"/>
          <w:color w:val="222222"/>
          <w:lang w:val="es-ES"/>
        </w:rPr>
        <w:t> </w:t>
      </w:r>
    </w:p>
    <w:p w14:paraId="79F51F0D" w14:textId="77777777" w:rsidR="00C87039" w:rsidRPr="00C87039" w:rsidRDefault="00C87039" w:rsidP="00C87039">
      <w:pPr>
        <w:pStyle w:val="Prrafodelista"/>
        <w:spacing w:line="360" w:lineRule="auto"/>
        <w:jc w:val="both"/>
        <w:rPr>
          <w:rFonts w:ascii="Palatino Linotype" w:hAnsi="Palatino Linotype"/>
          <w:color w:val="222222"/>
          <w:lang w:val="es-ES"/>
        </w:rPr>
      </w:pPr>
    </w:p>
    <w:p w14:paraId="4BB54177" w14:textId="77777777" w:rsidR="00F414D5" w:rsidRPr="00C87039" w:rsidRDefault="00F414D5" w:rsidP="00C87039">
      <w:pPr>
        <w:pStyle w:val="Prrafodelista"/>
        <w:numPr>
          <w:ilvl w:val="0"/>
          <w:numId w:val="1"/>
        </w:numPr>
        <w:spacing w:after="0" w:line="360" w:lineRule="auto"/>
        <w:ind w:left="0" w:firstLine="0"/>
        <w:jc w:val="both"/>
        <w:rPr>
          <w:rFonts w:ascii="Palatino Linotype" w:hAnsi="Palatino Linotype"/>
          <w:color w:val="222222"/>
          <w:sz w:val="24"/>
          <w:szCs w:val="24"/>
        </w:rPr>
      </w:pPr>
      <w:r w:rsidRPr="00C87039">
        <w:rPr>
          <w:rFonts w:ascii="Palatino Linotype" w:hAnsi="Palatino Linotype"/>
          <w:color w:val="222222"/>
          <w:sz w:val="24"/>
          <w:szCs w:val="24"/>
          <w:lang w:val="es-ES"/>
        </w:rPr>
        <w:t>El sacrificio de la protección del nombre de los titulares de</w:t>
      </w:r>
      <w:r w:rsidR="00C87039">
        <w:rPr>
          <w:rFonts w:ascii="Palatino Linotype" w:hAnsi="Palatino Linotype"/>
          <w:color w:val="222222"/>
          <w:sz w:val="24"/>
          <w:szCs w:val="24"/>
          <w:lang w:val="es-ES"/>
        </w:rPr>
        <w:t xml:space="preserve"> autorizaciones de cambio de uso de suelo, </w:t>
      </w:r>
      <w:r w:rsidRPr="00C87039">
        <w:rPr>
          <w:rFonts w:ascii="Palatino Linotype" w:hAnsi="Palatino Linotype"/>
          <w:color w:val="222222"/>
          <w:sz w:val="24"/>
          <w:szCs w:val="24"/>
          <w:lang w:val="es-ES"/>
        </w:rPr>
        <w:t xml:space="preserve">es proporcional en razón de que no se trata de interferir de manera arbitraria en su vida privada, pues como ya se refirió el destino que tiene un bien inmueble impacta en la colectividad, por lo que, para este tipo de licencias, al </w:t>
      </w:r>
      <w:r w:rsidRPr="00C87039">
        <w:rPr>
          <w:rFonts w:ascii="Palatino Linotype" w:hAnsi="Palatino Linotype"/>
          <w:color w:val="222222"/>
          <w:sz w:val="24"/>
          <w:szCs w:val="24"/>
          <w:lang w:val="es-ES"/>
        </w:rPr>
        <w:lastRenderedPageBreak/>
        <w:t xml:space="preserve">existir interés púbico debe </w:t>
      </w:r>
      <w:r w:rsidRPr="00C87039">
        <w:rPr>
          <w:rFonts w:ascii="Palatino Linotype" w:hAnsi="Palatino Linotype"/>
          <w:b/>
          <w:color w:val="222222"/>
          <w:sz w:val="24"/>
          <w:szCs w:val="24"/>
          <w:lang w:val="es-ES"/>
        </w:rPr>
        <w:t>prevalecer la publicidad del nombre</w:t>
      </w:r>
      <w:r w:rsidR="00C87039">
        <w:rPr>
          <w:rFonts w:ascii="Palatino Linotype" w:hAnsi="Palatino Linotype"/>
          <w:color w:val="222222"/>
          <w:sz w:val="24"/>
          <w:szCs w:val="24"/>
          <w:lang w:val="es-ES"/>
        </w:rPr>
        <w:t xml:space="preserve"> </w:t>
      </w:r>
      <w:r w:rsidR="00C87039">
        <w:rPr>
          <w:rFonts w:ascii="Palatino Linotype" w:hAnsi="Palatino Linotype"/>
          <w:b/>
          <w:color w:val="222222"/>
          <w:sz w:val="24"/>
          <w:szCs w:val="24"/>
          <w:lang w:val="es-ES"/>
        </w:rPr>
        <w:t xml:space="preserve">o razón social del titular, así como el nombre del representante legal. </w:t>
      </w:r>
    </w:p>
    <w:p w14:paraId="039D42EF" w14:textId="77777777" w:rsidR="00F414D5" w:rsidRPr="007C5759" w:rsidRDefault="00F414D5" w:rsidP="00F414D5">
      <w:pPr>
        <w:spacing w:line="360" w:lineRule="auto"/>
        <w:jc w:val="both"/>
        <w:rPr>
          <w:rFonts w:ascii="Palatino Linotype" w:hAnsi="Palatino Linotype"/>
          <w:color w:val="222222"/>
        </w:rPr>
      </w:pPr>
      <w:r w:rsidRPr="007C5759">
        <w:rPr>
          <w:rFonts w:ascii="Palatino Linotype" w:hAnsi="Palatino Linotype"/>
          <w:color w:val="222222"/>
          <w:lang w:val="es-ES"/>
        </w:rPr>
        <w:t> </w:t>
      </w:r>
    </w:p>
    <w:p w14:paraId="431D6FFD" w14:textId="77777777" w:rsidR="00F414D5" w:rsidRDefault="0044592A" w:rsidP="0044592A">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44592A">
        <w:rPr>
          <w:rFonts w:ascii="Palatino Linotype" w:eastAsia="Calibri" w:hAnsi="Palatino Linotype" w:cs="Tahoma"/>
          <w:bCs/>
          <w:sz w:val="24"/>
          <w:szCs w:val="24"/>
          <w:lang w:val="es-ES"/>
        </w:rPr>
        <w:t xml:space="preserve">Por cuanto hace al domicilio, </w:t>
      </w:r>
      <w:r w:rsidR="00C87039" w:rsidRPr="0044592A">
        <w:rPr>
          <w:rFonts w:ascii="Palatino Linotype" w:eastAsia="Calibri" w:hAnsi="Palatino Linotype" w:cs="Tahoma"/>
          <w:bCs/>
          <w:sz w:val="24"/>
          <w:szCs w:val="24"/>
          <w:lang w:val="es-E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00C87039" w:rsidRPr="0044592A">
        <w:rPr>
          <w:rFonts w:ascii="Palatino Linotype" w:hAnsi="Palatino Linotype" w:cs="Tahoma"/>
          <w:sz w:val="24"/>
          <w:szCs w:val="24"/>
          <w:lang w:val="es-ES"/>
        </w:rPr>
        <w:t xml:space="preserve"> </w:t>
      </w:r>
      <w:r w:rsidR="00C87039" w:rsidRPr="0044592A">
        <w:rPr>
          <w:rFonts w:ascii="Palatino Linotype" w:eastAsia="Calibri" w:hAnsi="Palatino Linotype" w:cs="Tahoma"/>
          <w:bCs/>
          <w:sz w:val="24"/>
          <w:szCs w:val="24"/>
          <w:lang w:val="es-ES"/>
        </w:rPr>
        <w:t xml:space="preserve">Por lo que procede ordenar al Ayuntamiento la clasificación del domicilio plasmado en la licencia de uso de suelo, por tratarse de datos personales confidenciales, en términos del artículo 143, fracción I de la Ley de Transparencia y Acceso a la Información Pública del Estado de México y Municipios. </w:t>
      </w:r>
    </w:p>
    <w:p w14:paraId="5B5E1A58" w14:textId="77777777" w:rsidR="0044592A" w:rsidRPr="0044592A" w:rsidRDefault="0044592A" w:rsidP="0044592A">
      <w:pPr>
        <w:pStyle w:val="Prrafodelista"/>
        <w:rPr>
          <w:rFonts w:ascii="Palatino Linotype" w:eastAsia="Calibri" w:hAnsi="Palatino Linotype" w:cs="Tahoma"/>
          <w:bCs/>
          <w:sz w:val="24"/>
          <w:szCs w:val="24"/>
          <w:lang w:val="es-ES"/>
        </w:rPr>
      </w:pPr>
    </w:p>
    <w:p w14:paraId="44258F37" w14:textId="77777777" w:rsidR="00F414D5" w:rsidRPr="00327DF5" w:rsidRDefault="0044592A" w:rsidP="0044592A">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Pr>
          <w:rFonts w:ascii="Palatino Linotype" w:eastAsia="Calibri" w:hAnsi="Palatino Linotype" w:cs="Tahoma"/>
          <w:bCs/>
          <w:sz w:val="24"/>
          <w:szCs w:val="24"/>
          <w:lang w:val="es-ES"/>
        </w:rPr>
        <w:t xml:space="preserve">Ahora bien, por cuanto hace a los datos relativos a </w:t>
      </w:r>
      <w:r w:rsidRPr="0044592A">
        <w:rPr>
          <w:rFonts w:ascii="Palatino Linotype" w:hAnsi="Palatino Linotype"/>
          <w:sz w:val="24"/>
          <w:szCs w:val="24"/>
        </w:rPr>
        <w:t>superficie de predio, superficie total de construcción, superficie de desplante, área libre y verde de construcción, costo de incremento de densidad, altura e intensidad</w:t>
      </w:r>
      <w:r>
        <w:rPr>
          <w:rFonts w:ascii="Palatino Linotype" w:hAnsi="Palatino Linotype"/>
          <w:sz w:val="24"/>
          <w:szCs w:val="24"/>
        </w:rPr>
        <w:t>, se trata de información que si bien es cierto se relaciona con un bien inmueble de naturaleza privada, el conocimiento de la misma es de interés p</w:t>
      </w:r>
      <w:r w:rsidR="00327DF5">
        <w:rPr>
          <w:rFonts w:ascii="Palatino Linotype" w:hAnsi="Palatino Linotype"/>
          <w:sz w:val="24"/>
          <w:szCs w:val="24"/>
        </w:rPr>
        <w:t xml:space="preserve">úblico, ya que permite identificar si el inmueble tienen las características y se cumplieron con los requisitos para la emisión de las autorizaciones solicitadas, favoreciendo la rendición de cuentas y la transparencia de los actos de autorizad realizados. </w:t>
      </w:r>
    </w:p>
    <w:p w14:paraId="6FF40460" w14:textId="77777777" w:rsidR="00F414D5" w:rsidRPr="00B505ED" w:rsidRDefault="00F414D5" w:rsidP="00327DF5">
      <w:pPr>
        <w:pStyle w:val="Prrafodelista"/>
        <w:spacing w:after="0" w:line="360" w:lineRule="auto"/>
        <w:ind w:left="0"/>
        <w:jc w:val="both"/>
        <w:rPr>
          <w:rFonts w:ascii="Palatino Linotype" w:eastAsia="Calibri" w:hAnsi="Palatino Linotype" w:cs="Tahoma"/>
          <w:bCs/>
          <w:sz w:val="24"/>
          <w:szCs w:val="24"/>
          <w:lang w:val="es-ES"/>
        </w:rPr>
      </w:pPr>
    </w:p>
    <w:p w14:paraId="7F58B714" w14:textId="77777777" w:rsidR="00F414D5" w:rsidRPr="00B505ED" w:rsidRDefault="00F414D5" w:rsidP="00327DF5">
      <w:pPr>
        <w:pStyle w:val="Prrafodelista"/>
        <w:numPr>
          <w:ilvl w:val="0"/>
          <w:numId w:val="1"/>
        </w:numPr>
        <w:spacing w:after="0" w:line="360" w:lineRule="auto"/>
        <w:ind w:left="0" w:firstLine="0"/>
        <w:jc w:val="both"/>
        <w:rPr>
          <w:rFonts w:ascii="Palatino Linotype" w:hAnsi="Palatino Linotype" w:cs="Tahoma"/>
          <w:bCs/>
          <w:iCs/>
          <w:sz w:val="24"/>
          <w:szCs w:val="24"/>
        </w:rPr>
      </w:pPr>
      <w:r w:rsidRPr="00B505ED">
        <w:rPr>
          <w:rFonts w:ascii="Palatino Linotype" w:hAnsi="Palatino Linotype" w:cs="Tahoma"/>
          <w:bCs/>
          <w:iCs/>
          <w:sz w:val="24"/>
          <w:szCs w:val="24"/>
        </w:rPr>
        <w:lastRenderedPageBreak/>
        <w:t>Bajo este esquema a continuación se analiza el dato que no es susceptibles de ser clasificado, tal como el pago de derechos en la licencia de uso de suelo.</w:t>
      </w:r>
    </w:p>
    <w:p w14:paraId="0974832A" w14:textId="77777777" w:rsidR="00F414D5" w:rsidRDefault="00F414D5" w:rsidP="00F414D5">
      <w:pPr>
        <w:spacing w:line="360" w:lineRule="auto"/>
        <w:ind w:right="-91"/>
        <w:jc w:val="both"/>
        <w:rPr>
          <w:rFonts w:ascii="Palatino Linotype" w:eastAsia="Calibri" w:hAnsi="Palatino Linotype" w:cs="Tahoma"/>
          <w:bCs/>
          <w:lang w:val="es-ES"/>
        </w:rPr>
      </w:pPr>
    </w:p>
    <w:p w14:paraId="55D89056" w14:textId="77777777" w:rsidR="00F414D5" w:rsidRPr="00B505ED" w:rsidRDefault="00B505ED" w:rsidP="00327DF5">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5ED">
        <w:rPr>
          <w:rFonts w:ascii="Palatino Linotype" w:eastAsia="Calibri" w:hAnsi="Palatino Linotype" w:cs="Tahoma"/>
          <w:bCs/>
          <w:sz w:val="24"/>
          <w:szCs w:val="24"/>
          <w:lang w:val="es-ES"/>
        </w:rPr>
        <w:t>P</w:t>
      </w:r>
      <w:r w:rsidR="00327DF5" w:rsidRPr="00B505ED">
        <w:rPr>
          <w:rFonts w:ascii="Palatino Linotype" w:eastAsia="Calibri" w:hAnsi="Palatino Linotype" w:cs="Tahoma"/>
          <w:bCs/>
          <w:sz w:val="24"/>
          <w:szCs w:val="24"/>
          <w:lang w:val="es-ES"/>
        </w:rPr>
        <w:t xml:space="preserve">or cuanto hace al </w:t>
      </w:r>
      <w:r w:rsidR="00327DF5" w:rsidRPr="00B505ED">
        <w:rPr>
          <w:rFonts w:ascii="Palatino Linotype" w:hAnsi="Palatino Linotype"/>
          <w:b/>
          <w:sz w:val="24"/>
          <w:szCs w:val="24"/>
        </w:rPr>
        <w:t>costo de incremento de densidad, altura e intensidad, costo de estudio técnico e inscripción de campo, costo alineamiento y número oficial</w:t>
      </w:r>
      <w:r w:rsidR="00F414D5" w:rsidRPr="00B505ED">
        <w:rPr>
          <w:rFonts w:ascii="Palatino Linotype" w:eastAsia="Calibri" w:hAnsi="Palatino Linotype" w:cs="Tahoma"/>
          <w:bCs/>
          <w:sz w:val="24"/>
          <w:szCs w:val="24"/>
          <w:lang w:val="es-ES"/>
        </w:rPr>
        <w:t xml:space="preserve"> el Código Financiero del Esta</w:t>
      </w:r>
      <w:r>
        <w:rPr>
          <w:rFonts w:ascii="Palatino Linotype" w:eastAsia="Calibri" w:hAnsi="Palatino Linotype" w:cs="Tahoma"/>
          <w:bCs/>
          <w:sz w:val="24"/>
          <w:szCs w:val="24"/>
          <w:lang w:val="es-ES"/>
        </w:rPr>
        <w:t xml:space="preserve">do de México en su artículo 144, fracción XI </w:t>
      </w:r>
      <w:r w:rsidR="00F414D5" w:rsidRPr="00B505ED">
        <w:rPr>
          <w:rFonts w:ascii="Palatino Linotype" w:eastAsia="Calibri" w:hAnsi="Palatino Linotype" w:cs="Tahoma"/>
          <w:bCs/>
          <w:sz w:val="24"/>
          <w:szCs w:val="24"/>
          <w:lang w:val="es-ES"/>
        </w:rPr>
        <w:t>señala lo siguiente:</w:t>
      </w:r>
    </w:p>
    <w:p w14:paraId="70262847" w14:textId="77777777" w:rsidR="00F414D5" w:rsidRDefault="00F414D5" w:rsidP="00F414D5">
      <w:pPr>
        <w:spacing w:line="360" w:lineRule="auto"/>
        <w:jc w:val="both"/>
        <w:rPr>
          <w:rFonts w:ascii="Palatino Linotype" w:eastAsia="Calibri" w:hAnsi="Palatino Linotype" w:cs="Tahoma"/>
          <w:bCs/>
          <w:lang w:val="es-ES"/>
        </w:rPr>
      </w:pPr>
    </w:p>
    <w:p w14:paraId="02E4215C" w14:textId="77777777" w:rsidR="00F414D5" w:rsidRPr="00B912AA" w:rsidRDefault="00F414D5" w:rsidP="00F414D5">
      <w:pPr>
        <w:spacing w:line="360" w:lineRule="auto"/>
        <w:ind w:left="567" w:right="539"/>
        <w:jc w:val="both"/>
        <w:rPr>
          <w:rFonts w:ascii="Palatino Linotype" w:eastAsia="Calibri" w:hAnsi="Palatino Linotype" w:cs="Tahoma"/>
          <w:bCs/>
          <w:i/>
          <w:lang w:val="es-ES"/>
        </w:rPr>
      </w:pPr>
      <w:r w:rsidRPr="00B912AA">
        <w:rPr>
          <w:rFonts w:ascii="Palatino Linotype" w:eastAsia="Calibri" w:hAnsi="Palatino Linotype" w:cs="Tahoma"/>
          <w:b/>
          <w:bCs/>
          <w:i/>
          <w:lang w:val="es-ES"/>
        </w:rPr>
        <w:t>Artículo 144.</w:t>
      </w:r>
      <w:r w:rsidRPr="00B912AA">
        <w:rPr>
          <w:rFonts w:ascii="Palatino Linotype" w:eastAsia="Calibri" w:hAnsi="Palatino Linotype" w:cs="Tahoma"/>
          <w:bCs/>
          <w:i/>
          <w:lang w:val="es-ES"/>
        </w:rPr>
        <w:t>- Por los servicios prestados por desarrollo urbano y obras públicas municipales, se pagarán los siguientes derechos:</w:t>
      </w:r>
    </w:p>
    <w:p w14:paraId="04E079C0" w14:textId="77777777" w:rsidR="00F414D5" w:rsidRDefault="00B505ED" w:rsidP="00F414D5">
      <w:pPr>
        <w:spacing w:line="360" w:lineRule="auto"/>
        <w:ind w:left="567" w:right="539"/>
        <w:jc w:val="both"/>
        <w:rPr>
          <w:rFonts w:ascii="Palatino Linotype" w:eastAsia="Calibri" w:hAnsi="Palatino Linotype" w:cs="Tahoma"/>
          <w:bCs/>
          <w:i/>
          <w:lang w:val="es-ES"/>
        </w:rPr>
      </w:pPr>
      <w:r>
        <w:rPr>
          <w:rFonts w:ascii="Palatino Linotype" w:eastAsia="Calibri" w:hAnsi="Palatino Linotype" w:cs="Tahoma"/>
          <w:bCs/>
          <w:i/>
          <w:lang w:val="es-ES"/>
        </w:rPr>
        <w:t>I a XI</w:t>
      </w:r>
      <w:r w:rsidR="00F414D5" w:rsidRPr="00B912AA">
        <w:rPr>
          <w:rFonts w:ascii="Palatino Linotype" w:eastAsia="Calibri" w:hAnsi="Palatino Linotype" w:cs="Tahoma"/>
          <w:bCs/>
          <w:i/>
          <w:lang w:val="es-ES"/>
        </w:rPr>
        <w:t>…</w:t>
      </w:r>
    </w:p>
    <w:p w14:paraId="32AB7E7D" w14:textId="77777777" w:rsidR="00F414D5" w:rsidRPr="00B912AA" w:rsidRDefault="00B505ED" w:rsidP="00B505ED">
      <w:pPr>
        <w:spacing w:line="360" w:lineRule="auto"/>
        <w:ind w:left="567" w:right="539"/>
        <w:jc w:val="both"/>
        <w:rPr>
          <w:rFonts w:ascii="Palatino Linotype" w:eastAsia="Calibri" w:hAnsi="Palatino Linotype" w:cs="Tahoma"/>
          <w:bCs/>
          <w:i/>
          <w:lang w:val="es-ES"/>
        </w:rPr>
      </w:pPr>
      <w:r>
        <w:rPr>
          <w:rFonts w:ascii="Palatino Linotype" w:eastAsia="Calibri" w:hAnsi="Palatino Linotype" w:cs="Tahoma"/>
          <w:bCs/>
          <w:i/>
          <w:lang w:val="es-ES"/>
        </w:rPr>
        <w:t xml:space="preserve">XI. </w:t>
      </w:r>
      <w:r w:rsidRPr="00B505ED">
        <w:rPr>
          <w:rFonts w:ascii="Palatino Linotype" w:eastAsia="Calibri" w:hAnsi="Palatino Linotype" w:cs="Tahoma"/>
          <w:bCs/>
          <w:i/>
          <w:lang w:val="es-ES"/>
        </w:rPr>
        <w:t xml:space="preserve">Por la </w:t>
      </w:r>
      <w:r w:rsidRPr="00B505ED">
        <w:rPr>
          <w:rFonts w:ascii="Palatino Linotype" w:eastAsia="Calibri" w:hAnsi="Palatino Linotype" w:cs="Tahoma"/>
          <w:b/>
          <w:bCs/>
          <w:i/>
          <w:lang w:val="es-ES"/>
        </w:rPr>
        <w:t>autorización de cambios de uso del suelo, de densidad e intensidad de su aprovechamiento, así como por cambios de altura de edificaciones</w:t>
      </w:r>
      <w:r>
        <w:rPr>
          <w:rFonts w:ascii="Palatino Linotype" w:eastAsia="Calibri" w:hAnsi="Palatino Linotype" w:cs="Tahoma"/>
          <w:bCs/>
          <w:i/>
          <w:lang w:val="es-ES"/>
        </w:rPr>
        <w:t xml:space="preserve">, se pagará una cuota </w:t>
      </w:r>
      <w:r w:rsidRPr="00B505ED">
        <w:rPr>
          <w:rFonts w:ascii="Palatino Linotype" w:eastAsia="Calibri" w:hAnsi="Palatino Linotype" w:cs="Tahoma"/>
          <w:bCs/>
          <w:i/>
          <w:lang w:val="es-ES"/>
        </w:rPr>
        <w:t xml:space="preserve">equivalente a 50.0 veces el valor diario de la Unidad de Medida y Actualización </w:t>
      </w:r>
      <w:proofErr w:type="gramStart"/>
      <w:r w:rsidRPr="00B505ED">
        <w:rPr>
          <w:rFonts w:ascii="Palatino Linotype" w:eastAsia="Calibri" w:hAnsi="Palatino Linotype" w:cs="Tahoma"/>
          <w:bCs/>
          <w:i/>
          <w:lang w:val="es-ES"/>
        </w:rPr>
        <w:t>vigente.</w:t>
      </w:r>
      <w:r w:rsidR="00F414D5" w:rsidRPr="00B912AA">
        <w:rPr>
          <w:rFonts w:ascii="Palatino Linotype" w:eastAsia="Calibri" w:hAnsi="Palatino Linotype" w:cs="Tahoma"/>
          <w:bCs/>
          <w:i/>
          <w:lang w:val="es-ES"/>
        </w:rPr>
        <w:t>.</w:t>
      </w:r>
      <w:proofErr w:type="gramEnd"/>
    </w:p>
    <w:p w14:paraId="782053AB" w14:textId="77777777" w:rsidR="00F414D5" w:rsidRDefault="00F414D5" w:rsidP="00F414D5">
      <w:pPr>
        <w:spacing w:line="360" w:lineRule="auto"/>
        <w:ind w:right="-91"/>
        <w:jc w:val="both"/>
        <w:rPr>
          <w:rFonts w:ascii="Palatino Linotype" w:eastAsia="Calibri" w:hAnsi="Palatino Linotype" w:cs="Tahoma"/>
          <w:bCs/>
          <w:lang w:val="es-ES"/>
        </w:rPr>
      </w:pPr>
    </w:p>
    <w:p w14:paraId="0B36C903" w14:textId="77777777" w:rsidR="00F414D5" w:rsidRPr="00B505ED" w:rsidRDefault="00F414D5" w:rsidP="00B505ED">
      <w:pPr>
        <w:pStyle w:val="Prrafodelista"/>
        <w:numPr>
          <w:ilvl w:val="0"/>
          <w:numId w:val="1"/>
        </w:numPr>
        <w:spacing w:after="0" w:line="360" w:lineRule="auto"/>
        <w:ind w:left="0" w:firstLine="0"/>
        <w:jc w:val="both"/>
        <w:rPr>
          <w:rFonts w:ascii="Palatino Linotype" w:eastAsia="Calibri" w:hAnsi="Palatino Linotype" w:cs="Tahoma"/>
          <w:bCs/>
          <w:i/>
          <w:sz w:val="24"/>
          <w:szCs w:val="24"/>
          <w:lang w:val="es-ES"/>
        </w:rPr>
      </w:pPr>
      <w:r w:rsidRPr="00B505ED">
        <w:rPr>
          <w:rFonts w:ascii="Palatino Linotype" w:eastAsia="Calibri" w:hAnsi="Palatino Linotype" w:cs="Tahoma"/>
          <w:bCs/>
          <w:sz w:val="24"/>
          <w:szCs w:val="24"/>
          <w:lang w:val="es-ES"/>
        </w:rPr>
        <w:t xml:space="preserve">De lo anterior, se advierte que el pago </w:t>
      </w:r>
      <w:r w:rsidR="00B505ED" w:rsidRPr="00B505ED">
        <w:rPr>
          <w:rFonts w:ascii="Palatino Linotype" w:eastAsia="Calibri" w:hAnsi="Palatino Linotype" w:cs="Tahoma"/>
          <w:bCs/>
          <w:sz w:val="24"/>
          <w:szCs w:val="24"/>
          <w:lang w:val="es-ES"/>
        </w:rPr>
        <w:t>de autorizaciones de cambio de uso de sueldo</w:t>
      </w:r>
      <w:r w:rsidRPr="00B505ED">
        <w:rPr>
          <w:rFonts w:ascii="Palatino Linotype" w:eastAsia="Calibri" w:hAnsi="Palatino Linotype" w:cs="Tahoma"/>
          <w:bCs/>
          <w:sz w:val="24"/>
          <w:szCs w:val="24"/>
          <w:lang w:val="es-ES"/>
        </w:rPr>
        <w:t xml:space="preserve">, no da cuenta de datos personales, ya que el precio de la misma se encuentra establecida en el Código Financiero arriba señalado, por lo </w:t>
      </w:r>
      <w:proofErr w:type="gramStart"/>
      <w:r w:rsidRPr="00B505ED">
        <w:rPr>
          <w:rFonts w:ascii="Palatino Linotype" w:eastAsia="Calibri" w:hAnsi="Palatino Linotype" w:cs="Tahoma"/>
          <w:bCs/>
          <w:sz w:val="24"/>
          <w:szCs w:val="24"/>
          <w:lang w:val="es-ES"/>
        </w:rPr>
        <w:t>que</w:t>
      </w:r>
      <w:proofErr w:type="gramEnd"/>
      <w:r w:rsidRPr="00B505ED">
        <w:rPr>
          <w:rFonts w:ascii="Palatino Linotype" w:eastAsia="Calibri" w:hAnsi="Palatino Linotype" w:cs="Tahoma"/>
          <w:bCs/>
          <w:sz w:val="24"/>
          <w:szCs w:val="24"/>
          <w:lang w:val="es-ES"/>
        </w:rPr>
        <w:t xml:space="preserve">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constituyen un elemento adicional que permite a cualquier persona verificar la </w:t>
      </w:r>
      <w:r w:rsidRPr="00B505ED">
        <w:rPr>
          <w:rFonts w:ascii="Palatino Linotype" w:eastAsia="Calibri" w:hAnsi="Palatino Linotype" w:cs="Tahoma"/>
          <w:bCs/>
          <w:sz w:val="24"/>
          <w:szCs w:val="24"/>
          <w:lang w:val="es-ES"/>
        </w:rPr>
        <w:lastRenderedPageBreak/>
        <w:t xml:space="preserve">legitimidad del documento entregado en una solicitud de acceso a la información y, por sí solos no contienen datos personales susceptibles de clasificación, ya que no hacen identificado o identificable a su titular, </w:t>
      </w:r>
    </w:p>
    <w:p w14:paraId="4FCA39F4" w14:textId="77777777" w:rsidR="00F414D5" w:rsidRPr="00B505ED" w:rsidRDefault="00F414D5" w:rsidP="00F414D5">
      <w:pPr>
        <w:spacing w:line="360" w:lineRule="auto"/>
        <w:ind w:right="-91"/>
        <w:jc w:val="both"/>
        <w:rPr>
          <w:rFonts w:ascii="Palatino Linotype" w:eastAsia="Calibri" w:hAnsi="Palatino Linotype" w:cs="Tahoma"/>
          <w:bCs/>
          <w:sz w:val="24"/>
          <w:szCs w:val="24"/>
          <w:lang w:val="es-ES"/>
        </w:rPr>
      </w:pPr>
    </w:p>
    <w:p w14:paraId="1C1E1285" w14:textId="77777777" w:rsidR="00F414D5" w:rsidRPr="00B505ED" w:rsidRDefault="00F414D5" w:rsidP="00B505ED">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B505ED">
        <w:rPr>
          <w:rFonts w:ascii="Palatino Linotype" w:eastAsia="Calibri" w:hAnsi="Palatino Linotype" w:cs="Tahoma"/>
          <w:bCs/>
          <w:sz w:val="24"/>
          <w:szCs w:val="24"/>
          <w:lang w:val="es-ES"/>
        </w:rPr>
        <w:t xml:space="preserve">Es decir, por sí solos estos datos no contienen información personal confidencial, por lo que se considera que </w:t>
      </w:r>
      <w:r w:rsidRPr="00B505ED">
        <w:rPr>
          <w:rFonts w:ascii="Palatino Linotype" w:eastAsia="Calibri" w:hAnsi="Palatino Linotype" w:cs="Tahoma"/>
          <w:b/>
          <w:bCs/>
          <w:sz w:val="24"/>
          <w:szCs w:val="24"/>
          <w:lang w:val="es-ES"/>
        </w:rPr>
        <w:t>no actualizan en supuesto de confidencialidad</w:t>
      </w:r>
      <w:r w:rsidRPr="00B505ED">
        <w:rPr>
          <w:rFonts w:ascii="Palatino Linotype" w:eastAsia="Calibri" w:hAnsi="Palatino Linotype" w:cs="Tahoma"/>
          <w:bCs/>
          <w:sz w:val="24"/>
          <w:szCs w:val="24"/>
          <w:lang w:val="es-ES"/>
        </w:rPr>
        <w:t xml:space="preserve"> previsto en el artículo 143, fracción I, de la Ley de Transparencia y Acceso a la Información Pública del Estado de México y Municipios y, por el contrario, son información que permite corroborar la legitimidad de los documentos, de ser el caso, por lo que guardan el carácter de público.</w:t>
      </w:r>
    </w:p>
    <w:p w14:paraId="48B939BB" w14:textId="77777777" w:rsidR="00F414D5" w:rsidRDefault="00F414D5" w:rsidP="00F414D5">
      <w:pPr>
        <w:spacing w:line="360" w:lineRule="auto"/>
        <w:jc w:val="both"/>
        <w:rPr>
          <w:rFonts w:ascii="Palatino Linotype" w:eastAsia="Calibri" w:hAnsi="Palatino Linotype" w:cs="Tahoma"/>
          <w:lang w:eastAsia="es-ES_tradnl"/>
        </w:rPr>
      </w:pPr>
    </w:p>
    <w:p w14:paraId="04E8845E" w14:textId="77777777" w:rsidR="00B505ED" w:rsidRPr="0044592A" w:rsidRDefault="00B505ED" w:rsidP="00B505ED">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Pr>
          <w:rFonts w:ascii="Palatino Linotype" w:eastAsia="Calibri" w:hAnsi="Palatino Linotype" w:cs="Tahoma"/>
          <w:bCs/>
          <w:sz w:val="24"/>
          <w:szCs w:val="24"/>
          <w:lang w:val="es-ES"/>
        </w:rPr>
        <w:t xml:space="preserve">Finalmente, en relación </w:t>
      </w:r>
      <w:r w:rsidRPr="0044592A">
        <w:rPr>
          <w:rFonts w:ascii="Palatino Linotype" w:eastAsia="Calibri" w:hAnsi="Palatino Linotype" w:cs="Tahoma"/>
          <w:bCs/>
          <w:sz w:val="24"/>
          <w:szCs w:val="24"/>
          <w:lang w:val="es-ES"/>
        </w:rPr>
        <w:t xml:space="preserve">a la </w:t>
      </w:r>
      <w:r w:rsidRPr="0044592A">
        <w:rPr>
          <w:rFonts w:ascii="Palatino Linotype" w:eastAsia="Calibri" w:hAnsi="Palatino Linotype" w:cs="Tahoma"/>
          <w:b/>
          <w:bCs/>
          <w:sz w:val="24"/>
          <w:szCs w:val="24"/>
          <w:lang w:val="es-ES"/>
        </w:rPr>
        <w:t>clave catastral</w:t>
      </w:r>
      <w:r w:rsidRPr="0044592A">
        <w:rPr>
          <w:rFonts w:ascii="Palatino Linotype" w:eastAsia="Calibri" w:hAnsi="Palatino Linotype" w:cs="Tahoma"/>
          <w:bCs/>
          <w:sz w:val="24"/>
          <w:szCs w:val="24"/>
          <w:lang w:val="es-ES"/>
        </w:rPr>
        <w:t>;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672ABDEC" w14:textId="77777777" w:rsidR="00B505ED" w:rsidRPr="0044592A" w:rsidRDefault="00B505ED" w:rsidP="00B505ED">
      <w:pPr>
        <w:spacing w:line="360" w:lineRule="auto"/>
        <w:ind w:right="-93"/>
        <w:jc w:val="both"/>
        <w:rPr>
          <w:rFonts w:ascii="Palatino Linotype" w:eastAsia="Calibri" w:hAnsi="Palatino Linotype" w:cs="Tahoma"/>
          <w:bCs/>
          <w:sz w:val="24"/>
          <w:szCs w:val="24"/>
          <w:lang w:val="es-ES"/>
        </w:rPr>
      </w:pPr>
    </w:p>
    <w:p w14:paraId="6DC4F447" w14:textId="77777777" w:rsidR="00B505ED" w:rsidRPr="0044592A" w:rsidRDefault="00B505ED" w:rsidP="00B505ED">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44592A">
        <w:rPr>
          <w:rFonts w:ascii="Palatino Linotype" w:eastAsia="Calibri" w:hAnsi="Palatino Linotype" w:cs="Tahoma"/>
          <w:bCs/>
          <w:sz w:val="24"/>
          <w:szCs w:val="24"/>
          <w:lang w:val="es-ES"/>
        </w:rPr>
        <w:t>El diccionario de Datos catastrales Escala 1:1000 del Instituto Nacional de Estadística y Geografía (INEGI), contempla en su glosario la definición de clave catastral, la cual, es la siguiente:</w:t>
      </w:r>
    </w:p>
    <w:p w14:paraId="37DC3710" w14:textId="77777777" w:rsidR="00B505ED" w:rsidRPr="0044592A" w:rsidRDefault="00B505ED" w:rsidP="00B505ED">
      <w:pPr>
        <w:spacing w:line="360" w:lineRule="auto"/>
        <w:ind w:right="-93"/>
        <w:jc w:val="both"/>
        <w:rPr>
          <w:rFonts w:ascii="Palatino Linotype" w:eastAsia="Calibri" w:hAnsi="Palatino Linotype" w:cs="Tahoma"/>
          <w:bCs/>
          <w:sz w:val="24"/>
          <w:szCs w:val="24"/>
          <w:lang w:val="es-ES"/>
        </w:rPr>
      </w:pPr>
    </w:p>
    <w:p w14:paraId="1639309D" w14:textId="77777777" w:rsidR="00B505ED" w:rsidRPr="0044592A" w:rsidRDefault="00B505ED" w:rsidP="00B505ED">
      <w:pPr>
        <w:spacing w:line="360" w:lineRule="auto"/>
        <w:ind w:left="567" w:right="539"/>
        <w:jc w:val="both"/>
        <w:rPr>
          <w:rFonts w:ascii="Palatino Linotype" w:eastAsia="Calibri" w:hAnsi="Palatino Linotype" w:cs="Tahoma"/>
          <w:bCs/>
          <w:i/>
          <w:sz w:val="24"/>
          <w:szCs w:val="24"/>
          <w:lang w:val="es-ES"/>
        </w:rPr>
      </w:pPr>
      <w:r w:rsidRPr="0044592A">
        <w:rPr>
          <w:rFonts w:ascii="Palatino Linotype" w:eastAsia="Calibri" w:hAnsi="Palatino Linotype" w:cs="Tahoma"/>
          <w:bCs/>
          <w:i/>
          <w:sz w:val="24"/>
          <w:szCs w:val="24"/>
          <w:lang w:val="es-ES"/>
        </w:rPr>
        <w:lastRenderedPageBreak/>
        <w:t>“</w:t>
      </w:r>
      <w:r w:rsidRPr="0044592A">
        <w:rPr>
          <w:rFonts w:ascii="Palatino Linotype" w:eastAsia="Calibri" w:hAnsi="Palatino Linotype" w:cs="Tahoma"/>
          <w:b/>
          <w:bCs/>
          <w:i/>
          <w:sz w:val="24"/>
          <w:szCs w:val="24"/>
          <w:lang w:val="es-ES"/>
        </w:rPr>
        <w:t xml:space="preserve">Clave catastral: </w:t>
      </w:r>
      <w:r w:rsidRPr="0044592A">
        <w:rPr>
          <w:rFonts w:ascii="Palatino Linotype" w:eastAsia="Calibri" w:hAnsi="Palatino Linotype" w:cs="Tahoma"/>
          <w:bCs/>
          <w:i/>
          <w:sz w:val="24"/>
          <w:szCs w:val="24"/>
          <w:lang w:val="es-ES"/>
        </w:rPr>
        <w:t>El código que identifica al predio de forma única para su localización geográfica, mismo que es asignado a cada uno de ellos en el momento de su inscripción en el padrón catastral por las Unidades del estado con atribuciones catastrales”</w:t>
      </w:r>
    </w:p>
    <w:p w14:paraId="2B0ABBAC" w14:textId="77777777" w:rsidR="00B505ED" w:rsidRPr="0044592A" w:rsidRDefault="00B505ED" w:rsidP="00B505ED">
      <w:pPr>
        <w:spacing w:line="360" w:lineRule="auto"/>
        <w:ind w:right="-93"/>
        <w:jc w:val="both"/>
        <w:rPr>
          <w:rFonts w:ascii="Palatino Linotype" w:eastAsia="Calibri" w:hAnsi="Palatino Linotype" w:cs="Tahoma"/>
          <w:bCs/>
          <w:sz w:val="24"/>
          <w:szCs w:val="24"/>
          <w:lang w:val="es-ES"/>
        </w:rPr>
      </w:pPr>
    </w:p>
    <w:p w14:paraId="55CE77A5" w14:textId="77777777" w:rsidR="00B505ED" w:rsidRPr="0044592A" w:rsidRDefault="00B505ED" w:rsidP="00B505ED">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44592A">
        <w:rPr>
          <w:rFonts w:ascii="Palatino Linotype" w:eastAsia="Calibri" w:hAnsi="Palatino Linotype" w:cs="Tahoma"/>
          <w:bCs/>
          <w:sz w:val="24"/>
          <w:szCs w:val="24"/>
          <w:lang w:val="es-ES"/>
        </w:rPr>
        <w:t>Así mismo, dicho diccionario estipula dos tipos de Claves catastrales, siendo estas la Estándar y la Original, cuyo diccionario de datos catastrales Escala 1:1000 del INEGI, las define como</w:t>
      </w:r>
    </w:p>
    <w:p w14:paraId="6CD0DDB0" w14:textId="77777777" w:rsidR="00B505ED" w:rsidRPr="0044592A" w:rsidRDefault="00B505ED" w:rsidP="00B505ED">
      <w:pPr>
        <w:spacing w:line="360" w:lineRule="auto"/>
        <w:ind w:right="-93"/>
        <w:jc w:val="both"/>
        <w:rPr>
          <w:rFonts w:ascii="Palatino Linotype" w:eastAsia="Calibri" w:hAnsi="Palatino Linotype" w:cs="Tahoma"/>
          <w:bCs/>
          <w:sz w:val="24"/>
          <w:szCs w:val="24"/>
          <w:lang w:val="es-ES"/>
        </w:rPr>
      </w:pPr>
    </w:p>
    <w:p w14:paraId="23D5A698" w14:textId="77777777" w:rsidR="00B505ED" w:rsidRPr="0044592A" w:rsidRDefault="00B505ED" w:rsidP="00B505ED">
      <w:pPr>
        <w:spacing w:line="360" w:lineRule="auto"/>
        <w:ind w:left="567" w:right="539"/>
        <w:jc w:val="both"/>
        <w:rPr>
          <w:rFonts w:ascii="Palatino Linotype" w:eastAsia="Calibri" w:hAnsi="Palatino Linotype" w:cs="Tahoma"/>
          <w:bCs/>
          <w:i/>
          <w:sz w:val="24"/>
          <w:szCs w:val="24"/>
          <w:lang w:val="es-ES"/>
        </w:rPr>
      </w:pPr>
      <w:r w:rsidRPr="0044592A">
        <w:rPr>
          <w:rFonts w:ascii="Palatino Linotype" w:eastAsia="Calibri" w:hAnsi="Palatino Linotype" w:cs="Tahoma"/>
          <w:bCs/>
          <w:i/>
          <w:sz w:val="24"/>
          <w:szCs w:val="24"/>
          <w:lang w:val="es-ES"/>
        </w:rPr>
        <w:t>“</w:t>
      </w:r>
      <w:r w:rsidRPr="0044592A">
        <w:rPr>
          <w:rFonts w:ascii="Palatino Linotype" w:eastAsia="Calibri" w:hAnsi="Palatino Linotype" w:cs="Tahoma"/>
          <w:b/>
          <w:bCs/>
          <w:i/>
          <w:sz w:val="24"/>
          <w:szCs w:val="24"/>
          <w:lang w:val="es-ES"/>
        </w:rPr>
        <w:t xml:space="preserve">CLAVE CATASTRAL ESTÁNDAR: </w:t>
      </w:r>
      <w:r w:rsidRPr="0044592A">
        <w:rPr>
          <w:rFonts w:ascii="Palatino Linotype" w:eastAsia="Calibri" w:hAnsi="Palatino Linotype" w:cs="Tahoma"/>
          <w:bCs/>
          <w:i/>
          <w:sz w:val="24"/>
          <w:szCs w:val="24"/>
          <w:lang w:val="es-ES"/>
        </w:rPr>
        <w:t xml:space="preserve">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44592A">
        <w:rPr>
          <w:rFonts w:ascii="Palatino Linotype" w:eastAsia="Calibri" w:hAnsi="Palatino Linotype" w:cs="Tahoma"/>
          <w:bCs/>
          <w:i/>
          <w:sz w:val="24"/>
          <w:szCs w:val="24"/>
          <w:lang w:val="es-ES"/>
        </w:rPr>
        <w:t>Manzana(</w:t>
      </w:r>
      <w:proofErr w:type="gramEnd"/>
      <w:r w:rsidRPr="0044592A">
        <w:rPr>
          <w:rFonts w:ascii="Palatino Linotype" w:eastAsia="Calibri" w:hAnsi="Palatino Linotype" w:cs="Tahoma"/>
          <w:bCs/>
          <w:i/>
          <w:sz w:val="24"/>
          <w:szCs w:val="24"/>
          <w:lang w:val="es-ES"/>
        </w:rPr>
        <w:t>3) + Predio (5) +  Condominio: edificio (2) y unidad (4).</w:t>
      </w:r>
    </w:p>
    <w:p w14:paraId="5664E039" w14:textId="77777777" w:rsidR="00B505ED" w:rsidRPr="0044592A" w:rsidRDefault="00B505ED" w:rsidP="00B505ED">
      <w:pPr>
        <w:spacing w:line="360" w:lineRule="auto"/>
        <w:ind w:left="567" w:right="539"/>
        <w:jc w:val="both"/>
        <w:rPr>
          <w:rFonts w:ascii="Palatino Linotype" w:eastAsia="Calibri" w:hAnsi="Palatino Linotype" w:cs="Tahoma"/>
          <w:bCs/>
          <w:i/>
          <w:sz w:val="24"/>
          <w:szCs w:val="24"/>
          <w:lang w:val="es-ES"/>
        </w:rPr>
      </w:pPr>
    </w:p>
    <w:p w14:paraId="76FABDB9" w14:textId="77777777" w:rsidR="00B505ED" w:rsidRPr="0044592A" w:rsidRDefault="00B505ED" w:rsidP="00B505ED">
      <w:pPr>
        <w:spacing w:line="360" w:lineRule="auto"/>
        <w:ind w:left="567" w:right="539"/>
        <w:jc w:val="both"/>
        <w:rPr>
          <w:rFonts w:ascii="Palatino Linotype" w:eastAsia="Calibri" w:hAnsi="Palatino Linotype" w:cs="Tahoma"/>
          <w:b/>
          <w:bCs/>
          <w:i/>
          <w:sz w:val="24"/>
          <w:szCs w:val="24"/>
          <w:lang w:val="es-ES"/>
        </w:rPr>
      </w:pPr>
      <w:r w:rsidRPr="0044592A">
        <w:rPr>
          <w:rFonts w:ascii="Palatino Linotype" w:eastAsia="Calibri" w:hAnsi="Palatino Linotype" w:cs="Tahoma"/>
          <w:b/>
          <w:bCs/>
          <w:i/>
          <w:sz w:val="24"/>
          <w:szCs w:val="24"/>
          <w:lang w:val="es-ES"/>
        </w:rPr>
        <w:t xml:space="preserve">CLAVE CATASTRAL ORIGINAL: </w:t>
      </w:r>
      <w:r w:rsidRPr="0044592A">
        <w:rPr>
          <w:rFonts w:ascii="Palatino Linotype" w:eastAsia="Calibri" w:hAnsi="Palatino Linotype" w:cs="Tahoma"/>
          <w:bCs/>
          <w:i/>
          <w:sz w:val="24"/>
          <w:szCs w:val="24"/>
          <w:lang w:val="es-ES"/>
        </w:rPr>
        <w:t>Código que identifica al objeto espacial el cual es asignado, por el Catastro Estatal, Municipal o por el registro Agrario Nacional”</w:t>
      </w:r>
      <w:r w:rsidRPr="0044592A">
        <w:rPr>
          <w:rFonts w:ascii="Palatino Linotype" w:eastAsia="Calibri" w:hAnsi="Palatino Linotype" w:cs="Tahoma"/>
          <w:b/>
          <w:bCs/>
          <w:i/>
          <w:sz w:val="24"/>
          <w:szCs w:val="24"/>
          <w:lang w:val="es-ES"/>
        </w:rPr>
        <w:t xml:space="preserve"> </w:t>
      </w:r>
    </w:p>
    <w:p w14:paraId="0C4D6C4E" w14:textId="77777777" w:rsidR="00B505ED" w:rsidRPr="0044592A" w:rsidRDefault="00B505ED" w:rsidP="00B505ED">
      <w:pPr>
        <w:spacing w:line="360" w:lineRule="auto"/>
        <w:ind w:right="-93"/>
        <w:jc w:val="both"/>
        <w:rPr>
          <w:rFonts w:ascii="Palatino Linotype" w:eastAsia="Calibri" w:hAnsi="Palatino Linotype" w:cs="Tahoma"/>
          <w:bCs/>
          <w:sz w:val="24"/>
          <w:szCs w:val="24"/>
          <w:lang w:val="es-ES"/>
        </w:rPr>
      </w:pPr>
    </w:p>
    <w:p w14:paraId="114096D3" w14:textId="77777777" w:rsidR="00B505ED" w:rsidRDefault="00B505ED" w:rsidP="00B505ED">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44592A">
        <w:rPr>
          <w:rFonts w:ascii="Palatino Linotype" w:eastAsia="Calibri" w:hAnsi="Palatino Linotype" w:cs="Tahoma"/>
          <w:bCs/>
          <w:sz w:val="24"/>
          <w:szCs w:val="24"/>
          <w:lang w:val="es-E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44592A">
        <w:rPr>
          <w:rFonts w:ascii="Palatino Linotype" w:eastAsia="Calibri" w:hAnsi="Palatino Linotype" w:cs="Tahoma"/>
          <w:b/>
          <w:bCs/>
          <w:sz w:val="24"/>
          <w:szCs w:val="24"/>
          <w:lang w:val="es-ES"/>
        </w:rPr>
        <w:t>procede a clasific</w:t>
      </w:r>
      <w:r>
        <w:rPr>
          <w:rFonts w:ascii="Palatino Linotype" w:eastAsia="Calibri" w:hAnsi="Palatino Linotype" w:cs="Tahoma"/>
          <w:b/>
          <w:bCs/>
          <w:sz w:val="24"/>
          <w:szCs w:val="24"/>
          <w:lang w:val="es-ES"/>
        </w:rPr>
        <w:t xml:space="preserve">ar dicho dato como confidencial; </w:t>
      </w:r>
      <w:r>
        <w:rPr>
          <w:rFonts w:ascii="Palatino Linotype" w:eastAsia="Calibri" w:hAnsi="Palatino Linotype" w:cs="Tahoma"/>
          <w:bCs/>
          <w:sz w:val="24"/>
          <w:szCs w:val="24"/>
          <w:lang w:val="es-ES"/>
        </w:rPr>
        <w:lastRenderedPageBreak/>
        <w:t xml:space="preserve">clasificación que se ordena por ser criterio de la mayoría de los integrantes del Pleno de este Instituto, por lo que al respecto emitiré voto particular. </w:t>
      </w:r>
    </w:p>
    <w:p w14:paraId="75E6CFC0" w14:textId="77777777" w:rsidR="00B505ED" w:rsidRDefault="00B505ED" w:rsidP="00B505ED">
      <w:pPr>
        <w:pStyle w:val="Prrafodelista"/>
        <w:spacing w:after="0" w:line="360" w:lineRule="auto"/>
        <w:ind w:left="0"/>
        <w:jc w:val="both"/>
        <w:rPr>
          <w:rFonts w:ascii="Palatino Linotype" w:eastAsia="Calibri" w:hAnsi="Palatino Linotype" w:cs="Tahoma"/>
          <w:bCs/>
          <w:sz w:val="24"/>
          <w:szCs w:val="24"/>
          <w:lang w:val="es-ES"/>
        </w:rPr>
      </w:pPr>
    </w:p>
    <w:p w14:paraId="32BCF44F" w14:textId="77777777" w:rsidR="002243F2" w:rsidRPr="002243F2" w:rsidRDefault="00F414D5" w:rsidP="00D22DE9">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2243F2">
        <w:rPr>
          <w:rFonts w:ascii="Palatino Linotype" w:eastAsia="Calibri" w:hAnsi="Palatino Linotype" w:cs="Tahoma"/>
          <w:bCs/>
          <w:sz w:val="24"/>
          <w:szCs w:val="24"/>
          <w:lang w:val="es-ES"/>
        </w:rPr>
        <w:t>De</w:t>
      </w:r>
      <w:r w:rsidR="00B505ED" w:rsidRPr="002243F2">
        <w:rPr>
          <w:rFonts w:ascii="Palatino Linotype" w:eastAsia="Calibri" w:hAnsi="Palatino Linotype" w:cs="Tahoma"/>
          <w:bCs/>
          <w:sz w:val="24"/>
          <w:szCs w:val="24"/>
          <w:lang w:val="es-ES"/>
        </w:rPr>
        <w:t xml:space="preserve"> lo anterior, se advierte que en la versión pública de las prórrogas de autorización de cambio de uso de suelo se clasificaron datos que son de interés público en razón de la naturaleza y fines de los documentos solicitados; en este entendido, este Órgano Garante, determina ordenar la </w:t>
      </w:r>
      <w:proofErr w:type="gramStart"/>
      <w:r w:rsidR="00B505ED" w:rsidRPr="002243F2">
        <w:rPr>
          <w:rFonts w:ascii="Palatino Linotype" w:eastAsia="Calibri" w:hAnsi="Palatino Linotype" w:cs="Tahoma"/>
          <w:bCs/>
          <w:sz w:val="24"/>
          <w:szCs w:val="24"/>
          <w:lang w:val="es-ES"/>
        </w:rPr>
        <w:t>entrega  de</w:t>
      </w:r>
      <w:proofErr w:type="gramEnd"/>
      <w:r w:rsidR="00B505ED" w:rsidRPr="002243F2">
        <w:rPr>
          <w:rFonts w:ascii="Palatino Linotype" w:eastAsia="Calibri" w:hAnsi="Palatino Linotype" w:cs="Tahoma"/>
          <w:bCs/>
          <w:sz w:val="24"/>
          <w:szCs w:val="24"/>
          <w:lang w:val="es-ES"/>
        </w:rPr>
        <w:t xml:space="preserve"> la autorizaciones de prórroga de cambio de uso de suelo </w:t>
      </w:r>
      <w:r w:rsidR="00B50524" w:rsidRPr="002243F2">
        <w:rPr>
          <w:rFonts w:ascii="Palatino Linotype" w:eastAsia="Calibri" w:hAnsi="Palatino Linotype" w:cs="Tahoma"/>
          <w:bCs/>
          <w:sz w:val="24"/>
          <w:szCs w:val="24"/>
          <w:lang w:val="es-ES"/>
        </w:rPr>
        <w:t xml:space="preserve">remitidas en respuesta y las faltantes </w:t>
      </w:r>
      <w:r w:rsidR="002243F2">
        <w:rPr>
          <w:rFonts w:ascii="Palatino Linotype" w:eastAsia="Calibri" w:hAnsi="Palatino Linotype" w:cs="Tahoma"/>
          <w:sz w:val="24"/>
          <w:szCs w:val="24"/>
          <w:lang w:eastAsia="es-ES_tradnl"/>
        </w:rPr>
        <w:t>en versión pública.</w:t>
      </w:r>
    </w:p>
    <w:p w14:paraId="15F54269" w14:textId="77777777" w:rsidR="002243F2" w:rsidRPr="00B505ED" w:rsidRDefault="002243F2" w:rsidP="002243F2">
      <w:pPr>
        <w:pStyle w:val="Prrafodelista"/>
        <w:spacing w:after="0" w:line="360" w:lineRule="auto"/>
        <w:ind w:left="0"/>
        <w:jc w:val="both"/>
        <w:rPr>
          <w:rFonts w:ascii="Palatino Linotype" w:eastAsia="Calibri" w:hAnsi="Palatino Linotype" w:cs="Tahoma"/>
          <w:bCs/>
          <w:sz w:val="24"/>
          <w:szCs w:val="24"/>
          <w:lang w:val="es-ES"/>
        </w:rPr>
      </w:pPr>
    </w:p>
    <w:p w14:paraId="7D016319" w14:textId="77777777" w:rsidR="00A7165F" w:rsidRDefault="00B32595" w:rsidP="005212F1">
      <w:pPr>
        <w:pStyle w:val="Ttulo1"/>
      </w:pPr>
      <w:bookmarkStart w:id="24" w:name="_Toc70709640"/>
      <w:r>
        <w:t xml:space="preserve">V. </w:t>
      </w:r>
      <w:r w:rsidR="002243F2">
        <w:t>De</w:t>
      </w:r>
      <w:r w:rsidR="00A7165F">
        <w:t xml:space="preserve"> la </w:t>
      </w:r>
      <w:r w:rsidR="00A7165F" w:rsidRPr="00B32595">
        <w:rPr>
          <w:rFonts w:eastAsia="Calibri"/>
        </w:rPr>
        <w:t>modalidad</w:t>
      </w:r>
      <w:r w:rsidR="00A7165F">
        <w:t xml:space="preserve"> de entrega</w:t>
      </w:r>
      <w:bookmarkEnd w:id="20"/>
      <w:r w:rsidR="002243F2">
        <w:t>.</w:t>
      </w:r>
      <w:bookmarkEnd w:id="24"/>
      <w:r w:rsidR="002243F2">
        <w:t xml:space="preserve"> </w:t>
      </w:r>
    </w:p>
    <w:p w14:paraId="3943B5B0" w14:textId="77777777" w:rsidR="00A7165F" w:rsidRPr="004B2E3E" w:rsidRDefault="00A7165F" w:rsidP="00A7165F"/>
    <w:p w14:paraId="759DE14C" w14:textId="77777777" w:rsidR="002243F2" w:rsidRPr="00B50524" w:rsidRDefault="002243F2" w:rsidP="002243F2">
      <w:pPr>
        <w:pStyle w:val="Prrafodelista"/>
        <w:numPr>
          <w:ilvl w:val="0"/>
          <w:numId w:val="1"/>
        </w:numPr>
        <w:autoSpaceDE w:val="0"/>
        <w:autoSpaceDN w:val="0"/>
        <w:adjustRightInd w:val="0"/>
        <w:spacing w:before="240" w:after="240" w:line="360" w:lineRule="auto"/>
        <w:ind w:left="0" w:right="49" w:firstLine="0"/>
        <w:jc w:val="both"/>
        <w:rPr>
          <w:rFonts w:ascii="Palatino Linotype" w:hAnsi="Palatino Linotype"/>
          <w:sz w:val="24"/>
          <w:szCs w:val="24"/>
        </w:rPr>
      </w:pPr>
      <w:r w:rsidRPr="00B50524">
        <w:rPr>
          <w:rFonts w:ascii="Palatino Linotype" w:hAnsi="Palatino Linotype" w:cs="Arial"/>
          <w:color w:val="000000" w:themeColor="text1"/>
          <w:sz w:val="24"/>
          <w:szCs w:val="24"/>
        </w:rPr>
        <w:t>El legislador ha tenido el tino de establecer en la Ley una medida de que puede contribuir a la reparación integral de la persona afectada y que se contiene en el último artículo de nuestra ley y que consiste en una dimensión colectiva de responsabilidad, complementaria de la antes descrita, y que consiste en que el Sujeto Obligado entregue la información sin costo alguno para el solicitante cuando el Instituto determine que por negligencia no se hubiere atendido alguna solicitud en los términos de la ley, como a continuación se aprecia:</w:t>
      </w:r>
    </w:p>
    <w:p w14:paraId="44D921F0" w14:textId="77777777" w:rsidR="002243F2" w:rsidRPr="00B50524" w:rsidRDefault="002243F2" w:rsidP="002243F2">
      <w:pPr>
        <w:pStyle w:val="Prrafodelista"/>
        <w:rPr>
          <w:rFonts w:ascii="Palatino Linotype" w:hAnsi="Palatino Linotype"/>
          <w:sz w:val="24"/>
          <w:szCs w:val="24"/>
        </w:rPr>
      </w:pPr>
    </w:p>
    <w:p w14:paraId="58F7BB71" w14:textId="77777777" w:rsidR="002243F2" w:rsidRDefault="002243F2" w:rsidP="002243F2">
      <w:pPr>
        <w:pStyle w:val="Prrafodelista"/>
        <w:spacing w:before="240" w:after="240" w:line="360" w:lineRule="auto"/>
        <w:ind w:left="851" w:right="474"/>
        <w:jc w:val="both"/>
        <w:rPr>
          <w:rFonts w:ascii="Palatino Linotype" w:hAnsi="Palatino Linotype"/>
          <w:sz w:val="24"/>
          <w:szCs w:val="24"/>
        </w:rPr>
      </w:pPr>
      <w:r w:rsidRPr="00B50524">
        <w:rPr>
          <w:rFonts w:ascii="Palatino Linotype" w:hAnsi="Palatino Linotype"/>
          <w:i/>
          <w:sz w:val="24"/>
          <w:szCs w:val="24"/>
        </w:rPr>
        <w:t xml:space="preserve">“Artículo 234. En caso que el Instituto determine que por </w:t>
      </w:r>
      <w:r w:rsidRPr="00B50524">
        <w:rPr>
          <w:rFonts w:ascii="Palatino Linotype" w:hAnsi="Palatino Linotype"/>
          <w:b/>
          <w:i/>
          <w:sz w:val="24"/>
          <w:szCs w:val="24"/>
        </w:rPr>
        <w:t>negligencia</w:t>
      </w:r>
      <w:r w:rsidRPr="00B50524">
        <w:rPr>
          <w:rFonts w:ascii="Palatino Linotype" w:hAnsi="Palatino Linotype"/>
          <w:i/>
          <w:sz w:val="24"/>
          <w:szCs w:val="24"/>
        </w:rPr>
        <w:t xml:space="preserve"> no se hubiere atendido alguna solicitud en los términos de esta Ley, requerirá a la Unidad de Transparencia correspondiente para que proporcione la información </w:t>
      </w:r>
      <w:r w:rsidRPr="00B50524">
        <w:rPr>
          <w:rFonts w:ascii="Palatino Linotype" w:hAnsi="Palatino Linotype"/>
          <w:b/>
          <w:i/>
          <w:sz w:val="24"/>
          <w:szCs w:val="24"/>
        </w:rPr>
        <w:t>sin costo alguno para el solicitante</w:t>
      </w:r>
      <w:r w:rsidRPr="00B50524">
        <w:rPr>
          <w:rFonts w:ascii="Palatino Linotype" w:hAnsi="Palatino Linotype"/>
          <w:i/>
          <w:sz w:val="24"/>
          <w:szCs w:val="24"/>
        </w:rPr>
        <w:t xml:space="preserve">, dentro del plazo de quince días hábiles a partir del requerimiento.” </w:t>
      </w:r>
      <w:r w:rsidRPr="00B50524">
        <w:rPr>
          <w:rFonts w:ascii="Palatino Linotype" w:hAnsi="Palatino Linotype"/>
          <w:sz w:val="24"/>
          <w:szCs w:val="24"/>
        </w:rPr>
        <w:t>Énfasis añadido.</w:t>
      </w:r>
    </w:p>
    <w:p w14:paraId="32DED44A" w14:textId="77777777" w:rsidR="002243F2" w:rsidRPr="00B50524" w:rsidRDefault="002243F2" w:rsidP="002243F2">
      <w:pPr>
        <w:pStyle w:val="Prrafodelista"/>
        <w:spacing w:before="240" w:after="240" w:line="360" w:lineRule="auto"/>
        <w:ind w:left="851" w:right="474"/>
        <w:jc w:val="both"/>
        <w:rPr>
          <w:rFonts w:ascii="Palatino Linotype" w:hAnsi="Palatino Linotype"/>
          <w:sz w:val="24"/>
          <w:szCs w:val="24"/>
        </w:rPr>
      </w:pPr>
    </w:p>
    <w:p w14:paraId="2982E67D" w14:textId="77777777" w:rsidR="002243F2" w:rsidRDefault="002243F2" w:rsidP="002243F2">
      <w:pPr>
        <w:pStyle w:val="Prrafodelista"/>
        <w:numPr>
          <w:ilvl w:val="0"/>
          <w:numId w:val="1"/>
        </w:numPr>
        <w:autoSpaceDE w:val="0"/>
        <w:autoSpaceDN w:val="0"/>
        <w:adjustRightInd w:val="0"/>
        <w:spacing w:before="240" w:after="240" w:line="360" w:lineRule="auto"/>
        <w:ind w:left="0" w:right="49" w:firstLine="0"/>
        <w:jc w:val="both"/>
        <w:rPr>
          <w:rFonts w:ascii="Palatino Linotype" w:hAnsi="Palatino Linotype" w:cs="Arial"/>
          <w:i/>
          <w:color w:val="000000" w:themeColor="text1"/>
          <w:sz w:val="24"/>
          <w:szCs w:val="24"/>
        </w:rPr>
      </w:pPr>
      <w:r w:rsidRPr="00B50524">
        <w:rPr>
          <w:rFonts w:ascii="Palatino Linotype" w:hAnsi="Palatino Linotype" w:cs="Arial"/>
          <w:color w:val="000000" w:themeColor="text1"/>
          <w:sz w:val="24"/>
          <w:szCs w:val="24"/>
        </w:rPr>
        <w:lastRenderedPageBreak/>
        <w:t xml:space="preserve">Para valorar si en el caso en cuestión hubo o no negligencia. Partamos de las siguientes premisas: A) </w:t>
      </w:r>
      <w:r w:rsidRPr="00B50524">
        <w:rPr>
          <w:rFonts w:ascii="Palatino Linotype" w:hAnsi="Palatino Linotype" w:cs="Arial"/>
          <w:b/>
          <w:color w:val="000000" w:themeColor="text1"/>
          <w:sz w:val="24"/>
          <w:szCs w:val="24"/>
          <w:lang w:val="es-ES"/>
        </w:rPr>
        <w:t>La recurrente</w:t>
      </w:r>
      <w:r w:rsidRPr="00B50524">
        <w:rPr>
          <w:rFonts w:ascii="Palatino Linotype" w:hAnsi="Palatino Linotype" w:cs="Arial"/>
          <w:b/>
          <w:color w:val="000000" w:themeColor="text1"/>
          <w:sz w:val="24"/>
          <w:szCs w:val="24"/>
        </w:rPr>
        <w:t xml:space="preserve">, </w:t>
      </w:r>
      <w:r w:rsidRPr="00B50524">
        <w:rPr>
          <w:rFonts w:ascii="Palatino Linotype" w:hAnsi="Palatino Linotype" w:cs="Arial"/>
          <w:color w:val="000000" w:themeColor="text1"/>
          <w:sz w:val="24"/>
          <w:szCs w:val="24"/>
        </w:rPr>
        <w:t xml:space="preserve">requirió de manera clara, precisa y contundente que deseaba acceder a cierta información en CD-ROM (con costo). B) la autoridad emite contestación, en los términos planteados, C) Sin motivar ni fundar suficientemente. D) </w:t>
      </w:r>
      <w:r w:rsidRPr="00B50524">
        <w:rPr>
          <w:rFonts w:ascii="Palatino Linotype" w:hAnsi="Palatino Linotype" w:cs="Arial"/>
          <w:b/>
          <w:color w:val="000000" w:themeColor="text1"/>
          <w:sz w:val="24"/>
          <w:szCs w:val="24"/>
          <w:lang w:val="es-ES"/>
        </w:rPr>
        <w:t>La recurrente</w:t>
      </w:r>
      <w:r w:rsidRPr="00B50524">
        <w:rPr>
          <w:rFonts w:ascii="Palatino Linotype" w:hAnsi="Palatino Linotype" w:cs="Arial"/>
          <w:b/>
          <w:color w:val="000000" w:themeColor="text1"/>
          <w:sz w:val="24"/>
          <w:szCs w:val="24"/>
        </w:rPr>
        <w:t>,</w:t>
      </w:r>
      <w:r w:rsidRPr="00B50524">
        <w:rPr>
          <w:rFonts w:ascii="Palatino Linotype" w:hAnsi="Palatino Linotype" w:cs="Arial"/>
          <w:color w:val="000000" w:themeColor="text1"/>
          <w:sz w:val="24"/>
          <w:szCs w:val="24"/>
        </w:rPr>
        <w:t xml:space="preserve"> es consistente con su solicitud inicial y en tiempo y forma recurre la respuesta señalando la indebida clasificación de la información</w:t>
      </w:r>
      <w:r>
        <w:rPr>
          <w:rFonts w:ascii="Palatino Linotype" w:hAnsi="Palatino Linotype" w:cs="Arial"/>
          <w:color w:val="000000" w:themeColor="text1"/>
          <w:sz w:val="24"/>
          <w:szCs w:val="24"/>
        </w:rPr>
        <w:t xml:space="preserve"> y la entrega en una modalidad distinta a la señalada al momento de formular la solicitud</w:t>
      </w:r>
      <w:r w:rsidRPr="00B50524">
        <w:rPr>
          <w:rFonts w:ascii="Palatino Linotype" w:hAnsi="Palatino Linotype" w:cs="Arial"/>
          <w:color w:val="000000" w:themeColor="text1"/>
          <w:sz w:val="24"/>
          <w:szCs w:val="24"/>
        </w:rPr>
        <w:t xml:space="preserve">, por lo </w:t>
      </w:r>
      <w:proofErr w:type="gramStart"/>
      <w:r w:rsidRPr="00B50524">
        <w:rPr>
          <w:rFonts w:ascii="Palatino Linotype" w:hAnsi="Palatino Linotype" w:cs="Arial"/>
          <w:color w:val="000000" w:themeColor="text1"/>
          <w:sz w:val="24"/>
          <w:szCs w:val="24"/>
        </w:rPr>
        <w:t>tanto</w:t>
      </w:r>
      <w:proofErr w:type="gramEnd"/>
      <w:r w:rsidRPr="00B50524">
        <w:rPr>
          <w:rFonts w:ascii="Palatino Linotype" w:hAnsi="Palatino Linotype" w:cs="Arial"/>
          <w:color w:val="000000" w:themeColor="text1"/>
          <w:sz w:val="24"/>
          <w:szCs w:val="24"/>
        </w:rPr>
        <w:t xml:space="preserve"> no se le entregó la información requerida en sus términos, con lo que reitera contundentemente que su pretensión es acceder a la información. E) La autoridad responsable de la afectación del derecho de acceso a la información pública es la </w:t>
      </w:r>
      <w:r w:rsidRPr="00B50524">
        <w:rPr>
          <w:rFonts w:ascii="Palatino Linotype" w:hAnsi="Palatino Linotype" w:cs="Arial"/>
          <w:b/>
          <w:color w:val="000000" w:themeColor="text1"/>
          <w:sz w:val="24"/>
          <w:szCs w:val="24"/>
          <w:lang w:val="es-ES"/>
        </w:rPr>
        <w:t xml:space="preserve">Ayuntamiento de </w:t>
      </w:r>
      <w:r>
        <w:rPr>
          <w:rFonts w:ascii="Palatino Linotype" w:hAnsi="Palatino Linotype" w:cs="Arial"/>
          <w:b/>
          <w:color w:val="000000" w:themeColor="text1"/>
          <w:sz w:val="24"/>
          <w:szCs w:val="24"/>
          <w:lang w:val="es-ES"/>
        </w:rPr>
        <w:t>Atizapán de Zaragoza</w:t>
      </w:r>
      <w:r w:rsidRPr="00B50524">
        <w:rPr>
          <w:rFonts w:ascii="Palatino Linotype" w:hAnsi="Palatino Linotype" w:cs="Arial"/>
          <w:b/>
          <w:color w:val="000000" w:themeColor="text1"/>
          <w:sz w:val="24"/>
          <w:szCs w:val="24"/>
          <w:lang w:val="es-ES"/>
        </w:rPr>
        <w:t xml:space="preserve"> </w:t>
      </w:r>
      <w:r w:rsidRPr="00B50524">
        <w:rPr>
          <w:rFonts w:ascii="Palatino Linotype" w:hAnsi="Palatino Linotype" w:cs="Arial"/>
          <w:color w:val="000000" w:themeColor="text1"/>
          <w:sz w:val="24"/>
          <w:szCs w:val="24"/>
        </w:rPr>
        <w:t xml:space="preserve">que, según el artículo 1 de la Ley General de Transparencia y Acceso a la Información Pública </w:t>
      </w:r>
      <w:r w:rsidRPr="00B50524">
        <w:rPr>
          <w:rFonts w:ascii="Palatino Linotype" w:hAnsi="Palatino Linotype" w:cs="Arial"/>
          <w:i/>
          <w:color w:val="000000" w:themeColor="text1"/>
          <w:sz w:val="24"/>
          <w:szCs w:val="24"/>
        </w:rPr>
        <w:t xml:space="preserve">La Ley es de orden público y de observancia general en toda la República, es reglamentaria del artículo 6o. de la Constitución Política de los Estados Unidos Mexicanos, en materia de transparencia y acceso a la información. 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w:t>
      </w:r>
    </w:p>
    <w:p w14:paraId="1DD10774" w14:textId="77777777" w:rsidR="002243F2" w:rsidRDefault="002243F2" w:rsidP="002243F2">
      <w:pPr>
        <w:pStyle w:val="Prrafodelista"/>
        <w:autoSpaceDE w:val="0"/>
        <w:autoSpaceDN w:val="0"/>
        <w:adjustRightInd w:val="0"/>
        <w:spacing w:before="240" w:after="240" w:line="360" w:lineRule="auto"/>
        <w:ind w:left="0" w:right="49"/>
        <w:jc w:val="both"/>
        <w:rPr>
          <w:rFonts w:ascii="Palatino Linotype" w:hAnsi="Palatino Linotype" w:cs="Arial"/>
          <w:i/>
          <w:color w:val="000000" w:themeColor="text1"/>
          <w:sz w:val="24"/>
          <w:szCs w:val="24"/>
        </w:rPr>
      </w:pPr>
    </w:p>
    <w:p w14:paraId="7717AFE6" w14:textId="77777777" w:rsidR="002243F2" w:rsidRPr="00B50524" w:rsidRDefault="002243F2" w:rsidP="002243F2">
      <w:pPr>
        <w:pStyle w:val="Prrafodelista"/>
        <w:numPr>
          <w:ilvl w:val="0"/>
          <w:numId w:val="1"/>
        </w:numPr>
        <w:autoSpaceDE w:val="0"/>
        <w:autoSpaceDN w:val="0"/>
        <w:adjustRightInd w:val="0"/>
        <w:spacing w:before="240" w:after="240" w:line="360" w:lineRule="auto"/>
        <w:ind w:left="0" w:right="49" w:firstLine="0"/>
        <w:jc w:val="both"/>
        <w:rPr>
          <w:rFonts w:ascii="Palatino Linotype" w:hAnsi="Palatino Linotype" w:cs="Arial"/>
          <w:i/>
          <w:color w:val="000000" w:themeColor="text1"/>
          <w:sz w:val="24"/>
          <w:szCs w:val="24"/>
        </w:rPr>
      </w:pPr>
      <w:r w:rsidRPr="00B50524">
        <w:rPr>
          <w:rFonts w:ascii="Palatino Linotype" w:hAnsi="Palatino Linotype" w:cs="Arial"/>
          <w:color w:val="000000" w:themeColor="text1"/>
          <w:sz w:val="24"/>
          <w:szCs w:val="24"/>
        </w:rPr>
        <w:t xml:space="preserve">El </w:t>
      </w:r>
      <w:r w:rsidRPr="00B50524">
        <w:rPr>
          <w:rFonts w:ascii="Palatino Linotype" w:hAnsi="Palatino Linotype" w:cs="Arial"/>
          <w:b/>
          <w:color w:val="000000" w:themeColor="text1"/>
          <w:sz w:val="24"/>
          <w:szCs w:val="24"/>
        </w:rPr>
        <w:t>Ay</w:t>
      </w:r>
      <w:r>
        <w:rPr>
          <w:rFonts w:ascii="Palatino Linotype" w:hAnsi="Palatino Linotype" w:cs="Arial"/>
          <w:b/>
          <w:color w:val="000000" w:themeColor="text1"/>
          <w:sz w:val="24"/>
          <w:szCs w:val="24"/>
        </w:rPr>
        <w:t xml:space="preserve">untamiento de Atizapán de Zaragoza </w:t>
      </w:r>
      <w:r w:rsidRPr="00B50524">
        <w:rPr>
          <w:rFonts w:ascii="Palatino Linotype" w:hAnsi="Palatino Linotype" w:cs="Arial"/>
          <w:color w:val="000000" w:themeColor="text1"/>
          <w:sz w:val="24"/>
          <w:szCs w:val="24"/>
        </w:rPr>
        <w:t xml:space="preserve">deberá cumplir sus </w:t>
      </w:r>
      <w:proofErr w:type="gramStart"/>
      <w:r w:rsidRPr="00B50524">
        <w:rPr>
          <w:rFonts w:ascii="Palatino Linotype" w:hAnsi="Palatino Linotype" w:cs="Arial"/>
          <w:color w:val="000000" w:themeColor="text1"/>
          <w:sz w:val="24"/>
          <w:szCs w:val="24"/>
        </w:rPr>
        <w:t>funciones bajos</w:t>
      </w:r>
      <w:proofErr w:type="gramEnd"/>
      <w:r w:rsidRPr="00B50524">
        <w:rPr>
          <w:rFonts w:ascii="Palatino Linotype" w:hAnsi="Palatino Linotype" w:cs="Arial"/>
          <w:color w:val="000000" w:themeColor="text1"/>
          <w:sz w:val="24"/>
          <w:szCs w:val="24"/>
        </w:rPr>
        <w:t xml:space="preserve"> los principios de certeza, imparcialidad, objetividad, legalidad y probidad. Y precisamente por tratarse de una “máxima autoridad”, las obligaciones de protección y respeto a los derechos humanos constituyen obligaciones agravadas.</w:t>
      </w:r>
    </w:p>
    <w:p w14:paraId="62C404B0" w14:textId="77777777" w:rsidR="002243F2" w:rsidRPr="002243F2" w:rsidRDefault="002243F2" w:rsidP="002243F2">
      <w:pPr>
        <w:pStyle w:val="Prrafodelista"/>
        <w:autoSpaceDE w:val="0"/>
        <w:autoSpaceDN w:val="0"/>
        <w:adjustRightInd w:val="0"/>
        <w:spacing w:before="240" w:after="240" w:line="360" w:lineRule="auto"/>
        <w:ind w:left="0" w:right="49"/>
        <w:jc w:val="both"/>
        <w:rPr>
          <w:rFonts w:ascii="Palatino Linotype" w:hAnsi="Palatino Linotype"/>
          <w:sz w:val="24"/>
          <w:szCs w:val="24"/>
        </w:rPr>
      </w:pPr>
    </w:p>
    <w:p w14:paraId="14F4B0C7" w14:textId="77777777" w:rsidR="00A7165F" w:rsidRPr="00B50524" w:rsidRDefault="00A7165F" w:rsidP="00A7165F">
      <w:pPr>
        <w:pStyle w:val="Prrafodelista"/>
        <w:numPr>
          <w:ilvl w:val="0"/>
          <w:numId w:val="1"/>
        </w:numPr>
        <w:autoSpaceDE w:val="0"/>
        <w:autoSpaceDN w:val="0"/>
        <w:adjustRightInd w:val="0"/>
        <w:spacing w:before="240" w:after="240" w:line="360" w:lineRule="auto"/>
        <w:ind w:left="0" w:right="49" w:firstLine="0"/>
        <w:jc w:val="both"/>
        <w:rPr>
          <w:rFonts w:ascii="Palatino Linotype" w:hAnsi="Palatino Linotype"/>
          <w:sz w:val="24"/>
          <w:szCs w:val="24"/>
        </w:rPr>
      </w:pPr>
      <w:r w:rsidRPr="004B2E3E">
        <w:rPr>
          <w:rFonts w:ascii="Palatino Linotype" w:hAnsi="Palatino Linotype" w:cs="Arial"/>
          <w:lang w:eastAsia="es-MX"/>
        </w:rPr>
        <w:t xml:space="preserve"> </w:t>
      </w:r>
      <w:r w:rsidR="002243F2">
        <w:rPr>
          <w:rFonts w:ascii="Palatino Linotype" w:hAnsi="Palatino Linotype" w:cs="Arial"/>
          <w:sz w:val="24"/>
          <w:szCs w:val="24"/>
          <w:lang w:eastAsia="es-MX"/>
        </w:rPr>
        <w:t>D</w:t>
      </w:r>
      <w:r w:rsidRPr="00B50524">
        <w:rPr>
          <w:rFonts w:ascii="Palatino Linotype" w:hAnsi="Palatino Linotype" w:cs="Arial"/>
          <w:sz w:val="24"/>
          <w:szCs w:val="24"/>
          <w:lang w:eastAsia="es-MX"/>
        </w:rPr>
        <w:t xml:space="preserve">e las constancias que obran en el Sistema de Acceso a la Información Mexiquense, se puede apreciar, que el particular al momento de formular la solicitud de información, eligió como modalidad para la entrega de información en CD-ROM (con costo), no obstante el </w:t>
      </w:r>
      <w:r w:rsidRPr="00B50524">
        <w:rPr>
          <w:rFonts w:ascii="Palatino Linotype" w:hAnsi="Palatino Linotype" w:cs="Arial"/>
          <w:b/>
          <w:sz w:val="24"/>
          <w:szCs w:val="24"/>
          <w:lang w:eastAsia="es-MX"/>
        </w:rPr>
        <w:t xml:space="preserve">SUJETO OBLIGADO </w:t>
      </w:r>
      <w:r w:rsidRPr="00B50524">
        <w:rPr>
          <w:rFonts w:ascii="Palatino Linotype" w:hAnsi="Palatino Linotype" w:cs="Arial"/>
          <w:sz w:val="24"/>
          <w:szCs w:val="24"/>
          <w:lang w:eastAsia="es-MX"/>
        </w:rPr>
        <w:t xml:space="preserve">atendió y remitió información a través del SAIMEX, inconformidad que el particular argumentó al momento interponer el recurso de revisión, por lo que el </w:t>
      </w:r>
      <w:r w:rsidRPr="00B50524">
        <w:rPr>
          <w:rFonts w:ascii="Palatino Linotype" w:hAnsi="Palatino Linotype" w:cs="Arial"/>
          <w:b/>
          <w:sz w:val="24"/>
          <w:szCs w:val="24"/>
          <w:lang w:eastAsia="es-MX"/>
        </w:rPr>
        <w:t xml:space="preserve">Municipio de </w:t>
      </w:r>
      <w:r w:rsidR="00B50524">
        <w:rPr>
          <w:rFonts w:ascii="Palatino Linotype" w:hAnsi="Palatino Linotype" w:cs="Arial"/>
          <w:b/>
          <w:sz w:val="24"/>
          <w:szCs w:val="24"/>
          <w:lang w:eastAsia="es-MX"/>
        </w:rPr>
        <w:t>Atizapán de Zaragoza</w:t>
      </w:r>
      <w:r w:rsidRPr="00B50524">
        <w:rPr>
          <w:rFonts w:ascii="Palatino Linotype" w:hAnsi="Palatino Linotype" w:cs="Arial"/>
          <w:b/>
          <w:sz w:val="24"/>
          <w:szCs w:val="24"/>
          <w:lang w:eastAsia="es-MX"/>
        </w:rPr>
        <w:t xml:space="preserve"> </w:t>
      </w:r>
      <w:r w:rsidRPr="00B50524">
        <w:rPr>
          <w:rFonts w:ascii="Palatino Linotype" w:hAnsi="Palatino Linotype" w:cs="Arial"/>
          <w:sz w:val="24"/>
          <w:szCs w:val="24"/>
          <w:lang w:eastAsia="es-MX"/>
        </w:rPr>
        <w:t xml:space="preserve">a través del informe justificado refirió </w:t>
      </w:r>
      <w:r w:rsidR="00B50524">
        <w:rPr>
          <w:rFonts w:ascii="Palatino Linotype" w:hAnsi="Palatino Linotype" w:cs="Arial"/>
          <w:sz w:val="24"/>
          <w:szCs w:val="24"/>
          <w:lang w:eastAsia="es-MX"/>
        </w:rPr>
        <w:t xml:space="preserve">que deberá presentarse en las oficinas que ocupa el Enlace Jurídico dependiente de la Dirección General de Desarrollo Territorial de lunes a viernes en un horario de 9:00 a 14:30 horas para hacer el pago correspondiente de acuerdo al artículo 148, fracción IV del Código Financiero del Estado de México y Municipios, el costo del CD-ROM es $30.11. </w:t>
      </w:r>
    </w:p>
    <w:p w14:paraId="0A2E77CC" w14:textId="77777777" w:rsidR="00A7165F" w:rsidRPr="00B50524" w:rsidRDefault="00A7165F" w:rsidP="00A7165F">
      <w:pPr>
        <w:pStyle w:val="Prrafodelista"/>
        <w:autoSpaceDE w:val="0"/>
        <w:autoSpaceDN w:val="0"/>
        <w:adjustRightInd w:val="0"/>
        <w:spacing w:before="240" w:after="240" w:line="360" w:lineRule="auto"/>
        <w:ind w:left="0" w:right="49"/>
        <w:jc w:val="both"/>
        <w:rPr>
          <w:rFonts w:ascii="Palatino Linotype" w:hAnsi="Palatino Linotype" w:cs="Arial"/>
          <w:sz w:val="24"/>
          <w:szCs w:val="24"/>
          <w:lang w:eastAsia="es-MX"/>
        </w:rPr>
      </w:pPr>
    </w:p>
    <w:p w14:paraId="33B674BF" w14:textId="77777777" w:rsidR="00A7165F" w:rsidRDefault="00A7165F" w:rsidP="00B50524">
      <w:pPr>
        <w:pStyle w:val="Prrafodelista"/>
        <w:numPr>
          <w:ilvl w:val="0"/>
          <w:numId w:val="1"/>
        </w:numPr>
        <w:autoSpaceDE w:val="0"/>
        <w:autoSpaceDN w:val="0"/>
        <w:adjustRightInd w:val="0"/>
        <w:spacing w:before="240" w:after="240" w:line="360" w:lineRule="auto"/>
        <w:ind w:left="0" w:right="49" w:firstLine="0"/>
        <w:jc w:val="both"/>
        <w:rPr>
          <w:rFonts w:ascii="Palatino Linotype" w:hAnsi="Palatino Linotype" w:cs="Arial"/>
          <w:color w:val="000000" w:themeColor="text1"/>
          <w:sz w:val="24"/>
          <w:szCs w:val="24"/>
        </w:rPr>
      </w:pPr>
      <w:r w:rsidRPr="00B50524">
        <w:rPr>
          <w:rFonts w:ascii="Palatino Linotype" w:hAnsi="Palatino Linotype" w:cs="Arial"/>
          <w:color w:val="000000" w:themeColor="text1"/>
          <w:sz w:val="24"/>
          <w:szCs w:val="24"/>
        </w:rPr>
        <w:t>Cabe señalar, que la misma Ley de la materia establece que el recurso de revisión es un medio de protección y procede en contra de la clasificación de la información, situación que en el asunto de mérito se actualizó, pues la información fue objeto de una indebida clasificación y en consecuencia no fue proporcionada la información</w:t>
      </w:r>
      <w:r w:rsidR="00B50524">
        <w:rPr>
          <w:rFonts w:ascii="Palatino Linotype" w:hAnsi="Palatino Linotype" w:cs="Arial"/>
          <w:color w:val="000000" w:themeColor="text1"/>
          <w:sz w:val="24"/>
          <w:szCs w:val="24"/>
        </w:rPr>
        <w:t xml:space="preserve"> en la modalidad requerida</w:t>
      </w:r>
      <w:r w:rsidRPr="00B50524">
        <w:rPr>
          <w:rFonts w:ascii="Palatino Linotype" w:hAnsi="Palatino Linotype" w:cs="Arial"/>
          <w:color w:val="000000" w:themeColor="text1"/>
          <w:sz w:val="24"/>
          <w:szCs w:val="24"/>
        </w:rPr>
        <w:t xml:space="preserve">, situación que recae en lo estipulado por el </w:t>
      </w:r>
      <w:r w:rsidRPr="00B50524">
        <w:rPr>
          <w:rFonts w:ascii="Palatino Linotype" w:hAnsi="Palatino Linotype" w:cs="Arial"/>
          <w:b/>
          <w:color w:val="000000" w:themeColor="text1"/>
          <w:sz w:val="24"/>
          <w:szCs w:val="24"/>
          <w:u w:val="single"/>
        </w:rPr>
        <w:t>artículo 234</w:t>
      </w:r>
      <w:r w:rsidRPr="00B50524">
        <w:rPr>
          <w:rFonts w:ascii="Palatino Linotype" w:hAnsi="Palatino Linotype" w:cs="Arial"/>
          <w:color w:val="000000" w:themeColor="text1"/>
          <w:sz w:val="24"/>
          <w:szCs w:val="24"/>
        </w:rPr>
        <w:t>, y que resulta plenamente fundado, pues constituye una afectación indebida e injustificada a su derecho de acceso a la información pública y la respuesta del</w:t>
      </w:r>
      <w:r w:rsidRPr="00B50524">
        <w:rPr>
          <w:rFonts w:ascii="Palatino Linotype" w:hAnsi="Palatino Linotype" w:cs="Arial"/>
          <w:b/>
          <w:color w:val="000000" w:themeColor="text1"/>
          <w:sz w:val="24"/>
          <w:szCs w:val="24"/>
          <w:lang w:val="es-ES"/>
        </w:rPr>
        <w:t xml:space="preserve"> Ayuntamiento de </w:t>
      </w:r>
      <w:r w:rsidR="00B50524">
        <w:rPr>
          <w:rFonts w:ascii="Palatino Linotype" w:hAnsi="Palatino Linotype" w:cs="Arial"/>
          <w:b/>
          <w:color w:val="000000" w:themeColor="text1"/>
          <w:sz w:val="24"/>
          <w:szCs w:val="24"/>
          <w:lang w:val="es-ES"/>
        </w:rPr>
        <w:t>Atizapán de Zaragoza</w:t>
      </w:r>
      <w:r w:rsidRPr="00B50524">
        <w:rPr>
          <w:rFonts w:ascii="Palatino Linotype" w:hAnsi="Palatino Linotype" w:cs="Arial"/>
          <w:color w:val="000000" w:themeColor="text1"/>
          <w:sz w:val="24"/>
          <w:szCs w:val="24"/>
        </w:rPr>
        <w:t>, constituyó una violación a su derecho de acceso a la información pública que el Estado Mexicano, a través de otra institución, en este caso, este Pleno, pretende reparar a través de la resolución que nos ocupa.</w:t>
      </w:r>
    </w:p>
    <w:p w14:paraId="79A9A098" w14:textId="77777777" w:rsidR="00B50524" w:rsidRPr="00B50524" w:rsidRDefault="00B50524" w:rsidP="00B50524">
      <w:pPr>
        <w:pStyle w:val="Prrafodelista"/>
        <w:rPr>
          <w:rFonts w:ascii="Palatino Linotype" w:hAnsi="Palatino Linotype" w:cs="Arial"/>
          <w:color w:val="000000" w:themeColor="text1"/>
          <w:sz w:val="24"/>
          <w:szCs w:val="24"/>
        </w:rPr>
      </w:pPr>
    </w:p>
    <w:p w14:paraId="7B82E5EB" w14:textId="77777777" w:rsidR="00B50524" w:rsidRPr="00B50524" w:rsidRDefault="00B50524" w:rsidP="00B50524">
      <w:pPr>
        <w:pStyle w:val="Prrafodelista"/>
        <w:autoSpaceDE w:val="0"/>
        <w:autoSpaceDN w:val="0"/>
        <w:adjustRightInd w:val="0"/>
        <w:spacing w:before="240" w:after="240" w:line="360" w:lineRule="auto"/>
        <w:ind w:left="0" w:right="49"/>
        <w:jc w:val="both"/>
        <w:rPr>
          <w:rFonts w:ascii="Palatino Linotype" w:hAnsi="Palatino Linotype" w:cs="Arial"/>
          <w:color w:val="000000" w:themeColor="text1"/>
          <w:sz w:val="24"/>
          <w:szCs w:val="24"/>
        </w:rPr>
      </w:pPr>
    </w:p>
    <w:p w14:paraId="67BB6E91" w14:textId="77777777" w:rsidR="00A7165F" w:rsidRPr="00B50524" w:rsidRDefault="00A7165F" w:rsidP="002243F2">
      <w:pPr>
        <w:pStyle w:val="Prrafodelista"/>
        <w:numPr>
          <w:ilvl w:val="0"/>
          <w:numId w:val="1"/>
        </w:numPr>
        <w:autoSpaceDE w:val="0"/>
        <w:autoSpaceDN w:val="0"/>
        <w:adjustRightInd w:val="0"/>
        <w:spacing w:before="240" w:after="240" w:line="360" w:lineRule="auto"/>
        <w:ind w:left="0" w:right="49" w:firstLine="0"/>
        <w:jc w:val="both"/>
        <w:rPr>
          <w:rFonts w:ascii="Palatino Linotype" w:hAnsi="Palatino Linotype" w:cs="Arial"/>
          <w:color w:val="000000" w:themeColor="text1"/>
          <w:sz w:val="24"/>
          <w:szCs w:val="24"/>
        </w:rPr>
      </w:pPr>
      <w:r w:rsidRPr="00B50524">
        <w:rPr>
          <w:rFonts w:ascii="Palatino Linotype" w:hAnsi="Palatino Linotype" w:cs="Arial"/>
          <w:color w:val="000000" w:themeColor="text1"/>
          <w:sz w:val="24"/>
          <w:szCs w:val="24"/>
        </w:rPr>
        <w:lastRenderedPageBreak/>
        <w:t>Por lo que toda vez que se trata de una “máxima autoridad” de la que se espera el más alto estándar en la promoción y respeto de los derechos humanos y que el</w:t>
      </w:r>
      <w:r w:rsidRPr="00B50524">
        <w:rPr>
          <w:rFonts w:ascii="Palatino Linotype" w:hAnsi="Palatino Linotype" w:cs="Arial"/>
          <w:b/>
          <w:color w:val="000000" w:themeColor="text1"/>
          <w:sz w:val="24"/>
          <w:szCs w:val="24"/>
          <w:lang w:val="es-ES"/>
        </w:rPr>
        <w:t xml:space="preserve"> RECURRENTE</w:t>
      </w:r>
      <w:r w:rsidRPr="00B50524">
        <w:rPr>
          <w:rFonts w:ascii="Palatino Linotype" w:hAnsi="Palatino Linotype" w:cs="Arial"/>
          <w:b/>
          <w:color w:val="000000" w:themeColor="text1"/>
          <w:sz w:val="24"/>
          <w:szCs w:val="24"/>
        </w:rPr>
        <w:t>,</w:t>
      </w:r>
      <w:r w:rsidRPr="00B50524">
        <w:rPr>
          <w:rFonts w:ascii="Palatino Linotype" w:hAnsi="Palatino Linotype" w:cs="Arial"/>
          <w:color w:val="000000" w:themeColor="text1"/>
          <w:sz w:val="24"/>
          <w:szCs w:val="24"/>
        </w:rPr>
        <w:t xml:space="preserve"> de manera clara, precisa, contundente e indubitable requirió información pública a la que pretende acceder en su modalidad de CD-ROM con costo y que la autoridad realizó una pretendida clasificación y en consecuencia negó la misma, es que se aprecia que existe una actitud negligente</w:t>
      </w:r>
      <w:r w:rsidRPr="00B50524">
        <w:rPr>
          <w:rFonts w:ascii="Palatino Linotype" w:hAnsi="Palatino Linotype" w:cs="Arial"/>
          <w:color w:val="000000" w:themeColor="text1"/>
          <w:sz w:val="24"/>
          <w:szCs w:val="24"/>
          <w:vertAlign w:val="superscript"/>
        </w:rPr>
        <w:footnoteReference w:id="4"/>
      </w:r>
      <w:r w:rsidRPr="00B50524">
        <w:rPr>
          <w:rFonts w:ascii="Palatino Linotype" w:hAnsi="Palatino Linotype" w:cs="Arial"/>
          <w:color w:val="000000" w:themeColor="text1"/>
          <w:sz w:val="24"/>
          <w:szCs w:val="24"/>
        </w:rPr>
        <w:t xml:space="preserve"> que provocó que la solicitud no fuera atendida en los términos de la ley, por lo que procedería el acceso a la información de referencia en </w:t>
      </w:r>
      <w:r w:rsidRPr="00B50524">
        <w:rPr>
          <w:rFonts w:ascii="Palatino Linotype" w:hAnsi="Palatino Linotype" w:cs="Arial"/>
          <w:b/>
          <w:color w:val="000000" w:themeColor="text1"/>
          <w:sz w:val="24"/>
          <w:szCs w:val="24"/>
        </w:rPr>
        <w:t xml:space="preserve">CD-ROM sin que medie el pago de los derechos correspondientes. </w:t>
      </w:r>
    </w:p>
    <w:p w14:paraId="1C8D96CE" w14:textId="77777777" w:rsidR="00A7165F" w:rsidRPr="00B50524" w:rsidRDefault="00A7165F" w:rsidP="00A7165F">
      <w:pPr>
        <w:spacing w:line="360" w:lineRule="auto"/>
        <w:ind w:left="426"/>
        <w:contextualSpacing/>
        <w:jc w:val="both"/>
        <w:rPr>
          <w:rFonts w:ascii="Palatino Linotype" w:hAnsi="Palatino Linotype" w:cs="Arial"/>
          <w:color w:val="000000" w:themeColor="text1"/>
          <w:sz w:val="24"/>
          <w:szCs w:val="24"/>
        </w:rPr>
      </w:pPr>
    </w:p>
    <w:p w14:paraId="7EDF2669" w14:textId="77777777" w:rsidR="00A7165F" w:rsidRPr="00B50524" w:rsidRDefault="00A7165F" w:rsidP="002243F2">
      <w:pPr>
        <w:pStyle w:val="Prrafodelista"/>
        <w:numPr>
          <w:ilvl w:val="0"/>
          <w:numId w:val="1"/>
        </w:numPr>
        <w:autoSpaceDE w:val="0"/>
        <w:autoSpaceDN w:val="0"/>
        <w:adjustRightInd w:val="0"/>
        <w:spacing w:before="240" w:after="240" w:line="360" w:lineRule="auto"/>
        <w:ind w:left="0" w:right="49" w:firstLine="0"/>
        <w:jc w:val="both"/>
        <w:rPr>
          <w:rFonts w:ascii="Palatino Linotype" w:hAnsi="Palatino Linotype" w:cs="Arial"/>
          <w:color w:val="000000" w:themeColor="text1"/>
          <w:sz w:val="24"/>
          <w:szCs w:val="24"/>
        </w:rPr>
      </w:pPr>
      <w:r w:rsidRPr="00B50524">
        <w:rPr>
          <w:rFonts w:ascii="Palatino Linotype" w:hAnsi="Palatino Linotype" w:cs="Arial"/>
          <w:color w:val="000000" w:themeColor="text1"/>
          <w:sz w:val="24"/>
          <w:szCs w:val="24"/>
        </w:rPr>
        <w:t xml:space="preserve">De esta manera, al perder el Sujeto Obligado la posibilidad de percibir los derechos por la expedición del CD-ROM, como consecuencia de la actitud negligente de los servidores públicos correspondientes. En ese mismo sentido, al perder el Sujeto Obligado la posibilidad momentánea de acceder a los derechos por la expedición de los derechos, lo anterior puede ser un incentivo adicional para que, en el futuro, las solicitudes de acceso a la información sean atendidas bajo el más alto estándar que promueva la plena protección del derecho en cuestión. </w:t>
      </w:r>
    </w:p>
    <w:p w14:paraId="51D19895" w14:textId="77777777" w:rsidR="00A7165F" w:rsidRPr="002A1727" w:rsidRDefault="00A7165F" w:rsidP="00A7165F">
      <w:pPr>
        <w:pStyle w:val="Prrafodelista"/>
        <w:spacing w:line="360" w:lineRule="auto"/>
        <w:ind w:left="426"/>
        <w:jc w:val="both"/>
        <w:rPr>
          <w:rFonts w:ascii="Palatino Linotype" w:hAnsi="Palatino Linotype"/>
          <w:color w:val="000000" w:themeColor="text1"/>
        </w:rPr>
      </w:pPr>
    </w:p>
    <w:p w14:paraId="70D77181" w14:textId="77777777" w:rsidR="00A7165F" w:rsidRPr="002243F2" w:rsidRDefault="00A7165F" w:rsidP="002243F2">
      <w:pPr>
        <w:pStyle w:val="Prrafodelista"/>
        <w:numPr>
          <w:ilvl w:val="0"/>
          <w:numId w:val="1"/>
        </w:numPr>
        <w:autoSpaceDE w:val="0"/>
        <w:autoSpaceDN w:val="0"/>
        <w:adjustRightInd w:val="0"/>
        <w:spacing w:before="240" w:after="240" w:line="360" w:lineRule="auto"/>
        <w:ind w:left="0" w:right="49" w:firstLine="0"/>
        <w:jc w:val="both"/>
        <w:rPr>
          <w:rFonts w:ascii="Palatino Linotype" w:hAnsi="Palatino Linotype" w:cs="Arial"/>
          <w:color w:val="222222"/>
          <w:sz w:val="24"/>
          <w:szCs w:val="24"/>
        </w:rPr>
      </w:pPr>
      <w:r w:rsidRPr="002243F2">
        <w:rPr>
          <w:rFonts w:ascii="Palatino Linotype" w:hAnsi="Palatino Linotype" w:cs="Arial"/>
          <w:color w:val="222222"/>
          <w:sz w:val="24"/>
          <w:szCs w:val="24"/>
        </w:rPr>
        <w:t xml:space="preserve">Por otro lado, a efecto de que el Sujeto Obligado dé pleno cumplimiento a lo anterior, es necesario que informe a la recurrente el procedimiento para la expedición del CD-ROM, así como el lugar, días y horas hábiles, para recoger dicho medio de </w:t>
      </w:r>
      <w:r w:rsidRPr="002243F2">
        <w:rPr>
          <w:rFonts w:ascii="Palatino Linotype" w:hAnsi="Palatino Linotype" w:cs="Arial"/>
          <w:color w:val="222222"/>
          <w:sz w:val="24"/>
          <w:szCs w:val="24"/>
        </w:rPr>
        <w:lastRenderedPageBreak/>
        <w:t xml:space="preserve">almacenamiento. </w:t>
      </w:r>
      <w:r w:rsidR="002243F2" w:rsidRPr="002243F2">
        <w:rPr>
          <w:rFonts w:ascii="Palatino Linotype" w:hAnsi="Palatino Linotype" w:cs="Arial"/>
          <w:color w:val="222222"/>
          <w:sz w:val="24"/>
          <w:szCs w:val="24"/>
        </w:rPr>
        <w:t>Asimismo,</w:t>
      </w:r>
      <w:r w:rsidRPr="002243F2">
        <w:rPr>
          <w:rFonts w:ascii="Palatino Linotype" w:hAnsi="Palatino Linotype" w:cs="Arial"/>
          <w:color w:val="222222"/>
          <w:sz w:val="24"/>
          <w:szCs w:val="24"/>
        </w:rPr>
        <w:t xml:space="preserve"> dicha información deberá ser entregada, en versión</w:t>
      </w:r>
      <w:r w:rsidRPr="002243F2">
        <w:rPr>
          <w:rFonts w:ascii="Palatino Linotype" w:hAnsi="Palatino Linotype" w:cs="Arial"/>
          <w:b/>
          <w:color w:val="222222"/>
          <w:sz w:val="24"/>
          <w:szCs w:val="24"/>
        </w:rPr>
        <w:t xml:space="preserve"> </w:t>
      </w:r>
      <w:r w:rsidRPr="002243F2">
        <w:rPr>
          <w:rFonts w:ascii="Palatino Linotype" w:hAnsi="Palatino Linotype" w:cs="Arial"/>
          <w:color w:val="222222"/>
          <w:sz w:val="24"/>
          <w:szCs w:val="24"/>
        </w:rPr>
        <w:t>pública de conformidad con el considerando siguiente.</w:t>
      </w:r>
    </w:p>
    <w:p w14:paraId="142A58DA" w14:textId="77777777" w:rsidR="00D4029E" w:rsidRPr="00A7165F" w:rsidRDefault="00D4029E" w:rsidP="00A7165F">
      <w:pPr>
        <w:rPr>
          <w:rFonts w:ascii="Palatino Linotype" w:eastAsia="Calibri" w:hAnsi="Palatino Linotype" w:cs="Arial"/>
          <w:b/>
          <w:sz w:val="24"/>
          <w:szCs w:val="24"/>
        </w:rPr>
      </w:pPr>
    </w:p>
    <w:p w14:paraId="379F67C1" w14:textId="77777777" w:rsidR="00D459E6" w:rsidRPr="00302EAE" w:rsidRDefault="00D459E6" w:rsidP="00D459E6">
      <w:pPr>
        <w:pStyle w:val="Ttulo1"/>
        <w:rPr>
          <w:rFonts w:eastAsiaTheme="minorEastAsia" w:cs="Arial"/>
          <w:color w:val="000000" w:themeColor="text1"/>
          <w:szCs w:val="24"/>
          <w:lang w:val="es-ES_tradnl" w:eastAsia="es-ES"/>
        </w:rPr>
      </w:pPr>
      <w:bookmarkStart w:id="25" w:name="_Toc70460304"/>
      <w:bookmarkStart w:id="26" w:name="_Toc70709641"/>
      <w:r>
        <w:rPr>
          <w:rFonts w:eastAsiaTheme="minorEastAsia" w:cs="Arial"/>
          <w:color w:val="000000" w:themeColor="text1"/>
          <w:szCs w:val="24"/>
          <w:lang w:val="es-ES_tradnl" w:eastAsia="es-ES"/>
        </w:rPr>
        <w:t>OCTAVO</w:t>
      </w:r>
      <w:r w:rsidRPr="00302EAE">
        <w:rPr>
          <w:rFonts w:eastAsiaTheme="minorEastAsia" w:cs="Arial"/>
          <w:color w:val="000000" w:themeColor="text1"/>
          <w:szCs w:val="24"/>
          <w:lang w:val="es-ES_tradnl" w:eastAsia="es-ES"/>
        </w:rPr>
        <w:t>. De la versión pública.</w:t>
      </w:r>
      <w:bookmarkEnd w:id="25"/>
      <w:bookmarkEnd w:id="26"/>
    </w:p>
    <w:p w14:paraId="795C38AB" w14:textId="77777777" w:rsidR="00D459E6" w:rsidRDefault="00D459E6" w:rsidP="00D459E6">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61F6E4FD" w14:textId="77777777" w:rsidR="00D459E6" w:rsidRPr="00D459E6" w:rsidRDefault="00D459E6" w:rsidP="00D459E6">
      <w:pPr>
        <w:pStyle w:val="Prrafodelista"/>
        <w:numPr>
          <w:ilvl w:val="0"/>
          <w:numId w:val="1"/>
        </w:numPr>
        <w:tabs>
          <w:tab w:val="left" w:pos="0"/>
          <w:tab w:val="left" w:pos="142"/>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Debe destacarse que, debido a la naturaleza de la información solicitada</w:t>
      </w:r>
      <w:r w:rsidRPr="00D459E6">
        <w:rPr>
          <w:rFonts w:ascii="Palatino Linotype" w:eastAsia="MS Gothic" w:hAnsi="Palatino Linotype" w:cs="Times New Roman"/>
          <w:b/>
          <w:sz w:val="24"/>
          <w:szCs w:val="24"/>
        </w:rPr>
        <w:t xml:space="preserve">, </w:t>
      </w:r>
      <w:r w:rsidRPr="00D459E6">
        <w:rPr>
          <w:rFonts w:ascii="Palatino Linotype" w:eastAsia="MS Gothic" w:hAnsi="Palatino Linotype" w:cs="Times New Roman"/>
          <w:sz w:val="24"/>
          <w:szCs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459E6">
        <w:rPr>
          <w:rFonts w:ascii="Palatino Linotype" w:eastAsia="MS Gothic" w:hAnsi="Palatino Linotype" w:cs="Times New Roman"/>
          <w:b/>
          <w:sz w:val="24"/>
          <w:szCs w:val="24"/>
          <w:u w:val="single"/>
        </w:rPr>
        <w:t>versión pública</w:t>
      </w:r>
      <w:r w:rsidRPr="00D459E6">
        <w:rPr>
          <w:rFonts w:ascii="Palatino Linotype" w:eastAsia="MS Gothic" w:hAnsi="Palatino Linotype" w:cs="Times New Roman"/>
          <w:sz w:val="24"/>
          <w:szCs w:val="24"/>
        </w:rPr>
        <w:t xml:space="preserve"> de los documentos por las consideraciones que se estimen pertinentes.</w:t>
      </w:r>
    </w:p>
    <w:p w14:paraId="57BBBB44"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580BF51F"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459E6">
        <w:rPr>
          <w:rFonts w:ascii="Palatino Linotype" w:eastAsia="MS Gothic" w:hAnsi="Palatino Linotype" w:cs="Times New Roman"/>
          <w:sz w:val="24"/>
          <w:szCs w:val="24"/>
          <w:vertAlign w:val="superscript"/>
        </w:rPr>
        <w:footnoteReference w:id="5"/>
      </w:r>
      <w:r w:rsidRPr="00D459E6">
        <w:rPr>
          <w:rFonts w:ascii="Palatino Linotype" w:eastAsia="MS Gothic" w:hAnsi="Palatino Linotype" w:cs="Times New Roman"/>
          <w:sz w:val="24"/>
          <w:szCs w:val="24"/>
        </w:rPr>
        <w:t xml:space="preserve"> aunque cualquier límite o restricción, </w:t>
      </w:r>
      <w:r w:rsidRPr="00D459E6">
        <w:rPr>
          <w:rFonts w:ascii="Palatino Linotype" w:eastAsia="MS Gothic" w:hAnsi="Palatino Linotype" w:cs="Times New Roman"/>
          <w:sz w:val="24"/>
          <w:szCs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D459E6">
        <w:rPr>
          <w:rFonts w:ascii="Palatino Linotype" w:eastAsia="MS Gothic" w:hAnsi="Palatino Linotype" w:cs="Times New Roman"/>
          <w:sz w:val="24"/>
          <w:szCs w:val="24"/>
          <w:vertAlign w:val="superscript"/>
        </w:rPr>
        <w:footnoteReference w:id="6"/>
      </w:r>
      <w:r w:rsidRPr="00D459E6">
        <w:rPr>
          <w:rFonts w:ascii="Palatino Linotype" w:eastAsia="MS Gothic" w:hAnsi="Palatino Linotype" w:cs="Times New Roman"/>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DC782CC"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49F1B276"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858375A"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4B505368" w14:textId="77777777" w:rsidR="00D459E6" w:rsidRPr="00D459E6" w:rsidRDefault="00D459E6" w:rsidP="00D459E6">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27" w:name="_Toc51863315"/>
      <w:bookmarkStart w:id="28" w:name="_Toc52444649"/>
      <w:bookmarkStart w:id="29" w:name="_Toc57154368"/>
      <w:bookmarkStart w:id="30" w:name="_Toc65170174"/>
      <w:bookmarkStart w:id="31" w:name="_Toc66371800"/>
      <w:bookmarkStart w:id="32" w:name="_Toc67584835"/>
      <w:bookmarkStart w:id="33" w:name="_Toc70070911"/>
      <w:bookmarkStart w:id="34" w:name="_Toc70460305"/>
      <w:bookmarkStart w:id="35" w:name="_Toc70709642"/>
      <w:r w:rsidRPr="00D459E6">
        <w:rPr>
          <w:rFonts w:ascii="Palatino Linotype" w:hAnsi="Palatino Linotype" w:cs="Arial"/>
          <w:b/>
          <w:sz w:val="24"/>
          <w:szCs w:val="24"/>
        </w:rPr>
        <w:t>I. Requisitos previos.</w:t>
      </w:r>
      <w:bookmarkEnd w:id="27"/>
      <w:bookmarkEnd w:id="28"/>
      <w:bookmarkEnd w:id="29"/>
      <w:bookmarkEnd w:id="30"/>
      <w:bookmarkEnd w:id="31"/>
      <w:bookmarkEnd w:id="32"/>
      <w:bookmarkEnd w:id="33"/>
      <w:bookmarkEnd w:id="34"/>
      <w:bookmarkEnd w:id="35"/>
    </w:p>
    <w:p w14:paraId="639CA335"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0B2E0DB6"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D459E6">
        <w:rPr>
          <w:rFonts w:ascii="Palatino Linotype" w:eastAsia="MS Gothic" w:hAnsi="Palatino Linotype" w:cs="Times New Roman"/>
          <w:sz w:val="24"/>
          <w:szCs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0D0B059"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610A06C5"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8B2957F"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561E1DF3"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D459E6">
        <w:rPr>
          <w:rFonts w:ascii="Palatino Linotype" w:eastAsia="MS Gothic" w:hAnsi="Palatino Linotype" w:cs="Times New Roman"/>
          <w:b/>
          <w:sz w:val="24"/>
          <w:szCs w:val="24"/>
          <w:u w:val="single"/>
        </w:rPr>
        <w:t xml:space="preserve">no se puede hacer un acuerdo para clasificar de manera general todos los documentos de un expediente o área,  </w:t>
      </w:r>
      <w:r w:rsidRPr="00D459E6">
        <w:rPr>
          <w:rFonts w:ascii="Palatino Linotype" w:eastAsia="MS Gothic" w:hAnsi="Palatino Linotype" w:cs="Times New Roman"/>
          <w:sz w:val="24"/>
          <w:szCs w:val="24"/>
        </w:rPr>
        <w:t>sin individualizar su análisis y tampoco se puede hacer un acuerdo por cada dato que se vaya a clasificar dentro de un documento con diez datos, por ejemplo, susceptibles de ser clasificados.</w:t>
      </w:r>
    </w:p>
    <w:p w14:paraId="5C6FD3EF"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49225DCD" w14:textId="77777777" w:rsidR="00D459E6" w:rsidRPr="00D459E6" w:rsidRDefault="00D459E6" w:rsidP="00D459E6">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36" w:name="_Toc51863316"/>
      <w:bookmarkStart w:id="37" w:name="_Toc52444650"/>
      <w:bookmarkStart w:id="38" w:name="_Toc57154369"/>
      <w:bookmarkStart w:id="39" w:name="_Toc65170175"/>
      <w:bookmarkStart w:id="40" w:name="_Toc66371801"/>
      <w:bookmarkStart w:id="41" w:name="_Toc67584836"/>
      <w:bookmarkStart w:id="42" w:name="_Toc70070912"/>
      <w:bookmarkStart w:id="43" w:name="_Toc70460306"/>
      <w:bookmarkStart w:id="44" w:name="_Toc70709643"/>
      <w:r w:rsidRPr="00D459E6">
        <w:rPr>
          <w:rFonts w:ascii="Palatino Linotype" w:hAnsi="Palatino Linotype" w:cs="Arial"/>
          <w:b/>
          <w:sz w:val="24"/>
          <w:szCs w:val="24"/>
        </w:rPr>
        <w:t>II. Supuestos de clasificación.</w:t>
      </w:r>
      <w:bookmarkEnd w:id="36"/>
      <w:bookmarkEnd w:id="37"/>
      <w:bookmarkEnd w:id="38"/>
      <w:bookmarkEnd w:id="39"/>
      <w:bookmarkEnd w:id="40"/>
      <w:bookmarkEnd w:id="41"/>
      <w:bookmarkEnd w:id="42"/>
      <w:bookmarkEnd w:id="43"/>
      <w:bookmarkEnd w:id="44"/>
    </w:p>
    <w:p w14:paraId="4675637B"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20762FA4"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Las disposiciones constitucionales y legales en la materia establecen los dos supuestos generales para clasificar la información: por reserva y por confidencialidad.</w:t>
      </w:r>
    </w:p>
    <w:p w14:paraId="710E64C4"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503CAA43"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lastRenderedPageBreak/>
        <w:t>Los artículos 143 y 116 de la Ley Estatal y de la Ley General, respectivamente, señalan los supuestos para que la información pueda ser clasificada como confidencial:</w:t>
      </w:r>
    </w:p>
    <w:p w14:paraId="425CBE4E"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7AFD9ABD" w14:textId="77777777" w:rsidR="00D459E6" w:rsidRPr="008C0982" w:rsidRDefault="00D459E6" w:rsidP="00D459E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 </w:t>
      </w:r>
      <w:r w:rsidRPr="008C098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E262DC8" w14:textId="77777777" w:rsidR="00D459E6" w:rsidRPr="008C0982" w:rsidRDefault="00D459E6" w:rsidP="00D459E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II. </w:t>
      </w:r>
      <w:r w:rsidRPr="008C098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9B74BDD" w14:textId="77777777" w:rsidR="00D459E6" w:rsidRPr="008C0982" w:rsidRDefault="00D459E6" w:rsidP="00D459E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III. </w:t>
      </w:r>
      <w:r w:rsidRPr="008C0982">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7E64104" w14:textId="77777777" w:rsidR="00D459E6" w:rsidRPr="008C0982" w:rsidRDefault="00D459E6" w:rsidP="00D459E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7590739" w14:textId="77777777" w:rsidR="00D459E6" w:rsidRPr="008C0982" w:rsidRDefault="00D459E6" w:rsidP="00D459E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8C098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D770E91" w14:textId="77777777" w:rsidR="00D459E6" w:rsidRPr="008C0982" w:rsidRDefault="00D459E6" w:rsidP="00D459E6">
      <w:pPr>
        <w:pStyle w:val="Prrafodelista"/>
        <w:tabs>
          <w:tab w:val="left" w:pos="142"/>
          <w:tab w:val="left" w:pos="284"/>
          <w:tab w:val="left" w:pos="426"/>
        </w:tabs>
        <w:spacing w:line="360" w:lineRule="auto"/>
        <w:ind w:left="0"/>
        <w:jc w:val="both"/>
        <w:rPr>
          <w:rFonts w:ascii="Palatino Linotype" w:hAnsi="Palatino Linotype" w:cs="Arial"/>
        </w:rPr>
      </w:pPr>
    </w:p>
    <w:p w14:paraId="4B76AA11"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2671C67"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Como consecuencia de lo anterior, el </w:t>
      </w:r>
      <w:r w:rsidRPr="00D459E6">
        <w:rPr>
          <w:rFonts w:ascii="Palatino Linotype" w:eastAsia="MS Gothic" w:hAnsi="Palatino Linotype" w:cs="Times New Roman"/>
          <w:b/>
          <w:sz w:val="24"/>
          <w:szCs w:val="24"/>
        </w:rPr>
        <w:t>SUJETO OBLIGADO</w:t>
      </w:r>
      <w:r w:rsidRPr="00D459E6">
        <w:rPr>
          <w:rFonts w:ascii="Palatino Linotype" w:eastAsia="MS Gothic" w:hAnsi="Palatino Linotype" w:cs="Times New Roman"/>
          <w:sz w:val="24"/>
          <w:szCs w:val="24"/>
        </w:rPr>
        <w:t xml:space="preserve"> debe identificar claramente el tipo de información y hacer un juicio de subsunción o encaje</w:t>
      </w:r>
      <w:r w:rsidRPr="00D459E6">
        <w:rPr>
          <w:rFonts w:ascii="Palatino Linotype" w:eastAsia="MS Gothic" w:hAnsi="Palatino Linotype" w:cs="Times New Roman"/>
          <w:sz w:val="24"/>
          <w:szCs w:val="24"/>
          <w:vertAlign w:val="superscript"/>
        </w:rPr>
        <w:footnoteReference w:id="7"/>
      </w:r>
      <w:r w:rsidRPr="00D459E6">
        <w:rPr>
          <w:rFonts w:ascii="Palatino Linotype" w:eastAsia="MS Gothic" w:hAnsi="Palatino Linotype" w:cs="Times New Roman"/>
          <w:sz w:val="24"/>
          <w:szCs w:val="24"/>
        </w:rPr>
        <w:t xml:space="preserve"> para </w:t>
      </w:r>
      <w:r w:rsidRPr="00D459E6">
        <w:rPr>
          <w:rFonts w:ascii="Palatino Linotype" w:eastAsia="MS Gothic" w:hAnsi="Palatino Linotype" w:cs="Times New Roman"/>
          <w:sz w:val="24"/>
          <w:szCs w:val="24"/>
        </w:rPr>
        <w:lastRenderedPageBreak/>
        <w:t>acreditar que el supuesto de hecho corresponde estrictamente con la hipótesis jurídica. Esto también lo debe de realizar el servidor público habilitado y el titular del área que administra la información.</w:t>
      </w:r>
    </w:p>
    <w:p w14:paraId="68B9672B"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2BB7CEF7"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Al respecto, los Lineamientos Generales en Materia de Clasificación y Desclasificación de la Información, así Como para la Elaboración de Versiones Públicas, por cuanto hace a la clasificación de la información, señalan lo siguiente:</w:t>
      </w:r>
    </w:p>
    <w:p w14:paraId="458B9440" w14:textId="77777777" w:rsidR="00D459E6" w:rsidRPr="008C0982" w:rsidRDefault="00D459E6" w:rsidP="00D459E6">
      <w:pPr>
        <w:pStyle w:val="Prrafodelista"/>
        <w:tabs>
          <w:tab w:val="left" w:pos="142"/>
          <w:tab w:val="left" w:pos="284"/>
          <w:tab w:val="left" w:pos="426"/>
        </w:tabs>
        <w:spacing w:line="360" w:lineRule="auto"/>
        <w:ind w:left="0"/>
        <w:jc w:val="both"/>
        <w:rPr>
          <w:rFonts w:ascii="Palatino Linotype" w:hAnsi="Palatino Linotype" w:cs="Arial"/>
        </w:rPr>
      </w:pPr>
    </w:p>
    <w:p w14:paraId="16C32FC6"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w:t>
      </w:r>
      <w:r w:rsidRPr="008C0982">
        <w:rPr>
          <w:rFonts w:ascii="Palatino Linotype" w:hAnsi="Palatino Linotype" w:cs="Arial"/>
          <w:b/>
          <w:i/>
        </w:rPr>
        <w:t>Quincuagésimo.</w:t>
      </w:r>
      <w:r w:rsidRPr="008C098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90C6E35"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p>
    <w:p w14:paraId="4CECD8B2"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t>Quincuagésimo primero.</w:t>
      </w:r>
      <w:r w:rsidRPr="008C0982">
        <w:rPr>
          <w:rFonts w:ascii="Palatino Linotype" w:hAnsi="Palatino Linotype" w:cs="Arial"/>
          <w:i/>
        </w:rPr>
        <w:t xml:space="preserve"> La leyenda en los documentos clasificados indicará:</w:t>
      </w:r>
    </w:p>
    <w:p w14:paraId="3541FEA7"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 La fecha de sesión del Comité de Transparencia en donde se confirmó la clasificación, en su caso;</w:t>
      </w:r>
    </w:p>
    <w:p w14:paraId="3FD32C47"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II. El nombre del área;</w:t>
      </w:r>
    </w:p>
    <w:p w14:paraId="235670F1"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III. La palabra reservado o confidencial;</w:t>
      </w:r>
    </w:p>
    <w:p w14:paraId="46379C86"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IV. Las partes o secciones reservadas o confidenciales, en su caso;</w:t>
      </w:r>
    </w:p>
    <w:p w14:paraId="5E7CABC0"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 El fundamento legal;</w:t>
      </w:r>
    </w:p>
    <w:p w14:paraId="6FD5D43E"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VI. El periodo de reserva, y</w:t>
      </w:r>
    </w:p>
    <w:p w14:paraId="793C3326"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VII. La rúbrica del titular del área.</w:t>
      </w:r>
    </w:p>
    <w:p w14:paraId="158336E9"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p>
    <w:p w14:paraId="65DE5718"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lastRenderedPageBreak/>
        <w:t>Quincuagésimo segundo.</w:t>
      </w:r>
      <w:r w:rsidRPr="008C098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DC01461"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CDA8CDA" w14:textId="77777777" w:rsidR="00D459E6" w:rsidRPr="008C0982" w:rsidRDefault="00D459E6" w:rsidP="00D459E6">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t>Quincuagésimo tercero.</w:t>
      </w:r>
      <w:r w:rsidRPr="008C0982">
        <w:rPr>
          <w:rFonts w:ascii="Palatino Linotype" w:hAnsi="Palatino Linotype" w:cs="Arial"/>
          <w:i/>
        </w:rPr>
        <w:t xml:space="preserve"> El formato para señalar la clasificación parcial de un documento, es el siguiente:</w:t>
      </w:r>
    </w:p>
    <w:p w14:paraId="175A6934" w14:textId="77777777" w:rsidR="00D459E6" w:rsidRPr="008C0982" w:rsidRDefault="00D459E6" w:rsidP="00D459E6">
      <w:pPr>
        <w:pStyle w:val="Prrafodelista"/>
        <w:tabs>
          <w:tab w:val="left" w:pos="142"/>
          <w:tab w:val="left" w:pos="284"/>
          <w:tab w:val="left" w:pos="426"/>
        </w:tabs>
        <w:spacing w:line="360" w:lineRule="auto"/>
        <w:ind w:left="0"/>
        <w:jc w:val="center"/>
        <w:rPr>
          <w:rFonts w:ascii="Palatino Linotype" w:hAnsi="Palatino Linotype" w:cs="Arial"/>
        </w:rPr>
      </w:pPr>
      <w:r w:rsidRPr="008C0982">
        <w:rPr>
          <w:rFonts w:ascii="Palatino Linotype" w:hAnsi="Palatino Linotype" w:cs="Arial"/>
          <w:i/>
          <w:noProof/>
          <w:lang w:eastAsia="es-MX"/>
        </w:rPr>
        <w:drawing>
          <wp:inline distT="0" distB="0" distL="0" distR="0" wp14:anchorId="40470794" wp14:editId="7FFA9466">
            <wp:extent cx="4905375" cy="5581650"/>
            <wp:effectExtent l="57150" t="57150" r="123825" b="114300"/>
            <wp:docPr id="13" name="Imagen 13"/>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760" cy="54667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82B9D9" w14:textId="77777777" w:rsidR="00D459E6" w:rsidRPr="008C0982" w:rsidRDefault="00D459E6" w:rsidP="00D459E6">
      <w:pPr>
        <w:pStyle w:val="Prrafodelista"/>
        <w:tabs>
          <w:tab w:val="left" w:pos="142"/>
          <w:tab w:val="left" w:pos="284"/>
          <w:tab w:val="left" w:pos="426"/>
        </w:tabs>
        <w:spacing w:line="360" w:lineRule="auto"/>
        <w:ind w:left="0"/>
        <w:jc w:val="both"/>
        <w:rPr>
          <w:rFonts w:ascii="Palatino Linotype" w:hAnsi="Palatino Linotype" w:cs="Arial"/>
        </w:rPr>
      </w:pPr>
    </w:p>
    <w:p w14:paraId="6C207805"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Una vez hecho lo anterior, se remite la información al Titular de la Unidad de Transparencia, con el acuerdo de clasificación correspondiente, para que sea sometido al conocimiento del Comité de Transparencia.</w:t>
      </w:r>
    </w:p>
    <w:p w14:paraId="34A94EE1" w14:textId="77777777" w:rsidR="00D459E6" w:rsidRPr="00D459E6" w:rsidRDefault="00D459E6" w:rsidP="00D459E6">
      <w:pPr>
        <w:pStyle w:val="Prrafodelista"/>
        <w:tabs>
          <w:tab w:val="left" w:pos="142"/>
          <w:tab w:val="left" w:pos="284"/>
          <w:tab w:val="left" w:pos="426"/>
        </w:tabs>
        <w:spacing w:line="360" w:lineRule="auto"/>
        <w:ind w:left="0"/>
        <w:jc w:val="both"/>
        <w:outlineLvl w:val="2"/>
        <w:rPr>
          <w:rFonts w:ascii="Palatino Linotype" w:hAnsi="Palatino Linotype" w:cs="Arial"/>
          <w:b/>
          <w:sz w:val="24"/>
          <w:szCs w:val="24"/>
        </w:rPr>
      </w:pPr>
      <w:bookmarkStart w:id="45" w:name="_Toc51863317"/>
      <w:bookmarkStart w:id="46" w:name="_Toc52444651"/>
      <w:bookmarkStart w:id="47" w:name="_Toc57154370"/>
      <w:bookmarkStart w:id="48" w:name="_Toc65170176"/>
      <w:bookmarkStart w:id="49" w:name="_Toc66371802"/>
      <w:bookmarkStart w:id="50" w:name="_Toc67584837"/>
      <w:bookmarkStart w:id="51" w:name="_Toc70070913"/>
      <w:bookmarkStart w:id="52" w:name="_Toc70460307"/>
      <w:bookmarkStart w:id="53" w:name="_Toc70709644"/>
      <w:r w:rsidRPr="00D459E6">
        <w:rPr>
          <w:rFonts w:ascii="Palatino Linotype" w:hAnsi="Palatino Linotype" w:cs="Arial"/>
          <w:b/>
          <w:sz w:val="24"/>
          <w:szCs w:val="24"/>
        </w:rPr>
        <w:t>III. La intervención del Comité de Transparencia.</w:t>
      </w:r>
      <w:bookmarkEnd w:id="45"/>
      <w:bookmarkEnd w:id="46"/>
      <w:bookmarkEnd w:id="47"/>
      <w:bookmarkEnd w:id="48"/>
      <w:bookmarkEnd w:id="49"/>
      <w:bookmarkEnd w:id="50"/>
      <w:bookmarkEnd w:id="51"/>
      <w:bookmarkEnd w:id="52"/>
      <w:bookmarkEnd w:id="53"/>
    </w:p>
    <w:p w14:paraId="5E43F044"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6F655B6F"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b/>
          <w:sz w:val="24"/>
          <w:szCs w:val="24"/>
        </w:rPr>
      </w:pPr>
      <w:r w:rsidRPr="00D459E6">
        <w:rPr>
          <w:rFonts w:ascii="Palatino Linotype" w:hAnsi="Palatino Linotype" w:cs="Arial"/>
          <w:b/>
          <w:sz w:val="24"/>
          <w:szCs w:val="24"/>
        </w:rPr>
        <w:t>a) Formalidades para emitir el Acuerdo de Clasificación.</w:t>
      </w:r>
    </w:p>
    <w:p w14:paraId="1E719F65" w14:textId="77777777" w:rsidR="00D459E6" w:rsidRPr="008C0982" w:rsidRDefault="00D459E6" w:rsidP="00D459E6">
      <w:pPr>
        <w:pStyle w:val="Prrafodelista"/>
        <w:tabs>
          <w:tab w:val="left" w:pos="142"/>
          <w:tab w:val="left" w:pos="284"/>
          <w:tab w:val="left" w:pos="426"/>
        </w:tabs>
        <w:spacing w:line="360" w:lineRule="auto"/>
        <w:ind w:left="0"/>
        <w:jc w:val="both"/>
        <w:rPr>
          <w:rFonts w:ascii="Palatino Linotype" w:hAnsi="Palatino Linotype" w:cs="Arial"/>
        </w:rPr>
      </w:pPr>
    </w:p>
    <w:p w14:paraId="07FCB917"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459E6">
        <w:rPr>
          <w:rFonts w:ascii="Palatino Linotype" w:eastAsia="MS Gothic" w:hAnsi="Palatino Linotype" w:cs="Times New Roman"/>
          <w:b/>
          <w:sz w:val="24"/>
          <w:szCs w:val="24"/>
          <w:u w:val="single"/>
        </w:rPr>
        <w:t>confirmar, modificar o revocar</w:t>
      </w:r>
      <w:r w:rsidRPr="00D459E6">
        <w:rPr>
          <w:rFonts w:ascii="Palatino Linotype" w:eastAsia="MS Gothic" w:hAnsi="Palatino Linotype" w:cs="Times New Roman"/>
          <w:sz w:val="24"/>
          <w:szCs w:val="24"/>
        </w:rPr>
        <w:t xml:space="preserve"> la clasificación de la información que ha hecho el titular del área que administra la información. Por lo tanto, el Comité </w:t>
      </w:r>
      <w:r w:rsidRPr="00D459E6">
        <w:rPr>
          <w:rFonts w:ascii="Palatino Linotype" w:eastAsia="MS Gothic" w:hAnsi="Palatino Linotype" w:cs="Times New Roman"/>
          <w:b/>
          <w:sz w:val="24"/>
          <w:szCs w:val="24"/>
          <w:u w:val="single"/>
        </w:rPr>
        <w:t>no aprueba</w:t>
      </w:r>
      <w:r w:rsidRPr="00D459E6">
        <w:rPr>
          <w:rFonts w:ascii="Palatino Linotype" w:eastAsia="MS Gothic" w:hAnsi="Palatino Linotype" w:cs="Times New Roman"/>
          <w:sz w:val="24"/>
          <w:szCs w:val="24"/>
        </w:rPr>
        <w:t xml:space="preserve"> la clasificación, sino que revisa lo que ha hecho el titular del área y confirma, modifica o revoca la decisión a través de un acuerdo.</w:t>
      </w:r>
    </w:p>
    <w:p w14:paraId="05556134"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377EC40F"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Evidentemente, esta decisión implica una restricción a un derecho humano, por lo tanto, puede generar un agravio al particular y, en consecuencia, es necesario que </w:t>
      </w:r>
      <w:r w:rsidRPr="00D459E6">
        <w:rPr>
          <w:rFonts w:ascii="Palatino Linotype" w:eastAsia="MS Gothic" w:hAnsi="Palatino Linotype" w:cs="Times New Roman"/>
          <w:b/>
          <w:sz w:val="24"/>
          <w:szCs w:val="24"/>
          <w:u w:val="single"/>
        </w:rPr>
        <w:t>el acto reúna con los requisitos elementales</w:t>
      </w:r>
      <w:r w:rsidRPr="00D459E6">
        <w:rPr>
          <w:rFonts w:ascii="Palatino Linotype" w:eastAsia="MS Gothic" w:hAnsi="Palatino Linotype" w:cs="Times New Roman"/>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w:t>
      </w:r>
      <w:r w:rsidRPr="00D459E6">
        <w:rPr>
          <w:rFonts w:ascii="Palatino Linotype" w:eastAsia="MS Gothic" w:hAnsi="Palatino Linotype" w:cs="Times New Roman"/>
          <w:sz w:val="24"/>
          <w:szCs w:val="24"/>
        </w:rPr>
        <w:lastRenderedPageBreak/>
        <w:t>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53447D2"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11B40B00"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316ABF5"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57CFAF3E"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b/>
          <w:sz w:val="24"/>
          <w:szCs w:val="24"/>
        </w:rPr>
      </w:pPr>
      <w:r w:rsidRPr="008C0982">
        <w:rPr>
          <w:rFonts w:ascii="Palatino Linotype" w:hAnsi="Palatino Linotype" w:cs="Arial"/>
          <w:b/>
        </w:rPr>
        <w:t xml:space="preserve">b) </w:t>
      </w:r>
      <w:r w:rsidRPr="00D459E6">
        <w:rPr>
          <w:rFonts w:ascii="Palatino Linotype" w:hAnsi="Palatino Linotype" w:cs="Arial"/>
          <w:b/>
          <w:sz w:val="24"/>
          <w:szCs w:val="24"/>
        </w:rPr>
        <w:t>Requisitos de fondo del Acuerdo de Clasificación.</w:t>
      </w:r>
    </w:p>
    <w:p w14:paraId="5582C42D"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14ACC658"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D459E6">
        <w:rPr>
          <w:rFonts w:ascii="Palatino Linotype" w:eastAsia="MS Gothic" w:hAnsi="Palatino Linotype" w:cs="Times New Roman"/>
          <w:sz w:val="24"/>
          <w:szCs w:val="24"/>
        </w:rPr>
        <w:t>Generales,  al</w:t>
      </w:r>
      <w:proofErr w:type="gramEnd"/>
      <w:r w:rsidRPr="00D459E6">
        <w:rPr>
          <w:rFonts w:ascii="Palatino Linotype" w:eastAsia="MS Gothic" w:hAnsi="Palatino Linotype" w:cs="Times New Roman"/>
          <w:sz w:val="24"/>
          <w:szCs w:val="24"/>
        </w:rPr>
        <w:t xml:space="preserve"> señalar que la carga de la prueba, para justificar las restricciones, corresponde a los sujetos obligados, por lo que deberán fundar y motivar debidamente la clasificación.</w:t>
      </w:r>
    </w:p>
    <w:p w14:paraId="4341E932"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529C0B17"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De lo anterior, se desprende </w:t>
      </w:r>
      <w:proofErr w:type="gramStart"/>
      <w:r w:rsidRPr="00D459E6">
        <w:rPr>
          <w:rFonts w:ascii="Palatino Linotype" w:eastAsia="MS Gothic" w:hAnsi="Palatino Linotype" w:cs="Times New Roman"/>
          <w:sz w:val="24"/>
          <w:szCs w:val="24"/>
        </w:rPr>
        <w:t>que</w:t>
      </w:r>
      <w:proofErr w:type="gramEnd"/>
      <w:r w:rsidRPr="00D459E6">
        <w:rPr>
          <w:rFonts w:ascii="Palatino Linotype" w:eastAsia="MS Gothic" w:hAnsi="Palatino Linotype" w:cs="Times New Roman"/>
          <w:sz w:val="24"/>
          <w:szCs w:val="24"/>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6248B9"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Han sido vastos los estudios doctrinarios relativos a estos derechos fundamentales y al principio de legalidad en ellos contenidos; como ejemplo, el procesalista José Ovalle Fabela, en su obra “Garantías Constitucionales del Proceso”, refiere que “...</w:t>
      </w:r>
      <w:r w:rsidRPr="00D459E6">
        <w:rPr>
          <w:rFonts w:ascii="Palatino Linotype" w:eastAsia="MS Gothic" w:hAnsi="Palatino Linotype" w:cs="Times New Roman"/>
          <w:i/>
          <w:sz w:val="24"/>
          <w:szCs w:val="24"/>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459E6">
        <w:rPr>
          <w:rFonts w:ascii="Palatino Linotype" w:eastAsia="MS Gothic" w:hAnsi="Palatino Linotype" w:cs="Times New Roman"/>
          <w:i/>
          <w:sz w:val="24"/>
          <w:szCs w:val="24"/>
        </w:rPr>
        <w:t>hecho</w:t>
      </w:r>
      <w:r w:rsidRPr="00D459E6">
        <w:rPr>
          <w:rFonts w:ascii="Palatino Linotype" w:eastAsia="MS Gothic" w:hAnsi="Palatino Linotype" w:cs="Times New Roman"/>
          <w:sz w:val="24"/>
          <w:szCs w:val="24"/>
        </w:rPr>
        <w:t>....</w:t>
      </w:r>
      <w:proofErr w:type="gramEnd"/>
      <w:r w:rsidRPr="00D459E6">
        <w:rPr>
          <w:rFonts w:ascii="Palatino Linotype" w:eastAsia="MS Gothic" w:hAnsi="Palatino Linotype" w:cs="Times New Roman"/>
          <w:sz w:val="24"/>
          <w:szCs w:val="24"/>
        </w:rPr>
        <w:t>”</w:t>
      </w:r>
      <w:r w:rsidRPr="00D459E6">
        <w:rPr>
          <w:rFonts w:ascii="Palatino Linotype" w:eastAsia="MS Gothic" w:hAnsi="Palatino Linotype" w:cs="Times New Roman"/>
          <w:sz w:val="24"/>
          <w:szCs w:val="24"/>
          <w:vertAlign w:val="superscript"/>
        </w:rPr>
        <w:footnoteReference w:id="8"/>
      </w:r>
    </w:p>
    <w:p w14:paraId="208CB31B"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50BFDABD"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hAnsi="Palatino Linotype" w:cs="Arial"/>
          <w:sz w:val="24"/>
          <w:szCs w:val="24"/>
        </w:rPr>
        <w:t>Por su parte, el intérprete judicial del país ha establecido una jurisprudencia respecto a qué debe entenderse por fundamentación y motivación, en los siguientes términos:</w:t>
      </w:r>
    </w:p>
    <w:p w14:paraId="6B376CE2" w14:textId="77777777" w:rsidR="00D459E6" w:rsidRPr="008C0982" w:rsidRDefault="00D459E6" w:rsidP="00D459E6">
      <w:pPr>
        <w:pStyle w:val="Prrafodelista"/>
        <w:tabs>
          <w:tab w:val="left" w:pos="142"/>
          <w:tab w:val="left" w:pos="284"/>
          <w:tab w:val="left" w:pos="426"/>
        </w:tabs>
        <w:spacing w:line="360" w:lineRule="auto"/>
        <w:ind w:left="0"/>
        <w:jc w:val="both"/>
        <w:rPr>
          <w:rFonts w:ascii="Palatino Linotype" w:hAnsi="Palatino Linotype" w:cs="Arial"/>
        </w:rPr>
      </w:pPr>
    </w:p>
    <w:p w14:paraId="48590D57" w14:textId="77777777" w:rsidR="00D459E6" w:rsidRPr="008C0982" w:rsidRDefault="00D459E6" w:rsidP="00D459E6">
      <w:pPr>
        <w:spacing w:line="276" w:lineRule="auto"/>
        <w:ind w:left="851" w:right="618"/>
        <w:contextualSpacing/>
        <w:jc w:val="both"/>
        <w:rPr>
          <w:rFonts w:ascii="Palatino Linotype" w:hAnsi="Palatino Linotype" w:cs="Arial"/>
          <w:i/>
          <w:color w:val="000000"/>
        </w:rPr>
      </w:pPr>
      <w:r w:rsidRPr="008C0982">
        <w:rPr>
          <w:rFonts w:ascii="Palatino Linotype" w:hAnsi="Palatino Linotype" w:cs="Arial"/>
          <w:b/>
          <w:i/>
          <w:color w:val="000000"/>
        </w:rPr>
        <w:t>FUNDAMENTACIÓN Y MOTIVACIÓN.</w:t>
      </w:r>
      <w:r w:rsidRPr="008C0982">
        <w:rPr>
          <w:rFonts w:ascii="Palatino Linotype" w:hAnsi="Palatino Linotype" w:cs="Arial"/>
          <w:i/>
          <w:color w:val="000000"/>
        </w:rPr>
        <w:t xml:space="preserve"> “La </w:t>
      </w:r>
      <w:r w:rsidRPr="008C0982">
        <w:rPr>
          <w:rFonts w:ascii="Palatino Linotype" w:hAnsi="Palatino Linotype" w:cs="Arial"/>
          <w:i/>
          <w:color w:val="000000"/>
          <w:u w:val="single"/>
        </w:rPr>
        <w:t xml:space="preserve">debida fundamentación y motivación legal, deben entenderse, por lo primero, la cita del precepto legal aplicable al caso, y por </w:t>
      </w:r>
      <w:r w:rsidRPr="008C0982">
        <w:rPr>
          <w:rFonts w:ascii="Palatino Linotype" w:hAnsi="Palatino Linotype" w:cs="Arial"/>
          <w:i/>
          <w:color w:val="000000"/>
          <w:u w:val="single"/>
        </w:rPr>
        <w:lastRenderedPageBreak/>
        <w:t>lo segundo, las razones, motivos o circunstancias especiales que llevaron a la autoridad a concluir que el caso particular encuadra en el supuesto previsto por la norma legal invocada como fundamento</w:t>
      </w:r>
      <w:r w:rsidRPr="008C0982">
        <w:rPr>
          <w:rFonts w:ascii="Palatino Linotype" w:hAnsi="Palatino Linotype" w:cs="Arial"/>
          <w:i/>
          <w:color w:val="000000"/>
        </w:rPr>
        <w:t>.”</w:t>
      </w:r>
    </w:p>
    <w:p w14:paraId="1B61AA89" w14:textId="77777777" w:rsidR="00D459E6" w:rsidRPr="008C0982" w:rsidRDefault="00D459E6" w:rsidP="00D459E6">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SEGUNDO TRIBUNAL COLEGIADO DEL SEXTO CIRCUITO.</w:t>
      </w:r>
    </w:p>
    <w:p w14:paraId="0CD7FAC7" w14:textId="77777777" w:rsidR="00D459E6" w:rsidRPr="008C0982" w:rsidRDefault="00D459E6" w:rsidP="00D459E6">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54BC4FD3" w14:textId="77777777" w:rsidR="00D459E6" w:rsidRPr="008C0982" w:rsidRDefault="00D459E6" w:rsidP="00D459E6">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574F3FF2" w14:textId="77777777" w:rsidR="00D459E6" w:rsidRPr="008C0982" w:rsidRDefault="00D459E6" w:rsidP="00D459E6">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Amparo en revisión 333/88. Adilia Romero. 26 de octubre de 1988. Unanimidad de votos. Ponente: Arnoldo Nájera Virgen. Secretario: Enrique Crispín Campos Ramírez.</w:t>
      </w:r>
    </w:p>
    <w:p w14:paraId="16550F24" w14:textId="77777777" w:rsidR="00D459E6" w:rsidRPr="008C0982" w:rsidRDefault="00D459E6" w:rsidP="00D459E6">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832A4F4" w14:textId="77777777" w:rsidR="00D459E6" w:rsidRPr="008C0982" w:rsidRDefault="00D459E6" w:rsidP="00D459E6">
      <w:pPr>
        <w:spacing w:after="0" w:line="360" w:lineRule="auto"/>
        <w:ind w:left="851" w:right="618"/>
        <w:contextualSpacing/>
        <w:jc w:val="both"/>
        <w:rPr>
          <w:rFonts w:ascii="Palatino Linotype" w:hAnsi="Palatino Linotype" w:cs="Arial"/>
          <w:i/>
          <w:color w:val="000000"/>
        </w:rPr>
      </w:pPr>
      <w:r w:rsidRPr="008C098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C0982">
        <w:rPr>
          <w:rFonts w:ascii="Palatino Linotype" w:hAnsi="Palatino Linotype" w:cs="Arial"/>
          <w:i/>
          <w:color w:val="000000"/>
        </w:rPr>
        <w:t>Baigts</w:t>
      </w:r>
      <w:proofErr w:type="spellEnd"/>
      <w:r w:rsidRPr="008C0982">
        <w:rPr>
          <w:rFonts w:ascii="Palatino Linotype" w:hAnsi="Palatino Linotype" w:cs="Arial"/>
          <w:i/>
          <w:color w:val="000000"/>
        </w:rPr>
        <w:t xml:space="preserve"> Muñoz.</w:t>
      </w:r>
    </w:p>
    <w:p w14:paraId="29EF0C6B"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2BC2E4D"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18491A1D"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D459E6">
        <w:rPr>
          <w:rFonts w:ascii="Palatino Linotype" w:eastAsia="MS Gothic" w:hAnsi="Palatino Linotype" w:cs="Times New Roman"/>
          <w:sz w:val="24"/>
          <w:szCs w:val="24"/>
        </w:rPr>
        <w:lastRenderedPageBreak/>
        <w:t>modo, la persona que se sienta afectada pueda impugnar la decisión, permitiéndole una real y auténtica defensa.</w:t>
      </w:r>
    </w:p>
    <w:p w14:paraId="477B91B8"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6A9208BF"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14:paraId="7F667D78" w14:textId="77777777" w:rsidR="00D459E6" w:rsidRPr="00D459E6" w:rsidRDefault="00D459E6" w:rsidP="00D459E6">
      <w:pPr>
        <w:pStyle w:val="Prrafodelista"/>
        <w:tabs>
          <w:tab w:val="left" w:pos="142"/>
          <w:tab w:val="left" w:pos="284"/>
          <w:tab w:val="left" w:pos="426"/>
        </w:tabs>
        <w:spacing w:line="360" w:lineRule="auto"/>
        <w:ind w:left="0"/>
        <w:jc w:val="both"/>
        <w:rPr>
          <w:rFonts w:ascii="Palatino Linotype" w:hAnsi="Palatino Linotype" w:cs="Arial"/>
          <w:sz w:val="24"/>
          <w:szCs w:val="24"/>
        </w:rPr>
      </w:pPr>
    </w:p>
    <w:p w14:paraId="19E86EFD" w14:textId="77777777" w:rsidR="00D459E6" w:rsidRPr="00D459E6" w:rsidRDefault="00D459E6" w:rsidP="00D459E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Ahora bien, </w:t>
      </w:r>
      <w:r w:rsidRPr="00D459E6">
        <w:rPr>
          <w:rFonts w:ascii="Palatino Linotype" w:eastAsia="MS Gothic" w:hAnsi="Palatino Linotype" w:cs="Times New Roman"/>
          <w:b/>
          <w:sz w:val="24"/>
          <w:szCs w:val="24"/>
          <w:u w:val="single"/>
        </w:rPr>
        <w:t>para cada caso además de fundar y motivar</w:t>
      </w:r>
      <w:r w:rsidRPr="00D459E6">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459E6">
        <w:rPr>
          <w:rFonts w:ascii="Palatino Linotype" w:eastAsia="MS Gothic" w:hAnsi="Palatino Linotype" w:cs="Times New Roman"/>
          <w:sz w:val="24"/>
          <w:szCs w:val="24"/>
          <w:vertAlign w:val="superscript"/>
        </w:rPr>
        <w:footnoteReference w:id="9"/>
      </w:r>
      <w:r w:rsidRPr="00D459E6">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D459E6">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4F6A646" w14:textId="77777777" w:rsidR="00D459E6" w:rsidRPr="008C0982" w:rsidRDefault="00D459E6" w:rsidP="00D459E6">
      <w:pPr>
        <w:pStyle w:val="Prrafodelista"/>
        <w:tabs>
          <w:tab w:val="left" w:pos="142"/>
          <w:tab w:val="left" w:pos="284"/>
          <w:tab w:val="left" w:pos="426"/>
        </w:tabs>
        <w:spacing w:line="360" w:lineRule="auto"/>
        <w:ind w:left="0"/>
        <w:jc w:val="both"/>
        <w:rPr>
          <w:rFonts w:ascii="Palatino Linotype" w:hAnsi="Palatino Linotype" w:cs="Arial"/>
        </w:rPr>
      </w:pPr>
    </w:p>
    <w:p w14:paraId="05556E0D" w14:textId="77777777" w:rsidR="00D459E6" w:rsidRPr="00D459E6" w:rsidRDefault="00D459E6" w:rsidP="007074A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szCs w:val="24"/>
        </w:rPr>
      </w:pPr>
      <w:r w:rsidRPr="00D459E6">
        <w:rPr>
          <w:rFonts w:ascii="Palatino Linotype" w:eastAsia="MS Gothic" w:hAnsi="Palatino Linotype" w:cs="Times New Roman"/>
          <w:sz w:val="24"/>
          <w:szCs w:val="24"/>
        </w:rPr>
        <w:t xml:space="preserve">Otro </w:t>
      </w:r>
      <w:r w:rsidRPr="00D459E6">
        <w:rPr>
          <w:rFonts w:ascii="Palatino Linotype" w:eastAsia="MS Gothic" w:hAnsi="Palatino Linotype" w:cs="Times New Roman"/>
          <w:sz w:val="24"/>
          <w:szCs w:val="24"/>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D459E6">
        <w:rPr>
          <w:rFonts w:ascii="Palatino Linotype" w:eastAsia="MS Gothic" w:hAnsi="Palatino Linotype" w:cs="Times New Roman"/>
          <w:sz w:val="24"/>
          <w:szCs w:val="24"/>
          <w:lang w:val="es-ES"/>
        </w:rPr>
        <w:lastRenderedPageBreak/>
        <w:t>involucren el ejercicio de recursos públicos, así lo define la fracción XXI del artículo 3 de la Ley Estatal.</w:t>
      </w:r>
    </w:p>
    <w:p w14:paraId="396B990D" w14:textId="77777777" w:rsidR="003C13AC" w:rsidRDefault="003C13AC" w:rsidP="007074A2">
      <w:pPr>
        <w:pStyle w:val="Ttulo1"/>
      </w:pPr>
      <w:bookmarkStart w:id="54" w:name="_Toc70709645"/>
      <w:r>
        <w:t>SEXTO. De la determinación</w:t>
      </w:r>
      <w:r w:rsidRPr="004B5D57">
        <w:t>.</w:t>
      </w:r>
      <w:bookmarkEnd w:id="54"/>
    </w:p>
    <w:p w14:paraId="6FDB67A1" w14:textId="77777777" w:rsidR="003C13AC" w:rsidRDefault="003C13AC" w:rsidP="003C13AC">
      <w:pPr>
        <w:keepNext/>
        <w:keepLines/>
        <w:spacing w:after="0" w:line="360" w:lineRule="auto"/>
        <w:outlineLvl w:val="0"/>
        <w:rPr>
          <w:rFonts w:ascii="Palatino Linotype" w:eastAsiaTheme="majorEastAsia" w:hAnsi="Palatino Linotype" w:cstheme="majorBidi"/>
          <w:b/>
          <w:sz w:val="24"/>
          <w:szCs w:val="32"/>
        </w:rPr>
      </w:pPr>
    </w:p>
    <w:p w14:paraId="4F237882" w14:textId="77777777" w:rsidR="00E4332C" w:rsidRPr="00E4332C" w:rsidRDefault="003C13AC" w:rsidP="00732F23">
      <w:pPr>
        <w:pStyle w:val="Prrafodelista"/>
        <w:numPr>
          <w:ilvl w:val="0"/>
          <w:numId w:val="1"/>
        </w:numPr>
        <w:spacing w:after="0" w:line="360" w:lineRule="auto"/>
        <w:ind w:left="0" w:firstLine="0"/>
        <w:jc w:val="both"/>
        <w:rPr>
          <w:rFonts w:ascii="Palatino Linotype" w:eastAsia="Calibri" w:hAnsi="Palatino Linotype" w:cs="Arial"/>
          <w:sz w:val="24"/>
          <w:szCs w:val="24"/>
          <w:lang w:val="es-ES"/>
        </w:rPr>
      </w:pPr>
      <w:r w:rsidRPr="00030C01">
        <w:rPr>
          <w:rFonts w:ascii="Palatino Linotype" w:hAnsi="Palatino Linotype"/>
          <w:sz w:val="24"/>
          <w:szCs w:val="24"/>
        </w:rPr>
        <w:t xml:space="preserve">Una vez </w:t>
      </w:r>
      <w:r w:rsidR="00E4332C">
        <w:rPr>
          <w:rFonts w:ascii="Palatino Linotype" w:hAnsi="Palatino Linotype"/>
          <w:sz w:val="24"/>
          <w:szCs w:val="24"/>
        </w:rPr>
        <w:t xml:space="preserve">que se revisó  la naturaleza y contenido de las documentales entregadas en respuesta y en informe justificado, así como, la modalidad de entrega, este Órgano Garante concluyó que el </w:t>
      </w:r>
      <w:r w:rsidR="00E4332C">
        <w:rPr>
          <w:rFonts w:ascii="Palatino Linotype" w:hAnsi="Palatino Linotype"/>
          <w:b/>
          <w:sz w:val="24"/>
          <w:szCs w:val="24"/>
        </w:rPr>
        <w:t xml:space="preserve">SUJETO OBLIGADO </w:t>
      </w:r>
      <w:r w:rsidR="00E4332C">
        <w:rPr>
          <w:rFonts w:ascii="Palatino Linotype" w:hAnsi="Palatino Linotype"/>
          <w:sz w:val="24"/>
          <w:szCs w:val="24"/>
        </w:rPr>
        <w:t xml:space="preserve">clasificó información que su condición y finalidad es de naturaleza pública y que la modalidad en que entregó la información no fue la que el particular refirió al momento de presentar la solicitud de información, incurriendo en dolo o negligencia y por tanto una afectación al derecho humano de acceso a la información. </w:t>
      </w:r>
    </w:p>
    <w:p w14:paraId="1ED2F828" w14:textId="77777777" w:rsidR="00E4332C" w:rsidRDefault="00E4332C" w:rsidP="00E4332C">
      <w:pPr>
        <w:pStyle w:val="Prrafodelista"/>
        <w:spacing w:after="0" w:line="360" w:lineRule="auto"/>
        <w:ind w:left="0"/>
        <w:jc w:val="both"/>
        <w:rPr>
          <w:rFonts w:ascii="Palatino Linotype" w:hAnsi="Palatino Linotype"/>
          <w:sz w:val="24"/>
          <w:szCs w:val="24"/>
        </w:rPr>
      </w:pPr>
    </w:p>
    <w:p w14:paraId="1E86E3B6" w14:textId="77777777" w:rsidR="00732F23" w:rsidRPr="00732F23" w:rsidRDefault="00E4332C" w:rsidP="00E4332C">
      <w:pPr>
        <w:pStyle w:val="Prrafodelista"/>
        <w:spacing w:after="0" w:line="360" w:lineRule="auto"/>
        <w:ind w:left="0"/>
        <w:jc w:val="both"/>
        <w:rPr>
          <w:rFonts w:ascii="Palatino Linotype" w:eastAsia="Calibri" w:hAnsi="Palatino Linotype" w:cs="Arial"/>
          <w:sz w:val="24"/>
          <w:szCs w:val="24"/>
          <w:lang w:val="es-ES"/>
        </w:rPr>
      </w:pPr>
      <w:r>
        <w:rPr>
          <w:rFonts w:ascii="Palatino Linotype" w:hAnsi="Palatino Linotype"/>
          <w:sz w:val="24"/>
          <w:szCs w:val="24"/>
        </w:rPr>
        <w:t>El</w:t>
      </w:r>
      <w:r w:rsidR="00030C01" w:rsidRPr="00030C01">
        <w:rPr>
          <w:rFonts w:ascii="Palatino Linotype" w:hAnsi="Palatino Linotype"/>
          <w:sz w:val="24"/>
          <w:szCs w:val="24"/>
        </w:rPr>
        <w:t xml:space="preserve"> Pleno</w:t>
      </w:r>
      <w:r>
        <w:rPr>
          <w:rFonts w:ascii="Palatino Linotype" w:hAnsi="Palatino Linotype"/>
          <w:sz w:val="24"/>
          <w:szCs w:val="24"/>
        </w:rPr>
        <w:t xml:space="preserve"> de este Instituto</w:t>
      </w:r>
      <w:r w:rsidR="00030C01" w:rsidRPr="00030C01">
        <w:rPr>
          <w:rFonts w:ascii="Palatino Linotype" w:hAnsi="Palatino Linotype"/>
          <w:sz w:val="24"/>
          <w:szCs w:val="24"/>
        </w:rPr>
        <w:t xml:space="preserve"> determina </w:t>
      </w:r>
      <w:r>
        <w:rPr>
          <w:rFonts w:ascii="Palatino Linotype" w:hAnsi="Palatino Linotype"/>
          <w:b/>
          <w:sz w:val="24"/>
          <w:szCs w:val="24"/>
        </w:rPr>
        <w:t>REVOCAR</w:t>
      </w:r>
      <w:r w:rsidR="00030C01" w:rsidRPr="00030C01">
        <w:rPr>
          <w:rFonts w:ascii="Palatino Linotype" w:hAnsi="Palatino Linotype"/>
          <w:b/>
          <w:sz w:val="24"/>
          <w:szCs w:val="24"/>
        </w:rPr>
        <w:t xml:space="preserve"> </w:t>
      </w:r>
      <w:r w:rsidR="00030C01" w:rsidRPr="00030C01">
        <w:rPr>
          <w:rFonts w:ascii="Palatino Linotype" w:hAnsi="Palatino Linotype"/>
          <w:sz w:val="24"/>
          <w:szCs w:val="24"/>
        </w:rPr>
        <w:t xml:space="preserve">la respuesta emitida por el </w:t>
      </w:r>
      <w:r w:rsidR="00030C01" w:rsidRPr="00030C01">
        <w:rPr>
          <w:rFonts w:ascii="Palatino Linotype" w:hAnsi="Palatino Linotype"/>
          <w:b/>
          <w:sz w:val="24"/>
          <w:szCs w:val="24"/>
        </w:rPr>
        <w:t xml:space="preserve">SUJETO OBLIGADO </w:t>
      </w:r>
      <w:r w:rsidR="00030C01" w:rsidRPr="00030C01">
        <w:rPr>
          <w:rFonts w:ascii="Palatino Linotype" w:hAnsi="Palatino Linotype"/>
          <w:sz w:val="24"/>
          <w:szCs w:val="24"/>
        </w:rPr>
        <w:t xml:space="preserve">el </w:t>
      </w:r>
      <w:r w:rsidR="003C13AC" w:rsidRPr="00030C01">
        <w:rPr>
          <w:rFonts w:ascii="Palatino Linotype" w:eastAsia="MS Mincho" w:hAnsi="Palatino Linotype" w:cs="Arial"/>
          <w:color w:val="000000" w:themeColor="text1"/>
          <w:sz w:val="24"/>
          <w:szCs w:val="24"/>
        </w:rPr>
        <w:t xml:space="preserve"> términos del artículo 186, fracción III de </w:t>
      </w:r>
      <w:r w:rsidR="003C13AC" w:rsidRPr="00030C01">
        <w:rPr>
          <w:rFonts w:ascii="Palatino Linotype" w:eastAsia="MS Mincho" w:hAnsi="Palatino Linotype" w:cs="Arial"/>
          <w:b/>
          <w:color w:val="000000" w:themeColor="text1"/>
          <w:sz w:val="24"/>
          <w:szCs w:val="24"/>
        </w:rPr>
        <w:t>la Ley de Transparencia, Acceso a la Información Pública del Estado de México y Municipios</w:t>
      </w:r>
      <w:r w:rsidR="00510857">
        <w:rPr>
          <w:rFonts w:ascii="Palatino Linotype" w:eastAsia="MS Mincho" w:hAnsi="Palatino Linotype" w:cs="Arial"/>
          <w:color w:val="000000" w:themeColor="text1"/>
          <w:sz w:val="24"/>
          <w:szCs w:val="24"/>
        </w:rPr>
        <w:t xml:space="preserve"> y ordena entregar </w:t>
      </w:r>
      <w:r>
        <w:rPr>
          <w:rFonts w:ascii="Palatino Linotype" w:eastAsia="MS Mincho" w:hAnsi="Palatino Linotype" w:cs="Arial"/>
          <w:color w:val="000000" w:themeColor="text1"/>
          <w:sz w:val="24"/>
          <w:szCs w:val="24"/>
        </w:rPr>
        <w:t xml:space="preserve">en versión pública las autorizaciones de prórroga de cambio de uso de suelo emitidas por la Dirección General de Desarrollo Territorial del Municipio de Atizapán de Zaragoza del uno (01) de enero de dos mil diecinueve al veintiocho (28) de enero de dos mil veintiuno. </w:t>
      </w:r>
    </w:p>
    <w:p w14:paraId="37DA740A" w14:textId="77777777" w:rsidR="00732F23" w:rsidRPr="00732F23" w:rsidRDefault="00732F23" w:rsidP="00732F23">
      <w:pPr>
        <w:pStyle w:val="Prrafodelista"/>
        <w:spacing w:after="0" w:line="360" w:lineRule="auto"/>
        <w:ind w:left="0"/>
        <w:jc w:val="both"/>
        <w:rPr>
          <w:rFonts w:ascii="Palatino Linotype" w:eastAsia="Calibri" w:hAnsi="Palatino Linotype" w:cs="Arial"/>
          <w:sz w:val="24"/>
          <w:szCs w:val="24"/>
          <w:lang w:val="es-ES"/>
        </w:rPr>
      </w:pPr>
    </w:p>
    <w:p w14:paraId="52A282F1" w14:textId="77777777" w:rsidR="00732F23" w:rsidRPr="00732F23" w:rsidRDefault="00732F23" w:rsidP="00732F23">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732F23">
        <w:rPr>
          <w:rFonts w:ascii="Palatino Linotype" w:eastAsia="MS Mincho" w:hAnsi="Palatino Linotype" w:cstheme="majorBidi"/>
          <w:sz w:val="24"/>
          <w:szCs w:val="24"/>
        </w:rPr>
        <w:t xml:space="preserve">Por </w:t>
      </w:r>
      <w:r w:rsidRPr="00732F23">
        <w:rPr>
          <w:rFonts w:ascii="Palatino Linotype" w:hAnsi="Palatino Linotype" w:cs="Arial"/>
          <w:sz w:val="24"/>
          <w:szCs w:val="24"/>
          <w:lang w:eastAsia="es-MX"/>
        </w:rPr>
        <w:t>lo</w:t>
      </w:r>
      <w:r w:rsidRPr="00732F23">
        <w:rPr>
          <w:rFonts w:ascii="Palatino Linotype" w:eastAsia="MS Mincho" w:hAnsi="Palatino Linotype" w:cstheme="majorBidi"/>
          <w:sz w:val="24"/>
          <w:szCs w:val="24"/>
        </w:rPr>
        <w:t xml:space="preserve"> anteriormente expuesto y fundado este </w:t>
      </w:r>
      <w:r w:rsidRPr="00732F23">
        <w:rPr>
          <w:rFonts w:ascii="Palatino Linotype" w:eastAsia="MS Mincho" w:hAnsi="Palatino Linotype" w:cstheme="majorBidi"/>
          <w:b/>
          <w:sz w:val="24"/>
          <w:szCs w:val="24"/>
        </w:rPr>
        <w:t>ÓRGANO GARANTE</w:t>
      </w:r>
      <w:r w:rsidRPr="00732F23">
        <w:rPr>
          <w:rFonts w:ascii="Palatino Linotype" w:eastAsia="MS Mincho" w:hAnsi="Palatino Linotype" w:cstheme="majorBidi"/>
          <w:sz w:val="24"/>
          <w:szCs w:val="24"/>
        </w:rPr>
        <w:t xml:space="preserve"> emite los siguientes:</w:t>
      </w:r>
    </w:p>
    <w:p w14:paraId="3F863330" w14:textId="77777777" w:rsidR="00732F23" w:rsidRDefault="00732F23" w:rsidP="00732F23">
      <w:pPr>
        <w:pStyle w:val="Prrafodelista"/>
        <w:spacing w:after="0" w:line="360" w:lineRule="auto"/>
        <w:ind w:left="0"/>
        <w:jc w:val="both"/>
        <w:rPr>
          <w:rFonts w:ascii="Palatino Linotype" w:eastAsia="Calibri" w:hAnsi="Palatino Linotype" w:cs="Arial"/>
          <w:sz w:val="24"/>
          <w:szCs w:val="24"/>
          <w:lang w:val="es-ES"/>
        </w:rPr>
      </w:pPr>
    </w:p>
    <w:p w14:paraId="1A6697E6" w14:textId="77777777" w:rsidR="00D459E6" w:rsidRDefault="00D459E6" w:rsidP="00732F23">
      <w:pPr>
        <w:pStyle w:val="Prrafodelista"/>
        <w:spacing w:after="0" w:line="360" w:lineRule="auto"/>
        <w:ind w:left="0"/>
        <w:jc w:val="both"/>
        <w:rPr>
          <w:rFonts w:ascii="Palatino Linotype" w:eastAsia="Calibri" w:hAnsi="Palatino Linotype" w:cs="Arial"/>
          <w:sz w:val="24"/>
          <w:szCs w:val="24"/>
          <w:lang w:val="es-ES"/>
        </w:rPr>
      </w:pPr>
    </w:p>
    <w:p w14:paraId="6CDE15C3" w14:textId="77777777" w:rsidR="00D459E6" w:rsidRDefault="00D459E6" w:rsidP="00732F23">
      <w:pPr>
        <w:pStyle w:val="Prrafodelista"/>
        <w:spacing w:after="0" w:line="360" w:lineRule="auto"/>
        <w:ind w:left="0"/>
        <w:jc w:val="both"/>
        <w:rPr>
          <w:rFonts w:ascii="Palatino Linotype" w:eastAsia="Calibri" w:hAnsi="Palatino Linotype" w:cs="Arial"/>
          <w:sz w:val="24"/>
          <w:szCs w:val="24"/>
          <w:lang w:val="es-ES"/>
        </w:rPr>
      </w:pPr>
    </w:p>
    <w:p w14:paraId="1EF5D76C" w14:textId="77777777" w:rsidR="00D459E6" w:rsidRDefault="00D459E6" w:rsidP="00732F23">
      <w:pPr>
        <w:pStyle w:val="Prrafodelista"/>
        <w:spacing w:after="0" w:line="360" w:lineRule="auto"/>
        <w:ind w:left="0"/>
        <w:jc w:val="both"/>
        <w:rPr>
          <w:rFonts w:ascii="Palatino Linotype" w:eastAsia="Calibri" w:hAnsi="Palatino Linotype" w:cs="Arial"/>
          <w:sz w:val="24"/>
          <w:szCs w:val="24"/>
          <w:lang w:val="es-ES"/>
        </w:rPr>
      </w:pPr>
    </w:p>
    <w:p w14:paraId="58560E31" w14:textId="77777777" w:rsidR="00D459E6" w:rsidRDefault="00D459E6" w:rsidP="00732F23">
      <w:pPr>
        <w:pStyle w:val="Prrafodelista"/>
        <w:spacing w:after="0" w:line="360" w:lineRule="auto"/>
        <w:ind w:left="0"/>
        <w:jc w:val="both"/>
        <w:rPr>
          <w:rFonts w:ascii="Palatino Linotype" w:eastAsia="Calibri" w:hAnsi="Palatino Linotype" w:cs="Arial"/>
          <w:sz w:val="24"/>
          <w:szCs w:val="24"/>
          <w:lang w:val="es-ES"/>
        </w:rPr>
      </w:pPr>
    </w:p>
    <w:p w14:paraId="786B6456" w14:textId="77777777" w:rsidR="00D459E6" w:rsidRDefault="00D459E6" w:rsidP="00732F23">
      <w:pPr>
        <w:pStyle w:val="Prrafodelista"/>
        <w:spacing w:after="0" w:line="360" w:lineRule="auto"/>
        <w:ind w:left="0"/>
        <w:jc w:val="both"/>
        <w:rPr>
          <w:rFonts w:ascii="Palatino Linotype" w:eastAsia="Calibri" w:hAnsi="Palatino Linotype" w:cs="Arial"/>
          <w:sz w:val="24"/>
          <w:szCs w:val="24"/>
          <w:lang w:val="es-ES"/>
        </w:rPr>
      </w:pPr>
    </w:p>
    <w:p w14:paraId="4AF51EB8" w14:textId="77777777" w:rsidR="00D459E6" w:rsidRDefault="00D459E6" w:rsidP="00732F23">
      <w:pPr>
        <w:pStyle w:val="Prrafodelista"/>
        <w:spacing w:after="0" w:line="360" w:lineRule="auto"/>
        <w:ind w:left="0"/>
        <w:jc w:val="both"/>
        <w:rPr>
          <w:rFonts w:ascii="Palatino Linotype" w:eastAsia="Calibri" w:hAnsi="Palatino Linotype" w:cs="Arial"/>
          <w:sz w:val="24"/>
          <w:szCs w:val="24"/>
          <w:lang w:val="es-ES"/>
        </w:rPr>
      </w:pPr>
    </w:p>
    <w:p w14:paraId="38A84CD7" w14:textId="77777777" w:rsidR="00D459E6" w:rsidRDefault="00D459E6" w:rsidP="00732F23">
      <w:pPr>
        <w:pStyle w:val="Prrafodelista"/>
        <w:spacing w:after="0" w:line="360" w:lineRule="auto"/>
        <w:ind w:left="0"/>
        <w:jc w:val="both"/>
        <w:rPr>
          <w:rFonts w:ascii="Palatino Linotype" w:eastAsia="Calibri" w:hAnsi="Palatino Linotype" w:cs="Arial"/>
          <w:sz w:val="24"/>
          <w:szCs w:val="24"/>
          <w:lang w:val="es-ES"/>
        </w:rPr>
      </w:pPr>
    </w:p>
    <w:p w14:paraId="2B989F56" w14:textId="77777777" w:rsidR="00D459E6" w:rsidRPr="00732F23" w:rsidRDefault="00D459E6" w:rsidP="00732F23">
      <w:pPr>
        <w:pStyle w:val="Prrafodelista"/>
        <w:spacing w:after="0" w:line="360" w:lineRule="auto"/>
        <w:ind w:left="0"/>
        <w:jc w:val="both"/>
        <w:rPr>
          <w:rFonts w:ascii="Palatino Linotype" w:eastAsia="Calibri" w:hAnsi="Palatino Linotype" w:cs="Arial"/>
          <w:sz w:val="24"/>
          <w:szCs w:val="24"/>
          <w:lang w:val="es-ES"/>
        </w:rPr>
      </w:pPr>
    </w:p>
    <w:p w14:paraId="192567CF" w14:textId="77777777" w:rsidR="004F1E7D" w:rsidRPr="004B5D57" w:rsidRDefault="004F1E7D" w:rsidP="007074A2">
      <w:pPr>
        <w:pStyle w:val="Ttulo1"/>
        <w:jc w:val="center"/>
        <w:rPr>
          <w:rFonts w:eastAsia="Times New Roman"/>
          <w:lang w:val="es-ES_tradnl" w:eastAsia="es-ES"/>
        </w:rPr>
      </w:pPr>
      <w:bookmarkStart w:id="55" w:name="_Toc70709646"/>
      <w:r w:rsidRPr="004B5D57">
        <w:rPr>
          <w:rFonts w:eastAsia="Times New Roman"/>
          <w:lang w:val="es-ES_tradnl" w:eastAsia="es-ES"/>
        </w:rPr>
        <w:t>R E S O L U T I V O S</w:t>
      </w:r>
      <w:bookmarkEnd w:id="55"/>
    </w:p>
    <w:p w14:paraId="4B0C2134" w14:textId="77777777" w:rsidR="004F1E7D" w:rsidRPr="004B5D57" w:rsidRDefault="004F1E7D" w:rsidP="004F1E7D">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bookmarkEnd w:id="14"/>
    <w:bookmarkEnd w:id="15"/>
    <w:bookmarkEnd w:id="16"/>
    <w:p w14:paraId="2B6299CA" w14:textId="77777777" w:rsidR="00030C01" w:rsidRPr="00030C01" w:rsidRDefault="00030C01" w:rsidP="00030C01">
      <w:pPr>
        <w:spacing w:line="360" w:lineRule="auto"/>
        <w:jc w:val="both"/>
        <w:rPr>
          <w:rFonts w:ascii="Palatino Linotype" w:eastAsia="Times New Roman" w:hAnsi="Palatino Linotype" w:cs="Times New Roman"/>
          <w:sz w:val="24"/>
          <w:szCs w:val="24"/>
        </w:rPr>
      </w:pPr>
      <w:r w:rsidRPr="00030C01">
        <w:rPr>
          <w:rFonts w:ascii="Palatino Linotype" w:eastAsia="Times New Roman" w:hAnsi="Palatino Linotype" w:cs="Arial"/>
          <w:b/>
          <w:sz w:val="24"/>
          <w:szCs w:val="24"/>
        </w:rPr>
        <w:t xml:space="preserve">PRIMERO. </w:t>
      </w:r>
      <w:r w:rsidRPr="00030C01">
        <w:rPr>
          <w:rFonts w:ascii="Palatino Linotype" w:eastAsia="Times New Roman" w:hAnsi="Palatino Linotype" w:cs="Arial"/>
          <w:sz w:val="24"/>
          <w:szCs w:val="24"/>
        </w:rPr>
        <w:t>Resultan parcialmente fundadas las</w:t>
      </w:r>
      <w:r w:rsidRPr="00030C01">
        <w:rPr>
          <w:rFonts w:ascii="Palatino Linotype" w:eastAsia="Times New Roman" w:hAnsi="Palatino Linotype" w:cs="Arial"/>
          <w:b/>
          <w:sz w:val="24"/>
          <w:szCs w:val="24"/>
        </w:rPr>
        <w:t xml:space="preserve"> </w:t>
      </w:r>
      <w:r w:rsidRPr="00030C01">
        <w:rPr>
          <w:rFonts w:ascii="Palatino Linotype" w:eastAsia="Times New Roman" w:hAnsi="Palatino Linotype" w:cs="Arial"/>
          <w:sz w:val="24"/>
          <w:szCs w:val="24"/>
        </w:rPr>
        <w:t xml:space="preserve">razones y motivos de inconformidad hechos valer </w:t>
      </w:r>
      <w:r w:rsidRPr="00030C01">
        <w:rPr>
          <w:rFonts w:ascii="Palatino Linotype" w:eastAsia="Calibri" w:hAnsi="Palatino Linotype" w:cs="Arial"/>
          <w:sz w:val="24"/>
          <w:szCs w:val="24"/>
        </w:rPr>
        <w:t xml:space="preserve">en el recurso de revisión </w:t>
      </w:r>
      <w:r w:rsidR="00D459E6">
        <w:rPr>
          <w:rFonts w:ascii="Palatino Linotype" w:hAnsi="Palatino Linotype" w:cs="Arial"/>
          <w:b/>
          <w:bCs/>
          <w:sz w:val="24"/>
          <w:szCs w:val="24"/>
        </w:rPr>
        <w:t>00528</w:t>
      </w:r>
      <w:r w:rsidRPr="00030C01">
        <w:rPr>
          <w:rFonts w:ascii="Palatino Linotype" w:hAnsi="Palatino Linotype" w:cs="Arial"/>
          <w:b/>
          <w:bCs/>
          <w:sz w:val="24"/>
          <w:szCs w:val="24"/>
        </w:rPr>
        <w:t xml:space="preserve">/INFOEM/IP/RR/2021, </w:t>
      </w:r>
      <w:r w:rsidRPr="00030C01">
        <w:rPr>
          <w:rFonts w:ascii="Palatino Linotype" w:hAnsi="Palatino Linotype" w:cs="Arial"/>
          <w:bCs/>
          <w:sz w:val="24"/>
          <w:szCs w:val="24"/>
        </w:rPr>
        <w:t xml:space="preserve">en términos del </w:t>
      </w:r>
      <w:r w:rsidRPr="00030C01">
        <w:rPr>
          <w:rFonts w:ascii="Palatino Linotype" w:hAnsi="Palatino Linotype" w:cs="Arial"/>
          <w:b/>
          <w:bCs/>
          <w:sz w:val="24"/>
          <w:szCs w:val="24"/>
        </w:rPr>
        <w:t>Considerando</w:t>
      </w:r>
      <w:r w:rsidRPr="00030C01">
        <w:rPr>
          <w:rFonts w:ascii="Palatino Linotype" w:hAnsi="Palatino Linotype" w:cs="Arial"/>
          <w:bCs/>
          <w:sz w:val="24"/>
          <w:szCs w:val="24"/>
        </w:rPr>
        <w:t xml:space="preserve"> </w:t>
      </w:r>
      <w:r w:rsidRPr="00030C01">
        <w:rPr>
          <w:rFonts w:ascii="Palatino Linotype" w:hAnsi="Palatino Linotype" w:cs="Arial"/>
          <w:b/>
          <w:bCs/>
          <w:sz w:val="24"/>
          <w:szCs w:val="24"/>
        </w:rPr>
        <w:t xml:space="preserve">QUINTO </w:t>
      </w:r>
      <w:r w:rsidRPr="00030C01">
        <w:rPr>
          <w:rFonts w:ascii="Palatino Linotype" w:hAnsi="Palatino Linotype" w:cs="Arial"/>
          <w:bCs/>
          <w:sz w:val="24"/>
          <w:szCs w:val="24"/>
        </w:rPr>
        <w:t>de la presente resolución.</w:t>
      </w:r>
    </w:p>
    <w:p w14:paraId="00B2A251" w14:textId="77777777" w:rsidR="00030C01" w:rsidRPr="00030C01" w:rsidRDefault="00030C01" w:rsidP="00030C01">
      <w:pPr>
        <w:spacing w:before="240" w:line="360" w:lineRule="auto"/>
        <w:jc w:val="both"/>
        <w:rPr>
          <w:rFonts w:ascii="Palatino Linotype" w:eastAsia="MS Mincho" w:hAnsi="Palatino Linotype" w:cs="Arial"/>
          <w:color w:val="000000" w:themeColor="text1"/>
          <w:sz w:val="24"/>
          <w:szCs w:val="24"/>
        </w:rPr>
      </w:pPr>
      <w:bookmarkStart w:id="56" w:name="_Toc477891768"/>
      <w:bookmarkStart w:id="57" w:name="_Toc477891858"/>
      <w:bookmarkStart w:id="58" w:name="_Toc481576259"/>
      <w:bookmarkStart w:id="59" w:name="_Toc492590391"/>
      <w:bookmarkStart w:id="60" w:name="_Toc462653937"/>
      <w:bookmarkStart w:id="61" w:name="_Toc453696502"/>
      <w:bookmarkStart w:id="62" w:name="_Toc454301155"/>
      <w:r w:rsidRPr="00030C01">
        <w:rPr>
          <w:rFonts w:ascii="Palatino Linotype" w:hAnsi="Palatino Linotype"/>
          <w:b/>
          <w:sz w:val="24"/>
          <w:szCs w:val="24"/>
        </w:rPr>
        <w:t>SEGUNDO.</w:t>
      </w:r>
      <w:r w:rsidRPr="00030C01">
        <w:rPr>
          <w:rStyle w:val="Ttulo2Car"/>
          <w:rFonts w:ascii="Palatino Linotype" w:hAnsi="Palatino Linotype"/>
          <w:b/>
          <w:sz w:val="24"/>
          <w:szCs w:val="24"/>
        </w:rPr>
        <w:t xml:space="preserve"> </w:t>
      </w:r>
      <w:bookmarkEnd w:id="56"/>
      <w:bookmarkEnd w:id="57"/>
      <w:bookmarkEnd w:id="58"/>
      <w:bookmarkEnd w:id="59"/>
      <w:bookmarkEnd w:id="60"/>
      <w:bookmarkEnd w:id="61"/>
      <w:bookmarkEnd w:id="62"/>
      <w:r w:rsidRPr="00030C01">
        <w:rPr>
          <w:rFonts w:ascii="Palatino Linotype" w:eastAsia="Calibri" w:hAnsi="Palatino Linotype" w:cs="Arial"/>
          <w:sz w:val="24"/>
          <w:szCs w:val="24"/>
        </w:rPr>
        <w:t>Se</w:t>
      </w:r>
      <w:r w:rsidRPr="00030C01">
        <w:rPr>
          <w:rFonts w:ascii="Palatino Linotype" w:eastAsia="Calibri" w:hAnsi="Palatino Linotype" w:cs="Arial"/>
          <w:b/>
          <w:sz w:val="24"/>
          <w:szCs w:val="24"/>
        </w:rPr>
        <w:t xml:space="preserve"> </w:t>
      </w:r>
      <w:r w:rsidR="00D459E6">
        <w:rPr>
          <w:rFonts w:ascii="Palatino Linotype" w:eastAsia="Calibri" w:hAnsi="Palatino Linotype" w:cs="Arial"/>
          <w:b/>
          <w:sz w:val="24"/>
          <w:szCs w:val="24"/>
        </w:rPr>
        <w:t>REVOCA</w:t>
      </w:r>
      <w:r w:rsidRPr="00030C01">
        <w:rPr>
          <w:rFonts w:ascii="Palatino Linotype" w:eastAsia="Calibri" w:hAnsi="Palatino Linotype" w:cs="Arial"/>
          <w:b/>
          <w:sz w:val="24"/>
          <w:szCs w:val="24"/>
        </w:rPr>
        <w:t xml:space="preserve"> </w:t>
      </w:r>
      <w:r w:rsidR="00D459E6">
        <w:rPr>
          <w:rFonts w:ascii="Palatino Linotype" w:eastAsia="Calibri" w:hAnsi="Palatino Linotype" w:cs="Arial"/>
          <w:sz w:val="24"/>
          <w:szCs w:val="24"/>
        </w:rPr>
        <w:t>la respuesta emitida por el</w:t>
      </w:r>
      <w:r w:rsidRPr="00030C01">
        <w:rPr>
          <w:rFonts w:ascii="Palatino Linotype" w:eastAsia="Calibri" w:hAnsi="Palatino Linotype" w:cs="Arial"/>
          <w:sz w:val="24"/>
          <w:szCs w:val="24"/>
        </w:rPr>
        <w:t xml:space="preserve"> </w:t>
      </w:r>
      <w:r w:rsidR="00D459E6">
        <w:rPr>
          <w:rFonts w:ascii="Palatino Linotype" w:eastAsia="Calibri" w:hAnsi="Palatino Linotype" w:cs="Arial"/>
          <w:b/>
          <w:sz w:val="24"/>
          <w:szCs w:val="24"/>
        </w:rPr>
        <w:t>Ayuntamiento de Atizapán de Zaragoza</w:t>
      </w:r>
      <w:r w:rsidRPr="00030C01">
        <w:rPr>
          <w:rFonts w:ascii="Palatino Linotype" w:eastAsia="Calibri" w:hAnsi="Palatino Linotype" w:cs="Arial"/>
          <w:sz w:val="24"/>
          <w:szCs w:val="24"/>
        </w:rPr>
        <w:t xml:space="preserve"> y se</w:t>
      </w:r>
      <w:r w:rsidRPr="00030C01">
        <w:rPr>
          <w:rFonts w:ascii="Palatino Linotype" w:eastAsia="Calibri" w:hAnsi="Palatino Linotype" w:cs="Arial"/>
          <w:b/>
          <w:sz w:val="24"/>
          <w:szCs w:val="24"/>
        </w:rPr>
        <w:t xml:space="preserve"> ORDENA </w:t>
      </w:r>
      <w:r w:rsidRPr="00030C01">
        <w:rPr>
          <w:rFonts w:ascii="Palatino Linotype" w:eastAsia="Times New Roman" w:hAnsi="Palatino Linotype" w:cs="Arial"/>
          <w:sz w:val="24"/>
          <w:szCs w:val="24"/>
        </w:rPr>
        <w:t xml:space="preserve">entregar vía </w:t>
      </w:r>
      <w:r w:rsidR="00D459E6" w:rsidRPr="00D459E6">
        <w:rPr>
          <w:rFonts w:ascii="Palatino Linotype" w:eastAsia="Times New Roman" w:hAnsi="Palatino Linotype" w:cs="Arial"/>
          <w:b/>
          <w:sz w:val="24"/>
          <w:szCs w:val="24"/>
        </w:rPr>
        <w:t>CD-ROM (sin costo)</w:t>
      </w:r>
      <w:r w:rsidRPr="00030C01">
        <w:rPr>
          <w:rFonts w:ascii="Palatino Linotype" w:eastAsia="Times New Roman" w:hAnsi="Palatino Linotype" w:cs="Arial"/>
          <w:b/>
          <w:sz w:val="24"/>
          <w:szCs w:val="24"/>
        </w:rPr>
        <w:t>,</w:t>
      </w:r>
      <w:r w:rsidR="00D459E6">
        <w:rPr>
          <w:rFonts w:ascii="Palatino Linotype" w:eastAsia="Times New Roman" w:hAnsi="Palatino Linotype" w:cs="Arial"/>
          <w:b/>
          <w:sz w:val="24"/>
          <w:szCs w:val="24"/>
        </w:rPr>
        <w:t xml:space="preserve"> </w:t>
      </w:r>
      <w:r w:rsidR="00D459E6">
        <w:rPr>
          <w:rFonts w:ascii="Palatino Linotype" w:eastAsia="Times New Roman" w:hAnsi="Palatino Linotype" w:cs="Arial"/>
          <w:sz w:val="24"/>
          <w:szCs w:val="24"/>
        </w:rPr>
        <w:t>en versión pública</w:t>
      </w:r>
      <w:r w:rsidRPr="00030C01">
        <w:rPr>
          <w:rFonts w:ascii="Palatino Linotype" w:eastAsia="MS Mincho" w:hAnsi="Palatino Linotype" w:cs="Arial"/>
          <w:color w:val="000000" w:themeColor="text1"/>
          <w:sz w:val="24"/>
          <w:szCs w:val="24"/>
        </w:rPr>
        <w:t xml:space="preserve"> la siguiente información:</w:t>
      </w:r>
    </w:p>
    <w:p w14:paraId="6009BF49" w14:textId="77777777" w:rsidR="00030C01" w:rsidRPr="00581E93" w:rsidRDefault="00030C01" w:rsidP="00030C01">
      <w:pPr>
        <w:pStyle w:val="Prrafodelista"/>
        <w:tabs>
          <w:tab w:val="left" w:pos="426"/>
        </w:tabs>
        <w:spacing w:line="360" w:lineRule="auto"/>
        <w:ind w:left="0"/>
        <w:jc w:val="both"/>
        <w:rPr>
          <w:rFonts w:ascii="Palatino Linotype" w:eastAsia="MS Mincho" w:hAnsi="Palatino Linotype" w:cs="Arial"/>
          <w:color w:val="000000" w:themeColor="text1"/>
          <w:sz w:val="2"/>
        </w:rPr>
      </w:pPr>
    </w:p>
    <w:p w14:paraId="70FC46C2" w14:textId="77777777" w:rsidR="00D459E6" w:rsidRPr="00D459E6" w:rsidRDefault="00D459E6" w:rsidP="00D459E6">
      <w:pPr>
        <w:pStyle w:val="Prrafodelista"/>
        <w:numPr>
          <w:ilvl w:val="0"/>
          <w:numId w:val="8"/>
        </w:numPr>
        <w:spacing w:after="0" w:line="360" w:lineRule="auto"/>
        <w:jc w:val="both"/>
        <w:rPr>
          <w:rFonts w:ascii="Palatino Linotype" w:eastAsia="Calibri" w:hAnsi="Palatino Linotype" w:cs="Arial"/>
          <w:b/>
          <w:sz w:val="24"/>
          <w:szCs w:val="24"/>
          <w:lang w:val="es-ES"/>
        </w:rPr>
      </w:pPr>
      <w:r>
        <w:rPr>
          <w:rFonts w:ascii="Palatino Linotype" w:eastAsia="MS Mincho" w:hAnsi="Palatino Linotype" w:cs="Arial"/>
          <w:b/>
          <w:color w:val="000000" w:themeColor="text1"/>
          <w:sz w:val="24"/>
          <w:szCs w:val="24"/>
        </w:rPr>
        <w:t>A</w:t>
      </w:r>
      <w:r w:rsidRPr="00D459E6">
        <w:rPr>
          <w:rFonts w:ascii="Palatino Linotype" w:eastAsia="MS Mincho" w:hAnsi="Palatino Linotype" w:cs="Arial"/>
          <w:b/>
          <w:color w:val="000000" w:themeColor="text1"/>
          <w:sz w:val="24"/>
          <w:szCs w:val="24"/>
        </w:rPr>
        <w:t xml:space="preserve">utorizaciones de prórroga de cambio de uso de suelo emitidas por la Dirección General de Desarrollo Territorial del Municipio de Atizapán de Zaragoza del uno (01) de enero de dos mil diecinueve al veintiocho (28) de enero de dos mil veintiuno. </w:t>
      </w:r>
    </w:p>
    <w:p w14:paraId="193373B8" w14:textId="77777777" w:rsidR="00D459E6" w:rsidRDefault="00D459E6" w:rsidP="00D459E6">
      <w:pPr>
        <w:pStyle w:val="Prrafodelista"/>
        <w:spacing w:line="360" w:lineRule="auto"/>
        <w:jc w:val="both"/>
        <w:rPr>
          <w:rFonts w:ascii="Palatino Linotype" w:eastAsia="Calibri" w:hAnsi="Palatino Linotype" w:cs="Arial"/>
          <w:sz w:val="24"/>
          <w:szCs w:val="24"/>
        </w:rPr>
      </w:pPr>
    </w:p>
    <w:p w14:paraId="65EB1B67" w14:textId="77777777" w:rsidR="00D459E6" w:rsidRDefault="00D459E6" w:rsidP="00D459E6">
      <w:pPr>
        <w:pStyle w:val="Prrafodelista"/>
        <w:spacing w:line="360" w:lineRule="auto"/>
        <w:jc w:val="both"/>
        <w:rPr>
          <w:rFonts w:ascii="Palatino Linotype" w:eastAsia="Calibri" w:hAnsi="Palatino Linotype" w:cs="Arial"/>
          <w:b/>
          <w:sz w:val="24"/>
          <w:szCs w:val="24"/>
        </w:rPr>
      </w:pPr>
      <w:r w:rsidRPr="00B737C9">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w:t>
      </w:r>
      <w:r w:rsidRPr="00B737C9">
        <w:rPr>
          <w:rFonts w:ascii="Palatino Linotype" w:eastAsia="Calibri" w:hAnsi="Palatino Linotype" w:cs="Arial"/>
          <w:sz w:val="24"/>
          <w:szCs w:val="24"/>
        </w:rPr>
        <w:lastRenderedPageBreak/>
        <w:t>supriman o eliminen dentro del soporte documental respectivo objeto de las versiones públicas que se formulen</w:t>
      </w:r>
      <w:r w:rsidRPr="00B737C9">
        <w:rPr>
          <w:rFonts w:ascii="Palatino Linotype" w:eastAsia="Calibri" w:hAnsi="Palatino Linotype" w:cs="Arial"/>
          <w:b/>
          <w:sz w:val="24"/>
          <w:szCs w:val="24"/>
        </w:rPr>
        <w:t>.</w:t>
      </w:r>
    </w:p>
    <w:p w14:paraId="07873C27" w14:textId="77777777" w:rsidR="00D459E6" w:rsidRDefault="00D459E6" w:rsidP="00D459E6">
      <w:pPr>
        <w:pStyle w:val="Prrafodelista"/>
        <w:spacing w:line="360" w:lineRule="auto"/>
        <w:jc w:val="both"/>
        <w:rPr>
          <w:rFonts w:ascii="Palatino Linotype" w:eastAsia="Calibri" w:hAnsi="Palatino Linotype" w:cs="Arial"/>
          <w:sz w:val="24"/>
          <w:szCs w:val="24"/>
        </w:rPr>
      </w:pPr>
    </w:p>
    <w:p w14:paraId="6A1B4FB3" w14:textId="77777777" w:rsidR="00234316" w:rsidRPr="00030C01" w:rsidRDefault="00D459E6" w:rsidP="00D459E6">
      <w:pPr>
        <w:pStyle w:val="Prrafodelista"/>
        <w:spacing w:line="360" w:lineRule="auto"/>
        <w:jc w:val="both"/>
        <w:rPr>
          <w:rFonts w:ascii="Palatino Linotype" w:eastAsia="Calibri" w:hAnsi="Palatino Linotype" w:cs="Arial"/>
          <w:b/>
          <w:sz w:val="24"/>
          <w:szCs w:val="24"/>
          <w:lang w:val="es-ES"/>
        </w:rPr>
      </w:pPr>
      <w:r>
        <w:rPr>
          <w:rFonts w:ascii="Palatino Linotype" w:eastAsia="Calibri" w:hAnsi="Palatino Linotype" w:cs="Arial"/>
          <w:sz w:val="24"/>
          <w:szCs w:val="24"/>
        </w:rPr>
        <w:t>El Sujeto Obligado deberá informar</w:t>
      </w:r>
      <w:r>
        <w:rPr>
          <w:rFonts w:ascii="Palatino Linotype" w:hAnsi="Palatino Linotype" w:cs="Arial"/>
          <w:color w:val="222222"/>
          <w:sz w:val="24"/>
          <w:szCs w:val="24"/>
        </w:rPr>
        <w:t xml:space="preserve"> al R</w:t>
      </w:r>
      <w:r w:rsidRPr="002243F2">
        <w:rPr>
          <w:rFonts w:ascii="Palatino Linotype" w:hAnsi="Palatino Linotype" w:cs="Arial"/>
          <w:color w:val="222222"/>
          <w:sz w:val="24"/>
          <w:szCs w:val="24"/>
        </w:rPr>
        <w:t xml:space="preserve">ecurrente el procedimiento para la expedición del CD-ROM, así como el lugar, días y horas hábiles, para recoger </w:t>
      </w:r>
      <w:r w:rsidR="00321347">
        <w:rPr>
          <w:rFonts w:ascii="Palatino Linotype" w:hAnsi="Palatino Linotype" w:cs="Arial"/>
          <w:color w:val="222222"/>
          <w:sz w:val="24"/>
          <w:szCs w:val="24"/>
        </w:rPr>
        <w:t>el</w:t>
      </w:r>
      <w:r w:rsidRPr="002243F2">
        <w:rPr>
          <w:rFonts w:ascii="Palatino Linotype" w:hAnsi="Palatino Linotype" w:cs="Arial"/>
          <w:color w:val="222222"/>
          <w:sz w:val="24"/>
          <w:szCs w:val="24"/>
        </w:rPr>
        <w:t xml:space="preserve"> medio de almacenamiento</w:t>
      </w:r>
      <w:r w:rsidR="00321347">
        <w:rPr>
          <w:rFonts w:ascii="Palatino Linotype" w:hAnsi="Palatino Linotype" w:cs="Arial"/>
          <w:color w:val="222222"/>
          <w:sz w:val="24"/>
          <w:szCs w:val="24"/>
        </w:rPr>
        <w:t>.</w:t>
      </w:r>
    </w:p>
    <w:p w14:paraId="34CD7453" w14:textId="77777777" w:rsidR="00234316" w:rsidRDefault="00030C01" w:rsidP="00030C01">
      <w:pPr>
        <w:autoSpaceDE w:val="0"/>
        <w:autoSpaceDN w:val="0"/>
        <w:adjustRightInd w:val="0"/>
        <w:spacing w:line="360" w:lineRule="auto"/>
        <w:ind w:right="49"/>
        <w:jc w:val="both"/>
        <w:rPr>
          <w:rFonts w:ascii="Palatino Linotype" w:hAnsi="Palatino Linotype"/>
          <w:color w:val="222222"/>
          <w:sz w:val="24"/>
          <w:szCs w:val="24"/>
          <w:shd w:val="clear" w:color="auto" w:fill="FFFFFF"/>
        </w:rPr>
      </w:pPr>
      <w:r w:rsidRPr="00030C01">
        <w:rPr>
          <w:rFonts w:ascii="Palatino Linotype" w:eastAsia="Palatino Linotype" w:hAnsi="Palatino Linotype" w:cs="Palatino Linotype"/>
          <w:b/>
          <w:sz w:val="24"/>
          <w:szCs w:val="24"/>
        </w:rPr>
        <w:t xml:space="preserve">TERCERO. Notifíquese </w:t>
      </w:r>
      <w:r w:rsidRPr="00030C01">
        <w:rPr>
          <w:rFonts w:ascii="Palatino Linotype" w:eastAsia="Palatino Linotype" w:hAnsi="Palatino Linotype" w:cs="Palatino Linotype"/>
          <w:sz w:val="24"/>
          <w:szCs w:val="24"/>
        </w:rPr>
        <w:t xml:space="preserve">al Titular de la Unidad de Transparencia del </w:t>
      </w:r>
      <w:r w:rsidRPr="00030C01">
        <w:rPr>
          <w:rFonts w:ascii="Palatino Linotype" w:eastAsia="Palatino Linotype" w:hAnsi="Palatino Linotype" w:cs="Palatino Linotype"/>
          <w:b/>
          <w:sz w:val="24"/>
          <w:szCs w:val="24"/>
        </w:rPr>
        <w:t>SUJETO OBLIGADO</w:t>
      </w:r>
      <w:r w:rsidRPr="00030C01">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30C01">
        <w:rPr>
          <w:rFonts w:ascii="Palatino Linotype" w:hAnsi="Palatino Linotype"/>
          <w:color w:val="222222"/>
          <w:sz w:val="24"/>
          <w:szCs w:val="24"/>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48F45604" w14:textId="77777777" w:rsidR="00321347" w:rsidRPr="00030C01" w:rsidRDefault="00321347" w:rsidP="00030C01">
      <w:pPr>
        <w:autoSpaceDE w:val="0"/>
        <w:autoSpaceDN w:val="0"/>
        <w:adjustRightInd w:val="0"/>
        <w:spacing w:line="360" w:lineRule="auto"/>
        <w:ind w:right="49"/>
        <w:jc w:val="both"/>
        <w:rPr>
          <w:rFonts w:ascii="Palatino Linotype" w:hAnsi="Palatino Linotype"/>
          <w:color w:val="222222"/>
          <w:sz w:val="24"/>
          <w:szCs w:val="24"/>
          <w:shd w:val="clear" w:color="auto" w:fill="FFFFFF"/>
        </w:rPr>
      </w:pPr>
    </w:p>
    <w:p w14:paraId="6094A454" w14:textId="77777777" w:rsidR="00030C01" w:rsidRDefault="00030C01" w:rsidP="00030C01">
      <w:pPr>
        <w:spacing w:line="360" w:lineRule="auto"/>
        <w:jc w:val="both"/>
        <w:rPr>
          <w:rFonts w:ascii="Palatino Linotype" w:eastAsia="Calibri" w:hAnsi="Palatino Linotype" w:cs="Arial"/>
          <w:bCs/>
          <w:sz w:val="24"/>
          <w:szCs w:val="24"/>
        </w:rPr>
      </w:pPr>
      <w:r w:rsidRPr="008815BA">
        <w:rPr>
          <w:rFonts w:ascii="Palatino Linotype" w:eastAsia="Times New Roman" w:hAnsi="Palatino Linotype" w:cs="Arial"/>
          <w:b/>
          <w:sz w:val="24"/>
          <w:szCs w:val="24"/>
        </w:rPr>
        <w:t xml:space="preserve">CUARTO. </w:t>
      </w:r>
      <w:r w:rsidRPr="008815BA">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171124B" w14:textId="77777777" w:rsidR="00321347" w:rsidRDefault="00321347" w:rsidP="00030C01">
      <w:pPr>
        <w:spacing w:line="360" w:lineRule="auto"/>
        <w:jc w:val="both"/>
        <w:rPr>
          <w:rFonts w:ascii="Palatino Linotype" w:eastAsia="Calibri" w:hAnsi="Palatino Linotype" w:cs="Arial"/>
          <w:bCs/>
          <w:sz w:val="24"/>
          <w:szCs w:val="24"/>
        </w:rPr>
      </w:pPr>
    </w:p>
    <w:p w14:paraId="29D790AD" w14:textId="0257F0C2" w:rsidR="00321347" w:rsidRDefault="00030C01" w:rsidP="00030C01">
      <w:pPr>
        <w:autoSpaceDE w:val="0"/>
        <w:autoSpaceDN w:val="0"/>
        <w:adjustRightInd w:val="0"/>
        <w:spacing w:line="360" w:lineRule="auto"/>
        <w:ind w:right="49"/>
        <w:jc w:val="both"/>
        <w:rPr>
          <w:rFonts w:ascii="Palatino Linotype" w:hAnsi="Palatino Linotype"/>
          <w:sz w:val="24"/>
          <w:szCs w:val="24"/>
        </w:rPr>
      </w:pPr>
      <w:r>
        <w:rPr>
          <w:rFonts w:ascii="Palatino Linotype" w:eastAsia="Times New Roman" w:hAnsi="Palatino Linotype" w:cs="Arial"/>
          <w:b/>
          <w:sz w:val="24"/>
          <w:szCs w:val="24"/>
        </w:rPr>
        <w:t>QUINTO</w:t>
      </w:r>
      <w:r w:rsidRPr="00030C01">
        <w:rPr>
          <w:rFonts w:ascii="Palatino Linotype" w:eastAsia="Times New Roman" w:hAnsi="Palatino Linotype" w:cs="Arial"/>
          <w:b/>
          <w:sz w:val="24"/>
          <w:szCs w:val="24"/>
        </w:rPr>
        <w:t xml:space="preserve">. </w:t>
      </w:r>
      <w:r w:rsidRPr="00030C01">
        <w:rPr>
          <w:rFonts w:ascii="Palatino Linotype" w:eastAsia="Times New Roman" w:hAnsi="Palatino Linotype" w:cs="Times New Roman"/>
          <w:b/>
          <w:bCs/>
          <w:color w:val="222222"/>
          <w:sz w:val="24"/>
          <w:szCs w:val="24"/>
        </w:rPr>
        <w:t>Notifíquese a</w:t>
      </w:r>
      <w:r w:rsidRPr="00030C01">
        <w:rPr>
          <w:rFonts w:ascii="Palatino Linotype" w:hAnsi="Palatino Linotype"/>
          <w:b/>
          <w:sz w:val="24"/>
          <w:szCs w:val="24"/>
        </w:rPr>
        <w:t xml:space="preserve"> </w:t>
      </w:r>
      <w:r w:rsidR="00211CC7" w:rsidRPr="00211CC7">
        <w:rPr>
          <w:rFonts w:ascii="Palatino Linotype" w:eastAsia="Calibri" w:hAnsi="Palatino Linotype" w:cs="Arial"/>
          <w:b/>
          <w:sz w:val="24"/>
          <w:szCs w:val="24"/>
          <w:highlight w:val="black"/>
        </w:rPr>
        <w:t>------------------------------------------</w:t>
      </w:r>
      <w:r w:rsidR="00321347">
        <w:rPr>
          <w:rFonts w:ascii="Palatino Linotype" w:hAnsi="Palatino Linotype"/>
          <w:sz w:val="24"/>
          <w:szCs w:val="24"/>
        </w:rPr>
        <w:t xml:space="preserve"> la presente resolución.</w:t>
      </w:r>
    </w:p>
    <w:p w14:paraId="4DD616FC" w14:textId="77777777" w:rsidR="00321347" w:rsidRDefault="00321347" w:rsidP="00030C01">
      <w:pPr>
        <w:autoSpaceDE w:val="0"/>
        <w:autoSpaceDN w:val="0"/>
        <w:adjustRightInd w:val="0"/>
        <w:spacing w:line="360" w:lineRule="auto"/>
        <w:ind w:right="49"/>
        <w:jc w:val="both"/>
        <w:rPr>
          <w:rFonts w:ascii="Palatino Linotype" w:hAnsi="Palatino Linotype"/>
          <w:sz w:val="24"/>
          <w:szCs w:val="24"/>
        </w:rPr>
      </w:pPr>
    </w:p>
    <w:p w14:paraId="293CAF18" w14:textId="1156AAC8" w:rsidR="00030C01" w:rsidRDefault="00030C01" w:rsidP="00030C01">
      <w:pPr>
        <w:autoSpaceDE w:val="0"/>
        <w:autoSpaceDN w:val="0"/>
        <w:adjustRightInd w:val="0"/>
        <w:spacing w:line="360" w:lineRule="auto"/>
        <w:ind w:right="49"/>
        <w:jc w:val="both"/>
        <w:rPr>
          <w:rFonts w:ascii="Palatino Linotype" w:eastAsia="MS Mincho" w:hAnsi="Palatino Linotype" w:cs="Times New Roman"/>
          <w:sz w:val="24"/>
          <w:szCs w:val="24"/>
        </w:rPr>
      </w:pPr>
      <w:r>
        <w:rPr>
          <w:rFonts w:ascii="Palatino Linotype" w:eastAsia="MS Mincho" w:hAnsi="Palatino Linotype" w:cs="Times New Roman"/>
          <w:b/>
          <w:sz w:val="24"/>
          <w:szCs w:val="24"/>
        </w:rPr>
        <w:t>SEXTO</w:t>
      </w:r>
      <w:r w:rsidRPr="00030C01">
        <w:rPr>
          <w:rFonts w:ascii="Palatino Linotype" w:eastAsia="MS Mincho" w:hAnsi="Palatino Linotype" w:cs="Times New Roman"/>
          <w:b/>
          <w:sz w:val="24"/>
          <w:szCs w:val="24"/>
        </w:rPr>
        <w:t>.</w:t>
      </w:r>
      <w:r w:rsidRPr="00030C01">
        <w:rPr>
          <w:rFonts w:ascii="Palatino Linotype" w:eastAsia="MS Mincho" w:hAnsi="Palatino Linotype" w:cs="Times New Roman"/>
          <w:sz w:val="24"/>
          <w:szCs w:val="24"/>
        </w:rPr>
        <w:t xml:space="preserve"> Se hace del conocimiento de </w:t>
      </w:r>
      <w:r w:rsidR="00211CC7" w:rsidRPr="00211CC7">
        <w:rPr>
          <w:rFonts w:ascii="Palatino Linotype" w:eastAsia="Calibri" w:hAnsi="Palatino Linotype" w:cs="Arial"/>
          <w:b/>
          <w:sz w:val="24"/>
          <w:szCs w:val="24"/>
          <w:highlight w:val="black"/>
        </w:rPr>
        <w:t>----------------------------------------</w:t>
      </w:r>
      <w:r w:rsidR="00321347">
        <w:rPr>
          <w:rFonts w:ascii="Palatino Linotype" w:hAnsi="Palatino Linotype"/>
          <w:sz w:val="24"/>
          <w:szCs w:val="24"/>
        </w:rPr>
        <w:t xml:space="preserve"> </w:t>
      </w:r>
      <w:r w:rsidRPr="00030C01">
        <w:rPr>
          <w:rFonts w:ascii="Palatino Linotype" w:eastAsia="MS Mincho" w:hAnsi="Palatino Linotype" w:cs="Times New Roman"/>
          <w:sz w:val="24"/>
          <w:szCs w:val="24"/>
        </w:rPr>
        <w:t xml:space="preserve">que, de conformidad con lo establecido en el artículo 196 de la Ley de Transparencia y Acceso a la Información Pública del Estado de México y Municipios, en caso de que considere </w:t>
      </w:r>
      <w:r w:rsidRPr="00030C01">
        <w:rPr>
          <w:rFonts w:ascii="Palatino Linotype" w:eastAsia="MS Mincho" w:hAnsi="Palatino Linotype" w:cs="Times New Roman"/>
          <w:sz w:val="24"/>
          <w:szCs w:val="24"/>
        </w:rPr>
        <w:lastRenderedPageBreak/>
        <w:t>que la resolución le cause algún perjuicio podrá impugnarla </w:t>
      </w:r>
      <w:r w:rsidRPr="00030C01">
        <w:rPr>
          <w:rFonts w:ascii="Palatino Linotype" w:eastAsia="MS Mincho" w:hAnsi="Palatino Linotype" w:cs="Times New Roman"/>
          <w:bCs/>
          <w:sz w:val="24"/>
          <w:szCs w:val="24"/>
        </w:rPr>
        <w:t>vía juicio de amparo</w:t>
      </w:r>
      <w:r w:rsidRPr="00030C01">
        <w:rPr>
          <w:rFonts w:ascii="Palatino Linotype" w:eastAsia="MS Mincho" w:hAnsi="Palatino Linotype" w:cs="Times New Roman"/>
          <w:sz w:val="24"/>
          <w:szCs w:val="24"/>
        </w:rPr>
        <w:t> en los términos de las leyes aplicables.</w:t>
      </w:r>
    </w:p>
    <w:p w14:paraId="1815F4A0" w14:textId="77777777" w:rsidR="00321347" w:rsidRPr="00030C01" w:rsidRDefault="00321347" w:rsidP="00030C01">
      <w:pPr>
        <w:autoSpaceDE w:val="0"/>
        <w:autoSpaceDN w:val="0"/>
        <w:adjustRightInd w:val="0"/>
        <w:spacing w:line="360" w:lineRule="auto"/>
        <w:ind w:right="49"/>
        <w:jc w:val="both"/>
        <w:rPr>
          <w:rFonts w:ascii="Palatino Linotype" w:eastAsia="MS Mincho" w:hAnsi="Palatino Linotype" w:cs="Times New Roman"/>
          <w:sz w:val="24"/>
          <w:szCs w:val="24"/>
        </w:rPr>
      </w:pPr>
    </w:p>
    <w:p w14:paraId="1D566DDA" w14:textId="77777777" w:rsidR="00030C01" w:rsidRPr="00510857" w:rsidRDefault="00510857" w:rsidP="00030C01">
      <w:pPr>
        <w:shd w:val="clear" w:color="auto" w:fill="FFFFFF"/>
        <w:spacing w:line="360" w:lineRule="auto"/>
        <w:jc w:val="both"/>
        <w:rPr>
          <w:rFonts w:ascii="Palatino Linotype" w:eastAsia="MS Mincho" w:hAnsi="Palatino Linotype" w:cs="Times New Roman"/>
          <w:color w:val="000000"/>
          <w:sz w:val="24"/>
          <w:szCs w:val="24"/>
          <w:shd w:val="clear" w:color="auto" w:fill="FFFFFF"/>
        </w:rPr>
      </w:pPr>
      <w:r>
        <w:rPr>
          <w:rFonts w:ascii="Palatino Linotype" w:eastAsia="Calibri" w:hAnsi="Palatino Linotype" w:cs="Times New Roman"/>
          <w:b/>
          <w:sz w:val="24"/>
          <w:szCs w:val="24"/>
        </w:rPr>
        <w:t>SÉPTIMO</w:t>
      </w:r>
      <w:r w:rsidR="00030C01" w:rsidRPr="00510857">
        <w:rPr>
          <w:rFonts w:ascii="Palatino Linotype" w:eastAsia="Calibri" w:hAnsi="Palatino Linotype" w:cs="Times New Roman"/>
          <w:b/>
          <w:sz w:val="24"/>
          <w:szCs w:val="24"/>
        </w:rPr>
        <w:t>.</w:t>
      </w:r>
      <w:r w:rsidR="00030C01" w:rsidRPr="00510857">
        <w:rPr>
          <w:rFonts w:ascii="Palatino Linotype" w:eastAsia="MS Mincho" w:hAnsi="Palatino Linotype" w:cs="Times New Roman"/>
          <w:sz w:val="24"/>
          <w:szCs w:val="24"/>
        </w:rPr>
        <w:t xml:space="preserve"> </w:t>
      </w:r>
      <w:r w:rsidR="00030C01" w:rsidRPr="00510857">
        <w:rPr>
          <w:rFonts w:ascii="Palatino Linotype" w:eastAsia="MS Mincho" w:hAnsi="Palatino Linotype" w:cs="Times New Roman"/>
          <w:sz w:val="24"/>
          <w:szCs w:val="24"/>
          <w:shd w:val="clear" w:color="auto" w:fill="FFFFFF"/>
        </w:rPr>
        <w:t>Con fundamento en el artículo 198 de la Ley de Transparencia y Acceso a la Información Pública del Estado de México y Municipios, se apercibe al </w:t>
      </w:r>
      <w:r w:rsidR="00030C01" w:rsidRPr="00510857">
        <w:rPr>
          <w:rFonts w:ascii="Palatino Linotype" w:eastAsia="MS Mincho" w:hAnsi="Palatino Linotype" w:cs="Times New Roman"/>
          <w:b/>
          <w:bCs/>
          <w:sz w:val="24"/>
          <w:szCs w:val="24"/>
          <w:shd w:val="clear" w:color="auto" w:fill="FFFFFF"/>
        </w:rPr>
        <w:t>SUJETO OBLIGADO</w:t>
      </w:r>
      <w:r w:rsidR="00030C01" w:rsidRPr="00510857">
        <w:rPr>
          <w:rFonts w:ascii="Palatino Linotype" w:eastAsia="MS Mincho" w:hAnsi="Palatino Linotype" w:cs="Times New Roman"/>
          <w:sz w:val="24"/>
          <w:szCs w:val="24"/>
          <w:shd w:val="clear" w:color="auto" w:fill="FFFFFF"/>
        </w:rPr>
        <w:t> de que</w:t>
      </w:r>
      <w:r w:rsidR="00030C01" w:rsidRPr="00510857">
        <w:rPr>
          <w:rFonts w:ascii="Palatino Linotype" w:eastAsia="MS Mincho" w:hAnsi="Palatino Linotype" w:cs="Times New Roman"/>
          <w:color w:val="000000"/>
          <w:sz w:val="24"/>
          <w:szCs w:val="24"/>
          <w:shd w:val="clear" w:color="auto" w:fill="FFFFFF"/>
        </w:rPr>
        <w:t>, en caso de incumplimiento total o parcial de la presente resolución, se actuará de conformidad con lo dispuesto en los artículos 213, 214, 215, 216 y 217 de la ley en cita. </w:t>
      </w:r>
    </w:p>
    <w:p w14:paraId="17C101DD" w14:textId="77777777" w:rsidR="00510857" w:rsidRDefault="00510857" w:rsidP="004F1E7D">
      <w:pPr>
        <w:spacing w:after="0" w:line="360" w:lineRule="auto"/>
        <w:ind w:right="49"/>
        <w:jc w:val="both"/>
        <w:rPr>
          <w:rFonts w:ascii="Palatino Linotype" w:eastAsiaTheme="minorEastAsia" w:hAnsi="Palatino Linotype" w:cs="Arial"/>
          <w:sz w:val="24"/>
          <w:szCs w:val="24"/>
          <w:lang w:val="es-ES_tradnl" w:eastAsia="es-ES"/>
        </w:rPr>
      </w:pPr>
    </w:p>
    <w:p w14:paraId="62714191" w14:textId="77777777" w:rsidR="004F1E7D" w:rsidRPr="004B5D57" w:rsidRDefault="004F1E7D" w:rsidP="004F1E7D">
      <w:pPr>
        <w:spacing w:after="0" w:line="360" w:lineRule="auto"/>
        <w:ind w:right="49"/>
        <w:jc w:val="both"/>
        <w:rPr>
          <w:rFonts w:ascii="Palatino Linotype" w:eastAsiaTheme="minorEastAsia" w:hAnsi="Palatino Linotype" w:cs="Arial"/>
          <w:sz w:val="24"/>
          <w:szCs w:val="24"/>
          <w:lang w:val="es-ES_tradnl" w:eastAsia="es-ES"/>
        </w:rPr>
      </w:pPr>
      <w:r w:rsidRPr="004B5D57">
        <w:rPr>
          <w:rFonts w:ascii="Palatino Linotype" w:eastAsiaTheme="minorEastAsia" w:hAnsi="Palatino Linotype" w:cs="Arial"/>
          <w:sz w:val="24"/>
          <w:szCs w:val="24"/>
          <w:lang w:val="es-ES_tradnl" w:eastAsia="es-ES"/>
        </w:rPr>
        <w:t>ASÍ LO RESUELVE, POR UNANIMIDAD DE VOTOS, EL PLENO DEL</w:t>
      </w:r>
      <w:r w:rsidRPr="004B5D57">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4B5D57">
        <w:rPr>
          <w:rFonts w:ascii="Palatino Linotype" w:eastAsiaTheme="minorEastAsia" w:hAnsi="Palatino Linotype" w:cs="Arial"/>
          <w:sz w:val="24"/>
          <w:szCs w:val="24"/>
          <w:lang w:val="es-ES_tradnl" w:eastAsia="es-ES"/>
        </w:rPr>
        <w:t xml:space="preserve">, CONFORMADO POR LOS COMISIONADOS ZULEMA MARTÍNEZ SÁNCHEZ; EVA ABAID YAPUR; JOSÉ GUADALUPE LUNA HERNÁNDEZ; JAVIER MARTÍNEZ CRUZ Y LUIS GUSTAVO PARRA NORIEGA; EN LA </w:t>
      </w:r>
      <w:r w:rsidR="00F4124F">
        <w:rPr>
          <w:rFonts w:ascii="Palatino Linotype" w:eastAsiaTheme="minorEastAsia" w:hAnsi="Palatino Linotype" w:cs="Arial"/>
          <w:sz w:val="24"/>
          <w:szCs w:val="24"/>
          <w:lang w:val="es-ES_tradnl" w:eastAsia="es-ES"/>
        </w:rPr>
        <w:t xml:space="preserve">DECIMA </w:t>
      </w:r>
      <w:r w:rsidR="00510857">
        <w:rPr>
          <w:rFonts w:ascii="Palatino Linotype" w:eastAsiaTheme="minorEastAsia" w:hAnsi="Palatino Linotype" w:cs="Arial"/>
          <w:sz w:val="24"/>
          <w:szCs w:val="24"/>
          <w:lang w:val="es-ES_tradnl" w:eastAsia="es-ES"/>
        </w:rPr>
        <w:t>SEGUNDA</w:t>
      </w:r>
      <w:r w:rsidRPr="004B5D57">
        <w:rPr>
          <w:rFonts w:ascii="Palatino Linotype" w:eastAsiaTheme="minorEastAsia" w:hAnsi="Palatino Linotype" w:cs="Arial"/>
          <w:sz w:val="24"/>
          <w:szCs w:val="24"/>
          <w:lang w:val="es-ES_tradnl" w:eastAsia="es-ES"/>
        </w:rPr>
        <w:t xml:space="preserve"> SESIÓN ORDINARIA CELEBRADA EL </w:t>
      </w:r>
      <w:r w:rsidR="00F4124F">
        <w:rPr>
          <w:rFonts w:ascii="Palatino Linotype" w:eastAsiaTheme="minorEastAsia" w:hAnsi="Palatino Linotype" w:cs="Arial"/>
          <w:sz w:val="24"/>
          <w:szCs w:val="24"/>
          <w:lang w:val="es-ES_tradnl" w:eastAsia="es-ES"/>
        </w:rPr>
        <w:t>CATORCE</w:t>
      </w:r>
      <w:r w:rsidR="00C1020A" w:rsidRPr="004B5D57">
        <w:rPr>
          <w:rFonts w:ascii="Palatino Linotype" w:eastAsiaTheme="minorEastAsia" w:hAnsi="Palatino Linotype" w:cs="Arial"/>
          <w:sz w:val="24"/>
          <w:szCs w:val="24"/>
          <w:lang w:val="es-ES_tradnl" w:eastAsia="es-ES"/>
        </w:rPr>
        <w:t xml:space="preserve"> DE </w:t>
      </w:r>
      <w:r w:rsidR="00F4124F">
        <w:rPr>
          <w:rFonts w:ascii="Palatino Linotype" w:eastAsiaTheme="minorEastAsia" w:hAnsi="Palatino Linotype" w:cs="Arial"/>
          <w:sz w:val="24"/>
          <w:szCs w:val="24"/>
          <w:lang w:val="es-ES_tradnl" w:eastAsia="es-ES"/>
        </w:rPr>
        <w:t>ABRIL</w:t>
      </w:r>
      <w:r w:rsidR="00C1020A" w:rsidRPr="004B5D57">
        <w:rPr>
          <w:rFonts w:ascii="Palatino Linotype" w:eastAsiaTheme="minorEastAsia" w:hAnsi="Palatino Linotype" w:cs="Arial"/>
          <w:sz w:val="24"/>
          <w:szCs w:val="24"/>
          <w:lang w:val="es-ES_tradnl" w:eastAsia="es-ES"/>
        </w:rPr>
        <w:t xml:space="preserve"> </w:t>
      </w:r>
      <w:r w:rsidRPr="004B5D57">
        <w:rPr>
          <w:rFonts w:ascii="Palatino Linotype" w:eastAsiaTheme="minorEastAsia" w:hAnsi="Palatino Linotype" w:cs="Arial"/>
          <w:sz w:val="24"/>
          <w:szCs w:val="24"/>
          <w:lang w:val="es-ES_tradnl" w:eastAsia="es-ES"/>
        </w:rPr>
        <w:t xml:space="preserve">DE DOS MIL VEINTIUNO, ANTE EL SECRETARIO TÉCNICO DEL PLENO, </w:t>
      </w:r>
      <w:r w:rsidRPr="004B5D57">
        <w:rPr>
          <w:rFonts w:ascii="Palatino Linotype" w:eastAsiaTheme="minorEastAsia" w:hAnsi="Palatino Linotype"/>
          <w:sz w:val="24"/>
          <w:szCs w:val="24"/>
          <w:lang w:val="es-ES_tradnl" w:eastAsia="es-ES"/>
        </w:rPr>
        <w:t>ALEXIS TAPIA RAMÍREZ</w:t>
      </w:r>
      <w:r w:rsidRPr="004B5D57">
        <w:rPr>
          <w:rFonts w:ascii="Palatino Linotype" w:eastAsiaTheme="minorEastAsia" w:hAnsi="Palatino Linotype" w:cs="Arial"/>
          <w:sz w:val="24"/>
          <w:szCs w:val="24"/>
          <w:lang w:val="es-ES_tradnl" w:eastAsia="es-ES"/>
        </w:rPr>
        <w:t xml:space="preserve">. </w:t>
      </w:r>
    </w:p>
    <w:p w14:paraId="2DED400D" w14:textId="77777777" w:rsidR="004F1E7D" w:rsidRPr="004B5D57" w:rsidRDefault="004F1E7D" w:rsidP="004F1E7D">
      <w:pPr>
        <w:spacing w:after="0" w:line="360" w:lineRule="auto"/>
        <w:ind w:right="49"/>
        <w:jc w:val="both"/>
        <w:rPr>
          <w:rFonts w:ascii="Palatino Linotype" w:eastAsiaTheme="minorEastAsia" w:hAnsi="Palatino Linotype" w:cs="Arial"/>
          <w:sz w:val="24"/>
          <w:szCs w:val="24"/>
          <w:lang w:val="es-ES_tradnl" w:eastAsia="es-ES"/>
        </w:rPr>
      </w:pPr>
    </w:p>
    <w:p w14:paraId="01BF0D8A" w14:textId="77777777" w:rsidR="004F1E7D" w:rsidRPr="004B5D57" w:rsidRDefault="004F1E7D" w:rsidP="004F1E7D">
      <w:pPr>
        <w:spacing w:after="0" w:line="360" w:lineRule="auto"/>
        <w:ind w:right="49"/>
        <w:jc w:val="both"/>
        <w:rPr>
          <w:rFonts w:ascii="Palatino Linotype" w:eastAsiaTheme="minorEastAsia" w:hAnsi="Palatino Linotype" w:cs="Arial"/>
          <w:sz w:val="24"/>
          <w:szCs w:val="24"/>
          <w:lang w:val="es-ES_tradnl" w:eastAsia="es-ES"/>
        </w:rPr>
      </w:pPr>
    </w:p>
    <w:p w14:paraId="1977204E" w14:textId="77777777" w:rsidR="004F1E7D" w:rsidRPr="004B5D57" w:rsidRDefault="004F1E7D" w:rsidP="004F1E7D">
      <w:pPr>
        <w:spacing w:after="0"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4F1E7D" w:rsidRPr="004B5D57" w14:paraId="22380129" w14:textId="77777777" w:rsidTr="008F2F7C">
        <w:trPr>
          <w:jc w:val="center"/>
        </w:trPr>
        <w:tc>
          <w:tcPr>
            <w:tcW w:w="10368" w:type="dxa"/>
            <w:gridSpan w:val="2"/>
          </w:tcPr>
          <w:p w14:paraId="0A1F1A85"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6649240D"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Zulema Martínez Sánchez</w:t>
            </w:r>
          </w:p>
          <w:p w14:paraId="1EF8E85B"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sz w:val="24"/>
                <w:szCs w:val="24"/>
                <w:lang w:val="es-ES_tradnl" w:eastAsia="es-ES"/>
              </w:rPr>
              <w:t xml:space="preserve">Comisionada </w:t>
            </w:r>
            <w:proofErr w:type="gramStart"/>
            <w:r w:rsidRPr="004B5D57">
              <w:rPr>
                <w:rFonts w:ascii="Palatino Linotype" w:eastAsiaTheme="minorEastAsia" w:hAnsi="Palatino Linotype" w:cs="Arial"/>
                <w:sz w:val="24"/>
                <w:szCs w:val="24"/>
                <w:lang w:val="es-ES_tradnl" w:eastAsia="es-ES"/>
              </w:rPr>
              <w:t>Presidenta</w:t>
            </w:r>
            <w:proofErr w:type="gramEnd"/>
          </w:p>
          <w:p w14:paraId="4DF6B889"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 xml:space="preserve">(RÚBRICA) </w:t>
            </w:r>
          </w:p>
          <w:p w14:paraId="0D123292"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0E2AB381"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173512A4"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6A18C896"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53D4065F"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0805493A"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4DD6D9F6"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46748C6E"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003C3E8B"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tc>
      </w:tr>
      <w:tr w:rsidR="004F1E7D" w:rsidRPr="004B5D57" w14:paraId="554B58BC" w14:textId="77777777" w:rsidTr="008F2F7C">
        <w:trPr>
          <w:jc w:val="center"/>
        </w:trPr>
        <w:tc>
          <w:tcPr>
            <w:tcW w:w="5184" w:type="dxa"/>
          </w:tcPr>
          <w:p w14:paraId="5991513E" w14:textId="77777777" w:rsidR="008F0C96" w:rsidRPr="004B5D57" w:rsidRDefault="008F0C96" w:rsidP="008F2F7C">
            <w:pPr>
              <w:spacing w:after="0" w:line="276" w:lineRule="auto"/>
              <w:jc w:val="center"/>
              <w:rPr>
                <w:rFonts w:ascii="Palatino Linotype" w:eastAsiaTheme="minorEastAsia" w:hAnsi="Palatino Linotype" w:cs="Arial"/>
                <w:b/>
                <w:sz w:val="24"/>
                <w:szCs w:val="24"/>
                <w:lang w:val="es-ES_tradnl" w:eastAsia="es-ES"/>
              </w:rPr>
            </w:pPr>
          </w:p>
          <w:p w14:paraId="36E6AD76" w14:textId="77777777" w:rsidR="008F0C96" w:rsidRPr="004B5D57" w:rsidRDefault="008F0C96" w:rsidP="008F2F7C">
            <w:pPr>
              <w:spacing w:after="0" w:line="276" w:lineRule="auto"/>
              <w:jc w:val="center"/>
              <w:rPr>
                <w:rFonts w:ascii="Palatino Linotype" w:eastAsiaTheme="minorEastAsia" w:hAnsi="Palatino Linotype" w:cs="Arial"/>
                <w:b/>
                <w:sz w:val="24"/>
                <w:szCs w:val="24"/>
                <w:lang w:val="es-ES_tradnl" w:eastAsia="es-ES"/>
              </w:rPr>
            </w:pPr>
          </w:p>
          <w:p w14:paraId="4A995DF6" w14:textId="77777777" w:rsidR="008F0C96" w:rsidRPr="004B5D57" w:rsidRDefault="008F0C96" w:rsidP="008F2F7C">
            <w:pPr>
              <w:spacing w:after="0" w:line="276" w:lineRule="auto"/>
              <w:jc w:val="center"/>
              <w:rPr>
                <w:rFonts w:ascii="Palatino Linotype" w:eastAsiaTheme="minorEastAsia" w:hAnsi="Palatino Linotype" w:cs="Arial"/>
                <w:b/>
                <w:sz w:val="24"/>
                <w:szCs w:val="24"/>
                <w:lang w:val="es-ES_tradnl" w:eastAsia="es-ES"/>
              </w:rPr>
            </w:pPr>
          </w:p>
          <w:p w14:paraId="78B674E4"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 xml:space="preserve">Eva </w:t>
            </w:r>
            <w:proofErr w:type="spellStart"/>
            <w:r w:rsidRPr="004B5D57">
              <w:rPr>
                <w:rFonts w:ascii="Palatino Linotype" w:eastAsiaTheme="minorEastAsia" w:hAnsi="Palatino Linotype" w:cs="Arial"/>
                <w:b/>
                <w:sz w:val="24"/>
                <w:szCs w:val="24"/>
                <w:lang w:val="es-ES_tradnl" w:eastAsia="es-ES"/>
              </w:rPr>
              <w:t>Abaid</w:t>
            </w:r>
            <w:proofErr w:type="spellEnd"/>
            <w:r w:rsidRPr="004B5D57">
              <w:rPr>
                <w:rFonts w:ascii="Palatino Linotype" w:eastAsiaTheme="minorEastAsia" w:hAnsi="Palatino Linotype" w:cs="Arial"/>
                <w:b/>
                <w:sz w:val="24"/>
                <w:szCs w:val="24"/>
                <w:lang w:val="es-ES_tradnl" w:eastAsia="es-ES"/>
              </w:rPr>
              <w:t xml:space="preserve"> Yapur</w:t>
            </w:r>
          </w:p>
          <w:p w14:paraId="0AAF3675" w14:textId="77777777" w:rsidR="004F1E7D" w:rsidRPr="004B5D57" w:rsidRDefault="004F1E7D" w:rsidP="008F2F7C">
            <w:pPr>
              <w:spacing w:after="0" w:line="276" w:lineRule="auto"/>
              <w:jc w:val="center"/>
              <w:rPr>
                <w:rFonts w:ascii="Palatino Linotype" w:eastAsiaTheme="minorEastAsia" w:hAnsi="Palatino Linotype" w:cs="Arial"/>
                <w:sz w:val="24"/>
                <w:szCs w:val="24"/>
                <w:lang w:val="es-ES_tradnl" w:eastAsia="es-ES"/>
              </w:rPr>
            </w:pPr>
            <w:r w:rsidRPr="004B5D57">
              <w:rPr>
                <w:rFonts w:ascii="Palatino Linotype" w:eastAsiaTheme="minorEastAsia" w:hAnsi="Palatino Linotype" w:cs="Arial"/>
                <w:sz w:val="24"/>
                <w:szCs w:val="24"/>
                <w:lang w:val="es-ES_tradnl" w:eastAsia="es-ES"/>
              </w:rPr>
              <w:t>Comisionada</w:t>
            </w:r>
          </w:p>
          <w:p w14:paraId="7EC8E212"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(RÚBRICA)</w:t>
            </w:r>
          </w:p>
        </w:tc>
        <w:tc>
          <w:tcPr>
            <w:tcW w:w="5184" w:type="dxa"/>
          </w:tcPr>
          <w:p w14:paraId="7B95B5E3" w14:textId="77777777" w:rsidR="008F0C96" w:rsidRPr="004B5D57" w:rsidRDefault="008F0C96" w:rsidP="008F2F7C">
            <w:pPr>
              <w:spacing w:after="0" w:line="276" w:lineRule="auto"/>
              <w:jc w:val="center"/>
              <w:rPr>
                <w:rFonts w:ascii="Palatino Linotype" w:eastAsiaTheme="minorEastAsia" w:hAnsi="Palatino Linotype" w:cs="Arial"/>
                <w:b/>
                <w:sz w:val="24"/>
                <w:szCs w:val="24"/>
                <w:lang w:val="es-ES_tradnl" w:eastAsia="es-ES"/>
              </w:rPr>
            </w:pPr>
          </w:p>
          <w:p w14:paraId="396FAE4A" w14:textId="77777777" w:rsidR="008F0C96" w:rsidRPr="004B5D57" w:rsidRDefault="008F0C96" w:rsidP="008F2F7C">
            <w:pPr>
              <w:spacing w:after="0" w:line="276" w:lineRule="auto"/>
              <w:jc w:val="center"/>
              <w:rPr>
                <w:rFonts w:ascii="Palatino Linotype" w:eastAsiaTheme="minorEastAsia" w:hAnsi="Palatino Linotype" w:cs="Arial"/>
                <w:b/>
                <w:sz w:val="24"/>
                <w:szCs w:val="24"/>
                <w:lang w:val="es-ES_tradnl" w:eastAsia="es-ES"/>
              </w:rPr>
            </w:pPr>
          </w:p>
          <w:p w14:paraId="0C7E2B39" w14:textId="77777777" w:rsidR="008F0C96" w:rsidRPr="004B5D57" w:rsidRDefault="008F0C96" w:rsidP="008F2F7C">
            <w:pPr>
              <w:spacing w:after="0" w:line="276" w:lineRule="auto"/>
              <w:jc w:val="center"/>
              <w:rPr>
                <w:rFonts w:ascii="Palatino Linotype" w:eastAsiaTheme="minorEastAsia" w:hAnsi="Palatino Linotype" w:cs="Arial"/>
                <w:b/>
                <w:sz w:val="24"/>
                <w:szCs w:val="24"/>
                <w:lang w:val="es-ES_tradnl" w:eastAsia="es-ES"/>
              </w:rPr>
            </w:pPr>
          </w:p>
          <w:p w14:paraId="5F4CD11E"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José Guadalupe Luna Hernández</w:t>
            </w:r>
          </w:p>
          <w:p w14:paraId="20FF5A92" w14:textId="77777777" w:rsidR="004F1E7D" w:rsidRPr="004B5D57" w:rsidRDefault="004F1E7D" w:rsidP="008F2F7C">
            <w:pPr>
              <w:spacing w:after="0" w:line="276" w:lineRule="auto"/>
              <w:jc w:val="center"/>
              <w:rPr>
                <w:rFonts w:ascii="Palatino Linotype" w:eastAsiaTheme="minorEastAsia" w:hAnsi="Palatino Linotype" w:cs="Arial"/>
                <w:sz w:val="24"/>
                <w:szCs w:val="24"/>
                <w:lang w:val="es-ES_tradnl" w:eastAsia="es-ES"/>
              </w:rPr>
            </w:pPr>
            <w:r w:rsidRPr="004B5D57">
              <w:rPr>
                <w:rFonts w:ascii="Palatino Linotype" w:eastAsiaTheme="minorEastAsia" w:hAnsi="Palatino Linotype" w:cs="Arial"/>
                <w:sz w:val="24"/>
                <w:szCs w:val="24"/>
                <w:lang w:val="es-ES_tradnl" w:eastAsia="es-ES"/>
              </w:rPr>
              <w:t>Comisionado</w:t>
            </w:r>
          </w:p>
          <w:p w14:paraId="7F425160"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(RÚBRICA)</w:t>
            </w:r>
          </w:p>
          <w:p w14:paraId="2E38D4E0"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tc>
      </w:tr>
      <w:tr w:rsidR="004F1E7D" w:rsidRPr="004B5D57" w14:paraId="51829956" w14:textId="77777777" w:rsidTr="008F2F7C">
        <w:trPr>
          <w:jc w:val="center"/>
        </w:trPr>
        <w:tc>
          <w:tcPr>
            <w:tcW w:w="5184" w:type="dxa"/>
          </w:tcPr>
          <w:p w14:paraId="46980973" w14:textId="77777777" w:rsidR="004F1E7D" w:rsidRPr="004B5D57" w:rsidRDefault="004F1E7D" w:rsidP="008F2F7C">
            <w:pPr>
              <w:spacing w:after="0" w:line="276" w:lineRule="auto"/>
              <w:rPr>
                <w:rFonts w:ascii="Palatino Linotype" w:eastAsiaTheme="minorEastAsia" w:hAnsi="Palatino Linotype" w:cs="Arial"/>
                <w:b/>
                <w:sz w:val="24"/>
                <w:szCs w:val="24"/>
                <w:lang w:val="es-ES_tradnl" w:eastAsia="es-ES"/>
              </w:rPr>
            </w:pPr>
          </w:p>
          <w:p w14:paraId="51AF62DC"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507062D8"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028CD8E8" w14:textId="77777777" w:rsidR="008F0C96" w:rsidRPr="004B5D57" w:rsidRDefault="008F0C96" w:rsidP="008F2F7C">
            <w:pPr>
              <w:spacing w:after="0" w:line="276" w:lineRule="auto"/>
              <w:jc w:val="center"/>
              <w:rPr>
                <w:rFonts w:ascii="Palatino Linotype" w:eastAsiaTheme="minorEastAsia" w:hAnsi="Palatino Linotype" w:cs="Arial"/>
                <w:b/>
                <w:sz w:val="24"/>
                <w:szCs w:val="24"/>
                <w:lang w:val="es-ES_tradnl" w:eastAsia="es-ES"/>
              </w:rPr>
            </w:pPr>
          </w:p>
          <w:p w14:paraId="7069E6FD"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29CF6649"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Javier Martínez Cruz</w:t>
            </w:r>
          </w:p>
          <w:p w14:paraId="1493B7FE" w14:textId="77777777" w:rsidR="004F1E7D" w:rsidRPr="004B5D57" w:rsidRDefault="004F1E7D" w:rsidP="008F2F7C">
            <w:pPr>
              <w:spacing w:after="0" w:line="276" w:lineRule="auto"/>
              <w:jc w:val="center"/>
              <w:rPr>
                <w:rFonts w:ascii="Palatino Linotype" w:eastAsiaTheme="minorEastAsia" w:hAnsi="Palatino Linotype" w:cs="Arial"/>
                <w:sz w:val="24"/>
                <w:szCs w:val="24"/>
                <w:lang w:val="es-ES_tradnl" w:eastAsia="es-ES"/>
              </w:rPr>
            </w:pPr>
            <w:r w:rsidRPr="004B5D57">
              <w:rPr>
                <w:rFonts w:ascii="Palatino Linotype" w:eastAsiaTheme="minorEastAsia" w:hAnsi="Palatino Linotype" w:cs="Arial"/>
                <w:sz w:val="24"/>
                <w:szCs w:val="24"/>
                <w:lang w:val="es-ES_tradnl" w:eastAsia="es-ES"/>
              </w:rPr>
              <w:t>Comisionado</w:t>
            </w:r>
          </w:p>
          <w:p w14:paraId="02064AF7"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(RÚBRICA)</w:t>
            </w:r>
          </w:p>
        </w:tc>
        <w:tc>
          <w:tcPr>
            <w:tcW w:w="5184" w:type="dxa"/>
          </w:tcPr>
          <w:p w14:paraId="4676A857" w14:textId="77777777" w:rsidR="004F1E7D" w:rsidRPr="004B5D57" w:rsidRDefault="004F1E7D" w:rsidP="008F2F7C">
            <w:pPr>
              <w:spacing w:after="0" w:line="276" w:lineRule="auto"/>
              <w:rPr>
                <w:rFonts w:ascii="Palatino Linotype" w:eastAsiaTheme="minorEastAsia" w:hAnsi="Palatino Linotype" w:cs="Arial"/>
                <w:b/>
                <w:sz w:val="24"/>
                <w:szCs w:val="24"/>
                <w:lang w:val="es-ES_tradnl" w:eastAsia="es-ES"/>
              </w:rPr>
            </w:pPr>
          </w:p>
          <w:p w14:paraId="5124FDCE"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13299D68"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3E8862E4" w14:textId="77777777" w:rsidR="008F0C96" w:rsidRPr="004B5D57" w:rsidRDefault="008F0C96" w:rsidP="008F2F7C">
            <w:pPr>
              <w:spacing w:after="0" w:line="276" w:lineRule="auto"/>
              <w:jc w:val="center"/>
              <w:rPr>
                <w:rFonts w:ascii="Palatino Linotype" w:eastAsiaTheme="minorEastAsia" w:hAnsi="Palatino Linotype" w:cs="Arial"/>
                <w:b/>
                <w:sz w:val="24"/>
                <w:szCs w:val="24"/>
                <w:lang w:val="es-ES_tradnl" w:eastAsia="es-ES"/>
              </w:rPr>
            </w:pPr>
          </w:p>
          <w:p w14:paraId="1146A2F1"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5DE5B06B"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Luis Gustavo Parra Noriega</w:t>
            </w:r>
          </w:p>
          <w:p w14:paraId="4FADF3E7" w14:textId="77777777" w:rsidR="004F1E7D" w:rsidRPr="004B5D57" w:rsidRDefault="004F1E7D" w:rsidP="008F2F7C">
            <w:pPr>
              <w:spacing w:after="0" w:line="276" w:lineRule="auto"/>
              <w:jc w:val="center"/>
              <w:rPr>
                <w:rFonts w:ascii="Palatino Linotype" w:eastAsiaTheme="minorEastAsia" w:hAnsi="Palatino Linotype" w:cs="Arial"/>
                <w:sz w:val="24"/>
                <w:szCs w:val="24"/>
                <w:lang w:val="es-ES_tradnl" w:eastAsia="es-ES"/>
              </w:rPr>
            </w:pPr>
            <w:r w:rsidRPr="004B5D57">
              <w:rPr>
                <w:rFonts w:ascii="Palatino Linotype" w:eastAsiaTheme="minorEastAsia" w:hAnsi="Palatino Linotype" w:cs="Arial"/>
                <w:sz w:val="24"/>
                <w:szCs w:val="24"/>
                <w:lang w:val="es-ES_tradnl" w:eastAsia="es-ES"/>
              </w:rPr>
              <w:t>Comisionado</w:t>
            </w:r>
          </w:p>
          <w:p w14:paraId="5F72C87F"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(RÚBRICA)</w:t>
            </w:r>
          </w:p>
        </w:tc>
      </w:tr>
      <w:tr w:rsidR="004F1E7D" w:rsidRPr="004B5D57" w14:paraId="2206930C" w14:textId="77777777" w:rsidTr="008F2F7C">
        <w:trPr>
          <w:jc w:val="center"/>
        </w:trPr>
        <w:tc>
          <w:tcPr>
            <w:tcW w:w="10368" w:type="dxa"/>
            <w:gridSpan w:val="2"/>
          </w:tcPr>
          <w:p w14:paraId="1A4152FC"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57193FBF"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7EAF770C"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p>
          <w:p w14:paraId="2C770072" w14:textId="77777777" w:rsidR="004F1E7D" w:rsidRPr="004B5D57" w:rsidRDefault="004F1E7D" w:rsidP="008F2F7C">
            <w:pPr>
              <w:spacing w:after="0" w:line="276" w:lineRule="auto"/>
              <w:rPr>
                <w:rFonts w:ascii="Palatino Linotype" w:eastAsiaTheme="minorEastAsia" w:hAnsi="Palatino Linotype" w:cs="Arial"/>
                <w:b/>
                <w:sz w:val="24"/>
                <w:szCs w:val="24"/>
                <w:lang w:val="es-ES_tradnl" w:eastAsia="es-ES"/>
              </w:rPr>
            </w:pPr>
          </w:p>
          <w:p w14:paraId="6C58DD45" w14:textId="77777777" w:rsidR="004F1E7D" w:rsidRPr="004B5D57" w:rsidRDefault="004F1E7D" w:rsidP="008F2F7C">
            <w:pPr>
              <w:spacing w:after="0" w:line="276" w:lineRule="auto"/>
              <w:rPr>
                <w:rFonts w:ascii="Palatino Linotype" w:eastAsiaTheme="minorEastAsia" w:hAnsi="Palatino Linotype" w:cs="Arial"/>
                <w:b/>
                <w:sz w:val="24"/>
                <w:szCs w:val="24"/>
                <w:lang w:val="es-ES_tradnl" w:eastAsia="es-ES"/>
              </w:rPr>
            </w:pPr>
          </w:p>
          <w:p w14:paraId="282D8153"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Alexis Tapia Ramírez</w:t>
            </w:r>
          </w:p>
          <w:p w14:paraId="74C71E4C" w14:textId="77777777" w:rsidR="004F1E7D" w:rsidRPr="004B5D57" w:rsidRDefault="004F1E7D" w:rsidP="008F2F7C">
            <w:pPr>
              <w:spacing w:after="0" w:line="276" w:lineRule="auto"/>
              <w:jc w:val="center"/>
              <w:rPr>
                <w:rFonts w:ascii="Palatino Linotype" w:eastAsiaTheme="minorEastAsia" w:hAnsi="Palatino Linotype" w:cs="Arial"/>
                <w:sz w:val="24"/>
                <w:szCs w:val="24"/>
                <w:lang w:val="es-ES_tradnl" w:eastAsia="es-ES"/>
              </w:rPr>
            </w:pPr>
            <w:r w:rsidRPr="004B5D57">
              <w:rPr>
                <w:rFonts w:ascii="Palatino Linotype" w:eastAsiaTheme="minorEastAsia" w:hAnsi="Palatino Linotype" w:cs="Arial"/>
                <w:sz w:val="24"/>
                <w:szCs w:val="24"/>
                <w:lang w:val="es-ES_tradnl" w:eastAsia="es-ES"/>
              </w:rPr>
              <w:t>Secretario Técnico del Pleno</w:t>
            </w:r>
          </w:p>
          <w:p w14:paraId="15E23EF3" w14:textId="77777777" w:rsidR="004F1E7D" w:rsidRPr="004B5D57" w:rsidRDefault="004F1E7D" w:rsidP="008F2F7C">
            <w:pPr>
              <w:spacing w:after="0" w:line="276" w:lineRule="auto"/>
              <w:jc w:val="center"/>
              <w:rPr>
                <w:rFonts w:ascii="Palatino Linotype" w:eastAsiaTheme="minorEastAsia" w:hAnsi="Palatino Linotype" w:cs="Arial"/>
                <w:b/>
                <w:sz w:val="24"/>
                <w:szCs w:val="24"/>
                <w:lang w:val="es-ES_tradnl" w:eastAsia="es-ES"/>
              </w:rPr>
            </w:pPr>
            <w:r w:rsidRPr="004B5D57">
              <w:rPr>
                <w:rFonts w:ascii="Palatino Linotype" w:eastAsiaTheme="minorEastAsia" w:hAnsi="Palatino Linotype" w:cs="Arial"/>
                <w:b/>
                <w:sz w:val="24"/>
                <w:szCs w:val="24"/>
                <w:lang w:val="es-ES_tradnl" w:eastAsia="es-ES"/>
              </w:rPr>
              <w:t>(RÚBRICA)</w:t>
            </w:r>
          </w:p>
          <w:p w14:paraId="2395B523" w14:textId="77777777" w:rsidR="004F1E7D" w:rsidRPr="004B5D57" w:rsidRDefault="004F1E7D" w:rsidP="008F2F7C">
            <w:pPr>
              <w:spacing w:after="0" w:line="276" w:lineRule="auto"/>
              <w:rPr>
                <w:rFonts w:ascii="Palatino Linotype" w:eastAsiaTheme="minorEastAsia" w:hAnsi="Palatino Linotype" w:cs="Arial"/>
                <w:sz w:val="24"/>
                <w:szCs w:val="24"/>
                <w:lang w:val="es-ES_tradnl" w:eastAsia="es-ES"/>
              </w:rPr>
            </w:pPr>
          </w:p>
          <w:p w14:paraId="4152D6C8" w14:textId="77777777" w:rsidR="004F1E7D" w:rsidRPr="004B5D57" w:rsidRDefault="004F1E7D" w:rsidP="008F2F7C">
            <w:pPr>
              <w:spacing w:after="0" w:line="276" w:lineRule="auto"/>
              <w:rPr>
                <w:rFonts w:ascii="Palatino Linotype" w:eastAsiaTheme="minorEastAsia" w:hAnsi="Palatino Linotype" w:cs="Arial"/>
                <w:sz w:val="24"/>
                <w:szCs w:val="24"/>
                <w:lang w:val="es-ES_tradnl" w:eastAsia="es-ES"/>
              </w:rPr>
            </w:pPr>
          </w:p>
        </w:tc>
      </w:tr>
    </w:tbl>
    <w:p w14:paraId="7143E569" w14:textId="77777777" w:rsidR="004F1E7D" w:rsidRPr="008A1B86" w:rsidRDefault="004F1E7D" w:rsidP="004F1E7D">
      <w:pPr>
        <w:spacing w:after="0" w:line="360" w:lineRule="auto"/>
        <w:jc w:val="both"/>
        <w:rPr>
          <w:rFonts w:ascii="Palatino Linotype" w:eastAsiaTheme="minorEastAsia" w:hAnsi="Palatino Linotype"/>
          <w:sz w:val="24"/>
          <w:szCs w:val="24"/>
          <w:lang w:val="es-ES_tradnl" w:eastAsia="es-ES"/>
        </w:rPr>
      </w:pPr>
      <w:r w:rsidRPr="004B5D57">
        <w:rPr>
          <w:rFonts w:ascii="Palatino Linotype" w:eastAsiaTheme="minorEastAsia" w:hAnsi="Palatino Linotype" w:cs="Arial"/>
          <w:sz w:val="24"/>
          <w:szCs w:val="18"/>
          <w:lang w:val="es-ES_tradnl" w:eastAsia="es-ES"/>
        </w:rPr>
        <w:lastRenderedPageBreak/>
        <w:t xml:space="preserve">Esta hoja corresponde a la resolución de fecha </w:t>
      </w:r>
      <w:r w:rsidR="00F4124F">
        <w:rPr>
          <w:rFonts w:ascii="Palatino Linotype" w:eastAsiaTheme="minorEastAsia" w:hAnsi="Palatino Linotype" w:cs="Arial"/>
          <w:sz w:val="24"/>
          <w:szCs w:val="18"/>
          <w:lang w:val="es-ES_tradnl" w:eastAsia="es-ES"/>
        </w:rPr>
        <w:t>catorce</w:t>
      </w:r>
      <w:r w:rsidR="008F2F7C" w:rsidRPr="004B5D57">
        <w:rPr>
          <w:rFonts w:ascii="Palatino Linotype" w:eastAsiaTheme="minorEastAsia" w:hAnsi="Palatino Linotype" w:cs="Arial"/>
          <w:sz w:val="24"/>
          <w:szCs w:val="18"/>
          <w:lang w:val="es-ES_tradnl" w:eastAsia="es-ES"/>
        </w:rPr>
        <w:t xml:space="preserve"> (</w:t>
      </w:r>
      <w:r w:rsidR="00F4124F">
        <w:rPr>
          <w:rFonts w:ascii="Palatino Linotype" w:eastAsiaTheme="minorEastAsia" w:hAnsi="Palatino Linotype" w:cs="Arial"/>
          <w:sz w:val="24"/>
          <w:szCs w:val="18"/>
          <w:lang w:val="es-ES_tradnl" w:eastAsia="es-ES"/>
        </w:rPr>
        <w:t>1</w:t>
      </w:r>
      <w:r w:rsidR="008F2F7C" w:rsidRPr="004B5D57">
        <w:rPr>
          <w:rFonts w:ascii="Palatino Linotype" w:eastAsiaTheme="minorEastAsia" w:hAnsi="Palatino Linotype" w:cs="Arial"/>
          <w:sz w:val="24"/>
          <w:szCs w:val="18"/>
          <w:lang w:val="es-ES_tradnl" w:eastAsia="es-ES"/>
        </w:rPr>
        <w:t xml:space="preserve">4) de </w:t>
      </w:r>
      <w:r w:rsidR="00F4124F">
        <w:rPr>
          <w:rFonts w:ascii="Palatino Linotype" w:eastAsiaTheme="minorEastAsia" w:hAnsi="Palatino Linotype" w:cs="Arial"/>
          <w:sz w:val="24"/>
          <w:szCs w:val="18"/>
          <w:lang w:val="es-ES_tradnl" w:eastAsia="es-ES"/>
        </w:rPr>
        <w:t>abril</w:t>
      </w:r>
      <w:r w:rsidR="008F2F7C" w:rsidRPr="004B5D57">
        <w:rPr>
          <w:rFonts w:ascii="Palatino Linotype" w:eastAsiaTheme="minorEastAsia" w:hAnsi="Palatino Linotype" w:cs="Arial"/>
          <w:sz w:val="24"/>
          <w:szCs w:val="18"/>
          <w:lang w:val="es-ES_tradnl" w:eastAsia="es-ES"/>
        </w:rPr>
        <w:t xml:space="preserve"> </w:t>
      </w:r>
      <w:r w:rsidRPr="004B5D57">
        <w:rPr>
          <w:rFonts w:ascii="Palatino Linotype" w:eastAsiaTheme="minorEastAsia" w:hAnsi="Palatino Linotype" w:cs="Arial"/>
          <w:sz w:val="24"/>
          <w:szCs w:val="18"/>
          <w:lang w:val="es-ES_tradnl" w:eastAsia="es-ES"/>
        </w:rPr>
        <w:t>de</w:t>
      </w:r>
      <w:r w:rsidR="008F2F7C" w:rsidRPr="004B5D57">
        <w:rPr>
          <w:rFonts w:ascii="Palatino Linotype" w:eastAsiaTheme="minorEastAsia" w:hAnsi="Palatino Linotype" w:cs="Arial"/>
          <w:sz w:val="24"/>
          <w:szCs w:val="18"/>
          <w:lang w:val="es-ES_tradnl" w:eastAsia="es-ES"/>
        </w:rPr>
        <w:t xml:space="preserve"> </w:t>
      </w:r>
      <w:r w:rsidR="00F4124F">
        <w:rPr>
          <w:rFonts w:ascii="Palatino Linotype" w:eastAsiaTheme="minorEastAsia" w:hAnsi="Palatino Linotype" w:cs="Arial"/>
          <w:sz w:val="24"/>
          <w:szCs w:val="18"/>
          <w:lang w:val="es-ES_tradnl" w:eastAsia="es-ES"/>
        </w:rPr>
        <w:t xml:space="preserve">dos </w:t>
      </w:r>
      <w:r w:rsidRPr="004B5D57">
        <w:rPr>
          <w:rFonts w:ascii="Palatino Linotype" w:eastAsiaTheme="minorEastAsia" w:hAnsi="Palatino Linotype" w:cs="Arial"/>
          <w:sz w:val="24"/>
          <w:szCs w:val="18"/>
          <w:lang w:val="es-ES_tradnl" w:eastAsia="es-ES"/>
        </w:rPr>
        <w:t xml:space="preserve">mil veintiuno, emitida en el recurso de revisión </w:t>
      </w:r>
      <w:r w:rsidR="008F2F7C" w:rsidRPr="004B5D57">
        <w:rPr>
          <w:rFonts w:ascii="Palatino Linotype" w:eastAsiaTheme="minorEastAsia" w:hAnsi="Palatino Linotype" w:cs="Arial"/>
          <w:b/>
          <w:bCs/>
          <w:sz w:val="24"/>
          <w:lang w:val="es-ES_tradnl" w:eastAsia="es-MX"/>
        </w:rPr>
        <w:t>00</w:t>
      </w:r>
      <w:r w:rsidR="00F4124F">
        <w:rPr>
          <w:rFonts w:ascii="Palatino Linotype" w:eastAsiaTheme="minorEastAsia" w:hAnsi="Palatino Linotype" w:cs="Arial"/>
          <w:b/>
          <w:bCs/>
          <w:sz w:val="24"/>
          <w:lang w:val="es-ES_tradnl" w:eastAsia="es-MX"/>
        </w:rPr>
        <w:t>36</w:t>
      </w:r>
      <w:r w:rsidR="008F2F7C" w:rsidRPr="004B5D57">
        <w:rPr>
          <w:rFonts w:ascii="Palatino Linotype" w:eastAsiaTheme="minorEastAsia" w:hAnsi="Palatino Linotype" w:cs="Arial"/>
          <w:b/>
          <w:bCs/>
          <w:sz w:val="24"/>
          <w:lang w:val="es-ES_tradnl" w:eastAsia="es-MX"/>
        </w:rPr>
        <w:t>3</w:t>
      </w:r>
      <w:r w:rsidR="008F2F7C" w:rsidRPr="004B5D57">
        <w:rPr>
          <w:rFonts w:ascii="Palatino Linotype" w:eastAsiaTheme="minorEastAsia" w:hAnsi="Palatino Linotype" w:cs="Arial"/>
          <w:b/>
          <w:bCs/>
          <w:sz w:val="24"/>
          <w:szCs w:val="18"/>
          <w:lang w:val="es-ES_tradnl" w:eastAsia="es-ES"/>
        </w:rPr>
        <w:t>/INFOEM/IP/RR/2021</w:t>
      </w:r>
      <w:r w:rsidRPr="004B5D57">
        <w:rPr>
          <w:rFonts w:ascii="Palatino Linotype" w:eastAsiaTheme="minorEastAsia" w:hAnsi="Palatino Linotype" w:cs="Arial"/>
          <w:b/>
          <w:bCs/>
          <w:sz w:val="24"/>
          <w:szCs w:val="18"/>
          <w:lang w:val="es-ES_tradnl" w:eastAsia="es-ES"/>
        </w:rPr>
        <w:t>.</w:t>
      </w:r>
      <w:r w:rsidRPr="008A1B86">
        <w:rPr>
          <w:rFonts w:ascii="Palatino Linotype" w:eastAsiaTheme="minorEastAsia" w:hAnsi="Palatino Linotype" w:cs="Arial"/>
          <w:bCs/>
          <w:sz w:val="24"/>
          <w:szCs w:val="18"/>
          <w:lang w:val="es-ES_tradnl" w:eastAsia="es-ES"/>
        </w:rPr>
        <w:t xml:space="preserve"> </w:t>
      </w:r>
    </w:p>
    <w:p w14:paraId="54C4D3DF" w14:textId="77777777" w:rsidR="004F1E7D" w:rsidRPr="008A1B86" w:rsidRDefault="004F1E7D" w:rsidP="004F1E7D">
      <w:pPr>
        <w:spacing w:after="0" w:line="360" w:lineRule="auto"/>
        <w:rPr>
          <w:rFonts w:ascii="Palatino Linotype" w:hAnsi="Palatino Linotype"/>
        </w:rPr>
      </w:pPr>
    </w:p>
    <w:p w14:paraId="1E00ED0D" w14:textId="77777777" w:rsidR="004F1E7D" w:rsidRDefault="004F1E7D" w:rsidP="004F1E7D">
      <w:pPr>
        <w:spacing w:after="0"/>
      </w:pPr>
    </w:p>
    <w:p w14:paraId="2492D9CD" w14:textId="77777777" w:rsidR="004F1E7D" w:rsidRDefault="004F1E7D" w:rsidP="004F1E7D">
      <w:pPr>
        <w:spacing w:after="0"/>
      </w:pPr>
    </w:p>
    <w:p w14:paraId="30BA4B4A" w14:textId="77777777" w:rsidR="004F1E7D" w:rsidRDefault="004F1E7D" w:rsidP="004F1E7D">
      <w:pPr>
        <w:spacing w:after="0"/>
      </w:pPr>
    </w:p>
    <w:p w14:paraId="75E72A19" w14:textId="77777777" w:rsidR="0004774E" w:rsidRDefault="0004774E"/>
    <w:sectPr w:rsidR="0004774E" w:rsidSect="008F2F7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68AA" w14:textId="77777777" w:rsidR="00B45458" w:rsidRDefault="00B45458" w:rsidP="004F1E7D">
      <w:pPr>
        <w:spacing w:after="0" w:line="240" w:lineRule="auto"/>
      </w:pPr>
      <w:r>
        <w:separator/>
      </w:r>
    </w:p>
  </w:endnote>
  <w:endnote w:type="continuationSeparator" w:id="0">
    <w:p w14:paraId="693A013C" w14:textId="77777777" w:rsidR="00B45458" w:rsidRDefault="00B45458" w:rsidP="004F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25444CE7" w14:textId="77777777" w:rsidR="001530CB" w:rsidRPr="000A2541" w:rsidRDefault="001530C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22974">
              <w:rPr>
                <w:rFonts w:ascii="Palatino Linotype" w:hAnsi="Palatino Linotype"/>
                <w:b/>
                <w:bCs/>
                <w:noProof/>
              </w:rPr>
              <w:t>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22974">
              <w:rPr>
                <w:rFonts w:ascii="Palatino Linotype" w:hAnsi="Palatino Linotype"/>
                <w:b/>
                <w:bCs/>
                <w:noProof/>
              </w:rPr>
              <w:t>59</w:t>
            </w:r>
            <w:r w:rsidRPr="000A2541">
              <w:rPr>
                <w:rFonts w:ascii="Palatino Linotype" w:hAnsi="Palatino Linotype"/>
                <w:b/>
                <w:bCs/>
              </w:rPr>
              <w:fldChar w:fldCharType="end"/>
            </w:r>
          </w:p>
        </w:sdtContent>
      </w:sdt>
    </w:sdtContent>
  </w:sdt>
  <w:p w14:paraId="4846F6E9" w14:textId="77777777" w:rsidR="001530CB" w:rsidRDefault="001530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7DB9" w14:textId="77777777" w:rsidR="001530CB" w:rsidRPr="00883450" w:rsidRDefault="001530CB" w:rsidP="008F2F7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22974" w:rsidRPr="0072297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22974" w:rsidRPr="00722974">
      <w:rPr>
        <w:rFonts w:ascii="Palatino Linotype" w:hAnsi="Palatino Linotype"/>
        <w:noProof/>
        <w:lang w:val="es-ES"/>
      </w:rPr>
      <w:t>59</w:t>
    </w:r>
    <w:r w:rsidRPr="00883450">
      <w:rPr>
        <w:rFonts w:ascii="Palatino Linotype" w:hAnsi="Palatino Linotype"/>
      </w:rPr>
      <w:fldChar w:fldCharType="end"/>
    </w:r>
  </w:p>
  <w:p w14:paraId="68960975" w14:textId="77777777" w:rsidR="001530CB" w:rsidRPr="00883450" w:rsidRDefault="001530CB">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12E0" w14:textId="77777777" w:rsidR="00B45458" w:rsidRDefault="00B45458" w:rsidP="004F1E7D">
      <w:pPr>
        <w:spacing w:after="0" w:line="240" w:lineRule="auto"/>
      </w:pPr>
      <w:r>
        <w:separator/>
      </w:r>
    </w:p>
  </w:footnote>
  <w:footnote w:type="continuationSeparator" w:id="0">
    <w:p w14:paraId="0189753D" w14:textId="77777777" w:rsidR="00B45458" w:rsidRDefault="00B45458" w:rsidP="004F1E7D">
      <w:pPr>
        <w:spacing w:after="0" w:line="240" w:lineRule="auto"/>
      </w:pPr>
      <w:r>
        <w:continuationSeparator/>
      </w:r>
    </w:p>
  </w:footnote>
  <w:footnote w:id="1">
    <w:p w14:paraId="2A449C22" w14:textId="77777777" w:rsidR="001530CB" w:rsidRDefault="001530CB" w:rsidP="00397DDD">
      <w:pPr>
        <w:pStyle w:val="Textonotapie"/>
      </w:pPr>
      <w:r>
        <w:rPr>
          <w:rStyle w:val="Refdenotaalpie"/>
        </w:rPr>
        <w:footnoteRef/>
      </w:r>
      <w:r>
        <w:t xml:space="preserve"> Artículo 150. Ley de Transparencia y Acceso a la Información Pública del Estado de México y Municipios.</w:t>
      </w:r>
    </w:p>
    <w:p w14:paraId="25267F8C" w14:textId="77777777" w:rsidR="001530CB" w:rsidRDefault="001530CB" w:rsidP="00397DDD">
      <w:pPr>
        <w:pStyle w:val="Textonotapie"/>
      </w:pPr>
      <w:r>
        <w:t>Artículo 151. Ibídem.</w:t>
      </w:r>
    </w:p>
  </w:footnote>
  <w:footnote w:id="2">
    <w:p w14:paraId="50F7E45E" w14:textId="77777777" w:rsidR="001530CB" w:rsidRDefault="001530CB" w:rsidP="00397DDD">
      <w:pPr>
        <w:pStyle w:val="Textonotapie"/>
      </w:pPr>
      <w:r>
        <w:rPr>
          <w:rStyle w:val="Refdenotaalpie"/>
        </w:rPr>
        <w:footnoteRef/>
      </w:r>
      <w:r>
        <w:t xml:space="preserve"> Fracción IV. Artículo 53. </w:t>
      </w:r>
      <w:r>
        <w:t>Ibídem.</w:t>
      </w:r>
    </w:p>
  </w:footnote>
  <w:footnote w:id="3">
    <w:p w14:paraId="5100C111" w14:textId="77777777" w:rsidR="001530CB" w:rsidRDefault="001530CB">
      <w:pPr>
        <w:pStyle w:val="Textonotapie"/>
      </w:pPr>
      <w:r>
        <w:rPr>
          <w:rStyle w:val="Refdenotaalpie"/>
        </w:rPr>
        <w:footnoteRef/>
      </w:r>
      <w:r>
        <w:t xml:space="preserve"> </w:t>
      </w:r>
      <w:r w:rsidRPr="00DF5A24">
        <w:t>https://www.atizapan.gob.mx/DOCUMENTOS/REMTYS/DESARROLLO%20URBANO/2017/Cambio%20de%20uso%20de%20suelo.pdf</w:t>
      </w:r>
    </w:p>
  </w:footnote>
  <w:footnote w:id="4">
    <w:p w14:paraId="24FB77A1" w14:textId="77777777" w:rsidR="001530CB" w:rsidRPr="00541EC6" w:rsidRDefault="001530CB" w:rsidP="00A7165F">
      <w:pPr>
        <w:jc w:val="both"/>
        <w:rPr>
          <w:rFonts w:ascii="Palatino Linotype" w:hAnsi="Palatino Linotype" w:cs="Arial"/>
          <w:sz w:val="20"/>
          <w:szCs w:val="20"/>
        </w:rPr>
      </w:pPr>
      <w:r w:rsidRPr="00541EC6">
        <w:rPr>
          <w:rStyle w:val="Refdenotaalpie"/>
          <w:rFonts w:ascii="Palatino Linotype" w:hAnsi="Palatino Linotype" w:cs="Arial"/>
          <w:sz w:val="20"/>
          <w:szCs w:val="20"/>
        </w:rPr>
        <w:footnoteRef/>
      </w:r>
      <w:r w:rsidRPr="00541EC6">
        <w:rPr>
          <w:rFonts w:ascii="Palatino Linotype" w:hAnsi="Palatino Linotype" w:cs="Arial"/>
          <w:sz w:val="20"/>
          <w:szCs w:val="20"/>
        </w:rPr>
        <w:t xml:space="preserve"> </w:t>
      </w:r>
      <w:r w:rsidRPr="000973BF">
        <w:rPr>
          <w:rFonts w:ascii="Palatino Linotype" w:hAnsi="Palatino Linotype" w:cs="Arial"/>
          <w:sz w:val="18"/>
          <w:szCs w:val="18"/>
        </w:rPr>
        <w:t xml:space="preserve">Entendiendo por negligente la más simple y llana definición contenida en el Diccionario de la Lengua Española: “Negligente. </w:t>
      </w:r>
      <w:r w:rsidRPr="000973BF">
        <w:rPr>
          <w:rFonts w:ascii="Palatino Linotype" w:eastAsia="Arial Unicode MS" w:hAnsi="Palatino Linotype" w:cs="Arial"/>
          <w:spacing w:val="4"/>
          <w:sz w:val="18"/>
          <w:szCs w:val="18"/>
        </w:rPr>
        <w:t>Del</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lat.</w:t>
      </w:r>
      <w:r w:rsidRPr="000973BF">
        <w:rPr>
          <w:rStyle w:val="apple-converted-space"/>
          <w:rFonts w:ascii="Palatino Linotype" w:eastAsia="Arial Unicode MS" w:hAnsi="Palatino Linotype" w:cs="Arial"/>
          <w:spacing w:val="4"/>
          <w:sz w:val="18"/>
          <w:szCs w:val="18"/>
        </w:rPr>
        <w:t> </w:t>
      </w:r>
      <w:r w:rsidRPr="000973BF">
        <w:rPr>
          <w:rStyle w:val="nfasis"/>
          <w:rFonts w:ascii="Palatino Linotype" w:eastAsia="Arial Unicode MS" w:hAnsi="Palatino Linotype" w:cs="Arial"/>
          <w:spacing w:val="4"/>
          <w:sz w:val="18"/>
          <w:szCs w:val="18"/>
          <w:bdr w:val="none" w:sz="0" w:space="0" w:color="auto" w:frame="1"/>
        </w:rPr>
        <w:t>neglĭgens, -entis,</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part. act.</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r w:rsidRPr="000973BF">
        <w:rPr>
          <w:rStyle w:val="nfasis"/>
          <w:rFonts w:ascii="Palatino Linotype" w:eastAsia="Arial Unicode MS" w:hAnsi="Palatino Linotype" w:cs="Arial"/>
          <w:spacing w:val="4"/>
          <w:sz w:val="18"/>
          <w:szCs w:val="18"/>
          <w:bdr w:val="none" w:sz="0" w:space="0" w:color="auto" w:frame="1"/>
        </w:rPr>
        <w:t>negligĕre</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'descuidar'. </w:t>
      </w:r>
      <w:r w:rsidRPr="000973BF">
        <w:rPr>
          <w:rStyle w:val="nacep"/>
          <w:rFonts w:ascii="Palatino Linotype" w:eastAsia="Arial Unicode MS" w:hAnsi="Palatino Linotype" w:cs="Arial"/>
          <w:b/>
          <w:bCs/>
          <w:spacing w:val="4"/>
          <w:sz w:val="18"/>
          <w:szCs w:val="18"/>
          <w:bdr w:val="none" w:sz="0" w:space="0" w:color="auto" w:frame="1"/>
          <w:shd w:val="clear" w:color="auto" w:fill="FFFFFF"/>
        </w:rPr>
        <w:t>1.</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r w:rsidRPr="000973BF">
        <w:rPr>
          <w:rFonts w:ascii="Palatino Linotype" w:eastAsia="Arial Unicode MS" w:hAnsi="Palatino Linotype" w:cs="Arial"/>
          <w:spacing w:val="4"/>
          <w:sz w:val="18"/>
          <w:szCs w:val="18"/>
        </w:rPr>
        <w:t>adj.</w:t>
      </w:r>
      <w:r w:rsidRPr="000973BF">
        <w:rPr>
          <w:rStyle w:val="apple-converted-space"/>
          <w:rFonts w:ascii="Palatino Linotype" w:eastAsia="Arial Unicode MS" w:hAnsi="Palatino Linotype" w:cs="Arial"/>
          <w:spacing w:val="4"/>
          <w:sz w:val="18"/>
          <w:szCs w:val="18"/>
        </w:rPr>
        <w:t> </w:t>
      </w:r>
      <w:hyperlink r:id="rId1" w:anchor="HDLT8M7" w:history="1">
        <w:r w:rsidRPr="000973BF">
          <w:rPr>
            <w:rStyle w:val="Hipervnculo"/>
            <w:rFonts w:ascii="Palatino Linotype" w:eastAsia="Arial Unicode MS" w:hAnsi="Palatino Linotype" w:cs="Arial"/>
            <w:b/>
            <w:bCs/>
            <w:spacing w:val="4"/>
            <w:sz w:val="18"/>
            <w:szCs w:val="18"/>
            <w:bdr w:val="none" w:sz="0" w:space="0" w:color="auto" w:frame="1"/>
            <w:shd w:val="clear" w:color="auto" w:fill="FFFFFF"/>
          </w:rPr>
          <w:t>descuidado.</w:t>
        </w:r>
      </w:hyperlink>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w:t>
      </w:r>
      <w:r w:rsidRPr="000973BF">
        <w:rPr>
          <w:rStyle w:val="nacep"/>
          <w:rFonts w:ascii="Palatino Linotype" w:eastAsia="Arial Unicode MS" w:hAnsi="Palatino Linotype" w:cs="Arial"/>
          <w:b/>
          <w:bCs/>
          <w:spacing w:val="4"/>
          <w:sz w:val="18"/>
          <w:szCs w:val="18"/>
          <w:bdr w:val="none" w:sz="0" w:space="0" w:color="auto" w:frame="1"/>
          <w:shd w:val="clear" w:color="auto" w:fill="FFFFFF"/>
        </w:rPr>
        <w:t>2.</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r w:rsidRPr="000973BF">
        <w:rPr>
          <w:rFonts w:ascii="Palatino Linotype" w:eastAsia="Arial Unicode MS" w:hAnsi="Palatino Linotype" w:cs="Arial"/>
          <w:spacing w:val="4"/>
          <w:sz w:val="18"/>
          <w:szCs w:val="18"/>
        </w:rPr>
        <w:t>adj.</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Falto</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aplicación.</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consultado el 22 de agosto de 2016 en </w:t>
      </w:r>
      <w:hyperlink r:id="rId2" w:history="1">
        <w:r w:rsidRPr="000973BF">
          <w:rPr>
            <w:rStyle w:val="Hipervnculo"/>
            <w:rFonts w:ascii="Palatino Linotype" w:eastAsia="Arial Unicode MS" w:hAnsi="Palatino Linotype" w:cs="Arial"/>
            <w:spacing w:val="4"/>
            <w:sz w:val="18"/>
            <w:szCs w:val="18"/>
          </w:rPr>
          <w:t>http://dle.rae.es/?id=QMAWQ4m</w:t>
        </w:r>
      </w:hyperlink>
      <w:r w:rsidRPr="000973BF">
        <w:rPr>
          <w:rFonts w:ascii="Palatino Linotype" w:eastAsia="Arial Unicode MS" w:hAnsi="Palatino Linotype" w:cs="Arial"/>
          <w:spacing w:val="4"/>
          <w:sz w:val="18"/>
          <w:szCs w:val="18"/>
        </w:rPr>
        <w:t xml:space="preserve"> </w:t>
      </w:r>
    </w:p>
    <w:p w14:paraId="5E2915C8" w14:textId="77777777" w:rsidR="001530CB" w:rsidRPr="00541EC6" w:rsidRDefault="001530CB" w:rsidP="00A7165F">
      <w:pPr>
        <w:pStyle w:val="Textonotapie"/>
        <w:jc w:val="both"/>
        <w:rPr>
          <w:rFonts w:ascii="Palatino Linotype" w:hAnsi="Palatino Linotype" w:cs="Arial"/>
        </w:rPr>
      </w:pPr>
    </w:p>
  </w:footnote>
  <w:footnote w:id="5">
    <w:p w14:paraId="69357FA2" w14:textId="77777777" w:rsidR="00D459E6" w:rsidRDefault="00D459E6" w:rsidP="00D459E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r>
        <w:rPr>
          <w:rFonts w:ascii="Palatino Linotype" w:hAnsi="Palatino Linotype"/>
          <w:sz w:val="14"/>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r>
        <w:rPr>
          <w:rFonts w:ascii="Palatino Linotype" w:hAnsi="Palatino Linotype"/>
          <w:sz w:val="14"/>
        </w:rPr>
        <w:t xml:space="preserve">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6E4BDC" w14:textId="77777777" w:rsidR="00D459E6" w:rsidRDefault="00D459E6" w:rsidP="00D459E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566100E0" w14:textId="77777777" w:rsidR="00D459E6" w:rsidRDefault="00D459E6" w:rsidP="00D459E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626B75ED" w14:textId="77777777" w:rsidR="00D459E6" w:rsidRDefault="00D459E6" w:rsidP="00D459E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r>
        <w:rPr>
          <w:rFonts w:ascii="Palatino Linotype" w:hAnsi="Palatino Linotype"/>
          <w:sz w:val="18"/>
          <w:lang w:val="es-ES"/>
        </w:rPr>
        <w:t>propiedades  a, b, c y d diremos que no es un J. Todo esto, en verdad, son obviedades, casi perogrulladas, pero veremos que conviene aquí explicitarlas e ir paso a paso.</w:t>
      </w:r>
    </w:p>
    <w:p w14:paraId="4F97FC28" w14:textId="77777777" w:rsidR="00D459E6" w:rsidRDefault="00D459E6" w:rsidP="00D459E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4B17C6D" w14:textId="77777777" w:rsidR="00D459E6" w:rsidRDefault="00D459E6" w:rsidP="00D459E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8">
    <w:p w14:paraId="77FF18AB" w14:textId="77777777" w:rsidR="00D459E6" w:rsidRDefault="00D459E6" w:rsidP="00D459E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 xml:space="preserve">Epoca. Semanario Judicial de la Federación y su Gaceta. Tomo III, marzo de 1996. Pág 769. Consultado en </w:t>
      </w:r>
      <w:r>
        <w:rPr>
          <w:rFonts w:ascii="Palatino Linotype" w:hAnsi="Palatino Linotype"/>
          <w:sz w:val="18"/>
          <w:lang w:val="es-ES"/>
        </w:rPr>
        <w:t>http://sjf.scjn.gob.mx/sjfsist/Documentos/Tesis/203/203143.pdf  el viernes 16 de junio de 2017.</w:t>
      </w:r>
    </w:p>
  </w:footnote>
  <w:footnote w:id="9">
    <w:p w14:paraId="1062455F" w14:textId="77777777" w:rsidR="00D459E6" w:rsidRDefault="00D459E6" w:rsidP="00D459E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50BFAB2" w14:textId="77777777" w:rsidR="00D459E6" w:rsidRDefault="00D459E6" w:rsidP="00D459E6">
      <w:pPr>
        <w:pStyle w:val="Textonotapie"/>
        <w:jc w:val="both"/>
        <w:rPr>
          <w:rFonts w:ascii="Palatino Linotype" w:hAnsi="Palatino Linotype"/>
          <w:sz w:val="18"/>
        </w:rPr>
      </w:pPr>
      <w:r>
        <w:rPr>
          <w:rFonts w:ascii="Palatino Linotype" w:hAnsi="Palatino Linotype"/>
          <w:sz w:val="18"/>
        </w:rPr>
        <w:t xml:space="preserve"> (…)</w:t>
      </w:r>
    </w:p>
    <w:p w14:paraId="579D4672" w14:textId="77777777" w:rsidR="00D459E6" w:rsidRDefault="00D459E6" w:rsidP="00D459E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1530CB" w:rsidRPr="00EF13C1" w14:paraId="3D216067" w14:textId="77777777" w:rsidTr="00E03587">
      <w:trPr>
        <w:gridAfter w:val="1"/>
        <w:wAfter w:w="425" w:type="dxa"/>
        <w:trHeight w:val="138"/>
      </w:trPr>
      <w:tc>
        <w:tcPr>
          <w:tcW w:w="2977" w:type="dxa"/>
          <w:vAlign w:val="center"/>
        </w:tcPr>
        <w:p w14:paraId="63698EC7" w14:textId="77777777" w:rsidR="001530CB" w:rsidRPr="00EF13C1" w:rsidRDefault="001530CB" w:rsidP="00426E8E">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6397443A" w14:textId="77777777" w:rsidR="001530CB" w:rsidRPr="00EF13C1" w:rsidRDefault="001530CB" w:rsidP="00426E8E">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00528/INFOEM/IP/RR/2021</w:t>
          </w:r>
        </w:p>
      </w:tc>
    </w:tr>
    <w:tr w:rsidR="001530CB" w:rsidRPr="00EF13C1" w14:paraId="094488CB" w14:textId="77777777" w:rsidTr="00E03587">
      <w:trPr>
        <w:trHeight w:val="321"/>
      </w:trPr>
      <w:tc>
        <w:tcPr>
          <w:tcW w:w="2977" w:type="dxa"/>
          <w:vAlign w:val="center"/>
        </w:tcPr>
        <w:p w14:paraId="447C2882" w14:textId="77777777" w:rsidR="001530CB" w:rsidRPr="00A61802" w:rsidRDefault="001530CB" w:rsidP="00426E8E">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6A2ADBF0" w14:textId="77777777" w:rsidR="001530CB" w:rsidRPr="00426E8E" w:rsidRDefault="001530CB" w:rsidP="00426E8E">
          <w:pPr>
            <w:pStyle w:val="Encabezado"/>
            <w:tabs>
              <w:tab w:val="clear" w:pos="4419"/>
              <w:tab w:val="center" w:pos="3328"/>
            </w:tabs>
            <w:ind w:right="-108"/>
            <w:jc w:val="both"/>
            <w:rPr>
              <w:rFonts w:ascii="Palatino Linotype" w:hAnsi="Palatino Linotype"/>
              <w:b/>
              <w:sz w:val="22"/>
              <w:szCs w:val="22"/>
            </w:rPr>
          </w:pPr>
          <w:r>
            <w:rPr>
              <w:rFonts w:ascii="Palatino Linotype" w:hAnsi="Palatino Linotype"/>
              <w:b/>
              <w:sz w:val="22"/>
              <w:szCs w:val="22"/>
            </w:rPr>
            <w:t>Ayuntamiento de Atizapán de Zaragoza</w:t>
          </w:r>
        </w:p>
      </w:tc>
    </w:tr>
    <w:tr w:rsidR="001530CB" w:rsidRPr="00EF13C1" w14:paraId="6B78020A" w14:textId="77777777" w:rsidTr="00E03587">
      <w:trPr>
        <w:gridAfter w:val="1"/>
        <w:wAfter w:w="425" w:type="dxa"/>
        <w:trHeight w:val="321"/>
      </w:trPr>
      <w:tc>
        <w:tcPr>
          <w:tcW w:w="2977" w:type="dxa"/>
          <w:vAlign w:val="center"/>
        </w:tcPr>
        <w:p w14:paraId="254077DD" w14:textId="77777777" w:rsidR="001530CB" w:rsidRPr="00EF13C1" w:rsidRDefault="001530CB" w:rsidP="00426E8E">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354321E4" w14:textId="77777777" w:rsidR="001530CB" w:rsidRPr="00EF13C1" w:rsidRDefault="001530CB" w:rsidP="00426E8E">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5F32E25" w14:textId="77777777" w:rsidR="001530CB" w:rsidRDefault="001530CB" w:rsidP="008F2F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1530CB" w:rsidRPr="00EF13C1" w14:paraId="4CAA9904" w14:textId="77777777" w:rsidTr="00E03587">
      <w:trPr>
        <w:trHeight w:val="138"/>
      </w:trPr>
      <w:tc>
        <w:tcPr>
          <w:tcW w:w="2977" w:type="dxa"/>
          <w:vAlign w:val="center"/>
        </w:tcPr>
        <w:p w14:paraId="3F120A4A" w14:textId="77777777" w:rsidR="001530CB" w:rsidRPr="00EF13C1" w:rsidRDefault="001530CB" w:rsidP="00426E8E">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32219053" w14:textId="77777777" w:rsidR="001530CB" w:rsidRPr="00EF13C1" w:rsidRDefault="001530CB" w:rsidP="00826149">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00528/INFOEM/IP/RR/2021</w:t>
          </w:r>
        </w:p>
      </w:tc>
    </w:tr>
    <w:tr w:rsidR="001530CB" w:rsidRPr="00EF13C1" w14:paraId="474A9AED" w14:textId="77777777" w:rsidTr="00E03587">
      <w:trPr>
        <w:trHeight w:val="138"/>
      </w:trPr>
      <w:tc>
        <w:tcPr>
          <w:tcW w:w="2977" w:type="dxa"/>
          <w:vAlign w:val="center"/>
        </w:tcPr>
        <w:p w14:paraId="47BD18A0" w14:textId="77777777" w:rsidR="001530CB" w:rsidRPr="00EF13C1" w:rsidRDefault="001530CB" w:rsidP="00426E8E">
          <w:pPr>
            <w:rPr>
              <w:rFonts w:ascii="Palatino Linotype" w:hAnsi="Palatino Linotype"/>
              <w:b/>
            </w:rPr>
          </w:pPr>
          <w:r>
            <w:rPr>
              <w:rFonts w:ascii="Palatino Linotype" w:hAnsi="Palatino Linotype"/>
              <w:b/>
            </w:rPr>
            <w:t>Recurrente:</w:t>
          </w:r>
        </w:p>
      </w:tc>
      <w:tc>
        <w:tcPr>
          <w:tcW w:w="3964" w:type="dxa"/>
          <w:vAlign w:val="center"/>
        </w:tcPr>
        <w:p w14:paraId="3C669ABA" w14:textId="311F481C" w:rsidR="001530CB" w:rsidRPr="00211CC7" w:rsidRDefault="00211CC7" w:rsidP="00426E8E">
          <w:pPr>
            <w:pStyle w:val="Encabezado"/>
            <w:tabs>
              <w:tab w:val="clear" w:pos="4419"/>
              <w:tab w:val="center" w:pos="3328"/>
            </w:tabs>
            <w:jc w:val="both"/>
            <w:rPr>
              <w:rFonts w:ascii="Palatino Linotype" w:hAnsi="Palatino Linotype" w:cs="Arial"/>
              <w:b/>
              <w:bCs/>
              <w:highlight w:val="black"/>
              <w:lang w:eastAsia="es-MX"/>
            </w:rPr>
          </w:pPr>
          <w:r w:rsidRPr="00211CC7">
            <w:rPr>
              <w:rFonts w:ascii="Palatino Linotype" w:hAnsi="Palatino Linotype" w:cs="Arial"/>
              <w:b/>
              <w:bCs/>
              <w:highlight w:val="black"/>
              <w:lang w:eastAsia="es-MX"/>
            </w:rPr>
            <w:t>--------------------------------------------</w:t>
          </w:r>
        </w:p>
      </w:tc>
    </w:tr>
    <w:tr w:rsidR="001530CB" w:rsidRPr="00EF13C1" w14:paraId="6E82B00A" w14:textId="77777777" w:rsidTr="00E03587">
      <w:trPr>
        <w:trHeight w:val="321"/>
      </w:trPr>
      <w:tc>
        <w:tcPr>
          <w:tcW w:w="2977" w:type="dxa"/>
          <w:vAlign w:val="center"/>
        </w:tcPr>
        <w:p w14:paraId="14264945" w14:textId="77777777" w:rsidR="001530CB" w:rsidRPr="00A61802" w:rsidRDefault="001530CB" w:rsidP="00426E8E">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BD5A75F" w14:textId="77777777" w:rsidR="001530CB" w:rsidRPr="00A61802" w:rsidRDefault="001530CB" w:rsidP="00426E8E">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Atizapán de Zaragoza</w:t>
          </w:r>
        </w:p>
      </w:tc>
    </w:tr>
    <w:tr w:rsidR="001530CB" w:rsidRPr="00EF13C1" w14:paraId="411DD364" w14:textId="77777777" w:rsidTr="00E03587">
      <w:trPr>
        <w:trHeight w:val="321"/>
      </w:trPr>
      <w:tc>
        <w:tcPr>
          <w:tcW w:w="2977" w:type="dxa"/>
          <w:vAlign w:val="center"/>
        </w:tcPr>
        <w:p w14:paraId="26A8693E" w14:textId="77777777" w:rsidR="001530CB" w:rsidRPr="00EF13C1" w:rsidRDefault="001530CB" w:rsidP="00426E8E">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25DA41DF" w14:textId="77777777" w:rsidR="001530CB" w:rsidRPr="00EF13C1" w:rsidRDefault="001530CB" w:rsidP="00426E8E">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04372D4" w14:textId="77777777" w:rsidR="001530CB" w:rsidRDefault="001530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902"/>
    <w:multiLevelType w:val="hybridMultilevel"/>
    <w:tmpl w:val="20060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2CD6B63"/>
    <w:multiLevelType w:val="hybridMultilevel"/>
    <w:tmpl w:val="C1148F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53432C8"/>
    <w:multiLevelType w:val="hybridMultilevel"/>
    <w:tmpl w:val="CACEE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C4C28CA"/>
    <w:multiLevelType w:val="hybridMultilevel"/>
    <w:tmpl w:val="7B10722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7" w15:restartNumberingAfterBreak="0">
    <w:nsid w:val="3161204A"/>
    <w:multiLevelType w:val="multilevel"/>
    <w:tmpl w:val="D94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17490"/>
    <w:multiLevelType w:val="hybridMultilevel"/>
    <w:tmpl w:val="9E025AC4"/>
    <w:lvl w:ilvl="0" w:tplc="92BE0B36">
      <w:start w:val="1"/>
      <w:numFmt w:val="decimal"/>
      <w:lvlText w:val="%1."/>
      <w:lvlJc w:val="left"/>
      <w:pPr>
        <w:ind w:left="2771" w:hanging="360"/>
      </w:pPr>
      <w:rPr>
        <w:rFonts w:ascii="Palatino Linotype" w:hAnsi="Palatino Linotype" w:hint="default"/>
        <w:b/>
        <w:i w:val="0"/>
        <w:color w:val="auto"/>
        <w:sz w:val="24"/>
      </w:rPr>
    </w:lvl>
    <w:lvl w:ilvl="1" w:tplc="ADD6951C">
      <w:start w:val="1"/>
      <w:numFmt w:val="upperRoman"/>
      <w:lvlText w:val="%2."/>
      <w:lvlJc w:val="right"/>
      <w:pPr>
        <w:ind w:left="7525" w:hanging="720"/>
      </w:pPr>
      <w:rPr>
        <w:rFonts w:hint="default"/>
        <w:b/>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8956116"/>
    <w:multiLevelType w:val="hybridMultilevel"/>
    <w:tmpl w:val="E9EECDDA"/>
    <w:lvl w:ilvl="0" w:tplc="09BE0E60">
      <w:start w:val="1"/>
      <w:numFmt w:val="lowerLetter"/>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AA5D73"/>
    <w:multiLevelType w:val="hybridMultilevel"/>
    <w:tmpl w:val="9226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8619A7"/>
    <w:multiLevelType w:val="hybridMultilevel"/>
    <w:tmpl w:val="2B5CC2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7D2208"/>
    <w:multiLevelType w:val="hybridMultilevel"/>
    <w:tmpl w:val="10C006E8"/>
    <w:lvl w:ilvl="0" w:tplc="E67E304A">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FF21C3C"/>
    <w:multiLevelType w:val="hybridMultilevel"/>
    <w:tmpl w:val="C99620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402991"/>
    <w:multiLevelType w:val="hybridMultilevel"/>
    <w:tmpl w:val="E8DCD0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5933CA"/>
    <w:multiLevelType w:val="hybridMultilevel"/>
    <w:tmpl w:val="2E60A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B579BE"/>
    <w:multiLevelType w:val="hybridMultilevel"/>
    <w:tmpl w:val="58B44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15"/>
  </w:num>
  <w:num w:numId="5">
    <w:abstractNumId w:val="7"/>
  </w:num>
  <w:num w:numId="6">
    <w:abstractNumId w:val="5"/>
  </w:num>
  <w:num w:numId="7">
    <w:abstractNumId w:val="17"/>
  </w:num>
  <w:num w:numId="8">
    <w:abstractNumId w:val="4"/>
  </w:num>
  <w:num w:numId="9">
    <w:abstractNumId w:val="21"/>
  </w:num>
  <w:num w:numId="10">
    <w:abstractNumId w:val="0"/>
  </w:num>
  <w:num w:numId="11">
    <w:abstractNumId w:val="20"/>
  </w:num>
  <w:num w:numId="12">
    <w:abstractNumId w:val="11"/>
  </w:num>
  <w:num w:numId="13">
    <w:abstractNumId w:val="12"/>
  </w:num>
  <w:num w:numId="14">
    <w:abstractNumId w:val="3"/>
  </w:num>
  <w:num w:numId="15">
    <w:abstractNumId w:val="13"/>
  </w:num>
  <w:num w:numId="16">
    <w:abstractNumId w:val="9"/>
  </w:num>
  <w:num w:numId="17">
    <w:abstractNumId w:val="14"/>
  </w:num>
  <w:num w:numId="18">
    <w:abstractNumId w:val="16"/>
  </w:num>
  <w:num w:numId="19">
    <w:abstractNumId w:val="19"/>
  </w:num>
  <w:num w:numId="20">
    <w:abstractNumId w:val="2"/>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7D"/>
    <w:rsid w:val="00025113"/>
    <w:rsid w:val="00030C01"/>
    <w:rsid w:val="0003449F"/>
    <w:rsid w:val="0004774E"/>
    <w:rsid w:val="0006227A"/>
    <w:rsid w:val="000903FD"/>
    <w:rsid w:val="00094C8D"/>
    <w:rsid w:val="000A07A8"/>
    <w:rsid w:val="000D454E"/>
    <w:rsid w:val="000E3423"/>
    <w:rsid w:val="00121408"/>
    <w:rsid w:val="001530CB"/>
    <w:rsid w:val="001D3502"/>
    <w:rsid w:val="001F4AD8"/>
    <w:rsid w:val="00211CC7"/>
    <w:rsid w:val="002243F2"/>
    <w:rsid w:val="00226F33"/>
    <w:rsid w:val="00234316"/>
    <w:rsid w:val="0023769E"/>
    <w:rsid w:val="002468C0"/>
    <w:rsid w:val="0025033D"/>
    <w:rsid w:val="002A6A05"/>
    <w:rsid w:val="002A7768"/>
    <w:rsid w:val="002C7FAE"/>
    <w:rsid w:val="002E6518"/>
    <w:rsid w:val="00321347"/>
    <w:rsid w:val="00327DF5"/>
    <w:rsid w:val="00345239"/>
    <w:rsid w:val="00345EB2"/>
    <w:rsid w:val="00374B9E"/>
    <w:rsid w:val="00380717"/>
    <w:rsid w:val="00397DDD"/>
    <w:rsid w:val="003A4CEF"/>
    <w:rsid w:val="003B4F15"/>
    <w:rsid w:val="003C13AC"/>
    <w:rsid w:val="004013BB"/>
    <w:rsid w:val="0041371F"/>
    <w:rsid w:val="00416D53"/>
    <w:rsid w:val="00426392"/>
    <w:rsid w:val="00426E8E"/>
    <w:rsid w:val="004449B3"/>
    <w:rsid w:val="0044592A"/>
    <w:rsid w:val="00462575"/>
    <w:rsid w:val="004673C1"/>
    <w:rsid w:val="004B5D57"/>
    <w:rsid w:val="004C1FDE"/>
    <w:rsid w:val="004C5B47"/>
    <w:rsid w:val="004F1E7D"/>
    <w:rsid w:val="00510857"/>
    <w:rsid w:val="00516CE8"/>
    <w:rsid w:val="005212F1"/>
    <w:rsid w:val="00535DD1"/>
    <w:rsid w:val="005417EB"/>
    <w:rsid w:val="00553B24"/>
    <w:rsid w:val="0059530C"/>
    <w:rsid w:val="005B1724"/>
    <w:rsid w:val="005E0085"/>
    <w:rsid w:val="005F02F7"/>
    <w:rsid w:val="006420AD"/>
    <w:rsid w:val="00642585"/>
    <w:rsid w:val="00655121"/>
    <w:rsid w:val="006567D8"/>
    <w:rsid w:val="006A02EF"/>
    <w:rsid w:val="006B24D8"/>
    <w:rsid w:val="006C6CE5"/>
    <w:rsid w:val="006E420C"/>
    <w:rsid w:val="007074A2"/>
    <w:rsid w:val="00722974"/>
    <w:rsid w:val="0072428A"/>
    <w:rsid w:val="00732F23"/>
    <w:rsid w:val="007637C1"/>
    <w:rsid w:val="00784A7F"/>
    <w:rsid w:val="007D146B"/>
    <w:rsid w:val="008126AB"/>
    <w:rsid w:val="008217C7"/>
    <w:rsid w:val="00822286"/>
    <w:rsid w:val="00826149"/>
    <w:rsid w:val="008701DD"/>
    <w:rsid w:val="00871D7C"/>
    <w:rsid w:val="00882D3D"/>
    <w:rsid w:val="008978CF"/>
    <w:rsid w:val="008C6BC2"/>
    <w:rsid w:val="008C75CA"/>
    <w:rsid w:val="008F0C96"/>
    <w:rsid w:val="008F2F7C"/>
    <w:rsid w:val="00903117"/>
    <w:rsid w:val="00914D8C"/>
    <w:rsid w:val="0092259C"/>
    <w:rsid w:val="009344D9"/>
    <w:rsid w:val="009446A9"/>
    <w:rsid w:val="00980681"/>
    <w:rsid w:val="00992504"/>
    <w:rsid w:val="009E1679"/>
    <w:rsid w:val="00A7165F"/>
    <w:rsid w:val="00A76D9F"/>
    <w:rsid w:val="00A84B91"/>
    <w:rsid w:val="00AB13D7"/>
    <w:rsid w:val="00AB3292"/>
    <w:rsid w:val="00AB6EE4"/>
    <w:rsid w:val="00AC1BAD"/>
    <w:rsid w:val="00AD6455"/>
    <w:rsid w:val="00AF645C"/>
    <w:rsid w:val="00B245D0"/>
    <w:rsid w:val="00B2638C"/>
    <w:rsid w:val="00B32595"/>
    <w:rsid w:val="00B45458"/>
    <w:rsid w:val="00B50524"/>
    <w:rsid w:val="00B505ED"/>
    <w:rsid w:val="00B56515"/>
    <w:rsid w:val="00B6396F"/>
    <w:rsid w:val="00B835BD"/>
    <w:rsid w:val="00BA0FA0"/>
    <w:rsid w:val="00BD442E"/>
    <w:rsid w:val="00C0691D"/>
    <w:rsid w:val="00C1020A"/>
    <w:rsid w:val="00C13B63"/>
    <w:rsid w:val="00C171AE"/>
    <w:rsid w:val="00C26590"/>
    <w:rsid w:val="00C40B54"/>
    <w:rsid w:val="00C61541"/>
    <w:rsid w:val="00C76A25"/>
    <w:rsid w:val="00C87039"/>
    <w:rsid w:val="00CA2ACA"/>
    <w:rsid w:val="00CD3D4F"/>
    <w:rsid w:val="00CE7AB0"/>
    <w:rsid w:val="00D1213F"/>
    <w:rsid w:val="00D16C3D"/>
    <w:rsid w:val="00D4029E"/>
    <w:rsid w:val="00D459E6"/>
    <w:rsid w:val="00D47C78"/>
    <w:rsid w:val="00D85DDE"/>
    <w:rsid w:val="00DE6EBD"/>
    <w:rsid w:val="00DF5A24"/>
    <w:rsid w:val="00E03587"/>
    <w:rsid w:val="00E06A07"/>
    <w:rsid w:val="00E14A17"/>
    <w:rsid w:val="00E314D1"/>
    <w:rsid w:val="00E33BB4"/>
    <w:rsid w:val="00E35D8F"/>
    <w:rsid w:val="00E37476"/>
    <w:rsid w:val="00E4332C"/>
    <w:rsid w:val="00E514D2"/>
    <w:rsid w:val="00EA7A9E"/>
    <w:rsid w:val="00EB2B4E"/>
    <w:rsid w:val="00ED373D"/>
    <w:rsid w:val="00EE5B76"/>
    <w:rsid w:val="00EF2B3F"/>
    <w:rsid w:val="00F07B6C"/>
    <w:rsid w:val="00F40C9B"/>
    <w:rsid w:val="00F4124F"/>
    <w:rsid w:val="00F414D5"/>
    <w:rsid w:val="00F71D42"/>
    <w:rsid w:val="00F95C3C"/>
    <w:rsid w:val="00FE378A"/>
    <w:rsid w:val="00FF072C"/>
    <w:rsid w:val="00FF324B"/>
    <w:rsid w:val="00FF3A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3D40"/>
  <w15:chartTrackingRefBased/>
  <w15:docId w15:val="{F57ECBEC-85F5-4E28-A75C-B2732363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AD8"/>
  </w:style>
  <w:style w:type="paragraph" w:styleId="Ttulo1">
    <w:name w:val="heading 1"/>
    <w:basedOn w:val="Normal"/>
    <w:next w:val="Normal"/>
    <w:link w:val="Ttulo1Car"/>
    <w:uiPriority w:val="9"/>
    <w:qFormat/>
    <w:rsid w:val="007074A2"/>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030C01"/>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1E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1E7D"/>
  </w:style>
  <w:style w:type="paragraph" w:styleId="Piedepgina">
    <w:name w:val="footer"/>
    <w:basedOn w:val="Normal"/>
    <w:link w:val="PiedepginaCar"/>
    <w:uiPriority w:val="99"/>
    <w:unhideWhenUsed/>
    <w:rsid w:val="004F1E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1E7D"/>
  </w:style>
  <w:style w:type="table" w:styleId="Tablaconcuadrcula">
    <w:name w:val="Table Grid"/>
    <w:basedOn w:val="Tablanormal"/>
    <w:uiPriority w:val="39"/>
    <w:rsid w:val="004F1E7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4F1E7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1E7D"/>
    <w:pPr>
      <w:ind w:left="720"/>
      <w:contextualSpacing/>
    </w:pPr>
  </w:style>
  <w:style w:type="paragraph" w:styleId="TDC1">
    <w:name w:val="toc 1"/>
    <w:basedOn w:val="Normal"/>
    <w:next w:val="Normal"/>
    <w:autoRedefine/>
    <w:uiPriority w:val="39"/>
    <w:unhideWhenUsed/>
    <w:rsid w:val="00CE7AB0"/>
    <w:pPr>
      <w:tabs>
        <w:tab w:val="right" w:leader="dot" w:pos="9062"/>
      </w:tabs>
      <w:spacing w:after="100"/>
      <w:jc w:val="both"/>
    </w:pPr>
  </w:style>
  <w:style w:type="paragraph" w:styleId="TDC2">
    <w:name w:val="toc 2"/>
    <w:basedOn w:val="Normal"/>
    <w:next w:val="Normal"/>
    <w:autoRedefine/>
    <w:uiPriority w:val="39"/>
    <w:unhideWhenUsed/>
    <w:rsid w:val="004F1E7D"/>
    <w:pPr>
      <w:tabs>
        <w:tab w:val="right" w:leader="dot" w:pos="8637"/>
      </w:tabs>
      <w:spacing w:after="0" w:line="48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F1E7D"/>
  </w:style>
  <w:style w:type="paragraph" w:customStyle="1" w:styleId="Default">
    <w:name w:val="Default"/>
    <w:rsid w:val="004F1E7D"/>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DE6EB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E6EBD"/>
    <w:rPr>
      <w:sz w:val="20"/>
      <w:szCs w:val="20"/>
    </w:rPr>
  </w:style>
  <w:style w:type="character" w:styleId="Refdenotaalfinal">
    <w:name w:val="endnote reference"/>
    <w:basedOn w:val="Fuentedeprrafopredeter"/>
    <w:uiPriority w:val="99"/>
    <w:semiHidden/>
    <w:unhideWhenUsed/>
    <w:rsid w:val="00DE6EBD"/>
    <w:rPr>
      <w:vertAlign w:val="superscript"/>
    </w:rPr>
  </w:style>
  <w:style w:type="paragraph" w:styleId="Bibliografa">
    <w:name w:val="Bibliography"/>
    <w:basedOn w:val="Normal"/>
    <w:next w:val="Normal"/>
    <w:uiPriority w:val="37"/>
    <w:unhideWhenUsed/>
    <w:rsid w:val="00DE6EB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6EB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6EB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E6EBD"/>
    <w:rPr>
      <w:vertAlign w:val="superscript"/>
    </w:rPr>
  </w:style>
  <w:style w:type="paragraph" w:styleId="Sinespaciado">
    <w:name w:val="No Spacing"/>
    <w:aliases w:val="Francesa"/>
    <w:link w:val="SinespaciadoCar"/>
    <w:uiPriority w:val="1"/>
    <w:qFormat/>
    <w:rsid w:val="00535DD1"/>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535DD1"/>
    <w:rPr>
      <w:rFonts w:eastAsiaTheme="minorEastAsia"/>
      <w:sz w:val="24"/>
      <w:szCs w:val="24"/>
      <w:lang w:val="es-ES_tradnl" w:eastAsia="es-ES"/>
    </w:rPr>
  </w:style>
  <w:style w:type="character" w:customStyle="1" w:styleId="Ttulo2Car">
    <w:name w:val="Título 2 Car"/>
    <w:basedOn w:val="Fuentedeprrafopredeter"/>
    <w:link w:val="Ttulo2"/>
    <w:uiPriority w:val="9"/>
    <w:rsid w:val="00030C01"/>
    <w:rPr>
      <w:rFonts w:asciiTheme="majorHAnsi" w:eastAsiaTheme="majorEastAsia" w:hAnsiTheme="majorHAnsi" w:cstheme="majorBidi"/>
      <w:color w:val="2E74B5" w:themeColor="accent1" w:themeShade="BF"/>
      <w:sz w:val="26"/>
      <w:szCs w:val="26"/>
      <w:lang w:val="es-ES_tradnl"/>
    </w:rPr>
  </w:style>
  <w:style w:type="paragraph" w:styleId="TDC3">
    <w:name w:val="toc 3"/>
    <w:basedOn w:val="Normal"/>
    <w:next w:val="Normal"/>
    <w:autoRedefine/>
    <w:uiPriority w:val="39"/>
    <w:unhideWhenUsed/>
    <w:rsid w:val="00CE7AB0"/>
    <w:pPr>
      <w:spacing w:after="100"/>
      <w:ind w:left="440"/>
    </w:pPr>
  </w:style>
  <w:style w:type="character" w:customStyle="1" w:styleId="Ttulo1Car">
    <w:name w:val="Título 1 Car"/>
    <w:basedOn w:val="Fuentedeprrafopredeter"/>
    <w:link w:val="Ttulo1"/>
    <w:uiPriority w:val="9"/>
    <w:rsid w:val="007074A2"/>
    <w:rPr>
      <w:rFonts w:ascii="Palatino Linotype" w:eastAsiaTheme="majorEastAsia" w:hAnsi="Palatino Linotype" w:cstheme="majorBidi"/>
      <w:b/>
      <w:sz w:val="24"/>
      <w:szCs w:val="32"/>
    </w:rPr>
  </w:style>
  <w:style w:type="paragraph" w:styleId="TtuloTDC">
    <w:name w:val="TOC Heading"/>
    <w:basedOn w:val="Ttulo1"/>
    <w:next w:val="Normal"/>
    <w:uiPriority w:val="39"/>
    <w:unhideWhenUsed/>
    <w:qFormat/>
    <w:rsid w:val="00CE7AB0"/>
    <w:pPr>
      <w:outlineLvl w:val="9"/>
    </w:pPr>
    <w:rPr>
      <w:lang w:eastAsia="es-MX"/>
    </w:rPr>
  </w:style>
  <w:style w:type="character" w:customStyle="1" w:styleId="apple-converted-space">
    <w:name w:val="apple-converted-space"/>
    <w:basedOn w:val="Fuentedeprrafopredeter"/>
    <w:rsid w:val="00A7165F"/>
  </w:style>
  <w:style w:type="character" w:styleId="nfasis">
    <w:name w:val="Emphasis"/>
    <w:basedOn w:val="Fuentedeprrafopredeter"/>
    <w:uiPriority w:val="20"/>
    <w:qFormat/>
    <w:rsid w:val="00A7165F"/>
    <w:rPr>
      <w:i/>
      <w:iCs/>
    </w:rPr>
  </w:style>
  <w:style w:type="character" w:customStyle="1" w:styleId="nacep">
    <w:name w:val="n_acep"/>
    <w:basedOn w:val="Fuentedeprrafopredeter"/>
    <w:rsid w:val="00A7165F"/>
  </w:style>
  <w:style w:type="character" w:customStyle="1" w:styleId="A3">
    <w:name w:val="A3"/>
    <w:uiPriority w:val="99"/>
    <w:rsid w:val="0003449F"/>
    <w:rPr>
      <w:color w:val="221E1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513589">
      <w:bodyDiv w:val="1"/>
      <w:marLeft w:val="0"/>
      <w:marRight w:val="0"/>
      <w:marTop w:val="0"/>
      <w:marBottom w:val="0"/>
      <w:divBdr>
        <w:top w:val="none" w:sz="0" w:space="0" w:color="auto"/>
        <w:left w:val="none" w:sz="0" w:space="0" w:color="auto"/>
        <w:bottom w:val="none" w:sz="0" w:space="0" w:color="auto"/>
        <w:right w:val="none" w:sz="0" w:space="0" w:color="auto"/>
      </w:divBdr>
    </w:div>
    <w:div w:id="664430627">
      <w:bodyDiv w:val="1"/>
      <w:marLeft w:val="0"/>
      <w:marRight w:val="0"/>
      <w:marTop w:val="0"/>
      <w:marBottom w:val="0"/>
      <w:divBdr>
        <w:top w:val="none" w:sz="0" w:space="0" w:color="auto"/>
        <w:left w:val="none" w:sz="0" w:space="0" w:color="auto"/>
        <w:bottom w:val="none" w:sz="0" w:space="0" w:color="auto"/>
        <w:right w:val="none" w:sz="0" w:space="0" w:color="auto"/>
      </w:divBdr>
    </w:div>
    <w:div w:id="1355423591">
      <w:bodyDiv w:val="1"/>
      <w:marLeft w:val="0"/>
      <w:marRight w:val="0"/>
      <w:marTop w:val="0"/>
      <w:marBottom w:val="0"/>
      <w:divBdr>
        <w:top w:val="none" w:sz="0" w:space="0" w:color="auto"/>
        <w:left w:val="none" w:sz="0" w:space="0" w:color="auto"/>
        <w:bottom w:val="none" w:sz="0" w:space="0" w:color="auto"/>
        <w:right w:val="none" w:sz="0" w:space="0" w:color="auto"/>
      </w:divBdr>
    </w:div>
    <w:div w:id="1924294219">
      <w:bodyDiv w:val="1"/>
      <w:marLeft w:val="0"/>
      <w:marRight w:val="0"/>
      <w:marTop w:val="0"/>
      <w:marBottom w:val="0"/>
      <w:divBdr>
        <w:top w:val="none" w:sz="0" w:space="0" w:color="auto"/>
        <w:left w:val="none" w:sz="0" w:space="0" w:color="auto"/>
        <w:bottom w:val="none" w:sz="0" w:space="0" w:color="auto"/>
        <w:right w:val="none" w:sz="0" w:space="0" w:color="auto"/>
      </w:divBdr>
    </w:div>
    <w:div w:id="2049524880">
      <w:bodyDiv w:val="1"/>
      <w:marLeft w:val="0"/>
      <w:marRight w:val="0"/>
      <w:marTop w:val="0"/>
      <w:marBottom w:val="0"/>
      <w:divBdr>
        <w:top w:val="none" w:sz="0" w:space="0" w:color="auto"/>
        <w:left w:val="none" w:sz="0" w:space="0" w:color="auto"/>
        <w:bottom w:val="none" w:sz="0" w:space="0" w:color="auto"/>
        <w:right w:val="none" w:sz="0" w:space="0" w:color="auto"/>
      </w:divBdr>
    </w:div>
    <w:div w:id="21097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le.rae.es/?id=QMAWQ4m" TargetMode="External"/><Relationship Id="rId1" Type="http://schemas.openxmlformats.org/officeDocument/2006/relationships/hyperlink" Target="http://dle.rae.es/?id=Cmc6fM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Ipo</b:Tag>
    <b:SourceType>InternetSite</b:SourceType>
    <b:Guid>{94E449D2-7BA7-43ED-BC82-B637BB3AB074}</b:Guid>
    <b:Title>Ipomex</b:Title>
    <b:URL>https://portal.secogem.gob.mx/sites/default/files/2019-01/OrganigramaSECOGEM.pdf</b:URL>
    <b:RefOrder>1</b:RefOrder>
  </b:Source>
</b:Sources>
</file>

<file path=customXml/itemProps1.xml><?xml version="1.0" encoding="utf-8"?>
<ds:datastoreItem xmlns:ds="http://schemas.openxmlformats.org/officeDocument/2006/customXml" ds:itemID="{1B3BBE21-2A08-414E-87A7-B5EC73EB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59</Pages>
  <Words>13341</Words>
  <Characters>73379</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2021-05-01T02:16:00Z</dcterms:created>
  <dcterms:modified xsi:type="dcterms:W3CDTF">2021-06-18T18:52:00Z</dcterms:modified>
</cp:coreProperties>
</file>