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F060A" w14:textId="77777777" w:rsidR="006946F4" w:rsidRPr="0093087C" w:rsidRDefault="008809D1" w:rsidP="008809D1">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93087C">
        <w:rPr>
          <w:rFonts w:ascii="Palatino Linotype" w:eastAsia="MS Mincho" w:hAnsi="Palatino Linotype" w:cs="Times New Roman"/>
          <w:b/>
          <w:sz w:val="24"/>
          <w:szCs w:val="24"/>
          <w:lang w:val="es-ES_tradnl" w:eastAsia="es-ES"/>
        </w:rPr>
        <w:tab/>
      </w:r>
    </w:p>
    <w:p w14:paraId="12F7A2D3" w14:textId="77777777" w:rsidR="006946F4" w:rsidRPr="00360FDF" w:rsidRDefault="0084203D" w:rsidP="0084203D">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360FDF">
        <w:rPr>
          <w:rFonts w:ascii="Palatino Linotype" w:eastAsia="MS Mincho" w:hAnsi="Palatino Linotype" w:cs="Times New Roman"/>
          <w:b/>
          <w:sz w:val="24"/>
          <w:szCs w:val="24"/>
          <w:lang w:val="es-ES_tradnl" w:eastAsia="es-ES"/>
        </w:rPr>
        <w:t>RESUMEN</w:t>
      </w:r>
    </w:p>
    <w:p w14:paraId="412E2F6D" w14:textId="77777777" w:rsidR="0061442B" w:rsidRPr="00360FDF" w:rsidRDefault="0061442B" w:rsidP="0084203D">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p>
    <w:p w14:paraId="23DE39F9" w14:textId="77777777" w:rsidR="0061442B" w:rsidRPr="00360FDF" w:rsidRDefault="0061442B" w:rsidP="0061442B">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360FDF">
        <w:rPr>
          <w:rFonts w:ascii="Palatino Linotype" w:eastAsia="MS Mincho" w:hAnsi="Palatino Linotype" w:cs="Times New Roman"/>
          <w:b/>
          <w:sz w:val="24"/>
          <w:szCs w:val="24"/>
          <w:lang w:val="es-ES_tradnl" w:eastAsia="es-ES"/>
        </w:rPr>
        <w:t xml:space="preserve">Tema: </w:t>
      </w:r>
      <w:r w:rsidRPr="00360FDF">
        <w:rPr>
          <w:rFonts w:ascii="Palatino Linotype" w:eastAsia="MS Mincho" w:hAnsi="Palatino Linotype" w:cs="Times New Roman"/>
          <w:sz w:val="24"/>
          <w:szCs w:val="24"/>
          <w:lang w:val="es-ES_tradnl" w:eastAsia="es-ES"/>
        </w:rPr>
        <w:t xml:space="preserve">La afectación al Derecho de Acceso a la Información Pública, como resultado de la inobservancia del artículo 162 de la de la Ley de Transparencia y Acceso a la </w:t>
      </w:r>
      <w:proofErr w:type="gramStart"/>
      <w:r w:rsidRPr="00360FDF">
        <w:rPr>
          <w:rFonts w:ascii="Palatino Linotype" w:eastAsia="MS Mincho" w:hAnsi="Palatino Linotype" w:cs="Times New Roman"/>
          <w:sz w:val="24"/>
          <w:szCs w:val="24"/>
          <w:lang w:val="es-ES_tradnl" w:eastAsia="es-ES"/>
        </w:rPr>
        <w:t>Información  Pública</w:t>
      </w:r>
      <w:proofErr w:type="gramEnd"/>
      <w:r w:rsidRPr="00360FDF">
        <w:rPr>
          <w:rFonts w:ascii="Palatino Linotype" w:eastAsia="MS Mincho" w:hAnsi="Palatino Linotype" w:cs="Times New Roman"/>
          <w:sz w:val="24"/>
          <w:szCs w:val="24"/>
          <w:lang w:val="es-ES_tradnl" w:eastAsia="es-ES"/>
        </w:rPr>
        <w:t xml:space="preserve"> del Estado de México y Municipios.</w:t>
      </w:r>
    </w:p>
    <w:p w14:paraId="1F62C2FA" w14:textId="77777777" w:rsidR="0061442B" w:rsidRPr="00360FDF" w:rsidRDefault="0061442B" w:rsidP="0061442B">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14:paraId="2ADEA92B" w14:textId="77777777" w:rsidR="0061442B" w:rsidRPr="00360FDF" w:rsidRDefault="0061442B" w:rsidP="0061442B">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360FDF">
        <w:rPr>
          <w:rFonts w:ascii="Palatino Linotype" w:eastAsia="MS Mincho" w:hAnsi="Palatino Linotype" w:cs="Times New Roman"/>
          <w:b/>
          <w:sz w:val="24"/>
          <w:szCs w:val="24"/>
          <w:lang w:val="es-ES_tradnl" w:eastAsia="es-ES"/>
        </w:rPr>
        <w:t xml:space="preserve">El caso: </w:t>
      </w:r>
      <w:r w:rsidRPr="00360FDF">
        <w:rPr>
          <w:rFonts w:ascii="Palatino Linotype" w:eastAsia="MS Mincho" w:hAnsi="Palatino Linotype" w:cs="Times New Roman"/>
          <w:sz w:val="24"/>
          <w:szCs w:val="24"/>
          <w:lang w:val="es-ES_tradnl" w:eastAsia="es-ES"/>
        </w:rPr>
        <w:t xml:space="preserve">Solicitud de acceso a información relacionada con los procedimientos de responsabilidad administrativa de dos servidores públicos.  </w:t>
      </w:r>
    </w:p>
    <w:p w14:paraId="3B0CA0E0" w14:textId="77777777" w:rsidR="0061442B" w:rsidRPr="00360FDF" w:rsidRDefault="0061442B" w:rsidP="0061442B">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14:paraId="6E848B70" w14:textId="77777777" w:rsidR="0061442B" w:rsidRPr="00360FDF" w:rsidRDefault="0061442B" w:rsidP="0061442B">
      <w:pPr>
        <w:spacing w:after="0" w:line="360" w:lineRule="auto"/>
        <w:jc w:val="both"/>
        <w:rPr>
          <w:rFonts w:ascii="Palatino Linotype" w:eastAsiaTheme="minorEastAsia" w:hAnsi="Palatino Linotype"/>
          <w:sz w:val="24"/>
          <w:szCs w:val="24"/>
          <w:lang w:eastAsia="es-ES"/>
        </w:rPr>
      </w:pPr>
      <w:r w:rsidRPr="00360FDF">
        <w:rPr>
          <w:rFonts w:ascii="Palatino Linotype" w:eastAsiaTheme="minorEastAsia" w:hAnsi="Palatino Linotype"/>
          <w:sz w:val="24"/>
          <w:szCs w:val="24"/>
          <w:lang w:eastAsia="es-ES"/>
        </w:rPr>
        <w:t xml:space="preserve">El Sujeto Obligado, señaló en calidad de respuesta, que no se contaba con antecedentes de algún procedimiento iniciado a las personas referidas en la solicitud de información.  </w:t>
      </w:r>
    </w:p>
    <w:p w14:paraId="6DE62E43" w14:textId="77777777" w:rsidR="0061442B" w:rsidRPr="00360FDF" w:rsidRDefault="0061442B" w:rsidP="0061442B">
      <w:pPr>
        <w:spacing w:after="0" w:line="360" w:lineRule="auto"/>
        <w:jc w:val="both"/>
        <w:rPr>
          <w:rFonts w:ascii="Palatino Linotype" w:eastAsiaTheme="minorEastAsia" w:hAnsi="Palatino Linotype"/>
          <w:sz w:val="24"/>
          <w:szCs w:val="24"/>
          <w:lang w:eastAsia="es-ES"/>
        </w:rPr>
      </w:pPr>
    </w:p>
    <w:p w14:paraId="3289B3CE" w14:textId="77777777" w:rsidR="0061442B" w:rsidRPr="00360FDF" w:rsidRDefault="0061442B" w:rsidP="0061442B">
      <w:pPr>
        <w:tabs>
          <w:tab w:val="left" w:pos="0"/>
          <w:tab w:val="center" w:pos="4419"/>
          <w:tab w:val="right" w:pos="8838"/>
        </w:tabs>
        <w:spacing w:after="0" w:line="360" w:lineRule="auto"/>
        <w:jc w:val="both"/>
        <w:rPr>
          <w:rFonts w:ascii="Palatino Linotype" w:eastAsiaTheme="minorEastAsia" w:hAnsi="Palatino Linotype"/>
          <w:sz w:val="24"/>
          <w:szCs w:val="24"/>
          <w:lang w:eastAsia="es-ES"/>
        </w:rPr>
      </w:pPr>
      <w:r w:rsidRPr="00360FDF">
        <w:rPr>
          <w:rFonts w:ascii="Palatino Linotype" w:eastAsiaTheme="minorEastAsia" w:hAnsi="Palatino Linotype"/>
          <w:b/>
          <w:sz w:val="24"/>
          <w:szCs w:val="24"/>
          <w:lang w:eastAsia="es-ES"/>
        </w:rPr>
        <w:t>Propuesta:</w:t>
      </w:r>
      <w:r w:rsidRPr="00360FDF">
        <w:rPr>
          <w:rFonts w:ascii="Palatino Linotype" w:eastAsiaTheme="minorEastAsia" w:hAnsi="Palatino Linotype"/>
          <w:sz w:val="24"/>
          <w:szCs w:val="24"/>
          <w:lang w:eastAsia="es-ES"/>
        </w:rPr>
        <w:t xml:space="preserve"> Señalar que la conducta desplegada por el Sujeto Obligado, en cuanto a la conducción del procedimiento de acceso a la información, resulta en una vulneración al derecho de acceso a la información pública</w:t>
      </w:r>
      <w:r w:rsidRPr="00360FDF">
        <w:rPr>
          <w:rFonts w:ascii="Palatino Linotype" w:eastAsia="MS Mincho" w:hAnsi="Palatino Linotype" w:cs="Times New Roman"/>
          <w:sz w:val="24"/>
          <w:szCs w:val="24"/>
          <w:lang w:val="es-ES_tradnl" w:eastAsia="es-ES"/>
        </w:rPr>
        <w:t xml:space="preserve">. En efecto, el artículo </w:t>
      </w:r>
      <w:r w:rsidRPr="00360FDF">
        <w:rPr>
          <w:rFonts w:ascii="Palatino Linotype" w:eastAsiaTheme="minorEastAsia" w:hAnsi="Palatino Linotype"/>
          <w:sz w:val="24"/>
          <w:szCs w:val="24"/>
          <w:lang w:eastAsia="es-ES"/>
        </w:rPr>
        <w:t xml:space="preserve">162 </w:t>
      </w:r>
      <w:r w:rsidRPr="00360FDF">
        <w:rPr>
          <w:rFonts w:ascii="Palatino Linotype" w:eastAsia="MS Mincho" w:hAnsi="Palatino Linotype" w:cs="Times New Roman"/>
          <w:sz w:val="24"/>
          <w:szCs w:val="24"/>
          <w:lang w:val="es-ES_tradnl" w:eastAsia="es-ES"/>
        </w:rPr>
        <w:t xml:space="preserve">señala que los titulares de las unidades de transparencia deben de girar los requerimientos planteados por los particulares en las solicitudes de información a todas las áreas que por sus competencias puedan administrar, generar o poseer la </w:t>
      </w:r>
      <w:r w:rsidRPr="00360FDF">
        <w:rPr>
          <w:rFonts w:ascii="Palatino Linotype" w:eastAsia="MS Mincho" w:hAnsi="Palatino Linotype" w:cs="Times New Roman"/>
          <w:sz w:val="24"/>
          <w:szCs w:val="24"/>
          <w:lang w:val="es-ES_tradnl" w:eastAsia="es-ES"/>
        </w:rPr>
        <w:lastRenderedPageBreak/>
        <w:t xml:space="preserve">información, </w:t>
      </w:r>
      <w:r w:rsidRPr="00360FDF">
        <w:rPr>
          <w:rFonts w:ascii="Palatino Linotype" w:hAnsi="Palatino Linotype"/>
          <w:sz w:val="24"/>
          <w:szCs w:val="24"/>
        </w:rPr>
        <w:t>con el objeto de que realicen una búsqueda exhaustiva y razonable de la información solicitada.</w:t>
      </w:r>
    </w:p>
    <w:p w14:paraId="67C3BC3A" w14:textId="77777777" w:rsidR="0061442B" w:rsidRPr="00360FDF" w:rsidRDefault="0061442B" w:rsidP="0061442B">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14:paraId="5B18E778" w14:textId="77777777" w:rsidR="0061442B" w:rsidRPr="00360FDF" w:rsidRDefault="0061442B" w:rsidP="0061442B">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360FDF">
        <w:rPr>
          <w:rFonts w:ascii="Palatino Linotype" w:eastAsia="MS Mincho" w:hAnsi="Palatino Linotype" w:cs="Times New Roman"/>
          <w:sz w:val="24"/>
          <w:szCs w:val="24"/>
          <w:lang w:val="es-ES_tradnl" w:eastAsia="es-ES"/>
        </w:rPr>
        <w:t>En ese sentido, este Instituto observa que referir la búsqueda exhaustiva de la información, sin señalar que procedimientos o métodos técnicos de búsqueda se desarrollaron,</w:t>
      </w:r>
      <w:r w:rsidRPr="00360FDF">
        <w:rPr>
          <w:rFonts w:ascii="Palatino Linotype" w:eastAsia="MS Mincho" w:hAnsi="Palatino Linotype" w:cs="Arial"/>
          <w:color w:val="000000"/>
          <w:sz w:val="24"/>
          <w:szCs w:val="24"/>
          <w:lang w:eastAsia="es-ES"/>
        </w:rPr>
        <w:t xml:space="preserve"> se traduce a una discrecionalidad arbitraria del Sujeto Obligado</w:t>
      </w:r>
      <w:r w:rsidRPr="00360FDF">
        <w:rPr>
          <w:rFonts w:ascii="Palatino Linotype" w:eastAsia="MS Mincho" w:hAnsi="Palatino Linotype" w:cs="Arial"/>
          <w:b/>
          <w:color w:val="000000"/>
          <w:sz w:val="24"/>
          <w:szCs w:val="24"/>
          <w:lang w:eastAsia="es-ES"/>
        </w:rPr>
        <w:t xml:space="preserve">, </w:t>
      </w:r>
      <w:r w:rsidRPr="00360FDF">
        <w:rPr>
          <w:rFonts w:ascii="Palatino Linotype" w:eastAsia="MS Mincho" w:hAnsi="Palatino Linotype" w:cs="Arial"/>
          <w:color w:val="000000"/>
          <w:sz w:val="24"/>
          <w:szCs w:val="24"/>
          <w:lang w:eastAsia="es-ES"/>
        </w:rPr>
        <w:t xml:space="preserve">por lo que lo procedente fue modificar la respuesta y ordenar una nueva búsqueda exhaustiva y razonable de la información solicitada. </w:t>
      </w:r>
    </w:p>
    <w:p w14:paraId="6574BDBC" w14:textId="77777777" w:rsidR="00EC2C56" w:rsidRPr="00360FDF" w:rsidRDefault="00EC2C56" w:rsidP="00BF464D">
      <w:pPr>
        <w:tabs>
          <w:tab w:val="left" w:pos="0"/>
          <w:tab w:val="center" w:pos="4419"/>
          <w:tab w:val="right" w:pos="8838"/>
        </w:tabs>
        <w:spacing w:after="0" w:line="360" w:lineRule="auto"/>
        <w:jc w:val="both"/>
        <w:rPr>
          <w:rFonts w:ascii="Palatino Linotype" w:hAnsi="Palatino Linotype"/>
          <w:szCs w:val="24"/>
        </w:rPr>
      </w:pPr>
    </w:p>
    <w:p w14:paraId="4A9FB8A7" w14:textId="77777777" w:rsidR="00E42A8E" w:rsidRPr="00360FDF" w:rsidRDefault="003E243D" w:rsidP="00E42A8E">
      <w:pPr>
        <w:tabs>
          <w:tab w:val="left" w:pos="0"/>
          <w:tab w:val="center" w:pos="4419"/>
          <w:tab w:val="right" w:pos="8838"/>
        </w:tabs>
        <w:spacing w:after="0" w:line="360" w:lineRule="auto"/>
        <w:jc w:val="both"/>
        <w:rPr>
          <w:rFonts w:ascii="Palatino Linotype" w:hAnsi="Palatino Linotype"/>
          <w:b/>
          <w:szCs w:val="24"/>
        </w:rPr>
      </w:pPr>
      <w:r w:rsidRPr="00360FDF">
        <w:rPr>
          <w:rFonts w:ascii="Palatino Linotype" w:hAnsi="Palatino Linotype"/>
          <w:b/>
          <w:szCs w:val="24"/>
        </w:rPr>
        <w:t xml:space="preserve">Puntos resolutivos: </w:t>
      </w:r>
    </w:p>
    <w:p w14:paraId="6C7BB2F6" w14:textId="77777777" w:rsidR="00E42A8E" w:rsidRPr="00360FDF" w:rsidRDefault="00E42A8E" w:rsidP="00D746D9">
      <w:pPr>
        <w:spacing w:before="240" w:after="240" w:line="360" w:lineRule="auto"/>
        <w:ind w:right="1183"/>
        <w:contextualSpacing/>
        <w:jc w:val="both"/>
        <w:rPr>
          <w:rFonts w:ascii="Palatino Linotype" w:hAnsi="Palatino Linotype"/>
          <w:sz w:val="24"/>
          <w:szCs w:val="24"/>
          <w:lang w:val="es-ES_tradnl" w:eastAsia="es-ES"/>
        </w:rPr>
      </w:pPr>
    </w:p>
    <w:p w14:paraId="608D6E78" w14:textId="77777777" w:rsidR="00D746D9" w:rsidRPr="00360FDF" w:rsidRDefault="00D746D9" w:rsidP="00D746D9">
      <w:pPr>
        <w:spacing w:before="240" w:after="240" w:line="360" w:lineRule="auto"/>
        <w:ind w:left="1134" w:right="1183"/>
        <w:contextualSpacing/>
        <w:jc w:val="both"/>
        <w:rPr>
          <w:rFonts w:ascii="Palatino Linotype" w:hAnsi="Palatino Linotype"/>
          <w:i/>
          <w:sz w:val="24"/>
          <w:szCs w:val="24"/>
          <w:lang w:val="es-ES_tradnl" w:eastAsia="es-ES"/>
        </w:rPr>
      </w:pPr>
      <w:r w:rsidRPr="00360FDF">
        <w:rPr>
          <w:rFonts w:ascii="Palatino Linotype" w:hAnsi="Palatino Linotype"/>
          <w:i/>
          <w:sz w:val="24"/>
          <w:szCs w:val="24"/>
          <w:lang w:val="es-ES_tradnl" w:eastAsia="es-ES"/>
        </w:rPr>
        <w:t>“</w:t>
      </w:r>
      <w:r w:rsidRPr="00360FDF">
        <w:rPr>
          <w:rFonts w:ascii="Palatino Linotype" w:hAnsi="Palatino Linotype"/>
          <w:b/>
          <w:i/>
          <w:sz w:val="24"/>
          <w:szCs w:val="24"/>
          <w:lang w:val="es-ES_tradnl" w:eastAsia="es-ES"/>
        </w:rPr>
        <w:t>PRIMERO.</w:t>
      </w:r>
      <w:r w:rsidRPr="00360FDF">
        <w:rPr>
          <w:rFonts w:ascii="Palatino Linotype" w:hAnsi="Palatino Linotype"/>
          <w:i/>
          <w:sz w:val="24"/>
          <w:szCs w:val="24"/>
          <w:lang w:val="es-ES_tradnl" w:eastAsia="es-ES"/>
        </w:rPr>
        <w:t xml:space="preserve"> Resultan parcialmente fundadas las razones o motivos de inconformidad hechos valer en el recurso de revisión </w:t>
      </w:r>
      <w:r w:rsidRPr="00360FDF">
        <w:rPr>
          <w:rFonts w:ascii="Palatino Linotype" w:hAnsi="Palatino Linotype"/>
          <w:b/>
          <w:i/>
          <w:sz w:val="24"/>
          <w:szCs w:val="24"/>
          <w:lang w:val="es-ES_tradnl" w:eastAsia="es-ES"/>
        </w:rPr>
        <w:t>01273/INFOEM/IP/RR/2021</w:t>
      </w:r>
      <w:r w:rsidRPr="00360FDF">
        <w:rPr>
          <w:rFonts w:ascii="Palatino Linotype" w:hAnsi="Palatino Linotype"/>
          <w:i/>
          <w:sz w:val="24"/>
          <w:szCs w:val="24"/>
          <w:lang w:val="es-ES_tradnl" w:eastAsia="es-ES"/>
        </w:rPr>
        <w:t xml:space="preserve">, en términos del Considerando </w:t>
      </w:r>
      <w:r w:rsidRPr="00360FDF">
        <w:rPr>
          <w:rFonts w:ascii="Palatino Linotype" w:hAnsi="Palatino Linotype"/>
          <w:b/>
          <w:i/>
          <w:sz w:val="24"/>
          <w:szCs w:val="24"/>
          <w:lang w:val="es-ES_tradnl" w:eastAsia="es-ES"/>
        </w:rPr>
        <w:t xml:space="preserve">QUINTO </w:t>
      </w:r>
      <w:r w:rsidRPr="00360FDF">
        <w:rPr>
          <w:rFonts w:ascii="Palatino Linotype" w:hAnsi="Palatino Linotype"/>
          <w:i/>
          <w:sz w:val="24"/>
          <w:szCs w:val="24"/>
          <w:lang w:val="es-ES_tradnl" w:eastAsia="es-ES"/>
        </w:rPr>
        <w:t>de la presente resolución.</w:t>
      </w:r>
    </w:p>
    <w:p w14:paraId="2CD3C909" w14:textId="77777777" w:rsidR="00D746D9" w:rsidRPr="00360FDF" w:rsidRDefault="00D746D9" w:rsidP="00D746D9">
      <w:pPr>
        <w:spacing w:before="240" w:after="240" w:line="360" w:lineRule="auto"/>
        <w:ind w:left="1134" w:right="1183"/>
        <w:contextualSpacing/>
        <w:jc w:val="both"/>
        <w:rPr>
          <w:rFonts w:ascii="Palatino Linotype" w:hAnsi="Palatino Linotype"/>
          <w:i/>
          <w:sz w:val="24"/>
          <w:szCs w:val="24"/>
          <w:lang w:val="es-ES_tradnl" w:eastAsia="es-ES"/>
        </w:rPr>
      </w:pPr>
    </w:p>
    <w:p w14:paraId="53D43722" w14:textId="77777777" w:rsidR="00D746D9" w:rsidRPr="00360FDF" w:rsidRDefault="00D746D9" w:rsidP="00D746D9">
      <w:pPr>
        <w:spacing w:before="240" w:after="240" w:line="360" w:lineRule="auto"/>
        <w:ind w:left="1134" w:right="1183"/>
        <w:contextualSpacing/>
        <w:jc w:val="both"/>
        <w:rPr>
          <w:rFonts w:ascii="Palatino Linotype" w:hAnsi="Palatino Linotype"/>
          <w:i/>
          <w:sz w:val="24"/>
          <w:szCs w:val="24"/>
          <w:lang w:val="es-ES_tradnl" w:eastAsia="es-ES"/>
        </w:rPr>
      </w:pPr>
      <w:r w:rsidRPr="00360FDF">
        <w:rPr>
          <w:rFonts w:ascii="Palatino Linotype" w:hAnsi="Palatino Linotype"/>
          <w:b/>
          <w:i/>
          <w:sz w:val="24"/>
          <w:szCs w:val="24"/>
          <w:lang w:val="es-ES_tradnl" w:eastAsia="es-ES"/>
        </w:rPr>
        <w:t>SEGUNDO.</w:t>
      </w:r>
      <w:r w:rsidRPr="00360FDF">
        <w:rPr>
          <w:rFonts w:ascii="Palatino Linotype" w:hAnsi="Palatino Linotype"/>
          <w:i/>
          <w:sz w:val="24"/>
          <w:szCs w:val="24"/>
          <w:lang w:val="es-ES_tradnl" w:eastAsia="es-ES"/>
        </w:rPr>
        <w:t xml:space="preserve"> Se </w:t>
      </w:r>
      <w:r w:rsidRPr="00360FDF">
        <w:rPr>
          <w:rFonts w:ascii="Palatino Linotype" w:hAnsi="Palatino Linotype"/>
          <w:b/>
          <w:i/>
          <w:sz w:val="24"/>
          <w:szCs w:val="24"/>
          <w:lang w:val="es-ES_tradnl" w:eastAsia="es-ES"/>
        </w:rPr>
        <w:t>MODIFICA</w:t>
      </w:r>
      <w:r w:rsidRPr="00360FDF">
        <w:rPr>
          <w:rFonts w:ascii="Palatino Linotype" w:hAnsi="Palatino Linotype"/>
          <w:i/>
          <w:sz w:val="24"/>
          <w:szCs w:val="24"/>
          <w:lang w:val="es-ES_tradnl" w:eastAsia="es-ES"/>
        </w:rPr>
        <w:t xml:space="preserve"> la respuesta emitida por el Instituto de Salud del Estado de México y se </w:t>
      </w:r>
      <w:r w:rsidRPr="00360FDF">
        <w:rPr>
          <w:rFonts w:ascii="Palatino Linotype" w:hAnsi="Palatino Linotype"/>
          <w:b/>
          <w:i/>
          <w:sz w:val="24"/>
          <w:szCs w:val="24"/>
          <w:lang w:val="es-ES_tradnl" w:eastAsia="es-ES"/>
        </w:rPr>
        <w:t>ORDENA</w:t>
      </w:r>
      <w:r w:rsidRPr="00360FDF">
        <w:rPr>
          <w:rFonts w:ascii="Palatino Linotype" w:hAnsi="Palatino Linotype"/>
          <w:i/>
          <w:sz w:val="24"/>
          <w:szCs w:val="24"/>
          <w:lang w:val="es-ES_tradnl" w:eastAsia="es-ES"/>
        </w:rPr>
        <w:t xml:space="preserve"> entregar vía Sistema de Acceso a la Información Mexiquense </w:t>
      </w:r>
      <w:r w:rsidRPr="00360FDF">
        <w:rPr>
          <w:rFonts w:ascii="Palatino Linotype" w:hAnsi="Palatino Linotype"/>
          <w:b/>
          <w:i/>
          <w:sz w:val="24"/>
          <w:szCs w:val="24"/>
          <w:lang w:val="es-ES_tradnl" w:eastAsia="es-ES"/>
        </w:rPr>
        <w:t>(SAIMEX)</w:t>
      </w:r>
      <w:r w:rsidRPr="00360FDF">
        <w:rPr>
          <w:rFonts w:ascii="Palatino Linotype" w:hAnsi="Palatino Linotype"/>
          <w:i/>
          <w:sz w:val="24"/>
          <w:szCs w:val="24"/>
          <w:lang w:val="es-ES_tradnl" w:eastAsia="es-ES"/>
        </w:rPr>
        <w:t xml:space="preserve"> y correo electrónico, previa búsqueda exhaustiva y </w:t>
      </w:r>
      <w:proofErr w:type="gramStart"/>
      <w:r w:rsidRPr="00360FDF">
        <w:rPr>
          <w:rFonts w:ascii="Palatino Linotype" w:hAnsi="Palatino Linotype"/>
          <w:i/>
          <w:sz w:val="24"/>
          <w:szCs w:val="24"/>
          <w:lang w:val="es-ES_tradnl" w:eastAsia="es-ES"/>
        </w:rPr>
        <w:t>razonable,  de</w:t>
      </w:r>
      <w:proofErr w:type="gramEnd"/>
      <w:r w:rsidRPr="00360FDF">
        <w:rPr>
          <w:rFonts w:ascii="Palatino Linotype" w:hAnsi="Palatino Linotype"/>
          <w:i/>
          <w:sz w:val="24"/>
          <w:szCs w:val="24"/>
          <w:lang w:val="es-ES_tradnl" w:eastAsia="es-ES"/>
        </w:rPr>
        <w:t xml:space="preserve"> ser procedente en versión pública, en pdf , word o en el formato en que se encuentre,  los documentos donde conste la siguiente información:</w:t>
      </w:r>
    </w:p>
    <w:p w14:paraId="0F53FD87" w14:textId="77777777" w:rsidR="00D746D9" w:rsidRPr="00360FDF" w:rsidRDefault="00D746D9" w:rsidP="00D746D9">
      <w:pPr>
        <w:spacing w:before="240" w:after="240" w:line="360" w:lineRule="auto"/>
        <w:ind w:left="1134" w:right="1183"/>
        <w:contextualSpacing/>
        <w:jc w:val="both"/>
        <w:rPr>
          <w:rFonts w:ascii="Palatino Linotype" w:hAnsi="Palatino Linotype"/>
          <w:i/>
          <w:sz w:val="24"/>
          <w:szCs w:val="24"/>
          <w:lang w:val="es-ES_tradnl" w:eastAsia="es-ES"/>
        </w:rPr>
      </w:pPr>
    </w:p>
    <w:p w14:paraId="2431E648" w14:textId="77777777" w:rsidR="00D746D9" w:rsidRPr="00360FDF" w:rsidRDefault="00D746D9" w:rsidP="00D746D9">
      <w:pPr>
        <w:spacing w:before="240" w:after="240" w:line="360" w:lineRule="auto"/>
        <w:ind w:left="1134" w:right="1183"/>
        <w:contextualSpacing/>
        <w:jc w:val="both"/>
        <w:rPr>
          <w:rFonts w:ascii="Palatino Linotype" w:hAnsi="Palatino Linotype"/>
          <w:b/>
          <w:i/>
          <w:sz w:val="24"/>
          <w:szCs w:val="24"/>
          <w:lang w:val="es-ES_tradnl" w:eastAsia="es-ES"/>
        </w:rPr>
      </w:pPr>
      <w:r w:rsidRPr="00360FDF">
        <w:rPr>
          <w:rFonts w:ascii="Palatino Linotype" w:hAnsi="Palatino Linotype"/>
          <w:b/>
          <w:i/>
          <w:sz w:val="24"/>
          <w:szCs w:val="24"/>
          <w:lang w:val="es-ES_tradnl" w:eastAsia="es-ES"/>
        </w:rPr>
        <w:t>I.</w:t>
      </w:r>
      <w:r w:rsidRPr="00360FDF">
        <w:rPr>
          <w:rFonts w:ascii="Palatino Linotype" w:hAnsi="Palatino Linotype"/>
          <w:b/>
          <w:i/>
          <w:sz w:val="24"/>
          <w:szCs w:val="24"/>
          <w:lang w:val="es-ES_tradnl" w:eastAsia="es-ES"/>
        </w:rPr>
        <w:tab/>
        <w:t xml:space="preserve">De ser el caso en que se cuente con expedientes de responsabilidades administrativas de los servidores públicos referidos en la solicitud de </w:t>
      </w:r>
      <w:proofErr w:type="gramStart"/>
      <w:r w:rsidRPr="00360FDF">
        <w:rPr>
          <w:rFonts w:ascii="Palatino Linotype" w:hAnsi="Palatino Linotype"/>
          <w:b/>
          <w:i/>
          <w:sz w:val="24"/>
          <w:szCs w:val="24"/>
          <w:lang w:val="es-ES_tradnl" w:eastAsia="es-ES"/>
        </w:rPr>
        <w:t>información  durante</w:t>
      </w:r>
      <w:proofErr w:type="gramEnd"/>
      <w:r w:rsidRPr="00360FDF">
        <w:rPr>
          <w:rFonts w:ascii="Palatino Linotype" w:hAnsi="Palatino Linotype"/>
          <w:b/>
          <w:i/>
          <w:sz w:val="24"/>
          <w:szCs w:val="24"/>
          <w:lang w:val="es-ES_tradnl" w:eastAsia="es-ES"/>
        </w:rPr>
        <w:t xml:space="preserve"> la prestación de sus servicios y hasta el veintidós de febrero de dos mil veintiuno.</w:t>
      </w:r>
    </w:p>
    <w:p w14:paraId="295C2183" w14:textId="77777777" w:rsidR="00D746D9" w:rsidRPr="00360FDF" w:rsidRDefault="00D746D9" w:rsidP="00D746D9">
      <w:pPr>
        <w:spacing w:before="240" w:after="240" w:line="360" w:lineRule="auto"/>
        <w:ind w:left="1134" w:right="1183"/>
        <w:contextualSpacing/>
        <w:jc w:val="both"/>
        <w:rPr>
          <w:rFonts w:ascii="Palatino Linotype" w:hAnsi="Palatino Linotype"/>
          <w:b/>
          <w:i/>
          <w:sz w:val="24"/>
          <w:szCs w:val="24"/>
          <w:lang w:val="es-ES_tradnl" w:eastAsia="es-ES"/>
        </w:rPr>
      </w:pPr>
    </w:p>
    <w:p w14:paraId="4E7E71C2" w14:textId="77777777" w:rsidR="00D746D9" w:rsidRPr="00360FDF" w:rsidRDefault="00D746D9" w:rsidP="00D746D9">
      <w:pPr>
        <w:spacing w:before="240" w:after="240" w:line="360" w:lineRule="auto"/>
        <w:ind w:left="1134" w:right="1183"/>
        <w:contextualSpacing/>
        <w:jc w:val="both"/>
        <w:rPr>
          <w:rFonts w:ascii="Palatino Linotype" w:hAnsi="Palatino Linotype"/>
          <w:b/>
          <w:i/>
          <w:sz w:val="24"/>
          <w:szCs w:val="24"/>
          <w:lang w:val="es-ES_tradnl" w:eastAsia="es-ES"/>
        </w:rPr>
      </w:pPr>
      <w:r w:rsidRPr="00360FDF">
        <w:rPr>
          <w:rFonts w:ascii="Palatino Linotype" w:hAnsi="Palatino Linotype"/>
          <w:b/>
          <w:i/>
          <w:sz w:val="24"/>
          <w:szCs w:val="24"/>
          <w:lang w:val="es-ES_tradnl" w:eastAsia="es-ES"/>
        </w:rPr>
        <w:t>a)</w:t>
      </w:r>
      <w:r w:rsidRPr="00360FDF">
        <w:rPr>
          <w:rFonts w:ascii="Palatino Linotype" w:hAnsi="Palatino Linotype"/>
          <w:b/>
          <w:i/>
          <w:sz w:val="24"/>
          <w:szCs w:val="24"/>
          <w:lang w:val="es-ES_tradnl" w:eastAsia="es-ES"/>
        </w:rPr>
        <w:tab/>
        <w:t>El Acuerdo del Comité de Transparencia que clasifique, como información reservada, los expedientes del Órgano de Control Interno que se encuentren en la etapa de investigación que determina el artículo 98 de la Ley de Responsabilidades Administrativas del Estado de México y Municipios, hasta en tanto no inicie, en su caso, el procedimiento de responsabilidades administrativas. El Acuerdo deberá precisar el número de expedientes que se clasifiquen.</w:t>
      </w:r>
    </w:p>
    <w:p w14:paraId="63DF1124" w14:textId="77777777" w:rsidR="00D746D9" w:rsidRPr="00360FDF" w:rsidRDefault="00D746D9" w:rsidP="00D746D9">
      <w:pPr>
        <w:spacing w:before="240" w:after="240" w:line="360" w:lineRule="auto"/>
        <w:ind w:left="1134" w:right="1183"/>
        <w:contextualSpacing/>
        <w:jc w:val="both"/>
        <w:rPr>
          <w:rFonts w:ascii="Palatino Linotype" w:hAnsi="Palatino Linotype"/>
          <w:b/>
          <w:i/>
          <w:sz w:val="24"/>
          <w:szCs w:val="24"/>
          <w:lang w:val="es-ES_tradnl" w:eastAsia="es-ES"/>
        </w:rPr>
      </w:pPr>
    </w:p>
    <w:p w14:paraId="7FA180F8" w14:textId="77777777" w:rsidR="00D746D9" w:rsidRPr="00360FDF" w:rsidRDefault="00D746D9" w:rsidP="00D746D9">
      <w:pPr>
        <w:spacing w:before="240" w:after="240" w:line="360" w:lineRule="auto"/>
        <w:ind w:left="1134" w:right="1183"/>
        <w:contextualSpacing/>
        <w:jc w:val="both"/>
        <w:rPr>
          <w:rFonts w:ascii="Palatino Linotype" w:hAnsi="Palatino Linotype"/>
          <w:b/>
          <w:i/>
          <w:sz w:val="24"/>
          <w:szCs w:val="24"/>
          <w:lang w:val="es-ES_tradnl" w:eastAsia="es-ES"/>
        </w:rPr>
      </w:pPr>
      <w:r w:rsidRPr="00360FDF">
        <w:rPr>
          <w:rFonts w:ascii="Palatino Linotype" w:hAnsi="Palatino Linotype"/>
          <w:b/>
          <w:i/>
          <w:sz w:val="24"/>
          <w:szCs w:val="24"/>
          <w:lang w:val="es-ES_tradnl" w:eastAsia="es-ES"/>
        </w:rPr>
        <w:t>b)</w:t>
      </w:r>
      <w:r w:rsidRPr="00360FDF">
        <w:rPr>
          <w:rFonts w:ascii="Palatino Linotype" w:hAnsi="Palatino Linotype"/>
          <w:b/>
          <w:i/>
          <w:sz w:val="24"/>
          <w:szCs w:val="24"/>
          <w:lang w:val="es-ES_tradnl" w:eastAsia="es-ES"/>
        </w:rPr>
        <w:tab/>
        <w:t xml:space="preserve">La versión pública de los expedientes relacionados con responsabilidades administrativas no graves, que se encuentren en la etapa del procedimiento de responsabilidades administrativas, al haberse concluido la </w:t>
      </w:r>
      <w:r w:rsidRPr="00360FDF">
        <w:rPr>
          <w:rFonts w:ascii="Palatino Linotype" w:hAnsi="Palatino Linotype"/>
          <w:b/>
          <w:i/>
          <w:sz w:val="24"/>
          <w:szCs w:val="24"/>
          <w:lang w:val="es-ES_tradnl" w:eastAsia="es-ES"/>
        </w:rPr>
        <w:lastRenderedPageBreak/>
        <w:t>etapa de investigación y se haya emplazado formalmente al presunto responsable, en términos de la presente resolución.</w:t>
      </w:r>
    </w:p>
    <w:p w14:paraId="71DDA3B3" w14:textId="77777777" w:rsidR="00D746D9" w:rsidRPr="00360FDF" w:rsidRDefault="00D746D9" w:rsidP="00D746D9">
      <w:pPr>
        <w:spacing w:before="240" w:after="240" w:line="360" w:lineRule="auto"/>
        <w:ind w:left="1134" w:right="1183"/>
        <w:contextualSpacing/>
        <w:jc w:val="both"/>
        <w:rPr>
          <w:rFonts w:ascii="Palatino Linotype" w:hAnsi="Palatino Linotype"/>
          <w:b/>
          <w:i/>
          <w:sz w:val="24"/>
          <w:szCs w:val="24"/>
          <w:lang w:val="es-ES_tradnl" w:eastAsia="es-ES"/>
        </w:rPr>
      </w:pPr>
    </w:p>
    <w:p w14:paraId="5EDE02BC" w14:textId="77777777" w:rsidR="0061442B" w:rsidRPr="00360FDF" w:rsidRDefault="00D746D9" w:rsidP="00D746D9">
      <w:pPr>
        <w:spacing w:before="240" w:after="240" w:line="360" w:lineRule="auto"/>
        <w:ind w:left="1134" w:right="1183"/>
        <w:contextualSpacing/>
        <w:jc w:val="both"/>
        <w:rPr>
          <w:rFonts w:ascii="Palatino Linotype" w:hAnsi="Palatino Linotype"/>
          <w:b/>
          <w:i/>
          <w:sz w:val="24"/>
          <w:szCs w:val="24"/>
          <w:lang w:val="es-ES_tradnl" w:eastAsia="es-ES"/>
        </w:rPr>
      </w:pPr>
      <w:r w:rsidRPr="00360FDF">
        <w:rPr>
          <w:rFonts w:ascii="Palatino Linotype" w:hAnsi="Palatino Linotype"/>
          <w:b/>
          <w:i/>
          <w:sz w:val="24"/>
          <w:szCs w:val="24"/>
          <w:lang w:val="es-ES_tradnl" w:eastAsia="es-ES"/>
        </w:rPr>
        <w:t>c)</w:t>
      </w:r>
      <w:r w:rsidRPr="00360FDF">
        <w:rPr>
          <w:rFonts w:ascii="Palatino Linotype" w:hAnsi="Palatino Linotype"/>
          <w:b/>
          <w:i/>
          <w:sz w:val="24"/>
          <w:szCs w:val="24"/>
          <w:lang w:val="es-ES_tradnl" w:eastAsia="es-ES"/>
        </w:rPr>
        <w:tab/>
        <w:t>Los expedientes relacionados con responsabilidades administrativas graves, por corresponder a actos de corrupción, que se encuentren en la etapa del procedimiento de responsabilidades administrativas, al haberse concluido la etapa de investigación y se haya emplazado formalmente al presunto responsable. De ser procedente en versión pública en los términos de la presente resolución.</w:t>
      </w:r>
    </w:p>
    <w:p w14:paraId="061BD81E" w14:textId="77777777" w:rsidR="0061442B" w:rsidRPr="00360FDF"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753EA700" w14:textId="77777777" w:rsidR="00A26C04" w:rsidRPr="00360FDF" w:rsidRDefault="004C40B1" w:rsidP="004C40B1">
      <w:pPr>
        <w:pStyle w:val="Prrafodelista"/>
        <w:numPr>
          <w:ilvl w:val="0"/>
          <w:numId w:val="10"/>
        </w:numPr>
        <w:spacing w:before="240" w:after="240" w:line="360" w:lineRule="auto"/>
        <w:ind w:right="1183"/>
        <w:jc w:val="both"/>
        <w:rPr>
          <w:rFonts w:ascii="Palatino Linotype" w:hAnsi="Palatino Linotype"/>
          <w:b/>
          <w:i/>
          <w:sz w:val="24"/>
          <w:szCs w:val="24"/>
          <w:lang w:val="es-ES_tradnl" w:eastAsia="es-ES"/>
        </w:rPr>
      </w:pPr>
      <w:r w:rsidRPr="00360FDF">
        <w:rPr>
          <w:rFonts w:ascii="Palatino Linotype" w:hAnsi="Palatino Linotype"/>
          <w:b/>
          <w:i/>
          <w:noProof/>
          <w:sz w:val="24"/>
          <w:szCs w:val="24"/>
          <w:lang w:eastAsia="es-MX"/>
        </w:rPr>
        <mc:AlternateContent>
          <mc:Choice Requires="wps">
            <w:drawing>
              <wp:anchor distT="0" distB="0" distL="114300" distR="114300" simplePos="0" relativeHeight="251659264" behindDoc="0" locked="0" layoutInCell="1" allowOverlap="1" wp14:anchorId="5CE068A1" wp14:editId="281ACC72">
                <wp:simplePos x="0" y="0"/>
                <wp:positionH relativeFrom="column">
                  <wp:posOffset>120015</wp:posOffset>
                </wp:positionH>
                <wp:positionV relativeFrom="paragraph">
                  <wp:posOffset>1034415</wp:posOffset>
                </wp:positionV>
                <wp:extent cx="5353050" cy="26670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353050" cy="266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B8815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5pt,81.45pt" to="430.95pt,2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" strokecolor="black [3200]" strokeweight=".5pt">
                <v:stroke joinstyle="miter"/>
              </v:line>
            </w:pict>
          </mc:Fallback>
        </mc:AlternateContent>
      </w:r>
      <w:r w:rsidRPr="00360FDF">
        <w:rPr>
          <w:rFonts w:ascii="Palatino Linotype" w:hAnsi="Palatino Linotype"/>
          <w:b/>
          <w:i/>
          <w:sz w:val="24"/>
          <w:szCs w:val="24"/>
          <w:lang w:val="es-ES_tradnl" w:eastAsia="es-ES"/>
        </w:rPr>
        <w:t xml:space="preserve">De ser el caso, cualquier documento donde conste la terminación de la relación laboral </w:t>
      </w:r>
      <w:r w:rsidRPr="00360FDF">
        <w:rPr>
          <w:rFonts w:ascii="Palatino Linotype" w:hAnsi="Palatino Linotype"/>
          <w:b/>
          <w:i/>
          <w:sz w:val="24"/>
          <w:szCs w:val="24"/>
          <w:lang w:eastAsia="es-ES"/>
        </w:rPr>
        <w:t>de los servidores públicos referidos en la solicitud de información.</w:t>
      </w:r>
    </w:p>
    <w:p w14:paraId="7F999C5D" w14:textId="77777777" w:rsidR="0061442B" w:rsidRPr="00360FDF"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4310953E" w14:textId="77777777" w:rsidR="0061442B" w:rsidRPr="00360FDF"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6E3A564B" w14:textId="77777777" w:rsidR="0061442B" w:rsidRPr="00360FDF"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4F0D753B" w14:textId="77777777" w:rsidR="0061442B" w:rsidRPr="00360FDF"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5257272F" w14:textId="77777777" w:rsidR="0061442B" w:rsidRPr="00360FDF"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74870C3D" w14:textId="77777777" w:rsidR="0061442B" w:rsidRPr="00360FDF"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7BED7C03" w14:textId="77777777" w:rsidR="00AD495E" w:rsidRPr="00360FDF" w:rsidRDefault="00792776" w:rsidP="006946F4">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360FDF">
        <w:rPr>
          <w:rFonts w:ascii="Palatino Linotype" w:eastAsia="MS Mincho" w:hAnsi="Palatino Linotype" w:cs="Times New Roman"/>
          <w:b/>
          <w:sz w:val="24"/>
          <w:szCs w:val="24"/>
          <w:lang w:val="es-ES_tradnl" w:eastAsia="es-ES"/>
        </w:rPr>
        <w:lastRenderedPageBreak/>
        <w:t>LÍNEAS ARGUMENTATIVAS.</w:t>
      </w:r>
    </w:p>
    <w:p w14:paraId="60BB8908" w14:textId="77777777" w:rsidR="00127CC8" w:rsidRPr="00360FDF"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360FDF">
        <w:rPr>
          <w:rFonts w:ascii="Palatino Linotype" w:eastAsia="Arial Unicode MS" w:hAnsi="Palatino Linotype" w:cs="Arial"/>
          <w:b/>
          <w:sz w:val="24"/>
          <w:szCs w:val="24"/>
          <w:lang w:val="es-ES_tradnl" w:eastAsia="es-ES"/>
        </w:rPr>
        <w:t xml:space="preserve">DERECHO DE ACCESO A LA INFORMACIÓN PÚBLICA. </w:t>
      </w:r>
      <w:r w:rsidRPr="00360FDF">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14:paraId="1584E12F" w14:textId="77777777" w:rsidR="00E62DAF" w:rsidRPr="00360FDF"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25BF836B" w14:textId="77777777" w:rsidR="00127CC8" w:rsidRPr="00360FDF"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360FDF">
        <w:rPr>
          <w:rFonts w:ascii="Palatino Linotype" w:eastAsia="MS Mincho" w:hAnsi="Palatino Linotype" w:cs="Times New Roman"/>
          <w:b/>
          <w:sz w:val="24"/>
          <w:szCs w:val="24"/>
          <w:lang w:val="es-ES_tradnl" w:eastAsia="es-MX"/>
        </w:rPr>
        <w:t>RESPUESTAS IMPRECISAS O INCOMPLETAS, DEBER DE REPARACIÓN.</w:t>
      </w:r>
      <w:r w:rsidRPr="00360FDF">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F217451" w14:textId="77777777" w:rsidR="00127CC8" w:rsidRPr="00360FDF"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14:paraId="0178161B" w14:textId="77777777" w:rsidR="000219D0" w:rsidRPr="00360FDF" w:rsidRDefault="000219D0" w:rsidP="000219D0">
      <w:pPr>
        <w:tabs>
          <w:tab w:val="left" w:pos="567"/>
        </w:tabs>
        <w:spacing w:after="0" w:line="360" w:lineRule="auto"/>
        <w:jc w:val="both"/>
        <w:rPr>
          <w:rFonts w:ascii="Palatino Linotype" w:eastAsia="MS Mincho" w:hAnsi="Palatino Linotype" w:cs="Times New Roman"/>
          <w:sz w:val="24"/>
          <w:szCs w:val="24"/>
          <w:lang w:eastAsia="es-MX"/>
        </w:rPr>
      </w:pPr>
      <w:r w:rsidRPr="00360FDF">
        <w:rPr>
          <w:rFonts w:ascii="Palatino Linotype" w:eastAsia="MS Mincho" w:hAnsi="Palatino Linotype" w:cs="Times New Roman"/>
          <w:b/>
          <w:sz w:val="24"/>
          <w:szCs w:val="24"/>
          <w:lang w:eastAsia="es-MX"/>
        </w:rPr>
        <w:t>DOCUMENTOS GENERADOS POR LOS SUJETOS OBLIGADOS EN EJERCICIO DESUS ATRIBUCIONES, LA INFORMACIÓN PÚBLICA SE ENCUENTRA CONTENIDA ENLOS.</w:t>
      </w:r>
      <w:r w:rsidRPr="00360FDF">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w:t>
      </w:r>
      <w:r w:rsidRPr="00360FDF">
        <w:rPr>
          <w:rFonts w:ascii="Palatino Linotype" w:eastAsia="MS Mincho" w:hAnsi="Palatino Linotype" w:cs="Times New Roman"/>
          <w:sz w:val="24"/>
          <w:szCs w:val="24"/>
          <w:lang w:eastAsia="es-MX"/>
        </w:rPr>
        <w:lastRenderedPageBreak/>
        <w:t>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76F4B2A4" w14:textId="77777777" w:rsidR="0000021F" w:rsidRPr="00360FDF" w:rsidRDefault="0000021F" w:rsidP="0000021F">
      <w:pPr>
        <w:tabs>
          <w:tab w:val="left" w:pos="567"/>
        </w:tabs>
        <w:spacing w:after="0" w:line="360" w:lineRule="auto"/>
        <w:jc w:val="both"/>
        <w:rPr>
          <w:rFonts w:ascii="Palatino Linotype" w:eastAsia="MS Mincho" w:hAnsi="Palatino Linotype" w:cs="Times New Roman"/>
          <w:sz w:val="24"/>
          <w:szCs w:val="24"/>
          <w:lang w:val="es-ES_tradnl" w:eastAsia="es-MX"/>
        </w:rPr>
      </w:pPr>
    </w:p>
    <w:p w14:paraId="24763D8F" w14:textId="77777777" w:rsidR="0000021F" w:rsidRPr="00360FDF" w:rsidRDefault="0000021F" w:rsidP="0000021F">
      <w:pPr>
        <w:tabs>
          <w:tab w:val="left" w:pos="567"/>
        </w:tabs>
        <w:spacing w:after="0" w:line="360" w:lineRule="auto"/>
        <w:jc w:val="both"/>
        <w:rPr>
          <w:rFonts w:ascii="Palatino Linotype" w:eastAsia="MS Mincho" w:hAnsi="Palatino Linotype" w:cs="Times New Roman"/>
          <w:sz w:val="24"/>
          <w:szCs w:val="24"/>
          <w:lang w:eastAsia="es-MX"/>
        </w:rPr>
      </w:pPr>
      <w:r w:rsidRPr="00360FDF">
        <w:rPr>
          <w:rFonts w:ascii="Palatino Linotype" w:eastAsia="MS Mincho" w:hAnsi="Palatino Linotype" w:cs="Times New Roman"/>
          <w:b/>
          <w:sz w:val="24"/>
          <w:szCs w:val="24"/>
          <w:lang w:eastAsia="es-MX"/>
        </w:rPr>
        <w:t>VERSIONES PÚBLICAS, DE LA ELABORACIÓN DE LAS</w:t>
      </w:r>
      <w:r w:rsidRPr="00360FDF">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67245F41" w14:textId="77777777" w:rsidR="00006D7A" w:rsidRDefault="00006D7A" w:rsidP="009F4EB1">
      <w:pPr>
        <w:spacing w:line="360" w:lineRule="auto"/>
        <w:contextualSpacing/>
        <w:jc w:val="both"/>
        <w:rPr>
          <w:rFonts w:ascii="Palatino Linotype" w:hAnsi="Palatino Linotype" w:cs="Arial"/>
          <w:sz w:val="24"/>
          <w:szCs w:val="24"/>
        </w:rPr>
      </w:pPr>
    </w:p>
    <w:p w14:paraId="79672550" w14:textId="77777777" w:rsidR="00360FDF" w:rsidRDefault="00360FDF" w:rsidP="009F4EB1">
      <w:pPr>
        <w:spacing w:line="360" w:lineRule="auto"/>
        <w:contextualSpacing/>
        <w:jc w:val="both"/>
        <w:rPr>
          <w:rFonts w:ascii="Palatino Linotype" w:hAnsi="Palatino Linotype" w:cs="Arial"/>
          <w:sz w:val="24"/>
          <w:szCs w:val="24"/>
        </w:rPr>
      </w:pPr>
    </w:p>
    <w:p w14:paraId="050F7310" w14:textId="77777777" w:rsidR="00360FDF" w:rsidRPr="00360FDF" w:rsidRDefault="00360FDF" w:rsidP="009F4EB1">
      <w:pPr>
        <w:spacing w:line="360" w:lineRule="auto"/>
        <w:contextualSpacing/>
        <w:jc w:val="both"/>
        <w:rPr>
          <w:rFonts w:ascii="Palatino Linotype" w:hAnsi="Palatino Linotype" w:cs="Arial"/>
          <w:sz w:val="24"/>
          <w:szCs w:val="24"/>
        </w:rPr>
      </w:pPr>
    </w:p>
    <w:p w14:paraId="3CBDF02C" w14:textId="77777777" w:rsidR="00117F3A" w:rsidRPr="00360FDF" w:rsidRDefault="00117F3A" w:rsidP="009F4EB1">
      <w:pPr>
        <w:spacing w:line="360" w:lineRule="auto"/>
        <w:contextualSpacing/>
        <w:jc w:val="both"/>
        <w:rPr>
          <w:rFonts w:ascii="Palatino Linotype" w:hAnsi="Palatino Linotype" w:cs="Arial"/>
          <w:sz w:val="24"/>
          <w:szCs w:val="24"/>
        </w:rPr>
      </w:pPr>
    </w:p>
    <w:p w14:paraId="5DB3AD23" w14:textId="77777777" w:rsidR="00792776" w:rsidRPr="00360FDF" w:rsidRDefault="00550B9A" w:rsidP="00550B9A">
      <w:pPr>
        <w:tabs>
          <w:tab w:val="left" w:pos="0"/>
          <w:tab w:val="left" w:pos="3720"/>
          <w:tab w:val="center" w:pos="4419"/>
        </w:tabs>
        <w:spacing w:after="0" w:line="360" w:lineRule="auto"/>
        <w:rPr>
          <w:rFonts w:ascii="Palatino Linotype" w:eastAsia="MS Mincho" w:hAnsi="Palatino Linotype" w:cs="Times New Roman"/>
          <w:sz w:val="24"/>
          <w:szCs w:val="24"/>
          <w:lang w:val="es-ES_tradnl" w:eastAsia="es-ES"/>
        </w:rPr>
      </w:pPr>
      <w:r w:rsidRPr="00360FDF">
        <w:rPr>
          <w:rFonts w:ascii="Palatino Linotype" w:eastAsia="MS Mincho" w:hAnsi="Palatino Linotype" w:cs="Times New Roman"/>
          <w:b/>
          <w:sz w:val="24"/>
          <w:szCs w:val="24"/>
          <w:lang w:val="es-ES_tradnl" w:eastAsia="es-ES"/>
        </w:rPr>
        <w:lastRenderedPageBreak/>
        <w:tab/>
      </w:r>
      <w:r w:rsidRPr="00360FDF">
        <w:rPr>
          <w:rFonts w:ascii="Palatino Linotype" w:eastAsia="MS Mincho" w:hAnsi="Palatino Linotype" w:cs="Times New Roman"/>
          <w:b/>
          <w:sz w:val="24"/>
          <w:szCs w:val="24"/>
          <w:lang w:val="es-ES_tradnl" w:eastAsia="es-ES"/>
        </w:rPr>
        <w:tab/>
      </w:r>
      <w:r w:rsidR="00144D2C" w:rsidRPr="00360FDF">
        <w:rPr>
          <w:rFonts w:ascii="Palatino Linotype" w:eastAsia="MS Mincho" w:hAnsi="Palatino Linotype" w:cs="Times New Roman"/>
          <w:b/>
          <w:sz w:val="24"/>
          <w:szCs w:val="24"/>
          <w:lang w:val="es-ES_tradnl" w:eastAsia="es-ES"/>
        </w:rPr>
        <w:t>ÍNDICE</w:t>
      </w:r>
      <w:r w:rsidR="00144D2C" w:rsidRPr="00360FDF">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14:paraId="5105F9CC" w14:textId="77777777" w:rsidR="00792776" w:rsidRPr="00360FDF" w:rsidRDefault="00792776" w:rsidP="008B13FD">
          <w:pPr>
            <w:keepNext/>
            <w:keepLines/>
            <w:tabs>
              <w:tab w:val="left" w:pos="0"/>
            </w:tabs>
            <w:spacing w:after="0" w:line="276" w:lineRule="auto"/>
            <w:rPr>
              <w:rFonts w:ascii="Palatino Linotype" w:eastAsiaTheme="majorEastAsia" w:hAnsi="Palatino Linotype" w:cstheme="majorBidi"/>
              <w:b/>
              <w:sz w:val="24"/>
              <w:szCs w:val="24"/>
              <w:lang w:eastAsia="es-MX"/>
            </w:rPr>
          </w:pPr>
        </w:p>
        <w:p w14:paraId="6D4CD808" w14:textId="77777777" w:rsidR="003758BB" w:rsidRPr="00360FDF" w:rsidRDefault="00792776" w:rsidP="003758BB">
          <w:pPr>
            <w:pStyle w:val="TDC1"/>
            <w:spacing w:line="240" w:lineRule="auto"/>
            <w:rPr>
              <w:rFonts w:eastAsiaTheme="minorEastAsia"/>
              <w:noProof/>
              <w:sz w:val="20"/>
              <w:lang w:eastAsia="es-MX"/>
            </w:rPr>
          </w:pPr>
          <w:r w:rsidRPr="00360FDF">
            <w:rPr>
              <w:rFonts w:ascii="Palatino Linotype" w:hAnsi="Palatino Linotype"/>
              <w:sz w:val="24"/>
              <w:szCs w:val="24"/>
            </w:rPr>
            <w:fldChar w:fldCharType="begin"/>
          </w:r>
          <w:r w:rsidRPr="00360FDF">
            <w:rPr>
              <w:rFonts w:ascii="Palatino Linotype" w:hAnsi="Palatino Linotype"/>
              <w:sz w:val="24"/>
              <w:szCs w:val="24"/>
            </w:rPr>
            <w:instrText xml:space="preserve"> TOC \o "1-3" \h \z \u </w:instrText>
          </w:r>
          <w:r w:rsidRPr="00360FDF">
            <w:rPr>
              <w:rFonts w:ascii="Palatino Linotype" w:hAnsi="Palatino Linotype"/>
              <w:sz w:val="24"/>
              <w:szCs w:val="24"/>
            </w:rPr>
            <w:fldChar w:fldCharType="separate"/>
          </w:r>
          <w:hyperlink w:anchor="_Toc72499061" w:history="1">
            <w:r w:rsidR="003758BB" w:rsidRPr="00360FDF">
              <w:rPr>
                <w:rStyle w:val="Hipervnculo"/>
                <w:rFonts w:ascii="Palatino Linotype" w:eastAsia="MS Gothic" w:hAnsi="Palatino Linotype" w:cs="Times New Roman"/>
                <w:b/>
                <w:noProof/>
                <w:sz w:val="20"/>
              </w:rPr>
              <w:t>A N T E C E D E N T E S</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_Toc72499061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9</w:t>
            </w:r>
            <w:r w:rsidR="003758BB" w:rsidRPr="00360FDF">
              <w:rPr>
                <w:noProof/>
                <w:webHidden/>
                <w:sz w:val="20"/>
              </w:rPr>
              <w:fldChar w:fldCharType="end"/>
            </w:r>
          </w:hyperlink>
        </w:p>
        <w:p w14:paraId="38088B57" w14:textId="77777777" w:rsidR="003758BB" w:rsidRPr="00360FDF" w:rsidRDefault="00210BC7" w:rsidP="003758BB">
          <w:pPr>
            <w:pStyle w:val="TDC1"/>
            <w:spacing w:line="240" w:lineRule="auto"/>
            <w:rPr>
              <w:rFonts w:eastAsiaTheme="minorEastAsia"/>
              <w:noProof/>
              <w:sz w:val="20"/>
              <w:lang w:eastAsia="es-MX"/>
            </w:rPr>
          </w:pPr>
          <w:hyperlink w:anchor="_Toc72499062" w:history="1">
            <w:r w:rsidR="003758BB" w:rsidRPr="00360FDF">
              <w:rPr>
                <w:rStyle w:val="Hipervnculo"/>
                <w:rFonts w:ascii="Palatino Linotype" w:eastAsia="MS Gothic" w:hAnsi="Palatino Linotype" w:cs="Times New Roman"/>
                <w:b/>
                <w:noProof/>
                <w:sz w:val="20"/>
              </w:rPr>
              <w:t>CONSIDERANDO</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_Toc72499062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16</w:t>
            </w:r>
            <w:r w:rsidR="003758BB" w:rsidRPr="00360FDF">
              <w:rPr>
                <w:noProof/>
                <w:webHidden/>
                <w:sz w:val="20"/>
              </w:rPr>
              <w:fldChar w:fldCharType="end"/>
            </w:r>
          </w:hyperlink>
        </w:p>
        <w:p w14:paraId="3AD659C1" w14:textId="77777777" w:rsidR="003758BB" w:rsidRPr="00360FDF" w:rsidRDefault="00210BC7" w:rsidP="003758BB">
          <w:pPr>
            <w:pStyle w:val="TDC1"/>
            <w:spacing w:line="240" w:lineRule="auto"/>
            <w:rPr>
              <w:rFonts w:eastAsiaTheme="minorEastAsia"/>
              <w:noProof/>
              <w:sz w:val="20"/>
              <w:lang w:eastAsia="es-MX"/>
            </w:rPr>
          </w:pPr>
          <w:hyperlink w:anchor="_Toc72499063" w:history="1">
            <w:r w:rsidR="003758BB" w:rsidRPr="00360FDF">
              <w:rPr>
                <w:rStyle w:val="Hipervnculo"/>
                <w:rFonts w:ascii="Palatino Linotype" w:eastAsia="MS Mincho" w:hAnsi="Palatino Linotype" w:cstheme="majorBidi"/>
                <w:b/>
                <w:noProof/>
                <w:sz w:val="20"/>
                <w:lang w:val="es-ES_tradnl" w:eastAsia="es-ES"/>
              </w:rPr>
              <w:t>PRIMERO</w:t>
            </w:r>
            <w:r w:rsidR="003758BB" w:rsidRPr="00360FDF">
              <w:rPr>
                <w:rStyle w:val="Hipervnculo"/>
                <w:rFonts w:ascii="Palatino Linotype" w:eastAsia="MS Gothic" w:hAnsi="Palatino Linotype" w:cs="Times New Roman"/>
                <w:b/>
                <w:noProof/>
                <w:sz w:val="20"/>
              </w:rPr>
              <w:t>. De la competencia.</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_Toc72499063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16</w:t>
            </w:r>
            <w:r w:rsidR="003758BB" w:rsidRPr="00360FDF">
              <w:rPr>
                <w:noProof/>
                <w:webHidden/>
                <w:sz w:val="20"/>
              </w:rPr>
              <w:fldChar w:fldCharType="end"/>
            </w:r>
          </w:hyperlink>
        </w:p>
        <w:p w14:paraId="4C3E1016" w14:textId="77777777" w:rsidR="003758BB" w:rsidRPr="00360FDF" w:rsidRDefault="00210BC7" w:rsidP="003758BB">
          <w:pPr>
            <w:pStyle w:val="TDC1"/>
            <w:spacing w:line="240" w:lineRule="auto"/>
            <w:rPr>
              <w:rFonts w:eastAsiaTheme="minorEastAsia"/>
              <w:noProof/>
              <w:sz w:val="20"/>
              <w:lang w:eastAsia="es-MX"/>
            </w:rPr>
          </w:pPr>
          <w:hyperlink w:anchor="_Toc72499064" w:history="1">
            <w:r w:rsidR="003758BB" w:rsidRPr="00360FDF">
              <w:rPr>
                <w:rStyle w:val="Hipervnculo"/>
                <w:rFonts w:ascii="Palatino Linotype" w:eastAsia="MS Mincho" w:hAnsi="Palatino Linotype" w:cstheme="majorBidi"/>
                <w:b/>
                <w:noProof/>
                <w:sz w:val="20"/>
                <w:lang w:val="es-ES_tradnl" w:eastAsia="es-ES"/>
              </w:rPr>
              <w:t>SEGUNDO</w:t>
            </w:r>
            <w:r w:rsidR="003758BB" w:rsidRPr="00360FDF">
              <w:rPr>
                <w:rStyle w:val="Hipervnculo"/>
                <w:rFonts w:ascii="Palatino Linotype" w:eastAsia="MS Gothic" w:hAnsi="Palatino Linotype" w:cs="Times New Roman"/>
                <w:b/>
                <w:noProof/>
                <w:sz w:val="20"/>
              </w:rPr>
              <w:t>. De la oportunidad y procedibilidad del recurso de revisión.</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_Toc72499064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17</w:t>
            </w:r>
            <w:r w:rsidR="003758BB" w:rsidRPr="00360FDF">
              <w:rPr>
                <w:noProof/>
                <w:webHidden/>
                <w:sz w:val="20"/>
              </w:rPr>
              <w:fldChar w:fldCharType="end"/>
            </w:r>
          </w:hyperlink>
        </w:p>
        <w:p w14:paraId="03FC0712" w14:textId="77777777" w:rsidR="003758BB" w:rsidRPr="00360FDF" w:rsidRDefault="00210BC7" w:rsidP="003758BB">
          <w:pPr>
            <w:pStyle w:val="TDC1"/>
            <w:spacing w:line="240" w:lineRule="auto"/>
            <w:rPr>
              <w:rFonts w:eastAsiaTheme="minorEastAsia"/>
              <w:noProof/>
              <w:sz w:val="20"/>
              <w:lang w:eastAsia="es-MX"/>
            </w:rPr>
          </w:pPr>
          <w:hyperlink w:anchor="_Toc72499065" w:history="1">
            <w:r w:rsidR="003758BB" w:rsidRPr="00360FDF">
              <w:rPr>
                <w:rStyle w:val="Hipervnculo"/>
                <w:rFonts w:eastAsia="Times New Roman"/>
                <w:b/>
                <w:noProof/>
                <w:sz w:val="20"/>
                <w:lang w:eastAsia="es-ES"/>
              </w:rPr>
              <w:t>I. De la interposición del recurso.</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_Toc72499065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17</w:t>
            </w:r>
            <w:r w:rsidR="003758BB" w:rsidRPr="00360FDF">
              <w:rPr>
                <w:noProof/>
                <w:webHidden/>
                <w:sz w:val="20"/>
              </w:rPr>
              <w:fldChar w:fldCharType="end"/>
            </w:r>
          </w:hyperlink>
        </w:p>
        <w:p w14:paraId="76A7E04E" w14:textId="77777777" w:rsidR="003758BB" w:rsidRPr="00360FDF" w:rsidRDefault="00210BC7" w:rsidP="003758BB">
          <w:pPr>
            <w:pStyle w:val="TDC1"/>
            <w:spacing w:line="240" w:lineRule="auto"/>
            <w:rPr>
              <w:rFonts w:eastAsiaTheme="minorEastAsia"/>
              <w:noProof/>
              <w:sz w:val="20"/>
              <w:lang w:eastAsia="es-MX"/>
            </w:rPr>
          </w:pPr>
          <w:hyperlink w:anchor="_Toc72499066" w:history="1">
            <w:r w:rsidR="003758BB" w:rsidRPr="00360FDF">
              <w:rPr>
                <w:rStyle w:val="Hipervnculo"/>
                <w:rFonts w:eastAsia="Times New Roman"/>
                <w:b/>
                <w:noProof/>
                <w:sz w:val="20"/>
                <w:lang w:eastAsia="es-ES"/>
              </w:rPr>
              <w:t xml:space="preserve">II. </w:t>
            </w:r>
            <w:r w:rsidR="003758BB" w:rsidRPr="00360FDF">
              <w:rPr>
                <w:rStyle w:val="Hipervnculo"/>
                <w:rFonts w:eastAsia="Times New Roman"/>
                <w:noProof/>
                <w:sz w:val="20"/>
                <w:lang w:val="es-ES" w:eastAsia="es-ES"/>
              </w:rPr>
              <w:t xml:space="preserve"> </w:t>
            </w:r>
            <w:r w:rsidR="003758BB" w:rsidRPr="00360FDF">
              <w:rPr>
                <w:rStyle w:val="Hipervnculo"/>
                <w:rFonts w:eastAsia="Times New Roman"/>
                <w:b/>
                <w:noProof/>
                <w:sz w:val="20"/>
                <w:lang w:eastAsia="es-ES"/>
              </w:rPr>
              <w:t>. De la determinación sobre la procedibilidad del recurso.</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_Toc72499066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17</w:t>
            </w:r>
            <w:r w:rsidR="003758BB" w:rsidRPr="00360FDF">
              <w:rPr>
                <w:noProof/>
                <w:webHidden/>
                <w:sz w:val="20"/>
              </w:rPr>
              <w:fldChar w:fldCharType="end"/>
            </w:r>
          </w:hyperlink>
        </w:p>
        <w:p w14:paraId="2154F4F8" w14:textId="77777777" w:rsidR="003758BB" w:rsidRPr="00360FDF" w:rsidRDefault="00210BC7" w:rsidP="003758BB">
          <w:pPr>
            <w:pStyle w:val="TDC1"/>
            <w:spacing w:line="240" w:lineRule="auto"/>
            <w:rPr>
              <w:rFonts w:eastAsiaTheme="minorEastAsia"/>
              <w:noProof/>
              <w:sz w:val="20"/>
              <w:lang w:eastAsia="es-MX"/>
            </w:rPr>
          </w:pPr>
          <w:hyperlink w:anchor="_Toc72499067" w:history="1">
            <w:r w:rsidR="003758BB" w:rsidRPr="00360FDF">
              <w:rPr>
                <w:rStyle w:val="Hipervnculo"/>
                <w:rFonts w:ascii="Palatino Linotype" w:eastAsia="MS Mincho" w:hAnsi="Palatino Linotype"/>
                <w:b/>
                <w:noProof/>
                <w:sz w:val="20"/>
                <w:lang w:val="es-ES_tradnl" w:eastAsia="es-ES"/>
              </w:rPr>
              <w:t>TERCERO</w:t>
            </w:r>
            <w:r w:rsidR="003758BB" w:rsidRPr="00360FDF">
              <w:rPr>
                <w:rStyle w:val="Hipervnculo"/>
                <w:rFonts w:ascii="Palatino Linotype" w:eastAsia="MS Gothic" w:hAnsi="Palatino Linotype" w:cs="Times New Roman"/>
                <w:b/>
                <w:noProof/>
                <w:sz w:val="20"/>
              </w:rPr>
              <w:t xml:space="preserve">. </w:t>
            </w:r>
            <w:r w:rsidR="003758BB" w:rsidRPr="00360FDF">
              <w:rPr>
                <w:rStyle w:val="Hipervnculo"/>
                <w:rFonts w:ascii="Palatino Linotype" w:eastAsia="MS Gothic" w:hAnsi="Palatino Linotype" w:cstheme="majorBidi"/>
                <w:b/>
                <w:noProof/>
                <w:sz w:val="20"/>
                <w:lang w:val="es-ES_tradnl" w:eastAsia="es-ES"/>
              </w:rPr>
              <w:t>De previo y especial pronunciamiento.</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_Toc72499067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18</w:t>
            </w:r>
            <w:r w:rsidR="003758BB" w:rsidRPr="00360FDF">
              <w:rPr>
                <w:noProof/>
                <w:webHidden/>
                <w:sz w:val="20"/>
              </w:rPr>
              <w:fldChar w:fldCharType="end"/>
            </w:r>
          </w:hyperlink>
        </w:p>
        <w:p w14:paraId="53467F78" w14:textId="77777777" w:rsidR="003758BB" w:rsidRPr="00360FDF" w:rsidRDefault="00210BC7" w:rsidP="003758BB">
          <w:pPr>
            <w:pStyle w:val="TDC1"/>
            <w:spacing w:line="240" w:lineRule="auto"/>
            <w:rPr>
              <w:rFonts w:eastAsiaTheme="minorEastAsia"/>
              <w:noProof/>
              <w:sz w:val="20"/>
              <w:lang w:eastAsia="es-MX"/>
            </w:rPr>
          </w:pPr>
          <w:hyperlink w:anchor="_Toc72499068" w:history="1">
            <w:r w:rsidR="003758BB" w:rsidRPr="00360FDF">
              <w:rPr>
                <w:rStyle w:val="Hipervnculo"/>
                <w:rFonts w:ascii="Palatino Linotype" w:eastAsia="MS Gothic" w:hAnsi="Palatino Linotype" w:cstheme="majorBidi"/>
                <w:b/>
                <w:noProof/>
                <w:sz w:val="20"/>
                <w:lang w:val="es-ES_tradnl" w:eastAsia="es-ES"/>
              </w:rPr>
              <w:t>I. De la contingencia sanitaria.</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_Toc72499068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18</w:t>
            </w:r>
            <w:r w:rsidR="003758BB" w:rsidRPr="00360FDF">
              <w:rPr>
                <w:noProof/>
                <w:webHidden/>
                <w:sz w:val="20"/>
              </w:rPr>
              <w:fldChar w:fldCharType="end"/>
            </w:r>
          </w:hyperlink>
        </w:p>
        <w:p w14:paraId="52951355" w14:textId="77777777" w:rsidR="003758BB" w:rsidRPr="00360FDF" w:rsidRDefault="00210BC7" w:rsidP="003758BB">
          <w:pPr>
            <w:pStyle w:val="TDC1"/>
            <w:spacing w:line="240" w:lineRule="auto"/>
            <w:rPr>
              <w:rFonts w:eastAsiaTheme="minorEastAsia"/>
              <w:noProof/>
              <w:sz w:val="20"/>
              <w:lang w:eastAsia="es-MX"/>
            </w:rPr>
          </w:pPr>
          <w:hyperlink w:anchor="_Toc72499069" w:history="1">
            <w:r w:rsidR="003758BB" w:rsidRPr="00360FDF">
              <w:rPr>
                <w:rStyle w:val="Hipervnculo"/>
                <w:rFonts w:eastAsia="MS Mincho"/>
                <w:b/>
                <w:noProof/>
                <w:sz w:val="20"/>
                <w:lang w:val="es-ES_tradnl" w:eastAsia="es-ES"/>
              </w:rPr>
              <w:t>CUARTO</w:t>
            </w:r>
            <w:r w:rsidR="003758BB" w:rsidRPr="00360FDF">
              <w:rPr>
                <w:rStyle w:val="Hipervnculo"/>
                <w:rFonts w:eastAsia="MS Gothic" w:cs="Times New Roman"/>
                <w:b/>
                <w:noProof/>
                <w:sz w:val="20"/>
              </w:rPr>
              <w:t xml:space="preserve">. Del planteamiento de la </w:t>
            </w:r>
            <w:r w:rsidR="003758BB" w:rsidRPr="00360FDF">
              <w:rPr>
                <w:rStyle w:val="Hipervnculo"/>
                <w:rFonts w:eastAsia="MS Gothic" w:cs="Times New Roman"/>
                <w:b/>
                <w:i/>
                <w:noProof/>
                <w:sz w:val="20"/>
              </w:rPr>
              <w:t>Litis.</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_Toc72499069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24</w:t>
            </w:r>
            <w:r w:rsidR="003758BB" w:rsidRPr="00360FDF">
              <w:rPr>
                <w:noProof/>
                <w:webHidden/>
                <w:sz w:val="20"/>
              </w:rPr>
              <w:fldChar w:fldCharType="end"/>
            </w:r>
          </w:hyperlink>
        </w:p>
        <w:p w14:paraId="3C137D92" w14:textId="77777777" w:rsidR="003758BB" w:rsidRPr="00360FDF" w:rsidRDefault="00210BC7" w:rsidP="003758BB">
          <w:pPr>
            <w:pStyle w:val="TDC1"/>
            <w:spacing w:line="240" w:lineRule="auto"/>
            <w:rPr>
              <w:rFonts w:eastAsiaTheme="minorEastAsia"/>
              <w:noProof/>
              <w:sz w:val="20"/>
              <w:lang w:eastAsia="es-MX"/>
            </w:rPr>
          </w:pPr>
          <w:hyperlink w:anchor="_Toc72499070" w:history="1">
            <w:r w:rsidR="003758BB" w:rsidRPr="00360FDF">
              <w:rPr>
                <w:rStyle w:val="Hipervnculo"/>
                <w:rFonts w:ascii="Palatino Linotype" w:eastAsia="MS Gothic" w:hAnsi="Palatino Linotype" w:cstheme="majorBidi"/>
                <w:b/>
                <w:noProof/>
                <w:sz w:val="20"/>
                <w:lang w:val="es-ES_tradnl" w:eastAsia="es-ES"/>
              </w:rPr>
              <w:t>QUINTO. Del estudio y resolución del asunto.</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_Toc72499070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25</w:t>
            </w:r>
            <w:r w:rsidR="003758BB" w:rsidRPr="00360FDF">
              <w:rPr>
                <w:noProof/>
                <w:webHidden/>
                <w:sz w:val="20"/>
              </w:rPr>
              <w:fldChar w:fldCharType="end"/>
            </w:r>
          </w:hyperlink>
        </w:p>
        <w:p w14:paraId="52C50DC6" w14:textId="77777777" w:rsidR="003758BB" w:rsidRPr="00360FDF" w:rsidRDefault="00210BC7" w:rsidP="003758BB">
          <w:pPr>
            <w:pStyle w:val="TDC1"/>
            <w:spacing w:line="240" w:lineRule="auto"/>
            <w:rPr>
              <w:rFonts w:eastAsiaTheme="minorEastAsia"/>
              <w:noProof/>
              <w:sz w:val="20"/>
              <w:lang w:eastAsia="es-MX"/>
            </w:rPr>
          </w:pPr>
          <w:hyperlink w:anchor="_Toc72499071" w:history="1">
            <w:r w:rsidR="003758BB" w:rsidRPr="00360FDF">
              <w:rPr>
                <w:rStyle w:val="Hipervnculo"/>
                <w:rFonts w:eastAsia="MS Gothic"/>
                <w:b/>
                <w:noProof/>
                <w:sz w:val="20"/>
                <w:lang w:val="es-ES_tradnl" w:eastAsia="es-ES"/>
              </w:rPr>
              <w:t>I.</w:t>
            </w:r>
            <w:r w:rsidR="003758BB" w:rsidRPr="00360FDF">
              <w:rPr>
                <w:rFonts w:eastAsiaTheme="minorEastAsia"/>
                <w:noProof/>
                <w:sz w:val="20"/>
                <w:lang w:eastAsia="es-MX"/>
              </w:rPr>
              <w:tab/>
            </w:r>
            <w:r w:rsidR="003758BB" w:rsidRPr="00360FDF">
              <w:rPr>
                <w:rStyle w:val="Hipervnculo"/>
                <w:rFonts w:eastAsia="MS Gothic"/>
                <w:b/>
                <w:noProof/>
                <w:sz w:val="20"/>
                <w:lang w:val="es-ES_tradnl" w:eastAsia="es-ES"/>
              </w:rPr>
              <w:t>De la información solicitada.</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_Toc72499071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25</w:t>
            </w:r>
            <w:r w:rsidR="003758BB" w:rsidRPr="00360FDF">
              <w:rPr>
                <w:noProof/>
                <w:webHidden/>
                <w:sz w:val="20"/>
              </w:rPr>
              <w:fldChar w:fldCharType="end"/>
            </w:r>
          </w:hyperlink>
        </w:p>
        <w:p w14:paraId="6CAE468F" w14:textId="77777777" w:rsidR="003758BB" w:rsidRPr="00360FDF" w:rsidRDefault="00210BC7" w:rsidP="003758BB">
          <w:pPr>
            <w:pStyle w:val="TDC1"/>
            <w:spacing w:line="240" w:lineRule="auto"/>
            <w:rPr>
              <w:rFonts w:eastAsiaTheme="minorEastAsia"/>
              <w:noProof/>
              <w:sz w:val="20"/>
              <w:lang w:eastAsia="es-MX"/>
            </w:rPr>
          </w:pPr>
          <w:hyperlink w:anchor="_Toc72499072" w:history="1">
            <w:r w:rsidR="003758BB" w:rsidRPr="00360FDF">
              <w:rPr>
                <w:rStyle w:val="Hipervnculo"/>
                <w:rFonts w:ascii="Palatino Linotype" w:eastAsiaTheme="majorEastAsia" w:hAnsi="Palatino Linotype" w:cstheme="majorBidi"/>
                <w:b/>
                <w:noProof/>
                <w:sz w:val="20"/>
              </w:rPr>
              <w:t>II.</w:t>
            </w:r>
            <w:r w:rsidR="003758BB" w:rsidRPr="00360FDF">
              <w:rPr>
                <w:rFonts w:eastAsiaTheme="minorEastAsia"/>
                <w:noProof/>
                <w:sz w:val="20"/>
                <w:lang w:eastAsia="es-MX"/>
              </w:rPr>
              <w:tab/>
            </w:r>
            <w:r w:rsidR="003758BB" w:rsidRPr="00360FDF">
              <w:rPr>
                <w:rStyle w:val="Hipervnculo"/>
                <w:rFonts w:ascii="Palatino Linotype" w:eastAsiaTheme="majorEastAsia" w:hAnsi="Palatino Linotype" w:cstheme="majorBidi"/>
                <w:b/>
                <w:noProof/>
                <w:sz w:val="20"/>
              </w:rPr>
              <w:t>De la naturaleza de la información solicitada.</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_Toc72499072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27</w:t>
            </w:r>
            <w:r w:rsidR="003758BB" w:rsidRPr="00360FDF">
              <w:rPr>
                <w:noProof/>
                <w:webHidden/>
                <w:sz w:val="20"/>
              </w:rPr>
              <w:fldChar w:fldCharType="end"/>
            </w:r>
          </w:hyperlink>
        </w:p>
        <w:p w14:paraId="74D5CFC9" w14:textId="77777777" w:rsidR="003758BB" w:rsidRPr="00360FDF" w:rsidRDefault="00210BC7" w:rsidP="003758BB">
          <w:pPr>
            <w:pStyle w:val="TDC1"/>
            <w:spacing w:line="240" w:lineRule="auto"/>
            <w:rPr>
              <w:rFonts w:eastAsiaTheme="minorEastAsia"/>
              <w:noProof/>
              <w:sz w:val="20"/>
              <w:lang w:eastAsia="es-MX"/>
            </w:rPr>
          </w:pPr>
          <w:hyperlink w:anchor="_Toc72499073" w:history="1">
            <w:r w:rsidR="003758BB" w:rsidRPr="00360FDF">
              <w:rPr>
                <w:rStyle w:val="Hipervnculo"/>
                <w:b/>
                <w:noProof/>
                <w:sz w:val="20"/>
              </w:rPr>
              <w:t>III.</w:t>
            </w:r>
            <w:r w:rsidR="003758BB" w:rsidRPr="00360FDF">
              <w:rPr>
                <w:rFonts w:eastAsiaTheme="minorEastAsia"/>
                <w:noProof/>
                <w:sz w:val="20"/>
                <w:lang w:eastAsia="es-MX"/>
              </w:rPr>
              <w:tab/>
            </w:r>
            <w:r w:rsidR="003758BB" w:rsidRPr="00360FDF">
              <w:rPr>
                <w:rStyle w:val="Hipervnculo"/>
                <w:b/>
                <w:noProof/>
                <w:sz w:val="20"/>
              </w:rPr>
              <w:t>De la búsqueda exhaustiva.</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_Toc72499073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34</w:t>
            </w:r>
            <w:r w:rsidR="003758BB" w:rsidRPr="00360FDF">
              <w:rPr>
                <w:noProof/>
                <w:webHidden/>
                <w:sz w:val="20"/>
              </w:rPr>
              <w:fldChar w:fldCharType="end"/>
            </w:r>
          </w:hyperlink>
        </w:p>
        <w:p w14:paraId="49914B54" w14:textId="77777777" w:rsidR="003758BB" w:rsidRPr="00360FDF" w:rsidRDefault="00210BC7" w:rsidP="003758BB">
          <w:pPr>
            <w:pStyle w:val="TDC1"/>
            <w:spacing w:line="240" w:lineRule="auto"/>
            <w:rPr>
              <w:rFonts w:eastAsiaTheme="minorEastAsia"/>
              <w:noProof/>
              <w:sz w:val="20"/>
              <w:lang w:eastAsia="es-MX"/>
            </w:rPr>
          </w:pPr>
          <w:hyperlink w:anchor="_Toc72499074" w:history="1">
            <w:r w:rsidR="003758BB" w:rsidRPr="00360FDF">
              <w:rPr>
                <w:rStyle w:val="Hipervnculo"/>
                <w:rFonts w:eastAsia="Times New Roman"/>
                <w:b/>
                <w:noProof/>
                <w:sz w:val="20"/>
              </w:rPr>
              <w:t>IV.</w:t>
            </w:r>
            <w:r w:rsidR="003758BB" w:rsidRPr="00360FDF">
              <w:rPr>
                <w:rFonts w:eastAsiaTheme="minorEastAsia"/>
                <w:noProof/>
                <w:sz w:val="20"/>
                <w:lang w:eastAsia="es-MX"/>
              </w:rPr>
              <w:tab/>
            </w:r>
            <w:r w:rsidR="003758BB" w:rsidRPr="00360FDF">
              <w:rPr>
                <w:rStyle w:val="Hipervnculo"/>
                <w:rFonts w:eastAsia="Times New Roman"/>
                <w:b/>
                <w:noProof/>
                <w:sz w:val="20"/>
              </w:rPr>
              <w:t>Del Plus Petitio</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_Toc72499074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36</w:t>
            </w:r>
            <w:r w:rsidR="003758BB" w:rsidRPr="00360FDF">
              <w:rPr>
                <w:noProof/>
                <w:webHidden/>
                <w:sz w:val="20"/>
              </w:rPr>
              <w:fldChar w:fldCharType="end"/>
            </w:r>
          </w:hyperlink>
        </w:p>
        <w:p w14:paraId="6603B25A" w14:textId="77777777" w:rsidR="003758BB" w:rsidRPr="00360FDF" w:rsidRDefault="00210BC7" w:rsidP="003758BB">
          <w:pPr>
            <w:pStyle w:val="TDC1"/>
            <w:spacing w:line="240" w:lineRule="auto"/>
            <w:rPr>
              <w:rFonts w:eastAsiaTheme="minorEastAsia"/>
              <w:noProof/>
              <w:sz w:val="20"/>
              <w:lang w:eastAsia="es-MX"/>
            </w:rPr>
          </w:pPr>
          <w:hyperlink w:anchor="_Toc72499075" w:history="1">
            <w:r w:rsidR="003758BB" w:rsidRPr="00360FDF">
              <w:rPr>
                <w:rStyle w:val="Hipervnculo"/>
                <w:rFonts w:ascii="Palatino Linotype" w:eastAsia="MS Mincho" w:hAnsi="Palatino Linotype" w:cstheme="majorBidi"/>
                <w:b/>
                <w:noProof/>
                <w:sz w:val="20"/>
                <w:lang w:val="es-ES_tradnl" w:eastAsia="es-ES"/>
              </w:rPr>
              <w:t>V. De la Clasificación de la Información.</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_Toc72499075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39</w:t>
            </w:r>
            <w:r w:rsidR="003758BB" w:rsidRPr="00360FDF">
              <w:rPr>
                <w:noProof/>
                <w:webHidden/>
                <w:sz w:val="20"/>
              </w:rPr>
              <w:fldChar w:fldCharType="end"/>
            </w:r>
          </w:hyperlink>
        </w:p>
        <w:p w14:paraId="36DE028F" w14:textId="77777777" w:rsidR="003758BB" w:rsidRPr="00360FDF" w:rsidRDefault="00210BC7" w:rsidP="003758BB">
          <w:pPr>
            <w:pStyle w:val="TDC1"/>
            <w:spacing w:line="240" w:lineRule="auto"/>
            <w:rPr>
              <w:rFonts w:eastAsiaTheme="minorEastAsia"/>
              <w:noProof/>
              <w:sz w:val="20"/>
              <w:lang w:eastAsia="es-MX"/>
            </w:rPr>
          </w:pPr>
          <w:hyperlink w:anchor="_Toc72499076" w:history="1">
            <w:r w:rsidR="003758BB" w:rsidRPr="00360FDF">
              <w:rPr>
                <w:rStyle w:val="Hipervnculo"/>
                <w:rFonts w:ascii="Palatino Linotype" w:eastAsia="Calibri" w:hAnsi="Palatino Linotype" w:cstheme="majorBidi"/>
                <w:b/>
                <w:noProof/>
                <w:sz w:val="20"/>
                <w:lang w:val="es-ES_tradnl" w:eastAsia="es-ES"/>
              </w:rPr>
              <w:t>V.I. Condiciones especiales de la clasificación de la información como confidencial.</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_Toc72499076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39</w:t>
            </w:r>
            <w:r w:rsidR="003758BB" w:rsidRPr="00360FDF">
              <w:rPr>
                <w:noProof/>
                <w:webHidden/>
                <w:sz w:val="20"/>
              </w:rPr>
              <w:fldChar w:fldCharType="end"/>
            </w:r>
          </w:hyperlink>
        </w:p>
        <w:p w14:paraId="7E14F5F2" w14:textId="77777777" w:rsidR="003758BB" w:rsidRPr="00360FDF" w:rsidRDefault="00210BC7" w:rsidP="003758BB">
          <w:pPr>
            <w:pStyle w:val="TDC1"/>
            <w:spacing w:line="240" w:lineRule="auto"/>
            <w:rPr>
              <w:rFonts w:eastAsiaTheme="minorEastAsia"/>
              <w:noProof/>
              <w:sz w:val="20"/>
              <w:lang w:eastAsia="es-MX"/>
            </w:rPr>
          </w:pPr>
          <w:hyperlink w:anchor="_Toc72499077" w:history="1">
            <w:r w:rsidR="003758BB" w:rsidRPr="00360FDF">
              <w:rPr>
                <w:rStyle w:val="Hipervnculo"/>
                <w:rFonts w:ascii="Palatino Linotype" w:eastAsia="Calibri" w:hAnsi="Palatino Linotype" w:cstheme="majorBidi"/>
                <w:b/>
                <w:bCs/>
                <w:noProof/>
                <w:sz w:val="20"/>
                <w:lang w:val="es-ES_tradnl" w:eastAsia="es-ES"/>
              </w:rPr>
              <w:t>V.II. Condiciones especiales de la clasificación de la información como reservada.</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_Toc72499077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44</w:t>
            </w:r>
            <w:r w:rsidR="003758BB" w:rsidRPr="00360FDF">
              <w:rPr>
                <w:noProof/>
                <w:webHidden/>
                <w:sz w:val="20"/>
              </w:rPr>
              <w:fldChar w:fldCharType="end"/>
            </w:r>
          </w:hyperlink>
        </w:p>
        <w:p w14:paraId="052C487E" w14:textId="77777777" w:rsidR="003758BB" w:rsidRPr="00360FDF" w:rsidRDefault="00210BC7" w:rsidP="003758BB">
          <w:pPr>
            <w:pStyle w:val="TDC1"/>
            <w:spacing w:line="240" w:lineRule="auto"/>
            <w:rPr>
              <w:rFonts w:eastAsiaTheme="minorEastAsia"/>
              <w:noProof/>
              <w:sz w:val="20"/>
              <w:lang w:eastAsia="es-MX"/>
            </w:rPr>
          </w:pPr>
          <w:hyperlink w:anchor="_Toc72499078" w:history="1">
            <w:r w:rsidR="003758BB" w:rsidRPr="00360FDF">
              <w:rPr>
                <w:rStyle w:val="Hipervnculo"/>
                <w:rFonts w:ascii="Palatino Linotype" w:eastAsia="Calibri" w:hAnsi="Palatino Linotype" w:cstheme="majorBidi"/>
                <w:b/>
                <w:noProof/>
                <w:sz w:val="20"/>
                <w:lang w:val="es-ES_tradnl" w:eastAsia="es-ES"/>
              </w:rPr>
              <w:t>V.II.I De la prueba de daño.</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_Toc72499078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45</w:t>
            </w:r>
            <w:r w:rsidR="003758BB" w:rsidRPr="00360FDF">
              <w:rPr>
                <w:noProof/>
                <w:webHidden/>
                <w:sz w:val="20"/>
              </w:rPr>
              <w:fldChar w:fldCharType="end"/>
            </w:r>
          </w:hyperlink>
        </w:p>
        <w:p w14:paraId="0EE5BBC1" w14:textId="77777777" w:rsidR="003758BB" w:rsidRPr="00360FDF" w:rsidRDefault="00210BC7" w:rsidP="003758BB">
          <w:pPr>
            <w:pStyle w:val="TDC1"/>
            <w:spacing w:line="240" w:lineRule="auto"/>
            <w:rPr>
              <w:rFonts w:eastAsiaTheme="minorEastAsia"/>
              <w:noProof/>
              <w:sz w:val="20"/>
              <w:lang w:eastAsia="es-MX"/>
            </w:rPr>
          </w:pPr>
          <w:hyperlink w:anchor="_Toc72499079" w:history="1">
            <w:r w:rsidR="003758BB" w:rsidRPr="00360FDF">
              <w:rPr>
                <w:rStyle w:val="Hipervnculo"/>
                <w:rFonts w:ascii="Palatino Linotype" w:eastAsia="Calibri" w:hAnsi="Palatino Linotype" w:cstheme="majorBidi"/>
                <w:b/>
                <w:noProof/>
                <w:sz w:val="20"/>
                <w:lang w:val="es-ES_tradnl" w:eastAsia="es-ES"/>
              </w:rPr>
              <w:t>V.II.I.I Desarrollo de la prueba de daño.</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_Toc72499079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49</w:t>
            </w:r>
            <w:r w:rsidR="003758BB" w:rsidRPr="00360FDF">
              <w:rPr>
                <w:noProof/>
                <w:webHidden/>
                <w:sz w:val="20"/>
              </w:rPr>
              <w:fldChar w:fldCharType="end"/>
            </w:r>
          </w:hyperlink>
        </w:p>
        <w:p w14:paraId="1E609483" w14:textId="77777777" w:rsidR="003758BB" w:rsidRPr="00360FDF" w:rsidRDefault="00210BC7" w:rsidP="003758BB">
          <w:pPr>
            <w:pStyle w:val="TDC1"/>
            <w:spacing w:line="240" w:lineRule="auto"/>
            <w:rPr>
              <w:rFonts w:eastAsiaTheme="minorEastAsia"/>
              <w:noProof/>
              <w:sz w:val="20"/>
              <w:lang w:eastAsia="es-MX"/>
            </w:rPr>
          </w:pPr>
          <w:hyperlink w:anchor="_Toc72499080" w:history="1">
            <w:r w:rsidR="003758BB" w:rsidRPr="00360FDF">
              <w:rPr>
                <w:rStyle w:val="Hipervnculo"/>
                <w:rFonts w:ascii="Palatino Linotype" w:eastAsia="Calibri" w:hAnsi="Palatino Linotype" w:cstheme="majorBidi"/>
                <w:b/>
                <w:noProof/>
                <w:sz w:val="20"/>
                <w:lang w:val="es-ES_tradnl" w:eastAsia="es-ES"/>
              </w:rPr>
              <w:t>V.II.I.I.I La divulgación de la información representa un riesgo real, demostrable e identificable del perjuicio significativo al interés público o a la seguridad pública.</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_Toc72499080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52</w:t>
            </w:r>
            <w:r w:rsidR="003758BB" w:rsidRPr="00360FDF">
              <w:rPr>
                <w:noProof/>
                <w:webHidden/>
                <w:sz w:val="20"/>
              </w:rPr>
              <w:fldChar w:fldCharType="end"/>
            </w:r>
          </w:hyperlink>
        </w:p>
        <w:p w14:paraId="7A2E1E4F" w14:textId="77777777" w:rsidR="003758BB" w:rsidRPr="00360FDF" w:rsidRDefault="00210BC7" w:rsidP="003758BB">
          <w:pPr>
            <w:pStyle w:val="TDC1"/>
            <w:spacing w:line="240" w:lineRule="auto"/>
            <w:rPr>
              <w:rFonts w:eastAsiaTheme="minorEastAsia"/>
              <w:noProof/>
              <w:sz w:val="20"/>
              <w:lang w:eastAsia="es-MX"/>
            </w:rPr>
          </w:pPr>
          <w:hyperlink w:anchor="_Toc72499081" w:history="1">
            <w:r w:rsidR="003758BB" w:rsidRPr="00360FDF">
              <w:rPr>
                <w:rStyle w:val="Hipervnculo"/>
                <w:rFonts w:ascii="Palatino Linotype" w:eastAsia="Calibri" w:hAnsi="Palatino Linotype" w:cstheme="majorBidi"/>
                <w:b/>
                <w:noProof/>
                <w:sz w:val="20"/>
                <w:lang w:val="es-ES_tradnl" w:eastAsia="es-ES"/>
              </w:rPr>
              <w:t>V.II.I.I.II El riesgo de perjuicio que supondría la divulgación supera el interés público general de que se difunda.</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_Toc72499081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56</w:t>
            </w:r>
            <w:r w:rsidR="003758BB" w:rsidRPr="00360FDF">
              <w:rPr>
                <w:noProof/>
                <w:webHidden/>
                <w:sz w:val="20"/>
              </w:rPr>
              <w:fldChar w:fldCharType="end"/>
            </w:r>
          </w:hyperlink>
        </w:p>
        <w:p w14:paraId="564DA9CB" w14:textId="77777777" w:rsidR="003758BB" w:rsidRPr="00360FDF" w:rsidRDefault="00210BC7" w:rsidP="003758BB">
          <w:pPr>
            <w:pStyle w:val="TDC1"/>
            <w:spacing w:line="240" w:lineRule="auto"/>
            <w:rPr>
              <w:rFonts w:eastAsiaTheme="minorEastAsia"/>
              <w:noProof/>
              <w:sz w:val="20"/>
              <w:lang w:eastAsia="es-MX"/>
            </w:rPr>
          </w:pPr>
          <w:hyperlink w:anchor="_Toc72499082" w:history="1">
            <w:r w:rsidR="003758BB" w:rsidRPr="00360FDF">
              <w:rPr>
                <w:rStyle w:val="Hipervnculo"/>
                <w:rFonts w:ascii="Palatino Linotype" w:eastAsia="Calibri" w:hAnsi="Palatino Linotype" w:cstheme="majorBidi"/>
                <w:b/>
                <w:noProof/>
                <w:sz w:val="20"/>
                <w:lang w:val="es-ES_tradnl" w:eastAsia="es-ES"/>
              </w:rPr>
              <w:t>V.II.I.I.III. La protección se adecua al principio de proporcionalidad y representa el medio menos restrictivo disponible para evitar el perjuicio.</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_Toc72499082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58</w:t>
            </w:r>
            <w:r w:rsidR="003758BB" w:rsidRPr="00360FDF">
              <w:rPr>
                <w:noProof/>
                <w:webHidden/>
                <w:sz w:val="20"/>
              </w:rPr>
              <w:fldChar w:fldCharType="end"/>
            </w:r>
          </w:hyperlink>
        </w:p>
        <w:p w14:paraId="7C77BC91" w14:textId="77777777" w:rsidR="003758BB" w:rsidRPr="00360FDF" w:rsidRDefault="00210BC7" w:rsidP="003758BB">
          <w:pPr>
            <w:pStyle w:val="TDC1"/>
            <w:spacing w:line="240" w:lineRule="auto"/>
            <w:rPr>
              <w:rFonts w:eastAsiaTheme="minorEastAsia"/>
              <w:noProof/>
              <w:sz w:val="20"/>
              <w:lang w:eastAsia="es-MX"/>
            </w:rPr>
          </w:pPr>
          <w:hyperlink w:anchor="_Toc72499083" w:history="1">
            <w:r w:rsidR="003758BB" w:rsidRPr="00360FDF">
              <w:rPr>
                <w:rStyle w:val="Hipervnculo"/>
                <w:rFonts w:ascii="Palatino Linotype" w:eastAsia="Calibri" w:hAnsi="Palatino Linotype" w:cstheme="majorBidi"/>
                <w:b/>
                <w:noProof/>
                <w:sz w:val="20"/>
                <w:lang w:val="es-ES_tradnl" w:eastAsia="es-ES"/>
              </w:rPr>
              <w:t>a) Primer juicio: el de idoneidad.</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_Toc72499083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61</w:t>
            </w:r>
            <w:r w:rsidR="003758BB" w:rsidRPr="00360FDF">
              <w:rPr>
                <w:noProof/>
                <w:webHidden/>
                <w:sz w:val="20"/>
              </w:rPr>
              <w:fldChar w:fldCharType="end"/>
            </w:r>
          </w:hyperlink>
        </w:p>
        <w:p w14:paraId="1889EF21" w14:textId="77777777" w:rsidR="003758BB" w:rsidRPr="00360FDF" w:rsidRDefault="00210BC7" w:rsidP="003758BB">
          <w:pPr>
            <w:pStyle w:val="TDC1"/>
            <w:spacing w:line="240" w:lineRule="auto"/>
            <w:rPr>
              <w:rFonts w:eastAsiaTheme="minorEastAsia"/>
              <w:noProof/>
              <w:sz w:val="20"/>
              <w:lang w:eastAsia="es-MX"/>
            </w:rPr>
          </w:pPr>
          <w:hyperlink w:anchor="_Toc72499084" w:history="1">
            <w:r w:rsidR="003758BB" w:rsidRPr="00360FDF">
              <w:rPr>
                <w:rStyle w:val="Hipervnculo"/>
                <w:rFonts w:ascii="Palatino Linotype" w:eastAsia="Calibri" w:hAnsi="Palatino Linotype" w:cstheme="majorBidi"/>
                <w:b/>
                <w:noProof/>
                <w:sz w:val="20"/>
                <w:lang w:val="es-ES_tradnl" w:eastAsia="es-ES"/>
              </w:rPr>
              <w:t>b) Segundo juicio: el de necesidad.</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_Toc72499084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64</w:t>
            </w:r>
            <w:r w:rsidR="003758BB" w:rsidRPr="00360FDF">
              <w:rPr>
                <w:noProof/>
                <w:webHidden/>
                <w:sz w:val="20"/>
              </w:rPr>
              <w:fldChar w:fldCharType="end"/>
            </w:r>
          </w:hyperlink>
        </w:p>
        <w:p w14:paraId="7EA7808E" w14:textId="77777777" w:rsidR="003758BB" w:rsidRPr="00360FDF" w:rsidRDefault="00210BC7" w:rsidP="003758BB">
          <w:pPr>
            <w:pStyle w:val="TDC1"/>
            <w:spacing w:line="240" w:lineRule="auto"/>
            <w:rPr>
              <w:rFonts w:eastAsiaTheme="minorEastAsia"/>
              <w:noProof/>
              <w:sz w:val="20"/>
              <w:lang w:eastAsia="es-MX"/>
            </w:rPr>
          </w:pPr>
          <w:hyperlink w:anchor="_Toc72499085" w:history="1">
            <w:r w:rsidR="003758BB" w:rsidRPr="00360FDF">
              <w:rPr>
                <w:rStyle w:val="Hipervnculo"/>
                <w:rFonts w:ascii="Palatino Linotype" w:eastAsia="Calibri" w:hAnsi="Palatino Linotype" w:cstheme="majorBidi"/>
                <w:b/>
                <w:noProof/>
                <w:sz w:val="20"/>
                <w:lang w:val="es-ES_tradnl" w:eastAsia="es-ES"/>
              </w:rPr>
              <w:t>c) Tercer juicio: Estricta proporcionalidad.</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_Toc72499085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66</w:t>
            </w:r>
            <w:r w:rsidR="003758BB" w:rsidRPr="00360FDF">
              <w:rPr>
                <w:noProof/>
                <w:webHidden/>
                <w:sz w:val="20"/>
              </w:rPr>
              <w:fldChar w:fldCharType="end"/>
            </w:r>
          </w:hyperlink>
        </w:p>
        <w:p w14:paraId="7AFBB0EF" w14:textId="77777777" w:rsidR="003758BB" w:rsidRPr="00360FDF" w:rsidRDefault="00210BC7" w:rsidP="003758BB">
          <w:pPr>
            <w:pStyle w:val="TDC1"/>
            <w:spacing w:line="240" w:lineRule="auto"/>
            <w:rPr>
              <w:rFonts w:eastAsiaTheme="minorEastAsia"/>
              <w:noProof/>
              <w:sz w:val="20"/>
              <w:lang w:eastAsia="es-MX"/>
            </w:rPr>
          </w:pPr>
          <w:hyperlink w:anchor="_Toc72499086" w:history="1">
            <w:r w:rsidR="003758BB" w:rsidRPr="00360FDF">
              <w:rPr>
                <w:rStyle w:val="Hipervnculo"/>
                <w:rFonts w:ascii="Palatino Linotype" w:eastAsia="Calibri" w:hAnsi="Palatino Linotype" w:cstheme="majorBidi"/>
                <w:b/>
                <w:noProof/>
                <w:sz w:val="20"/>
                <w:lang w:val="es-ES_tradnl" w:eastAsia="es-ES"/>
              </w:rPr>
              <w:t>IV.II.II Excepciones.</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_Toc72499086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70</w:t>
            </w:r>
            <w:r w:rsidR="003758BB" w:rsidRPr="00360FDF">
              <w:rPr>
                <w:noProof/>
                <w:webHidden/>
                <w:sz w:val="20"/>
              </w:rPr>
              <w:fldChar w:fldCharType="end"/>
            </w:r>
          </w:hyperlink>
        </w:p>
        <w:p w14:paraId="24BFA9A7" w14:textId="77777777" w:rsidR="003758BB" w:rsidRPr="00360FDF" w:rsidRDefault="00210BC7" w:rsidP="003758BB">
          <w:pPr>
            <w:pStyle w:val="TDC1"/>
            <w:spacing w:line="240" w:lineRule="auto"/>
            <w:rPr>
              <w:rFonts w:eastAsiaTheme="minorEastAsia"/>
              <w:noProof/>
              <w:sz w:val="20"/>
              <w:lang w:eastAsia="es-MX"/>
            </w:rPr>
          </w:pPr>
          <w:hyperlink w:anchor="_Toc72499087" w:history="1">
            <w:r w:rsidR="003758BB" w:rsidRPr="00360FDF">
              <w:rPr>
                <w:rStyle w:val="Hipervnculo"/>
                <w:rFonts w:ascii="Palatino Linotype" w:eastAsiaTheme="majorEastAsia" w:hAnsi="Palatino Linotype" w:cstheme="majorBidi"/>
                <w:b/>
                <w:noProof/>
                <w:sz w:val="20"/>
              </w:rPr>
              <w:t>VI. Conclusión.</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_Toc72499087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77</w:t>
            </w:r>
            <w:r w:rsidR="003758BB" w:rsidRPr="00360FDF">
              <w:rPr>
                <w:noProof/>
                <w:webHidden/>
                <w:sz w:val="20"/>
              </w:rPr>
              <w:fldChar w:fldCharType="end"/>
            </w:r>
          </w:hyperlink>
        </w:p>
        <w:p w14:paraId="67DC23A3" w14:textId="77777777" w:rsidR="003758BB" w:rsidRPr="00360FDF" w:rsidRDefault="00210BC7" w:rsidP="003758BB">
          <w:pPr>
            <w:pStyle w:val="TDC1"/>
            <w:spacing w:line="240" w:lineRule="auto"/>
            <w:rPr>
              <w:rFonts w:eastAsiaTheme="minorEastAsia"/>
              <w:noProof/>
              <w:sz w:val="20"/>
              <w:lang w:eastAsia="es-MX"/>
            </w:rPr>
          </w:pPr>
          <w:hyperlink w:anchor="_Toc72499088" w:history="1">
            <w:r w:rsidR="003758BB" w:rsidRPr="00360FDF">
              <w:rPr>
                <w:rStyle w:val="Hipervnculo"/>
                <w:rFonts w:ascii="Palatino Linotype" w:eastAsia="Calibri" w:hAnsi="Palatino Linotype" w:cstheme="majorBidi"/>
                <w:b/>
                <w:noProof/>
                <w:sz w:val="20"/>
                <w:lang w:val="es-ES_tradnl" w:eastAsia="es-ES"/>
              </w:rPr>
              <w:t>VII. De la adecuada clasificación.</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_Toc72499088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79</w:t>
            </w:r>
            <w:r w:rsidR="003758BB" w:rsidRPr="00360FDF">
              <w:rPr>
                <w:noProof/>
                <w:webHidden/>
                <w:sz w:val="20"/>
              </w:rPr>
              <w:fldChar w:fldCharType="end"/>
            </w:r>
          </w:hyperlink>
        </w:p>
        <w:p w14:paraId="0350185C" w14:textId="77777777" w:rsidR="003758BB" w:rsidRPr="00360FDF" w:rsidRDefault="00210BC7" w:rsidP="003758BB">
          <w:pPr>
            <w:pStyle w:val="TDC2"/>
            <w:spacing w:line="240" w:lineRule="auto"/>
            <w:rPr>
              <w:rFonts w:eastAsiaTheme="minorEastAsia"/>
              <w:noProof/>
              <w:sz w:val="20"/>
              <w:lang w:eastAsia="es-MX"/>
            </w:rPr>
          </w:pPr>
          <w:hyperlink w:anchor="_Toc72499089" w:history="1">
            <w:r w:rsidR="003758BB" w:rsidRPr="00360FDF">
              <w:rPr>
                <w:rStyle w:val="Hipervnculo"/>
                <w:rFonts w:ascii="Palatino Linotype" w:eastAsia="MS Mincho" w:hAnsi="Palatino Linotype" w:cs="Times New Roman"/>
                <w:b/>
                <w:noProof/>
                <w:sz w:val="20"/>
                <w:lang w:val="es-ES_tradnl" w:eastAsia="es-ES"/>
              </w:rPr>
              <w:t>SEXTO. De la decisión.</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_Toc72499089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88</w:t>
            </w:r>
            <w:r w:rsidR="003758BB" w:rsidRPr="00360FDF">
              <w:rPr>
                <w:noProof/>
                <w:webHidden/>
                <w:sz w:val="20"/>
              </w:rPr>
              <w:fldChar w:fldCharType="end"/>
            </w:r>
          </w:hyperlink>
        </w:p>
        <w:p w14:paraId="32C3235E" w14:textId="77777777" w:rsidR="003758BB" w:rsidRPr="00360FDF" w:rsidRDefault="00210BC7" w:rsidP="003758BB">
          <w:pPr>
            <w:pStyle w:val="TDC1"/>
            <w:spacing w:line="240" w:lineRule="auto"/>
            <w:rPr>
              <w:rFonts w:eastAsiaTheme="minorEastAsia"/>
              <w:noProof/>
              <w:sz w:val="20"/>
              <w:lang w:eastAsia="es-MX"/>
            </w:rPr>
          </w:pPr>
          <w:hyperlink w:anchor="_Toc72499090" w:history="1">
            <w:r w:rsidR="003758BB" w:rsidRPr="00360FDF">
              <w:rPr>
                <w:rStyle w:val="Hipervnculo"/>
                <w:rFonts w:ascii="Palatino Linotype" w:eastAsia="Times New Roman" w:hAnsi="Palatino Linotype" w:cstheme="majorBidi"/>
                <w:b/>
                <w:noProof/>
                <w:sz w:val="20"/>
                <w:lang w:val="es-ES_tradnl" w:eastAsia="es-ES"/>
              </w:rPr>
              <w:t>R E S O L U T I V O S</w:t>
            </w:r>
            <w:r w:rsidR="003758BB" w:rsidRPr="00360FDF">
              <w:rPr>
                <w:noProof/>
                <w:webHidden/>
                <w:sz w:val="20"/>
              </w:rPr>
              <w:tab/>
            </w:r>
            <w:r w:rsidR="003758BB" w:rsidRPr="00360FDF">
              <w:rPr>
                <w:noProof/>
                <w:webHidden/>
                <w:sz w:val="20"/>
              </w:rPr>
              <w:fldChar w:fldCharType="begin"/>
            </w:r>
            <w:r w:rsidR="003758BB" w:rsidRPr="00360FDF">
              <w:rPr>
                <w:noProof/>
                <w:webHidden/>
                <w:sz w:val="20"/>
              </w:rPr>
              <w:instrText xml:space="preserve"> PAGEREF _Toc72499090 \h </w:instrText>
            </w:r>
            <w:r w:rsidR="003758BB" w:rsidRPr="00360FDF">
              <w:rPr>
                <w:noProof/>
                <w:webHidden/>
                <w:sz w:val="20"/>
              </w:rPr>
            </w:r>
            <w:r w:rsidR="003758BB" w:rsidRPr="00360FDF">
              <w:rPr>
                <w:noProof/>
                <w:webHidden/>
                <w:sz w:val="20"/>
              </w:rPr>
              <w:fldChar w:fldCharType="separate"/>
            </w:r>
            <w:r w:rsidR="003758BB" w:rsidRPr="00360FDF">
              <w:rPr>
                <w:noProof/>
                <w:webHidden/>
                <w:sz w:val="20"/>
              </w:rPr>
              <w:t>88</w:t>
            </w:r>
            <w:r w:rsidR="003758BB" w:rsidRPr="00360FDF">
              <w:rPr>
                <w:noProof/>
                <w:webHidden/>
                <w:sz w:val="20"/>
              </w:rPr>
              <w:fldChar w:fldCharType="end"/>
            </w:r>
          </w:hyperlink>
        </w:p>
        <w:p w14:paraId="03308B7F" w14:textId="77777777" w:rsidR="00E62DAF" w:rsidRPr="00360FDF" w:rsidRDefault="00792776" w:rsidP="008B13FD">
          <w:pPr>
            <w:tabs>
              <w:tab w:val="left" w:pos="0"/>
            </w:tabs>
            <w:spacing w:after="0" w:line="276" w:lineRule="auto"/>
            <w:rPr>
              <w:rFonts w:ascii="Palatino Linotype" w:hAnsi="Palatino Linotype"/>
              <w:b/>
              <w:bCs/>
              <w:sz w:val="24"/>
              <w:szCs w:val="24"/>
              <w:lang w:val="es-ES"/>
            </w:rPr>
          </w:pPr>
          <w:r w:rsidRPr="00360FDF">
            <w:rPr>
              <w:rFonts w:ascii="Palatino Linotype" w:hAnsi="Palatino Linotype"/>
              <w:b/>
              <w:bCs/>
              <w:sz w:val="24"/>
              <w:szCs w:val="24"/>
              <w:lang w:val="es-ES"/>
            </w:rPr>
            <w:fldChar w:fldCharType="end"/>
          </w:r>
        </w:p>
      </w:sdtContent>
    </w:sdt>
    <w:p w14:paraId="7864300B" w14:textId="77777777" w:rsidR="003F15B4" w:rsidRPr="00360FDF" w:rsidRDefault="00BB4D25" w:rsidP="009140C1">
      <w:pPr>
        <w:tabs>
          <w:tab w:val="left" w:pos="0"/>
        </w:tabs>
        <w:spacing w:after="0" w:line="360" w:lineRule="auto"/>
        <w:jc w:val="both"/>
        <w:rPr>
          <w:rFonts w:ascii="Palatino Linotype" w:eastAsia="MS Mincho" w:hAnsi="Palatino Linotype" w:cs="Times New Roman"/>
          <w:sz w:val="24"/>
          <w:szCs w:val="24"/>
          <w:lang w:val="es-ES_tradnl" w:eastAsia="es-ES"/>
        </w:rPr>
      </w:pPr>
      <w:r w:rsidRPr="00360FDF">
        <w:rPr>
          <w:rFonts w:ascii="Palatino Linotype" w:eastAsia="MS Mincho" w:hAnsi="Palatino Linotype" w:cs="Times New Roman"/>
          <w:sz w:val="24"/>
          <w:szCs w:val="24"/>
          <w:lang w:val="es-ES_tradnl" w:eastAsia="es-ES"/>
        </w:rPr>
        <w:lastRenderedPageBreak/>
        <w:t>Resolución del Pleno del Institu</w:t>
      </w:r>
      <w:r w:rsidR="00792776" w:rsidRPr="00360FDF">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360FDF">
        <w:rPr>
          <w:rFonts w:ascii="Palatino Linotype" w:eastAsia="MS Mincho" w:hAnsi="Palatino Linotype" w:cs="Times New Roman"/>
          <w:sz w:val="24"/>
          <w:szCs w:val="24"/>
          <w:lang w:val="es-ES_tradnl" w:eastAsia="es-ES"/>
        </w:rPr>
        <w:t xml:space="preserve"> fecha</w:t>
      </w:r>
      <w:r w:rsidR="001773E0" w:rsidRPr="00360FDF">
        <w:rPr>
          <w:rFonts w:ascii="Palatino Linotype" w:eastAsia="MS Mincho" w:hAnsi="Palatino Linotype" w:cs="Times New Roman"/>
          <w:sz w:val="24"/>
          <w:szCs w:val="24"/>
          <w:lang w:val="es-ES_tradnl" w:eastAsia="es-ES"/>
        </w:rPr>
        <w:t xml:space="preserve"> veintiséis (26</w:t>
      </w:r>
      <w:r w:rsidR="00746B47" w:rsidRPr="00360FDF">
        <w:rPr>
          <w:rFonts w:ascii="Palatino Linotype" w:eastAsia="MS Mincho" w:hAnsi="Palatino Linotype" w:cs="Times New Roman"/>
          <w:sz w:val="24"/>
          <w:szCs w:val="24"/>
          <w:lang w:val="es-ES_tradnl" w:eastAsia="es-ES"/>
        </w:rPr>
        <w:t>) de</w:t>
      </w:r>
      <w:r w:rsidR="001773E0" w:rsidRPr="00360FDF">
        <w:rPr>
          <w:rFonts w:ascii="Palatino Linotype" w:eastAsia="MS Mincho" w:hAnsi="Palatino Linotype" w:cs="Times New Roman"/>
          <w:sz w:val="24"/>
          <w:szCs w:val="24"/>
          <w:lang w:val="es-ES_tradnl" w:eastAsia="es-ES"/>
        </w:rPr>
        <w:t xml:space="preserve"> may</w:t>
      </w:r>
      <w:r w:rsidR="009140C1" w:rsidRPr="00360FDF">
        <w:rPr>
          <w:rFonts w:ascii="Palatino Linotype" w:eastAsia="MS Mincho" w:hAnsi="Palatino Linotype" w:cs="Times New Roman"/>
          <w:sz w:val="24"/>
          <w:szCs w:val="24"/>
          <w:lang w:val="es-ES_tradnl" w:eastAsia="es-ES"/>
        </w:rPr>
        <w:t xml:space="preserve">o de </w:t>
      </w:r>
      <w:r w:rsidR="00360FDF">
        <w:rPr>
          <w:rFonts w:ascii="Palatino Linotype" w:eastAsia="MS Mincho" w:hAnsi="Palatino Linotype" w:cs="Times New Roman"/>
          <w:sz w:val="24"/>
          <w:szCs w:val="24"/>
          <w:lang w:val="es-ES_tradnl" w:eastAsia="es-ES"/>
        </w:rPr>
        <w:t>dos mil veintiuno</w:t>
      </w:r>
      <w:r w:rsidR="009140C1" w:rsidRPr="00360FDF">
        <w:rPr>
          <w:rFonts w:ascii="Palatino Linotype" w:eastAsia="MS Mincho" w:hAnsi="Palatino Linotype" w:cs="Times New Roman"/>
          <w:sz w:val="24"/>
          <w:szCs w:val="24"/>
          <w:lang w:val="es-ES_tradnl" w:eastAsia="es-ES"/>
        </w:rPr>
        <w:t>.</w:t>
      </w:r>
    </w:p>
    <w:p w14:paraId="36941CF2" w14:textId="77777777" w:rsidR="009140C1" w:rsidRPr="00360FDF" w:rsidRDefault="009140C1" w:rsidP="009140C1">
      <w:pPr>
        <w:tabs>
          <w:tab w:val="left" w:pos="0"/>
        </w:tabs>
        <w:spacing w:after="0" w:line="360" w:lineRule="auto"/>
        <w:jc w:val="both"/>
        <w:rPr>
          <w:rFonts w:ascii="Palatino Linotype" w:eastAsia="MS Mincho" w:hAnsi="Palatino Linotype" w:cs="Times New Roman"/>
          <w:sz w:val="24"/>
          <w:szCs w:val="24"/>
          <w:lang w:val="es-ES_tradnl" w:eastAsia="es-ES"/>
        </w:rPr>
      </w:pPr>
    </w:p>
    <w:p w14:paraId="6B273F8F" w14:textId="77777777" w:rsidR="003F15B4" w:rsidRPr="00360FDF" w:rsidRDefault="003F15B4" w:rsidP="003F15B4">
      <w:pPr>
        <w:tabs>
          <w:tab w:val="left" w:pos="0"/>
        </w:tabs>
        <w:spacing w:after="0" w:line="360" w:lineRule="auto"/>
        <w:jc w:val="both"/>
        <w:rPr>
          <w:rFonts w:ascii="Palatino Linotype" w:eastAsia="MS Mincho" w:hAnsi="Palatino Linotype" w:cs="Times New Roman"/>
          <w:sz w:val="24"/>
          <w:szCs w:val="24"/>
          <w:lang w:val="es-ES_tradnl" w:eastAsia="es-ES"/>
        </w:rPr>
      </w:pPr>
      <w:r w:rsidRPr="00360FDF">
        <w:rPr>
          <w:rFonts w:ascii="Palatino Linotype" w:eastAsia="MS Mincho" w:hAnsi="Palatino Linotype" w:cs="Times New Roman"/>
          <w:b/>
          <w:sz w:val="24"/>
          <w:szCs w:val="24"/>
          <w:lang w:val="es-ES_tradnl" w:eastAsia="es-ES"/>
        </w:rPr>
        <w:t>VISTO</w:t>
      </w:r>
      <w:r w:rsidRPr="00360FDF">
        <w:rPr>
          <w:rFonts w:ascii="Palatino Linotype" w:eastAsia="MS Mincho" w:hAnsi="Palatino Linotype" w:cs="Times New Roman"/>
          <w:sz w:val="24"/>
          <w:szCs w:val="24"/>
          <w:lang w:val="es-ES_tradnl" w:eastAsia="es-ES"/>
        </w:rPr>
        <w:t xml:space="preserve"> el expediente electrónico formado con motivo del recurso de revisión </w:t>
      </w:r>
      <w:r w:rsidR="00076DE5" w:rsidRPr="00360FDF">
        <w:rPr>
          <w:rFonts w:ascii="Palatino Linotype" w:eastAsia="MS Mincho" w:hAnsi="Palatino Linotype" w:cs="Times New Roman"/>
          <w:b/>
          <w:bCs/>
          <w:sz w:val="24"/>
          <w:szCs w:val="24"/>
          <w:lang w:val="es-ES_tradnl" w:eastAsia="es-ES"/>
        </w:rPr>
        <w:t>01273</w:t>
      </w:r>
      <w:r w:rsidRPr="00360FDF">
        <w:rPr>
          <w:rFonts w:ascii="Palatino Linotype" w:eastAsia="MS Mincho" w:hAnsi="Palatino Linotype" w:cs="Times New Roman"/>
          <w:b/>
          <w:bCs/>
          <w:sz w:val="24"/>
          <w:szCs w:val="24"/>
          <w:lang w:val="es-ES_tradnl" w:eastAsia="es-ES"/>
        </w:rPr>
        <w:t xml:space="preserve">/INFOEM/IP/RR/2021, </w:t>
      </w:r>
      <w:r w:rsidRPr="00360FDF">
        <w:rPr>
          <w:rFonts w:ascii="Palatino Linotype" w:eastAsia="MS Mincho" w:hAnsi="Palatino Linotype" w:cs="Times New Roman"/>
          <w:sz w:val="24"/>
          <w:szCs w:val="24"/>
          <w:lang w:val="es-ES_tradnl" w:eastAsia="es-ES"/>
        </w:rPr>
        <w:t xml:space="preserve">promovido por </w:t>
      </w:r>
      <w:r w:rsidR="00A278DA" w:rsidRPr="00004AB5">
        <w:rPr>
          <w:rFonts w:ascii="Palatino Linotype" w:eastAsia="MS Mincho" w:hAnsi="Palatino Linotype" w:cs="Times New Roman"/>
          <w:b/>
          <w:sz w:val="24"/>
          <w:szCs w:val="24"/>
          <w:highlight w:val="black"/>
          <w:lang w:val="es-ES_tradnl" w:eastAsia="es-ES"/>
        </w:rPr>
        <w:t>---------------------------------------------</w:t>
      </w:r>
      <w:r w:rsidR="000559BA" w:rsidRPr="00360FDF">
        <w:rPr>
          <w:rFonts w:ascii="Palatino Linotype" w:eastAsia="MS Mincho" w:hAnsi="Palatino Linotype" w:cs="Times New Roman"/>
          <w:b/>
          <w:sz w:val="24"/>
          <w:szCs w:val="24"/>
          <w:lang w:val="es-ES_tradnl" w:eastAsia="es-ES"/>
        </w:rPr>
        <w:t xml:space="preserve"> </w:t>
      </w:r>
      <w:r w:rsidRPr="00360FDF">
        <w:rPr>
          <w:rFonts w:ascii="Palatino Linotype" w:eastAsia="MS Mincho" w:hAnsi="Palatino Linotype" w:cs="Times New Roman"/>
          <w:sz w:val="24"/>
          <w:szCs w:val="24"/>
          <w:lang w:val="es-ES_tradnl" w:eastAsia="es-ES"/>
        </w:rPr>
        <w:t xml:space="preserve">en su calidad de </w:t>
      </w:r>
      <w:r w:rsidRPr="00360FDF">
        <w:rPr>
          <w:rFonts w:ascii="Palatino Linotype" w:eastAsia="MS Mincho" w:hAnsi="Palatino Linotype" w:cs="Times New Roman"/>
          <w:b/>
          <w:sz w:val="24"/>
          <w:szCs w:val="24"/>
          <w:lang w:val="es-ES_tradnl" w:eastAsia="es-ES"/>
        </w:rPr>
        <w:t>RECURRENTE</w:t>
      </w:r>
      <w:r w:rsidRPr="00360FDF">
        <w:rPr>
          <w:rFonts w:ascii="Palatino Linotype" w:eastAsia="MS Mincho" w:hAnsi="Palatino Linotype" w:cs="Times New Roman"/>
          <w:sz w:val="24"/>
          <w:szCs w:val="24"/>
          <w:lang w:val="es-ES_tradnl" w:eastAsia="es-ES"/>
        </w:rPr>
        <w:t xml:space="preserve">, en contra de la respuesta del </w:t>
      </w:r>
      <w:r w:rsidR="00076DE5" w:rsidRPr="00360FDF">
        <w:rPr>
          <w:rFonts w:ascii="Palatino Linotype" w:eastAsia="MS Mincho" w:hAnsi="Palatino Linotype" w:cs="Times New Roman"/>
          <w:b/>
          <w:sz w:val="24"/>
          <w:szCs w:val="24"/>
          <w:lang w:val="es-ES_tradnl" w:eastAsia="es-ES"/>
        </w:rPr>
        <w:t xml:space="preserve">Instituto de Salud del Estado de México </w:t>
      </w:r>
      <w:r w:rsidRPr="00360FDF">
        <w:rPr>
          <w:rFonts w:ascii="Palatino Linotype" w:eastAsia="MS Mincho" w:hAnsi="Palatino Linotype" w:cs="Times New Roman"/>
          <w:sz w:val="24"/>
          <w:szCs w:val="24"/>
          <w:lang w:val="es-ES_tradnl" w:eastAsia="es-ES"/>
        </w:rPr>
        <w:t>en lo sucesivo el</w:t>
      </w:r>
      <w:r w:rsidRPr="00360FDF">
        <w:rPr>
          <w:rFonts w:ascii="Palatino Linotype" w:eastAsia="MS Mincho" w:hAnsi="Palatino Linotype" w:cs="Times New Roman"/>
          <w:b/>
          <w:sz w:val="24"/>
          <w:szCs w:val="24"/>
          <w:lang w:val="es-ES_tradnl" w:eastAsia="es-ES"/>
        </w:rPr>
        <w:t xml:space="preserve"> SUJETO OBLIGADO, </w:t>
      </w:r>
      <w:r w:rsidRPr="00360FDF">
        <w:rPr>
          <w:rFonts w:ascii="Palatino Linotype" w:eastAsia="MS Mincho" w:hAnsi="Palatino Linotype" w:cs="Times New Roman"/>
          <w:sz w:val="24"/>
          <w:szCs w:val="24"/>
          <w:lang w:val="es-ES_tradnl" w:eastAsia="es-ES"/>
        </w:rPr>
        <w:t xml:space="preserve">se procede a dictar la presente resolución, con base en los siguientes: </w:t>
      </w:r>
    </w:p>
    <w:p w14:paraId="5BBE545F" w14:textId="77777777" w:rsidR="003F15B4" w:rsidRPr="00360FDF" w:rsidRDefault="003F15B4" w:rsidP="00DF32AA">
      <w:pPr>
        <w:keepNext/>
        <w:keepLines/>
        <w:tabs>
          <w:tab w:val="left" w:pos="0"/>
        </w:tabs>
        <w:spacing w:after="0" w:line="360" w:lineRule="auto"/>
        <w:jc w:val="center"/>
        <w:outlineLvl w:val="0"/>
        <w:rPr>
          <w:rFonts w:ascii="Palatino Linotype" w:eastAsia="Times New Roman" w:hAnsi="Palatino Linotype" w:cs="Times New Roman"/>
          <w:b/>
          <w:sz w:val="24"/>
          <w:szCs w:val="24"/>
          <w:lang w:val="es-ES_tradnl" w:eastAsia="es-ES"/>
        </w:rPr>
      </w:pPr>
    </w:p>
    <w:p w14:paraId="2FB7B16E" w14:textId="77777777" w:rsidR="00792776" w:rsidRPr="00360FDF"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72499061"/>
      <w:r w:rsidRPr="00360FDF">
        <w:rPr>
          <w:rFonts w:ascii="Palatino Linotype" w:eastAsia="MS Gothic" w:hAnsi="Palatino Linotype" w:cs="Times New Roman"/>
          <w:b/>
          <w:sz w:val="24"/>
          <w:szCs w:val="24"/>
        </w:rPr>
        <w:t>A N T E C E D E N T E S</w:t>
      </w:r>
      <w:bookmarkEnd w:id="0"/>
    </w:p>
    <w:p w14:paraId="351E9889" w14:textId="77777777" w:rsidR="00792776" w:rsidRPr="00360FDF" w:rsidRDefault="00792776" w:rsidP="00DF32AA">
      <w:pPr>
        <w:tabs>
          <w:tab w:val="left" w:pos="0"/>
        </w:tabs>
        <w:spacing w:after="0" w:line="360" w:lineRule="auto"/>
        <w:rPr>
          <w:rFonts w:ascii="Palatino Linotype" w:hAnsi="Palatino Linotype"/>
          <w:sz w:val="24"/>
          <w:szCs w:val="24"/>
        </w:rPr>
      </w:pPr>
    </w:p>
    <w:p w14:paraId="71CE95DC" w14:textId="77777777" w:rsidR="00792776" w:rsidRPr="00360FDF" w:rsidRDefault="00792776" w:rsidP="00837C63">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360FDF">
        <w:rPr>
          <w:rFonts w:ascii="Palatino Linotype" w:eastAsia="Calibri" w:hAnsi="Palatino Linotype" w:cs="Arial"/>
          <w:sz w:val="24"/>
          <w:szCs w:val="24"/>
          <w:lang w:val="es-ES" w:eastAsia="es-ES"/>
        </w:rPr>
        <w:t>El día</w:t>
      </w:r>
      <w:r w:rsidR="00117F3A" w:rsidRPr="00360FDF">
        <w:rPr>
          <w:rFonts w:ascii="Palatino Linotype" w:eastAsia="Calibri" w:hAnsi="Palatino Linotype" w:cs="Arial"/>
          <w:sz w:val="24"/>
          <w:szCs w:val="24"/>
          <w:lang w:val="es-ES" w:eastAsia="es-ES"/>
        </w:rPr>
        <w:t xml:space="preserve"> veintiuno (21</w:t>
      </w:r>
      <w:r w:rsidR="00273A03" w:rsidRPr="00360FDF">
        <w:rPr>
          <w:rFonts w:ascii="Palatino Linotype" w:eastAsia="Times New Roman" w:hAnsi="Palatino Linotype" w:cs="Arial"/>
          <w:sz w:val="24"/>
          <w:szCs w:val="24"/>
          <w:lang w:val="es-ES" w:eastAsia="es-ES"/>
        </w:rPr>
        <w:t>) de</w:t>
      </w:r>
      <w:r w:rsidR="00076DE5" w:rsidRPr="00360FDF">
        <w:rPr>
          <w:rFonts w:ascii="Palatino Linotype" w:eastAsia="Times New Roman" w:hAnsi="Palatino Linotype" w:cs="Arial"/>
          <w:sz w:val="24"/>
          <w:szCs w:val="24"/>
          <w:lang w:val="es-ES" w:eastAsia="es-ES"/>
        </w:rPr>
        <w:t xml:space="preserve"> febrero </w:t>
      </w:r>
      <w:r w:rsidR="00F14552" w:rsidRPr="00360FDF">
        <w:rPr>
          <w:rFonts w:ascii="Palatino Linotype" w:eastAsia="Times New Roman" w:hAnsi="Palatino Linotype" w:cs="Arial"/>
          <w:sz w:val="24"/>
          <w:szCs w:val="24"/>
          <w:lang w:val="es-ES" w:eastAsia="es-ES"/>
        </w:rPr>
        <w:t>de dos mil</w:t>
      </w:r>
      <w:r w:rsidR="00076DE5" w:rsidRPr="00360FDF">
        <w:rPr>
          <w:rFonts w:ascii="Palatino Linotype" w:eastAsia="Times New Roman" w:hAnsi="Palatino Linotype" w:cs="Arial"/>
          <w:sz w:val="24"/>
          <w:szCs w:val="24"/>
          <w:lang w:val="es-ES" w:eastAsia="es-ES"/>
        </w:rPr>
        <w:t xml:space="preserve"> veintiuno</w:t>
      </w:r>
      <w:r w:rsidRPr="00360FDF">
        <w:rPr>
          <w:rFonts w:ascii="Palatino Linotype" w:eastAsia="Calibri" w:hAnsi="Palatino Linotype" w:cs="Arial"/>
          <w:sz w:val="24"/>
          <w:szCs w:val="24"/>
          <w:lang w:val="es-ES" w:eastAsia="es-ES"/>
        </w:rPr>
        <w:t>,</w:t>
      </w:r>
      <w:r w:rsidRPr="00360FDF">
        <w:rPr>
          <w:rFonts w:ascii="Palatino Linotype" w:eastAsia="Calibri" w:hAnsi="Palatino Linotype" w:cs="Times New Roman"/>
          <w:sz w:val="24"/>
          <w:szCs w:val="24"/>
          <w:lang w:val="es-ES" w:eastAsia="es-ES"/>
        </w:rPr>
        <w:t xml:space="preserve"> se presentó </w:t>
      </w:r>
      <w:r w:rsidRPr="00360FDF">
        <w:rPr>
          <w:rFonts w:ascii="Palatino Linotype" w:eastAsia="Calibri" w:hAnsi="Palatino Linotype" w:cs="Arial"/>
          <w:sz w:val="24"/>
          <w:szCs w:val="24"/>
          <w:lang w:val="es-ES" w:eastAsia="es-ES"/>
        </w:rPr>
        <w:t>ante el</w:t>
      </w:r>
      <w:r w:rsidR="00510293" w:rsidRPr="00360FDF">
        <w:rPr>
          <w:rFonts w:ascii="Palatino Linotype" w:eastAsia="Calibri" w:hAnsi="Palatino Linotype" w:cs="Arial"/>
          <w:sz w:val="24"/>
          <w:szCs w:val="24"/>
          <w:lang w:val="es-ES" w:eastAsia="es-ES"/>
        </w:rPr>
        <w:t xml:space="preserve"> </w:t>
      </w:r>
      <w:r w:rsidR="00510293" w:rsidRPr="00360FDF">
        <w:rPr>
          <w:rFonts w:ascii="Palatino Linotype" w:eastAsia="Calibri" w:hAnsi="Palatino Linotype" w:cs="Arial"/>
          <w:b/>
          <w:sz w:val="24"/>
          <w:szCs w:val="24"/>
          <w:lang w:val="es-ES" w:eastAsia="es-ES"/>
        </w:rPr>
        <w:t>SUJETO OBLIGADO</w:t>
      </w:r>
      <w:r w:rsidR="005A608C" w:rsidRPr="00360FDF">
        <w:rPr>
          <w:rFonts w:ascii="Palatino Linotype" w:eastAsia="Calibri" w:hAnsi="Palatino Linotype" w:cs="Arial"/>
          <w:sz w:val="24"/>
          <w:szCs w:val="24"/>
          <w:lang w:val="es-ES_tradnl" w:eastAsia="es-ES"/>
        </w:rPr>
        <w:t xml:space="preserve"> </w:t>
      </w:r>
      <w:r w:rsidRPr="00360FDF">
        <w:rPr>
          <w:rFonts w:ascii="Palatino Linotype" w:eastAsia="Calibri" w:hAnsi="Palatino Linotype" w:cs="Arial"/>
          <w:sz w:val="24"/>
          <w:szCs w:val="24"/>
          <w:lang w:val="es-ES_tradnl" w:eastAsia="es-ES"/>
        </w:rPr>
        <w:t xml:space="preserve">vía </w:t>
      </w:r>
      <w:r w:rsidRPr="00360FDF">
        <w:rPr>
          <w:rFonts w:ascii="Palatino Linotype" w:eastAsia="Calibri" w:hAnsi="Palatino Linotype" w:cs="Arial"/>
          <w:sz w:val="24"/>
          <w:szCs w:val="24"/>
          <w:lang w:val="es-ES" w:eastAsia="es-ES"/>
        </w:rPr>
        <w:t xml:space="preserve">Sistema de Acceso a la Información Mexiquense </w:t>
      </w:r>
      <w:r w:rsidRPr="00360FDF">
        <w:rPr>
          <w:rFonts w:ascii="Palatino Linotype" w:eastAsia="Calibri" w:hAnsi="Palatino Linotype" w:cs="Arial"/>
          <w:b/>
          <w:sz w:val="24"/>
          <w:szCs w:val="24"/>
          <w:lang w:val="es-ES" w:eastAsia="es-ES"/>
        </w:rPr>
        <w:t>SAIMEX</w:t>
      </w:r>
      <w:r w:rsidRPr="00360FDF">
        <w:rPr>
          <w:rFonts w:ascii="Palatino Linotype" w:eastAsia="Calibri" w:hAnsi="Palatino Linotype" w:cs="Arial"/>
          <w:sz w:val="24"/>
          <w:szCs w:val="24"/>
          <w:lang w:val="es-ES" w:eastAsia="es-ES"/>
        </w:rPr>
        <w:t xml:space="preserve">, la solicitud de información pública registrada con </w:t>
      </w:r>
      <w:r w:rsidR="00D91B82" w:rsidRPr="00360FDF">
        <w:rPr>
          <w:rFonts w:ascii="Palatino Linotype" w:eastAsia="Calibri" w:hAnsi="Palatino Linotype" w:cs="Arial"/>
          <w:sz w:val="24"/>
          <w:szCs w:val="24"/>
          <w:lang w:val="es-ES" w:eastAsia="es-ES"/>
        </w:rPr>
        <w:t>el</w:t>
      </w:r>
      <w:r w:rsidRPr="00360FDF">
        <w:rPr>
          <w:rFonts w:ascii="Palatino Linotype" w:eastAsia="Calibri" w:hAnsi="Palatino Linotype" w:cs="Arial"/>
          <w:sz w:val="24"/>
          <w:szCs w:val="24"/>
          <w:lang w:val="es-ES" w:eastAsia="es-ES"/>
        </w:rPr>
        <w:t xml:space="preserve"> </w:t>
      </w:r>
      <w:proofErr w:type="gramStart"/>
      <w:r w:rsidRPr="00360FDF">
        <w:rPr>
          <w:rFonts w:ascii="Palatino Linotype" w:eastAsia="Calibri" w:hAnsi="Palatino Linotype" w:cs="Arial"/>
          <w:sz w:val="24"/>
          <w:szCs w:val="24"/>
          <w:lang w:val="es-ES" w:eastAsia="es-ES"/>
        </w:rPr>
        <w:t>número</w:t>
      </w:r>
      <w:r w:rsidR="00EE377F" w:rsidRPr="00360FDF">
        <w:rPr>
          <w:rFonts w:ascii="Palatino Linotype" w:hAnsi="Palatino Linotype"/>
          <w:b/>
          <w:bCs/>
          <w:color w:val="FF0000"/>
          <w:sz w:val="24"/>
          <w:szCs w:val="24"/>
        </w:rPr>
        <w:t xml:space="preserve"> </w:t>
      </w:r>
      <w:r w:rsidR="00076DE5" w:rsidRPr="00360FDF">
        <w:rPr>
          <w:rFonts w:ascii="Palatino Linotype" w:hAnsi="Palatino Linotype"/>
          <w:b/>
          <w:bCs/>
          <w:color w:val="FF0000"/>
          <w:sz w:val="24"/>
          <w:szCs w:val="24"/>
        </w:rPr>
        <w:t> </w:t>
      </w:r>
      <w:r w:rsidR="00076DE5" w:rsidRPr="00360FDF">
        <w:rPr>
          <w:rFonts w:ascii="Palatino Linotype" w:hAnsi="Palatino Linotype"/>
          <w:b/>
          <w:bCs/>
          <w:color w:val="000000" w:themeColor="text1"/>
          <w:sz w:val="24"/>
          <w:szCs w:val="24"/>
        </w:rPr>
        <w:t>00112</w:t>
      </w:r>
      <w:proofErr w:type="gramEnd"/>
      <w:r w:rsidR="00076DE5" w:rsidRPr="00360FDF">
        <w:rPr>
          <w:rFonts w:ascii="Palatino Linotype" w:hAnsi="Palatino Linotype"/>
          <w:b/>
          <w:bCs/>
          <w:color w:val="000000" w:themeColor="text1"/>
          <w:sz w:val="24"/>
          <w:szCs w:val="24"/>
        </w:rPr>
        <w:t xml:space="preserve">/ISEM/IP/2021 </w:t>
      </w:r>
      <w:r w:rsidRPr="00360FDF">
        <w:rPr>
          <w:rFonts w:ascii="Palatino Linotype" w:eastAsia="Calibri" w:hAnsi="Palatino Linotype" w:cs="Arial"/>
          <w:sz w:val="24"/>
          <w:szCs w:val="24"/>
          <w:lang w:val="es-ES" w:eastAsia="es-ES"/>
        </w:rPr>
        <w:t>mediante la cual se solicitó:</w:t>
      </w:r>
    </w:p>
    <w:p w14:paraId="1D580DD0" w14:textId="77777777" w:rsidR="00273A03" w:rsidRPr="00360FDF"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14:paraId="5616A5D3" w14:textId="77777777" w:rsidR="00264A3C" w:rsidRPr="00360FDF"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360FDF">
        <w:rPr>
          <w:rFonts w:ascii="Palatino Linotype" w:eastAsia="Calibri" w:hAnsi="Palatino Linotype" w:cs="Arial"/>
          <w:i/>
          <w:sz w:val="24"/>
          <w:szCs w:val="24"/>
          <w:lang w:val="es-ES" w:eastAsia="es-ES"/>
        </w:rPr>
        <w:t>“</w:t>
      </w:r>
      <w:r w:rsidR="00076DE5" w:rsidRPr="00360FDF">
        <w:rPr>
          <w:rFonts w:ascii="Palatino Linotype" w:eastAsia="Calibri" w:hAnsi="Palatino Linotype" w:cs="Arial"/>
          <w:i/>
          <w:sz w:val="24"/>
          <w:szCs w:val="24"/>
          <w:lang w:val="es-ES" w:eastAsia="es-ES"/>
        </w:rPr>
        <w:t>Quiero tener acces</w:t>
      </w:r>
      <w:r w:rsidR="00442579" w:rsidRPr="00360FDF">
        <w:rPr>
          <w:rFonts w:ascii="Palatino Linotype" w:eastAsia="Calibri" w:hAnsi="Palatino Linotype" w:cs="Arial"/>
          <w:i/>
          <w:sz w:val="24"/>
          <w:szCs w:val="24"/>
          <w:lang w:val="es-ES" w:eastAsia="es-ES"/>
        </w:rPr>
        <w:t>o en versión pública, en pdf o w</w:t>
      </w:r>
      <w:r w:rsidR="00076DE5" w:rsidRPr="00360FDF">
        <w:rPr>
          <w:rFonts w:ascii="Palatino Linotype" w:eastAsia="Calibri" w:hAnsi="Palatino Linotype" w:cs="Arial"/>
          <w:i/>
          <w:sz w:val="24"/>
          <w:szCs w:val="24"/>
          <w:lang w:val="es-ES" w:eastAsia="es-ES"/>
        </w:rPr>
        <w:t xml:space="preserve">ord de las resoluciones por las cuales cesaron a Carlos Aranza Doniz funcionario del Instituto de Salud del Edomex, por ir al Super Bowl, y aquellas por las que despidieron a su asesor José Fernando Gil García ambos del Instituto de Salud del Estado de México. Saber </w:t>
      </w:r>
      <w:r w:rsidR="00076DE5" w:rsidRPr="00360FDF">
        <w:rPr>
          <w:rFonts w:ascii="Palatino Linotype" w:eastAsia="Calibri" w:hAnsi="Palatino Linotype" w:cs="Arial"/>
          <w:i/>
          <w:sz w:val="24"/>
          <w:szCs w:val="24"/>
          <w:lang w:val="es-ES" w:eastAsia="es-ES"/>
        </w:rPr>
        <w:lastRenderedPageBreak/>
        <w:t>si se les inició algun procedimiento disciplinario, en caso de ser positivo, quiero conocer le expediente en en versión pública, en pdf o Word, o al menos de la resolución que determina sus ceses. Quiero saber si estas decisiones de cese fueron impugnadas, en caso positivo, saber ante que autoridad fueron impugnadas, y los números de los expedientes asignados a las mismas, y de ser el caso quiero tener acceso en versión pública, en pdf o Word de las resoluciones</w:t>
      </w:r>
      <w:r w:rsidR="00EE377F" w:rsidRPr="00360FDF">
        <w:rPr>
          <w:rFonts w:ascii="Palatino Linotype" w:eastAsia="Calibri" w:hAnsi="Palatino Linotype" w:cs="Arial"/>
          <w:i/>
          <w:sz w:val="24"/>
          <w:szCs w:val="24"/>
          <w:lang w:val="es-ES" w:eastAsia="es-ES"/>
        </w:rPr>
        <w:t>.</w:t>
      </w:r>
      <w:r w:rsidRPr="00360FDF">
        <w:rPr>
          <w:rFonts w:ascii="Palatino Linotype" w:hAnsi="Palatino Linotype"/>
          <w:i/>
          <w:color w:val="000000"/>
          <w:sz w:val="24"/>
          <w:szCs w:val="24"/>
        </w:rPr>
        <w:t xml:space="preserve">” (Sic) </w:t>
      </w:r>
    </w:p>
    <w:p w14:paraId="3DE47182" w14:textId="77777777" w:rsidR="00264A3C" w:rsidRPr="00360FDF"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14:paraId="7FE36A9B" w14:textId="77777777" w:rsidR="00EA0847" w:rsidRPr="00360FDF" w:rsidRDefault="00273A03" w:rsidP="00EA084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360FDF">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60FDF">
        <w:rPr>
          <w:rFonts w:ascii="Palatino Linotype" w:eastAsiaTheme="minorEastAsia" w:hAnsi="Palatino Linotype" w:cs="Arial"/>
          <w:b/>
          <w:sz w:val="24"/>
          <w:szCs w:val="24"/>
          <w:lang w:val="es-ES_tradnl" w:eastAsia="es-ES"/>
        </w:rPr>
        <w:t xml:space="preserve">(SAIMEX). </w:t>
      </w:r>
    </w:p>
    <w:p w14:paraId="527DA91B" w14:textId="77777777" w:rsidR="00EA0847" w:rsidRPr="00360FDF" w:rsidRDefault="00EA0847" w:rsidP="00EA0847">
      <w:pPr>
        <w:spacing w:before="240" w:after="240" w:line="360" w:lineRule="auto"/>
        <w:contextualSpacing/>
        <w:jc w:val="both"/>
        <w:rPr>
          <w:rFonts w:ascii="Palatino Linotype" w:eastAsiaTheme="minorEastAsia" w:hAnsi="Palatino Linotype" w:cs="Arial"/>
          <w:i/>
          <w:sz w:val="24"/>
          <w:szCs w:val="24"/>
          <w:lang w:val="es-ES_tradnl" w:eastAsia="es-ES"/>
        </w:rPr>
      </w:pPr>
    </w:p>
    <w:p w14:paraId="39CD40C2" w14:textId="77777777" w:rsidR="003234F4" w:rsidRPr="00360FDF" w:rsidRDefault="00EE377F" w:rsidP="00BB657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360FDF">
        <w:rPr>
          <w:rFonts w:ascii="Palatino Linotype" w:eastAsia="Calibri" w:hAnsi="Palatino Linotype" w:cs="Arial"/>
          <w:sz w:val="24"/>
          <w:szCs w:val="24"/>
          <w:lang w:val="es-AR" w:eastAsia="es-ES"/>
        </w:rPr>
        <w:t>El</w:t>
      </w:r>
      <w:r w:rsidR="00BB6579" w:rsidRPr="00360FDF">
        <w:rPr>
          <w:rFonts w:ascii="Palatino Linotype" w:eastAsia="Times New Roman" w:hAnsi="Palatino Linotype" w:cs="Arial"/>
          <w:sz w:val="24"/>
          <w:szCs w:val="24"/>
          <w:lang w:val="es-ES" w:eastAsia="es-ES"/>
        </w:rPr>
        <w:t xml:space="preserve"> diecisiete (17</w:t>
      </w:r>
      <w:r w:rsidR="00837C63" w:rsidRPr="00360FDF">
        <w:rPr>
          <w:rFonts w:ascii="Palatino Linotype" w:eastAsia="Times New Roman" w:hAnsi="Palatino Linotype" w:cs="Arial"/>
          <w:sz w:val="24"/>
          <w:szCs w:val="24"/>
          <w:lang w:val="es-ES" w:eastAsia="es-ES"/>
        </w:rPr>
        <w:t xml:space="preserve">) de </w:t>
      </w:r>
      <w:r w:rsidR="00BB6579" w:rsidRPr="00360FDF">
        <w:rPr>
          <w:rFonts w:ascii="Palatino Linotype" w:eastAsia="Times New Roman" w:hAnsi="Palatino Linotype" w:cs="Arial"/>
          <w:sz w:val="24"/>
          <w:szCs w:val="24"/>
          <w:lang w:val="es-ES" w:eastAsia="es-ES"/>
        </w:rPr>
        <w:t xml:space="preserve">marzo </w:t>
      </w:r>
      <w:r w:rsidR="00EA0847" w:rsidRPr="00360FDF">
        <w:rPr>
          <w:rFonts w:ascii="Palatino Linotype" w:eastAsia="Times New Roman" w:hAnsi="Palatino Linotype" w:cs="Arial"/>
          <w:sz w:val="24"/>
          <w:szCs w:val="24"/>
          <w:lang w:val="es-ES" w:eastAsia="es-ES"/>
        </w:rPr>
        <w:t>de dos mil veintiuno</w:t>
      </w:r>
      <w:r w:rsidR="00BB6579" w:rsidRPr="00360FDF">
        <w:rPr>
          <w:rFonts w:ascii="Palatino Linotype" w:eastAsia="Times New Roman" w:hAnsi="Palatino Linotype" w:cs="Arial"/>
          <w:sz w:val="24"/>
          <w:szCs w:val="24"/>
          <w:lang w:val="es-ES" w:eastAsia="es-ES"/>
        </w:rPr>
        <w:t xml:space="preserve"> </w:t>
      </w:r>
      <w:r w:rsidR="003234F4" w:rsidRPr="00360FDF">
        <w:rPr>
          <w:rFonts w:ascii="Palatino Linotype" w:eastAsia="Times New Roman" w:hAnsi="Palatino Linotype" w:cs="Arial"/>
          <w:sz w:val="24"/>
          <w:szCs w:val="24"/>
          <w:lang w:val="es-ES" w:eastAsia="es-ES"/>
        </w:rPr>
        <w:t xml:space="preserve">el </w:t>
      </w:r>
      <w:r w:rsidR="003234F4" w:rsidRPr="00360FDF">
        <w:rPr>
          <w:rFonts w:ascii="Palatino Linotype" w:eastAsia="Times New Roman" w:hAnsi="Palatino Linotype" w:cs="Arial"/>
          <w:b/>
          <w:sz w:val="24"/>
          <w:szCs w:val="24"/>
          <w:lang w:val="es-ES" w:eastAsia="es-ES"/>
        </w:rPr>
        <w:t xml:space="preserve">SUJETO OBLIGADO </w:t>
      </w:r>
      <w:r w:rsidR="003234F4" w:rsidRPr="00360FDF">
        <w:rPr>
          <w:rFonts w:ascii="Palatino Linotype" w:eastAsia="Times New Roman" w:hAnsi="Palatino Linotype" w:cs="Arial"/>
          <w:sz w:val="24"/>
          <w:szCs w:val="24"/>
          <w:lang w:val="es-ES" w:eastAsia="es-ES"/>
        </w:rPr>
        <w:t>realizó entrega de la información en los siguientes términos:</w:t>
      </w:r>
    </w:p>
    <w:p w14:paraId="123A250D" w14:textId="77777777" w:rsidR="003234F4" w:rsidRPr="00360FDF" w:rsidRDefault="003234F4" w:rsidP="003234F4">
      <w:pPr>
        <w:tabs>
          <w:tab w:val="left" w:pos="0"/>
        </w:tabs>
        <w:spacing w:after="0" w:line="360" w:lineRule="auto"/>
        <w:contextualSpacing/>
        <w:jc w:val="both"/>
        <w:rPr>
          <w:rFonts w:ascii="Palatino Linotype" w:eastAsia="MS Mincho" w:hAnsi="Palatino Linotype" w:cs="Arial"/>
          <w:i/>
          <w:sz w:val="24"/>
          <w:szCs w:val="24"/>
          <w:lang w:val="es-ES_tradnl" w:eastAsia="es-ES"/>
        </w:rPr>
      </w:pPr>
    </w:p>
    <w:p w14:paraId="5BAC1DA4" w14:textId="77777777" w:rsidR="00BB6579" w:rsidRPr="00360FDF" w:rsidRDefault="003234F4" w:rsidP="00BB6579">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360FDF">
        <w:rPr>
          <w:rFonts w:ascii="Palatino Linotype" w:eastAsia="MS Mincho" w:hAnsi="Palatino Linotype" w:cs="Arial"/>
          <w:i/>
          <w:sz w:val="24"/>
          <w:szCs w:val="24"/>
          <w:lang w:val="es-ES_tradnl" w:eastAsia="es-ES"/>
        </w:rPr>
        <w:t>“</w:t>
      </w:r>
      <w:r w:rsidR="00BB6579" w:rsidRPr="00360FDF">
        <w:rPr>
          <w:rFonts w:ascii="Palatino Linotype" w:eastAsia="MS Mincho" w:hAnsi="Palatino Linotype" w:cs="Arial"/>
          <w:i/>
          <w:sz w:val="24"/>
          <w:szCs w:val="24"/>
          <w:lang w:val="es-ES_tradnl" w:eastAsia="es-ES"/>
        </w:rPr>
        <w:t xml:space="preserve">Metepec, México a 17 de </w:t>
      </w:r>
      <w:proofErr w:type="gramStart"/>
      <w:r w:rsidR="00BB6579" w:rsidRPr="00360FDF">
        <w:rPr>
          <w:rFonts w:ascii="Palatino Linotype" w:eastAsia="MS Mincho" w:hAnsi="Palatino Linotype" w:cs="Arial"/>
          <w:i/>
          <w:sz w:val="24"/>
          <w:szCs w:val="24"/>
          <w:lang w:val="es-ES_tradnl" w:eastAsia="es-ES"/>
        </w:rPr>
        <w:t>Marzo</w:t>
      </w:r>
      <w:proofErr w:type="gramEnd"/>
      <w:r w:rsidR="00BB6579" w:rsidRPr="00360FDF">
        <w:rPr>
          <w:rFonts w:ascii="Palatino Linotype" w:eastAsia="MS Mincho" w:hAnsi="Palatino Linotype" w:cs="Arial"/>
          <w:i/>
          <w:sz w:val="24"/>
          <w:szCs w:val="24"/>
          <w:lang w:val="es-ES_tradnl" w:eastAsia="es-ES"/>
        </w:rPr>
        <w:t xml:space="preserve"> de 2021</w:t>
      </w:r>
    </w:p>
    <w:p w14:paraId="74FA0613" w14:textId="77777777" w:rsidR="00BB6579" w:rsidRPr="00360FDF" w:rsidRDefault="00BB6579" w:rsidP="00BB6579">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360FDF">
        <w:rPr>
          <w:rFonts w:ascii="Palatino Linotype" w:eastAsia="MS Mincho" w:hAnsi="Palatino Linotype" w:cs="Arial"/>
          <w:i/>
          <w:sz w:val="24"/>
          <w:szCs w:val="24"/>
          <w:lang w:val="es-ES_tradnl" w:eastAsia="es-ES"/>
        </w:rPr>
        <w:t xml:space="preserve">Nombre del solicitante: </w:t>
      </w:r>
      <w:r w:rsidR="00004AB5" w:rsidRPr="00004AB5">
        <w:rPr>
          <w:rFonts w:ascii="Palatino Linotype" w:eastAsia="MS Mincho" w:hAnsi="Palatino Linotype" w:cs="Arial"/>
          <w:i/>
          <w:sz w:val="24"/>
          <w:szCs w:val="24"/>
          <w:highlight w:val="black"/>
          <w:lang w:val="es-ES_tradnl" w:eastAsia="es-ES"/>
        </w:rPr>
        <w:t>------------------------------------------------------------</w:t>
      </w:r>
    </w:p>
    <w:p w14:paraId="36C7FD84" w14:textId="77777777" w:rsidR="00BB6579" w:rsidRPr="00360FDF" w:rsidRDefault="00BB6579" w:rsidP="00BB6579">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360FDF">
        <w:rPr>
          <w:rFonts w:ascii="Palatino Linotype" w:eastAsia="MS Mincho" w:hAnsi="Palatino Linotype" w:cs="Arial"/>
          <w:i/>
          <w:sz w:val="24"/>
          <w:szCs w:val="24"/>
          <w:lang w:val="es-ES_tradnl" w:eastAsia="es-ES"/>
        </w:rPr>
        <w:t>Folio de la solicitud: 00112/ISEM/IP/2021</w:t>
      </w:r>
    </w:p>
    <w:p w14:paraId="3155791C" w14:textId="77777777" w:rsidR="00BB6579" w:rsidRPr="00360FDF" w:rsidRDefault="00BB6579" w:rsidP="00BB6579">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p>
    <w:p w14:paraId="3713FDF1" w14:textId="77777777" w:rsidR="00BB6579" w:rsidRPr="00360FDF" w:rsidRDefault="00BB6579" w:rsidP="00BB6579">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r w:rsidRPr="00360FDF">
        <w:rPr>
          <w:rFonts w:ascii="Palatino Linotype" w:eastAsia="MS Mincho" w:hAnsi="Palatino Linotype" w:cs="Arial"/>
          <w:i/>
          <w:sz w:val="24"/>
          <w:szCs w:val="24"/>
          <w:lang w:val="es-ES_tradnl" w:eastAsia="es-ES"/>
        </w:rPr>
        <w:t xml:space="preserve">En respuesta a la solicitud recibida, nos permitimos hacer de su conocimiento que con fundamento en el artículo 53, Fracciones: II, V y VI de la Ley de Transparencia </w:t>
      </w:r>
      <w:r w:rsidRPr="00360FDF">
        <w:rPr>
          <w:rFonts w:ascii="Palatino Linotype" w:eastAsia="MS Mincho" w:hAnsi="Palatino Linotype" w:cs="Arial"/>
          <w:i/>
          <w:sz w:val="24"/>
          <w:szCs w:val="24"/>
          <w:lang w:val="es-ES_tradnl" w:eastAsia="es-ES"/>
        </w:rPr>
        <w:lastRenderedPageBreak/>
        <w:t>y Acceso a la Información Pública del Estado de México y Municipios, le contestamos que:</w:t>
      </w:r>
    </w:p>
    <w:p w14:paraId="1501C711" w14:textId="77777777" w:rsidR="00BB6579" w:rsidRPr="00360FDF" w:rsidRDefault="00BB6579" w:rsidP="00BB6579">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r w:rsidRPr="00360FDF">
        <w:rPr>
          <w:rFonts w:ascii="Palatino Linotype" w:eastAsia="MS Mincho" w:hAnsi="Palatino Linotype" w:cs="Arial"/>
          <w:i/>
          <w:sz w:val="24"/>
          <w:szCs w:val="24"/>
          <w:lang w:val="es-ES_tradnl" w:eastAsia="es-ES"/>
        </w:rPr>
        <w:t>Se da atención a su solicitud.</w:t>
      </w:r>
    </w:p>
    <w:p w14:paraId="003E99B7" w14:textId="77777777" w:rsidR="00BB6579" w:rsidRPr="00360FDF" w:rsidRDefault="00BB6579" w:rsidP="00BB6579">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p>
    <w:p w14:paraId="7C9BC058" w14:textId="77777777" w:rsidR="00BB6579" w:rsidRPr="00360FDF" w:rsidRDefault="00BB6579" w:rsidP="00BB6579">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r w:rsidRPr="00360FDF">
        <w:rPr>
          <w:rFonts w:ascii="Palatino Linotype" w:eastAsia="MS Mincho" w:hAnsi="Palatino Linotype" w:cs="Arial"/>
          <w:i/>
          <w:sz w:val="24"/>
          <w:szCs w:val="24"/>
          <w:lang w:val="es-ES_tradnl" w:eastAsia="es-ES"/>
        </w:rPr>
        <w:t>ATENTAMENTE</w:t>
      </w:r>
    </w:p>
    <w:p w14:paraId="7E2ED904" w14:textId="77777777" w:rsidR="003234F4" w:rsidRPr="00360FDF" w:rsidRDefault="00BB6579" w:rsidP="00BB6579">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r w:rsidRPr="00360FDF">
        <w:rPr>
          <w:rFonts w:ascii="Palatino Linotype" w:eastAsia="MS Mincho" w:hAnsi="Palatino Linotype" w:cs="Arial"/>
          <w:i/>
          <w:sz w:val="24"/>
          <w:szCs w:val="24"/>
          <w:lang w:val="es-ES_tradnl" w:eastAsia="es-ES"/>
        </w:rPr>
        <w:t>LIC. ELOINA SILVETTE DÍAZ GUTIÉRRE</w:t>
      </w:r>
      <w:r w:rsidR="003234F4" w:rsidRPr="00360FDF">
        <w:rPr>
          <w:rFonts w:ascii="Palatino Linotype" w:eastAsia="MS Mincho" w:hAnsi="Palatino Linotype" w:cs="Arial"/>
          <w:i/>
          <w:sz w:val="24"/>
          <w:szCs w:val="24"/>
          <w:lang w:val="es-ES_tradnl" w:eastAsia="es-ES"/>
        </w:rPr>
        <w:t>”</w:t>
      </w:r>
    </w:p>
    <w:p w14:paraId="66487001" w14:textId="77777777" w:rsidR="00BB6579" w:rsidRPr="00360FDF" w:rsidRDefault="00BB6579" w:rsidP="00BB6579">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p>
    <w:p w14:paraId="03FDB274" w14:textId="77777777" w:rsidR="00BB6579" w:rsidRPr="00360FDF" w:rsidRDefault="00BB6579" w:rsidP="003A4DE4">
      <w:pPr>
        <w:pStyle w:val="Prrafodelista"/>
        <w:numPr>
          <w:ilvl w:val="0"/>
          <w:numId w:val="4"/>
        </w:numPr>
        <w:tabs>
          <w:tab w:val="left" w:pos="567"/>
        </w:tabs>
        <w:spacing w:after="0" w:line="360" w:lineRule="auto"/>
        <w:ind w:left="567" w:right="474" w:firstLine="0"/>
        <w:rPr>
          <w:rFonts w:ascii="Palatino Linotype" w:eastAsia="MS Mincho" w:hAnsi="Palatino Linotype" w:cs="Arial"/>
          <w:i/>
          <w:sz w:val="24"/>
          <w:szCs w:val="24"/>
          <w:lang w:val="es-ES_tradnl" w:eastAsia="es-ES"/>
        </w:rPr>
      </w:pPr>
      <w:r w:rsidRPr="00360FDF">
        <w:rPr>
          <w:rFonts w:ascii="Palatino Linotype" w:eastAsia="MS Mincho" w:hAnsi="Palatino Linotype" w:cs="Arial"/>
          <w:i/>
          <w:sz w:val="24"/>
          <w:szCs w:val="24"/>
          <w:lang w:val="es-ES_tradnl" w:eastAsia="es-ES"/>
        </w:rPr>
        <w:t xml:space="preserve"> </w:t>
      </w:r>
      <w:r w:rsidR="0098795D" w:rsidRPr="00360FDF">
        <w:rPr>
          <w:rFonts w:ascii="Palatino Linotype" w:eastAsia="MS Mincho" w:hAnsi="Palatino Linotype" w:cs="Arial"/>
          <w:sz w:val="24"/>
          <w:szCs w:val="24"/>
          <w:lang w:val="es-ES_tradnl" w:eastAsia="es-ES"/>
        </w:rPr>
        <w:t xml:space="preserve">A dicha respuesta se anexaron los siguientes documentos: </w:t>
      </w:r>
    </w:p>
    <w:p w14:paraId="36B3C8AF" w14:textId="77777777" w:rsidR="006B5530" w:rsidRPr="00360FDF" w:rsidRDefault="006B5530" w:rsidP="006B5530">
      <w:pPr>
        <w:pStyle w:val="Prrafodelista"/>
        <w:tabs>
          <w:tab w:val="left" w:pos="567"/>
        </w:tabs>
        <w:spacing w:after="0" w:line="360" w:lineRule="auto"/>
        <w:ind w:left="567" w:right="474"/>
        <w:rPr>
          <w:rFonts w:ascii="Palatino Linotype" w:eastAsia="MS Mincho" w:hAnsi="Palatino Linotype" w:cs="Arial"/>
          <w:i/>
          <w:sz w:val="24"/>
          <w:szCs w:val="24"/>
          <w:lang w:val="es-ES_tradnl" w:eastAsia="es-ES"/>
        </w:rPr>
      </w:pPr>
    </w:p>
    <w:p w14:paraId="2A26B26C" w14:textId="77777777" w:rsidR="0098795D" w:rsidRPr="00360FDF" w:rsidRDefault="0098795D" w:rsidP="00E95081">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r w:rsidRPr="00360FDF">
        <w:rPr>
          <w:rFonts w:ascii="Palatino Linotype" w:eastAsia="MS Mincho" w:hAnsi="Palatino Linotype" w:cs="Arial"/>
          <w:sz w:val="24"/>
          <w:szCs w:val="24"/>
          <w:lang w:val="es-ES_tradnl" w:eastAsia="es-ES"/>
        </w:rPr>
        <w:t>-</w:t>
      </w:r>
      <w:hyperlink r:id="rId8" w:tgtFrame="_blank" w:history="1">
        <w:r w:rsidRPr="00360FDF">
          <w:rPr>
            <w:rStyle w:val="Hipervnculo"/>
            <w:rFonts w:ascii="Palatino Linotype" w:eastAsia="MS Mincho" w:hAnsi="Palatino Linotype" w:cs="Arial"/>
            <w:b/>
            <w:bCs/>
            <w:color w:val="000000" w:themeColor="text1"/>
            <w:sz w:val="24"/>
            <w:szCs w:val="24"/>
            <w:u w:val="none"/>
            <w:lang w:eastAsia="es-ES"/>
          </w:rPr>
          <w:t>1703021_sol 00112 saimex 2021.docx</w:t>
        </w:r>
      </w:hyperlink>
      <w:r w:rsidRPr="00360FDF">
        <w:rPr>
          <w:rFonts w:ascii="Palatino Linotype" w:eastAsia="MS Mincho" w:hAnsi="Palatino Linotype" w:cs="Arial"/>
          <w:b/>
          <w:color w:val="000000" w:themeColor="text1"/>
          <w:sz w:val="24"/>
          <w:szCs w:val="24"/>
          <w:lang w:val="es-ES_tradnl" w:eastAsia="es-ES"/>
        </w:rPr>
        <w:t xml:space="preserve">: </w:t>
      </w:r>
      <w:r w:rsidRPr="00360FDF">
        <w:rPr>
          <w:rFonts w:ascii="Palatino Linotype" w:eastAsia="MS Mincho" w:hAnsi="Palatino Linotype" w:cs="Arial"/>
          <w:color w:val="000000" w:themeColor="text1"/>
          <w:sz w:val="24"/>
          <w:szCs w:val="24"/>
          <w:lang w:val="es-ES_tradnl" w:eastAsia="es-ES"/>
        </w:rPr>
        <w:t xml:space="preserve">Documento electrónico que en una hoja contiene el oficio 00112 ISEM IP 2021 dirigido al solicitante y suscrito por el Titular de la Unidad de Transparencia mediante el cual se refiere que: </w:t>
      </w:r>
      <w:r w:rsidR="00E95081" w:rsidRPr="00360FDF">
        <w:rPr>
          <w:rFonts w:ascii="Palatino Linotype" w:eastAsia="MS Mincho" w:hAnsi="Palatino Linotype" w:cs="Arial"/>
          <w:color w:val="000000" w:themeColor="text1"/>
          <w:sz w:val="24"/>
          <w:szCs w:val="24"/>
          <w:lang w:val="es-ES_tradnl" w:eastAsia="es-ES"/>
        </w:rPr>
        <w:t>“Con fundamento en el artículo 12 de la Ley de Transparencia y Acceso a la Información Pública del Estado de México y Municipios, que textualmente señala: “</w:t>
      </w:r>
      <w:r w:rsidR="00E95081" w:rsidRPr="00360FDF">
        <w:rPr>
          <w:rFonts w:ascii="Palatino Linotype" w:eastAsia="MS Mincho" w:hAnsi="Palatino Linotype" w:cs="Arial"/>
          <w:i/>
          <w:color w:val="000000" w:themeColor="text1"/>
          <w:sz w:val="24"/>
          <w:szCs w:val="24"/>
          <w:lang w:val="es-ES_tradnl" w:eastAsia="es-ES"/>
        </w:rPr>
        <w:t xml:space="preserve">Asimismo, en el artículo 163 de la Ley de Transparencia y Acceso a la Información Pública del Estado de México y Municipios; y de conformidad con lo expuesto en el Manual General de Organización del Instituto de Salud del Estado de México (ISEM), el Órgano Interno de Control en el ISEM, “Vigila, fiscaliza y controla el cumplimiento de obligaciones en materia de planeación, presupuestación, financiamiento, inversión, deuda, fondos y valores, […], a fin de promover la eficacia y transparencia en la operación y cumplimiento </w:t>
      </w:r>
      <w:r w:rsidR="00E95081" w:rsidRPr="00360FDF">
        <w:rPr>
          <w:rFonts w:ascii="Palatino Linotype" w:eastAsia="MS Mincho" w:hAnsi="Palatino Linotype" w:cs="Arial"/>
          <w:i/>
          <w:color w:val="000000" w:themeColor="text1"/>
          <w:sz w:val="24"/>
          <w:szCs w:val="24"/>
          <w:lang w:val="es-ES_tradnl" w:eastAsia="es-ES"/>
        </w:rPr>
        <w:lastRenderedPageBreak/>
        <w:t>de los objetivos del Instituto de Salud del Estado de México”, por lo que mediante el oficio número 208C0101010000S/0587/2021, se atiende su solicitud de información.</w:t>
      </w:r>
      <w:r w:rsidR="00E95081" w:rsidRPr="00360FDF">
        <w:rPr>
          <w:rFonts w:ascii="Palatino Linotype" w:eastAsia="MS Mincho" w:hAnsi="Palatino Linotype" w:cs="Arial"/>
          <w:color w:val="000000" w:themeColor="text1"/>
          <w:sz w:val="24"/>
          <w:szCs w:val="24"/>
          <w:lang w:val="es-ES_tradnl" w:eastAsia="es-ES"/>
        </w:rPr>
        <w:t>” (Sic)</w:t>
      </w:r>
    </w:p>
    <w:p w14:paraId="2997B2B3" w14:textId="77777777" w:rsidR="00E95081" w:rsidRPr="00360FDF" w:rsidRDefault="00E95081" w:rsidP="00E95081">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p>
    <w:p w14:paraId="3BAF5239" w14:textId="77777777" w:rsidR="009C20EA" w:rsidRPr="00360FDF" w:rsidRDefault="00E95081" w:rsidP="00CA3815">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r w:rsidRPr="00360FDF">
        <w:rPr>
          <w:rFonts w:ascii="Palatino Linotype" w:eastAsia="MS Mincho" w:hAnsi="Palatino Linotype" w:cs="Arial"/>
          <w:sz w:val="24"/>
          <w:szCs w:val="24"/>
          <w:lang w:val="es-ES_tradnl" w:eastAsia="es-ES"/>
        </w:rPr>
        <w:t>-</w:t>
      </w:r>
      <w:r w:rsidR="00CA3815" w:rsidRPr="00360FDF">
        <w:rPr>
          <w:rFonts w:ascii="Palatino Linotype" w:eastAsia="MS Mincho" w:hAnsi="Palatino Linotype" w:cs="Arial"/>
          <w:b/>
          <w:sz w:val="24"/>
          <w:szCs w:val="24"/>
          <w:lang w:val="es-ES_tradnl" w:eastAsia="es-ES"/>
        </w:rPr>
        <w:t>respuesta sol 112 2021.pdf</w:t>
      </w:r>
      <w:r w:rsidRPr="00360FDF">
        <w:rPr>
          <w:rFonts w:ascii="Palatino Linotype" w:eastAsia="MS Mincho" w:hAnsi="Palatino Linotype" w:cs="Arial"/>
          <w:b/>
          <w:color w:val="000000" w:themeColor="text1"/>
          <w:sz w:val="24"/>
          <w:szCs w:val="24"/>
          <w:lang w:val="es-ES_tradnl" w:eastAsia="es-ES"/>
        </w:rPr>
        <w:t xml:space="preserve">: </w:t>
      </w:r>
      <w:r w:rsidRPr="00360FDF">
        <w:rPr>
          <w:rFonts w:ascii="Palatino Linotype" w:eastAsia="MS Mincho" w:hAnsi="Palatino Linotype" w:cs="Arial"/>
          <w:color w:val="000000" w:themeColor="text1"/>
          <w:sz w:val="24"/>
          <w:szCs w:val="24"/>
          <w:lang w:val="es-ES_tradnl" w:eastAsia="es-ES"/>
        </w:rPr>
        <w:t xml:space="preserve">Documento electrónico que en </w:t>
      </w:r>
      <w:r w:rsidR="00CA3815" w:rsidRPr="00360FDF">
        <w:rPr>
          <w:rFonts w:ascii="Palatino Linotype" w:eastAsia="MS Mincho" w:hAnsi="Palatino Linotype" w:cs="Arial"/>
          <w:color w:val="000000" w:themeColor="text1"/>
          <w:sz w:val="24"/>
          <w:szCs w:val="24"/>
          <w:lang w:val="es-ES_tradnl" w:eastAsia="es-ES"/>
        </w:rPr>
        <w:t xml:space="preserve">dos </w:t>
      </w:r>
      <w:r w:rsidRPr="00360FDF">
        <w:rPr>
          <w:rFonts w:ascii="Palatino Linotype" w:eastAsia="MS Mincho" w:hAnsi="Palatino Linotype" w:cs="Arial"/>
          <w:color w:val="000000" w:themeColor="text1"/>
          <w:sz w:val="24"/>
          <w:szCs w:val="24"/>
          <w:lang w:val="es-ES_tradnl" w:eastAsia="es-ES"/>
        </w:rPr>
        <w:t>hoja</w:t>
      </w:r>
      <w:r w:rsidR="00CA3815" w:rsidRPr="00360FDF">
        <w:rPr>
          <w:rFonts w:ascii="Palatino Linotype" w:eastAsia="MS Mincho" w:hAnsi="Palatino Linotype" w:cs="Arial"/>
          <w:color w:val="000000" w:themeColor="text1"/>
          <w:sz w:val="24"/>
          <w:szCs w:val="24"/>
          <w:lang w:val="es-ES_tradnl" w:eastAsia="es-ES"/>
        </w:rPr>
        <w:t>s contiene el O</w:t>
      </w:r>
      <w:r w:rsidRPr="00360FDF">
        <w:rPr>
          <w:rFonts w:ascii="Palatino Linotype" w:eastAsia="MS Mincho" w:hAnsi="Palatino Linotype" w:cs="Arial"/>
          <w:color w:val="000000" w:themeColor="text1"/>
          <w:sz w:val="24"/>
          <w:szCs w:val="24"/>
          <w:lang w:val="es-ES_tradnl" w:eastAsia="es-ES"/>
        </w:rPr>
        <w:t>ficio</w:t>
      </w:r>
      <w:r w:rsidR="00CA3815" w:rsidRPr="00360FDF">
        <w:rPr>
          <w:rFonts w:ascii="Palatino Linotype" w:eastAsia="MS Mincho" w:hAnsi="Palatino Linotype" w:cs="Arial"/>
          <w:color w:val="000000" w:themeColor="text1"/>
          <w:sz w:val="24"/>
          <w:szCs w:val="24"/>
          <w:lang w:val="es-ES_tradnl" w:eastAsia="es-ES"/>
        </w:rPr>
        <w:t xml:space="preserve"> 208C0101010000S/00587/2021</w:t>
      </w:r>
      <w:r w:rsidRPr="00360FDF">
        <w:rPr>
          <w:rFonts w:ascii="Palatino Linotype" w:eastAsia="MS Mincho" w:hAnsi="Palatino Linotype" w:cs="Arial"/>
          <w:color w:val="000000" w:themeColor="text1"/>
          <w:sz w:val="24"/>
          <w:szCs w:val="24"/>
          <w:lang w:val="es-ES_tradnl" w:eastAsia="es-ES"/>
        </w:rPr>
        <w:t xml:space="preserve"> </w:t>
      </w:r>
      <w:r w:rsidR="00CA3815" w:rsidRPr="00360FDF">
        <w:rPr>
          <w:rFonts w:ascii="Palatino Linotype" w:eastAsia="MS Mincho" w:hAnsi="Palatino Linotype" w:cs="Arial"/>
          <w:color w:val="000000" w:themeColor="text1"/>
          <w:sz w:val="24"/>
          <w:szCs w:val="24"/>
          <w:lang w:val="es-ES_tradnl" w:eastAsia="es-ES"/>
        </w:rPr>
        <w:t>dirigido a la Jefa de Planeación, Programación y Evaluaci</w:t>
      </w:r>
      <w:r w:rsidR="003C778D" w:rsidRPr="00360FDF">
        <w:rPr>
          <w:rFonts w:ascii="Palatino Linotype" w:eastAsia="MS Mincho" w:hAnsi="Palatino Linotype" w:cs="Arial"/>
          <w:color w:val="000000" w:themeColor="text1"/>
          <w:sz w:val="24"/>
          <w:szCs w:val="24"/>
          <w:lang w:val="es-ES_tradnl" w:eastAsia="es-ES"/>
        </w:rPr>
        <w:t xml:space="preserve">ón; </w:t>
      </w:r>
      <w:r w:rsidR="00CA3815" w:rsidRPr="00360FDF">
        <w:rPr>
          <w:rFonts w:ascii="Palatino Linotype" w:eastAsia="MS Mincho" w:hAnsi="Palatino Linotype" w:cs="Arial"/>
          <w:color w:val="000000" w:themeColor="text1"/>
          <w:sz w:val="24"/>
          <w:szCs w:val="24"/>
          <w:lang w:val="es-ES_tradnl" w:eastAsia="es-ES"/>
        </w:rPr>
        <w:t>y suscrito por el Titular del Órgano Interno de Control m</w:t>
      </w:r>
      <w:r w:rsidR="009C20EA" w:rsidRPr="00360FDF">
        <w:rPr>
          <w:rFonts w:ascii="Palatino Linotype" w:eastAsia="MS Mincho" w:hAnsi="Palatino Linotype" w:cs="Arial"/>
          <w:color w:val="000000" w:themeColor="text1"/>
          <w:sz w:val="24"/>
          <w:szCs w:val="24"/>
          <w:lang w:val="es-ES_tradnl" w:eastAsia="es-ES"/>
        </w:rPr>
        <w:t xml:space="preserve">ediante el cual se refiere </w:t>
      </w:r>
      <w:proofErr w:type="gramStart"/>
      <w:r w:rsidR="009C20EA" w:rsidRPr="00360FDF">
        <w:rPr>
          <w:rFonts w:ascii="Palatino Linotype" w:eastAsia="MS Mincho" w:hAnsi="Palatino Linotype" w:cs="Arial"/>
          <w:color w:val="000000" w:themeColor="text1"/>
          <w:sz w:val="24"/>
          <w:szCs w:val="24"/>
          <w:lang w:val="es-ES_tradnl" w:eastAsia="es-ES"/>
        </w:rPr>
        <w:t>que :</w:t>
      </w:r>
      <w:proofErr w:type="gramEnd"/>
    </w:p>
    <w:p w14:paraId="4FF21C56" w14:textId="77777777" w:rsidR="009C20EA" w:rsidRPr="00360FDF" w:rsidRDefault="009C20EA" w:rsidP="00CA3815">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p>
    <w:p w14:paraId="163601F6" w14:textId="77777777" w:rsidR="00923657" w:rsidRPr="00360FDF" w:rsidRDefault="00923657" w:rsidP="00CA3815">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r w:rsidRPr="00360FDF">
        <w:rPr>
          <w:rFonts w:ascii="Palatino Linotype" w:eastAsia="MS Mincho" w:hAnsi="Palatino Linotype" w:cs="Arial"/>
          <w:i/>
          <w:color w:val="000000" w:themeColor="text1"/>
          <w:sz w:val="24"/>
          <w:szCs w:val="24"/>
          <w:lang w:val="es-ES_tradnl" w:eastAsia="es-ES"/>
        </w:rPr>
        <w:t>“</w:t>
      </w:r>
      <w:r w:rsidR="00CA3815" w:rsidRPr="00360FDF">
        <w:rPr>
          <w:rFonts w:ascii="Palatino Linotype" w:eastAsia="MS Mincho" w:hAnsi="Palatino Linotype" w:cs="Arial"/>
          <w:i/>
          <w:color w:val="000000" w:themeColor="text1"/>
          <w:sz w:val="24"/>
          <w:szCs w:val="24"/>
          <w:lang w:val="es-ES_tradnl" w:eastAsia="es-ES"/>
        </w:rPr>
        <w:t>R</w:t>
      </w:r>
      <w:r w:rsidR="003C778D" w:rsidRPr="00360FDF">
        <w:rPr>
          <w:rFonts w:ascii="Palatino Linotype" w:eastAsia="MS Mincho" w:hAnsi="Palatino Linotype" w:cs="Arial"/>
          <w:i/>
          <w:color w:val="000000" w:themeColor="text1"/>
          <w:sz w:val="24"/>
          <w:szCs w:val="24"/>
          <w:lang w:val="es-ES_tradnl" w:eastAsia="es-ES"/>
        </w:rPr>
        <w:t>especto de: “Quiero tener acceso en versión p</w:t>
      </w:r>
      <w:r w:rsidRPr="00360FDF">
        <w:rPr>
          <w:rFonts w:ascii="Palatino Linotype" w:eastAsia="MS Mincho" w:hAnsi="Palatino Linotype" w:cs="Arial"/>
          <w:i/>
          <w:color w:val="000000" w:themeColor="text1"/>
          <w:sz w:val="24"/>
          <w:szCs w:val="24"/>
          <w:lang w:val="es-ES_tradnl" w:eastAsia="es-ES"/>
        </w:rPr>
        <w:t>ública, en</w:t>
      </w:r>
      <w:r w:rsidR="003C778D" w:rsidRPr="00360FDF">
        <w:rPr>
          <w:rFonts w:ascii="Palatino Linotype" w:eastAsia="MS Mincho" w:hAnsi="Palatino Linotype" w:cs="Arial"/>
          <w:i/>
          <w:color w:val="000000" w:themeColor="text1"/>
          <w:sz w:val="24"/>
          <w:szCs w:val="24"/>
          <w:lang w:val="es-ES_tradnl" w:eastAsia="es-ES"/>
        </w:rPr>
        <w:t xml:space="preserve"> pdf o </w:t>
      </w:r>
      <w:r w:rsidRPr="00360FDF">
        <w:rPr>
          <w:rFonts w:ascii="Palatino Linotype" w:eastAsia="MS Mincho" w:hAnsi="Palatino Linotype" w:cs="Arial"/>
          <w:i/>
          <w:color w:val="000000" w:themeColor="text1"/>
          <w:sz w:val="24"/>
          <w:szCs w:val="24"/>
          <w:lang w:val="es-ES_tradnl" w:eastAsia="es-ES"/>
        </w:rPr>
        <w:t>wo</w:t>
      </w:r>
      <w:r w:rsidR="003C778D" w:rsidRPr="00360FDF">
        <w:rPr>
          <w:rFonts w:ascii="Palatino Linotype" w:eastAsia="MS Mincho" w:hAnsi="Palatino Linotype" w:cs="Arial"/>
          <w:i/>
          <w:color w:val="000000" w:themeColor="text1"/>
          <w:sz w:val="24"/>
          <w:szCs w:val="24"/>
          <w:lang w:val="es-ES_tradnl" w:eastAsia="es-ES"/>
        </w:rPr>
        <w:t>rd de las resoluciones por las cuales cesaron a Carlos Aranza Doniz</w:t>
      </w:r>
      <w:r w:rsidR="00BB485F" w:rsidRPr="00360FDF">
        <w:rPr>
          <w:rFonts w:ascii="Palatino Linotype" w:eastAsia="MS Mincho" w:hAnsi="Palatino Linotype" w:cs="Arial"/>
          <w:i/>
          <w:color w:val="000000" w:themeColor="text1"/>
          <w:sz w:val="24"/>
          <w:szCs w:val="24"/>
          <w:lang w:val="es-ES_tradnl" w:eastAsia="es-ES"/>
        </w:rPr>
        <w:t xml:space="preserve"> funcionario del Instituto de Salud del Edomex, por ir al Super Bowl, y aquellas por las que despidieron a su asesor José Fernando Gil García ambos del Instituto de Salud del Estado de México…</w:t>
      </w:r>
    </w:p>
    <w:p w14:paraId="30F5F15E" w14:textId="77777777" w:rsidR="00923657" w:rsidRPr="00360FDF" w:rsidRDefault="00923657" w:rsidP="00CA3815">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p>
    <w:p w14:paraId="6639630F" w14:textId="77777777" w:rsidR="00923657" w:rsidRPr="00360FDF" w:rsidRDefault="00BB485F" w:rsidP="00CA3815">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r w:rsidRPr="00360FDF">
        <w:rPr>
          <w:rFonts w:ascii="Palatino Linotype" w:eastAsia="MS Mincho" w:hAnsi="Palatino Linotype" w:cs="Arial"/>
          <w:i/>
          <w:color w:val="000000" w:themeColor="text1"/>
          <w:sz w:val="24"/>
          <w:szCs w:val="24"/>
          <w:lang w:val="es-ES_tradnl" w:eastAsia="es-ES"/>
        </w:rPr>
        <w:t xml:space="preserve"> </w:t>
      </w:r>
      <w:r w:rsidRPr="00360FDF">
        <w:rPr>
          <w:rFonts w:ascii="Palatino Linotype" w:eastAsia="MS Mincho" w:hAnsi="Palatino Linotype" w:cs="Arial"/>
          <w:b/>
          <w:i/>
          <w:color w:val="000000" w:themeColor="text1"/>
          <w:sz w:val="24"/>
          <w:szCs w:val="24"/>
          <w:lang w:val="es-ES_tradnl" w:eastAsia="es-ES"/>
        </w:rPr>
        <w:t xml:space="preserve">RESPUESTA: </w:t>
      </w:r>
      <w:r w:rsidRPr="00360FDF">
        <w:rPr>
          <w:rFonts w:ascii="Palatino Linotype" w:eastAsia="MS Mincho" w:hAnsi="Palatino Linotype" w:cs="Arial"/>
          <w:i/>
          <w:color w:val="000000" w:themeColor="text1"/>
          <w:sz w:val="24"/>
          <w:szCs w:val="24"/>
          <w:lang w:val="es-ES_tradnl" w:eastAsia="es-ES"/>
        </w:rPr>
        <w:t>No se cuenta con antecedente de resolución emitida en razón</w:t>
      </w:r>
      <w:r w:rsidR="009C20EA" w:rsidRPr="00360FDF">
        <w:rPr>
          <w:rFonts w:ascii="Palatino Linotype" w:eastAsia="MS Mincho" w:hAnsi="Palatino Linotype" w:cs="Arial"/>
          <w:i/>
          <w:color w:val="000000" w:themeColor="text1"/>
          <w:sz w:val="24"/>
          <w:szCs w:val="24"/>
          <w:lang w:val="es-ES_tradnl" w:eastAsia="es-ES"/>
        </w:rPr>
        <w:t xml:space="preserve"> de que el C. Carlos Aranza Doniz, haya acudido al Super Bowl, tampoco se cuenta con antecedente de resolución en que se encuentre involucrado el C. José Fernando Gil García. </w:t>
      </w:r>
    </w:p>
    <w:p w14:paraId="429A3454" w14:textId="77777777" w:rsidR="00923657" w:rsidRPr="00360FDF" w:rsidRDefault="009C20EA" w:rsidP="00CA3815">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r w:rsidRPr="00360FDF">
        <w:rPr>
          <w:rFonts w:ascii="Palatino Linotype" w:eastAsia="MS Mincho" w:hAnsi="Palatino Linotype" w:cs="Arial"/>
          <w:i/>
          <w:color w:val="000000" w:themeColor="text1"/>
          <w:sz w:val="24"/>
          <w:szCs w:val="24"/>
          <w:lang w:val="es-ES_tradnl" w:eastAsia="es-ES"/>
        </w:rPr>
        <w:t xml:space="preserve">Respecto de: “Saber si se les inició algún procedimiento disciplinario” </w:t>
      </w:r>
    </w:p>
    <w:p w14:paraId="30D65A5A" w14:textId="77777777" w:rsidR="00923657" w:rsidRPr="00360FDF" w:rsidRDefault="00923657" w:rsidP="00CA3815">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p>
    <w:p w14:paraId="2A54EE63" w14:textId="77777777" w:rsidR="00923657" w:rsidRPr="00360FDF" w:rsidRDefault="009C20EA" w:rsidP="00CA3815">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r w:rsidRPr="00360FDF">
        <w:rPr>
          <w:rFonts w:ascii="Palatino Linotype" w:eastAsia="MS Mincho" w:hAnsi="Palatino Linotype" w:cs="Arial"/>
          <w:b/>
          <w:i/>
          <w:color w:val="000000" w:themeColor="text1"/>
          <w:sz w:val="24"/>
          <w:szCs w:val="24"/>
          <w:lang w:val="es-ES_tradnl" w:eastAsia="es-ES"/>
        </w:rPr>
        <w:lastRenderedPageBreak/>
        <w:t xml:space="preserve">RESPUESTA: </w:t>
      </w:r>
      <w:r w:rsidRPr="00360FDF">
        <w:rPr>
          <w:rFonts w:ascii="Palatino Linotype" w:eastAsia="MS Mincho" w:hAnsi="Palatino Linotype" w:cs="Arial"/>
          <w:i/>
          <w:color w:val="000000" w:themeColor="text1"/>
          <w:sz w:val="24"/>
          <w:szCs w:val="24"/>
          <w:lang w:val="es-ES_tradnl" w:eastAsia="es-ES"/>
        </w:rPr>
        <w:t xml:space="preserve">No se cuenta con antecedente. </w:t>
      </w:r>
    </w:p>
    <w:p w14:paraId="174A0E94" w14:textId="77777777" w:rsidR="00923657" w:rsidRPr="00360FDF" w:rsidRDefault="00923657" w:rsidP="00CA3815">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p>
    <w:p w14:paraId="0F1E099A" w14:textId="77777777" w:rsidR="00923657" w:rsidRPr="00360FDF" w:rsidRDefault="009C20EA" w:rsidP="00CA3815">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r w:rsidRPr="00360FDF">
        <w:rPr>
          <w:rFonts w:ascii="Palatino Linotype" w:eastAsia="MS Mincho" w:hAnsi="Palatino Linotype" w:cs="Arial"/>
          <w:i/>
          <w:color w:val="000000" w:themeColor="text1"/>
          <w:sz w:val="24"/>
          <w:szCs w:val="24"/>
          <w:lang w:val="es-ES_tradnl" w:eastAsia="es-ES"/>
        </w:rPr>
        <w:t xml:space="preserve">En relación con: “…en caso de ser positivo, quiero conocer le expediente en versión pública, en pdf o word, o al menos de la resolución que determina sus ceses. Quiero saber si estas decisiones de cese fueron impugnadas, en caso </w:t>
      </w:r>
      <w:r w:rsidR="00923657" w:rsidRPr="00360FDF">
        <w:rPr>
          <w:rFonts w:ascii="Palatino Linotype" w:eastAsia="MS Mincho" w:hAnsi="Palatino Linotype" w:cs="Arial"/>
          <w:i/>
          <w:color w:val="000000" w:themeColor="text1"/>
          <w:sz w:val="24"/>
          <w:szCs w:val="24"/>
          <w:lang w:val="es-ES_tradnl" w:eastAsia="es-ES"/>
        </w:rPr>
        <w:t>positivo</w:t>
      </w:r>
      <w:r w:rsidRPr="00360FDF">
        <w:rPr>
          <w:rFonts w:ascii="Palatino Linotype" w:eastAsia="MS Mincho" w:hAnsi="Palatino Linotype" w:cs="Arial"/>
          <w:i/>
          <w:color w:val="000000" w:themeColor="text1"/>
          <w:sz w:val="24"/>
          <w:szCs w:val="24"/>
          <w:lang w:val="es-ES_tradnl" w:eastAsia="es-ES"/>
        </w:rPr>
        <w:t xml:space="preserve">, saber ante que autoridad fueron impugnadas, y los números de los </w:t>
      </w:r>
      <w:r w:rsidR="00923657" w:rsidRPr="00360FDF">
        <w:rPr>
          <w:rFonts w:ascii="Palatino Linotype" w:eastAsia="MS Mincho" w:hAnsi="Palatino Linotype" w:cs="Arial"/>
          <w:i/>
          <w:color w:val="000000" w:themeColor="text1"/>
          <w:sz w:val="24"/>
          <w:szCs w:val="24"/>
          <w:lang w:val="es-ES_tradnl" w:eastAsia="es-ES"/>
        </w:rPr>
        <w:t>expedientes</w:t>
      </w:r>
      <w:r w:rsidRPr="00360FDF">
        <w:rPr>
          <w:rFonts w:ascii="Palatino Linotype" w:eastAsia="MS Mincho" w:hAnsi="Palatino Linotype" w:cs="Arial"/>
          <w:i/>
          <w:color w:val="000000" w:themeColor="text1"/>
          <w:sz w:val="24"/>
          <w:szCs w:val="24"/>
          <w:lang w:val="es-ES_tradnl" w:eastAsia="es-ES"/>
        </w:rPr>
        <w:t xml:space="preserve"> asignados a las mismas, y de ser el caso quiero tener acceso en versión pública, en pdf o Word de las resoluciones” </w:t>
      </w:r>
    </w:p>
    <w:p w14:paraId="0E631784" w14:textId="77777777" w:rsidR="00923657" w:rsidRPr="00360FDF" w:rsidRDefault="00923657" w:rsidP="00CA3815">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p>
    <w:p w14:paraId="0A89C9C5" w14:textId="77777777" w:rsidR="00E95081" w:rsidRPr="00360FDF" w:rsidRDefault="009C20EA" w:rsidP="00923657">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r w:rsidRPr="00360FDF">
        <w:rPr>
          <w:rFonts w:ascii="Palatino Linotype" w:eastAsia="MS Mincho" w:hAnsi="Palatino Linotype" w:cs="Arial"/>
          <w:b/>
          <w:i/>
          <w:color w:val="000000" w:themeColor="text1"/>
          <w:sz w:val="24"/>
          <w:szCs w:val="24"/>
          <w:lang w:val="es-ES_tradnl" w:eastAsia="es-ES"/>
        </w:rPr>
        <w:t xml:space="preserve">RESPUESTA: </w:t>
      </w:r>
      <w:r w:rsidRPr="00360FDF">
        <w:rPr>
          <w:rFonts w:ascii="Palatino Linotype" w:eastAsia="MS Mincho" w:hAnsi="Palatino Linotype" w:cs="Arial"/>
          <w:i/>
          <w:color w:val="000000" w:themeColor="text1"/>
          <w:sz w:val="24"/>
          <w:szCs w:val="24"/>
          <w:lang w:val="es-ES_tradnl" w:eastAsia="es-ES"/>
        </w:rPr>
        <w:t>N</w:t>
      </w:r>
      <w:r w:rsidR="00F43A00" w:rsidRPr="00360FDF">
        <w:rPr>
          <w:rFonts w:ascii="Palatino Linotype" w:eastAsia="MS Mincho" w:hAnsi="Palatino Linotype" w:cs="Arial"/>
          <w:i/>
          <w:color w:val="000000" w:themeColor="text1"/>
          <w:sz w:val="24"/>
          <w:szCs w:val="24"/>
          <w:lang w:val="es-ES_tradnl" w:eastAsia="es-ES"/>
        </w:rPr>
        <w:t xml:space="preserve">o se cuenta con </w:t>
      </w:r>
      <w:proofErr w:type="gramStart"/>
      <w:r w:rsidR="00F43A00" w:rsidRPr="00360FDF">
        <w:rPr>
          <w:rFonts w:ascii="Palatino Linotype" w:eastAsia="MS Mincho" w:hAnsi="Palatino Linotype" w:cs="Arial"/>
          <w:i/>
          <w:color w:val="000000" w:themeColor="text1"/>
          <w:sz w:val="24"/>
          <w:szCs w:val="24"/>
          <w:lang w:val="es-ES_tradnl" w:eastAsia="es-ES"/>
        </w:rPr>
        <w:t>antecedente.</w:t>
      </w:r>
      <w:r w:rsidR="00923657" w:rsidRPr="00360FDF">
        <w:rPr>
          <w:rFonts w:ascii="Palatino Linotype" w:eastAsia="MS Mincho" w:hAnsi="Palatino Linotype" w:cs="Arial"/>
          <w:i/>
          <w:color w:val="000000" w:themeColor="text1"/>
          <w:sz w:val="24"/>
          <w:szCs w:val="24"/>
          <w:lang w:val="es-ES_tradnl" w:eastAsia="es-ES"/>
        </w:rPr>
        <w:t>“</w:t>
      </w:r>
      <w:proofErr w:type="gramEnd"/>
      <w:r w:rsidR="00923657" w:rsidRPr="00360FDF">
        <w:rPr>
          <w:rFonts w:ascii="Palatino Linotype" w:eastAsia="MS Mincho" w:hAnsi="Palatino Linotype" w:cs="Arial"/>
          <w:i/>
          <w:color w:val="000000" w:themeColor="text1"/>
          <w:sz w:val="24"/>
          <w:szCs w:val="24"/>
          <w:lang w:val="es-ES_tradnl" w:eastAsia="es-ES"/>
        </w:rPr>
        <w:t xml:space="preserve"> (Sic)</w:t>
      </w:r>
    </w:p>
    <w:p w14:paraId="630E417D" w14:textId="77777777" w:rsidR="00E95081" w:rsidRPr="00360FDF" w:rsidRDefault="00E95081" w:rsidP="00E95081">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p>
    <w:p w14:paraId="34F337B8" w14:textId="77777777" w:rsidR="00075791" w:rsidRPr="00360FDF" w:rsidRDefault="003234F4" w:rsidP="003234F4">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360FDF">
        <w:rPr>
          <w:rFonts w:ascii="Palatino Linotype" w:eastAsia="Times New Roman" w:hAnsi="Palatino Linotype" w:cs="Arial"/>
          <w:sz w:val="24"/>
          <w:szCs w:val="24"/>
          <w:lang w:val="es-ES" w:eastAsia="es-ES"/>
        </w:rPr>
        <w:t xml:space="preserve">Así las cosas, el </w:t>
      </w:r>
      <w:r w:rsidR="0076682A" w:rsidRPr="00360FDF">
        <w:rPr>
          <w:rFonts w:ascii="Palatino Linotype" w:eastAsia="Times New Roman" w:hAnsi="Palatino Linotype" w:cs="Arial"/>
          <w:sz w:val="24"/>
          <w:szCs w:val="24"/>
          <w:lang w:val="es-ES" w:eastAsia="es-ES"/>
        </w:rPr>
        <w:t xml:space="preserve">diecinueve </w:t>
      </w:r>
      <w:r w:rsidR="00166E0D" w:rsidRPr="00360FDF">
        <w:rPr>
          <w:rFonts w:ascii="Palatino Linotype" w:eastAsia="Times New Roman" w:hAnsi="Palatino Linotype" w:cs="Arial"/>
          <w:sz w:val="24"/>
          <w:szCs w:val="24"/>
          <w:lang w:val="es-ES" w:eastAsia="es-ES"/>
        </w:rPr>
        <w:t>(</w:t>
      </w:r>
      <w:r w:rsidR="0076682A" w:rsidRPr="00360FDF">
        <w:rPr>
          <w:rFonts w:ascii="Palatino Linotype" w:eastAsia="Times New Roman" w:hAnsi="Palatino Linotype" w:cs="Arial"/>
          <w:sz w:val="24"/>
          <w:szCs w:val="24"/>
          <w:lang w:val="es-ES" w:eastAsia="es-ES"/>
        </w:rPr>
        <w:t>19</w:t>
      </w:r>
      <w:r w:rsidR="00960D99" w:rsidRPr="00360FDF">
        <w:rPr>
          <w:rFonts w:ascii="Palatino Linotype" w:eastAsia="Times New Roman" w:hAnsi="Palatino Linotype" w:cs="Arial"/>
          <w:sz w:val="24"/>
          <w:szCs w:val="24"/>
          <w:lang w:val="es-ES" w:eastAsia="es-ES"/>
        </w:rPr>
        <w:t>) de</w:t>
      </w:r>
      <w:r w:rsidR="00EA0847" w:rsidRPr="00360FDF">
        <w:rPr>
          <w:rFonts w:ascii="Palatino Linotype" w:eastAsia="Times New Roman" w:hAnsi="Palatino Linotype" w:cs="Arial"/>
          <w:sz w:val="24"/>
          <w:szCs w:val="24"/>
          <w:lang w:val="es-ES" w:eastAsia="es-ES"/>
        </w:rPr>
        <w:t xml:space="preserve"> febrero </w:t>
      </w:r>
      <w:r w:rsidR="00F14552" w:rsidRPr="00360FDF">
        <w:rPr>
          <w:rFonts w:ascii="Palatino Linotype" w:eastAsia="Times New Roman" w:hAnsi="Palatino Linotype" w:cs="Arial"/>
          <w:sz w:val="24"/>
          <w:szCs w:val="24"/>
          <w:lang w:val="es-ES" w:eastAsia="es-ES"/>
        </w:rPr>
        <w:t>de dos mil</w:t>
      </w:r>
      <w:r w:rsidR="00EA0847" w:rsidRPr="00360FDF">
        <w:rPr>
          <w:rFonts w:ascii="Palatino Linotype" w:eastAsia="Times New Roman" w:hAnsi="Palatino Linotype" w:cs="Arial"/>
          <w:sz w:val="24"/>
          <w:szCs w:val="24"/>
          <w:lang w:val="es-ES" w:eastAsia="es-ES"/>
        </w:rPr>
        <w:t xml:space="preserve"> veintiuno</w:t>
      </w:r>
      <w:r w:rsidR="00792776" w:rsidRPr="00360FDF">
        <w:rPr>
          <w:rFonts w:ascii="Palatino Linotype" w:eastAsia="Times New Roman" w:hAnsi="Palatino Linotype" w:cs="Arial"/>
          <w:sz w:val="24"/>
          <w:szCs w:val="24"/>
          <w:lang w:val="es-ES" w:eastAsia="es-ES"/>
        </w:rPr>
        <w:t xml:space="preserve">, </w:t>
      </w:r>
      <w:r w:rsidR="005D422A" w:rsidRPr="00360FDF">
        <w:rPr>
          <w:rFonts w:ascii="Palatino Linotype" w:eastAsia="Times New Roman" w:hAnsi="Palatino Linotype" w:cs="Arial"/>
          <w:sz w:val="24"/>
          <w:szCs w:val="24"/>
          <w:lang w:val="es-ES" w:eastAsia="es-ES"/>
        </w:rPr>
        <w:t>el particular</w:t>
      </w:r>
      <w:r w:rsidR="00792776" w:rsidRPr="00360FDF">
        <w:rPr>
          <w:rFonts w:ascii="Palatino Linotype" w:eastAsia="Times New Roman" w:hAnsi="Palatino Linotype" w:cs="Arial"/>
          <w:sz w:val="24"/>
          <w:szCs w:val="24"/>
          <w:lang w:val="es-ES" w:eastAsia="es-ES"/>
        </w:rPr>
        <w:t xml:space="preserve"> interpus</w:t>
      </w:r>
      <w:r w:rsidR="00D91B82" w:rsidRPr="00360FDF">
        <w:rPr>
          <w:rFonts w:ascii="Palatino Linotype" w:eastAsia="Times New Roman" w:hAnsi="Palatino Linotype" w:cs="Arial"/>
          <w:sz w:val="24"/>
          <w:szCs w:val="24"/>
          <w:lang w:val="es-ES" w:eastAsia="es-ES"/>
        </w:rPr>
        <w:t>o</w:t>
      </w:r>
      <w:r w:rsidR="00792776" w:rsidRPr="00360FDF">
        <w:rPr>
          <w:rFonts w:ascii="Palatino Linotype" w:eastAsia="Times New Roman" w:hAnsi="Palatino Linotype" w:cs="Arial"/>
          <w:sz w:val="24"/>
          <w:szCs w:val="24"/>
          <w:lang w:val="es-ES" w:eastAsia="es-ES"/>
        </w:rPr>
        <w:t xml:space="preserve"> </w:t>
      </w:r>
      <w:r w:rsidR="00D91B82" w:rsidRPr="00360FDF">
        <w:rPr>
          <w:rFonts w:ascii="Palatino Linotype" w:eastAsia="Times New Roman" w:hAnsi="Palatino Linotype" w:cs="Arial"/>
          <w:sz w:val="24"/>
          <w:szCs w:val="24"/>
          <w:lang w:val="es-ES" w:eastAsia="es-ES"/>
        </w:rPr>
        <w:t>el</w:t>
      </w:r>
      <w:r w:rsidR="00792776" w:rsidRPr="00360FDF">
        <w:rPr>
          <w:rFonts w:ascii="Palatino Linotype" w:eastAsia="Times New Roman" w:hAnsi="Palatino Linotype" w:cs="Arial"/>
          <w:sz w:val="24"/>
          <w:szCs w:val="24"/>
          <w:lang w:val="es-ES" w:eastAsia="es-ES"/>
        </w:rPr>
        <w:t xml:space="preserve"> rec</w:t>
      </w:r>
      <w:r w:rsidR="009777F9" w:rsidRPr="00360FDF">
        <w:rPr>
          <w:rFonts w:ascii="Palatino Linotype" w:eastAsia="Times New Roman" w:hAnsi="Palatino Linotype" w:cs="Arial"/>
          <w:sz w:val="24"/>
          <w:szCs w:val="24"/>
          <w:lang w:val="es-ES" w:eastAsia="es-ES"/>
        </w:rPr>
        <w:t>urso de revisión ya indicado</w:t>
      </w:r>
      <w:r w:rsidR="00792776" w:rsidRPr="00360FDF">
        <w:rPr>
          <w:rFonts w:ascii="Palatino Linotype" w:eastAsia="Times New Roman" w:hAnsi="Palatino Linotype" w:cs="Arial"/>
          <w:sz w:val="24"/>
          <w:szCs w:val="24"/>
          <w:lang w:val="es-ES" w:eastAsia="es-ES"/>
        </w:rPr>
        <w:t>, en contra de</w:t>
      </w:r>
      <w:r w:rsidR="005D422A" w:rsidRPr="00360FDF">
        <w:rPr>
          <w:rFonts w:ascii="Palatino Linotype" w:eastAsia="Times New Roman" w:hAnsi="Palatino Linotype" w:cs="Arial"/>
          <w:sz w:val="24"/>
          <w:szCs w:val="24"/>
          <w:lang w:val="es-ES" w:eastAsia="es-ES"/>
        </w:rPr>
        <w:t xml:space="preserve"> la</w:t>
      </w:r>
      <w:r w:rsidR="00792776" w:rsidRPr="00360FDF">
        <w:rPr>
          <w:rFonts w:ascii="Palatino Linotype" w:eastAsia="Times New Roman" w:hAnsi="Palatino Linotype" w:cs="Arial"/>
          <w:sz w:val="24"/>
          <w:szCs w:val="24"/>
          <w:lang w:val="es-ES" w:eastAsia="es-ES"/>
        </w:rPr>
        <w:t xml:space="preserve"> respuesta</w:t>
      </w:r>
      <w:r w:rsidR="005D422A" w:rsidRPr="00360FDF">
        <w:rPr>
          <w:rFonts w:ascii="Palatino Linotype" w:eastAsia="Times New Roman" w:hAnsi="Palatino Linotype" w:cs="Arial"/>
          <w:sz w:val="24"/>
          <w:szCs w:val="24"/>
          <w:lang w:val="es-ES" w:eastAsia="es-ES"/>
        </w:rPr>
        <w:t xml:space="preserve"> del </w:t>
      </w:r>
      <w:r w:rsidR="00005F4A" w:rsidRPr="00360FDF">
        <w:rPr>
          <w:rFonts w:ascii="Palatino Linotype" w:eastAsia="Times New Roman" w:hAnsi="Palatino Linotype" w:cs="Arial"/>
          <w:b/>
          <w:bCs/>
          <w:sz w:val="24"/>
          <w:szCs w:val="24"/>
          <w:lang w:val="es-ES" w:eastAsia="es-ES"/>
        </w:rPr>
        <w:t>SUJETO OBLIGADO</w:t>
      </w:r>
      <w:r w:rsidR="00792776" w:rsidRPr="00360FDF">
        <w:rPr>
          <w:rFonts w:ascii="Palatino Linotype" w:eastAsia="Times New Roman" w:hAnsi="Palatino Linotype" w:cs="Arial"/>
          <w:sz w:val="24"/>
          <w:szCs w:val="24"/>
          <w:lang w:val="es-ES" w:eastAsia="es-ES"/>
        </w:rPr>
        <w:t xml:space="preserve">, </w:t>
      </w:r>
      <w:r w:rsidR="009A4582" w:rsidRPr="00360FDF">
        <w:rPr>
          <w:rFonts w:ascii="Palatino Linotype" w:eastAsia="Times New Roman" w:hAnsi="Palatino Linotype" w:cs="Arial"/>
          <w:sz w:val="24"/>
          <w:szCs w:val="24"/>
          <w:lang w:val="es-ES" w:eastAsia="es-ES"/>
        </w:rPr>
        <w:t>señalándose</w:t>
      </w:r>
      <w:r w:rsidR="00792776" w:rsidRPr="00360FDF">
        <w:rPr>
          <w:rFonts w:ascii="Palatino Linotype" w:eastAsia="Times New Roman" w:hAnsi="Palatino Linotype" w:cs="Arial"/>
          <w:sz w:val="24"/>
          <w:szCs w:val="24"/>
          <w:lang w:val="es-ES" w:eastAsia="es-ES"/>
        </w:rPr>
        <w:t xml:space="preserve"> lo siguiente:</w:t>
      </w:r>
    </w:p>
    <w:p w14:paraId="71AD697A" w14:textId="77777777" w:rsidR="00D91B82" w:rsidRPr="00360FDF"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14:paraId="24B47325" w14:textId="77777777" w:rsidR="00792776" w:rsidRPr="00360FDF" w:rsidRDefault="00792776" w:rsidP="0076682A">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360FDF">
        <w:rPr>
          <w:rFonts w:ascii="Palatino Linotype" w:eastAsia="MS Gothic" w:hAnsi="Palatino Linotype" w:cs="Times New Roman"/>
          <w:b/>
          <w:sz w:val="24"/>
          <w:szCs w:val="24"/>
          <w:lang w:val="es-ES"/>
        </w:rPr>
        <w:t>Acto impugnado</w:t>
      </w:r>
      <w:r w:rsidR="000A7870" w:rsidRPr="00360FDF">
        <w:rPr>
          <w:rFonts w:ascii="Palatino Linotype" w:eastAsia="MS Mincho" w:hAnsi="Palatino Linotype" w:cs="Times New Roman"/>
          <w:sz w:val="24"/>
          <w:szCs w:val="24"/>
          <w:lang w:val="es-ES_tradnl" w:eastAsia="es-ES"/>
        </w:rPr>
        <w:t xml:space="preserve">: </w:t>
      </w:r>
      <w:r w:rsidRPr="00360FDF">
        <w:rPr>
          <w:rFonts w:ascii="Palatino Linotype" w:eastAsia="MS Mincho" w:hAnsi="Palatino Linotype" w:cs="Times New Roman"/>
          <w:i/>
          <w:sz w:val="24"/>
          <w:szCs w:val="24"/>
          <w:lang w:val="es-ES_tradnl" w:eastAsia="es-ES"/>
        </w:rPr>
        <w:t>“</w:t>
      </w:r>
      <w:r w:rsidR="0076682A" w:rsidRPr="00360FDF">
        <w:rPr>
          <w:rFonts w:ascii="Palatino Linotype" w:eastAsia="MS Mincho" w:hAnsi="Palatino Linotype" w:cs="Times New Roman"/>
          <w:i/>
          <w:sz w:val="24"/>
          <w:szCs w:val="24"/>
          <w:lang w:val="es-ES_tradnl" w:eastAsia="es-ES"/>
        </w:rPr>
        <w:t xml:space="preserve">Con base en el principio de máxima transparencia, no basta con que su respuesta me diga no encontré la información o no se localizó. En su lugar deben de buscar en su base de datos e informarme cuál es la razón por la que se les eso si es que fue producto de un procedimiento de visa Tivo, si él renunció, o si se le revocó de manera discrecional su nombramiento por parte de la autoridad competente. De modo que su </w:t>
      </w:r>
      <w:r w:rsidR="0076682A" w:rsidRPr="00360FDF">
        <w:rPr>
          <w:rFonts w:ascii="Palatino Linotype" w:eastAsia="MS Mincho" w:hAnsi="Palatino Linotype" w:cs="Times New Roman"/>
          <w:i/>
          <w:sz w:val="24"/>
          <w:szCs w:val="24"/>
          <w:lang w:val="es-ES_tradnl" w:eastAsia="es-ES"/>
        </w:rPr>
        <w:lastRenderedPageBreak/>
        <w:t xml:space="preserve">respuesta tan tajante corta seca y poco fundada y motivada y no satisface el problema de transparencia y esto es </w:t>
      </w:r>
      <w:proofErr w:type="gramStart"/>
      <w:r w:rsidR="0076682A" w:rsidRPr="00360FDF">
        <w:rPr>
          <w:rFonts w:ascii="Palatino Linotype" w:eastAsia="MS Mincho" w:hAnsi="Palatino Linotype" w:cs="Times New Roman"/>
          <w:i/>
          <w:sz w:val="24"/>
          <w:szCs w:val="24"/>
          <w:lang w:val="es-ES_tradnl" w:eastAsia="es-ES"/>
        </w:rPr>
        <w:t>el información</w:t>
      </w:r>
      <w:proofErr w:type="gramEnd"/>
      <w:r w:rsidR="0076682A" w:rsidRPr="00360FDF">
        <w:rPr>
          <w:rFonts w:ascii="Palatino Linotype" w:eastAsia="MS Mincho" w:hAnsi="Palatino Linotype" w:cs="Times New Roman"/>
          <w:i/>
          <w:sz w:val="24"/>
          <w:szCs w:val="24"/>
          <w:lang w:val="es-ES_tradnl" w:eastAsia="es-ES"/>
        </w:rPr>
        <w:t xml:space="preserve"> que estoy planteando en mi solicitud en su estudio integral. Se está aplicando un criterio jurídico acartonado formalista y fuera de tiempo. Ya que la resolución no dijo nada respecto de Carlos Aranza Adonis no dijo si trabajo no dijo si no trabajo, no dijo si fue cesado, sólo dijo que no se encontró la información, pero no ahondó más y esto me causa perjuicio</w:t>
      </w:r>
      <w:r w:rsidR="00BA3C08" w:rsidRPr="00360FDF">
        <w:rPr>
          <w:rFonts w:ascii="Palatino Linotype" w:eastAsia="MS Mincho" w:hAnsi="Palatino Linotype" w:cs="Times New Roman"/>
          <w:i/>
          <w:sz w:val="24"/>
          <w:szCs w:val="24"/>
          <w:lang w:val="es-ES_tradnl" w:eastAsia="es-ES"/>
        </w:rPr>
        <w:t>.</w:t>
      </w:r>
      <w:r w:rsidRPr="00360FDF">
        <w:rPr>
          <w:rFonts w:ascii="Palatino Linotype" w:eastAsia="MS Mincho" w:hAnsi="Palatino Linotype" w:cs="Times New Roman"/>
          <w:i/>
          <w:sz w:val="24"/>
          <w:szCs w:val="24"/>
          <w:lang w:val="es-ES_tradnl" w:eastAsia="es-ES"/>
        </w:rPr>
        <w:t>”</w:t>
      </w:r>
      <w:r w:rsidR="007E6E9D" w:rsidRPr="00360FDF">
        <w:rPr>
          <w:rFonts w:ascii="Palatino Linotype" w:eastAsia="MS Mincho" w:hAnsi="Palatino Linotype" w:cs="Times New Roman"/>
          <w:i/>
          <w:sz w:val="24"/>
          <w:szCs w:val="24"/>
          <w:lang w:val="es-ES_tradnl" w:eastAsia="es-ES"/>
        </w:rPr>
        <w:t xml:space="preserve"> </w:t>
      </w:r>
      <w:r w:rsidRPr="00360FDF">
        <w:rPr>
          <w:rFonts w:ascii="Palatino Linotype" w:eastAsia="MS Mincho" w:hAnsi="Palatino Linotype" w:cs="Times New Roman"/>
          <w:i/>
          <w:sz w:val="24"/>
          <w:szCs w:val="24"/>
          <w:lang w:val="es-ES_tradnl" w:eastAsia="es-ES"/>
        </w:rPr>
        <w:t>(Sic)</w:t>
      </w:r>
      <w:r w:rsidR="008F40BF" w:rsidRPr="00360FDF">
        <w:rPr>
          <w:rFonts w:ascii="Palatino Linotype" w:eastAsia="MS Mincho" w:hAnsi="Palatino Linotype" w:cs="Times New Roman"/>
          <w:i/>
          <w:sz w:val="24"/>
          <w:szCs w:val="24"/>
          <w:lang w:val="es-ES_tradnl" w:eastAsia="es-ES"/>
        </w:rPr>
        <w:t xml:space="preserve">; y </w:t>
      </w:r>
    </w:p>
    <w:p w14:paraId="39B215CD" w14:textId="77777777" w:rsidR="00A612C0" w:rsidRPr="00360FDF"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14:paraId="7FFB3E9F" w14:textId="77777777" w:rsidR="00075791" w:rsidRPr="00360FDF" w:rsidRDefault="00792776" w:rsidP="0076682A">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360FDF">
        <w:rPr>
          <w:rFonts w:ascii="Palatino Linotype" w:eastAsia="MS Gothic" w:hAnsi="Palatino Linotype" w:cs="Times New Roman"/>
          <w:b/>
          <w:sz w:val="24"/>
          <w:szCs w:val="24"/>
          <w:lang w:val="es-ES"/>
        </w:rPr>
        <w:t>Razones o Motivos de inconformidad</w:t>
      </w:r>
      <w:r w:rsidRPr="00360FDF">
        <w:rPr>
          <w:rFonts w:ascii="Palatino Linotype" w:eastAsia="MS Mincho" w:hAnsi="Palatino Linotype" w:cs="Times New Roman"/>
          <w:sz w:val="24"/>
          <w:szCs w:val="24"/>
          <w:lang w:val="es-ES_tradnl" w:eastAsia="es-ES"/>
        </w:rPr>
        <w:t xml:space="preserve">: </w:t>
      </w:r>
      <w:r w:rsidRPr="00360FDF">
        <w:rPr>
          <w:rFonts w:ascii="Palatino Linotype" w:eastAsia="MS Mincho" w:hAnsi="Palatino Linotype" w:cs="Times New Roman"/>
          <w:i/>
          <w:sz w:val="24"/>
          <w:szCs w:val="24"/>
          <w:lang w:val="es-ES_tradnl" w:eastAsia="es-ES"/>
        </w:rPr>
        <w:t>“</w:t>
      </w:r>
      <w:r w:rsidR="0076682A" w:rsidRPr="00360FDF">
        <w:rPr>
          <w:rFonts w:ascii="Palatino Linotype" w:eastAsia="MS Mincho" w:hAnsi="Palatino Linotype" w:cs="Times New Roman"/>
          <w:i/>
          <w:sz w:val="24"/>
          <w:szCs w:val="24"/>
          <w:lang w:val="es-ES_tradnl" w:eastAsia="es-ES"/>
        </w:rPr>
        <w:t xml:space="preserve">Con base en el principio de máxima transparencia, no basta con que su respuesta me diga no encontré la información o no se localizó. En su lugar deben de buscar en su base de datos e informarme cuál es la razón por la que se les eso si es que fue producto de un procedimiento de visa Tivo, si él renunció, o si se le revocó de manera discrecional su nombramiento por parte de la autoridad competente. De modo que su respuesta tan tajante corta seca y poco fundada y motivada y no satisface el problema de transparencia y esto es </w:t>
      </w:r>
      <w:proofErr w:type="gramStart"/>
      <w:r w:rsidR="0076682A" w:rsidRPr="00360FDF">
        <w:rPr>
          <w:rFonts w:ascii="Palatino Linotype" w:eastAsia="MS Mincho" w:hAnsi="Palatino Linotype" w:cs="Times New Roman"/>
          <w:i/>
          <w:sz w:val="24"/>
          <w:szCs w:val="24"/>
          <w:lang w:val="es-ES_tradnl" w:eastAsia="es-ES"/>
        </w:rPr>
        <w:t>el información</w:t>
      </w:r>
      <w:proofErr w:type="gramEnd"/>
      <w:r w:rsidR="0076682A" w:rsidRPr="00360FDF">
        <w:rPr>
          <w:rFonts w:ascii="Palatino Linotype" w:eastAsia="MS Mincho" w:hAnsi="Palatino Linotype" w:cs="Times New Roman"/>
          <w:i/>
          <w:sz w:val="24"/>
          <w:szCs w:val="24"/>
          <w:lang w:val="es-ES_tradnl" w:eastAsia="es-ES"/>
        </w:rPr>
        <w:t xml:space="preserve"> que estoy planteando en mi solicitud en su estudio integral. Se está aplicando un criterio jurídico acartonado formalista y fuera de tiempo. Ya que la resolución no dijo nada respecto de Carlos Aranza Adonis no dijo si trabajo no dijo si no trabajo, no dijo si fue cesado, sólo dijo que no se </w:t>
      </w:r>
      <w:r w:rsidR="0076682A" w:rsidRPr="00360FDF">
        <w:rPr>
          <w:rFonts w:ascii="Palatino Linotype" w:eastAsia="MS Mincho" w:hAnsi="Palatino Linotype" w:cs="Times New Roman"/>
          <w:i/>
          <w:sz w:val="24"/>
          <w:szCs w:val="24"/>
          <w:lang w:val="es-ES_tradnl" w:eastAsia="es-ES"/>
        </w:rPr>
        <w:lastRenderedPageBreak/>
        <w:t>encontró la información, pero no ahondó más y esto me causa perjuicio.</w:t>
      </w:r>
      <w:r w:rsidR="003122CB" w:rsidRPr="00360FDF">
        <w:rPr>
          <w:rFonts w:ascii="Palatino Linotype" w:eastAsia="MS Mincho" w:hAnsi="Palatino Linotype" w:cs="Times New Roman"/>
          <w:i/>
          <w:sz w:val="24"/>
          <w:szCs w:val="24"/>
          <w:lang w:val="es-ES_tradnl" w:eastAsia="es-ES"/>
        </w:rPr>
        <w:t>”.</w:t>
      </w:r>
      <w:r w:rsidRPr="00360FDF">
        <w:rPr>
          <w:rFonts w:ascii="Palatino Linotype" w:eastAsia="MS Mincho" w:hAnsi="Palatino Linotype" w:cs="Times New Roman"/>
          <w:i/>
          <w:sz w:val="24"/>
          <w:szCs w:val="24"/>
          <w:lang w:val="es-ES_tradnl" w:eastAsia="es-ES"/>
        </w:rPr>
        <w:t xml:space="preserve"> (Sic)</w:t>
      </w:r>
      <w:r w:rsidR="009C789B" w:rsidRPr="00360FDF">
        <w:rPr>
          <w:rFonts w:ascii="Palatino Linotype" w:eastAsia="MS Mincho" w:hAnsi="Palatino Linotype" w:cs="Times New Roman"/>
          <w:i/>
          <w:sz w:val="24"/>
          <w:szCs w:val="24"/>
          <w:lang w:val="es-ES_tradnl" w:eastAsia="es-ES"/>
        </w:rPr>
        <w:t xml:space="preserve"> </w:t>
      </w:r>
    </w:p>
    <w:p w14:paraId="649E6234" w14:textId="77777777" w:rsidR="00382E9E" w:rsidRPr="00360FDF"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2B2A5C41" w14:textId="77777777" w:rsidR="00792776" w:rsidRPr="00360FDF"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360FDF">
        <w:rPr>
          <w:rFonts w:ascii="Palatino Linotype" w:eastAsia="Times New Roman" w:hAnsi="Palatino Linotype" w:cs="Arial"/>
          <w:sz w:val="24"/>
          <w:szCs w:val="24"/>
          <w:lang w:val="es-ES" w:eastAsia="es-ES"/>
        </w:rPr>
        <w:t>Se registr</w:t>
      </w:r>
      <w:r w:rsidR="007C28F5" w:rsidRPr="00360FDF">
        <w:rPr>
          <w:rFonts w:ascii="Palatino Linotype" w:eastAsia="Times New Roman" w:hAnsi="Palatino Linotype" w:cs="Arial"/>
          <w:sz w:val="24"/>
          <w:szCs w:val="24"/>
          <w:lang w:val="es-ES" w:eastAsia="es-ES"/>
        </w:rPr>
        <w:t>ó</w:t>
      </w:r>
      <w:r w:rsidRPr="00360FDF">
        <w:rPr>
          <w:rFonts w:ascii="Palatino Linotype" w:eastAsia="Times New Roman" w:hAnsi="Palatino Linotype" w:cs="Arial"/>
          <w:sz w:val="24"/>
          <w:szCs w:val="24"/>
          <w:lang w:val="es-ES" w:eastAsia="es-ES"/>
        </w:rPr>
        <w:t xml:space="preserve"> </w:t>
      </w:r>
      <w:r w:rsidR="007C28F5" w:rsidRPr="00360FDF">
        <w:rPr>
          <w:rFonts w:ascii="Palatino Linotype" w:eastAsia="Times New Roman" w:hAnsi="Palatino Linotype" w:cs="Arial"/>
          <w:sz w:val="24"/>
          <w:szCs w:val="24"/>
          <w:lang w:val="es-ES" w:eastAsia="es-ES"/>
        </w:rPr>
        <w:t>el</w:t>
      </w:r>
      <w:r w:rsidRPr="00360FDF">
        <w:rPr>
          <w:rFonts w:ascii="Palatino Linotype" w:eastAsia="Times New Roman" w:hAnsi="Palatino Linotype" w:cs="Arial"/>
          <w:sz w:val="24"/>
          <w:szCs w:val="24"/>
          <w:lang w:val="es-ES" w:eastAsia="es-ES"/>
        </w:rPr>
        <w:t xml:space="preserve"> recurso de revisión bajo </w:t>
      </w:r>
      <w:r w:rsidR="007C28F5" w:rsidRPr="00360FDF">
        <w:rPr>
          <w:rFonts w:ascii="Palatino Linotype" w:eastAsia="Times New Roman" w:hAnsi="Palatino Linotype" w:cs="Arial"/>
          <w:sz w:val="24"/>
          <w:szCs w:val="24"/>
          <w:lang w:val="es-ES" w:eastAsia="es-ES"/>
        </w:rPr>
        <w:t>el</w:t>
      </w:r>
      <w:r w:rsidRPr="00360FDF">
        <w:rPr>
          <w:rFonts w:ascii="Palatino Linotype" w:eastAsia="Times New Roman" w:hAnsi="Palatino Linotype" w:cs="Arial"/>
          <w:sz w:val="24"/>
          <w:szCs w:val="24"/>
          <w:lang w:val="es-ES" w:eastAsia="es-ES"/>
        </w:rPr>
        <w:t xml:space="preserve"> númer</w:t>
      </w:r>
      <w:r w:rsidR="007C28F5" w:rsidRPr="00360FDF">
        <w:rPr>
          <w:rFonts w:ascii="Palatino Linotype" w:eastAsia="Times New Roman" w:hAnsi="Palatino Linotype" w:cs="Arial"/>
          <w:sz w:val="24"/>
          <w:szCs w:val="24"/>
          <w:lang w:val="es-ES" w:eastAsia="es-ES"/>
        </w:rPr>
        <w:t>o</w:t>
      </w:r>
      <w:r w:rsidRPr="00360FDF">
        <w:rPr>
          <w:rFonts w:ascii="Palatino Linotype" w:eastAsia="Times New Roman" w:hAnsi="Palatino Linotype" w:cs="Arial"/>
          <w:sz w:val="24"/>
          <w:szCs w:val="24"/>
          <w:lang w:val="es-ES" w:eastAsia="es-ES"/>
        </w:rPr>
        <w:t xml:space="preserve"> de expediente al rubro indicado, </w:t>
      </w:r>
      <w:r w:rsidRPr="00360FDF">
        <w:rPr>
          <w:rFonts w:ascii="Palatino Linotype" w:eastAsia="MS Mincho" w:hAnsi="Palatino Linotype" w:cs="Arial"/>
          <w:bCs/>
          <w:sz w:val="24"/>
          <w:szCs w:val="24"/>
          <w:lang w:val="es-ES_tradnl" w:eastAsia="es-ES"/>
        </w:rPr>
        <w:t xml:space="preserve">con fundamento en lo dispuesto por el </w:t>
      </w:r>
      <w:r w:rsidRPr="00360FDF">
        <w:rPr>
          <w:rFonts w:ascii="Palatino Linotype" w:eastAsia="Calibri" w:hAnsi="Palatino Linotype" w:cs="Arial"/>
          <w:sz w:val="24"/>
          <w:szCs w:val="24"/>
          <w:lang w:val="es-ES" w:eastAsia="es-ES"/>
        </w:rPr>
        <w:t xml:space="preserve">artículo 185 fracción I de la </w:t>
      </w:r>
      <w:r w:rsidRPr="00360FD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60FDF">
        <w:rPr>
          <w:rFonts w:ascii="Palatino Linotype" w:eastAsia="Times New Roman" w:hAnsi="Palatino Linotype" w:cs="Arial"/>
          <w:sz w:val="24"/>
          <w:szCs w:val="24"/>
          <w:lang w:val="es-ES" w:eastAsia="es-ES"/>
        </w:rPr>
        <w:t xml:space="preserve">se turnó al </w:t>
      </w:r>
      <w:r w:rsidRPr="00360FDF">
        <w:rPr>
          <w:rFonts w:ascii="Palatino Linotype" w:eastAsia="Times New Roman" w:hAnsi="Palatino Linotype" w:cs="Arial"/>
          <w:b/>
          <w:sz w:val="24"/>
          <w:szCs w:val="24"/>
          <w:lang w:val="es-ES" w:eastAsia="es-ES"/>
        </w:rPr>
        <w:t xml:space="preserve">Comisionado José Guadalupe Luna Hernández, </w:t>
      </w:r>
      <w:r w:rsidRPr="00360FDF">
        <w:rPr>
          <w:rFonts w:ascii="Palatino Linotype" w:eastAsia="Times New Roman" w:hAnsi="Palatino Linotype" w:cs="Arial"/>
          <w:sz w:val="24"/>
          <w:szCs w:val="24"/>
          <w:lang w:val="es-ES" w:eastAsia="es-ES"/>
        </w:rPr>
        <w:t xml:space="preserve">con el objeto de </w:t>
      </w:r>
      <w:r w:rsidRPr="00360FDF">
        <w:rPr>
          <w:rFonts w:ascii="Palatino Linotype" w:eastAsia="Times New Roman" w:hAnsi="Palatino Linotype" w:cs="Arial"/>
          <w:sz w:val="24"/>
          <w:szCs w:val="24"/>
          <w:lang w:eastAsia="es-ES"/>
        </w:rPr>
        <w:t>su análisis</w:t>
      </w:r>
      <w:r w:rsidRPr="00360FDF">
        <w:rPr>
          <w:rFonts w:ascii="Palatino Linotype" w:eastAsia="Times New Roman" w:hAnsi="Palatino Linotype" w:cs="Arial"/>
          <w:sz w:val="24"/>
          <w:szCs w:val="24"/>
        </w:rPr>
        <w:t xml:space="preserve">. </w:t>
      </w:r>
    </w:p>
    <w:p w14:paraId="1321EAA7" w14:textId="77777777" w:rsidR="007C28F5" w:rsidRPr="00360FDF"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1733D59F" w14:textId="77777777" w:rsidR="00430E13" w:rsidRPr="00360FDF" w:rsidRDefault="00792776" w:rsidP="00430E13">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360FDF">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360FDF">
        <w:rPr>
          <w:rFonts w:ascii="Palatino Linotype" w:eastAsia="Calibri" w:hAnsi="Palatino Linotype" w:cs="Arial"/>
          <w:sz w:val="24"/>
          <w:szCs w:val="24"/>
          <w:lang w:val="es-ES" w:eastAsia="es-ES"/>
        </w:rPr>
        <w:t xml:space="preserve">l </w:t>
      </w:r>
      <w:r w:rsidR="00800695" w:rsidRPr="00360FDF">
        <w:rPr>
          <w:rFonts w:ascii="Palatino Linotype" w:eastAsia="Calibri" w:hAnsi="Palatino Linotype" w:cs="Arial"/>
          <w:sz w:val="24"/>
          <w:szCs w:val="24"/>
          <w:lang w:val="es-ES" w:eastAsia="es-ES"/>
        </w:rPr>
        <w:t>acuerd</w:t>
      </w:r>
      <w:r w:rsidR="0073791E" w:rsidRPr="00360FDF">
        <w:rPr>
          <w:rFonts w:ascii="Palatino Linotype" w:eastAsia="Calibri" w:hAnsi="Palatino Linotype" w:cs="Arial"/>
          <w:sz w:val="24"/>
          <w:szCs w:val="24"/>
          <w:lang w:val="es-ES" w:eastAsia="es-ES"/>
        </w:rPr>
        <w:t>o de admisión de fecha veintitrés (23</w:t>
      </w:r>
      <w:r w:rsidR="00382E9E" w:rsidRPr="00360FDF">
        <w:rPr>
          <w:rFonts w:ascii="Palatino Linotype" w:eastAsia="Calibri" w:hAnsi="Palatino Linotype" w:cs="Arial"/>
          <w:sz w:val="24"/>
          <w:szCs w:val="24"/>
          <w:lang w:val="es-ES" w:eastAsia="es-ES"/>
        </w:rPr>
        <w:t>)</w:t>
      </w:r>
      <w:r w:rsidR="003E0C4D" w:rsidRPr="00360FDF">
        <w:rPr>
          <w:rFonts w:ascii="Palatino Linotype" w:eastAsia="Calibri" w:hAnsi="Palatino Linotype" w:cs="Arial"/>
          <w:sz w:val="24"/>
          <w:szCs w:val="24"/>
          <w:lang w:val="es-ES" w:eastAsia="es-ES"/>
        </w:rPr>
        <w:t xml:space="preserve"> de</w:t>
      </w:r>
      <w:r w:rsidR="0073791E" w:rsidRPr="00360FDF">
        <w:rPr>
          <w:rFonts w:ascii="Palatino Linotype" w:eastAsia="Calibri" w:hAnsi="Palatino Linotype" w:cs="Arial"/>
          <w:sz w:val="24"/>
          <w:szCs w:val="24"/>
          <w:lang w:val="es-ES" w:eastAsia="es-ES"/>
        </w:rPr>
        <w:t xml:space="preserve"> marzo</w:t>
      </w:r>
      <w:r w:rsidR="00B87E17" w:rsidRPr="00360FDF">
        <w:rPr>
          <w:rFonts w:ascii="Palatino Linotype" w:eastAsia="Calibri" w:hAnsi="Palatino Linotype" w:cs="Arial"/>
          <w:sz w:val="24"/>
          <w:szCs w:val="24"/>
          <w:lang w:val="es-ES" w:eastAsia="es-ES"/>
        </w:rPr>
        <w:t xml:space="preserve"> </w:t>
      </w:r>
      <w:r w:rsidR="00EA0847" w:rsidRPr="00360FDF">
        <w:rPr>
          <w:rFonts w:ascii="Palatino Linotype" w:eastAsia="Calibri" w:hAnsi="Palatino Linotype" w:cs="Arial"/>
          <w:sz w:val="24"/>
          <w:szCs w:val="24"/>
          <w:lang w:val="es-ES" w:eastAsia="es-ES"/>
        </w:rPr>
        <w:t>de dos mil veintiuno</w:t>
      </w:r>
      <w:r w:rsidR="00A93DF7" w:rsidRPr="00360FDF">
        <w:rPr>
          <w:rFonts w:ascii="Palatino Linotype" w:eastAsia="Calibri" w:hAnsi="Palatino Linotype" w:cs="Arial"/>
          <w:sz w:val="24"/>
          <w:szCs w:val="24"/>
          <w:lang w:val="es-ES" w:eastAsia="es-ES"/>
        </w:rPr>
        <w:t>,</w:t>
      </w:r>
      <w:r w:rsidRPr="00360FDF">
        <w:rPr>
          <w:rFonts w:ascii="Palatino Linotype" w:eastAsia="Calibri" w:hAnsi="Palatino Linotype" w:cs="Arial"/>
          <w:sz w:val="24"/>
          <w:szCs w:val="24"/>
          <w:lang w:val="es-ES" w:eastAsia="es-ES"/>
        </w:rPr>
        <w:t xml:space="preserve"> puso a disposición de las partes </w:t>
      </w:r>
      <w:r w:rsidR="007C28F5" w:rsidRPr="00360FDF">
        <w:rPr>
          <w:rFonts w:ascii="Palatino Linotype" w:eastAsia="Calibri" w:hAnsi="Palatino Linotype" w:cs="Arial"/>
          <w:sz w:val="24"/>
          <w:szCs w:val="24"/>
          <w:lang w:val="es-ES" w:eastAsia="es-ES"/>
        </w:rPr>
        <w:t>el</w:t>
      </w:r>
      <w:r w:rsidRPr="00360FDF">
        <w:rPr>
          <w:rFonts w:ascii="Palatino Linotype" w:eastAsia="Calibri" w:hAnsi="Palatino Linotype" w:cs="Arial"/>
          <w:sz w:val="24"/>
          <w:szCs w:val="24"/>
          <w:lang w:val="es-ES" w:eastAsia="es-ES"/>
        </w:rPr>
        <w:t xml:space="preserve"> expediente electrónico </w:t>
      </w:r>
      <w:r w:rsidRPr="00360FDF">
        <w:rPr>
          <w:rFonts w:ascii="Palatino Linotype" w:eastAsia="Calibri" w:hAnsi="Palatino Linotype" w:cs="Arial"/>
          <w:sz w:val="24"/>
          <w:szCs w:val="24"/>
          <w:lang w:val="es-ES_tradnl" w:eastAsia="es-ES"/>
        </w:rPr>
        <w:t xml:space="preserve">vía </w:t>
      </w:r>
      <w:r w:rsidRPr="00360FDF">
        <w:rPr>
          <w:rFonts w:ascii="Palatino Linotype" w:eastAsia="Calibri" w:hAnsi="Palatino Linotype" w:cs="Arial"/>
          <w:sz w:val="24"/>
          <w:szCs w:val="24"/>
          <w:lang w:val="es-ES" w:eastAsia="es-ES"/>
        </w:rPr>
        <w:t>Sistema de Acceso a la Información Mexiquense (</w:t>
      </w:r>
      <w:r w:rsidRPr="00360FDF">
        <w:rPr>
          <w:rFonts w:ascii="Palatino Linotype" w:eastAsia="Calibri" w:hAnsi="Palatino Linotype" w:cs="Arial"/>
          <w:b/>
          <w:sz w:val="24"/>
          <w:szCs w:val="24"/>
          <w:lang w:val="es-ES" w:eastAsia="es-ES"/>
        </w:rPr>
        <w:t xml:space="preserve">SAIMEX) </w:t>
      </w:r>
      <w:r w:rsidRPr="00360FDF">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360FDF">
        <w:rPr>
          <w:rFonts w:ascii="Palatino Linotype" w:eastAsia="Calibri" w:hAnsi="Palatino Linotype" w:cs="Arial"/>
          <w:sz w:val="24"/>
          <w:szCs w:val="24"/>
          <w:lang w:val="es-ES" w:eastAsia="es-ES"/>
        </w:rPr>
        <w:t xml:space="preserve">, de esta forma para que el </w:t>
      </w:r>
      <w:r w:rsidR="00D84EEB" w:rsidRPr="00360FDF">
        <w:rPr>
          <w:rFonts w:ascii="Palatino Linotype" w:eastAsia="Calibri" w:hAnsi="Palatino Linotype" w:cs="Arial"/>
          <w:b/>
          <w:sz w:val="24"/>
          <w:szCs w:val="24"/>
          <w:lang w:val="es-ES" w:eastAsia="es-ES"/>
        </w:rPr>
        <w:t>SUJETO OBLIGADO</w:t>
      </w:r>
      <w:r w:rsidR="00A93DF7" w:rsidRPr="00360FDF">
        <w:rPr>
          <w:rFonts w:ascii="Palatino Linotype" w:eastAsia="Calibri" w:hAnsi="Palatino Linotype" w:cs="Arial"/>
          <w:sz w:val="24"/>
          <w:szCs w:val="24"/>
          <w:lang w:val="es-ES" w:eastAsia="es-ES"/>
        </w:rPr>
        <w:t xml:space="preserve"> </w:t>
      </w:r>
      <w:r w:rsidR="009C789B" w:rsidRPr="00360FDF">
        <w:rPr>
          <w:rFonts w:ascii="Palatino Linotype" w:eastAsia="Calibri" w:hAnsi="Palatino Linotype" w:cs="Arial"/>
          <w:sz w:val="24"/>
          <w:szCs w:val="24"/>
          <w:lang w:val="es-ES" w:eastAsia="es-ES"/>
        </w:rPr>
        <w:t>presentara</w:t>
      </w:r>
      <w:r w:rsidR="00A56228" w:rsidRPr="00360FDF">
        <w:rPr>
          <w:rFonts w:ascii="Palatino Linotype" w:eastAsia="Calibri" w:hAnsi="Palatino Linotype" w:cs="Arial"/>
          <w:sz w:val="24"/>
          <w:szCs w:val="24"/>
          <w:lang w:val="es-ES" w:eastAsia="es-ES"/>
        </w:rPr>
        <w:t xml:space="preserve"> el </w:t>
      </w:r>
      <w:r w:rsidR="003234F4" w:rsidRPr="00360FDF">
        <w:rPr>
          <w:rFonts w:ascii="Palatino Linotype" w:eastAsia="Calibri" w:hAnsi="Palatino Linotype" w:cs="Arial"/>
          <w:sz w:val="24"/>
          <w:szCs w:val="24"/>
          <w:lang w:val="es-ES" w:eastAsia="es-ES"/>
        </w:rPr>
        <w:t>Informe Justificado procedente:</w:t>
      </w:r>
    </w:p>
    <w:p w14:paraId="3A96FD25" w14:textId="77777777" w:rsidR="00430E13" w:rsidRPr="00360FDF" w:rsidRDefault="00430E13" w:rsidP="00430E13">
      <w:pPr>
        <w:pStyle w:val="Prrafodelista"/>
        <w:rPr>
          <w:rFonts w:ascii="Palatino Linotype" w:hAnsi="Palatino Linotype"/>
          <w:sz w:val="24"/>
          <w:szCs w:val="24"/>
        </w:rPr>
      </w:pPr>
    </w:p>
    <w:p w14:paraId="4D7A39C0" w14:textId="77777777" w:rsidR="00430E13" w:rsidRPr="00360FDF" w:rsidRDefault="0073791E" w:rsidP="0073791E">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360FDF">
        <w:rPr>
          <w:rFonts w:ascii="Palatino Linotype" w:hAnsi="Palatino Linotype"/>
          <w:sz w:val="24"/>
          <w:szCs w:val="24"/>
        </w:rPr>
        <w:t>El veinticinco (25</w:t>
      </w:r>
      <w:r w:rsidR="00430E13" w:rsidRPr="00360FDF">
        <w:rPr>
          <w:rFonts w:ascii="Palatino Linotype" w:hAnsi="Palatino Linotype"/>
          <w:sz w:val="24"/>
          <w:szCs w:val="24"/>
        </w:rPr>
        <w:t>) de</w:t>
      </w:r>
      <w:r w:rsidRPr="00360FDF">
        <w:rPr>
          <w:rFonts w:ascii="Palatino Linotype" w:hAnsi="Palatino Linotype"/>
          <w:sz w:val="24"/>
          <w:szCs w:val="24"/>
        </w:rPr>
        <w:t xml:space="preserve"> abril </w:t>
      </w:r>
      <w:r w:rsidR="00430E13" w:rsidRPr="00360FDF">
        <w:rPr>
          <w:rFonts w:ascii="Palatino Linotype" w:hAnsi="Palatino Linotype"/>
          <w:sz w:val="24"/>
          <w:szCs w:val="24"/>
        </w:rPr>
        <w:t xml:space="preserve">de dos mil veintiuno, el </w:t>
      </w:r>
      <w:r w:rsidR="00430E13" w:rsidRPr="00360FDF">
        <w:rPr>
          <w:rFonts w:ascii="Palatino Linotype" w:hAnsi="Palatino Linotype"/>
          <w:b/>
          <w:sz w:val="24"/>
          <w:szCs w:val="24"/>
        </w:rPr>
        <w:t>SUJETO OBLIGADO</w:t>
      </w:r>
      <w:r w:rsidRPr="00360FDF">
        <w:rPr>
          <w:rFonts w:ascii="Palatino Linotype" w:hAnsi="Palatino Linotype"/>
          <w:sz w:val="24"/>
          <w:szCs w:val="24"/>
        </w:rPr>
        <w:t xml:space="preserve"> rindió su informe </w:t>
      </w:r>
      <w:proofErr w:type="gramStart"/>
      <w:r w:rsidRPr="00360FDF">
        <w:rPr>
          <w:rFonts w:ascii="Palatino Linotype" w:hAnsi="Palatino Linotype"/>
          <w:sz w:val="24"/>
          <w:szCs w:val="24"/>
        </w:rPr>
        <w:t>justificado ,</w:t>
      </w:r>
      <w:proofErr w:type="gramEnd"/>
      <w:r w:rsidRPr="00360FDF">
        <w:rPr>
          <w:rFonts w:ascii="Palatino Linotype" w:hAnsi="Palatino Linotype"/>
          <w:sz w:val="24"/>
          <w:szCs w:val="24"/>
        </w:rPr>
        <w:t xml:space="preserve"> </w:t>
      </w:r>
      <w:r w:rsidR="00430E13" w:rsidRPr="00360FDF">
        <w:rPr>
          <w:rFonts w:ascii="Palatino Linotype" w:hAnsi="Palatino Linotype"/>
          <w:sz w:val="24"/>
          <w:szCs w:val="24"/>
        </w:rPr>
        <w:t>el cual</w:t>
      </w:r>
      <w:r w:rsidRPr="00360FDF">
        <w:rPr>
          <w:rFonts w:ascii="Palatino Linotype" w:hAnsi="Palatino Linotype"/>
          <w:sz w:val="24"/>
          <w:szCs w:val="24"/>
        </w:rPr>
        <w:t xml:space="preserve"> se puso a disposición del particular mediante acuerdo de fecha veintinueve de abril de dos mil veintiuno   </w:t>
      </w:r>
      <w:r w:rsidR="00430E13" w:rsidRPr="00360FDF">
        <w:rPr>
          <w:rFonts w:ascii="Palatino Linotype" w:hAnsi="Palatino Linotype"/>
          <w:sz w:val="24"/>
          <w:szCs w:val="24"/>
        </w:rPr>
        <w:t xml:space="preserve"> </w:t>
      </w:r>
      <w:r w:rsidRPr="00360FDF">
        <w:rPr>
          <w:rFonts w:ascii="Palatino Linotype" w:hAnsi="Palatino Linotype"/>
          <w:sz w:val="24"/>
          <w:szCs w:val="24"/>
        </w:rPr>
        <w:t xml:space="preserve">y contiene lo siguiente: </w:t>
      </w:r>
    </w:p>
    <w:p w14:paraId="65065543" w14:textId="77777777" w:rsidR="0073791E" w:rsidRPr="00360FDF" w:rsidRDefault="0073791E" w:rsidP="0073791E">
      <w:pPr>
        <w:pStyle w:val="Prrafodelista"/>
        <w:rPr>
          <w:rFonts w:ascii="Palatino Linotype" w:eastAsia="Calibri" w:hAnsi="Palatino Linotype" w:cs="Arial"/>
          <w:sz w:val="24"/>
          <w:szCs w:val="24"/>
          <w:lang w:val="es-ES" w:eastAsia="es-ES"/>
        </w:rPr>
      </w:pPr>
    </w:p>
    <w:p w14:paraId="3F01D55D" w14:textId="77777777" w:rsidR="0073791E" w:rsidRPr="00360FDF" w:rsidRDefault="0073791E" w:rsidP="003A4DE4">
      <w:pPr>
        <w:pStyle w:val="Prrafodelista"/>
        <w:numPr>
          <w:ilvl w:val="0"/>
          <w:numId w:val="4"/>
        </w:numPr>
        <w:tabs>
          <w:tab w:val="left" w:pos="0"/>
        </w:tabs>
        <w:spacing w:after="0" w:line="360" w:lineRule="auto"/>
        <w:ind w:left="567" w:right="616" w:firstLine="0"/>
        <w:jc w:val="both"/>
        <w:rPr>
          <w:rFonts w:ascii="Palatino Linotype" w:eastAsia="Calibri" w:hAnsi="Palatino Linotype" w:cs="Arial"/>
          <w:color w:val="000000" w:themeColor="text1"/>
          <w:sz w:val="24"/>
          <w:szCs w:val="24"/>
          <w:lang w:val="es-ES" w:eastAsia="es-ES"/>
        </w:rPr>
      </w:pPr>
      <w:r w:rsidRPr="00360FDF">
        <w:rPr>
          <w:rFonts w:ascii="Palatino Linotype" w:eastAsia="Calibri" w:hAnsi="Palatino Linotype" w:cs="Arial"/>
          <w:color w:val="000000" w:themeColor="text1"/>
          <w:sz w:val="24"/>
          <w:szCs w:val="24"/>
          <w:lang w:eastAsia="es-ES"/>
        </w:rPr>
        <w:t xml:space="preserve"> </w:t>
      </w:r>
      <w:hyperlink r:id="rId9" w:history="1">
        <w:r w:rsidRPr="00360FDF">
          <w:rPr>
            <w:rStyle w:val="Hipervnculo"/>
            <w:rFonts w:ascii="Palatino Linotype" w:eastAsia="Calibri" w:hAnsi="Palatino Linotype" w:cs="Arial"/>
            <w:b/>
            <w:bCs/>
            <w:color w:val="000000" w:themeColor="text1"/>
            <w:sz w:val="24"/>
            <w:szCs w:val="24"/>
            <w:u w:val="none"/>
            <w:lang w:eastAsia="es-ES"/>
          </w:rPr>
          <w:t>Scan_2021_03_25_13_10_20_081.pdf</w:t>
        </w:r>
      </w:hyperlink>
      <w:r w:rsidRPr="00360FDF">
        <w:rPr>
          <w:rFonts w:ascii="Palatino Linotype" w:eastAsia="Calibri" w:hAnsi="Palatino Linotype" w:cs="Arial"/>
          <w:color w:val="000000" w:themeColor="text1"/>
          <w:sz w:val="24"/>
          <w:szCs w:val="24"/>
          <w:lang w:val="es-ES" w:eastAsia="es-ES"/>
        </w:rPr>
        <w:t xml:space="preserve">: Documento </w:t>
      </w:r>
      <w:r w:rsidR="00324358" w:rsidRPr="00360FDF">
        <w:rPr>
          <w:rFonts w:ascii="Palatino Linotype" w:eastAsia="Calibri" w:hAnsi="Palatino Linotype" w:cs="Arial"/>
          <w:color w:val="000000" w:themeColor="text1"/>
          <w:sz w:val="24"/>
          <w:szCs w:val="24"/>
          <w:lang w:val="es-ES" w:eastAsia="es-ES"/>
        </w:rPr>
        <w:t>electrónico</w:t>
      </w:r>
      <w:r w:rsidRPr="00360FDF">
        <w:rPr>
          <w:rFonts w:ascii="Palatino Linotype" w:eastAsia="Calibri" w:hAnsi="Palatino Linotype" w:cs="Arial"/>
          <w:color w:val="000000" w:themeColor="text1"/>
          <w:sz w:val="24"/>
          <w:szCs w:val="24"/>
          <w:lang w:val="es-ES" w:eastAsia="es-ES"/>
        </w:rPr>
        <w:t xml:space="preserve"> que </w:t>
      </w:r>
      <w:r w:rsidR="00324358" w:rsidRPr="00360FDF">
        <w:rPr>
          <w:rFonts w:ascii="Palatino Linotype" w:eastAsia="Calibri" w:hAnsi="Palatino Linotype" w:cs="Arial"/>
          <w:color w:val="000000" w:themeColor="text1"/>
          <w:sz w:val="24"/>
          <w:szCs w:val="24"/>
          <w:lang w:val="es-ES" w:eastAsia="es-ES"/>
        </w:rPr>
        <w:t xml:space="preserve">en once (11) hojas medularmente se refiere que se atendió la solicitud de información a cabalidad ya que el Órgano de Control Interno emitió respuesta a la solicitud de información. </w:t>
      </w:r>
    </w:p>
    <w:p w14:paraId="44632B73" w14:textId="77777777" w:rsidR="003D1371" w:rsidRPr="00360FDF" w:rsidRDefault="003D1371" w:rsidP="007C57AE">
      <w:pPr>
        <w:tabs>
          <w:tab w:val="left" w:pos="0"/>
        </w:tabs>
        <w:spacing w:after="0" w:line="360" w:lineRule="auto"/>
        <w:ind w:right="616"/>
        <w:jc w:val="both"/>
        <w:rPr>
          <w:rFonts w:ascii="Palatino Linotype" w:eastAsia="Calibri" w:hAnsi="Palatino Linotype" w:cs="Arial"/>
          <w:b/>
          <w:sz w:val="24"/>
          <w:szCs w:val="24"/>
          <w:lang w:val="es-ES" w:eastAsia="es-ES"/>
        </w:rPr>
      </w:pPr>
    </w:p>
    <w:p w14:paraId="2B86AC60" w14:textId="77777777" w:rsidR="00324358" w:rsidRPr="00360FDF" w:rsidRDefault="00EA0847" w:rsidP="00324358">
      <w:pPr>
        <w:pStyle w:val="Prrafodelista"/>
        <w:numPr>
          <w:ilvl w:val="0"/>
          <w:numId w:val="1"/>
        </w:numPr>
        <w:spacing w:after="0" w:line="360" w:lineRule="auto"/>
        <w:ind w:left="0" w:firstLine="0"/>
        <w:jc w:val="both"/>
        <w:rPr>
          <w:rFonts w:ascii="Palatino Linotype" w:eastAsia="MS Mincho" w:hAnsi="Palatino Linotype" w:cs="Times New Roman"/>
          <w:b/>
          <w:sz w:val="24"/>
          <w:szCs w:val="24"/>
          <w:lang w:val="es-ES_tradnl" w:eastAsia="es-ES"/>
        </w:rPr>
      </w:pPr>
      <w:r w:rsidRPr="00360FDF">
        <w:rPr>
          <w:rFonts w:ascii="Palatino Linotype" w:eastAsia="MS Mincho" w:hAnsi="Palatino Linotype" w:cs="Times New Roman"/>
          <w:sz w:val="24"/>
          <w:szCs w:val="24"/>
          <w:lang w:val="es-ES_tradnl" w:eastAsia="es-ES"/>
        </w:rPr>
        <w:t xml:space="preserve">Así las </w:t>
      </w:r>
      <w:proofErr w:type="gramStart"/>
      <w:r w:rsidRPr="00360FDF">
        <w:rPr>
          <w:rFonts w:ascii="Palatino Linotype" w:eastAsia="MS Mincho" w:hAnsi="Palatino Linotype" w:cs="Times New Roman"/>
          <w:sz w:val="24"/>
          <w:szCs w:val="24"/>
          <w:lang w:val="es-ES_tradnl" w:eastAsia="es-ES"/>
        </w:rPr>
        <w:t>cosas</w:t>
      </w:r>
      <w:proofErr w:type="gramEnd"/>
      <w:r w:rsidRPr="00360FDF">
        <w:rPr>
          <w:rFonts w:ascii="Palatino Linotype" w:eastAsia="MS Mincho" w:hAnsi="Palatino Linotype" w:cs="Times New Roman"/>
          <w:sz w:val="24"/>
          <w:szCs w:val="24"/>
          <w:lang w:val="es-ES_tradnl" w:eastAsia="es-ES"/>
        </w:rPr>
        <w:t xml:space="preserve"> e</w:t>
      </w:r>
      <w:r w:rsidR="00BA736A" w:rsidRPr="00360FDF">
        <w:rPr>
          <w:rFonts w:ascii="Palatino Linotype" w:eastAsia="MS Mincho" w:hAnsi="Palatino Linotype" w:cs="Times New Roman"/>
          <w:sz w:val="24"/>
          <w:szCs w:val="24"/>
          <w:lang w:val="es-ES_tradnl" w:eastAsia="es-ES"/>
        </w:rPr>
        <w:t>l Comisionado Ponente decretó el cierre de instrucción</w:t>
      </w:r>
      <w:r w:rsidR="00BA736A" w:rsidRPr="00360FDF">
        <w:rPr>
          <w:rFonts w:ascii="Palatino Linotype" w:eastAsia="MS Mincho" w:hAnsi="Palatino Linotype" w:cs="Arial"/>
          <w:sz w:val="24"/>
          <w:szCs w:val="24"/>
          <w:lang w:val="es-ES_tradnl" w:eastAsia="es-ES"/>
        </w:rPr>
        <w:t xml:space="preserve"> </w:t>
      </w:r>
      <w:r w:rsidR="00BA736A" w:rsidRPr="00360FDF">
        <w:rPr>
          <w:rFonts w:ascii="Palatino Linotype" w:eastAsia="MS Mincho" w:hAnsi="Palatino Linotype" w:cs="Times New Roman"/>
          <w:sz w:val="24"/>
          <w:szCs w:val="24"/>
          <w:lang w:val="es-ES_tradnl" w:eastAsia="es-ES"/>
        </w:rPr>
        <w:t>med</w:t>
      </w:r>
      <w:r w:rsidR="006057F3" w:rsidRPr="00360FDF">
        <w:rPr>
          <w:rFonts w:ascii="Palatino Linotype" w:eastAsia="MS Mincho" w:hAnsi="Palatino Linotype" w:cs="Times New Roman"/>
          <w:sz w:val="24"/>
          <w:szCs w:val="24"/>
          <w:lang w:val="es-ES_tradnl" w:eastAsia="es-ES"/>
        </w:rPr>
        <w:t>iante a</w:t>
      </w:r>
      <w:r w:rsidR="004D71E6" w:rsidRPr="00360FDF">
        <w:rPr>
          <w:rFonts w:ascii="Palatino Linotype" w:eastAsia="MS Mincho" w:hAnsi="Palatino Linotype" w:cs="Times New Roman"/>
          <w:sz w:val="24"/>
          <w:szCs w:val="24"/>
          <w:lang w:val="es-ES_tradnl" w:eastAsia="es-ES"/>
        </w:rPr>
        <w:t>cu</w:t>
      </w:r>
      <w:r w:rsidR="004D1626" w:rsidRPr="00360FDF">
        <w:rPr>
          <w:rFonts w:ascii="Palatino Linotype" w:eastAsia="MS Mincho" w:hAnsi="Palatino Linotype" w:cs="Times New Roman"/>
          <w:sz w:val="24"/>
          <w:szCs w:val="24"/>
          <w:lang w:val="es-ES_tradnl" w:eastAsia="es-ES"/>
        </w:rPr>
        <w:t>erdo de fecha veintisiete</w:t>
      </w:r>
      <w:r w:rsidR="00A268C7" w:rsidRPr="00360FDF">
        <w:rPr>
          <w:rFonts w:ascii="Palatino Linotype" w:eastAsia="MS Mincho" w:hAnsi="Palatino Linotype" w:cs="Times New Roman"/>
          <w:sz w:val="24"/>
          <w:szCs w:val="24"/>
          <w:lang w:val="es-ES_tradnl" w:eastAsia="es-ES"/>
        </w:rPr>
        <w:t xml:space="preserve"> </w:t>
      </w:r>
      <w:r w:rsidR="004D1626" w:rsidRPr="00360FDF">
        <w:rPr>
          <w:rFonts w:ascii="Palatino Linotype" w:eastAsia="MS Mincho" w:hAnsi="Palatino Linotype" w:cs="Times New Roman"/>
          <w:sz w:val="24"/>
          <w:szCs w:val="24"/>
          <w:lang w:val="es-ES_tradnl" w:eastAsia="es-ES"/>
        </w:rPr>
        <w:t>(27</w:t>
      </w:r>
      <w:r w:rsidR="00BA736A" w:rsidRPr="00360FDF">
        <w:rPr>
          <w:rFonts w:ascii="Palatino Linotype" w:eastAsia="MS Mincho" w:hAnsi="Palatino Linotype" w:cs="Times New Roman"/>
          <w:sz w:val="24"/>
          <w:szCs w:val="24"/>
          <w:lang w:val="es-ES_tradnl" w:eastAsia="es-ES"/>
        </w:rPr>
        <w:t>) de</w:t>
      </w:r>
      <w:r w:rsidR="004D1626" w:rsidRPr="00360FDF">
        <w:rPr>
          <w:rFonts w:ascii="Palatino Linotype" w:eastAsia="MS Mincho" w:hAnsi="Palatino Linotype" w:cs="Times New Roman"/>
          <w:sz w:val="24"/>
          <w:szCs w:val="24"/>
          <w:lang w:val="es-ES_tradnl" w:eastAsia="es-ES"/>
        </w:rPr>
        <w:t xml:space="preserve"> mayo de</w:t>
      </w:r>
      <w:r w:rsidR="00430E13" w:rsidRPr="00360FDF">
        <w:rPr>
          <w:rFonts w:ascii="Palatino Linotype" w:eastAsia="MS Mincho" w:hAnsi="Palatino Linotype" w:cs="Times New Roman"/>
          <w:sz w:val="24"/>
          <w:szCs w:val="24"/>
          <w:lang w:val="es-ES_tradnl" w:eastAsia="es-ES"/>
        </w:rPr>
        <w:t xml:space="preserve"> dos mil veintiuno</w:t>
      </w:r>
      <w:r w:rsidR="00BA736A" w:rsidRPr="00360FDF">
        <w:rPr>
          <w:rFonts w:ascii="Palatino Linotype" w:eastAsia="MS Mincho" w:hAnsi="Palatino Linotype" w:cs="Times New Roman"/>
          <w:sz w:val="24"/>
          <w:szCs w:val="24"/>
          <w:lang w:val="es-ES_tradnl" w:eastAsia="es-ES"/>
        </w:rPr>
        <w:t xml:space="preserve">, </w:t>
      </w:r>
      <w:r w:rsidR="00094408" w:rsidRPr="00360FDF">
        <w:rPr>
          <w:rFonts w:ascii="Palatino Linotype" w:eastAsia="MS Mincho" w:hAnsi="Palatino Linotype" w:cs="Arial"/>
          <w:sz w:val="24"/>
          <w:szCs w:val="24"/>
          <w:lang w:val="es-ES_tradnl" w:eastAsia="es-ES"/>
        </w:rPr>
        <w:t xml:space="preserve">por lo que </w:t>
      </w:r>
      <w:r w:rsidR="00BA736A" w:rsidRPr="00360FDF">
        <w:rPr>
          <w:rFonts w:ascii="Palatino Linotype" w:eastAsia="MS Mincho" w:hAnsi="Palatino Linotype" w:cs="Arial"/>
          <w:sz w:val="24"/>
          <w:szCs w:val="24"/>
          <w:lang w:val="es-ES_tradnl" w:eastAsia="es-ES"/>
        </w:rPr>
        <w:t xml:space="preserve">ordenó turnar el expediente a resolución, misma que a continuación se pronuncia. </w:t>
      </w:r>
    </w:p>
    <w:p w14:paraId="688FB14B" w14:textId="77777777" w:rsidR="00324358" w:rsidRPr="00360FDF" w:rsidRDefault="00324358" w:rsidP="00324358">
      <w:pPr>
        <w:pStyle w:val="Prrafodelista"/>
        <w:spacing w:after="0" w:line="360" w:lineRule="auto"/>
        <w:ind w:left="0"/>
        <w:jc w:val="both"/>
        <w:rPr>
          <w:rFonts w:ascii="Palatino Linotype" w:eastAsia="MS Mincho" w:hAnsi="Palatino Linotype" w:cs="Times New Roman"/>
          <w:b/>
          <w:sz w:val="24"/>
          <w:szCs w:val="24"/>
          <w:lang w:val="es-ES_tradnl" w:eastAsia="es-ES"/>
        </w:rPr>
      </w:pPr>
    </w:p>
    <w:p w14:paraId="6B9182F4" w14:textId="77777777" w:rsidR="00430E13" w:rsidRPr="00360FDF" w:rsidRDefault="00324358" w:rsidP="00430E13">
      <w:pPr>
        <w:pStyle w:val="Prrafodelista"/>
        <w:numPr>
          <w:ilvl w:val="0"/>
          <w:numId w:val="1"/>
        </w:numPr>
        <w:spacing w:after="0" w:line="360" w:lineRule="auto"/>
        <w:ind w:left="0" w:firstLine="0"/>
        <w:jc w:val="both"/>
        <w:rPr>
          <w:rFonts w:ascii="Palatino Linotype" w:eastAsia="MS Mincho" w:hAnsi="Palatino Linotype" w:cs="Times New Roman"/>
          <w:b/>
          <w:sz w:val="24"/>
          <w:szCs w:val="24"/>
          <w:lang w:val="es-ES_tradnl" w:eastAsia="es-ES"/>
        </w:rPr>
      </w:pPr>
      <w:r w:rsidRPr="00360FDF">
        <w:rPr>
          <w:rFonts w:ascii="Palatino Linotype" w:eastAsia="Calibri" w:hAnsi="Palatino Linotype" w:cs="Arial"/>
          <w:sz w:val="24"/>
          <w:szCs w:val="24"/>
          <w:lang w:eastAsia="es-ES"/>
        </w:rPr>
        <w:t>El veinticuatro (24) de mayo 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p>
    <w:p w14:paraId="4859BC62" w14:textId="77777777" w:rsidR="00324358" w:rsidRPr="00360FDF" w:rsidRDefault="00324358" w:rsidP="00324358">
      <w:pPr>
        <w:pStyle w:val="Prrafodelista"/>
        <w:rPr>
          <w:rFonts w:ascii="Palatino Linotype" w:eastAsia="MS Mincho" w:hAnsi="Palatino Linotype" w:cs="Times New Roman"/>
          <w:b/>
          <w:sz w:val="24"/>
          <w:szCs w:val="24"/>
          <w:lang w:val="es-ES_tradnl" w:eastAsia="es-ES"/>
        </w:rPr>
      </w:pPr>
    </w:p>
    <w:p w14:paraId="359CCB40" w14:textId="77777777" w:rsidR="00324358" w:rsidRPr="00360FDF" w:rsidRDefault="00324358" w:rsidP="00324358">
      <w:pPr>
        <w:pStyle w:val="Prrafodelista"/>
        <w:spacing w:after="0" w:line="360" w:lineRule="auto"/>
        <w:ind w:left="0"/>
        <w:jc w:val="both"/>
        <w:rPr>
          <w:rFonts w:ascii="Palatino Linotype" w:eastAsia="MS Mincho" w:hAnsi="Palatino Linotype" w:cs="Times New Roman"/>
          <w:b/>
          <w:sz w:val="24"/>
          <w:szCs w:val="24"/>
          <w:lang w:val="es-ES_tradnl" w:eastAsia="es-ES"/>
        </w:rPr>
      </w:pPr>
    </w:p>
    <w:p w14:paraId="5B2E334F" w14:textId="77777777" w:rsidR="00792776" w:rsidRPr="00360FDF"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72499062"/>
      <w:r w:rsidRPr="00360FDF">
        <w:rPr>
          <w:rFonts w:ascii="Palatino Linotype" w:eastAsia="MS Gothic" w:hAnsi="Palatino Linotype" w:cs="Times New Roman"/>
          <w:b/>
          <w:sz w:val="24"/>
          <w:szCs w:val="24"/>
        </w:rPr>
        <w:t>CONSIDERANDO</w:t>
      </w:r>
      <w:bookmarkEnd w:id="1"/>
    </w:p>
    <w:p w14:paraId="16734E78" w14:textId="77777777" w:rsidR="00C07697" w:rsidRPr="00360FDF"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14:paraId="6096133B" w14:textId="77777777" w:rsidR="00792776" w:rsidRPr="00360FDF"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72499063"/>
      <w:r w:rsidRPr="00360FDF">
        <w:rPr>
          <w:rFonts w:ascii="Palatino Linotype" w:eastAsia="MS Mincho" w:hAnsi="Palatino Linotype" w:cstheme="majorBidi"/>
          <w:b/>
          <w:sz w:val="24"/>
          <w:szCs w:val="24"/>
          <w:lang w:val="es-ES_tradnl" w:eastAsia="es-ES"/>
        </w:rPr>
        <w:t>PRIMERO</w:t>
      </w:r>
      <w:r w:rsidR="00EA0847" w:rsidRPr="00360FDF">
        <w:rPr>
          <w:rFonts w:ascii="Palatino Linotype" w:eastAsia="MS Gothic" w:hAnsi="Palatino Linotype" w:cs="Times New Roman"/>
          <w:b/>
          <w:sz w:val="24"/>
          <w:szCs w:val="24"/>
        </w:rPr>
        <w:t xml:space="preserve">. De la </w:t>
      </w:r>
      <w:r w:rsidR="00971E90" w:rsidRPr="00360FDF">
        <w:rPr>
          <w:rFonts w:ascii="Palatino Linotype" w:eastAsia="MS Gothic" w:hAnsi="Palatino Linotype" w:cs="Times New Roman"/>
          <w:b/>
          <w:sz w:val="24"/>
          <w:szCs w:val="24"/>
        </w:rPr>
        <w:t>c</w:t>
      </w:r>
      <w:r w:rsidRPr="00360FDF">
        <w:rPr>
          <w:rFonts w:ascii="Palatino Linotype" w:eastAsia="MS Gothic" w:hAnsi="Palatino Linotype" w:cs="Times New Roman"/>
          <w:b/>
          <w:sz w:val="24"/>
          <w:szCs w:val="24"/>
        </w:rPr>
        <w:t>ompetencia.</w:t>
      </w:r>
      <w:bookmarkEnd w:id="2"/>
    </w:p>
    <w:p w14:paraId="786C9CC4" w14:textId="77777777" w:rsidR="00792776" w:rsidRPr="00360FDF" w:rsidRDefault="00792776" w:rsidP="00DF32AA">
      <w:pPr>
        <w:tabs>
          <w:tab w:val="left" w:pos="0"/>
        </w:tabs>
        <w:spacing w:after="0" w:line="360" w:lineRule="auto"/>
        <w:rPr>
          <w:rFonts w:ascii="Palatino Linotype" w:hAnsi="Palatino Linotype"/>
          <w:sz w:val="24"/>
          <w:szCs w:val="24"/>
        </w:rPr>
      </w:pPr>
    </w:p>
    <w:p w14:paraId="79C6FF57" w14:textId="77777777" w:rsidR="00792776" w:rsidRPr="00360FDF" w:rsidRDefault="00792776" w:rsidP="00430E13">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60FDF">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60FDF">
        <w:rPr>
          <w:rFonts w:ascii="Palatino Linotype" w:eastAsia="Calibri" w:hAnsi="Palatino Linotype" w:cs="Times New Roman"/>
          <w:b/>
          <w:sz w:val="24"/>
          <w:szCs w:val="24"/>
          <w:lang w:val="es-ES" w:eastAsia="es-ES"/>
        </w:rPr>
        <w:t>Constitución Política de los Estados Unidos Mexicanos</w:t>
      </w:r>
      <w:r w:rsidRPr="00360FDF">
        <w:rPr>
          <w:rFonts w:ascii="Palatino Linotype" w:eastAsia="Calibri" w:hAnsi="Palatino Linotype" w:cs="Times New Roman"/>
          <w:sz w:val="24"/>
          <w:szCs w:val="24"/>
          <w:lang w:val="es-ES" w:eastAsia="es-ES"/>
        </w:rPr>
        <w:t xml:space="preserve">; </w:t>
      </w:r>
      <w:r w:rsidRPr="00360FDF">
        <w:rPr>
          <w:rFonts w:ascii="Palatino Linotype" w:hAnsi="Palatino Linotype" w:cs="Arial"/>
          <w:bCs/>
          <w:color w:val="222222"/>
          <w:sz w:val="24"/>
          <w:szCs w:val="24"/>
          <w:shd w:val="clear" w:color="auto" w:fill="FFFFFF"/>
          <w:lang w:val="es-ES"/>
        </w:rPr>
        <w:t>5, párrafos </w:t>
      </w:r>
      <w:r w:rsidRPr="00360FDF">
        <w:rPr>
          <w:rFonts w:ascii="Palatino Linotype" w:hAnsi="Palatino Linotype" w:cs="Arial"/>
          <w:bCs/>
          <w:color w:val="222222"/>
          <w:sz w:val="24"/>
          <w:szCs w:val="24"/>
          <w:lang w:val="es-ES"/>
        </w:rPr>
        <w:t>vigésimo</w:t>
      </w:r>
      <w:r w:rsidR="009618A3" w:rsidRPr="00360FDF">
        <w:rPr>
          <w:rFonts w:ascii="Palatino Linotype" w:hAnsi="Palatino Linotype" w:cs="Arial"/>
          <w:bCs/>
          <w:color w:val="222222"/>
          <w:sz w:val="24"/>
          <w:szCs w:val="24"/>
          <w:lang w:val="es-ES"/>
        </w:rPr>
        <w:t xml:space="preserve"> noveno</w:t>
      </w:r>
      <w:r w:rsidRPr="00360FDF">
        <w:rPr>
          <w:rFonts w:ascii="Palatino Linotype" w:hAnsi="Palatino Linotype" w:cs="Arial"/>
          <w:bCs/>
          <w:color w:val="222222"/>
          <w:sz w:val="24"/>
          <w:szCs w:val="24"/>
          <w:lang w:val="es-ES"/>
        </w:rPr>
        <w:t>,</w:t>
      </w:r>
      <w:r w:rsidR="009618A3" w:rsidRPr="00360FDF">
        <w:rPr>
          <w:rFonts w:ascii="Palatino Linotype" w:hAnsi="Palatino Linotype" w:cs="Arial"/>
          <w:bCs/>
          <w:color w:val="222222"/>
          <w:sz w:val="24"/>
          <w:szCs w:val="24"/>
          <w:lang w:val="es-ES"/>
        </w:rPr>
        <w:t xml:space="preserve"> trigésimo y trigésimo primero</w:t>
      </w:r>
      <w:r w:rsidRPr="00360FDF">
        <w:rPr>
          <w:rFonts w:ascii="Palatino Linotype" w:hAnsi="Palatino Linotype" w:cs="Arial"/>
          <w:bCs/>
          <w:color w:val="222222"/>
          <w:sz w:val="24"/>
          <w:szCs w:val="24"/>
          <w:shd w:val="clear" w:color="auto" w:fill="FFFFFF"/>
          <w:lang w:val="es-ES"/>
        </w:rPr>
        <w:t> fracciones IV y V </w:t>
      </w:r>
      <w:r w:rsidRPr="00360FDF">
        <w:rPr>
          <w:rFonts w:ascii="Palatino Linotype" w:eastAsia="Calibri" w:hAnsi="Palatino Linotype" w:cs="Times New Roman"/>
          <w:sz w:val="24"/>
          <w:szCs w:val="24"/>
          <w:lang w:val="es-ES" w:eastAsia="es-ES"/>
        </w:rPr>
        <w:t xml:space="preserve">de la </w:t>
      </w:r>
      <w:r w:rsidRPr="00360FDF">
        <w:rPr>
          <w:rFonts w:ascii="Palatino Linotype" w:eastAsia="Calibri" w:hAnsi="Palatino Linotype" w:cs="Times New Roman"/>
          <w:b/>
          <w:sz w:val="24"/>
          <w:szCs w:val="24"/>
          <w:lang w:val="es-ES" w:eastAsia="es-ES"/>
        </w:rPr>
        <w:t>Constitución Política del Estado Libre y Soberano de México</w:t>
      </w:r>
      <w:r w:rsidRPr="00360FD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60FDF">
        <w:rPr>
          <w:rFonts w:ascii="Palatino Linotype" w:eastAsia="Calibri" w:hAnsi="Palatino Linotype" w:cs="Arial"/>
          <w:sz w:val="24"/>
          <w:szCs w:val="24"/>
          <w:lang w:val="es-ES" w:eastAsia="es-ES"/>
        </w:rPr>
        <w:t xml:space="preserve">de la </w:t>
      </w:r>
      <w:r w:rsidRPr="00360FDF">
        <w:rPr>
          <w:rFonts w:ascii="Palatino Linotype" w:eastAsia="Calibri" w:hAnsi="Palatino Linotype" w:cs="Arial"/>
          <w:b/>
          <w:sz w:val="24"/>
          <w:szCs w:val="24"/>
          <w:lang w:val="es-ES" w:eastAsia="es-ES"/>
        </w:rPr>
        <w:t>Ley de Transparencia y Acceso a la Información Pública del Estado de México y Municipios</w:t>
      </w:r>
      <w:r w:rsidRPr="00360FDF">
        <w:rPr>
          <w:rFonts w:ascii="Palatino Linotype" w:eastAsia="Calibri" w:hAnsi="Palatino Linotype" w:cs="Arial"/>
          <w:sz w:val="24"/>
          <w:szCs w:val="24"/>
          <w:lang w:val="es-ES" w:eastAsia="es-ES"/>
        </w:rPr>
        <w:t xml:space="preserve">; </w:t>
      </w:r>
      <w:r w:rsidRPr="00360FDF">
        <w:rPr>
          <w:rFonts w:ascii="Palatino Linotype" w:eastAsia="Calibri" w:hAnsi="Palatino Linotype" w:cs="Arial"/>
          <w:b/>
          <w:sz w:val="24"/>
          <w:szCs w:val="24"/>
          <w:lang w:val="es-ES" w:eastAsia="es-ES"/>
        </w:rPr>
        <w:t>7, 9 fracciones I y XXIV, y 11</w:t>
      </w:r>
      <w:r w:rsidRPr="00360FDF">
        <w:rPr>
          <w:rFonts w:ascii="Palatino Linotype" w:eastAsia="Calibri" w:hAnsi="Palatino Linotype" w:cs="Arial"/>
          <w:sz w:val="24"/>
          <w:szCs w:val="24"/>
          <w:lang w:val="es-ES" w:eastAsia="es-ES"/>
        </w:rPr>
        <w:t xml:space="preserve"> del </w:t>
      </w:r>
      <w:r w:rsidRPr="00360FD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60FDF">
        <w:rPr>
          <w:rFonts w:ascii="Palatino Linotype" w:eastAsia="MS Mincho" w:hAnsi="Palatino Linotype" w:cs="Times New Roman"/>
          <w:sz w:val="24"/>
          <w:szCs w:val="24"/>
          <w:lang w:val="es-ES_tradnl" w:eastAsia="es-ES"/>
        </w:rPr>
        <w:t>.</w:t>
      </w:r>
    </w:p>
    <w:p w14:paraId="623E9B6C" w14:textId="77777777" w:rsidR="00324358" w:rsidRPr="00360FDF" w:rsidRDefault="00324358" w:rsidP="0032435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16DD70F4" w14:textId="77777777" w:rsidR="009618A3" w:rsidRPr="00360FDF" w:rsidRDefault="00792776" w:rsidP="00E32350">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72499064"/>
      <w:r w:rsidRPr="00360FDF">
        <w:rPr>
          <w:rFonts w:ascii="Palatino Linotype" w:eastAsia="MS Mincho" w:hAnsi="Palatino Linotype" w:cstheme="majorBidi"/>
          <w:b/>
          <w:sz w:val="24"/>
          <w:szCs w:val="24"/>
          <w:lang w:val="es-ES_tradnl" w:eastAsia="es-ES"/>
        </w:rPr>
        <w:t>SEGUNDO</w:t>
      </w:r>
      <w:r w:rsidRPr="00360FDF">
        <w:rPr>
          <w:rFonts w:ascii="Palatino Linotype" w:eastAsia="MS Gothic" w:hAnsi="Palatino Linotype" w:cs="Times New Roman"/>
          <w:b/>
          <w:sz w:val="24"/>
          <w:szCs w:val="24"/>
        </w:rPr>
        <w:t>.</w:t>
      </w:r>
      <w:r w:rsidR="0004167E" w:rsidRPr="00360FDF">
        <w:rPr>
          <w:rFonts w:ascii="Palatino Linotype" w:eastAsia="MS Gothic" w:hAnsi="Palatino Linotype" w:cs="Times New Roman"/>
          <w:b/>
          <w:sz w:val="24"/>
          <w:szCs w:val="24"/>
        </w:rPr>
        <w:t xml:space="preserve"> De la oportunidad y procedibilidad del recurso de revisión</w:t>
      </w:r>
      <w:r w:rsidRPr="00360FDF">
        <w:rPr>
          <w:rFonts w:ascii="Palatino Linotype" w:eastAsia="MS Gothic" w:hAnsi="Palatino Linotype" w:cs="Times New Roman"/>
          <w:b/>
          <w:sz w:val="24"/>
          <w:szCs w:val="24"/>
        </w:rPr>
        <w:t>.</w:t>
      </w:r>
      <w:bookmarkEnd w:id="3"/>
    </w:p>
    <w:p w14:paraId="4842F7A3" w14:textId="77777777" w:rsidR="00D52952" w:rsidRPr="00360FDF" w:rsidRDefault="00D52952" w:rsidP="00D52952">
      <w:pPr>
        <w:spacing w:after="0" w:line="360" w:lineRule="auto"/>
        <w:ind w:right="49"/>
        <w:jc w:val="both"/>
        <w:rPr>
          <w:rFonts w:ascii="Palatino Linotype" w:eastAsia="Times New Roman" w:hAnsi="Palatino Linotype" w:cs="Times New Roman"/>
          <w:b/>
          <w:sz w:val="24"/>
          <w:szCs w:val="24"/>
          <w:lang w:eastAsia="es-ES"/>
        </w:rPr>
      </w:pPr>
    </w:p>
    <w:p w14:paraId="4C230E7E" w14:textId="77777777" w:rsidR="00D52952" w:rsidRPr="00360FDF" w:rsidRDefault="00D52952" w:rsidP="003758BB">
      <w:pPr>
        <w:pStyle w:val="Ttulo1"/>
        <w:rPr>
          <w:rFonts w:eastAsia="Times New Roman"/>
          <w:b/>
          <w:lang w:eastAsia="es-ES"/>
        </w:rPr>
      </w:pPr>
      <w:bookmarkStart w:id="4" w:name="_Toc67598500"/>
      <w:bookmarkStart w:id="5" w:name="_Toc72499065"/>
      <w:r w:rsidRPr="00360FDF">
        <w:rPr>
          <w:rFonts w:eastAsia="Times New Roman"/>
          <w:b/>
          <w:lang w:eastAsia="es-ES"/>
        </w:rPr>
        <w:t>I. De la interposición del recurso.</w:t>
      </w:r>
      <w:bookmarkEnd w:id="4"/>
      <w:bookmarkEnd w:id="5"/>
      <w:r w:rsidRPr="00360FDF">
        <w:rPr>
          <w:rFonts w:eastAsia="Times New Roman"/>
          <w:b/>
          <w:lang w:eastAsia="es-ES"/>
        </w:rPr>
        <w:t xml:space="preserve"> </w:t>
      </w:r>
    </w:p>
    <w:p w14:paraId="77EFCF49" w14:textId="77777777" w:rsidR="00AA5DB5" w:rsidRPr="00360FDF" w:rsidRDefault="00AA5DB5" w:rsidP="00D52952">
      <w:pPr>
        <w:spacing w:after="0" w:line="360" w:lineRule="auto"/>
        <w:ind w:right="49"/>
        <w:jc w:val="both"/>
        <w:rPr>
          <w:rFonts w:ascii="Palatino Linotype" w:eastAsia="Times New Roman" w:hAnsi="Palatino Linotype" w:cs="Times New Roman"/>
          <w:b/>
          <w:sz w:val="24"/>
          <w:szCs w:val="24"/>
          <w:lang w:eastAsia="es-ES"/>
        </w:rPr>
      </w:pPr>
    </w:p>
    <w:p w14:paraId="45F029B7" w14:textId="77777777" w:rsidR="00D52952" w:rsidRPr="00360FDF" w:rsidRDefault="00D52952" w:rsidP="00D52952">
      <w:pPr>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360FDF">
        <w:rPr>
          <w:rFonts w:ascii="Palatino Linotype" w:eastAsia="Times New Roman" w:hAnsi="Palatino Linotype" w:cs="Times New Roman"/>
          <w:sz w:val="24"/>
          <w:szCs w:val="24"/>
          <w:lang w:val="es-ES_tradnl" w:eastAsia="es-ES"/>
        </w:rPr>
        <w:t xml:space="preserve">El medio de impugnación fue presentado a través del </w:t>
      </w:r>
      <w:r w:rsidRPr="00360FDF">
        <w:rPr>
          <w:rFonts w:ascii="Palatino Linotype" w:eastAsia="Times New Roman" w:hAnsi="Palatino Linotype" w:cs="Times New Roman"/>
          <w:b/>
          <w:sz w:val="24"/>
          <w:szCs w:val="24"/>
          <w:lang w:val="es-ES_tradnl" w:eastAsia="es-ES"/>
        </w:rPr>
        <w:t>SAIMEX,</w:t>
      </w:r>
      <w:r w:rsidRPr="00360FDF">
        <w:rPr>
          <w:rFonts w:ascii="Palatino Linotype" w:eastAsia="Times New Roman" w:hAnsi="Palatino Linotype" w:cs="Times New Roman"/>
          <w:sz w:val="24"/>
          <w:szCs w:val="24"/>
          <w:lang w:val="es-ES_tradnl" w:eastAsia="es-ES"/>
        </w:rPr>
        <w:t xml:space="preserve"> en el formato previamente aprobado para tal efecto y dentro del plazo legal de quince días hábiles otorgados; para el caso en particular es de señalar que el </w:t>
      </w:r>
      <w:r w:rsidRPr="00360FDF">
        <w:rPr>
          <w:rFonts w:ascii="Palatino Linotype" w:eastAsia="Times New Roman" w:hAnsi="Palatino Linotype" w:cs="Times New Roman"/>
          <w:b/>
          <w:sz w:val="24"/>
          <w:szCs w:val="24"/>
          <w:lang w:val="es-ES_tradnl" w:eastAsia="es-ES"/>
        </w:rPr>
        <w:t>SUJETO OBLIGADO</w:t>
      </w:r>
      <w:r w:rsidRPr="00360FDF">
        <w:rPr>
          <w:rFonts w:ascii="Palatino Linotype" w:eastAsia="Times New Roman" w:hAnsi="Palatino Linotype" w:cs="Times New Roman"/>
          <w:sz w:val="24"/>
          <w:szCs w:val="24"/>
          <w:lang w:val="es-ES_tradnl" w:eastAsia="es-ES"/>
        </w:rPr>
        <w:t xml:space="preserve"> entregó respuesta el día diecisiete (17) de marzo de dos mil veintiuno</w:t>
      </w:r>
      <w:r w:rsidRPr="00360FDF">
        <w:rPr>
          <w:rFonts w:ascii="Palatino Linotype" w:eastAsia="Times New Roman" w:hAnsi="Palatino Linotype" w:cs="Times New Roman"/>
          <w:sz w:val="24"/>
          <w:szCs w:val="24"/>
          <w:lang w:eastAsia="es-ES"/>
        </w:rPr>
        <w:t xml:space="preserve">, el plazo para interponer el recurso de revisión trascurrió del dieciocho (18) de marzo al catorce </w:t>
      </w:r>
      <w:r w:rsidRPr="00360FDF">
        <w:rPr>
          <w:rFonts w:ascii="Palatino Linotype" w:eastAsia="Times New Roman" w:hAnsi="Palatino Linotype" w:cs="Times New Roman"/>
          <w:sz w:val="24"/>
          <w:szCs w:val="24"/>
          <w:lang w:eastAsia="es-ES"/>
        </w:rPr>
        <w:lastRenderedPageBreak/>
        <w:t xml:space="preserve">(14) de abril de dos mil veintiuno por lo que si el particular interpuso recurso de revisión el diecinueve (19) de marzo de dos mil veintiuno </w:t>
      </w:r>
      <w:r w:rsidRPr="00360FDF">
        <w:rPr>
          <w:rFonts w:ascii="Palatino Linotype" w:eastAsia="Times New Roman" w:hAnsi="Palatino Linotype" w:cs="Times New Roman"/>
          <w:sz w:val="24"/>
          <w:szCs w:val="24"/>
          <w:lang w:val="es-ES_tradnl" w:eastAsia="es-ES"/>
        </w:rPr>
        <w:t xml:space="preserve">se encuentra dentro del periodo establecido por la Ley. </w:t>
      </w:r>
    </w:p>
    <w:p w14:paraId="297D379C" w14:textId="77777777" w:rsidR="00D52952" w:rsidRPr="00360FDF" w:rsidRDefault="00D52952" w:rsidP="003758BB">
      <w:pPr>
        <w:pStyle w:val="Ttulo1"/>
        <w:rPr>
          <w:rFonts w:eastAsia="Times New Roman"/>
          <w:lang w:val="es-ES_tradnl" w:eastAsia="es-ES"/>
        </w:rPr>
      </w:pPr>
    </w:p>
    <w:p w14:paraId="43CB2540" w14:textId="77777777" w:rsidR="00D52952" w:rsidRPr="00360FDF" w:rsidRDefault="00D52952" w:rsidP="003758BB">
      <w:pPr>
        <w:pStyle w:val="Ttulo1"/>
        <w:rPr>
          <w:rFonts w:eastAsia="Times New Roman"/>
          <w:b/>
          <w:lang w:eastAsia="es-ES"/>
        </w:rPr>
      </w:pPr>
      <w:bookmarkStart w:id="6" w:name="_Toc65761677"/>
      <w:bookmarkStart w:id="7" w:name="_Toc67598501"/>
      <w:bookmarkStart w:id="8" w:name="_Toc72499066"/>
      <w:r w:rsidRPr="00360FDF">
        <w:rPr>
          <w:rFonts w:eastAsia="Times New Roman"/>
          <w:b/>
          <w:lang w:eastAsia="es-ES"/>
        </w:rPr>
        <w:t>II.</w:t>
      </w:r>
      <w:proofErr w:type="gramStart"/>
      <w:r w:rsidRPr="00360FDF">
        <w:rPr>
          <w:rFonts w:eastAsia="Times New Roman"/>
          <w:b/>
          <w:lang w:eastAsia="es-ES"/>
        </w:rPr>
        <w:t xml:space="preserve"> </w:t>
      </w:r>
      <w:bookmarkEnd w:id="6"/>
      <w:bookmarkEnd w:id="7"/>
      <w:r w:rsidR="00122C76" w:rsidRPr="00360FDF">
        <w:rPr>
          <w:rFonts w:eastAsia="Times New Roman"/>
          <w:lang w:val="es-ES" w:eastAsia="es-ES"/>
        </w:rPr>
        <w:t xml:space="preserve"> </w:t>
      </w:r>
      <w:bookmarkStart w:id="9" w:name="_Toc67598502"/>
      <w:r w:rsidRPr="00360FDF">
        <w:rPr>
          <w:rFonts w:eastAsia="Times New Roman"/>
          <w:b/>
          <w:lang w:eastAsia="es-ES"/>
        </w:rPr>
        <w:t>.</w:t>
      </w:r>
      <w:proofErr w:type="gramEnd"/>
      <w:r w:rsidRPr="00360FDF">
        <w:rPr>
          <w:rFonts w:eastAsia="Times New Roman"/>
          <w:b/>
          <w:lang w:eastAsia="es-ES"/>
        </w:rPr>
        <w:t xml:space="preserve"> De la determinación sobre la procedibilidad del recurso.</w:t>
      </w:r>
      <w:bookmarkEnd w:id="8"/>
      <w:bookmarkEnd w:id="9"/>
      <w:r w:rsidRPr="00360FDF">
        <w:rPr>
          <w:rFonts w:eastAsia="Times New Roman"/>
          <w:b/>
          <w:lang w:eastAsia="es-ES"/>
        </w:rPr>
        <w:t xml:space="preserve"> </w:t>
      </w:r>
    </w:p>
    <w:p w14:paraId="6360F053" w14:textId="77777777" w:rsidR="00D52952" w:rsidRPr="00360FDF" w:rsidRDefault="00D52952" w:rsidP="00D52952">
      <w:pPr>
        <w:spacing w:after="0" w:line="360" w:lineRule="auto"/>
        <w:ind w:right="49"/>
        <w:jc w:val="both"/>
        <w:rPr>
          <w:rFonts w:ascii="Palatino Linotype" w:eastAsia="Times New Roman" w:hAnsi="Palatino Linotype" w:cs="Times New Roman"/>
          <w:sz w:val="24"/>
          <w:szCs w:val="24"/>
          <w:lang w:val="es-ES_tradnl" w:eastAsia="es-ES"/>
        </w:rPr>
      </w:pPr>
    </w:p>
    <w:p w14:paraId="18F08575" w14:textId="77777777" w:rsidR="009618A3" w:rsidRPr="00360FDF" w:rsidRDefault="00D52952" w:rsidP="00D52952">
      <w:pPr>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360FDF">
        <w:rPr>
          <w:rFonts w:ascii="Palatino Linotype" w:eastAsia="Times New Roman" w:hAnsi="Palatino Linotype" w:cs="Times New Roman"/>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E3CA328" w14:textId="77777777" w:rsidR="0071085B" w:rsidRPr="00360FDF" w:rsidRDefault="00B54F03" w:rsidP="0071085B">
      <w:pPr>
        <w:keepNext/>
        <w:keepLines/>
        <w:spacing w:before="240" w:line="360" w:lineRule="auto"/>
        <w:outlineLvl w:val="0"/>
        <w:rPr>
          <w:rFonts w:ascii="Palatino Linotype" w:eastAsia="MS Gothic" w:hAnsi="Palatino Linotype" w:cstheme="majorBidi"/>
          <w:b/>
          <w:sz w:val="24"/>
          <w:szCs w:val="24"/>
          <w:lang w:val="es-ES_tradnl" w:eastAsia="es-ES"/>
        </w:rPr>
      </w:pPr>
      <w:bookmarkStart w:id="10" w:name="_Toc72499067"/>
      <w:bookmarkStart w:id="11" w:name="_Toc455991148"/>
      <w:bookmarkStart w:id="12" w:name="_Toc450120669"/>
      <w:bookmarkStart w:id="13" w:name="_Toc461555896"/>
      <w:bookmarkStart w:id="14" w:name="_Toc462154385"/>
      <w:bookmarkStart w:id="15" w:name="_Toc462660376"/>
      <w:bookmarkStart w:id="16" w:name="_Toc462660687"/>
      <w:bookmarkStart w:id="17" w:name="_Toc462660766"/>
      <w:bookmarkStart w:id="18" w:name="_Toc465264624"/>
      <w:bookmarkStart w:id="19" w:name="_Toc465264870"/>
      <w:bookmarkStart w:id="20" w:name="_Toc465266520"/>
      <w:bookmarkStart w:id="21" w:name="_Toc466302258"/>
      <w:bookmarkStart w:id="22" w:name="_Toc466371866"/>
      <w:bookmarkStart w:id="23" w:name="_Toc466371925"/>
      <w:bookmarkStart w:id="24" w:name="_Toc466377654"/>
      <w:bookmarkStart w:id="25" w:name="_Toc478549736"/>
      <w:bookmarkStart w:id="26" w:name="_Toc478572850"/>
      <w:bookmarkStart w:id="27" w:name="_Toc479238537"/>
      <w:bookmarkStart w:id="28" w:name="_Toc461555893"/>
      <w:bookmarkStart w:id="29" w:name="_Toc458016386"/>
      <w:bookmarkStart w:id="30" w:name="_Toc455743517"/>
      <w:bookmarkStart w:id="31" w:name="_Toc454968928"/>
      <w:r w:rsidRPr="00360FDF">
        <w:rPr>
          <w:rFonts w:ascii="Palatino Linotype" w:eastAsia="MS Mincho" w:hAnsi="Palatino Linotype"/>
          <w:b/>
          <w:sz w:val="24"/>
          <w:szCs w:val="24"/>
          <w:lang w:val="es-ES_tradnl" w:eastAsia="es-ES"/>
        </w:rPr>
        <w:t>TERCERO</w:t>
      </w:r>
      <w:r w:rsidRPr="00360FDF">
        <w:rPr>
          <w:rFonts w:ascii="Palatino Linotype" w:eastAsia="MS Gothic" w:hAnsi="Palatino Linotype" w:cs="Times New Roman"/>
          <w:b/>
          <w:sz w:val="24"/>
          <w:szCs w:val="24"/>
        </w:rPr>
        <w:t xml:space="preserve">. </w:t>
      </w:r>
      <w:r w:rsidR="0071085B" w:rsidRPr="00360FDF">
        <w:rPr>
          <w:rFonts w:ascii="Palatino Linotype" w:eastAsia="MS Gothic" w:hAnsi="Palatino Linotype" w:cstheme="majorBidi"/>
          <w:b/>
          <w:sz w:val="24"/>
          <w:szCs w:val="24"/>
          <w:lang w:val="es-ES_tradnl" w:eastAsia="es-ES"/>
        </w:rPr>
        <w:t>De previo y especial pronunciamiento.</w:t>
      </w:r>
      <w:bookmarkEnd w:id="10"/>
      <w:r w:rsidR="0071085B" w:rsidRPr="00360FDF">
        <w:rPr>
          <w:rFonts w:ascii="Palatino Linotype" w:eastAsia="MS Gothic" w:hAnsi="Palatino Linotype" w:cstheme="majorBidi"/>
          <w:b/>
          <w:sz w:val="24"/>
          <w:szCs w:val="24"/>
          <w:lang w:val="es-ES_tradnl" w:eastAsia="es-ES"/>
        </w:rPr>
        <w:t xml:space="preserve"> </w:t>
      </w:r>
    </w:p>
    <w:p w14:paraId="574C2493" w14:textId="77777777" w:rsidR="0071085B" w:rsidRPr="00360FDF" w:rsidRDefault="0071085B" w:rsidP="0071085B">
      <w:pPr>
        <w:keepNext/>
        <w:keepLines/>
        <w:spacing w:before="240" w:after="0"/>
        <w:outlineLvl w:val="0"/>
        <w:rPr>
          <w:rFonts w:ascii="Palatino Linotype" w:eastAsia="MS Gothic" w:hAnsi="Palatino Linotype" w:cstheme="majorBidi"/>
          <w:b/>
          <w:sz w:val="24"/>
          <w:szCs w:val="24"/>
          <w:lang w:val="es-ES_tradnl" w:eastAsia="es-ES"/>
        </w:rPr>
      </w:pPr>
      <w:bookmarkStart w:id="32" w:name="_Toc71901889"/>
      <w:bookmarkStart w:id="33" w:name="_Toc72499068"/>
      <w:r w:rsidRPr="00360FDF">
        <w:rPr>
          <w:rFonts w:ascii="Palatino Linotype" w:eastAsia="MS Gothic" w:hAnsi="Palatino Linotype" w:cstheme="majorBidi"/>
          <w:b/>
          <w:sz w:val="24"/>
          <w:szCs w:val="24"/>
          <w:lang w:val="es-ES_tradnl" w:eastAsia="es-ES"/>
        </w:rPr>
        <w:t>I. De la contingencia sanitaria.</w:t>
      </w:r>
      <w:bookmarkEnd w:id="32"/>
      <w:bookmarkEnd w:id="33"/>
      <w:r w:rsidRPr="00360FDF">
        <w:rPr>
          <w:rFonts w:ascii="Palatino Linotype" w:eastAsia="MS Gothic" w:hAnsi="Palatino Linotype" w:cstheme="majorBidi"/>
          <w:b/>
          <w:sz w:val="24"/>
          <w:szCs w:val="24"/>
          <w:lang w:val="es-ES_tradnl" w:eastAsia="es-ES"/>
        </w:rPr>
        <w:t xml:space="preserve">  </w:t>
      </w:r>
    </w:p>
    <w:p w14:paraId="1F23FC96" w14:textId="77777777" w:rsidR="0071085B" w:rsidRPr="00360FDF" w:rsidRDefault="0071085B" w:rsidP="0071085B">
      <w:pPr>
        <w:spacing w:after="0" w:line="240" w:lineRule="auto"/>
        <w:rPr>
          <w:rFonts w:ascii="Palatino Linotype" w:eastAsia="Times New Roman" w:hAnsi="Palatino Linotype" w:cs="Times New Roman"/>
          <w:sz w:val="24"/>
          <w:szCs w:val="24"/>
          <w:lang w:val="es-ES_tradnl" w:eastAsia="es-ES"/>
        </w:rPr>
      </w:pPr>
    </w:p>
    <w:p w14:paraId="429DD086" w14:textId="77777777" w:rsidR="0071085B" w:rsidRPr="00360FDF"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360FDF">
        <w:rPr>
          <w:rFonts w:ascii="Palatino Linotype" w:eastAsia="Times New Roman" w:hAnsi="Palatino Linotype" w:cs="Times New Roman"/>
          <w:sz w:val="24"/>
          <w:szCs w:val="24"/>
          <w:lang w:val="es-ES" w:eastAsia="es-ES_tradnl"/>
        </w:rPr>
        <w:t xml:space="preserve">Previo al estudio del presente asunto, es necesario señalar que desde que inició, a finales de 2019, la crisis generada por el virus </w:t>
      </w:r>
      <w:r w:rsidRPr="00360FDF">
        <w:rPr>
          <w:rFonts w:ascii="Palatino Linotype" w:eastAsia="Times New Roman" w:hAnsi="Palatino Linotype" w:cs="Times New Roman"/>
          <w:b/>
          <w:sz w:val="24"/>
          <w:szCs w:val="24"/>
          <w:lang w:val="es-ES" w:eastAsia="es-ES_tradnl"/>
        </w:rPr>
        <w:t>SARS-Cov-2 -  COVID-19</w:t>
      </w:r>
      <w:r w:rsidRPr="00360FDF">
        <w:rPr>
          <w:rFonts w:ascii="Palatino Linotype" w:eastAsia="Times New Roman" w:hAnsi="Palatino Linotype" w:cs="Times New Roman"/>
          <w:sz w:val="24"/>
          <w:szCs w:val="24"/>
          <w:lang w:val="es-ES" w:eastAsia="es-ES_tradnl"/>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3B5569D7" w14:textId="77777777" w:rsidR="0071085B" w:rsidRPr="00360FDF" w:rsidRDefault="0071085B" w:rsidP="0071085B">
      <w:pPr>
        <w:spacing w:after="0" w:line="360" w:lineRule="auto"/>
        <w:contextualSpacing/>
        <w:jc w:val="both"/>
        <w:rPr>
          <w:rFonts w:ascii="Palatino Linotype" w:eastAsia="Times New Roman" w:hAnsi="Palatino Linotype" w:cs="Times New Roman"/>
          <w:sz w:val="24"/>
          <w:szCs w:val="24"/>
          <w:lang w:val="es-ES" w:eastAsia="es-ES_tradnl"/>
        </w:rPr>
      </w:pPr>
    </w:p>
    <w:p w14:paraId="56CA29AE" w14:textId="77777777" w:rsidR="0071085B" w:rsidRPr="00360FDF"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360FDF">
        <w:rPr>
          <w:rFonts w:ascii="Palatino Linotype" w:eastAsia="Times New Roman" w:hAnsi="Palatino Linotype" w:cs="Times New Roman"/>
          <w:sz w:val="24"/>
          <w:szCs w:val="24"/>
          <w:lang w:val="es-ES" w:eastAsia="es-ES_tradnl"/>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4ADEA7B" w14:textId="77777777" w:rsidR="0071085B" w:rsidRPr="00360FDF"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3F09243C" w14:textId="77777777" w:rsidR="0071085B" w:rsidRPr="00360FDF"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360FDF">
        <w:rPr>
          <w:rFonts w:ascii="Palatino Linotype" w:eastAsia="Times New Roman" w:hAnsi="Palatino Linotype" w:cs="Times New Roman"/>
          <w:sz w:val="24"/>
          <w:szCs w:val="24"/>
          <w:lang w:val="es-ES" w:eastAsia="es-ES_tradnl"/>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CBFEA70" w14:textId="77777777" w:rsidR="0071085B" w:rsidRPr="00360FDF"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49919FF5" w14:textId="77777777" w:rsidR="0071085B" w:rsidRPr="00360FDF"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360FDF">
        <w:rPr>
          <w:rFonts w:ascii="Palatino Linotype" w:eastAsia="Times New Roman" w:hAnsi="Palatino Linotype" w:cs="Times New Roman"/>
          <w:sz w:val="24"/>
          <w:szCs w:val="24"/>
          <w:lang w:val="es-ES" w:eastAsia="es-ES_tradnl"/>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w:t>
      </w:r>
      <w:r w:rsidRPr="00360FDF">
        <w:rPr>
          <w:rFonts w:ascii="Palatino Linotype" w:eastAsia="Times New Roman" w:hAnsi="Palatino Linotype" w:cs="Times New Roman"/>
          <w:sz w:val="24"/>
          <w:szCs w:val="24"/>
          <w:lang w:val="es-ES" w:eastAsia="es-ES_tradnl"/>
        </w:rPr>
        <w:lastRenderedPageBreak/>
        <w:t>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2B2489A" w14:textId="77777777" w:rsidR="0071085B" w:rsidRPr="00360FDF"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3C982A8A" w14:textId="77777777" w:rsidR="0071085B" w:rsidRPr="00360FDF"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360FDF">
        <w:rPr>
          <w:rFonts w:ascii="Palatino Linotype" w:eastAsia="Times New Roman" w:hAnsi="Palatino Linotype" w:cs="Times New Roman"/>
          <w:sz w:val="24"/>
          <w:szCs w:val="24"/>
          <w:lang w:val="es-ES" w:eastAsia="es-ES_tradnl"/>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34A4CDDE" w14:textId="77777777" w:rsidR="0071085B" w:rsidRPr="00360FDF" w:rsidRDefault="0071085B" w:rsidP="0071085B">
      <w:pPr>
        <w:spacing w:after="0" w:line="360" w:lineRule="auto"/>
        <w:contextualSpacing/>
        <w:jc w:val="both"/>
        <w:rPr>
          <w:rFonts w:ascii="Palatino Linotype" w:eastAsia="Times New Roman" w:hAnsi="Palatino Linotype" w:cs="Times New Roman"/>
          <w:sz w:val="24"/>
          <w:szCs w:val="24"/>
          <w:lang w:val="es-ES" w:eastAsia="es-ES_tradnl"/>
        </w:rPr>
      </w:pPr>
    </w:p>
    <w:p w14:paraId="317AA068" w14:textId="77777777" w:rsidR="0071085B" w:rsidRPr="00360FDF"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360FDF">
        <w:rPr>
          <w:rFonts w:ascii="Palatino Linotype" w:eastAsia="Times New Roman" w:hAnsi="Palatino Linotype" w:cs="Times New Roman"/>
          <w:sz w:val="24"/>
          <w:szCs w:val="24"/>
          <w:lang w:val="es-ES" w:eastAsia="es-ES_tradnl"/>
        </w:rPr>
        <w:t xml:space="preserve">El Infoem, respetuoso de las medidas adoptadas por la autoridad sanitaria, así como la mayor parte de los sujetos obligados, hemos venido implementado una </w:t>
      </w:r>
      <w:r w:rsidRPr="00360FDF">
        <w:rPr>
          <w:rFonts w:ascii="Palatino Linotype" w:eastAsia="Times New Roman" w:hAnsi="Palatino Linotype" w:cs="Times New Roman"/>
          <w:sz w:val="24"/>
          <w:szCs w:val="24"/>
          <w:lang w:val="es-ES" w:eastAsia="es-ES_tradnl"/>
        </w:rPr>
        <w:lastRenderedPageBreak/>
        <w:t xml:space="preserve">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486878B1" w14:textId="77777777" w:rsidR="0071085B" w:rsidRPr="00360FDF"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6AEB0001" w14:textId="77777777" w:rsidR="0071085B" w:rsidRPr="00360FDF"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360FDF">
        <w:rPr>
          <w:rFonts w:ascii="Palatino Linotype" w:eastAsia="Times New Roman" w:hAnsi="Palatino Linotype" w:cs="Times New Roman"/>
          <w:sz w:val="24"/>
          <w:szCs w:val="24"/>
          <w:lang w:val="es-ES" w:eastAsia="es-ES_tradnl"/>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46C212B" w14:textId="77777777" w:rsidR="0071085B" w:rsidRPr="00360FDF"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534163BC" w14:textId="77777777" w:rsidR="0071085B" w:rsidRPr="00360FDF"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360FDF">
        <w:rPr>
          <w:rFonts w:ascii="Palatino Linotype" w:eastAsia="Times New Roman" w:hAnsi="Palatino Linotype" w:cs="Times New Roman"/>
          <w:sz w:val="24"/>
          <w:szCs w:val="24"/>
          <w:lang w:val="es-ES" w:eastAsia="es-ES_tradnl"/>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0E9BF978" w14:textId="77777777" w:rsidR="0071085B" w:rsidRPr="00360FDF" w:rsidRDefault="0071085B" w:rsidP="0071085B">
      <w:pPr>
        <w:spacing w:after="0" w:line="360" w:lineRule="auto"/>
        <w:contextualSpacing/>
        <w:jc w:val="both"/>
        <w:rPr>
          <w:rFonts w:ascii="Palatino Linotype" w:eastAsia="Times New Roman" w:hAnsi="Palatino Linotype" w:cs="Times New Roman"/>
          <w:sz w:val="24"/>
          <w:szCs w:val="24"/>
          <w:lang w:val="es-ES" w:eastAsia="es-ES_tradnl"/>
        </w:rPr>
      </w:pPr>
    </w:p>
    <w:p w14:paraId="10BE1FBA" w14:textId="77777777" w:rsidR="0071085B" w:rsidRPr="00360FDF"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360FDF">
        <w:rPr>
          <w:rFonts w:ascii="Palatino Linotype" w:eastAsia="Times New Roman" w:hAnsi="Palatino Linotype" w:cs="Times New Roman"/>
          <w:sz w:val="24"/>
          <w:szCs w:val="24"/>
          <w:lang w:val="es-ES" w:eastAsia="es-ES_tradnl"/>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68D3DFB6" w14:textId="77777777" w:rsidR="0071085B" w:rsidRPr="00360FDF" w:rsidRDefault="0071085B" w:rsidP="0071085B">
      <w:pPr>
        <w:spacing w:after="0" w:line="360" w:lineRule="auto"/>
        <w:ind w:left="720"/>
        <w:contextualSpacing/>
        <w:rPr>
          <w:rFonts w:ascii="Palatino Linotype" w:eastAsia="Times New Roman" w:hAnsi="Palatino Linotype" w:cs="Times New Roman"/>
          <w:sz w:val="24"/>
          <w:szCs w:val="24"/>
          <w:lang w:val="es-ES" w:eastAsia="es-ES_tradnl"/>
        </w:rPr>
      </w:pPr>
    </w:p>
    <w:p w14:paraId="233A2B5A" w14:textId="77777777" w:rsidR="0071085B" w:rsidRPr="00360FDF"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360FDF">
        <w:rPr>
          <w:rFonts w:ascii="Palatino Linotype" w:eastAsia="Times New Roman" w:hAnsi="Palatino Linotype" w:cs="Times New Roman"/>
          <w:sz w:val="24"/>
          <w:szCs w:val="24"/>
          <w:lang w:val="es-ES" w:eastAsia="es-ES_tradnl"/>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099DD432" w14:textId="77777777" w:rsidR="0071085B" w:rsidRPr="00360FDF" w:rsidRDefault="0071085B" w:rsidP="0071085B">
      <w:pPr>
        <w:spacing w:after="0" w:line="360" w:lineRule="auto"/>
        <w:ind w:left="720"/>
        <w:contextualSpacing/>
        <w:rPr>
          <w:rFonts w:ascii="Palatino Linotype" w:eastAsia="Times New Roman" w:hAnsi="Palatino Linotype" w:cs="Times New Roman"/>
          <w:sz w:val="24"/>
          <w:szCs w:val="24"/>
          <w:lang w:val="es-ES" w:eastAsia="es-ES_tradnl"/>
        </w:rPr>
      </w:pPr>
    </w:p>
    <w:p w14:paraId="06E233FF" w14:textId="77777777" w:rsidR="0071085B" w:rsidRPr="00360FDF" w:rsidRDefault="0071085B" w:rsidP="00EC4510">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360FDF">
        <w:rPr>
          <w:rFonts w:ascii="Palatino Linotype" w:eastAsia="Times New Roman" w:hAnsi="Palatino Linotype" w:cs="Times New Roman"/>
          <w:sz w:val="24"/>
          <w:szCs w:val="24"/>
          <w:lang w:val="es-ES" w:eastAsia="es-ES_tradnl"/>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w:t>
      </w:r>
      <w:r w:rsidRPr="00360FDF">
        <w:rPr>
          <w:rFonts w:ascii="Palatino Linotype" w:eastAsia="Times New Roman" w:hAnsi="Palatino Linotype" w:cs="Times New Roman"/>
          <w:sz w:val="24"/>
          <w:szCs w:val="24"/>
          <w:lang w:val="es-ES" w:eastAsia="es-ES_tradnl"/>
        </w:rPr>
        <w:lastRenderedPageBreak/>
        <w:t>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2EF16919" w14:textId="77777777" w:rsidR="0071085B" w:rsidRPr="00360FDF" w:rsidRDefault="0071085B" w:rsidP="00EC4510">
      <w:pPr>
        <w:pStyle w:val="Ttulo1"/>
        <w:spacing w:line="360" w:lineRule="auto"/>
        <w:rPr>
          <w:rFonts w:eastAsia="MS Gothic" w:cs="Times New Roman"/>
          <w:b/>
          <w:i/>
          <w:color w:val="000000"/>
          <w:szCs w:val="24"/>
        </w:rPr>
      </w:pPr>
      <w:bookmarkStart w:id="34" w:name="_Toc71901890"/>
      <w:bookmarkStart w:id="35" w:name="_Toc72499069"/>
      <w:r w:rsidRPr="00360FDF">
        <w:rPr>
          <w:rFonts w:eastAsia="MS Mincho"/>
          <w:b/>
          <w:szCs w:val="24"/>
          <w:lang w:val="es-ES_tradnl" w:eastAsia="es-ES"/>
        </w:rPr>
        <w:t>CUARTO</w:t>
      </w:r>
      <w:r w:rsidRPr="00360FDF">
        <w:rPr>
          <w:rFonts w:eastAsia="MS Gothic" w:cs="Times New Roman"/>
          <w:b/>
          <w:szCs w:val="24"/>
        </w:rPr>
        <w:t xml:space="preserve">. </w:t>
      </w:r>
      <w:r w:rsidRPr="00360FDF">
        <w:rPr>
          <w:rFonts w:eastAsia="MS Gothic" w:cs="Times New Roman"/>
          <w:b/>
          <w:color w:val="000000"/>
          <w:szCs w:val="24"/>
        </w:rPr>
        <w:t xml:space="preserve">Del planteamiento de la </w:t>
      </w:r>
      <w:r w:rsidRPr="00360FDF">
        <w:rPr>
          <w:rFonts w:eastAsia="MS Gothic" w:cs="Times New Roman"/>
          <w:b/>
          <w:i/>
          <w:color w:val="000000"/>
          <w:szCs w:val="24"/>
        </w:rPr>
        <w:t>Litis.</w:t>
      </w:r>
      <w:bookmarkEnd w:id="34"/>
      <w:bookmarkEnd w:id="35"/>
    </w:p>
    <w:p w14:paraId="7E59A50B" w14:textId="77777777" w:rsidR="0071085B" w:rsidRPr="00360FDF" w:rsidRDefault="0071085B" w:rsidP="0071085B">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360FDF">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360FDF">
        <w:rPr>
          <w:rFonts w:ascii="Palatino Linotype" w:eastAsia="Calibri" w:hAnsi="Palatino Linotype" w:cs="Arial"/>
          <w:b/>
          <w:sz w:val="24"/>
          <w:szCs w:val="24"/>
          <w:lang w:val="es-ES" w:eastAsia="es-ES"/>
        </w:rPr>
        <w:t>Ley de Transparencia y Acceso a la Información Pública del Estado de México y Municipios</w:t>
      </w:r>
      <w:r w:rsidRPr="00360FDF">
        <w:rPr>
          <w:rFonts w:ascii="Palatino Linotype" w:eastAsia="Times New Roman" w:hAnsi="Palatino Linotype" w:cs="Arial"/>
          <w:sz w:val="24"/>
          <w:szCs w:val="24"/>
          <w:lang w:val="es-ES_tradnl" w:eastAsia="es-ES"/>
        </w:rPr>
        <w:t xml:space="preserve"> y determinar confirmar</w:t>
      </w:r>
      <w:r w:rsidRPr="00360FDF">
        <w:rPr>
          <w:rFonts w:ascii="Palatino Linotype" w:eastAsia="Times New Roman" w:hAnsi="Palatino Linotype" w:cs="Arial"/>
          <w:strike/>
          <w:sz w:val="24"/>
          <w:szCs w:val="24"/>
          <w:lang w:val="es-ES_tradnl" w:eastAsia="es-ES"/>
        </w:rPr>
        <w:t>;</w:t>
      </w:r>
      <w:r w:rsidRPr="00360FDF">
        <w:rPr>
          <w:rFonts w:ascii="Palatino Linotype" w:eastAsia="Times New Roman" w:hAnsi="Palatino Linotype" w:cs="Arial"/>
          <w:sz w:val="24"/>
          <w:szCs w:val="24"/>
          <w:lang w:val="es-ES_tradnl" w:eastAsia="es-ES"/>
        </w:rPr>
        <w:t xml:space="preserve"> revocar o modificar la respuesta entregada por el Sujeto Obligado; o, en su caso, desechar o sobreseer el recurso de revisión; y, de ser procedente, </w:t>
      </w:r>
      <w:r w:rsidRPr="00360FDF">
        <w:rPr>
          <w:rFonts w:ascii="Palatino Linotype" w:eastAsia="Times New Roman" w:hAnsi="Palatino Linotype" w:cs="Arial"/>
          <w:b/>
          <w:sz w:val="24"/>
          <w:szCs w:val="24"/>
          <w:lang w:val="es-ES_tradnl" w:eastAsia="es-ES"/>
        </w:rPr>
        <w:t>ordenar la entrega de la información</w:t>
      </w:r>
      <w:r w:rsidRPr="00360FDF">
        <w:rPr>
          <w:rFonts w:ascii="Palatino Linotype" w:eastAsia="Times New Roman" w:hAnsi="Palatino Linotype" w:cs="Arial"/>
          <w:b/>
          <w:strike/>
          <w:sz w:val="24"/>
          <w:szCs w:val="24"/>
          <w:lang w:val="es-ES_tradnl" w:eastAsia="es-ES"/>
        </w:rPr>
        <w:t>.</w:t>
      </w:r>
      <w:r w:rsidRPr="00360FDF">
        <w:rPr>
          <w:rFonts w:ascii="Palatino Linotype" w:eastAsia="Times New Roman" w:hAnsi="Palatino Linotype" w:cs="Arial"/>
          <w:sz w:val="24"/>
          <w:szCs w:val="24"/>
          <w:lang w:val="es-ES_tradnl" w:eastAsia="es-ES"/>
        </w:rPr>
        <w:t xml:space="preserve"> </w:t>
      </w:r>
    </w:p>
    <w:p w14:paraId="501D8357" w14:textId="77777777" w:rsidR="0071085B" w:rsidRPr="00360FDF" w:rsidRDefault="0071085B" w:rsidP="0071085B">
      <w:pPr>
        <w:spacing w:before="240" w:after="240" w:line="360" w:lineRule="auto"/>
        <w:contextualSpacing/>
        <w:jc w:val="both"/>
        <w:rPr>
          <w:rFonts w:ascii="Palatino Linotype" w:eastAsia="Times New Roman" w:hAnsi="Palatino Linotype" w:cs="Times New Roman"/>
          <w:i/>
          <w:sz w:val="24"/>
          <w:szCs w:val="24"/>
          <w:lang w:val="es-ES_tradnl" w:eastAsia="es-ES"/>
        </w:rPr>
      </w:pPr>
    </w:p>
    <w:p w14:paraId="174493A0" w14:textId="77777777" w:rsidR="0071085B" w:rsidRPr="00360FDF" w:rsidRDefault="0071085B" w:rsidP="005D2EE1">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360FDF">
        <w:rPr>
          <w:rFonts w:ascii="Palatino Linotype" w:eastAsia="MS Mincho" w:hAnsi="Palatino Linotype" w:cs="Times New Roman"/>
          <w:sz w:val="24"/>
          <w:szCs w:val="24"/>
          <w:lang w:val="es-ES_tradnl" w:eastAsia="es-ES"/>
        </w:rPr>
        <w:t xml:space="preserve">Ya que el particular se inconformó e interpuso el presente recurso de revisión, argumentado como razones o motivos de inconformidad </w:t>
      </w:r>
      <w:r w:rsidR="005D2EE1" w:rsidRPr="00360FDF">
        <w:rPr>
          <w:rFonts w:ascii="Palatino Linotype" w:eastAsia="Times New Roman" w:hAnsi="Palatino Linotype" w:cs="Times New Roman"/>
          <w:sz w:val="24"/>
          <w:szCs w:val="24"/>
          <w:lang w:val="es-ES_tradnl" w:eastAsia="es-ES"/>
        </w:rPr>
        <w:t xml:space="preserve">la </w:t>
      </w:r>
      <w:r w:rsidR="005D2EE1" w:rsidRPr="00360FDF">
        <w:rPr>
          <w:rFonts w:ascii="Palatino Linotype" w:eastAsia="Times New Roman" w:hAnsi="Palatino Linotype" w:cs="Times New Roman"/>
          <w:sz w:val="24"/>
          <w:szCs w:val="24"/>
          <w:lang w:eastAsia="es-ES"/>
        </w:rPr>
        <w:t>falta, deficiencia o insuficiencia de la fundamentación y/o motivación en la respuesta</w:t>
      </w:r>
      <w:r w:rsidRPr="00360FDF">
        <w:rPr>
          <w:rFonts w:ascii="Palatino Linotype" w:eastAsia="MS Mincho" w:hAnsi="Palatino Linotype" w:cs="Times New Roman"/>
          <w:sz w:val="24"/>
          <w:szCs w:val="24"/>
          <w:lang w:val="es-ES_tradnl" w:eastAsia="es-ES"/>
        </w:rPr>
        <w:t xml:space="preserve">, el agravio del recurrente consiste en que la respuesta proporcionada por el </w:t>
      </w:r>
      <w:r w:rsidRPr="00360FDF">
        <w:rPr>
          <w:rFonts w:ascii="Palatino Linotype" w:eastAsia="MS Mincho" w:hAnsi="Palatino Linotype" w:cs="Times New Roman"/>
          <w:b/>
          <w:sz w:val="24"/>
          <w:szCs w:val="24"/>
          <w:lang w:val="es-ES_tradnl" w:eastAsia="es-ES"/>
        </w:rPr>
        <w:t>SUJETO OBLIGADO</w:t>
      </w:r>
      <w:r w:rsidRPr="00360FDF">
        <w:rPr>
          <w:rFonts w:ascii="Palatino Linotype" w:eastAsia="MS Mincho" w:hAnsi="Palatino Linotype" w:cs="Times New Roman"/>
          <w:sz w:val="24"/>
          <w:szCs w:val="24"/>
          <w:lang w:val="es-ES_tradnl" w:eastAsia="es-ES"/>
        </w:rPr>
        <w:t xml:space="preserve"> </w:t>
      </w:r>
      <w:r w:rsidRPr="00360FDF">
        <w:rPr>
          <w:rFonts w:ascii="Palatino Linotype" w:eastAsia="MS Mincho" w:hAnsi="Palatino Linotype" w:cs="Times New Roman"/>
          <w:sz w:val="24"/>
          <w:szCs w:val="24"/>
          <w:lang w:val="es-ES_tradnl" w:eastAsia="es-ES"/>
        </w:rPr>
        <w:lastRenderedPageBreak/>
        <w:t xml:space="preserve">no observó el principio contenido en el artículo 11 de la Ley de Transparencia y Acceso a la Información Pública del Estado de México y Municipios, el cual señala que en la generación, publicación y entrega de información se deberá garantizar que sea </w:t>
      </w:r>
      <w:r w:rsidR="005D2EE1" w:rsidRPr="00360FDF">
        <w:rPr>
          <w:rFonts w:ascii="Palatino Linotype" w:eastAsia="MS Mincho" w:hAnsi="Palatino Linotype" w:cs="Times New Roman"/>
          <w:sz w:val="24"/>
          <w:szCs w:val="24"/>
          <w:lang w:val="es-ES_tradnl" w:eastAsia="es-ES"/>
        </w:rPr>
        <w:t xml:space="preserve">confiable. </w:t>
      </w:r>
    </w:p>
    <w:p w14:paraId="3CE00DA2" w14:textId="77777777" w:rsidR="0071085B" w:rsidRPr="00360FDF" w:rsidRDefault="0071085B" w:rsidP="0071085B">
      <w:pPr>
        <w:spacing w:line="360" w:lineRule="auto"/>
        <w:ind w:left="720"/>
        <w:contextualSpacing/>
        <w:rPr>
          <w:rFonts w:ascii="Palatino Linotype" w:eastAsia="MS Mincho" w:hAnsi="Palatino Linotype" w:cs="Times New Roman"/>
          <w:sz w:val="24"/>
          <w:szCs w:val="24"/>
          <w:lang w:val="es-ES_tradnl" w:eastAsia="es-ES"/>
        </w:rPr>
      </w:pPr>
    </w:p>
    <w:p w14:paraId="7A77D5A4" w14:textId="77777777" w:rsidR="0071085B" w:rsidRPr="00360FDF" w:rsidRDefault="0071085B" w:rsidP="0071085B">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360FDF">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360FDF">
        <w:rPr>
          <w:rFonts w:ascii="Palatino Linotype" w:eastAsia="MS Mincho" w:hAnsi="Palatino Linotype" w:cs="Times New Roman"/>
          <w:b/>
          <w:sz w:val="24"/>
          <w:szCs w:val="24"/>
          <w:lang w:val="es-ES_tradnl" w:eastAsia="es-ES"/>
        </w:rPr>
        <w:t>SUJETO OBLIGADO</w:t>
      </w:r>
      <w:r w:rsidRPr="00360FDF">
        <w:rPr>
          <w:rFonts w:ascii="Palatino Linotype" w:eastAsia="MS Mincho" w:hAnsi="Palatino Linotype" w:cs="Times New Roman"/>
          <w:sz w:val="24"/>
          <w:szCs w:val="24"/>
          <w:lang w:val="es-ES_tradnl" w:eastAsia="es-ES"/>
        </w:rPr>
        <w:t xml:space="preserve"> al referir </w:t>
      </w:r>
      <w:r w:rsidR="00943493" w:rsidRPr="00360FDF">
        <w:rPr>
          <w:rFonts w:ascii="Palatino Linotype" w:eastAsia="MS Mincho" w:hAnsi="Palatino Linotype" w:cs="Times New Roman"/>
          <w:sz w:val="24"/>
          <w:szCs w:val="24"/>
          <w:lang w:val="es-ES_tradnl" w:eastAsia="es-ES"/>
        </w:rPr>
        <w:t xml:space="preserve">la búsqueda de la </w:t>
      </w:r>
      <w:proofErr w:type="gramStart"/>
      <w:r w:rsidR="00943493" w:rsidRPr="00360FDF">
        <w:rPr>
          <w:rFonts w:ascii="Palatino Linotype" w:eastAsia="MS Mincho" w:hAnsi="Palatino Linotype" w:cs="Times New Roman"/>
          <w:sz w:val="24"/>
          <w:szCs w:val="24"/>
          <w:lang w:val="es-ES_tradnl" w:eastAsia="es-ES"/>
        </w:rPr>
        <w:t>información  sin</w:t>
      </w:r>
      <w:proofErr w:type="gramEnd"/>
      <w:r w:rsidR="00943493" w:rsidRPr="00360FDF">
        <w:rPr>
          <w:rFonts w:ascii="Palatino Linotype" w:eastAsia="MS Mincho" w:hAnsi="Palatino Linotype" w:cs="Times New Roman"/>
          <w:sz w:val="24"/>
          <w:szCs w:val="24"/>
          <w:lang w:val="es-ES_tradnl" w:eastAsia="es-ES"/>
        </w:rPr>
        <w:t xml:space="preserve"> señalar los métodos técnicos empleados</w:t>
      </w:r>
      <w:r w:rsidRPr="00360FDF">
        <w:rPr>
          <w:rFonts w:ascii="Palatino Linotype" w:eastAsia="MS Mincho" w:hAnsi="Palatino Linotype" w:cs="Times New Roman"/>
          <w:sz w:val="24"/>
          <w:szCs w:val="24"/>
          <w:lang w:val="es-ES_tradnl" w:eastAsia="es-ES"/>
        </w:rPr>
        <w:t xml:space="preserve">, garantizó el derecho de acceso a la información accionado por el particular, por lo que se actualizan las causales de procedencia previstas en el artículo 179 fracción </w:t>
      </w:r>
      <w:r w:rsidR="00943493" w:rsidRPr="00360FDF">
        <w:rPr>
          <w:rFonts w:ascii="Palatino Linotype" w:eastAsia="MS Mincho" w:hAnsi="Palatino Linotype" w:cs="Times New Roman"/>
          <w:sz w:val="24"/>
          <w:szCs w:val="24"/>
          <w:lang w:val="es-ES_tradnl" w:eastAsia="es-ES"/>
        </w:rPr>
        <w:t>X</w:t>
      </w:r>
      <w:r w:rsidRPr="00360FDF">
        <w:rPr>
          <w:rFonts w:ascii="Palatino Linotype" w:eastAsia="MS Mincho" w:hAnsi="Palatino Linotype" w:cs="Times New Roman"/>
          <w:sz w:val="24"/>
          <w:szCs w:val="24"/>
          <w:lang w:val="es-ES_tradnl" w:eastAsia="es-ES"/>
        </w:rPr>
        <w:t>II</w:t>
      </w:r>
      <w:r w:rsidR="00943493" w:rsidRPr="00360FDF">
        <w:rPr>
          <w:rFonts w:ascii="Palatino Linotype" w:eastAsia="MS Mincho" w:hAnsi="Palatino Linotype" w:cs="Times New Roman"/>
          <w:sz w:val="24"/>
          <w:szCs w:val="24"/>
          <w:lang w:val="es-ES_tradnl" w:eastAsia="es-ES"/>
        </w:rPr>
        <w:t>I</w:t>
      </w:r>
      <w:r w:rsidRPr="00360FDF">
        <w:rPr>
          <w:rFonts w:ascii="Palatino Linotype" w:eastAsia="MS Mincho" w:hAnsi="Palatino Linotype" w:cs="Times New Roman"/>
          <w:sz w:val="24"/>
          <w:szCs w:val="24"/>
          <w:lang w:val="es-ES_tradnl" w:eastAsia="es-ES"/>
        </w:rPr>
        <w:t xml:space="preserve"> de la Ley de Transparencia y Acceso a la Información del Estado de México y Municipios. </w:t>
      </w:r>
    </w:p>
    <w:p w14:paraId="624BF3F4" w14:textId="77777777" w:rsidR="00670D02" w:rsidRPr="00360FDF" w:rsidRDefault="00DE44CE"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6" w:name="_Toc7249907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360FDF">
        <w:rPr>
          <w:rFonts w:ascii="Palatino Linotype" w:eastAsia="MS Gothic" w:hAnsi="Palatino Linotype" w:cstheme="majorBidi"/>
          <w:b/>
          <w:sz w:val="24"/>
          <w:szCs w:val="24"/>
          <w:lang w:val="es-ES_tradnl" w:eastAsia="es-ES"/>
        </w:rPr>
        <w:t>QUINTO</w:t>
      </w:r>
      <w:r w:rsidR="00792776" w:rsidRPr="00360FDF">
        <w:rPr>
          <w:rFonts w:ascii="Palatino Linotype" w:eastAsia="MS Gothic" w:hAnsi="Palatino Linotype" w:cstheme="majorBidi"/>
          <w:b/>
          <w:sz w:val="24"/>
          <w:szCs w:val="24"/>
          <w:lang w:val="es-ES_tradnl" w:eastAsia="es-ES"/>
        </w:rPr>
        <w:t xml:space="preserve">. </w:t>
      </w:r>
      <w:r w:rsidR="005E419C" w:rsidRPr="00360FDF">
        <w:rPr>
          <w:rFonts w:ascii="Palatino Linotype" w:eastAsia="MS Gothic" w:hAnsi="Palatino Linotype" w:cstheme="majorBidi"/>
          <w:b/>
          <w:sz w:val="24"/>
          <w:szCs w:val="24"/>
          <w:lang w:val="es-ES_tradnl" w:eastAsia="es-ES"/>
        </w:rPr>
        <w:t>De</w:t>
      </w:r>
      <w:r w:rsidR="008B13FD" w:rsidRPr="00360FDF">
        <w:rPr>
          <w:rFonts w:ascii="Palatino Linotype" w:eastAsia="MS Gothic" w:hAnsi="Palatino Linotype" w:cstheme="majorBidi"/>
          <w:b/>
          <w:sz w:val="24"/>
          <w:szCs w:val="24"/>
          <w:lang w:val="es-ES_tradnl" w:eastAsia="es-ES"/>
        </w:rPr>
        <w:t>l estudio y resolución del a</w:t>
      </w:r>
      <w:r w:rsidR="003E52DA" w:rsidRPr="00360FDF">
        <w:rPr>
          <w:rFonts w:ascii="Palatino Linotype" w:eastAsia="MS Gothic" w:hAnsi="Palatino Linotype" w:cstheme="majorBidi"/>
          <w:b/>
          <w:sz w:val="24"/>
          <w:szCs w:val="24"/>
          <w:lang w:val="es-ES_tradnl" w:eastAsia="es-ES"/>
        </w:rPr>
        <w:t>sunto.</w:t>
      </w:r>
      <w:bookmarkEnd w:id="36"/>
      <w:r w:rsidR="003E52DA" w:rsidRPr="00360FDF">
        <w:rPr>
          <w:rFonts w:ascii="Palatino Linotype" w:eastAsia="MS Gothic" w:hAnsi="Palatino Linotype" w:cstheme="majorBidi"/>
          <w:b/>
          <w:sz w:val="24"/>
          <w:szCs w:val="24"/>
          <w:lang w:val="es-ES_tradnl" w:eastAsia="es-ES"/>
        </w:rPr>
        <w:t xml:space="preserve"> </w:t>
      </w:r>
      <w:bookmarkEnd w:id="28"/>
      <w:bookmarkEnd w:id="29"/>
      <w:bookmarkEnd w:id="30"/>
      <w:bookmarkEnd w:id="31"/>
    </w:p>
    <w:p w14:paraId="16DACFC1" w14:textId="77777777" w:rsidR="00E67643" w:rsidRPr="00360FDF" w:rsidRDefault="008B13FD" w:rsidP="003A4DE4">
      <w:pPr>
        <w:pStyle w:val="Ttulo1"/>
        <w:numPr>
          <w:ilvl w:val="0"/>
          <w:numId w:val="3"/>
        </w:numPr>
        <w:ind w:left="0" w:firstLine="0"/>
        <w:rPr>
          <w:rFonts w:eastAsia="MS Gothic"/>
          <w:b/>
          <w:szCs w:val="24"/>
          <w:lang w:val="es-ES_tradnl" w:eastAsia="es-ES"/>
        </w:rPr>
      </w:pPr>
      <w:bookmarkStart w:id="37" w:name="_Toc72499071"/>
      <w:r w:rsidRPr="00360FDF">
        <w:rPr>
          <w:rFonts w:eastAsia="MS Gothic"/>
          <w:b/>
          <w:szCs w:val="24"/>
          <w:lang w:val="es-ES_tradnl" w:eastAsia="es-ES"/>
        </w:rPr>
        <w:t>De la i</w:t>
      </w:r>
      <w:r w:rsidR="00E67643" w:rsidRPr="00360FDF">
        <w:rPr>
          <w:rFonts w:eastAsia="MS Gothic"/>
          <w:b/>
          <w:szCs w:val="24"/>
          <w:lang w:val="es-ES_tradnl" w:eastAsia="es-ES"/>
        </w:rPr>
        <w:t>nformación solicitada.</w:t>
      </w:r>
      <w:bookmarkEnd w:id="37"/>
      <w:r w:rsidR="00E67643" w:rsidRPr="00360FDF">
        <w:rPr>
          <w:rFonts w:eastAsia="MS Gothic"/>
          <w:b/>
          <w:szCs w:val="24"/>
          <w:lang w:val="es-ES_tradnl" w:eastAsia="es-ES"/>
        </w:rPr>
        <w:t xml:space="preserve"> </w:t>
      </w:r>
    </w:p>
    <w:p w14:paraId="6360D91B" w14:textId="77777777" w:rsidR="00170993" w:rsidRPr="00360FDF" w:rsidRDefault="00670D02" w:rsidP="00170993">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360FDF">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360FDF">
        <w:rPr>
          <w:rFonts w:ascii="Palatino Linotype" w:eastAsia="Calibri" w:hAnsi="Palatino Linotype" w:cs="Arial"/>
          <w:b/>
          <w:sz w:val="24"/>
          <w:szCs w:val="24"/>
          <w:lang w:val="es-ES"/>
        </w:rPr>
        <w:t>Ley de Transparencia y Acceso a la Información Pública del Estado de México y Municipios</w:t>
      </w:r>
      <w:r w:rsidRPr="00360FDF">
        <w:rPr>
          <w:rFonts w:ascii="Palatino Linotype" w:eastAsia="Times New Roman" w:hAnsi="Palatino Linotype" w:cs="Arial"/>
          <w:sz w:val="24"/>
          <w:szCs w:val="24"/>
          <w:lang w:val="es-ES" w:eastAsia="es-MX"/>
        </w:rPr>
        <w:t>.</w:t>
      </w:r>
    </w:p>
    <w:p w14:paraId="1575D147" w14:textId="77777777" w:rsidR="00170993" w:rsidRPr="00360FDF" w:rsidRDefault="00170993" w:rsidP="00170993">
      <w:pPr>
        <w:pStyle w:val="Prrafodelista"/>
        <w:spacing w:before="240" w:after="360" w:line="360" w:lineRule="auto"/>
        <w:ind w:left="0"/>
        <w:jc w:val="both"/>
        <w:rPr>
          <w:rFonts w:ascii="Palatino Linotype" w:eastAsia="MS Mincho" w:hAnsi="Palatino Linotype" w:cs="Arial"/>
          <w:i/>
          <w:sz w:val="24"/>
          <w:szCs w:val="24"/>
          <w:lang w:eastAsia="es-ES"/>
        </w:rPr>
      </w:pPr>
    </w:p>
    <w:p w14:paraId="63EA5CEB" w14:textId="77777777" w:rsidR="0062163E" w:rsidRPr="00360FDF" w:rsidRDefault="00170993" w:rsidP="00170993">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360FDF">
        <w:rPr>
          <w:rFonts w:ascii="Palatino Linotype" w:eastAsia="Calibri" w:hAnsi="Palatino Linotype"/>
          <w:sz w:val="24"/>
          <w:szCs w:val="24"/>
          <w:lang w:val="es-ES_tradnl" w:eastAsia="es-ES"/>
        </w:rPr>
        <w:lastRenderedPageBreak/>
        <w:t xml:space="preserve">Así las cosas, </w:t>
      </w:r>
      <w:r w:rsidRPr="00360FDF">
        <w:rPr>
          <w:rFonts w:ascii="Palatino Linotype" w:eastAsia="Calibri" w:hAnsi="Palatino Linotype"/>
          <w:sz w:val="24"/>
          <w:szCs w:val="24"/>
          <w:lang w:val="es-ES"/>
        </w:rPr>
        <w:t xml:space="preserve">este Pleno considera necesario </w:t>
      </w:r>
      <w:r w:rsidRPr="00360FDF">
        <w:rPr>
          <w:rFonts w:ascii="Palatino Linotype" w:eastAsia="Calibri" w:hAnsi="Palatino Linotype" w:cs="Arial"/>
          <w:sz w:val="24"/>
          <w:szCs w:val="24"/>
          <w:lang w:val="es-ES"/>
        </w:rPr>
        <w:t xml:space="preserve">mencionar que, por cuestiones de claridad y transparencia en la decisión, </w:t>
      </w:r>
      <w:r w:rsidRPr="00360FDF">
        <w:rPr>
          <w:rFonts w:ascii="Palatino Linotype" w:eastAsia="Calibri" w:hAnsi="Palatino Linotype"/>
          <w:color w:val="000000"/>
          <w:sz w:val="24"/>
          <w:szCs w:val="24"/>
          <w:lang w:val="es-ES"/>
        </w:rPr>
        <w:t>se estima pertinente elaborar un cuadro de análisis, mismo que se inserta a continuación:</w:t>
      </w:r>
    </w:p>
    <w:tbl>
      <w:tblPr>
        <w:tblStyle w:val="Tablaconcuadrcula211"/>
        <w:tblW w:w="9356" w:type="dxa"/>
        <w:tblInd w:w="-266" w:type="dxa"/>
        <w:tblLayout w:type="fixed"/>
        <w:tblLook w:val="04A0" w:firstRow="1" w:lastRow="0" w:firstColumn="1" w:lastColumn="0" w:noHBand="0" w:noVBand="1"/>
      </w:tblPr>
      <w:tblGrid>
        <w:gridCol w:w="709"/>
        <w:gridCol w:w="1843"/>
        <w:gridCol w:w="2552"/>
        <w:gridCol w:w="2693"/>
        <w:gridCol w:w="1559"/>
      </w:tblGrid>
      <w:tr w:rsidR="00670D02" w:rsidRPr="00360FDF" w14:paraId="0D088BA9" w14:textId="77777777" w:rsidTr="00636266">
        <w:trPr>
          <w:trHeight w:val="581"/>
        </w:trPr>
        <w:tc>
          <w:tcPr>
            <w:tcW w:w="9356" w:type="dxa"/>
            <w:gridSpan w:val="5"/>
          </w:tcPr>
          <w:p w14:paraId="30FB9231" w14:textId="77777777" w:rsidR="00670D02" w:rsidRPr="00360FDF" w:rsidRDefault="00670D02" w:rsidP="00A92DE6">
            <w:pPr>
              <w:jc w:val="center"/>
              <w:rPr>
                <w:rFonts w:ascii="Palatino Linotype" w:hAnsi="Palatino Linotype" w:cs="Times New Roman"/>
                <w:b/>
                <w:bCs/>
                <w:sz w:val="24"/>
                <w:szCs w:val="24"/>
                <w:lang w:val="es-ES_tradnl"/>
              </w:rPr>
            </w:pPr>
          </w:p>
          <w:p w14:paraId="3E242E14" w14:textId="77777777" w:rsidR="00670D02" w:rsidRPr="00360FDF" w:rsidRDefault="00670D02" w:rsidP="00CC4A24">
            <w:pPr>
              <w:jc w:val="center"/>
              <w:rPr>
                <w:rFonts w:ascii="Palatino Linotype" w:hAnsi="Palatino Linotype" w:cs="Times New Roman"/>
                <w:sz w:val="24"/>
                <w:szCs w:val="24"/>
              </w:rPr>
            </w:pPr>
            <w:r w:rsidRPr="00360FDF">
              <w:rPr>
                <w:rFonts w:ascii="Palatino Linotype" w:hAnsi="Palatino Linotype" w:cs="Times New Roman"/>
                <w:b/>
                <w:bCs/>
                <w:sz w:val="24"/>
                <w:szCs w:val="24"/>
                <w:lang w:val="es-ES_tradnl"/>
              </w:rPr>
              <w:t>Solicitud</w:t>
            </w:r>
            <w:r w:rsidR="00CC4A24" w:rsidRPr="00360FDF">
              <w:rPr>
                <w:rFonts w:ascii="Verdana" w:eastAsiaTheme="minorHAnsi" w:hAnsi="Verdana"/>
                <w:b/>
                <w:bCs/>
                <w:color w:val="FF0000"/>
              </w:rPr>
              <w:t xml:space="preserve"> </w:t>
            </w:r>
            <w:r w:rsidR="00CC4A24" w:rsidRPr="00360FDF">
              <w:rPr>
                <w:rFonts w:ascii="Palatino Linotype" w:hAnsi="Palatino Linotype" w:cs="Times New Roman"/>
                <w:b/>
                <w:bCs/>
                <w:sz w:val="24"/>
                <w:szCs w:val="24"/>
              </w:rPr>
              <w:t>00112/ISEM/IP/</w:t>
            </w:r>
            <w:proofErr w:type="gramStart"/>
            <w:r w:rsidR="00CC4A24" w:rsidRPr="00360FDF">
              <w:rPr>
                <w:rFonts w:ascii="Palatino Linotype" w:hAnsi="Palatino Linotype" w:cs="Times New Roman"/>
                <w:b/>
                <w:bCs/>
                <w:sz w:val="24"/>
                <w:szCs w:val="24"/>
              </w:rPr>
              <w:t xml:space="preserve">2021 </w:t>
            </w:r>
            <w:r w:rsidRPr="00360FDF">
              <w:rPr>
                <w:rFonts w:ascii="Palatino Linotype" w:hAnsi="Palatino Linotype" w:cs="Times New Roman"/>
                <w:b/>
                <w:bCs/>
                <w:sz w:val="24"/>
                <w:szCs w:val="24"/>
                <w:lang w:val="es-ES_tradnl"/>
              </w:rPr>
              <w:t>:</w:t>
            </w:r>
            <w:proofErr w:type="gramEnd"/>
          </w:p>
        </w:tc>
      </w:tr>
      <w:tr w:rsidR="00670D02" w:rsidRPr="00360FDF" w14:paraId="7CA4006B" w14:textId="77777777" w:rsidTr="00636266">
        <w:trPr>
          <w:trHeight w:val="582"/>
        </w:trPr>
        <w:tc>
          <w:tcPr>
            <w:tcW w:w="709" w:type="dxa"/>
            <w:shd w:val="clear" w:color="auto" w:fill="DBDBDB"/>
          </w:tcPr>
          <w:p w14:paraId="1BE2966F" w14:textId="77777777" w:rsidR="00670D02" w:rsidRPr="00360FDF" w:rsidRDefault="00670D02" w:rsidP="00A92DE6">
            <w:pPr>
              <w:rPr>
                <w:rFonts w:ascii="Palatino Linotype" w:hAnsi="Palatino Linotype" w:cs="Times New Roman"/>
                <w:sz w:val="24"/>
                <w:szCs w:val="24"/>
              </w:rPr>
            </w:pPr>
          </w:p>
          <w:p w14:paraId="5EB1D11A" w14:textId="77777777" w:rsidR="00670D02" w:rsidRPr="00360FDF" w:rsidRDefault="00670D02" w:rsidP="00A92DE6">
            <w:pPr>
              <w:jc w:val="center"/>
              <w:rPr>
                <w:rFonts w:ascii="Palatino Linotype" w:hAnsi="Palatino Linotype" w:cs="Times New Roman"/>
                <w:sz w:val="24"/>
                <w:szCs w:val="24"/>
              </w:rPr>
            </w:pPr>
            <w:r w:rsidRPr="00360FDF">
              <w:rPr>
                <w:rFonts w:ascii="Palatino Linotype" w:hAnsi="Palatino Linotype" w:cs="Times New Roman"/>
                <w:sz w:val="24"/>
                <w:szCs w:val="24"/>
              </w:rPr>
              <w:t>No.</w:t>
            </w:r>
          </w:p>
        </w:tc>
        <w:tc>
          <w:tcPr>
            <w:tcW w:w="1843" w:type="dxa"/>
            <w:shd w:val="clear" w:color="auto" w:fill="DBDBDB"/>
          </w:tcPr>
          <w:p w14:paraId="66AFB5CC" w14:textId="77777777" w:rsidR="00670D02" w:rsidRPr="00360FDF" w:rsidRDefault="00670D02" w:rsidP="00A92DE6">
            <w:pPr>
              <w:jc w:val="center"/>
              <w:rPr>
                <w:rFonts w:ascii="Palatino Linotype" w:hAnsi="Palatino Linotype" w:cs="Times New Roman"/>
                <w:sz w:val="24"/>
                <w:szCs w:val="24"/>
              </w:rPr>
            </w:pPr>
          </w:p>
          <w:p w14:paraId="7DDE4DC3" w14:textId="77777777" w:rsidR="00670D02" w:rsidRPr="00360FDF" w:rsidRDefault="00670D02" w:rsidP="00A92DE6">
            <w:pPr>
              <w:jc w:val="center"/>
              <w:rPr>
                <w:rFonts w:ascii="Palatino Linotype" w:hAnsi="Palatino Linotype" w:cs="Times New Roman"/>
                <w:sz w:val="24"/>
                <w:szCs w:val="24"/>
              </w:rPr>
            </w:pPr>
            <w:r w:rsidRPr="00360FDF">
              <w:rPr>
                <w:rFonts w:ascii="Palatino Linotype" w:hAnsi="Palatino Linotype" w:cs="Times New Roman"/>
                <w:sz w:val="24"/>
                <w:szCs w:val="24"/>
              </w:rPr>
              <w:t>Información Requerida:</w:t>
            </w:r>
          </w:p>
        </w:tc>
        <w:tc>
          <w:tcPr>
            <w:tcW w:w="2552" w:type="dxa"/>
            <w:shd w:val="clear" w:color="auto" w:fill="DBDBDB"/>
          </w:tcPr>
          <w:p w14:paraId="545A3F4E" w14:textId="77777777" w:rsidR="00670D02" w:rsidRPr="00360FDF" w:rsidRDefault="00670D02" w:rsidP="00A92DE6">
            <w:pPr>
              <w:jc w:val="center"/>
              <w:rPr>
                <w:rFonts w:ascii="Palatino Linotype" w:hAnsi="Palatino Linotype" w:cs="Times New Roman"/>
                <w:sz w:val="24"/>
                <w:szCs w:val="24"/>
              </w:rPr>
            </w:pPr>
          </w:p>
          <w:p w14:paraId="253B6AC7" w14:textId="77777777" w:rsidR="00670D02" w:rsidRPr="00360FDF" w:rsidRDefault="00670D02" w:rsidP="00A92DE6">
            <w:pPr>
              <w:jc w:val="center"/>
              <w:rPr>
                <w:rFonts w:ascii="Palatino Linotype" w:hAnsi="Palatino Linotype" w:cs="Times New Roman"/>
                <w:sz w:val="24"/>
                <w:szCs w:val="24"/>
              </w:rPr>
            </w:pPr>
            <w:r w:rsidRPr="00360FDF">
              <w:rPr>
                <w:rFonts w:ascii="Palatino Linotype" w:hAnsi="Palatino Linotype" w:cs="Times New Roman"/>
                <w:sz w:val="24"/>
                <w:szCs w:val="24"/>
              </w:rPr>
              <w:t>Información entregada en respuesta:</w:t>
            </w:r>
          </w:p>
        </w:tc>
        <w:tc>
          <w:tcPr>
            <w:tcW w:w="2693" w:type="dxa"/>
            <w:shd w:val="clear" w:color="auto" w:fill="DBDBDB"/>
          </w:tcPr>
          <w:p w14:paraId="737C2D28" w14:textId="77777777" w:rsidR="00670D02" w:rsidRPr="00360FDF" w:rsidRDefault="00670D02" w:rsidP="00A92DE6">
            <w:pPr>
              <w:jc w:val="center"/>
              <w:rPr>
                <w:rFonts w:ascii="Palatino Linotype" w:hAnsi="Palatino Linotype" w:cs="Times New Roman"/>
                <w:sz w:val="24"/>
                <w:szCs w:val="24"/>
              </w:rPr>
            </w:pPr>
          </w:p>
          <w:p w14:paraId="7DDD41B4" w14:textId="77777777" w:rsidR="00670D02" w:rsidRPr="00360FDF" w:rsidRDefault="00670D02" w:rsidP="00A92DE6">
            <w:pPr>
              <w:jc w:val="center"/>
              <w:rPr>
                <w:rFonts w:ascii="Palatino Linotype" w:hAnsi="Palatino Linotype" w:cs="Times New Roman"/>
                <w:sz w:val="24"/>
                <w:szCs w:val="24"/>
              </w:rPr>
            </w:pPr>
            <w:r w:rsidRPr="00360FDF">
              <w:rPr>
                <w:rFonts w:ascii="Palatino Linotype" w:hAnsi="Palatino Linotype" w:cs="Times New Roman"/>
                <w:sz w:val="24"/>
                <w:szCs w:val="24"/>
              </w:rPr>
              <w:t xml:space="preserve">Información entregada en Informe Justificado: </w:t>
            </w:r>
          </w:p>
        </w:tc>
        <w:tc>
          <w:tcPr>
            <w:tcW w:w="1559" w:type="dxa"/>
            <w:shd w:val="clear" w:color="auto" w:fill="DBDBDB"/>
          </w:tcPr>
          <w:p w14:paraId="2C2E7F11" w14:textId="77777777" w:rsidR="00670D02" w:rsidRPr="00360FDF" w:rsidRDefault="00670D02" w:rsidP="00A92DE6">
            <w:pPr>
              <w:jc w:val="center"/>
              <w:rPr>
                <w:rFonts w:ascii="Palatino Linotype" w:hAnsi="Palatino Linotype" w:cs="Times New Roman"/>
                <w:sz w:val="24"/>
                <w:szCs w:val="24"/>
              </w:rPr>
            </w:pPr>
          </w:p>
          <w:p w14:paraId="0ECD7F94" w14:textId="77777777" w:rsidR="00670D02" w:rsidRPr="00360FDF" w:rsidRDefault="00670D02" w:rsidP="00A92DE6">
            <w:pPr>
              <w:jc w:val="center"/>
              <w:rPr>
                <w:rFonts w:ascii="Palatino Linotype" w:hAnsi="Palatino Linotype" w:cs="Times New Roman"/>
                <w:sz w:val="24"/>
                <w:szCs w:val="24"/>
              </w:rPr>
            </w:pPr>
            <w:r w:rsidRPr="00360FDF">
              <w:rPr>
                <w:rFonts w:ascii="Palatino Linotype" w:hAnsi="Palatino Linotype" w:cs="Times New Roman"/>
                <w:sz w:val="24"/>
                <w:szCs w:val="24"/>
              </w:rPr>
              <w:t>¿Satisface la solicitud?</w:t>
            </w:r>
          </w:p>
        </w:tc>
      </w:tr>
      <w:tr w:rsidR="003A6340" w:rsidRPr="00360FDF" w14:paraId="39916042" w14:textId="77777777" w:rsidTr="00170993">
        <w:trPr>
          <w:trHeight w:val="582"/>
        </w:trPr>
        <w:tc>
          <w:tcPr>
            <w:tcW w:w="709" w:type="dxa"/>
            <w:shd w:val="clear" w:color="auto" w:fill="FFFFFF" w:themeFill="background1"/>
          </w:tcPr>
          <w:p w14:paraId="3AB0F6CB" w14:textId="77777777" w:rsidR="003A6340" w:rsidRPr="00360FDF" w:rsidRDefault="003A6340" w:rsidP="00A92DE6">
            <w:pPr>
              <w:rPr>
                <w:rFonts w:ascii="Palatino Linotype" w:hAnsi="Palatino Linotype" w:cs="Times New Roman"/>
                <w:sz w:val="24"/>
                <w:szCs w:val="24"/>
              </w:rPr>
            </w:pPr>
            <w:r w:rsidRPr="00360FDF">
              <w:rPr>
                <w:rFonts w:ascii="Palatino Linotype" w:hAnsi="Palatino Linotype" w:cs="Times New Roman"/>
                <w:sz w:val="24"/>
                <w:szCs w:val="24"/>
              </w:rPr>
              <w:t>1</w:t>
            </w:r>
          </w:p>
        </w:tc>
        <w:tc>
          <w:tcPr>
            <w:tcW w:w="1843" w:type="dxa"/>
            <w:shd w:val="clear" w:color="auto" w:fill="FFFFFF" w:themeFill="background1"/>
          </w:tcPr>
          <w:p w14:paraId="31F88F35" w14:textId="77777777" w:rsidR="003A6340" w:rsidRPr="00360FDF" w:rsidRDefault="003A6340" w:rsidP="00CC4A24">
            <w:pPr>
              <w:jc w:val="both"/>
              <w:rPr>
                <w:rFonts w:ascii="Palatino Linotype" w:hAnsi="Palatino Linotype" w:cstheme="majorHAnsi"/>
                <w:i/>
                <w:color w:val="000000"/>
                <w:sz w:val="24"/>
                <w:szCs w:val="24"/>
              </w:rPr>
            </w:pPr>
          </w:p>
          <w:p w14:paraId="279AA658" w14:textId="77777777" w:rsidR="003A6340" w:rsidRPr="00360FDF" w:rsidRDefault="003A6340" w:rsidP="00CC4A24">
            <w:pPr>
              <w:jc w:val="both"/>
              <w:rPr>
                <w:rFonts w:ascii="Palatino Linotype" w:hAnsi="Palatino Linotype" w:cstheme="majorHAnsi"/>
                <w:i/>
                <w:sz w:val="24"/>
                <w:szCs w:val="24"/>
              </w:rPr>
            </w:pPr>
            <w:r w:rsidRPr="00360FDF">
              <w:rPr>
                <w:rFonts w:ascii="Palatino Linotype" w:hAnsi="Palatino Linotype" w:cstheme="majorHAnsi"/>
                <w:i/>
                <w:color w:val="000000"/>
                <w:sz w:val="24"/>
                <w:szCs w:val="24"/>
              </w:rPr>
              <w:t>“resoluciones por las cuales cesaron a Carlos Aranza Doniz funcionario del Instituto de Salud del Edomex, por ir al Super Bowl, y aquellas por las que despidieron a su asesor José Fernando Gil García ambos del Instituto de Salud del Estado de México.” (Sic)</w:t>
            </w:r>
          </w:p>
        </w:tc>
        <w:tc>
          <w:tcPr>
            <w:tcW w:w="2552" w:type="dxa"/>
            <w:shd w:val="clear" w:color="auto" w:fill="FFFFFF" w:themeFill="background1"/>
          </w:tcPr>
          <w:p w14:paraId="72EC3962" w14:textId="77777777" w:rsidR="003A6340" w:rsidRPr="00360FDF" w:rsidRDefault="003A6340" w:rsidP="00223E2B">
            <w:pPr>
              <w:jc w:val="both"/>
              <w:rPr>
                <w:rFonts w:ascii="Palatino Linotype" w:eastAsia="MS Mincho" w:hAnsi="Palatino Linotype" w:cs="Arial"/>
                <w:i/>
                <w:color w:val="000000" w:themeColor="text1"/>
                <w:sz w:val="24"/>
                <w:szCs w:val="24"/>
                <w:lang w:val="es-ES_tradnl" w:eastAsia="es-ES"/>
              </w:rPr>
            </w:pPr>
          </w:p>
          <w:p w14:paraId="6B626660" w14:textId="77777777" w:rsidR="003A6340" w:rsidRPr="00360FDF" w:rsidRDefault="003A6340" w:rsidP="00223E2B">
            <w:pPr>
              <w:jc w:val="both"/>
              <w:rPr>
                <w:rFonts w:ascii="Palatino Linotype" w:hAnsi="Palatino Linotype" w:cs="Times New Roman"/>
                <w:sz w:val="24"/>
                <w:szCs w:val="24"/>
              </w:rPr>
            </w:pPr>
            <w:r w:rsidRPr="00360FDF">
              <w:rPr>
                <w:rFonts w:ascii="Palatino Linotype" w:eastAsia="MS Mincho" w:hAnsi="Palatino Linotype" w:cs="Arial"/>
                <w:i/>
                <w:color w:val="000000" w:themeColor="text1"/>
                <w:sz w:val="24"/>
                <w:szCs w:val="24"/>
                <w:lang w:val="es-ES_tradnl" w:eastAsia="es-ES"/>
              </w:rPr>
              <w:t>“No se cuenta con antecedente de resolución emitida en razón de que el C. Carlos Aranza Doniz, haya acudido al Super Bowl, tampoco se cuenta con antecedente de resolución en que se encuentre involucrado el C. José Fernando Gil García.” (sic)</w:t>
            </w:r>
          </w:p>
        </w:tc>
        <w:tc>
          <w:tcPr>
            <w:tcW w:w="2693" w:type="dxa"/>
            <w:vMerge w:val="restart"/>
            <w:shd w:val="clear" w:color="auto" w:fill="FFFFFF" w:themeFill="background1"/>
          </w:tcPr>
          <w:p w14:paraId="38FE61CB" w14:textId="77777777" w:rsidR="003A6340" w:rsidRPr="00360FDF" w:rsidRDefault="003A6340" w:rsidP="003A6340">
            <w:pPr>
              <w:jc w:val="center"/>
              <w:rPr>
                <w:rFonts w:ascii="Palatino Linotype" w:hAnsi="Palatino Linotype" w:cs="Times New Roman"/>
                <w:sz w:val="24"/>
                <w:szCs w:val="24"/>
              </w:rPr>
            </w:pPr>
          </w:p>
          <w:p w14:paraId="11FA7866" w14:textId="77777777" w:rsidR="003A6340" w:rsidRPr="00360FDF" w:rsidRDefault="003A6340" w:rsidP="003A6340">
            <w:pPr>
              <w:jc w:val="both"/>
              <w:rPr>
                <w:rFonts w:ascii="Palatino Linotype" w:hAnsi="Palatino Linotype" w:cs="Times New Roman"/>
                <w:sz w:val="24"/>
                <w:szCs w:val="24"/>
              </w:rPr>
            </w:pPr>
            <w:r w:rsidRPr="00360FDF">
              <w:rPr>
                <w:rFonts w:ascii="Palatino Linotype" w:hAnsi="Palatino Linotype" w:cs="Times New Roman"/>
                <w:sz w:val="24"/>
                <w:szCs w:val="24"/>
              </w:rPr>
              <w:t xml:space="preserve">Documento electrónico que en once (11) hojas medularmente se refiere que se atendió la solicitud de información a cabalidad ya que el Órgano de Control Interno emitió respuesta a la solicitud de información. </w:t>
            </w:r>
          </w:p>
          <w:p w14:paraId="50E997C0" w14:textId="77777777" w:rsidR="003A6340" w:rsidRPr="00360FDF" w:rsidRDefault="003A6340" w:rsidP="003A6340">
            <w:pPr>
              <w:jc w:val="center"/>
              <w:rPr>
                <w:rFonts w:ascii="Palatino Linotype" w:hAnsi="Palatino Linotype" w:cs="Times New Roman"/>
                <w:sz w:val="24"/>
                <w:szCs w:val="24"/>
              </w:rPr>
            </w:pPr>
          </w:p>
          <w:p w14:paraId="2C6F9185" w14:textId="77777777" w:rsidR="003A6340" w:rsidRPr="00360FDF" w:rsidRDefault="003A6340" w:rsidP="00A92DE6">
            <w:pPr>
              <w:jc w:val="center"/>
              <w:rPr>
                <w:rFonts w:ascii="Palatino Linotype" w:hAnsi="Palatino Linotype" w:cs="Times New Roman"/>
                <w:sz w:val="24"/>
                <w:szCs w:val="24"/>
              </w:rPr>
            </w:pPr>
          </w:p>
        </w:tc>
        <w:tc>
          <w:tcPr>
            <w:tcW w:w="1559" w:type="dxa"/>
            <w:shd w:val="clear" w:color="auto" w:fill="FFFFFF" w:themeFill="background1"/>
          </w:tcPr>
          <w:p w14:paraId="4F2E5CF4" w14:textId="77777777" w:rsidR="003A6340" w:rsidRPr="00360FDF" w:rsidRDefault="003A6340" w:rsidP="00A92DE6">
            <w:pPr>
              <w:jc w:val="center"/>
              <w:rPr>
                <w:rFonts w:ascii="Palatino Linotype" w:hAnsi="Palatino Linotype" w:cs="Times New Roman"/>
                <w:sz w:val="24"/>
                <w:szCs w:val="24"/>
              </w:rPr>
            </w:pPr>
          </w:p>
          <w:p w14:paraId="40B0DAFA" w14:textId="77777777" w:rsidR="003A6340" w:rsidRPr="00360FDF" w:rsidRDefault="003A6340" w:rsidP="00A92DE6">
            <w:pPr>
              <w:jc w:val="center"/>
              <w:rPr>
                <w:rFonts w:ascii="Palatino Linotype" w:hAnsi="Palatino Linotype" w:cs="Times New Roman"/>
                <w:szCs w:val="24"/>
              </w:rPr>
            </w:pPr>
            <w:r w:rsidRPr="00360FDF">
              <w:rPr>
                <w:rFonts w:ascii="Palatino Linotype" w:hAnsi="Palatino Linotype" w:cs="Times New Roman"/>
                <w:szCs w:val="24"/>
              </w:rPr>
              <w:t>Parcialmente</w:t>
            </w:r>
          </w:p>
          <w:p w14:paraId="5BCD7698" w14:textId="77777777" w:rsidR="000559BA" w:rsidRPr="00360FDF" w:rsidRDefault="000559BA" w:rsidP="00A92DE6">
            <w:pPr>
              <w:jc w:val="center"/>
              <w:rPr>
                <w:rFonts w:ascii="Palatino Linotype" w:hAnsi="Palatino Linotype" w:cs="Times New Roman"/>
                <w:szCs w:val="24"/>
              </w:rPr>
            </w:pPr>
          </w:p>
          <w:p w14:paraId="744B93E3" w14:textId="77777777" w:rsidR="000559BA" w:rsidRPr="00360FDF" w:rsidRDefault="000559BA" w:rsidP="000559BA">
            <w:pPr>
              <w:jc w:val="center"/>
              <w:rPr>
                <w:rFonts w:ascii="Palatino Linotype" w:hAnsi="Palatino Linotype" w:cs="Times New Roman"/>
              </w:rPr>
            </w:pPr>
          </w:p>
          <w:p w14:paraId="1275502C" w14:textId="77777777" w:rsidR="000559BA" w:rsidRPr="00360FDF" w:rsidRDefault="000559BA" w:rsidP="000559BA">
            <w:pPr>
              <w:jc w:val="both"/>
              <w:rPr>
                <w:rFonts w:ascii="Palatino Linotype" w:hAnsi="Palatino Linotype" w:cs="Times New Roman"/>
                <w:sz w:val="24"/>
                <w:szCs w:val="24"/>
              </w:rPr>
            </w:pPr>
            <w:r w:rsidRPr="00360FDF">
              <w:rPr>
                <w:rFonts w:ascii="Palatino Linotype" w:hAnsi="Palatino Linotype" w:cs="Times New Roman"/>
                <w:szCs w:val="24"/>
              </w:rPr>
              <w:t xml:space="preserve">Se considera que la respuesta otorgada no atiende lo solicitado, al no indicar la forma en que se </w:t>
            </w:r>
            <w:proofErr w:type="gramStart"/>
            <w:r w:rsidRPr="00360FDF">
              <w:rPr>
                <w:rFonts w:ascii="Palatino Linotype" w:hAnsi="Palatino Linotype" w:cs="Times New Roman"/>
                <w:szCs w:val="24"/>
              </w:rPr>
              <w:t>realizó  la</w:t>
            </w:r>
            <w:proofErr w:type="gramEnd"/>
            <w:r w:rsidRPr="00360FDF">
              <w:rPr>
                <w:rFonts w:ascii="Palatino Linotype" w:hAnsi="Palatino Linotype" w:cs="Times New Roman"/>
                <w:szCs w:val="24"/>
              </w:rPr>
              <w:t xml:space="preserve"> búsqueda de la información.</w:t>
            </w:r>
          </w:p>
        </w:tc>
      </w:tr>
      <w:tr w:rsidR="000559BA" w:rsidRPr="00360FDF" w14:paraId="36D2E0CE" w14:textId="77777777" w:rsidTr="00170993">
        <w:trPr>
          <w:trHeight w:val="582"/>
        </w:trPr>
        <w:tc>
          <w:tcPr>
            <w:tcW w:w="709" w:type="dxa"/>
            <w:shd w:val="clear" w:color="auto" w:fill="FFFFFF" w:themeFill="background1"/>
          </w:tcPr>
          <w:p w14:paraId="19268744" w14:textId="77777777" w:rsidR="000559BA" w:rsidRPr="00360FDF" w:rsidRDefault="000559BA" w:rsidP="00A92DE6">
            <w:pPr>
              <w:rPr>
                <w:rFonts w:ascii="Palatino Linotype" w:hAnsi="Palatino Linotype" w:cs="Times New Roman"/>
                <w:sz w:val="24"/>
                <w:szCs w:val="24"/>
              </w:rPr>
            </w:pPr>
            <w:r w:rsidRPr="00360FDF">
              <w:rPr>
                <w:rFonts w:ascii="Palatino Linotype" w:hAnsi="Palatino Linotype" w:cs="Times New Roman"/>
                <w:sz w:val="24"/>
                <w:szCs w:val="24"/>
              </w:rPr>
              <w:lastRenderedPageBreak/>
              <w:t>2</w:t>
            </w:r>
          </w:p>
        </w:tc>
        <w:tc>
          <w:tcPr>
            <w:tcW w:w="1843" w:type="dxa"/>
            <w:shd w:val="clear" w:color="auto" w:fill="FFFFFF" w:themeFill="background1"/>
          </w:tcPr>
          <w:p w14:paraId="761FF386" w14:textId="77777777" w:rsidR="000559BA" w:rsidRPr="00360FDF" w:rsidRDefault="000559BA" w:rsidP="00CC4A24">
            <w:pPr>
              <w:jc w:val="both"/>
              <w:rPr>
                <w:rFonts w:ascii="Palatino Linotype" w:hAnsi="Palatino Linotype" w:cstheme="majorHAnsi"/>
                <w:i/>
                <w:sz w:val="24"/>
                <w:szCs w:val="24"/>
              </w:rPr>
            </w:pPr>
            <w:r w:rsidRPr="00360FDF">
              <w:rPr>
                <w:rFonts w:ascii="Palatino Linotype" w:hAnsi="Palatino Linotype" w:cstheme="majorHAnsi"/>
                <w:i/>
                <w:sz w:val="24"/>
                <w:szCs w:val="24"/>
              </w:rPr>
              <w:t>“si se les inició algun procedimiento disciplinario, en caso de ser positivo, quiero conocer le expediente en en versión pública, en pdf o Word, o al menos de la resolución que determina sus ceses.” (Sic)</w:t>
            </w:r>
          </w:p>
        </w:tc>
        <w:tc>
          <w:tcPr>
            <w:tcW w:w="2552" w:type="dxa"/>
            <w:shd w:val="clear" w:color="auto" w:fill="FFFFFF" w:themeFill="background1"/>
          </w:tcPr>
          <w:p w14:paraId="42CE41E2" w14:textId="77777777" w:rsidR="000559BA" w:rsidRPr="00360FDF" w:rsidRDefault="000559BA" w:rsidP="00223E2B">
            <w:pPr>
              <w:rPr>
                <w:rFonts w:ascii="Palatino Linotype" w:hAnsi="Palatino Linotype" w:cs="Times New Roman"/>
                <w:sz w:val="24"/>
                <w:szCs w:val="24"/>
              </w:rPr>
            </w:pPr>
            <w:r w:rsidRPr="00360FDF">
              <w:rPr>
                <w:rFonts w:ascii="Palatino Linotype" w:eastAsia="MS Mincho" w:hAnsi="Palatino Linotype" w:cs="Arial"/>
                <w:i/>
                <w:color w:val="000000" w:themeColor="text1"/>
                <w:sz w:val="24"/>
                <w:szCs w:val="24"/>
                <w:lang w:val="es-ES_tradnl" w:eastAsia="es-ES"/>
              </w:rPr>
              <w:t>“No se cuenta con antecedente.” (sic)</w:t>
            </w:r>
          </w:p>
        </w:tc>
        <w:tc>
          <w:tcPr>
            <w:tcW w:w="2693" w:type="dxa"/>
            <w:vMerge/>
            <w:shd w:val="clear" w:color="auto" w:fill="FFFFFF" w:themeFill="background1"/>
          </w:tcPr>
          <w:p w14:paraId="7DC24BA5" w14:textId="77777777" w:rsidR="000559BA" w:rsidRPr="00360FDF" w:rsidRDefault="000559BA" w:rsidP="00A92DE6">
            <w:pPr>
              <w:jc w:val="center"/>
              <w:rPr>
                <w:rFonts w:ascii="Palatino Linotype" w:hAnsi="Palatino Linotype" w:cs="Times New Roman"/>
                <w:sz w:val="24"/>
                <w:szCs w:val="24"/>
              </w:rPr>
            </w:pPr>
          </w:p>
        </w:tc>
        <w:tc>
          <w:tcPr>
            <w:tcW w:w="1559" w:type="dxa"/>
            <w:vMerge w:val="restart"/>
            <w:shd w:val="clear" w:color="auto" w:fill="FFFFFF" w:themeFill="background1"/>
          </w:tcPr>
          <w:p w14:paraId="21DD0343" w14:textId="77777777" w:rsidR="000559BA" w:rsidRPr="00360FDF" w:rsidRDefault="000559BA" w:rsidP="00A92DE6">
            <w:pPr>
              <w:jc w:val="center"/>
              <w:rPr>
                <w:rFonts w:ascii="Palatino Linotype" w:hAnsi="Palatino Linotype" w:cs="Times New Roman"/>
                <w:sz w:val="24"/>
                <w:szCs w:val="24"/>
              </w:rPr>
            </w:pPr>
          </w:p>
        </w:tc>
      </w:tr>
      <w:tr w:rsidR="000559BA" w:rsidRPr="00360FDF" w14:paraId="3439F4FD" w14:textId="77777777" w:rsidTr="00170993">
        <w:trPr>
          <w:trHeight w:val="582"/>
        </w:trPr>
        <w:tc>
          <w:tcPr>
            <w:tcW w:w="709" w:type="dxa"/>
            <w:shd w:val="clear" w:color="auto" w:fill="FFFFFF" w:themeFill="background1"/>
          </w:tcPr>
          <w:p w14:paraId="530712E8" w14:textId="77777777" w:rsidR="000559BA" w:rsidRPr="00360FDF" w:rsidRDefault="000559BA" w:rsidP="00A92DE6">
            <w:pPr>
              <w:rPr>
                <w:rFonts w:ascii="Palatino Linotype" w:hAnsi="Palatino Linotype" w:cs="Times New Roman"/>
                <w:sz w:val="24"/>
                <w:szCs w:val="24"/>
              </w:rPr>
            </w:pPr>
            <w:r w:rsidRPr="00360FDF">
              <w:rPr>
                <w:rFonts w:ascii="Palatino Linotype" w:hAnsi="Palatino Linotype" w:cs="Times New Roman"/>
                <w:sz w:val="24"/>
                <w:szCs w:val="24"/>
              </w:rPr>
              <w:t>3</w:t>
            </w:r>
          </w:p>
        </w:tc>
        <w:tc>
          <w:tcPr>
            <w:tcW w:w="1843" w:type="dxa"/>
            <w:shd w:val="clear" w:color="auto" w:fill="FFFFFF" w:themeFill="background1"/>
          </w:tcPr>
          <w:p w14:paraId="516D207A" w14:textId="77777777" w:rsidR="000559BA" w:rsidRPr="00360FDF" w:rsidRDefault="000559BA" w:rsidP="00CC4A24">
            <w:pPr>
              <w:jc w:val="both"/>
              <w:rPr>
                <w:rFonts w:ascii="Palatino Linotype" w:hAnsi="Palatino Linotype" w:cstheme="majorHAnsi"/>
                <w:i/>
                <w:sz w:val="24"/>
                <w:szCs w:val="24"/>
              </w:rPr>
            </w:pPr>
            <w:r w:rsidRPr="00360FDF">
              <w:rPr>
                <w:rFonts w:ascii="Palatino Linotype" w:hAnsi="Palatino Linotype" w:cstheme="majorHAnsi"/>
                <w:i/>
                <w:sz w:val="24"/>
                <w:szCs w:val="24"/>
              </w:rPr>
              <w:t>“saber si estas decisiones de cese fueron impugnadas, en caso positivo, saber ante que autoridad fueron impugnadas, y los números de los expedientes asignados a las mismas, y de ser el caso quiero tener acceso en versión pública, en pdf o Word de las resoluciones” (Sic)</w:t>
            </w:r>
          </w:p>
        </w:tc>
        <w:tc>
          <w:tcPr>
            <w:tcW w:w="2552" w:type="dxa"/>
            <w:shd w:val="clear" w:color="auto" w:fill="FFFFFF" w:themeFill="background1"/>
          </w:tcPr>
          <w:p w14:paraId="6283CC1F" w14:textId="77777777" w:rsidR="000559BA" w:rsidRPr="00360FDF" w:rsidRDefault="000559BA" w:rsidP="00223E2B">
            <w:pPr>
              <w:jc w:val="both"/>
              <w:rPr>
                <w:rFonts w:ascii="Palatino Linotype" w:hAnsi="Palatino Linotype" w:cs="Times New Roman"/>
                <w:i/>
                <w:sz w:val="24"/>
                <w:szCs w:val="24"/>
                <w:lang w:val="es-ES_tradnl"/>
              </w:rPr>
            </w:pPr>
            <w:r w:rsidRPr="00360FDF">
              <w:rPr>
                <w:rFonts w:ascii="Palatino Linotype" w:hAnsi="Palatino Linotype" w:cs="Times New Roman"/>
                <w:i/>
                <w:sz w:val="24"/>
                <w:szCs w:val="24"/>
                <w:lang w:val="es-ES_tradnl"/>
              </w:rPr>
              <w:t xml:space="preserve">“No se cuenta con antecedente.     </w:t>
            </w:r>
            <w:proofErr w:type="gramStart"/>
            <w:r w:rsidRPr="00360FDF">
              <w:rPr>
                <w:rFonts w:ascii="Palatino Linotype" w:hAnsi="Palatino Linotype" w:cs="Times New Roman"/>
                <w:i/>
                <w:sz w:val="24"/>
                <w:szCs w:val="24"/>
                <w:lang w:val="es-ES_tradnl"/>
              </w:rPr>
              <w:t>“ (</w:t>
            </w:r>
            <w:proofErr w:type="gramEnd"/>
            <w:r w:rsidRPr="00360FDF">
              <w:rPr>
                <w:rFonts w:ascii="Palatino Linotype" w:hAnsi="Palatino Linotype" w:cs="Times New Roman"/>
                <w:i/>
                <w:sz w:val="24"/>
                <w:szCs w:val="24"/>
                <w:lang w:val="es-ES_tradnl"/>
              </w:rPr>
              <w:t>sic)</w:t>
            </w:r>
          </w:p>
          <w:p w14:paraId="753ABF5D" w14:textId="77777777" w:rsidR="000559BA" w:rsidRPr="00360FDF" w:rsidRDefault="000559BA" w:rsidP="00CC4A24">
            <w:pPr>
              <w:jc w:val="both"/>
              <w:rPr>
                <w:rFonts w:ascii="Palatino Linotype" w:hAnsi="Palatino Linotype" w:cs="Times New Roman"/>
                <w:sz w:val="24"/>
                <w:szCs w:val="24"/>
              </w:rPr>
            </w:pPr>
          </w:p>
        </w:tc>
        <w:tc>
          <w:tcPr>
            <w:tcW w:w="2693" w:type="dxa"/>
            <w:vMerge/>
            <w:shd w:val="clear" w:color="auto" w:fill="FFFFFF" w:themeFill="background1"/>
          </w:tcPr>
          <w:p w14:paraId="69CC4785" w14:textId="77777777" w:rsidR="000559BA" w:rsidRPr="00360FDF" w:rsidRDefault="000559BA" w:rsidP="00A92DE6">
            <w:pPr>
              <w:jc w:val="center"/>
              <w:rPr>
                <w:rFonts w:ascii="Palatino Linotype" w:hAnsi="Palatino Linotype" w:cs="Times New Roman"/>
                <w:sz w:val="24"/>
                <w:szCs w:val="24"/>
              </w:rPr>
            </w:pPr>
          </w:p>
        </w:tc>
        <w:tc>
          <w:tcPr>
            <w:tcW w:w="1559" w:type="dxa"/>
            <w:vMerge/>
            <w:shd w:val="clear" w:color="auto" w:fill="FFFFFF" w:themeFill="background1"/>
          </w:tcPr>
          <w:p w14:paraId="5CE0B984" w14:textId="77777777" w:rsidR="000559BA" w:rsidRPr="00360FDF" w:rsidRDefault="000559BA" w:rsidP="00A92DE6">
            <w:pPr>
              <w:jc w:val="center"/>
              <w:rPr>
                <w:rFonts w:ascii="Palatino Linotype" w:hAnsi="Palatino Linotype" w:cs="Times New Roman"/>
                <w:sz w:val="24"/>
                <w:szCs w:val="24"/>
              </w:rPr>
            </w:pPr>
          </w:p>
        </w:tc>
      </w:tr>
    </w:tbl>
    <w:p w14:paraId="2E78674D" w14:textId="77777777" w:rsidR="00A26C04" w:rsidRPr="00360FDF" w:rsidRDefault="00A26C04" w:rsidP="003A4DE4">
      <w:pPr>
        <w:keepNext/>
        <w:keepLines/>
        <w:numPr>
          <w:ilvl w:val="0"/>
          <w:numId w:val="3"/>
        </w:numPr>
        <w:spacing w:before="240" w:after="0" w:line="360" w:lineRule="auto"/>
        <w:ind w:left="0" w:firstLine="0"/>
        <w:outlineLvl w:val="0"/>
        <w:rPr>
          <w:rFonts w:ascii="Palatino Linotype" w:eastAsiaTheme="majorEastAsia" w:hAnsi="Palatino Linotype" w:cstheme="majorBidi"/>
          <w:b/>
          <w:sz w:val="24"/>
          <w:szCs w:val="24"/>
        </w:rPr>
      </w:pPr>
      <w:bookmarkStart w:id="38" w:name="_Toc70072771"/>
      <w:bookmarkStart w:id="39" w:name="_Toc72499072"/>
      <w:r w:rsidRPr="00360FDF">
        <w:rPr>
          <w:rFonts w:ascii="Palatino Linotype" w:eastAsiaTheme="majorEastAsia" w:hAnsi="Palatino Linotype" w:cstheme="majorBidi"/>
          <w:b/>
          <w:sz w:val="24"/>
          <w:szCs w:val="24"/>
        </w:rPr>
        <w:lastRenderedPageBreak/>
        <w:t>De la naturaleza de la información solicitada</w:t>
      </w:r>
      <w:bookmarkEnd w:id="38"/>
      <w:r w:rsidR="00F528D1" w:rsidRPr="00360FDF">
        <w:rPr>
          <w:rFonts w:ascii="Palatino Linotype" w:eastAsiaTheme="majorEastAsia" w:hAnsi="Palatino Linotype" w:cstheme="majorBidi"/>
          <w:b/>
          <w:sz w:val="24"/>
          <w:szCs w:val="24"/>
        </w:rPr>
        <w:t>.</w:t>
      </w:r>
      <w:bookmarkEnd w:id="39"/>
    </w:p>
    <w:p w14:paraId="5C1FC332" w14:textId="77777777" w:rsidR="00A26C04" w:rsidRPr="00360FDF" w:rsidRDefault="00A26C04" w:rsidP="00A26C04">
      <w:pPr>
        <w:spacing w:line="360" w:lineRule="auto"/>
      </w:pPr>
    </w:p>
    <w:p w14:paraId="49904748" w14:textId="77777777" w:rsidR="00A26C04" w:rsidRPr="00360FDF" w:rsidRDefault="00A26C04" w:rsidP="00A26C04">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360FDF">
        <w:rPr>
          <w:rFonts w:ascii="Palatino Linotype" w:eastAsia="MS Mincho" w:hAnsi="Palatino Linotype" w:cs="Times New Roman"/>
          <w:sz w:val="24"/>
          <w:szCs w:val="24"/>
        </w:rPr>
        <w:t xml:space="preserve">Establecido lo anterior, es necesario señalar que </w:t>
      </w:r>
      <w:r w:rsidRPr="00360FDF">
        <w:rPr>
          <w:rFonts w:ascii="Palatino Linotype" w:hAnsi="Palatino Linotype" w:cs="Palatino Linotype"/>
          <w:sz w:val="24"/>
          <w:szCs w:val="24"/>
        </w:rPr>
        <w:t>el estudio de la naturaleza jurídica de la información pública solicitada, tiene por objeto determinar si el Sujeto Obligado la genera, posee o administra, así</w:t>
      </w:r>
      <w:r w:rsidRPr="00360FDF">
        <w:rPr>
          <w:rFonts w:ascii="Palatino Linotype" w:eastAsia="Times New Roman" w:hAnsi="Palatino Linotype" w:cs="Arial"/>
          <w:sz w:val="24"/>
          <w:szCs w:val="24"/>
          <w:lang w:val="es-ES"/>
        </w:rPr>
        <w:t>, resulta imprescindible observar lo señalado por el</w:t>
      </w:r>
      <w:r w:rsidRPr="00360FDF">
        <w:rPr>
          <w:rFonts w:ascii="Palatino Linotype" w:eastAsia="MS Mincho" w:hAnsi="Palatino Linotype" w:cs="Times New Roman"/>
          <w:sz w:val="24"/>
          <w:szCs w:val="24"/>
        </w:rPr>
        <w:t xml:space="preserve">, </w:t>
      </w:r>
      <w:r w:rsidRPr="00360FDF">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3F0B6122" w14:textId="77777777" w:rsidR="00A26C04" w:rsidRPr="00360FDF" w:rsidRDefault="00A26C04" w:rsidP="00A26C04">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14:paraId="329A363C" w14:textId="77777777" w:rsidR="00A26C04" w:rsidRPr="00360FDF" w:rsidRDefault="00A26C04" w:rsidP="00A26C04">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360FDF">
        <w:rPr>
          <w:rFonts w:ascii="Palatino Linotype" w:hAnsi="Palatino Linotype" w:cs="Times New Roman"/>
          <w:b/>
          <w:i/>
          <w:sz w:val="24"/>
          <w:szCs w:val="24"/>
          <w:lang w:eastAsia="es-ES_tradnl"/>
        </w:rPr>
        <w:t>Artículo 18.</w:t>
      </w:r>
      <w:r w:rsidRPr="00360FDF">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611F7050" w14:textId="77777777" w:rsidR="00A26C04" w:rsidRPr="00360FDF" w:rsidRDefault="00A26C04" w:rsidP="00A26C04">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360FDF">
        <w:rPr>
          <w:rFonts w:ascii="Palatino Linotype" w:hAnsi="Palatino Linotype" w:cs="Arial"/>
          <w:sz w:val="24"/>
          <w:szCs w:val="24"/>
        </w:rPr>
        <w:t xml:space="preserve">Por otro lado, </w:t>
      </w:r>
      <w:r w:rsidRPr="00360FDF">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360FDF">
        <w:rPr>
          <w:rFonts w:ascii="Palatino Linotype" w:eastAsia="Times New Roman" w:hAnsi="Palatino Linotype" w:cs="Times New Roman"/>
          <w:b/>
          <w:sz w:val="24"/>
          <w:szCs w:val="24"/>
          <w:lang w:eastAsia="es-MX"/>
        </w:rPr>
        <w:t>SUJETOS OBLIGADOS</w:t>
      </w:r>
      <w:r w:rsidRPr="00360FDF">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14:paraId="0E24A912" w14:textId="77777777" w:rsidR="00A26C04" w:rsidRPr="00360FDF" w:rsidRDefault="00A26C04" w:rsidP="00A26C04">
      <w:pPr>
        <w:spacing w:before="240" w:after="240" w:line="360" w:lineRule="auto"/>
        <w:ind w:right="49"/>
        <w:contextualSpacing/>
        <w:jc w:val="both"/>
        <w:rPr>
          <w:rFonts w:ascii="Palatino Linotype" w:hAnsi="Palatino Linotype" w:cs="Arial"/>
          <w:sz w:val="24"/>
          <w:szCs w:val="24"/>
        </w:rPr>
      </w:pPr>
    </w:p>
    <w:p w14:paraId="2F76E29E" w14:textId="77777777" w:rsidR="00A26C04" w:rsidRPr="00360FDF"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360FDF">
        <w:rPr>
          <w:rFonts w:ascii="Palatino Linotype" w:eastAsia="Times New Roman" w:hAnsi="Palatino Linotype" w:cs="Times New Roman"/>
          <w:i/>
          <w:sz w:val="24"/>
          <w:szCs w:val="24"/>
          <w:lang w:val="es-ES"/>
        </w:rPr>
        <w:lastRenderedPageBreak/>
        <w:t>“</w:t>
      </w:r>
      <w:r w:rsidRPr="00360FDF">
        <w:rPr>
          <w:rFonts w:ascii="Palatino Linotype" w:eastAsia="Times New Roman" w:hAnsi="Palatino Linotype" w:cs="Times New Roman"/>
          <w:b/>
          <w:i/>
          <w:sz w:val="24"/>
          <w:szCs w:val="24"/>
          <w:lang w:val="es-ES"/>
        </w:rPr>
        <w:t>Artículo 4.</w:t>
      </w:r>
      <w:r w:rsidRPr="00360FDF">
        <w:rPr>
          <w:rFonts w:ascii="Palatino Linotype" w:eastAsia="Times New Roman" w:hAnsi="Palatino Linotype" w:cs="Times New Roman"/>
          <w:i/>
          <w:sz w:val="24"/>
          <w:szCs w:val="24"/>
          <w:lang w:val="es-ES"/>
        </w:rPr>
        <w:t xml:space="preserve"> </w:t>
      </w:r>
    </w:p>
    <w:p w14:paraId="7EE0A162" w14:textId="77777777" w:rsidR="00A26C04" w:rsidRPr="00360FDF"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360FDF">
        <w:rPr>
          <w:rFonts w:ascii="Palatino Linotype" w:eastAsia="Times New Roman" w:hAnsi="Palatino Linotype" w:cs="Times New Roman"/>
          <w:i/>
          <w:sz w:val="24"/>
          <w:szCs w:val="24"/>
          <w:lang w:val="es-ES"/>
        </w:rPr>
        <w:t>(…)</w:t>
      </w:r>
    </w:p>
    <w:p w14:paraId="0A9C3294" w14:textId="77777777" w:rsidR="00A26C04" w:rsidRPr="00360FDF"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360FDF">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360FDF">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360FDF">
        <w:rPr>
          <w:rFonts w:ascii="Palatino Linotype" w:eastAsia="Times New Roman" w:hAnsi="Palatino Linotype" w:cs="Times New Roman"/>
          <w:b/>
          <w:i/>
          <w:sz w:val="24"/>
          <w:szCs w:val="24"/>
          <w:lang w:val="es-ES"/>
        </w:rPr>
        <w:t>principio de máxima publicidad</w:t>
      </w:r>
      <w:r w:rsidRPr="00360FDF">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14:paraId="254D028D" w14:textId="77777777" w:rsidR="00A26C04" w:rsidRPr="00360FDF"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360FDF">
        <w:rPr>
          <w:rFonts w:ascii="Palatino Linotype" w:eastAsia="Times New Roman" w:hAnsi="Palatino Linotype" w:cs="Times New Roman"/>
          <w:i/>
          <w:sz w:val="24"/>
          <w:szCs w:val="24"/>
          <w:lang w:val="es-ES"/>
        </w:rPr>
        <w:t>(…)</w:t>
      </w:r>
    </w:p>
    <w:p w14:paraId="1667AA33" w14:textId="77777777" w:rsidR="00A26C04" w:rsidRPr="00360FDF" w:rsidRDefault="00A26C04" w:rsidP="00A26C04">
      <w:pPr>
        <w:spacing w:line="360" w:lineRule="auto"/>
        <w:ind w:right="567"/>
        <w:jc w:val="both"/>
        <w:rPr>
          <w:rFonts w:ascii="Palatino Linotype" w:eastAsia="Times New Roman" w:hAnsi="Palatino Linotype" w:cs="Times New Roman"/>
          <w:sz w:val="24"/>
          <w:szCs w:val="24"/>
          <w:lang w:val="es-ES"/>
        </w:rPr>
      </w:pPr>
    </w:p>
    <w:p w14:paraId="21F92B3D" w14:textId="77777777" w:rsidR="00A26C04" w:rsidRPr="00360FDF"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360FDF">
        <w:rPr>
          <w:rFonts w:ascii="Palatino Linotype" w:eastAsia="Times New Roman" w:hAnsi="Palatino Linotype" w:cs="Times New Roman"/>
          <w:i/>
          <w:sz w:val="24"/>
          <w:szCs w:val="24"/>
          <w:lang w:val="es-ES"/>
        </w:rPr>
        <w:t>(Énfasis añadido)</w:t>
      </w:r>
    </w:p>
    <w:p w14:paraId="6EFC8C4A" w14:textId="77777777" w:rsidR="00A26C04" w:rsidRPr="00360FDF" w:rsidRDefault="00A26C04" w:rsidP="00A26C04">
      <w:pPr>
        <w:spacing w:line="360" w:lineRule="auto"/>
        <w:ind w:right="567"/>
        <w:jc w:val="both"/>
        <w:rPr>
          <w:rFonts w:ascii="Palatino Linotype" w:eastAsia="Times New Roman" w:hAnsi="Palatino Linotype" w:cs="Times New Roman"/>
          <w:i/>
          <w:sz w:val="24"/>
          <w:szCs w:val="24"/>
          <w:lang w:val="es-ES"/>
        </w:rPr>
      </w:pPr>
    </w:p>
    <w:p w14:paraId="699ED782" w14:textId="77777777" w:rsidR="00A26C04" w:rsidRPr="00360FDF" w:rsidRDefault="00A26C04" w:rsidP="00A26C04">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360FDF">
        <w:rPr>
          <w:rFonts w:ascii="Palatino Linotype" w:hAnsi="Palatino Linotype" w:cs="Arial"/>
          <w:sz w:val="24"/>
          <w:szCs w:val="24"/>
        </w:rPr>
        <w:t xml:space="preserve">En ese sentido, no debe de pasar de vista para el </w:t>
      </w:r>
      <w:r w:rsidRPr="00360FDF">
        <w:rPr>
          <w:rFonts w:ascii="Palatino Linotype" w:hAnsi="Palatino Linotype" w:cs="Arial"/>
          <w:b/>
          <w:sz w:val="24"/>
          <w:szCs w:val="24"/>
        </w:rPr>
        <w:t>SUJETO OBLIGADO</w:t>
      </w:r>
      <w:r w:rsidRPr="00360FDF">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w:t>
      </w:r>
      <w:r w:rsidRPr="00360FDF">
        <w:rPr>
          <w:rFonts w:ascii="Palatino Linotype" w:hAnsi="Palatino Linotype" w:cs="Arial"/>
          <w:sz w:val="24"/>
          <w:szCs w:val="24"/>
        </w:rPr>
        <w:lastRenderedPageBreak/>
        <w:t>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DBE9456" w14:textId="77777777" w:rsidR="00A26C04" w:rsidRPr="00360FDF" w:rsidRDefault="00A26C04" w:rsidP="00A26C04">
      <w:pPr>
        <w:spacing w:before="240" w:after="240" w:line="360" w:lineRule="auto"/>
        <w:ind w:left="426" w:right="49"/>
        <w:contextualSpacing/>
        <w:jc w:val="both"/>
        <w:rPr>
          <w:rFonts w:ascii="Palatino Linotype" w:hAnsi="Palatino Linotype" w:cs="Arial"/>
          <w:sz w:val="24"/>
          <w:szCs w:val="24"/>
        </w:rPr>
      </w:pPr>
    </w:p>
    <w:p w14:paraId="634D4F41" w14:textId="77777777" w:rsidR="00A26C04" w:rsidRPr="00360FDF" w:rsidRDefault="00A26C04" w:rsidP="00A26C04">
      <w:pPr>
        <w:spacing w:line="360" w:lineRule="auto"/>
        <w:ind w:left="567" w:right="567"/>
        <w:jc w:val="both"/>
        <w:rPr>
          <w:rFonts w:ascii="Palatino Linotype" w:hAnsi="Palatino Linotype"/>
          <w:i/>
          <w:sz w:val="24"/>
          <w:szCs w:val="24"/>
        </w:rPr>
      </w:pPr>
      <w:r w:rsidRPr="00360FDF">
        <w:rPr>
          <w:rFonts w:ascii="Palatino Linotype" w:hAnsi="Palatino Linotype"/>
          <w:i/>
          <w:sz w:val="24"/>
          <w:szCs w:val="24"/>
        </w:rPr>
        <w:t>“</w:t>
      </w:r>
      <w:r w:rsidRPr="00360FDF">
        <w:rPr>
          <w:rFonts w:ascii="Palatino Linotype" w:hAnsi="Palatino Linotype"/>
          <w:b/>
          <w:i/>
          <w:sz w:val="24"/>
          <w:szCs w:val="24"/>
        </w:rPr>
        <w:t>Artículo 8.</w:t>
      </w:r>
      <w:r w:rsidRPr="00360FDF">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7E64A4E" w14:textId="77777777" w:rsidR="00A26C04" w:rsidRPr="00360FDF" w:rsidRDefault="00A26C04" w:rsidP="00A26C04">
      <w:pPr>
        <w:spacing w:line="360" w:lineRule="auto"/>
        <w:ind w:left="567" w:right="567"/>
        <w:jc w:val="both"/>
        <w:rPr>
          <w:rFonts w:ascii="Palatino Linotype" w:hAnsi="Palatino Linotype"/>
          <w:i/>
          <w:sz w:val="24"/>
          <w:szCs w:val="24"/>
        </w:rPr>
      </w:pPr>
    </w:p>
    <w:p w14:paraId="48BD5612" w14:textId="77777777" w:rsidR="00A26C04" w:rsidRPr="00360FDF" w:rsidRDefault="00A26C04" w:rsidP="00A26C04">
      <w:pPr>
        <w:spacing w:line="360" w:lineRule="auto"/>
        <w:ind w:left="567" w:right="567"/>
        <w:jc w:val="both"/>
        <w:rPr>
          <w:rFonts w:ascii="Palatino Linotype" w:hAnsi="Palatino Linotype"/>
          <w:i/>
          <w:sz w:val="24"/>
          <w:szCs w:val="24"/>
        </w:rPr>
      </w:pPr>
      <w:r w:rsidRPr="00360FDF">
        <w:rPr>
          <w:rFonts w:ascii="Palatino Linotype" w:hAnsi="Palatino Linotype"/>
          <w:b/>
          <w:i/>
          <w:sz w:val="24"/>
          <w:szCs w:val="24"/>
        </w:rPr>
        <w:t>En la aplicación e interpretación de la presente Ley deberá prevalecer el principio de máxima publicidad,</w:t>
      </w:r>
      <w:r w:rsidRPr="00360FDF">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29BD22C" w14:textId="77777777" w:rsidR="00A26C04" w:rsidRPr="00360FDF" w:rsidRDefault="00A26C04" w:rsidP="00A26C04">
      <w:pPr>
        <w:spacing w:line="360" w:lineRule="auto"/>
        <w:ind w:left="567" w:right="567"/>
        <w:jc w:val="both"/>
        <w:rPr>
          <w:rFonts w:ascii="Palatino Linotype" w:hAnsi="Palatino Linotype"/>
          <w:i/>
          <w:sz w:val="24"/>
          <w:szCs w:val="24"/>
        </w:rPr>
      </w:pPr>
    </w:p>
    <w:p w14:paraId="4EDAAF76" w14:textId="77777777" w:rsidR="00A26C04" w:rsidRPr="00360FDF" w:rsidRDefault="00A26C04" w:rsidP="00A26C04">
      <w:pPr>
        <w:spacing w:line="360" w:lineRule="auto"/>
        <w:ind w:left="567" w:right="567"/>
        <w:jc w:val="both"/>
        <w:rPr>
          <w:rFonts w:ascii="Palatino Linotype" w:hAnsi="Palatino Linotype"/>
          <w:i/>
          <w:sz w:val="24"/>
          <w:szCs w:val="24"/>
        </w:rPr>
      </w:pPr>
      <w:r w:rsidRPr="00360FDF">
        <w:rPr>
          <w:rFonts w:ascii="Palatino Linotype" w:hAnsi="Palatino Linotype"/>
          <w:i/>
          <w:sz w:val="24"/>
          <w:szCs w:val="24"/>
        </w:rPr>
        <w:lastRenderedPageBreak/>
        <w:t>Para el caso de la interpretación se podrá tomar en cuenta los criterios, determinaciones y opiniones de los organismos nacionales e internacionales, en materia de transparencia y el derecho de acceso a la información.</w:t>
      </w:r>
    </w:p>
    <w:p w14:paraId="368A14AA" w14:textId="77777777" w:rsidR="00A26C04" w:rsidRPr="00360FDF" w:rsidRDefault="00A26C04" w:rsidP="00A26C04">
      <w:pPr>
        <w:spacing w:line="360" w:lineRule="auto"/>
        <w:ind w:left="567" w:right="567"/>
        <w:jc w:val="both"/>
        <w:rPr>
          <w:rFonts w:ascii="Palatino Linotype" w:hAnsi="Palatino Linotype"/>
          <w:i/>
          <w:sz w:val="24"/>
          <w:szCs w:val="24"/>
        </w:rPr>
      </w:pPr>
      <w:r w:rsidRPr="00360FDF">
        <w:rPr>
          <w:rFonts w:ascii="Palatino Linotype" w:hAnsi="Palatino Linotype"/>
          <w:i/>
          <w:sz w:val="24"/>
          <w:szCs w:val="24"/>
        </w:rPr>
        <w:t>(Énfasis añadido)</w:t>
      </w:r>
    </w:p>
    <w:p w14:paraId="6A478C95" w14:textId="77777777" w:rsidR="00A26C04" w:rsidRPr="00360FDF" w:rsidRDefault="00A26C04" w:rsidP="00A26C04">
      <w:pPr>
        <w:spacing w:line="360" w:lineRule="auto"/>
        <w:ind w:right="567"/>
        <w:jc w:val="both"/>
        <w:rPr>
          <w:rFonts w:ascii="Palatino Linotype" w:hAnsi="Palatino Linotype"/>
          <w:i/>
          <w:sz w:val="24"/>
          <w:szCs w:val="24"/>
        </w:rPr>
      </w:pPr>
    </w:p>
    <w:p w14:paraId="55E90D44" w14:textId="77777777" w:rsidR="00A26C04" w:rsidRPr="00360FDF" w:rsidRDefault="00A26C04" w:rsidP="00A26C04">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360FDF">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68AEBB13" w14:textId="77777777" w:rsidR="00A26C04" w:rsidRPr="00360FDF" w:rsidRDefault="00A26C04" w:rsidP="00A26C04">
      <w:pPr>
        <w:spacing w:before="240" w:after="240" w:line="360" w:lineRule="auto"/>
        <w:ind w:right="49"/>
        <w:contextualSpacing/>
        <w:jc w:val="both"/>
        <w:rPr>
          <w:rFonts w:ascii="Palatino Linotype" w:eastAsia="MS Mincho" w:hAnsi="Palatino Linotype" w:cs="Arial"/>
          <w:sz w:val="24"/>
          <w:szCs w:val="24"/>
        </w:rPr>
      </w:pPr>
    </w:p>
    <w:p w14:paraId="124BABC9" w14:textId="77777777" w:rsidR="00A26C04" w:rsidRPr="00360FDF" w:rsidRDefault="00A26C04" w:rsidP="00A26C04">
      <w:pPr>
        <w:spacing w:before="240" w:after="240" w:line="360" w:lineRule="auto"/>
        <w:ind w:left="567" w:right="616"/>
        <w:contextualSpacing/>
        <w:jc w:val="both"/>
        <w:rPr>
          <w:rFonts w:ascii="Palatino Linotype" w:hAnsi="Palatino Linotype"/>
          <w:i/>
          <w:sz w:val="24"/>
          <w:szCs w:val="24"/>
        </w:rPr>
      </w:pPr>
      <w:r w:rsidRPr="00360FDF">
        <w:rPr>
          <w:rFonts w:ascii="Palatino Linotype" w:hAnsi="Palatino Linotype"/>
          <w:i/>
          <w:sz w:val="24"/>
          <w:szCs w:val="24"/>
        </w:rPr>
        <w:t>“</w:t>
      </w:r>
      <w:r w:rsidRPr="00360FDF">
        <w:rPr>
          <w:rFonts w:ascii="Palatino Linotype" w:hAnsi="Palatino Linotype"/>
          <w:b/>
          <w:i/>
          <w:sz w:val="24"/>
          <w:szCs w:val="24"/>
        </w:rPr>
        <w:t>Artículo 12.</w:t>
      </w:r>
      <w:r w:rsidRPr="00360FDF">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7C09F65D" w14:textId="77777777" w:rsidR="00A26C04" w:rsidRPr="00360FDF" w:rsidRDefault="00A26C04" w:rsidP="00A26C04">
      <w:pPr>
        <w:spacing w:before="240" w:after="240" w:line="360" w:lineRule="auto"/>
        <w:ind w:left="567" w:right="616"/>
        <w:contextualSpacing/>
        <w:jc w:val="both"/>
        <w:rPr>
          <w:rFonts w:ascii="Palatino Linotype" w:hAnsi="Palatino Linotype"/>
          <w:i/>
          <w:sz w:val="24"/>
          <w:szCs w:val="24"/>
        </w:rPr>
      </w:pPr>
    </w:p>
    <w:p w14:paraId="253D3E68" w14:textId="77777777" w:rsidR="00A26C04" w:rsidRPr="00360FDF" w:rsidRDefault="00A26C04" w:rsidP="00A26C04">
      <w:pPr>
        <w:spacing w:before="240" w:after="240" w:line="360" w:lineRule="auto"/>
        <w:ind w:left="567" w:right="616"/>
        <w:contextualSpacing/>
        <w:jc w:val="both"/>
        <w:rPr>
          <w:rFonts w:ascii="Palatino Linotype" w:eastAsia="Times New Roman" w:hAnsi="Palatino Linotype" w:cs="Arial"/>
          <w:i/>
          <w:sz w:val="24"/>
          <w:szCs w:val="24"/>
          <w:lang w:eastAsia="es-MX"/>
        </w:rPr>
      </w:pPr>
      <w:r w:rsidRPr="00360FDF">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98FCF8F" w14:textId="77777777" w:rsidR="00A26C04" w:rsidRPr="00360FDF" w:rsidRDefault="00A26C04" w:rsidP="00A26C04">
      <w:pPr>
        <w:spacing w:line="360" w:lineRule="auto"/>
        <w:ind w:left="851" w:right="616"/>
        <w:contextualSpacing/>
        <w:jc w:val="both"/>
        <w:rPr>
          <w:rFonts w:ascii="Palatino Linotype" w:eastAsia="Times New Roman" w:hAnsi="Palatino Linotype" w:cs="Arial"/>
          <w:i/>
          <w:sz w:val="24"/>
          <w:szCs w:val="24"/>
          <w:lang w:eastAsia="gl-ES"/>
        </w:rPr>
      </w:pPr>
    </w:p>
    <w:p w14:paraId="5D1A6821" w14:textId="77777777" w:rsidR="00A26C04" w:rsidRPr="00360FDF" w:rsidRDefault="00A26C04" w:rsidP="00A26C04">
      <w:pPr>
        <w:numPr>
          <w:ilvl w:val="0"/>
          <w:numId w:val="1"/>
        </w:numPr>
        <w:spacing w:line="360" w:lineRule="auto"/>
        <w:ind w:left="0" w:firstLine="0"/>
        <w:contextualSpacing/>
        <w:jc w:val="both"/>
        <w:rPr>
          <w:rFonts w:ascii="Palatino Linotype" w:eastAsia="MS Mincho" w:hAnsi="Palatino Linotype" w:cs="Times New Roman"/>
          <w:sz w:val="24"/>
          <w:szCs w:val="24"/>
        </w:rPr>
      </w:pPr>
      <w:r w:rsidRPr="00360FDF">
        <w:rPr>
          <w:rFonts w:ascii="Palatino Linotype" w:eastAsia="Calibri" w:hAnsi="Palatino Linotype" w:cs="Arial"/>
          <w:bCs/>
          <w:sz w:val="24"/>
          <w:szCs w:val="24"/>
        </w:rPr>
        <w:lastRenderedPageBreak/>
        <w:t xml:space="preserve">Además, </w:t>
      </w:r>
      <w:r w:rsidRPr="00360FDF">
        <w:rPr>
          <w:rFonts w:ascii="Palatino Linotype" w:eastAsia="Times New Roman" w:hAnsi="Palatino Linotype" w:cs="Arial"/>
          <w:sz w:val="24"/>
          <w:szCs w:val="24"/>
        </w:rPr>
        <w:t>a Ley de Transparencia y Acceso a la Información Pública del Estado de México y Municipios, prevé en su artículo 23 fracción I que son Sujetos Obligados a Transparentar y permitir el acceso a su información y proteger los datos que obren en su poder:</w:t>
      </w:r>
    </w:p>
    <w:p w14:paraId="5919A941" w14:textId="77777777" w:rsidR="00A26C04" w:rsidRPr="00360FDF" w:rsidRDefault="00A26C04" w:rsidP="00A26C04">
      <w:pPr>
        <w:spacing w:before="240" w:after="240" w:line="360" w:lineRule="auto"/>
        <w:ind w:left="567" w:right="616"/>
        <w:contextualSpacing/>
        <w:jc w:val="both"/>
        <w:rPr>
          <w:rFonts w:ascii="Palatino Linotype" w:eastAsia="MS Mincho" w:hAnsi="Palatino Linotype" w:cs="Arial"/>
          <w:b/>
          <w:sz w:val="24"/>
          <w:szCs w:val="24"/>
          <w:lang w:eastAsia="es-ES"/>
        </w:rPr>
      </w:pPr>
    </w:p>
    <w:p w14:paraId="487F18B3" w14:textId="77777777" w:rsidR="00A26C04" w:rsidRPr="00360FDF" w:rsidRDefault="00A26C04" w:rsidP="00A26C04">
      <w:pPr>
        <w:spacing w:before="240" w:after="240" w:line="360" w:lineRule="auto"/>
        <w:ind w:left="567" w:right="616"/>
        <w:contextualSpacing/>
        <w:jc w:val="both"/>
        <w:rPr>
          <w:rFonts w:ascii="Palatino Linotype" w:eastAsia="MS Mincho" w:hAnsi="Palatino Linotype" w:cs="Arial"/>
          <w:b/>
          <w:i/>
          <w:sz w:val="24"/>
          <w:szCs w:val="24"/>
          <w:lang w:eastAsia="es-ES"/>
        </w:rPr>
      </w:pPr>
      <w:r w:rsidRPr="00360FDF">
        <w:rPr>
          <w:rFonts w:ascii="Palatino Linotype" w:eastAsia="MS Mincho" w:hAnsi="Palatino Linotype" w:cs="Arial"/>
          <w:b/>
          <w:i/>
          <w:sz w:val="24"/>
          <w:szCs w:val="24"/>
          <w:lang w:eastAsia="es-ES"/>
        </w:rPr>
        <w:t>I. El Poder Ejecutivo del Estado de México, las dependencias, organismos auxiliares, órganos, entidades, fideicomisos y fondos públicos, así como la Procuraduría General de Justicia;</w:t>
      </w:r>
    </w:p>
    <w:p w14:paraId="4EE36F0E" w14:textId="77777777" w:rsidR="00A26C04" w:rsidRPr="00360FDF" w:rsidRDefault="00A26C04" w:rsidP="00A26C04">
      <w:pPr>
        <w:tabs>
          <w:tab w:val="left" w:pos="851"/>
        </w:tabs>
        <w:spacing w:after="0" w:line="360" w:lineRule="auto"/>
        <w:ind w:right="49"/>
        <w:contextualSpacing/>
        <w:jc w:val="both"/>
        <w:rPr>
          <w:rFonts w:ascii="Palatino Linotype" w:eastAsia="Times New Roman" w:hAnsi="Palatino Linotype" w:cs="Arial"/>
          <w:i/>
          <w:sz w:val="24"/>
          <w:szCs w:val="24"/>
        </w:rPr>
      </w:pPr>
    </w:p>
    <w:p w14:paraId="062858BC" w14:textId="77777777" w:rsidR="00835DC0" w:rsidRPr="00360FDF" w:rsidRDefault="00A26C04" w:rsidP="00A26C04">
      <w:pPr>
        <w:numPr>
          <w:ilvl w:val="0"/>
          <w:numId w:val="1"/>
        </w:numPr>
        <w:tabs>
          <w:tab w:val="left" w:pos="851"/>
        </w:tabs>
        <w:spacing w:after="0" w:line="360" w:lineRule="auto"/>
        <w:ind w:left="0" w:right="49" w:firstLine="0"/>
        <w:contextualSpacing/>
        <w:jc w:val="both"/>
        <w:rPr>
          <w:rFonts w:ascii="Palatino Linotype" w:eastAsia="Times New Roman" w:hAnsi="Palatino Linotype" w:cs="Arial"/>
          <w:i/>
          <w:sz w:val="24"/>
          <w:szCs w:val="24"/>
        </w:rPr>
      </w:pPr>
      <w:r w:rsidRPr="00360FDF">
        <w:rPr>
          <w:rFonts w:ascii="Palatino Linotype" w:eastAsia="MS Mincho" w:hAnsi="Palatino Linotype" w:cs="Times New Roman"/>
          <w:sz w:val="24"/>
          <w:szCs w:val="24"/>
        </w:rPr>
        <w:t xml:space="preserve">Ahora </w:t>
      </w:r>
      <w:proofErr w:type="gramStart"/>
      <w:r w:rsidRPr="00360FDF">
        <w:rPr>
          <w:rFonts w:ascii="Palatino Linotype" w:eastAsia="MS Mincho" w:hAnsi="Palatino Linotype" w:cs="Times New Roman"/>
          <w:sz w:val="24"/>
          <w:szCs w:val="24"/>
        </w:rPr>
        <w:t xml:space="preserve">bien, </w:t>
      </w:r>
      <w:r w:rsidR="00F07AEE" w:rsidRPr="00360FDF">
        <w:rPr>
          <w:rFonts w:ascii="Palatino Linotype" w:eastAsia="MS Mincho" w:hAnsi="Palatino Linotype" w:cs="Times New Roman"/>
          <w:sz w:val="24"/>
          <w:szCs w:val="24"/>
        </w:rPr>
        <w:t xml:space="preserve"> es</w:t>
      </w:r>
      <w:proofErr w:type="gramEnd"/>
      <w:r w:rsidR="00F07AEE" w:rsidRPr="00360FDF">
        <w:rPr>
          <w:rFonts w:ascii="Palatino Linotype" w:eastAsia="MS Mincho" w:hAnsi="Palatino Linotype" w:cs="Times New Roman"/>
          <w:sz w:val="24"/>
          <w:szCs w:val="24"/>
        </w:rPr>
        <w:t xml:space="preserve"> necesario precisar que </w:t>
      </w:r>
      <w:r w:rsidR="00835DC0" w:rsidRPr="00360FDF">
        <w:rPr>
          <w:rFonts w:ascii="Palatino Linotype" w:eastAsia="MS Mincho" w:hAnsi="Palatino Linotype" w:cs="Times New Roman"/>
          <w:sz w:val="24"/>
          <w:szCs w:val="24"/>
        </w:rPr>
        <w:t xml:space="preserve">la Ley de Responsabilidades Administrativas del Estado de México establece en el artículo 3 fracción XXII, que se entiende por Órganos de Control Interno a las Unidades Administrativas competentes para aplicar las leyes en materia de responsabilidades de los servidores públicos, como a continuación se observa: </w:t>
      </w:r>
    </w:p>
    <w:p w14:paraId="54E0E64F" w14:textId="77777777" w:rsidR="00835DC0" w:rsidRPr="00360FDF" w:rsidRDefault="00835DC0" w:rsidP="00835DC0">
      <w:pPr>
        <w:tabs>
          <w:tab w:val="left" w:pos="851"/>
        </w:tabs>
        <w:spacing w:after="0" w:line="360" w:lineRule="auto"/>
        <w:ind w:right="49"/>
        <w:contextualSpacing/>
        <w:jc w:val="both"/>
        <w:rPr>
          <w:rFonts w:ascii="Palatino Linotype" w:eastAsia="Times New Roman" w:hAnsi="Palatino Linotype" w:cs="Arial"/>
          <w:i/>
          <w:sz w:val="24"/>
          <w:szCs w:val="24"/>
        </w:rPr>
      </w:pPr>
    </w:p>
    <w:p w14:paraId="52F03F83" w14:textId="77777777" w:rsidR="00835DC0" w:rsidRPr="00360FDF" w:rsidRDefault="00835DC0" w:rsidP="00835DC0">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eastAsia="Times New Roman" w:hAnsi="Palatino Linotype" w:cs="Arial"/>
          <w:i/>
          <w:sz w:val="24"/>
          <w:szCs w:val="24"/>
        </w:rPr>
        <w:t>“</w:t>
      </w:r>
      <w:r w:rsidRPr="00360FDF">
        <w:rPr>
          <w:rFonts w:ascii="Palatino Linotype" w:eastAsia="Times New Roman" w:hAnsi="Palatino Linotype" w:cs="Arial"/>
          <w:b/>
          <w:i/>
          <w:sz w:val="24"/>
          <w:szCs w:val="24"/>
        </w:rPr>
        <w:t>Artículo 3.</w:t>
      </w:r>
      <w:r w:rsidRPr="00360FDF">
        <w:rPr>
          <w:rFonts w:ascii="Palatino Linotype" w:eastAsia="Times New Roman" w:hAnsi="Palatino Linotype" w:cs="Arial"/>
          <w:i/>
          <w:sz w:val="24"/>
          <w:szCs w:val="24"/>
        </w:rPr>
        <w:t xml:space="preserve"> Para los efectos de la presente Ley, se entenderá por:</w:t>
      </w:r>
    </w:p>
    <w:p w14:paraId="65C1641F" w14:textId="77777777" w:rsidR="00835DC0" w:rsidRPr="00360FDF" w:rsidRDefault="00835DC0" w:rsidP="00835DC0">
      <w:pPr>
        <w:tabs>
          <w:tab w:val="left" w:pos="851"/>
        </w:tabs>
        <w:spacing w:after="0" w:line="360" w:lineRule="auto"/>
        <w:ind w:left="567" w:right="616"/>
        <w:contextualSpacing/>
        <w:jc w:val="both"/>
        <w:rPr>
          <w:rFonts w:ascii="Palatino Linotype" w:eastAsia="Times New Roman" w:hAnsi="Palatino Linotype" w:cs="Arial"/>
          <w:i/>
          <w:sz w:val="24"/>
          <w:szCs w:val="24"/>
        </w:rPr>
      </w:pPr>
    </w:p>
    <w:p w14:paraId="472AE9CE" w14:textId="77777777" w:rsidR="00835DC0" w:rsidRPr="00360FDF" w:rsidRDefault="00835DC0" w:rsidP="00835DC0">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eastAsia="Times New Roman" w:hAnsi="Palatino Linotype" w:cs="Arial"/>
          <w:i/>
          <w:sz w:val="24"/>
          <w:szCs w:val="24"/>
        </w:rPr>
        <w:t>(…)</w:t>
      </w:r>
    </w:p>
    <w:p w14:paraId="545856EE" w14:textId="77777777" w:rsidR="00835DC0" w:rsidRPr="00360FDF" w:rsidRDefault="00835DC0" w:rsidP="00835DC0">
      <w:pPr>
        <w:tabs>
          <w:tab w:val="left" w:pos="851"/>
        </w:tabs>
        <w:spacing w:after="0" w:line="360" w:lineRule="auto"/>
        <w:ind w:left="567" w:right="616"/>
        <w:contextualSpacing/>
        <w:jc w:val="both"/>
        <w:rPr>
          <w:rFonts w:ascii="Palatino Linotype" w:eastAsia="Times New Roman" w:hAnsi="Palatino Linotype" w:cs="Arial"/>
          <w:i/>
          <w:sz w:val="24"/>
          <w:szCs w:val="24"/>
        </w:rPr>
      </w:pPr>
    </w:p>
    <w:p w14:paraId="5C0BD328" w14:textId="77777777" w:rsidR="00835DC0" w:rsidRPr="00360FDF" w:rsidRDefault="00835DC0" w:rsidP="00835DC0">
      <w:pPr>
        <w:tabs>
          <w:tab w:val="left" w:pos="851"/>
        </w:tabs>
        <w:spacing w:after="0" w:line="360" w:lineRule="auto"/>
        <w:ind w:left="567" w:right="616"/>
        <w:contextualSpacing/>
        <w:jc w:val="both"/>
        <w:rPr>
          <w:rFonts w:ascii="Palatino Linotype" w:hAnsi="Palatino Linotype"/>
          <w:i/>
          <w:sz w:val="24"/>
          <w:szCs w:val="24"/>
        </w:rPr>
      </w:pPr>
      <w:r w:rsidRPr="00360FDF">
        <w:rPr>
          <w:rFonts w:ascii="Palatino Linotype" w:hAnsi="Palatino Linotype"/>
          <w:b/>
          <w:i/>
          <w:sz w:val="24"/>
          <w:szCs w:val="24"/>
        </w:rPr>
        <w:t>XXII.</w:t>
      </w:r>
      <w:r w:rsidRPr="00360FDF">
        <w:rPr>
          <w:rFonts w:ascii="Palatino Linotype" w:hAnsi="Palatino Linotype"/>
          <w:i/>
          <w:sz w:val="24"/>
          <w:szCs w:val="24"/>
        </w:rPr>
        <w:t xml:space="preserve"> </w:t>
      </w:r>
      <w:r w:rsidRPr="00360FDF">
        <w:rPr>
          <w:rFonts w:ascii="Palatino Linotype" w:hAnsi="Palatino Linotype"/>
          <w:b/>
          <w:i/>
          <w:sz w:val="24"/>
          <w:szCs w:val="24"/>
        </w:rPr>
        <w:t>Órganos internos de control:</w:t>
      </w:r>
      <w:r w:rsidRPr="00360FDF">
        <w:rPr>
          <w:rFonts w:ascii="Palatino Linotype" w:hAnsi="Palatino Linotype"/>
          <w:i/>
          <w:sz w:val="24"/>
          <w:szCs w:val="24"/>
        </w:rPr>
        <w:t xml:space="preserve"> A las unidades administrativas en los entes públicos y organismos autónomos encargadas de promover, evaluar y </w:t>
      </w:r>
      <w:r w:rsidRPr="00360FDF">
        <w:rPr>
          <w:rFonts w:ascii="Palatino Linotype" w:hAnsi="Palatino Linotype"/>
          <w:i/>
          <w:sz w:val="24"/>
          <w:szCs w:val="24"/>
        </w:rPr>
        <w:lastRenderedPageBreak/>
        <w:t>fortalecer el buen funcionamiento del control interno de los entes públicos, competentes para aplicar las leyes en materia de responsabilidades de los servidores públicos.</w:t>
      </w:r>
    </w:p>
    <w:p w14:paraId="4CB0988C" w14:textId="77777777" w:rsidR="00835DC0" w:rsidRPr="00360FDF" w:rsidRDefault="00835DC0" w:rsidP="00835DC0">
      <w:pPr>
        <w:tabs>
          <w:tab w:val="left" w:pos="851"/>
        </w:tabs>
        <w:spacing w:after="0" w:line="360" w:lineRule="auto"/>
        <w:ind w:left="567" w:right="616"/>
        <w:contextualSpacing/>
        <w:jc w:val="both"/>
        <w:rPr>
          <w:rFonts w:ascii="Palatino Linotype" w:hAnsi="Palatino Linotype"/>
          <w:i/>
          <w:sz w:val="24"/>
          <w:szCs w:val="24"/>
        </w:rPr>
      </w:pPr>
    </w:p>
    <w:p w14:paraId="2DD905BB" w14:textId="77777777" w:rsidR="00835DC0" w:rsidRPr="00360FDF" w:rsidRDefault="00835DC0" w:rsidP="00835DC0">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hAnsi="Palatino Linotype"/>
          <w:i/>
          <w:sz w:val="24"/>
          <w:szCs w:val="24"/>
        </w:rPr>
        <w:t>(…)” (Sic)</w:t>
      </w:r>
    </w:p>
    <w:p w14:paraId="79BDACB9" w14:textId="77777777" w:rsidR="00835DC0" w:rsidRPr="00360FDF" w:rsidRDefault="00835DC0" w:rsidP="00835DC0">
      <w:pPr>
        <w:tabs>
          <w:tab w:val="left" w:pos="851"/>
        </w:tabs>
        <w:spacing w:after="0" w:line="360" w:lineRule="auto"/>
        <w:ind w:right="49"/>
        <w:contextualSpacing/>
        <w:jc w:val="both"/>
        <w:rPr>
          <w:rFonts w:ascii="Palatino Linotype" w:eastAsia="Times New Roman" w:hAnsi="Palatino Linotype" w:cs="Arial"/>
          <w:i/>
          <w:sz w:val="24"/>
          <w:szCs w:val="24"/>
        </w:rPr>
      </w:pPr>
    </w:p>
    <w:p w14:paraId="7C983495" w14:textId="77777777" w:rsidR="00F07AEE" w:rsidRPr="00360FDF" w:rsidRDefault="00835DC0" w:rsidP="00A26C04">
      <w:pPr>
        <w:numPr>
          <w:ilvl w:val="0"/>
          <w:numId w:val="1"/>
        </w:numPr>
        <w:tabs>
          <w:tab w:val="left" w:pos="851"/>
        </w:tabs>
        <w:spacing w:after="0" w:line="360" w:lineRule="auto"/>
        <w:ind w:left="0" w:right="49" w:firstLine="0"/>
        <w:contextualSpacing/>
        <w:jc w:val="both"/>
        <w:rPr>
          <w:rFonts w:ascii="Palatino Linotype" w:eastAsia="Times New Roman" w:hAnsi="Palatino Linotype" w:cs="Arial"/>
          <w:i/>
          <w:sz w:val="24"/>
          <w:szCs w:val="24"/>
        </w:rPr>
      </w:pPr>
      <w:r w:rsidRPr="00360FDF">
        <w:rPr>
          <w:rFonts w:ascii="Palatino Linotype" w:eastAsia="MS Mincho" w:hAnsi="Palatino Linotype" w:cs="Times New Roman"/>
          <w:sz w:val="24"/>
          <w:szCs w:val="24"/>
        </w:rPr>
        <w:t xml:space="preserve">En ese mismo sentido, el Manual General de Organización del Instituto de Salud del Estado de México establece el objetivo y las funciones de la Unidad de Contraloría Interna, como a continuación se observa: </w:t>
      </w:r>
    </w:p>
    <w:p w14:paraId="7626303C" w14:textId="77777777" w:rsidR="00835DC0" w:rsidRPr="00360FDF" w:rsidRDefault="00835DC0" w:rsidP="00835DC0">
      <w:pPr>
        <w:tabs>
          <w:tab w:val="left" w:pos="851"/>
        </w:tabs>
        <w:spacing w:after="0" w:line="360" w:lineRule="auto"/>
        <w:ind w:right="49"/>
        <w:contextualSpacing/>
        <w:jc w:val="both"/>
        <w:rPr>
          <w:rFonts w:ascii="Palatino Linotype" w:eastAsia="Times New Roman" w:hAnsi="Palatino Linotype" w:cs="Arial"/>
          <w:i/>
          <w:sz w:val="24"/>
          <w:szCs w:val="24"/>
        </w:rPr>
      </w:pPr>
    </w:p>
    <w:p w14:paraId="32157498" w14:textId="77777777" w:rsidR="00835DC0" w:rsidRPr="00360FDF" w:rsidRDefault="00F528D1" w:rsidP="00F528D1">
      <w:pPr>
        <w:tabs>
          <w:tab w:val="left" w:pos="851"/>
        </w:tabs>
        <w:spacing w:after="0" w:line="360" w:lineRule="auto"/>
        <w:ind w:left="567" w:right="616"/>
        <w:contextualSpacing/>
        <w:jc w:val="both"/>
        <w:rPr>
          <w:rFonts w:ascii="Palatino Linotype" w:hAnsi="Palatino Linotype"/>
          <w:b/>
          <w:i/>
          <w:sz w:val="24"/>
          <w:szCs w:val="24"/>
        </w:rPr>
      </w:pPr>
      <w:r w:rsidRPr="00360FDF">
        <w:rPr>
          <w:rFonts w:ascii="Palatino Linotype" w:hAnsi="Palatino Linotype"/>
          <w:b/>
          <w:i/>
          <w:sz w:val="24"/>
          <w:szCs w:val="24"/>
        </w:rPr>
        <w:t>“</w:t>
      </w:r>
      <w:r w:rsidR="00835DC0" w:rsidRPr="00360FDF">
        <w:rPr>
          <w:rFonts w:ascii="Palatino Linotype" w:hAnsi="Palatino Linotype"/>
          <w:b/>
          <w:i/>
          <w:sz w:val="24"/>
          <w:szCs w:val="24"/>
        </w:rPr>
        <w:t xml:space="preserve">217BI I000 UNIDAD DE CONTRALORÍA INTERNA </w:t>
      </w:r>
    </w:p>
    <w:p w14:paraId="7C26BC5D" w14:textId="77777777" w:rsidR="00835DC0" w:rsidRPr="00360FDF" w:rsidRDefault="00835DC0" w:rsidP="00F528D1">
      <w:pPr>
        <w:tabs>
          <w:tab w:val="left" w:pos="851"/>
        </w:tabs>
        <w:spacing w:after="0" w:line="360" w:lineRule="auto"/>
        <w:ind w:left="567" w:right="616"/>
        <w:contextualSpacing/>
        <w:jc w:val="both"/>
        <w:rPr>
          <w:rFonts w:ascii="Palatino Linotype" w:hAnsi="Palatino Linotype"/>
          <w:i/>
          <w:sz w:val="24"/>
          <w:szCs w:val="24"/>
        </w:rPr>
      </w:pPr>
    </w:p>
    <w:p w14:paraId="7515311F" w14:textId="77777777" w:rsidR="00835DC0" w:rsidRPr="00360FDF" w:rsidRDefault="00835DC0" w:rsidP="00F528D1">
      <w:pPr>
        <w:tabs>
          <w:tab w:val="left" w:pos="851"/>
        </w:tabs>
        <w:spacing w:after="0" w:line="360" w:lineRule="auto"/>
        <w:ind w:left="567" w:right="616"/>
        <w:contextualSpacing/>
        <w:jc w:val="both"/>
        <w:rPr>
          <w:rFonts w:ascii="Palatino Linotype" w:hAnsi="Palatino Linotype"/>
          <w:b/>
          <w:i/>
          <w:sz w:val="24"/>
          <w:szCs w:val="24"/>
        </w:rPr>
      </w:pPr>
      <w:r w:rsidRPr="00360FDF">
        <w:rPr>
          <w:rFonts w:ascii="Palatino Linotype" w:hAnsi="Palatino Linotype"/>
          <w:b/>
          <w:i/>
          <w:sz w:val="24"/>
          <w:szCs w:val="24"/>
        </w:rPr>
        <w:t>OBJETIVO:</w:t>
      </w:r>
    </w:p>
    <w:p w14:paraId="490A5D7C" w14:textId="77777777" w:rsidR="00835DC0" w:rsidRPr="00360FDF" w:rsidRDefault="00835DC0" w:rsidP="00F528D1">
      <w:pPr>
        <w:tabs>
          <w:tab w:val="left" w:pos="851"/>
        </w:tabs>
        <w:spacing w:after="0" w:line="360" w:lineRule="auto"/>
        <w:ind w:left="567" w:right="616"/>
        <w:contextualSpacing/>
        <w:jc w:val="both"/>
        <w:rPr>
          <w:rFonts w:ascii="Palatino Linotype" w:hAnsi="Palatino Linotype"/>
          <w:i/>
          <w:sz w:val="24"/>
          <w:szCs w:val="24"/>
        </w:rPr>
      </w:pPr>
    </w:p>
    <w:p w14:paraId="2DB13531" w14:textId="77777777" w:rsidR="00835DC0" w:rsidRPr="00360FDF" w:rsidRDefault="00835DC0" w:rsidP="00F528D1">
      <w:pPr>
        <w:tabs>
          <w:tab w:val="left" w:pos="851"/>
        </w:tabs>
        <w:spacing w:after="0" w:line="360" w:lineRule="auto"/>
        <w:ind w:left="567" w:right="616"/>
        <w:contextualSpacing/>
        <w:jc w:val="both"/>
        <w:rPr>
          <w:rFonts w:ascii="Palatino Linotype" w:hAnsi="Palatino Linotype"/>
          <w:i/>
          <w:sz w:val="24"/>
          <w:szCs w:val="24"/>
        </w:rPr>
      </w:pPr>
      <w:r w:rsidRPr="00360FDF">
        <w:rPr>
          <w:rFonts w:ascii="Palatino Linotype" w:hAnsi="Palatino Linotype"/>
          <w:i/>
          <w:sz w:val="24"/>
          <w:szCs w:val="24"/>
        </w:rPr>
        <w:t xml:space="preserve"> Vigilar, fiscalizar y controlar el cumplimiento de obligaciones en materia de planeación, presupuestación, financiamiento, inversión, deuda, fondos y valores, así como en lo referente a las obligaciones y conductas de los servidores públicos de conformidad con la normatividad vigente, a fin de promover la eficacia y transparencia en la operación y cumplimiento de los objetivos del Instituto de Salud del Estado de México. </w:t>
      </w:r>
    </w:p>
    <w:p w14:paraId="025255CC" w14:textId="77777777" w:rsidR="00835DC0" w:rsidRPr="00360FDF" w:rsidRDefault="00835DC0" w:rsidP="00F528D1">
      <w:pPr>
        <w:tabs>
          <w:tab w:val="left" w:pos="851"/>
        </w:tabs>
        <w:spacing w:after="0" w:line="360" w:lineRule="auto"/>
        <w:ind w:left="567" w:right="616"/>
        <w:contextualSpacing/>
        <w:jc w:val="both"/>
        <w:rPr>
          <w:rFonts w:ascii="Palatino Linotype" w:hAnsi="Palatino Linotype"/>
          <w:i/>
          <w:sz w:val="24"/>
          <w:szCs w:val="24"/>
        </w:rPr>
      </w:pPr>
    </w:p>
    <w:p w14:paraId="2BB2210B" w14:textId="77777777" w:rsidR="00835DC0" w:rsidRPr="00360FDF" w:rsidRDefault="00835DC0" w:rsidP="00F528D1">
      <w:pPr>
        <w:tabs>
          <w:tab w:val="left" w:pos="851"/>
        </w:tabs>
        <w:spacing w:after="0" w:line="360" w:lineRule="auto"/>
        <w:ind w:left="567" w:right="616"/>
        <w:contextualSpacing/>
        <w:jc w:val="both"/>
        <w:rPr>
          <w:rFonts w:ascii="Palatino Linotype" w:hAnsi="Palatino Linotype"/>
          <w:b/>
          <w:i/>
          <w:sz w:val="24"/>
          <w:szCs w:val="24"/>
        </w:rPr>
      </w:pPr>
      <w:r w:rsidRPr="00360FDF">
        <w:rPr>
          <w:rFonts w:ascii="Palatino Linotype" w:hAnsi="Palatino Linotype"/>
          <w:b/>
          <w:i/>
          <w:sz w:val="24"/>
          <w:szCs w:val="24"/>
        </w:rPr>
        <w:lastRenderedPageBreak/>
        <w:t xml:space="preserve">FUNCIONES: </w:t>
      </w:r>
    </w:p>
    <w:p w14:paraId="6BAA63BC" w14:textId="77777777" w:rsidR="00835DC0" w:rsidRPr="00360FDF" w:rsidRDefault="00835DC0" w:rsidP="00F528D1">
      <w:pPr>
        <w:tabs>
          <w:tab w:val="left" w:pos="851"/>
        </w:tabs>
        <w:spacing w:after="0" w:line="360" w:lineRule="auto"/>
        <w:ind w:left="567" w:right="616"/>
        <w:contextualSpacing/>
        <w:jc w:val="both"/>
        <w:rPr>
          <w:rFonts w:ascii="Palatino Linotype" w:hAnsi="Palatino Linotype"/>
          <w:i/>
          <w:sz w:val="24"/>
          <w:szCs w:val="24"/>
        </w:rPr>
      </w:pPr>
    </w:p>
    <w:p w14:paraId="02C111BF" w14:textId="77777777" w:rsidR="00F528D1" w:rsidRPr="00360FDF" w:rsidRDefault="00F528D1" w:rsidP="00F528D1">
      <w:pPr>
        <w:tabs>
          <w:tab w:val="left" w:pos="851"/>
        </w:tabs>
        <w:spacing w:after="0" w:line="360" w:lineRule="auto"/>
        <w:ind w:left="709" w:right="616" w:hanging="142"/>
        <w:contextualSpacing/>
        <w:jc w:val="both"/>
        <w:rPr>
          <w:rFonts w:ascii="Palatino Linotype" w:hAnsi="Palatino Linotype"/>
          <w:i/>
          <w:sz w:val="24"/>
          <w:szCs w:val="24"/>
        </w:rPr>
      </w:pPr>
      <w:r w:rsidRPr="00360FDF">
        <w:rPr>
          <w:rFonts w:ascii="Palatino Linotype" w:hAnsi="Palatino Linotype"/>
          <w:i/>
          <w:sz w:val="24"/>
          <w:szCs w:val="24"/>
        </w:rPr>
        <w:t>-</w:t>
      </w:r>
      <w:r w:rsidR="00835DC0" w:rsidRPr="00360FDF">
        <w:rPr>
          <w:rFonts w:ascii="Palatino Linotype" w:hAnsi="Palatino Linotype"/>
          <w:i/>
          <w:sz w:val="24"/>
          <w:szCs w:val="24"/>
        </w:rPr>
        <w:t>Determinar y proponer la implementación de mecanismo</w:t>
      </w:r>
      <w:r w:rsidRPr="00360FDF">
        <w:rPr>
          <w:rFonts w:ascii="Palatino Linotype" w:hAnsi="Palatino Linotype"/>
          <w:i/>
          <w:sz w:val="24"/>
          <w:szCs w:val="24"/>
        </w:rPr>
        <w:t xml:space="preserve">s de autoevaluación </w:t>
      </w:r>
      <w:r w:rsidR="00835DC0" w:rsidRPr="00360FDF">
        <w:rPr>
          <w:rFonts w:ascii="Palatino Linotype" w:hAnsi="Palatino Linotype"/>
          <w:i/>
          <w:sz w:val="24"/>
          <w:szCs w:val="24"/>
        </w:rPr>
        <w:t xml:space="preserve">en el Instituto. </w:t>
      </w:r>
    </w:p>
    <w:p w14:paraId="43D275F9" w14:textId="77777777" w:rsidR="00F528D1" w:rsidRPr="00360FDF" w:rsidRDefault="00F528D1" w:rsidP="00F528D1">
      <w:pPr>
        <w:tabs>
          <w:tab w:val="left" w:pos="851"/>
        </w:tabs>
        <w:spacing w:after="0" w:line="360" w:lineRule="auto"/>
        <w:ind w:left="567" w:right="616"/>
        <w:contextualSpacing/>
        <w:jc w:val="both"/>
        <w:rPr>
          <w:rFonts w:ascii="Palatino Linotype" w:hAnsi="Palatino Linotype"/>
          <w:i/>
          <w:sz w:val="24"/>
          <w:szCs w:val="24"/>
        </w:rPr>
      </w:pPr>
      <w:r w:rsidRPr="00360FDF">
        <w:rPr>
          <w:rFonts w:ascii="Palatino Linotype" w:hAnsi="Palatino Linotype"/>
          <w:i/>
          <w:sz w:val="24"/>
          <w:szCs w:val="24"/>
        </w:rPr>
        <w:t>(…)</w:t>
      </w:r>
    </w:p>
    <w:p w14:paraId="7C04A407" w14:textId="77777777" w:rsidR="00F528D1" w:rsidRPr="00360FDF" w:rsidRDefault="00F528D1" w:rsidP="00F528D1">
      <w:pPr>
        <w:tabs>
          <w:tab w:val="left" w:pos="851"/>
        </w:tabs>
        <w:spacing w:after="0" w:line="360" w:lineRule="auto"/>
        <w:ind w:left="709" w:right="616" w:hanging="142"/>
        <w:contextualSpacing/>
        <w:jc w:val="both"/>
        <w:rPr>
          <w:rFonts w:ascii="Palatino Linotype" w:hAnsi="Palatino Linotype"/>
          <w:b/>
          <w:i/>
          <w:sz w:val="24"/>
          <w:szCs w:val="24"/>
        </w:rPr>
      </w:pPr>
      <w:r w:rsidRPr="00360FDF">
        <w:rPr>
          <w:rFonts w:ascii="Palatino Linotype" w:hAnsi="Palatino Linotype"/>
          <w:i/>
          <w:sz w:val="24"/>
          <w:szCs w:val="24"/>
        </w:rPr>
        <w:t xml:space="preserve">- </w:t>
      </w:r>
      <w:r w:rsidRPr="00360FDF">
        <w:rPr>
          <w:rFonts w:ascii="Palatino Linotype" w:hAnsi="Palatino Linotype"/>
          <w:b/>
          <w:i/>
          <w:sz w:val="24"/>
          <w:szCs w:val="24"/>
        </w:rPr>
        <w:t>Atender tramitar y resolver las quejas y denuncias que se presenten en contra de los servidores públicos del organismo, dándoles el seguimiento requerido hasta su conclusión.</w:t>
      </w:r>
    </w:p>
    <w:p w14:paraId="591597D4" w14:textId="77777777" w:rsidR="00F528D1" w:rsidRPr="00360FDF" w:rsidRDefault="00F528D1" w:rsidP="00F528D1">
      <w:pPr>
        <w:tabs>
          <w:tab w:val="left" w:pos="851"/>
        </w:tabs>
        <w:spacing w:after="0" w:line="360" w:lineRule="auto"/>
        <w:ind w:left="709" w:right="616" w:hanging="142"/>
        <w:contextualSpacing/>
        <w:jc w:val="both"/>
        <w:rPr>
          <w:rFonts w:ascii="Palatino Linotype" w:hAnsi="Palatino Linotype"/>
          <w:b/>
          <w:i/>
          <w:sz w:val="24"/>
          <w:szCs w:val="24"/>
        </w:rPr>
      </w:pPr>
      <w:r w:rsidRPr="00360FDF">
        <w:rPr>
          <w:rFonts w:ascii="Palatino Linotype" w:hAnsi="Palatino Linotype"/>
          <w:b/>
          <w:i/>
          <w:sz w:val="24"/>
          <w:szCs w:val="24"/>
        </w:rPr>
        <w:t>-Iniciar y resolver los procedimientos administrativos, disciplinarios y resarcitorios que se derivan de auditorías y de otras acciones realizadas por la Unidad de Contraloría Interna e imponer, en su caso, las sanciones que correspondan en los términos de la Ley de Responsabilidades de los Servidores Públicos del Estado y Municipios, verificando que las sanciones determinadas, se ejecuten de acuerdo a las resoluciones emitidas.</w:t>
      </w:r>
    </w:p>
    <w:p w14:paraId="2C6E8073" w14:textId="77777777" w:rsidR="00F528D1" w:rsidRPr="00360FDF" w:rsidRDefault="00F528D1" w:rsidP="00F528D1">
      <w:pPr>
        <w:tabs>
          <w:tab w:val="left" w:pos="851"/>
        </w:tabs>
        <w:spacing w:after="0" w:line="360" w:lineRule="auto"/>
        <w:ind w:left="709" w:right="616" w:hanging="142"/>
        <w:contextualSpacing/>
        <w:jc w:val="both"/>
        <w:rPr>
          <w:rFonts w:ascii="Palatino Linotype" w:hAnsi="Palatino Linotype"/>
          <w:i/>
          <w:sz w:val="24"/>
          <w:szCs w:val="24"/>
        </w:rPr>
      </w:pPr>
      <w:r w:rsidRPr="00360FDF">
        <w:rPr>
          <w:rFonts w:ascii="Palatino Linotype" w:hAnsi="Palatino Linotype"/>
          <w:i/>
          <w:sz w:val="24"/>
          <w:szCs w:val="24"/>
        </w:rPr>
        <w:t xml:space="preserve"> - Iniciar y resolver los procedimientos administrativos que se deriven de la omisión o extemporaneidad en la presentación de la manifestación de bienes o baja, alta o actualización patrimonial.</w:t>
      </w:r>
    </w:p>
    <w:p w14:paraId="26428CDA" w14:textId="77777777" w:rsidR="00F528D1" w:rsidRPr="00360FDF" w:rsidRDefault="00F528D1" w:rsidP="00F528D1">
      <w:pPr>
        <w:tabs>
          <w:tab w:val="left" w:pos="851"/>
        </w:tabs>
        <w:spacing w:after="0" w:line="360" w:lineRule="auto"/>
        <w:ind w:left="567" w:right="616"/>
        <w:contextualSpacing/>
        <w:jc w:val="both"/>
        <w:rPr>
          <w:rFonts w:ascii="Palatino Linotype" w:hAnsi="Palatino Linotype"/>
          <w:i/>
          <w:sz w:val="24"/>
          <w:szCs w:val="24"/>
        </w:rPr>
      </w:pPr>
      <w:r w:rsidRPr="00360FDF">
        <w:rPr>
          <w:rFonts w:ascii="Palatino Linotype" w:hAnsi="Palatino Linotype"/>
          <w:i/>
          <w:sz w:val="24"/>
          <w:szCs w:val="24"/>
        </w:rPr>
        <w:t>(…)” (Sic)</w:t>
      </w:r>
    </w:p>
    <w:p w14:paraId="62224F33" w14:textId="77777777" w:rsidR="00F07AEE" w:rsidRPr="00360FDF" w:rsidRDefault="00F07AEE" w:rsidP="00F07AEE">
      <w:pPr>
        <w:tabs>
          <w:tab w:val="left" w:pos="851"/>
        </w:tabs>
        <w:spacing w:after="0" w:line="360" w:lineRule="auto"/>
        <w:ind w:right="49"/>
        <w:contextualSpacing/>
        <w:jc w:val="both"/>
        <w:rPr>
          <w:rFonts w:ascii="Palatino Linotype" w:eastAsia="Times New Roman" w:hAnsi="Palatino Linotype" w:cs="Arial"/>
          <w:i/>
          <w:sz w:val="24"/>
          <w:szCs w:val="24"/>
        </w:rPr>
      </w:pPr>
    </w:p>
    <w:p w14:paraId="594546B8" w14:textId="77777777" w:rsidR="00896491" w:rsidRPr="00360FDF" w:rsidRDefault="00896491" w:rsidP="00896491">
      <w:pPr>
        <w:tabs>
          <w:tab w:val="left" w:pos="851"/>
        </w:tabs>
        <w:spacing w:after="0" w:line="360" w:lineRule="auto"/>
        <w:ind w:right="49"/>
        <w:contextualSpacing/>
        <w:jc w:val="both"/>
        <w:rPr>
          <w:rFonts w:ascii="Palatino Linotype" w:eastAsia="Times New Roman" w:hAnsi="Palatino Linotype" w:cs="Arial"/>
          <w:i/>
          <w:sz w:val="24"/>
          <w:szCs w:val="24"/>
        </w:rPr>
      </w:pPr>
    </w:p>
    <w:p w14:paraId="51B6EFF6" w14:textId="77777777" w:rsidR="00A26C04" w:rsidRPr="00360FDF" w:rsidRDefault="00896491" w:rsidP="00896491">
      <w:pPr>
        <w:numPr>
          <w:ilvl w:val="0"/>
          <w:numId w:val="1"/>
        </w:numPr>
        <w:tabs>
          <w:tab w:val="left" w:pos="851"/>
        </w:tabs>
        <w:spacing w:after="0" w:line="360" w:lineRule="auto"/>
        <w:ind w:left="0" w:right="49" w:firstLine="0"/>
        <w:jc w:val="both"/>
        <w:rPr>
          <w:rFonts w:ascii="Palatino Linotype" w:eastAsia="Times New Roman" w:hAnsi="Palatino Linotype" w:cs="Arial"/>
          <w:b/>
          <w:i/>
          <w:sz w:val="24"/>
          <w:szCs w:val="24"/>
          <w:lang w:val="es-ES_tradnl"/>
        </w:rPr>
      </w:pPr>
      <w:r w:rsidRPr="00360FDF">
        <w:rPr>
          <w:rFonts w:ascii="Palatino Linotype" w:eastAsia="Times New Roman" w:hAnsi="Palatino Linotype" w:cs="Arial"/>
          <w:sz w:val="24"/>
          <w:szCs w:val="24"/>
        </w:rPr>
        <w:lastRenderedPageBreak/>
        <w:t>Finalmente, y a efecto de garantizar el principio de máxima publicidad que rige el Derecho de Acceso a la Información, se considera procedente ordenar la entrega de</w:t>
      </w:r>
      <w:r w:rsidR="004C40B1" w:rsidRPr="00360FDF">
        <w:rPr>
          <w:rFonts w:ascii="Palatino Linotype" w:eastAsia="Times New Roman" w:hAnsi="Palatino Linotype" w:cs="Arial"/>
          <w:b/>
          <w:i/>
          <w:sz w:val="24"/>
          <w:szCs w:val="24"/>
          <w:lang w:val="es-ES_tradnl"/>
        </w:rPr>
        <w:t xml:space="preserve"> </w:t>
      </w:r>
      <w:r w:rsidR="004C40B1" w:rsidRPr="00360FDF">
        <w:rPr>
          <w:rFonts w:ascii="Palatino Linotype" w:eastAsia="Times New Roman" w:hAnsi="Palatino Linotype" w:cs="Arial"/>
          <w:sz w:val="24"/>
          <w:szCs w:val="24"/>
          <w:lang w:val="es-ES_tradnl"/>
        </w:rPr>
        <w:t xml:space="preserve">cualquier documento donde conste la terminación de la relación laboral </w:t>
      </w:r>
      <w:r w:rsidR="004C40B1" w:rsidRPr="00360FDF">
        <w:rPr>
          <w:rFonts w:ascii="Palatino Linotype" w:eastAsia="Times New Roman" w:hAnsi="Palatino Linotype" w:cs="Arial"/>
          <w:sz w:val="24"/>
          <w:szCs w:val="24"/>
        </w:rPr>
        <w:t>de los servidores públicos referidos en la solicitud de información</w:t>
      </w:r>
      <w:r w:rsidR="004C40B1" w:rsidRPr="00360FDF">
        <w:rPr>
          <w:rFonts w:ascii="Palatino Linotype" w:eastAsia="Times New Roman" w:hAnsi="Palatino Linotype" w:cs="Arial"/>
          <w:b/>
          <w:sz w:val="24"/>
          <w:szCs w:val="24"/>
        </w:rPr>
        <w:t>.</w:t>
      </w:r>
    </w:p>
    <w:p w14:paraId="72209884" w14:textId="77777777" w:rsidR="00896491" w:rsidRPr="00360FDF" w:rsidRDefault="00896491" w:rsidP="00896491">
      <w:pPr>
        <w:pStyle w:val="Prrafodelista"/>
        <w:rPr>
          <w:rFonts w:ascii="Palatino Linotype" w:eastAsia="Times New Roman" w:hAnsi="Palatino Linotype" w:cs="Arial"/>
          <w:b/>
          <w:i/>
          <w:sz w:val="24"/>
          <w:szCs w:val="24"/>
          <w:lang w:val="es-ES_tradnl"/>
        </w:rPr>
      </w:pPr>
    </w:p>
    <w:p w14:paraId="6787EC39" w14:textId="77777777" w:rsidR="00896491" w:rsidRPr="00360FDF" w:rsidRDefault="00896491" w:rsidP="00896491">
      <w:pPr>
        <w:numPr>
          <w:ilvl w:val="0"/>
          <w:numId w:val="1"/>
        </w:numPr>
        <w:tabs>
          <w:tab w:val="left" w:pos="851"/>
        </w:tabs>
        <w:spacing w:after="0" w:line="360" w:lineRule="auto"/>
        <w:ind w:left="0" w:right="49" w:firstLine="0"/>
        <w:jc w:val="both"/>
        <w:rPr>
          <w:rFonts w:ascii="Palatino Linotype" w:eastAsia="Times New Roman" w:hAnsi="Palatino Linotype" w:cs="Arial"/>
          <w:b/>
          <w:i/>
          <w:sz w:val="24"/>
          <w:szCs w:val="24"/>
          <w:lang w:val="es-ES_tradnl"/>
        </w:rPr>
      </w:pPr>
      <w:r w:rsidRPr="00360FDF">
        <w:rPr>
          <w:rFonts w:ascii="Palatino Linotype" w:eastAsia="Times New Roman" w:hAnsi="Palatino Linotype" w:cs="Arial"/>
          <w:sz w:val="24"/>
          <w:szCs w:val="24"/>
          <w:lang w:val="es-ES_tradnl"/>
        </w:rPr>
        <w:t xml:space="preserve">En efecto, de conformidad con lo que establece el citado </w:t>
      </w:r>
      <w:r w:rsidRPr="00360FDF">
        <w:rPr>
          <w:rFonts w:ascii="Palatino Linotype" w:eastAsia="Times New Roman" w:hAnsi="Palatino Linotype" w:cs="Arial"/>
          <w:sz w:val="24"/>
          <w:szCs w:val="24"/>
        </w:rPr>
        <w:t xml:space="preserve">Manual General de Organización del Instituto de Salud del Estado de México la Dirección de Administración y la Subdirección de Recursos Humanos tienen facultades para poseer la información </w:t>
      </w:r>
      <w:r w:rsidR="00814C38" w:rsidRPr="00360FDF">
        <w:rPr>
          <w:rFonts w:ascii="Palatino Linotype" w:eastAsia="Times New Roman" w:hAnsi="Palatino Linotype" w:cs="Arial"/>
          <w:sz w:val="24"/>
          <w:szCs w:val="24"/>
        </w:rPr>
        <w:t>relacionada</w:t>
      </w:r>
      <w:r w:rsidRPr="00360FDF">
        <w:rPr>
          <w:rFonts w:ascii="Palatino Linotype" w:eastAsia="Times New Roman" w:hAnsi="Palatino Linotype" w:cs="Arial"/>
          <w:sz w:val="24"/>
          <w:szCs w:val="24"/>
        </w:rPr>
        <w:t xml:space="preserve"> con </w:t>
      </w:r>
      <w:r w:rsidR="00814C38" w:rsidRPr="00360FDF">
        <w:rPr>
          <w:rFonts w:ascii="Palatino Linotype" w:eastAsia="Times New Roman" w:hAnsi="Palatino Linotype" w:cs="Arial"/>
          <w:sz w:val="24"/>
          <w:szCs w:val="24"/>
        </w:rPr>
        <w:t xml:space="preserve">la administración de personal como a continuación se observa: </w:t>
      </w:r>
    </w:p>
    <w:p w14:paraId="647E32AD" w14:textId="77777777" w:rsidR="00896491" w:rsidRPr="00360FDF" w:rsidRDefault="00896491" w:rsidP="00896491">
      <w:pPr>
        <w:tabs>
          <w:tab w:val="left" w:pos="851"/>
        </w:tabs>
        <w:spacing w:after="0" w:line="360" w:lineRule="auto"/>
        <w:ind w:right="49"/>
        <w:contextualSpacing/>
        <w:jc w:val="both"/>
        <w:rPr>
          <w:rFonts w:ascii="Palatino Linotype" w:eastAsia="Times New Roman" w:hAnsi="Palatino Linotype" w:cs="Arial"/>
          <w:i/>
          <w:sz w:val="24"/>
          <w:szCs w:val="24"/>
        </w:rPr>
      </w:pPr>
    </w:p>
    <w:p w14:paraId="586B0D3C"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eastAsia="Times New Roman" w:hAnsi="Palatino Linotype" w:cs="Arial"/>
          <w:i/>
          <w:sz w:val="24"/>
          <w:szCs w:val="24"/>
        </w:rPr>
        <w:t>2l 7B32000</w:t>
      </w:r>
    </w:p>
    <w:p w14:paraId="1DE79057" w14:textId="77777777" w:rsidR="00896491"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eastAsia="Times New Roman" w:hAnsi="Palatino Linotype" w:cs="Arial"/>
          <w:b/>
          <w:i/>
          <w:sz w:val="24"/>
          <w:szCs w:val="24"/>
        </w:rPr>
        <w:t>DIRECCIÓN DE ADMINISTRACIÓN OBJETIVO</w:t>
      </w:r>
      <w:r w:rsidRPr="00360FDF">
        <w:rPr>
          <w:rFonts w:ascii="Palatino Linotype" w:eastAsia="Times New Roman" w:hAnsi="Palatino Linotype" w:cs="Arial"/>
          <w:i/>
          <w:sz w:val="24"/>
          <w:szCs w:val="24"/>
        </w:rPr>
        <w:t>: Coordina las acciones que coadyuven al oportuno suministro de insumos, materiales y servicios generales; la construcción y mantenimiento de la infraestructura, así como la administración de los recursos humanos que requieran las unidades médicas y administrativas para la ejecución de sus funciones llevar a cabo el control patrimonial del Instituto.</w:t>
      </w:r>
    </w:p>
    <w:p w14:paraId="57990F67"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p>
    <w:p w14:paraId="25F0CC4B"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b/>
          <w:i/>
          <w:sz w:val="24"/>
          <w:szCs w:val="24"/>
        </w:rPr>
      </w:pPr>
      <w:r w:rsidRPr="00360FDF">
        <w:rPr>
          <w:rFonts w:ascii="Palatino Linotype" w:eastAsia="Times New Roman" w:hAnsi="Palatino Linotype" w:cs="Arial"/>
          <w:b/>
          <w:i/>
          <w:sz w:val="24"/>
          <w:szCs w:val="24"/>
        </w:rPr>
        <w:t xml:space="preserve">FUNCIONES </w:t>
      </w:r>
    </w:p>
    <w:p w14:paraId="21DA25FA"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b/>
          <w:i/>
          <w:sz w:val="24"/>
          <w:szCs w:val="24"/>
        </w:rPr>
      </w:pPr>
    </w:p>
    <w:p w14:paraId="48EF9B4C"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eastAsia="Times New Roman" w:hAnsi="Palatino Linotype" w:cs="Arial"/>
          <w:i/>
          <w:sz w:val="24"/>
          <w:szCs w:val="24"/>
        </w:rPr>
        <w:lastRenderedPageBreak/>
        <w:t>(…)</w:t>
      </w:r>
    </w:p>
    <w:p w14:paraId="2B258448"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eastAsia="Times New Roman" w:hAnsi="Palatino Linotype" w:cs="Arial"/>
          <w:i/>
          <w:sz w:val="24"/>
          <w:szCs w:val="24"/>
        </w:rPr>
        <w:t>-Expedir los nombramientos del personal operativo y realizar la reubicación, liquidación y pago de cualquier remuneración del personal al servicio del Instituto.</w:t>
      </w:r>
    </w:p>
    <w:p w14:paraId="5950978B"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eastAsia="Times New Roman" w:hAnsi="Palatino Linotype" w:cs="Arial"/>
          <w:i/>
          <w:sz w:val="24"/>
          <w:szCs w:val="24"/>
        </w:rPr>
        <w:t>(…)</w:t>
      </w:r>
    </w:p>
    <w:p w14:paraId="03D2A417"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eastAsia="Times New Roman" w:hAnsi="Palatino Linotype" w:cs="Arial"/>
          <w:i/>
          <w:sz w:val="24"/>
          <w:szCs w:val="24"/>
        </w:rPr>
        <w:t xml:space="preserve">-Conducir las relaciones laborales del Instituto con sus trabajadores, de conformidad con los lineamientos que al efecto determine el </w:t>
      </w:r>
      <w:proofErr w:type="gramStart"/>
      <w:r w:rsidRPr="00360FDF">
        <w:rPr>
          <w:rFonts w:ascii="Palatino Linotype" w:eastAsia="Times New Roman" w:hAnsi="Palatino Linotype" w:cs="Arial"/>
          <w:i/>
          <w:sz w:val="24"/>
          <w:szCs w:val="24"/>
        </w:rPr>
        <w:t>Director General</w:t>
      </w:r>
      <w:proofErr w:type="gramEnd"/>
      <w:r w:rsidRPr="00360FDF">
        <w:rPr>
          <w:rFonts w:ascii="Palatino Linotype" w:eastAsia="Times New Roman" w:hAnsi="Palatino Linotype" w:cs="Arial"/>
          <w:i/>
          <w:sz w:val="24"/>
          <w:szCs w:val="24"/>
        </w:rPr>
        <w:t>, así como vigilar el cumplimiento de las condiciones generales de trabajo y supervisar su difusión</w:t>
      </w:r>
    </w:p>
    <w:p w14:paraId="42EDABBF"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eastAsia="Times New Roman" w:hAnsi="Palatino Linotype" w:cs="Arial"/>
          <w:i/>
          <w:sz w:val="24"/>
          <w:szCs w:val="24"/>
        </w:rPr>
        <w:t>(…)</w:t>
      </w:r>
    </w:p>
    <w:p w14:paraId="32E28A5D"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eastAsia="Times New Roman" w:hAnsi="Palatino Linotype" w:cs="Arial"/>
          <w:i/>
          <w:sz w:val="24"/>
          <w:szCs w:val="24"/>
        </w:rPr>
        <w:t>-Dirigir y controlar el sistema de administración y desarrollo de personal, garantizando el cumplimiento de la normatividad, así como los derechos y responsabilidades de los trabajadores del Instituto.</w:t>
      </w:r>
    </w:p>
    <w:p w14:paraId="37E2F2AB"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p>
    <w:p w14:paraId="18845EA5"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b/>
          <w:i/>
          <w:sz w:val="24"/>
          <w:szCs w:val="24"/>
        </w:rPr>
      </w:pPr>
      <w:r w:rsidRPr="00360FDF">
        <w:rPr>
          <w:rFonts w:ascii="Palatino Linotype" w:eastAsia="Times New Roman" w:hAnsi="Palatino Linotype" w:cs="Arial"/>
          <w:b/>
          <w:i/>
          <w:sz w:val="24"/>
          <w:szCs w:val="24"/>
        </w:rPr>
        <w:t>2I7B32100</w:t>
      </w:r>
    </w:p>
    <w:p w14:paraId="292F8F39"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b/>
          <w:i/>
          <w:sz w:val="24"/>
          <w:szCs w:val="24"/>
        </w:rPr>
      </w:pPr>
      <w:r w:rsidRPr="00360FDF">
        <w:rPr>
          <w:rFonts w:ascii="Palatino Linotype" w:eastAsia="Times New Roman" w:hAnsi="Palatino Linotype" w:cs="Arial"/>
          <w:b/>
          <w:i/>
          <w:sz w:val="24"/>
          <w:szCs w:val="24"/>
        </w:rPr>
        <w:t xml:space="preserve"> SUBDIRECCIÓN DE RECURSOS HUMANOS </w:t>
      </w:r>
    </w:p>
    <w:p w14:paraId="209648CA"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eastAsia="Times New Roman" w:hAnsi="Palatino Linotype" w:cs="Arial"/>
          <w:b/>
          <w:i/>
          <w:sz w:val="24"/>
          <w:szCs w:val="24"/>
        </w:rPr>
        <w:t>OBJETIVO:</w:t>
      </w:r>
      <w:r w:rsidRPr="00360FDF">
        <w:rPr>
          <w:rFonts w:ascii="Palatino Linotype" w:eastAsia="Times New Roman" w:hAnsi="Palatino Linotype" w:cs="Arial"/>
          <w:i/>
          <w:sz w:val="24"/>
          <w:szCs w:val="24"/>
        </w:rPr>
        <w:t xml:space="preserve"> Ejecutar, coordinar y controlar el plan estratégico institucional en materia de recursos humanos, los planes operativos que de él se deriven, el sistema de administración y desarrollo de personal, la normatividad laboral y las relaciones de trabajo, que garanticen los derechos de los trabajadores y propicien </w:t>
      </w:r>
      <w:r w:rsidRPr="00360FDF">
        <w:rPr>
          <w:rFonts w:ascii="Palatino Linotype" w:eastAsia="Times New Roman" w:hAnsi="Palatino Linotype" w:cs="Arial"/>
          <w:i/>
          <w:sz w:val="24"/>
          <w:szCs w:val="24"/>
        </w:rPr>
        <w:lastRenderedPageBreak/>
        <w:t>el ejercicio honesto y eficiente de sus funciones, para contribuir a la consecución de los objetivos del Instituto.</w:t>
      </w:r>
    </w:p>
    <w:p w14:paraId="40732102"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p>
    <w:p w14:paraId="1BC62956"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b/>
          <w:i/>
          <w:sz w:val="24"/>
          <w:szCs w:val="24"/>
        </w:rPr>
      </w:pPr>
      <w:r w:rsidRPr="00360FDF">
        <w:rPr>
          <w:rFonts w:ascii="Palatino Linotype" w:eastAsia="Times New Roman" w:hAnsi="Palatino Linotype" w:cs="Arial"/>
          <w:b/>
          <w:i/>
          <w:sz w:val="24"/>
          <w:szCs w:val="24"/>
        </w:rPr>
        <w:t xml:space="preserve">FUNCIONES </w:t>
      </w:r>
    </w:p>
    <w:p w14:paraId="1C2C9964" w14:textId="77777777" w:rsidR="00814C38" w:rsidRPr="00360FDF" w:rsidRDefault="00814C38" w:rsidP="00814C38">
      <w:pPr>
        <w:tabs>
          <w:tab w:val="left" w:pos="851"/>
        </w:tabs>
        <w:spacing w:after="0" w:line="360" w:lineRule="auto"/>
        <w:ind w:right="616"/>
        <w:contextualSpacing/>
        <w:jc w:val="both"/>
        <w:rPr>
          <w:rFonts w:ascii="Palatino Linotype" w:eastAsia="Times New Roman" w:hAnsi="Palatino Linotype" w:cs="Arial"/>
          <w:i/>
          <w:sz w:val="24"/>
          <w:szCs w:val="24"/>
        </w:rPr>
      </w:pPr>
    </w:p>
    <w:p w14:paraId="7605604D"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eastAsia="Times New Roman" w:hAnsi="Palatino Linotype" w:cs="Arial"/>
          <w:i/>
          <w:sz w:val="24"/>
          <w:szCs w:val="24"/>
        </w:rPr>
        <w:t>(…)</w:t>
      </w:r>
    </w:p>
    <w:p w14:paraId="474C550C"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eastAsia="Times New Roman" w:hAnsi="Palatino Linotype" w:cs="Arial"/>
          <w:i/>
          <w:sz w:val="24"/>
          <w:szCs w:val="24"/>
        </w:rPr>
        <w:t xml:space="preserve">-Elaborar y expedir los nombramientos del personal de mandos medios y superiores, autorizados por el </w:t>
      </w:r>
      <w:proofErr w:type="gramStart"/>
      <w:r w:rsidRPr="00360FDF">
        <w:rPr>
          <w:rFonts w:ascii="Palatino Linotype" w:eastAsia="Times New Roman" w:hAnsi="Palatino Linotype" w:cs="Arial"/>
          <w:i/>
          <w:sz w:val="24"/>
          <w:szCs w:val="24"/>
        </w:rPr>
        <w:t>Director General</w:t>
      </w:r>
      <w:proofErr w:type="gramEnd"/>
      <w:r w:rsidRPr="00360FDF">
        <w:rPr>
          <w:rFonts w:ascii="Palatino Linotype" w:eastAsia="Times New Roman" w:hAnsi="Palatino Linotype" w:cs="Arial"/>
          <w:i/>
          <w:sz w:val="24"/>
          <w:szCs w:val="24"/>
        </w:rPr>
        <w:t>.</w:t>
      </w:r>
    </w:p>
    <w:p w14:paraId="56677690"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eastAsia="Times New Roman" w:hAnsi="Palatino Linotype" w:cs="Arial"/>
          <w:i/>
          <w:sz w:val="24"/>
          <w:szCs w:val="24"/>
        </w:rPr>
        <w:t xml:space="preserve"> - Coordinar y controlar los movimientos e incidencias de personal, así como las constancias de nombramiento y demás documentos que acrediten la situación laboral de los trabajadores.</w:t>
      </w:r>
    </w:p>
    <w:p w14:paraId="5A3C5DE9"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360FDF">
        <w:rPr>
          <w:rFonts w:ascii="Palatino Linotype" w:eastAsia="Times New Roman" w:hAnsi="Palatino Linotype" w:cs="Arial"/>
          <w:i/>
          <w:sz w:val="24"/>
          <w:szCs w:val="24"/>
        </w:rPr>
        <w:t>(…)”</w:t>
      </w:r>
    </w:p>
    <w:p w14:paraId="58EB8730" w14:textId="77777777" w:rsidR="00814C38" w:rsidRPr="00360FDF" w:rsidRDefault="00814C38" w:rsidP="00814C38">
      <w:pPr>
        <w:tabs>
          <w:tab w:val="left" w:pos="851"/>
        </w:tabs>
        <w:spacing w:after="0" w:line="360" w:lineRule="auto"/>
        <w:ind w:left="567" w:right="616"/>
        <w:contextualSpacing/>
        <w:jc w:val="both"/>
        <w:rPr>
          <w:rFonts w:ascii="Palatino Linotype" w:eastAsia="Times New Roman" w:hAnsi="Palatino Linotype" w:cs="Arial"/>
          <w:i/>
          <w:sz w:val="24"/>
          <w:szCs w:val="24"/>
        </w:rPr>
      </w:pPr>
    </w:p>
    <w:p w14:paraId="5EAE2A95" w14:textId="77777777" w:rsidR="00814C38" w:rsidRPr="00360FDF" w:rsidRDefault="00814C38" w:rsidP="00896491">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i/>
          <w:sz w:val="24"/>
          <w:szCs w:val="24"/>
        </w:rPr>
      </w:pPr>
      <w:r w:rsidRPr="00360FDF">
        <w:rPr>
          <w:rFonts w:ascii="Palatino Linotype" w:eastAsia="Times New Roman" w:hAnsi="Palatino Linotype" w:cs="Arial"/>
          <w:sz w:val="24"/>
          <w:szCs w:val="24"/>
        </w:rPr>
        <w:t xml:space="preserve">Así, de lo anterior es posible establecer la competencia de manera enunciativa más no limitativa del Órgano de Control Interno, de la Dirección de Administración y la Subdirección de Recursos Humanos, para iniciar procedimientos por responsabilidades administrativas graves o no graves y tramitar la situación laboral de los servidores públicos </w:t>
      </w:r>
      <w:proofErr w:type="gramStart"/>
      <w:r w:rsidRPr="00360FDF">
        <w:rPr>
          <w:rFonts w:ascii="Palatino Linotype" w:eastAsia="Times New Roman" w:hAnsi="Palatino Linotype" w:cs="Arial"/>
          <w:sz w:val="24"/>
          <w:szCs w:val="24"/>
        </w:rPr>
        <w:t xml:space="preserve">del  </w:t>
      </w:r>
      <w:r w:rsidRPr="00360FDF">
        <w:rPr>
          <w:rFonts w:ascii="Palatino Linotype" w:hAnsi="Palatino Linotype"/>
          <w:sz w:val="24"/>
        </w:rPr>
        <w:t>Instituto</w:t>
      </w:r>
      <w:proofErr w:type="gramEnd"/>
      <w:r w:rsidRPr="00360FDF">
        <w:rPr>
          <w:rFonts w:ascii="Palatino Linotype" w:hAnsi="Palatino Linotype"/>
          <w:sz w:val="24"/>
        </w:rPr>
        <w:t xml:space="preserve"> de Salud del Estado de México.</w:t>
      </w:r>
    </w:p>
    <w:p w14:paraId="5AA4706B" w14:textId="77777777" w:rsidR="00814C38" w:rsidRPr="00360FDF" w:rsidRDefault="00814C38" w:rsidP="00814C38">
      <w:pPr>
        <w:pStyle w:val="Prrafodelista"/>
        <w:tabs>
          <w:tab w:val="left" w:pos="851"/>
        </w:tabs>
        <w:spacing w:after="0" w:line="360" w:lineRule="auto"/>
        <w:ind w:left="0" w:right="49"/>
        <w:jc w:val="both"/>
        <w:rPr>
          <w:rFonts w:ascii="Palatino Linotype" w:eastAsia="Times New Roman" w:hAnsi="Palatino Linotype" w:cs="Arial"/>
          <w:i/>
          <w:sz w:val="24"/>
          <w:szCs w:val="24"/>
        </w:rPr>
      </w:pPr>
    </w:p>
    <w:p w14:paraId="71798DFD" w14:textId="77777777" w:rsidR="00F528D1" w:rsidRPr="00360FDF" w:rsidRDefault="00F528D1" w:rsidP="003A4DE4">
      <w:pPr>
        <w:pStyle w:val="Ttulo1"/>
        <w:numPr>
          <w:ilvl w:val="0"/>
          <w:numId w:val="3"/>
        </w:numPr>
        <w:ind w:left="0" w:firstLine="0"/>
        <w:rPr>
          <w:b/>
        </w:rPr>
      </w:pPr>
      <w:bookmarkStart w:id="40" w:name="_Toc72499073"/>
      <w:r w:rsidRPr="00360FDF">
        <w:rPr>
          <w:b/>
        </w:rPr>
        <w:lastRenderedPageBreak/>
        <w:t>De la búsqueda exhaustiva.</w:t>
      </w:r>
      <w:bookmarkEnd w:id="40"/>
    </w:p>
    <w:p w14:paraId="5F4909EF" w14:textId="77777777" w:rsidR="00F528D1" w:rsidRPr="00360FDF" w:rsidRDefault="00F528D1" w:rsidP="00F528D1">
      <w:pPr>
        <w:pStyle w:val="Prrafodelista"/>
        <w:tabs>
          <w:tab w:val="left" w:pos="851"/>
        </w:tabs>
        <w:spacing w:after="0" w:line="360" w:lineRule="auto"/>
        <w:ind w:left="1080" w:right="49"/>
        <w:jc w:val="both"/>
        <w:rPr>
          <w:rFonts w:ascii="Palatino Linotype" w:eastAsia="Times New Roman" w:hAnsi="Palatino Linotype" w:cs="Arial"/>
          <w:i/>
          <w:sz w:val="24"/>
          <w:szCs w:val="24"/>
        </w:rPr>
      </w:pPr>
    </w:p>
    <w:p w14:paraId="100F0CBD" w14:textId="77777777" w:rsidR="00A26C04" w:rsidRPr="00360FDF" w:rsidRDefault="00EA1769" w:rsidP="00814C38">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i/>
          <w:sz w:val="24"/>
          <w:szCs w:val="24"/>
        </w:rPr>
      </w:pPr>
      <w:r w:rsidRPr="00360FDF">
        <w:rPr>
          <w:rFonts w:ascii="Palatino Linotype" w:eastAsia="MS Mincho" w:hAnsi="Palatino Linotype" w:cs="Times New Roman"/>
          <w:sz w:val="24"/>
          <w:szCs w:val="24"/>
        </w:rPr>
        <w:t>Consecuentemente, r</w:t>
      </w:r>
      <w:r w:rsidR="00A26C04" w:rsidRPr="00360FDF">
        <w:rPr>
          <w:rFonts w:ascii="Palatino Linotype" w:eastAsia="MS Mincho" w:hAnsi="Palatino Linotype" w:cs="Times New Roman"/>
          <w:sz w:val="24"/>
          <w:szCs w:val="24"/>
        </w:rPr>
        <w:t xml:space="preserve">esulta de relevancia señalar </w:t>
      </w:r>
      <w:proofErr w:type="gramStart"/>
      <w:r w:rsidR="00A26C04" w:rsidRPr="00360FDF">
        <w:rPr>
          <w:rFonts w:ascii="Palatino Linotype" w:eastAsia="MS Mincho" w:hAnsi="Palatino Linotype" w:cs="Times New Roman"/>
          <w:sz w:val="24"/>
          <w:szCs w:val="24"/>
        </w:rPr>
        <w:t>que  según</w:t>
      </w:r>
      <w:proofErr w:type="gramEnd"/>
      <w:r w:rsidR="00A26C04" w:rsidRPr="00360FDF">
        <w:rPr>
          <w:rFonts w:ascii="Palatino Linotype" w:eastAsia="MS Mincho" w:hAnsi="Palatino Linotype" w:cs="Times New Roman"/>
          <w:sz w:val="24"/>
          <w:szCs w:val="24"/>
        </w:rPr>
        <w:t xml:space="preserve"> constancias que obran en el expediente electrónico radicado en el </w:t>
      </w:r>
      <w:r w:rsidR="00A26C04" w:rsidRPr="00360FDF">
        <w:rPr>
          <w:rFonts w:ascii="Palatino Linotype" w:eastAsia="MS Mincho" w:hAnsi="Palatino Linotype" w:cs="Times New Roman"/>
          <w:b/>
          <w:sz w:val="24"/>
          <w:szCs w:val="24"/>
        </w:rPr>
        <w:t>SAIMEX</w:t>
      </w:r>
      <w:r w:rsidR="00A26C04" w:rsidRPr="00360FDF">
        <w:rPr>
          <w:rFonts w:ascii="Palatino Linotype" w:eastAsia="MS Mincho" w:hAnsi="Palatino Linotype" w:cs="Times New Roman"/>
          <w:sz w:val="24"/>
          <w:szCs w:val="24"/>
        </w:rPr>
        <w:t xml:space="preserve">, no se realizó una búsqueda exhaustiva de la información solicitada. En efecto, </w:t>
      </w:r>
      <w:r w:rsidRPr="00360FDF">
        <w:rPr>
          <w:rFonts w:ascii="Palatino Linotype" w:eastAsia="MS Mincho" w:hAnsi="Palatino Linotype" w:cs="Times New Roman"/>
          <w:sz w:val="24"/>
          <w:szCs w:val="24"/>
        </w:rPr>
        <w:t xml:space="preserve">si bien </w:t>
      </w:r>
      <w:r w:rsidR="00A26C04" w:rsidRPr="00360FDF">
        <w:rPr>
          <w:rFonts w:ascii="Palatino Linotype" w:eastAsia="Times New Roman" w:hAnsi="Palatino Linotype" w:cs="Arial"/>
          <w:sz w:val="24"/>
          <w:szCs w:val="24"/>
          <w:lang w:val="es-ES"/>
        </w:rPr>
        <w:t>se observa que se realizó requerimiento de información al</w:t>
      </w:r>
      <w:r w:rsidRPr="00360FDF">
        <w:rPr>
          <w:rFonts w:ascii="Palatino Linotype" w:eastAsia="Times New Roman" w:hAnsi="Palatino Linotype" w:cs="Arial"/>
          <w:sz w:val="24"/>
          <w:szCs w:val="24"/>
          <w:lang w:val="es-ES"/>
        </w:rPr>
        <w:t xml:space="preserve"> servidor público habilitado del Órgano Interno de Control</w:t>
      </w:r>
      <w:r w:rsidR="00A26C04" w:rsidRPr="00360FDF">
        <w:rPr>
          <w:rFonts w:ascii="Palatino Linotype" w:eastAsia="Times New Roman" w:hAnsi="Palatino Linotype" w:cs="Arial"/>
          <w:sz w:val="24"/>
          <w:szCs w:val="24"/>
          <w:lang w:val="es-ES"/>
        </w:rPr>
        <w:t xml:space="preserve">, </w:t>
      </w:r>
      <w:r w:rsidRPr="00360FDF">
        <w:rPr>
          <w:rFonts w:ascii="Palatino Linotype" w:eastAsia="Times New Roman" w:hAnsi="Palatino Linotype" w:cs="Arial"/>
          <w:sz w:val="24"/>
          <w:szCs w:val="24"/>
          <w:lang w:val="es-ES"/>
        </w:rPr>
        <w:t xml:space="preserve">por ser el área competente para atender los requerimientos realizados de conformidad con el Manual de Organización del Instituto de salud del Estado de México, se observa que únicamente se refirió la inexistencia de la información, situación que </w:t>
      </w:r>
      <w:r w:rsidR="00A26C04" w:rsidRPr="00360FDF">
        <w:rPr>
          <w:rFonts w:ascii="Palatino Linotype" w:eastAsia="MS Mincho" w:hAnsi="Palatino Linotype" w:cs="Arial"/>
          <w:color w:val="000000"/>
          <w:sz w:val="24"/>
          <w:szCs w:val="24"/>
          <w:lang w:eastAsia="es-ES"/>
        </w:rPr>
        <w:t xml:space="preserve">se </w:t>
      </w:r>
      <w:r w:rsidRPr="00360FDF">
        <w:rPr>
          <w:rFonts w:ascii="Palatino Linotype" w:eastAsia="MS Mincho" w:hAnsi="Palatino Linotype" w:cs="Arial"/>
          <w:color w:val="000000"/>
          <w:sz w:val="24"/>
          <w:szCs w:val="24"/>
          <w:lang w:eastAsia="es-ES"/>
        </w:rPr>
        <w:t xml:space="preserve">traduce a una discrecionalidad </w:t>
      </w:r>
      <w:r w:rsidR="00A26C04" w:rsidRPr="00360FDF">
        <w:rPr>
          <w:rFonts w:ascii="Palatino Linotype" w:eastAsia="MS Mincho" w:hAnsi="Palatino Linotype" w:cs="Arial"/>
          <w:color w:val="000000"/>
          <w:sz w:val="24"/>
          <w:szCs w:val="24"/>
          <w:lang w:eastAsia="es-ES"/>
        </w:rPr>
        <w:t xml:space="preserve">del </w:t>
      </w:r>
      <w:r w:rsidR="00A26C04" w:rsidRPr="00360FDF">
        <w:rPr>
          <w:rFonts w:ascii="Palatino Linotype" w:eastAsia="MS Mincho" w:hAnsi="Palatino Linotype" w:cs="Arial"/>
          <w:b/>
          <w:color w:val="000000"/>
          <w:sz w:val="24"/>
          <w:szCs w:val="24"/>
          <w:lang w:eastAsia="es-ES"/>
        </w:rPr>
        <w:t>SUJETO OBLIGADO</w:t>
      </w:r>
      <w:r w:rsidR="00A26C04" w:rsidRPr="00360FDF">
        <w:rPr>
          <w:rFonts w:ascii="Palatino Linotype" w:eastAsia="MS Mincho" w:hAnsi="Palatino Linotype" w:cs="Arial"/>
          <w:color w:val="000000"/>
          <w:sz w:val="24"/>
          <w:szCs w:val="24"/>
          <w:lang w:eastAsia="es-ES"/>
        </w:rPr>
        <w:t xml:space="preserve"> al no</w:t>
      </w:r>
      <w:r w:rsidRPr="00360FDF">
        <w:rPr>
          <w:rFonts w:ascii="Palatino Linotype" w:eastAsia="MS Mincho" w:hAnsi="Palatino Linotype" w:cs="Arial"/>
          <w:color w:val="000000"/>
          <w:sz w:val="24"/>
          <w:szCs w:val="24"/>
          <w:lang w:eastAsia="es-ES"/>
        </w:rPr>
        <w:t xml:space="preserve"> señalar los métodos técnicos o de gestión archivística que se implementaron para desarrollar la búsqueda exhaustiva de la información de conformidad con lo que establece </w:t>
      </w:r>
      <w:r w:rsidR="00A26C04" w:rsidRPr="00360FDF">
        <w:rPr>
          <w:rFonts w:ascii="Palatino Linotype" w:eastAsia="MS Mincho" w:hAnsi="Palatino Linotype" w:cs="Arial"/>
          <w:color w:val="000000"/>
          <w:sz w:val="24"/>
          <w:szCs w:val="24"/>
          <w:lang w:eastAsia="es-ES"/>
        </w:rPr>
        <w:t>el artículo 162 de la Ley de Transparencia y Acceso a la Información Pública del Estado de México y Municipios, el cual a la letra dispone lo siguiente:</w:t>
      </w:r>
    </w:p>
    <w:p w14:paraId="2C686C41" w14:textId="77777777" w:rsidR="00EA1769" w:rsidRPr="00360FDF" w:rsidRDefault="00EA1769" w:rsidP="00EA1769">
      <w:pPr>
        <w:tabs>
          <w:tab w:val="left" w:pos="426"/>
        </w:tabs>
        <w:spacing w:after="0" w:line="360" w:lineRule="auto"/>
        <w:ind w:right="616"/>
        <w:contextualSpacing/>
        <w:jc w:val="both"/>
        <w:rPr>
          <w:rFonts w:ascii="Palatino Linotype" w:eastAsia="MS Mincho" w:hAnsi="Palatino Linotype" w:cs="Times New Roman"/>
          <w:b/>
          <w:i/>
          <w:szCs w:val="24"/>
          <w:lang w:val="es-ES_tradnl" w:eastAsia="es-ES"/>
        </w:rPr>
      </w:pPr>
    </w:p>
    <w:p w14:paraId="3D0DB8EE" w14:textId="77777777" w:rsidR="00A26C04" w:rsidRPr="00360FDF" w:rsidRDefault="00A26C04" w:rsidP="00A26C04">
      <w:pPr>
        <w:tabs>
          <w:tab w:val="left" w:pos="426"/>
        </w:tabs>
        <w:spacing w:after="0" w:line="360" w:lineRule="auto"/>
        <w:ind w:left="567" w:right="616"/>
        <w:contextualSpacing/>
        <w:jc w:val="both"/>
        <w:rPr>
          <w:rFonts w:ascii="Palatino Linotype" w:eastAsia="MS Mincho" w:hAnsi="Palatino Linotype" w:cs="Times New Roman"/>
          <w:i/>
          <w:szCs w:val="24"/>
          <w:lang w:val="es-ES_tradnl" w:eastAsia="es-ES"/>
        </w:rPr>
      </w:pPr>
      <w:r w:rsidRPr="00360FDF">
        <w:rPr>
          <w:rFonts w:ascii="Palatino Linotype" w:eastAsia="MS Mincho" w:hAnsi="Palatino Linotype" w:cs="Times New Roman"/>
          <w:b/>
          <w:i/>
          <w:szCs w:val="24"/>
          <w:lang w:val="es-ES_tradnl" w:eastAsia="es-ES"/>
        </w:rPr>
        <w:t>“Artículo 162.</w:t>
      </w:r>
      <w:r w:rsidRPr="00360FDF">
        <w:rPr>
          <w:rFonts w:ascii="Palatino Linotype" w:eastAsia="MS Mincho" w:hAnsi="Palatino Linotype" w:cs="Times New Roman"/>
          <w:i/>
          <w:szCs w:val="24"/>
          <w:lang w:val="es-ES_tradnl" w:eastAsia="es-ES"/>
        </w:rPr>
        <w:t xml:space="preserve"> Las unidades de transparencia deberán garantizar que las solicitudes se turnen a todas las Áreas competentes que cuenten con la información o deban tenerla de acuerdo a sus facultades, competencias y funciones, </w:t>
      </w:r>
      <w:r w:rsidRPr="00360FDF">
        <w:rPr>
          <w:rFonts w:ascii="Palatino Linotype" w:eastAsia="MS Mincho" w:hAnsi="Palatino Linotype" w:cs="Times New Roman"/>
          <w:b/>
          <w:i/>
          <w:szCs w:val="24"/>
          <w:lang w:val="es-ES_tradnl" w:eastAsia="es-ES"/>
        </w:rPr>
        <w:t>con el objeto de que realicen una búsqueda exhaustiva y razonable de la información solicitada.</w:t>
      </w:r>
      <w:r w:rsidRPr="00360FDF">
        <w:rPr>
          <w:rFonts w:ascii="Palatino Linotype" w:eastAsia="MS Mincho" w:hAnsi="Palatino Linotype" w:cs="Times New Roman"/>
          <w:i/>
          <w:szCs w:val="24"/>
          <w:lang w:val="es-ES_tradnl" w:eastAsia="es-ES"/>
        </w:rPr>
        <w:t>”</w:t>
      </w:r>
    </w:p>
    <w:p w14:paraId="527C4898" w14:textId="77777777" w:rsidR="00A26C04" w:rsidRPr="00360FDF" w:rsidRDefault="00A26C04" w:rsidP="00A26C04">
      <w:pPr>
        <w:tabs>
          <w:tab w:val="left" w:pos="426"/>
        </w:tabs>
        <w:spacing w:after="0" w:line="360" w:lineRule="auto"/>
        <w:ind w:left="567" w:right="616"/>
        <w:contextualSpacing/>
        <w:jc w:val="both"/>
        <w:rPr>
          <w:rFonts w:ascii="Palatino Linotype" w:eastAsia="MS Mincho" w:hAnsi="Palatino Linotype" w:cs="Times New Roman"/>
          <w:i/>
          <w:szCs w:val="24"/>
          <w:lang w:val="es-ES_tradnl" w:eastAsia="es-ES"/>
        </w:rPr>
      </w:pPr>
    </w:p>
    <w:p w14:paraId="04F9C9A9" w14:textId="77777777" w:rsidR="00A26C04" w:rsidRPr="00360FDF" w:rsidRDefault="00A26C04" w:rsidP="00A26C04">
      <w:pPr>
        <w:tabs>
          <w:tab w:val="left" w:pos="426"/>
        </w:tabs>
        <w:spacing w:after="0" w:line="360" w:lineRule="auto"/>
        <w:ind w:left="567" w:right="616"/>
        <w:contextualSpacing/>
        <w:jc w:val="both"/>
        <w:rPr>
          <w:rFonts w:ascii="Palatino Linotype" w:eastAsia="MS Mincho" w:hAnsi="Palatino Linotype" w:cs="Arial"/>
          <w:color w:val="000000"/>
          <w:szCs w:val="24"/>
          <w:lang w:eastAsia="es-ES"/>
        </w:rPr>
      </w:pPr>
      <w:r w:rsidRPr="00360FDF">
        <w:rPr>
          <w:rFonts w:ascii="Palatino Linotype" w:eastAsia="MS Mincho" w:hAnsi="Palatino Linotype" w:cs="Times New Roman"/>
          <w:szCs w:val="24"/>
          <w:lang w:val="es-ES_tradnl" w:eastAsia="es-ES"/>
        </w:rPr>
        <w:t>(Énfasis añadido)</w:t>
      </w:r>
    </w:p>
    <w:p w14:paraId="7DBA1515" w14:textId="77777777" w:rsidR="00A26C04" w:rsidRPr="00360FDF" w:rsidRDefault="00A26C04" w:rsidP="00A26C04">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14:paraId="66C7CBC6" w14:textId="77777777" w:rsidR="00A26C04" w:rsidRPr="00360FDF" w:rsidRDefault="00EA1769" w:rsidP="00814C38">
      <w:pPr>
        <w:numPr>
          <w:ilvl w:val="0"/>
          <w:numId w:val="1"/>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360FDF">
        <w:rPr>
          <w:rFonts w:ascii="Palatino Linotype" w:eastAsia="MS Mincho" w:hAnsi="Palatino Linotype" w:cs="Arial"/>
          <w:color w:val="000000"/>
          <w:sz w:val="24"/>
          <w:szCs w:val="24"/>
          <w:lang w:eastAsia="es-ES"/>
        </w:rPr>
        <w:t>Así, d</w:t>
      </w:r>
      <w:r w:rsidR="00A26C04" w:rsidRPr="00360FDF">
        <w:rPr>
          <w:rFonts w:ascii="Palatino Linotype" w:eastAsia="MS Mincho" w:hAnsi="Palatino Linotype" w:cs="Arial"/>
          <w:color w:val="000000"/>
          <w:sz w:val="24"/>
          <w:szCs w:val="24"/>
          <w:lang w:eastAsia="es-ES"/>
        </w:rPr>
        <w:t>el precepto jurídico se desprende que los Sujetos Obligados tienen el deber de turnar la solicitud de información a todas las áreas o unidades administrativas donde pudiera obrar la información, a fin de realizar la búsqueda exhaustiva y razonable de la misma, lo cual</w:t>
      </w:r>
      <w:r w:rsidRPr="00360FDF">
        <w:rPr>
          <w:rFonts w:ascii="Palatino Linotype" w:eastAsia="MS Mincho" w:hAnsi="Palatino Linotype" w:cs="Arial"/>
          <w:color w:val="000000"/>
          <w:sz w:val="24"/>
          <w:szCs w:val="24"/>
          <w:lang w:eastAsia="es-ES"/>
        </w:rPr>
        <w:t xml:space="preserve"> implica el desarrollo de diversos métodos de búsqueda archivística, como de manera enunciativa más no limitativa pudiera ser la utilización del cuadro de clasificación archivística , lo cual </w:t>
      </w:r>
      <w:r w:rsidR="00A26C04" w:rsidRPr="00360FDF">
        <w:rPr>
          <w:rFonts w:ascii="Palatino Linotype" w:eastAsia="MS Mincho" w:hAnsi="Palatino Linotype" w:cs="Arial"/>
          <w:color w:val="000000"/>
          <w:sz w:val="24"/>
          <w:szCs w:val="24"/>
          <w:lang w:eastAsia="es-ES"/>
        </w:rPr>
        <w:t>como ya quedó establecido no ocurrió,</w:t>
      </w:r>
      <w:r w:rsidRPr="00360FDF">
        <w:rPr>
          <w:rFonts w:ascii="Palatino Linotype" w:eastAsia="MS Mincho" w:hAnsi="Palatino Linotype" w:cs="Arial"/>
          <w:color w:val="000000"/>
          <w:sz w:val="24"/>
          <w:szCs w:val="24"/>
          <w:lang w:eastAsia="es-ES"/>
        </w:rPr>
        <w:t xml:space="preserve"> y por lo tanto se deja en estado de incertidumbre jurídica al particular de que en efecto se desarrolló una exhaustiva búsqueda de la información solicitada.</w:t>
      </w:r>
    </w:p>
    <w:p w14:paraId="19E16298" w14:textId="77777777" w:rsidR="00896491" w:rsidRPr="00360FDF" w:rsidRDefault="00896491" w:rsidP="00896491">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14:paraId="769017C3" w14:textId="77777777" w:rsidR="00814C38" w:rsidRPr="00360FDF" w:rsidRDefault="00896491" w:rsidP="00814C38">
      <w:pPr>
        <w:numPr>
          <w:ilvl w:val="0"/>
          <w:numId w:val="1"/>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360FDF">
        <w:rPr>
          <w:rFonts w:ascii="Palatino Linotype" w:eastAsia="MS Mincho" w:hAnsi="Palatino Linotype" w:cs="Arial"/>
          <w:color w:val="000000"/>
          <w:sz w:val="24"/>
          <w:szCs w:val="24"/>
          <w:lang w:eastAsia="es-ES"/>
        </w:rPr>
        <w:t>Ello sin dejar de lado que como ya se expuso en atención al principio de máxima publicidad se debió realizar requerimiento a los servidores públicos habilitados de la Dirección de Administración y la Subdirección de Recursos H</w:t>
      </w:r>
      <w:r w:rsidR="00814C38" w:rsidRPr="00360FDF">
        <w:rPr>
          <w:rFonts w:ascii="Palatino Linotype" w:eastAsia="MS Mincho" w:hAnsi="Palatino Linotype" w:cs="Arial"/>
          <w:color w:val="000000"/>
          <w:sz w:val="24"/>
          <w:szCs w:val="24"/>
          <w:lang w:eastAsia="es-ES"/>
        </w:rPr>
        <w:t xml:space="preserve">umanos, a efecto de que se pronunciaran sobre la </w:t>
      </w:r>
      <w:proofErr w:type="gramStart"/>
      <w:r w:rsidR="00814C38" w:rsidRPr="00360FDF">
        <w:rPr>
          <w:rFonts w:ascii="Palatino Linotype" w:eastAsia="MS Mincho" w:hAnsi="Palatino Linotype" w:cs="Arial"/>
          <w:color w:val="000000"/>
          <w:sz w:val="24"/>
          <w:szCs w:val="24"/>
          <w:lang w:eastAsia="es-ES"/>
        </w:rPr>
        <w:t xml:space="preserve">posible  </w:t>
      </w:r>
      <w:r w:rsidR="00814C38" w:rsidRPr="00360FDF">
        <w:rPr>
          <w:rFonts w:ascii="Palatino Linotype" w:eastAsia="Times New Roman" w:hAnsi="Palatino Linotype" w:cs="Arial"/>
          <w:sz w:val="24"/>
          <w:szCs w:val="24"/>
          <w:lang w:val="es-ES_tradnl"/>
        </w:rPr>
        <w:t>terminación</w:t>
      </w:r>
      <w:proofErr w:type="gramEnd"/>
      <w:r w:rsidR="00814C38" w:rsidRPr="00360FDF">
        <w:rPr>
          <w:rFonts w:ascii="Palatino Linotype" w:eastAsia="Times New Roman" w:hAnsi="Palatino Linotype" w:cs="Arial"/>
          <w:sz w:val="24"/>
          <w:szCs w:val="24"/>
          <w:lang w:val="es-ES_tradnl"/>
        </w:rPr>
        <w:t xml:space="preserve"> de la relación laboral </w:t>
      </w:r>
      <w:r w:rsidR="00814C38" w:rsidRPr="00360FDF">
        <w:rPr>
          <w:rFonts w:ascii="Palatino Linotype" w:eastAsia="Times New Roman" w:hAnsi="Palatino Linotype" w:cs="Arial"/>
          <w:sz w:val="24"/>
          <w:szCs w:val="24"/>
        </w:rPr>
        <w:t>de los servidores públicos referidos en la solicitud de información</w:t>
      </w:r>
      <w:r w:rsidR="00814C38" w:rsidRPr="00360FDF">
        <w:rPr>
          <w:rFonts w:ascii="Palatino Linotype" w:eastAsia="Times New Roman" w:hAnsi="Palatino Linotype" w:cs="Arial"/>
          <w:b/>
          <w:sz w:val="24"/>
          <w:szCs w:val="24"/>
        </w:rPr>
        <w:t>.</w:t>
      </w:r>
    </w:p>
    <w:p w14:paraId="10EC9D09" w14:textId="77777777" w:rsidR="00814C38" w:rsidRPr="00360FDF" w:rsidRDefault="00814C38" w:rsidP="00814C38">
      <w:pPr>
        <w:pStyle w:val="Prrafodelista"/>
        <w:rPr>
          <w:rFonts w:ascii="Palatino Linotype" w:eastAsia="Times New Roman" w:hAnsi="Palatino Linotype" w:cs="Arial"/>
          <w:sz w:val="24"/>
          <w:szCs w:val="24"/>
        </w:rPr>
      </w:pPr>
    </w:p>
    <w:p w14:paraId="60512C39" w14:textId="77777777" w:rsidR="00896491" w:rsidRPr="00360FDF" w:rsidRDefault="00A26C04" w:rsidP="00814C38">
      <w:pPr>
        <w:numPr>
          <w:ilvl w:val="0"/>
          <w:numId w:val="1"/>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360FDF">
        <w:rPr>
          <w:rFonts w:ascii="Palatino Linotype" w:eastAsia="Times New Roman" w:hAnsi="Palatino Linotype" w:cs="Arial"/>
          <w:sz w:val="24"/>
          <w:szCs w:val="24"/>
        </w:rPr>
        <w:t>De lo anterior</w:t>
      </w:r>
      <w:r w:rsidR="00417F2E" w:rsidRPr="00360FDF">
        <w:rPr>
          <w:rFonts w:ascii="Palatino Linotype" w:eastAsia="Times New Roman" w:hAnsi="Palatino Linotype" w:cs="Arial"/>
          <w:sz w:val="24"/>
          <w:szCs w:val="24"/>
        </w:rPr>
        <w:t xml:space="preserve">, se puede establecer que el </w:t>
      </w:r>
      <w:r w:rsidR="00417F2E" w:rsidRPr="00360FDF">
        <w:rPr>
          <w:rFonts w:ascii="Palatino Linotype" w:eastAsia="Times New Roman" w:hAnsi="Palatino Linotype" w:cs="Arial"/>
          <w:b/>
          <w:sz w:val="24"/>
          <w:szCs w:val="24"/>
        </w:rPr>
        <w:t xml:space="preserve">SUEJETO </w:t>
      </w:r>
      <w:proofErr w:type="gramStart"/>
      <w:r w:rsidR="00417F2E" w:rsidRPr="00360FDF">
        <w:rPr>
          <w:rFonts w:ascii="Palatino Linotype" w:eastAsia="Times New Roman" w:hAnsi="Palatino Linotype" w:cs="Arial"/>
          <w:b/>
          <w:sz w:val="24"/>
          <w:szCs w:val="24"/>
        </w:rPr>
        <w:t>OBLIGADO</w:t>
      </w:r>
      <w:r w:rsidR="00417F2E" w:rsidRPr="00360FDF">
        <w:rPr>
          <w:rFonts w:ascii="Palatino Linotype" w:eastAsia="Times New Roman" w:hAnsi="Palatino Linotype" w:cs="Arial"/>
          <w:sz w:val="24"/>
          <w:szCs w:val="24"/>
        </w:rPr>
        <w:t xml:space="preserve">  no</w:t>
      </w:r>
      <w:proofErr w:type="gramEnd"/>
      <w:r w:rsidR="00417F2E" w:rsidRPr="00360FDF">
        <w:rPr>
          <w:rFonts w:ascii="Palatino Linotype" w:eastAsia="Times New Roman" w:hAnsi="Palatino Linotype" w:cs="Arial"/>
          <w:sz w:val="24"/>
          <w:szCs w:val="24"/>
        </w:rPr>
        <w:t xml:space="preserve"> acreditó la realización de una búsqueda adecuada de la información </w:t>
      </w:r>
      <w:r w:rsidR="003A6340" w:rsidRPr="00360FDF">
        <w:rPr>
          <w:rFonts w:ascii="Palatino Linotype" w:eastAsia="Times New Roman" w:hAnsi="Palatino Linotype" w:cs="Arial"/>
          <w:sz w:val="24"/>
          <w:szCs w:val="24"/>
        </w:rPr>
        <w:t>solicitada,</w:t>
      </w:r>
      <w:r w:rsidRPr="00360FDF">
        <w:rPr>
          <w:rFonts w:ascii="Palatino Linotype" w:eastAsia="Times New Roman" w:hAnsi="Palatino Linotype" w:cs="Arial"/>
          <w:sz w:val="24"/>
          <w:szCs w:val="24"/>
        </w:rPr>
        <w:t xml:space="preserve"> por lo que se </w:t>
      </w:r>
      <w:r w:rsidRPr="00360FDF">
        <w:rPr>
          <w:rFonts w:ascii="Palatino Linotype" w:eastAsia="Times New Roman" w:hAnsi="Palatino Linotype" w:cs="Arial"/>
          <w:b/>
          <w:sz w:val="24"/>
          <w:szCs w:val="24"/>
        </w:rPr>
        <w:t xml:space="preserve">ORDENA, </w:t>
      </w:r>
      <w:r w:rsidRPr="00360FDF">
        <w:rPr>
          <w:rFonts w:ascii="Palatino Linotype" w:eastAsia="Times New Roman" w:hAnsi="Palatino Linotype" w:cs="Arial"/>
          <w:sz w:val="24"/>
          <w:szCs w:val="24"/>
        </w:rPr>
        <w:t xml:space="preserve">una nueva búsqueda exhaustiva y razonable </w:t>
      </w:r>
      <w:r w:rsidR="00417F2E" w:rsidRPr="00360FDF">
        <w:rPr>
          <w:rFonts w:ascii="Palatino Linotype" w:eastAsia="Times New Roman" w:hAnsi="Palatino Linotype" w:cs="Arial"/>
          <w:sz w:val="24"/>
          <w:szCs w:val="24"/>
        </w:rPr>
        <w:t xml:space="preserve">de la información </w:t>
      </w:r>
      <w:r w:rsidR="00417F2E" w:rsidRPr="00360FDF">
        <w:rPr>
          <w:rFonts w:ascii="Palatino Linotype" w:eastAsia="Times New Roman" w:hAnsi="Palatino Linotype" w:cs="Arial"/>
          <w:sz w:val="24"/>
          <w:szCs w:val="24"/>
        </w:rPr>
        <w:lastRenderedPageBreak/>
        <w:t>indicando los procedimientos o netos técnicos de gestión archivística implantados para tal efecto.</w:t>
      </w:r>
    </w:p>
    <w:p w14:paraId="251A6B43" w14:textId="77777777" w:rsidR="00896491" w:rsidRPr="00360FDF" w:rsidRDefault="00896491" w:rsidP="00896491">
      <w:pPr>
        <w:pStyle w:val="Prrafodelista"/>
        <w:rPr>
          <w:rFonts w:ascii="Palatino Linotype" w:eastAsia="Times New Roman" w:hAnsi="Palatino Linotype" w:cs="Arial"/>
          <w:b/>
          <w:sz w:val="24"/>
          <w:szCs w:val="24"/>
        </w:rPr>
      </w:pPr>
    </w:p>
    <w:p w14:paraId="0191BA0B" w14:textId="77777777" w:rsidR="003A6340" w:rsidRPr="00360FDF" w:rsidRDefault="006B3343" w:rsidP="003A4DE4">
      <w:pPr>
        <w:pStyle w:val="Ttulo1"/>
        <w:numPr>
          <w:ilvl w:val="0"/>
          <w:numId w:val="3"/>
        </w:numPr>
        <w:ind w:left="0" w:firstLine="0"/>
        <w:rPr>
          <w:rFonts w:eastAsia="Times New Roman"/>
          <w:b/>
        </w:rPr>
      </w:pPr>
      <w:bookmarkStart w:id="41" w:name="_Toc72499074"/>
      <w:r w:rsidRPr="00360FDF">
        <w:rPr>
          <w:rFonts w:eastAsia="Times New Roman"/>
          <w:b/>
        </w:rPr>
        <w:t>Del Plus Petitio</w:t>
      </w:r>
      <w:bookmarkEnd w:id="41"/>
      <w:r w:rsidRPr="00360FDF">
        <w:rPr>
          <w:rFonts w:eastAsia="Times New Roman"/>
          <w:b/>
        </w:rPr>
        <w:t xml:space="preserve">  </w:t>
      </w:r>
    </w:p>
    <w:p w14:paraId="4E9ADD29" w14:textId="77777777" w:rsidR="006B3343" w:rsidRPr="00360FDF" w:rsidRDefault="006B3343" w:rsidP="006B3343">
      <w:pPr>
        <w:pStyle w:val="Prrafodelista"/>
        <w:tabs>
          <w:tab w:val="left" w:pos="851"/>
        </w:tabs>
        <w:spacing w:after="0" w:line="360" w:lineRule="auto"/>
        <w:ind w:left="0" w:right="616"/>
        <w:jc w:val="both"/>
        <w:rPr>
          <w:rFonts w:ascii="Palatino Linotype" w:eastAsia="Times New Roman" w:hAnsi="Palatino Linotype" w:cs="Arial"/>
          <w:b/>
          <w:sz w:val="24"/>
          <w:szCs w:val="24"/>
        </w:rPr>
      </w:pPr>
    </w:p>
    <w:p w14:paraId="26234B55" w14:textId="77777777" w:rsidR="00C7156D" w:rsidRPr="00360FDF" w:rsidRDefault="00C7156D" w:rsidP="00814C38">
      <w:pPr>
        <w:pStyle w:val="Prrafodelista"/>
        <w:numPr>
          <w:ilvl w:val="0"/>
          <w:numId w:val="1"/>
        </w:numPr>
        <w:tabs>
          <w:tab w:val="left" w:pos="851"/>
          <w:tab w:val="left" w:pos="8080"/>
        </w:tabs>
        <w:spacing w:after="0" w:line="360" w:lineRule="auto"/>
        <w:ind w:left="0" w:right="49" w:firstLine="0"/>
        <w:jc w:val="both"/>
        <w:rPr>
          <w:rFonts w:ascii="Palatino Linotype" w:eastAsia="Times New Roman" w:hAnsi="Palatino Linotype" w:cs="Arial"/>
          <w:b/>
          <w:sz w:val="24"/>
          <w:szCs w:val="24"/>
        </w:rPr>
      </w:pPr>
      <w:r w:rsidRPr="00360FDF">
        <w:rPr>
          <w:rFonts w:ascii="Palatino Linotype" w:eastAsia="Times New Roman" w:hAnsi="Palatino Linotype" w:cs="Arial"/>
          <w:sz w:val="24"/>
          <w:szCs w:val="24"/>
        </w:rPr>
        <w:t xml:space="preserve">Finalmente, no pasa desapercibido que el particular al momento de exponer sus motivos de inconformidad manifestó: </w:t>
      </w:r>
      <w:r w:rsidRPr="00360FDF">
        <w:rPr>
          <w:rFonts w:ascii="Palatino Linotype" w:eastAsia="Times New Roman" w:hAnsi="Palatino Linotype" w:cs="Arial"/>
          <w:i/>
          <w:sz w:val="24"/>
          <w:szCs w:val="24"/>
        </w:rPr>
        <w:t>“informarme cuál es la razón por la que se les eso si es que fue producto de un procedimiento de visa Tivo, si él renunció, o si se le revocó de manera discrecional su nombramiento por parte de la autoridad competente”</w:t>
      </w:r>
      <w:r w:rsidRPr="00360FDF">
        <w:rPr>
          <w:rFonts w:ascii="Palatino Linotype" w:eastAsia="Times New Roman" w:hAnsi="Palatino Linotype" w:cs="Arial"/>
          <w:sz w:val="24"/>
          <w:szCs w:val="24"/>
        </w:rPr>
        <w:t xml:space="preserve">. </w:t>
      </w:r>
      <w:proofErr w:type="gramStart"/>
      <w:r w:rsidRPr="00360FDF">
        <w:rPr>
          <w:rFonts w:ascii="Palatino Linotype" w:eastAsia="Times New Roman" w:hAnsi="Palatino Linotype" w:cs="Arial"/>
          <w:sz w:val="24"/>
          <w:szCs w:val="24"/>
        </w:rPr>
        <w:t>Manifestación  que</w:t>
      </w:r>
      <w:proofErr w:type="gramEnd"/>
      <w:r w:rsidRPr="00360FDF">
        <w:rPr>
          <w:rFonts w:ascii="Palatino Linotype" w:eastAsia="Times New Roman" w:hAnsi="Palatino Linotype" w:cs="Arial"/>
          <w:sz w:val="24"/>
          <w:szCs w:val="24"/>
        </w:rPr>
        <w:t xml:space="preserve"> se traduce como un requerimiento de información adicional</w:t>
      </w:r>
      <w:r w:rsidRPr="00360FDF">
        <w:rPr>
          <w:rFonts w:ascii="Palatino Linotype" w:hAnsi="Palatino Linotype"/>
          <w:sz w:val="24"/>
          <w:szCs w:val="24"/>
        </w:rPr>
        <w:t>, en ese sentido no es posible de atender dichos requeriditos, por no formar parte de su solicitud primigenia.</w:t>
      </w:r>
    </w:p>
    <w:p w14:paraId="330DCE3A" w14:textId="77777777" w:rsidR="00C7156D" w:rsidRPr="00360FDF" w:rsidRDefault="00C7156D" w:rsidP="00C7156D">
      <w:pPr>
        <w:pStyle w:val="Sinespaciado"/>
        <w:tabs>
          <w:tab w:val="left" w:pos="426"/>
        </w:tabs>
        <w:spacing w:line="360" w:lineRule="auto"/>
        <w:jc w:val="both"/>
        <w:rPr>
          <w:rFonts w:ascii="Palatino Linotype" w:hAnsi="Palatino Linotype"/>
        </w:rPr>
      </w:pPr>
    </w:p>
    <w:p w14:paraId="33AD5273" w14:textId="77777777" w:rsidR="00C7156D" w:rsidRPr="00360FDF" w:rsidRDefault="00C7156D" w:rsidP="00814C38">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sz w:val="24"/>
          <w:szCs w:val="24"/>
        </w:rPr>
      </w:pPr>
      <w:r w:rsidRPr="00360FDF">
        <w:rPr>
          <w:rFonts w:ascii="Palatino Linotype" w:hAnsi="Palatino Linotype" w:cs="Arial"/>
          <w:sz w:val="24"/>
          <w:szCs w:val="24"/>
        </w:rPr>
        <w:t xml:space="preserve">Robusteciendo lo anterior, tiene aplicación al respecto por analogía la siguiente tesis aislada, </w:t>
      </w:r>
      <w:r w:rsidRPr="00360FDF">
        <w:rPr>
          <w:rFonts w:ascii="Palatino Linotype" w:eastAsia="Times New Roman" w:hAnsi="Palatino Linotype" w:cs="Arial"/>
          <w:color w:val="000000" w:themeColor="text1"/>
          <w:sz w:val="24"/>
          <w:szCs w:val="24"/>
        </w:rPr>
        <w:t>que lleva por rubro y texto lo siguiente:</w:t>
      </w:r>
    </w:p>
    <w:p w14:paraId="1B40D547" w14:textId="77777777" w:rsidR="00C7156D" w:rsidRPr="00360FDF" w:rsidRDefault="00C7156D" w:rsidP="00C7156D">
      <w:pPr>
        <w:pStyle w:val="Prrafodelista"/>
        <w:tabs>
          <w:tab w:val="left" w:pos="426"/>
        </w:tabs>
        <w:spacing w:line="360" w:lineRule="auto"/>
        <w:ind w:left="0" w:right="49"/>
        <w:jc w:val="both"/>
        <w:rPr>
          <w:rFonts w:ascii="Palatino Linotype" w:eastAsia="MS Mincho" w:hAnsi="Palatino Linotype" w:cs="Arial"/>
          <w:sz w:val="24"/>
          <w:szCs w:val="24"/>
        </w:rPr>
      </w:pPr>
    </w:p>
    <w:p w14:paraId="2142D3EB" w14:textId="77777777" w:rsidR="00C7156D" w:rsidRPr="00360FDF" w:rsidRDefault="00C7156D" w:rsidP="00C7156D">
      <w:pPr>
        <w:shd w:val="clear" w:color="auto" w:fill="FFFFFF"/>
        <w:ind w:left="567" w:right="616"/>
        <w:jc w:val="both"/>
        <w:rPr>
          <w:rFonts w:ascii="Palatino Linotype" w:eastAsia="Times New Roman" w:hAnsi="Palatino Linotype" w:cs="Arial"/>
          <w:color w:val="000000" w:themeColor="text1"/>
          <w:sz w:val="24"/>
          <w:szCs w:val="24"/>
        </w:rPr>
      </w:pPr>
      <w:r w:rsidRPr="00360FDF">
        <w:rPr>
          <w:rFonts w:ascii="Palatino Linotype" w:eastAsia="Times New Roman" w:hAnsi="Palatino Linotype" w:cs="Arial"/>
          <w:b/>
          <w:bCs/>
          <w:i/>
          <w:iCs/>
          <w:color w:val="000000" w:themeColor="text1"/>
          <w:sz w:val="24"/>
          <w:szCs w:val="24"/>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1BC8B105" w14:textId="77777777" w:rsidR="00C7156D" w:rsidRPr="00360FDF" w:rsidRDefault="00C7156D" w:rsidP="00C7156D">
      <w:pPr>
        <w:shd w:val="clear" w:color="auto" w:fill="FFFFFF"/>
        <w:ind w:left="567" w:right="616"/>
        <w:jc w:val="both"/>
        <w:rPr>
          <w:rFonts w:ascii="Palatino Linotype" w:eastAsia="Times New Roman" w:hAnsi="Palatino Linotype" w:cs="Arial"/>
          <w:i/>
          <w:iCs/>
          <w:color w:val="000000" w:themeColor="text1"/>
          <w:sz w:val="24"/>
          <w:szCs w:val="24"/>
        </w:rPr>
      </w:pPr>
      <w:r w:rsidRPr="00360FDF">
        <w:rPr>
          <w:rFonts w:ascii="Palatino Linotype" w:eastAsia="Times New Roman" w:hAnsi="Palatino Linotype" w:cs="Arial"/>
          <w:i/>
          <w:iCs/>
          <w:color w:val="000000" w:themeColor="text1"/>
          <w:sz w:val="24"/>
          <w:szCs w:val="24"/>
        </w:rPr>
        <w:lastRenderedPageBreak/>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7D3BCDB3" w14:textId="77777777" w:rsidR="00C7156D" w:rsidRPr="00360FDF" w:rsidRDefault="00C7156D" w:rsidP="00C7156D">
      <w:pPr>
        <w:shd w:val="clear" w:color="auto" w:fill="FFFFFF"/>
        <w:ind w:left="567" w:right="616"/>
        <w:jc w:val="both"/>
        <w:rPr>
          <w:rFonts w:ascii="Palatino Linotype" w:eastAsia="Times New Roman" w:hAnsi="Palatino Linotype" w:cs="Arial"/>
          <w:i/>
          <w:iCs/>
          <w:color w:val="000000" w:themeColor="text1"/>
          <w:sz w:val="24"/>
          <w:szCs w:val="24"/>
        </w:rPr>
      </w:pPr>
    </w:p>
    <w:p w14:paraId="7A4F57C4" w14:textId="77777777" w:rsidR="00C7156D" w:rsidRPr="00360FDF" w:rsidRDefault="00C7156D" w:rsidP="00C7156D">
      <w:pPr>
        <w:shd w:val="clear" w:color="auto" w:fill="FFFFFF"/>
        <w:ind w:left="567" w:right="616"/>
        <w:jc w:val="both"/>
        <w:rPr>
          <w:rFonts w:ascii="Palatino Linotype" w:eastAsia="Times New Roman" w:hAnsi="Palatino Linotype" w:cs="Arial"/>
          <w:iCs/>
          <w:color w:val="000000" w:themeColor="text1"/>
          <w:sz w:val="24"/>
          <w:szCs w:val="24"/>
        </w:rPr>
      </w:pPr>
      <w:r w:rsidRPr="00360FDF">
        <w:rPr>
          <w:rFonts w:ascii="Palatino Linotype" w:eastAsia="Times New Roman" w:hAnsi="Palatino Linotype" w:cs="Arial"/>
          <w:iCs/>
          <w:color w:val="000000" w:themeColor="text1"/>
          <w:sz w:val="24"/>
          <w:szCs w:val="24"/>
        </w:rPr>
        <w:t>(Énfasis añadido)</w:t>
      </w:r>
    </w:p>
    <w:p w14:paraId="50E6F143" w14:textId="77777777" w:rsidR="00C7156D" w:rsidRPr="00360FDF" w:rsidRDefault="00C7156D" w:rsidP="00C7156D">
      <w:pPr>
        <w:pStyle w:val="Prrafodelista"/>
        <w:tabs>
          <w:tab w:val="left" w:pos="426"/>
        </w:tabs>
        <w:spacing w:line="360" w:lineRule="auto"/>
        <w:ind w:left="0" w:right="49"/>
        <w:jc w:val="both"/>
        <w:rPr>
          <w:rFonts w:ascii="Palatino Linotype" w:eastAsia="MS Mincho" w:hAnsi="Palatino Linotype" w:cs="Arial"/>
          <w:sz w:val="24"/>
          <w:szCs w:val="24"/>
        </w:rPr>
      </w:pPr>
    </w:p>
    <w:p w14:paraId="46C2894E" w14:textId="77777777" w:rsidR="00C7156D" w:rsidRPr="00360FDF" w:rsidRDefault="00C7156D" w:rsidP="00814C38">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sz w:val="24"/>
          <w:szCs w:val="24"/>
        </w:rPr>
      </w:pPr>
      <w:r w:rsidRPr="00360FDF">
        <w:rPr>
          <w:rFonts w:ascii="Palatino Linotype" w:hAnsi="Palatino Linotype" w:cs="Arial"/>
          <w:sz w:val="24"/>
          <w:szCs w:val="24"/>
        </w:rPr>
        <w:t xml:space="preserve">Asimismo, ha sido criterio del Instituto Nacional de Transparencia, Acceso a la Información y Protección de Datos Personales bajo el número 27/10 que resulta improcedente ampliar las solicitudes de información pública o de datos personales a través de la interposición del recurso de revisión, como se estima acontece en el presente asunto, al aumentar datos a la solicitud inicial, por lo que se insiste no se </w:t>
      </w:r>
      <w:r w:rsidRPr="00360FDF">
        <w:rPr>
          <w:rFonts w:ascii="Palatino Linotype" w:hAnsi="Palatino Linotype" w:cs="Arial"/>
          <w:sz w:val="24"/>
          <w:szCs w:val="24"/>
        </w:rPr>
        <w:lastRenderedPageBreak/>
        <w:t>puede entrar al estudio de la información novedosa, criterio que es de la literalidad siguiente:</w:t>
      </w:r>
    </w:p>
    <w:p w14:paraId="301A59BE" w14:textId="77777777" w:rsidR="00C7156D" w:rsidRPr="00360FDF" w:rsidRDefault="00C7156D" w:rsidP="00C7156D">
      <w:pPr>
        <w:pStyle w:val="Prrafodelista"/>
        <w:tabs>
          <w:tab w:val="left" w:pos="426"/>
        </w:tabs>
        <w:spacing w:line="360" w:lineRule="auto"/>
        <w:ind w:left="0" w:right="49"/>
        <w:jc w:val="both"/>
        <w:rPr>
          <w:rFonts w:ascii="Palatino Linotype" w:eastAsia="MS Mincho" w:hAnsi="Palatino Linotype" w:cs="Arial"/>
          <w:sz w:val="24"/>
          <w:szCs w:val="24"/>
        </w:rPr>
      </w:pPr>
    </w:p>
    <w:p w14:paraId="7DF190C8" w14:textId="77777777" w:rsidR="00C7156D" w:rsidRPr="00360FDF" w:rsidRDefault="00C7156D" w:rsidP="00C7156D">
      <w:pPr>
        <w:pStyle w:val="Prrafodelista"/>
        <w:shd w:val="clear" w:color="auto" w:fill="FFFFFF"/>
        <w:spacing w:before="240" w:after="240"/>
        <w:ind w:left="567" w:right="616"/>
        <w:jc w:val="both"/>
        <w:rPr>
          <w:rFonts w:ascii="Palatino Linotype" w:eastAsia="Times New Roman" w:hAnsi="Palatino Linotype" w:cs="Arial"/>
          <w:color w:val="000000" w:themeColor="text1"/>
          <w:sz w:val="24"/>
          <w:szCs w:val="24"/>
        </w:rPr>
      </w:pPr>
      <w:r w:rsidRPr="00360FDF">
        <w:rPr>
          <w:rFonts w:ascii="Palatino Linotype" w:eastAsia="Times New Roman" w:hAnsi="Palatino Linotype" w:cs="Arial"/>
          <w:b/>
          <w:bCs/>
          <w:i/>
          <w:iCs/>
          <w:color w:val="000000" w:themeColor="text1"/>
          <w:sz w:val="24"/>
          <w:szCs w:val="24"/>
        </w:rPr>
        <w:t>“Es improcedente ampliar las solicitudes de acceso a información pública o datos personales, a través de la interposición del recurso de revisión.</w:t>
      </w:r>
      <w:r w:rsidRPr="00360FDF">
        <w:rPr>
          <w:rFonts w:ascii="Palatino Linotype" w:eastAsia="Times New Roman" w:hAnsi="Palatino Linotype" w:cs="Arial"/>
          <w:i/>
          <w:iCs/>
          <w:color w:val="000000" w:themeColor="text1"/>
          <w:sz w:val="24"/>
          <w:szCs w:val="24"/>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374C42CA" w14:textId="77777777" w:rsidR="00C7156D" w:rsidRPr="00360FDF" w:rsidRDefault="00C7156D" w:rsidP="00C7156D">
      <w:pPr>
        <w:pStyle w:val="Prrafodelista"/>
        <w:shd w:val="clear" w:color="auto" w:fill="FFFFFF"/>
        <w:spacing w:before="240" w:after="240"/>
        <w:ind w:left="567" w:right="616"/>
        <w:jc w:val="both"/>
        <w:rPr>
          <w:rFonts w:ascii="Palatino Linotype" w:eastAsia="Times New Roman" w:hAnsi="Palatino Linotype" w:cs="Arial"/>
          <w:i/>
          <w:iCs/>
          <w:color w:val="000000" w:themeColor="text1"/>
          <w:sz w:val="24"/>
          <w:szCs w:val="24"/>
        </w:rPr>
      </w:pPr>
      <w:r w:rsidRPr="00360FDF">
        <w:rPr>
          <w:rFonts w:ascii="Palatino Linotype" w:eastAsia="Times New Roman" w:hAnsi="Palatino Linotype" w:cs="Arial"/>
          <w:i/>
          <w:iCs/>
          <w:color w:val="000000" w:themeColor="text1"/>
          <w:sz w:val="24"/>
          <w:szCs w:val="24"/>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p>
    <w:p w14:paraId="03AB1C39" w14:textId="77777777" w:rsidR="00C7156D" w:rsidRPr="00360FDF" w:rsidRDefault="00C7156D" w:rsidP="00C7156D">
      <w:pPr>
        <w:pStyle w:val="Prrafodelista"/>
        <w:shd w:val="clear" w:color="auto" w:fill="FFFFFF"/>
        <w:spacing w:before="240" w:after="240"/>
        <w:ind w:left="567" w:right="616"/>
        <w:jc w:val="both"/>
        <w:rPr>
          <w:rFonts w:ascii="Palatino Linotype" w:eastAsia="Times New Roman" w:hAnsi="Palatino Linotype" w:cs="Arial"/>
          <w:i/>
          <w:iCs/>
          <w:color w:val="000000" w:themeColor="text1"/>
          <w:sz w:val="24"/>
          <w:szCs w:val="24"/>
        </w:rPr>
      </w:pPr>
    </w:p>
    <w:p w14:paraId="56666C34" w14:textId="77777777" w:rsidR="006B3343" w:rsidRPr="00360FDF" w:rsidRDefault="00C7156D" w:rsidP="00C7156D">
      <w:pPr>
        <w:pStyle w:val="Prrafodelista"/>
        <w:shd w:val="clear" w:color="auto" w:fill="FFFFFF"/>
        <w:spacing w:before="240" w:after="240" w:line="276" w:lineRule="auto"/>
        <w:ind w:left="567" w:right="616"/>
        <w:jc w:val="both"/>
        <w:rPr>
          <w:rFonts w:ascii="Palatino Linotype" w:eastAsia="Times New Roman" w:hAnsi="Palatino Linotype" w:cs="Arial"/>
          <w:iCs/>
          <w:color w:val="000000" w:themeColor="text1"/>
          <w:sz w:val="24"/>
          <w:szCs w:val="24"/>
        </w:rPr>
      </w:pPr>
      <w:r w:rsidRPr="00360FDF">
        <w:rPr>
          <w:rFonts w:ascii="Palatino Linotype" w:eastAsia="Times New Roman" w:hAnsi="Palatino Linotype" w:cs="Arial"/>
          <w:iCs/>
          <w:color w:val="000000" w:themeColor="text1"/>
          <w:sz w:val="24"/>
          <w:szCs w:val="24"/>
        </w:rPr>
        <w:t>(Énfasis añadido)</w:t>
      </w:r>
    </w:p>
    <w:p w14:paraId="3251FB41" w14:textId="77777777" w:rsidR="00C7156D" w:rsidRPr="00360FDF" w:rsidRDefault="00C7156D" w:rsidP="00C7156D">
      <w:pPr>
        <w:pStyle w:val="Prrafodelista"/>
        <w:shd w:val="clear" w:color="auto" w:fill="FFFFFF"/>
        <w:spacing w:before="240" w:after="240" w:line="276" w:lineRule="auto"/>
        <w:ind w:left="567" w:right="616"/>
        <w:jc w:val="both"/>
        <w:rPr>
          <w:rFonts w:ascii="Palatino Linotype" w:eastAsia="Times New Roman" w:hAnsi="Palatino Linotype" w:cs="Arial"/>
          <w:iCs/>
          <w:color w:val="000000" w:themeColor="text1"/>
          <w:sz w:val="24"/>
          <w:szCs w:val="24"/>
        </w:rPr>
      </w:pPr>
    </w:p>
    <w:p w14:paraId="0E20C9D4" w14:textId="77777777" w:rsidR="00A26C04" w:rsidRPr="00360FDF" w:rsidRDefault="00417F2E" w:rsidP="00A26C04">
      <w:pPr>
        <w:keepNext/>
        <w:keepLines/>
        <w:spacing w:before="240" w:after="0"/>
        <w:outlineLvl w:val="0"/>
        <w:rPr>
          <w:rFonts w:ascii="Palatino Linotype" w:eastAsia="MS Mincho" w:hAnsi="Palatino Linotype" w:cstheme="majorBidi"/>
          <w:b/>
          <w:sz w:val="24"/>
          <w:szCs w:val="32"/>
          <w:lang w:val="es-ES_tradnl" w:eastAsia="es-ES"/>
        </w:rPr>
      </w:pPr>
      <w:bookmarkStart w:id="42" w:name="_Toc70072772"/>
      <w:bookmarkStart w:id="43" w:name="_Toc72499075"/>
      <w:r w:rsidRPr="00360FDF">
        <w:rPr>
          <w:rFonts w:ascii="Palatino Linotype" w:eastAsia="MS Mincho" w:hAnsi="Palatino Linotype" w:cstheme="majorBidi"/>
          <w:b/>
          <w:sz w:val="24"/>
          <w:szCs w:val="32"/>
          <w:lang w:val="es-ES_tradnl" w:eastAsia="es-ES"/>
        </w:rPr>
        <w:t>V</w:t>
      </w:r>
      <w:r w:rsidR="00A26C04" w:rsidRPr="00360FDF">
        <w:rPr>
          <w:rFonts w:ascii="Palatino Linotype" w:eastAsia="MS Mincho" w:hAnsi="Palatino Linotype" w:cstheme="majorBidi"/>
          <w:b/>
          <w:sz w:val="24"/>
          <w:szCs w:val="32"/>
          <w:lang w:val="es-ES_tradnl" w:eastAsia="es-ES"/>
        </w:rPr>
        <w:t xml:space="preserve">. </w:t>
      </w:r>
      <w:bookmarkStart w:id="44" w:name="_Toc48828007"/>
      <w:r w:rsidR="00A26C04" w:rsidRPr="00360FDF">
        <w:rPr>
          <w:rFonts w:ascii="Palatino Linotype" w:eastAsia="MS Mincho" w:hAnsi="Palatino Linotype" w:cstheme="majorBidi"/>
          <w:b/>
          <w:sz w:val="24"/>
          <w:szCs w:val="32"/>
          <w:lang w:val="es-ES_tradnl" w:eastAsia="es-ES"/>
        </w:rPr>
        <w:t>De la Clasificación de la Información.</w:t>
      </w:r>
      <w:bookmarkEnd w:id="42"/>
      <w:bookmarkEnd w:id="43"/>
      <w:bookmarkEnd w:id="44"/>
    </w:p>
    <w:p w14:paraId="1AEB7BFF" w14:textId="77777777" w:rsidR="00A26C04" w:rsidRPr="00360FDF" w:rsidRDefault="00A26C04" w:rsidP="00A26C04">
      <w:pPr>
        <w:rPr>
          <w:lang w:val="es-ES_tradnl" w:eastAsia="es-ES"/>
        </w:rPr>
      </w:pPr>
    </w:p>
    <w:p w14:paraId="57009F08" w14:textId="77777777" w:rsidR="00A26C04" w:rsidRPr="00360FDF" w:rsidRDefault="00A26C04" w:rsidP="00A26C04">
      <w:pPr>
        <w:keepNext/>
        <w:keepLines/>
        <w:spacing w:before="240" w:after="0"/>
        <w:jc w:val="both"/>
        <w:outlineLvl w:val="0"/>
        <w:rPr>
          <w:rFonts w:ascii="Palatino Linotype" w:eastAsia="Calibri" w:hAnsi="Palatino Linotype" w:cstheme="majorBidi"/>
          <w:b/>
          <w:sz w:val="24"/>
          <w:szCs w:val="32"/>
          <w:lang w:val="es-ES_tradnl" w:eastAsia="es-ES"/>
        </w:rPr>
      </w:pPr>
      <w:bookmarkStart w:id="45" w:name="_Toc48828008"/>
      <w:bookmarkStart w:id="46" w:name="_Toc70072773"/>
      <w:bookmarkStart w:id="47" w:name="_Toc72499076"/>
      <w:r w:rsidRPr="00360FDF">
        <w:rPr>
          <w:rFonts w:ascii="Palatino Linotype" w:eastAsia="Calibri" w:hAnsi="Palatino Linotype" w:cstheme="majorBidi"/>
          <w:b/>
          <w:sz w:val="24"/>
          <w:szCs w:val="32"/>
          <w:lang w:val="es-ES_tradnl" w:eastAsia="es-ES"/>
        </w:rPr>
        <w:t>V.I. Condiciones especiales de la clasificación de la información como confidencial.</w:t>
      </w:r>
      <w:bookmarkEnd w:id="45"/>
      <w:bookmarkEnd w:id="46"/>
      <w:bookmarkEnd w:id="47"/>
    </w:p>
    <w:p w14:paraId="4DE1D4FD"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BB4DB01"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lastRenderedPageBreak/>
        <w:t>El artículo 143 de la Ley de Transparencia y Acceso a la Información Pública del Estado de México y Municipios, establece que se considerará información confidencial, la clasificada como tal, de manera permanente, por su naturaleza, cuando:</w:t>
      </w:r>
    </w:p>
    <w:p w14:paraId="1442A130" w14:textId="77777777" w:rsidR="00A26C04" w:rsidRPr="00360FDF" w:rsidRDefault="00A26C04" w:rsidP="00814C38">
      <w:pPr>
        <w:numPr>
          <w:ilvl w:val="1"/>
          <w:numId w:val="1"/>
        </w:numPr>
        <w:spacing w:before="100" w:beforeAutospacing="1" w:after="100" w:afterAutospacing="1" w:line="360" w:lineRule="auto"/>
        <w:ind w:left="851" w:right="616" w:hanging="284"/>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Se refiera a la información privada y los datos personales concernientes a una persona física o jurídico colectiva identificada o identificable; </w:t>
      </w:r>
    </w:p>
    <w:p w14:paraId="5B2E7099" w14:textId="77777777" w:rsidR="00A26C04" w:rsidRPr="00360FDF" w:rsidRDefault="00A26C04" w:rsidP="00814C38">
      <w:pPr>
        <w:numPr>
          <w:ilvl w:val="1"/>
          <w:numId w:val="1"/>
        </w:numPr>
        <w:spacing w:before="100" w:beforeAutospacing="1" w:after="100" w:afterAutospacing="1" w:line="360" w:lineRule="auto"/>
        <w:ind w:left="851" w:right="616" w:hanging="284"/>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Los secretos bancario, fiduciario, industrial, comercial, fiscal, bursátil y postal, cuya titularidad corresponda a particulares, sujetos de derecho internacional o a sujetos obligados cuando no involucren el ejercicio de recursos públicos; y</w:t>
      </w:r>
    </w:p>
    <w:p w14:paraId="1FA28656" w14:textId="77777777" w:rsidR="00A26C04" w:rsidRPr="00360FDF" w:rsidRDefault="00A26C04" w:rsidP="00814C38">
      <w:pPr>
        <w:numPr>
          <w:ilvl w:val="1"/>
          <w:numId w:val="1"/>
        </w:numPr>
        <w:spacing w:before="100" w:beforeAutospacing="1" w:after="100" w:afterAutospacing="1" w:line="360" w:lineRule="auto"/>
        <w:ind w:left="851" w:right="616" w:hanging="284"/>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La que presenten los particulares a los sujetos obligados, de conformidad con lo dispuesto por las leyes o los tratados internacionales.</w:t>
      </w:r>
    </w:p>
    <w:p w14:paraId="3908422C"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CDF5CEB"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Por su parte, los artículos 148 de la Ley de Transparencia y Acceso a la Información Pública del Estado de México y Municipios, y 120 de la Ley General de Transparencia y Acceso a la Información Pública, establecen que, </w:t>
      </w:r>
      <w:r w:rsidR="00C80FAD" w:rsidRPr="00360FDF">
        <w:rPr>
          <w:rFonts w:ascii="Palatino Linotype" w:eastAsia="Calibri" w:hAnsi="Palatino Linotype" w:cs="Arial"/>
          <w:sz w:val="24"/>
          <w:szCs w:val="24"/>
          <w:lang w:val="es-ES_tradnl" w:eastAsia="es-ES"/>
        </w:rPr>
        <w:t>aun</w:t>
      </w:r>
      <w:r w:rsidRPr="00360FDF">
        <w:rPr>
          <w:rFonts w:ascii="Palatino Linotype" w:eastAsia="Calibri" w:hAnsi="Palatino Linotype" w:cs="Arial"/>
          <w:sz w:val="24"/>
          <w:szCs w:val="24"/>
          <w:lang w:val="es-ES_tradnl" w:eastAsia="es-ES"/>
        </w:rPr>
        <w:t xml:space="preserve"> tratándose de datos personales, se podrán proporcionar, incluso sin solicitar el consentimiento de su titular, cuando dichos datos correspondan a los siguientes supuestos:</w:t>
      </w:r>
    </w:p>
    <w:p w14:paraId="6FFC490F"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C8BAC4D" w14:textId="77777777" w:rsidR="00A26C04" w:rsidRPr="00360FDF" w:rsidRDefault="00A26C04" w:rsidP="00A26C04">
      <w:pPr>
        <w:spacing w:before="100" w:beforeAutospacing="1" w:after="100" w:afterAutospacing="1" w:line="360" w:lineRule="auto"/>
        <w:ind w:left="567" w:right="567"/>
        <w:contextualSpacing/>
        <w:jc w:val="both"/>
        <w:rPr>
          <w:rFonts w:ascii="Palatino Linotype" w:eastAsia="MS Mincho" w:hAnsi="Palatino Linotype" w:cs="Times New Roman"/>
          <w:i/>
          <w:iCs/>
          <w:lang w:val="es-ES_tradnl" w:eastAsia="es-ES"/>
        </w:rPr>
      </w:pPr>
      <w:r w:rsidRPr="00360FDF">
        <w:rPr>
          <w:rFonts w:ascii="Palatino Linotype" w:eastAsia="MS Mincho" w:hAnsi="Palatino Linotype" w:cs="Times New Roman"/>
          <w:i/>
          <w:iCs/>
          <w:lang w:val="es-ES_tradnl" w:eastAsia="es-ES"/>
        </w:rPr>
        <w:lastRenderedPageBreak/>
        <w:t>“</w:t>
      </w:r>
      <w:r w:rsidRPr="00360FDF">
        <w:rPr>
          <w:rFonts w:ascii="Palatino Linotype" w:eastAsia="MS Mincho" w:hAnsi="Palatino Linotype" w:cs="Times New Roman"/>
          <w:b/>
          <w:bCs/>
          <w:i/>
          <w:iCs/>
          <w:lang w:val="es-ES_tradnl" w:eastAsia="es-ES"/>
        </w:rPr>
        <w:t>Artículo 148.</w:t>
      </w:r>
      <w:r w:rsidRPr="00360FDF">
        <w:rPr>
          <w:rFonts w:ascii="Palatino Linotype" w:eastAsia="MS Mincho" w:hAnsi="Palatino Linotype" w:cs="Times New Roman"/>
          <w:i/>
          <w:iCs/>
          <w:lang w:val="es-ES_tradnl" w:eastAsia="es-ES"/>
        </w:rPr>
        <w:t xml:space="preserve"> No se requerirá el consentimiento del titular de la información confidencial cuando</w:t>
      </w:r>
    </w:p>
    <w:p w14:paraId="555DD685" w14:textId="77777777" w:rsidR="00A26C04" w:rsidRPr="00360FDF" w:rsidRDefault="00A26C04" w:rsidP="00A26C04">
      <w:pPr>
        <w:spacing w:before="100" w:beforeAutospacing="1" w:after="100" w:afterAutospacing="1" w:line="360" w:lineRule="auto"/>
        <w:ind w:left="567" w:right="567"/>
        <w:contextualSpacing/>
        <w:jc w:val="both"/>
        <w:rPr>
          <w:rFonts w:ascii="Palatino Linotype" w:eastAsia="MS Mincho" w:hAnsi="Palatino Linotype" w:cs="Times New Roman"/>
          <w:i/>
          <w:iCs/>
          <w:lang w:val="es-ES_tradnl" w:eastAsia="es-ES"/>
        </w:rPr>
      </w:pPr>
      <w:r w:rsidRPr="00360FDF">
        <w:rPr>
          <w:rFonts w:ascii="Palatino Linotype" w:eastAsia="MS Mincho" w:hAnsi="Palatino Linotype" w:cs="Times New Roman"/>
          <w:i/>
          <w:iCs/>
          <w:lang w:val="es-ES_tradnl" w:eastAsia="es-ES"/>
        </w:rPr>
        <w:t>(…)</w:t>
      </w:r>
    </w:p>
    <w:p w14:paraId="0BFB9046" w14:textId="77777777" w:rsidR="00A26C04" w:rsidRPr="00360FDF" w:rsidRDefault="00A26C04" w:rsidP="00A26C04">
      <w:pPr>
        <w:spacing w:before="100" w:beforeAutospacing="1" w:after="100" w:afterAutospacing="1" w:line="360" w:lineRule="auto"/>
        <w:ind w:left="567" w:right="567"/>
        <w:contextualSpacing/>
        <w:jc w:val="both"/>
        <w:rPr>
          <w:rFonts w:ascii="Palatino Linotype" w:eastAsia="MS Mincho" w:hAnsi="Palatino Linotype" w:cs="Times New Roman"/>
          <w:i/>
          <w:iCs/>
          <w:lang w:val="es-ES_tradnl" w:eastAsia="es-ES"/>
        </w:rPr>
      </w:pPr>
      <w:r w:rsidRPr="00360FDF">
        <w:rPr>
          <w:rFonts w:ascii="Palatino Linotype" w:eastAsia="MS Mincho" w:hAnsi="Palatino Linotype" w:cs="Times New Roman"/>
          <w:b/>
          <w:bCs/>
          <w:i/>
          <w:iCs/>
          <w:lang w:val="es-ES_tradnl" w:eastAsia="es-ES"/>
        </w:rPr>
        <w:t>II.</w:t>
      </w:r>
      <w:r w:rsidRPr="00360FDF">
        <w:rPr>
          <w:rFonts w:ascii="Palatino Linotype" w:eastAsia="MS Mincho" w:hAnsi="Palatino Linotype" w:cs="Times New Roman"/>
          <w:i/>
          <w:iCs/>
          <w:lang w:val="es-ES_tradnl" w:eastAsia="es-ES"/>
        </w:rPr>
        <w:t xml:space="preserve"> Por Ley tenga el carácter de pública;</w:t>
      </w:r>
    </w:p>
    <w:p w14:paraId="4CDA8CBE" w14:textId="77777777" w:rsidR="00A26C04" w:rsidRPr="00360FDF" w:rsidRDefault="00A26C04" w:rsidP="00A26C04">
      <w:pPr>
        <w:spacing w:before="100" w:beforeAutospacing="1" w:after="100" w:afterAutospacing="1" w:line="360" w:lineRule="auto"/>
        <w:ind w:left="567" w:right="567"/>
        <w:contextualSpacing/>
        <w:jc w:val="both"/>
        <w:rPr>
          <w:rFonts w:ascii="Palatino Linotype" w:eastAsia="Calibri" w:hAnsi="Palatino Linotype" w:cs="Arial"/>
          <w:i/>
          <w:iCs/>
          <w:lang w:val="es-ES_tradnl" w:eastAsia="es-ES"/>
        </w:rPr>
      </w:pPr>
      <w:r w:rsidRPr="00360FDF">
        <w:rPr>
          <w:rFonts w:ascii="Palatino Linotype" w:eastAsia="MS Mincho" w:hAnsi="Palatino Linotype" w:cs="Times New Roman"/>
          <w:i/>
          <w:iCs/>
          <w:lang w:val="es-ES_tradnl" w:eastAsia="es-ES"/>
        </w:rPr>
        <w:t>(…)”</w:t>
      </w:r>
    </w:p>
    <w:p w14:paraId="77564184"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31C65C1"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Dicho lo anterior, y derivado de la naturaleza de la información solicitada podemos es necesario señalar lo dispuesto por el artículo 53</w:t>
      </w:r>
      <w:r w:rsidRPr="00360FDF">
        <w:rPr>
          <w:rFonts w:ascii="Palatino Linotype" w:eastAsia="Calibri" w:hAnsi="Palatino Linotype" w:cs="Arial"/>
          <w:sz w:val="24"/>
          <w:szCs w:val="24"/>
          <w:vertAlign w:val="superscript"/>
          <w:lang w:val="es-ES_tradnl" w:eastAsia="es-ES"/>
        </w:rPr>
        <w:footnoteReference w:id="1"/>
      </w:r>
      <w:r w:rsidRPr="00360FDF">
        <w:rPr>
          <w:rFonts w:ascii="Palatino Linotype" w:eastAsia="Calibri" w:hAnsi="Palatino Linotype" w:cs="Arial"/>
          <w:sz w:val="24"/>
          <w:szCs w:val="24"/>
          <w:lang w:val="es-ES_tradnl" w:eastAsia="es-ES"/>
        </w:rPr>
        <w:t xml:space="preserve"> de la Ley del Sistema Anticorrupción del Estado de México y Municipios, el cual separa las sanciones administrativas en dos grupos:</w:t>
      </w:r>
    </w:p>
    <w:p w14:paraId="3378803F"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0DCB047" w14:textId="77777777" w:rsidR="00A26C04" w:rsidRPr="00360FDF" w:rsidRDefault="00A26C04" w:rsidP="00814C38">
      <w:pPr>
        <w:numPr>
          <w:ilvl w:val="1"/>
          <w:numId w:val="1"/>
        </w:num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Las impuestas por faltas administrativas graves; y</w:t>
      </w:r>
    </w:p>
    <w:p w14:paraId="1D6360E6" w14:textId="77777777" w:rsidR="00A26C04" w:rsidRPr="00360FDF" w:rsidRDefault="00A26C04" w:rsidP="00A26C04">
      <w:pPr>
        <w:spacing w:before="100" w:beforeAutospacing="1" w:after="100" w:afterAutospacing="1" w:line="360" w:lineRule="auto"/>
        <w:ind w:left="1440"/>
        <w:contextualSpacing/>
        <w:jc w:val="both"/>
        <w:rPr>
          <w:rFonts w:ascii="Palatino Linotype" w:eastAsia="Calibri" w:hAnsi="Palatino Linotype" w:cs="Arial"/>
          <w:sz w:val="24"/>
          <w:szCs w:val="24"/>
          <w:lang w:val="es-ES_tradnl" w:eastAsia="es-ES"/>
        </w:rPr>
      </w:pPr>
    </w:p>
    <w:p w14:paraId="08890783" w14:textId="77777777" w:rsidR="00A26C04" w:rsidRPr="00360FDF" w:rsidRDefault="00A26C04" w:rsidP="00814C38">
      <w:pPr>
        <w:numPr>
          <w:ilvl w:val="1"/>
          <w:numId w:val="1"/>
        </w:num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Las impuestas por faltas administrativas no graves.</w:t>
      </w:r>
    </w:p>
    <w:p w14:paraId="0BF1E9A9"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A9DAD4B"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Siendo de especial interés en el presente punto las relacionadas con faltas administrativas no graves, las cuales, el mismo artículo 53 determina que los </w:t>
      </w:r>
      <w:r w:rsidRPr="00360FDF">
        <w:rPr>
          <w:rFonts w:ascii="Palatino Linotype" w:eastAsia="Calibri" w:hAnsi="Palatino Linotype" w:cs="Arial"/>
          <w:sz w:val="24"/>
          <w:szCs w:val="24"/>
          <w:lang w:val="es-ES_tradnl" w:eastAsia="es-ES"/>
        </w:rPr>
        <w:lastRenderedPageBreak/>
        <w:t xml:space="preserve">registros de este tipo de sanciones quedarán registrados para efectos de eventual reincidencia, </w:t>
      </w:r>
      <w:r w:rsidRPr="00360FDF">
        <w:rPr>
          <w:rFonts w:ascii="Palatino Linotype" w:eastAsia="Calibri" w:hAnsi="Palatino Linotype" w:cs="Arial"/>
          <w:b/>
          <w:bCs/>
          <w:sz w:val="24"/>
          <w:szCs w:val="24"/>
          <w:lang w:val="es-ES_tradnl" w:eastAsia="es-ES"/>
        </w:rPr>
        <w:t>pero no serán públicas</w:t>
      </w:r>
      <w:r w:rsidRPr="00360FDF">
        <w:rPr>
          <w:rFonts w:ascii="Palatino Linotype" w:eastAsia="Calibri" w:hAnsi="Palatino Linotype" w:cs="Arial"/>
          <w:sz w:val="24"/>
          <w:szCs w:val="24"/>
          <w:lang w:val="es-ES_tradnl" w:eastAsia="es-ES"/>
        </w:rPr>
        <w:t>.</w:t>
      </w:r>
    </w:p>
    <w:p w14:paraId="6E0DF939"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91EFDE3"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Así las cosas, si el artículo 148, fracción II, determina que podrán proporcionar datos personales cuando la Ley así lo disponga, </w:t>
      </w:r>
      <w:r w:rsidRPr="00360FDF">
        <w:rPr>
          <w:rFonts w:ascii="Palatino Linotype" w:eastAsia="Calibri" w:hAnsi="Palatino Linotype" w:cs="Arial"/>
          <w:i/>
          <w:iCs/>
          <w:sz w:val="24"/>
          <w:szCs w:val="24"/>
          <w:lang w:val="es-ES_tradnl" w:eastAsia="es-ES"/>
        </w:rPr>
        <w:t>a contrario sensu</w:t>
      </w:r>
      <w:r w:rsidRPr="00360FDF">
        <w:rPr>
          <w:rFonts w:ascii="Palatino Linotype" w:eastAsia="Calibri" w:hAnsi="Palatino Linotype" w:cs="Arial"/>
          <w:sz w:val="24"/>
          <w:szCs w:val="24"/>
          <w:lang w:val="es-ES_tradnl" w:eastAsia="es-ES"/>
        </w:rPr>
        <w:t>, cuando la Ley señale que un dato no es público, no se podrá proporcionar el mismo, ergo, deberá ser protegido.</w:t>
      </w:r>
    </w:p>
    <w:p w14:paraId="24FEC2CF"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C8454C4"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De los dispositivos legales previamente referidos podemos concluir que la Ley determina que no se podrán dar a conocer las sanciones no graves, es decir, no es posible dar a conocer el nombre del servidor público sancionado ni el registro de incidencias de este; sin embargo, ello no incluye el expediente formado con motivo del procedimiento de responsabilidades administrativas no graves sustanciado por el Órgano Interno de Control, en cuyo caso, podrá ser entregado al </w:t>
      </w:r>
      <w:r w:rsidRPr="00360FDF">
        <w:rPr>
          <w:rFonts w:ascii="Palatino Linotype" w:eastAsia="Calibri" w:hAnsi="Palatino Linotype" w:cs="Arial"/>
          <w:b/>
          <w:bCs/>
          <w:sz w:val="24"/>
          <w:szCs w:val="24"/>
          <w:lang w:val="es-ES_tradnl" w:eastAsia="es-ES"/>
        </w:rPr>
        <w:t>RECURRENTE</w:t>
      </w:r>
      <w:r w:rsidRPr="00360FDF">
        <w:rPr>
          <w:rFonts w:ascii="Palatino Linotype" w:eastAsia="Calibri" w:hAnsi="Palatino Linotype" w:cs="Arial"/>
          <w:sz w:val="24"/>
          <w:szCs w:val="24"/>
          <w:lang w:val="es-ES_tradnl" w:eastAsia="es-ES"/>
        </w:rPr>
        <w:t>, en versión pública, protegiendo el nombre del servidor público presunto responsable de la falta administrativa no grave.</w:t>
      </w:r>
    </w:p>
    <w:p w14:paraId="5BB4CDAD"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24343F5"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Lo anterior es así, ya que el entregar un expediente relacionado con la comisión de faltas administrativas no graves, testando el nombre del presunto responsable de la falta, impide individualizar al servidor público que se encuentra afrontando un procedimiento de responsabilidades administrativas por faltas no </w:t>
      </w:r>
      <w:r w:rsidRPr="00360FDF">
        <w:rPr>
          <w:rFonts w:ascii="Palatino Linotype" w:eastAsia="Calibri" w:hAnsi="Palatino Linotype" w:cs="Arial"/>
          <w:sz w:val="24"/>
          <w:szCs w:val="24"/>
          <w:lang w:val="es-ES_tradnl" w:eastAsia="es-ES"/>
        </w:rPr>
        <w:lastRenderedPageBreak/>
        <w:t>graves; asimismo, se advierte que la publicidad del expediente en versión pública no lesiona el proceso de investigación, puesto que, al encontrarse ya en la etapa de sustanciación, la autoridad investigadora terminó de recabar, analizar y asegurar las pruebas necesarias para calificar la conducta como una probable responsabilidad administrativa. Por el contrario, el difundir este tipo de expedientes anonimizando a los servidores públicos presuntamente responsables abona a la rendición de cuentas, ya que permite a la ciudadanía conocer la forma en que el Órgano de Control Interno investiga y sustancia este tipo de conductas, así como la frecuencia en que ciertas faltas son cometidas, lo que otorga a los particulares un instrumento de presión social para que se incentiven herramientas o cursos en favor del desarrollo del personal del ayuntamiento, cuyo objetivo sea prevenir que nuevas faltas administrativas no graves sean cometidas.</w:t>
      </w:r>
    </w:p>
    <w:p w14:paraId="2992ED3D"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4A411D5"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No es ocioso recordar que el artículo 104 de la Ley de Responsabilidades Administrativas del Estado de México y Municipios señala que, dentro de la etapa de investigación para fincar responsabilidades administrativas, la autoridad investigadora analizará los hechos y la información recabada, para así calificar la conducta como grave o no grave, lo cual será asentado en el Informe de Presunta Responsabilidad Administrativa.</w:t>
      </w:r>
    </w:p>
    <w:p w14:paraId="254CD599"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FAB116C"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lastRenderedPageBreak/>
        <w:t xml:space="preserve">De tal suerte que el </w:t>
      </w:r>
      <w:r w:rsidRPr="00360FDF">
        <w:rPr>
          <w:rFonts w:ascii="Palatino Linotype" w:eastAsia="Calibri" w:hAnsi="Palatino Linotype" w:cs="Arial"/>
          <w:b/>
          <w:bCs/>
          <w:sz w:val="24"/>
          <w:szCs w:val="24"/>
          <w:lang w:val="es-ES_tradnl" w:eastAsia="es-ES"/>
        </w:rPr>
        <w:t>SUJETO OBLIGADO</w:t>
      </w:r>
      <w:r w:rsidRPr="00360FDF">
        <w:rPr>
          <w:rFonts w:ascii="Palatino Linotype" w:eastAsia="Calibri" w:hAnsi="Palatino Linotype" w:cs="Arial"/>
          <w:sz w:val="24"/>
          <w:szCs w:val="24"/>
          <w:lang w:val="es-ES_tradnl" w:eastAsia="es-ES"/>
        </w:rPr>
        <w:t xml:space="preserve"> puede diferenciar, mediante los Informes de Presunta Responsabilidad Administrativa de los expedientes pendientes de resolver en el órgano interno de control, cuáles se derivan por faltas administrativas graves y cuáles por no graves.</w:t>
      </w:r>
    </w:p>
    <w:p w14:paraId="30C8109C"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632093E"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Por lo tanto, el </w:t>
      </w:r>
      <w:r w:rsidRPr="00360FDF">
        <w:rPr>
          <w:rFonts w:ascii="Palatino Linotype" w:eastAsia="Calibri" w:hAnsi="Palatino Linotype" w:cs="Arial"/>
          <w:b/>
          <w:bCs/>
          <w:sz w:val="24"/>
          <w:szCs w:val="24"/>
          <w:lang w:val="es-ES_tradnl" w:eastAsia="es-ES"/>
        </w:rPr>
        <w:t>SUJETO OBLIGADO</w:t>
      </w:r>
      <w:r w:rsidRPr="00360FDF">
        <w:rPr>
          <w:rFonts w:ascii="Palatino Linotype" w:eastAsia="Calibri" w:hAnsi="Palatino Linotype" w:cs="Arial"/>
          <w:sz w:val="24"/>
          <w:szCs w:val="24"/>
          <w:lang w:val="es-ES_tradnl" w:eastAsia="es-ES"/>
        </w:rPr>
        <w:t xml:space="preserve"> deberá entregar los expedientes pendientes de resolver en el Órgano Interno de Control que ya hayan superado la etapa de investigación, habiendo emplazado formalmente al presunto responsable dentro de un procedimiento de responsabilidades administrativas </w:t>
      </w:r>
      <w:r w:rsidRPr="00360FDF">
        <w:rPr>
          <w:rFonts w:ascii="Palatino Linotype" w:eastAsia="Calibri" w:hAnsi="Palatino Linotype" w:cs="Arial"/>
          <w:b/>
          <w:bCs/>
          <w:sz w:val="24"/>
          <w:szCs w:val="24"/>
          <w:lang w:val="es-ES_tradnl" w:eastAsia="es-ES"/>
        </w:rPr>
        <w:t>por faltas no graves</w:t>
      </w:r>
      <w:r w:rsidRPr="00360FDF">
        <w:rPr>
          <w:rFonts w:ascii="Palatino Linotype" w:eastAsia="Calibri" w:hAnsi="Palatino Linotype" w:cs="Arial"/>
          <w:sz w:val="24"/>
          <w:szCs w:val="24"/>
          <w:lang w:val="es-ES_tradnl" w:eastAsia="es-ES"/>
        </w:rPr>
        <w:t xml:space="preserve">, en versión pública, clasificando los nombres de los servidores públicos presuntos responsables como </w:t>
      </w:r>
      <w:r w:rsidRPr="00360FDF">
        <w:rPr>
          <w:rFonts w:ascii="Palatino Linotype" w:eastAsia="Calibri" w:hAnsi="Palatino Linotype" w:cs="Arial"/>
          <w:b/>
          <w:bCs/>
          <w:sz w:val="24"/>
          <w:szCs w:val="24"/>
          <w:lang w:val="es-ES_tradnl" w:eastAsia="es-ES"/>
        </w:rPr>
        <w:t>información confidencial</w:t>
      </w:r>
      <w:r w:rsidRPr="00360FDF">
        <w:rPr>
          <w:rFonts w:ascii="Palatino Linotype" w:eastAsia="Calibri" w:hAnsi="Palatino Linotype" w:cs="Arial"/>
          <w:sz w:val="24"/>
          <w:szCs w:val="24"/>
          <w:lang w:val="es-ES_tradnl" w:eastAsia="es-ES"/>
        </w:rPr>
        <w:t>.</w:t>
      </w:r>
    </w:p>
    <w:p w14:paraId="48993776" w14:textId="77777777" w:rsidR="00A26C04" w:rsidRPr="00360FDF" w:rsidRDefault="00A26C04" w:rsidP="00A26C04">
      <w:pPr>
        <w:keepNext/>
        <w:keepLines/>
        <w:spacing w:before="240" w:after="0"/>
        <w:jc w:val="both"/>
        <w:outlineLvl w:val="0"/>
        <w:rPr>
          <w:rFonts w:ascii="Palatino Linotype" w:eastAsia="Calibri" w:hAnsi="Palatino Linotype" w:cstheme="majorBidi"/>
          <w:sz w:val="24"/>
          <w:szCs w:val="32"/>
          <w:lang w:val="es-ES_tradnl" w:eastAsia="es-ES"/>
        </w:rPr>
      </w:pPr>
    </w:p>
    <w:p w14:paraId="38F17C97" w14:textId="77777777" w:rsidR="00A26C04" w:rsidRPr="00360FDF" w:rsidRDefault="00A26C04" w:rsidP="00A26C04">
      <w:pPr>
        <w:keepNext/>
        <w:keepLines/>
        <w:spacing w:before="240" w:after="0"/>
        <w:jc w:val="both"/>
        <w:outlineLvl w:val="0"/>
        <w:rPr>
          <w:rFonts w:ascii="Palatino Linotype" w:eastAsia="Calibri" w:hAnsi="Palatino Linotype" w:cstheme="majorBidi"/>
          <w:b/>
          <w:bCs/>
          <w:sz w:val="24"/>
          <w:szCs w:val="32"/>
          <w:lang w:val="es-ES_tradnl" w:eastAsia="es-ES"/>
        </w:rPr>
      </w:pPr>
      <w:bookmarkStart w:id="48" w:name="_Toc48828009"/>
      <w:bookmarkStart w:id="49" w:name="_Toc70072774"/>
      <w:bookmarkStart w:id="50" w:name="_Toc72499077"/>
      <w:r w:rsidRPr="00360FDF">
        <w:rPr>
          <w:rFonts w:ascii="Palatino Linotype" w:eastAsia="Calibri" w:hAnsi="Palatino Linotype" w:cstheme="majorBidi"/>
          <w:b/>
          <w:bCs/>
          <w:sz w:val="24"/>
          <w:szCs w:val="32"/>
          <w:lang w:val="es-ES_tradnl" w:eastAsia="es-ES"/>
        </w:rPr>
        <w:t>V.II. Condiciones especiales de la clasificación de la información como reservada.</w:t>
      </w:r>
      <w:bookmarkEnd w:id="48"/>
      <w:bookmarkEnd w:id="49"/>
      <w:bookmarkEnd w:id="50"/>
    </w:p>
    <w:p w14:paraId="234574B7"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A9B4B60"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Hasta este punto de la resolución hemos logrado determinar el tratamiento de clasificación que recibirán los expedientes formados por responsabilidades administrativas no graves; ahora pues, toca el turno de analizar y determinar el tratamiento de los expedientes que: a) se encuentren en etapa de investigación; y b) que ya superaron la etapa de notificación, por lo que se ha generado el respectivo Informe de Presunta Responsabilidad Administrativa y, se ha emplazado </w:t>
      </w:r>
      <w:r w:rsidRPr="00360FDF">
        <w:rPr>
          <w:rFonts w:ascii="Palatino Linotype" w:eastAsia="Calibri" w:hAnsi="Palatino Linotype" w:cs="Arial"/>
          <w:sz w:val="24"/>
          <w:szCs w:val="24"/>
          <w:lang w:val="es-ES_tradnl" w:eastAsia="es-ES"/>
        </w:rPr>
        <w:lastRenderedPageBreak/>
        <w:t>formalmente al presunto responsable dentro de un procedimiento de responsabilidades administrativas por faltas graves.</w:t>
      </w:r>
    </w:p>
    <w:p w14:paraId="72A772DF"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CEEBC6A"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Los artículos 128, segundo párrafo, de la Ley de Transparencia y Acceso a la Información Pública del Estado de México y Municipios y 103, segundo párrafo, de la Ley General de Transparencia y Acceso a la Información Pública, respectivamente, señalan que, en el caso de la información reservada, se deben de señalar las razones, motivos o circunstancias especiales que llevan al </w:t>
      </w:r>
      <w:r w:rsidRPr="00360FDF">
        <w:rPr>
          <w:rFonts w:ascii="Palatino Linotype" w:eastAsia="Calibri" w:hAnsi="Palatino Linotype" w:cs="Arial"/>
          <w:b/>
          <w:sz w:val="24"/>
          <w:szCs w:val="24"/>
          <w:lang w:val="es-ES_tradnl" w:eastAsia="es-ES"/>
        </w:rPr>
        <w:t>SUJETO OBLIGADO</w:t>
      </w:r>
      <w:r w:rsidRPr="00360FDF">
        <w:rPr>
          <w:rFonts w:ascii="Palatino Linotype" w:eastAsia="Calibri" w:hAnsi="Palatino Linotype" w:cs="Arial"/>
          <w:sz w:val="24"/>
          <w:szCs w:val="24"/>
          <w:lang w:val="es-ES_tradnl" w:eastAsia="es-ES"/>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0DBEFB76" w14:textId="77777777" w:rsidR="00C80FAD" w:rsidRPr="00360FDF" w:rsidRDefault="00C80FAD" w:rsidP="00C80FAD">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2C1A63F" w14:textId="77777777" w:rsidR="00C80FAD" w:rsidRPr="00360FDF" w:rsidRDefault="00A26C04" w:rsidP="00A26C04">
      <w:pPr>
        <w:keepNext/>
        <w:keepLines/>
        <w:spacing w:before="240" w:after="0"/>
        <w:outlineLvl w:val="0"/>
        <w:rPr>
          <w:rFonts w:ascii="Palatino Linotype" w:eastAsia="Calibri" w:hAnsi="Palatino Linotype" w:cstheme="majorBidi"/>
          <w:b/>
          <w:sz w:val="24"/>
          <w:szCs w:val="32"/>
          <w:lang w:val="es-ES_tradnl" w:eastAsia="es-ES"/>
        </w:rPr>
      </w:pPr>
      <w:bookmarkStart w:id="51" w:name="_Toc48828010"/>
      <w:bookmarkStart w:id="52" w:name="_Toc70072775"/>
      <w:bookmarkStart w:id="53" w:name="_Toc72499078"/>
      <w:r w:rsidRPr="00360FDF">
        <w:rPr>
          <w:rFonts w:ascii="Palatino Linotype" w:eastAsia="Calibri" w:hAnsi="Palatino Linotype" w:cstheme="majorBidi"/>
          <w:b/>
          <w:sz w:val="24"/>
          <w:szCs w:val="32"/>
          <w:lang w:val="es-ES_tradnl" w:eastAsia="es-ES"/>
        </w:rPr>
        <w:t>V.II.I De la prueba de daño.</w:t>
      </w:r>
      <w:bookmarkEnd w:id="51"/>
      <w:bookmarkEnd w:id="52"/>
      <w:bookmarkEnd w:id="53"/>
    </w:p>
    <w:p w14:paraId="0A13AA90" w14:textId="77777777" w:rsidR="00C80FAD" w:rsidRPr="00360FDF" w:rsidRDefault="00C80FAD" w:rsidP="00A26C04">
      <w:pPr>
        <w:keepNext/>
        <w:keepLines/>
        <w:spacing w:before="240" w:after="0"/>
        <w:outlineLvl w:val="0"/>
        <w:rPr>
          <w:rFonts w:ascii="Palatino Linotype" w:eastAsia="Calibri" w:hAnsi="Palatino Linotype" w:cstheme="majorBidi"/>
          <w:b/>
          <w:sz w:val="24"/>
          <w:szCs w:val="32"/>
          <w:lang w:val="es-ES_tradnl" w:eastAsia="es-ES"/>
        </w:rPr>
      </w:pPr>
    </w:p>
    <w:p w14:paraId="2F830A8A"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w:t>
      </w:r>
      <w:r w:rsidRPr="00360FDF">
        <w:rPr>
          <w:rFonts w:ascii="Palatino Linotype" w:eastAsia="Calibri" w:hAnsi="Palatino Linotype" w:cs="Arial"/>
          <w:sz w:val="24"/>
          <w:szCs w:val="24"/>
          <w:lang w:val="es-ES_tradnl" w:eastAsia="es-ES"/>
        </w:rPr>
        <w:lastRenderedPageBreak/>
        <w:t>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51381AC3"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0678161"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Para aplicar la prueba de daño, se deberán de precisar las razones objetivas por las que la apertura genera una afectación, acreditando que:</w:t>
      </w:r>
    </w:p>
    <w:p w14:paraId="4DDB5E93"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3C7FC73" w14:textId="77777777" w:rsidR="00A26C04" w:rsidRPr="00360FDF" w:rsidRDefault="00A26C04" w:rsidP="00A26C04">
      <w:pPr>
        <w:spacing w:before="100" w:beforeAutospacing="1" w:after="100" w:afterAutospacing="1" w:line="360" w:lineRule="auto"/>
        <w:ind w:left="851" w:right="851"/>
        <w:contextualSpacing/>
        <w:rPr>
          <w:rFonts w:ascii="Palatino Linotype" w:eastAsia="Calibri" w:hAnsi="Palatino Linotype" w:cs="Arial"/>
          <w:i/>
          <w:szCs w:val="24"/>
          <w:lang w:eastAsia="es-ES"/>
        </w:rPr>
      </w:pPr>
      <w:r w:rsidRPr="00360FDF">
        <w:rPr>
          <w:rFonts w:ascii="Palatino Linotype" w:eastAsia="Calibri" w:hAnsi="Palatino Linotype" w:cs="Arial"/>
          <w:b/>
          <w:bCs/>
          <w:i/>
          <w:szCs w:val="24"/>
          <w:lang w:eastAsia="es-ES"/>
        </w:rPr>
        <w:t>I.</w:t>
      </w:r>
      <w:r w:rsidRPr="00360FDF">
        <w:rPr>
          <w:rFonts w:ascii="Palatino Linotype" w:eastAsia="Calibri" w:hAnsi="Palatino Linotype" w:cs="Arial"/>
          <w:bCs/>
          <w:i/>
          <w:szCs w:val="24"/>
          <w:lang w:eastAsia="es-ES"/>
        </w:rPr>
        <w:t xml:space="preserve"> </w:t>
      </w:r>
      <w:r w:rsidRPr="00360FDF">
        <w:rPr>
          <w:rFonts w:ascii="Palatino Linotype" w:eastAsia="Calibri" w:hAnsi="Palatino Linotype" w:cs="Arial"/>
          <w:i/>
          <w:szCs w:val="24"/>
          <w:lang w:eastAsia="es-ES"/>
        </w:rPr>
        <w:t xml:space="preserve">La divulgación de la información representa un riesgo real, demostrable e identificable del perjuicio significativo al interés público o a la seguridad pública; </w:t>
      </w:r>
    </w:p>
    <w:p w14:paraId="5A2CB9D1" w14:textId="77777777" w:rsidR="00A26C04" w:rsidRPr="00360FDF" w:rsidRDefault="00A26C04" w:rsidP="00A26C04">
      <w:pPr>
        <w:spacing w:before="100" w:beforeAutospacing="1" w:after="100" w:afterAutospacing="1" w:line="360" w:lineRule="auto"/>
        <w:ind w:left="851" w:right="851"/>
        <w:contextualSpacing/>
        <w:rPr>
          <w:rFonts w:ascii="Palatino Linotype" w:eastAsia="Calibri" w:hAnsi="Palatino Linotype" w:cs="Arial"/>
          <w:i/>
          <w:szCs w:val="24"/>
          <w:lang w:eastAsia="es-ES"/>
        </w:rPr>
      </w:pPr>
      <w:r w:rsidRPr="00360FDF">
        <w:rPr>
          <w:rFonts w:ascii="Palatino Linotype" w:eastAsia="Calibri" w:hAnsi="Palatino Linotype" w:cs="Arial"/>
          <w:b/>
          <w:bCs/>
          <w:i/>
          <w:szCs w:val="24"/>
          <w:lang w:eastAsia="es-ES"/>
        </w:rPr>
        <w:t>II.</w:t>
      </w:r>
      <w:r w:rsidRPr="00360FDF">
        <w:rPr>
          <w:rFonts w:ascii="Palatino Linotype" w:eastAsia="Calibri" w:hAnsi="Palatino Linotype" w:cs="Arial"/>
          <w:bCs/>
          <w:i/>
          <w:szCs w:val="24"/>
          <w:lang w:eastAsia="es-ES"/>
        </w:rPr>
        <w:t xml:space="preserve"> </w:t>
      </w:r>
      <w:r w:rsidRPr="00360FDF">
        <w:rPr>
          <w:rFonts w:ascii="Palatino Linotype" w:eastAsia="Calibri" w:hAnsi="Palatino Linotype" w:cs="Arial"/>
          <w:i/>
          <w:szCs w:val="24"/>
          <w:lang w:eastAsia="es-ES"/>
        </w:rPr>
        <w:t xml:space="preserve">El riesgo de perjuicio que supondría la divulgación supera el interés público general de que se difunda; y </w:t>
      </w:r>
    </w:p>
    <w:p w14:paraId="00E17274" w14:textId="77777777" w:rsidR="00A26C04" w:rsidRPr="00360FDF" w:rsidRDefault="00A26C04" w:rsidP="00A26C04">
      <w:pPr>
        <w:spacing w:before="100" w:beforeAutospacing="1" w:after="100" w:afterAutospacing="1" w:line="360" w:lineRule="auto"/>
        <w:ind w:left="851" w:right="851"/>
        <w:contextualSpacing/>
        <w:jc w:val="both"/>
        <w:rPr>
          <w:rFonts w:ascii="Palatino Linotype" w:eastAsia="Calibri" w:hAnsi="Palatino Linotype" w:cs="Arial"/>
          <w:szCs w:val="24"/>
          <w:lang w:val="es-ES_tradnl" w:eastAsia="es-ES"/>
        </w:rPr>
      </w:pPr>
      <w:r w:rsidRPr="00360FDF">
        <w:rPr>
          <w:rFonts w:ascii="Palatino Linotype" w:eastAsia="Calibri" w:hAnsi="Palatino Linotype" w:cs="Arial"/>
          <w:b/>
          <w:bCs/>
          <w:i/>
          <w:szCs w:val="24"/>
          <w:lang w:eastAsia="es-ES"/>
        </w:rPr>
        <w:t>III.</w:t>
      </w:r>
      <w:r w:rsidRPr="00360FDF">
        <w:rPr>
          <w:rFonts w:ascii="Palatino Linotype" w:eastAsia="Calibri" w:hAnsi="Palatino Linotype" w:cs="Arial"/>
          <w:bCs/>
          <w:i/>
          <w:szCs w:val="24"/>
          <w:lang w:eastAsia="es-ES"/>
        </w:rPr>
        <w:t xml:space="preserve"> </w:t>
      </w:r>
      <w:r w:rsidRPr="00360FDF">
        <w:rPr>
          <w:rFonts w:ascii="Palatino Linotype" w:eastAsia="Calibri" w:hAnsi="Palatino Linotype" w:cs="Arial"/>
          <w:i/>
          <w:szCs w:val="24"/>
          <w:lang w:eastAsia="es-ES"/>
        </w:rPr>
        <w:t>La limitación se adecua al principio de proporcionalidad y representa el medio menos restrictivo disponible para evitar el perjuicio.</w:t>
      </w:r>
    </w:p>
    <w:p w14:paraId="63F0725A"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A5FD8F7"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Sobre el primer supuesto consideremos que, según el diccionario del español jurídico, por riesgo podemos entender “la contingencia o proximidad de un daño”,</w:t>
      </w:r>
      <w:r w:rsidRPr="00360FDF">
        <w:rPr>
          <w:rFonts w:ascii="Palatino Linotype" w:eastAsia="Calibri" w:hAnsi="Palatino Linotype" w:cs="Arial"/>
          <w:sz w:val="24"/>
          <w:szCs w:val="24"/>
          <w:vertAlign w:val="superscript"/>
          <w:lang w:val="es-ES_tradnl" w:eastAsia="es-ES"/>
        </w:rPr>
        <w:footnoteReference w:id="2"/>
      </w:r>
      <w:r w:rsidRPr="00360FDF">
        <w:rPr>
          <w:rFonts w:ascii="Palatino Linotype" w:eastAsia="Calibri" w:hAnsi="Palatino Linotype" w:cs="Arial"/>
          <w:sz w:val="24"/>
          <w:szCs w:val="24"/>
          <w:lang w:val="es-ES_tradnl" w:eastAsia="es-ES"/>
        </w:rPr>
        <w:t xml:space="preserve"> </w:t>
      </w:r>
      <w:r w:rsidRPr="00360FDF">
        <w:rPr>
          <w:rFonts w:ascii="Palatino Linotype" w:eastAsia="Calibri" w:hAnsi="Palatino Linotype" w:cs="Arial"/>
          <w:sz w:val="24"/>
          <w:szCs w:val="24"/>
          <w:lang w:val="es-ES_tradnl" w:eastAsia="es-ES"/>
        </w:rPr>
        <w:lastRenderedPageBreak/>
        <w:t>mientras que el daño es considerado como un “perjuicio o lesión”</w:t>
      </w:r>
      <w:r w:rsidRPr="00360FDF">
        <w:rPr>
          <w:rFonts w:ascii="Palatino Linotype" w:eastAsia="Calibri" w:hAnsi="Palatino Linotype" w:cs="Arial"/>
          <w:sz w:val="24"/>
          <w:szCs w:val="24"/>
          <w:vertAlign w:val="superscript"/>
          <w:lang w:val="es-ES_tradnl" w:eastAsia="es-ES"/>
        </w:rPr>
        <w:footnoteReference w:id="3"/>
      </w:r>
      <w:r w:rsidRPr="00360FDF">
        <w:rPr>
          <w:rFonts w:ascii="Palatino Linotype" w:eastAsia="Calibri" w:hAnsi="Palatino Linotype" w:cs="Arial"/>
          <w:sz w:val="24"/>
          <w:szCs w:val="24"/>
          <w:lang w:val="es-ES_tradnl" w:eastAsia="es-ES"/>
        </w:rPr>
        <w:t xml:space="preserve">, mientras </w:t>
      </w:r>
      <w:proofErr w:type="gramStart"/>
      <w:r w:rsidRPr="00360FDF">
        <w:rPr>
          <w:rFonts w:ascii="Palatino Linotype" w:eastAsia="Calibri" w:hAnsi="Palatino Linotype" w:cs="Arial"/>
          <w:sz w:val="24"/>
          <w:szCs w:val="24"/>
          <w:lang w:val="es-ES_tradnl" w:eastAsia="es-ES"/>
        </w:rPr>
        <w:t>que</w:t>
      </w:r>
      <w:proofErr w:type="gramEnd"/>
      <w:r w:rsidRPr="00360FDF">
        <w:rPr>
          <w:rFonts w:ascii="Palatino Linotype" w:eastAsia="Calibri" w:hAnsi="Palatino Linotype" w:cs="Arial"/>
          <w:sz w:val="24"/>
          <w:szCs w:val="24"/>
          <w:lang w:val="es-ES_tradnl" w:eastAsia="es-ES"/>
        </w:rPr>
        <w:t xml:space="preserve"> según el Diccionario de la Lengua Española, lo real es lo “(que tiene existencia objetiva”,</w:t>
      </w:r>
      <w:r w:rsidRPr="00360FDF">
        <w:rPr>
          <w:rFonts w:ascii="Palatino Linotype" w:eastAsia="Calibri" w:hAnsi="Palatino Linotype" w:cs="Arial"/>
          <w:sz w:val="24"/>
          <w:szCs w:val="24"/>
          <w:vertAlign w:val="superscript"/>
          <w:lang w:val="es-ES_tradnl" w:eastAsia="es-ES"/>
        </w:rPr>
        <w:footnoteReference w:id="4"/>
      </w:r>
      <w:r w:rsidRPr="00360FDF">
        <w:rPr>
          <w:rFonts w:ascii="Palatino Linotype" w:eastAsia="Calibri" w:hAnsi="Palatino Linotype" w:cs="Arial"/>
          <w:sz w:val="24"/>
          <w:szCs w:val="24"/>
          <w:lang w:val="es-ES_tradnl" w:eastAsia="es-ES"/>
        </w:rPr>
        <w:t xml:space="preserve"> mientras que lo demostrables es, según la misma fuente, aquello que se puede demostrar,</w:t>
      </w:r>
      <w:r w:rsidRPr="00360FDF">
        <w:rPr>
          <w:rFonts w:ascii="Palatino Linotype" w:eastAsia="Calibri" w:hAnsi="Palatino Linotype" w:cs="Arial"/>
          <w:sz w:val="24"/>
          <w:szCs w:val="24"/>
          <w:vertAlign w:val="superscript"/>
          <w:lang w:val="es-ES_tradnl" w:eastAsia="es-ES"/>
        </w:rPr>
        <w:footnoteReference w:id="5"/>
      </w:r>
      <w:r w:rsidRPr="00360FDF">
        <w:rPr>
          <w:rFonts w:ascii="Palatino Linotype" w:eastAsia="Calibri" w:hAnsi="Palatino Linotype" w:cs="Arial"/>
          <w:sz w:val="24"/>
          <w:szCs w:val="24"/>
          <w:lang w:val="es-ES_tradnl" w:eastAsia="es-ES"/>
        </w:rPr>
        <w:t xml:space="preserve"> es decir, “(manifestar, declarar. Probar, sirviéndose de cualquier género de demostración</w:t>
      </w:r>
      <w:r w:rsidRPr="00360FDF">
        <w:rPr>
          <w:rFonts w:ascii="Palatino Linotype" w:eastAsia="Calibri" w:hAnsi="Palatino Linotype" w:cs="Arial"/>
          <w:color w:val="000000" w:themeColor="text1"/>
          <w:sz w:val="24"/>
          <w:szCs w:val="24"/>
          <w:lang w:val="es-ES_tradnl" w:eastAsia="es-ES"/>
        </w:rPr>
        <w:t xml:space="preserve">, </w:t>
      </w:r>
      <w:hyperlink r:id="rId10" w:anchor="6nAyKjE" w:history="1">
        <w:r w:rsidRPr="00360FDF">
          <w:rPr>
            <w:rFonts w:ascii="Palatino Linotype" w:eastAsia="Calibri" w:hAnsi="Palatino Linotype" w:cs="Arial"/>
            <w:color w:val="000000" w:themeColor="text1"/>
            <w:sz w:val="24"/>
            <w:szCs w:val="24"/>
            <w:lang w:val="es-ES_tradnl" w:eastAsia="es-ES"/>
          </w:rPr>
          <w:t>enseñar</w:t>
        </w:r>
      </w:hyperlink>
      <w:r w:rsidRPr="00360FDF">
        <w:rPr>
          <w:rFonts w:ascii="Palatino Linotype" w:eastAsia="Calibri" w:hAnsi="Palatino Linotype" w:cs="Arial"/>
          <w:color w:val="000000" w:themeColor="text1"/>
          <w:sz w:val="24"/>
          <w:szCs w:val="24"/>
          <w:lang w:val="es-ES_tradnl" w:eastAsia="es-ES"/>
        </w:rPr>
        <w:t xml:space="preserve"> mostrar </w:t>
      </w:r>
      <w:r w:rsidRPr="00360FDF">
        <w:rPr>
          <w:rFonts w:ascii="Palatino Linotype" w:eastAsia="Calibri" w:hAnsi="Palatino Linotype" w:cs="Arial"/>
          <w:sz w:val="24"/>
          <w:szCs w:val="24"/>
          <w:lang w:val="es-ES_tradnl" w:eastAsia="es-ES"/>
        </w:rPr>
        <w:t>o exponer algo)”.</w:t>
      </w:r>
      <w:r w:rsidRPr="00360FDF">
        <w:rPr>
          <w:rFonts w:ascii="Palatino Linotype" w:eastAsia="Calibri" w:hAnsi="Palatino Linotype" w:cs="Arial"/>
          <w:sz w:val="24"/>
          <w:szCs w:val="24"/>
          <w:vertAlign w:val="superscript"/>
          <w:lang w:val="es-ES_tradnl" w:eastAsia="es-ES"/>
        </w:rPr>
        <w:footnoteReference w:id="6"/>
      </w:r>
      <w:r w:rsidRPr="00360FDF">
        <w:rPr>
          <w:rFonts w:ascii="Palatino Linotype" w:eastAsia="Calibri" w:hAnsi="Palatino Linotype" w:cs="Arial"/>
          <w:sz w:val="24"/>
          <w:szCs w:val="24"/>
          <w:lang w:val="es-ES_tradnl" w:eastAsia="es-ES"/>
        </w:rPr>
        <w:t xml:space="preserve"> Mientras que lo identificable es lo que puede ser identificado,</w:t>
      </w:r>
      <w:r w:rsidRPr="00360FDF">
        <w:rPr>
          <w:rFonts w:ascii="Palatino Linotype" w:eastAsia="Calibri" w:hAnsi="Palatino Linotype" w:cs="Arial"/>
          <w:sz w:val="24"/>
          <w:szCs w:val="24"/>
          <w:vertAlign w:val="superscript"/>
          <w:lang w:val="es-ES_tradnl" w:eastAsia="es-ES"/>
        </w:rPr>
        <w:footnoteReference w:id="7"/>
      </w:r>
      <w:r w:rsidRPr="00360FDF">
        <w:rPr>
          <w:rFonts w:ascii="Palatino Linotype" w:eastAsia="Calibri" w:hAnsi="Palatino Linotype" w:cs="Arial"/>
          <w:sz w:val="24"/>
          <w:szCs w:val="24"/>
          <w:lang w:val="es-ES_tradnl" w:eastAsia="es-ES"/>
        </w:rPr>
        <w:t xml:space="preserve"> esto es, “(dar los datos necesarios para ser reconocido”.</w:t>
      </w:r>
      <w:r w:rsidRPr="00360FDF">
        <w:rPr>
          <w:rFonts w:ascii="Palatino Linotype" w:eastAsia="Calibri" w:hAnsi="Palatino Linotype" w:cs="Arial"/>
          <w:sz w:val="24"/>
          <w:szCs w:val="24"/>
          <w:vertAlign w:val="superscript"/>
          <w:lang w:val="es-ES_tradnl" w:eastAsia="es-ES"/>
        </w:rPr>
        <w:footnoteReference w:id="8"/>
      </w:r>
    </w:p>
    <w:p w14:paraId="6A133ABE"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EC18202"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Por lo que entonces, el primer supuesto de la prueba de daño consiste en acreditar que la entrega de la información provoca tres aspectos concurrentes: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 Identificando ese riesgo, se debe demostrar que el mismo supera el interés público general porque se difunda dicha información.</w:t>
      </w:r>
    </w:p>
    <w:p w14:paraId="60A571A6"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605CEF0"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360FDF">
        <w:rPr>
          <w:rFonts w:ascii="Palatino Linotype" w:eastAsia="Calibri" w:hAnsi="Palatino Linotype" w:cs="Arial"/>
          <w:sz w:val="24"/>
          <w:szCs w:val="24"/>
          <w:vertAlign w:val="superscript"/>
          <w:lang w:val="es-ES_tradnl" w:eastAsia="es-ES"/>
        </w:rPr>
        <w:footnoteReference w:id="9"/>
      </w:r>
      <w:r w:rsidRPr="00360FDF">
        <w:rPr>
          <w:rFonts w:ascii="Palatino Linotype" w:eastAsia="Calibri" w:hAnsi="Palatino Linotype" w:cs="Arial"/>
          <w:sz w:val="24"/>
          <w:szCs w:val="24"/>
          <w:lang w:val="es-ES_tradnl" w:eastAsia="es-ES"/>
        </w:rPr>
        <w:t>, siguiendo el principio de ponderación propuesto por el Tribunal Constitucional Alemán,</w:t>
      </w:r>
      <w:r w:rsidRPr="00360FDF">
        <w:rPr>
          <w:rFonts w:ascii="Palatino Linotype" w:eastAsia="Calibri" w:hAnsi="Palatino Linotype" w:cs="Arial"/>
          <w:sz w:val="24"/>
          <w:szCs w:val="24"/>
          <w:vertAlign w:val="superscript"/>
          <w:lang w:val="es-ES_tradnl" w:eastAsia="es-ES"/>
        </w:rPr>
        <w:footnoteReference w:id="10"/>
      </w:r>
      <w:r w:rsidRPr="00360FDF">
        <w:rPr>
          <w:rFonts w:ascii="Palatino Linotype" w:eastAsia="Calibri" w:hAnsi="Palatino Linotype" w:cs="Arial"/>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w:t>
      </w:r>
      <w:r w:rsidRPr="00360FDF">
        <w:rPr>
          <w:rFonts w:ascii="Palatino Linotype" w:eastAsia="Calibri" w:hAnsi="Palatino Linotype" w:cs="Arial"/>
          <w:sz w:val="24"/>
          <w:szCs w:val="24"/>
          <w:lang w:val="es-ES_tradnl" w:eastAsia="es-ES"/>
        </w:rPr>
        <w:lastRenderedPageBreak/>
        <w:t>que el derecho que prevalezca sea en la dimensión estrictamente proporcional al derecho que retrocede.</w:t>
      </w:r>
    </w:p>
    <w:p w14:paraId="67E09AA9"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E9A3E8E"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De tal manera que </w:t>
      </w:r>
      <w:r w:rsidRPr="00360FDF">
        <w:rPr>
          <w:rFonts w:ascii="Palatino Linotype" w:eastAsia="MS Mincho" w:hAnsi="Palatino Linotype" w:cs="Arial"/>
          <w:color w:val="000000"/>
          <w:sz w:val="24"/>
          <w:szCs w:val="24"/>
          <w:lang w:val="es-ES_tradnl" w:eastAsia="es-ES"/>
        </w:rPr>
        <w:t xml:space="preserve">es insuficiente invocar el artículo 140 de la Ley de Transparencia y Acceso a la Información Pública del Estado de México y Municipios, pues para que dicha clasificación resulte procedente no basta con que el supuesto jurídico se encuentre previsto en la normatividad, ni que por el simple hecho de considerarse información relacionada con procedimientos administrativos tenga por esa sola característica la categoría de reservada, </w:t>
      </w:r>
      <w:r w:rsidRPr="00360FDF">
        <w:rPr>
          <w:rFonts w:ascii="Palatino Linotype" w:eastAsia="MS Mincho" w:hAnsi="Palatino Linotype" w:cs="Arial"/>
          <w:b/>
          <w:color w:val="000000"/>
          <w:sz w:val="24"/>
          <w:szCs w:val="24"/>
          <w:lang w:val="es-ES_tradnl" w:eastAsia="es-ES"/>
        </w:rPr>
        <w:t>ya que para ello deberá analizarse el caso concreto que se presente, mediante la aplicación de la prueba de daño</w:t>
      </w:r>
      <w:r w:rsidRPr="00360FDF">
        <w:rPr>
          <w:rFonts w:ascii="Palatino Linotype" w:eastAsia="MS Mincho" w:hAnsi="Palatino Linotype" w:cs="Arial"/>
          <w:color w:val="000000"/>
          <w:sz w:val="24"/>
          <w:szCs w:val="24"/>
          <w:lang w:val="es-ES_tradnl" w:eastAsia="es-ES"/>
        </w:rPr>
        <w:t xml:space="preserve"> para determinar si la difusión puede generar un daño a los intereses protegidos en el artículo 140 de la Ley de la materia.</w:t>
      </w:r>
    </w:p>
    <w:p w14:paraId="6E5E9C68"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EA34548" w14:textId="77777777" w:rsidR="00A26C04" w:rsidRPr="00360FDF" w:rsidRDefault="00A26C04" w:rsidP="00A26C04">
      <w:pPr>
        <w:keepNext/>
        <w:keepLines/>
        <w:spacing w:before="240" w:after="0"/>
        <w:outlineLvl w:val="0"/>
        <w:rPr>
          <w:rFonts w:ascii="Palatino Linotype" w:eastAsia="Calibri" w:hAnsi="Palatino Linotype" w:cstheme="majorBidi"/>
          <w:b/>
          <w:sz w:val="24"/>
          <w:szCs w:val="32"/>
          <w:lang w:val="es-ES_tradnl" w:eastAsia="es-ES"/>
        </w:rPr>
      </w:pPr>
      <w:bookmarkStart w:id="54" w:name="_Toc48828011"/>
      <w:bookmarkStart w:id="55" w:name="_Toc70072776"/>
      <w:bookmarkStart w:id="56" w:name="_Toc72499079"/>
      <w:r w:rsidRPr="00360FDF">
        <w:rPr>
          <w:rFonts w:ascii="Palatino Linotype" w:eastAsia="Calibri" w:hAnsi="Palatino Linotype" w:cstheme="majorBidi"/>
          <w:b/>
          <w:sz w:val="24"/>
          <w:szCs w:val="32"/>
          <w:lang w:val="es-ES_tradnl" w:eastAsia="es-ES"/>
        </w:rPr>
        <w:t>V.II.I.I Desarrollo de la prueba de daño.</w:t>
      </w:r>
      <w:bookmarkEnd w:id="54"/>
      <w:bookmarkEnd w:id="55"/>
      <w:bookmarkEnd w:id="56"/>
    </w:p>
    <w:p w14:paraId="18A5AC9B" w14:textId="77777777" w:rsidR="00C80FAD" w:rsidRPr="00360FDF" w:rsidRDefault="00C80FAD" w:rsidP="00A26C04">
      <w:pPr>
        <w:keepNext/>
        <w:keepLines/>
        <w:spacing w:before="240" w:after="0"/>
        <w:outlineLvl w:val="0"/>
        <w:rPr>
          <w:rFonts w:ascii="Palatino Linotype" w:eastAsia="Calibri" w:hAnsi="Palatino Linotype" w:cstheme="majorBidi"/>
          <w:b/>
          <w:sz w:val="24"/>
          <w:szCs w:val="32"/>
          <w:lang w:val="es-ES_tradnl" w:eastAsia="es-ES"/>
        </w:rPr>
      </w:pPr>
    </w:p>
    <w:p w14:paraId="26DB7ACB"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Como se ha expuesto en líneas anteriores, los expedientes pendientes de resolver en el Órgano de Control Interno que no se relacionen con procedimientos administrativos por faltas no graves pueden encontrarse dentro de dos supuestos: que se encuentren aún dentro de la etapa de investigación; o, que se encuentren en la etapa de sustanciación dentro de un procedimiento de responsabilidades administrativas </w:t>
      </w:r>
      <w:r w:rsidRPr="00360FDF">
        <w:rPr>
          <w:rFonts w:ascii="Palatino Linotype" w:eastAsia="Calibri" w:hAnsi="Palatino Linotype" w:cs="Arial"/>
          <w:b/>
          <w:bCs/>
          <w:sz w:val="24"/>
          <w:szCs w:val="24"/>
          <w:lang w:val="es-ES_tradnl" w:eastAsia="es-ES"/>
        </w:rPr>
        <w:t>por faltas graves</w:t>
      </w:r>
      <w:r w:rsidRPr="00360FDF">
        <w:rPr>
          <w:rFonts w:ascii="Palatino Linotype" w:eastAsia="Calibri" w:hAnsi="Palatino Linotype" w:cs="Arial"/>
          <w:sz w:val="24"/>
          <w:szCs w:val="24"/>
          <w:lang w:val="es-ES_tradnl" w:eastAsia="es-ES"/>
        </w:rPr>
        <w:t xml:space="preserve">. Por ello, se aprecia que el </w:t>
      </w:r>
      <w:r w:rsidRPr="00360FDF">
        <w:rPr>
          <w:rFonts w:ascii="Palatino Linotype" w:eastAsia="Calibri" w:hAnsi="Palatino Linotype" w:cs="Arial"/>
          <w:b/>
          <w:sz w:val="24"/>
          <w:szCs w:val="24"/>
          <w:lang w:val="es-ES_tradnl" w:eastAsia="es-ES"/>
        </w:rPr>
        <w:t>SUJETO OBLIGADO</w:t>
      </w:r>
      <w:r w:rsidRPr="00360FDF">
        <w:rPr>
          <w:rFonts w:ascii="Palatino Linotype" w:eastAsia="Calibri" w:hAnsi="Palatino Linotype" w:cs="Arial"/>
          <w:sz w:val="24"/>
          <w:szCs w:val="24"/>
          <w:lang w:val="es-ES_tradnl" w:eastAsia="es-ES"/>
        </w:rPr>
        <w:t xml:space="preserve"> </w:t>
      </w:r>
      <w:r w:rsidRPr="00360FDF">
        <w:rPr>
          <w:rFonts w:ascii="Palatino Linotype" w:eastAsia="Calibri" w:hAnsi="Palatino Linotype" w:cs="Arial"/>
          <w:sz w:val="24"/>
          <w:szCs w:val="24"/>
          <w:lang w:val="es-ES_tradnl" w:eastAsia="es-ES"/>
        </w:rPr>
        <w:lastRenderedPageBreak/>
        <w:t>deberá analizar cuidadosamente la naturaleza de cada uno de los procesos que estén siendo sustanciados por su órgano de control, a efecto de diferenciar los que por su naturaleza deban reservarse en concordancia con la fracción VI del artículo 140 de la Ley de Transparencia y Acceso a la Información Pública del Estado de México y Municipios; o, por el contrario, deban entregarse por relacionarse con las fracciones I y IV del numeral 142 de la misma norma.</w:t>
      </w:r>
    </w:p>
    <w:p w14:paraId="4D029855"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79AE5DE"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La clasificación total o parcial de la información requerida, mediante solicitud de acceso a la información pública, constituye una restricción al derecho humano de acceso a la información. Por ello, el </w:t>
      </w:r>
      <w:r w:rsidRPr="00360FDF">
        <w:rPr>
          <w:rFonts w:ascii="Palatino Linotype" w:eastAsia="Calibri" w:hAnsi="Palatino Linotype" w:cs="Arial"/>
          <w:b/>
          <w:sz w:val="24"/>
          <w:szCs w:val="24"/>
          <w:lang w:val="es-ES_tradnl" w:eastAsia="es-ES"/>
        </w:rPr>
        <w:t>SUJETO OBLIGADO</w:t>
      </w:r>
      <w:r w:rsidRPr="00360FDF">
        <w:rPr>
          <w:rFonts w:ascii="Palatino Linotype" w:eastAsia="Calibri" w:hAnsi="Palatino Linotype" w:cs="Arial"/>
          <w:sz w:val="24"/>
          <w:szCs w:val="24"/>
          <w:lang w:val="es-ES_tradnl" w:eastAsia="es-ES"/>
        </w:rPr>
        <w:t xml:space="preserve"> debe ser muy cuidadoso en su ejercicio de clasificación, la cual deberá ser debidamente fundada y motivada de conformidad con lo dispuesto por el Título Sexto de la Ley de Transparencia y Acceso a la Información Pública del Estado de México y Municipios; misma que, a su vez, deberá contener una prueba de daño aplicada a lo dispuesto por las causales de reserva contenidas en las fracciones VI y VIII del artículo 140 de la Ley de Transparencia y Acceso a la Información Pública del Estado de México y Municipios; y, con el Lineamiento Vigésimo Octavo de los Lineamientos Generales en Materia de Clasificación, Desclasificación de la Información, así como para la Elaboración de Versiones Públicas, cuyo contenido es el siguiente:</w:t>
      </w:r>
    </w:p>
    <w:p w14:paraId="0C71728F"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74483A1" w14:textId="77777777" w:rsidR="00A26C04" w:rsidRPr="00360FDF" w:rsidRDefault="00A26C04" w:rsidP="00A26C04">
      <w:pPr>
        <w:widowControl w:val="0"/>
        <w:autoSpaceDE w:val="0"/>
        <w:autoSpaceDN w:val="0"/>
        <w:adjustRightInd w:val="0"/>
        <w:spacing w:before="360" w:after="240" w:line="360" w:lineRule="auto"/>
        <w:ind w:left="567" w:right="567"/>
        <w:contextualSpacing/>
        <w:jc w:val="center"/>
        <w:rPr>
          <w:rFonts w:ascii="Palatino Linotype" w:eastAsia="MS Mincho" w:hAnsi="Palatino Linotype" w:cs="Times New Roman"/>
          <w:b/>
          <w:i/>
          <w:szCs w:val="24"/>
          <w:lang w:val="es-ES_tradnl" w:eastAsia="es-ES"/>
        </w:rPr>
      </w:pPr>
      <w:r w:rsidRPr="00360FDF">
        <w:rPr>
          <w:rFonts w:ascii="Palatino Linotype" w:eastAsia="MS Mincho" w:hAnsi="Palatino Linotype" w:cs="Times New Roman"/>
          <w:b/>
          <w:i/>
          <w:szCs w:val="24"/>
          <w:lang w:val="es-ES_tradnl" w:eastAsia="es-ES"/>
        </w:rPr>
        <w:t>LEY DE TRANSPARENCIA Y ACCESO A LA INFORMACIÓN PÚBLICA DEL ESTADO DE MÉXICO Y MUNICIPIOS</w:t>
      </w:r>
    </w:p>
    <w:p w14:paraId="1A7AB3B9" w14:textId="77777777" w:rsidR="00A26C04" w:rsidRPr="00360FDF" w:rsidRDefault="00A26C04" w:rsidP="00A26C04">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r w:rsidRPr="00360FDF">
        <w:rPr>
          <w:rFonts w:ascii="Palatino Linotype" w:eastAsia="MS Mincho" w:hAnsi="Palatino Linotype" w:cs="Times New Roman"/>
          <w:i/>
          <w:szCs w:val="24"/>
          <w:lang w:val="es-ES_tradnl" w:eastAsia="es-ES"/>
        </w:rPr>
        <w:lastRenderedPageBreak/>
        <w:t>“</w:t>
      </w:r>
      <w:r w:rsidRPr="00360FDF">
        <w:rPr>
          <w:rFonts w:ascii="Palatino Linotype" w:eastAsia="MS Mincho" w:hAnsi="Palatino Linotype" w:cs="Times New Roman"/>
          <w:b/>
          <w:i/>
          <w:szCs w:val="24"/>
          <w:lang w:val="es-ES_tradnl" w:eastAsia="es-ES"/>
        </w:rPr>
        <w:t>Artículo 140.</w:t>
      </w:r>
      <w:r w:rsidRPr="00360FDF">
        <w:rPr>
          <w:rFonts w:ascii="Palatino Linotype" w:eastAsia="MS Mincho" w:hAnsi="Palatino Linotype" w:cs="Times New Roman"/>
          <w:i/>
          <w:szCs w:val="24"/>
          <w:lang w:val="es-ES_tradnl" w:eastAsia="es-ES"/>
        </w:rPr>
        <w:t xml:space="preserve"> </w:t>
      </w:r>
      <w:r w:rsidRPr="00360FDF">
        <w:rPr>
          <w:rFonts w:ascii="Palatino Linotype" w:eastAsia="MS Mincho" w:hAnsi="Palatino Linotype" w:cs="Times New Roman"/>
          <w:b/>
          <w:i/>
          <w:szCs w:val="24"/>
          <w:lang w:val="es-ES_tradnl" w:eastAsia="es-ES"/>
        </w:rPr>
        <w:t>El acceso a la información pública será restringido</w:t>
      </w:r>
      <w:r w:rsidRPr="00360FDF">
        <w:rPr>
          <w:rFonts w:ascii="Palatino Linotype" w:eastAsia="MS Mincho" w:hAnsi="Palatino Linotype" w:cs="Times New Roman"/>
          <w:i/>
          <w:szCs w:val="24"/>
          <w:lang w:val="es-ES_tradnl" w:eastAsia="es-ES"/>
        </w:rPr>
        <w:t xml:space="preserve"> excepcionalmente, </w:t>
      </w:r>
      <w:r w:rsidRPr="00360FDF">
        <w:rPr>
          <w:rFonts w:ascii="Palatino Linotype" w:eastAsia="MS Mincho" w:hAnsi="Palatino Linotype" w:cs="Times New Roman"/>
          <w:b/>
          <w:i/>
          <w:szCs w:val="24"/>
          <w:lang w:val="es-ES_tradnl" w:eastAsia="es-ES"/>
        </w:rPr>
        <w:t>cuando</w:t>
      </w:r>
      <w:r w:rsidRPr="00360FDF">
        <w:rPr>
          <w:rFonts w:ascii="Palatino Linotype" w:eastAsia="MS Mincho" w:hAnsi="Palatino Linotype" w:cs="Times New Roman"/>
          <w:i/>
          <w:szCs w:val="24"/>
          <w:lang w:val="es-ES_tradnl" w:eastAsia="es-ES"/>
        </w:rPr>
        <w:t xml:space="preserve"> por razones de interés público, </w:t>
      </w:r>
      <w:r w:rsidRPr="00360FDF">
        <w:rPr>
          <w:rFonts w:ascii="Palatino Linotype" w:eastAsia="MS Mincho" w:hAnsi="Palatino Linotype" w:cs="Times New Roman"/>
          <w:b/>
          <w:i/>
          <w:szCs w:val="24"/>
          <w:lang w:val="es-ES_tradnl" w:eastAsia="es-ES"/>
        </w:rPr>
        <w:t xml:space="preserve">ésta sea </w:t>
      </w:r>
      <w:r w:rsidRPr="00360FDF">
        <w:rPr>
          <w:rFonts w:ascii="Palatino Linotype" w:eastAsia="MS Mincho" w:hAnsi="Palatino Linotype" w:cs="Times New Roman"/>
          <w:b/>
          <w:i/>
          <w:szCs w:val="24"/>
          <w:u w:val="single"/>
          <w:lang w:val="es-ES_tradnl" w:eastAsia="es-ES"/>
        </w:rPr>
        <w:t>clasificada como reservada</w:t>
      </w:r>
      <w:r w:rsidRPr="00360FDF">
        <w:rPr>
          <w:rFonts w:ascii="Palatino Linotype" w:eastAsia="MS Mincho" w:hAnsi="Palatino Linotype" w:cs="Times New Roman"/>
          <w:b/>
          <w:i/>
          <w:szCs w:val="24"/>
          <w:lang w:val="es-ES_tradnl" w:eastAsia="es-ES"/>
        </w:rPr>
        <w:t>, conforme a los criterios siguientes</w:t>
      </w:r>
      <w:r w:rsidRPr="00360FDF">
        <w:rPr>
          <w:rFonts w:ascii="Palatino Linotype" w:eastAsia="MS Mincho" w:hAnsi="Palatino Linotype" w:cs="Times New Roman"/>
          <w:i/>
          <w:szCs w:val="24"/>
          <w:lang w:val="es-ES_tradnl" w:eastAsia="es-ES"/>
        </w:rPr>
        <w:t>:</w:t>
      </w:r>
    </w:p>
    <w:p w14:paraId="704D79F9" w14:textId="77777777" w:rsidR="00A26C04" w:rsidRPr="00360FDF" w:rsidRDefault="00A26C04" w:rsidP="00A26C04">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r w:rsidRPr="00360FDF">
        <w:rPr>
          <w:rFonts w:ascii="Palatino Linotype" w:eastAsia="MS Mincho" w:hAnsi="Palatino Linotype" w:cs="Times New Roman"/>
          <w:i/>
          <w:szCs w:val="24"/>
          <w:lang w:val="es-ES_tradnl" w:eastAsia="es-ES"/>
        </w:rPr>
        <w:t>(…)</w:t>
      </w:r>
    </w:p>
    <w:p w14:paraId="674D4761" w14:textId="77777777" w:rsidR="00A26C04" w:rsidRPr="00360FDF" w:rsidRDefault="00A26C04" w:rsidP="00A26C04">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r w:rsidRPr="00360FDF">
        <w:rPr>
          <w:rFonts w:ascii="Palatino Linotype" w:eastAsia="MS Mincho" w:hAnsi="Palatino Linotype" w:cs="Times New Roman"/>
          <w:b/>
          <w:i/>
          <w:szCs w:val="24"/>
          <w:lang w:val="es-ES_tradnl"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w:t>
      </w:r>
      <w:r w:rsidRPr="00360FDF">
        <w:rPr>
          <w:rFonts w:ascii="Palatino Linotype" w:eastAsia="MS Mincho" w:hAnsi="Palatino Linotype" w:cs="Times New Roman"/>
          <w:i/>
          <w:szCs w:val="24"/>
          <w:lang w:val="es-ES_tradnl" w:eastAsia="es-ES"/>
        </w:rPr>
        <w:t>,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AB8533F" w14:textId="77777777" w:rsidR="00A26C04" w:rsidRPr="00360FDF" w:rsidRDefault="00A26C04" w:rsidP="00A26C04">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r w:rsidRPr="00360FDF">
        <w:rPr>
          <w:rFonts w:ascii="Palatino Linotype" w:eastAsia="MS Mincho" w:hAnsi="Palatino Linotype" w:cs="Times New Roman"/>
          <w:i/>
          <w:szCs w:val="24"/>
          <w:lang w:val="es-ES_tradnl" w:eastAsia="es-ES"/>
        </w:rPr>
        <w:t>(…)</w:t>
      </w:r>
    </w:p>
    <w:p w14:paraId="2C5E46CB" w14:textId="77777777" w:rsidR="00A26C04" w:rsidRPr="00360FDF" w:rsidRDefault="00A26C04" w:rsidP="00A26C04">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r w:rsidRPr="00360FDF">
        <w:rPr>
          <w:rFonts w:ascii="Palatino Linotype" w:eastAsia="MS Mincho" w:hAnsi="Palatino Linotype" w:cs="Times New Roman"/>
          <w:b/>
          <w:i/>
          <w:szCs w:val="24"/>
          <w:lang w:val="es-ES_tradnl" w:eastAsia="es-ES"/>
        </w:rPr>
        <w:t>VIII. Vulnere la conducción de los</w:t>
      </w:r>
      <w:r w:rsidRPr="00360FDF">
        <w:rPr>
          <w:rFonts w:ascii="Palatino Linotype" w:eastAsia="MS Mincho" w:hAnsi="Palatino Linotype" w:cs="Times New Roman"/>
          <w:i/>
          <w:szCs w:val="24"/>
          <w:lang w:val="es-ES_tradnl" w:eastAsia="es-ES"/>
        </w:rPr>
        <w:t xml:space="preserve"> expedientes judiciales o de los </w:t>
      </w:r>
      <w:r w:rsidRPr="00360FDF">
        <w:rPr>
          <w:rFonts w:ascii="Palatino Linotype" w:eastAsia="MS Mincho" w:hAnsi="Palatino Linotype" w:cs="Times New Roman"/>
          <w:b/>
          <w:i/>
          <w:szCs w:val="24"/>
          <w:lang w:val="es-ES_tradnl" w:eastAsia="es-ES"/>
        </w:rPr>
        <w:t>procedimientos administrativos</w:t>
      </w:r>
      <w:r w:rsidRPr="00360FDF">
        <w:rPr>
          <w:rFonts w:ascii="Palatino Linotype" w:eastAsia="MS Mincho" w:hAnsi="Palatino Linotype" w:cs="Times New Roman"/>
          <w:i/>
          <w:szCs w:val="24"/>
          <w:lang w:val="es-ES_tradnl" w:eastAsia="es-ES"/>
        </w:rPr>
        <w:t xml:space="preserve"> seguidos en forma de juicio, </w:t>
      </w:r>
      <w:r w:rsidRPr="00360FDF">
        <w:rPr>
          <w:rFonts w:ascii="Palatino Linotype" w:eastAsia="MS Mincho" w:hAnsi="Palatino Linotype" w:cs="Times New Roman"/>
          <w:b/>
          <w:i/>
          <w:szCs w:val="24"/>
          <w:lang w:val="es-ES_tradnl" w:eastAsia="es-ES"/>
        </w:rPr>
        <w:t>en tanto no hayan quedado firmes</w:t>
      </w:r>
      <w:r w:rsidRPr="00360FDF">
        <w:rPr>
          <w:rFonts w:ascii="Palatino Linotype" w:eastAsia="MS Mincho" w:hAnsi="Palatino Linotype" w:cs="Times New Roman"/>
          <w:i/>
          <w:szCs w:val="24"/>
          <w:lang w:val="es-ES_tradnl" w:eastAsia="es-ES"/>
        </w:rPr>
        <w:t>;</w:t>
      </w:r>
    </w:p>
    <w:p w14:paraId="37CEA859" w14:textId="77777777" w:rsidR="00A26C04" w:rsidRPr="00360FDF" w:rsidRDefault="00A26C04" w:rsidP="00A26C04">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r w:rsidRPr="00360FDF">
        <w:rPr>
          <w:rFonts w:ascii="Palatino Linotype" w:eastAsia="MS Mincho" w:hAnsi="Palatino Linotype" w:cs="Times New Roman"/>
          <w:i/>
          <w:szCs w:val="24"/>
          <w:lang w:val="es-ES_tradnl" w:eastAsia="es-ES"/>
        </w:rPr>
        <w:t>(…)”</w:t>
      </w:r>
    </w:p>
    <w:p w14:paraId="0E1D2691" w14:textId="77777777" w:rsidR="00A26C04" w:rsidRPr="00360FDF" w:rsidRDefault="00A26C04" w:rsidP="00A26C04">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p>
    <w:p w14:paraId="0F5D400D" w14:textId="77777777" w:rsidR="00A26C04" w:rsidRPr="00360FDF" w:rsidRDefault="00A26C04" w:rsidP="00A26C04">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p>
    <w:p w14:paraId="076EEF1E" w14:textId="77777777" w:rsidR="00A26C04" w:rsidRPr="00360FDF" w:rsidRDefault="00A26C04" w:rsidP="00A26C04">
      <w:pPr>
        <w:widowControl w:val="0"/>
        <w:autoSpaceDE w:val="0"/>
        <w:autoSpaceDN w:val="0"/>
        <w:adjustRightInd w:val="0"/>
        <w:spacing w:before="360" w:after="240" w:line="360" w:lineRule="auto"/>
        <w:ind w:left="567" w:right="567"/>
        <w:contextualSpacing/>
        <w:jc w:val="center"/>
        <w:rPr>
          <w:rFonts w:ascii="Palatino Linotype" w:eastAsia="MS Mincho" w:hAnsi="Palatino Linotype" w:cs="Arial"/>
          <w:b/>
          <w:i/>
          <w:szCs w:val="24"/>
          <w:lang w:val="es-ES_tradnl" w:eastAsia="es-ES"/>
        </w:rPr>
      </w:pPr>
      <w:r w:rsidRPr="00360FDF">
        <w:rPr>
          <w:rFonts w:ascii="Palatino Linotype" w:eastAsia="MS Mincho" w:hAnsi="Palatino Linotype" w:cs="Arial"/>
          <w:b/>
          <w:i/>
          <w:szCs w:val="24"/>
          <w:lang w:val="es-ES_tradnl" w:eastAsia="es-ES"/>
        </w:rPr>
        <w:t>LINEAMIENTOS GENERALES EN MATERIA DE CLASIFICACIÓN, DESCLASIFICACIÓN DE LA INFORMACIÓN, ASÍ COMO PARA LA ELABORACIÓN DE VERSIONES PÚBLICAS</w:t>
      </w:r>
    </w:p>
    <w:p w14:paraId="45D814CF" w14:textId="77777777" w:rsidR="00A26C04" w:rsidRPr="00360FDF" w:rsidRDefault="00A26C04" w:rsidP="00A26C04">
      <w:pPr>
        <w:widowControl w:val="0"/>
        <w:autoSpaceDE w:val="0"/>
        <w:autoSpaceDN w:val="0"/>
        <w:adjustRightInd w:val="0"/>
        <w:spacing w:before="360" w:after="240" w:line="360" w:lineRule="auto"/>
        <w:ind w:left="567" w:right="567"/>
        <w:contextualSpacing/>
        <w:jc w:val="both"/>
        <w:rPr>
          <w:rFonts w:ascii="Palatino Linotype" w:eastAsia="MS Mincho" w:hAnsi="Palatino Linotype" w:cs="Arial"/>
          <w:i/>
          <w:szCs w:val="24"/>
          <w:lang w:eastAsia="es-ES"/>
        </w:rPr>
      </w:pPr>
      <w:r w:rsidRPr="00360FDF">
        <w:rPr>
          <w:rFonts w:ascii="Palatino Linotype" w:eastAsia="MS Mincho" w:hAnsi="Palatino Linotype" w:cs="Arial"/>
          <w:i/>
          <w:szCs w:val="24"/>
          <w:lang w:eastAsia="es-ES"/>
        </w:rPr>
        <w:t>“</w:t>
      </w:r>
      <w:r w:rsidRPr="00360FDF">
        <w:rPr>
          <w:rFonts w:ascii="Palatino Linotype" w:eastAsia="MS Mincho" w:hAnsi="Palatino Linotype" w:cs="Arial"/>
          <w:b/>
          <w:i/>
          <w:szCs w:val="24"/>
          <w:lang w:eastAsia="es-ES"/>
        </w:rPr>
        <w:t>Vigésimo octavo.</w:t>
      </w:r>
      <w:r w:rsidRPr="00360FDF">
        <w:rPr>
          <w:rFonts w:ascii="Palatino Linotype" w:eastAsia="MS Mincho" w:hAnsi="Palatino Linotype" w:cs="Arial"/>
          <w:i/>
          <w:szCs w:val="24"/>
          <w:lang w:eastAsia="es-ES"/>
        </w:rPr>
        <w:t xml:space="preserve"> De conformidad con el artículo 113, fracción IX de la Ley General, </w:t>
      </w:r>
      <w:r w:rsidRPr="00360FDF">
        <w:rPr>
          <w:rFonts w:ascii="Palatino Linotype" w:eastAsia="MS Mincho" w:hAnsi="Palatino Linotype" w:cs="Arial"/>
          <w:b/>
          <w:i/>
          <w:szCs w:val="24"/>
          <w:lang w:eastAsia="es-ES"/>
        </w:rPr>
        <w:t xml:space="preserve">podrá considerarse como información reservada, aquella que obstruya los procedimientos para fincar responsabilidad a los servidores públicos, en tanto </w:t>
      </w:r>
      <w:r w:rsidRPr="00360FDF">
        <w:rPr>
          <w:rFonts w:ascii="Palatino Linotype" w:eastAsia="MS Mincho" w:hAnsi="Palatino Linotype" w:cs="Arial"/>
          <w:b/>
          <w:i/>
          <w:szCs w:val="24"/>
          <w:lang w:eastAsia="es-ES"/>
        </w:rPr>
        <w:lastRenderedPageBreak/>
        <w:t>no se haya dictado la resolución administrativa correspondiente</w:t>
      </w:r>
      <w:r w:rsidRPr="00360FDF">
        <w:rPr>
          <w:rFonts w:ascii="Palatino Linotype" w:eastAsia="MS Mincho" w:hAnsi="Palatino Linotype" w:cs="Arial"/>
          <w:i/>
          <w:szCs w:val="24"/>
          <w:lang w:eastAsia="es-ES"/>
        </w:rPr>
        <w:t>; para lo cual, se deberán acreditar los siguientes supuestos:</w:t>
      </w:r>
    </w:p>
    <w:p w14:paraId="0DA32AE9" w14:textId="77777777" w:rsidR="00A26C04" w:rsidRPr="00360FDF" w:rsidRDefault="00A26C04" w:rsidP="00A26C04">
      <w:pPr>
        <w:widowControl w:val="0"/>
        <w:autoSpaceDE w:val="0"/>
        <w:autoSpaceDN w:val="0"/>
        <w:adjustRightInd w:val="0"/>
        <w:spacing w:before="360" w:after="240" w:line="360" w:lineRule="auto"/>
        <w:ind w:left="567" w:right="567"/>
        <w:contextualSpacing/>
        <w:jc w:val="both"/>
        <w:rPr>
          <w:rFonts w:ascii="Palatino Linotype" w:eastAsia="MS Mincho" w:hAnsi="Palatino Linotype" w:cs="Arial"/>
          <w:i/>
          <w:szCs w:val="24"/>
          <w:lang w:eastAsia="es-ES"/>
        </w:rPr>
      </w:pPr>
      <w:r w:rsidRPr="00360FDF">
        <w:rPr>
          <w:rFonts w:ascii="Palatino Linotype" w:eastAsia="MS Mincho" w:hAnsi="Palatino Linotype" w:cs="Arial"/>
          <w:b/>
          <w:i/>
          <w:szCs w:val="24"/>
          <w:lang w:eastAsia="es-ES"/>
        </w:rPr>
        <w:t>I.</w:t>
      </w:r>
      <w:r w:rsidRPr="00360FDF">
        <w:rPr>
          <w:rFonts w:ascii="Palatino Linotype" w:eastAsia="MS Mincho" w:hAnsi="Palatino Linotype" w:cs="Arial"/>
          <w:i/>
          <w:szCs w:val="24"/>
          <w:lang w:eastAsia="es-ES"/>
        </w:rPr>
        <w:t xml:space="preserve"> La existencia de un procedimiento de responsabilidad administrativa en trámite, y</w:t>
      </w:r>
    </w:p>
    <w:p w14:paraId="47B1DABA" w14:textId="77777777" w:rsidR="00A26C04" w:rsidRPr="00360FDF" w:rsidRDefault="00A26C04" w:rsidP="00A26C04">
      <w:pPr>
        <w:widowControl w:val="0"/>
        <w:autoSpaceDE w:val="0"/>
        <w:autoSpaceDN w:val="0"/>
        <w:adjustRightInd w:val="0"/>
        <w:spacing w:before="360" w:after="240" w:line="360" w:lineRule="auto"/>
        <w:ind w:left="567" w:right="567"/>
        <w:contextualSpacing/>
        <w:jc w:val="both"/>
        <w:rPr>
          <w:rFonts w:ascii="Palatino Linotype" w:eastAsia="MS Mincho" w:hAnsi="Palatino Linotype" w:cs="Arial"/>
          <w:i/>
          <w:szCs w:val="24"/>
          <w:lang w:eastAsia="es-ES"/>
        </w:rPr>
      </w:pPr>
      <w:r w:rsidRPr="00360FDF">
        <w:rPr>
          <w:rFonts w:ascii="Palatino Linotype" w:eastAsia="MS Mincho" w:hAnsi="Palatino Linotype" w:cs="Arial"/>
          <w:b/>
          <w:i/>
          <w:szCs w:val="24"/>
          <w:lang w:eastAsia="es-ES"/>
        </w:rPr>
        <w:t>II.</w:t>
      </w:r>
      <w:r w:rsidRPr="00360FDF">
        <w:rPr>
          <w:rFonts w:ascii="Palatino Linotype" w:eastAsia="MS Mincho" w:hAnsi="Palatino Linotype" w:cs="Arial"/>
          <w:i/>
          <w:szCs w:val="24"/>
          <w:lang w:eastAsia="es-ES"/>
        </w:rPr>
        <w:t xml:space="preserve"> Que la información se refiera a actuaciones, diligencias y constancias propias del procedimiento de responsabilidad.”</w:t>
      </w:r>
    </w:p>
    <w:p w14:paraId="0D20E040" w14:textId="77777777" w:rsidR="00A26C04" w:rsidRPr="00360FDF" w:rsidRDefault="00A26C04" w:rsidP="00A26C04">
      <w:pPr>
        <w:widowControl w:val="0"/>
        <w:autoSpaceDE w:val="0"/>
        <w:autoSpaceDN w:val="0"/>
        <w:adjustRightInd w:val="0"/>
        <w:spacing w:before="360" w:after="240" w:line="360" w:lineRule="auto"/>
        <w:ind w:left="567" w:right="567"/>
        <w:contextualSpacing/>
        <w:jc w:val="both"/>
        <w:rPr>
          <w:rFonts w:ascii="Palatino Linotype" w:eastAsia="MS Mincho" w:hAnsi="Palatino Linotype" w:cs="Arial"/>
          <w:i/>
          <w:szCs w:val="24"/>
          <w:lang w:eastAsia="es-ES"/>
        </w:rPr>
      </w:pPr>
    </w:p>
    <w:p w14:paraId="4147A016" w14:textId="77777777" w:rsidR="00A26C04" w:rsidRPr="00360FDF" w:rsidRDefault="00A26C04" w:rsidP="00A26C04">
      <w:pPr>
        <w:widowControl w:val="0"/>
        <w:autoSpaceDE w:val="0"/>
        <w:autoSpaceDN w:val="0"/>
        <w:adjustRightInd w:val="0"/>
        <w:spacing w:before="360" w:after="240" w:line="360" w:lineRule="auto"/>
        <w:ind w:left="567" w:right="567"/>
        <w:contextualSpacing/>
        <w:jc w:val="both"/>
        <w:rPr>
          <w:rFonts w:ascii="Palatino Linotype" w:eastAsia="MS Mincho" w:hAnsi="Palatino Linotype" w:cs="Arial"/>
          <w:szCs w:val="24"/>
          <w:lang w:eastAsia="es-ES"/>
        </w:rPr>
      </w:pPr>
      <w:r w:rsidRPr="00360FDF">
        <w:rPr>
          <w:rFonts w:ascii="Palatino Linotype" w:eastAsia="MS Mincho" w:hAnsi="Palatino Linotype" w:cs="Arial"/>
          <w:szCs w:val="24"/>
          <w:lang w:eastAsia="es-ES"/>
        </w:rPr>
        <w:t>(Énfasis añadido)</w:t>
      </w:r>
    </w:p>
    <w:p w14:paraId="73D5459B"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7DC2E70"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Así las cosas, como fuera referido en líneas anteriores, para aplicar la prueba de daño, se deberán de precisar las razones objetivas por las que la apertura de la información genera una afectación, acreditando que:</w:t>
      </w:r>
    </w:p>
    <w:p w14:paraId="34EE6484"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892F006" w14:textId="77777777" w:rsidR="00A26C04" w:rsidRPr="00360FDF" w:rsidRDefault="00A26C04" w:rsidP="00814C38">
      <w:pPr>
        <w:widowControl w:val="0"/>
        <w:numPr>
          <w:ilvl w:val="1"/>
          <w:numId w:val="1"/>
        </w:numPr>
        <w:autoSpaceDE w:val="0"/>
        <w:autoSpaceDN w:val="0"/>
        <w:adjustRightInd w:val="0"/>
        <w:spacing w:before="100" w:beforeAutospacing="1" w:after="240" w:afterAutospacing="1" w:line="360" w:lineRule="auto"/>
        <w:ind w:left="1134" w:right="333"/>
        <w:contextualSpacing/>
        <w:jc w:val="both"/>
        <w:rPr>
          <w:rFonts w:ascii="Palatino Linotype" w:eastAsia="MS Mincho" w:hAnsi="Palatino Linotype" w:cs="Times"/>
          <w:color w:val="000000"/>
          <w:sz w:val="24"/>
          <w:szCs w:val="24"/>
          <w:lang w:val="es-ES_tradnl" w:eastAsia="es-ES"/>
        </w:rPr>
      </w:pPr>
      <w:r w:rsidRPr="00360FDF">
        <w:rPr>
          <w:rFonts w:ascii="Palatino Linotype" w:eastAsia="MS Mincho" w:hAnsi="Palatino Linotype" w:cs="Bookman Old Style"/>
          <w:color w:val="000000"/>
          <w:sz w:val="24"/>
          <w:szCs w:val="24"/>
          <w:lang w:val="es-ES_tradnl" w:eastAsia="es-ES"/>
        </w:rPr>
        <w:t xml:space="preserve">La divulgación de la información representa un riesgo real, demostrable e identificable del perjuicio significativo al interés público o a la seguridad pública; </w:t>
      </w:r>
    </w:p>
    <w:p w14:paraId="780EE85F" w14:textId="77777777" w:rsidR="00A26C04" w:rsidRPr="00360FDF" w:rsidRDefault="00A26C04" w:rsidP="00814C38">
      <w:pPr>
        <w:widowControl w:val="0"/>
        <w:numPr>
          <w:ilvl w:val="1"/>
          <w:numId w:val="1"/>
        </w:numPr>
        <w:autoSpaceDE w:val="0"/>
        <w:autoSpaceDN w:val="0"/>
        <w:adjustRightInd w:val="0"/>
        <w:spacing w:before="100" w:beforeAutospacing="1" w:after="240" w:afterAutospacing="1" w:line="360" w:lineRule="auto"/>
        <w:ind w:left="1134" w:right="333"/>
        <w:contextualSpacing/>
        <w:jc w:val="both"/>
        <w:rPr>
          <w:rFonts w:ascii="Palatino Linotype" w:eastAsia="MS Mincho" w:hAnsi="Palatino Linotype" w:cs="Times"/>
          <w:color w:val="000000"/>
          <w:sz w:val="24"/>
          <w:szCs w:val="24"/>
          <w:lang w:val="es-ES_tradnl" w:eastAsia="es-ES"/>
        </w:rPr>
      </w:pPr>
      <w:r w:rsidRPr="00360FDF">
        <w:rPr>
          <w:rFonts w:ascii="Palatino Linotype" w:eastAsia="MS Mincho" w:hAnsi="Palatino Linotype" w:cs="Bookman Old Style"/>
          <w:color w:val="000000"/>
          <w:sz w:val="24"/>
          <w:szCs w:val="24"/>
          <w:lang w:val="es-ES_tradnl" w:eastAsia="es-ES"/>
        </w:rPr>
        <w:t xml:space="preserve">El riesgo de perjuicio que supondría la divulgación supera el interés público general de que se difunda; y </w:t>
      </w:r>
    </w:p>
    <w:p w14:paraId="6EF58EAD" w14:textId="77777777" w:rsidR="00A26C04" w:rsidRPr="00360FDF" w:rsidRDefault="00A26C04" w:rsidP="00814C38">
      <w:pPr>
        <w:widowControl w:val="0"/>
        <w:numPr>
          <w:ilvl w:val="1"/>
          <w:numId w:val="1"/>
        </w:numPr>
        <w:autoSpaceDE w:val="0"/>
        <w:autoSpaceDN w:val="0"/>
        <w:adjustRightInd w:val="0"/>
        <w:spacing w:before="100" w:beforeAutospacing="1" w:after="240" w:afterAutospacing="1" w:line="360" w:lineRule="auto"/>
        <w:ind w:left="1134" w:right="333"/>
        <w:contextualSpacing/>
        <w:jc w:val="both"/>
        <w:rPr>
          <w:rFonts w:ascii="Palatino Linotype" w:eastAsia="MS Mincho" w:hAnsi="Palatino Linotype" w:cs="Times"/>
          <w:color w:val="000000"/>
          <w:sz w:val="24"/>
          <w:szCs w:val="24"/>
          <w:lang w:val="es-ES_tradnl" w:eastAsia="es-ES"/>
        </w:rPr>
      </w:pPr>
      <w:r w:rsidRPr="00360FDF">
        <w:rPr>
          <w:rFonts w:ascii="Palatino Linotype" w:eastAsia="MS Mincho" w:hAnsi="Palatino Linotype" w:cs="Bookman Old Style"/>
          <w:color w:val="000000"/>
          <w:sz w:val="24"/>
          <w:szCs w:val="24"/>
          <w:lang w:val="es-ES_tradnl" w:eastAsia="es-ES"/>
        </w:rPr>
        <w:t xml:space="preserve">La limitación se adecua al principio de proporcionalidad y representa el medio menos restrictivo disponible para evitar el perjuicio. </w:t>
      </w:r>
    </w:p>
    <w:p w14:paraId="5D6F80F3"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9B2DF18" w14:textId="77777777" w:rsidR="00A26C04" w:rsidRPr="00360FDF" w:rsidRDefault="00A26C04" w:rsidP="00A26C04">
      <w:pPr>
        <w:keepNext/>
        <w:keepLines/>
        <w:spacing w:before="240" w:after="0" w:line="360" w:lineRule="auto"/>
        <w:jc w:val="both"/>
        <w:outlineLvl w:val="0"/>
        <w:rPr>
          <w:rFonts w:ascii="Palatino Linotype" w:eastAsia="Calibri" w:hAnsi="Palatino Linotype" w:cstheme="majorBidi"/>
          <w:b/>
          <w:sz w:val="24"/>
          <w:szCs w:val="32"/>
          <w:lang w:val="es-ES_tradnl" w:eastAsia="es-ES"/>
        </w:rPr>
      </w:pPr>
      <w:bookmarkStart w:id="57" w:name="_Toc48828012"/>
      <w:bookmarkStart w:id="58" w:name="_Toc70072777"/>
      <w:bookmarkStart w:id="59" w:name="_Toc72499080"/>
      <w:r w:rsidRPr="00360FDF">
        <w:rPr>
          <w:rFonts w:ascii="Palatino Linotype" w:eastAsia="Calibri" w:hAnsi="Palatino Linotype" w:cstheme="majorBidi"/>
          <w:b/>
          <w:sz w:val="24"/>
          <w:szCs w:val="32"/>
          <w:lang w:val="es-ES_tradnl" w:eastAsia="es-ES"/>
        </w:rPr>
        <w:lastRenderedPageBreak/>
        <w:t>V.II.I.I.I La divulgación de la información representa un riesgo real, demostrable e identificable del perjuicio significativo al interés público o a la seguridad pública.</w:t>
      </w:r>
      <w:bookmarkEnd w:id="57"/>
      <w:bookmarkEnd w:id="58"/>
      <w:bookmarkEnd w:id="59"/>
    </w:p>
    <w:p w14:paraId="7E255602"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9619710"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A efecto de identificar el </w:t>
      </w:r>
      <w:r w:rsidRPr="00360FDF">
        <w:rPr>
          <w:rFonts w:ascii="Palatino Linotype" w:eastAsia="Calibri" w:hAnsi="Palatino Linotype" w:cs="Arial"/>
          <w:bCs/>
          <w:sz w:val="24"/>
          <w:szCs w:val="24"/>
          <w:lang w:val="es-ES_tradnl" w:eastAsia="es-ES"/>
        </w:rPr>
        <w:t>riesgo real</w:t>
      </w:r>
      <w:r w:rsidRPr="00360FDF">
        <w:rPr>
          <w:rFonts w:ascii="Palatino Linotype" w:eastAsia="Calibri" w:hAnsi="Palatino Linotype" w:cs="Arial"/>
          <w:sz w:val="24"/>
          <w:szCs w:val="24"/>
          <w:lang w:val="es-ES_tradnl" w:eastAsia="es-ES"/>
        </w:rPr>
        <w:t xml:space="preserve"> en la publicidad de expedientes pendientes de ser resueltos por el Órgano Interno de Control debemos recapitular la línea procesal: en primer lugar, los que se encuentran en etapa de investigación, de tal modo que la autoridad investigadora aún se encuentra integrando el expediente mediante los documentos de prueba necesarios que le permitan calificar si una conducta determinada se configura como una falta administrativa.</w:t>
      </w:r>
    </w:p>
    <w:p w14:paraId="2FED4942"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D2039F9"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En segundo lugar, se encuentran los expedientes que ya han superado la etapa de investigación, toda vez que la autoridad investigadora terminó de reunir y analizar las pruebas y hechos relacionados con la conducta, realizó un ejercicio de calificación de ésta y concluyó que se incurría en una falta administrativa grave. Todo este análisis es depositado en el Informe de Presunta Responsabilidad Administrativa, el cual es turnado a la autoridad sustanciadora quien, al momento inmediato de admitir el informe, debió emplazar al presunto responsable dentro de un procedimiento de responsabilidades administrativas por faltas graves. De tal manera que las pruebas relacionadas con la conducta relacionada con una falta administrativa grave, ya han sido recabadas y aseguradas, e inclusive dadas a </w:t>
      </w:r>
      <w:r w:rsidRPr="00360FDF">
        <w:rPr>
          <w:rFonts w:ascii="Palatino Linotype" w:eastAsia="Calibri" w:hAnsi="Palatino Linotype" w:cs="Arial"/>
          <w:sz w:val="24"/>
          <w:szCs w:val="24"/>
          <w:lang w:val="es-ES_tradnl" w:eastAsia="es-ES"/>
        </w:rPr>
        <w:lastRenderedPageBreak/>
        <w:t>conocer al servidor público quien presuntamente cometió la falta mediante el emplazamiento.</w:t>
      </w:r>
    </w:p>
    <w:p w14:paraId="185CECDC"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FF780E0"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El Lineamiento Vigésimo octavo de los Lineamientos Generales en Materia de Clasificación, Desclasificación de la Información, así como para la Elaboración de Versiones Públicas, especifica que podrá ser considerada como información reservada aquélla que obstruya los procedimientos para fincar responsabilidad a los servidores públicos, en tanto no se haya dictado una resolución administrativa correspondiente, se deberá acreditar: a) la existencia de un procedimiento en trámite; y, b) que la información se refiera a actuaciones, diligencias y constancias propias del procedimiento de responsabilidad. En ese sentido, se encontrarán en trámite todos los procesos de responsabilidad administrativa hasta en tanto la autoridad sustanciadora no emita una resolución en la que finque la responsabilidad e imponga una sanción. </w:t>
      </w:r>
    </w:p>
    <w:p w14:paraId="1517D9C2"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F09ACC9"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Por otro lado, un expediente administrativo se forma justamente por actuaciones, que en el presente asunto pueden ser quejas, sugerencias, denuncias o auditorías que activaron a la autoridad investigadora para iniciar su investigación; diligencias, como son las auditorías o investigaciones respecto de las conductas que puedan constituir responsabilidades administrativas; y, constancias, como cualquier documento que se emita relacionado con la investigación y el proceso de </w:t>
      </w:r>
      <w:r w:rsidRPr="00360FDF">
        <w:rPr>
          <w:rFonts w:ascii="Palatino Linotype" w:eastAsia="Calibri" w:hAnsi="Palatino Linotype" w:cs="Arial"/>
          <w:sz w:val="24"/>
          <w:szCs w:val="24"/>
          <w:lang w:val="es-ES_tradnl" w:eastAsia="es-ES"/>
        </w:rPr>
        <w:lastRenderedPageBreak/>
        <w:t>responsabilidad administrativa. Por ende, de acreditarse la clasificación de los expedientes, todo su contenido debería ser reservado.</w:t>
      </w:r>
    </w:p>
    <w:p w14:paraId="41367588"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147CC6E"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Bajo esas consideraciones, se identifica un </w:t>
      </w:r>
      <w:r w:rsidRPr="00360FDF">
        <w:rPr>
          <w:rFonts w:ascii="Palatino Linotype" w:eastAsia="Calibri" w:hAnsi="Palatino Linotype" w:cs="Arial"/>
          <w:b/>
          <w:sz w:val="24"/>
          <w:szCs w:val="24"/>
          <w:lang w:val="es-ES_tradnl" w:eastAsia="es-ES"/>
        </w:rPr>
        <w:t>riesgo real</w:t>
      </w:r>
      <w:r w:rsidRPr="00360FDF">
        <w:rPr>
          <w:rFonts w:ascii="Palatino Linotype" w:eastAsia="Calibri" w:hAnsi="Palatino Linotype" w:cs="Arial"/>
          <w:sz w:val="24"/>
          <w:szCs w:val="24"/>
          <w:lang w:val="es-ES_tradnl" w:eastAsia="es-ES"/>
        </w:rPr>
        <w:t xml:space="preserve"> en la publicación de expedientes sustanciados por la Órgano Interno de Control , cuya vida procesal se encuentre aún en la etapa de investigación, porque se pueden robar, alterar, modificar o extinguir pruebas elementales que permitan determinar la gravedad de una conducta, así como identificar al servidor público quien la cometió, mismo que, a su vez, es </w:t>
      </w:r>
      <w:r w:rsidRPr="00360FDF">
        <w:rPr>
          <w:rFonts w:ascii="Palatino Linotype" w:eastAsia="Calibri" w:hAnsi="Palatino Linotype" w:cs="Arial"/>
          <w:b/>
          <w:sz w:val="24"/>
          <w:szCs w:val="24"/>
          <w:lang w:val="es-ES_tradnl" w:eastAsia="es-ES"/>
        </w:rPr>
        <w:t xml:space="preserve">demostrable </w:t>
      </w:r>
      <w:r w:rsidRPr="00360FDF">
        <w:rPr>
          <w:rFonts w:ascii="Palatino Linotype" w:eastAsia="Calibri" w:hAnsi="Palatino Linotype" w:cs="Arial"/>
          <w:sz w:val="24"/>
          <w:szCs w:val="24"/>
          <w:lang w:val="es-ES_tradnl" w:eastAsia="es-ES"/>
        </w:rPr>
        <w:t xml:space="preserve">ya que esta etapa procesal se centra en la investigación que realiza la autoridad investigadora, mientras que el servidor público que tiene el carácter de presunto responsable aún no tiene conocimiento formal de la investigación. Evidentemente, si el acceso a la información trajera como consecuencia que el presunto responsable conozca sobre la sustanciación de la responsabilidad administrativa, la investigación preventiva podría verse afectada por intentos encaminados a desvirtuar el hecho. </w:t>
      </w:r>
    </w:p>
    <w:p w14:paraId="1A7A72A0"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68C35B8"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Sin embargo, en los casos en que ya se haya emplazado al presunto responsable, el riesgo real, señalado en el párrafo anterior, deja de existir, porque ya está enterado de las circunstancias del hecho que se le imputa y, la autoridad investigadora ya ha formulado de manera formal la acusación ante la autoridad </w:t>
      </w:r>
      <w:r w:rsidRPr="00360FDF">
        <w:rPr>
          <w:rFonts w:ascii="Palatino Linotype" w:eastAsia="Calibri" w:hAnsi="Palatino Linotype" w:cs="Arial"/>
          <w:sz w:val="24"/>
          <w:szCs w:val="24"/>
          <w:lang w:val="es-ES_tradnl" w:eastAsia="es-ES"/>
        </w:rPr>
        <w:lastRenderedPageBreak/>
        <w:t>sustanciadora mediante el Informe de Presunta Responsabilidad Administrativa y, calificado la conducta como grave.</w:t>
      </w:r>
    </w:p>
    <w:p w14:paraId="2BF5CCA1"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FB80ED6"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De tal forma que el </w:t>
      </w:r>
      <w:r w:rsidRPr="00360FDF">
        <w:rPr>
          <w:rFonts w:ascii="Palatino Linotype" w:eastAsia="Calibri" w:hAnsi="Palatino Linotype" w:cs="Arial"/>
          <w:b/>
          <w:sz w:val="24"/>
          <w:szCs w:val="24"/>
          <w:lang w:val="es-ES_tradnl" w:eastAsia="es-ES"/>
        </w:rPr>
        <w:t>riesgo identificable</w:t>
      </w:r>
      <w:r w:rsidRPr="00360FDF">
        <w:rPr>
          <w:rFonts w:ascii="Palatino Linotype" w:eastAsia="Calibri" w:hAnsi="Palatino Linotype" w:cs="Arial"/>
          <w:sz w:val="24"/>
          <w:szCs w:val="24"/>
          <w:lang w:val="es-ES_tradnl" w:eastAsia="es-ES"/>
        </w:rPr>
        <w:t xml:space="preserve"> se halla específicamente en los expedientes relativos a responsabilidades administrativas que se encuentren en la etapa de investigación, toda vez que, como se ha dicho, su publicidad podría causar un daño u obstruir el proceso deliberativo de la autoridad sustanciadora. No así en los expedientes formados por conductas graves que ya hayan superado la etapa de investigación, donde la autoridad investigadora ya emitió un Informe de Presunta Responsabilidad Administrativa y se emplazó formalmente al presunto responsable, puesto que la información determinante para fincar una probable falta ya fue asentada en el propio informe y el servidor público que presuntamente cometió el acto ya ha sido notificado al respecto.</w:t>
      </w:r>
    </w:p>
    <w:p w14:paraId="231DF31F"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F04BBC3" w14:textId="77777777" w:rsidR="00A26C04" w:rsidRPr="00360FDF" w:rsidRDefault="00A26C04" w:rsidP="00A26C04">
      <w:pPr>
        <w:keepNext/>
        <w:keepLines/>
        <w:spacing w:before="240" w:after="0" w:line="360" w:lineRule="auto"/>
        <w:jc w:val="both"/>
        <w:outlineLvl w:val="0"/>
        <w:rPr>
          <w:rFonts w:ascii="Palatino Linotype" w:eastAsia="Calibri" w:hAnsi="Palatino Linotype" w:cstheme="majorBidi"/>
          <w:b/>
          <w:sz w:val="24"/>
          <w:szCs w:val="32"/>
          <w:lang w:val="es-ES_tradnl" w:eastAsia="es-ES"/>
        </w:rPr>
      </w:pPr>
      <w:bookmarkStart w:id="60" w:name="_Toc48828013"/>
      <w:bookmarkStart w:id="61" w:name="_Toc70072778"/>
      <w:bookmarkStart w:id="62" w:name="_Toc72499081"/>
      <w:r w:rsidRPr="00360FDF">
        <w:rPr>
          <w:rFonts w:ascii="Palatino Linotype" w:eastAsia="Calibri" w:hAnsi="Palatino Linotype" w:cstheme="majorBidi"/>
          <w:b/>
          <w:sz w:val="24"/>
          <w:szCs w:val="32"/>
          <w:lang w:val="es-ES_tradnl" w:eastAsia="es-ES"/>
        </w:rPr>
        <w:t>V.II.I.I.II El riesgo de perjuicio que supondría la divulgación supera el interés público general de que se difunda.</w:t>
      </w:r>
      <w:bookmarkEnd w:id="60"/>
      <w:bookmarkEnd w:id="61"/>
      <w:bookmarkEnd w:id="62"/>
    </w:p>
    <w:p w14:paraId="03A3F6F8"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4463460"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Habiendo identificado el riesgo, debemos comprobar que el mismo supera el interés público general porque se difunda dicha información; o si, por el contrario, el interés público supera el riesgo de su difusión.</w:t>
      </w:r>
    </w:p>
    <w:p w14:paraId="54542E20"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C7A6701"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lastRenderedPageBreak/>
        <w:t>Como se ha expuesto a lo largo del presente estudio, el derecho de acceso a la información encuentra su excepción en la clasificación de la información, cuando se actualice una hipótesis jurídica ya sea por confidencialidad o reserva. Los Recurrentes ejercen su derecho de acceder a la información en posesión de los Sujetos Obligados para promover la transparencia y rendición de cuentas; no obstante, en cada caso es necesario verificar si la información puede ser proporcionada.</w:t>
      </w:r>
    </w:p>
    <w:p w14:paraId="3ECE61FD"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E91EB79"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Recapitulando el punto anterior, el entregar al particular un expediente cuya vida procesal se encuentre dentro de la etapa de investigación puede vulnerar la información que forma parte de la averiguación realizada por la autoridad investigadora, toda vez que el presunto responsable puede ser alertado de las diligencias llevadas a cabo por la autoridad investigadora y, en agravio de las diligencias de investigación, puede entorpecer, esconder o destruir las pruebas que permitan sustanciar la o las faltas.</w:t>
      </w:r>
    </w:p>
    <w:p w14:paraId="0F033C27"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A276AAE"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No obstante, se insiste, una vez que la autoridad investigadora ha analizado los hechos y medios de prueba relativos a la conducta, ésta asentará sus determinaciones en el Informe de Presunta Responsabilidad Administrativa, el cual será remitido a la autoridad sustanciadora que, de encontrarlo fundado y motivado, </w:t>
      </w:r>
      <w:r w:rsidRPr="00360FDF">
        <w:rPr>
          <w:rFonts w:ascii="Palatino Linotype" w:eastAsia="Calibri" w:hAnsi="Palatino Linotype" w:cs="Arial"/>
          <w:sz w:val="24"/>
          <w:szCs w:val="24"/>
          <w:lang w:val="es-ES_tradnl" w:eastAsia="es-ES"/>
        </w:rPr>
        <w:lastRenderedPageBreak/>
        <w:t xml:space="preserve">lo admitirá y, acto seguido, emplazará formalmente al presunto responsable en un procedimiento de responsabilidades administrativas. </w:t>
      </w:r>
    </w:p>
    <w:p w14:paraId="253445C4"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1653EA7"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Bajo esas consideraciones, por cuanto hace a los expedientes pendientes de resolver en la Órgano Interno de Control que se encuentren en la etapa de investigación, el riesgo de perjuicio que generaría su divulgación y, que afectaría al resultado de la investigación, supera en gran medida al interés público de que sean difundidos, toda vez que a nada práctico conduciría su difusión si se entorpece o limita la conclusión de un procedimiento sancionatorio disciplinario. Pesa más que la Órgano Interno de Control pueda hacerse de todos los elementos necesarios para calificar adecuadamente una falta administrativa, y </w:t>
      </w:r>
      <w:proofErr w:type="gramStart"/>
      <w:r w:rsidRPr="00360FDF">
        <w:rPr>
          <w:rFonts w:ascii="Palatino Linotype" w:eastAsia="Calibri" w:hAnsi="Palatino Linotype" w:cs="Arial"/>
          <w:sz w:val="24"/>
          <w:szCs w:val="24"/>
          <w:lang w:val="es-ES_tradnl" w:eastAsia="es-ES"/>
        </w:rPr>
        <w:t>que</w:t>
      </w:r>
      <w:proofErr w:type="gramEnd"/>
      <w:r w:rsidRPr="00360FDF">
        <w:rPr>
          <w:rFonts w:ascii="Palatino Linotype" w:eastAsia="Calibri" w:hAnsi="Palatino Linotype" w:cs="Arial"/>
          <w:sz w:val="24"/>
          <w:szCs w:val="24"/>
          <w:lang w:val="es-ES_tradnl" w:eastAsia="es-ES"/>
        </w:rPr>
        <w:t xml:space="preserve"> al darse a conocer un expediente en etapa de investigación, puedan vulnerarse o destruirse hechos o medios de prueba que impidan determinar la comisión de una conducta que signifique una falta administrativa. </w:t>
      </w:r>
    </w:p>
    <w:p w14:paraId="04216D54"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16BEF22"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En cambio, en el caso de que el servidor público presuntamente responsable de la falta ya conozca la información puesto que ya ha sido emplazado dentro de un procedimiento por responsabilidades administrativas graves, su publicación no genera una lesión al proceso toda vez que los hechos y medios de prueba relacionados con la conducta ya han sido recabados y asentados dentro del Informe de Presunta Responsabilidad Administrativa; y, más aún, el dar a conocer a la </w:t>
      </w:r>
      <w:r w:rsidRPr="00360FDF">
        <w:rPr>
          <w:rFonts w:ascii="Palatino Linotype" w:eastAsia="Calibri" w:hAnsi="Palatino Linotype" w:cs="Arial"/>
          <w:sz w:val="24"/>
          <w:szCs w:val="24"/>
          <w:lang w:val="es-ES_tradnl" w:eastAsia="es-ES"/>
        </w:rPr>
        <w:lastRenderedPageBreak/>
        <w:t xml:space="preserve">ciudadanía el proceso de investigación que se llevó a cabo para fincar un procedimiento de responsabilidades administrativas graves beneficia la rendición de cuentas y transparenta las acciones del </w:t>
      </w:r>
      <w:r w:rsidRPr="00360FDF">
        <w:rPr>
          <w:rFonts w:ascii="Palatino Linotype" w:eastAsia="Calibri" w:hAnsi="Palatino Linotype" w:cs="Arial"/>
          <w:b/>
          <w:sz w:val="24"/>
          <w:szCs w:val="24"/>
          <w:lang w:val="es-ES_tradnl" w:eastAsia="es-ES"/>
        </w:rPr>
        <w:t>SUJETO OBLIGADO</w:t>
      </w:r>
      <w:r w:rsidRPr="00360FDF">
        <w:rPr>
          <w:rFonts w:ascii="Palatino Linotype" w:eastAsia="Calibri" w:hAnsi="Palatino Linotype" w:cs="Arial"/>
          <w:sz w:val="24"/>
          <w:szCs w:val="24"/>
          <w:lang w:val="es-ES_tradnl" w:eastAsia="es-ES"/>
        </w:rPr>
        <w:t xml:space="preserve"> para atender conflictos de este calibre.</w:t>
      </w:r>
    </w:p>
    <w:p w14:paraId="74C1A6FE"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4304E97" w14:textId="77777777" w:rsidR="00A26C04" w:rsidRPr="00360FDF" w:rsidRDefault="00A26C04" w:rsidP="00A26C04">
      <w:pPr>
        <w:keepNext/>
        <w:keepLines/>
        <w:spacing w:before="240" w:after="0" w:line="360" w:lineRule="auto"/>
        <w:jc w:val="both"/>
        <w:outlineLvl w:val="0"/>
        <w:rPr>
          <w:rFonts w:ascii="Palatino Linotype" w:eastAsia="Calibri" w:hAnsi="Palatino Linotype" w:cstheme="majorBidi"/>
          <w:b/>
          <w:sz w:val="24"/>
          <w:szCs w:val="32"/>
          <w:lang w:val="es-ES_tradnl" w:eastAsia="es-ES"/>
        </w:rPr>
      </w:pPr>
      <w:bookmarkStart w:id="63" w:name="_Toc48828014"/>
      <w:bookmarkStart w:id="64" w:name="_Toc70072779"/>
      <w:bookmarkStart w:id="65" w:name="_Toc72499082"/>
      <w:r w:rsidRPr="00360FDF">
        <w:rPr>
          <w:rFonts w:ascii="Palatino Linotype" w:eastAsia="Calibri" w:hAnsi="Palatino Linotype" w:cstheme="majorBidi"/>
          <w:b/>
          <w:sz w:val="24"/>
          <w:szCs w:val="32"/>
          <w:lang w:val="es-ES_tradnl" w:eastAsia="es-ES"/>
        </w:rPr>
        <w:t>V.II.I.I.III. La protección se adecua al principio de proporcionalidad y representa el medio menos restrictivo disponible para evitar el perjuicio.</w:t>
      </w:r>
      <w:bookmarkEnd w:id="63"/>
      <w:bookmarkEnd w:id="64"/>
      <w:bookmarkEnd w:id="65"/>
    </w:p>
    <w:p w14:paraId="0C43DB7D"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247FBB7"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Finalmente, debemos determinar la ponderación de la invasión que ocasionará la divulgación de los expedientes que se encuentran pendientes de resolverse en la Órgano Interno de Control, y el interés público que presupone esta información.</w:t>
      </w:r>
    </w:p>
    <w:p w14:paraId="3E9062E3"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42E7C46"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Para establecer el juicio de ponderación, la doctrina y los intérpretes jurisdiccionales, recomiendan verificar el cumplimiento de tres juicios: el de necesidad, el de idoneidad y el de estricta proporcionalidad, para ello se sugiere </w:t>
      </w:r>
      <w:r w:rsidRPr="00360FDF">
        <w:rPr>
          <w:rFonts w:ascii="Palatino Linotype" w:eastAsia="Calibri" w:hAnsi="Palatino Linotype" w:cs="Arial"/>
          <w:b/>
          <w:sz w:val="24"/>
          <w:szCs w:val="24"/>
          <w:u w:val="single"/>
          <w:lang w:val="es-ES_tradnl" w:eastAsia="es-ES"/>
        </w:rPr>
        <w:t>emplear los tres juicios</w:t>
      </w:r>
      <w:r w:rsidRPr="00360FDF">
        <w:rPr>
          <w:rFonts w:ascii="Palatino Linotype" w:eastAsia="Calibri" w:hAnsi="Palatino Linotype" w:cs="Arial"/>
          <w:sz w:val="24"/>
          <w:szCs w:val="24"/>
          <w:lang w:val="es-ES_tradnl" w:eastAsia="es-ES"/>
        </w:rPr>
        <w:t xml:space="preserve"> propuestos por la Corte Constitucional Colombiana, siguiendo el principio de ponderación propuesto por el Tribunal Constitucional Alemán que señala el juicio de idoneidad deberá explicar que la medida permite obtener </w:t>
      </w:r>
      <w:r w:rsidRPr="00360FDF">
        <w:rPr>
          <w:rFonts w:ascii="Palatino Linotype" w:eastAsia="Calibri" w:hAnsi="Palatino Linotype" w:cs="Arial"/>
          <w:i/>
          <w:sz w:val="24"/>
          <w:szCs w:val="24"/>
          <w:lang w:val="es-ES_tradnl" w:eastAsia="es-ES"/>
        </w:rPr>
        <w:t>el fin (constitucionalmente legítimo de acuerdo con el principio de razón suficiente);</w:t>
      </w:r>
      <w:r w:rsidRPr="00360FDF">
        <w:rPr>
          <w:rFonts w:ascii="Palatino Linotype" w:eastAsia="Calibri" w:hAnsi="Palatino Linotype" w:cs="Arial"/>
          <w:sz w:val="24"/>
          <w:szCs w:val="24"/>
          <w:lang w:val="es-ES_tradnl" w:eastAsia="es-ES"/>
        </w:rPr>
        <w:t xml:space="preserve"> el de necesidad, a través del cual se debe acreditar que </w:t>
      </w:r>
      <w:r w:rsidRPr="00360FDF">
        <w:rPr>
          <w:rFonts w:ascii="Palatino Linotype" w:eastAsia="Calibri" w:hAnsi="Palatino Linotype" w:cs="Arial"/>
          <w:i/>
          <w:sz w:val="24"/>
          <w:szCs w:val="24"/>
          <w:lang w:val="es-ES_tradnl" w:eastAsia="es-ES"/>
        </w:rPr>
        <w:t xml:space="preserve">no existan medios </w:t>
      </w:r>
      <w:r w:rsidRPr="00360FDF">
        <w:rPr>
          <w:rFonts w:ascii="Palatino Linotype" w:eastAsia="Calibri" w:hAnsi="Palatino Linotype" w:cs="Arial"/>
          <w:i/>
          <w:sz w:val="24"/>
          <w:szCs w:val="24"/>
          <w:lang w:val="es-ES_tradnl" w:eastAsia="es-ES"/>
        </w:rPr>
        <w:lastRenderedPageBreak/>
        <w:t>alternativos igualmente adecuados o idóneos para la obtención del fin, pero menos restrictivos de los principios afectados;</w:t>
      </w:r>
      <w:r w:rsidRPr="00360FDF">
        <w:rPr>
          <w:rFonts w:ascii="Palatino Linotype" w:eastAsia="Calibri" w:hAnsi="Palatino Linotype" w:cs="Arial"/>
          <w:sz w:val="24"/>
          <w:szCs w:val="24"/>
          <w:lang w:val="es-ES_tradnl" w:eastAsia="es-ES"/>
        </w:rPr>
        <w:t xml:space="preserve"> y, por último, el de </w:t>
      </w:r>
      <w:r w:rsidRPr="00360FDF">
        <w:rPr>
          <w:rFonts w:ascii="Palatino Linotype" w:eastAsia="Calibri" w:hAnsi="Palatino Linotype" w:cs="Arial"/>
          <w:i/>
          <w:sz w:val="24"/>
          <w:szCs w:val="24"/>
          <w:lang w:val="es-ES_tradnl" w:eastAsia="es-ES"/>
        </w:rPr>
        <w:t>proporcionalidad en sentido estricto, esto es, que el fin que la efectividad del fin que se persigue se alcance en una medida mayor a la afectación de los principios que sufren restricción, y particularmente, del principio de igualdad.</w:t>
      </w:r>
    </w:p>
    <w:p w14:paraId="46627327"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9E88452"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La Primera Sala de la Suprema Corte de Justicia de la Nación ha establecido criterios orientadores sobre el procedimiento para desahogar lo que denomina como el test de proporcionalidad, a partir de cuatro etapas:</w:t>
      </w:r>
      <w:r w:rsidRPr="00360FDF">
        <w:rPr>
          <w:rFonts w:ascii="Palatino Linotype" w:eastAsia="Calibri" w:hAnsi="Palatino Linotype" w:cs="Arial"/>
          <w:sz w:val="24"/>
          <w:szCs w:val="24"/>
          <w:lang w:val="es-ES" w:eastAsia="es-ES"/>
        </w:rPr>
        <w:t xml:space="preserve"> </w:t>
      </w:r>
      <w:r w:rsidRPr="00360FDF">
        <w:rPr>
          <w:rFonts w:ascii="Palatino Linotype" w:eastAsia="Calibri" w:hAnsi="Palatino Linotype" w:cs="Arial"/>
          <w:i/>
          <w:sz w:val="24"/>
          <w:szCs w:val="24"/>
          <w:lang w:val="es-ES_tradnl" w:eastAsia="es-ES"/>
        </w:rPr>
        <w:t>(i)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w:t>
      </w:r>
      <w:r w:rsidRPr="00360FDF">
        <w:rPr>
          <w:rFonts w:ascii="Palatino Linotype" w:eastAsia="Calibri" w:hAnsi="Palatino Linotype" w:cs="Arial"/>
          <w:i/>
          <w:sz w:val="24"/>
          <w:szCs w:val="24"/>
          <w:vertAlign w:val="superscript"/>
          <w:lang w:val="es-ES_tradnl" w:eastAsia="es-ES"/>
        </w:rPr>
        <w:footnoteReference w:id="11"/>
      </w:r>
    </w:p>
    <w:p w14:paraId="78291FDE"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CB87EEF"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Estos mismos juicios son los que señala el artículo 89 de la Ley de la materia que lo explica de la siguiente manera:</w:t>
      </w:r>
    </w:p>
    <w:p w14:paraId="2CEA7742"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9EDF00D" w14:textId="77777777" w:rsidR="00A26C04" w:rsidRPr="00360FDF" w:rsidRDefault="00A26C04" w:rsidP="00A26C04">
      <w:pPr>
        <w:spacing w:before="100" w:beforeAutospacing="1" w:after="100" w:afterAutospacing="1" w:line="360" w:lineRule="auto"/>
        <w:ind w:left="851" w:right="851"/>
        <w:contextualSpacing/>
        <w:rPr>
          <w:rFonts w:ascii="Palatino Linotype" w:eastAsia="Calibri" w:hAnsi="Palatino Linotype" w:cs="Arial"/>
          <w:i/>
          <w:lang w:eastAsia="es-ES"/>
        </w:rPr>
      </w:pPr>
      <w:r w:rsidRPr="00360FDF">
        <w:rPr>
          <w:rFonts w:ascii="Palatino Linotype" w:eastAsia="Calibri" w:hAnsi="Palatino Linotype" w:cs="Arial"/>
          <w:b/>
          <w:bCs/>
          <w:i/>
          <w:lang w:eastAsia="es-ES"/>
        </w:rPr>
        <w:t xml:space="preserve">Artículo 184. </w:t>
      </w:r>
      <w:r w:rsidRPr="00360FDF">
        <w:rPr>
          <w:rFonts w:ascii="Palatino Linotype" w:eastAsia="Calibri" w:hAnsi="Palatino Linotype" w:cs="Arial"/>
          <w:i/>
          <w:lang w:eastAsia="es-ES"/>
        </w:rPr>
        <w:t xml:space="preserve">El Instituto, al resolver el recurso de revisión y tratándose de información clasificada como confidencial, deberá aplicar una prueba de interés público con base en elementos de idoneidad, necesidad y proporcionalidad, cuando exista una colisión de derechos. </w:t>
      </w:r>
    </w:p>
    <w:p w14:paraId="781EEABA" w14:textId="77777777" w:rsidR="00A26C04" w:rsidRPr="00360FDF" w:rsidRDefault="00A26C04" w:rsidP="00A26C04">
      <w:pPr>
        <w:spacing w:before="100" w:beforeAutospacing="1" w:after="100" w:afterAutospacing="1" w:line="360" w:lineRule="auto"/>
        <w:ind w:left="851" w:right="851"/>
        <w:contextualSpacing/>
        <w:rPr>
          <w:rFonts w:ascii="Palatino Linotype" w:eastAsia="Calibri" w:hAnsi="Palatino Linotype" w:cs="Arial"/>
          <w:i/>
          <w:lang w:eastAsia="es-ES"/>
        </w:rPr>
      </w:pPr>
      <w:r w:rsidRPr="00360FDF">
        <w:rPr>
          <w:rFonts w:ascii="Palatino Linotype" w:eastAsia="Calibri" w:hAnsi="Palatino Linotype" w:cs="Arial"/>
          <w:i/>
          <w:lang w:eastAsia="es-ES"/>
        </w:rPr>
        <w:t>Para estos efectos, se entenderá por:</w:t>
      </w:r>
    </w:p>
    <w:p w14:paraId="551FD0C3" w14:textId="77777777" w:rsidR="00A26C04" w:rsidRPr="00360FDF" w:rsidRDefault="00A26C04" w:rsidP="00A26C04">
      <w:pPr>
        <w:spacing w:before="100" w:beforeAutospacing="1" w:after="100" w:afterAutospacing="1" w:line="360" w:lineRule="auto"/>
        <w:ind w:left="851" w:right="851"/>
        <w:contextualSpacing/>
        <w:rPr>
          <w:rFonts w:ascii="Palatino Linotype" w:eastAsia="Calibri" w:hAnsi="Palatino Linotype" w:cs="Arial"/>
          <w:i/>
          <w:lang w:eastAsia="es-ES"/>
        </w:rPr>
      </w:pPr>
      <w:r w:rsidRPr="00360FDF">
        <w:rPr>
          <w:rFonts w:ascii="Palatino Linotype" w:eastAsia="Calibri" w:hAnsi="Palatino Linotype" w:cs="Arial"/>
          <w:b/>
          <w:bCs/>
          <w:i/>
          <w:lang w:eastAsia="es-ES"/>
        </w:rPr>
        <w:lastRenderedPageBreak/>
        <w:t xml:space="preserve">I. Idoneidad: </w:t>
      </w:r>
      <w:r w:rsidRPr="00360FDF">
        <w:rPr>
          <w:rFonts w:ascii="Palatino Linotype" w:eastAsia="Calibri" w:hAnsi="Palatino Linotype" w:cs="Arial"/>
          <w:i/>
          <w:lang w:eastAsia="es-ES"/>
        </w:rPr>
        <w:t>La legitimidad del derecho adoptado como preferente, que sea el adecuado para el logro de un fin constitucionalmente válido o apto para conseguir el fin pretendido;</w:t>
      </w:r>
    </w:p>
    <w:p w14:paraId="4098B7F5" w14:textId="77777777" w:rsidR="00A26C04" w:rsidRPr="00360FDF" w:rsidRDefault="00A26C04" w:rsidP="00A26C04">
      <w:pPr>
        <w:spacing w:before="100" w:beforeAutospacing="1" w:after="100" w:afterAutospacing="1" w:line="360" w:lineRule="auto"/>
        <w:ind w:left="851" w:right="851"/>
        <w:contextualSpacing/>
        <w:rPr>
          <w:rFonts w:ascii="Palatino Linotype" w:eastAsia="Calibri" w:hAnsi="Palatino Linotype" w:cs="Arial"/>
          <w:i/>
          <w:lang w:eastAsia="es-ES"/>
        </w:rPr>
      </w:pPr>
      <w:r w:rsidRPr="00360FDF">
        <w:rPr>
          <w:rFonts w:ascii="Palatino Linotype" w:eastAsia="Calibri" w:hAnsi="Palatino Linotype" w:cs="Arial"/>
          <w:b/>
          <w:bCs/>
          <w:i/>
          <w:lang w:eastAsia="es-ES"/>
        </w:rPr>
        <w:t xml:space="preserve">II. Necesidad: </w:t>
      </w:r>
      <w:r w:rsidRPr="00360FDF">
        <w:rPr>
          <w:rFonts w:ascii="Palatino Linotype" w:eastAsia="Calibri" w:hAnsi="Palatino Linotype" w:cs="Arial"/>
          <w:i/>
          <w:lang w:eastAsia="es-ES"/>
        </w:rPr>
        <w:t>La falta de un medio alternativo menos lesivo a la apertura de la información para satisfacer el interés público; y</w:t>
      </w:r>
    </w:p>
    <w:p w14:paraId="3DD61A28" w14:textId="77777777" w:rsidR="00A26C04" w:rsidRPr="00360FDF" w:rsidRDefault="00A26C04" w:rsidP="00A26C04">
      <w:pPr>
        <w:spacing w:before="100" w:beforeAutospacing="1" w:after="100" w:afterAutospacing="1" w:line="360" w:lineRule="auto"/>
        <w:ind w:left="851" w:right="851"/>
        <w:contextualSpacing/>
        <w:jc w:val="both"/>
        <w:rPr>
          <w:rFonts w:ascii="Palatino Linotype" w:eastAsia="Calibri" w:hAnsi="Palatino Linotype" w:cs="Arial"/>
          <w:lang w:val="es-ES_tradnl" w:eastAsia="es-ES"/>
        </w:rPr>
      </w:pPr>
      <w:r w:rsidRPr="00360FDF">
        <w:rPr>
          <w:rFonts w:ascii="Palatino Linotype" w:eastAsia="Calibri" w:hAnsi="Palatino Linotype" w:cs="Arial"/>
          <w:b/>
          <w:bCs/>
          <w:i/>
          <w:lang w:eastAsia="es-ES"/>
        </w:rPr>
        <w:t xml:space="preserve">Proporcionalidad: </w:t>
      </w:r>
      <w:r w:rsidRPr="00360FDF">
        <w:rPr>
          <w:rFonts w:ascii="Palatino Linotype" w:eastAsia="Calibri" w:hAnsi="Palatino Linotype" w:cs="Arial"/>
          <w:i/>
          <w:lang w:eastAsia="es-ES"/>
        </w:rPr>
        <w:t>El equilibrio entre el perjuicio y beneficio a favor del interés público, a fin de que la decisión tomada represente un beneficio mayor al perjuicio que podría causar a la población.</w:t>
      </w:r>
    </w:p>
    <w:p w14:paraId="59B63670"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E535296" w14:textId="77777777" w:rsidR="00A26C04" w:rsidRPr="00360FDF" w:rsidRDefault="00A26C04" w:rsidP="00A26C04">
      <w:pPr>
        <w:keepNext/>
        <w:keepLines/>
        <w:spacing w:before="240" w:after="0"/>
        <w:outlineLvl w:val="0"/>
        <w:rPr>
          <w:rFonts w:ascii="Palatino Linotype" w:eastAsia="Calibri" w:hAnsi="Palatino Linotype" w:cstheme="majorBidi"/>
          <w:b/>
          <w:sz w:val="24"/>
          <w:szCs w:val="32"/>
          <w:lang w:val="es-ES_tradnl" w:eastAsia="es-ES"/>
        </w:rPr>
      </w:pPr>
      <w:bookmarkStart w:id="66" w:name="_Toc48828015"/>
      <w:bookmarkStart w:id="67" w:name="_Toc70072780"/>
      <w:bookmarkStart w:id="68" w:name="_Toc72499083"/>
      <w:r w:rsidRPr="00360FDF">
        <w:rPr>
          <w:rFonts w:ascii="Palatino Linotype" w:eastAsia="Calibri" w:hAnsi="Palatino Linotype" w:cstheme="majorBidi"/>
          <w:b/>
          <w:sz w:val="24"/>
          <w:szCs w:val="32"/>
          <w:lang w:val="es-ES_tradnl" w:eastAsia="es-ES"/>
        </w:rPr>
        <w:t>a) Primer juicio: el de idoneidad.</w:t>
      </w:r>
      <w:bookmarkEnd w:id="66"/>
      <w:bookmarkEnd w:id="67"/>
      <w:bookmarkEnd w:id="68"/>
    </w:p>
    <w:p w14:paraId="1D940D8D"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b/>
          <w:bCs/>
          <w:sz w:val="24"/>
          <w:szCs w:val="24"/>
          <w:lang w:val="es-ES_tradnl" w:eastAsia="es-ES"/>
        </w:rPr>
      </w:pPr>
    </w:p>
    <w:p w14:paraId="53D89185"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El principio de idoneidad consiste en que la restricción propuesta sea la idónea para obtener un fin, constitucionalmente legítimo de acuerdo con el principio de razón suficiente.</w:t>
      </w:r>
    </w:p>
    <w:p w14:paraId="3653771B"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B0D0DD7"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Según la Primera Sala de la SCJN, esta primera fase del test consiste en identificar si la medida restrictiva persigue </w:t>
      </w:r>
      <w:r w:rsidRPr="00360FDF">
        <w:rPr>
          <w:rFonts w:ascii="Palatino Linotype" w:eastAsia="Calibri" w:hAnsi="Palatino Linotype" w:cs="Arial"/>
          <w:i/>
          <w:sz w:val="24"/>
          <w:szCs w:val="24"/>
          <w:lang w:val="es-ES_tradnl" w:eastAsia="es-ES"/>
        </w:rPr>
        <w:t xml:space="preserve">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w:t>
      </w:r>
      <w:r w:rsidRPr="00360FDF">
        <w:rPr>
          <w:rFonts w:ascii="Palatino Linotype" w:eastAsia="Calibri" w:hAnsi="Palatino Linotype" w:cs="Arial"/>
          <w:i/>
          <w:sz w:val="24"/>
          <w:szCs w:val="24"/>
          <w:lang w:val="es-ES_tradnl" w:eastAsia="es-ES"/>
        </w:rPr>
        <w:lastRenderedPageBreak/>
        <w:t>constitucionalmente. Esta etapa del análisis presupone la idea de que no cualquier propósito puede justificar la limitación a un derecho fundamental.</w:t>
      </w:r>
    </w:p>
    <w:p w14:paraId="7ED8D26F"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F0DEAA7"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También debemos de considerar que la misma Sala requiere que </w:t>
      </w:r>
      <w:r w:rsidRPr="00360FDF">
        <w:rPr>
          <w:rFonts w:ascii="Palatino Linotype" w:eastAsia="Calibri" w:hAnsi="Palatino Linotype" w:cs="Arial"/>
          <w:i/>
          <w:sz w:val="24"/>
          <w:szCs w:val="24"/>
          <w:lang w:val="es-ES_tradnl" w:eastAsia="es-ES"/>
        </w:rPr>
        <w:t>el examen de idoneidad presupone la existencia de una relación entre la intervención al derecho el fin que persigue dicha afectación, siendo suficiente que la medida contribuya en algún modo y en algún grado a lograr el propósito que busca el legislador.</w:t>
      </w:r>
    </w:p>
    <w:p w14:paraId="33EFEC19"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6415659"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Lo que nos conduce, en este caso, a analizar si la obtención de los expedientes pendientes de resolver en la Órgano Interno de Control, que se encuentren en etapa de investigación y, los relacionados con responsabilidades administrativas graves, permite obtener una finalidad constitucionalmente válida.</w:t>
      </w:r>
    </w:p>
    <w:p w14:paraId="639A50F2"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2205218"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En este caso, la finalidad constitucionalmente válida que se persigue, no es otra sino que permitirle al </w:t>
      </w:r>
      <w:r w:rsidRPr="00360FDF">
        <w:rPr>
          <w:rFonts w:ascii="Palatino Linotype" w:eastAsia="Calibri" w:hAnsi="Palatino Linotype" w:cs="Arial"/>
          <w:b/>
          <w:bCs/>
          <w:sz w:val="24"/>
          <w:szCs w:val="24"/>
          <w:lang w:val="es-ES_tradnl" w:eastAsia="es-ES"/>
        </w:rPr>
        <w:t>SOLICITANTE</w:t>
      </w:r>
      <w:r w:rsidRPr="00360FDF">
        <w:rPr>
          <w:rFonts w:ascii="Palatino Linotype" w:eastAsia="Calibri" w:hAnsi="Palatino Linotype" w:cs="Arial"/>
          <w:sz w:val="24"/>
          <w:szCs w:val="24"/>
          <w:lang w:val="es-ES_tradnl" w:eastAsia="es-ES"/>
        </w:rPr>
        <w:t xml:space="preserve"> en el caso concreto y, a través de él, a la sociedad, indagar: a) si actualmente la Órgano Interno de Control se encuentra investigando conductas relacionadas con faltas administrativas; b) si actualmente se están sustanciando procedimientos por responsabilidades administrativas graves; y c) las características de las faltas administrativas graves cometidas en contra del erario público. Lo cual es indispensable para corroborar que el Municipio de Villa Victoria esté dando un adecuado cumplimiento a las funciones de investigación y </w:t>
      </w:r>
      <w:r w:rsidRPr="00360FDF">
        <w:rPr>
          <w:rFonts w:ascii="Palatino Linotype" w:eastAsia="Calibri" w:hAnsi="Palatino Linotype" w:cs="Arial"/>
          <w:sz w:val="24"/>
          <w:szCs w:val="24"/>
          <w:lang w:val="es-ES_tradnl" w:eastAsia="es-ES"/>
        </w:rPr>
        <w:lastRenderedPageBreak/>
        <w:t>establecimiento de sanciones a los servidores públicos que incurran en faltas administrativas graves.</w:t>
      </w:r>
    </w:p>
    <w:p w14:paraId="1CFA3811"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6459361"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Como hemos señalado, el órgano interno de control del </w:t>
      </w:r>
      <w:r w:rsidRPr="00360FDF">
        <w:rPr>
          <w:rFonts w:ascii="Palatino Linotype" w:eastAsia="Calibri" w:hAnsi="Palatino Linotype" w:cs="Arial"/>
          <w:b/>
          <w:bCs/>
          <w:sz w:val="24"/>
          <w:szCs w:val="24"/>
          <w:lang w:val="es-ES_tradnl" w:eastAsia="es-ES"/>
        </w:rPr>
        <w:t>SUJETO OBLIGADO</w:t>
      </w:r>
      <w:r w:rsidRPr="00360FDF">
        <w:rPr>
          <w:rFonts w:ascii="Palatino Linotype" w:eastAsia="Calibri" w:hAnsi="Palatino Linotype" w:cs="Arial"/>
          <w:sz w:val="24"/>
          <w:szCs w:val="24"/>
          <w:lang w:val="es-ES_tradnl" w:eastAsia="es-ES"/>
        </w:rPr>
        <w:t xml:space="preserve"> crea expedientes para investigar conductas que presumiblemente puedan determinarse como faltas administrativas, con lo que garantizaría la integridad de los funcionarios, así como el buen desempeño de las funciones públicas; de tal forma que, lo que busca el particular con el acceso a estos expedientes es conocer si en la actual administración hay algún tipo de procedimiento motivado por la omisión de los servidores públicos a sus deberes en el correcto desempeño de la función pública.</w:t>
      </w:r>
    </w:p>
    <w:p w14:paraId="7633DAB5"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E5A563A"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Razón de lo anterior, el entregar los expedientes responderá a: a) saber si han ocurrido conductas que deban investigarse para determinar si éstas se configuran como faltas administrativas; b) conocer si han ocurrido conductas determinadas como faltas administrativas graves, y c) si han existido esas conductas, conocer el procedimiento de investigación y sustanciación que el </w:t>
      </w:r>
      <w:r w:rsidRPr="00360FDF">
        <w:rPr>
          <w:rFonts w:ascii="Palatino Linotype" w:eastAsia="Calibri" w:hAnsi="Palatino Linotype" w:cs="Arial"/>
          <w:b/>
          <w:bCs/>
          <w:sz w:val="24"/>
          <w:szCs w:val="24"/>
          <w:lang w:val="es-ES_tradnl" w:eastAsia="es-ES"/>
        </w:rPr>
        <w:t>SUJETO OBLIGADO</w:t>
      </w:r>
      <w:r w:rsidRPr="00360FDF">
        <w:rPr>
          <w:rFonts w:ascii="Palatino Linotype" w:eastAsia="Calibri" w:hAnsi="Palatino Linotype" w:cs="Arial"/>
          <w:sz w:val="24"/>
          <w:szCs w:val="24"/>
          <w:lang w:val="es-ES_tradnl" w:eastAsia="es-ES"/>
        </w:rPr>
        <w:t xml:space="preserve"> se encuentra llevando a cabo para sancionar la conducta.</w:t>
      </w:r>
    </w:p>
    <w:p w14:paraId="2AAACE4E"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5B95B01"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En ese sentido, la medida idónea para satisfacer el derecho de acceso a la información del particular sería el entregar los expedientes que se encuentran en </w:t>
      </w:r>
      <w:r w:rsidRPr="00360FDF">
        <w:rPr>
          <w:rFonts w:ascii="Palatino Linotype" w:eastAsia="Calibri" w:hAnsi="Palatino Linotype" w:cs="Arial"/>
          <w:sz w:val="24"/>
          <w:szCs w:val="24"/>
          <w:lang w:val="es-ES_tradnl" w:eastAsia="es-ES"/>
        </w:rPr>
        <w:lastRenderedPageBreak/>
        <w:t xml:space="preserve">etapa de investigación, así como los relacionados con responsabilidades administrativas graves. Ya que, con su entrega, el </w:t>
      </w:r>
      <w:r w:rsidRPr="00360FDF">
        <w:rPr>
          <w:rFonts w:ascii="Palatino Linotype" w:eastAsia="Calibri" w:hAnsi="Palatino Linotype" w:cs="Arial"/>
          <w:b/>
          <w:bCs/>
          <w:sz w:val="24"/>
          <w:szCs w:val="24"/>
          <w:lang w:val="es-ES_tradnl" w:eastAsia="es-ES"/>
        </w:rPr>
        <w:t>RECURRENTE</w:t>
      </w:r>
      <w:r w:rsidRPr="00360FDF">
        <w:rPr>
          <w:rFonts w:ascii="Palatino Linotype" w:eastAsia="Calibri" w:hAnsi="Palatino Linotype" w:cs="Arial"/>
          <w:sz w:val="24"/>
          <w:szCs w:val="24"/>
          <w:lang w:val="es-ES_tradnl" w:eastAsia="es-ES"/>
        </w:rPr>
        <w:t xml:space="preserve"> podría conocer a ciencia cierta todos y cada uno de los procedimientos que se encuentren en etapa de investigación, así como los relacionados con faltas administrativas graves.</w:t>
      </w:r>
    </w:p>
    <w:p w14:paraId="62E518F1"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9FABED4" w14:textId="77777777" w:rsidR="00A26C04" w:rsidRPr="00360FDF" w:rsidRDefault="00A26C04" w:rsidP="00A26C04">
      <w:pPr>
        <w:keepNext/>
        <w:keepLines/>
        <w:spacing w:before="240" w:after="0"/>
        <w:outlineLvl w:val="0"/>
        <w:rPr>
          <w:rFonts w:ascii="Palatino Linotype" w:eastAsia="Calibri" w:hAnsi="Palatino Linotype" w:cstheme="majorBidi"/>
          <w:b/>
          <w:sz w:val="24"/>
          <w:szCs w:val="32"/>
          <w:lang w:val="es-ES_tradnl" w:eastAsia="es-ES"/>
        </w:rPr>
      </w:pPr>
      <w:bookmarkStart w:id="69" w:name="_Toc48828016"/>
      <w:bookmarkStart w:id="70" w:name="_Toc70072781"/>
      <w:bookmarkStart w:id="71" w:name="_Toc72499084"/>
      <w:r w:rsidRPr="00360FDF">
        <w:rPr>
          <w:rFonts w:ascii="Palatino Linotype" w:eastAsia="Calibri" w:hAnsi="Palatino Linotype" w:cstheme="majorBidi"/>
          <w:b/>
          <w:sz w:val="24"/>
          <w:szCs w:val="32"/>
          <w:lang w:val="es-ES_tradnl" w:eastAsia="es-ES"/>
        </w:rPr>
        <w:t>b) Segundo juicio: el de necesidad.</w:t>
      </w:r>
      <w:bookmarkEnd w:id="69"/>
      <w:bookmarkEnd w:id="70"/>
      <w:bookmarkEnd w:id="71"/>
    </w:p>
    <w:p w14:paraId="7377865B"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B6A4BDE"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El juicio o principio de necesidad, tienen como finalidad acreditar que </w:t>
      </w:r>
      <w:r w:rsidRPr="00360FDF">
        <w:rPr>
          <w:rFonts w:ascii="Palatino Linotype" w:eastAsia="Calibri" w:hAnsi="Palatino Linotype" w:cs="Arial"/>
          <w:i/>
          <w:sz w:val="24"/>
          <w:szCs w:val="24"/>
          <w:lang w:val="es-ES_tradnl" w:eastAsia="es-ES"/>
        </w:rPr>
        <w:t xml:space="preserve">no existan medios alternativos igualmente adecuados o idóneos para la obtención del fin, pero menos restrictivos de los principios afectados, </w:t>
      </w:r>
      <w:r w:rsidRPr="00360FDF">
        <w:rPr>
          <w:rFonts w:ascii="Palatino Linotype" w:eastAsia="Calibri" w:hAnsi="Palatino Linotype" w:cs="Arial"/>
          <w:sz w:val="24"/>
          <w:szCs w:val="24"/>
          <w:lang w:val="es-ES_tradnl" w:eastAsia="es-ES"/>
        </w:rPr>
        <w:t xml:space="preserve">según el Tribunal Constitucional de Colombia, o bien, </w:t>
      </w:r>
      <w:r w:rsidRPr="00360FDF">
        <w:rPr>
          <w:rFonts w:ascii="Palatino Linotype" w:eastAsia="Calibri" w:hAnsi="Palatino Linotype" w:cs="Arial"/>
          <w:i/>
          <w:sz w:val="24"/>
          <w:szCs w:val="24"/>
          <w:lang w:val="es-ES_tradnl" w:eastAsia="es-ES"/>
        </w:rPr>
        <w:t>corresponde analizar si la misma es necesaria o si, por el contrario, existen medidas alternativas que también sean idóneas pero que afecten</w:t>
      </w:r>
      <w:r w:rsidRPr="00360FDF">
        <w:rPr>
          <w:rFonts w:ascii="Palatino Linotype" w:eastAsia="Calibri" w:hAnsi="Palatino Linotype" w:cs="Arial"/>
          <w:sz w:val="24"/>
          <w:szCs w:val="24"/>
          <w:lang w:val="es-ES_tradnl" w:eastAsia="es-ES"/>
        </w:rPr>
        <w:t xml:space="preserve"> </w:t>
      </w:r>
      <w:r w:rsidRPr="00360FDF">
        <w:rPr>
          <w:rFonts w:ascii="Palatino Linotype" w:eastAsia="Calibri" w:hAnsi="Palatino Linotype" w:cs="Arial"/>
          <w:i/>
          <w:sz w:val="24"/>
          <w:szCs w:val="24"/>
          <w:lang w:val="es-ES_tradnl" w:eastAsia="es-ES"/>
        </w:rPr>
        <w:t>en menor grado el derecho fundamental</w:t>
      </w:r>
      <w:r w:rsidRPr="00360FDF">
        <w:rPr>
          <w:rFonts w:ascii="Palatino Linotype" w:eastAsia="Calibri" w:hAnsi="Palatino Linotype" w:cs="Arial"/>
          <w:sz w:val="24"/>
          <w:szCs w:val="24"/>
          <w:lang w:val="es-ES_tradnl" w:eastAsia="es-ES"/>
        </w:rPr>
        <w:t>,</w:t>
      </w:r>
      <w:r w:rsidRPr="00360FDF">
        <w:rPr>
          <w:rFonts w:ascii="Palatino Linotype" w:eastAsia="Calibri" w:hAnsi="Palatino Linotype" w:cs="Arial"/>
          <w:sz w:val="24"/>
          <w:szCs w:val="24"/>
          <w:vertAlign w:val="superscript"/>
          <w:lang w:val="es-ES_tradnl" w:eastAsia="es-ES"/>
        </w:rPr>
        <w:footnoteReference w:id="12"/>
      </w:r>
      <w:r w:rsidRPr="00360FDF">
        <w:rPr>
          <w:rFonts w:ascii="Palatino Linotype" w:eastAsia="Calibri" w:hAnsi="Palatino Linotype" w:cs="Arial"/>
          <w:sz w:val="24"/>
          <w:szCs w:val="24"/>
          <w:lang w:val="es-ES_tradnl" w:eastAsia="es-ES"/>
        </w:rPr>
        <w:t xml:space="preserve"> según la Primera Sala de la SCJN.</w:t>
      </w:r>
    </w:p>
    <w:p w14:paraId="47ED5266"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67EE938"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Dicho lo anterior, por cuanto hace a los expedientes pendientes de resolver en la Órgano Interno de Control que se encuentren a) en etapa de investigación o, b) relacionados con faltas administrativas graves, no pueden sustituirse por otros, en principio de cuentas, porque en éstos se encuentran las actuaciones y pruebas que llevan a la autoridad investigadora a emitir un Informe de Presunta Responsabilidad Administrativa, considerando la falta cometida, su gravedad y el comportamiento del presunto responsable.</w:t>
      </w:r>
    </w:p>
    <w:p w14:paraId="7DC60532"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0C2591C"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Esto es, no existen documentales que puedan sustituir a aquéllas, dada la naturaleza de las mismas. En consecuencia, el acceder a los expedientes sería la medida necesaria para que las personas verifiquen, cuestionen e indaguen, cuántos procedimientos aún se encuentran en etapa de investigación y, en cuántos se han </w:t>
      </w:r>
      <w:r w:rsidRPr="00360FDF">
        <w:rPr>
          <w:rFonts w:ascii="Palatino Linotype" w:eastAsia="Calibri" w:hAnsi="Palatino Linotype" w:cs="Arial"/>
          <w:sz w:val="24"/>
          <w:szCs w:val="24"/>
          <w:lang w:val="es-ES_tradnl" w:eastAsia="es-ES"/>
        </w:rPr>
        <w:lastRenderedPageBreak/>
        <w:t>iniciado procedimientos de responsabilidades administrativas, así como el contenido y desarrollo procesal que cada conflicto lleva.</w:t>
      </w:r>
    </w:p>
    <w:p w14:paraId="2AE14A16"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FE3E956" w14:textId="77777777" w:rsidR="00A26C04" w:rsidRPr="00360FDF" w:rsidRDefault="00A26C04" w:rsidP="00A26C04">
      <w:pPr>
        <w:keepNext/>
        <w:keepLines/>
        <w:spacing w:before="240" w:after="0"/>
        <w:outlineLvl w:val="0"/>
        <w:rPr>
          <w:rFonts w:ascii="Palatino Linotype" w:eastAsia="Calibri" w:hAnsi="Palatino Linotype" w:cstheme="majorBidi"/>
          <w:b/>
          <w:sz w:val="24"/>
          <w:szCs w:val="32"/>
          <w:lang w:val="es-ES_tradnl" w:eastAsia="es-ES"/>
        </w:rPr>
      </w:pPr>
      <w:bookmarkStart w:id="72" w:name="_Toc48828017"/>
      <w:bookmarkStart w:id="73" w:name="_Toc70072782"/>
      <w:bookmarkStart w:id="74" w:name="_Toc72499085"/>
      <w:r w:rsidRPr="00360FDF">
        <w:rPr>
          <w:rFonts w:ascii="Palatino Linotype" w:eastAsia="Calibri" w:hAnsi="Palatino Linotype" w:cstheme="majorBidi"/>
          <w:b/>
          <w:sz w:val="24"/>
          <w:szCs w:val="32"/>
          <w:lang w:val="es-ES_tradnl" w:eastAsia="es-ES"/>
        </w:rPr>
        <w:t>c) Tercer juicio: Estricta proporcionalidad.</w:t>
      </w:r>
      <w:bookmarkEnd w:id="72"/>
      <w:bookmarkEnd w:id="73"/>
      <w:bookmarkEnd w:id="74"/>
    </w:p>
    <w:p w14:paraId="057B5CB1"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89F9A9C"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En términos de la Primera Sala de la SCJN, </w:t>
      </w:r>
      <w:r w:rsidRPr="00360FDF">
        <w:rPr>
          <w:rFonts w:ascii="Palatino Linotype" w:eastAsia="Calibri" w:hAnsi="Palatino Linotype" w:cs="Arial"/>
          <w:i/>
          <w:sz w:val="24"/>
          <w:szCs w:val="24"/>
          <w:lang w:val="es-ES" w:eastAsia="es-ES"/>
        </w:rPr>
        <w:t>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w:t>
      </w:r>
    </w:p>
    <w:p w14:paraId="4DFB483C"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C0EFF69"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A lo largo del presente estudio se ha demostrado que los expedientes pendientes de resolver por el Órgano Interno de Control que se encuentran en etapa de investigación, si son divulgados, se podrían entorpecer las actividades de investigación necesarias para determinar que una conducta actualice una falta administrativa. Sin embargo, en los expedientes relacionados con faltas administrativas graves en los que ya se superó la etapa de investigación y la autoridad sustanciadora ha emplazado al presunto responsable de la conducta, los hechos y pruebas relacionadas con el proceso ya han sido aseguradas, recabadas y asentadas por la autoridad investigadora en el Informe de Presunta Responsabilidad Administrativa, por lo que su publicidad no lesiona un proceso de investigación, ni vulnera la conducción del proceso.</w:t>
      </w:r>
    </w:p>
    <w:p w14:paraId="26694247"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F205D2F"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lastRenderedPageBreak/>
        <w:t xml:space="preserve">Por ello, se propone clasificar como información reservada todos los expedientes pendientes de resolver en la Órgano Interno de Control que se encuentren en la etapa de investigación, hasta en tanto no se haya emitido el Informe de Presunta Responsabilidad Administrativa y emplazado formalmente al presunto responsable en un procedimiento de responsabilidades administrativas. Empero, en un ejercicio de máxima publicidad, se deberá entregar el número de expedientes que se clasifiquen, a fin de no limitar del todo el derecho de acceso a la información del </w:t>
      </w:r>
      <w:r w:rsidRPr="00360FDF">
        <w:rPr>
          <w:rFonts w:ascii="Palatino Linotype" w:eastAsia="Calibri" w:hAnsi="Palatino Linotype" w:cs="Arial"/>
          <w:b/>
          <w:bCs/>
          <w:sz w:val="24"/>
          <w:szCs w:val="24"/>
          <w:lang w:val="es-ES_tradnl" w:eastAsia="es-ES"/>
        </w:rPr>
        <w:t>RECURRENTE</w:t>
      </w:r>
      <w:r w:rsidRPr="00360FDF">
        <w:rPr>
          <w:rFonts w:ascii="Palatino Linotype" w:eastAsia="Calibri" w:hAnsi="Palatino Linotype" w:cs="Arial"/>
          <w:sz w:val="24"/>
          <w:szCs w:val="24"/>
          <w:lang w:val="es-ES_tradnl" w:eastAsia="es-ES"/>
        </w:rPr>
        <w:t xml:space="preserve"> y se le entreguen datos estadísticos que le permitan conocer cuántos expedientes se encuentran dentro de esta etapa.</w:t>
      </w:r>
    </w:p>
    <w:p w14:paraId="07A3A12E"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B6B11AB"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La medida que se propone es estrictamente proporcional en razón de lo siguiente: ¿Estos expedientes son los únicos que pide el particular? Sí. ¿Se pueden reponer? No. ¿La medida adoptada es la idónea para que el </w:t>
      </w:r>
      <w:r w:rsidRPr="00360FDF">
        <w:rPr>
          <w:rFonts w:ascii="Palatino Linotype" w:eastAsia="Calibri" w:hAnsi="Palatino Linotype" w:cs="Arial"/>
          <w:b/>
          <w:bCs/>
          <w:sz w:val="24"/>
          <w:szCs w:val="24"/>
          <w:lang w:val="es-ES_tradnl" w:eastAsia="es-ES"/>
        </w:rPr>
        <w:t>RECURRENTE</w:t>
      </w:r>
      <w:r w:rsidRPr="00360FDF">
        <w:rPr>
          <w:rFonts w:ascii="Palatino Linotype" w:eastAsia="Calibri" w:hAnsi="Palatino Linotype" w:cs="Arial"/>
          <w:sz w:val="24"/>
          <w:szCs w:val="24"/>
          <w:lang w:val="es-ES_tradnl" w:eastAsia="es-ES"/>
        </w:rPr>
        <w:t xml:space="preserve"> ejerza su derecho de acceso a la información? Sí, porque los expedientes en etapa de investigación mantendrán la clasificación como información reservada hasta en tanto la autoridad investigadora no termine de recabar, asegurar y analizar los hechos y pruebas que le permitan determinar si las conductas se relacionan con faltas administrativas graves o no graves. De esta manera, se propiciará que la autoridad investigadora reúna los elementos necesarios para calificar una conducta como una falta administrativa y, mas importante aún, asegure los elementos de prueba necesarios que permitan a la autoridad sustanciadora, en la siguiente etapa </w:t>
      </w:r>
      <w:r w:rsidRPr="00360FDF">
        <w:rPr>
          <w:rFonts w:ascii="Palatino Linotype" w:eastAsia="Calibri" w:hAnsi="Palatino Linotype" w:cs="Arial"/>
          <w:sz w:val="24"/>
          <w:szCs w:val="24"/>
          <w:lang w:val="es-ES_tradnl" w:eastAsia="es-ES"/>
        </w:rPr>
        <w:lastRenderedPageBreak/>
        <w:t>procesal, analizar la conducta, sus particularidades y resolver fincar o no una sanción administrativa disciplinaria.</w:t>
      </w:r>
    </w:p>
    <w:p w14:paraId="45918A30"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B6F2EB2"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Así las cosas, por cuanto hace a los expedientes pendientes de resolver en la Órgano Interno de Control que se encuentren en etapa de investigación, se deberán clasificar como reservados, pero por un período específico, esto es, hasta en tanto no se formule el Informe de Presunta Responsabilidad Administrativa que califique como grave la conducta, y que, a su vez, se haya emplazado al presunto responsable, perfeccionando la </w:t>
      </w:r>
      <w:r w:rsidRPr="00360FDF">
        <w:rPr>
          <w:rFonts w:ascii="Palatino Linotype" w:eastAsia="Calibri" w:hAnsi="Palatino Linotype" w:cs="Arial"/>
          <w:i/>
          <w:iCs/>
          <w:sz w:val="24"/>
          <w:szCs w:val="24"/>
          <w:lang w:val="es-ES_tradnl" w:eastAsia="es-ES"/>
        </w:rPr>
        <w:t>Litis</w:t>
      </w:r>
      <w:r w:rsidRPr="00360FDF">
        <w:rPr>
          <w:rFonts w:ascii="Palatino Linotype" w:eastAsia="Calibri" w:hAnsi="Palatino Linotype" w:cs="Arial"/>
          <w:sz w:val="24"/>
          <w:szCs w:val="24"/>
          <w:lang w:val="es-ES_tradnl" w:eastAsia="es-ES"/>
        </w:rPr>
        <w:t xml:space="preserve"> del procedimiento por faltas administrativas graves.</w:t>
      </w:r>
    </w:p>
    <w:p w14:paraId="735F6C01"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EBF609E"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Por otro lado, se deberán entregar los expedientes formados por responsabilidades administrativas graves, que ya hayan emplazado formalmente al presunto responsable dentro de un procedimiento de responsabilidades administrativas graves, ya que, como se ha demostrado a lo largo de la prueba de daño, su difusión se realiza en estricto apego al artículo 53 de la Ley del Sistema Anticorrupción del Estado de México y Municipios, en concordancia con el artículo 142, fracciones I y IV, de la Ley de Transparencia y Acceso a la Información Pública del Estado de México y Municipios; empero, se deberán proteger los nombres y cargos de los servidores públicos presuntos responsables en aras de proteger el principio de presunción de inocencia, ello como consecuencia de que, si bien los presuntos responsables en encuentran enfrentando un procedimiento de </w:t>
      </w:r>
      <w:r w:rsidRPr="00360FDF">
        <w:rPr>
          <w:rFonts w:ascii="Palatino Linotype" w:eastAsia="Calibri" w:hAnsi="Palatino Linotype" w:cs="Arial"/>
          <w:sz w:val="24"/>
          <w:szCs w:val="24"/>
          <w:lang w:val="es-ES_tradnl" w:eastAsia="es-ES"/>
        </w:rPr>
        <w:lastRenderedPageBreak/>
        <w:t>responsabilidades administrativas por faltas graves, la autoridad sustanciadora aún no ha determinado su culpabilidad puesto que no se ha emitido una resolución que determine una sanción o, por el contrario, determine la inocencia del presunto responsable.</w:t>
      </w:r>
    </w:p>
    <w:p w14:paraId="7EEA69C8"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1E91C70"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La medida que se propone es estrictamente proporcional en razón de lo siguiente: ¿Estos expedientes son los únicos que pide el particular? Sí. ¿Se pueden reponer? No. ¿La medida adoptada es la idónea para que el </w:t>
      </w:r>
      <w:r w:rsidRPr="00360FDF">
        <w:rPr>
          <w:rFonts w:ascii="Palatino Linotype" w:eastAsia="Calibri" w:hAnsi="Palatino Linotype" w:cs="Arial"/>
          <w:b/>
          <w:bCs/>
          <w:sz w:val="24"/>
          <w:szCs w:val="24"/>
          <w:lang w:val="es-ES_tradnl" w:eastAsia="es-ES"/>
        </w:rPr>
        <w:t>RECURRENTE</w:t>
      </w:r>
      <w:r w:rsidRPr="00360FDF">
        <w:rPr>
          <w:rFonts w:ascii="Palatino Linotype" w:eastAsia="Calibri" w:hAnsi="Palatino Linotype" w:cs="Arial"/>
          <w:sz w:val="24"/>
          <w:szCs w:val="24"/>
          <w:lang w:val="es-ES_tradnl" w:eastAsia="es-ES"/>
        </w:rPr>
        <w:t xml:space="preserve"> ejerza su derecho de acceso a la información? Sí, porque se está entregando el expediente completo de conformidad con las fracciones I y IV del numeral 142 de la Ley de Transparencia y Acceso a la Información Pública del Estado de México y Municipios, protegiendo el nombre y cargo de los presuntos responsables en aras de proteger el principio de presunción de inocencia, datos que serán difundidos una vez que la autoridad sustanciadora resuelva el procedimiento de responsabilidades administrativas por faltas graves.</w:t>
      </w:r>
    </w:p>
    <w:p w14:paraId="66F4B50D" w14:textId="77777777" w:rsidR="00C80FAD" w:rsidRPr="00360FDF" w:rsidRDefault="00C80FAD" w:rsidP="00C80FAD">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4D28EB0" w14:textId="77777777" w:rsidR="00A26C04" w:rsidRPr="00360FDF" w:rsidRDefault="00574CB5" w:rsidP="00A26C04">
      <w:pPr>
        <w:keepNext/>
        <w:keepLines/>
        <w:spacing w:before="240" w:after="0"/>
        <w:outlineLvl w:val="0"/>
        <w:rPr>
          <w:rFonts w:ascii="Palatino Linotype" w:eastAsia="Calibri" w:hAnsi="Palatino Linotype" w:cstheme="majorBidi"/>
          <w:b/>
          <w:sz w:val="24"/>
          <w:szCs w:val="32"/>
          <w:lang w:val="es-ES_tradnl" w:eastAsia="es-ES"/>
        </w:rPr>
      </w:pPr>
      <w:bookmarkStart w:id="75" w:name="_Toc48828018"/>
      <w:bookmarkStart w:id="76" w:name="_Toc70072783"/>
      <w:bookmarkStart w:id="77" w:name="_Toc72499086"/>
      <w:r w:rsidRPr="00360FDF">
        <w:rPr>
          <w:rFonts w:ascii="Palatino Linotype" w:eastAsia="Calibri" w:hAnsi="Palatino Linotype" w:cstheme="majorBidi"/>
          <w:b/>
          <w:sz w:val="24"/>
          <w:szCs w:val="32"/>
          <w:lang w:val="es-ES_tradnl" w:eastAsia="es-ES"/>
        </w:rPr>
        <w:t>I</w:t>
      </w:r>
      <w:r w:rsidR="00A26C04" w:rsidRPr="00360FDF">
        <w:rPr>
          <w:rFonts w:ascii="Palatino Linotype" w:eastAsia="Calibri" w:hAnsi="Palatino Linotype" w:cstheme="majorBidi"/>
          <w:b/>
          <w:sz w:val="24"/>
          <w:szCs w:val="32"/>
          <w:lang w:val="es-ES_tradnl" w:eastAsia="es-ES"/>
        </w:rPr>
        <w:t>V.II.II Excepciones.</w:t>
      </w:r>
      <w:bookmarkEnd w:id="75"/>
      <w:bookmarkEnd w:id="76"/>
      <w:bookmarkEnd w:id="77"/>
    </w:p>
    <w:p w14:paraId="2CB8D40D" w14:textId="77777777" w:rsidR="00C80FAD" w:rsidRPr="00360FDF" w:rsidRDefault="00C80FAD" w:rsidP="00A26C04">
      <w:pPr>
        <w:keepNext/>
        <w:keepLines/>
        <w:spacing w:before="240" w:after="0"/>
        <w:outlineLvl w:val="0"/>
        <w:rPr>
          <w:rFonts w:ascii="Palatino Linotype" w:eastAsia="Calibri" w:hAnsi="Palatino Linotype" w:cstheme="majorBidi"/>
          <w:b/>
          <w:sz w:val="24"/>
          <w:szCs w:val="32"/>
          <w:lang w:val="es-ES_tradnl" w:eastAsia="es-ES"/>
        </w:rPr>
      </w:pPr>
    </w:p>
    <w:p w14:paraId="49ABAF98"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El numeral 53 de la Ley del Sistema Anticorrupción del Estado de México y Municipios dispone que las sanciones por faltas administrativas graves serán </w:t>
      </w:r>
      <w:r w:rsidRPr="00360FDF">
        <w:rPr>
          <w:rFonts w:ascii="Palatino Linotype" w:eastAsia="Calibri" w:hAnsi="Palatino Linotype" w:cs="Arial"/>
          <w:sz w:val="24"/>
          <w:szCs w:val="24"/>
          <w:lang w:val="es-ES_tradnl" w:eastAsia="es-ES"/>
        </w:rPr>
        <w:lastRenderedPageBreak/>
        <w:t>públicas cuando de éstas devengan impedimentos o inhabilitaciones para continuar ejerciendo el servicio público.</w:t>
      </w:r>
    </w:p>
    <w:p w14:paraId="5A7C2EE3"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91F9E0B"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Al respecto, la Ley de Responsabilidades Administrativas del Estado de México y Municipios, define de forma clara y concreta cada uno de los actos considerados como faltas administrativas graves de los servidores públicos en sus artículos 53, 54, 55, 56, 57, 58, 59, 60, 61, 62, 63, 64, 65, 66 y 67; y, cuya ejecución se relacionan, en su mayoría, con el abuso del poder público encomendado en un empleo, cargo o comisión, buscando la obtención de un beneficio meramente personal en agravio del Estado, los ciudadanos u otros servidores públicos. </w:t>
      </w:r>
    </w:p>
    <w:p w14:paraId="7CFEF531"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C1159E7"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Lo anterior separa, en consecuencia, a los actos contenidos en el artículo 52 de la Ley de Responsabilidades Administrativas Estatal de todos los demás que pudieran ser investigados y sustanciados por la Contraloría Municipal, ya que éstos se pueden determinar como actos de corrupción. </w:t>
      </w:r>
    </w:p>
    <w:p w14:paraId="20B2CB8F"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6380239"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En ese sentido, debemos traer a estudio lo dispuesto por las fracciones I y IV del numeral 142 de la Ley de Transparencia y Acceso a la Información Pública del Estado de México y Municipios, mismo que se inserta a continuación:</w:t>
      </w:r>
    </w:p>
    <w:p w14:paraId="2DB9ECF2"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0C3C825" w14:textId="77777777" w:rsidR="00A26C04" w:rsidRPr="00360FDF" w:rsidRDefault="00A26C04" w:rsidP="00A26C04">
      <w:pPr>
        <w:spacing w:after="0" w:line="360" w:lineRule="auto"/>
        <w:ind w:left="851" w:right="851"/>
        <w:contextualSpacing/>
        <w:jc w:val="both"/>
        <w:rPr>
          <w:rFonts w:ascii="Palatino Linotype" w:eastAsia="MS Mincho" w:hAnsi="Palatino Linotype" w:cs="Times New Roman"/>
          <w:i/>
          <w:szCs w:val="24"/>
          <w:lang w:val="es-ES_tradnl" w:eastAsia="es-ES"/>
        </w:rPr>
      </w:pPr>
      <w:r w:rsidRPr="00360FDF">
        <w:rPr>
          <w:rFonts w:ascii="Palatino Linotype" w:eastAsia="MS Mincho" w:hAnsi="Palatino Linotype" w:cs="Times New Roman"/>
          <w:i/>
          <w:szCs w:val="24"/>
          <w:lang w:val="es-ES_tradnl" w:eastAsia="es-ES"/>
        </w:rPr>
        <w:t>“</w:t>
      </w:r>
      <w:r w:rsidRPr="00360FDF">
        <w:rPr>
          <w:rFonts w:ascii="Palatino Linotype" w:eastAsia="MS Mincho" w:hAnsi="Palatino Linotype" w:cs="Times New Roman"/>
          <w:b/>
          <w:i/>
          <w:szCs w:val="24"/>
          <w:lang w:val="es-ES_tradnl" w:eastAsia="es-ES"/>
        </w:rPr>
        <w:t>Artículo 142.</w:t>
      </w:r>
      <w:r w:rsidRPr="00360FDF">
        <w:rPr>
          <w:rFonts w:ascii="Palatino Linotype" w:eastAsia="MS Mincho" w:hAnsi="Palatino Linotype" w:cs="Times New Roman"/>
          <w:i/>
          <w:szCs w:val="24"/>
          <w:lang w:val="es-ES_tradnl" w:eastAsia="es-ES"/>
        </w:rPr>
        <w:t xml:space="preserve"> </w:t>
      </w:r>
      <w:r w:rsidRPr="00360FDF">
        <w:rPr>
          <w:rFonts w:ascii="Palatino Linotype" w:eastAsia="MS Mincho" w:hAnsi="Palatino Linotype" w:cs="Times New Roman"/>
          <w:b/>
          <w:i/>
          <w:szCs w:val="24"/>
          <w:lang w:val="es-ES_tradnl" w:eastAsia="es-ES"/>
        </w:rPr>
        <w:t>Bajo ninguna circunstancia podrá invocarse el carácter de reservado cuando:</w:t>
      </w:r>
    </w:p>
    <w:p w14:paraId="01E2112E" w14:textId="77777777" w:rsidR="00A26C04" w:rsidRPr="00360FDF" w:rsidRDefault="00A26C04" w:rsidP="00A26C04">
      <w:pPr>
        <w:spacing w:after="0" w:line="360" w:lineRule="auto"/>
        <w:ind w:left="851" w:right="851"/>
        <w:contextualSpacing/>
        <w:jc w:val="both"/>
        <w:rPr>
          <w:rFonts w:ascii="Palatino Linotype" w:eastAsia="MS Mincho" w:hAnsi="Palatino Linotype" w:cs="Times New Roman"/>
          <w:i/>
          <w:szCs w:val="24"/>
          <w:lang w:val="es-ES_tradnl" w:eastAsia="es-ES"/>
        </w:rPr>
      </w:pPr>
      <w:r w:rsidRPr="00360FDF">
        <w:rPr>
          <w:rFonts w:ascii="Palatino Linotype" w:eastAsia="MS Mincho" w:hAnsi="Palatino Linotype" w:cs="Times New Roman"/>
          <w:b/>
          <w:bCs/>
          <w:i/>
          <w:szCs w:val="24"/>
          <w:lang w:val="es-ES_tradnl" w:eastAsia="es-ES"/>
        </w:rPr>
        <w:lastRenderedPageBreak/>
        <w:t>I. Se trate de violaciones graves de derechos humanos</w:t>
      </w:r>
      <w:r w:rsidRPr="00360FDF">
        <w:rPr>
          <w:rFonts w:ascii="Palatino Linotype" w:eastAsia="MS Mincho" w:hAnsi="Palatino Linotype" w:cs="Times New Roman"/>
          <w:i/>
          <w:szCs w:val="24"/>
          <w:lang w:val="es-ES_tradnl" w:eastAsia="es-ES"/>
        </w:rPr>
        <w:t>, calificada así por autoridad competente;</w:t>
      </w:r>
    </w:p>
    <w:p w14:paraId="58B9CE1A" w14:textId="77777777" w:rsidR="00A26C04" w:rsidRPr="00360FDF" w:rsidRDefault="00A26C04" w:rsidP="00A26C04">
      <w:pPr>
        <w:spacing w:after="0" w:line="360" w:lineRule="auto"/>
        <w:ind w:left="851" w:right="851"/>
        <w:contextualSpacing/>
        <w:jc w:val="both"/>
        <w:rPr>
          <w:rFonts w:ascii="Palatino Linotype" w:eastAsia="MS Mincho" w:hAnsi="Palatino Linotype" w:cs="Times New Roman"/>
          <w:i/>
          <w:szCs w:val="24"/>
          <w:lang w:val="es-ES_tradnl" w:eastAsia="es-ES"/>
        </w:rPr>
      </w:pPr>
      <w:r w:rsidRPr="00360FDF">
        <w:rPr>
          <w:rFonts w:ascii="Palatino Linotype" w:eastAsia="MS Mincho" w:hAnsi="Palatino Linotype" w:cs="Times New Roman"/>
          <w:i/>
          <w:szCs w:val="24"/>
          <w:lang w:val="es-ES_tradnl" w:eastAsia="es-ES"/>
        </w:rPr>
        <w:t>(…)</w:t>
      </w:r>
    </w:p>
    <w:p w14:paraId="6B24A4B8" w14:textId="77777777" w:rsidR="00A26C04" w:rsidRPr="00360FDF" w:rsidRDefault="00A26C04" w:rsidP="00A26C04">
      <w:pPr>
        <w:spacing w:after="0" w:line="360" w:lineRule="auto"/>
        <w:ind w:left="851" w:right="851"/>
        <w:contextualSpacing/>
        <w:jc w:val="both"/>
        <w:rPr>
          <w:rFonts w:ascii="Palatino Linotype" w:eastAsia="MS Mincho" w:hAnsi="Palatino Linotype" w:cs="Times New Roman"/>
          <w:szCs w:val="24"/>
          <w:lang w:val="es-ES_tradnl" w:eastAsia="es-ES"/>
        </w:rPr>
      </w:pPr>
      <w:r w:rsidRPr="00360FDF">
        <w:rPr>
          <w:rFonts w:ascii="Palatino Linotype" w:eastAsia="MS Mincho" w:hAnsi="Palatino Linotype" w:cs="Times New Roman"/>
          <w:b/>
          <w:i/>
          <w:szCs w:val="24"/>
          <w:lang w:val="es-ES_tradnl" w:eastAsia="es-ES"/>
        </w:rPr>
        <w:t>IV. Se trate de información relacionada con actos de corrupción</w:t>
      </w:r>
      <w:r w:rsidRPr="00360FDF">
        <w:rPr>
          <w:rFonts w:ascii="Palatino Linotype" w:eastAsia="MS Mincho" w:hAnsi="Palatino Linotype" w:cs="Times New Roman"/>
          <w:i/>
          <w:szCs w:val="24"/>
          <w:lang w:val="es-ES_tradnl" w:eastAsia="es-ES"/>
        </w:rPr>
        <w:t xml:space="preserve"> de conformidad con las disposiciones jurídicas aplicables.”</w:t>
      </w:r>
    </w:p>
    <w:p w14:paraId="77D01F8D" w14:textId="77777777" w:rsidR="00A26C04" w:rsidRPr="00360FDF" w:rsidRDefault="00A26C04" w:rsidP="00A26C04">
      <w:pPr>
        <w:spacing w:after="0" w:line="360" w:lineRule="auto"/>
        <w:ind w:left="851" w:right="851"/>
        <w:contextualSpacing/>
        <w:jc w:val="both"/>
        <w:rPr>
          <w:rFonts w:ascii="Palatino Linotype" w:eastAsia="Calibri" w:hAnsi="Palatino Linotype" w:cs="Arial"/>
          <w:szCs w:val="24"/>
          <w:lang w:val="es-ES_tradnl" w:eastAsia="es-ES"/>
        </w:rPr>
      </w:pPr>
      <w:r w:rsidRPr="00360FDF">
        <w:rPr>
          <w:rFonts w:ascii="Palatino Linotype" w:eastAsia="MS Mincho" w:hAnsi="Palatino Linotype" w:cs="Times New Roman"/>
          <w:szCs w:val="24"/>
          <w:lang w:val="es-ES_tradnl" w:eastAsia="es-ES"/>
        </w:rPr>
        <w:t>(Énfasis añadido)</w:t>
      </w:r>
    </w:p>
    <w:p w14:paraId="0657560B"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F8C942C"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Así las cosas, la Ley de la materia reconoce a toda la información relacionada con violaciones a derechos humanos y actos de corrupción como información inmune a recibir un tratamiento de clasificación como reservada, en el margen de que, justamente, el hacer del conocimiento a la ciudadanía este tipo de conductas manifestadas por servidores públicos, atiende el objetivo fundamental de la normatividad: el control ciudadano del funcionamiento del Estado y la gestión pública para el combate a la corrupción y la rendición de cuentas.</w:t>
      </w:r>
    </w:p>
    <w:p w14:paraId="2F1D5452"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3389CB1"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Correlativo a lo anterior, el Código Penal Federal, tipifica de manera específica cuáles son los delitos por hechos de corrupción en su Título Décimo, varios de los cuales se relacionan con las faltas administrativas graves contenidas en el artículo 52 de la Ley de Responsabilidades Administrativas del Estado de México y Municipios.</w:t>
      </w:r>
    </w:p>
    <w:p w14:paraId="7DDFF00A"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308A340"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MS Mincho" w:hAnsi="Palatino Linotype" w:cs="Arial"/>
          <w:sz w:val="24"/>
          <w:szCs w:val="24"/>
          <w:lang w:val="es-ES_tradnl" w:eastAsia="es-ES"/>
        </w:rPr>
        <w:t xml:space="preserve">Dicho lo anterior, </w:t>
      </w:r>
      <w:r w:rsidRPr="00360FDF">
        <w:rPr>
          <w:rFonts w:ascii="Palatino Linotype" w:eastAsia="MS Mincho" w:hAnsi="Palatino Linotype" w:cs="Arial"/>
          <w:b/>
          <w:bCs/>
          <w:sz w:val="24"/>
          <w:szCs w:val="24"/>
          <w:lang w:val="es-ES_tradnl" w:eastAsia="es-ES"/>
        </w:rPr>
        <w:t xml:space="preserve">la autoridad quien, en primera instancia, clasifica la conducta sobre la cual se integra un expediente de investigación como una posible </w:t>
      </w:r>
      <w:r w:rsidRPr="00360FDF">
        <w:rPr>
          <w:rFonts w:ascii="Palatino Linotype" w:eastAsia="MS Mincho" w:hAnsi="Palatino Linotype" w:cs="Arial"/>
          <w:b/>
          <w:bCs/>
          <w:sz w:val="24"/>
          <w:szCs w:val="24"/>
          <w:lang w:val="es-ES_tradnl" w:eastAsia="es-ES"/>
        </w:rPr>
        <w:lastRenderedPageBreak/>
        <w:t xml:space="preserve">falta administrativa grave es la Contraloría Municipal, </w:t>
      </w:r>
      <w:r w:rsidRPr="00360FDF">
        <w:rPr>
          <w:rFonts w:ascii="Palatino Linotype" w:eastAsia="MS Mincho" w:hAnsi="Palatino Linotype" w:cs="Arial"/>
          <w:sz w:val="24"/>
          <w:szCs w:val="24"/>
          <w:lang w:val="es-ES_tradnl" w:eastAsia="es-ES"/>
        </w:rPr>
        <w:t>luego, de revisar los supuestos de las faltas administrativas graves, el mismo órgano de control determinará las faltas administrativas graves que corresponden con lo que determina la Ley de Transparencia y Acceso a la Información Pública del Estado de México y Municipios como actos de corrupción</w:t>
      </w:r>
      <w:r w:rsidRPr="00360FDF">
        <w:rPr>
          <w:rFonts w:ascii="Palatino Linotype" w:eastAsia="MS Mincho" w:hAnsi="Palatino Linotype" w:cs="Arial"/>
          <w:b/>
          <w:bCs/>
          <w:sz w:val="24"/>
          <w:szCs w:val="24"/>
          <w:lang w:val="es-ES_tradnl" w:eastAsia="es-ES"/>
        </w:rPr>
        <w:t>.</w:t>
      </w:r>
    </w:p>
    <w:p w14:paraId="4D6B8C37"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1EEFC23"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MS Mincho" w:hAnsi="Palatino Linotype" w:cs="Arial"/>
          <w:sz w:val="24"/>
          <w:szCs w:val="24"/>
          <w:lang w:val="es-ES_tradnl" w:eastAsia="es-ES"/>
        </w:rPr>
        <w:t>Se insiste, este ejercicio de identificación de faltas administrativas graves que se relacionen con actos de corrupción será determinado mediante el Informe de Presunta Responsabilidad Administrativa, pues este instrumento contiene todos los elementos necesarios para comprobar si las responsabilidades administrativas graves son, o no, actos de corrupción.</w:t>
      </w:r>
    </w:p>
    <w:p w14:paraId="384BA29B"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8A9F09F"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MS Mincho" w:hAnsi="Palatino Linotype" w:cs="Arial"/>
          <w:sz w:val="24"/>
          <w:szCs w:val="24"/>
          <w:lang w:val="es-ES_tradnl" w:eastAsia="es-ES"/>
        </w:rPr>
        <w:t xml:space="preserve">En tales circunstancias, de identificarse expedientes que se encuentren en la etapa del procedimiento de responsabilidades administrativas por faltas graves relacionados con violaciones graves de derechos humanos o actos de corrupción, de conformidad con el artículo 142, fracciones I y IV de la Ley de Transparencia y Acceso a la Información Pública del Estado de México y Municipios, y el artículo 53 de la Ley del Sistema Anticorrupción del Estado de México y Municipios, el </w:t>
      </w:r>
      <w:r w:rsidRPr="00360FDF">
        <w:rPr>
          <w:rFonts w:ascii="Palatino Linotype" w:eastAsia="MS Mincho" w:hAnsi="Palatino Linotype" w:cs="Arial"/>
          <w:b/>
          <w:bCs/>
          <w:sz w:val="24"/>
          <w:szCs w:val="24"/>
          <w:lang w:val="es-ES_tradnl" w:eastAsia="es-ES"/>
        </w:rPr>
        <w:t>SUJETO OBLIGADO</w:t>
      </w:r>
      <w:r w:rsidRPr="00360FDF">
        <w:rPr>
          <w:rFonts w:ascii="Palatino Linotype" w:eastAsia="MS Mincho" w:hAnsi="Palatino Linotype" w:cs="Arial"/>
          <w:sz w:val="24"/>
          <w:szCs w:val="24"/>
          <w:lang w:val="es-ES_tradnl" w:eastAsia="es-ES"/>
        </w:rPr>
        <w:t xml:space="preserve"> deberá hacer entrega de estos expedientes al no ser sujetos de clasificación.</w:t>
      </w:r>
    </w:p>
    <w:p w14:paraId="3A80D536"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B803D19"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MS Mincho" w:hAnsi="Palatino Linotype" w:cs="Arial"/>
          <w:sz w:val="24"/>
          <w:szCs w:val="24"/>
          <w:lang w:val="es-ES_tradnl" w:eastAsia="es-ES"/>
        </w:rPr>
        <w:lastRenderedPageBreak/>
        <w:t>Empero, como hemos visto, aunque la publicidad de estos casos se encuentra determinada por la Ley, aún no se ha resuelto la culpabilidad de los presuntos responsables; por lo tanto, se debe hacer una ponderación entre el derecho de acceso a la información y el principio de presunción de inocencia, para así entregar los expedientes relacionados con actos de corrupción protegiendo el nombre y cargo de los servidores públicos presuntos responsables de las faltas.</w:t>
      </w:r>
    </w:p>
    <w:p w14:paraId="01B4E90A"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45CC8FA"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Así las cosas, la Órgano Interno de Control deberá entregar los expedientes relacionados con responsabilidades administrativas graves que ya hayan superado la etapa de investigación y, se haya emplazado formalmente al presunto responsable; empero, en consideración con el principio de estricta proporcionalidad, se deberá clasificar el nombre y cargo del servidor público presunto responsable de la falta como información confidencial.</w:t>
      </w:r>
    </w:p>
    <w:p w14:paraId="4696D5F8"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39B6FF3"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Sustenta lo anterior la Tesis P./J. 43/2014 (10a.) del Máximo Juzgador de la Nación, cuyo contenido es el siguiente:</w:t>
      </w:r>
    </w:p>
    <w:p w14:paraId="1D22837D"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01B0D74" w14:textId="77777777" w:rsidR="00A26C04" w:rsidRPr="00360FDF" w:rsidRDefault="00A26C04" w:rsidP="00A26C04">
      <w:pPr>
        <w:tabs>
          <w:tab w:val="left" w:pos="567"/>
        </w:tabs>
        <w:spacing w:before="100" w:beforeAutospacing="1" w:after="100" w:afterAutospacing="1" w:line="360" w:lineRule="auto"/>
        <w:ind w:left="567" w:right="567"/>
        <w:contextualSpacing/>
        <w:jc w:val="both"/>
        <w:rPr>
          <w:rFonts w:ascii="Palatino Linotype" w:eastAsia="Calibri" w:hAnsi="Palatino Linotype" w:cs="Arial"/>
          <w:i/>
          <w:iCs/>
          <w:lang w:val="es-ES_tradnl" w:eastAsia="es-ES"/>
        </w:rPr>
      </w:pPr>
      <w:r w:rsidRPr="00360FDF">
        <w:rPr>
          <w:rFonts w:ascii="Palatino Linotype" w:eastAsia="Calibri" w:hAnsi="Palatino Linotype" w:cs="Arial"/>
          <w:b/>
          <w:bCs/>
          <w:i/>
          <w:iCs/>
          <w:lang w:val="es-ES_tradnl" w:eastAsia="es-ES"/>
        </w:rPr>
        <w:t>PRESUNCIÓN DE INOCENCIA. ESTE PRINCIPIO ES APLICABLE AL PROCEDIMIENTO ADMINISTRATIVO SANCIONADOR, CON MATICES O MODULACIONES.</w:t>
      </w:r>
      <w:r w:rsidRPr="00360FDF">
        <w:rPr>
          <w:rFonts w:ascii="Palatino Linotype" w:eastAsia="Calibri" w:hAnsi="Palatino Linotype" w:cs="Arial"/>
          <w:i/>
          <w:iCs/>
          <w:lang w:val="es-ES_tradnl" w:eastAsia="es-ES"/>
        </w:rPr>
        <w:t xml:space="preserve"> “El Tribunal Pleno de la Suprema Corte de Justicia de la Nación, en la tesis aislada P. XXXV/2002, sostuvo que, de la interpretación armónica y sistemática de los artículos 14, párrafo segundo, 16, párrafo primero, 19, párrafo </w:t>
      </w:r>
      <w:r w:rsidRPr="00360FDF">
        <w:rPr>
          <w:rFonts w:ascii="Palatino Linotype" w:eastAsia="Calibri" w:hAnsi="Palatino Linotype" w:cs="Arial"/>
          <w:i/>
          <w:iCs/>
          <w:lang w:val="es-ES_tradnl" w:eastAsia="es-ES"/>
        </w:rPr>
        <w:lastRenderedPageBreak/>
        <w:t xml:space="preserve">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w:t>
      </w:r>
      <w:r w:rsidRPr="00360FDF">
        <w:rPr>
          <w:rFonts w:ascii="Palatino Linotype" w:eastAsia="Calibri" w:hAnsi="Palatino Linotype" w:cs="Arial"/>
          <w:b/>
          <w:bCs/>
          <w:i/>
          <w:iCs/>
          <w:lang w:val="es-ES_tradnl" w:eastAsia="es-ES"/>
        </w:rPr>
        <w:t>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w:t>
      </w:r>
      <w:r w:rsidRPr="00360FDF">
        <w:rPr>
          <w:rFonts w:ascii="Palatino Linotype" w:eastAsia="Calibri" w:hAnsi="Palatino Linotype" w:cs="Arial"/>
          <w:i/>
          <w:iCs/>
          <w:lang w:val="es-ES_tradnl" w:eastAsia="es-ES"/>
        </w:rPr>
        <w:t xml:space="preserve"> y, en consecuencia, soportar el poder correctivo del Estado, a través de autoridad competente. En ese sentido, </w:t>
      </w:r>
      <w:r w:rsidRPr="00360FDF">
        <w:rPr>
          <w:rFonts w:ascii="Palatino Linotype" w:eastAsia="Calibri" w:hAnsi="Palatino Linotype" w:cs="Arial"/>
          <w:b/>
          <w:bCs/>
          <w:i/>
          <w:iCs/>
          <w:lang w:val="es-ES_tradnl" w:eastAsia="es-ES"/>
        </w:rPr>
        <w:t>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r w:rsidRPr="00360FDF">
        <w:rPr>
          <w:rFonts w:ascii="Palatino Linotype" w:eastAsia="Calibri" w:hAnsi="Palatino Linotype" w:cs="Arial"/>
          <w:i/>
          <w:iCs/>
          <w:lang w:val="es-ES_tradnl" w:eastAsia="es-ES"/>
        </w:rPr>
        <w:t>.</w:t>
      </w:r>
    </w:p>
    <w:p w14:paraId="38DFFA13" w14:textId="77777777" w:rsidR="00A26C04" w:rsidRPr="00360FDF" w:rsidRDefault="00A26C04" w:rsidP="00A26C04">
      <w:pPr>
        <w:tabs>
          <w:tab w:val="left" w:pos="567"/>
        </w:tabs>
        <w:spacing w:before="100" w:beforeAutospacing="1" w:after="100" w:afterAutospacing="1" w:line="360" w:lineRule="auto"/>
        <w:ind w:left="567" w:right="567"/>
        <w:contextualSpacing/>
        <w:jc w:val="both"/>
        <w:rPr>
          <w:rFonts w:ascii="Palatino Linotype" w:eastAsia="Calibri" w:hAnsi="Palatino Linotype" w:cs="Arial"/>
          <w:lang w:val="es-ES_tradnl" w:eastAsia="es-ES"/>
        </w:rPr>
      </w:pPr>
      <w:r w:rsidRPr="00360FDF">
        <w:rPr>
          <w:rFonts w:ascii="Palatino Linotype" w:eastAsia="Calibri" w:hAnsi="Palatino Linotype" w:cs="Arial"/>
          <w:lang w:val="es-ES_tradnl" w:eastAsia="es-ES"/>
        </w:rPr>
        <w:t>(Énfasis añadido)</w:t>
      </w:r>
    </w:p>
    <w:p w14:paraId="03898A11" w14:textId="77777777" w:rsidR="00A26C04" w:rsidRPr="00360FDF" w:rsidRDefault="00A26C04" w:rsidP="00A26C04">
      <w:pPr>
        <w:tabs>
          <w:tab w:val="left" w:pos="567"/>
        </w:tabs>
        <w:spacing w:before="100" w:beforeAutospacing="1" w:after="100" w:afterAutospacing="1" w:line="360" w:lineRule="auto"/>
        <w:ind w:left="720"/>
        <w:contextualSpacing/>
        <w:jc w:val="both"/>
        <w:rPr>
          <w:rFonts w:ascii="Palatino Linotype" w:eastAsia="Calibri" w:hAnsi="Palatino Linotype" w:cs="Arial"/>
          <w:sz w:val="24"/>
          <w:szCs w:val="24"/>
          <w:lang w:val="es-ES_tradnl" w:eastAsia="es-ES"/>
        </w:rPr>
      </w:pPr>
    </w:p>
    <w:p w14:paraId="4E825583"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De lo anterior se coligue que el principio de presunción de inocencia deberá prevalecer dentro de los procedimientos de carácter administrativo, eso sí, con ciertos matices o modulaciones derivados de la naturaleza de la conducta. </w:t>
      </w:r>
    </w:p>
    <w:p w14:paraId="79176A4A"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25581B6"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Recordemos que las personas que laboran para instituciones públicas adquieren la calidad de servidores públicos, en consecuencia, el régimen de protección de sus datos personales debe ser menor, debido a la naturaleza de las funciones, atribuciones y competencias del cargo que ostentan. En ese sentido, los datos personales de los servidores públicos cuentan con una protección menor al de una persona física totalmente ajena al quehacer gubernamental, debido a que se desempeñan en una Institución Pública, reciben y ejercen recursos públicos y, además, el cargo, las funciones, atribuciones y competencias que les fueron conferidas están sujetas al escrutinio público, así como toda la información que se derive de las mismas.</w:t>
      </w:r>
    </w:p>
    <w:p w14:paraId="755DDB16"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CAACF22"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Por otro, debemos considerar que el grado de responsabilidad que el Estado ha depositado en un servidor público de rango bajo o medio, no se acerca en absoluto a las responsabilidades que presupone el ostentar un empleo, cargo o comisión de nivel alto, toda vez que los servidores públicos con un grado jerárquico superior ostentan un poder público alto y suficiente para realizar actos de autoridad </w:t>
      </w:r>
      <w:r w:rsidRPr="00360FDF">
        <w:rPr>
          <w:rFonts w:ascii="Palatino Linotype" w:eastAsia="Calibri" w:hAnsi="Palatino Linotype" w:cs="Arial"/>
          <w:sz w:val="24"/>
          <w:szCs w:val="24"/>
          <w:lang w:val="es-ES_tradnl" w:eastAsia="es-ES"/>
        </w:rPr>
        <w:lastRenderedPageBreak/>
        <w:t>que modifiquen el erario público y la administración de las dependencias en las que se encuentren adscritos.</w:t>
      </w:r>
    </w:p>
    <w:p w14:paraId="2FD913CF"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5D9B87A"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Es por lo anterior que los altos funcionarios deben realizar sus labores encomendadas bajo una mayor exposición pública por su responsabilidad, a fin de atender óptimamente la rendición de cuentas de sus cargos, y proveer a la ciudadanía la oportunidad de calificar su desempeño en los altos empleos, cargos o comisiones que realicen.</w:t>
      </w:r>
    </w:p>
    <w:p w14:paraId="7C86F6B6"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0B38E84"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Por lo anterior, por cuanto hace a los expedientes relacionados con procedimientos de responsabilidades administrativas graves, </w:t>
      </w:r>
      <w:r w:rsidRPr="00360FDF">
        <w:rPr>
          <w:rFonts w:ascii="Palatino Linotype" w:eastAsia="Calibri" w:hAnsi="Palatino Linotype" w:cs="Arial"/>
          <w:b/>
          <w:bCs/>
          <w:sz w:val="24"/>
          <w:szCs w:val="24"/>
          <w:lang w:val="es-ES_tradnl" w:eastAsia="es-ES"/>
        </w:rPr>
        <w:t xml:space="preserve">el SUJETO OBLIGADO deberá clasificar el nombre y cargo de los servidores públicos presuntos responsables que ostenten un empleo, cargo o comisión de nivel bajo o medio. Sin embargo, en los expedientes relacionados con procedimientos de responsabilidades administrativas graves cuyos presuntos responsables resulten ser altos funcionarios (Titulares de áreas administrativas, Tesorero, </w:t>
      </w:r>
      <w:proofErr w:type="gramStart"/>
      <w:r w:rsidRPr="00360FDF">
        <w:rPr>
          <w:rFonts w:ascii="Palatino Linotype" w:eastAsia="Calibri" w:hAnsi="Palatino Linotype" w:cs="Arial"/>
          <w:b/>
          <w:bCs/>
          <w:sz w:val="24"/>
          <w:szCs w:val="24"/>
          <w:lang w:val="es-ES_tradnl" w:eastAsia="es-ES"/>
        </w:rPr>
        <w:t>Presidente</w:t>
      </w:r>
      <w:proofErr w:type="gramEnd"/>
      <w:r w:rsidRPr="00360FDF">
        <w:rPr>
          <w:rFonts w:ascii="Palatino Linotype" w:eastAsia="Calibri" w:hAnsi="Palatino Linotype" w:cs="Arial"/>
          <w:b/>
          <w:bCs/>
          <w:sz w:val="24"/>
          <w:szCs w:val="24"/>
          <w:lang w:val="es-ES_tradnl" w:eastAsia="es-ES"/>
        </w:rPr>
        <w:t xml:space="preserve"> Municipal, Síndico, Regidores, etc.), se deberán entregar los expedientes íntegros sin ocultar los nombres y cargos.</w:t>
      </w:r>
    </w:p>
    <w:p w14:paraId="636F3518"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C54BD13"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Bajo esa óptica, no es ocioso referir que el nombre y cargo del servidor público presunto responsable que ostente un empleo, cargo o comisión de nivel bajo o medio </w:t>
      </w:r>
      <w:r w:rsidRPr="00360FDF">
        <w:rPr>
          <w:rFonts w:ascii="Palatino Linotype" w:eastAsia="Calibri" w:hAnsi="Palatino Linotype" w:cs="Arial"/>
          <w:sz w:val="24"/>
          <w:szCs w:val="24"/>
          <w:lang w:val="es-ES_tradnl" w:eastAsia="es-ES"/>
        </w:rPr>
        <w:lastRenderedPageBreak/>
        <w:t>no debe ser visto como información susceptible de clasificarse por reserva, sino como un dato personal confidencial hasta en tanto no haya una resolución definitiva. Ya que, una vez dictada la sentencia, esos datos confidenciales ya no podrían ser protegidos por lo que determina la Ley; pero, se insiste, mientras no exista una resolución definitiva, seguirá prevaleciendo la confidencialidad por el derecho a la presunción de inocencia, a excepción de los altos funcionarios.</w:t>
      </w:r>
      <w:bookmarkStart w:id="78" w:name="_Toc48828019"/>
    </w:p>
    <w:p w14:paraId="19E65633" w14:textId="77777777" w:rsidR="00574CB5" w:rsidRPr="00360FDF" w:rsidRDefault="00574CB5" w:rsidP="00574CB5">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485A344" w14:textId="77777777" w:rsidR="00A26C04" w:rsidRPr="00360FDF" w:rsidRDefault="00574CB5" w:rsidP="00A26C04">
      <w:pPr>
        <w:keepNext/>
        <w:keepLines/>
        <w:spacing w:before="240" w:after="0"/>
        <w:outlineLvl w:val="0"/>
        <w:rPr>
          <w:rFonts w:ascii="Palatino Linotype" w:eastAsiaTheme="majorEastAsia" w:hAnsi="Palatino Linotype" w:cstheme="majorBidi"/>
          <w:b/>
          <w:sz w:val="24"/>
          <w:szCs w:val="32"/>
        </w:rPr>
      </w:pPr>
      <w:bookmarkStart w:id="79" w:name="_Toc70072784"/>
      <w:bookmarkStart w:id="80" w:name="_Toc72499087"/>
      <w:r w:rsidRPr="00360FDF">
        <w:rPr>
          <w:rFonts w:ascii="Palatino Linotype" w:eastAsiaTheme="majorEastAsia" w:hAnsi="Palatino Linotype" w:cstheme="majorBidi"/>
          <w:b/>
          <w:sz w:val="24"/>
          <w:szCs w:val="32"/>
        </w:rPr>
        <w:t>V</w:t>
      </w:r>
      <w:r w:rsidR="00C7156D" w:rsidRPr="00360FDF">
        <w:rPr>
          <w:rFonts w:ascii="Palatino Linotype" w:eastAsiaTheme="majorEastAsia" w:hAnsi="Palatino Linotype" w:cstheme="majorBidi"/>
          <w:b/>
          <w:sz w:val="24"/>
          <w:szCs w:val="32"/>
        </w:rPr>
        <w:t>I</w:t>
      </w:r>
      <w:r w:rsidR="00A26C04" w:rsidRPr="00360FDF">
        <w:rPr>
          <w:rFonts w:ascii="Palatino Linotype" w:eastAsiaTheme="majorEastAsia" w:hAnsi="Palatino Linotype" w:cstheme="majorBidi"/>
          <w:b/>
          <w:sz w:val="24"/>
          <w:szCs w:val="32"/>
        </w:rPr>
        <w:t>. Conclusión</w:t>
      </w:r>
      <w:bookmarkEnd w:id="78"/>
      <w:r w:rsidR="00A26C04" w:rsidRPr="00360FDF">
        <w:rPr>
          <w:rFonts w:ascii="Palatino Linotype" w:eastAsiaTheme="majorEastAsia" w:hAnsi="Palatino Linotype" w:cstheme="majorBidi"/>
          <w:b/>
          <w:sz w:val="24"/>
          <w:szCs w:val="32"/>
        </w:rPr>
        <w:t>.</w:t>
      </w:r>
      <w:bookmarkEnd w:id="79"/>
      <w:bookmarkEnd w:id="80"/>
    </w:p>
    <w:p w14:paraId="05D53F26"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0E4474E"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Si bien conocer lo expedientes de los procedimientos no concluidos en etapa de investigación podría ser la medida idónea para que el </w:t>
      </w:r>
      <w:r w:rsidRPr="00360FDF">
        <w:rPr>
          <w:rFonts w:ascii="Palatino Linotype" w:eastAsia="Calibri" w:hAnsi="Palatino Linotype" w:cs="Arial"/>
          <w:b/>
          <w:bCs/>
          <w:sz w:val="24"/>
          <w:szCs w:val="24"/>
          <w:lang w:val="es-ES_tradnl" w:eastAsia="es-ES"/>
        </w:rPr>
        <w:t>RECURRENTE</w:t>
      </w:r>
      <w:r w:rsidRPr="00360FDF">
        <w:rPr>
          <w:rFonts w:ascii="Palatino Linotype" w:eastAsia="Calibri" w:hAnsi="Palatino Linotype" w:cs="Arial"/>
          <w:sz w:val="24"/>
          <w:szCs w:val="24"/>
          <w:lang w:val="es-ES_tradnl" w:eastAsia="es-ES"/>
        </w:rPr>
        <w:t xml:space="preserve"> conozca si la información ha sido íntegra y podría ser la medida necesaria para que conozca la misma, ya que no hay ningún otro documento que pueda suplir la entrega de los expedientes, a pesar de que se superen estos dos juicios, no acredita el tercero, de estricta proporcionalidad, porque el interés de proteger la investigación y el proceso es mayor en esta etapa ya que la información que puede ser vulnerada por las razones expuestas en párrafos previos. Por lo tanto, sobre los expedientes en etapa de investigación, no es procedente su entrega más que información estadística.</w:t>
      </w:r>
    </w:p>
    <w:p w14:paraId="30906583" w14:textId="77777777" w:rsidR="00A26C04" w:rsidRPr="00360FDF" w:rsidRDefault="00A26C04" w:rsidP="00A26C04">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E9314D4"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 xml:space="preserve">Por lo que corresponde a los expedientes cuyo proceso se encuentra en la etapa del procedimiento de responsabilidades administrativas por faltas graves el entregar los expedientes es la medida idónea y necesaria, sí, pero la estricta </w:t>
      </w:r>
      <w:r w:rsidRPr="00360FDF">
        <w:rPr>
          <w:rFonts w:ascii="Palatino Linotype" w:eastAsia="Calibri" w:hAnsi="Palatino Linotype" w:cs="Arial"/>
          <w:sz w:val="24"/>
          <w:szCs w:val="24"/>
          <w:lang w:val="es-ES_tradnl" w:eastAsia="es-ES"/>
        </w:rPr>
        <w:lastRenderedPageBreak/>
        <w:t xml:space="preserve">proporcionalidad requiere que no se entreguen los expedientes íntegros, sino que se protejan los nombres y cargos de los presuntos responsables </w:t>
      </w:r>
      <w:r w:rsidRPr="00360FDF">
        <w:rPr>
          <w:rFonts w:ascii="Palatino Linotype" w:eastAsia="Calibri" w:hAnsi="Palatino Linotype" w:cs="Arial"/>
          <w:b/>
          <w:bCs/>
          <w:sz w:val="24"/>
          <w:szCs w:val="24"/>
          <w:lang w:val="es-ES_tradnl" w:eastAsia="es-ES"/>
        </w:rPr>
        <w:t>siempre y cuando éstos no sean mandos superiores</w:t>
      </w:r>
      <w:r w:rsidRPr="00360FDF">
        <w:rPr>
          <w:rFonts w:ascii="Palatino Linotype" w:eastAsia="Calibri" w:hAnsi="Palatino Linotype" w:cs="Arial"/>
          <w:sz w:val="24"/>
          <w:szCs w:val="24"/>
          <w:lang w:val="es-ES_tradnl" w:eastAsia="es-ES"/>
        </w:rPr>
        <w:t xml:space="preserve"> por el principio de presunción de inocencia.</w:t>
      </w:r>
    </w:p>
    <w:p w14:paraId="5B92D25E"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A9D59AF"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Así, las consideraciones de hecho y de derecho vertidas a lo largo del presente estudio generan una mayor convicción para este Órgano Garante el ordenar la entrega de los expedientes relacionados con responsabilidades administrativas graves, aunque éstos no hayan concluido, siempre y cuando esté superada la etapa de investigación y testando los nombres y cargos de los servidores públicos a excepción de los altos funcionarios. Ya que, como se ha demostrado, esta medida se encuentra íntimamente relacionada con el numeral 142, fracciones I y IV, de la Ley de Transparencia y Acceso a la Información Pública del Estado de México y Municipios, en estricta relación con el artículo 99 de la Ley de Responsabilidades Administrativas del Estado de México y Municipios, el cual dispone que en las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mismos que, por la naturaleza de los actos, pueden ser considerados como actos de corrupción.</w:t>
      </w:r>
    </w:p>
    <w:p w14:paraId="718659E0"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A32D545" w14:textId="77777777" w:rsidR="00A26C04" w:rsidRPr="00360FDF" w:rsidRDefault="00574CB5" w:rsidP="00A26C04">
      <w:pPr>
        <w:keepNext/>
        <w:keepLines/>
        <w:spacing w:before="240" w:after="0"/>
        <w:outlineLvl w:val="0"/>
        <w:rPr>
          <w:rFonts w:ascii="Palatino Linotype" w:eastAsia="Calibri" w:hAnsi="Palatino Linotype" w:cstheme="majorBidi"/>
          <w:b/>
          <w:sz w:val="24"/>
          <w:szCs w:val="32"/>
          <w:lang w:val="es-ES_tradnl" w:eastAsia="es-ES"/>
        </w:rPr>
      </w:pPr>
      <w:bookmarkStart w:id="81" w:name="_Toc48828020"/>
      <w:bookmarkStart w:id="82" w:name="_Toc70072785"/>
      <w:bookmarkStart w:id="83" w:name="_Toc72499088"/>
      <w:r w:rsidRPr="00360FDF">
        <w:rPr>
          <w:rFonts w:ascii="Palatino Linotype" w:eastAsia="Calibri" w:hAnsi="Palatino Linotype" w:cstheme="majorBidi"/>
          <w:b/>
          <w:sz w:val="24"/>
          <w:szCs w:val="32"/>
          <w:lang w:val="es-ES_tradnl" w:eastAsia="es-ES"/>
        </w:rPr>
        <w:t>VI</w:t>
      </w:r>
      <w:r w:rsidR="00C7156D" w:rsidRPr="00360FDF">
        <w:rPr>
          <w:rFonts w:ascii="Palatino Linotype" w:eastAsia="Calibri" w:hAnsi="Palatino Linotype" w:cstheme="majorBidi"/>
          <w:b/>
          <w:sz w:val="24"/>
          <w:szCs w:val="32"/>
          <w:lang w:val="es-ES_tradnl" w:eastAsia="es-ES"/>
        </w:rPr>
        <w:t>I</w:t>
      </w:r>
      <w:r w:rsidR="00A26C04" w:rsidRPr="00360FDF">
        <w:rPr>
          <w:rFonts w:ascii="Palatino Linotype" w:eastAsia="Calibri" w:hAnsi="Palatino Linotype" w:cstheme="majorBidi"/>
          <w:b/>
          <w:sz w:val="24"/>
          <w:szCs w:val="32"/>
          <w:lang w:val="es-ES_tradnl" w:eastAsia="es-ES"/>
        </w:rPr>
        <w:t>. De la adecuada clasificación.</w:t>
      </w:r>
      <w:bookmarkEnd w:id="81"/>
      <w:bookmarkEnd w:id="82"/>
      <w:bookmarkEnd w:id="83"/>
    </w:p>
    <w:p w14:paraId="1B2C8B50"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6E94E56"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lastRenderedPageBreak/>
        <w:t>Así las cosas, todos los expedientes relacionados con responsabilidades administrativas no graves deberán clasificarse como confidenciales de conformidad con lo dispuesto por el artículo 53 de la Ley del Sistema Anticorrupción del Estado de México y Municipios.</w:t>
      </w:r>
    </w:p>
    <w:p w14:paraId="0F6EFDA8"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005C34A"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Calibri" w:hAnsi="Palatino Linotype" w:cs="Arial"/>
          <w:sz w:val="24"/>
          <w:szCs w:val="24"/>
          <w:lang w:val="es-ES_tradnl" w:eastAsia="es-ES"/>
        </w:rPr>
        <w:t>Por cuanto hace a los expedientes que se encuentren en proceso de investigación, deberán reservarse, ya que el daño a la investigación realizada por la Contraloría sin la participación de los servidores públicos implicados en una probable falta administrativa es mayor a la necesidad de publicarlos. No obstante, la reserva de la clasificación deberá durar hasta en tanto no se dice el Informe de Presunta Responsabilidad Administrativa y se notifique formalmente al presunto responsable el emplazamiento dentro de un procedimiento de responsabilidades administrativas, en su caso, por faltas graves. Para el caso de las no graves, se clasificará por confidencialidad.</w:t>
      </w:r>
    </w:p>
    <w:p w14:paraId="6821BCA1"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14E6904"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MS Mincho" w:hAnsi="Palatino Linotype" w:cs="Arial"/>
          <w:sz w:val="24"/>
          <w:szCs w:val="24"/>
          <w:lang w:val="es-ES_tradnl" w:eastAsia="es-ES"/>
        </w:rPr>
        <w:t xml:space="preserve">En el caso de los </w:t>
      </w:r>
      <w:r w:rsidRPr="00360FDF">
        <w:rPr>
          <w:rFonts w:ascii="Palatino Linotype" w:eastAsia="Calibri" w:hAnsi="Palatino Linotype" w:cs="Arial"/>
          <w:sz w:val="24"/>
          <w:szCs w:val="24"/>
          <w:lang w:val="es-ES_tradnl" w:eastAsia="es-ES"/>
        </w:rPr>
        <w:t xml:space="preserve">expedientes relacionados con responsabilidades administrativas graves en los que los presuntos responsables ya hayan sido emplazados en un procedimiento de responsabilidades administrativas, deberán entregarse bajo un tratamiento distinto a los expedientes que ya hayan recibido una sentencia: a) Se deberá proteger el nombre y cargo de los servidores públicos presuntos responsables como información confidencial en pro de proteger el </w:t>
      </w:r>
      <w:r w:rsidRPr="00360FDF">
        <w:rPr>
          <w:rFonts w:ascii="Palatino Linotype" w:eastAsia="Calibri" w:hAnsi="Palatino Linotype" w:cs="Arial"/>
          <w:sz w:val="24"/>
          <w:szCs w:val="24"/>
          <w:lang w:val="es-ES_tradnl" w:eastAsia="es-ES"/>
        </w:rPr>
        <w:lastRenderedPageBreak/>
        <w:t>derecho humano de la presunción de inocencia, ya que, como el proceso no ha concluido, la autoridad sustanciadora no ha determinado una resolución, por ello, es dable salvaguardar el nombre de los presuntos responsables, no así para el caso de que los presuntos responsables sean altos funcionarios; y, b) La clasificación de los nombres y cargos durará el tiempo que le lleve a la autoridad sustanciadora resolver el expediente.</w:t>
      </w:r>
    </w:p>
    <w:p w14:paraId="681FBA4F"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43B4C48" w14:textId="77777777" w:rsidR="00A26C04" w:rsidRPr="00360FDF" w:rsidRDefault="00A26C04" w:rsidP="00814C38">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MS Mincho" w:hAnsi="Palatino Linotype" w:cs="Arial"/>
          <w:sz w:val="24"/>
          <w:szCs w:val="24"/>
          <w:lang w:val="es-ES_tradnl" w:eastAsia="es-ES"/>
        </w:rPr>
        <w:t xml:space="preserve">Finalmente, no está de más referir que las consideraciones anteriores deberán asentarse dentro del Acuerdo de Clasificación debidamente fundado y motivado, por ello, el </w:t>
      </w:r>
      <w:r w:rsidRPr="00360FDF">
        <w:rPr>
          <w:rFonts w:ascii="Palatino Linotype" w:eastAsia="MS Mincho" w:hAnsi="Palatino Linotype" w:cs="Arial"/>
          <w:b/>
          <w:sz w:val="24"/>
          <w:szCs w:val="24"/>
          <w:lang w:val="es-ES_tradnl" w:eastAsia="es-ES"/>
        </w:rPr>
        <w:t>SUJETO OBLIGADO</w:t>
      </w:r>
      <w:r w:rsidRPr="00360FDF">
        <w:rPr>
          <w:rFonts w:ascii="Palatino Linotype" w:eastAsia="MS Mincho" w:hAnsi="Palatino Linotype" w:cs="Arial"/>
          <w:sz w:val="24"/>
          <w:szCs w:val="24"/>
          <w:lang w:val="es-ES_tradnl" w:eastAsia="es-ES"/>
        </w:rPr>
        <w:t xml:space="preserve"> deberá observar lo dispuesto por los Lineamientos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11EA28FF"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F337303" w14:textId="77777777" w:rsidR="00A26C04" w:rsidRPr="00360FDF" w:rsidRDefault="00A26C04" w:rsidP="00A26C04">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3D012A7" w14:textId="77777777" w:rsidR="00A26C04" w:rsidRPr="00360FDF" w:rsidRDefault="00A26C04" w:rsidP="00A26C04">
      <w:pPr>
        <w:spacing w:after="0" w:line="360" w:lineRule="auto"/>
        <w:ind w:left="709" w:right="709"/>
        <w:jc w:val="center"/>
        <w:rPr>
          <w:rFonts w:ascii="Palatino Linotype" w:eastAsia="MS Mincho" w:hAnsi="Palatino Linotype" w:cs="Arial"/>
          <w:b/>
          <w:i/>
          <w:lang w:val="es-ES_tradnl" w:eastAsia="es-ES"/>
        </w:rPr>
      </w:pPr>
      <w:r w:rsidRPr="00360FDF">
        <w:rPr>
          <w:rFonts w:ascii="Palatino Linotype" w:eastAsia="MS Mincho" w:hAnsi="Palatino Linotype" w:cs="Arial"/>
          <w:b/>
          <w:i/>
          <w:lang w:val="es-ES_tradnl" w:eastAsia="es-MX"/>
        </w:rPr>
        <w:t xml:space="preserve">LINEAMIENTOS GENERALES EN MATERIA DE CLASIFICACIÓN Y DESCLASIFICACIÓN DE LA </w:t>
      </w:r>
      <w:r w:rsidRPr="00360FDF">
        <w:rPr>
          <w:rFonts w:ascii="Palatino Linotype" w:eastAsia="MS Mincho" w:hAnsi="Palatino Linotype" w:cs="Arial"/>
          <w:b/>
          <w:i/>
          <w:lang w:val="es-ES_tradnl" w:eastAsia="es-ES"/>
        </w:rPr>
        <w:t>INFORMACIÓN, ASÍ COMO PARA LA ELABORACIÓN DE VERSIONES PÚBLICAS</w:t>
      </w:r>
    </w:p>
    <w:p w14:paraId="70688554"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i/>
          <w:lang w:val="es-ES_tradnl" w:eastAsia="es-MX"/>
        </w:rPr>
        <w:t>“</w:t>
      </w:r>
      <w:r w:rsidRPr="00360FDF">
        <w:rPr>
          <w:rFonts w:ascii="Palatino Linotype" w:eastAsia="MS Mincho" w:hAnsi="Palatino Linotype" w:cs="Arial"/>
          <w:b/>
          <w:i/>
          <w:lang w:val="es-ES_tradnl" w:eastAsia="es-MX"/>
        </w:rPr>
        <w:t>Cuarto.</w:t>
      </w:r>
      <w:r w:rsidRPr="00360FDF">
        <w:rPr>
          <w:rFonts w:ascii="Palatino Linotype" w:eastAsia="MS Mincho" w:hAnsi="Palatino Linotype" w:cs="Arial"/>
          <w:i/>
          <w:lang w:val="es-ES_tradnl" w:eastAsia="es-MX"/>
        </w:rPr>
        <w:t xml:space="preserve"> </w:t>
      </w:r>
      <w:r w:rsidRPr="00360FDF">
        <w:rPr>
          <w:rFonts w:ascii="Palatino Linotype" w:eastAsia="MS Mincho" w:hAnsi="Palatino Linotype" w:cs="Arial"/>
          <w:b/>
          <w:i/>
          <w:lang w:val="es-ES_tradnl" w:eastAsia="es-MX"/>
        </w:rPr>
        <w:t>Para clasificar la información como</w:t>
      </w:r>
      <w:r w:rsidRPr="00360FDF">
        <w:rPr>
          <w:rFonts w:ascii="Palatino Linotype" w:eastAsia="MS Mincho" w:hAnsi="Palatino Linotype" w:cs="Arial"/>
          <w:i/>
          <w:lang w:val="es-ES_tradnl" w:eastAsia="es-MX"/>
        </w:rPr>
        <w:t xml:space="preserve"> </w:t>
      </w:r>
      <w:r w:rsidRPr="00360FDF">
        <w:rPr>
          <w:rFonts w:ascii="Palatino Linotype" w:eastAsia="MS Mincho" w:hAnsi="Palatino Linotype" w:cs="Arial"/>
          <w:b/>
          <w:i/>
          <w:lang w:val="es-ES_tradnl" w:eastAsia="es-MX"/>
        </w:rPr>
        <w:t>reservada</w:t>
      </w:r>
      <w:r w:rsidRPr="00360FDF">
        <w:rPr>
          <w:rFonts w:ascii="Palatino Linotype" w:eastAsia="MS Mincho" w:hAnsi="Palatino Linotype" w:cs="Arial"/>
          <w:i/>
          <w:lang w:val="es-ES_tradnl" w:eastAsia="es-MX"/>
        </w:rPr>
        <w:t xml:space="preserve"> o confidencial</w:t>
      </w:r>
      <w:r w:rsidRPr="00360FDF">
        <w:rPr>
          <w:rFonts w:ascii="Palatino Linotype" w:eastAsia="MS Mincho" w:hAnsi="Palatino Linotype" w:cs="Arial"/>
          <w:b/>
          <w:i/>
          <w:lang w:val="es-ES_tradnl" w:eastAsia="es-MX"/>
        </w:rPr>
        <w:t>, de manera total</w:t>
      </w:r>
      <w:r w:rsidRPr="00360FDF">
        <w:rPr>
          <w:rFonts w:ascii="Palatino Linotype" w:eastAsia="MS Mincho" w:hAnsi="Palatino Linotype" w:cs="Arial"/>
          <w:i/>
          <w:lang w:val="es-ES_tradnl" w:eastAsia="es-MX"/>
        </w:rPr>
        <w:t xml:space="preserve"> </w:t>
      </w:r>
      <w:r w:rsidRPr="00360FDF">
        <w:rPr>
          <w:rFonts w:ascii="Palatino Linotype" w:eastAsia="MS Mincho" w:hAnsi="Palatino Linotype" w:cs="Arial"/>
          <w:b/>
          <w:i/>
          <w:lang w:val="es-ES_tradnl" w:eastAsia="es-MX"/>
        </w:rPr>
        <w:t>o parcial</w:t>
      </w:r>
      <w:r w:rsidRPr="00360FDF">
        <w:rPr>
          <w:rFonts w:ascii="Palatino Linotype" w:eastAsia="MS Mincho" w:hAnsi="Palatino Linotype" w:cs="Arial"/>
          <w:i/>
          <w:lang w:val="es-ES_tradnl" w:eastAsia="es-MX"/>
        </w:rPr>
        <w:t xml:space="preserve">, </w:t>
      </w:r>
      <w:r w:rsidRPr="00360FDF">
        <w:rPr>
          <w:rFonts w:ascii="Palatino Linotype" w:eastAsia="MS Mincho" w:hAnsi="Palatino Linotype" w:cs="Arial"/>
          <w:b/>
          <w:i/>
          <w:lang w:val="es-ES_tradnl" w:eastAsia="es-MX"/>
        </w:rPr>
        <w:t xml:space="preserve">el titular del </w:t>
      </w:r>
      <w:r w:rsidRPr="00360FDF">
        <w:rPr>
          <w:rFonts w:ascii="Palatino Linotype" w:eastAsia="MS Mincho" w:hAnsi="Palatino Linotype" w:cs="Arial"/>
          <w:b/>
          <w:bCs/>
          <w:i/>
          <w:noProof/>
          <w:lang w:val="es-ES_tradnl" w:eastAsia="es-ES"/>
        </w:rPr>
        <w:t>área</w:t>
      </w:r>
      <w:r w:rsidRPr="00360FDF">
        <w:rPr>
          <w:rFonts w:ascii="Palatino Linotype" w:eastAsia="MS Mincho" w:hAnsi="Palatino Linotype" w:cs="Arial"/>
          <w:b/>
          <w:i/>
          <w:lang w:val="es-ES_tradnl" w:eastAsia="es-MX"/>
        </w:rPr>
        <w:t xml:space="preserve"> del sujeto </w:t>
      </w:r>
      <w:r w:rsidRPr="00360FDF">
        <w:rPr>
          <w:rFonts w:ascii="Palatino Linotype" w:eastAsia="MS Mincho" w:hAnsi="Palatino Linotype" w:cs="Arial"/>
          <w:b/>
          <w:i/>
          <w:lang w:val="es-ES_tradnl" w:eastAsia="es-ES"/>
        </w:rPr>
        <w:t>obligado</w:t>
      </w:r>
      <w:r w:rsidRPr="00360FDF">
        <w:rPr>
          <w:rFonts w:ascii="Palatino Linotype" w:eastAsia="MS Mincho" w:hAnsi="Palatino Linotype" w:cs="Arial"/>
          <w:b/>
          <w:i/>
          <w:lang w:val="es-ES_tradnl" w:eastAsia="es-MX"/>
        </w:rPr>
        <w:t xml:space="preserve"> deberá atender lo dispuesto por el Título Sexto de la Ley General, en relación con las </w:t>
      </w:r>
      <w:r w:rsidRPr="00360FDF">
        <w:rPr>
          <w:rFonts w:ascii="Palatino Linotype" w:eastAsia="MS Mincho" w:hAnsi="Palatino Linotype" w:cs="Arial"/>
          <w:b/>
          <w:i/>
          <w:lang w:val="es-ES_tradnl" w:eastAsia="es-MX"/>
        </w:rPr>
        <w:lastRenderedPageBreak/>
        <w:t>disposiciones contenidas en los presentes lineamientos</w:t>
      </w:r>
      <w:r w:rsidRPr="00360FDF">
        <w:rPr>
          <w:rFonts w:ascii="Palatino Linotype" w:eastAsia="MS Mincho" w:hAnsi="Palatino Linotype" w:cs="Arial"/>
          <w:i/>
          <w:lang w:val="es-ES_tradnl" w:eastAsia="es-MX"/>
        </w:rPr>
        <w:t>, así como en aquellas disposiciones legales aplicables a la materia en el ámbito de sus respectivas competencias, en tanto estas últimas no contravengan lo dispuesto en la Ley General.</w:t>
      </w:r>
    </w:p>
    <w:p w14:paraId="74CFE099"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i/>
          <w:lang w:val="es-ES_tradnl" w:eastAsia="es-MX"/>
        </w:rPr>
        <w:t xml:space="preserve">Los sujetos obligados deberán aplicar, de manera estricta, las excepciones al derecho de acceso a la </w:t>
      </w:r>
      <w:r w:rsidRPr="00360FDF">
        <w:rPr>
          <w:rFonts w:ascii="Palatino Linotype" w:eastAsia="MS Mincho" w:hAnsi="Palatino Linotype" w:cs="Arial"/>
          <w:bCs/>
          <w:i/>
          <w:noProof/>
          <w:lang w:val="es-ES_tradnl" w:eastAsia="es-ES"/>
        </w:rPr>
        <w:t>información</w:t>
      </w:r>
      <w:r w:rsidRPr="00360FDF">
        <w:rPr>
          <w:rFonts w:ascii="Palatino Linotype" w:eastAsia="MS Mincho" w:hAnsi="Palatino Linotype" w:cs="Arial"/>
          <w:i/>
          <w:lang w:val="es-ES_tradnl" w:eastAsia="es-MX"/>
        </w:rPr>
        <w:t xml:space="preserve"> y sólo </w:t>
      </w:r>
      <w:r w:rsidRPr="00360FDF">
        <w:rPr>
          <w:rFonts w:ascii="Palatino Linotype" w:eastAsia="MS Mincho" w:hAnsi="Palatino Linotype" w:cs="Arial"/>
          <w:i/>
          <w:lang w:val="es-ES_tradnl" w:eastAsia="es-ES"/>
        </w:rPr>
        <w:t>podrán</w:t>
      </w:r>
      <w:r w:rsidRPr="00360FDF">
        <w:rPr>
          <w:rFonts w:ascii="Palatino Linotype" w:eastAsia="MS Mincho" w:hAnsi="Palatino Linotype" w:cs="Arial"/>
          <w:i/>
          <w:lang w:val="es-ES_tradnl" w:eastAsia="es-MX"/>
        </w:rPr>
        <w:t xml:space="preserve"> invocarlas cuando acrediten su procedencia.</w:t>
      </w:r>
    </w:p>
    <w:p w14:paraId="65E83BCD"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b/>
          <w:i/>
          <w:lang w:val="es-ES_tradnl" w:eastAsia="es-MX"/>
        </w:rPr>
      </w:pPr>
    </w:p>
    <w:p w14:paraId="194B08CF"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b/>
          <w:i/>
          <w:lang w:val="es-ES_tradnl" w:eastAsia="es-MX"/>
        </w:rPr>
        <w:t>Quinto.</w:t>
      </w:r>
      <w:r w:rsidRPr="00360FDF">
        <w:rPr>
          <w:rFonts w:ascii="Palatino Linotype" w:eastAsia="MS Mincho" w:hAnsi="Palatino Linotype" w:cs="Arial"/>
          <w:i/>
          <w:lang w:val="es-ES_tradnl" w:eastAsia="es-MX"/>
        </w:rPr>
        <w:t xml:space="preserve"> </w:t>
      </w:r>
      <w:r w:rsidRPr="00360FDF">
        <w:rPr>
          <w:rFonts w:ascii="Palatino Linotype" w:eastAsia="MS Mincho" w:hAnsi="Palatino Linotype" w:cs="Arial"/>
          <w:b/>
          <w:i/>
          <w:u w:val="single"/>
          <w:lang w:val="es-ES_tradnl" w:eastAsia="es-MX"/>
        </w:rPr>
        <w:t>La carga de la prueba para justificar toda negativa de acceso a la información, por actualizarse cualquiera de los supuestos de clasificación</w:t>
      </w:r>
      <w:r w:rsidRPr="00360FDF">
        <w:rPr>
          <w:rFonts w:ascii="Palatino Linotype" w:eastAsia="MS Mincho" w:hAnsi="Palatino Linotype" w:cs="Arial"/>
          <w:b/>
          <w:i/>
          <w:lang w:val="es-ES_tradnl" w:eastAsia="es-MX"/>
        </w:rPr>
        <w:t xml:space="preserve"> previstos en</w:t>
      </w:r>
      <w:r w:rsidRPr="00360FDF">
        <w:rPr>
          <w:rFonts w:ascii="Palatino Linotype" w:eastAsia="MS Mincho" w:hAnsi="Palatino Linotype" w:cs="Arial"/>
          <w:i/>
          <w:lang w:val="es-ES_tradnl" w:eastAsia="es-MX"/>
        </w:rPr>
        <w:t xml:space="preserve"> la Ley General, la Ley Federal y </w:t>
      </w:r>
      <w:r w:rsidRPr="00360FDF">
        <w:rPr>
          <w:rFonts w:ascii="Palatino Linotype" w:eastAsia="MS Mincho" w:hAnsi="Palatino Linotype" w:cs="Arial"/>
          <w:b/>
          <w:i/>
          <w:lang w:val="es-ES_tradnl" w:eastAsia="es-MX"/>
        </w:rPr>
        <w:t xml:space="preserve">leyes estatales, </w:t>
      </w:r>
      <w:r w:rsidRPr="00360FDF">
        <w:rPr>
          <w:rFonts w:ascii="Palatino Linotype" w:eastAsia="MS Mincho" w:hAnsi="Palatino Linotype" w:cs="Arial"/>
          <w:b/>
          <w:i/>
          <w:u w:val="single"/>
          <w:lang w:val="es-ES_tradnl" w:eastAsia="es-ES"/>
        </w:rPr>
        <w:t>corresponderá</w:t>
      </w:r>
      <w:r w:rsidRPr="00360FDF">
        <w:rPr>
          <w:rFonts w:ascii="Palatino Linotype" w:eastAsia="MS Mincho" w:hAnsi="Palatino Linotype" w:cs="Arial"/>
          <w:b/>
          <w:i/>
          <w:u w:val="single"/>
          <w:lang w:val="es-ES_tradnl" w:eastAsia="es-MX"/>
        </w:rPr>
        <w:t xml:space="preserve"> a los sujetos obligados, por lo que deberán fundar y motivar debidamente la clasificación de la información</w:t>
      </w:r>
      <w:r w:rsidRPr="00360FDF">
        <w:rPr>
          <w:rFonts w:ascii="Palatino Linotype" w:eastAsia="MS Mincho" w:hAnsi="Palatino Linotype" w:cs="Arial"/>
          <w:b/>
          <w:i/>
          <w:lang w:val="es-ES_tradnl" w:eastAsia="es-MX"/>
        </w:rPr>
        <w:t xml:space="preserve"> ante una solicitud de acceso</w:t>
      </w:r>
      <w:r w:rsidRPr="00360FDF">
        <w:rPr>
          <w:rFonts w:ascii="Palatino Linotype" w:eastAsia="MS Mincho" w:hAnsi="Palatino Linotype" w:cs="Arial"/>
          <w:i/>
          <w:lang w:val="es-ES_tradnl" w:eastAsia="es-MX"/>
        </w:rPr>
        <w:t xml:space="preserve"> o al momento en que generen versiones públicas para dar cumplimiento a las obligaciones de transparencia, observando lo dispuesto en la Ley General y las demás disposiciones aplicables en la materia.</w:t>
      </w:r>
    </w:p>
    <w:p w14:paraId="6E9D9ECD"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b/>
          <w:i/>
          <w:lang w:val="es-ES_tradnl" w:eastAsia="es-MX"/>
        </w:rPr>
      </w:pPr>
    </w:p>
    <w:p w14:paraId="2FE201C1"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b/>
          <w:i/>
          <w:lang w:val="es-ES_tradnl" w:eastAsia="es-MX"/>
        </w:rPr>
        <w:t>Sexto.</w:t>
      </w:r>
      <w:r w:rsidRPr="00360FDF">
        <w:rPr>
          <w:rFonts w:ascii="Palatino Linotype" w:eastAsia="MS Mincho" w:hAnsi="Palatino Linotype" w:cs="Arial"/>
          <w:i/>
          <w:lang w:val="es-ES_tradnl" w:eastAsia="es-MX"/>
        </w:rPr>
        <w:t xml:space="preserve"> </w:t>
      </w:r>
      <w:r w:rsidRPr="00360FDF">
        <w:rPr>
          <w:rFonts w:ascii="Palatino Linotype" w:eastAsia="MS Mincho" w:hAnsi="Palatino Linotype" w:cs="Arial"/>
          <w:b/>
          <w:i/>
          <w:lang w:val="es-ES_tradnl" w:eastAsia="es-MX"/>
        </w:rPr>
        <w:t>Los sujetos obligados no podrán emitir acuerdos de carácter general</w:t>
      </w:r>
      <w:r w:rsidRPr="00360FDF">
        <w:rPr>
          <w:rFonts w:ascii="Palatino Linotype" w:eastAsia="MS Mincho" w:hAnsi="Palatino Linotype" w:cs="Arial"/>
          <w:i/>
          <w:lang w:val="es-ES_tradnl" w:eastAsia="es-MX"/>
        </w:rPr>
        <w:t xml:space="preserve"> ni particular que clasifiquen </w:t>
      </w:r>
      <w:r w:rsidRPr="00360FDF">
        <w:rPr>
          <w:rFonts w:ascii="Palatino Linotype" w:eastAsia="MS Mincho" w:hAnsi="Palatino Linotype" w:cs="Arial"/>
          <w:bCs/>
          <w:i/>
          <w:noProof/>
          <w:lang w:val="es-ES_tradnl" w:eastAsia="es-ES"/>
        </w:rPr>
        <w:t>documentos</w:t>
      </w:r>
      <w:r w:rsidRPr="00360FDF">
        <w:rPr>
          <w:rFonts w:ascii="Palatino Linotype" w:eastAsia="MS Mincho" w:hAnsi="Palatino Linotype" w:cs="Arial"/>
          <w:i/>
          <w:lang w:val="es-ES_tradnl" w:eastAsia="es-MX"/>
        </w:rPr>
        <w:t xml:space="preserve"> o expedientes como reservados, ni clasificar documentos antes de que se genere la información o cuando éstos no obren en sus archivos.</w:t>
      </w:r>
    </w:p>
    <w:p w14:paraId="0C6A1685" w14:textId="77777777" w:rsidR="00A26C04" w:rsidRPr="00360FDF" w:rsidRDefault="00A26C04" w:rsidP="00A26C04">
      <w:pPr>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b/>
          <w:i/>
          <w:lang w:val="es-ES_tradnl" w:eastAsia="es-MX"/>
        </w:rPr>
        <w:t xml:space="preserve">La clasificación de </w:t>
      </w:r>
      <w:r w:rsidRPr="00360FDF">
        <w:rPr>
          <w:rFonts w:ascii="Palatino Linotype" w:eastAsia="MS Mincho" w:hAnsi="Palatino Linotype" w:cs="Arial"/>
          <w:b/>
          <w:i/>
          <w:lang w:val="es-ES_tradnl" w:eastAsia="es-ES"/>
        </w:rPr>
        <w:t>información</w:t>
      </w:r>
      <w:r w:rsidRPr="00360FDF">
        <w:rPr>
          <w:rFonts w:ascii="Palatino Linotype" w:eastAsia="MS Mincho" w:hAnsi="Palatino Linotype" w:cs="Arial"/>
          <w:b/>
          <w:i/>
          <w:lang w:val="es-ES_tradnl" w:eastAsia="es-MX"/>
        </w:rPr>
        <w:t xml:space="preserve"> se realizará conforme a un análisis caso por caso</w:t>
      </w:r>
      <w:r w:rsidRPr="00360FDF">
        <w:rPr>
          <w:rFonts w:ascii="Palatino Linotype" w:eastAsia="MS Mincho" w:hAnsi="Palatino Linotype" w:cs="Arial"/>
          <w:i/>
          <w:lang w:val="es-ES_tradnl" w:eastAsia="es-MX"/>
        </w:rPr>
        <w:t xml:space="preserve">, mediante la aplicación </w:t>
      </w:r>
      <w:r w:rsidRPr="00360FDF">
        <w:rPr>
          <w:rFonts w:ascii="Palatino Linotype" w:eastAsia="MS Mincho" w:hAnsi="Palatino Linotype" w:cs="Arial"/>
          <w:bCs/>
          <w:i/>
          <w:noProof/>
          <w:lang w:val="es-ES_tradnl" w:eastAsia="es-ES"/>
        </w:rPr>
        <w:t>de</w:t>
      </w:r>
      <w:r w:rsidRPr="00360FDF">
        <w:rPr>
          <w:rFonts w:ascii="Palatino Linotype" w:eastAsia="MS Mincho" w:hAnsi="Palatino Linotype" w:cs="Arial"/>
          <w:i/>
          <w:lang w:val="es-ES_tradnl" w:eastAsia="es-MX"/>
        </w:rPr>
        <w:t xml:space="preserve"> la prueba de daño y de interés público.</w:t>
      </w:r>
    </w:p>
    <w:p w14:paraId="5CEE91C7"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b/>
          <w:i/>
          <w:lang w:val="es-ES_tradnl" w:eastAsia="es-MX"/>
        </w:rPr>
      </w:pPr>
    </w:p>
    <w:p w14:paraId="475B789A"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b/>
          <w:i/>
          <w:lang w:val="es-ES_tradnl" w:eastAsia="es-MX"/>
        </w:rPr>
        <w:lastRenderedPageBreak/>
        <w:t>Séptimo.</w:t>
      </w:r>
      <w:r w:rsidRPr="00360FDF">
        <w:rPr>
          <w:rFonts w:ascii="Palatino Linotype" w:eastAsia="MS Mincho" w:hAnsi="Palatino Linotype" w:cs="Arial"/>
          <w:i/>
          <w:lang w:val="es-ES_tradnl" w:eastAsia="es-MX"/>
        </w:rPr>
        <w:t xml:space="preserve"> </w:t>
      </w:r>
      <w:r w:rsidRPr="00360FDF">
        <w:rPr>
          <w:rFonts w:ascii="Palatino Linotype" w:eastAsia="MS Mincho" w:hAnsi="Palatino Linotype" w:cs="Arial"/>
          <w:b/>
          <w:i/>
          <w:lang w:val="es-ES_tradnl" w:eastAsia="es-MX"/>
        </w:rPr>
        <w:t xml:space="preserve">La clasificación </w:t>
      </w:r>
      <w:r w:rsidRPr="00360FDF">
        <w:rPr>
          <w:rFonts w:ascii="Palatino Linotype" w:eastAsia="MS Mincho" w:hAnsi="Palatino Linotype" w:cs="Arial"/>
          <w:b/>
          <w:bCs/>
          <w:i/>
          <w:noProof/>
          <w:lang w:val="es-ES_tradnl" w:eastAsia="es-ES"/>
        </w:rPr>
        <w:t>de</w:t>
      </w:r>
      <w:r w:rsidRPr="00360FDF">
        <w:rPr>
          <w:rFonts w:ascii="Palatino Linotype" w:eastAsia="MS Mincho" w:hAnsi="Palatino Linotype" w:cs="Arial"/>
          <w:b/>
          <w:i/>
          <w:lang w:val="es-ES_tradnl" w:eastAsia="es-MX"/>
        </w:rPr>
        <w:t xml:space="preserve"> la </w:t>
      </w:r>
      <w:r w:rsidRPr="00360FDF">
        <w:rPr>
          <w:rFonts w:ascii="Palatino Linotype" w:eastAsia="MS Mincho" w:hAnsi="Palatino Linotype" w:cs="Arial"/>
          <w:b/>
          <w:i/>
          <w:lang w:val="es-ES_tradnl" w:eastAsia="es-ES"/>
        </w:rPr>
        <w:t>información</w:t>
      </w:r>
      <w:r w:rsidRPr="00360FDF">
        <w:rPr>
          <w:rFonts w:ascii="Palatino Linotype" w:eastAsia="MS Mincho" w:hAnsi="Palatino Linotype" w:cs="Arial"/>
          <w:b/>
          <w:i/>
          <w:lang w:val="es-ES_tradnl" w:eastAsia="es-MX"/>
        </w:rPr>
        <w:t xml:space="preserve"> se llevará a cabo en el momento en que</w:t>
      </w:r>
      <w:r w:rsidRPr="00360FDF">
        <w:rPr>
          <w:rFonts w:ascii="Palatino Linotype" w:eastAsia="MS Mincho" w:hAnsi="Palatino Linotype" w:cs="Arial"/>
          <w:i/>
          <w:lang w:val="es-ES_tradnl" w:eastAsia="es-MX"/>
        </w:rPr>
        <w:t>:</w:t>
      </w:r>
    </w:p>
    <w:p w14:paraId="1B2E88B6"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b/>
          <w:i/>
          <w:lang w:val="es-ES_tradnl" w:eastAsia="es-MX"/>
        </w:rPr>
      </w:pPr>
      <w:r w:rsidRPr="00360FDF">
        <w:rPr>
          <w:rFonts w:ascii="Palatino Linotype" w:eastAsia="MS Mincho" w:hAnsi="Palatino Linotype" w:cs="Arial"/>
          <w:b/>
          <w:i/>
          <w:lang w:val="es-ES_tradnl" w:eastAsia="es-MX"/>
        </w:rPr>
        <w:t>I. Se reciba una solicitud de acceso a la información;</w:t>
      </w:r>
    </w:p>
    <w:p w14:paraId="633F5CA5"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b/>
          <w:i/>
          <w:lang w:val="es-ES_tradnl" w:eastAsia="es-MX"/>
        </w:rPr>
        <w:t>II.</w:t>
      </w:r>
      <w:r w:rsidRPr="00360FDF">
        <w:rPr>
          <w:rFonts w:ascii="Palatino Linotype" w:eastAsia="MS Mincho" w:hAnsi="Palatino Linotype" w:cs="Arial"/>
          <w:i/>
          <w:lang w:val="es-ES_tradnl" w:eastAsia="es-MX"/>
        </w:rPr>
        <w:t xml:space="preserve"> </w:t>
      </w:r>
      <w:r w:rsidRPr="00360FDF">
        <w:rPr>
          <w:rFonts w:ascii="Palatino Linotype" w:eastAsia="MS Mincho" w:hAnsi="Palatino Linotype" w:cs="Arial"/>
          <w:b/>
          <w:i/>
          <w:lang w:val="es-ES_tradnl" w:eastAsia="es-MX"/>
        </w:rPr>
        <w:t xml:space="preserve">Se determine </w:t>
      </w:r>
      <w:r w:rsidRPr="00360FDF">
        <w:rPr>
          <w:rFonts w:ascii="Palatino Linotype" w:eastAsia="MS Mincho" w:hAnsi="Palatino Linotype" w:cs="Arial"/>
          <w:b/>
          <w:bCs/>
          <w:i/>
          <w:noProof/>
          <w:lang w:val="es-ES_tradnl" w:eastAsia="es-ES"/>
        </w:rPr>
        <w:t>mediante</w:t>
      </w:r>
      <w:r w:rsidRPr="00360FDF">
        <w:rPr>
          <w:rFonts w:ascii="Palatino Linotype" w:eastAsia="MS Mincho" w:hAnsi="Palatino Linotype" w:cs="Arial"/>
          <w:b/>
          <w:i/>
          <w:lang w:val="es-ES_tradnl" w:eastAsia="es-MX"/>
        </w:rPr>
        <w:t xml:space="preserve"> resolución de autoridad competente</w:t>
      </w:r>
      <w:r w:rsidRPr="00360FDF">
        <w:rPr>
          <w:rFonts w:ascii="Palatino Linotype" w:eastAsia="MS Mincho" w:hAnsi="Palatino Linotype" w:cs="Arial"/>
          <w:i/>
          <w:lang w:val="es-ES_tradnl" w:eastAsia="es-MX"/>
        </w:rPr>
        <w:t>, o</w:t>
      </w:r>
    </w:p>
    <w:p w14:paraId="10D21E6E"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b/>
          <w:i/>
          <w:lang w:val="es-ES_tradnl" w:eastAsia="es-MX"/>
        </w:rPr>
        <w:t>III.</w:t>
      </w:r>
      <w:r w:rsidRPr="00360FDF">
        <w:rPr>
          <w:rFonts w:ascii="Palatino Linotype" w:eastAsia="MS Mincho" w:hAnsi="Palatino Linotype" w:cs="Arial"/>
          <w:i/>
          <w:lang w:val="es-ES_tradnl" w:eastAsia="es-MX"/>
        </w:rPr>
        <w:t xml:space="preserve"> Se generen </w:t>
      </w:r>
      <w:r w:rsidRPr="00360FDF">
        <w:rPr>
          <w:rFonts w:ascii="Palatino Linotype" w:eastAsia="MS Mincho" w:hAnsi="Palatino Linotype" w:cs="Arial"/>
          <w:bCs/>
          <w:i/>
          <w:noProof/>
          <w:lang w:val="es-ES_tradnl" w:eastAsia="es-ES"/>
        </w:rPr>
        <w:t>versiones</w:t>
      </w:r>
      <w:r w:rsidRPr="00360FDF">
        <w:rPr>
          <w:rFonts w:ascii="Palatino Linotype" w:eastAsia="MS Mincho" w:hAnsi="Palatino Linotype" w:cs="Arial"/>
          <w:i/>
          <w:lang w:val="es-ES_tradnl" w:eastAsia="es-MX"/>
        </w:rPr>
        <w:t xml:space="preserve"> públicas para dar cumplimiento a las obligaciones de transparencia previstas en la Ley General, la Ley Federal y las correspondientes de las entidades federativas.</w:t>
      </w:r>
    </w:p>
    <w:p w14:paraId="67E6186F"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b/>
          <w:i/>
          <w:lang w:val="es-ES_tradnl" w:eastAsia="es-MX"/>
        </w:rPr>
        <w:t xml:space="preserve">Los titulares de las áreas deberán revisar la clasificación al momento de la recepción de una solicitud de </w:t>
      </w:r>
      <w:r w:rsidRPr="00360FDF">
        <w:rPr>
          <w:rFonts w:ascii="Palatino Linotype" w:eastAsia="MS Mincho" w:hAnsi="Palatino Linotype" w:cs="Arial"/>
          <w:b/>
          <w:bCs/>
          <w:i/>
          <w:noProof/>
          <w:lang w:val="es-ES_tradnl" w:eastAsia="es-ES"/>
        </w:rPr>
        <w:t>acceso</w:t>
      </w:r>
      <w:r w:rsidRPr="00360FDF">
        <w:rPr>
          <w:rFonts w:ascii="Palatino Linotype" w:eastAsia="MS Mincho" w:hAnsi="Palatino Linotype" w:cs="Arial"/>
          <w:b/>
          <w:i/>
          <w:lang w:val="es-ES_tradnl" w:eastAsia="es-MX"/>
        </w:rPr>
        <w:t xml:space="preserve"> a la información, para verificar si encuadra en una causal de reserva</w:t>
      </w:r>
      <w:r w:rsidRPr="00360FDF">
        <w:rPr>
          <w:rFonts w:ascii="Palatino Linotype" w:eastAsia="MS Mincho" w:hAnsi="Palatino Linotype" w:cs="Arial"/>
          <w:i/>
          <w:lang w:val="es-ES_tradnl" w:eastAsia="es-MX"/>
        </w:rPr>
        <w:t xml:space="preserve"> o de confidencialidad.</w:t>
      </w:r>
    </w:p>
    <w:p w14:paraId="01443631"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b/>
          <w:i/>
          <w:lang w:val="es-ES_tradnl" w:eastAsia="es-MX"/>
        </w:rPr>
      </w:pPr>
    </w:p>
    <w:p w14:paraId="30DF9D70"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b/>
          <w:i/>
          <w:lang w:val="es-ES_tradnl" w:eastAsia="es-MX"/>
        </w:rPr>
        <w:t>Octavo.</w:t>
      </w:r>
      <w:r w:rsidRPr="00360FDF">
        <w:rPr>
          <w:rFonts w:ascii="Palatino Linotype" w:eastAsia="MS Mincho" w:hAnsi="Palatino Linotype" w:cs="Arial"/>
          <w:i/>
          <w:lang w:val="es-ES_tradnl" w:eastAsia="es-MX"/>
        </w:rPr>
        <w:t xml:space="preserve"> </w:t>
      </w:r>
      <w:r w:rsidRPr="00360FDF">
        <w:rPr>
          <w:rFonts w:ascii="Palatino Linotype" w:eastAsia="MS Mincho" w:hAnsi="Palatino Linotype" w:cs="Arial"/>
          <w:b/>
          <w:i/>
          <w:lang w:val="es-ES_tradnl" w:eastAsia="es-MX"/>
        </w:rPr>
        <w:t xml:space="preserve">Para fundar la clasificación de la información se debe señalar el artículo, fracción, inciso, párrafo o numeral de la ley o tratado internacional suscrito por el Estado mexicano que </w:t>
      </w:r>
      <w:r w:rsidRPr="00360FDF">
        <w:rPr>
          <w:rFonts w:ascii="Palatino Linotype" w:eastAsia="MS Mincho" w:hAnsi="Palatino Linotype" w:cs="Arial"/>
          <w:b/>
          <w:bCs/>
          <w:i/>
          <w:noProof/>
          <w:lang w:val="es-ES_tradnl" w:eastAsia="es-ES"/>
        </w:rPr>
        <w:t>expresamente</w:t>
      </w:r>
      <w:r w:rsidRPr="00360FDF">
        <w:rPr>
          <w:rFonts w:ascii="Palatino Linotype" w:eastAsia="MS Mincho" w:hAnsi="Palatino Linotype" w:cs="Arial"/>
          <w:b/>
          <w:i/>
          <w:lang w:val="es-ES_tradnl" w:eastAsia="es-MX"/>
        </w:rPr>
        <w:t xml:space="preserve"> le otorga el carácter de</w:t>
      </w:r>
      <w:r w:rsidRPr="00360FDF">
        <w:rPr>
          <w:rFonts w:ascii="Palatino Linotype" w:eastAsia="MS Mincho" w:hAnsi="Palatino Linotype" w:cs="Arial"/>
          <w:i/>
          <w:lang w:val="es-ES_tradnl" w:eastAsia="es-MX"/>
        </w:rPr>
        <w:t xml:space="preserve"> </w:t>
      </w:r>
      <w:r w:rsidRPr="00360FDF">
        <w:rPr>
          <w:rFonts w:ascii="Palatino Linotype" w:eastAsia="MS Mincho" w:hAnsi="Palatino Linotype" w:cs="Arial"/>
          <w:b/>
          <w:i/>
          <w:lang w:val="es-ES_tradnl" w:eastAsia="es-MX"/>
        </w:rPr>
        <w:t>reservada</w:t>
      </w:r>
      <w:r w:rsidRPr="00360FDF">
        <w:rPr>
          <w:rFonts w:ascii="Palatino Linotype" w:eastAsia="MS Mincho" w:hAnsi="Palatino Linotype" w:cs="Arial"/>
          <w:i/>
          <w:lang w:val="es-ES_tradnl" w:eastAsia="es-MX"/>
        </w:rPr>
        <w:t xml:space="preserve"> o confidencial.</w:t>
      </w:r>
    </w:p>
    <w:p w14:paraId="0DA7AEE7"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bCs/>
          <w:i/>
          <w:noProof/>
          <w:lang w:val="es-ES_tradnl" w:eastAsia="es-ES"/>
        </w:rPr>
      </w:pPr>
      <w:r w:rsidRPr="00360FDF">
        <w:rPr>
          <w:rFonts w:ascii="Palatino Linotype" w:eastAsia="MS Mincho" w:hAnsi="Palatino Linotype" w:cs="Arial"/>
          <w:b/>
          <w:i/>
          <w:lang w:val="es-ES_tradnl" w:eastAsia="es-MX"/>
        </w:rPr>
        <w:t xml:space="preserve">Para </w:t>
      </w:r>
      <w:r w:rsidRPr="00360FDF">
        <w:rPr>
          <w:rFonts w:ascii="Palatino Linotype" w:eastAsia="MS Mincho" w:hAnsi="Palatino Linotype" w:cs="Arial"/>
          <w:b/>
          <w:bCs/>
          <w:i/>
          <w:noProof/>
          <w:lang w:val="es-ES_tradnl" w:eastAsia="es-ES"/>
        </w:rPr>
        <w:t xml:space="preserve">motivar la clasificación se deberán señalar las razones o circunstancias especiales que lo </w:t>
      </w:r>
      <w:r w:rsidRPr="00360FDF">
        <w:rPr>
          <w:rFonts w:ascii="Palatino Linotype" w:eastAsia="MS Mincho" w:hAnsi="Palatino Linotype" w:cs="Arial"/>
          <w:b/>
          <w:i/>
          <w:lang w:val="es-ES_tradnl" w:eastAsia="es-MX"/>
        </w:rPr>
        <w:t>llevaron</w:t>
      </w:r>
      <w:r w:rsidRPr="00360FDF">
        <w:rPr>
          <w:rFonts w:ascii="Palatino Linotype" w:eastAsia="MS Mincho" w:hAnsi="Palatino Linotype" w:cs="Arial"/>
          <w:b/>
          <w:bCs/>
          <w:i/>
          <w:noProof/>
          <w:lang w:val="es-ES_tradnl" w:eastAsia="es-ES"/>
        </w:rPr>
        <w:t xml:space="preserve"> a concluir que el caso particular se ajusta al supuesto previsto por la norma legal invocada </w:t>
      </w:r>
      <w:r w:rsidRPr="00360FDF">
        <w:rPr>
          <w:rFonts w:ascii="Palatino Linotype" w:eastAsia="MS Mincho" w:hAnsi="Palatino Linotype" w:cs="Arial"/>
          <w:bCs/>
          <w:i/>
          <w:noProof/>
          <w:lang w:val="es-ES_tradnl" w:eastAsia="es-ES"/>
        </w:rPr>
        <w:t>como fundamento.</w:t>
      </w:r>
    </w:p>
    <w:p w14:paraId="74ED9165"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bCs/>
          <w:i/>
          <w:noProof/>
          <w:lang w:val="es-ES_tradnl" w:eastAsia="es-ES"/>
        </w:rPr>
      </w:pPr>
      <w:r w:rsidRPr="00360FDF">
        <w:rPr>
          <w:rFonts w:ascii="Palatino Linotype" w:eastAsia="MS Mincho" w:hAnsi="Palatino Linotype" w:cs="Arial"/>
          <w:bCs/>
          <w:i/>
          <w:noProof/>
          <w:lang w:val="es-ES_tradnl" w:eastAsia="es-ES"/>
        </w:rPr>
        <w:t xml:space="preserve">En caso de referirse a información reservada, la motivación de la clasificación también deberá comprender las circunstancias que justifican el establecimiento de determinado plazo </w:t>
      </w:r>
      <w:r w:rsidRPr="00360FDF">
        <w:rPr>
          <w:rFonts w:ascii="Palatino Linotype" w:eastAsia="MS Mincho" w:hAnsi="Palatino Linotype" w:cs="Arial"/>
          <w:i/>
          <w:lang w:val="es-ES_tradnl" w:eastAsia="es-MX"/>
        </w:rPr>
        <w:t>de</w:t>
      </w:r>
      <w:r w:rsidRPr="00360FDF">
        <w:rPr>
          <w:rFonts w:ascii="Palatino Linotype" w:eastAsia="MS Mincho" w:hAnsi="Palatino Linotype" w:cs="Arial"/>
          <w:bCs/>
          <w:i/>
          <w:noProof/>
          <w:lang w:val="es-ES_tradnl" w:eastAsia="es-ES"/>
        </w:rPr>
        <w:t xml:space="preserve"> </w:t>
      </w:r>
      <w:r w:rsidRPr="00360FDF">
        <w:rPr>
          <w:rFonts w:ascii="Palatino Linotype" w:eastAsia="MS Mincho" w:hAnsi="Palatino Linotype" w:cs="Arial"/>
          <w:i/>
          <w:lang w:val="es-ES_tradnl" w:eastAsia="es-MX"/>
        </w:rPr>
        <w:t>reserva</w:t>
      </w:r>
      <w:r w:rsidRPr="00360FDF">
        <w:rPr>
          <w:rFonts w:ascii="Palatino Linotype" w:eastAsia="MS Mincho" w:hAnsi="Palatino Linotype" w:cs="Arial"/>
          <w:bCs/>
          <w:i/>
          <w:noProof/>
          <w:lang w:val="es-ES_tradnl" w:eastAsia="es-ES"/>
        </w:rPr>
        <w:t>.</w:t>
      </w:r>
    </w:p>
    <w:p w14:paraId="58EFBE19"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bCs/>
          <w:i/>
          <w:noProof/>
          <w:lang w:val="es-ES_tradnl" w:eastAsia="es-ES"/>
        </w:rPr>
      </w:pPr>
      <w:r w:rsidRPr="00360FDF">
        <w:rPr>
          <w:rFonts w:ascii="Palatino Linotype" w:eastAsia="MS Mincho" w:hAnsi="Palatino Linotype" w:cs="Arial"/>
          <w:i/>
          <w:lang w:val="es-ES_tradnl" w:eastAsia="es-MX"/>
        </w:rPr>
        <w:lastRenderedPageBreak/>
        <w:t>Tratándose</w:t>
      </w:r>
      <w:r w:rsidRPr="00360FDF">
        <w:rPr>
          <w:rFonts w:ascii="Palatino Linotype" w:eastAsia="MS Mincho" w:hAnsi="Palatino Linotype" w:cs="Arial"/>
          <w:bCs/>
          <w:i/>
          <w:noProof/>
          <w:lang w:val="es-ES_tradnl" w:eastAsia="es-ES"/>
        </w:rPr>
        <w:t xml:space="preserve"> de información clasificada como confidencial respecto de la cual se haya </w:t>
      </w:r>
      <w:r w:rsidRPr="00360FDF">
        <w:rPr>
          <w:rFonts w:ascii="Palatino Linotype" w:eastAsia="MS Mincho" w:hAnsi="Palatino Linotype" w:cs="Arial"/>
          <w:i/>
          <w:lang w:val="es-ES_tradnl" w:eastAsia="es-MX"/>
        </w:rPr>
        <w:t>determinado</w:t>
      </w:r>
      <w:r w:rsidRPr="00360FDF">
        <w:rPr>
          <w:rFonts w:ascii="Palatino Linotype" w:eastAsia="MS Mincho" w:hAnsi="Palatino Linotype" w:cs="Arial"/>
          <w:bCs/>
          <w:i/>
          <w:noProof/>
          <w:lang w:val="es-ES_tradnl" w:eastAsia="es-ES"/>
        </w:rPr>
        <w:t xml:space="preserve"> </w:t>
      </w:r>
      <w:r w:rsidRPr="00360FDF">
        <w:rPr>
          <w:rFonts w:ascii="Palatino Linotype" w:eastAsia="MS Mincho" w:hAnsi="Palatino Linotype" w:cs="Arial"/>
          <w:i/>
          <w:lang w:val="es-ES_tradnl" w:eastAsia="es-MX"/>
        </w:rPr>
        <w:t>su</w:t>
      </w:r>
      <w:r w:rsidRPr="00360FDF">
        <w:rPr>
          <w:rFonts w:ascii="Palatino Linotype" w:eastAsia="MS Mincho" w:hAnsi="Palatino Linotype" w:cs="Arial"/>
          <w:bCs/>
          <w:i/>
          <w:noProof/>
          <w:lang w:val="es-ES_tradnl" w:eastAsia="es-ES"/>
        </w:rPr>
        <w:t xml:space="preserve"> conservación permanente por tener valor histórico, ésta conservará tal carácter de conformidad con la normativa aplicable en materia de archivos.</w:t>
      </w:r>
    </w:p>
    <w:p w14:paraId="005CA49F"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bCs/>
          <w:i/>
          <w:noProof/>
          <w:lang w:val="es-ES_tradnl" w:eastAsia="es-ES"/>
        </w:rPr>
        <w:t>Los documentos contenidos</w:t>
      </w:r>
      <w:r w:rsidRPr="00360FDF">
        <w:rPr>
          <w:rFonts w:ascii="Palatino Linotype" w:eastAsia="MS Mincho" w:hAnsi="Palatino Linotype" w:cs="Arial"/>
          <w:i/>
          <w:lang w:val="es-ES_tradnl" w:eastAsia="es-MX"/>
        </w:rPr>
        <w:t xml:space="preserve"> en los archivos históricos y los identificados como históricos confidenciales no serán susceptibles de clasificación como reservados.</w:t>
      </w:r>
    </w:p>
    <w:p w14:paraId="7D240B93"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b/>
          <w:i/>
          <w:lang w:val="es-ES_tradnl" w:eastAsia="es-MX"/>
        </w:rPr>
      </w:pPr>
    </w:p>
    <w:p w14:paraId="6ADCFFDC"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b/>
          <w:i/>
          <w:lang w:val="es-ES_tradnl" w:eastAsia="es-MX"/>
        </w:rPr>
        <w:t>Décimo.</w:t>
      </w:r>
      <w:r w:rsidRPr="00360FDF">
        <w:rPr>
          <w:rFonts w:ascii="Palatino Linotype" w:eastAsia="MS Mincho" w:hAnsi="Palatino Linotype" w:cs="Arial"/>
          <w:i/>
          <w:lang w:val="es-ES_tradnl" w:eastAsia="es-MX"/>
        </w:rPr>
        <w:t xml:space="preserve"> </w:t>
      </w:r>
      <w:r w:rsidRPr="00360FDF">
        <w:rPr>
          <w:rFonts w:ascii="Palatino Linotype" w:eastAsia="MS Mincho" w:hAnsi="Palatino Linotype" w:cs="Arial"/>
          <w:b/>
          <w:i/>
          <w:lang w:val="es-ES_tradnl" w:eastAsia="es-MX"/>
        </w:rPr>
        <w:t xml:space="preserve">Los titulares de las áreas, deberán tener conocimiento y llevar un registro del personal que, por la naturaleza de sus atribuciones, tenga acceso a los </w:t>
      </w:r>
      <w:r w:rsidRPr="00360FDF">
        <w:rPr>
          <w:rFonts w:ascii="Palatino Linotype" w:eastAsia="MS Mincho" w:hAnsi="Palatino Linotype" w:cs="Arial"/>
          <w:b/>
          <w:i/>
          <w:lang w:val="es-ES_tradnl" w:eastAsia="es-ES"/>
        </w:rPr>
        <w:t>documentos</w:t>
      </w:r>
      <w:r w:rsidRPr="00360FDF">
        <w:rPr>
          <w:rFonts w:ascii="Palatino Linotype" w:eastAsia="MS Mincho" w:hAnsi="Palatino Linotype" w:cs="Arial"/>
          <w:b/>
          <w:i/>
          <w:lang w:val="es-ES_tradnl" w:eastAsia="es-MX"/>
        </w:rPr>
        <w:t xml:space="preserve"> clasificados</w:t>
      </w:r>
      <w:r w:rsidRPr="00360FDF">
        <w:rPr>
          <w:rFonts w:ascii="Palatino Linotype" w:eastAsia="MS Mincho" w:hAnsi="Palatino Linotype" w:cs="Arial"/>
          <w:i/>
          <w:lang w:val="es-ES_tradnl"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3B509415"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i/>
          <w:lang w:val="es-ES_tradnl" w:eastAsia="es-MX"/>
        </w:rPr>
        <w:t xml:space="preserve">En ausencia de los titulares de las áreas, la información será clasificada o desclasificada por la persona que lo supla, en términos de la normativa </w:t>
      </w:r>
      <w:r w:rsidRPr="00360FDF">
        <w:rPr>
          <w:rFonts w:ascii="Palatino Linotype" w:eastAsia="MS Mincho" w:hAnsi="Palatino Linotype" w:cs="Arial"/>
          <w:i/>
          <w:lang w:val="es-ES_tradnl" w:eastAsia="es-ES"/>
        </w:rPr>
        <w:t>que</w:t>
      </w:r>
      <w:r w:rsidRPr="00360FDF">
        <w:rPr>
          <w:rFonts w:ascii="Palatino Linotype" w:eastAsia="MS Mincho" w:hAnsi="Palatino Linotype" w:cs="Arial"/>
          <w:i/>
          <w:lang w:val="es-ES_tradnl" w:eastAsia="es-MX"/>
        </w:rPr>
        <w:t xml:space="preserve"> rija la actuación del sujeto obligado.</w:t>
      </w:r>
    </w:p>
    <w:p w14:paraId="1D4DB888"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b/>
          <w:i/>
          <w:lang w:val="es-ES_tradnl" w:eastAsia="es-MX"/>
        </w:rPr>
      </w:pPr>
    </w:p>
    <w:p w14:paraId="49ACF726"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b/>
          <w:i/>
          <w:lang w:val="es-ES_tradnl" w:eastAsia="es-MX"/>
        </w:rPr>
        <w:t>Décimo primero.</w:t>
      </w:r>
      <w:r w:rsidRPr="00360FDF">
        <w:rPr>
          <w:rFonts w:ascii="Palatino Linotype" w:eastAsia="MS Mincho" w:hAnsi="Palatino Linotype" w:cs="Arial"/>
          <w:i/>
          <w:lang w:val="es-ES_tradnl" w:eastAsia="es-MX"/>
        </w:rPr>
        <w:t xml:space="preserve"> </w:t>
      </w:r>
      <w:r w:rsidRPr="00360FDF">
        <w:rPr>
          <w:rFonts w:ascii="Palatino Linotype" w:eastAsia="MS Mincho" w:hAnsi="Palatino Linotype" w:cs="Arial"/>
          <w:b/>
          <w:i/>
          <w:lang w:val="es-ES_tradnl" w:eastAsia="es-MX"/>
        </w:rPr>
        <w:t>En el intercambio de información entre sujetos obligados para el ejercicio de sus atribuciones, los documentos que se encuentren clasificados deberán llevar la leyenda correspondiente</w:t>
      </w:r>
      <w:r w:rsidRPr="00360FDF">
        <w:rPr>
          <w:rFonts w:ascii="Palatino Linotype" w:eastAsia="MS Mincho" w:hAnsi="Palatino Linotype" w:cs="Arial"/>
          <w:i/>
          <w:lang w:val="es-ES_tradnl" w:eastAsia="es-MX"/>
        </w:rPr>
        <w:t xml:space="preserve"> de conformidad con lo dispuesto en el Capítulo VIII de los presentes lineamientos.</w:t>
      </w:r>
    </w:p>
    <w:p w14:paraId="0B923A0F" w14:textId="77777777" w:rsidR="00A26C04" w:rsidRPr="00360FDF" w:rsidRDefault="00A26C04" w:rsidP="00A26C04">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i/>
          <w:lang w:val="es-ES_tradnl" w:eastAsia="es-MX"/>
        </w:rPr>
        <w:t>(…)</w:t>
      </w:r>
    </w:p>
    <w:p w14:paraId="03CA0F58" w14:textId="77777777" w:rsidR="00A26C04" w:rsidRPr="00360FDF" w:rsidRDefault="00A26C04" w:rsidP="00A26C04">
      <w:pPr>
        <w:spacing w:after="0" w:line="360" w:lineRule="auto"/>
        <w:ind w:left="709" w:right="709"/>
        <w:jc w:val="center"/>
        <w:rPr>
          <w:rFonts w:ascii="Palatino Linotype" w:eastAsia="MS Mincho" w:hAnsi="Palatino Linotype" w:cs="Arial"/>
          <w:b/>
          <w:i/>
          <w:lang w:val="es-ES_tradnl" w:eastAsia="es-MX"/>
        </w:rPr>
      </w:pPr>
      <w:r w:rsidRPr="00360FDF">
        <w:rPr>
          <w:rFonts w:ascii="Palatino Linotype" w:eastAsia="MS Mincho" w:hAnsi="Palatino Linotype" w:cs="Arial"/>
          <w:b/>
          <w:i/>
          <w:lang w:val="es-ES_tradnl" w:eastAsia="es-MX"/>
        </w:rPr>
        <w:t>CAPÍTULO VIII</w:t>
      </w:r>
    </w:p>
    <w:p w14:paraId="79BB57CA" w14:textId="77777777" w:rsidR="00A26C04" w:rsidRPr="00360FDF" w:rsidRDefault="00A26C04" w:rsidP="00A26C04">
      <w:pPr>
        <w:spacing w:after="0" w:line="360" w:lineRule="auto"/>
        <w:ind w:left="709" w:right="709"/>
        <w:jc w:val="center"/>
        <w:rPr>
          <w:rFonts w:ascii="Palatino Linotype" w:eastAsia="MS Mincho" w:hAnsi="Palatino Linotype" w:cs="Arial"/>
          <w:b/>
          <w:i/>
          <w:lang w:val="es-ES_tradnl" w:eastAsia="es-MX"/>
        </w:rPr>
      </w:pPr>
      <w:r w:rsidRPr="00360FDF">
        <w:rPr>
          <w:rFonts w:ascii="Palatino Linotype" w:eastAsia="MS Mincho" w:hAnsi="Palatino Linotype" w:cs="Arial"/>
          <w:b/>
          <w:i/>
          <w:lang w:val="es-ES_tradnl" w:eastAsia="es-MX"/>
        </w:rPr>
        <w:t>DE LA LEYENDA DE CLASIFICACIÓN</w:t>
      </w:r>
    </w:p>
    <w:p w14:paraId="2323E2C3" w14:textId="77777777" w:rsidR="00A26C04" w:rsidRPr="00360FDF" w:rsidRDefault="00A26C04" w:rsidP="00A26C04">
      <w:pPr>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b/>
          <w:i/>
          <w:lang w:val="es-ES_tradnl" w:eastAsia="es-MX"/>
        </w:rPr>
        <w:lastRenderedPageBreak/>
        <w:t xml:space="preserve">Quincuagésimo. </w:t>
      </w:r>
      <w:r w:rsidRPr="00360FDF">
        <w:rPr>
          <w:rFonts w:ascii="Palatino Linotype" w:eastAsia="MS Mincho" w:hAnsi="Palatino Linotype" w:cs="Arial"/>
          <w:b/>
          <w:i/>
          <w:u w:val="single"/>
          <w:lang w:val="es-ES_tradnl" w:eastAsia="es-MX"/>
        </w:rPr>
        <w:t>Los titulares de las áreas de los sujetos obligados podrán utilizar los formatos contenidos en el presente Capítulo como modelo</w:t>
      </w:r>
      <w:r w:rsidRPr="00360FDF">
        <w:rPr>
          <w:rFonts w:ascii="Palatino Linotype" w:eastAsia="MS Mincho" w:hAnsi="Palatino Linotype" w:cs="Arial"/>
          <w:i/>
          <w:lang w:val="es-ES_tradnl" w:eastAsia="es-MX"/>
        </w:rPr>
        <w:t xml:space="preserve"> para señalar la clasificación de documentos o expedientes, sin perjuicio de que establezcan los propios.</w:t>
      </w:r>
    </w:p>
    <w:p w14:paraId="32BF086A" w14:textId="77777777" w:rsidR="00A26C04" w:rsidRPr="00360FDF" w:rsidRDefault="00A26C04" w:rsidP="00A26C04">
      <w:pPr>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i/>
          <w:lang w:val="es-ES_tradnl" w:eastAsia="es-MX"/>
        </w:rPr>
        <w:t>[…]</w:t>
      </w:r>
    </w:p>
    <w:p w14:paraId="65B29F79" w14:textId="77777777" w:rsidR="00A26C04" w:rsidRPr="00360FDF" w:rsidRDefault="00A26C04" w:rsidP="00A26C04">
      <w:pPr>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b/>
          <w:i/>
          <w:lang w:val="es-ES_tradnl" w:eastAsia="es-MX"/>
        </w:rPr>
        <w:t xml:space="preserve">Quincuagésimo tercero. </w:t>
      </w:r>
      <w:r w:rsidRPr="00360FDF">
        <w:rPr>
          <w:rFonts w:ascii="Palatino Linotype" w:eastAsia="MS Mincho" w:hAnsi="Palatino Linotype" w:cs="Arial"/>
          <w:b/>
          <w:i/>
          <w:u w:val="single"/>
          <w:lang w:val="es-ES_tradnl" w:eastAsia="es-MX"/>
        </w:rPr>
        <w:t>El formato para señalar la clasificación parcial de un documento</w:t>
      </w:r>
      <w:r w:rsidRPr="00360FDF">
        <w:rPr>
          <w:rFonts w:ascii="Palatino Linotype" w:eastAsia="MS Mincho" w:hAnsi="Palatino Linotype" w:cs="Arial"/>
          <w:i/>
          <w:lang w:val="es-ES_tradnl" w:eastAsia="es-MX"/>
        </w:rPr>
        <w:t>, es el siguiente:</w:t>
      </w:r>
    </w:p>
    <w:tbl>
      <w:tblPr>
        <w:tblStyle w:val="Tablaconcuadrcula7"/>
        <w:tblW w:w="0" w:type="auto"/>
        <w:jc w:val="center"/>
        <w:tblLook w:val="04A0" w:firstRow="1" w:lastRow="0" w:firstColumn="1" w:lastColumn="0" w:noHBand="0" w:noVBand="1"/>
      </w:tblPr>
      <w:tblGrid>
        <w:gridCol w:w="1129"/>
        <w:gridCol w:w="1990"/>
        <w:gridCol w:w="4531"/>
      </w:tblGrid>
      <w:tr w:rsidR="00A26C04" w:rsidRPr="00360FDF" w14:paraId="68159B72" w14:textId="77777777" w:rsidTr="00442579">
        <w:trPr>
          <w:jc w:val="center"/>
        </w:trPr>
        <w:tc>
          <w:tcPr>
            <w:tcW w:w="1129" w:type="dxa"/>
            <w:tcBorders>
              <w:top w:val="nil"/>
              <w:left w:val="nil"/>
              <w:bottom w:val="single" w:sz="4" w:space="0" w:color="auto"/>
              <w:right w:val="single" w:sz="4" w:space="0" w:color="auto"/>
            </w:tcBorders>
          </w:tcPr>
          <w:p w14:paraId="109CE46A" w14:textId="77777777" w:rsidR="00A26C04" w:rsidRPr="00360FDF" w:rsidRDefault="00A26C04" w:rsidP="00A26C04">
            <w:pPr>
              <w:spacing w:line="360" w:lineRule="auto"/>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14:paraId="6DF368DB" w14:textId="77777777" w:rsidR="00A26C04" w:rsidRPr="00360FDF" w:rsidRDefault="00A26C04" w:rsidP="00A26C04">
            <w:pPr>
              <w:spacing w:line="360" w:lineRule="auto"/>
              <w:jc w:val="center"/>
              <w:rPr>
                <w:rFonts w:ascii="Palatino Linotype" w:hAnsi="Palatino Linotype" w:cs="Times New Roman"/>
                <w:i/>
              </w:rPr>
            </w:pPr>
            <w:r w:rsidRPr="00360FDF">
              <w:rPr>
                <w:rFonts w:ascii="Palatino Linotype" w:hAnsi="Palatino Linotype" w:cs="Times New Roman"/>
                <w:i/>
              </w:rPr>
              <w:t>Concepto</w:t>
            </w:r>
          </w:p>
        </w:tc>
        <w:tc>
          <w:tcPr>
            <w:tcW w:w="4531" w:type="dxa"/>
            <w:tcBorders>
              <w:top w:val="single" w:sz="4" w:space="0" w:color="auto"/>
              <w:left w:val="single" w:sz="4" w:space="0" w:color="auto"/>
              <w:bottom w:val="single" w:sz="4" w:space="0" w:color="auto"/>
              <w:right w:val="single" w:sz="4" w:space="0" w:color="auto"/>
            </w:tcBorders>
          </w:tcPr>
          <w:p w14:paraId="2E0A9C29" w14:textId="77777777" w:rsidR="00A26C04" w:rsidRPr="00360FDF" w:rsidRDefault="00A26C04" w:rsidP="00A26C04">
            <w:pPr>
              <w:spacing w:line="360" w:lineRule="auto"/>
              <w:jc w:val="center"/>
              <w:rPr>
                <w:rFonts w:ascii="Palatino Linotype" w:hAnsi="Palatino Linotype" w:cs="Times New Roman"/>
                <w:i/>
              </w:rPr>
            </w:pPr>
            <w:r w:rsidRPr="00360FDF">
              <w:rPr>
                <w:rFonts w:ascii="Palatino Linotype" w:hAnsi="Palatino Linotype" w:cs="Times New Roman"/>
                <w:i/>
              </w:rPr>
              <w:t>Dónde:</w:t>
            </w:r>
          </w:p>
        </w:tc>
      </w:tr>
      <w:tr w:rsidR="00A26C04" w:rsidRPr="00360FDF" w14:paraId="5F0AB6E8" w14:textId="77777777" w:rsidTr="00442579">
        <w:trPr>
          <w:jc w:val="center"/>
        </w:trPr>
        <w:tc>
          <w:tcPr>
            <w:tcW w:w="1129" w:type="dxa"/>
            <w:vMerge w:val="restart"/>
            <w:tcBorders>
              <w:top w:val="single" w:sz="4" w:space="0" w:color="auto"/>
            </w:tcBorders>
            <w:vAlign w:val="center"/>
          </w:tcPr>
          <w:p w14:paraId="1FF95A5A" w14:textId="77777777" w:rsidR="00A26C04" w:rsidRPr="00360FDF" w:rsidRDefault="00A26C04" w:rsidP="00A26C04">
            <w:pPr>
              <w:spacing w:line="360" w:lineRule="auto"/>
              <w:jc w:val="center"/>
              <w:rPr>
                <w:rFonts w:ascii="Palatino Linotype" w:hAnsi="Palatino Linotype" w:cs="Arial"/>
                <w:i/>
                <w:lang w:eastAsia="es-MX"/>
              </w:rPr>
            </w:pPr>
            <w:r w:rsidRPr="00360FDF">
              <w:rPr>
                <w:rFonts w:ascii="Palatino Linotype" w:hAnsi="Palatino Linotype" w:cs="Arial"/>
                <w:i/>
                <w:lang w:eastAsia="es-MX"/>
              </w:rPr>
              <w:t>Sello oficial o logotipo del sujeto obligado</w:t>
            </w:r>
          </w:p>
        </w:tc>
        <w:tc>
          <w:tcPr>
            <w:tcW w:w="1990" w:type="dxa"/>
            <w:tcBorders>
              <w:top w:val="single" w:sz="4" w:space="0" w:color="auto"/>
            </w:tcBorders>
          </w:tcPr>
          <w:p w14:paraId="3C0C04CA" w14:textId="77777777" w:rsidR="00A26C04" w:rsidRPr="00360FDF" w:rsidRDefault="00A26C04" w:rsidP="00A26C04">
            <w:pPr>
              <w:spacing w:line="360" w:lineRule="auto"/>
              <w:jc w:val="center"/>
              <w:rPr>
                <w:rFonts w:ascii="Palatino Linotype" w:hAnsi="Palatino Linotype" w:cs="Arial"/>
                <w:i/>
                <w:lang w:eastAsia="es-MX"/>
              </w:rPr>
            </w:pPr>
            <w:r w:rsidRPr="00360FDF">
              <w:rPr>
                <w:rFonts w:ascii="Palatino Linotype" w:hAnsi="Palatino Linotype" w:cs="Arial"/>
                <w:i/>
                <w:lang w:eastAsia="es-MX"/>
              </w:rPr>
              <w:t>Fecha de clasificación</w:t>
            </w:r>
          </w:p>
        </w:tc>
        <w:tc>
          <w:tcPr>
            <w:tcW w:w="4531" w:type="dxa"/>
            <w:tcBorders>
              <w:top w:val="single" w:sz="4" w:space="0" w:color="auto"/>
            </w:tcBorders>
          </w:tcPr>
          <w:p w14:paraId="342087E9" w14:textId="77777777" w:rsidR="00A26C04" w:rsidRPr="00360FDF" w:rsidRDefault="00A26C04" w:rsidP="00A26C04">
            <w:pPr>
              <w:spacing w:line="360" w:lineRule="auto"/>
              <w:jc w:val="both"/>
              <w:rPr>
                <w:rFonts w:ascii="Palatino Linotype" w:hAnsi="Palatino Linotype" w:cs="Arial"/>
                <w:i/>
                <w:lang w:eastAsia="es-MX"/>
              </w:rPr>
            </w:pPr>
            <w:r w:rsidRPr="00360FDF">
              <w:rPr>
                <w:rFonts w:ascii="Palatino Linotype" w:hAnsi="Palatino Linotype" w:cs="Arial"/>
                <w:i/>
                <w:lang w:eastAsia="es-MX"/>
              </w:rPr>
              <w:t>Se anotará la fecha en la que el Comité de Transparencia confirmó la clasificación del documento, en su caso.</w:t>
            </w:r>
          </w:p>
        </w:tc>
      </w:tr>
      <w:tr w:rsidR="00A26C04" w:rsidRPr="00360FDF" w14:paraId="610EA5E6" w14:textId="77777777" w:rsidTr="00442579">
        <w:trPr>
          <w:jc w:val="center"/>
        </w:trPr>
        <w:tc>
          <w:tcPr>
            <w:tcW w:w="1129" w:type="dxa"/>
            <w:vMerge/>
          </w:tcPr>
          <w:p w14:paraId="3917C423" w14:textId="77777777" w:rsidR="00A26C04" w:rsidRPr="00360FDF" w:rsidRDefault="00A26C04" w:rsidP="00A26C04">
            <w:pPr>
              <w:spacing w:line="360" w:lineRule="auto"/>
              <w:jc w:val="both"/>
              <w:rPr>
                <w:rFonts w:ascii="Palatino Linotype" w:hAnsi="Palatino Linotype" w:cs="Arial"/>
                <w:i/>
                <w:lang w:eastAsia="es-MX"/>
              </w:rPr>
            </w:pPr>
          </w:p>
        </w:tc>
        <w:tc>
          <w:tcPr>
            <w:tcW w:w="1990" w:type="dxa"/>
          </w:tcPr>
          <w:p w14:paraId="5FCC5518" w14:textId="77777777" w:rsidR="00A26C04" w:rsidRPr="00360FDF" w:rsidRDefault="00A26C04" w:rsidP="00A26C04">
            <w:pPr>
              <w:spacing w:line="360" w:lineRule="auto"/>
              <w:jc w:val="center"/>
              <w:rPr>
                <w:rFonts w:ascii="Palatino Linotype" w:hAnsi="Palatino Linotype" w:cs="Arial"/>
                <w:i/>
                <w:lang w:eastAsia="es-MX"/>
              </w:rPr>
            </w:pPr>
            <w:r w:rsidRPr="00360FDF">
              <w:rPr>
                <w:rFonts w:ascii="Palatino Linotype" w:hAnsi="Palatino Linotype" w:cs="Arial"/>
                <w:i/>
                <w:lang w:eastAsia="es-MX"/>
              </w:rPr>
              <w:t>Área</w:t>
            </w:r>
          </w:p>
        </w:tc>
        <w:tc>
          <w:tcPr>
            <w:tcW w:w="4531" w:type="dxa"/>
          </w:tcPr>
          <w:p w14:paraId="3CE96684" w14:textId="77777777" w:rsidR="00A26C04" w:rsidRPr="00360FDF" w:rsidRDefault="00A26C04" w:rsidP="00A26C04">
            <w:pPr>
              <w:spacing w:line="360" w:lineRule="auto"/>
              <w:jc w:val="both"/>
              <w:rPr>
                <w:rFonts w:ascii="Palatino Linotype" w:hAnsi="Palatino Linotype" w:cs="Arial"/>
                <w:i/>
                <w:lang w:eastAsia="es-MX"/>
              </w:rPr>
            </w:pPr>
            <w:r w:rsidRPr="00360FDF">
              <w:rPr>
                <w:rFonts w:ascii="Palatino Linotype" w:hAnsi="Palatino Linotype" w:cs="Arial"/>
                <w:i/>
                <w:lang w:eastAsia="es-MX"/>
              </w:rPr>
              <w:t>Se señalará el nombre del área del cual es titular quien clasifica.</w:t>
            </w:r>
          </w:p>
        </w:tc>
      </w:tr>
      <w:tr w:rsidR="00A26C04" w:rsidRPr="00360FDF" w14:paraId="41FD73B9" w14:textId="77777777" w:rsidTr="00442579">
        <w:trPr>
          <w:jc w:val="center"/>
        </w:trPr>
        <w:tc>
          <w:tcPr>
            <w:tcW w:w="1129" w:type="dxa"/>
            <w:vMerge/>
          </w:tcPr>
          <w:p w14:paraId="09FF617E" w14:textId="77777777" w:rsidR="00A26C04" w:rsidRPr="00360FDF" w:rsidRDefault="00A26C04" w:rsidP="00A26C04">
            <w:pPr>
              <w:spacing w:line="360" w:lineRule="auto"/>
              <w:jc w:val="both"/>
              <w:rPr>
                <w:rFonts w:ascii="Palatino Linotype" w:hAnsi="Palatino Linotype" w:cs="Arial"/>
                <w:i/>
                <w:lang w:eastAsia="es-MX"/>
              </w:rPr>
            </w:pPr>
          </w:p>
        </w:tc>
        <w:tc>
          <w:tcPr>
            <w:tcW w:w="1990" w:type="dxa"/>
          </w:tcPr>
          <w:p w14:paraId="254BD8B2" w14:textId="77777777" w:rsidR="00A26C04" w:rsidRPr="00360FDF" w:rsidRDefault="00A26C04" w:rsidP="00A26C04">
            <w:pPr>
              <w:spacing w:line="360" w:lineRule="auto"/>
              <w:jc w:val="center"/>
              <w:rPr>
                <w:rFonts w:ascii="Palatino Linotype" w:hAnsi="Palatino Linotype" w:cs="Arial"/>
                <w:b/>
                <w:i/>
                <w:lang w:eastAsia="es-MX"/>
              </w:rPr>
            </w:pPr>
            <w:r w:rsidRPr="00360FDF">
              <w:rPr>
                <w:rFonts w:ascii="Palatino Linotype" w:hAnsi="Palatino Linotype" w:cs="Arial"/>
                <w:b/>
                <w:i/>
                <w:lang w:eastAsia="es-MX"/>
              </w:rPr>
              <w:t>Información reservada</w:t>
            </w:r>
          </w:p>
        </w:tc>
        <w:tc>
          <w:tcPr>
            <w:tcW w:w="4531" w:type="dxa"/>
          </w:tcPr>
          <w:p w14:paraId="69C4E7CC" w14:textId="77777777" w:rsidR="00A26C04" w:rsidRPr="00360FDF" w:rsidRDefault="00A26C04" w:rsidP="00A26C04">
            <w:pPr>
              <w:spacing w:line="360" w:lineRule="auto"/>
              <w:jc w:val="both"/>
              <w:rPr>
                <w:rFonts w:ascii="Palatino Linotype" w:hAnsi="Palatino Linotype" w:cs="Arial"/>
                <w:i/>
                <w:lang w:eastAsia="es-MX"/>
              </w:rPr>
            </w:pPr>
            <w:r w:rsidRPr="00360FDF">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A26C04" w:rsidRPr="00360FDF" w14:paraId="7F471DC6" w14:textId="77777777" w:rsidTr="00442579">
        <w:trPr>
          <w:jc w:val="center"/>
        </w:trPr>
        <w:tc>
          <w:tcPr>
            <w:tcW w:w="1129" w:type="dxa"/>
            <w:vMerge/>
          </w:tcPr>
          <w:p w14:paraId="334D484A" w14:textId="77777777" w:rsidR="00A26C04" w:rsidRPr="00360FDF" w:rsidRDefault="00A26C04" w:rsidP="00A26C04">
            <w:pPr>
              <w:spacing w:line="360" w:lineRule="auto"/>
              <w:jc w:val="both"/>
              <w:rPr>
                <w:rFonts w:ascii="Palatino Linotype" w:hAnsi="Palatino Linotype" w:cs="Arial"/>
                <w:i/>
                <w:lang w:eastAsia="es-MX"/>
              </w:rPr>
            </w:pPr>
          </w:p>
        </w:tc>
        <w:tc>
          <w:tcPr>
            <w:tcW w:w="1990" w:type="dxa"/>
          </w:tcPr>
          <w:p w14:paraId="36DB0EAF" w14:textId="77777777" w:rsidR="00A26C04" w:rsidRPr="00360FDF" w:rsidRDefault="00A26C04" w:rsidP="00A26C04">
            <w:pPr>
              <w:spacing w:line="360" w:lineRule="auto"/>
              <w:jc w:val="center"/>
              <w:rPr>
                <w:rFonts w:ascii="Palatino Linotype" w:hAnsi="Palatino Linotype" w:cs="Arial"/>
                <w:b/>
                <w:i/>
                <w:lang w:eastAsia="es-MX"/>
              </w:rPr>
            </w:pPr>
            <w:r w:rsidRPr="00360FDF">
              <w:rPr>
                <w:rFonts w:ascii="Palatino Linotype" w:hAnsi="Palatino Linotype" w:cs="Arial"/>
                <w:b/>
                <w:i/>
                <w:lang w:eastAsia="es-MX"/>
              </w:rPr>
              <w:t>Periodo de reserva</w:t>
            </w:r>
          </w:p>
        </w:tc>
        <w:tc>
          <w:tcPr>
            <w:tcW w:w="4531" w:type="dxa"/>
          </w:tcPr>
          <w:p w14:paraId="0CCF1436" w14:textId="77777777" w:rsidR="00A26C04" w:rsidRPr="00360FDF" w:rsidRDefault="00A26C04" w:rsidP="00A26C04">
            <w:pPr>
              <w:spacing w:line="360" w:lineRule="auto"/>
              <w:jc w:val="both"/>
              <w:rPr>
                <w:rFonts w:ascii="Palatino Linotype" w:hAnsi="Palatino Linotype" w:cs="Arial"/>
                <w:i/>
                <w:lang w:eastAsia="es-MX"/>
              </w:rPr>
            </w:pPr>
            <w:r w:rsidRPr="00360FDF">
              <w:rPr>
                <w:rFonts w:ascii="Palatino Linotype" w:hAnsi="Palatino Linotype" w:cs="Arial"/>
                <w:i/>
                <w:lang w:eastAsia="es-MX"/>
              </w:rPr>
              <w:t>Se anotará el número de años o meses por los que se mantendrá el documento o las partes del mismo como reservado.</w:t>
            </w:r>
          </w:p>
        </w:tc>
      </w:tr>
      <w:tr w:rsidR="00A26C04" w:rsidRPr="00360FDF" w14:paraId="3F1C0165" w14:textId="77777777" w:rsidTr="00442579">
        <w:trPr>
          <w:jc w:val="center"/>
        </w:trPr>
        <w:tc>
          <w:tcPr>
            <w:tcW w:w="1129" w:type="dxa"/>
            <w:vMerge/>
          </w:tcPr>
          <w:p w14:paraId="664E440A" w14:textId="77777777" w:rsidR="00A26C04" w:rsidRPr="00360FDF" w:rsidRDefault="00A26C04" w:rsidP="00A26C04">
            <w:pPr>
              <w:spacing w:line="360" w:lineRule="auto"/>
              <w:jc w:val="both"/>
              <w:rPr>
                <w:rFonts w:ascii="Palatino Linotype" w:hAnsi="Palatino Linotype" w:cs="Arial"/>
                <w:i/>
                <w:lang w:eastAsia="es-MX"/>
              </w:rPr>
            </w:pPr>
          </w:p>
        </w:tc>
        <w:tc>
          <w:tcPr>
            <w:tcW w:w="1990" w:type="dxa"/>
          </w:tcPr>
          <w:p w14:paraId="63953170" w14:textId="77777777" w:rsidR="00A26C04" w:rsidRPr="00360FDF" w:rsidRDefault="00A26C04" w:rsidP="00A26C04">
            <w:pPr>
              <w:spacing w:line="360" w:lineRule="auto"/>
              <w:jc w:val="center"/>
              <w:rPr>
                <w:rFonts w:ascii="Palatino Linotype" w:hAnsi="Palatino Linotype" w:cs="Arial"/>
                <w:b/>
                <w:i/>
                <w:lang w:eastAsia="es-MX"/>
              </w:rPr>
            </w:pPr>
            <w:r w:rsidRPr="00360FDF">
              <w:rPr>
                <w:rFonts w:ascii="Palatino Linotype" w:hAnsi="Palatino Linotype" w:cs="Arial"/>
                <w:b/>
                <w:i/>
                <w:lang w:eastAsia="es-MX"/>
              </w:rPr>
              <w:t>Fundamento legal</w:t>
            </w:r>
          </w:p>
        </w:tc>
        <w:tc>
          <w:tcPr>
            <w:tcW w:w="4531" w:type="dxa"/>
          </w:tcPr>
          <w:p w14:paraId="6D966E8D" w14:textId="77777777" w:rsidR="00A26C04" w:rsidRPr="00360FDF" w:rsidRDefault="00A26C04" w:rsidP="00A26C04">
            <w:pPr>
              <w:spacing w:line="360" w:lineRule="auto"/>
              <w:jc w:val="both"/>
              <w:rPr>
                <w:rFonts w:ascii="Palatino Linotype" w:hAnsi="Palatino Linotype" w:cs="Arial"/>
                <w:i/>
                <w:lang w:eastAsia="es-MX"/>
              </w:rPr>
            </w:pPr>
            <w:r w:rsidRPr="00360FDF">
              <w:rPr>
                <w:rFonts w:ascii="Palatino Linotype" w:hAnsi="Palatino Linotype" w:cs="Arial"/>
                <w:i/>
                <w:lang w:eastAsia="es-MX"/>
              </w:rPr>
              <w:t>Se señalará el nombre del ordenamiento, el o los artículos, fracción(es), párrafo(s) con base en los cuales se sustente la reserva.</w:t>
            </w:r>
          </w:p>
        </w:tc>
      </w:tr>
      <w:tr w:rsidR="00A26C04" w:rsidRPr="00360FDF" w14:paraId="36654368" w14:textId="77777777" w:rsidTr="00442579">
        <w:trPr>
          <w:jc w:val="center"/>
        </w:trPr>
        <w:tc>
          <w:tcPr>
            <w:tcW w:w="1129" w:type="dxa"/>
            <w:vMerge/>
          </w:tcPr>
          <w:p w14:paraId="306E685E" w14:textId="77777777" w:rsidR="00A26C04" w:rsidRPr="00360FDF" w:rsidRDefault="00A26C04" w:rsidP="00A26C04">
            <w:pPr>
              <w:spacing w:line="360" w:lineRule="auto"/>
              <w:jc w:val="both"/>
              <w:rPr>
                <w:rFonts w:ascii="Palatino Linotype" w:hAnsi="Palatino Linotype" w:cs="Arial"/>
                <w:i/>
                <w:lang w:eastAsia="es-MX"/>
              </w:rPr>
            </w:pPr>
          </w:p>
        </w:tc>
        <w:tc>
          <w:tcPr>
            <w:tcW w:w="1990" w:type="dxa"/>
          </w:tcPr>
          <w:p w14:paraId="16A6AE79" w14:textId="77777777" w:rsidR="00A26C04" w:rsidRPr="00360FDF" w:rsidRDefault="00A26C04" w:rsidP="00A26C04">
            <w:pPr>
              <w:spacing w:line="360" w:lineRule="auto"/>
              <w:jc w:val="center"/>
              <w:rPr>
                <w:rFonts w:ascii="Palatino Linotype" w:hAnsi="Palatino Linotype" w:cs="Arial"/>
                <w:i/>
                <w:lang w:eastAsia="es-MX"/>
              </w:rPr>
            </w:pPr>
            <w:r w:rsidRPr="00360FDF">
              <w:rPr>
                <w:rFonts w:ascii="Palatino Linotype" w:hAnsi="Palatino Linotype" w:cs="Arial"/>
                <w:i/>
                <w:lang w:eastAsia="es-MX"/>
              </w:rPr>
              <w:t>Ampliación del periodo de reserva</w:t>
            </w:r>
          </w:p>
        </w:tc>
        <w:tc>
          <w:tcPr>
            <w:tcW w:w="4531" w:type="dxa"/>
          </w:tcPr>
          <w:p w14:paraId="13802702" w14:textId="77777777" w:rsidR="00A26C04" w:rsidRPr="00360FDF" w:rsidRDefault="00A26C04" w:rsidP="00A26C04">
            <w:pPr>
              <w:spacing w:line="360" w:lineRule="auto"/>
              <w:jc w:val="both"/>
              <w:rPr>
                <w:rFonts w:ascii="Palatino Linotype" w:hAnsi="Palatino Linotype" w:cs="Arial"/>
                <w:i/>
                <w:lang w:eastAsia="es-MX"/>
              </w:rPr>
            </w:pPr>
            <w:r w:rsidRPr="00360FDF">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A26C04" w:rsidRPr="00360FDF" w14:paraId="7ABE3C55" w14:textId="77777777" w:rsidTr="00442579">
        <w:trPr>
          <w:jc w:val="center"/>
        </w:trPr>
        <w:tc>
          <w:tcPr>
            <w:tcW w:w="1129" w:type="dxa"/>
            <w:vMerge/>
          </w:tcPr>
          <w:p w14:paraId="65D7B1CA" w14:textId="77777777" w:rsidR="00A26C04" w:rsidRPr="00360FDF" w:rsidRDefault="00A26C04" w:rsidP="00A26C04">
            <w:pPr>
              <w:spacing w:line="360" w:lineRule="auto"/>
              <w:jc w:val="both"/>
              <w:rPr>
                <w:rFonts w:ascii="Palatino Linotype" w:hAnsi="Palatino Linotype" w:cs="Arial"/>
                <w:i/>
                <w:lang w:eastAsia="es-MX"/>
              </w:rPr>
            </w:pPr>
          </w:p>
        </w:tc>
        <w:tc>
          <w:tcPr>
            <w:tcW w:w="1990" w:type="dxa"/>
          </w:tcPr>
          <w:p w14:paraId="1ECC7763" w14:textId="77777777" w:rsidR="00A26C04" w:rsidRPr="00360FDF" w:rsidRDefault="00A26C04" w:rsidP="00A26C04">
            <w:pPr>
              <w:spacing w:line="360" w:lineRule="auto"/>
              <w:jc w:val="center"/>
              <w:rPr>
                <w:rFonts w:ascii="Palatino Linotype" w:hAnsi="Palatino Linotype" w:cs="Arial"/>
                <w:i/>
                <w:u w:val="single"/>
                <w:lang w:eastAsia="es-MX"/>
              </w:rPr>
            </w:pPr>
            <w:r w:rsidRPr="00360FDF">
              <w:rPr>
                <w:rFonts w:ascii="Palatino Linotype" w:hAnsi="Palatino Linotype" w:cs="Arial"/>
                <w:i/>
                <w:u w:val="single"/>
                <w:lang w:eastAsia="es-MX"/>
              </w:rPr>
              <w:t>Confidencial</w:t>
            </w:r>
          </w:p>
        </w:tc>
        <w:tc>
          <w:tcPr>
            <w:tcW w:w="4531" w:type="dxa"/>
          </w:tcPr>
          <w:p w14:paraId="250CE51C" w14:textId="77777777" w:rsidR="00A26C04" w:rsidRPr="00360FDF" w:rsidRDefault="00A26C04" w:rsidP="00A26C04">
            <w:pPr>
              <w:spacing w:line="360" w:lineRule="auto"/>
              <w:jc w:val="both"/>
              <w:rPr>
                <w:rFonts w:ascii="Palatino Linotype" w:hAnsi="Palatino Linotype" w:cs="Arial"/>
                <w:i/>
                <w:lang w:eastAsia="es-MX"/>
              </w:rPr>
            </w:pPr>
            <w:r w:rsidRPr="00360FDF">
              <w:rPr>
                <w:rFonts w:ascii="Palatino Linotype" w:hAnsi="Palatino Linotype" w:cs="Arial"/>
                <w:i/>
                <w:lang w:eastAsia="es-MX"/>
              </w:rPr>
              <w:t xml:space="preserve">Se indicarán, en su caso, las partes o páginas del documento que se clasifica como confidencial. </w:t>
            </w:r>
            <w:r w:rsidRPr="00360FDF">
              <w:rPr>
                <w:rFonts w:ascii="Palatino Linotype" w:hAnsi="Palatino Linotype" w:cs="Arial"/>
                <w:i/>
                <w:u w:val="single"/>
                <w:lang w:eastAsia="es-MX"/>
              </w:rPr>
              <w:t>Si el documento fuera confidencial en su totalidad, se anotarán todas las páginas que lo conforman</w:t>
            </w:r>
            <w:r w:rsidRPr="00360FDF">
              <w:rPr>
                <w:rFonts w:ascii="Palatino Linotype" w:hAnsi="Palatino Linotype" w:cs="Arial"/>
                <w:i/>
                <w:lang w:eastAsia="es-MX"/>
              </w:rPr>
              <w:t>. Si el documento no contiene información confidencial, se tachará este apartado.</w:t>
            </w:r>
          </w:p>
        </w:tc>
      </w:tr>
      <w:tr w:rsidR="00A26C04" w:rsidRPr="00360FDF" w14:paraId="7CB20A96" w14:textId="77777777" w:rsidTr="00442579">
        <w:trPr>
          <w:jc w:val="center"/>
        </w:trPr>
        <w:tc>
          <w:tcPr>
            <w:tcW w:w="1129" w:type="dxa"/>
            <w:vMerge/>
          </w:tcPr>
          <w:p w14:paraId="6F1D8EEC" w14:textId="77777777" w:rsidR="00A26C04" w:rsidRPr="00360FDF" w:rsidRDefault="00A26C04" w:rsidP="00A26C04">
            <w:pPr>
              <w:spacing w:line="360" w:lineRule="auto"/>
              <w:jc w:val="both"/>
              <w:rPr>
                <w:rFonts w:ascii="Palatino Linotype" w:hAnsi="Palatino Linotype" w:cs="Arial"/>
                <w:i/>
                <w:lang w:eastAsia="es-MX"/>
              </w:rPr>
            </w:pPr>
          </w:p>
        </w:tc>
        <w:tc>
          <w:tcPr>
            <w:tcW w:w="1990" w:type="dxa"/>
          </w:tcPr>
          <w:p w14:paraId="5C00F249" w14:textId="77777777" w:rsidR="00A26C04" w:rsidRPr="00360FDF" w:rsidRDefault="00A26C04" w:rsidP="00A26C04">
            <w:pPr>
              <w:spacing w:line="360" w:lineRule="auto"/>
              <w:jc w:val="center"/>
              <w:rPr>
                <w:rFonts w:ascii="Palatino Linotype" w:hAnsi="Palatino Linotype" w:cs="Arial"/>
                <w:i/>
                <w:lang w:eastAsia="es-MX"/>
              </w:rPr>
            </w:pPr>
            <w:r w:rsidRPr="00360FDF">
              <w:rPr>
                <w:rFonts w:ascii="Palatino Linotype" w:hAnsi="Palatino Linotype" w:cs="Arial"/>
                <w:i/>
                <w:lang w:eastAsia="es-MX"/>
              </w:rPr>
              <w:t>Fundamento legal</w:t>
            </w:r>
          </w:p>
        </w:tc>
        <w:tc>
          <w:tcPr>
            <w:tcW w:w="4531" w:type="dxa"/>
          </w:tcPr>
          <w:p w14:paraId="2B5BD2C8" w14:textId="77777777" w:rsidR="00A26C04" w:rsidRPr="00360FDF" w:rsidRDefault="00A26C04" w:rsidP="00A26C04">
            <w:pPr>
              <w:spacing w:line="360" w:lineRule="auto"/>
              <w:jc w:val="both"/>
              <w:rPr>
                <w:rFonts w:ascii="Palatino Linotype" w:hAnsi="Palatino Linotype" w:cs="Arial"/>
                <w:i/>
                <w:lang w:eastAsia="es-MX"/>
              </w:rPr>
            </w:pPr>
            <w:r w:rsidRPr="00360FDF">
              <w:rPr>
                <w:rFonts w:ascii="Palatino Linotype" w:hAnsi="Palatino Linotype" w:cs="Arial"/>
                <w:i/>
                <w:lang w:eastAsia="es-MX"/>
              </w:rPr>
              <w:t>Se señalará el nombre del ordenamiento, el o los artículos, fracción(es), párrafo(s) con base en los cuales se sustente la confidencialidad.</w:t>
            </w:r>
          </w:p>
        </w:tc>
      </w:tr>
      <w:tr w:rsidR="00A26C04" w:rsidRPr="00360FDF" w14:paraId="0CB20416" w14:textId="77777777" w:rsidTr="00442579">
        <w:trPr>
          <w:jc w:val="center"/>
        </w:trPr>
        <w:tc>
          <w:tcPr>
            <w:tcW w:w="1129" w:type="dxa"/>
            <w:vMerge/>
          </w:tcPr>
          <w:p w14:paraId="554D04B7" w14:textId="77777777" w:rsidR="00A26C04" w:rsidRPr="00360FDF" w:rsidRDefault="00A26C04" w:rsidP="00A26C04">
            <w:pPr>
              <w:spacing w:line="360" w:lineRule="auto"/>
              <w:jc w:val="both"/>
              <w:rPr>
                <w:rFonts w:ascii="Palatino Linotype" w:hAnsi="Palatino Linotype" w:cs="Arial"/>
                <w:i/>
                <w:lang w:eastAsia="es-MX"/>
              </w:rPr>
            </w:pPr>
          </w:p>
        </w:tc>
        <w:tc>
          <w:tcPr>
            <w:tcW w:w="1990" w:type="dxa"/>
          </w:tcPr>
          <w:p w14:paraId="06BAD3CD" w14:textId="77777777" w:rsidR="00A26C04" w:rsidRPr="00360FDF" w:rsidRDefault="00A26C04" w:rsidP="00A26C04">
            <w:pPr>
              <w:spacing w:line="360" w:lineRule="auto"/>
              <w:jc w:val="center"/>
              <w:rPr>
                <w:rFonts w:ascii="Palatino Linotype" w:hAnsi="Palatino Linotype" w:cs="Arial"/>
                <w:i/>
                <w:lang w:eastAsia="es-MX"/>
              </w:rPr>
            </w:pPr>
            <w:r w:rsidRPr="00360FDF">
              <w:rPr>
                <w:rFonts w:ascii="Palatino Linotype" w:hAnsi="Palatino Linotype" w:cs="Arial"/>
                <w:i/>
                <w:lang w:eastAsia="es-MX"/>
              </w:rPr>
              <w:t>Rúbrica del titular del área</w:t>
            </w:r>
          </w:p>
        </w:tc>
        <w:tc>
          <w:tcPr>
            <w:tcW w:w="4531" w:type="dxa"/>
          </w:tcPr>
          <w:p w14:paraId="485C017D" w14:textId="77777777" w:rsidR="00A26C04" w:rsidRPr="00360FDF" w:rsidRDefault="00A26C04" w:rsidP="00A26C04">
            <w:pPr>
              <w:spacing w:line="360" w:lineRule="auto"/>
              <w:jc w:val="both"/>
              <w:rPr>
                <w:rFonts w:ascii="Palatino Linotype" w:hAnsi="Palatino Linotype" w:cs="Arial"/>
                <w:i/>
                <w:lang w:eastAsia="es-MX"/>
              </w:rPr>
            </w:pPr>
            <w:r w:rsidRPr="00360FDF">
              <w:rPr>
                <w:rFonts w:ascii="Palatino Linotype" w:hAnsi="Palatino Linotype" w:cs="Arial"/>
                <w:i/>
                <w:lang w:eastAsia="es-MX"/>
              </w:rPr>
              <w:t>Rúbrica autógrafa de quien clasifica.</w:t>
            </w:r>
          </w:p>
        </w:tc>
      </w:tr>
      <w:tr w:rsidR="00A26C04" w:rsidRPr="00360FDF" w14:paraId="279B0EC5" w14:textId="77777777" w:rsidTr="00442579">
        <w:trPr>
          <w:jc w:val="center"/>
        </w:trPr>
        <w:tc>
          <w:tcPr>
            <w:tcW w:w="1129" w:type="dxa"/>
            <w:vMerge/>
          </w:tcPr>
          <w:p w14:paraId="24537425" w14:textId="77777777" w:rsidR="00A26C04" w:rsidRPr="00360FDF" w:rsidRDefault="00A26C04" w:rsidP="00A26C04">
            <w:pPr>
              <w:spacing w:line="360" w:lineRule="auto"/>
              <w:jc w:val="both"/>
              <w:rPr>
                <w:rFonts w:ascii="Palatino Linotype" w:hAnsi="Palatino Linotype" w:cs="Arial"/>
                <w:i/>
                <w:lang w:eastAsia="es-MX"/>
              </w:rPr>
            </w:pPr>
          </w:p>
        </w:tc>
        <w:tc>
          <w:tcPr>
            <w:tcW w:w="1990" w:type="dxa"/>
          </w:tcPr>
          <w:p w14:paraId="309B731A" w14:textId="77777777" w:rsidR="00A26C04" w:rsidRPr="00360FDF" w:rsidRDefault="00A26C04" w:rsidP="00A26C04">
            <w:pPr>
              <w:spacing w:line="360" w:lineRule="auto"/>
              <w:jc w:val="center"/>
              <w:rPr>
                <w:rFonts w:ascii="Palatino Linotype" w:hAnsi="Palatino Linotype" w:cs="Arial"/>
                <w:i/>
                <w:lang w:eastAsia="es-MX"/>
              </w:rPr>
            </w:pPr>
            <w:r w:rsidRPr="00360FDF">
              <w:rPr>
                <w:rFonts w:ascii="Palatino Linotype" w:hAnsi="Palatino Linotype" w:cs="Arial"/>
                <w:i/>
                <w:lang w:eastAsia="es-MX"/>
              </w:rPr>
              <w:t>Fecha de desclasificación</w:t>
            </w:r>
          </w:p>
        </w:tc>
        <w:tc>
          <w:tcPr>
            <w:tcW w:w="4531" w:type="dxa"/>
          </w:tcPr>
          <w:p w14:paraId="569B871C" w14:textId="77777777" w:rsidR="00A26C04" w:rsidRPr="00360FDF" w:rsidRDefault="00A26C04" w:rsidP="00A26C04">
            <w:pPr>
              <w:spacing w:line="360" w:lineRule="auto"/>
              <w:jc w:val="both"/>
              <w:rPr>
                <w:rFonts w:ascii="Palatino Linotype" w:hAnsi="Palatino Linotype" w:cs="Arial"/>
                <w:i/>
                <w:lang w:eastAsia="es-MX"/>
              </w:rPr>
            </w:pPr>
            <w:r w:rsidRPr="00360FDF">
              <w:rPr>
                <w:rFonts w:ascii="Palatino Linotype" w:hAnsi="Palatino Linotype" w:cs="Arial"/>
                <w:i/>
                <w:lang w:eastAsia="es-MX"/>
              </w:rPr>
              <w:t>Se anotará la fecha en que se desclasifica el documento.</w:t>
            </w:r>
          </w:p>
        </w:tc>
      </w:tr>
      <w:tr w:rsidR="00A26C04" w:rsidRPr="00360FDF" w14:paraId="2CF7D990" w14:textId="77777777" w:rsidTr="00442579">
        <w:trPr>
          <w:jc w:val="center"/>
        </w:trPr>
        <w:tc>
          <w:tcPr>
            <w:tcW w:w="1129" w:type="dxa"/>
            <w:vMerge/>
          </w:tcPr>
          <w:p w14:paraId="02926DFE" w14:textId="77777777" w:rsidR="00A26C04" w:rsidRPr="00360FDF" w:rsidRDefault="00A26C04" w:rsidP="00A26C04">
            <w:pPr>
              <w:spacing w:line="360" w:lineRule="auto"/>
              <w:jc w:val="both"/>
              <w:rPr>
                <w:rFonts w:ascii="Palatino Linotype" w:hAnsi="Palatino Linotype" w:cs="Arial"/>
                <w:i/>
                <w:lang w:eastAsia="es-MX"/>
              </w:rPr>
            </w:pPr>
          </w:p>
        </w:tc>
        <w:tc>
          <w:tcPr>
            <w:tcW w:w="1990" w:type="dxa"/>
          </w:tcPr>
          <w:p w14:paraId="46925542" w14:textId="77777777" w:rsidR="00A26C04" w:rsidRPr="00360FDF" w:rsidRDefault="00A26C04" w:rsidP="00A26C04">
            <w:pPr>
              <w:spacing w:line="360" w:lineRule="auto"/>
              <w:jc w:val="center"/>
              <w:rPr>
                <w:rFonts w:ascii="Palatino Linotype" w:hAnsi="Palatino Linotype" w:cs="Arial"/>
                <w:i/>
                <w:lang w:eastAsia="es-MX"/>
              </w:rPr>
            </w:pPr>
            <w:r w:rsidRPr="00360FDF">
              <w:rPr>
                <w:rFonts w:ascii="Palatino Linotype" w:hAnsi="Palatino Linotype" w:cs="Arial"/>
                <w:i/>
                <w:lang w:eastAsia="es-MX"/>
              </w:rPr>
              <w:t>Rúbrica y cargo del servidor público</w:t>
            </w:r>
          </w:p>
        </w:tc>
        <w:tc>
          <w:tcPr>
            <w:tcW w:w="4531" w:type="dxa"/>
            <w:vAlign w:val="center"/>
          </w:tcPr>
          <w:p w14:paraId="76DD905B" w14:textId="77777777" w:rsidR="00A26C04" w:rsidRPr="00360FDF" w:rsidRDefault="00A26C04" w:rsidP="00A26C04">
            <w:pPr>
              <w:spacing w:line="360" w:lineRule="auto"/>
              <w:rPr>
                <w:rFonts w:ascii="Palatino Linotype" w:hAnsi="Palatino Linotype" w:cs="Arial"/>
                <w:i/>
                <w:lang w:eastAsia="es-MX"/>
              </w:rPr>
            </w:pPr>
            <w:r w:rsidRPr="00360FDF">
              <w:rPr>
                <w:rFonts w:ascii="Palatino Linotype" w:hAnsi="Palatino Linotype" w:cs="Arial"/>
                <w:i/>
                <w:lang w:eastAsia="es-MX"/>
              </w:rPr>
              <w:t>Rúbrica autógrafa de quien desclasifica.</w:t>
            </w:r>
          </w:p>
        </w:tc>
      </w:tr>
    </w:tbl>
    <w:p w14:paraId="3B622F5F" w14:textId="77777777" w:rsidR="00A26C04" w:rsidRPr="00360FDF" w:rsidRDefault="00A26C04" w:rsidP="00A26C04">
      <w:pPr>
        <w:spacing w:after="0" w:line="360" w:lineRule="auto"/>
        <w:ind w:left="709" w:right="709"/>
        <w:jc w:val="both"/>
        <w:rPr>
          <w:rFonts w:ascii="Palatino Linotype" w:eastAsia="MS Mincho" w:hAnsi="Palatino Linotype" w:cs="Arial"/>
          <w:i/>
          <w:lang w:val="es-ES_tradnl" w:eastAsia="es-MX"/>
        </w:rPr>
      </w:pPr>
      <w:r w:rsidRPr="00360FDF">
        <w:rPr>
          <w:rFonts w:ascii="Palatino Linotype" w:eastAsia="MS Mincho" w:hAnsi="Palatino Linotype" w:cs="Arial"/>
          <w:i/>
          <w:lang w:val="es-ES_tradnl" w:eastAsia="es-MX"/>
        </w:rPr>
        <w:t>(…)”</w:t>
      </w:r>
    </w:p>
    <w:p w14:paraId="40C022FB" w14:textId="77777777" w:rsidR="00A26C04" w:rsidRPr="00360FDF" w:rsidRDefault="00A26C04" w:rsidP="00A26C04">
      <w:pPr>
        <w:spacing w:after="0" w:line="360" w:lineRule="auto"/>
        <w:ind w:left="709" w:right="709"/>
        <w:jc w:val="both"/>
        <w:rPr>
          <w:rFonts w:ascii="Palatino Linotype" w:eastAsia="MS Mincho" w:hAnsi="Palatino Linotype" w:cs="Arial"/>
          <w:i/>
          <w:lang w:val="es-ES_tradnl" w:eastAsia="es-MX"/>
        </w:rPr>
      </w:pPr>
    </w:p>
    <w:p w14:paraId="260ADE5D" w14:textId="77777777" w:rsidR="00A26C04" w:rsidRPr="00360FDF" w:rsidRDefault="00A26C04" w:rsidP="00A26C04">
      <w:pPr>
        <w:spacing w:after="0" w:line="360" w:lineRule="auto"/>
        <w:ind w:left="709" w:right="709"/>
        <w:jc w:val="both"/>
        <w:rPr>
          <w:rFonts w:ascii="Palatino Linotype" w:eastAsia="MS Mincho" w:hAnsi="Palatino Linotype" w:cs="Arial"/>
          <w:lang w:val="es-ES_tradnl" w:eastAsia="es-MX"/>
        </w:rPr>
      </w:pPr>
      <w:r w:rsidRPr="00360FDF">
        <w:rPr>
          <w:rFonts w:ascii="Palatino Linotype" w:eastAsia="MS Mincho" w:hAnsi="Palatino Linotype" w:cs="Arial"/>
          <w:lang w:val="es-ES_tradnl" w:eastAsia="es-MX"/>
        </w:rPr>
        <w:t>(Énfasis Añadido)</w:t>
      </w:r>
    </w:p>
    <w:p w14:paraId="0A014DD6" w14:textId="77777777" w:rsidR="00A26C04" w:rsidRPr="00360FDF" w:rsidRDefault="00A26C04" w:rsidP="00A26C04">
      <w:pPr>
        <w:spacing w:after="0" w:line="360" w:lineRule="auto"/>
        <w:ind w:left="709" w:right="709"/>
        <w:jc w:val="both"/>
        <w:rPr>
          <w:rFonts w:ascii="Palatino Linotype" w:eastAsia="MS Mincho" w:hAnsi="Palatino Linotype" w:cs="Arial"/>
          <w:lang w:val="es-ES_tradnl" w:eastAsia="es-MX"/>
        </w:rPr>
      </w:pPr>
    </w:p>
    <w:p w14:paraId="6F13B91F"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MS Mincho" w:hAnsi="Palatino Linotype" w:cs="Arial"/>
          <w:b/>
          <w:bCs/>
          <w:sz w:val="24"/>
          <w:szCs w:val="24"/>
          <w:lang w:val="es-ES_tradnl" w:eastAsia="es-ES"/>
        </w:rPr>
      </w:pPr>
      <w:r w:rsidRPr="00360FDF">
        <w:rPr>
          <w:rFonts w:ascii="Palatino Linotype" w:eastAsia="MS Mincho" w:hAnsi="Palatino Linotype" w:cs="Arial"/>
          <w:sz w:val="24"/>
          <w:szCs w:val="24"/>
          <w:lang w:val="es-ES_tradnl" w:eastAsia="es-ES"/>
        </w:rPr>
        <w:t>Por lo tanto,</w:t>
      </w:r>
      <w:r w:rsidRPr="00360FDF">
        <w:rPr>
          <w:rFonts w:ascii="Palatino Linotype" w:eastAsia="MS Mincho" w:hAnsi="Palatino Linotype" w:cs="Times New Roman"/>
          <w:sz w:val="24"/>
          <w:szCs w:val="24"/>
          <w:lang w:val="es-ES_tradnl" w:eastAsia="es-ES"/>
        </w:rPr>
        <w:t xml:space="preserve"> es importante referir que </w:t>
      </w:r>
      <w:r w:rsidRPr="00360FDF">
        <w:rPr>
          <w:rFonts w:ascii="Palatino Linotype" w:eastAsia="MS Mincho" w:hAnsi="Palatino Linotype" w:cs="Times New Roman"/>
          <w:b/>
          <w:sz w:val="24"/>
          <w:szCs w:val="24"/>
          <w:lang w:val="es-ES_tradnl" w:eastAsia="es-ES"/>
        </w:rPr>
        <w:t>EL SUJETO OBLIGADO</w:t>
      </w:r>
      <w:r w:rsidRPr="00360FDF">
        <w:rPr>
          <w:rFonts w:ascii="Palatino Linotype" w:eastAsia="MS Mincho" w:hAnsi="Palatino Linotype" w:cs="Times New Roman"/>
          <w:sz w:val="24"/>
          <w:szCs w:val="24"/>
          <w:lang w:val="es-ES_tradnl" w:eastAsia="es-ES"/>
        </w:rPr>
        <w:t xml:space="preserve"> deberá seguir el procedimiento legal establecido para su </w:t>
      </w:r>
      <w:r w:rsidRPr="00360FDF">
        <w:rPr>
          <w:rFonts w:ascii="Palatino Linotype" w:eastAsia="MS Mincho" w:hAnsi="Palatino Linotype" w:cs="Times New Roman"/>
          <w:sz w:val="24"/>
          <w:szCs w:val="24"/>
          <w:lang w:val="es-ES_tradnl" w:eastAsia="es-MX"/>
        </w:rPr>
        <w:t>clasificación</w:t>
      </w:r>
      <w:r w:rsidRPr="00360FDF">
        <w:rPr>
          <w:rFonts w:ascii="Palatino Linotype" w:eastAsia="MS Mincho" w:hAnsi="Palatino Linotype" w:cs="Times New Roman"/>
          <w:sz w:val="24"/>
          <w:szCs w:val="24"/>
          <w:lang w:val="es-ES_tradnl" w:eastAsia="es-ES"/>
        </w:rPr>
        <w:t>, esto es, que su Comité de</w:t>
      </w:r>
      <w:r w:rsidRPr="00360FDF">
        <w:rPr>
          <w:rFonts w:ascii="Palatino Linotype" w:eastAsia="MS Mincho" w:hAnsi="Palatino Linotype" w:cs="Arial"/>
          <w:sz w:val="24"/>
          <w:szCs w:val="24"/>
          <w:lang w:val="es-ES_tradnl" w:eastAsia="es-ES"/>
        </w:rPr>
        <w:t xml:space="preserve"> Transparencia emita un Acuerdo de Clasificación que cumpla con las formalidades antes citadas</w:t>
      </w:r>
      <w:r w:rsidRPr="00360FDF">
        <w:rPr>
          <w:rFonts w:ascii="Palatino Linotype" w:eastAsia="MS Mincho" w:hAnsi="Palatino Linotype" w:cs="Arial"/>
          <w:b/>
          <w:sz w:val="24"/>
          <w:szCs w:val="24"/>
          <w:lang w:val="es-ES_tradnl" w:eastAsia="es-ES"/>
        </w:rPr>
        <w:t xml:space="preserve"> </w:t>
      </w:r>
      <w:r w:rsidRPr="00360FDF">
        <w:rPr>
          <w:rFonts w:ascii="Palatino Linotype" w:eastAsia="MS Mincho" w:hAnsi="Palatino Linotype" w:cs="Arial"/>
          <w:sz w:val="24"/>
          <w:szCs w:val="24"/>
          <w:lang w:val="es-ES_tradnl" w:eastAsia="es-ES"/>
        </w:rPr>
        <w:t xml:space="preserve">que la sustente, en el </w:t>
      </w:r>
      <w:r w:rsidRPr="00360FDF">
        <w:rPr>
          <w:rFonts w:ascii="Palatino Linotype" w:eastAsia="MS Mincho" w:hAnsi="Palatino Linotype" w:cs="Arial"/>
          <w:sz w:val="24"/>
          <w:szCs w:val="24"/>
          <w:lang w:val="es-ES_tradnl" w:eastAsia="es-MX"/>
        </w:rPr>
        <w:t>que</w:t>
      </w:r>
      <w:r w:rsidRPr="00360FDF">
        <w:rPr>
          <w:rFonts w:ascii="Palatino Linotype" w:eastAsia="MS Mincho" w:hAnsi="Palatino Linotype" w:cs="Arial"/>
          <w:sz w:val="24"/>
          <w:szCs w:val="24"/>
          <w:lang w:val="es-ES_tradnl" w:eastAsia="es-ES"/>
        </w:rPr>
        <w:t xml:space="preserve"> se expongan los fundamentos y razones que llevaron a la autoridad a clasificar la información, de lo contrario, implica dejar al </w:t>
      </w:r>
      <w:r w:rsidRPr="00360FDF">
        <w:rPr>
          <w:rFonts w:ascii="Palatino Linotype" w:eastAsia="MS Mincho" w:hAnsi="Palatino Linotype" w:cs="Arial"/>
          <w:b/>
          <w:sz w:val="24"/>
          <w:szCs w:val="24"/>
          <w:lang w:val="es-ES_tradnl" w:eastAsia="es-ES"/>
        </w:rPr>
        <w:t>RECURRENTE</w:t>
      </w:r>
      <w:r w:rsidRPr="00360FDF">
        <w:rPr>
          <w:rFonts w:ascii="Palatino Linotype" w:eastAsia="MS Mincho" w:hAnsi="Palatino Linotype" w:cs="Arial"/>
          <w:sz w:val="24"/>
          <w:szCs w:val="24"/>
          <w:lang w:val="es-ES_tradnl" w:eastAsia="es-ES"/>
        </w:rPr>
        <w:t xml:space="preserv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2B1C4CF" w14:textId="77777777" w:rsidR="00A26C04" w:rsidRPr="00360FDF" w:rsidRDefault="00A26C04" w:rsidP="00A26C04">
      <w:pPr>
        <w:spacing w:before="100" w:beforeAutospacing="1" w:after="100" w:afterAutospacing="1" w:line="360" w:lineRule="auto"/>
        <w:contextualSpacing/>
        <w:jc w:val="both"/>
        <w:rPr>
          <w:rFonts w:ascii="Palatino Linotype" w:eastAsia="MS Mincho" w:hAnsi="Palatino Linotype" w:cs="Arial"/>
          <w:b/>
          <w:bCs/>
          <w:sz w:val="24"/>
          <w:szCs w:val="24"/>
          <w:lang w:val="es-ES_tradnl" w:eastAsia="es-ES"/>
        </w:rPr>
      </w:pPr>
    </w:p>
    <w:p w14:paraId="58D81E6D" w14:textId="77777777" w:rsidR="00A26C04" w:rsidRPr="00360FDF" w:rsidRDefault="00A26C04" w:rsidP="00814C38">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360FDF">
        <w:rPr>
          <w:rFonts w:ascii="Palatino Linotype" w:eastAsia="MS Mincho" w:hAnsi="Palatino Linotype" w:cs="Arial"/>
          <w:b/>
          <w:sz w:val="24"/>
          <w:szCs w:val="24"/>
          <w:lang w:val="es-ES_tradnl" w:eastAsia="es-ES"/>
        </w:rPr>
        <w:lastRenderedPageBreak/>
        <w:t>Por otro lado</w:t>
      </w:r>
      <w:r w:rsidRPr="00360FDF">
        <w:rPr>
          <w:rFonts w:ascii="Palatino Linotype" w:eastAsia="Calibri" w:hAnsi="Palatino Linotype" w:cs="Arial"/>
          <w:sz w:val="24"/>
          <w:szCs w:val="24"/>
          <w:lang w:val="es-ES_tradnl" w:eastAsia="es-ES"/>
        </w:rPr>
        <w:t xml:space="preserve">, </w:t>
      </w:r>
      <w:r w:rsidRPr="00360FDF">
        <w:rPr>
          <w:rFonts w:ascii="Palatino Linotype" w:eastAsia="MS Mincho" w:hAnsi="Palatino Linotype" w:cs="Arial"/>
          <w:b/>
          <w:sz w:val="24"/>
          <w:szCs w:val="24"/>
          <w:lang w:val="es-ES_tradnl" w:eastAsia="es-ES"/>
        </w:rPr>
        <w:t>en un total ejercicio de máxima publicidad, de conformidad con lo que señala el artículo 8</w:t>
      </w:r>
      <w:r w:rsidRPr="00360FDF">
        <w:rPr>
          <w:rFonts w:ascii="Palatino Linotype" w:eastAsia="MS Mincho" w:hAnsi="Palatino Linotype" w:cs="Arial"/>
          <w:b/>
          <w:sz w:val="24"/>
          <w:szCs w:val="24"/>
          <w:vertAlign w:val="superscript"/>
          <w:lang w:val="es-ES_tradnl" w:eastAsia="es-ES"/>
        </w:rPr>
        <w:footnoteReference w:id="13"/>
      </w:r>
      <w:r w:rsidRPr="00360FDF">
        <w:rPr>
          <w:rFonts w:ascii="Palatino Linotype" w:eastAsia="MS Mincho" w:hAnsi="Palatino Linotype" w:cs="Arial"/>
          <w:b/>
          <w:sz w:val="24"/>
          <w:szCs w:val="24"/>
          <w:lang w:val="es-ES_tradnl" w:eastAsia="es-ES"/>
        </w:rPr>
        <w:t xml:space="preserve"> de la Ley de Transparencia Estatal, se deberá referir dentro del Acuerdo de clasificación el número de expedientes relacionados con faltas administrativas no graves </w:t>
      </w:r>
      <w:r w:rsidRPr="00360FDF">
        <w:rPr>
          <w:rFonts w:ascii="Palatino Linotype" w:eastAsia="MS Mincho" w:hAnsi="Palatino Linotype" w:cs="Arial"/>
          <w:b/>
          <w:bCs/>
          <w:sz w:val="24"/>
          <w:szCs w:val="24"/>
          <w:lang w:val="es-ES_tradnl" w:eastAsia="es-ES"/>
        </w:rPr>
        <w:t>de los cuales se estará clasificando la información</w:t>
      </w:r>
      <w:r w:rsidRPr="00360FDF">
        <w:rPr>
          <w:rFonts w:ascii="Palatino Linotype" w:eastAsia="MS Mincho" w:hAnsi="Palatino Linotype" w:cs="Arial"/>
          <w:bCs/>
          <w:sz w:val="24"/>
          <w:szCs w:val="24"/>
          <w:lang w:val="es-ES_tradnl" w:eastAsia="es-ES"/>
        </w:rPr>
        <w:t>, ello con la finalidad de otorgar al particular información estadística relativa a la naturaleza de lo solicitado y no se niegue de manera plena y rotunda el ejercicio de su derecho a la información.</w:t>
      </w:r>
    </w:p>
    <w:p w14:paraId="761424A5" w14:textId="77777777" w:rsidR="00A26C04" w:rsidRPr="00360FDF" w:rsidRDefault="00A26C04" w:rsidP="00A26C04">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p>
    <w:p w14:paraId="7DCEC11A" w14:textId="77777777" w:rsidR="00A26C04" w:rsidRPr="00360FDF" w:rsidRDefault="00A26C04" w:rsidP="00A26C04">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r w:rsidRPr="00360FDF">
        <w:rPr>
          <w:rFonts w:ascii="Palatino Linotype" w:eastAsia="MS Mincho" w:hAnsi="Palatino Linotype" w:cs="Times New Roman"/>
          <w:b/>
          <w:color w:val="000000"/>
          <w:sz w:val="24"/>
          <w:szCs w:val="24"/>
          <w:lang w:val="es-ES_tradnl" w:eastAsia="es-ES"/>
        </w:rPr>
        <w:t xml:space="preserve"> </w:t>
      </w:r>
      <w:bookmarkStart w:id="84" w:name="_Toc70072786"/>
      <w:bookmarkStart w:id="85" w:name="_Toc72499089"/>
      <w:r w:rsidRPr="00360FDF">
        <w:rPr>
          <w:rFonts w:ascii="Palatino Linotype" w:eastAsia="MS Mincho" w:hAnsi="Palatino Linotype" w:cs="Times New Roman"/>
          <w:b/>
          <w:color w:val="000000"/>
          <w:sz w:val="24"/>
          <w:szCs w:val="24"/>
          <w:lang w:val="es-ES_tradnl" w:eastAsia="es-ES"/>
        </w:rPr>
        <w:t>SEXTO. De la decisión.</w:t>
      </w:r>
      <w:bookmarkEnd w:id="84"/>
      <w:bookmarkEnd w:id="85"/>
      <w:r w:rsidRPr="00360FDF">
        <w:rPr>
          <w:rFonts w:ascii="Palatino Linotype" w:eastAsia="MS Mincho" w:hAnsi="Palatino Linotype" w:cs="Times New Roman"/>
          <w:b/>
          <w:color w:val="000000"/>
          <w:sz w:val="24"/>
          <w:szCs w:val="24"/>
          <w:lang w:val="es-ES_tradnl" w:eastAsia="es-ES"/>
        </w:rPr>
        <w:t xml:space="preserve"> </w:t>
      </w:r>
    </w:p>
    <w:p w14:paraId="7FD309B0" w14:textId="77777777" w:rsidR="00A26C04" w:rsidRPr="00360FDF" w:rsidRDefault="00A26C04" w:rsidP="00A26C04">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p>
    <w:p w14:paraId="5E279FE5" w14:textId="77777777" w:rsidR="00A26C04" w:rsidRPr="00360FDF" w:rsidRDefault="00A26C04" w:rsidP="00814C38">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rPr>
      </w:pPr>
      <w:r w:rsidRPr="00360FDF">
        <w:rPr>
          <w:rFonts w:ascii="Palatino Linotype" w:eastAsia="Times New Roman" w:hAnsi="Palatino Linotype" w:cs="Tahoma"/>
          <w:sz w:val="24"/>
          <w:szCs w:val="24"/>
          <w:lang w:eastAsia="es-ES"/>
        </w:rPr>
        <w:t>Con base en todo lo expues</w:t>
      </w:r>
      <w:r w:rsidR="00574CB5" w:rsidRPr="00360FDF">
        <w:rPr>
          <w:rFonts w:ascii="Palatino Linotype" w:eastAsia="Times New Roman" w:hAnsi="Palatino Linotype" w:cs="Tahoma"/>
          <w:sz w:val="24"/>
          <w:szCs w:val="24"/>
          <w:lang w:eastAsia="es-ES"/>
        </w:rPr>
        <w:t xml:space="preserve">to, y toda vez que el </w:t>
      </w:r>
      <w:r w:rsidR="00574CB5" w:rsidRPr="00360FDF">
        <w:rPr>
          <w:rFonts w:ascii="Palatino Linotype" w:eastAsia="Times New Roman" w:hAnsi="Palatino Linotype" w:cs="Tahoma"/>
          <w:b/>
          <w:sz w:val="24"/>
          <w:szCs w:val="24"/>
          <w:lang w:eastAsia="es-ES"/>
        </w:rPr>
        <w:t>SUJETO OBLIGADO</w:t>
      </w:r>
      <w:r w:rsidR="00574CB5" w:rsidRPr="00360FDF">
        <w:rPr>
          <w:rFonts w:ascii="Palatino Linotype" w:eastAsia="Times New Roman" w:hAnsi="Palatino Linotype" w:cs="Tahoma"/>
          <w:sz w:val="24"/>
          <w:szCs w:val="24"/>
          <w:lang w:eastAsia="es-ES"/>
        </w:rPr>
        <w:t xml:space="preserve"> no logró sustentar la búsqueda exhaustiva de la información</w:t>
      </w:r>
      <w:r w:rsidRPr="00360FDF">
        <w:rPr>
          <w:rFonts w:ascii="Palatino Linotype" w:eastAsia="Times New Roman" w:hAnsi="Palatino Linotype" w:cs="Tahoma"/>
          <w:sz w:val="24"/>
          <w:szCs w:val="24"/>
          <w:lang w:eastAsia="es-ES"/>
        </w:rPr>
        <w:t xml:space="preserve">,  con fundamento en el artículo 186, fracción III, de la Ley de Transparencia y Acceso a la Información Pública del Estado de México y Municipios, este Instituto considera procedente </w:t>
      </w:r>
      <w:r w:rsidR="001A637A" w:rsidRPr="00360FDF">
        <w:rPr>
          <w:rFonts w:ascii="Palatino Linotype" w:eastAsia="Times New Roman" w:hAnsi="Palatino Linotype" w:cs="Tahoma"/>
          <w:b/>
          <w:sz w:val="24"/>
          <w:szCs w:val="24"/>
          <w:lang w:eastAsia="es-ES"/>
        </w:rPr>
        <w:t>MODIFICAR</w:t>
      </w:r>
      <w:r w:rsidRPr="00360FDF">
        <w:rPr>
          <w:rFonts w:ascii="Palatino Linotype" w:eastAsia="Times New Roman" w:hAnsi="Palatino Linotype" w:cs="Tahoma"/>
          <w:b/>
          <w:sz w:val="24"/>
          <w:szCs w:val="24"/>
          <w:lang w:eastAsia="es-ES"/>
        </w:rPr>
        <w:t xml:space="preserve"> </w:t>
      </w:r>
      <w:r w:rsidR="001A637A" w:rsidRPr="00360FDF">
        <w:rPr>
          <w:rFonts w:ascii="Palatino Linotype" w:eastAsia="Times New Roman" w:hAnsi="Palatino Linotype" w:cs="Tahoma"/>
          <w:sz w:val="24"/>
          <w:szCs w:val="24"/>
          <w:lang w:eastAsia="es-ES"/>
        </w:rPr>
        <w:t xml:space="preserve">la respuesta otorgada por el </w:t>
      </w:r>
      <w:r w:rsidR="001A637A" w:rsidRPr="00360FDF">
        <w:rPr>
          <w:rFonts w:ascii="Palatino Linotype" w:eastAsia="Times New Roman" w:hAnsi="Palatino Linotype" w:cs="Tahoma"/>
          <w:b/>
          <w:sz w:val="24"/>
          <w:szCs w:val="24"/>
          <w:lang w:eastAsia="es-ES"/>
        </w:rPr>
        <w:t xml:space="preserve">Instituto de Salud del Estado de </w:t>
      </w:r>
      <w:r w:rsidR="001A637A" w:rsidRPr="00360FDF">
        <w:rPr>
          <w:rFonts w:ascii="Palatino Linotype" w:eastAsia="Times New Roman" w:hAnsi="Palatino Linotype" w:cs="Tahoma"/>
          <w:b/>
          <w:sz w:val="24"/>
          <w:szCs w:val="24"/>
          <w:lang w:eastAsia="es-ES"/>
        </w:rPr>
        <w:lastRenderedPageBreak/>
        <w:t>México</w:t>
      </w:r>
      <w:r w:rsidRPr="00360FDF">
        <w:rPr>
          <w:rFonts w:ascii="Palatino Linotype" w:eastAsia="Times New Roman" w:hAnsi="Palatino Linotype" w:cs="Tahoma"/>
          <w:sz w:val="24"/>
          <w:szCs w:val="24"/>
          <w:lang w:eastAsia="es-ES"/>
        </w:rPr>
        <w:t>,</w:t>
      </w:r>
      <w:r w:rsidRPr="00360FDF">
        <w:rPr>
          <w:rFonts w:ascii="Palatino Linotype" w:eastAsia="Calibri" w:hAnsi="Palatino Linotype" w:cs="Tahoma"/>
          <w:sz w:val="24"/>
          <w:szCs w:val="24"/>
        </w:rPr>
        <w:t xml:space="preserve"> </w:t>
      </w:r>
      <w:r w:rsidR="001A637A" w:rsidRPr="00360FDF">
        <w:rPr>
          <w:rFonts w:ascii="Palatino Linotype" w:eastAsia="Calibri" w:hAnsi="Palatino Linotype" w:cs="Tahoma"/>
          <w:sz w:val="24"/>
          <w:szCs w:val="24"/>
        </w:rPr>
        <w:t xml:space="preserve"> y ordenar la </w:t>
      </w:r>
      <w:r w:rsidRPr="00360FDF">
        <w:rPr>
          <w:rFonts w:ascii="Palatino Linotype" w:eastAsia="Times New Roman" w:hAnsi="Palatino Linotype" w:cs="Times New Roman"/>
          <w:color w:val="000000"/>
          <w:sz w:val="24"/>
          <w:szCs w:val="24"/>
          <w:bdr w:val="none" w:sz="0" w:space="0" w:color="auto" w:frame="1"/>
          <w:lang w:eastAsia="es-ES"/>
        </w:rPr>
        <w:t xml:space="preserve">búsqueda exhaustiva y razonable </w:t>
      </w:r>
      <w:r w:rsidR="001A637A" w:rsidRPr="00360FDF">
        <w:rPr>
          <w:rFonts w:ascii="Palatino Linotype" w:eastAsia="Times New Roman" w:hAnsi="Palatino Linotype" w:cs="Times New Roman"/>
          <w:color w:val="000000"/>
          <w:sz w:val="24"/>
          <w:szCs w:val="24"/>
          <w:bdr w:val="none" w:sz="0" w:space="0" w:color="auto" w:frame="1"/>
          <w:lang w:eastAsia="es-ES"/>
        </w:rPr>
        <w:t>señalando los métodos técnicos de búsqueda de la información solicitada</w:t>
      </w:r>
      <w:r w:rsidRPr="00360FDF">
        <w:rPr>
          <w:rFonts w:ascii="Palatino Linotype" w:eastAsia="Times New Roman" w:hAnsi="Palatino Linotype" w:cs="Arial"/>
          <w:sz w:val="24"/>
          <w:szCs w:val="24"/>
        </w:rPr>
        <w:t xml:space="preserve">. </w:t>
      </w:r>
    </w:p>
    <w:p w14:paraId="312DF0E1" w14:textId="77777777" w:rsidR="00A26C04" w:rsidRPr="00360FDF" w:rsidRDefault="00A26C04" w:rsidP="00A26C04">
      <w:pPr>
        <w:spacing w:before="240" w:after="240" w:line="360" w:lineRule="auto"/>
        <w:ind w:right="49"/>
        <w:contextualSpacing/>
        <w:jc w:val="both"/>
        <w:rPr>
          <w:rFonts w:ascii="Palatino Linotype" w:eastAsia="Times New Roman" w:hAnsi="Palatino Linotype" w:cs="Arial"/>
          <w:sz w:val="24"/>
          <w:szCs w:val="24"/>
        </w:rPr>
      </w:pPr>
    </w:p>
    <w:p w14:paraId="4A7EB5AA" w14:textId="77777777" w:rsidR="00A26C04" w:rsidRPr="00360FDF" w:rsidRDefault="00A26C04" w:rsidP="00814C38">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60FDF">
        <w:rPr>
          <w:rFonts w:ascii="Palatino Linotype" w:eastAsia="MS Mincho" w:hAnsi="Palatino Linotype" w:cs="Times New Roman"/>
          <w:color w:val="000000"/>
          <w:sz w:val="24"/>
          <w:szCs w:val="24"/>
          <w:lang w:val="es-ES" w:eastAsia="es-ES"/>
        </w:rPr>
        <w:t xml:space="preserve">Por lo anteriormente expuesto y fundado, este </w:t>
      </w:r>
      <w:r w:rsidRPr="00360FDF">
        <w:rPr>
          <w:rFonts w:ascii="Palatino Linotype" w:eastAsia="MS Mincho" w:hAnsi="Palatino Linotype" w:cs="Times New Roman"/>
          <w:b/>
          <w:bCs/>
          <w:color w:val="000000"/>
          <w:sz w:val="24"/>
          <w:szCs w:val="24"/>
          <w:lang w:val="es-ES" w:eastAsia="es-ES"/>
        </w:rPr>
        <w:t>ÓRGANO GARANTE</w:t>
      </w:r>
      <w:r w:rsidRPr="00360FDF">
        <w:rPr>
          <w:rFonts w:ascii="Palatino Linotype" w:eastAsia="MS Mincho" w:hAnsi="Palatino Linotype" w:cs="Times New Roman"/>
          <w:color w:val="000000"/>
          <w:sz w:val="24"/>
          <w:szCs w:val="24"/>
          <w:lang w:val="es-ES" w:eastAsia="es-ES"/>
        </w:rPr>
        <w:t xml:space="preserve"> emite los siguientes:</w:t>
      </w:r>
    </w:p>
    <w:p w14:paraId="7A0C10FF" w14:textId="77777777" w:rsidR="00A26C04" w:rsidRPr="00360FDF" w:rsidRDefault="00A26C04" w:rsidP="000559BA">
      <w:pPr>
        <w:keepNext/>
        <w:keepLines/>
        <w:spacing w:before="240" w:after="0" w:line="360" w:lineRule="auto"/>
        <w:jc w:val="center"/>
        <w:outlineLvl w:val="0"/>
        <w:rPr>
          <w:rFonts w:ascii="Palatino Linotype" w:eastAsia="Times New Roman" w:hAnsi="Palatino Linotype" w:cstheme="majorBidi"/>
          <w:b/>
          <w:sz w:val="24"/>
          <w:szCs w:val="24"/>
          <w:lang w:val="es-ES_tradnl" w:eastAsia="es-ES"/>
        </w:rPr>
      </w:pPr>
      <w:bookmarkStart w:id="86" w:name="_Toc70072787"/>
      <w:bookmarkStart w:id="87" w:name="_Toc72499090"/>
      <w:r w:rsidRPr="00360FDF">
        <w:rPr>
          <w:rFonts w:ascii="Palatino Linotype" w:eastAsia="Times New Roman" w:hAnsi="Palatino Linotype" w:cstheme="majorBidi"/>
          <w:b/>
          <w:sz w:val="24"/>
          <w:szCs w:val="24"/>
          <w:lang w:val="es-ES_tradnl" w:eastAsia="es-ES"/>
        </w:rPr>
        <w:t>R E S O L U T I V O S</w:t>
      </w:r>
      <w:bookmarkEnd w:id="86"/>
      <w:bookmarkEnd w:id="87"/>
    </w:p>
    <w:p w14:paraId="3BF50976" w14:textId="77777777" w:rsidR="00A26C04" w:rsidRPr="00360FDF" w:rsidRDefault="00A26C04" w:rsidP="00A26C04">
      <w:pPr>
        <w:spacing w:after="0" w:line="360" w:lineRule="auto"/>
        <w:jc w:val="both"/>
        <w:rPr>
          <w:rFonts w:ascii="Palatino Linotype" w:eastAsia="MS Mincho" w:hAnsi="Palatino Linotype" w:cs="Times New Roman"/>
          <w:sz w:val="24"/>
          <w:szCs w:val="24"/>
          <w:lang w:val="es-ES" w:eastAsia="es-ES"/>
        </w:rPr>
      </w:pPr>
      <w:bookmarkStart w:id="88" w:name="_Toc477277072"/>
      <w:bookmarkStart w:id="89" w:name="_Toc477279135"/>
      <w:bookmarkStart w:id="90" w:name="_Toc477279489"/>
      <w:bookmarkStart w:id="91" w:name="_Toc477283989"/>
      <w:bookmarkStart w:id="92" w:name="_Toc477284979"/>
      <w:bookmarkStart w:id="93" w:name="_Toc480361572"/>
      <w:bookmarkStart w:id="94" w:name="_Toc480483989"/>
      <w:bookmarkStart w:id="95" w:name="_Toc480484730"/>
      <w:bookmarkStart w:id="96" w:name="_Toc482099763"/>
      <w:bookmarkStart w:id="97" w:name="_Toc482178654"/>
      <w:bookmarkStart w:id="98" w:name="_Toc482178747"/>
      <w:bookmarkStart w:id="99" w:name="_Toc485890649"/>
      <w:r w:rsidRPr="00360FDF">
        <w:rPr>
          <w:rFonts w:ascii="Palatino Linotype" w:eastAsia="MS Gothic" w:hAnsi="Palatino Linotype" w:cs="Times New Roman"/>
          <w:b/>
          <w:color w:val="000000"/>
          <w:sz w:val="24"/>
          <w:szCs w:val="24"/>
        </w:rPr>
        <w:t>PRIMERO.</w:t>
      </w:r>
      <w:bookmarkEnd w:id="88"/>
      <w:bookmarkEnd w:id="89"/>
      <w:bookmarkEnd w:id="90"/>
      <w:bookmarkEnd w:id="91"/>
      <w:bookmarkEnd w:id="92"/>
      <w:bookmarkEnd w:id="93"/>
      <w:bookmarkEnd w:id="94"/>
      <w:bookmarkEnd w:id="95"/>
      <w:bookmarkEnd w:id="96"/>
      <w:bookmarkEnd w:id="97"/>
      <w:bookmarkEnd w:id="98"/>
      <w:bookmarkEnd w:id="99"/>
      <w:r w:rsidRPr="00360FDF">
        <w:rPr>
          <w:rFonts w:ascii="Palatino Linotype" w:eastAsia="MS Gothic" w:hAnsi="Palatino Linotype" w:cs="Times New Roman"/>
          <w:b/>
          <w:color w:val="000000"/>
          <w:sz w:val="24"/>
          <w:szCs w:val="24"/>
        </w:rPr>
        <w:t xml:space="preserve"> </w:t>
      </w:r>
      <w:r w:rsidRPr="00360FDF">
        <w:rPr>
          <w:rFonts w:ascii="Palatino Linotype" w:eastAsia="MS Mincho" w:hAnsi="Palatino Linotype" w:cs="Times New Roman"/>
          <w:sz w:val="24"/>
          <w:szCs w:val="24"/>
          <w:lang w:val="es-ES_tradnl" w:eastAsia="es-ES"/>
        </w:rPr>
        <w:t xml:space="preserve">Resultan </w:t>
      </w:r>
      <w:r w:rsidR="001A637A" w:rsidRPr="00360FDF">
        <w:rPr>
          <w:rFonts w:ascii="Palatino Linotype" w:eastAsia="MS Mincho" w:hAnsi="Palatino Linotype" w:cs="Times New Roman"/>
          <w:sz w:val="24"/>
          <w:szCs w:val="24"/>
          <w:lang w:val="es-ES_tradnl" w:eastAsia="es-ES"/>
        </w:rPr>
        <w:t xml:space="preserve">parcialmente </w:t>
      </w:r>
      <w:r w:rsidRPr="00360FDF">
        <w:rPr>
          <w:rFonts w:ascii="Palatino Linotype" w:eastAsia="MS Mincho" w:hAnsi="Palatino Linotype" w:cs="Times New Roman"/>
          <w:sz w:val="24"/>
          <w:szCs w:val="24"/>
          <w:lang w:val="es-ES_tradnl" w:eastAsia="es-ES"/>
        </w:rPr>
        <w:t>fundadas las</w:t>
      </w:r>
      <w:r w:rsidRPr="00360FDF">
        <w:rPr>
          <w:rFonts w:ascii="Palatino Linotype" w:eastAsia="MS Mincho" w:hAnsi="Palatino Linotype" w:cs="Times New Roman"/>
          <w:b/>
          <w:sz w:val="24"/>
          <w:szCs w:val="24"/>
          <w:lang w:val="es-ES_tradnl" w:eastAsia="es-ES"/>
        </w:rPr>
        <w:t xml:space="preserve"> </w:t>
      </w:r>
      <w:r w:rsidRPr="00360FDF">
        <w:rPr>
          <w:rFonts w:ascii="Palatino Linotype" w:eastAsia="MS Mincho" w:hAnsi="Palatino Linotype" w:cs="Times New Roman"/>
          <w:sz w:val="24"/>
          <w:szCs w:val="24"/>
          <w:lang w:val="es-ES" w:eastAsia="es-ES"/>
        </w:rPr>
        <w:t xml:space="preserve">razones o motivos de inconformidad hechos valer en el recurso de revisión </w:t>
      </w:r>
      <w:r w:rsidR="006B5530" w:rsidRPr="00360FDF">
        <w:rPr>
          <w:rFonts w:ascii="Palatino Linotype" w:eastAsia="MS Mincho" w:hAnsi="Palatino Linotype" w:cs="Times New Roman"/>
          <w:b/>
          <w:bCs/>
          <w:sz w:val="24"/>
          <w:szCs w:val="24"/>
          <w:lang w:eastAsia="es-ES"/>
        </w:rPr>
        <w:t>01273</w:t>
      </w:r>
      <w:r w:rsidRPr="00360FDF">
        <w:rPr>
          <w:rFonts w:ascii="Palatino Linotype" w:eastAsia="MS Mincho" w:hAnsi="Palatino Linotype" w:cs="Times New Roman"/>
          <w:b/>
          <w:bCs/>
          <w:sz w:val="24"/>
          <w:szCs w:val="24"/>
          <w:lang w:eastAsia="es-ES"/>
        </w:rPr>
        <w:t>/INFOEM/IP/RR/2021</w:t>
      </w:r>
      <w:r w:rsidRPr="00360FDF">
        <w:rPr>
          <w:rFonts w:ascii="Palatino Linotype" w:eastAsia="MS Mincho" w:hAnsi="Palatino Linotype" w:cs="Times New Roman"/>
          <w:b/>
          <w:bCs/>
          <w:sz w:val="24"/>
          <w:szCs w:val="24"/>
          <w:lang w:val="es-ES_tradnl" w:eastAsia="es-ES"/>
        </w:rPr>
        <w:t xml:space="preserve">, </w:t>
      </w:r>
      <w:r w:rsidRPr="00360FDF">
        <w:rPr>
          <w:rFonts w:ascii="Palatino Linotype" w:eastAsia="MS Mincho" w:hAnsi="Palatino Linotype" w:cs="Times New Roman"/>
          <w:bCs/>
          <w:sz w:val="24"/>
          <w:szCs w:val="24"/>
          <w:lang w:val="es-ES_tradnl" w:eastAsia="es-ES"/>
        </w:rPr>
        <w:t xml:space="preserve">en términos del </w:t>
      </w:r>
      <w:r w:rsidRPr="00360FDF">
        <w:rPr>
          <w:rFonts w:ascii="Palatino Linotype" w:eastAsia="MS Mincho" w:hAnsi="Palatino Linotype" w:cs="Times New Roman"/>
          <w:b/>
          <w:bCs/>
          <w:sz w:val="24"/>
          <w:szCs w:val="24"/>
          <w:lang w:val="es-ES_tradnl" w:eastAsia="es-ES"/>
        </w:rPr>
        <w:t xml:space="preserve">Considerando QUINTO </w:t>
      </w:r>
      <w:r w:rsidRPr="00360FDF">
        <w:rPr>
          <w:rFonts w:ascii="Palatino Linotype" w:eastAsia="MS Mincho" w:hAnsi="Palatino Linotype" w:cs="Times New Roman"/>
          <w:bCs/>
          <w:sz w:val="24"/>
          <w:szCs w:val="24"/>
          <w:lang w:val="es-ES_tradnl" w:eastAsia="es-ES"/>
        </w:rPr>
        <w:t>de la presente resolución.</w:t>
      </w:r>
    </w:p>
    <w:p w14:paraId="4278D367" w14:textId="77777777" w:rsidR="00A26C04" w:rsidRPr="00360FDF" w:rsidRDefault="00A26C04" w:rsidP="00A26C04">
      <w:pPr>
        <w:tabs>
          <w:tab w:val="left" w:pos="3330"/>
        </w:tabs>
        <w:spacing w:after="0" w:line="360" w:lineRule="auto"/>
        <w:jc w:val="both"/>
        <w:rPr>
          <w:rFonts w:ascii="Palatino Linotype" w:eastAsia="MS Mincho" w:hAnsi="Palatino Linotype" w:cs="Times New Roman"/>
          <w:sz w:val="24"/>
          <w:szCs w:val="24"/>
          <w:lang w:val="es-ES_tradnl" w:eastAsia="es-ES"/>
        </w:rPr>
      </w:pPr>
      <w:r w:rsidRPr="00360FDF">
        <w:rPr>
          <w:rFonts w:ascii="Palatino Linotype" w:eastAsia="MS Mincho" w:hAnsi="Palatino Linotype" w:cs="Times New Roman"/>
          <w:sz w:val="24"/>
          <w:szCs w:val="24"/>
          <w:lang w:val="es-ES_tradnl" w:eastAsia="es-ES"/>
        </w:rPr>
        <w:tab/>
      </w:r>
    </w:p>
    <w:p w14:paraId="3052E099" w14:textId="77777777" w:rsidR="00A26C04" w:rsidRPr="00360FDF" w:rsidRDefault="00A26C04" w:rsidP="00A26C04">
      <w:pPr>
        <w:spacing w:after="0" w:line="360" w:lineRule="auto"/>
        <w:contextualSpacing/>
        <w:jc w:val="both"/>
        <w:rPr>
          <w:rFonts w:ascii="Palatino Linotype" w:eastAsia="Times New Roman" w:hAnsi="Palatino Linotype" w:cs="Arial"/>
          <w:color w:val="000000"/>
          <w:sz w:val="24"/>
          <w:szCs w:val="24"/>
          <w:lang w:val="es-ES" w:eastAsia="es-ES"/>
        </w:rPr>
      </w:pPr>
      <w:r w:rsidRPr="00360FDF">
        <w:rPr>
          <w:rFonts w:ascii="Palatino Linotype" w:eastAsia="MS Mincho" w:hAnsi="Palatino Linotype" w:cs="Times New Roman"/>
          <w:b/>
          <w:color w:val="000000"/>
          <w:sz w:val="24"/>
          <w:szCs w:val="24"/>
          <w:lang w:val="es-ES_tradnl" w:eastAsia="es-ES"/>
        </w:rPr>
        <w:t>SEGUNDO.</w:t>
      </w:r>
      <w:r w:rsidRPr="00360FDF">
        <w:rPr>
          <w:rFonts w:ascii="Palatino Linotype" w:eastAsia="MS Gothic" w:hAnsi="Palatino Linotype" w:cs="Times New Roman"/>
          <w:b/>
          <w:color w:val="000000"/>
          <w:sz w:val="24"/>
          <w:szCs w:val="24"/>
        </w:rPr>
        <w:t xml:space="preserve"> </w:t>
      </w:r>
      <w:r w:rsidRPr="00360FDF">
        <w:rPr>
          <w:rFonts w:ascii="Palatino Linotype" w:eastAsia="MS Gothic" w:hAnsi="Palatino Linotype" w:cs="Times New Roman"/>
          <w:color w:val="000000"/>
          <w:sz w:val="24"/>
          <w:szCs w:val="24"/>
        </w:rPr>
        <w:t>Se</w:t>
      </w:r>
      <w:r w:rsidR="006B5530" w:rsidRPr="00360FDF">
        <w:rPr>
          <w:rFonts w:ascii="Palatino Linotype" w:eastAsia="MS Gothic" w:hAnsi="Palatino Linotype" w:cs="Times New Roman"/>
          <w:b/>
          <w:color w:val="000000"/>
          <w:sz w:val="24"/>
          <w:szCs w:val="24"/>
        </w:rPr>
        <w:t xml:space="preserve"> </w:t>
      </w:r>
      <w:r w:rsidR="001A637A" w:rsidRPr="00360FDF">
        <w:rPr>
          <w:rFonts w:ascii="Palatino Linotype" w:eastAsia="MS Gothic" w:hAnsi="Palatino Linotype" w:cs="Times New Roman"/>
          <w:b/>
          <w:color w:val="000000"/>
          <w:sz w:val="24"/>
          <w:szCs w:val="24"/>
        </w:rPr>
        <w:t>MODIFICA</w:t>
      </w:r>
      <w:r w:rsidRPr="00360FDF">
        <w:rPr>
          <w:rFonts w:ascii="Palatino Linotype" w:eastAsia="MS Gothic" w:hAnsi="Palatino Linotype" w:cs="Times New Roman"/>
          <w:b/>
          <w:color w:val="000000"/>
          <w:sz w:val="24"/>
          <w:szCs w:val="24"/>
        </w:rPr>
        <w:t xml:space="preserve"> </w:t>
      </w:r>
      <w:r w:rsidRPr="00360FDF">
        <w:rPr>
          <w:rFonts w:ascii="Palatino Linotype" w:eastAsia="MS Gothic" w:hAnsi="Palatino Linotype" w:cs="Times New Roman"/>
          <w:color w:val="000000"/>
          <w:sz w:val="24"/>
          <w:szCs w:val="24"/>
        </w:rPr>
        <w:t>la respuesta emitida</w:t>
      </w:r>
      <w:r w:rsidR="006B5530" w:rsidRPr="00360FDF">
        <w:rPr>
          <w:rFonts w:ascii="Palatino Linotype" w:eastAsia="Times New Roman" w:hAnsi="Palatino Linotype" w:cs="Arial"/>
          <w:color w:val="000000"/>
          <w:sz w:val="24"/>
          <w:szCs w:val="24"/>
          <w:lang w:val="es-ES" w:eastAsia="es-ES"/>
        </w:rPr>
        <w:t xml:space="preserve"> por el </w:t>
      </w:r>
      <w:r w:rsidR="006B5530" w:rsidRPr="00360FDF">
        <w:rPr>
          <w:rFonts w:ascii="Palatino Linotype" w:eastAsia="Times New Roman" w:hAnsi="Palatino Linotype" w:cs="Arial"/>
          <w:b/>
          <w:color w:val="000000"/>
          <w:sz w:val="24"/>
          <w:szCs w:val="24"/>
          <w:lang w:val="es-ES" w:eastAsia="es-ES"/>
        </w:rPr>
        <w:t>Instituto de Salud del Estado de México</w:t>
      </w:r>
      <w:r w:rsidRPr="00360FDF">
        <w:rPr>
          <w:rFonts w:ascii="Palatino Linotype" w:eastAsia="Times New Roman" w:hAnsi="Palatino Linotype" w:cs="Arial"/>
          <w:b/>
          <w:color w:val="000000"/>
          <w:sz w:val="24"/>
          <w:szCs w:val="24"/>
          <w:lang w:val="es-ES" w:eastAsia="es-ES"/>
        </w:rPr>
        <w:t xml:space="preserve"> </w:t>
      </w:r>
      <w:r w:rsidRPr="00360FDF">
        <w:rPr>
          <w:rFonts w:ascii="Palatino Linotype" w:eastAsia="Times New Roman" w:hAnsi="Palatino Linotype" w:cs="Arial"/>
          <w:color w:val="000000"/>
          <w:sz w:val="24"/>
          <w:szCs w:val="24"/>
          <w:lang w:val="es-ES_tradnl" w:eastAsia="es-ES"/>
        </w:rPr>
        <w:t xml:space="preserve">y se </w:t>
      </w:r>
      <w:r w:rsidRPr="00360FDF">
        <w:rPr>
          <w:rFonts w:ascii="Palatino Linotype" w:eastAsia="Times New Roman" w:hAnsi="Palatino Linotype" w:cs="Arial"/>
          <w:b/>
          <w:color w:val="000000"/>
          <w:sz w:val="24"/>
          <w:szCs w:val="24"/>
          <w:lang w:val="es-ES_tradnl" w:eastAsia="es-ES"/>
        </w:rPr>
        <w:t>ORDENA</w:t>
      </w:r>
      <w:r w:rsidRPr="00360FDF">
        <w:rPr>
          <w:rFonts w:ascii="Palatino Linotype" w:eastAsia="Times New Roman" w:hAnsi="Palatino Linotype" w:cs="Arial"/>
          <w:color w:val="000000"/>
          <w:sz w:val="24"/>
          <w:szCs w:val="24"/>
          <w:lang w:val="es-ES_tradnl" w:eastAsia="es-ES"/>
        </w:rPr>
        <w:t xml:space="preserve"> entregar </w:t>
      </w:r>
      <w:r w:rsidRPr="00360FDF">
        <w:rPr>
          <w:rFonts w:ascii="Palatino Linotype" w:eastAsia="Times New Roman" w:hAnsi="Palatino Linotype" w:cs="Arial"/>
          <w:color w:val="000000"/>
          <w:sz w:val="24"/>
          <w:szCs w:val="24"/>
          <w:lang w:val="es-ES" w:eastAsia="es-ES"/>
        </w:rPr>
        <w:t xml:space="preserve">vía Sistema de Acceso a la Información Mexiquense </w:t>
      </w:r>
      <w:r w:rsidRPr="00360FDF">
        <w:rPr>
          <w:rFonts w:ascii="Palatino Linotype" w:eastAsia="Times New Roman" w:hAnsi="Palatino Linotype" w:cs="Arial"/>
          <w:b/>
          <w:color w:val="000000"/>
          <w:sz w:val="24"/>
          <w:szCs w:val="24"/>
          <w:lang w:val="es-ES" w:eastAsia="es-ES"/>
        </w:rPr>
        <w:t>(SAIMEX)</w:t>
      </w:r>
      <w:r w:rsidR="00A17F94" w:rsidRPr="00360FDF">
        <w:rPr>
          <w:rFonts w:ascii="Palatino Linotype" w:eastAsia="Times New Roman" w:hAnsi="Palatino Linotype" w:cs="Arial"/>
          <w:b/>
          <w:color w:val="000000"/>
          <w:sz w:val="24"/>
          <w:szCs w:val="24"/>
          <w:lang w:val="es-ES" w:eastAsia="es-ES"/>
        </w:rPr>
        <w:t xml:space="preserve"> y correo electrónico</w:t>
      </w:r>
      <w:r w:rsidRPr="00360FDF">
        <w:rPr>
          <w:rFonts w:ascii="Palatino Linotype" w:eastAsia="Times New Roman" w:hAnsi="Palatino Linotype" w:cs="Arial"/>
          <w:color w:val="000000"/>
          <w:sz w:val="24"/>
          <w:szCs w:val="24"/>
          <w:lang w:val="es-ES" w:eastAsia="es-ES"/>
        </w:rPr>
        <w:t xml:space="preserve">, previa búsqueda exhaustiva y </w:t>
      </w:r>
      <w:proofErr w:type="gramStart"/>
      <w:r w:rsidRPr="00360FDF">
        <w:rPr>
          <w:rFonts w:ascii="Palatino Linotype" w:eastAsia="Times New Roman" w:hAnsi="Palatino Linotype" w:cs="Arial"/>
          <w:color w:val="000000"/>
          <w:sz w:val="24"/>
          <w:szCs w:val="24"/>
          <w:lang w:val="es-ES" w:eastAsia="es-ES"/>
        </w:rPr>
        <w:t>razonable,  de</w:t>
      </w:r>
      <w:proofErr w:type="gramEnd"/>
      <w:r w:rsidRPr="00360FDF">
        <w:rPr>
          <w:rFonts w:ascii="Palatino Linotype" w:eastAsia="Times New Roman" w:hAnsi="Palatino Linotype" w:cs="Arial"/>
          <w:color w:val="000000"/>
          <w:sz w:val="24"/>
          <w:szCs w:val="24"/>
          <w:lang w:val="es-ES" w:eastAsia="es-ES"/>
        </w:rPr>
        <w:t xml:space="preserve"> ser procedente en versión pública,</w:t>
      </w:r>
      <w:r w:rsidR="001E3A16" w:rsidRPr="00360FDF">
        <w:rPr>
          <w:rFonts w:ascii="Palatino Linotype" w:eastAsia="Times New Roman" w:hAnsi="Palatino Linotype" w:cs="Arial"/>
          <w:color w:val="000000"/>
          <w:sz w:val="24"/>
          <w:szCs w:val="24"/>
          <w:lang w:val="es-ES" w:eastAsia="es-ES"/>
        </w:rPr>
        <w:t xml:space="preserve"> en </w:t>
      </w:r>
      <w:r w:rsidR="000559BA" w:rsidRPr="00360FDF">
        <w:rPr>
          <w:rFonts w:ascii="Palatino Linotype" w:eastAsia="Times New Roman" w:hAnsi="Palatino Linotype" w:cs="Arial"/>
          <w:color w:val="000000"/>
          <w:sz w:val="24"/>
          <w:szCs w:val="24"/>
          <w:lang w:val="es-ES" w:eastAsia="es-ES"/>
        </w:rPr>
        <w:t>pdf , word</w:t>
      </w:r>
      <w:r w:rsidR="00A17F94" w:rsidRPr="00360FDF">
        <w:rPr>
          <w:rFonts w:ascii="Palatino Linotype" w:eastAsia="Times New Roman" w:hAnsi="Palatino Linotype" w:cs="Arial"/>
          <w:color w:val="000000"/>
          <w:sz w:val="24"/>
          <w:szCs w:val="24"/>
          <w:lang w:val="es-ES" w:eastAsia="es-ES"/>
        </w:rPr>
        <w:t xml:space="preserve"> o en </w:t>
      </w:r>
      <w:r w:rsidR="001E3A16" w:rsidRPr="00360FDF">
        <w:rPr>
          <w:rFonts w:ascii="Palatino Linotype" w:eastAsia="Times New Roman" w:hAnsi="Palatino Linotype" w:cs="Arial"/>
          <w:color w:val="000000"/>
          <w:sz w:val="24"/>
          <w:szCs w:val="24"/>
          <w:lang w:val="es-ES" w:eastAsia="es-ES"/>
        </w:rPr>
        <w:t xml:space="preserve">el formato en que se encuentre, </w:t>
      </w:r>
      <w:r w:rsidRPr="00360FDF">
        <w:rPr>
          <w:rFonts w:ascii="Palatino Linotype" w:eastAsia="Times New Roman" w:hAnsi="Palatino Linotype" w:cs="Arial"/>
          <w:color w:val="000000"/>
          <w:sz w:val="24"/>
          <w:szCs w:val="24"/>
          <w:lang w:val="es-ES" w:eastAsia="es-ES"/>
        </w:rPr>
        <w:t xml:space="preserve"> los documentos donde conste la siguiente información:  </w:t>
      </w:r>
    </w:p>
    <w:p w14:paraId="767F20AD" w14:textId="77777777" w:rsidR="00A17F94" w:rsidRPr="00360FDF" w:rsidRDefault="00A17F94" w:rsidP="00A26C04">
      <w:pPr>
        <w:spacing w:after="0" w:line="360" w:lineRule="auto"/>
        <w:contextualSpacing/>
        <w:jc w:val="both"/>
        <w:rPr>
          <w:rFonts w:ascii="Palatino Linotype" w:eastAsia="Times New Roman" w:hAnsi="Palatino Linotype" w:cs="Arial"/>
          <w:color w:val="000000"/>
          <w:sz w:val="24"/>
          <w:szCs w:val="24"/>
          <w:lang w:val="es-ES" w:eastAsia="es-ES"/>
        </w:rPr>
      </w:pPr>
    </w:p>
    <w:p w14:paraId="0615778D" w14:textId="77777777" w:rsidR="00A26C04" w:rsidRPr="00360FDF" w:rsidRDefault="00437968" w:rsidP="00A17F94">
      <w:pPr>
        <w:pStyle w:val="Prrafodelista"/>
        <w:numPr>
          <w:ilvl w:val="0"/>
          <w:numId w:val="7"/>
        </w:numPr>
        <w:spacing w:before="240" w:after="240" w:line="360" w:lineRule="auto"/>
        <w:ind w:right="616"/>
        <w:jc w:val="both"/>
        <w:rPr>
          <w:rFonts w:ascii="Palatino Linotype" w:eastAsia="MS Mincho" w:hAnsi="Palatino Linotype" w:cs="Times New Roman"/>
          <w:b/>
          <w:sz w:val="24"/>
          <w:szCs w:val="24"/>
          <w:lang w:val="es-ES_tradnl" w:eastAsia="es-ES"/>
        </w:rPr>
      </w:pPr>
      <w:r w:rsidRPr="00360FDF">
        <w:rPr>
          <w:rFonts w:ascii="Palatino Linotype" w:hAnsi="Palatino Linotype"/>
          <w:b/>
          <w:color w:val="000000"/>
          <w:sz w:val="24"/>
          <w:szCs w:val="24"/>
        </w:rPr>
        <w:t xml:space="preserve">De ser el caso, </w:t>
      </w:r>
      <w:r w:rsidR="00A26C04" w:rsidRPr="00360FDF">
        <w:rPr>
          <w:rFonts w:ascii="Palatino Linotype" w:hAnsi="Palatino Linotype"/>
          <w:b/>
          <w:color w:val="000000"/>
          <w:sz w:val="24"/>
          <w:szCs w:val="24"/>
        </w:rPr>
        <w:t>en que se cuente con expedientes de respons</w:t>
      </w:r>
      <w:r w:rsidR="006B5530" w:rsidRPr="00360FDF">
        <w:rPr>
          <w:rFonts w:ascii="Palatino Linotype" w:hAnsi="Palatino Linotype"/>
          <w:b/>
          <w:color w:val="000000"/>
          <w:sz w:val="24"/>
          <w:szCs w:val="24"/>
        </w:rPr>
        <w:t>abilidades administrativas de los</w:t>
      </w:r>
      <w:r w:rsidR="00A26C04" w:rsidRPr="00360FDF">
        <w:rPr>
          <w:rFonts w:ascii="Palatino Linotype" w:hAnsi="Palatino Linotype"/>
          <w:b/>
          <w:color w:val="000000"/>
          <w:sz w:val="24"/>
          <w:szCs w:val="24"/>
        </w:rPr>
        <w:t xml:space="preserve"> servidor</w:t>
      </w:r>
      <w:r w:rsidR="006B5530" w:rsidRPr="00360FDF">
        <w:rPr>
          <w:rFonts w:ascii="Palatino Linotype" w:hAnsi="Palatino Linotype"/>
          <w:b/>
          <w:color w:val="000000"/>
          <w:sz w:val="24"/>
          <w:szCs w:val="24"/>
        </w:rPr>
        <w:t>es</w:t>
      </w:r>
      <w:r w:rsidR="00A26C04" w:rsidRPr="00360FDF">
        <w:rPr>
          <w:rFonts w:ascii="Palatino Linotype" w:hAnsi="Palatino Linotype"/>
          <w:b/>
          <w:color w:val="000000"/>
          <w:sz w:val="24"/>
          <w:szCs w:val="24"/>
        </w:rPr>
        <w:t xml:space="preserve"> público</w:t>
      </w:r>
      <w:r w:rsidR="006B5530" w:rsidRPr="00360FDF">
        <w:rPr>
          <w:rFonts w:ascii="Palatino Linotype" w:hAnsi="Palatino Linotype"/>
          <w:b/>
          <w:color w:val="000000"/>
          <w:sz w:val="24"/>
          <w:szCs w:val="24"/>
        </w:rPr>
        <w:t>s referidos</w:t>
      </w:r>
      <w:r w:rsidR="00A26C04" w:rsidRPr="00360FDF">
        <w:rPr>
          <w:rFonts w:ascii="Palatino Linotype" w:hAnsi="Palatino Linotype"/>
          <w:b/>
          <w:color w:val="000000"/>
          <w:sz w:val="24"/>
          <w:szCs w:val="24"/>
        </w:rPr>
        <w:t xml:space="preserve"> en la solicitud de </w:t>
      </w:r>
      <w:proofErr w:type="gramStart"/>
      <w:r w:rsidR="00A26C04" w:rsidRPr="00360FDF">
        <w:rPr>
          <w:rFonts w:ascii="Palatino Linotype" w:hAnsi="Palatino Linotype"/>
          <w:b/>
          <w:color w:val="000000"/>
          <w:sz w:val="24"/>
          <w:szCs w:val="24"/>
        </w:rPr>
        <w:t>información  durante</w:t>
      </w:r>
      <w:proofErr w:type="gramEnd"/>
      <w:r w:rsidR="00A26C04" w:rsidRPr="00360FDF">
        <w:rPr>
          <w:rFonts w:ascii="Palatino Linotype" w:hAnsi="Palatino Linotype"/>
          <w:b/>
          <w:color w:val="000000"/>
          <w:sz w:val="24"/>
          <w:szCs w:val="24"/>
        </w:rPr>
        <w:t xml:space="preserve"> la prestación d</w:t>
      </w:r>
      <w:r w:rsidR="001A637A" w:rsidRPr="00360FDF">
        <w:rPr>
          <w:rFonts w:ascii="Palatino Linotype" w:hAnsi="Palatino Linotype"/>
          <w:b/>
          <w:color w:val="000000"/>
          <w:sz w:val="24"/>
          <w:szCs w:val="24"/>
        </w:rPr>
        <w:t xml:space="preserve">e sus servicios y hasta el veintidós </w:t>
      </w:r>
      <w:r w:rsidR="00A26C04" w:rsidRPr="00360FDF">
        <w:rPr>
          <w:rFonts w:ascii="Palatino Linotype" w:hAnsi="Palatino Linotype"/>
          <w:b/>
          <w:color w:val="000000"/>
          <w:sz w:val="24"/>
          <w:szCs w:val="24"/>
        </w:rPr>
        <w:t xml:space="preserve">de </w:t>
      </w:r>
      <w:r w:rsidR="001A637A" w:rsidRPr="00360FDF">
        <w:rPr>
          <w:rFonts w:ascii="Palatino Linotype" w:hAnsi="Palatino Linotype"/>
          <w:b/>
          <w:color w:val="000000"/>
          <w:sz w:val="24"/>
          <w:szCs w:val="24"/>
        </w:rPr>
        <w:t>febrero de dos mil veintiuno</w:t>
      </w:r>
      <w:r w:rsidR="00A26C04" w:rsidRPr="00360FDF">
        <w:rPr>
          <w:rFonts w:ascii="Palatino Linotype" w:hAnsi="Palatino Linotype"/>
          <w:b/>
          <w:color w:val="000000"/>
          <w:sz w:val="24"/>
          <w:szCs w:val="24"/>
        </w:rPr>
        <w:t>.</w:t>
      </w:r>
    </w:p>
    <w:p w14:paraId="00980284" w14:textId="77777777" w:rsidR="00A26C04" w:rsidRPr="00360FDF" w:rsidRDefault="00A26C04" w:rsidP="003758BB">
      <w:pPr>
        <w:pStyle w:val="Prrafodelista"/>
        <w:numPr>
          <w:ilvl w:val="0"/>
          <w:numId w:val="8"/>
        </w:numPr>
        <w:spacing w:before="240" w:after="240" w:line="360" w:lineRule="auto"/>
        <w:ind w:left="1418" w:right="1183" w:firstLine="0"/>
        <w:jc w:val="both"/>
        <w:rPr>
          <w:rFonts w:ascii="Palatino Linotype" w:eastAsia="MS Mincho" w:hAnsi="Palatino Linotype" w:cs="Times New Roman"/>
          <w:b/>
          <w:sz w:val="24"/>
          <w:szCs w:val="24"/>
          <w:lang w:val="es-ES_tradnl"/>
        </w:rPr>
      </w:pPr>
      <w:r w:rsidRPr="00360FDF">
        <w:rPr>
          <w:rFonts w:ascii="Palatino Linotype" w:eastAsia="MS Mincho" w:hAnsi="Palatino Linotype" w:cs="Times New Roman"/>
          <w:b/>
          <w:bCs/>
          <w:sz w:val="24"/>
          <w:szCs w:val="24"/>
          <w:lang w:val="es-ES_tradnl" w:eastAsia="es-ES"/>
        </w:rPr>
        <w:lastRenderedPageBreak/>
        <w:t>El Acuerdo del Comité de Transparencia que clasifique, como información reservada, los expedientes del Órgano de Control Interno que se encuentren en la etapa de investigación que determina el artículo 98 de la Ley de Responsabilidades Administrativas del Estado de México y Municipios, hasta en tanto no inicie, en su caso, el procedimiento de responsabilidades administrativas. El Acuerdo deberá precisar el número de expedientes que se clasifiquen.</w:t>
      </w:r>
    </w:p>
    <w:p w14:paraId="62A52E75" w14:textId="77777777" w:rsidR="00360FDF" w:rsidRPr="00360FDF" w:rsidRDefault="00360FDF" w:rsidP="00360FDF">
      <w:pPr>
        <w:pStyle w:val="Prrafodelista"/>
        <w:spacing w:before="240" w:after="240" w:line="360" w:lineRule="auto"/>
        <w:ind w:left="1418" w:right="1183"/>
        <w:jc w:val="both"/>
        <w:rPr>
          <w:rFonts w:ascii="Palatino Linotype" w:eastAsia="MS Mincho" w:hAnsi="Palatino Linotype" w:cs="Times New Roman"/>
          <w:b/>
          <w:sz w:val="24"/>
          <w:szCs w:val="24"/>
          <w:lang w:val="es-ES_tradnl"/>
        </w:rPr>
      </w:pPr>
    </w:p>
    <w:p w14:paraId="75F43AA9" w14:textId="77777777" w:rsidR="00A26C04" w:rsidRPr="00360FDF" w:rsidRDefault="00A26C04" w:rsidP="003758BB">
      <w:pPr>
        <w:pStyle w:val="Prrafodelista"/>
        <w:numPr>
          <w:ilvl w:val="0"/>
          <w:numId w:val="8"/>
        </w:numPr>
        <w:spacing w:before="240" w:after="240" w:line="360" w:lineRule="auto"/>
        <w:ind w:left="1418" w:right="1183" w:firstLine="0"/>
        <w:jc w:val="both"/>
        <w:rPr>
          <w:rFonts w:ascii="Palatino Linotype" w:eastAsia="MS Mincho" w:hAnsi="Palatino Linotype" w:cs="Times New Roman"/>
          <w:b/>
          <w:sz w:val="24"/>
          <w:szCs w:val="24"/>
          <w:lang w:val="es-ES_tradnl"/>
        </w:rPr>
      </w:pPr>
      <w:r w:rsidRPr="00360FDF">
        <w:rPr>
          <w:rFonts w:ascii="Palatino Linotype" w:eastAsia="MS Mincho" w:hAnsi="Palatino Linotype" w:cs="Times New Roman"/>
          <w:b/>
          <w:bCs/>
          <w:sz w:val="24"/>
          <w:szCs w:val="24"/>
          <w:lang w:val="es-ES_tradnl" w:eastAsia="es-ES"/>
        </w:rPr>
        <w:t>La versión pública de los expedientes relacionados con responsabilidades administrativas no graves, que se encuentren en la etapa del procedimiento de responsabilidades administrativas, al haberse concluido la etapa de investigación y se haya emplazado formalmente al presunto responsable, en términos de la presente resolución.</w:t>
      </w:r>
    </w:p>
    <w:p w14:paraId="357B49E0" w14:textId="77777777" w:rsidR="00A26C04" w:rsidRPr="00360FDF" w:rsidRDefault="00A26C04" w:rsidP="003758BB">
      <w:pPr>
        <w:spacing w:before="240" w:after="240" w:line="360" w:lineRule="auto"/>
        <w:ind w:left="1418" w:right="1183"/>
        <w:contextualSpacing/>
        <w:jc w:val="both"/>
        <w:rPr>
          <w:rFonts w:ascii="Palatino Linotype" w:eastAsia="MS Mincho" w:hAnsi="Palatino Linotype" w:cs="Times New Roman"/>
          <w:b/>
          <w:sz w:val="24"/>
          <w:szCs w:val="24"/>
          <w:lang w:val="es-ES_tradnl"/>
        </w:rPr>
      </w:pPr>
    </w:p>
    <w:p w14:paraId="55CDE02E" w14:textId="77777777" w:rsidR="00A26C04" w:rsidRPr="00360FDF" w:rsidRDefault="00A26C04" w:rsidP="003758BB">
      <w:pPr>
        <w:pStyle w:val="Prrafodelista"/>
        <w:numPr>
          <w:ilvl w:val="0"/>
          <w:numId w:val="8"/>
        </w:numPr>
        <w:spacing w:before="240" w:after="240" w:line="360" w:lineRule="auto"/>
        <w:ind w:left="1418" w:right="1183" w:firstLine="0"/>
        <w:jc w:val="both"/>
        <w:rPr>
          <w:rFonts w:ascii="Palatino Linotype" w:eastAsia="MS Mincho" w:hAnsi="Palatino Linotype" w:cs="Times New Roman"/>
          <w:b/>
          <w:sz w:val="24"/>
          <w:szCs w:val="24"/>
          <w:lang w:val="es-ES_tradnl"/>
        </w:rPr>
      </w:pPr>
      <w:r w:rsidRPr="00360FDF">
        <w:rPr>
          <w:rFonts w:ascii="Palatino Linotype" w:eastAsia="MS Mincho" w:hAnsi="Palatino Linotype" w:cs="Times New Roman"/>
          <w:b/>
          <w:bCs/>
          <w:sz w:val="24"/>
          <w:szCs w:val="24"/>
          <w:lang w:val="es-ES_tradnl" w:eastAsia="es-ES"/>
        </w:rPr>
        <w:t xml:space="preserve">Los expedientes relacionados con responsabilidades administrativas graves, por </w:t>
      </w:r>
      <w:r w:rsidRPr="00360FDF">
        <w:rPr>
          <w:rFonts w:ascii="Palatino Linotype" w:eastAsia="MS Mincho" w:hAnsi="Palatino Linotype" w:cs="Times New Roman"/>
          <w:b/>
          <w:bCs/>
          <w:sz w:val="24"/>
          <w:szCs w:val="24"/>
          <w:lang w:val="es-ES_tradnl" w:eastAsia="es-ES"/>
        </w:rPr>
        <w:lastRenderedPageBreak/>
        <w:t>corresponder a actos de corrupción, que se encuentren en la etapa del procedimiento de responsabilidades administrativas, al haberse concluido la etapa de investigación y se haya emplazado formalmente al presunto responsable. De ser procedente en versión pública en los términos de la presente resolución.</w:t>
      </w:r>
    </w:p>
    <w:p w14:paraId="561E1B54" w14:textId="77777777" w:rsidR="004029FB" w:rsidRPr="00360FDF" w:rsidRDefault="004029FB" w:rsidP="004029FB">
      <w:pPr>
        <w:pStyle w:val="Prrafodelista"/>
        <w:rPr>
          <w:rFonts w:ascii="Palatino Linotype" w:eastAsia="MS Mincho" w:hAnsi="Palatino Linotype" w:cs="Times New Roman"/>
          <w:b/>
          <w:sz w:val="24"/>
          <w:szCs w:val="24"/>
          <w:lang w:val="es-ES_tradnl"/>
        </w:rPr>
      </w:pPr>
    </w:p>
    <w:p w14:paraId="5C0B3E74" w14:textId="77777777" w:rsidR="00A26C04" w:rsidRPr="00360FDF" w:rsidRDefault="00437968" w:rsidP="001A637A">
      <w:pPr>
        <w:pStyle w:val="Prrafodelista"/>
        <w:numPr>
          <w:ilvl w:val="0"/>
          <w:numId w:val="7"/>
        </w:numPr>
        <w:spacing w:before="240" w:after="240" w:line="360" w:lineRule="auto"/>
        <w:ind w:right="1183"/>
        <w:jc w:val="both"/>
        <w:rPr>
          <w:rFonts w:ascii="Palatino Linotype" w:eastAsia="MS Mincho" w:hAnsi="Palatino Linotype" w:cs="Times New Roman"/>
          <w:b/>
          <w:sz w:val="24"/>
          <w:szCs w:val="24"/>
          <w:lang w:val="es-ES_tradnl"/>
        </w:rPr>
      </w:pPr>
      <w:r w:rsidRPr="00360FDF">
        <w:rPr>
          <w:rFonts w:ascii="Palatino Linotype" w:eastAsia="MS Mincho" w:hAnsi="Palatino Linotype" w:cs="Times New Roman"/>
          <w:b/>
          <w:sz w:val="24"/>
          <w:szCs w:val="24"/>
          <w:lang w:val="es-ES_tradnl"/>
        </w:rPr>
        <w:t xml:space="preserve">De ser el caso, cualquier documento donde conste la terminación de la relación laboral </w:t>
      </w:r>
      <w:r w:rsidRPr="00360FDF">
        <w:rPr>
          <w:rFonts w:ascii="Palatino Linotype" w:hAnsi="Palatino Linotype"/>
          <w:b/>
          <w:color w:val="000000"/>
          <w:sz w:val="24"/>
          <w:szCs w:val="24"/>
        </w:rPr>
        <w:t>de los servidores públicos referidos en la solicitud de información.</w:t>
      </w:r>
    </w:p>
    <w:p w14:paraId="3667D949" w14:textId="77777777" w:rsidR="00A26C04" w:rsidRPr="00360FDF" w:rsidRDefault="000559BA" w:rsidP="00A26C04">
      <w:pPr>
        <w:spacing w:line="360" w:lineRule="auto"/>
        <w:jc w:val="both"/>
        <w:rPr>
          <w:rFonts w:ascii="Palatino Linotype" w:eastAsia="Calibri" w:hAnsi="Palatino Linotype" w:cs="Arial"/>
          <w:b/>
          <w:bCs/>
          <w:color w:val="000000" w:themeColor="text1"/>
          <w:sz w:val="24"/>
          <w:szCs w:val="24"/>
        </w:rPr>
      </w:pPr>
      <w:r w:rsidRPr="00360FDF">
        <w:rPr>
          <w:rFonts w:ascii="Palatino Linotype" w:eastAsia="Calibri" w:hAnsi="Palatino Linotype" w:cs="Arial"/>
          <w:color w:val="000000" w:themeColor="text1"/>
          <w:sz w:val="24"/>
          <w:szCs w:val="24"/>
        </w:rPr>
        <w:t>Para efectos de</w:t>
      </w:r>
      <w:r w:rsidR="00437968" w:rsidRPr="00360FDF">
        <w:rPr>
          <w:rFonts w:ascii="Palatino Linotype" w:eastAsia="Calibri" w:hAnsi="Palatino Linotype" w:cs="Arial"/>
          <w:color w:val="000000" w:themeColor="text1"/>
          <w:sz w:val="24"/>
          <w:szCs w:val="24"/>
        </w:rPr>
        <w:t xml:space="preserve"> </w:t>
      </w:r>
      <w:r w:rsidRPr="00360FDF">
        <w:rPr>
          <w:rFonts w:ascii="Palatino Linotype" w:eastAsia="Calibri" w:hAnsi="Palatino Linotype" w:cs="Arial"/>
          <w:color w:val="000000" w:themeColor="text1"/>
          <w:sz w:val="24"/>
          <w:szCs w:val="24"/>
        </w:rPr>
        <w:t>l</w:t>
      </w:r>
      <w:r w:rsidR="00437968" w:rsidRPr="00360FDF">
        <w:rPr>
          <w:rFonts w:ascii="Palatino Linotype" w:eastAsia="Calibri" w:hAnsi="Palatino Linotype" w:cs="Arial"/>
          <w:color w:val="000000" w:themeColor="text1"/>
          <w:sz w:val="24"/>
          <w:szCs w:val="24"/>
        </w:rPr>
        <w:t>os</w:t>
      </w:r>
      <w:r w:rsidRPr="00360FDF">
        <w:rPr>
          <w:rFonts w:ascii="Palatino Linotype" w:eastAsia="Calibri" w:hAnsi="Palatino Linotype" w:cs="Arial"/>
          <w:color w:val="000000" w:themeColor="text1"/>
          <w:sz w:val="24"/>
          <w:szCs w:val="24"/>
        </w:rPr>
        <w:t xml:space="preserve"> punto</w:t>
      </w:r>
      <w:r w:rsidR="00437968" w:rsidRPr="00360FDF">
        <w:rPr>
          <w:rFonts w:ascii="Palatino Linotype" w:eastAsia="Calibri" w:hAnsi="Palatino Linotype" w:cs="Arial"/>
          <w:color w:val="000000" w:themeColor="text1"/>
          <w:sz w:val="24"/>
          <w:szCs w:val="24"/>
        </w:rPr>
        <w:t>s</w:t>
      </w:r>
      <w:r w:rsidR="00A26C04" w:rsidRPr="00360FDF">
        <w:rPr>
          <w:rFonts w:ascii="Palatino Linotype" w:eastAsia="Calibri" w:hAnsi="Palatino Linotype" w:cs="Arial"/>
          <w:color w:val="000000" w:themeColor="text1"/>
          <w:sz w:val="24"/>
          <w:szCs w:val="24"/>
        </w:rPr>
        <w:t xml:space="preserve"> </w:t>
      </w:r>
      <w:r w:rsidR="00A26C04" w:rsidRPr="00360FDF">
        <w:rPr>
          <w:rFonts w:ascii="Palatino Linotype" w:eastAsia="Calibri" w:hAnsi="Palatino Linotype" w:cs="Arial"/>
          <w:i/>
          <w:color w:val="000000" w:themeColor="text1"/>
          <w:sz w:val="24"/>
          <w:szCs w:val="24"/>
        </w:rPr>
        <w:t>I</w:t>
      </w:r>
      <w:r w:rsidR="00A17F94" w:rsidRPr="00360FDF">
        <w:rPr>
          <w:rFonts w:ascii="Palatino Linotype" w:eastAsia="Calibri" w:hAnsi="Palatino Linotype" w:cs="Arial"/>
          <w:color w:val="000000" w:themeColor="text1"/>
          <w:sz w:val="24"/>
          <w:szCs w:val="24"/>
        </w:rPr>
        <w:t xml:space="preserve"> </w:t>
      </w:r>
      <w:r w:rsidR="00A26C04" w:rsidRPr="00360FDF">
        <w:rPr>
          <w:rFonts w:ascii="Palatino Linotype" w:eastAsia="Calibri" w:hAnsi="Palatino Linotype" w:cs="Arial"/>
          <w:color w:val="000000" w:themeColor="text1"/>
          <w:sz w:val="24"/>
          <w:szCs w:val="24"/>
        </w:rPr>
        <w:t xml:space="preserve">inciso </w:t>
      </w:r>
      <w:r w:rsidR="00A26C04" w:rsidRPr="00360FDF">
        <w:rPr>
          <w:rFonts w:ascii="Palatino Linotype" w:eastAsia="Calibri" w:hAnsi="Palatino Linotype" w:cs="Arial"/>
          <w:i/>
          <w:color w:val="000000" w:themeColor="text1"/>
          <w:sz w:val="24"/>
          <w:szCs w:val="24"/>
        </w:rPr>
        <w:t>b) y c)</w:t>
      </w:r>
      <w:r w:rsidR="00437968" w:rsidRPr="00360FDF">
        <w:rPr>
          <w:rFonts w:ascii="Palatino Linotype" w:eastAsia="Calibri" w:hAnsi="Palatino Linotype" w:cs="Arial"/>
          <w:i/>
          <w:color w:val="000000" w:themeColor="text1"/>
          <w:sz w:val="24"/>
          <w:szCs w:val="24"/>
        </w:rPr>
        <w:t xml:space="preserve"> </w:t>
      </w:r>
      <w:r w:rsidR="00437968" w:rsidRPr="00360FDF">
        <w:rPr>
          <w:rFonts w:ascii="Palatino Linotype" w:eastAsia="Calibri" w:hAnsi="Palatino Linotype" w:cs="Arial"/>
          <w:color w:val="000000" w:themeColor="text1"/>
          <w:sz w:val="24"/>
          <w:szCs w:val="24"/>
        </w:rPr>
        <w:t xml:space="preserve">y </w:t>
      </w:r>
      <w:r w:rsidR="00437968" w:rsidRPr="00360FDF">
        <w:rPr>
          <w:rFonts w:ascii="Palatino Linotype" w:eastAsia="Calibri" w:hAnsi="Palatino Linotype" w:cs="Arial"/>
          <w:i/>
          <w:color w:val="000000" w:themeColor="text1"/>
          <w:sz w:val="24"/>
          <w:szCs w:val="24"/>
        </w:rPr>
        <w:t>II</w:t>
      </w:r>
      <w:r w:rsidR="00A26C04" w:rsidRPr="00360FDF">
        <w:rPr>
          <w:rFonts w:ascii="Palatino Linotype" w:eastAsia="Calibri" w:hAnsi="Palatino Linotype" w:cs="Arial"/>
          <w:color w:val="000000" w:themeColor="text1"/>
          <w:sz w:val="24"/>
          <w:szCs w:val="24"/>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A26C04" w:rsidRPr="00360FDF">
        <w:rPr>
          <w:rFonts w:ascii="Palatino Linotype" w:eastAsia="Calibri" w:hAnsi="Palatino Linotype" w:cs="Arial"/>
          <w:b/>
          <w:bCs/>
          <w:color w:val="000000" w:themeColor="text1"/>
          <w:sz w:val="24"/>
          <w:szCs w:val="24"/>
        </w:rPr>
        <w:t xml:space="preserve">. </w:t>
      </w:r>
    </w:p>
    <w:p w14:paraId="490783A3" w14:textId="77777777" w:rsidR="00A26C04" w:rsidRPr="00360FDF" w:rsidRDefault="00A26C04" w:rsidP="00A26C04">
      <w:pPr>
        <w:spacing w:before="240" w:after="360" w:line="360" w:lineRule="auto"/>
        <w:jc w:val="both"/>
        <w:rPr>
          <w:rFonts w:ascii="Palatino Linotype" w:eastAsia="MS Mincho" w:hAnsi="Palatino Linotype" w:cs="Times New Roman"/>
          <w:bCs/>
          <w:color w:val="000000"/>
          <w:sz w:val="24"/>
          <w:szCs w:val="24"/>
          <w:lang w:eastAsia="es-ES"/>
        </w:rPr>
      </w:pPr>
      <w:r w:rsidRPr="00360FDF">
        <w:rPr>
          <w:rFonts w:ascii="Palatino Linotype" w:eastAsia="MS Mincho" w:hAnsi="Palatino Linotype" w:cs="Times New Roman"/>
          <w:bCs/>
          <w:color w:val="000000"/>
          <w:sz w:val="24"/>
          <w:szCs w:val="24"/>
          <w:lang w:val="es-ES_tradnl" w:eastAsia="es-ES"/>
        </w:rPr>
        <w:t>Por otro lado, de ser</w:t>
      </w:r>
      <w:r w:rsidRPr="00360FDF">
        <w:rPr>
          <w:rFonts w:ascii="Palatino Linotype" w:eastAsia="MS Mincho" w:hAnsi="Palatino Linotype" w:cs="Times New Roman"/>
          <w:bCs/>
          <w:color w:val="000000"/>
          <w:sz w:val="24"/>
          <w:szCs w:val="24"/>
          <w:lang w:eastAsia="es-ES"/>
        </w:rPr>
        <w:t xml:space="preserve"> el caso que la información señalada</w:t>
      </w:r>
      <w:r w:rsidRPr="00360FDF">
        <w:rPr>
          <w:rFonts w:ascii="Palatino Linotype" w:eastAsia="Calibri" w:hAnsi="Palatino Linotype" w:cs="Arial"/>
          <w:sz w:val="24"/>
          <w:szCs w:val="24"/>
        </w:rPr>
        <w:t xml:space="preserve"> en </w:t>
      </w:r>
      <w:proofErr w:type="gramStart"/>
      <w:r w:rsidRPr="00360FDF">
        <w:rPr>
          <w:rFonts w:ascii="Palatino Linotype" w:eastAsia="Calibri" w:hAnsi="Palatino Linotype" w:cs="Arial"/>
          <w:sz w:val="24"/>
          <w:szCs w:val="24"/>
        </w:rPr>
        <w:t>el</w:t>
      </w:r>
      <w:r w:rsidR="003758BB" w:rsidRPr="00360FDF">
        <w:rPr>
          <w:rFonts w:ascii="Palatino Linotype" w:eastAsia="Calibri" w:hAnsi="Palatino Linotype" w:cs="Arial"/>
          <w:sz w:val="24"/>
          <w:szCs w:val="24"/>
        </w:rPr>
        <w:t xml:space="preserve">  punto</w:t>
      </w:r>
      <w:proofErr w:type="gramEnd"/>
      <w:r w:rsidRPr="00360FDF">
        <w:rPr>
          <w:rFonts w:ascii="Palatino Linotype" w:eastAsia="Calibri" w:hAnsi="Palatino Linotype" w:cs="Arial"/>
          <w:sz w:val="24"/>
          <w:szCs w:val="24"/>
        </w:rPr>
        <w:t xml:space="preserve"> </w:t>
      </w:r>
      <w:r w:rsidR="00A17F94" w:rsidRPr="00360FDF">
        <w:rPr>
          <w:rFonts w:ascii="Palatino Linotype" w:eastAsia="Calibri" w:hAnsi="Palatino Linotype" w:cs="Arial"/>
          <w:i/>
          <w:sz w:val="24"/>
          <w:szCs w:val="24"/>
        </w:rPr>
        <w:t>I</w:t>
      </w:r>
      <w:r w:rsidRPr="00360FDF">
        <w:rPr>
          <w:rFonts w:ascii="Palatino Linotype" w:eastAsia="Calibri" w:hAnsi="Palatino Linotype" w:cs="Arial"/>
          <w:sz w:val="24"/>
          <w:szCs w:val="24"/>
        </w:rPr>
        <w:t xml:space="preserve"> inciso </w:t>
      </w:r>
      <w:r w:rsidRPr="00360FDF">
        <w:rPr>
          <w:rFonts w:ascii="Palatino Linotype" w:eastAsia="Calibri" w:hAnsi="Palatino Linotype" w:cs="Arial"/>
          <w:i/>
          <w:sz w:val="24"/>
          <w:szCs w:val="24"/>
        </w:rPr>
        <w:t>b) y c)</w:t>
      </w:r>
      <w:r w:rsidR="004C40B1" w:rsidRPr="00360FDF">
        <w:rPr>
          <w:rFonts w:ascii="Palatino Linotype" w:eastAsia="Calibri" w:hAnsi="Palatino Linotype" w:cs="Arial"/>
          <w:i/>
          <w:sz w:val="24"/>
          <w:szCs w:val="24"/>
        </w:rPr>
        <w:t xml:space="preserve"> y II</w:t>
      </w:r>
      <w:r w:rsidRPr="00360FDF">
        <w:rPr>
          <w:rFonts w:ascii="Palatino Linotype" w:eastAsia="MS Mincho" w:hAnsi="Palatino Linotype" w:cs="Times New Roman"/>
          <w:bCs/>
          <w:color w:val="000000"/>
          <w:sz w:val="24"/>
          <w:szCs w:val="24"/>
          <w:lang w:eastAsia="es-ES"/>
        </w:rPr>
        <w:t xml:space="preserve">, no haya sido generada, poseída o administrada, en virtud de que los expedientes pendientes de resolver por el Órgano de Control Interno se encuentren en etapa de investigación, el </w:t>
      </w:r>
      <w:r w:rsidRPr="00360FDF">
        <w:rPr>
          <w:rFonts w:ascii="Palatino Linotype" w:eastAsia="MS Mincho" w:hAnsi="Palatino Linotype" w:cs="Times New Roman"/>
          <w:b/>
          <w:bCs/>
          <w:color w:val="000000"/>
          <w:sz w:val="24"/>
          <w:szCs w:val="24"/>
          <w:lang w:eastAsia="es-ES"/>
        </w:rPr>
        <w:t>SUJETO OBLIGADO</w:t>
      </w:r>
      <w:r w:rsidR="004C40B1" w:rsidRPr="00360FDF">
        <w:rPr>
          <w:rFonts w:ascii="Palatino Linotype" w:eastAsia="MS Mincho" w:hAnsi="Palatino Linotype" w:cs="Times New Roman"/>
          <w:bCs/>
          <w:color w:val="000000"/>
          <w:sz w:val="24"/>
          <w:szCs w:val="24"/>
          <w:lang w:eastAsia="es-ES"/>
        </w:rPr>
        <w:t xml:space="preserve">, o no se cuente con documento alguno en el </w:t>
      </w:r>
      <w:r w:rsidR="004C40B1" w:rsidRPr="00360FDF">
        <w:rPr>
          <w:rFonts w:ascii="Palatino Linotype" w:eastAsia="MS Mincho" w:hAnsi="Palatino Linotype" w:cs="Times New Roman"/>
          <w:bCs/>
          <w:color w:val="000000"/>
          <w:sz w:val="24"/>
          <w:szCs w:val="24"/>
          <w:lang w:eastAsia="es-ES"/>
        </w:rPr>
        <w:lastRenderedPageBreak/>
        <w:t xml:space="preserve">que conste la terminación de la relación laboral </w:t>
      </w:r>
      <w:r w:rsidRPr="00360FDF">
        <w:rPr>
          <w:rFonts w:ascii="Palatino Linotype" w:eastAsia="MS Mincho" w:hAnsi="Palatino Linotype" w:cs="Times New Roman"/>
          <w:bCs/>
          <w:color w:val="000000"/>
          <w:sz w:val="24"/>
          <w:szCs w:val="24"/>
          <w:lang w:eastAsia="es-ES"/>
        </w:rPr>
        <w:t>deberá explicar las causas por las que no se cuente con la información requerida.</w:t>
      </w:r>
    </w:p>
    <w:p w14:paraId="4051CDF2" w14:textId="77777777" w:rsidR="00A26C04" w:rsidRPr="00360FDF" w:rsidRDefault="00A26C04" w:rsidP="00A26C04">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360FDF">
        <w:rPr>
          <w:rFonts w:ascii="Palatino Linotype" w:eastAsia="Times New Roman" w:hAnsi="Palatino Linotype" w:cs="Arial"/>
          <w:b/>
          <w:bCs/>
          <w:color w:val="222222"/>
          <w:sz w:val="24"/>
          <w:szCs w:val="24"/>
          <w:lang w:val="es-ES_tradnl" w:eastAsia="es-MX"/>
        </w:rPr>
        <w:t xml:space="preserve">TERCERO. </w:t>
      </w:r>
      <w:r w:rsidRPr="00360FDF">
        <w:rPr>
          <w:rFonts w:ascii="Palatino Linotype" w:eastAsia="Times New Roman" w:hAnsi="Palatino Linotype" w:cs="Arial"/>
          <w:color w:val="222222"/>
          <w:sz w:val="24"/>
          <w:szCs w:val="24"/>
          <w:lang w:val="es-ES_tradnl" w:eastAsia="es-MX"/>
        </w:rPr>
        <w:t>Notifíquese</w:t>
      </w:r>
      <w:r w:rsidRPr="00360FDF">
        <w:rPr>
          <w:rFonts w:ascii="Palatino Linotype" w:eastAsia="Times New Roman" w:hAnsi="Palatino Linotype" w:cs="Arial"/>
          <w:b/>
          <w:bCs/>
          <w:color w:val="222222"/>
          <w:sz w:val="24"/>
          <w:szCs w:val="24"/>
          <w:lang w:val="es-ES_tradnl" w:eastAsia="es-MX"/>
        </w:rPr>
        <w:t xml:space="preserve"> </w:t>
      </w:r>
      <w:r w:rsidRPr="00360FDF">
        <w:rPr>
          <w:rFonts w:ascii="Palatino Linotype" w:eastAsia="Times New Roman" w:hAnsi="Palatino Linotype" w:cs="Arial"/>
          <w:color w:val="222222"/>
          <w:sz w:val="24"/>
          <w:szCs w:val="24"/>
          <w:lang w:val="es-ES_tradnl" w:eastAsia="es-MX"/>
        </w:rPr>
        <w:t xml:space="preserve">al Titular de la Unidad de Transparencia del </w:t>
      </w:r>
      <w:r w:rsidRPr="00360FDF">
        <w:rPr>
          <w:rFonts w:ascii="Palatino Linotype" w:eastAsia="Times New Roman" w:hAnsi="Palatino Linotype" w:cs="Arial"/>
          <w:b/>
          <w:bCs/>
          <w:color w:val="222222"/>
          <w:sz w:val="24"/>
          <w:szCs w:val="24"/>
          <w:lang w:val="es-ES_tradnl" w:eastAsia="es-MX"/>
        </w:rPr>
        <w:t>SUJETO OBLIGADO</w:t>
      </w:r>
      <w:r w:rsidRPr="00360FDF">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veinte días hábiles, debiendo rendir a este Instituto el informe de cumplimiento de la resolución en un plazo de tres días hábiles posteriores.</w:t>
      </w:r>
    </w:p>
    <w:p w14:paraId="1D568C91" w14:textId="77777777" w:rsidR="00A26C04" w:rsidRPr="00360FDF" w:rsidRDefault="00A26C04" w:rsidP="00A26C04">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p>
    <w:p w14:paraId="1C5B4D60" w14:textId="77777777" w:rsidR="00A26C04" w:rsidRPr="00360FDF" w:rsidRDefault="00A26C04" w:rsidP="00A26C04">
      <w:pPr>
        <w:shd w:val="clear" w:color="auto" w:fill="FFFFFF"/>
        <w:spacing w:after="0" w:line="360" w:lineRule="auto"/>
        <w:jc w:val="both"/>
        <w:rPr>
          <w:rFonts w:ascii="Palatino Linotype" w:eastAsia="MS Mincho" w:hAnsi="Palatino Linotype" w:cs="Times New Roman"/>
          <w:color w:val="000000" w:themeColor="text1"/>
          <w:sz w:val="24"/>
          <w:szCs w:val="24"/>
          <w:shd w:val="clear" w:color="auto" w:fill="FFFFFF"/>
          <w:lang w:val="es-ES_tradnl" w:eastAsia="es-ES"/>
        </w:rPr>
      </w:pPr>
      <w:r w:rsidRPr="00360FDF">
        <w:rPr>
          <w:rFonts w:ascii="Palatino Linotype" w:eastAsia="Calibri" w:hAnsi="Palatino Linotype" w:cs="Arial"/>
          <w:b/>
          <w:bCs/>
          <w:color w:val="000000" w:themeColor="text1"/>
          <w:sz w:val="24"/>
          <w:szCs w:val="24"/>
        </w:rPr>
        <w:t>CUARTO.</w:t>
      </w:r>
      <w:r w:rsidRPr="00360FDF">
        <w:rPr>
          <w:rFonts w:ascii="Palatino Linotype" w:eastAsia="Calibri" w:hAnsi="Palatino Linotype" w:cs="Arial"/>
          <w:bCs/>
          <w:color w:val="000000" w:themeColor="text1"/>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B42647" w14:textId="77777777" w:rsidR="00A26C04" w:rsidRPr="00360FDF" w:rsidRDefault="00A26C04" w:rsidP="00A26C04">
      <w:pPr>
        <w:spacing w:after="0" w:line="360" w:lineRule="auto"/>
        <w:rPr>
          <w:rFonts w:ascii="Palatino Linotype" w:eastAsia="MS Mincho" w:hAnsi="Palatino Linotype" w:cs="Times New Roman"/>
          <w:sz w:val="24"/>
          <w:szCs w:val="24"/>
          <w:lang w:val="es-ES" w:eastAsia="es-ES"/>
        </w:rPr>
      </w:pPr>
    </w:p>
    <w:p w14:paraId="1B2D59CC" w14:textId="77777777" w:rsidR="00A26C04" w:rsidRPr="00360FDF" w:rsidRDefault="00A26C04" w:rsidP="00A26C04">
      <w:pPr>
        <w:shd w:val="clear" w:color="auto" w:fill="FFFFFF"/>
        <w:spacing w:after="0" w:line="360" w:lineRule="auto"/>
        <w:jc w:val="both"/>
        <w:rPr>
          <w:rFonts w:ascii="Palatino Linotype" w:eastAsiaTheme="minorEastAsia" w:hAnsi="Palatino Linotype"/>
          <w:sz w:val="24"/>
          <w:szCs w:val="24"/>
          <w:lang w:val="es-ES_tradnl" w:eastAsia="es-ES"/>
        </w:rPr>
      </w:pPr>
      <w:r w:rsidRPr="00360FDF">
        <w:rPr>
          <w:rFonts w:ascii="Palatino Linotype" w:eastAsia="Times New Roman" w:hAnsi="Palatino Linotype" w:cs="Arial"/>
          <w:b/>
          <w:sz w:val="24"/>
          <w:szCs w:val="24"/>
          <w:lang w:val="es-ES_tradnl" w:eastAsia="es-ES"/>
        </w:rPr>
        <w:t xml:space="preserve">QUINTO. </w:t>
      </w:r>
      <w:r w:rsidRPr="00360FDF">
        <w:rPr>
          <w:rFonts w:ascii="Palatino Linotype" w:eastAsia="Times New Roman" w:hAnsi="Palatino Linotype" w:cs="Times New Roman"/>
          <w:b/>
          <w:bCs/>
          <w:color w:val="222222"/>
          <w:sz w:val="24"/>
          <w:szCs w:val="24"/>
          <w:lang w:val="es-ES" w:eastAsia="es-ES"/>
        </w:rPr>
        <w:t xml:space="preserve">Notifíquese </w:t>
      </w:r>
      <w:r w:rsidR="000559BA" w:rsidRPr="00360FDF">
        <w:rPr>
          <w:rFonts w:ascii="Palatino Linotype" w:eastAsia="Times New Roman" w:hAnsi="Palatino Linotype" w:cs="Times New Roman"/>
          <w:bCs/>
          <w:color w:val="222222"/>
          <w:sz w:val="24"/>
          <w:szCs w:val="24"/>
          <w:lang w:val="es-ES" w:eastAsia="es-ES"/>
        </w:rPr>
        <w:t xml:space="preserve">a </w:t>
      </w:r>
      <w:r w:rsidR="00004AB5" w:rsidRPr="00004AB5">
        <w:rPr>
          <w:rFonts w:ascii="Palatino Linotype" w:eastAsia="Times New Roman" w:hAnsi="Palatino Linotype" w:cs="Times New Roman"/>
          <w:b/>
          <w:bCs/>
          <w:color w:val="222222"/>
          <w:sz w:val="24"/>
          <w:szCs w:val="24"/>
          <w:highlight w:val="black"/>
          <w:lang w:val="es-ES" w:eastAsia="es-ES"/>
        </w:rPr>
        <w:t>---------------------------------------</w:t>
      </w:r>
      <w:r w:rsidR="000559BA" w:rsidRPr="00360FDF">
        <w:rPr>
          <w:rFonts w:ascii="Palatino Linotype" w:eastAsia="Times New Roman" w:hAnsi="Palatino Linotype" w:cs="Times New Roman"/>
          <w:b/>
          <w:bCs/>
          <w:color w:val="222222"/>
          <w:sz w:val="24"/>
          <w:szCs w:val="24"/>
          <w:lang w:val="es-ES" w:eastAsia="es-ES"/>
        </w:rPr>
        <w:t xml:space="preserve"> </w:t>
      </w:r>
      <w:r w:rsidRPr="00360FDF">
        <w:rPr>
          <w:rFonts w:ascii="Palatino Linotype" w:eastAsiaTheme="minorEastAsia" w:hAnsi="Palatino Linotype"/>
          <w:sz w:val="24"/>
          <w:szCs w:val="24"/>
          <w:lang w:val="es-ES_tradnl" w:eastAsia="es-ES"/>
        </w:rPr>
        <w:t xml:space="preserve">la presente resolución. </w:t>
      </w:r>
    </w:p>
    <w:p w14:paraId="35DA9F15" w14:textId="77777777" w:rsidR="00A26C04" w:rsidRPr="00360FDF" w:rsidRDefault="00A26C04" w:rsidP="00A26C04">
      <w:pPr>
        <w:shd w:val="clear" w:color="auto" w:fill="FFFFFF"/>
        <w:spacing w:after="0" w:line="360" w:lineRule="auto"/>
        <w:jc w:val="both"/>
        <w:rPr>
          <w:rFonts w:ascii="Palatino Linotype" w:eastAsiaTheme="minorEastAsia" w:hAnsi="Palatino Linotype"/>
          <w:sz w:val="24"/>
          <w:szCs w:val="24"/>
          <w:lang w:val="es-ES_tradnl" w:eastAsia="es-ES"/>
        </w:rPr>
      </w:pPr>
    </w:p>
    <w:p w14:paraId="1F15B668" w14:textId="77777777" w:rsidR="00A26C04" w:rsidRPr="00360FDF" w:rsidRDefault="00A26C04" w:rsidP="00A26C04">
      <w:pPr>
        <w:spacing w:after="0" w:line="360" w:lineRule="auto"/>
        <w:jc w:val="both"/>
        <w:rPr>
          <w:rFonts w:ascii="Palatino Linotype" w:eastAsia="MS Mincho" w:hAnsi="Palatino Linotype" w:cs="Times New Roman"/>
          <w:sz w:val="24"/>
          <w:szCs w:val="24"/>
          <w:lang w:val="es-ES" w:eastAsia="es-ES"/>
        </w:rPr>
      </w:pPr>
      <w:r w:rsidRPr="00360FDF">
        <w:rPr>
          <w:rFonts w:ascii="Palatino Linotype" w:eastAsia="MS Mincho" w:hAnsi="Palatino Linotype" w:cs="Times New Roman"/>
          <w:b/>
          <w:sz w:val="24"/>
          <w:szCs w:val="24"/>
          <w:lang w:eastAsia="es-ES"/>
        </w:rPr>
        <w:t>SEXTO.</w:t>
      </w:r>
      <w:r w:rsidRPr="00360FDF">
        <w:rPr>
          <w:rFonts w:ascii="Palatino Linotype" w:eastAsia="MS Mincho" w:hAnsi="Palatino Linotype" w:cs="Times New Roman"/>
          <w:sz w:val="24"/>
          <w:szCs w:val="24"/>
          <w:lang w:eastAsia="es-ES"/>
        </w:rPr>
        <w:t xml:space="preserve"> </w:t>
      </w:r>
      <w:r w:rsidRPr="00360FDF">
        <w:rPr>
          <w:rFonts w:ascii="Palatino Linotype" w:eastAsia="MS Mincho" w:hAnsi="Palatino Linotype" w:cs="Times New Roman"/>
          <w:sz w:val="24"/>
          <w:szCs w:val="24"/>
          <w:lang w:val="es-ES" w:eastAsia="es-ES"/>
        </w:rPr>
        <w:t>Se hace del conocimiento de</w:t>
      </w:r>
      <w:r w:rsidR="000559BA" w:rsidRPr="00360FDF">
        <w:rPr>
          <w:rFonts w:ascii="Palatino Linotype" w:eastAsia="MS Mincho" w:hAnsi="Palatino Linotype" w:cs="Times New Roman"/>
          <w:sz w:val="24"/>
          <w:szCs w:val="24"/>
          <w:lang w:val="es-ES" w:eastAsia="es-ES"/>
        </w:rPr>
        <w:t xml:space="preserve"> </w:t>
      </w:r>
      <w:r w:rsidR="00004AB5" w:rsidRPr="00004AB5">
        <w:rPr>
          <w:rFonts w:ascii="Palatino Linotype" w:eastAsia="MS Mincho" w:hAnsi="Palatino Linotype" w:cs="Times New Roman"/>
          <w:b/>
          <w:bCs/>
          <w:sz w:val="24"/>
          <w:szCs w:val="24"/>
          <w:highlight w:val="black"/>
          <w:lang w:val="es-ES" w:eastAsia="es-ES"/>
        </w:rPr>
        <w:t>------------------------------------------------</w:t>
      </w:r>
      <w:r w:rsidR="000559BA" w:rsidRPr="00360FDF">
        <w:rPr>
          <w:rFonts w:ascii="Palatino Linotype" w:eastAsia="MS Mincho" w:hAnsi="Palatino Linotype" w:cs="Times New Roman"/>
          <w:sz w:val="24"/>
          <w:szCs w:val="24"/>
          <w:lang w:val="es-ES" w:eastAsia="es-ES"/>
        </w:rPr>
        <w:t xml:space="preserve"> </w:t>
      </w:r>
      <w:r w:rsidRPr="00360FDF">
        <w:rPr>
          <w:rFonts w:ascii="Palatino Linotype" w:eastAsia="MS Mincho" w:hAnsi="Palatino Linotype" w:cs="Times New Roman"/>
          <w:sz w:val="24"/>
          <w:szCs w:val="24"/>
          <w:lang w:val="es-ES" w:eastAsia="es-ES"/>
        </w:rPr>
        <w:t>que,</w:t>
      </w:r>
      <w:r w:rsidRPr="00360FDF">
        <w:rPr>
          <w:rFonts w:ascii="Palatino Linotype" w:eastAsia="MS Mincho" w:hAnsi="Palatino Linotype" w:cs="Times New Roman"/>
          <w:color w:val="000000"/>
          <w:sz w:val="24"/>
          <w:szCs w:val="24"/>
          <w:lang w:val="es-ES_tradnl" w:eastAsia="es-ES"/>
        </w:rPr>
        <w:t xml:space="preserve"> de conformidad con lo establecido en el artículo 196 de la Ley de Transparencia y Acceso a la Información Pública del Estado de México y Municipios, y en lo dispuesto en los artículos 159 y 160 de la Ley General de Transparencia y Acceso a </w:t>
      </w:r>
      <w:r w:rsidRPr="00360FDF">
        <w:rPr>
          <w:rFonts w:ascii="Palatino Linotype" w:eastAsia="MS Mincho" w:hAnsi="Palatino Linotype" w:cs="Times New Roman"/>
          <w:color w:val="000000"/>
          <w:sz w:val="24"/>
          <w:szCs w:val="24"/>
          <w:lang w:val="es-ES_tradnl" w:eastAsia="es-ES"/>
        </w:rPr>
        <w:lastRenderedPageBreak/>
        <w:t>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1F037C17" w14:textId="77777777" w:rsidR="00A26C04" w:rsidRPr="00360FDF" w:rsidRDefault="00A26C04" w:rsidP="00A26C04">
      <w:pPr>
        <w:spacing w:after="0" w:line="360" w:lineRule="auto"/>
        <w:jc w:val="both"/>
        <w:rPr>
          <w:rFonts w:ascii="Palatino Linotype" w:eastAsia="MS Mincho" w:hAnsi="Palatino Linotype" w:cs="Times New Roman"/>
          <w:sz w:val="24"/>
          <w:szCs w:val="24"/>
          <w:lang w:val="es-ES" w:eastAsia="es-ES"/>
        </w:rPr>
      </w:pPr>
    </w:p>
    <w:p w14:paraId="63BC3CB2" w14:textId="77777777" w:rsidR="00A26C04" w:rsidRPr="00360FDF" w:rsidRDefault="00A26C04" w:rsidP="00A26C04">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360FDF">
        <w:rPr>
          <w:rFonts w:ascii="Palatino Linotype" w:eastAsia="Calibri" w:hAnsi="Palatino Linotype" w:cs="Times New Roman"/>
          <w:b/>
          <w:sz w:val="24"/>
          <w:szCs w:val="24"/>
        </w:rPr>
        <w:t>SÉPTIMO.</w:t>
      </w:r>
      <w:r w:rsidRPr="00360FDF">
        <w:rPr>
          <w:rFonts w:ascii="Palatino Linotype" w:eastAsia="MS Mincho" w:hAnsi="Palatino Linotype" w:cs="Times New Roman"/>
          <w:sz w:val="24"/>
          <w:szCs w:val="24"/>
          <w:lang w:val="es-ES_tradnl" w:eastAsia="es-ES"/>
        </w:rPr>
        <w:t xml:space="preserve"> </w:t>
      </w:r>
      <w:r w:rsidRPr="00360FDF">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Pr="00360FDF">
        <w:rPr>
          <w:rFonts w:ascii="Palatino Linotype" w:eastAsia="MS Mincho" w:hAnsi="Palatino Linotype" w:cs="Times New Roman"/>
          <w:b/>
          <w:bCs/>
          <w:sz w:val="24"/>
          <w:szCs w:val="24"/>
          <w:shd w:val="clear" w:color="auto" w:fill="FFFFFF"/>
          <w:lang w:val="es-ES_tradnl" w:eastAsia="es-ES"/>
        </w:rPr>
        <w:t>SUJETO OBLIGADO</w:t>
      </w:r>
      <w:r w:rsidRPr="00360FDF">
        <w:rPr>
          <w:rFonts w:ascii="Palatino Linotype" w:eastAsia="MS Mincho" w:hAnsi="Palatino Linotype" w:cs="Times New Roman"/>
          <w:sz w:val="24"/>
          <w:szCs w:val="24"/>
          <w:shd w:val="clear" w:color="auto" w:fill="FFFFFF"/>
          <w:lang w:val="es-ES_tradnl" w:eastAsia="es-ES"/>
        </w:rPr>
        <w:t> de que</w:t>
      </w:r>
      <w:r w:rsidRPr="00360FDF">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14:paraId="4771574C" w14:textId="77777777" w:rsidR="00A26C04" w:rsidRPr="00360FDF" w:rsidRDefault="00A26C04" w:rsidP="00A26C04">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p>
    <w:p w14:paraId="622EE842" w14:textId="77777777" w:rsidR="00A26C04" w:rsidRPr="00360FDF" w:rsidRDefault="00A26C04" w:rsidP="00A26C04">
      <w:pPr>
        <w:tabs>
          <w:tab w:val="left" w:pos="0"/>
        </w:tabs>
        <w:spacing w:after="0" w:line="360" w:lineRule="auto"/>
        <w:ind w:firstLine="1"/>
        <w:jc w:val="both"/>
        <w:rPr>
          <w:rFonts w:ascii="Palatino Linotype" w:eastAsia="Calibri" w:hAnsi="Palatino Linotype" w:cs="Times New Roman"/>
          <w:sz w:val="24"/>
          <w:szCs w:val="24"/>
        </w:rPr>
      </w:pPr>
      <w:r w:rsidRPr="00360FDF">
        <w:rPr>
          <w:rFonts w:ascii="Palatino Linotype" w:eastAsia="Calibri" w:hAnsi="Palatino Linotype" w:cs="Times New Roman"/>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360FDF">
        <w:rPr>
          <w:rFonts w:ascii="Palatino Linotype" w:eastAsia="Calibri" w:hAnsi="Palatino Linotype" w:cs="Times New Roman"/>
          <w:sz w:val="24"/>
          <w:szCs w:val="24"/>
        </w:rPr>
        <w:t xml:space="preserve">JOSÉ GUADALUPE LUNA HERNÁNDEZ, </w:t>
      </w:r>
      <w:r w:rsidRPr="00360FDF">
        <w:rPr>
          <w:rFonts w:ascii="Palatino Linotype" w:eastAsia="Calibri" w:hAnsi="Palatino Linotype" w:cs="Times New Roman"/>
          <w:sz w:val="24"/>
          <w:szCs w:val="24"/>
        </w:rPr>
        <w:t>JAVIER MARTÍNEZ CRUZ</w:t>
      </w:r>
      <w:r w:rsidR="00360FDF">
        <w:rPr>
          <w:rFonts w:ascii="Palatino Linotype" w:eastAsia="Calibri" w:hAnsi="Palatino Linotype" w:cs="Times New Roman"/>
          <w:sz w:val="24"/>
          <w:szCs w:val="24"/>
        </w:rPr>
        <w:t xml:space="preserve"> Y LUIS GUSTAVO PARRA NORIEGA </w:t>
      </w:r>
      <w:r w:rsidRPr="00360FDF">
        <w:rPr>
          <w:rFonts w:ascii="Palatino Linotype" w:eastAsia="Calibri" w:hAnsi="Palatino Linotype" w:cs="Times New Roman"/>
          <w:sz w:val="24"/>
          <w:szCs w:val="24"/>
        </w:rPr>
        <w:t xml:space="preserve">EN LA </w:t>
      </w:r>
      <w:r w:rsidR="00360FDF">
        <w:rPr>
          <w:rFonts w:ascii="Palatino Linotype" w:eastAsia="Calibri" w:hAnsi="Palatino Linotype" w:cs="Times New Roman"/>
          <w:sz w:val="24"/>
          <w:szCs w:val="24"/>
        </w:rPr>
        <w:t>DÉCIMA</w:t>
      </w:r>
      <w:r w:rsidRPr="00360FDF">
        <w:rPr>
          <w:rFonts w:ascii="Palatino Linotype" w:eastAsia="Calibri" w:hAnsi="Palatino Linotype" w:cs="Times New Roman"/>
          <w:sz w:val="24"/>
          <w:szCs w:val="24"/>
        </w:rPr>
        <w:t xml:space="preserve"> </w:t>
      </w:r>
      <w:r w:rsidR="00360FDF">
        <w:rPr>
          <w:rFonts w:ascii="Palatino Linotype" w:eastAsia="Calibri" w:hAnsi="Palatino Linotype" w:cs="Times New Roman"/>
          <w:sz w:val="24"/>
          <w:szCs w:val="24"/>
        </w:rPr>
        <w:t>OCTAVA</w:t>
      </w:r>
      <w:r w:rsidRPr="00360FDF">
        <w:rPr>
          <w:rFonts w:ascii="Palatino Linotype" w:eastAsia="Calibri" w:hAnsi="Palatino Linotype" w:cs="Times New Roman"/>
          <w:sz w:val="24"/>
          <w:szCs w:val="24"/>
        </w:rPr>
        <w:t xml:space="preserve"> SESIÓN ORDINARIA CELEBRADA EL DÍA </w:t>
      </w:r>
      <w:proofErr w:type="gramStart"/>
      <w:r w:rsidR="00360FDF">
        <w:rPr>
          <w:rFonts w:ascii="Palatino Linotype" w:eastAsia="Calibri" w:hAnsi="Palatino Linotype" w:cs="Times New Roman"/>
          <w:sz w:val="24"/>
          <w:szCs w:val="24"/>
        </w:rPr>
        <w:t xml:space="preserve">VEINTISÉIS </w:t>
      </w:r>
      <w:r w:rsidRPr="00360FDF">
        <w:rPr>
          <w:rFonts w:ascii="Palatino Linotype" w:eastAsia="Calibri" w:hAnsi="Palatino Linotype" w:cs="Times New Roman"/>
          <w:sz w:val="24"/>
          <w:szCs w:val="24"/>
        </w:rPr>
        <w:t xml:space="preserve"> DE</w:t>
      </w:r>
      <w:proofErr w:type="gramEnd"/>
      <w:r w:rsidRPr="00360FDF">
        <w:rPr>
          <w:rFonts w:ascii="Palatino Linotype" w:eastAsia="Calibri" w:hAnsi="Palatino Linotype" w:cs="Times New Roman"/>
          <w:sz w:val="24"/>
          <w:szCs w:val="24"/>
        </w:rPr>
        <w:t xml:space="preserve"> </w:t>
      </w:r>
      <w:r w:rsidR="00360FDF">
        <w:rPr>
          <w:rFonts w:ascii="Palatino Linotype" w:eastAsia="Calibri" w:hAnsi="Palatino Linotype" w:cs="Times New Roman"/>
          <w:sz w:val="24"/>
          <w:szCs w:val="24"/>
        </w:rPr>
        <w:t>MAYO</w:t>
      </w:r>
      <w:r w:rsidRPr="00360FDF">
        <w:rPr>
          <w:rFonts w:ascii="Palatino Linotype" w:eastAsia="Calibri" w:hAnsi="Palatino Linotype" w:cs="Times New Roman"/>
          <w:sz w:val="24"/>
          <w:szCs w:val="24"/>
        </w:rPr>
        <w:t xml:space="preserve"> DE DOS MIL VEINTIUNO, ANTE EL SECRETARIO TÉCNICO DEL PLENO, ALEXIS TAPIA RAMÍREZ.</w:t>
      </w:r>
    </w:p>
    <w:p w14:paraId="3C910A29" w14:textId="77777777" w:rsidR="00A26C04" w:rsidRPr="00A26C04" w:rsidRDefault="00A26C04" w:rsidP="00A26C04">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p>
    <w:p w14:paraId="233FAD19" w14:textId="77777777" w:rsidR="00A26C04" w:rsidRPr="0093087C" w:rsidRDefault="00A26C04" w:rsidP="00763700">
      <w:pPr>
        <w:spacing w:line="360" w:lineRule="auto"/>
        <w:contextualSpacing/>
        <w:jc w:val="both"/>
        <w:rPr>
          <w:rFonts w:ascii="Palatino Linotype" w:eastAsia="Times New Roman" w:hAnsi="Palatino Linotype" w:cs="Arial"/>
          <w:sz w:val="24"/>
          <w:szCs w:val="24"/>
          <w:lang w:val="es-ES"/>
        </w:rPr>
      </w:pPr>
    </w:p>
    <w:sectPr w:rsidR="00A26C04" w:rsidRPr="0093087C" w:rsidSect="002A0ECB">
      <w:headerReference w:type="even" r:id="rId11"/>
      <w:headerReference w:type="default" r:id="rId12"/>
      <w:footerReference w:type="default" r:id="rId13"/>
      <w:headerReference w:type="first" r:id="rId14"/>
      <w:footerReference w:type="first" r:id="rId15"/>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CD524" w14:textId="77777777" w:rsidR="00F226B5" w:rsidRDefault="00F226B5" w:rsidP="00792776">
      <w:pPr>
        <w:spacing w:after="0" w:line="240" w:lineRule="auto"/>
      </w:pPr>
      <w:r>
        <w:separator/>
      </w:r>
    </w:p>
  </w:endnote>
  <w:endnote w:type="continuationSeparator" w:id="0">
    <w:p w14:paraId="19611ACA" w14:textId="77777777" w:rsidR="00F226B5" w:rsidRDefault="00F226B5"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3E8F854A" w14:textId="77777777" w:rsidR="004029FB" w:rsidRPr="00883450" w:rsidRDefault="004029FB"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60FDF">
              <w:rPr>
                <w:rFonts w:ascii="Palatino Linotype" w:hAnsi="Palatino Linotype"/>
                <w:b/>
                <w:bCs/>
                <w:noProof/>
                <w:szCs w:val="20"/>
              </w:rPr>
              <w:t>96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60FDF">
              <w:rPr>
                <w:rFonts w:ascii="Palatino Linotype" w:hAnsi="Palatino Linotype"/>
                <w:b/>
                <w:bCs/>
                <w:noProof/>
                <w:szCs w:val="20"/>
              </w:rPr>
              <w:t>96</w:t>
            </w:r>
            <w:r w:rsidRPr="00883450">
              <w:rPr>
                <w:rFonts w:ascii="Palatino Linotype" w:hAnsi="Palatino Linotype"/>
                <w:b/>
                <w:bCs/>
                <w:szCs w:val="20"/>
              </w:rPr>
              <w:fldChar w:fldCharType="end"/>
            </w:r>
          </w:p>
        </w:sdtContent>
      </w:sdt>
    </w:sdtContent>
  </w:sdt>
  <w:p w14:paraId="22F94519" w14:textId="77777777" w:rsidR="004029FB" w:rsidRDefault="004029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5B00" w14:textId="77777777" w:rsidR="004029FB" w:rsidRPr="00883450" w:rsidRDefault="004029FB"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60FDF" w:rsidRPr="00360FD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60FDF" w:rsidRPr="00360FDF">
      <w:rPr>
        <w:rFonts w:ascii="Palatino Linotype" w:hAnsi="Palatino Linotype"/>
        <w:noProof/>
        <w:lang w:val="es-ES"/>
      </w:rPr>
      <w:t>97</w:t>
    </w:r>
    <w:r w:rsidRPr="00883450">
      <w:rPr>
        <w:rFonts w:ascii="Palatino Linotype" w:hAnsi="Palatino Linotype"/>
      </w:rPr>
      <w:fldChar w:fldCharType="end"/>
    </w:r>
  </w:p>
  <w:p w14:paraId="2B060191" w14:textId="77777777" w:rsidR="004029FB" w:rsidRPr="00883450" w:rsidRDefault="004029FB">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F0BB" w14:textId="77777777" w:rsidR="00F226B5" w:rsidRDefault="00F226B5" w:rsidP="00792776">
      <w:pPr>
        <w:spacing w:after="0" w:line="240" w:lineRule="auto"/>
      </w:pPr>
      <w:r>
        <w:separator/>
      </w:r>
    </w:p>
  </w:footnote>
  <w:footnote w:type="continuationSeparator" w:id="0">
    <w:p w14:paraId="5EFEF29D" w14:textId="77777777" w:rsidR="00F226B5" w:rsidRDefault="00F226B5" w:rsidP="00792776">
      <w:pPr>
        <w:spacing w:after="0" w:line="240" w:lineRule="auto"/>
      </w:pPr>
      <w:r>
        <w:continuationSeparator/>
      </w:r>
    </w:p>
  </w:footnote>
  <w:footnote w:id="1">
    <w:p w14:paraId="69742ADC" w14:textId="77777777" w:rsidR="004029FB" w:rsidRDefault="004029FB" w:rsidP="00A26C04">
      <w:pPr>
        <w:pStyle w:val="Textonotapie"/>
        <w:jc w:val="both"/>
      </w:pPr>
      <w:r>
        <w:rPr>
          <w:rStyle w:val="Refdenotaalpie"/>
        </w:rPr>
        <w:footnoteRef/>
      </w:r>
      <w:r>
        <w:t xml:space="preserve"> Artículo 53.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p>
    <w:p w14:paraId="289D1C9B" w14:textId="77777777" w:rsidR="004029FB" w:rsidRDefault="004029FB" w:rsidP="00A26C04">
      <w:pPr>
        <w:pStyle w:val="Textonotapie"/>
        <w:jc w:val="both"/>
      </w:pPr>
      <w:r>
        <w:t xml:space="preserve"> Los registros de las sanciones relativas a responsabilidades administrativas no graves, quedarán registradas para efectos de eventual reincidencia, pero no serán públicas.</w:t>
      </w:r>
    </w:p>
  </w:footnote>
  <w:footnote w:id="2">
    <w:p w14:paraId="2E5F2241" w14:textId="77777777" w:rsidR="004029FB" w:rsidRPr="00ED2A04" w:rsidRDefault="004029FB" w:rsidP="00A26C04">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3">
    <w:p w14:paraId="12B1D715" w14:textId="77777777" w:rsidR="004029FB" w:rsidRPr="00ED2A04" w:rsidRDefault="004029FB" w:rsidP="00A26C04">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4">
    <w:p w14:paraId="4B94EE56" w14:textId="77777777" w:rsidR="004029FB" w:rsidRPr="000406A4" w:rsidRDefault="004029FB" w:rsidP="00A26C04">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5">
    <w:p w14:paraId="2B882B71" w14:textId="77777777" w:rsidR="004029FB" w:rsidRPr="000406A4" w:rsidRDefault="004029FB" w:rsidP="00A26C04">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6">
    <w:p w14:paraId="21F74B7F" w14:textId="77777777" w:rsidR="004029FB" w:rsidRPr="000406A4" w:rsidRDefault="004029FB" w:rsidP="00A26C04">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7">
    <w:p w14:paraId="2717F884" w14:textId="77777777" w:rsidR="004029FB" w:rsidRPr="000406A4" w:rsidRDefault="004029FB" w:rsidP="00A26C04">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8">
    <w:p w14:paraId="5DA5AE54" w14:textId="77777777" w:rsidR="004029FB" w:rsidRPr="000406A4" w:rsidRDefault="004029FB" w:rsidP="00A26C04">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9">
    <w:p w14:paraId="381DA635" w14:textId="77777777" w:rsidR="004029FB" w:rsidRPr="00F02432" w:rsidRDefault="004029FB" w:rsidP="00A26C04">
      <w:pPr>
        <w:jc w:val="both"/>
        <w:rPr>
          <w:rFonts w:eastAsia="Times New Roman"/>
          <w:color w:val="000000"/>
          <w:sz w:val="20"/>
          <w:szCs w:val="20"/>
          <w:lang w:eastAsia="es-ES_tradnl"/>
        </w:rPr>
      </w:pPr>
      <w:r>
        <w:rPr>
          <w:rStyle w:val="Refdenotaalpie"/>
        </w:rPr>
        <w:footnoteRef/>
      </w:r>
      <w:r>
        <w:t xml:space="preserve"> </w:t>
      </w:r>
      <w:r>
        <w:rPr>
          <w:lang w:val="es-ES"/>
        </w:rPr>
        <w:t>“</w:t>
      </w:r>
      <w:r w:rsidRPr="00F02432">
        <w:rPr>
          <w:rFonts w:eastAsia="Times New Roman"/>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0">
    <w:p w14:paraId="647E02FD" w14:textId="77777777" w:rsidR="004029FB" w:rsidRPr="00A4142C" w:rsidRDefault="004029FB" w:rsidP="00A26C04">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11">
    <w:p w14:paraId="5145858A" w14:textId="77777777" w:rsidR="004029FB" w:rsidRPr="003C2A2C" w:rsidRDefault="004029FB" w:rsidP="00A26C04">
      <w:pPr>
        <w:jc w:val="both"/>
        <w:rPr>
          <w:rFonts w:ascii="Palatino Linotype" w:eastAsia="Times New Roman" w:hAnsi="Palatino Linotype" w:cs="Times New Roman"/>
          <w:b/>
          <w:bCs/>
          <w:color w:val="000000"/>
          <w:sz w:val="20"/>
          <w:szCs w:val="20"/>
          <w:lang w:eastAsia="es-ES_tradnl"/>
        </w:rPr>
      </w:pPr>
      <w:r>
        <w:rPr>
          <w:rStyle w:val="Refdenotaalpie"/>
        </w:rPr>
        <w:footnoteRef/>
      </w:r>
      <w:r>
        <w:t xml:space="preserve"> </w:t>
      </w:r>
      <w:r w:rsidRPr="003C2A2C">
        <w:rPr>
          <w:rFonts w:ascii="Palatino Linotype" w:eastAsia="Times New Roman" w:hAnsi="Palatino Linotype" w:cs="Times New Roman"/>
          <w:b/>
          <w:bCs/>
          <w:color w:val="000000"/>
          <w:sz w:val="20"/>
          <w:szCs w:val="20"/>
          <w:lang w:eastAsia="es-ES_tradnl"/>
        </w:rPr>
        <w:t xml:space="preserve">TEST DE PROPORCIONALIDAD. METODOLOGÍA PARA ANALIZAR MEDIDAS LEGISLATIVAS QUE INTERVENGAN CON UN DERECHO FUNDAMENTAL. </w:t>
      </w:r>
      <w:r w:rsidRPr="003C2A2C">
        <w:rPr>
          <w:rFonts w:ascii="Palatino Linotype" w:eastAsia="Times New Roman" w:hAnsi="Palatino Linotype" w:cs="Times New Roman"/>
          <w:color w:val="000000"/>
          <w:sz w:val="20"/>
          <w:szCs w:val="20"/>
          <w:lang w:eastAsia="es-ES_tradnl"/>
        </w:rPr>
        <w:t xml:space="preserve">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la declaración de que la medida legislativa impugnada es constitucional. En cambio, si la conclusión es positiva, debe pasarse a otro nivel de análisis. En esta segunda fase, debe examinarse si en el caso concreto existe una justificación 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límites encierran una colisión que debe resolverse con ayuda de un método específico </w:t>
      </w:r>
      <w:r w:rsidRPr="003604AC">
        <w:rPr>
          <w:rFonts w:ascii="Palatino Linotype" w:eastAsia="Times New Roman" w:hAnsi="Palatino Linotype" w:cs="Times New Roman"/>
          <w:color w:val="000000"/>
          <w:sz w:val="20"/>
          <w:szCs w:val="20"/>
          <w:lang w:eastAsia="es-ES_tradnl"/>
        </w:rPr>
        <w:t>denominado</w:t>
      </w:r>
      <w:r>
        <w:rPr>
          <w:rFonts w:ascii="Palatino Linotype" w:eastAsia="Times New Roman" w:hAnsi="Palatino Linotype" w:cs="Times New Roman"/>
          <w:color w:val="000000"/>
          <w:sz w:val="20"/>
          <w:szCs w:val="20"/>
          <w:lang w:eastAsia="es-ES_tradnl"/>
        </w:rPr>
        <w:t xml:space="preserve"> </w:t>
      </w:r>
      <w:r>
        <w:rPr>
          <w:rFonts w:ascii="Palatino Linotype" w:eastAsia="Times New Roman" w:hAnsi="Palatino Linotype" w:cs="Times New Roman"/>
          <w:b/>
          <w:bCs/>
          <w:color w:val="000000"/>
          <w:sz w:val="20"/>
          <w:szCs w:val="20"/>
          <w:lang w:eastAsia="es-ES_tradnl"/>
        </w:rPr>
        <w:t>test de proporcionalidad</w:t>
      </w:r>
      <w:r>
        <w:rPr>
          <w:rFonts w:ascii="Palatino Linotype" w:eastAsia="Times New Roman" w:hAnsi="Palatino Linotype" w:cs="Times New Roman"/>
          <w:color w:val="000000"/>
          <w:sz w:val="20"/>
          <w:szCs w:val="20"/>
          <w:lang w:eastAsia="es-ES_tradnl"/>
        </w:rPr>
        <w:t>.</w:t>
      </w:r>
      <w:r w:rsidRPr="003604AC">
        <w:rPr>
          <w:rFonts w:ascii="Palatino Linotype" w:eastAsia="Times New Roman" w:hAnsi="Palatino Linotype" w:cs="Times New Roman"/>
          <w:color w:val="000000"/>
          <w:sz w:val="20"/>
          <w:szCs w:val="20"/>
          <w:lang w:eastAsia="es-ES_tradnl"/>
        </w:rPr>
        <w:t>En este orden de ideas, para que las intervenciones que se realizan a algún derecho fundamental sean constitucionales debe corroborarse lo siguiente: (i)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 En este contexto, si la medida legislativa no supera el</w:t>
      </w:r>
      <w:r>
        <w:rPr>
          <w:rFonts w:ascii="Palatino Linotype" w:eastAsia="Times New Roman" w:hAnsi="Palatino Linotype" w:cs="Times New Roman"/>
          <w:color w:val="000000"/>
          <w:sz w:val="20"/>
          <w:szCs w:val="20"/>
          <w:lang w:eastAsia="es-ES_tradnl"/>
        </w:rPr>
        <w:t xml:space="preserve"> </w:t>
      </w:r>
      <w:r>
        <w:rPr>
          <w:rFonts w:ascii="Palatino Linotype" w:eastAsia="Times New Roman" w:hAnsi="Palatino Linotype" w:cs="Times New Roman"/>
          <w:b/>
          <w:bCs/>
          <w:color w:val="000000"/>
          <w:sz w:val="20"/>
          <w:szCs w:val="20"/>
          <w:lang w:eastAsia="es-ES_tradnl"/>
        </w:rPr>
        <w:t>test de proporcionalidad,</w:t>
      </w:r>
      <w:r>
        <w:rPr>
          <w:rFonts w:ascii="Palatino Linotype" w:eastAsia="Times New Roman" w:hAnsi="Palatino Linotype" w:cs="Times New Roman"/>
          <w:color w:val="000000"/>
          <w:sz w:val="20"/>
          <w:szCs w:val="20"/>
          <w:lang w:eastAsia="es-ES_tradnl"/>
        </w:rPr>
        <w:t xml:space="preserve"> </w:t>
      </w:r>
      <w:r w:rsidRPr="003604AC">
        <w:rPr>
          <w:rFonts w:ascii="Palatino Linotype" w:eastAsia="Times New Roman" w:hAnsi="Palatino Linotype" w:cs="Times New Roman"/>
          <w:color w:val="000000"/>
          <w:sz w:val="20"/>
          <w:szCs w:val="20"/>
          <w:lang w:eastAsia="es-ES_tradnl"/>
        </w:rPr>
        <w:t xml:space="preserve">el derecho fundamental preservará su contenido inicial o prima facie. En cambio, si la ley que limita al derecho se encuentra justificada a la luz </w:t>
      </w:r>
      <w:r>
        <w:rPr>
          <w:rFonts w:ascii="Palatino Linotype" w:eastAsia="Times New Roman" w:hAnsi="Palatino Linotype" w:cs="Times New Roman"/>
          <w:color w:val="000000"/>
          <w:sz w:val="20"/>
          <w:szCs w:val="20"/>
          <w:lang w:eastAsia="es-ES_tradnl"/>
        </w:rPr>
        <w:t xml:space="preserve">del </w:t>
      </w:r>
      <w:r>
        <w:rPr>
          <w:rFonts w:ascii="Palatino Linotype" w:eastAsia="Times New Roman" w:hAnsi="Palatino Linotype" w:cs="Times New Roman"/>
          <w:b/>
          <w:bCs/>
          <w:color w:val="000000"/>
          <w:sz w:val="20"/>
          <w:szCs w:val="20"/>
          <w:lang w:eastAsia="es-ES_tradnl"/>
        </w:rPr>
        <w:t>test de proporcionalidad,</w:t>
      </w:r>
      <w:r w:rsidRPr="003604AC">
        <w:rPr>
          <w:rFonts w:ascii="Palatino Linotype" w:eastAsia="Times New Roman" w:hAnsi="Palatino Linotype" w:cs="Times New Roman"/>
          <w:color w:val="000000"/>
          <w:sz w:val="20"/>
          <w:szCs w:val="20"/>
          <w:lang w:eastAsia="es-ES_tradnl"/>
        </w:rPr>
        <w:t xml:space="preserve"> contenido definitivo o resultante del derecho será más reducido que el contenido inicial del mismo.</w:t>
      </w:r>
      <w:r w:rsidRPr="003C2A2C">
        <w:rPr>
          <w:rFonts w:ascii="Palatino Linotype" w:eastAsia="Times New Roman" w:hAnsi="Palatino Linotype" w:cs="Times New Roman"/>
          <w:color w:val="000000"/>
          <w:sz w:val="20"/>
          <w:szCs w:val="20"/>
          <w:lang w:eastAsia="es-ES_tradnl"/>
        </w:rPr>
        <w:t xml:space="preserve"> (TA) Tesis: 1a. CCLXV/2016 (10a.)</w:t>
      </w:r>
      <w:r w:rsidRPr="003C2A2C">
        <w:rPr>
          <w:rFonts w:ascii="Palatino Linotype" w:hAnsi="Palatino Linotype" w:cs="Verdana"/>
          <w:color w:val="343434"/>
          <w:sz w:val="20"/>
          <w:szCs w:val="20"/>
        </w:rPr>
        <w:t xml:space="preserve"> </w:t>
      </w:r>
      <w:r w:rsidRPr="003C2A2C">
        <w:rPr>
          <w:rFonts w:ascii="Palatino Linotype" w:eastAsia="Times New Roman" w:hAnsi="Palatino Linotype" w:cs="Times New Roman"/>
          <w:color w:val="000000"/>
          <w:sz w:val="20"/>
          <w:szCs w:val="20"/>
          <w:lang w:eastAsia="es-ES_tradnl"/>
        </w:rPr>
        <w:t xml:space="preserve">Primera Sala de la SCJN. Semanario Judicial de la Federación y su Gaceta, Novena Época, </w:t>
      </w:r>
      <w:r w:rsidRPr="003C2A2C">
        <w:rPr>
          <w:rFonts w:ascii="Palatino Linotype" w:hAnsi="Palatino Linotype" w:cs="Verdana"/>
          <w:color w:val="343434"/>
          <w:sz w:val="20"/>
          <w:szCs w:val="20"/>
        </w:rPr>
        <w:t>Libro 36, Noviembre de 2016, Tomo II,</w:t>
      </w:r>
      <w:r w:rsidRPr="003C2A2C">
        <w:rPr>
          <w:rFonts w:ascii="Palatino Linotype" w:eastAsia="Times New Roman" w:hAnsi="Palatino Linotype" w:cs="Times New Roman"/>
          <w:color w:val="000000"/>
          <w:sz w:val="20"/>
          <w:szCs w:val="20"/>
          <w:lang w:eastAsia="es-ES_tradnl"/>
        </w:rPr>
        <w:t xml:space="preserve"> pág. 902.</w:t>
      </w:r>
    </w:p>
  </w:footnote>
  <w:footnote w:id="12">
    <w:p w14:paraId="7320F2F8" w14:textId="77777777" w:rsidR="004029FB" w:rsidRPr="00F02432" w:rsidRDefault="004029FB" w:rsidP="00A26C04">
      <w:pPr>
        <w:widowControl w:val="0"/>
        <w:autoSpaceDE w:val="0"/>
        <w:autoSpaceDN w:val="0"/>
        <w:adjustRightInd w:val="0"/>
        <w:jc w:val="both"/>
        <w:rPr>
          <w:rFonts w:ascii="Palatino Linotype" w:hAnsi="Palatino Linotype" w:cs="Arial"/>
          <w:b/>
          <w:bCs/>
          <w:color w:val="000000"/>
          <w:sz w:val="20"/>
          <w:szCs w:val="20"/>
        </w:rPr>
      </w:pPr>
      <w:r>
        <w:rPr>
          <w:rStyle w:val="Refdenotaalpie"/>
        </w:rPr>
        <w:footnoteRef/>
      </w:r>
      <w:r>
        <w:t xml:space="preserve"> </w:t>
      </w:r>
      <w:r w:rsidRPr="00F02432">
        <w:rPr>
          <w:rFonts w:ascii="Palatino Linotype" w:hAnsi="Palatino Linotype" w:cs="Arial"/>
          <w:b/>
          <w:bCs/>
          <w:color w:val="000000"/>
          <w:sz w:val="20"/>
          <w:szCs w:val="20"/>
        </w:rPr>
        <w:t xml:space="preserve">TERCERA ETAPA DEL TEST DE PROPORCIONALIDAD. EXAMEN DE LA NECESIDAD DE LA MEDIDA LEGISLATIVA. </w:t>
      </w:r>
      <w:r w:rsidRPr="00F02432">
        <w:rPr>
          <w:rFonts w:ascii="Palatino Linotype" w:hAnsi="Palatino Linotype" w:cs="Arial"/>
          <w:color w:val="000000"/>
          <w:sz w:val="20"/>
          <w:szCs w:val="20"/>
        </w:rPr>
        <w:t xml:space="preserve">Para que resulten constitucionales las intervenciones que se realicen a algún derecho fundamental, éstas deben superar un </w:t>
      </w:r>
      <w:r w:rsidRPr="00F02432">
        <w:rPr>
          <w:rFonts w:ascii="Palatino Linotype" w:hAnsi="Palatino Linotype" w:cs="Arial"/>
          <w:b/>
          <w:bCs/>
          <w:color w:val="000000"/>
          <w:sz w:val="20"/>
          <w:szCs w:val="20"/>
        </w:rPr>
        <w:t>test de proporcionalidad</w:t>
      </w:r>
      <w:r w:rsidRPr="00F02432">
        <w:rPr>
          <w:rFonts w:ascii="Palatino Linotype" w:hAnsi="Palatino Linotype" w:cs="Arial"/>
          <w:color w:val="000000"/>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el examen de necesidad implica corroborar, en primer lugar, si existen otros medios igualmente idóneos para lograr los fines que se persiguen y, en segundo lugar, determinar si estas alternativas intervienen con menor intensidad el derecho fundamental afectado.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ponderando aquellas medidas que el legislador consideró adecuadas para situaciones similares, o bien las alternativas que en el derecho comparado se han diseñado para regular el mismo fenómeno.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 </w:t>
      </w:r>
      <w:r w:rsidRPr="00F02432">
        <w:rPr>
          <w:rFonts w:ascii="Palatino Linotype" w:hAnsi="Palatino Linotype" w:cs="Arial"/>
          <w:b/>
          <w:bCs/>
          <w:color w:val="000000"/>
          <w:sz w:val="20"/>
          <w:szCs w:val="20"/>
        </w:rPr>
        <w:t>(TA)</w:t>
      </w:r>
      <w:r w:rsidRPr="00F02432">
        <w:rPr>
          <w:rFonts w:ascii="Palatino Linotype" w:hAnsi="Palatino Linotype" w:cs="Arial"/>
          <w:color w:val="000000"/>
          <w:sz w:val="20"/>
          <w:szCs w:val="20"/>
        </w:rPr>
        <w:t xml:space="preserve"> Tesis: 1a. CCLXX/2016 (10a.), Primera Sala de la SCJN, Décima Época, Gaceta del Semanario Judicial de la Federación Libro 36, Noviembre de 2016, Tomo II Pag. 914.</w:t>
      </w:r>
    </w:p>
  </w:footnote>
  <w:footnote w:id="13">
    <w:p w14:paraId="52160D41" w14:textId="77777777" w:rsidR="004029FB" w:rsidRDefault="004029FB" w:rsidP="00A26C04">
      <w:pPr>
        <w:pStyle w:val="Textonotapie"/>
        <w:jc w:val="both"/>
      </w:pPr>
      <w:r>
        <w:rPr>
          <w:rStyle w:val="Refdenotaalpie"/>
        </w:rPr>
        <w:footnoteRef/>
      </w:r>
      <w:r>
        <w:t xml:space="preserve"> 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Para el caso de la interpretación se podrá tomar en cuenta los criterios, determinaciones y opiniones de los organismos nacionales e internacionales, en materia de transparencia y el derecho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3C13" w14:textId="77777777" w:rsidR="00360FDF" w:rsidRDefault="00210BC7">
    <w:pPr>
      <w:pStyle w:val="Encabezado"/>
    </w:pPr>
    <w:r>
      <w:rPr>
        <w:noProof/>
        <w:lang w:eastAsia="es-MX"/>
      </w:rPr>
      <w:pict w14:anchorId="770D8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11456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CA3A" w14:textId="77777777" w:rsidR="004029FB" w:rsidRDefault="00210BC7">
    <w:pPr>
      <w:pStyle w:val="Encabezado"/>
    </w:pPr>
    <w:r>
      <w:rPr>
        <w:noProof/>
        <w:lang w:eastAsia="es-MX"/>
      </w:rPr>
      <w:pict w14:anchorId="5DD7D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114564" o:spid="_x0000_s2051" type="#_x0000_t75" style="position:absolute;margin-left:-84.65pt;margin-top:-137.9pt;width:609.4pt;height:793.75pt;z-index:-251656192;mso-position-horizontal-relative:margin;mso-position-vertical-relative:margin" o:allowincell="f">
          <v:imagedata r:id="rId1" o:title="resolución"/>
          <w10:wrap anchorx="margin" anchory="margin"/>
        </v:shape>
      </w:pict>
    </w:r>
  </w:p>
  <w:p w14:paraId="576C0496" w14:textId="77777777" w:rsidR="004029FB" w:rsidRDefault="004029FB" w:rsidP="009A4582">
    <w:pPr>
      <w:pStyle w:val="Encabezado"/>
      <w:tabs>
        <w:tab w:val="clear" w:pos="4419"/>
        <w:tab w:val="clear" w:pos="8838"/>
        <w:tab w:val="left" w:pos="7283"/>
      </w:tabs>
    </w:pPr>
    <w:r>
      <w:tab/>
    </w:r>
  </w:p>
  <w:tbl>
    <w:tblPr>
      <w:tblStyle w:val="Tablaconcuadrcula"/>
      <w:tblW w:w="7087"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36"/>
    </w:tblGrid>
    <w:tr w:rsidR="004029FB" w:rsidRPr="00EF13C1" w14:paraId="0CE34E1F" w14:textId="77777777" w:rsidTr="00B87E17">
      <w:trPr>
        <w:trHeight w:val="138"/>
      </w:trPr>
      <w:tc>
        <w:tcPr>
          <w:tcW w:w="2551" w:type="dxa"/>
          <w:vAlign w:val="center"/>
        </w:tcPr>
        <w:p w14:paraId="65F8CF86" w14:textId="77777777" w:rsidR="004029FB" w:rsidRPr="00EF13C1" w:rsidRDefault="004029FB" w:rsidP="009A4582">
          <w:pPr>
            <w:rPr>
              <w:rFonts w:ascii="Palatino Linotype" w:hAnsi="Palatino Linotype"/>
              <w:b/>
            </w:rPr>
          </w:pPr>
          <w:r w:rsidRPr="00EF13C1">
            <w:rPr>
              <w:rFonts w:ascii="Palatino Linotype" w:hAnsi="Palatino Linotype"/>
              <w:b/>
            </w:rPr>
            <w:t>Recurso de revisión:</w:t>
          </w:r>
        </w:p>
      </w:tc>
      <w:tc>
        <w:tcPr>
          <w:tcW w:w="4536" w:type="dxa"/>
          <w:vAlign w:val="center"/>
        </w:tcPr>
        <w:p w14:paraId="153E2A23" w14:textId="77777777" w:rsidR="004029FB" w:rsidRPr="00EF13C1" w:rsidRDefault="004029FB" w:rsidP="00D53B25">
          <w:pPr>
            <w:pStyle w:val="Encabezado"/>
            <w:rPr>
              <w:rFonts w:ascii="Palatino Linotype" w:hAnsi="Palatino Linotype"/>
              <w:b/>
            </w:rPr>
          </w:pPr>
          <w:r>
            <w:rPr>
              <w:rFonts w:ascii="Palatino Linotype" w:hAnsi="Palatino Linotype" w:cs="Arial"/>
              <w:b/>
              <w:bCs/>
              <w:lang w:eastAsia="es-MX"/>
            </w:rPr>
            <w:t xml:space="preserve">01273/INFOEM/IP/RR/2021 </w:t>
          </w:r>
        </w:p>
      </w:tc>
    </w:tr>
    <w:tr w:rsidR="004029FB" w:rsidRPr="00EF13C1" w14:paraId="5CEAEEB7" w14:textId="77777777" w:rsidTr="00B87E17">
      <w:trPr>
        <w:trHeight w:val="321"/>
      </w:trPr>
      <w:tc>
        <w:tcPr>
          <w:tcW w:w="2551" w:type="dxa"/>
          <w:vAlign w:val="center"/>
        </w:tcPr>
        <w:p w14:paraId="0738A0BB" w14:textId="77777777" w:rsidR="004029FB" w:rsidRPr="00EF13C1" w:rsidRDefault="004029FB" w:rsidP="009A4582">
          <w:pPr>
            <w:rPr>
              <w:rFonts w:ascii="Palatino Linotype" w:hAnsi="Palatino Linotype"/>
              <w:b/>
            </w:rPr>
          </w:pPr>
          <w:r w:rsidRPr="00EF13C1">
            <w:rPr>
              <w:rFonts w:ascii="Palatino Linotype" w:hAnsi="Palatino Linotype"/>
              <w:b/>
            </w:rPr>
            <w:t>Sujeto obligado:</w:t>
          </w:r>
        </w:p>
      </w:tc>
      <w:tc>
        <w:tcPr>
          <w:tcW w:w="4536" w:type="dxa"/>
          <w:vAlign w:val="center"/>
        </w:tcPr>
        <w:p w14:paraId="227AD285" w14:textId="77777777" w:rsidR="004029FB" w:rsidRPr="00EF13C1" w:rsidRDefault="004029FB" w:rsidP="00EE377F">
          <w:pPr>
            <w:pStyle w:val="Encabezado"/>
            <w:rPr>
              <w:rFonts w:ascii="Palatino Linotype" w:hAnsi="Palatino Linotype"/>
              <w:b/>
            </w:rPr>
          </w:pPr>
          <w:r>
            <w:rPr>
              <w:rFonts w:ascii="Palatino Linotype" w:hAnsi="Palatino Linotype"/>
              <w:b/>
            </w:rPr>
            <w:t xml:space="preserve">Instituto de Salud del Estado de México </w:t>
          </w:r>
        </w:p>
      </w:tc>
    </w:tr>
    <w:tr w:rsidR="004029FB" w:rsidRPr="00EF13C1" w14:paraId="6A8BAFFE" w14:textId="77777777" w:rsidTr="00B87E17">
      <w:trPr>
        <w:gridBefore w:val="1"/>
        <w:wBefore w:w="2551" w:type="dxa"/>
        <w:trHeight w:val="321"/>
      </w:trPr>
      <w:tc>
        <w:tcPr>
          <w:tcW w:w="4536" w:type="dxa"/>
          <w:vAlign w:val="center"/>
        </w:tcPr>
        <w:p w14:paraId="3BD4B760" w14:textId="77777777" w:rsidR="004029FB" w:rsidRPr="00EF13C1" w:rsidRDefault="004029FB" w:rsidP="00273A03">
          <w:pPr>
            <w:pStyle w:val="Encabezado"/>
            <w:rPr>
              <w:rFonts w:ascii="Palatino Linotype" w:hAnsi="Palatino Linotype"/>
              <w:b/>
            </w:rPr>
          </w:pPr>
          <w:r w:rsidRPr="00EF13C1">
            <w:rPr>
              <w:rFonts w:ascii="Palatino Linotype" w:hAnsi="Palatino Linotype"/>
              <w:b/>
            </w:rPr>
            <w:t>José Guadalupe Luna Hernández</w:t>
          </w:r>
        </w:p>
      </w:tc>
    </w:tr>
  </w:tbl>
  <w:p w14:paraId="0BEBA67A" w14:textId="77777777" w:rsidR="004029FB" w:rsidRDefault="004029FB"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5935" w14:textId="77777777" w:rsidR="004029FB" w:rsidRDefault="00210BC7" w:rsidP="00B87E17">
    <w:pPr>
      <w:pStyle w:val="Encabezado"/>
      <w:tabs>
        <w:tab w:val="left" w:pos="3103"/>
      </w:tabs>
    </w:pPr>
    <w:r>
      <w:rPr>
        <w:noProof/>
        <w:lang w:eastAsia="es-MX"/>
      </w:rPr>
      <w:pict w14:anchorId="3C677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11456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029FB">
      <w:tab/>
    </w:r>
    <w:r w:rsidR="004029FB">
      <w:tab/>
    </w:r>
  </w:p>
  <w:tbl>
    <w:tblPr>
      <w:tblStyle w:val="Tablaconcuadrcula"/>
      <w:tblW w:w="733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8"/>
      <w:gridCol w:w="4460"/>
    </w:tblGrid>
    <w:tr w:rsidR="004029FB" w:rsidRPr="00182113" w14:paraId="29196C11" w14:textId="77777777" w:rsidTr="00B87E17">
      <w:trPr>
        <w:trHeight w:val="145"/>
      </w:trPr>
      <w:tc>
        <w:tcPr>
          <w:tcW w:w="2878" w:type="dxa"/>
          <w:vAlign w:val="center"/>
        </w:tcPr>
        <w:p w14:paraId="2C492557" w14:textId="77777777" w:rsidR="004029FB" w:rsidRPr="00166E0D" w:rsidRDefault="004029FB" w:rsidP="00B87E17">
          <w:pPr>
            <w:rPr>
              <w:rFonts w:ascii="Palatino Linotype" w:hAnsi="Palatino Linotype"/>
              <w:b/>
            </w:rPr>
          </w:pPr>
          <w:r w:rsidRPr="00166E0D">
            <w:rPr>
              <w:rFonts w:ascii="Palatino Linotype" w:hAnsi="Palatino Linotype"/>
              <w:b/>
            </w:rPr>
            <w:t>Recurso de revisión:</w:t>
          </w:r>
        </w:p>
      </w:tc>
      <w:tc>
        <w:tcPr>
          <w:tcW w:w="4460" w:type="dxa"/>
          <w:vAlign w:val="center"/>
        </w:tcPr>
        <w:p w14:paraId="0D2A4157" w14:textId="77777777" w:rsidR="004029FB" w:rsidRPr="00A84600" w:rsidRDefault="004029FB" w:rsidP="00B87E17">
          <w:pPr>
            <w:pStyle w:val="Encabezado"/>
            <w:rPr>
              <w:rFonts w:ascii="Palatino Linotype" w:hAnsi="Palatino Linotype" w:cs="Arial"/>
              <w:b/>
              <w:bCs/>
              <w:lang w:eastAsia="es-MX"/>
            </w:rPr>
          </w:pPr>
          <w:r>
            <w:rPr>
              <w:rFonts w:ascii="Palatino Linotype" w:hAnsi="Palatino Linotype" w:cs="Arial"/>
              <w:b/>
              <w:bCs/>
              <w:lang w:eastAsia="es-MX"/>
            </w:rPr>
            <w:t xml:space="preserve">01273/INFOEM/IP/RR/2021 </w:t>
          </w:r>
        </w:p>
      </w:tc>
    </w:tr>
    <w:tr w:rsidR="004029FB" w:rsidRPr="00182113" w14:paraId="44E696AD" w14:textId="77777777" w:rsidTr="00B87E17">
      <w:trPr>
        <w:trHeight w:val="239"/>
      </w:trPr>
      <w:tc>
        <w:tcPr>
          <w:tcW w:w="2878" w:type="dxa"/>
          <w:vAlign w:val="center"/>
        </w:tcPr>
        <w:p w14:paraId="4F538A43" w14:textId="77777777" w:rsidR="004029FB" w:rsidRPr="00166E0D" w:rsidRDefault="004029FB" w:rsidP="00B87E17">
          <w:pPr>
            <w:rPr>
              <w:rFonts w:ascii="Palatino Linotype" w:hAnsi="Palatino Linotype"/>
              <w:b/>
            </w:rPr>
          </w:pPr>
          <w:r w:rsidRPr="00166E0D">
            <w:rPr>
              <w:rFonts w:ascii="Palatino Linotype" w:hAnsi="Palatino Linotype"/>
              <w:b/>
            </w:rPr>
            <w:t>Recurrente:</w:t>
          </w:r>
        </w:p>
      </w:tc>
      <w:tc>
        <w:tcPr>
          <w:tcW w:w="4460" w:type="dxa"/>
          <w:vAlign w:val="center"/>
        </w:tcPr>
        <w:p w14:paraId="52EC0E1F" w14:textId="77777777" w:rsidR="004029FB" w:rsidRPr="00800695" w:rsidRDefault="00A278DA" w:rsidP="00B87E17">
          <w:pPr>
            <w:pStyle w:val="Encabezado"/>
            <w:ind w:right="-108"/>
            <w:rPr>
              <w:rFonts w:ascii="Palatino Linotype" w:hAnsi="Palatino Linotype"/>
              <w:b/>
            </w:rPr>
          </w:pPr>
          <w:r w:rsidRPr="00A278DA">
            <w:rPr>
              <w:rFonts w:ascii="Palatino Linotype" w:hAnsi="Palatino Linotype"/>
              <w:b/>
              <w:color w:val="000000"/>
              <w:highlight w:val="black"/>
            </w:rPr>
            <w:t>-----------------------------------------------</w:t>
          </w:r>
        </w:p>
      </w:tc>
    </w:tr>
    <w:tr w:rsidR="004029FB" w:rsidRPr="00182113" w14:paraId="34DB095E" w14:textId="77777777" w:rsidTr="00B87E17">
      <w:trPr>
        <w:trHeight w:val="245"/>
      </w:trPr>
      <w:tc>
        <w:tcPr>
          <w:tcW w:w="2878" w:type="dxa"/>
          <w:vAlign w:val="center"/>
        </w:tcPr>
        <w:p w14:paraId="5D2F3566" w14:textId="77777777" w:rsidR="004029FB" w:rsidRPr="00166E0D" w:rsidRDefault="004029FB" w:rsidP="00B87E17">
          <w:pPr>
            <w:rPr>
              <w:rFonts w:ascii="Palatino Linotype" w:hAnsi="Palatino Linotype"/>
              <w:b/>
            </w:rPr>
          </w:pPr>
          <w:r w:rsidRPr="00166E0D">
            <w:rPr>
              <w:rFonts w:ascii="Palatino Linotype" w:hAnsi="Palatino Linotype"/>
              <w:b/>
            </w:rPr>
            <w:t>Sujeto obligado:</w:t>
          </w:r>
        </w:p>
      </w:tc>
      <w:tc>
        <w:tcPr>
          <w:tcW w:w="4460" w:type="dxa"/>
          <w:vAlign w:val="center"/>
        </w:tcPr>
        <w:p w14:paraId="77207FFD" w14:textId="77777777" w:rsidR="004029FB" w:rsidRPr="00166E0D" w:rsidRDefault="004029FB" w:rsidP="001746DE">
          <w:pPr>
            <w:pStyle w:val="Encabezado"/>
            <w:ind w:right="-109"/>
            <w:rPr>
              <w:rFonts w:ascii="Palatino Linotype" w:hAnsi="Palatino Linotype"/>
              <w:b/>
            </w:rPr>
          </w:pPr>
          <w:r>
            <w:rPr>
              <w:rFonts w:ascii="Palatino Linotype" w:hAnsi="Palatino Linotype"/>
              <w:b/>
            </w:rPr>
            <w:t xml:space="preserve">Instituto de Salud del Estado de México </w:t>
          </w:r>
        </w:p>
      </w:tc>
    </w:tr>
    <w:tr w:rsidR="004029FB" w:rsidRPr="00182113" w14:paraId="74F8E4EA" w14:textId="77777777" w:rsidTr="00B87E17">
      <w:trPr>
        <w:trHeight w:val="70"/>
      </w:trPr>
      <w:tc>
        <w:tcPr>
          <w:tcW w:w="2878" w:type="dxa"/>
          <w:vAlign w:val="center"/>
        </w:tcPr>
        <w:p w14:paraId="520329BF" w14:textId="77777777" w:rsidR="004029FB" w:rsidRPr="00166E0D" w:rsidRDefault="004029FB" w:rsidP="00B87E17">
          <w:pPr>
            <w:rPr>
              <w:rFonts w:ascii="Palatino Linotype" w:hAnsi="Palatino Linotype"/>
              <w:b/>
            </w:rPr>
          </w:pPr>
          <w:r>
            <w:rPr>
              <w:rFonts w:ascii="Palatino Linotype" w:hAnsi="Palatino Linotype"/>
              <w:b/>
            </w:rPr>
            <w:t xml:space="preserve">Comisionado </w:t>
          </w:r>
          <w:r w:rsidRPr="00166E0D">
            <w:rPr>
              <w:rFonts w:ascii="Palatino Linotype" w:hAnsi="Palatino Linotype"/>
              <w:b/>
            </w:rPr>
            <w:t>ponente:</w:t>
          </w:r>
        </w:p>
      </w:tc>
      <w:tc>
        <w:tcPr>
          <w:tcW w:w="4460" w:type="dxa"/>
          <w:vAlign w:val="center"/>
        </w:tcPr>
        <w:p w14:paraId="5E6572FB" w14:textId="77777777" w:rsidR="004029FB" w:rsidRPr="00166E0D" w:rsidRDefault="004029FB" w:rsidP="00B87E17">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14:paraId="0B72EE21" w14:textId="77777777" w:rsidR="004029FB" w:rsidRDefault="004029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0A0"/>
    <w:multiLevelType w:val="hybridMultilevel"/>
    <w:tmpl w:val="F7BED9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6CB49B7"/>
    <w:multiLevelType w:val="hybridMultilevel"/>
    <w:tmpl w:val="CB56529C"/>
    <w:lvl w:ilvl="0" w:tplc="C2D63B10">
      <w:start w:val="1"/>
      <w:numFmt w:val="lowerLetter"/>
      <w:lvlText w:val="%1)"/>
      <w:lvlJc w:val="left"/>
      <w:pPr>
        <w:ind w:left="1440" w:hanging="360"/>
      </w:pPr>
      <w:rPr>
        <w:rFonts w:eastAsiaTheme="minorHAnsi" w:cstheme="minorBidi" w:hint="default"/>
        <w:color w:val="000000" w:themeColor="text1"/>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914C1B"/>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492558"/>
    <w:multiLevelType w:val="hybridMultilevel"/>
    <w:tmpl w:val="DE04BD34"/>
    <w:lvl w:ilvl="0" w:tplc="DF461228">
      <w:start w:val="1"/>
      <w:numFmt w:val="upperRoman"/>
      <w:lvlText w:val="%1."/>
      <w:lvlJc w:val="left"/>
      <w:pPr>
        <w:ind w:left="1146" w:hanging="720"/>
      </w:pPr>
      <w:rPr>
        <w:rFonts w:eastAsiaTheme="minorHAnsi"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55FA2AA2"/>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A5478C"/>
    <w:multiLevelType w:val="hybridMultilevel"/>
    <w:tmpl w:val="C72A38E0"/>
    <w:lvl w:ilvl="0" w:tplc="F89AAECE">
      <w:start w:val="2"/>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7C4045D"/>
    <w:multiLevelType w:val="hybridMultilevel"/>
    <w:tmpl w:val="8E4CA192"/>
    <w:lvl w:ilvl="0" w:tplc="CE1CB74C">
      <w:start w:val="1"/>
      <w:numFmt w:val="upperRoman"/>
      <w:lvlText w:val="%1."/>
      <w:lvlJc w:val="left"/>
      <w:pPr>
        <w:ind w:left="1146" w:hanging="720"/>
      </w:pPr>
      <w:rPr>
        <w:rFonts w:eastAsiaTheme="minorHAnsi"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6B887EDC"/>
    <w:multiLevelType w:val="hybridMultilevel"/>
    <w:tmpl w:val="A216AEEC"/>
    <w:lvl w:ilvl="0" w:tplc="D33E816C">
      <w:start w:val="2"/>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77A26326"/>
    <w:multiLevelType w:val="hybridMultilevel"/>
    <w:tmpl w:val="7BFE4A4A"/>
    <w:lvl w:ilvl="0" w:tplc="94E2092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7A5E4324"/>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0"/>
  </w:num>
  <w:num w:numId="5">
    <w:abstractNumId w:val="1"/>
  </w:num>
  <w:num w:numId="6">
    <w:abstractNumId w:val="9"/>
  </w:num>
  <w:num w:numId="7">
    <w:abstractNumId w:val="5"/>
  </w:num>
  <w:num w:numId="8">
    <w:abstractNumId w:val="11"/>
  </w:num>
  <w:num w:numId="9">
    <w:abstractNumId w:val="7"/>
  </w:num>
  <w:num w:numId="10">
    <w:abstractNumId w:val="10"/>
  </w:num>
  <w:num w:numId="11">
    <w:abstractNumId w:val="6"/>
  </w:num>
  <w:num w:numId="12">
    <w:abstractNumId w:val="3"/>
  </w:num>
  <w:num w:numId="1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0ED"/>
    <w:rsid w:val="0000021F"/>
    <w:rsid w:val="00002DD4"/>
    <w:rsid w:val="00004AB5"/>
    <w:rsid w:val="00005F4A"/>
    <w:rsid w:val="0000672C"/>
    <w:rsid w:val="00006D7A"/>
    <w:rsid w:val="00010318"/>
    <w:rsid w:val="00010C82"/>
    <w:rsid w:val="0001306C"/>
    <w:rsid w:val="00017C23"/>
    <w:rsid w:val="000201D1"/>
    <w:rsid w:val="00021677"/>
    <w:rsid w:val="000219D0"/>
    <w:rsid w:val="00025D76"/>
    <w:rsid w:val="00025D7F"/>
    <w:rsid w:val="00026678"/>
    <w:rsid w:val="000307B3"/>
    <w:rsid w:val="000355CF"/>
    <w:rsid w:val="00037B6F"/>
    <w:rsid w:val="0004167E"/>
    <w:rsid w:val="000416A9"/>
    <w:rsid w:val="00043F36"/>
    <w:rsid w:val="0004441E"/>
    <w:rsid w:val="00053253"/>
    <w:rsid w:val="000559BA"/>
    <w:rsid w:val="00060857"/>
    <w:rsid w:val="000653F9"/>
    <w:rsid w:val="000705FD"/>
    <w:rsid w:val="0007062A"/>
    <w:rsid w:val="00071828"/>
    <w:rsid w:val="00072EFA"/>
    <w:rsid w:val="00075791"/>
    <w:rsid w:val="00076B7A"/>
    <w:rsid w:val="00076DE5"/>
    <w:rsid w:val="00077233"/>
    <w:rsid w:val="00077C61"/>
    <w:rsid w:val="0008028C"/>
    <w:rsid w:val="000870C0"/>
    <w:rsid w:val="00087306"/>
    <w:rsid w:val="00087EF3"/>
    <w:rsid w:val="00090867"/>
    <w:rsid w:val="00091182"/>
    <w:rsid w:val="00093432"/>
    <w:rsid w:val="00094408"/>
    <w:rsid w:val="0009530F"/>
    <w:rsid w:val="000A10C2"/>
    <w:rsid w:val="000A140D"/>
    <w:rsid w:val="000A39E9"/>
    <w:rsid w:val="000A7870"/>
    <w:rsid w:val="000A7D5D"/>
    <w:rsid w:val="000A7D97"/>
    <w:rsid w:val="000B285A"/>
    <w:rsid w:val="000B2D5E"/>
    <w:rsid w:val="000B2EAF"/>
    <w:rsid w:val="000B3805"/>
    <w:rsid w:val="000B52C0"/>
    <w:rsid w:val="000B5A4C"/>
    <w:rsid w:val="000B7AF2"/>
    <w:rsid w:val="000C66EA"/>
    <w:rsid w:val="000C6F83"/>
    <w:rsid w:val="000D0BEF"/>
    <w:rsid w:val="000D19F3"/>
    <w:rsid w:val="000D1D31"/>
    <w:rsid w:val="000D5F1D"/>
    <w:rsid w:val="000D735B"/>
    <w:rsid w:val="000D73B1"/>
    <w:rsid w:val="000E2CF7"/>
    <w:rsid w:val="000E4A12"/>
    <w:rsid w:val="000E71C4"/>
    <w:rsid w:val="000F1CC9"/>
    <w:rsid w:val="000F27F4"/>
    <w:rsid w:val="000F2CCC"/>
    <w:rsid w:val="000F3365"/>
    <w:rsid w:val="000F617C"/>
    <w:rsid w:val="00100DEF"/>
    <w:rsid w:val="00101818"/>
    <w:rsid w:val="00103646"/>
    <w:rsid w:val="0010434F"/>
    <w:rsid w:val="00104BC4"/>
    <w:rsid w:val="0010587A"/>
    <w:rsid w:val="00106806"/>
    <w:rsid w:val="00107221"/>
    <w:rsid w:val="00107A21"/>
    <w:rsid w:val="00110A90"/>
    <w:rsid w:val="001145DA"/>
    <w:rsid w:val="00114D5F"/>
    <w:rsid w:val="0011657A"/>
    <w:rsid w:val="00117F3A"/>
    <w:rsid w:val="00122BE3"/>
    <w:rsid w:val="00122C76"/>
    <w:rsid w:val="00124119"/>
    <w:rsid w:val="00126CF4"/>
    <w:rsid w:val="00127CC8"/>
    <w:rsid w:val="001364F4"/>
    <w:rsid w:val="00140674"/>
    <w:rsid w:val="00141004"/>
    <w:rsid w:val="0014195D"/>
    <w:rsid w:val="00141BDA"/>
    <w:rsid w:val="00143E77"/>
    <w:rsid w:val="00144D2C"/>
    <w:rsid w:val="00145485"/>
    <w:rsid w:val="00145E3E"/>
    <w:rsid w:val="00147141"/>
    <w:rsid w:val="00152A54"/>
    <w:rsid w:val="00153924"/>
    <w:rsid w:val="0015495C"/>
    <w:rsid w:val="0015730F"/>
    <w:rsid w:val="001614E3"/>
    <w:rsid w:val="0016207E"/>
    <w:rsid w:val="00164C01"/>
    <w:rsid w:val="0016516C"/>
    <w:rsid w:val="001655F5"/>
    <w:rsid w:val="00165F58"/>
    <w:rsid w:val="00166E0D"/>
    <w:rsid w:val="001677A1"/>
    <w:rsid w:val="00170993"/>
    <w:rsid w:val="0017140F"/>
    <w:rsid w:val="001746DE"/>
    <w:rsid w:val="001773E0"/>
    <w:rsid w:val="00177AE5"/>
    <w:rsid w:val="00181228"/>
    <w:rsid w:val="00181E44"/>
    <w:rsid w:val="001836FE"/>
    <w:rsid w:val="00190B36"/>
    <w:rsid w:val="00193E9F"/>
    <w:rsid w:val="00195FD9"/>
    <w:rsid w:val="00196B6A"/>
    <w:rsid w:val="0019761F"/>
    <w:rsid w:val="001A0491"/>
    <w:rsid w:val="001A22AB"/>
    <w:rsid w:val="001A637A"/>
    <w:rsid w:val="001B12E8"/>
    <w:rsid w:val="001B18A8"/>
    <w:rsid w:val="001B1C05"/>
    <w:rsid w:val="001B28F9"/>
    <w:rsid w:val="001B32FE"/>
    <w:rsid w:val="001B45AA"/>
    <w:rsid w:val="001B625E"/>
    <w:rsid w:val="001C1815"/>
    <w:rsid w:val="001C1CE7"/>
    <w:rsid w:val="001C263E"/>
    <w:rsid w:val="001C487F"/>
    <w:rsid w:val="001C64C4"/>
    <w:rsid w:val="001D0B5B"/>
    <w:rsid w:val="001D3E51"/>
    <w:rsid w:val="001D4161"/>
    <w:rsid w:val="001D4459"/>
    <w:rsid w:val="001D65D0"/>
    <w:rsid w:val="001E0EA9"/>
    <w:rsid w:val="001E13FE"/>
    <w:rsid w:val="001E2373"/>
    <w:rsid w:val="001E3A16"/>
    <w:rsid w:val="001F5484"/>
    <w:rsid w:val="001F5DBD"/>
    <w:rsid w:val="001F6670"/>
    <w:rsid w:val="00201BF3"/>
    <w:rsid w:val="00201CDE"/>
    <w:rsid w:val="00201F41"/>
    <w:rsid w:val="00202E6A"/>
    <w:rsid w:val="002039C2"/>
    <w:rsid w:val="00206C58"/>
    <w:rsid w:val="00207839"/>
    <w:rsid w:val="00210A6F"/>
    <w:rsid w:val="00210BC7"/>
    <w:rsid w:val="00211B1B"/>
    <w:rsid w:val="00212004"/>
    <w:rsid w:val="00215221"/>
    <w:rsid w:val="00216FB6"/>
    <w:rsid w:val="002205AF"/>
    <w:rsid w:val="00220CA4"/>
    <w:rsid w:val="00223715"/>
    <w:rsid w:val="00223B4D"/>
    <w:rsid w:val="00223E2B"/>
    <w:rsid w:val="00224385"/>
    <w:rsid w:val="00224775"/>
    <w:rsid w:val="00226D58"/>
    <w:rsid w:val="00232FEC"/>
    <w:rsid w:val="002343BD"/>
    <w:rsid w:val="00234EBF"/>
    <w:rsid w:val="00240774"/>
    <w:rsid w:val="00240C60"/>
    <w:rsid w:val="0024202C"/>
    <w:rsid w:val="00244765"/>
    <w:rsid w:val="0024719F"/>
    <w:rsid w:val="002545B6"/>
    <w:rsid w:val="002640DE"/>
    <w:rsid w:val="00264412"/>
    <w:rsid w:val="0026441B"/>
    <w:rsid w:val="00264A3C"/>
    <w:rsid w:val="002704F5"/>
    <w:rsid w:val="00270F30"/>
    <w:rsid w:val="00273142"/>
    <w:rsid w:val="00273A03"/>
    <w:rsid w:val="00275FB3"/>
    <w:rsid w:val="002815A9"/>
    <w:rsid w:val="00282FEA"/>
    <w:rsid w:val="002921DD"/>
    <w:rsid w:val="0029477F"/>
    <w:rsid w:val="002A01F9"/>
    <w:rsid w:val="002A0ECB"/>
    <w:rsid w:val="002A16FE"/>
    <w:rsid w:val="002A362C"/>
    <w:rsid w:val="002A38B7"/>
    <w:rsid w:val="002A3C89"/>
    <w:rsid w:val="002A417F"/>
    <w:rsid w:val="002A5978"/>
    <w:rsid w:val="002A781E"/>
    <w:rsid w:val="002B0577"/>
    <w:rsid w:val="002B19CC"/>
    <w:rsid w:val="002B2FCA"/>
    <w:rsid w:val="002B31D4"/>
    <w:rsid w:val="002B32FC"/>
    <w:rsid w:val="002B64FF"/>
    <w:rsid w:val="002B65BB"/>
    <w:rsid w:val="002B6FAB"/>
    <w:rsid w:val="002B7F54"/>
    <w:rsid w:val="002C6556"/>
    <w:rsid w:val="002C7C92"/>
    <w:rsid w:val="002D16F1"/>
    <w:rsid w:val="002D1886"/>
    <w:rsid w:val="002D3BD2"/>
    <w:rsid w:val="002E20FF"/>
    <w:rsid w:val="002E2A67"/>
    <w:rsid w:val="002E3F03"/>
    <w:rsid w:val="002E402A"/>
    <w:rsid w:val="002E6977"/>
    <w:rsid w:val="002F1ABB"/>
    <w:rsid w:val="002F3433"/>
    <w:rsid w:val="002F3BFA"/>
    <w:rsid w:val="002F699A"/>
    <w:rsid w:val="003003FF"/>
    <w:rsid w:val="00303A99"/>
    <w:rsid w:val="003044DA"/>
    <w:rsid w:val="00307201"/>
    <w:rsid w:val="003122CB"/>
    <w:rsid w:val="00313D1C"/>
    <w:rsid w:val="00314F26"/>
    <w:rsid w:val="003152D6"/>
    <w:rsid w:val="00315470"/>
    <w:rsid w:val="00315476"/>
    <w:rsid w:val="00315BF5"/>
    <w:rsid w:val="00320865"/>
    <w:rsid w:val="00320E23"/>
    <w:rsid w:val="003219F1"/>
    <w:rsid w:val="003234F4"/>
    <w:rsid w:val="0032356A"/>
    <w:rsid w:val="00323F76"/>
    <w:rsid w:val="00324358"/>
    <w:rsid w:val="00324E4C"/>
    <w:rsid w:val="0032530A"/>
    <w:rsid w:val="00327FBB"/>
    <w:rsid w:val="00330FE4"/>
    <w:rsid w:val="003354C5"/>
    <w:rsid w:val="00336C1B"/>
    <w:rsid w:val="00342430"/>
    <w:rsid w:val="0034611F"/>
    <w:rsid w:val="00354158"/>
    <w:rsid w:val="00354999"/>
    <w:rsid w:val="003563D2"/>
    <w:rsid w:val="00360728"/>
    <w:rsid w:val="00360FDF"/>
    <w:rsid w:val="0036285E"/>
    <w:rsid w:val="00362EC7"/>
    <w:rsid w:val="0036358C"/>
    <w:rsid w:val="00364985"/>
    <w:rsid w:val="00366B82"/>
    <w:rsid w:val="00367BAD"/>
    <w:rsid w:val="0037277E"/>
    <w:rsid w:val="0037329B"/>
    <w:rsid w:val="00374179"/>
    <w:rsid w:val="003758BB"/>
    <w:rsid w:val="003800D8"/>
    <w:rsid w:val="003825F8"/>
    <w:rsid w:val="00382BC1"/>
    <w:rsid w:val="00382DEE"/>
    <w:rsid w:val="00382E9E"/>
    <w:rsid w:val="003851A9"/>
    <w:rsid w:val="00386DD1"/>
    <w:rsid w:val="00387F22"/>
    <w:rsid w:val="003916A6"/>
    <w:rsid w:val="003A1B9D"/>
    <w:rsid w:val="003A4C5A"/>
    <w:rsid w:val="003A4DE4"/>
    <w:rsid w:val="003A629F"/>
    <w:rsid w:val="003A6340"/>
    <w:rsid w:val="003A6726"/>
    <w:rsid w:val="003A6D6B"/>
    <w:rsid w:val="003B332B"/>
    <w:rsid w:val="003B4437"/>
    <w:rsid w:val="003B5F5E"/>
    <w:rsid w:val="003B66F9"/>
    <w:rsid w:val="003B69DE"/>
    <w:rsid w:val="003C471A"/>
    <w:rsid w:val="003C76C7"/>
    <w:rsid w:val="003C778D"/>
    <w:rsid w:val="003D1371"/>
    <w:rsid w:val="003D1931"/>
    <w:rsid w:val="003D24AA"/>
    <w:rsid w:val="003D29A2"/>
    <w:rsid w:val="003D4338"/>
    <w:rsid w:val="003D63CC"/>
    <w:rsid w:val="003E0C4D"/>
    <w:rsid w:val="003E243D"/>
    <w:rsid w:val="003E34A4"/>
    <w:rsid w:val="003E52DA"/>
    <w:rsid w:val="003E56E9"/>
    <w:rsid w:val="003E585E"/>
    <w:rsid w:val="003E640A"/>
    <w:rsid w:val="003E6B82"/>
    <w:rsid w:val="003F15B4"/>
    <w:rsid w:val="003F2187"/>
    <w:rsid w:val="003F4348"/>
    <w:rsid w:val="003F57ED"/>
    <w:rsid w:val="004029FB"/>
    <w:rsid w:val="00402F5D"/>
    <w:rsid w:val="004068F4"/>
    <w:rsid w:val="00407F79"/>
    <w:rsid w:val="004132A5"/>
    <w:rsid w:val="0041451D"/>
    <w:rsid w:val="00415E79"/>
    <w:rsid w:val="00416E17"/>
    <w:rsid w:val="004170FF"/>
    <w:rsid w:val="00417F2E"/>
    <w:rsid w:val="0042167E"/>
    <w:rsid w:val="004259B8"/>
    <w:rsid w:val="00425FB7"/>
    <w:rsid w:val="00430E13"/>
    <w:rsid w:val="004330A4"/>
    <w:rsid w:val="00437968"/>
    <w:rsid w:val="0044063A"/>
    <w:rsid w:val="00442579"/>
    <w:rsid w:val="00443399"/>
    <w:rsid w:val="004447C0"/>
    <w:rsid w:val="00444D23"/>
    <w:rsid w:val="00447973"/>
    <w:rsid w:val="00456898"/>
    <w:rsid w:val="00460C1B"/>
    <w:rsid w:val="004624D1"/>
    <w:rsid w:val="004653A7"/>
    <w:rsid w:val="00474E0F"/>
    <w:rsid w:val="00475273"/>
    <w:rsid w:val="0047541F"/>
    <w:rsid w:val="00477EEB"/>
    <w:rsid w:val="0048094E"/>
    <w:rsid w:val="00481011"/>
    <w:rsid w:val="0048107A"/>
    <w:rsid w:val="00481D88"/>
    <w:rsid w:val="00481F90"/>
    <w:rsid w:val="004835DC"/>
    <w:rsid w:val="00483BC7"/>
    <w:rsid w:val="00485E23"/>
    <w:rsid w:val="004868AD"/>
    <w:rsid w:val="0049372F"/>
    <w:rsid w:val="00493730"/>
    <w:rsid w:val="00494649"/>
    <w:rsid w:val="00495E49"/>
    <w:rsid w:val="004972D7"/>
    <w:rsid w:val="00497695"/>
    <w:rsid w:val="004A04FC"/>
    <w:rsid w:val="004A56E3"/>
    <w:rsid w:val="004A70B0"/>
    <w:rsid w:val="004B0B15"/>
    <w:rsid w:val="004B5BFE"/>
    <w:rsid w:val="004B6EB3"/>
    <w:rsid w:val="004B7A07"/>
    <w:rsid w:val="004C0E93"/>
    <w:rsid w:val="004C40B1"/>
    <w:rsid w:val="004C44C3"/>
    <w:rsid w:val="004D1626"/>
    <w:rsid w:val="004D2D58"/>
    <w:rsid w:val="004D3665"/>
    <w:rsid w:val="004D4D48"/>
    <w:rsid w:val="004D71E6"/>
    <w:rsid w:val="004D7328"/>
    <w:rsid w:val="004D755B"/>
    <w:rsid w:val="004D7D6D"/>
    <w:rsid w:val="004E591E"/>
    <w:rsid w:val="004E5C4B"/>
    <w:rsid w:val="004F0F5A"/>
    <w:rsid w:val="004F4C05"/>
    <w:rsid w:val="004F5429"/>
    <w:rsid w:val="004F7CF1"/>
    <w:rsid w:val="00500259"/>
    <w:rsid w:val="0050327B"/>
    <w:rsid w:val="00510198"/>
    <w:rsid w:val="00510293"/>
    <w:rsid w:val="0051337C"/>
    <w:rsid w:val="0051357E"/>
    <w:rsid w:val="00513BD9"/>
    <w:rsid w:val="00517157"/>
    <w:rsid w:val="005209C2"/>
    <w:rsid w:val="00521AE6"/>
    <w:rsid w:val="0052333D"/>
    <w:rsid w:val="00523819"/>
    <w:rsid w:val="00525360"/>
    <w:rsid w:val="005261E4"/>
    <w:rsid w:val="0053032A"/>
    <w:rsid w:val="0053252E"/>
    <w:rsid w:val="00534CBE"/>
    <w:rsid w:val="00544BAE"/>
    <w:rsid w:val="00545862"/>
    <w:rsid w:val="005459F0"/>
    <w:rsid w:val="00550B9A"/>
    <w:rsid w:val="00552D52"/>
    <w:rsid w:val="00554F80"/>
    <w:rsid w:val="00561385"/>
    <w:rsid w:val="00563A66"/>
    <w:rsid w:val="00565A3D"/>
    <w:rsid w:val="005666CD"/>
    <w:rsid w:val="005674FC"/>
    <w:rsid w:val="005702BE"/>
    <w:rsid w:val="005706DC"/>
    <w:rsid w:val="00570A3F"/>
    <w:rsid w:val="00574552"/>
    <w:rsid w:val="00574CB5"/>
    <w:rsid w:val="00576C44"/>
    <w:rsid w:val="005779EC"/>
    <w:rsid w:val="00581B3D"/>
    <w:rsid w:val="00582905"/>
    <w:rsid w:val="005830D0"/>
    <w:rsid w:val="00583A1D"/>
    <w:rsid w:val="00584C91"/>
    <w:rsid w:val="00586A12"/>
    <w:rsid w:val="0059199C"/>
    <w:rsid w:val="00592766"/>
    <w:rsid w:val="0059372E"/>
    <w:rsid w:val="00596464"/>
    <w:rsid w:val="005969D9"/>
    <w:rsid w:val="005A2141"/>
    <w:rsid w:val="005A2187"/>
    <w:rsid w:val="005A2B5F"/>
    <w:rsid w:val="005A4C92"/>
    <w:rsid w:val="005A5F02"/>
    <w:rsid w:val="005A608C"/>
    <w:rsid w:val="005A6596"/>
    <w:rsid w:val="005B0F4A"/>
    <w:rsid w:val="005B0F92"/>
    <w:rsid w:val="005B31A8"/>
    <w:rsid w:val="005B3655"/>
    <w:rsid w:val="005B644F"/>
    <w:rsid w:val="005C01C6"/>
    <w:rsid w:val="005C0957"/>
    <w:rsid w:val="005C2D31"/>
    <w:rsid w:val="005C3BDC"/>
    <w:rsid w:val="005C4663"/>
    <w:rsid w:val="005D046D"/>
    <w:rsid w:val="005D2EE1"/>
    <w:rsid w:val="005D3C6B"/>
    <w:rsid w:val="005D422A"/>
    <w:rsid w:val="005E355A"/>
    <w:rsid w:val="005E406F"/>
    <w:rsid w:val="005E419C"/>
    <w:rsid w:val="005E6787"/>
    <w:rsid w:val="005E72BD"/>
    <w:rsid w:val="005F0748"/>
    <w:rsid w:val="005F1B90"/>
    <w:rsid w:val="005F3A27"/>
    <w:rsid w:val="00600629"/>
    <w:rsid w:val="00602E78"/>
    <w:rsid w:val="00605673"/>
    <w:rsid w:val="006057F3"/>
    <w:rsid w:val="00606BC0"/>
    <w:rsid w:val="0061037B"/>
    <w:rsid w:val="00612344"/>
    <w:rsid w:val="0061442B"/>
    <w:rsid w:val="00615299"/>
    <w:rsid w:val="006158AA"/>
    <w:rsid w:val="00616052"/>
    <w:rsid w:val="00616304"/>
    <w:rsid w:val="0062163E"/>
    <w:rsid w:val="00622F86"/>
    <w:rsid w:val="00625F9F"/>
    <w:rsid w:val="006307B0"/>
    <w:rsid w:val="00630814"/>
    <w:rsid w:val="00632BCB"/>
    <w:rsid w:val="00636266"/>
    <w:rsid w:val="006378D4"/>
    <w:rsid w:val="00643C7B"/>
    <w:rsid w:val="006448B0"/>
    <w:rsid w:val="00644938"/>
    <w:rsid w:val="00652368"/>
    <w:rsid w:val="0065393E"/>
    <w:rsid w:val="00654752"/>
    <w:rsid w:val="006578A7"/>
    <w:rsid w:val="006601B3"/>
    <w:rsid w:val="00660330"/>
    <w:rsid w:val="00661A81"/>
    <w:rsid w:val="00663FF0"/>
    <w:rsid w:val="00664B64"/>
    <w:rsid w:val="00667B1E"/>
    <w:rsid w:val="00670550"/>
    <w:rsid w:val="00670D02"/>
    <w:rsid w:val="00672EA1"/>
    <w:rsid w:val="006750F2"/>
    <w:rsid w:val="0068301C"/>
    <w:rsid w:val="00684450"/>
    <w:rsid w:val="00684C83"/>
    <w:rsid w:val="006946F4"/>
    <w:rsid w:val="00694CC8"/>
    <w:rsid w:val="00695596"/>
    <w:rsid w:val="0069791D"/>
    <w:rsid w:val="006A1DD3"/>
    <w:rsid w:val="006A2C9B"/>
    <w:rsid w:val="006A3274"/>
    <w:rsid w:val="006A3A8D"/>
    <w:rsid w:val="006A6CEB"/>
    <w:rsid w:val="006B04AA"/>
    <w:rsid w:val="006B2346"/>
    <w:rsid w:val="006B3343"/>
    <w:rsid w:val="006B5530"/>
    <w:rsid w:val="006B56C3"/>
    <w:rsid w:val="006C4663"/>
    <w:rsid w:val="006D3C82"/>
    <w:rsid w:val="006D7F52"/>
    <w:rsid w:val="006E21AE"/>
    <w:rsid w:val="006E66B0"/>
    <w:rsid w:val="006E77A3"/>
    <w:rsid w:val="006F0003"/>
    <w:rsid w:val="006F025F"/>
    <w:rsid w:val="006F2EC5"/>
    <w:rsid w:val="006F3DC1"/>
    <w:rsid w:val="006F4C0F"/>
    <w:rsid w:val="007028A5"/>
    <w:rsid w:val="00704A38"/>
    <w:rsid w:val="00704FC1"/>
    <w:rsid w:val="00705962"/>
    <w:rsid w:val="0070685C"/>
    <w:rsid w:val="0070716A"/>
    <w:rsid w:val="0071085B"/>
    <w:rsid w:val="0071096B"/>
    <w:rsid w:val="00714C71"/>
    <w:rsid w:val="00720B31"/>
    <w:rsid w:val="007230A3"/>
    <w:rsid w:val="00723A8D"/>
    <w:rsid w:val="00723CD2"/>
    <w:rsid w:val="007324C1"/>
    <w:rsid w:val="00732D0D"/>
    <w:rsid w:val="00733D55"/>
    <w:rsid w:val="00735D06"/>
    <w:rsid w:val="007374BF"/>
    <w:rsid w:val="0073791E"/>
    <w:rsid w:val="00742576"/>
    <w:rsid w:val="00742BE5"/>
    <w:rsid w:val="007466C9"/>
    <w:rsid w:val="00746B47"/>
    <w:rsid w:val="00752F63"/>
    <w:rsid w:val="00754D45"/>
    <w:rsid w:val="00755A90"/>
    <w:rsid w:val="00756441"/>
    <w:rsid w:val="00757A8E"/>
    <w:rsid w:val="00760726"/>
    <w:rsid w:val="007623BE"/>
    <w:rsid w:val="00763700"/>
    <w:rsid w:val="0076682A"/>
    <w:rsid w:val="00767A0A"/>
    <w:rsid w:val="00770566"/>
    <w:rsid w:val="007727AF"/>
    <w:rsid w:val="007737F5"/>
    <w:rsid w:val="00774451"/>
    <w:rsid w:val="00774798"/>
    <w:rsid w:val="00774876"/>
    <w:rsid w:val="007823EF"/>
    <w:rsid w:val="0078284B"/>
    <w:rsid w:val="00783D75"/>
    <w:rsid w:val="007841CA"/>
    <w:rsid w:val="007850DA"/>
    <w:rsid w:val="00790188"/>
    <w:rsid w:val="00792776"/>
    <w:rsid w:val="00793656"/>
    <w:rsid w:val="00797AAB"/>
    <w:rsid w:val="007A4D10"/>
    <w:rsid w:val="007A58BA"/>
    <w:rsid w:val="007B222D"/>
    <w:rsid w:val="007B5650"/>
    <w:rsid w:val="007B5FFC"/>
    <w:rsid w:val="007C1BD4"/>
    <w:rsid w:val="007C28F5"/>
    <w:rsid w:val="007C3FFF"/>
    <w:rsid w:val="007C57AE"/>
    <w:rsid w:val="007C607A"/>
    <w:rsid w:val="007D3AB1"/>
    <w:rsid w:val="007D5D25"/>
    <w:rsid w:val="007E0279"/>
    <w:rsid w:val="007E0A04"/>
    <w:rsid w:val="007E362F"/>
    <w:rsid w:val="007E4E22"/>
    <w:rsid w:val="007E6E9D"/>
    <w:rsid w:val="007F0AC5"/>
    <w:rsid w:val="007F387A"/>
    <w:rsid w:val="007F4B2A"/>
    <w:rsid w:val="007F70A4"/>
    <w:rsid w:val="00800695"/>
    <w:rsid w:val="0080664B"/>
    <w:rsid w:val="00807136"/>
    <w:rsid w:val="008138CE"/>
    <w:rsid w:val="00814C38"/>
    <w:rsid w:val="008153B5"/>
    <w:rsid w:val="008161A8"/>
    <w:rsid w:val="0081700E"/>
    <w:rsid w:val="00820149"/>
    <w:rsid w:val="0082062E"/>
    <w:rsid w:val="0082286C"/>
    <w:rsid w:val="0082320A"/>
    <w:rsid w:val="008238CB"/>
    <w:rsid w:val="00833E7D"/>
    <w:rsid w:val="008346C9"/>
    <w:rsid w:val="00835991"/>
    <w:rsid w:val="00835DC0"/>
    <w:rsid w:val="00837C63"/>
    <w:rsid w:val="0084203D"/>
    <w:rsid w:val="0084407B"/>
    <w:rsid w:val="00844812"/>
    <w:rsid w:val="00845705"/>
    <w:rsid w:val="00845D19"/>
    <w:rsid w:val="008477B8"/>
    <w:rsid w:val="00847FFC"/>
    <w:rsid w:val="00852EC1"/>
    <w:rsid w:val="008540B1"/>
    <w:rsid w:val="008573B3"/>
    <w:rsid w:val="00860E79"/>
    <w:rsid w:val="0086565D"/>
    <w:rsid w:val="00870BA2"/>
    <w:rsid w:val="00871E04"/>
    <w:rsid w:val="00873107"/>
    <w:rsid w:val="008731CD"/>
    <w:rsid w:val="00875B03"/>
    <w:rsid w:val="0087682B"/>
    <w:rsid w:val="00877E36"/>
    <w:rsid w:val="008809D1"/>
    <w:rsid w:val="00883657"/>
    <w:rsid w:val="00883B38"/>
    <w:rsid w:val="00885248"/>
    <w:rsid w:val="008870CA"/>
    <w:rsid w:val="00887109"/>
    <w:rsid w:val="00887614"/>
    <w:rsid w:val="00892202"/>
    <w:rsid w:val="0089356C"/>
    <w:rsid w:val="00896491"/>
    <w:rsid w:val="008A297F"/>
    <w:rsid w:val="008A4417"/>
    <w:rsid w:val="008B089E"/>
    <w:rsid w:val="008B13FD"/>
    <w:rsid w:val="008B3290"/>
    <w:rsid w:val="008B7033"/>
    <w:rsid w:val="008C04F6"/>
    <w:rsid w:val="008C0CD1"/>
    <w:rsid w:val="008C1879"/>
    <w:rsid w:val="008C18E6"/>
    <w:rsid w:val="008C2739"/>
    <w:rsid w:val="008D45C3"/>
    <w:rsid w:val="008D5F9F"/>
    <w:rsid w:val="008E05D2"/>
    <w:rsid w:val="008E3BAC"/>
    <w:rsid w:val="008E49E0"/>
    <w:rsid w:val="008E5A90"/>
    <w:rsid w:val="008E7F22"/>
    <w:rsid w:val="008F0EEC"/>
    <w:rsid w:val="008F40BF"/>
    <w:rsid w:val="008F520D"/>
    <w:rsid w:val="008F546D"/>
    <w:rsid w:val="008F5D71"/>
    <w:rsid w:val="008F77A5"/>
    <w:rsid w:val="0090534F"/>
    <w:rsid w:val="0090539F"/>
    <w:rsid w:val="00912A19"/>
    <w:rsid w:val="00912F28"/>
    <w:rsid w:val="00913F26"/>
    <w:rsid w:val="009140C1"/>
    <w:rsid w:val="00914EB0"/>
    <w:rsid w:val="00920371"/>
    <w:rsid w:val="00920473"/>
    <w:rsid w:val="00921E87"/>
    <w:rsid w:val="00923657"/>
    <w:rsid w:val="00924969"/>
    <w:rsid w:val="00925065"/>
    <w:rsid w:val="009270CF"/>
    <w:rsid w:val="0093087C"/>
    <w:rsid w:val="00936916"/>
    <w:rsid w:val="0094139E"/>
    <w:rsid w:val="00943493"/>
    <w:rsid w:val="00943A89"/>
    <w:rsid w:val="00943B3E"/>
    <w:rsid w:val="00944EBE"/>
    <w:rsid w:val="009461C5"/>
    <w:rsid w:val="00950227"/>
    <w:rsid w:val="00954538"/>
    <w:rsid w:val="00954F89"/>
    <w:rsid w:val="00960D99"/>
    <w:rsid w:val="009618A3"/>
    <w:rsid w:val="00961A85"/>
    <w:rsid w:val="009639D4"/>
    <w:rsid w:val="00966090"/>
    <w:rsid w:val="009664BA"/>
    <w:rsid w:val="00966F60"/>
    <w:rsid w:val="00971AFE"/>
    <w:rsid w:val="00971E90"/>
    <w:rsid w:val="0097341C"/>
    <w:rsid w:val="009777F9"/>
    <w:rsid w:val="00986AF9"/>
    <w:rsid w:val="00987300"/>
    <w:rsid w:val="0098795D"/>
    <w:rsid w:val="00987E5C"/>
    <w:rsid w:val="0099084C"/>
    <w:rsid w:val="009910A2"/>
    <w:rsid w:val="00991C4B"/>
    <w:rsid w:val="009938D8"/>
    <w:rsid w:val="0099411B"/>
    <w:rsid w:val="0099464D"/>
    <w:rsid w:val="00994BB5"/>
    <w:rsid w:val="00994D80"/>
    <w:rsid w:val="009A4582"/>
    <w:rsid w:val="009A7263"/>
    <w:rsid w:val="009B7F08"/>
    <w:rsid w:val="009C01C4"/>
    <w:rsid w:val="009C1242"/>
    <w:rsid w:val="009C205E"/>
    <w:rsid w:val="009C20EA"/>
    <w:rsid w:val="009C5079"/>
    <w:rsid w:val="009C789B"/>
    <w:rsid w:val="009D1AFF"/>
    <w:rsid w:val="009D20C5"/>
    <w:rsid w:val="009D31A7"/>
    <w:rsid w:val="009D3550"/>
    <w:rsid w:val="009D4641"/>
    <w:rsid w:val="009D69F1"/>
    <w:rsid w:val="009D6E07"/>
    <w:rsid w:val="009E113B"/>
    <w:rsid w:val="009E689B"/>
    <w:rsid w:val="009E6F3D"/>
    <w:rsid w:val="009F4560"/>
    <w:rsid w:val="009F4662"/>
    <w:rsid w:val="009F4EB1"/>
    <w:rsid w:val="00A05E9D"/>
    <w:rsid w:val="00A06AAF"/>
    <w:rsid w:val="00A073E0"/>
    <w:rsid w:val="00A17F94"/>
    <w:rsid w:val="00A268C7"/>
    <w:rsid w:val="00A26C04"/>
    <w:rsid w:val="00A278DA"/>
    <w:rsid w:val="00A30AA8"/>
    <w:rsid w:val="00A311F0"/>
    <w:rsid w:val="00A4044E"/>
    <w:rsid w:val="00A40AA7"/>
    <w:rsid w:val="00A44943"/>
    <w:rsid w:val="00A456C6"/>
    <w:rsid w:val="00A474D9"/>
    <w:rsid w:val="00A47781"/>
    <w:rsid w:val="00A56228"/>
    <w:rsid w:val="00A57711"/>
    <w:rsid w:val="00A612C0"/>
    <w:rsid w:val="00A62DAF"/>
    <w:rsid w:val="00A637DA"/>
    <w:rsid w:val="00A65EE1"/>
    <w:rsid w:val="00A800FB"/>
    <w:rsid w:val="00A81EC8"/>
    <w:rsid w:val="00A82767"/>
    <w:rsid w:val="00A82A7A"/>
    <w:rsid w:val="00A84600"/>
    <w:rsid w:val="00A85AAD"/>
    <w:rsid w:val="00A86F8F"/>
    <w:rsid w:val="00A92DE6"/>
    <w:rsid w:val="00A93B4B"/>
    <w:rsid w:val="00A93DF7"/>
    <w:rsid w:val="00A9407F"/>
    <w:rsid w:val="00A95951"/>
    <w:rsid w:val="00A95C22"/>
    <w:rsid w:val="00A964B6"/>
    <w:rsid w:val="00AA0394"/>
    <w:rsid w:val="00AA1FA6"/>
    <w:rsid w:val="00AA5DB5"/>
    <w:rsid w:val="00AB417C"/>
    <w:rsid w:val="00AB4EDD"/>
    <w:rsid w:val="00AB6261"/>
    <w:rsid w:val="00AB720D"/>
    <w:rsid w:val="00AC210B"/>
    <w:rsid w:val="00AC417D"/>
    <w:rsid w:val="00AC48DC"/>
    <w:rsid w:val="00AC5263"/>
    <w:rsid w:val="00AC657F"/>
    <w:rsid w:val="00AC6E32"/>
    <w:rsid w:val="00AD19AF"/>
    <w:rsid w:val="00AD495E"/>
    <w:rsid w:val="00AD6896"/>
    <w:rsid w:val="00AE2D7D"/>
    <w:rsid w:val="00AE3301"/>
    <w:rsid w:val="00AE3AAE"/>
    <w:rsid w:val="00AE7F06"/>
    <w:rsid w:val="00AF0B5C"/>
    <w:rsid w:val="00AF2927"/>
    <w:rsid w:val="00AF2E2E"/>
    <w:rsid w:val="00AF43F2"/>
    <w:rsid w:val="00AF7EC2"/>
    <w:rsid w:val="00B0197A"/>
    <w:rsid w:val="00B05B38"/>
    <w:rsid w:val="00B06C4F"/>
    <w:rsid w:val="00B07266"/>
    <w:rsid w:val="00B07AE6"/>
    <w:rsid w:val="00B11BF8"/>
    <w:rsid w:val="00B128D8"/>
    <w:rsid w:val="00B14E32"/>
    <w:rsid w:val="00B17F1D"/>
    <w:rsid w:val="00B2146F"/>
    <w:rsid w:val="00B232A8"/>
    <w:rsid w:val="00B23BA2"/>
    <w:rsid w:val="00B256FD"/>
    <w:rsid w:val="00B304AE"/>
    <w:rsid w:val="00B3091D"/>
    <w:rsid w:val="00B310C4"/>
    <w:rsid w:val="00B325F1"/>
    <w:rsid w:val="00B3504F"/>
    <w:rsid w:val="00B4363A"/>
    <w:rsid w:val="00B43D3A"/>
    <w:rsid w:val="00B44F73"/>
    <w:rsid w:val="00B54680"/>
    <w:rsid w:val="00B54F03"/>
    <w:rsid w:val="00B75BDC"/>
    <w:rsid w:val="00B76341"/>
    <w:rsid w:val="00B7792E"/>
    <w:rsid w:val="00B83280"/>
    <w:rsid w:val="00B87E17"/>
    <w:rsid w:val="00B927D8"/>
    <w:rsid w:val="00B92D2D"/>
    <w:rsid w:val="00B94A0A"/>
    <w:rsid w:val="00B95257"/>
    <w:rsid w:val="00B97BA2"/>
    <w:rsid w:val="00BA0172"/>
    <w:rsid w:val="00BA3C08"/>
    <w:rsid w:val="00BA3D39"/>
    <w:rsid w:val="00BA3E49"/>
    <w:rsid w:val="00BA56DA"/>
    <w:rsid w:val="00BA736A"/>
    <w:rsid w:val="00BA7A54"/>
    <w:rsid w:val="00BA7DDC"/>
    <w:rsid w:val="00BB0639"/>
    <w:rsid w:val="00BB119E"/>
    <w:rsid w:val="00BB2FB0"/>
    <w:rsid w:val="00BB3FA7"/>
    <w:rsid w:val="00BB40C3"/>
    <w:rsid w:val="00BB45D8"/>
    <w:rsid w:val="00BB485F"/>
    <w:rsid w:val="00BB4D25"/>
    <w:rsid w:val="00BB6579"/>
    <w:rsid w:val="00BC0FD9"/>
    <w:rsid w:val="00BC2536"/>
    <w:rsid w:val="00BC629F"/>
    <w:rsid w:val="00BC76FD"/>
    <w:rsid w:val="00BD6780"/>
    <w:rsid w:val="00BE1485"/>
    <w:rsid w:val="00BE69E6"/>
    <w:rsid w:val="00BE7DAF"/>
    <w:rsid w:val="00BF464D"/>
    <w:rsid w:val="00BF6C4C"/>
    <w:rsid w:val="00C05583"/>
    <w:rsid w:val="00C0713F"/>
    <w:rsid w:val="00C07697"/>
    <w:rsid w:val="00C07DC2"/>
    <w:rsid w:val="00C13B8D"/>
    <w:rsid w:val="00C16223"/>
    <w:rsid w:val="00C1764A"/>
    <w:rsid w:val="00C220FF"/>
    <w:rsid w:val="00C226A0"/>
    <w:rsid w:val="00C26A49"/>
    <w:rsid w:val="00C27DF2"/>
    <w:rsid w:val="00C31D07"/>
    <w:rsid w:val="00C439DE"/>
    <w:rsid w:val="00C45589"/>
    <w:rsid w:val="00C50E3B"/>
    <w:rsid w:val="00C51C7C"/>
    <w:rsid w:val="00C51FAC"/>
    <w:rsid w:val="00C52647"/>
    <w:rsid w:val="00C54B3F"/>
    <w:rsid w:val="00C57277"/>
    <w:rsid w:val="00C57AF1"/>
    <w:rsid w:val="00C60804"/>
    <w:rsid w:val="00C62521"/>
    <w:rsid w:val="00C64933"/>
    <w:rsid w:val="00C64E0E"/>
    <w:rsid w:val="00C64EC5"/>
    <w:rsid w:val="00C65D84"/>
    <w:rsid w:val="00C7156D"/>
    <w:rsid w:val="00C7171B"/>
    <w:rsid w:val="00C71D8F"/>
    <w:rsid w:val="00C72E01"/>
    <w:rsid w:val="00C762CC"/>
    <w:rsid w:val="00C76B5F"/>
    <w:rsid w:val="00C7709D"/>
    <w:rsid w:val="00C80FAD"/>
    <w:rsid w:val="00C812C9"/>
    <w:rsid w:val="00C81323"/>
    <w:rsid w:val="00C861DA"/>
    <w:rsid w:val="00C874D5"/>
    <w:rsid w:val="00C902EB"/>
    <w:rsid w:val="00C95C97"/>
    <w:rsid w:val="00CA0EE7"/>
    <w:rsid w:val="00CA10C1"/>
    <w:rsid w:val="00CA2D96"/>
    <w:rsid w:val="00CA3815"/>
    <w:rsid w:val="00CA3C25"/>
    <w:rsid w:val="00CA4E53"/>
    <w:rsid w:val="00CA55D0"/>
    <w:rsid w:val="00CA6F98"/>
    <w:rsid w:val="00CB16AF"/>
    <w:rsid w:val="00CB1E70"/>
    <w:rsid w:val="00CB3DC3"/>
    <w:rsid w:val="00CB4C2A"/>
    <w:rsid w:val="00CC0B21"/>
    <w:rsid w:val="00CC3F44"/>
    <w:rsid w:val="00CC404F"/>
    <w:rsid w:val="00CC4A24"/>
    <w:rsid w:val="00CC4D44"/>
    <w:rsid w:val="00CC57BD"/>
    <w:rsid w:val="00CC5C30"/>
    <w:rsid w:val="00CC7463"/>
    <w:rsid w:val="00CC798E"/>
    <w:rsid w:val="00CD4716"/>
    <w:rsid w:val="00CD522A"/>
    <w:rsid w:val="00CD56A4"/>
    <w:rsid w:val="00CD6711"/>
    <w:rsid w:val="00CE22DA"/>
    <w:rsid w:val="00CE4F6D"/>
    <w:rsid w:val="00CE5860"/>
    <w:rsid w:val="00CE6369"/>
    <w:rsid w:val="00D01849"/>
    <w:rsid w:val="00D04EF6"/>
    <w:rsid w:val="00D05EC3"/>
    <w:rsid w:val="00D140CA"/>
    <w:rsid w:val="00D175DF"/>
    <w:rsid w:val="00D21E92"/>
    <w:rsid w:val="00D317A8"/>
    <w:rsid w:val="00D34FE4"/>
    <w:rsid w:val="00D402B7"/>
    <w:rsid w:val="00D42A15"/>
    <w:rsid w:val="00D4698E"/>
    <w:rsid w:val="00D500EB"/>
    <w:rsid w:val="00D51D9A"/>
    <w:rsid w:val="00D52952"/>
    <w:rsid w:val="00D53B25"/>
    <w:rsid w:val="00D54A5D"/>
    <w:rsid w:val="00D56654"/>
    <w:rsid w:val="00D604A7"/>
    <w:rsid w:val="00D60F78"/>
    <w:rsid w:val="00D62A57"/>
    <w:rsid w:val="00D654B6"/>
    <w:rsid w:val="00D71586"/>
    <w:rsid w:val="00D746D9"/>
    <w:rsid w:val="00D77300"/>
    <w:rsid w:val="00D80A25"/>
    <w:rsid w:val="00D813AF"/>
    <w:rsid w:val="00D84EEB"/>
    <w:rsid w:val="00D90B7D"/>
    <w:rsid w:val="00D91B82"/>
    <w:rsid w:val="00D942F6"/>
    <w:rsid w:val="00D96DE0"/>
    <w:rsid w:val="00D976E3"/>
    <w:rsid w:val="00DA4985"/>
    <w:rsid w:val="00DA7079"/>
    <w:rsid w:val="00DA72B4"/>
    <w:rsid w:val="00DB1FF0"/>
    <w:rsid w:val="00DB33FB"/>
    <w:rsid w:val="00DC0CF8"/>
    <w:rsid w:val="00DC5E0D"/>
    <w:rsid w:val="00DD03AE"/>
    <w:rsid w:val="00DD0573"/>
    <w:rsid w:val="00DD28B7"/>
    <w:rsid w:val="00DD2E9B"/>
    <w:rsid w:val="00DD4F0B"/>
    <w:rsid w:val="00DD5AEC"/>
    <w:rsid w:val="00DE44CE"/>
    <w:rsid w:val="00DE6AF4"/>
    <w:rsid w:val="00DF0B5F"/>
    <w:rsid w:val="00DF2EFB"/>
    <w:rsid w:val="00DF3188"/>
    <w:rsid w:val="00DF32AA"/>
    <w:rsid w:val="00DF3FBF"/>
    <w:rsid w:val="00DF482F"/>
    <w:rsid w:val="00DF5C80"/>
    <w:rsid w:val="00DF621D"/>
    <w:rsid w:val="00DF768C"/>
    <w:rsid w:val="00E03ED8"/>
    <w:rsid w:val="00E0440E"/>
    <w:rsid w:val="00E05C8A"/>
    <w:rsid w:val="00E06C38"/>
    <w:rsid w:val="00E07ABA"/>
    <w:rsid w:val="00E10778"/>
    <w:rsid w:val="00E11A48"/>
    <w:rsid w:val="00E16128"/>
    <w:rsid w:val="00E204F9"/>
    <w:rsid w:val="00E27873"/>
    <w:rsid w:val="00E300EC"/>
    <w:rsid w:val="00E30C23"/>
    <w:rsid w:val="00E31ACB"/>
    <w:rsid w:val="00E32350"/>
    <w:rsid w:val="00E32413"/>
    <w:rsid w:val="00E36A14"/>
    <w:rsid w:val="00E42A8E"/>
    <w:rsid w:val="00E4452E"/>
    <w:rsid w:val="00E4470A"/>
    <w:rsid w:val="00E45FEF"/>
    <w:rsid w:val="00E467B2"/>
    <w:rsid w:val="00E51824"/>
    <w:rsid w:val="00E531F1"/>
    <w:rsid w:val="00E54450"/>
    <w:rsid w:val="00E56826"/>
    <w:rsid w:val="00E62DAF"/>
    <w:rsid w:val="00E66727"/>
    <w:rsid w:val="00E66EC1"/>
    <w:rsid w:val="00E67643"/>
    <w:rsid w:val="00E72304"/>
    <w:rsid w:val="00E7242C"/>
    <w:rsid w:val="00E76AC7"/>
    <w:rsid w:val="00E818A3"/>
    <w:rsid w:val="00E834F6"/>
    <w:rsid w:val="00E83734"/>
    <w:rsid w:val="00E84246"/>
    <w:rsid w:val="00E85384"/>
    <w:rsid w:val="00E87906"/>
    <w:rsid w:val="00E90BE0"/>
    <w:rsid w:val="00E927D6"/>
    <w:rsid w:val="00E928B0"/>
    <w:rsid w:val="00E9306C"/>
    <w:rsid w:val="00E93981"/>
    <w:rsid w:val="00E9475F"/>
    <w:rsid w:val="00E95081"/>
    <w:rsid w:val="00E95A0B"/>
    <w:rsid w:val="00E962A7"/>
    <w:rsid w:val="00EA0847"/>
    <w:rsid w:val="00EA1769"/>
    <w:rsid w:val="00EA20FA"/>
    <w:rsid w:val="00EA28A3"/>
    <w:rsid w:val="00EA33FA"/>
    <w:rsid w:val="00EA49F5"/>
    <w:rsid w:val="00EA721E"/>
    <w:rsid w:val="00EB0758"/>
    <w:rsid w:val="00EB0BEF"/>
    <w:rsid w:val="00EB251D"/>
    <w:rsid w:val="00EB33AA"/>
    <w:rsid w:val="00EB3DB0"/>
    <w:rsid w:val="00EB4B45"/>
    <w:rsid w:val="00EC0ACB"/>
    <w:rsid w:val="00EC2C56"/>
    <w:rsid w:val="00EC4510"/>
    <w:rsid w:val="00ED1828"/>
    <w:rsid w:val="00ED27DF"/>
    <w:rsid w:val="00EE377F"/>
    <w:rsid w:val="00EE643B"/>
    <w:rsid w:val="00EF0355"/>
    <w:rsid w:val="00EF5B5D"/>
    <w:rsid w:val="00F013D8"/>
    <w:rsid w:val="00F02A29"/>
    <w:rsid w:val="00F0526B"/>
    <w:rsid w:val="00F07AEE"/>
    <w:rsid w:val="00F11B2C"/>
    <w:rsid w:val="00F11FAB"/>
    <w:rsid w:val="00F14552"/>
    <w:rsid w:val="00F226B5"/>
    <w:rsid w:val="00F22809"/>
    <w:rsid w:val="00F2578B"/>
    <w:rsid w:val="00F264E0"/>
    <w:rsid w:val="00F30EDB"/>
    <w:rsid w:val="00F315AB"/>
    <w:rsid w:val="00F322F0"/>
    <w:rsid w:val="00F32827"/>
    <w:rsid w:val="00F34A67"/>
    <w:rsid w:val="00F350E6"/>
    <w:rsid w:val="00F357DA"/>
    <w:rsid w:val="00F364C5"/>
    <w:rsid w:val="00F43189"/>
    <w:rsid w:val="00F43A00"/>
    <w:rsid w:val="00F44336"/>
    <w:rsid w:val="00F44E7C"/>
    <w:rsid w:val="00F4794D"/>
    <w:rsid w:val="00F47D1E"/>
    <w:rsid w:val="00F47FB4"/>
    <w:rsid w:val="00F528D1"/>
    <w:rsid w:val="00F54537"/>
    <w:rsid w:val="00F560C3"/>
    <w:rsid w:val="00F573BB"/>
    <w:rsid w:val="00F6542B"/>
    <w:rsid w:val="00F65714"/>
    <w:rsid w:val="00F66031"/>
    <w:rsid w:val="00F67150"/>
    <w:rsid w:val="00F73B52"/>
    <w:rsid w:val="00F75C19"/>
    <w:rsid w:val="00F77B5F"/>
    <w:rsid w:val="00F801A8"/>
    <w:rsid w:val="00F81482"/>
    <w:rsid w:val="00F81740"/>
    <w:rsid w:val="00F83DC2"/>
    <w:rsid w:val="00F85A01"/>
    <w:rsid w:val="00F860C4"/>
    <w:rsid w:val="00F86624"/>
    <w:rsid w:val="00F9093B"/>
    <w:rsid w:val="00F96260"/>
    <w:rsid w:val="00FB051A"/>
    <w:rsid w:val="00FB31BD"/>
    <w:rsid w:val="00FB3974"/>
    <w:rsid w:val="00FB3DED"/>
    <w:rsid w:val="00FB5BB0"/>
    <w:rsid w:val="00FB716A"/>
    <w:rsid w:val="00FC0A55"/>
    <w:rsid w:val="00FC1621"/>
    <w:rsid w:val="00FC1A91"/>
    <w:rsid w:val="00FC1EAF"/>
    <w:rsid w:val="00FC2E96"/>
    <w:rsid w:val="00FC35CE"/>
    <w:rsid w:val="00FD1A4D"/>
    <w:rsid w:val="00FE7731"/>
    <w:rsid w:val="00FF0D37"/>
    <w:rsid w:val="00FF1FAF"/>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5BF7EB"/>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4FC"/>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B13FD"/>
    <w:pPr>
      <w:tabs>
        <w:tab w:val="right" w:leader="dot" w:pos="8828"/>
      </w:tabs>
      <w:spacing w:after="100" w:line="360" w:lineRule="auto"/>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con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A26C04"/>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33891308">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34514395">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88429.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hyperlink" Target="https://www.saimex.org.mx/saimex/solicitud/downloadAttach/1095755.pag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EDE2C-253C-4B76-9DB2-513597A3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96</Pages>
  <Words>17902</Words>
  <Characters>98466</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15</cp:revision>
  <cp:lastPrinted>2020-01-14T20:13:00Z</cp:lastPrinted>
  <dcterms:created xsi:type="dcterms:W3CDTF">2021-05-21T19:10:00Z</dcterms:created>
  <dcterms:modified xsi:type="dcterms:W3CDTF">2021-06-26T23:26:00Z</dcterms:modified>
</cp:coreProperties>
</file>