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1BD5C" w14:textId="67A306A1" w:rsidR="005E0CA6" w:rsidRPr="004326A0" w:rsidRDefault="005E0CA6" w:rsidP="005E0CA6">
      <w:pPr>
        <w:spacing w:before="240" w:after="240" w:line="360" w:lineRule="auto"/>
        <w:jc w:val="both"/>
        <w:rPr>
          <w:rFonts w:ascii="Palatino Linotype" w:hAnsi="Palatino Linotype" w:cs="Arial"/>
        </w:rPr>
      </w:pPr>
      <w:bookmarkStart w:id="0" w:name="_Hlk24476807"/>
      <w:bookmarkStart w:id="1" w:name="_GoBack"/>
      <w:bookmarkEnd w:id="1"/>
      <w:r w:rsidRPr="004326A0">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4326A0">
        <w:rPr>
          <w:rStyle w:val="normaltextrun"/>
          <w:rFonts w:ascii="Palatino Linotype" w:hAnsi="Palatino Linotype" w:cs="Arial"/>
        </w:rPr>
        <w:t>,</w:t>
      </w:r>
      <w:r w:rsidRPr="004326A0">
        <w:rPr>
          <w:rStyle w:val="apple-converted-space"/>
          <w:rFonts w:ascii="Palatino Linotype" w:hAnsi="Palatino Linotype" w:cs="Arial"/>
        </w:rPr>
        <w:t> </w:t>
      </w:r>
      <w:r w:rsidR="008A5BDF">
        <w:rPr>
          <w:rStyle w:val="normaltextrun"/>
          <w:rFonts w:ascii="Palatino Linotype" w:hAnsi="Palatino Linotype" w:cs="Arial"/>
        </w:rPr>
        <w:t xml:space="preserve">de fecha </w:t>
      </w:r>
      <w:r w:rsidR="00A035F6">
        <w:rPr>
          <w:rStyle w:val="normaltextrun"/>
          <w:rFonts w:ascii="Palatino Linotype" w:hAnsi="Palatino Linotype" w:cs="Arial"/>
          <w:b/>
        </w:rPr>
        <w:t>trece</w:t>
      </w:r>
      <w:r w:rsidR="008E656D">
        <w:rPr>
          <w:rStyle w:val="normaltextrun"/>
          <w:rFonts w:ascii="Palatino Linotype" w:hAnsi="Palatino Linotype" w:cs="Arial"/>
          <w:b/>
        </w:rPr>
        <w:t xml:space="preserve"> de octu</w:t>
      </w:r>
      <w:r w:rsidR="00050CEC" w:rsidRPr="00B65E33">
        <w:rPr>
          <w:rStyle w:val="normaltextrun"/>
          <w:rFonts w:ascii="Palatino Linotype" w:hAnsi="Palatino Linotype" w:cs="Arial"/>
          <w:b/>
        </w:rPr>
        <w:t>bre</w:t>
      </w:r>
      <w:r w:rsidR="00056AE1">
        <w:rPr>
          <w:rStyle w:val="normaltextrun"/>
          <w:rFonts w:ascii="Palatino Linotype" w:hAnsi="Palatino Linotype" w:cs="Arial"/>
          <w:b/>
        </w:rPr>
        <w:t xml:space="preserve"> de dos mil veintiuno</w:t>
      </w:r>
      <w:r w:rsidRPr="004326A0">
        <w:rPr>
          <w:rStyle w:val="normaltextrun"/>
          <w:rFonts w:ascii="Palatino Linotype" w:hAnsi="Palatino Linotype" w:cs="Arial"/>
        </w:rPr>
        <w:t>.</w:t>
      </w:r>
    </w:p>
    <w:p w14:paraId="0EDA3EED" w14:textId="00AEA37C" w:rsidR="005E0CA6" w:rsidRPr="004326A0"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b/>
        </w:rPr>
        <w:t xml:space="preserve">Visto </w:t>
      </w:r>
      <w:r w:rsidRPr="004326A0">
        <w:rPr>
          <w:rFonts w:ascii="Palatino Linotype" w:hAnsi="Palatino Linotype" w:cs="Arial"/>
        </w:rPr>
        <w:t xml:space="preserve">el expediente relativo al recurso de revisión </w:t>
      </w:r>
      <w:r w:rsidR="00A035F6">
        <w:rPr>
          <w:rFonts w:ascii="Palatino Linotype" w:hAnsi="Palatino Linotype" w:cs="Arial"/>
          <w:b/>
          <w:bCs/>
        </w:rPr>
        <w:t>03234</w:t>
      </w:r>
      <w:r w:rsidR="00056AE1">
        <w:rPr>
          <w:rFonts w:ascii="Palatino Linotype" w:hAnsi="Palatino Linotype" w:cs="Arial"/>
          <w:b/>
          <w:bCs/>
        </w:rPr>
        <w:t>/INFOEM/IP/RR/2021</w:t>
      </w:r>
      <w:r w:rsidRPr="004326A0">
        <w:rPr>
          <w:rFonts w:ascii="Palatino Linotype" w:hAnsi="Palatino Linotype" w:cs="Arial"/>
        </w:rPr>
        <w:t>, interpuesto por</w:t>
      </w:r>
      <w:r w:rsidR="00A035F6">
        <w:rPr>
          <w:rFonts w:ascii="Palatino Linotype" w:hAnsi="Palatino Linotype" w:cs="Arial"/>
          <w:b/>
          <w:lang w:val="es-ES_tradnl"/>
        </w:rPr>
        <w:t xml:space="preserve"> un particular de manera anónima</w:t>
      </w:r>
      <w:r w:rsidRPr="004326A0">
        <w:rPr>
          <w:rFonts w:ascii="Palatino Linotype" w:hAnsi="Palatino Linotype" w:cs="Arial"/>
        </w:rPr>
        <w:t xml:space="preserve">, en lo sucesivo </w:t>
      </w:r>
      <w:r w:rsidR="008E656D">
        <w:rPr>
          <w:rFonts w:ascii="Palatino Linotype" w:hAnsi="Palatino Linotype" w:cs="Arial"/>
          <w:b/>
        </w:rPr>
        <w:t>la</w:t>
      </w:r>
      <w:r w:rsidRPr="004326A0">
        <w:rPr>
          <w:rFonts w:ascii="Palatino Linotype" w:hAnsi="Palatino Linotype" w:cs="Arial"/>
        </w:rPr>
        <w:t xml:space="preserve"> </w:t>
      </w:r>
      <w:r w:rsidR="00A035F6">
        <w:rPr>
          <w:rFonts w:ascii="Palatino Linotype" w:hAnsi="Palatino Linotype" w:cs="Arial"/>
        </w:rPr>
        <w:t xml:space="preserve">parte </w:t>
      </w:r>
      <w:r w:rsidR="008E656D">
        <w:rPr>
          <w:rFonts w:ascii="Palatino Linotype" w:hAnsi="Palatino Linotype" w:cs="Arial"/>
          <w:b/>
        </w:rPr>
        <w:t>R</w:t>
      </w:r>
      <w:r w:rsidRPr="004326A0">
        <w:rPr>
          <w:rFonts w:ascii="Palatino Linotype" w:hAnsi="Palatino Linotype" w:cs="Arial"/>
          <w:b/>
        </w:rPr>
        <w:t>ecurrente</w:t>
      </w:r>
      <w:r w:rsidRPr="004326A0">
        <w:rPr>
          <w:rFonts w:ascii="Palatino Linotype" w:hAnsi="Palatino Linotype" w:cs="Arial"/>
        </w:rPr>
        <w:t xml:space="preserve"> en contra de la respuesta emitida a la solicitud de información con número de folio </w:t>
      </w:r>
      <w:r w:rsidR="00A035F6" w:rsidRPr="00A035F6">
        <w:rPr>
          <w:rFonts w:ascii="Palatino Linotype" w:hAnsi="Palatino Linotype" w:cs="Arial"/>
          <w:b/>
          <w:bCs/>
        </w:rPr>
        <w:t>00144/SMOV/IP/2021</w:t>
      </w:r>
      <w:r w:rsidR="00A035F6">
        <w:rPr>
          <w:rFonts w:ascii="Palatino Linotype" w:hAnsi="Palatino Linotype" w:cs="Arial"/>
        </w:rPr>
        <w:t>, por parte de la</w:t>
      </w:r>
      <w:r w:rsidR="00A035F6">
        <w:rPr>
          <w:rFonts w:ascii="Palatino Linotype" w:hAnsi="Palatino Linotype"/>
          <w:b/>
          <w:bCs/>
          <w:sz w:val="22"/>
          <w:szCs w:val="21"/>
        </w:rPr>
        <w:t xml:space="preserve"> </w:t>
      </w:r>
      <w:r w:rsidR="00A035F6" w:rsidRPr="00A035F6">
        <w:rPr>
          <w:rFonts w:ascii="Palatino Linotype" w:hAnsi="Palatino Linotype"/>
          <w:b/>
          <w:bCs/>
          <w:szCs w:val="21"/>
        </w:rPr>
        <w:t>Secretaría de Movilidad</w:t>
      </w:r>
      <w:r w:rsidRPr="004326A0">
        <w:rPr>
          <w:rFonts w:ascii="Palatino Linotype" w:hAnsi="Palatino Linotype" w:cs="Arial"/>
        </w:rPr>
        <w:t xml:space="preserve">, en lo sucesivo el </w:t>
      </w:r>
      <w:r w:rsidR="008A5BDF">
        <w:rPr>
          <w:rFonts w:ascii="Palatino Linotype" w:hAnsi="Palatino Linotype" w:cs="Arial"/>
          <w:b/>
        </w:rPr>
        <w:t>Sujeto Obligado</w:t>
      </w:r>
      <w:r w:rsidRPr="004326A0">
        <w:rPr>
          <w:rFonts w:ascii="Palatino Linotype" w:hAnsi="Palatino Linotype" w:cs="Arial"/>
          <w:b/>
        </w:rPr>
        <w:t xml:space="preserve"> </w:t>
      </w:r>
      <w:r w:rsidRPr="004326A0">
        <w:rPr>
          <w:rFonts w:ascii="Palatino Linotype" w:hAnsi="Palatino Linotype" w:cs="Arial"/>
        </w:rPr>
        <w:t>se procede a dictar la presente resolución, con base en lo siguiente.</w:t>
      </w:r>
    </w:p>
    <w:p w14:paraId="65ACCF08" w14:textId="77777777" w:rsidR="005E0CA6" w:rsidRPr="004326A0" w:rsidRDefault="005E0CA6" w:rsidP="00963DFA">
      <w:pPr>
        <w:pStyle w:val="Prrafodelista"/>
        <w:numPr>
          <w:ilvl w:val="0"/>
          <w:numId w:val="1"/>
        </w:numPr>
        <w:spacing w:before="240" w:after="240" w:line="360" w:lineRule="auto"/>
        <w:ind w:left="426" w:hanging="284"/>
        <w:contextualSpacing/>
        <w:jc w:val="center"/>
        <w:rPr>
          <w:rFonts w:ascii="Palatino Linotype" w:hAnsi="Palatino Linotype" w:cs="Arial"/>
          <w:b/>
          <w:sz w:val="24"/>
          <w:szCs w:val="24"/>
        </w:rPr>
      </w:pPr>
      <w:r w:rsidRPr="004326A0">
        <w:rPr>
          <w:rFonts w:ascii="Palatino Linotype" w:hAnsi="Palatino Linotype" w:cs="Arial"/>
          <w:b/>
          <w:sz w:val="24"/>
          <w:szCs w:val="24"/>
        </w:rPr>
        <w:t>A N T E C E D E N T E S:</w:t>
      </w:r>
    </w:p>
    <w:p w14:paraId="318F43F1" w14:textId="5B8E2F6D" w:rsidR="005E0CA6" w:rsidRPr="004326A0" w:rsidRDefault="005E0CA6" w:rsidP="005E0CA6">
      <w:pPr>
        <w:spacing w:before="240" w:after="240" w:line="360" w:lineRule="auto"/>
        <w:jc w:val="both"/>
        <w:rPr>
          <w:rFonts w:ascii="Palatino Linotype" w:hAnsi="Palatino Linotype" w:cs="Arial"/>
          <w:b/>
        </w:rPr>
      </w:pPr>
      <w:r w:rsidRPr="004326A0">
        <w:rPr>
          <w:rFonts w:ascii="Palatino Linotype" w:hAnsi="Palatino Linotype" w:cs="Arial"/>
          <w:b/>
        </w:rPr>
        <w:t xml:space="preserve">1. Solicitud de acceso a la información. </w:t>
      </w:r>
      <w:r w:rsidR="008E656D">
        <w:rPr>
          <w:rFonts w:ascii="Palatino Linotype" w:hAnsi="Palatino Linotype" w:cs="Arial"/>
        </w:rPr>
        <w:t xml:space="preserve">El </w:t>
      </w:r>
      <w:r w:rsidR="00A035F6" w:rsidRPr="00A035F6">
        <w:rPr>
          <w:rFonts w:ascii="Palatino Linotype" w:hAnsi="Palatino Linotype" w:cs="Arial"/>
          <w:b/>
        </w:rPr>
        <w:t>veinti</w:t>
      </w:r>
      <w:r w:rsidR="00A035F6" w:rsidRPr="008E656D">
        <w:rPr>
          <w:rFonts w:ascii="Palatino Linotype" w:hAnsi="Palatino Linotype" w:cs="Arial"/>
          <w:b/>
        </w:rPr>
        <w:t>dós</w:t>
      </w:r>
      <w:r w:rsidRPr="008A5BDF">
        <w:rPr>
          <w:rFonts w:ascii="Palatino Linotype" w:hAnsi="Palatino Linotype" w:cs="Arial"/>
          <w:b/>
        </w:rPr>
        <w:t xml:space="preserve"> d</w:t>
      </w:r>
      <w:r w:rsidRPr="008921BD">
        <w:rPr>
          <w:rFonts w:ascii="Palatino Linotype" w:hAnsi="Palatino Linotype" w:cs="Arial"/>
          <w:b/>
        </w:rPr>
        <w:t xml:space="preserve">e </w:t>
      </w:r>
      <w:r w:rsidR="00A035F6">
        <w:rPr>
          <w:rFonts w:ascii="Palatino Linotype" w:hAnsi="Palatino Linotype" w:cs="Arial"/>
          <w:b/>
        </w:rPr>
        <w:t>abril</w:t>
      </w:r>
      <w:r w:rsidR="000509AF" w:rsidRPr="008921BD">
        <w:rPr>
          <w:rFonts w:ascii="Palatino Linotype" w:hAnsi="Palatino Linotype" w:cs="Arial"/>
          <w:b/>
        </w:rPr>
        <w:t xml:space="preserve"> </w:t>
      </w:r>
      <w:r w:rsidR="00056AE1">
        <w:rPr>
          <w:rFonts w:ascii="Palatino Linotype" w:hAnsi="Palatino Linotype" w:cs="Arial"/>
          <w:b/>
        </w:rPr>
        <w:t>de dos mil veintiuno</w:t>
      </w:r>
      <w:r w:rsidR="00C93F5E">
        <w:rPr>
          <w:rFonts w:ascii="Palatino Linotype" w:hAnsi="Palatino Linotype" w:cs="Arial"/>
        </w:rPr>
        <w:t xml:space="preserve">, la </w:t>
      </w:r>
      <w:r w:rsidR="00C93F5E" w:rsidRPr="00A035F6">
        <w:rPr>
          <w:rFonts w:ascii="Palatino Linotype" w:hAnsi="Palatino Linotype" w:cs="Arial"/>
          <w:b/>
        </w:rPr>
        <w:t>parte</w:t>
      </w:r>
      <w:r w:rsidR="00C93F5E">
        <w:rPr>
          <w:rFonts w:ascii="Palatino Linotype" w:hAnsi="Palatino Linotype" w:cs="Arial"/>
        </w:rPr>
        <w:t xml:space="preserve"> </w:t>
      </w:r>
      <w:r w:rsidRPr="004326A0">
        <w:rPr>
          <w:rFonts w:ascii="Palatino Linotype" w:hAnsi="Palatino Linotype" w:cs="Arial"/>
          <w:b/>
        </w:rPr>
        <w:t>recurrente</w:t>
      </w:r>
      <w:r w:rsidRPr="004326A0">
        <w:rPr>
          <w:rFonts w:ascii="Palatino Linotype" w:hAnsi="Palatino Linotype" w:cs="Arial"/>
        </w:rPr>
        <w:t xml:space="preserve"> formuló solicitud de acceso a información pública al </w:t>
      </w:r>
      <w:r w:rsidRPr="004326A0">
        <w:rPr>
          <w:rFonts w:ascii="Palatino Linotype" w:hAnsi="Palatino Linotype" w:cs="Arial"/>
          <w:b/>
        </w:rPr>
        <w:t>Sujeto Obligado</w:t>
      </w:r>
      <w:r w:rsidRPr="004326A0">
        <w:rPr>
          <w:rFonts w:ascii="Palatino Linotype" w:hAnsi="Palatino Linotype" w:cs="Arial"/>
        </w:rPr>
        <w:t xml:space="preserve"> a través del Sistema de Acceso a la Información Mexiquense, en adelante </w:t>
      </w:r>
      <w:r w:rsidRPr="004326A0">
        <w:rPr>
          <w:rFonts w:ascii="Palatino Linotype" w:hAnsi="Palatino Linotype" w:cs="Arial"/>
          <w:b/>
        </w:rPr>
        <w:t>SAIMEX,</w:t>
      </w:r>
      <w:r w:rsidRPr="004326A0">
        <w:rPr>
          <w:rFonts w:ascii="Palatino Linotype" w:hAnsi="Palatino Linotype" w:cs="Arial"/>
        </w:rPr>
        <w:t xml:space="preserve"> requiriéndole lo siguiente:</w:t>
      </w:r>
    </w:p>
    <w:p w14:paraId="07370252" w14:textId="3725BC29" w:rsidR="005E0CA6" w:rsidRPr="004326A0" w:rsidRDefault="005E0CA6" w:rsidP="00963DFA">
      <w:pPr>
        <w:autoSpaceDE w:val="0"/>
        <w:autoSpaceDN w:val="0"/>
        <w:adjustRightInd w:val="0"/>
        <w:ind w:left="992" w:right="1043"/>
        <w:jc w:val="both"/>
        <w:rPr>
          <w:rFonts w:ascii="Palatino Linotype" w:hAnsi="Palatino Linotype" w:cs="Arial"/>
          <w:i/>
          <w:sz w:val="22"/>
          <w:szCs w:val="22"/>
        </w:rPr>
      </w:pPr>
      <w:r w:rsidRPr="004326A0">
        <w:rPr>
          <w:rFonts w:ascii="Palatino Linotype" w:hAnsi="Palatino Linotype" w:cs="Arial"/>
          <w:i/>
          <w:sz w:val="22"/>
          <w:szCs w:val="22"/>
        </w:rPr>
        <w:t xml:space="preserve"> “</w:t>
      </w:r>
      <w:r w:rsidR="00A035F6" w:rsidRPr="00A035F6">
        <w:rPr>
          <w:rFonts w:ascii="Palatino Linotype" w:hAnsi="Palatino Linotype" w:cs="Arial"/>
          <w:i/>
          <w:sz w:val="22"/>
          <w:szCs w:val="22"/>
        </w:rPr>
        <w:t>De conformidad con mi derecho de acceso a la información pública solicito se haga entrega de los documentos que acredite la integración del Observatorio Ciudadano en el Estado de México, quienes lo integran , el acta, acuerdo convenio o documento que lo acredite y las acciones que se han realizados mediante este observatorio, que resultados se tiene todo documentado. asimismo se informe la integración el Consejo Directivo con lo documentación de su integración, todos los estudios realizados durante los años 2017,2018,2019,2020 y 2021 en materia de movilidad, de transporte para mejorar el transporte y tarifas.</w:t>
      </w:r>
      <w:r w:rsidR="008E656D" w:rsidRPr="008E656D">
        <w:rPr>
          <w:rFonts w:ascii="Palatino Linotype" w:hAnsi="Palatino Linotype" w:cs="Arial"/>
          <w:i/>
          <w:sz w:val="22"/>
          <w:szCs w:val="22"/>
        </w:rPr>
        <w:t>.</w:t>
      </w:r>
      <w:r w:rsidRPr="004326A0">
        <w:rPr>
          <w:rFonts w:ascii="Palatino Linotype" w:hAnsi="Palatino Linotype" w:cs="Arial"/>
          <w:i/>
          <w:sz w:val="22"/>
          <w:szCs w:val="22"/>
        </w:rPr>
        <w:t>” (sic)</w:t>
      </w:r>
    </w:p>
    <w:p w14:paraId="6460BF35" w14:textId="77777777" w:rsidR="005E0CA6" w:rsidRPr="004326A0" w:rsidRDefault="005E0CA6" w:rsidP="005E0CA6">
      <w:pPr>
        <w:autoSpaceDE w:val="0"/>
        <w:autoSpaceDN w:val="0"/>
        <w:adjustRightInd w:val="0"/>
        <w:ind w:right="1043"/>
        <w:jc w:val="both"/>
        <w:rPr>
          <w:rFonts w:ascii="Palatino Linotype" w:hAnsi="Palatino Linotype"/>
          <w:i/>
          <w:sz w:val="22"/>
          <w:szCs w:val="22"/>
        </w:rPr>
      </w:pPr>
    </w:p>
    <w:p w14:paraId="6E942FAA" w14:textId="77777777" w:rsidR="005E0CA6" w:rsidRPr="004326A0"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b/>
        </w:rPr>
        <w:lastRenderedPageBreak/>
        <w:t xml:space="preserve">Modalidad elegida para la entrega de la información: </w:t>
      </w:r>
      <w:r w:rsidRPr="004326A0">
        <w:rPr>
          <w:rFonts w:ascii="Palatino Linotype" w:hAnsi="Palatino Linotype" w:cs="Arial"/>
        </w:rPr>
        <w:t>a través del SAIMEX.</w:t>
      </w:r>
    </w:p>
    <w:p w14:paraId="45F57DAD" w14:textId="059C2F58" w:rsidR="005E0CA6" w:rsidRPr="004326A0" w:rsidRDefault="005E0CA6" w:rsidP="005E0CA6">
      <w:pPr>
        <w:spacing w:before="240" w:after="240" w:line="360" w:lineRule="auto"/>
        <w:jc w:val="both"/>
        <w:rPr>
          <w:rFonts w:ascii="Palatino Linotype" w:hAnsi="Palatino Linotype" w:cs="Arial"/>
          <w:bCs/>
        </w:rPr>
      </w:pPr>
      <w:r w:rsidRPr="004326A0">
        <w:rPr>
          <w:rFonts w:ascii="Palatino Linotype" w:hAnsi="Palatino Linotype" w:cs="Arial"/>
          <w:b/>
        </w:rPr>
        <w:t xml:space="preserve">2. Respuesta. </w:t>
      </w:r>
      <w:r w:rsidRPr="004326A0">
        <w:rPr>
          <w:rFonts w:ascii="Palatino Linotype" w:hAnsi="Palatino Linotype" w:cs="Arial"/>
        </w:rPr>
        <w:t xml:space="preserve">De las constancias que obran en </w:t>
      </w:r>
      <w:r w:rsidRPr="004326A0">
        <w:rPr>
          <w:rFonts w:ascii="Palatino Linotype" w:hAnsi="Palatino Linotype" w:cs="Arial"/>
          <w:b/>
        </w:rPr>
        <w:t>SAIMEX</w:t>
      </w:r>
      <w:r w:rsidRPr="004326A0">
        <w:rPr>
          <w:rFonts w:ascii="Palatino Linotype" w:hAnsi="Palatino Linotype" w:cs="Arial"/>
        </w:rPr>
        <w:t xml:space="preserve">, se observa que </w:t>
      </w:r>
      <w:r w:rsidRPr="004326A0">
        <w:rPr>
          <w:rFonts w:ascii="Palatino Linotype" w:hAnsi="Palatino Linotype" w:cs="Arial"/>
          <w:b/>
        </w:rPr>
        <w:t xml:space="preserve">El Sujeto Obligado </w:t>
      </w:r>
      <w:r w:rsidR="00DE3525">
        <w:rPr>
          <w:rFonts w:ascii="Palatino Linotype" w:hAnsi="Palatino Linotype" w:cs="Arial"/>
        </w:rPr>
        <w:t xml:space="preserve">en fecha </w:t>
      </w:r>
      <w:r w:rsidR="00A035F6">
        <w:rPr>
          <w:rFonts w:ascii="Palatino Linotype" w:hAnsi="Palatino Linotype" w:cs="Arial"/>
          <w:b/>
        </w:rPr>
        <w:t>catorce</w:t>
      </w:r>
      <w:r w:rsidR="00DE3525" w:rsidRPr="00DE3525">
        <w:rPr>
          <w:rFonts w:ascii="Palatino Linotype" w:hAnsi="Palatino Linotype" w:cs="Arial"/>
          <w:b/>
        </w:rPr>
        <w:t xml:space="preserve"> </w:t>
      </w:r>
      <w:r w:rsidR="00A035F6">
        <w:rPr>
          <w:rFonts w:ascii="Palatino Linotype" w:hAnsi="Palatino Linotype" w:cs="Arial"/>
          <w:b/>
        </w:rPr>
        <w:t>de may</w:t>
      </w:r>
      <w:r w:rsidR="008E656D">
        <w:rPr>
          <w:rFonts w:ascii="Palatino Linotype" w:hAnsi="Palatino Linotype" w:cs="Arial"/>
          <w:b/>
        </w:rPr>
        <w:t>o</w:t>
      </w:r>
      <w:r w:rsidRPr="008921BD">
        <w:rPr>
          <w:rFonts w:ascii="Palatino Linotype" w:hAnsi="Palatino Linotype" w:cs="Arial"/>
          <w:b/>
        </w:rPr>
        <w:t xml:space="preserve"> de d</w:t>
      </w:r>
      <w:r w:rsidR="00DE3525">
        <w:rPr>
          <w:rFonts w:ascii="Palatino Linotype" w:hAnsi="Palatino Linotype" w:cs="Arial"/>
          <w:b/>
        </w:rPr>
        <w:t>os mil veintiuno</w:t>
      </w:r>
      <w:r w:rsidRPr="008921BD">
        <w:rPr>
          <w:rFonts w:ascii="Palatino Linotype" w:hAnsi="Palatino Linotype" w:cs="Arial"/>
          <w:b/>
        </w:rPr>
        <w:t xml:space="preserve"> </w:t>
      </w:r>
      <w:r w:rsidRPr="004326A0">
        <w:rPr>
          <w:rFonts w:ascii="Palatino Linotype" w:hAnsi="Palatino Linotype" w:cs="Arial"/>
        </w:rPr>
        <w:t>emitió respuesta, en los siguientes términos:</w:t>
      </w:r>
    </w:p>
    <w:p w14:paraId="7D1E68E4" w14:textId="528583EC" w:rsidR="00467CAE" w:rsidRPr="008A5BDF" w:rsidRDefault="008A5BDF" w:rsidP="00A035F6">
      <w:pPr>
        <w:ind w:left="567" w:right="851"/>
        <w:jc w:val="both"/>
        <w:rPr>
          <w:rFonts w:ascii="Palatino Linotype" w:hAnsi="Palatino Linotype" w:cs="Arial"/>
          <w:i/>
          <w:sz w:val="22"/>
          <w:szCs w:val="22"/>
        </w:rPr>
      </w:pPr>
      <w:r>
        <w:rPr>
          <w:rFonts w:ascii="Palatino Linotype" w:hAnsi="Palatino Linotype" w:cs="Arial"/>
          <w:i/>
          <w:sz w:val="22"/>
          <w:szCs w:val="22"/>
        </w:rPr>
        <w:t>“</w:t>
      </w:r>
      <w:r w:rsidR="00A035F6" w:rsidRPr="00A035F6">
        <w:rPr>
          <w:rFonts w:ascii="Palatino Linotype" w:hAnsi="Palatino Linotype" w:cs="Arial"/>
          <w:i/>
          <w:sz w:val="22"/>
          <w:szCs w:val="22"/>
        </w:rPr>
        <w:t xml:space="preserve">En respuesta a su petición número 00144/SMOV/IP/2021, a través de la cual solicitó la siguiente información: “…De conformidad con mi derecho de acceso a la información pública solicito se haga entrega de los documentos que acredite la integración del Observatorio Ciudadano en el Estado de México, quienes lo integran , el acta, acuerdo convenio o documento que lo acredite y las acciones que se han realizados mediante este observatorio, que resultados se tiene todo documentado. asimismo se informe la integración el Consejo Directivo con lo documentación de su integración, todos los estudios realizados durante los años 2017,2018,2019,2020 y 2021 en materia de movilidad, de transporte para mejorar el transporte y tarifas…” (sic); de conformidad con lo dispuesto en los artículos 6 apartado A y 8 de la Constitución Política de los Estados Unidos Mexicanos; 5 de la Constitución Política del Estado Libre y Soberano de México; 1, 2, 3, 15, 19 fracción XVI y 32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hago de su conocimiento lo siguiente: La Vocal Ejecutiva del Instituto del Transporte del Estado de México y Servidora Pública Habilitada, informó a la que suscribe que por lo que se refiere a “los documentos que acredite la integración del Observatorio Ciudadano en el Estado de México, quienes lo integran, el acta, acuerdo convenio o documento que lo acredite”; se adjunta al presente el acta constitutiva del Observatorio Ciudadano. Asimismo, me permito informar que el Observatorio Ciudadano en busca de la inclusión y contar con diferentes opiniones respecto de la movilidad, se encuentra constituido por representantes del sector social, representantes del sector académico y representantes del sector privados, mismos que se adjuntan en formato pdf al presente para pronta referencia. Ahora bien, respecto a “las acciones que se han realizados mediante este observatorio, que resultados se tiene todo documentado.”; se adjunta al presente la sesión informativa del Observatorio Ciudadano. Bajo esa tesitura, se recabó información de las necesidades en materia de movilidad y se generaron vínculos de trabajo con el sector social, publico y académico, con lo cual se cuenta con diferentes vertientes y puntos de vista necesarios para </w:t>
      </w:r>
      <w:r w:rsidR="00A035F6" w:rsidRPr="00A035F6">
        <w:rPr>
          <w:rFonts w:ascii="Palatino Linotype" w:hAnsi="Palatino Linotype" w:cs="Arial"/>
          <w:i/>
          <w:sz w:val="22"/>
          <w:szCs w:val="22"/>
        </w:rPr>
        <w:lastRenderedPageBreak/>
        <w:t xml:space="preserve">generar alternativas de solución a los problemas de movilidad en el Estado de México y con base a las atribuciones del Instituto del Transporte, se cuenta con la información referida, debidamente documentada. En este sentido, por lo que se refiere a “la integración el Consejo Directivo con lo documentación de su integración”; con base al Reglamento del Transporte Publico y Servicios Conexos del Estado de México en su artículo 148; La Dirección del Instituto estará a cargo del Consejo Directivo y de un Vocal Ejecutivo. El cargo de miembro del Consejo será honorífico, excepto el de Vocal Ejecutivo. El Consejo Directivo será el órgano máximo del Instituto y se integrará por: I. Un presidente, que será el Subsecretario de Transporte. II. Un Secretario Técnico, que será el Vocal Ejecutivo, designado por el Secretario, quien no tendrá voto en las sesiones de Consejo. III. Los vocales permanentes siguientes: a) El Director General de la Junta de Caminos. b) El Director General del Sistema de Autopistas, Aeropuertos, Servicios Conexos y Auxiliares. c) El Director General de Transporte Terrestre. d) El Director General de Transporte Masivo. e) El Director General de Vialidad. f) Un representante de la Secretaría de Ecología. g) Un representante de la Procuraduría General de Justicia Este documento lo puede consultar en https://legislacion.edomex.gob.mx/sites/legislacion.edomex.gob.mx/files/files/pdf/rgl/vig/rglvig118.pdf , para mayor referencia, adjunto al presente en formato pdf. El Instituto del Transporte del Estado de México a partir de la fusión de la Secretaría de Movilidad y la Secretaría de Comunicaciones, se encuentra en una restructuración legislativa, por tal motivo, no se han presentado acciones que generen documentaciones referentes al Consejo Directivo. Por último, respecto a “todos los estudios realizados durante los años 2017,2018,2019,2020 y 2021 en materia de movilidad, de transporte para mejorar el transporte y tarifas”; se hace de su conocimiento los estudios que se realizaron en los años en mención, mismos que se adjuntan al presente en formato pdf. 2017 ESTUDIO PARA EL POSIBLE AJUSTE TARIFARIO. SERVICIO PÚBLICO DE TRANSPORTE EN LA MODALIDAD DE COLECTIVO (AUTOBÚS). 2018 ESTUDIO PRELIMINAR PARA EL POSIBLE AJUSTE TARIFARIO. PARA EL SERVICIO REGULAR DE PASAJE EN LAS MODALIDADES DE SERVICIO DISCRECIONAL DE PASAJE EN: INDIVIDUAL EN AUTOMOVIL ALQUILER DE RADIO SERVICIO INDIVIDUAL EN AUTOMOVIL ALQUILER SIN BASE INDIVIDUAL EN AUTOMOVIL ALQUILER DE SITIO. 2019 PROGRAMA DE IMPLEMENTACIÓN DE CORREDORES DE MEDIANA CAPACIDAD PARA LA ZONA METROPOLITANA DEL VALLE DE MÉXICO (ZMVM). 2020 ANÁLISIS PARA FIJAR Y ACTUALIZAR LAS BASES PARA ESTABLECER LA NORMA TÉCNICA QUE PERMITA DETERMINAR LAS TARIFAS DEL SERVICIO PÚBLICO DEL TRANSPORTE. 2021 ANÁLISIS PARA FIJAR Y ACTUALIZAR LAS BASES PARA ESTABLECER LA NORMA TÉCNICA QUE </w:t>
      </w:r>
      <w:r w:rsidR="00A035F6" w:rsidRPr="00A035F6">
        <w:rPr>
          <w:rFonts w:ascii="Palatino Linotype" w:hAnsi="Palatino Linotype" w:cs="Arial"/>
          <w:i/>
          <w:sz w:val="22"/>
          <w:szCs w:val="22"/>
        </w:rPr>
        <w:lastRenderedPageBreak/>
        <w:t>PERMITA DETERMINAR LAS TARIFAS DEL SERVICIO PÚBLICO DEL TRANSPORTE.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w:t>
      </w:r>
      <w:r>
        <w:rPr>
          <w:rFonts w:ascii="Palatino Linotype" w:hAnsi="Palatino Linotype" w:cs="Arial"/>
          <w:i/>
          <w:sz w:val="22"/>
          <w:szCs w:val="22"/>
        </w:rPr>
        <w:t>”</w:t>
      </w:r>
      <w:r w:rsidR="008E656D">
        <w:rPr>
          <w:rFonts w:ascii="Palatino Linotype" w:hAnsi="Palatino Linotype" w:cs="Arial"/>
          <w:i/>
          <w:sz w:val="22"/>
          <w:szCs w:val="22"/>
        </w:rPr>
        <w:t xml:space="preserve"> (Sic)</w:t>
      </w:r>
    </w:p>
    <w:p w14:paraId="12AAE6D2" w14:textId="77777777" w:rsidR="00467CAE" w:rsidRDefault="00467CAE" w:rsidP="005E0CA6">
      <w:pPr>
        <w:ind w:right="851"/>
        <w:jc w:val="both"/>
        <w:rPr>
          <w:rFonts w:ascii="Palatino Linotype" w:hAnsi="Palatino Linotype" w:cs="Arial"/>
          <w:b/>
          <w:sz w:val="22"/>
          <w:szCs w:val="22"/>
        </w:rPr>
      </w:pPr>
    </w:p>
    <w:p w14:paraId="6BDA17C2" w14:textId="258A63C6" w:rsidR="008E656D" w:rsidRPr="008E656D" w:rsidRDefault="008921BD" w:rsidP="008E656D">
      <w:pPr>
        <w:ind w:right="851"/>
        <w:jc w:val="both"/>
        <w:rPr>
          <w:rFonts w:ascii="Palatino Linotype" w:hAnsi="Palatino Linotype" w:cs="Arial"/>
          <w:b/>
          <w:sz w:val="22"/>
          <w:szCs w:val="22"/>
        </w:rPr>
      </w:pPr>
      <w:r>
        <w:rPr>
          <w:rFonts w:ascii="Palatino Linotype" w:hAnsi="Palatino Linotype" w:cs="Arial"/>
          <w:b/>
          <w:sz w:val="22"/>
          <w:szCs w:val="22"/>
        </w:rPr>
        <w:t xml:space="preserve">Archivos adjuntos: </w:t>
      </w:r>
    </w:p>
    <w:p w14:paraId="6017A029" w14:textId="0CD9959C" w:rsidR="00A035F6" w:rsidRPr="00A035F6" w:rsidRDefault="00A035F6" w:rsidP="00A035F6">
      <w:pPr>
        <w:spacing w:line="360" w:lineRule="auto"/>
        <w:ind w:right="851"/>
        <w:jc w:val="both"/>
        <w:rPr>
          <w:rFonts w:ascii="Palatino Linotype" w:hAnsi="Palatino Linotype" w:cs="Arial"/>
          <w:b/>
          <w:i/>
        </w:rPr>
      </w:pPr>
    </w:p>
    <w:p w14:paraId="05682435" w14:textId="5790F338" w:rsidR="00A035F6" w:rsidRPr="00A035F6" w:rsidRDefault="00A035F6" w:rsidP="00A035F6">
      <w:pPr>
        <w:pStyle w:val="Prrafodelista"/>
        <w:numPr>
          <w:ilvl w:val="0"/>
          <w:numId w:val="18"/>
        </w:numPr>
        <w:spacing w:line="360" w:lineRule="auto"/>
        <w:ind w:right="851"/>
        <w:jc w:val="both"/>
        <w:rPr>
          <w:rFonts w:ascii="Palatino Linotype" w:hAnsi="Palatino Linotype" w:cs="Arial"/>
          <w:b/>
          <w:i/>
        </w:rPr>
      </w:pPr>
      <w:r>
        <w:rPr>
          <w:rFonts w:ascii="Palatino Linotype" w:hAnsi="Palatino Linotype" w:cs="Arial"/>
          <w:b/>
          <w:i/>
        </w:rPr>
        <w:t>“</w:t>
      </w:r>
      <w:r w:rsidRPr="00A035F6">
        <w:rPr>
          <w:rFonts w:ascii="Palatino Linotype" w:hAnsi="Palatino Linotype" w:cs="Arial"/>
          <w:b/>
          <w:i/>
        </w:rPr>
        <w:t>3 Acciones Observatorio C 14.05.2019-.pdf</w:t>
      </w:r>
      <w:r>
        <w:rPr>
          <w:rFonts w:ascii="Palatino Linotype" w:hAnsi="Palatino Linotype" w:cs="Arial"/>
          <w:b/>
          <w:i/>
        </w:rPr>
        <w:t xml:space="preserve">”: </w:t>
      </w:r>
      <w:r>
        <w:rPr>
          <w:rFonts w:ascii="Palatino Linotype" w:hAnsi="Palatino Linotype" w:cs="Arial"/>
        </w:rPr>
        <w:t xml:space="preserve">Presentación de sesión informativa por el que se dan </w:t>
      </w:r>
      <w:r w:rsidRPr="00A035F6">
        <w:rPr>
          <w:rFonts w:ascii="Palatino Linotype" w:hAnsi="Palatino Linotype" w:cs="Arial"/>
        </w:rPr>
        <w:t>a conocer a los integrantes del Observatorio Ciudadano de Movilidad, las acciones, programas y estrategias que desarrolla la Secretaría del ramo, como parte de la Política Pública de Movilidad para impulsar la competitividad, elevar la productividad de las personas y hacer más humano el traslado de los Mexiquenses.</w:t>
      </w:r>
    </w:p>
    <w:p w14:paraId="0741BA88" w14:textId="1923235F" w:rsidR="00A035F6" w:rsidRPr="005B5F00" w:rsidRDefault="00A035F6" w:rsidP="00A035F6">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2018 Estudio NT Taxi.pdf</w:t>
      </w:r>
      <w:r>
        <w:rPr>
          <w:rFonts w:ascii="Palatino Linotype" w:hAnsi="Palatino Linotype" w:cs="Arial"/>
          <w:b/>
          <w:i/>
        </w:rPr>
        <w:t xml:space="preserve">”: </w:t>
      </w:r>
      <w:r w:rsidR="005B5F00">
        <w:rPr>
          <w:rFonts w:ascii="Palatino Linotype" w:hAnsi="Palatino Linotype" w:cs="Arial"/>
        </w:rPr>
        <w:t>Estudio Preliminar para el posible ajuste tarifario para el servicio regular de pasaje en las modalidades de servicio discrecional de pasaje e</w:t>
      </w:r>
      <w:r w:rsidR="005B5F00" w:rsidRPr="005B5F00">
        <w:rPr>
          <w:rFonts w:ascii="Palatino Linotype" w:hAnsi="Palatino Linotype" w:cs="Arial"/>
        </w:rPr>
        <w:t>n: Individual En Automóvil Alquiler De Radio Servicio Individual En Automóvil Alquiler Sin Base Individual En Automóvil Alquiler De Sitio</w:t>
      </w:r>
      <w:r w:rsidR="005B5F00">
        <w:rPr>
          <w:rFonts w:ascii="Palatino Linotype" w:hAnsi="Palatino Linotype" w:cs="Arial"/>
        </w:rPr>
        <w:t>.</w:t>
      </w:r>
    </w:p>
    <w:p w14:paraId="7F9DAC80" w14:textId="7EC9A32C" w:rsidR="00A035F6" w:rsidRPr="00A035F6" w:rsidRDefault="00A035F6" w:rsidP="00A035F6">
      <w:pPr>
        <w:pStyle w:val="Prrafodelista"/>
        <w:numPr>
          <w:ilvl w:val="0"/>
          <w:numId w:val="18"/>
        </w:numPr>
        <w:spacing w:line="360" w:lineRule="auto"/>
        <w:ind w:right="851"/>
        <w:jc w:val="both"/>
        <w:rPr>
          <w:rFonts w:ascii="Palatino Linotype" w:hAnsi="Palatino Linotype" w:cs="Arial"/>
          <w:b/>
          <w:i/>
        </w:rPr>
      </w:pPr>
      <w:r>
        <w:rPr>
          <w:rFonts w:ascii="Palatino Linotype" w:hAnsi="Palatino Linotype" w:cs="Arial"/>
          <w:b/>
          <w:i/>
        </w:rPr>
        <w:t>“</w:t>
      </w:r>
      <w:r w:rsidRPr="00A035F6">
        <w:rPr>
          <w:rFonts w:ascii="Palatino Linotype" w:hAnsi="Palatino Linotype" w:cs="Arial"/>
          <w:b/>
          <w:i/>
        </w:rPr>
        <w:t>1 ACTA INST OBSE CIUDADANO.pdf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Acta de instalación del Observatorio Ciudadano de Movilidad del Estado de México.</w:t>
      </w:r>
    </w:p>
    <w:p w14:paraId="5EEF9413" w14:textId="6847C4E1" w:rsidR="00A035F6" w:rsidRPr="00A035F6" w:rsidRDefault="00A035F6" w:rsidP="00A035F6">
      <w:pPr>
        <w:pStyle w:val="Prrafodelista"/>
        <w:numPr>
          <w:ilvl w:val="0"/>
          <w:numId w:val="18"/>
        </w:numPr>
        <w:spacing w:line="360" w:lineRule="auto"/>
        <w:ind w:right="851"/>
        <w:jc w:val="both"/>
        <w:rPr>
          <w:rFonts w:ascii="Palatino Linotype" w:hAnsi="Palatino Linotype" w:cs="Arial"/>
          <w:b/>
          <w:i/>
        </w:rPr>
      </w:pPr>
      <w:r>
        <w:rPr>
          <w:rFonts w:ascii="Palatino Linotype" w:hAnsi="Palatino Linotype" w:cs="Arial"/>
          <w:b/>
          <w:i/>
        </w:rPr>
        <w:lastRenderedPageBreak/>
        <w:t>“</w:t>
      </w:r>
      <w:r w:rsidRPr="00A035F6">
        <w:rPr>
          <w:rFonts w:ascii="Palatino Linotype" w:hAnsi="Palatino Linotype" w:cs="Arial"/>
          <w:b/>
          <w:i/>
        </w:rPr>
        <w:t>Reglamento Interno.pdf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Reglamento del Transporte Pú</w:t>
      </w:r>
      <w:r w:rsidR="005B5F00" w:rsidRPr="005B5F00">
        <w:rPr>
          <w:rFonts w:ascii="Palatino Linotype" w:hAnsi="Palatino Linotype" w:cs="Arial"/>
        </w:rPr>
        <w:t xml:space="preserve">blico </w:t>
      </w:r>
      <w:r w:rsidR="005B5F00">
        <w:rPr>
          <w:rFonts w:ascii="Palatino Linotype" w:hAnsi="Palatino Linotype" w:cs="Arial"/>
        </w:rPr>
        <w:t>y</w:t>
      </w:r>
      <w:r w:rsidR="005B5F00" w:rsidRPr="005B5F00">
        <w:rPr>
          <w:rFonts w:ascii="Palatino Linotype" w:hAnsi="Palatino Linotype" w:cs="Arial"/>
        </w:rPr>
        <w:t xml:space="preserve"> Se</w:t>
      </w:r>
      <w:r w:rsidR="005B5F00">
        <w:rPr>
          <w:rFonts w:ascii="Palatino Linotype" w:hAnsi="Palatino Linotype" w:cs="Arial"/>
        </w:rPr>
        <w:t>rvicios Conexos Del Estado De Mé</w:t>
      </w:r>
      <w:r w:rsidR="005B5F00" w:rsidRPr="005B5F00">
        <w:rPr>
          <w:rFonts w:ascii="Palatino Linotype" w:hAnsi="Palatino Linotype" w:cs="Arial"/>
        </w:rPr>
        <w:t>xico</w:t>
      </w:r>
    </w:p>
    <w:p w14:paraId="28107432" w14:textId="75F1BFF9" w:rsidR="00A035F6" w:rsidRPr="005B5F00" w:rsidRDefault="00A035F6" w:rsidP="00A035F6">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2017 ESTUDIO TARIFARIO s autobús $9.81 julio 2017.pdf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Estudio para el posible ajuste t</w:t>
      </w:r>
      <w:r w:rsidR="005B5F00" w:rsidRPr="005B5F00">
        <w:rPr>
          <w:rFonts w:ascii="Palatino Linotype" w:hAnsi="Palatino Linotype" w:cs="Arial"/>
        </w:rPr>
        <w:t>arifario. Servicio Púb</w:t>
      </w:r>
      <w:r w:rsidR="005B5F00">
        <w:rPr>
          <w:rFonts w:ascii="Palatino Linotype" w:hAnsi="Palatino Linotype" w:cs="Arial"/>
        </w:rPr>
        <w:t>lico de Transporte en la modalidad de c</w:t>
      </w:r>
      <w:r w:rsidR="005B5F00" w:rsidRPr="005B5F00">
        <w:rPr>
          <w:rFonts w:ascii="Palatino Linotype" w:hAnsi="Palatino Linotype" w:cs="Arial"/>
        </w:rPr>
        <w:t>olectivo (Autobús)</w:t>
      </w:r>
    </w:p>
    <w:p w14:paraId="1A466D18" w14:textId="45F5A08D" w:rsidR="00A035F6" w:rsidRPr="005B5F00" w:rsidRDefault="00A035F6" w:rsidP="00A035F6">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Reglamento de transpoprte y Sc.pdf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Reglamento del Transporte Público y servicios conexos del Estado d</w:t>
      </w:r>
      <w:r w:rsidR="005B5F00" w:rsidRPr="005B5F00">
        <w:rPr>
          <w:rFonts w:ascii="Palatino Linotype" w:hAnsi="Palatino Linotype" w:cs="Arial"/>
        </w:rPr>
        <w:t>e México</w:t>
      </w:r>
    </w:p>
    <w:p w14:paraId="1AD3FDC6" w14:textId="56464E1F" w:rsidR="00A035F6" w:rsidRPr="005B5F00" w:rsidRDefault="00A035F6" w:rsidP="00A035F6">
      <w:pPr>
        <w:pStyle w:val="Prrafodelista"/>
        <w:numPr>
          <w:ilvl w:val="0"/>
          <w:numId w:val="18"/>
        </w:numPr>
        <w:spacing w:line="360" w:lineRule="auto"/>
        <w:ind w:right="851"/>
        <w:jc w:val="both"/>
        <w:rPr>
          <w:rFonts w:ascii="Palatino Linotype" w:hAnsi="Palatino Linotype" w:cs="Arial"/>
          <w:i/>
        </w:rPr>
      </w:pPr>
      <w:r>
        <w:rPr>
          <w:rFonts w:ascii="Palatino Linotype" w:hAnsi="Palatino Linotype" w:cs="Arial"/>
          <w:b/>
          <w:i/>
        </w:rPr>
        <w:t>“</w:t>
      </w:r>
      <w:r w:rsidRPr="00A035F6">
        <w:rPr>
          <w:rFonts w:ascii="Palatino Linotype" w:hAnsi="Palatino Linotype" w:cs="Arial"/>
          <w:b/>
          <w:i/>
        </w:rPr>
        <w:t>2020 ESTUDIO TARIFAS.pdf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Análisis para fijar y a</w:t>
      </w:r>
      <w:r w:rsidR="005B5F00" w:rsidRPr="005B5F00">
        <w:rPr>
          <w:rFonts w:ascii="Palatino Linotype" w:hAnsi="Palatino Linotype" w:cs="Arial"/>
        </w:rPr>
        <w:t>ctual</w:t>
      </w:r>
      <w:r w:rsidR="005B5F00">
        <w:rPr>
          <w:rFonts w:ascii="Palatino Linotype" w:hAnsi="Palatino Linotype" w:cs="Arial"/>
        </w:rPr>
        <w:t>izar las Bases para establecer la Norma Técnica que permita determinar las Tarifas del Servicio Público d</w:t>
      </w:r>
      <w:r w:rsidR="005B5F00" w:rsidRPr="005B5F00">
        <w:rPr>
          <w:rFonts w:ascii="Palatino Linotype" w:hAnsi="Palatino Linotype" w:cs="Arial"/>
        </w:rPr>
        <w:t>el Transporte.</w:t>
      </w:r>
    </w:p>
    <w:p w14:paraId="51BB566B" w14:textId="2B0DA21A" w:rsidR="00A035F6" w:rsidRPr="005B5F00" w:rsidRDefault="00A035F6" w:rsidP="005B5F00">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2019 CORREDORES DE MEDIANA CAPACIDAD.pdf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Programa de Implementación  de Corredores d</w:t>
      </w:r>
      <w:r w:rsidR="005B5F00" w:rsidRPr="005B5F00">
        <w:rPr>
          <w:rFonts w:ascii="Palatino Linotype" w:hAnsi="Palatino Linotype" w:cs="Arial"/>
        </w:rPr>
        <w:t>e Median</w:t>
      </w:r>
      <w:r w:rsidR="005B5F00">
        <w:rPr>
          <w:rFonts w:ascii="Palatino Linotype" w:hAnsi="Palatino Linotype" w:cs="Arial"/>
        </w:rPr>
        <w:t xml:space="preserve">a Capacidad para la Zona  Metropolitana del Valle de </w:t>
      </w:r>
      <w:r w:rsidR="005B5F00" w:rsidRPr="005B5F00">
        <w:rPr>
          <w:rFonts w:ascii="Palatino Linotype" w:hAnsi="Palatino Linotype" w:cs="Arial"/>
        </w:rPr>
        <w:t>México (Zmvm) Resumen Ejecutivo</w:t>
      </w:r>
    </w:p>
    <w:p w14:paraId="1AEF1746" w14:textId="7958C484" w:rsidR="00A035F6" w:rsidRPr="005B5F00" w:rsidRDefault="00A035F6" w:rsidP="005B5F00">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2021 Estudio.pdf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Análisis para fijar y actualizar las Bases  para establecer la Norma Técnica que permita determinar las tarifas del Servicio Público d</w:t>
      </w:r>
      <w:r w:rsidR="005B5F00" w:rsidRPr="005B5F00">
        <w:rPr>
          <w:rFonts w:ascii="Palatino Linotype" w:hAnsi="Palatino Linotype" w:cs="Arial"/>
        </w:rPr>
        <w:t>el Transporte.</w:t>
      </w:r>
    </w:p>
    <w:p w14:paraId="6B6735D3" w14:textId="714F3AF1" w:rsidR="00A035F6" w:rsidRDefault="00A035F6" w:rsidP="00A035F6">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 Integrantes OB Ciudadano.pdf</w:t>
      </w:r>
      <w:r>
        <w:rPr>
          <w:rFonts w:ascii="Palatino Linotype" w:hAnsi="Palatino Linotype" w:cs="Arial"/>
          <w:b/>
          <w:i/>
        </w:rPr>
        <w:t>”:</w:t>
      </w:r>
      <w:r w:rsidR="005B5F00">
        <w:rPr>
          <w:rFonts w:ascii="Palatino Linotype" w:hAnsi="Palatino Linotype" w:cs="Arial"/>
          <w:b/>
          <w:i/>
        </w:rPr>
        <w:t xml:space="preserve"> </w:t>
      </w:r>
      <w:r w:rsidR="005B5F00">
        <w:rPr>
          <w:rFonts w:ascii="Palatino Linotype" w:hAnsi="Palatino Linotype" w:cs="Arial"/>
        </w:rPr>
        <w:t>Listado con los integrantes del Observatorio Ciudadano.</w:t>
      </w:r>
    </w:p>
    <w:p w14:paraId="0E4C82A7" w14:textId="32A8DA3D" w:rsidR="0060556D" w:rsidRPr="00541CBF" w:rsidRDefault="005E0CA6" w:rsidP="008A5BDF">
      <w:pPr>
        <w:spacing w:before="240" w:after="240" w:line="360" w:lineRule="auto"/>
        <w:jc w:val="both"/>
        <w:rPr>
          <w:rFonts w:ascii="Palatino Linotype" w:hAnsi="Palatino Linotype" w:cs="Arial"/>
          <w:b/>
        </w:rPr>
      </w:pPr>
      <w:r w:rsidRPr="008A5BDF">
        <w:rPr>
          <w:rFonts w:ascii="Palatino Linotype" w:hAnsi="Palatino Linotype"/>
          <w:b/>
        </w:rPr>
        <w:t>3.</w:t>
      </w:r>
      <w:r w:rsidRPr="008A5BDF">
        <w:rPr>
          <w:rFonts w:ascii="Palatino Linotype" w:hAnsi="Palatino Linotype" w:cs="Arial"/>
          <w:b/>
        </w:rPr>
        <w:t xml:space="preserve"> Interposición del recurso de revisión. </w:t>
      </w:r>
      <w:r w:rsidRPr="008A5BDF">
        <w:rPr>
          <w:rFonts w:ascii="Palatino Linotype" w:hAnsi="Palatino Linotype" w:cs="Arial"/>
        </w:rPr>
        <w:t xml:space="preserve">Inconforme el solicitante con la respuesta del Sujeto Obligado interpuso recurso de revisión a través del SAIMEX con fecha </w:t>
      </w:r>
      <w:r w:rsidR="0095111F">
        <w:rPr>
          <w:rFonts w:ascii="Palatino Linotype" w:hAnsi="Palatino Linotype" w:cs="Arial"/>
          <w:b/>
        </w:rPr>
        <w:t>treinta y uno de may</w:t>
      </w:r>
      <w:r w:rsidR="00B82BF7">
        <w:rPr>
          <w:rFonts w:ascii="Palatino Linotype" w:hAnsi="Palatino Linotype" w:cs="Arial"/>
          <w:b/>
        </w:rPr>
        <w:t>o de dos mil veintiuno</w:t>
      </w:r>
      <w:r w:rsidRPr="008A5BDF">
        <w:rPr>
          <w:rFonts w:ascii="Palatino Linotype" w:hAnsi="Palatino Linotype" w:cs="Arial"/>
        </w:rPr>
        <w:t>, a través del cual expresó lo siguiente:</w:t>
      </w:r>
    </w:p>
    <w:p w14:paraId="1CBA738D" w14:textId="77777777" w:rsidR="005E0CA6" w:rsidRPr="004326A0" w:rsidRDefault="005E0CA6" w:rsidP="00B82BF7">
      <w:pPr>
        <w:spacing w:line="360" w:lineRule="auto"/>
        <w:ind w:left="567" w:right="900"/>
        <w:rPr>
          <w:rFonts w:ascii="Palatino Linotype" w:hAnsi="Palatino Linotype" w:cs="Arial"/>
          <w:b/>
        </w:rPr>
      </w:pPr>
      <w:r w:rsidRPr="004326A0">
        <w:rPr>
          <w:rFonts w:ascii="Palatino Linotype" w:hAnsi="Palatino Linotype" w:cs="Arial"/>
          <w:b/>
        </w:rPr>
        <w:t>a) Acto impugnado.</w:t>
      </w:r>
    </w:p>
    <w:p w14:paraId="37EFAA76" w14:textId="4673E156" w:rsidR="005E0CA6" w:rsidRPr="004326A0" w:rsidRDefault="005E0CA6" w:rsidP="00B82BF7">
      <w:pPr>
        <w:spacing w:before="240" w:after="240"/>
        <w:ind w:left="567" w:right="900"/>
        <w:jc w:val="both"/>
        <w:rPr>
          <w:rFonts w:ascii="Palatino Linotype" w:hAnsi="Palatino Linotype" w:cs="Arial"/>
          <w:i/>
        </w:rPr>
      </w:pPr>
      <w:r w:rsidRPr="004326A0">
        <w:rPr>
          <w:rFonts w:ascii="Palatino Linotype" w:hAnsi="Palatino Linotype" w:cs="Arial"/>
          <w:i/>
          <w:sz w:val="22"/>
          <w:szCs w:val="22"/>
        </w:rPr>
        <w:t xml:space="preserve"> “</w:t>
      </w:r>
      <w:r w:rsidR="005B5F00" w:rsidRPr="005B5F00">
        <w:rPr>
          <w:rFonts w:ascii="Palatino Linotype" w:hAnsi="Palatino Linotype" w:cs="Arial"/>
          <w:bCs/>
          <w:i/>
          <w:sz w:val="22"/>
          <w:szCs w:val="22"/>
        </w:rPr>
        <w:t>Se vulnera mis derechos de acceso a la información pública ya que no me hacen entrega de la información solicitada.</w:t>
      </w:r>
      <w:r w:rsidRPr="00BD5405">
        <w:rPr>
          <w:rFonts w:ascii="Palatino Linotype" w:hAnsi="Palatino Linotype" w:cs="Arial"/>
          <w:i/>
        </w:rPr>
        <w:t>”</w:t>
      </w:r>
      <w:r w:rsidRPr="004326A0">
        <w:rPr>
          <w:rFonts w:ascii="Palatino Linotype" w:hAnsi="Palatino Linotype" w:cs="Arial"/>
          <w:i/>
        </w:rPr>
        <w:t xml:space="preserve"> (sic)</w:t>
      </w:r>
    </w:p>
    <w:p w14:paraId="382D6137" w14:textId="77777777" w:rsidR="005945F5" w:rsidRDefault="005945F5" w:rsidP="00B82BF7">
      <w:pPr>
        <w:spacing w:line="360" w:lineRule="auto"/>
        <w:ind w:left="567" w:right="900"/>
        <w:jc w:val="both"/>
        <w:rPr>
          <w:rFonts w:ascii="Palatino Linotype" w:hAnsi="Palatino Linotype" w:cs="Arial"/>
          <w:b/>
        </w:rPr>
      </w:pPr>
    </w:p>
    <w:p w14:paraId="2CA56FE1" w14:textId="10FE3BD1" w:rsidR="005E0CA6" w:rsidRPr="00B82BF7" w:rsidRDefault="005E0CA6" w:rsidP="00B82BF7">
      <w:pPr>
        <w:spacing w:line="360" w:lineRule="auto"/>
        <w:ind w:left="567" w:right="900"/>
        <w:jc w:val="both"/>
        <w:rPr>
          <w:rFonts w:ascii="Palatino Linotype" w:hAnsi="Palatino Linotype" w:cs="Arial"/>
          <w:b/>
        </w:rPr>
      </w:pPr>
      <w:r w:rsidRPr="004326A0">
        <w:rPr>
          <w:rFonts w:ascii="Palatino Linotype" w:hAnsi="Palatino Linotype" w:cs="Arial"/>
          <w:b/>
        </w:rPr>
        <w:t>b) Motivos de inconformidad.</w:t>
      </w:r>
    </w:p>
    <w:p w14:paraId="61C1D60A" w14:textId="097EBF46" w:rsidR="005E0CA6" w:rsidRPr="004326A0" w:rsidRDefault="005E0CA6" w:rsidP="00B82BF7">
      <w:pPr>
        <w:ind w:left="567" w:right="900"/>
        <w:jc w:val="both"/>
        <w:rPr>
          <w:rFonts w:ascii="Palatino Linotype" w:hAnsi="Palatino Linotype" w:cs="Arial"/>
          <w:i/>
          <w:sz w:val="22"/>
          <w:szCs w:val="22"/>
        </w:rPr>
      </w:pPr>
      <w:r w:rsidRPr="004326A0">
        <w:rPr>
          <w:rFonts w:ascii="Palatino Linotype" w:hAnsi="Palatino Linotype" w:cs="Arial"/>
          <w:i/>
          <w:sz w:val="22"/>
          <w:szCs w:val="22"/>
        </w:rPr>
        <w:t>“</w:t>
      </w:r>
      <w:r w:rsidR="005B5F00" w:rsidRPr="005B5F00">
        <w:rPr>
          <w:rFonts w:ascii="Palatino Linotype" w:hAnsi="Palatino Linotype"/>
          <w:bCs/>
          <w:i/>
          <w:sz w:val="22"/>
          <w:szCs w:val="22"/>
        </w:rPr>
        <w:t>En razón que la información que proporciona no es una información clara, por lo que hace a las actas de instalación no lo es ya que una acta debe ser de manera formar con el contenido y las firmas de quien lo integra de como quedo conformado el Observatorio, eso más bien parece una lista de asistencia, por lo que hace a los estudios ejecutivos que dicen hacen entrega pero la realidad es que lo que entregan están incompleto ya que solo es una portada y un hoja, con un programa o metas, eso no es un estudio cualquiera a todas luces lo puede observar, por lo que hace a los estudios tarifarios solo hacen entrega de unos estudios incompletos se puede observar, por lo que hace al integración del Consejo Directivo no hacen entrega de la información, y tampoco, por lo que se puede ver que no cumplen con el derecho de acceso a la información, pública y que además debe ser pública por ser generada por una dependencia.</w:t>
      </w:r>
      <w:r w:rsidR="005945F5" w:rsidRPr="005945F5">
        <w:rPr>
          <w:rFonts w:ascii="Palatino Linotype" w:hAnsi="Palatino Linotype"/>
          <w:bCs/>
          <w:i/>
          <w:sz w:val="22"/>
          <w:szCs w:val="22"/>
        </w:rPr>
        <w:t>.</w:t>
      </w:r>
      <w:r w:rsidRPr="00BD5405">
        <w:rPr>
          <w:rFonts w:ascii="Palatino Linotype" w:hAnsi="Palatino Linotype" w:cs="Arial"/>
          <w:i/>
          <w:sz w:val="22"/>
          <w:szCs w:val="22"/>
        </w:rPr>
        <w:t>”</w:t>
      </w:r>
      <w:r w:rsidRPr="004326A0">
        <w:rPr>
          <w:rFonts w:ascii="Palatino Linotype" w:hAnsi="Palatino Linotype" w:cs="Arial"/>
          <w:i/>
          <w:sz w:val="22"/>
          <w:szCs w:val="22"/>
        </w:rPr>
        <w:t xml:space="preserve"> (sic)</w:t>
      </w:r>
    </w:p>
    <w:p w14:paraId="643D3807" w14:textId="77777777" w:rsidR="005E0CA6" w:rsidRPr="004326A0" w:rsidRDefault="005E0CA6" w:rsidP="00B82BF7">
      <w:pPr>
        <w:ind w:left="567" w:right="900"/>
        <w:jc w:val="both"/>
        <w:rPr>
          <w:rFonts w:ascii="Palatino Linotype" w:hAnsi="Palatino Linotype" w:cs="Arial"/>
          <w:i/>
          <w:sz w:val="22"/>
          <w:szCs w:val="22"/>
        </w:rPr>
      </w:pPr>
    </w:p>
    <w:p w14:paraId="2C53241F" w14:textId="3A632B35" w:rsidR="005E0CA6" w:rsidRPr="004326A0" w:rsidRDefault="005E0CA6" w:rsidP="005E0CA6">
      <w:pPr>
        <w:spacing w:before="240" w:after="240" w:line="360" w:lineRule="auto"/>
        <w:jc w:val="both"/>
        <w:rPr>
          <w:rFonts w:ascii="Palatino Linotype" w:hAnsi="Palatino Linotype"/>
        </w:rPr>
      </w:pPr>
      <w:r w:rsidRPr="004326A0">
        <w:rPr>
          <w:rFonts w:ascii="Palatino Linotype" w:hAnsi="Palatino Linotype" w:cs="Arial"/>
          <w:b/>
        </w:rPr>
        <w:t xml:space="preserve">4. </w:t>
      </w:r>
      <w:r w:rsidRPr="004326A0">
        <w:rPr>
          <w:rFonts w:ascii="Palatino Linotype" w:hAnsi="Palatino Linotype"/>
          <w:b/>
        </w:rPr>
        <w:t xml:space="preserve">Turno. </w:t>
      </w:r>
      <w:r w:rsidRPr="004326A0">
        <w:rPr>
          <w:rFonts w:ascii="Palatino Linotype" w:hAnsi="Palatino Linotype"/>
        </w:rPr>
        <w:t xml:space="preserve">De conformidad con el artículo 185 fracción I </w:t>
      </w:r>
      <w:r w:rsidRPr="004326A0">
        <w:rPr>
          <w:rFonts w:ascii="Palatino Linotype" w:hAnsi="Palatino Linotype"/>
          <w:shd w:val="clear" w:color="auto" w:fill="FFFFFF"/>
        </w:rPr>
        <w:t>de la Ley Transparencia y Acceso a la Información Pública</w:t>
      </w:r>
      <w:r w:rsidRPr="004326A0">
        <w:rPr>
          <w:rFonts w:ascii="Palatino Linotype" w:hAnsi="Palatino Linotype" w:cs="Arial"/>
        </w:rPr>
        <w:t xml:space="preserve">, el recurso de revisión número </w:t>
      </w:r>
      <w:r w:rsidRPr="004326A0">
        <w:rPr>
          <w:rFonts w:ascii="Palatino Linotype" w:hAnsi="Palatino Linotype" w:cs="Arial"/>
          <w:b/>
        </w:rPr>
        <w:t>0</w:t>
      </w:r>
      <w:r w:rsidR="005B5F00">
        <w:rPr>
          <w:rFonts w:ascii="Palatino Linotype" w:hAnsi="Palatino Linotype" w:cs="Arial"/>
          <w:b/>
        </w:rPr>
        <w:t>3234</w:t>
      </w:r>
      <w:r w:rsidRPr="004326A0">
        <w:rPr>
          <w:rFonts w:ascii="Palatino Linotype" w:hAnsi="Palatino Linotype" w:cs="Arial"/>
          <w:b/>
        </w:rPr>
        <w:t>/INFOEM/IP/RR/20</w:t>
      </w:r>
      <w:r w:rsidR="005B5F00">
        <w:rPr>
          <w:rFonts w:ascii="Palatino Linotype" w:hAnsi="Palatino Linotype" w:cs="Arial"/>
          <w:b/>
        </w:rPr>
        <w:t>21</w:t>
      </w:r>
      <w:r w:rsidR="002C4AD5" w:rsidRPr="004326A0">
        <w:rPr>
          <w:rFonts w:ascii="Palatino Linotype" w:hAnsi="Palatino Linotype" w:cs="Arial"/>
          <w:b/>
        </w:rPr>
        <w:t xml:space="preserve"> </w:t>
      </w:r>
      <w:r w:rsidRPr="004326A0">
        <w:rPr>
          <w:rFonts w:ascii="Palatino Linotype" w:hAnsi="Palatino Linotype" w:cs="Arial"/>
          <w:bCs/>
          <w:lang w:eastAsia="es-MX"/>
        </w:rPr>
        <w:t xml:space="preserve">fue </w:t>
      </w:r>
      <w:r w:rsidR="005B5F00">
        <w:rPr>
          <w:rFonts w:ascii="Palatino Linotype" w:hAnsi="Palatino Linotype"/>
        </w:rPr>
        <w:t xml:space="preserve">turnado al </w:t>
      </w:r>
      <w:r w:rsidR="005B5F00" w:rsidRPr="005B5F00">
        <w:rPr>
          <w:rFonts w:ascii="Palatino Linotype" w:hAnsi="Palatino Linotype"/>
          <w:b/>
        </w:rPr>
        <w:t>entonces Comisionado Javier Martínez</w:t>
      </w:r>
      <w:r w:rsidR="005B5F00">
        <w:rPr>
          <w:rFonts w:ascii="Palatino Linotype" w:hAnsi="Palatino Linotype"/>
        </w:rPr>
        <w:t xml:space="preserve"> </w:t>
      </w:r>
      <w:r w:rsidR="005B5F00" w:rsidRPr="0095111F">
        <w:rPr>
          <w:rFonts w:ascii="Palatino Linotype" w:hAnsi="Palatino Linotype"/>
          <w:b/>
        </w:rPr>
        <w:t>Cruz</w:t>
      </w:r>
      <w:r w:rsidR="005945F5" w:rsidRPr="0095111F">
        <w:rPr>
          <w:rFonts w:ascii="Palatino Linotype" w:hAnsi="Palatino Linotype" w:cs="Arial"/>
          <w:b/>
          <w:lang w:val="es-ES_tradnl"/>
        </w:rPr>
        <w:t xml:space="preserve"> </w:t>
      </w:r>
      <w:r w:rsidRPr="004326A0">
        <w:rPr>
          <w:rFonts w:ascii="Palatino Linotype" w:hAnsi="Palatino Linotype"/>
        </w:rPr>
        <w:t>a efecto de presentar al Pleno el proyecto de resolución correspondiente.</w:t>
      </w:r>
    </w:p>
    <w:p w14:paraId="63DD9C9A" w14:textId="4EB473A3" w:rsidR="002C4AD5" w:rsidRPr="004326A0" w:rsidRDefault="00467CAE" w:rsidP="002C4AD5">
      <w:pPr>
        <w:spacing w:before="240" w:after="240" w:line="360" w:lineRule="auto"/>
        <w:jc w:val="both"/>
        <w:rPr>
          <w:rFonts w:ascii="Palatino Linotype" w:hAnsi="Palatino Linotype"/>
        </w:rPr>
      </w:pPr>
      <w:r>
        <w:rPr>
          <w:rFonts w:ascii="Palatino Linotype" w:hAnsi="Palatino Linotype"/>
          <w:b/>
        </w:rPr>
        <w:t>5</w:t>
      </w:r>
      <w:r w:rsidR="002C4AD5" w:rsidRPr="004326A0">
        <w:rPr>
          <w:rFonts w:ascii="Palatino Linotype" w:hAnsi="Palatino Linotype"/>
          <w:b/>
        </w:rPr>
        <w:t xml:space="preserve">. Admisión. </w:t>
      </w:r>
      <w:r>
        <w:rPr>
          <w:rFonts w:ascii="Palatino Linotype" w:hAnsi="Palatino Linotype"/>
        </w:rPr>
        <w:t xml:space="preserve">El </w:t>
      </w:r>
      <w:r w:rsidR="00154BEF">
        <w:rPr>
          <w:rFonts w:ascii="Palatino Linotype" w:hAnsi="Palatino Linotype"/>
          <w:b/>
        </w:rPr>
        <w:t>tres de junio</w:t>
      </w:r>
      <w:r w:rsidR="00950002">
        <w:rPr>
          <w:rFonts w:ascii="Palatino Linotype" w:hAnsi="Palatino Linotype"/>
          <w:b/>
        </w:rPr>
        <w:t xml:space="preserve"> de dos mil veintiuno</w:t>
      </w:r>
      <w:r w:rsidR="002C4AD5" w:rsidRPr="004326A0">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14:paraId="4150C2E0" w14:textId="1F4419DC" w:rsidR="00154BEF" w:rsidRDefault="00467CAE" w:rsidP="002C4AD5">
      <w:pPr>
        <w:spacing w:before="240" w:after="240" w:line="360" w:lineRule="auto"/>
        <w:jc w:val="both"/>
        <w:rPr>
          <w:rFonts w:ascii="Palatino Linotype" w:hAnsi="Palatino Linotype" w:cs="Arial"/>
        </w:rPr>
      </w:pPr>
      <w:r w:rsidRPr="00467CAE">
        <w:rPr>
          <w:rFonts w:ascii="Palatino Linotype" w:hAnsi="Palatino Linotype" w:cs="Arial"/>
          <w:b/>
        </w:rPr>
        <w:t>6. Manifestaciones</w:t>
      </w:r>
      <w:r w:rsidR="002C4AD5" w:rsidRPr="00467CAE">
        <w:rPr>
          <w:rFonts w:ascii="Palatino Linotype" w:hAnsi="Palatino Linotype" w:cs="Arial"/>
          <w:b/>
        </w:rPr>
        <w:t xml:space="preserve">. </w:t>
      </w:r>
      <w:bookmarkStart w:id="2" w:name="_Hlk51223473"/>
      <w:r w:rsidR="002C4AD5" w:rsidRPr="00467CAE">
        <w:rPr>
          <w:rFonts w:ascii="Palatino Linotype" w:hAnsi="Palatino Linotype" w:cs="Arial"/>
        </w:rPr>
        <w:t xml:space="preserve">De las constancias que obran en el expediente electrónico del SAIMEX se desprende que el </w:t>
      </w:r>
      <w:r w:rsidR="002C4AD5" w:rsidRPr="00467CAE">
        <w:rPr>
          <w:rFonts w:ascii="Palatino Linotype" w:hAnsi="Palatino Linotype" w:cs="Arial"/>
          <w:b/>
        </w:rPr>
        <w:t>Sujeto Obligado</w:t>
      </w:r>
      <w:r w:rsidRPr="00467CAE">
        <w:rPr>
          <w:rFonts w:ascii="Palatino Linotype" w:hAnsi="Palatino Linotype" w:cs="Arial"/>
        </w:rPr>
        <w:t xml:space="preserve"> el </w:t>
      </w:r>
      <w:r w:rsidR="00154BEF">
        <w:rPr>
          <w:rFonts w:ascii="Palatino Linotype" w:hAnsi="Palatino Linotype" w:cs="Arial"/>
          <w:b/>
        </w:rPr>
        <w:t>catorce de junio</w:t>
      </w:r>
      <w:r w:rsidR="002C4AD5" w:rsidRPr="00467CAE">
        <w:rPr>
          <w:rFonts w:ascii="Palatino Linotype" w:hAnsi="Palatino Linotype" w:cs="Arial"/>
          <w:b/>
        </w:rPr>
        <w:t xml:space="preserve"> del presente</w:t>
      </w:r>
      <w:r w:rsidR="002C4AD5" w:rsidRPr="00467CAE">
        <w:rPr>
          <w:rFonts w:ascii="Palatino Linotype" w:hAnsi="Palatino Linotype" w:cs="Arial"/>
        </w:rPr>
        <w:t xml:space="preserve"> </w:t>
      </w:r>
      <w:r w:rsidR="002C4AD5" w:rsidRPr="00467CAE">
        <w:rPr>
          <w:rFonts w:ascii="Palatino Linotype" w:hAnsi="Palatino Linotype" w:cs="Arial"/>
          <w:b/>
        </w:rPr>
        <w:t xml:space="preserve">año </w:t>
      </w:r>
      <w:r w:rsidR="002C4AD5" w:rsidRPr="00467CAE">
        <w:rPr>
          <w:rFonts w:ascii="Palatino Linotype" w:hAnsi="Palatino Linotype" w:cs="Arial"/>
        </w:rPr>
        <w:t>rindió su informe justificado, adjuntando los archivos electrónicos siguientes:</w:t>
      </w:r>
    </w:p>
    <w:p w14:paraId="12A0C725" w14:textId="64A2D4ED" w:rsidR="00154BEF" w:rsidRPr="00AF5CCE" w:rsidRDefault="00AF5CCE" w:rsidP="00AF5CCE">
      <w:pPr>
        <w:spacing w:before="240" w:after="240" w:line="360" w:lineRule="auto"/>
        <w:ind w:left="567" w:right="900"/>
        <w:jc w:val="both"/>
        <w:rPr>
          <w:rFonts w:ascii="Palatino Linotype" w:hAnsi="Palatino Linotype" w:cs="Arial"/>
          <w:b/>
          <w:i/>
          <w:sz w:val="22"/>
        </w:rPr>
      </w:pPr>
      <w:r w:rsidRPr="00AF5CCE">
        <w:rPr>
          <w:rFonts w:ascii="Palatino Linotype" w:hAnsi="Palatino Linotype" w:cs="Arial"/>
          <w:b/>
          <w:i/>
          <w:sz w:val="22"/>
        </w:rPr>
        <w:t>“</w:t>
      </w:r>
      <w:r w:rsidR="00154BEF" w:rsidRPr="00AF5CCE">
        <w:rPr>
          <w:rFonts w:ascii="Palatino Linotype" w:hAnsi="Palatino Linotype" w:cs="Arial"/>
          <w:b/>
          <w:i/>
          <w:sz w:val="22"/>
        </w:rPr>
        <w:t>2017 ESTUDIO TARIFARIO autobús $9.81 (2).pdf</w:t>
      </w:r>
      <w:r w:rsidRPr="00AF5CCE">
        <w:rPr>
          <w:rFonts w:ascii="Palatino Linotype" w:hAnsi="Palatino Linotype" w:cs="Arial"/>
          <w:b/>
          <w:i/>
          <w:sz w:val="22"/>
        </w:rPr>
        <w:t>”, “</w:t>
      </w:r>
      <w:r w:rsidR="00154BEF" w:rsidRPr="00AF5CCE">
        <w:rPr>
          <w:rFonts w:ascii="Palatino Linotype" w:hAnsi="Palatino Linotype" w:cs="Arial"/>
          <w:b/>
          <w:i/>
          <w:sz w:val="22"/>
        </w:rPr>
        <w:t>2018 Estudio NT Taxi (1).pdf</w:t>
      </w:r>
      <w:r w:rsidRPr="00AF5CCE">
        <w:rPr>
          <w:rFonts w:ascii="Palatino Linotype" w:hAnsi="Palatino Linotype" w:cs="Arial"/>
          <w:b/>
          <w:i/>
          <w:sz w:val="22"/>
        </w:rPr>
        <w:t>” “</w:t>
      </w:r>
      <w:r w:rsidR="00154BEF" w:rsidRPr="00AF5CCE">
        <w:rPr>
          <w:rFonts w:ascii="Palatino Linotype" w:hAnsi="Palatino Linotype" w:cs="Arial"/>
          <w:b/>
          <w:i/>
          <w:sz w:val="22"/>
        </w:rPr>
        <w:t>2019 ESTUDIO TECNICO COMPLETO.pdf</w:t>
      </w:r>
      <w:r w:rsidRPr="00AF5CCE">
        <w:rPr>
          <w:rFonts w:ascii="Palatino Linotype" w:hAnsi="Palatino Linotype" w:cs="Arial"/>
          <w:b/>
          <w:i/>
          <w:sz w:val="22"/>
        </w:rPr>
        <w:t>”, “</w:t>
      </w:r>
      <w:r w:rsidR="00154BEF" w:rsidRPr="00AF5CCE">
        <w:rPr>
          <w:rFonts w:ascii="Palatino Linotype" w:hAnsi="Palatino Linotype" w:cs="Arial"/>
          <w:b/>
          <w:i/>
          <w:sz w:val="22"/>
        </w:rPr>
        <w:t>2020 ESTUDIO TARIFAS (1).pdf</w:t>
      </w:r>
      <w:r w:rsidRPr="00AF5CCE">
        <w:rPr>
          <w:rFonts w:ascii="Palatino Linotype" w:hAnsi="Palatino Linotype" w:cs="Arial"/>
          <w:b/>
          <w:i/>
          <w:sz w:val="22"/>
        </w:rPr>
        <w:t>”, “</w:t>
      </w:r>
      <w:r w:rsidR="00154BEF" w:rsidRPr="00AF5CCE">
        <w:rPr>
          <w:rFonts w:ascii="Palatino Linotype" w:hAnsi="Palatino Linotype" w:cs="Arial"/>
          <w:b/>
          <w:i/>
          <w:sz w:val="22"/>
        </w:rPr>
        <w:t>2019 CORREDOR</w:t>
      </w:r>
      <w:r w:rsidRPr="00AF5CCE">
        <w:rPr>
          <w:rFonts w:ascii="Palatino Linotype" w:hAnsi="Palatino Linotype" w:cs="Arial"/>
          <w:b/>
          <w:i/>
          <w:sz w:val="22"/>
        </w:rPr>
        <w:t>ES DE MEDIANA CAPACIDAD (1).pdf”, “</w:t>
      </w:r>
      <w:r w:rsidR="00154BEF" w:rsidRPr="00AF5CCE">
        <w:rPr>
          <w:rFonts w:ascii="Palatino Linotype" w:hAnsi="Palatino Linotype" w:cs="Arial"/>
          <w:b/>
          <w:i/>
          <w:sz w:val="22"/>
        </w:rPr>
        <w:t>2021 Anlalisis.pdf</w:t>
      </w:r>
      <w:r w:rsidRPr="00AF5CCE">
        <w:rPr>
          <w:rFonts w:ascii="Palatino Linotype" w:hAnsi="Palatino Linotype" w:cs="Arial"/>
          <w:b/>
          <w:i/>
          <w:sz w:val="22"/>
        </w:rPr>
        <w:t>”, “ACTA INST OBSE CIUD.pdf” e “</w:t>
      </w:r>
      <w:r w:rsidR="00154BEF" w:rsidRPr="00AF5CCE">
        <w:rPr>
          <w:rFonts w:ascii="Palatino Linotype" w:hAnsi="Palatino Linotype" w:cs="Arial"/>
          <w:b/>
          <w:i/>
          <w:sz w:val="22"/>
        </w:rPr>
        <w:t>Informe Justific</w:t>
      </w:r>
      <w:r w:rsidRPr="00AF5CCE">
        <w:rPr>
          <w:rFonts w:ascii="Palatino Linotype" w:hAnsi="Palatino Linotype" w:cs="Arial"/>
          <w:b/>
          <w:i/>
          <w:sz w:val="22"/>
        </w:rPr>
        <w:t>ado 03234.INFOEM.IP.RR.2021.pdf”</w:t>
      </w:r>
      <w:r>
        <w:rPr>
          <w:rFonts w:ascii="Palatino Linotype" w:hAnsi="Palatino Linotype" w:cs="Arial"/>
          <w:b/>
          <w:i/>
          <w:sz w:val="22"/>
        </w:rPr>
        <w:t>.</w:t>
      </w:r>
    </w:p>
    <w:p w14:paraId="321287BD" w14:textId="5CFE67CF" w:rsidR="003E6F6F" w:rsidRDefault="002C4AD5" w:rsidP="00154BEF">
      <w:pPr>
        <w:spacing w:before="240" w:after="240" w:line="360" w:lineRule="auto"/>
        <w:ind w:right="49"/>
        <w:jc w:val="both"/>
        <w:rPr>
          <w:rFonts w:ascii="Palatino Linotype" w:hAnsi="Palatino Linotype" w:cs="Arial"/>
        </w:rPr>
      </w:pPr>
      <w:r w:rsidRPr="00154BEF">
        <w:rPr>
          <w:rFonts w:ascii="Palatino Linotype" w:hAnsi="Palatino Linotype" w:cs="Arial"/>
        </w:rPr>
        <w:t xml:space="preserve">Al respecto, debe mencionarse que se dio vista del informe justificado </w:t>
      </w:r>
      <w:r w:rsidR="00AF537B" w:rsidRPr="00154BEF">
        <w:rPr>
          <w:rFonts w:ascii="Palatino Linotype" w:hAnsi="Palatino Linotype" w:cs="Arial"/>
        </w:rPr>
        <w:t>con la finalidad de que el recurrente realizara las manifestaciones que estimara convenientes</w:t>
      </w:r>
      <w:r w:rsidRPr="00154BEF">
        <w:rPr>
          <w:rFonts w:ascii="Palatino Linotype" w:hAnsi="Palatino Linotype" w:cs="Arial"/>
        </w:rPr>
        <w:t xml:space="preserve">. </w:t>
      </w:r>
    </w:p>
    <w:p w14:paraId="72D52BA4" w14:textId="4FA08AEC" w:rsidR="0095111F" w:rsidRDefault="0095111F" w:rsidP="00154BEF">
      <w:pPr>
        <w:spacing w:before="240" w:after="240" w:line="360" w:lineRule="auto"/>
        <w:ind w:right="49"/>
        <w:jc w:val="both"/>
        <w:rPr>
          <w:rFonts w:ascii="Palatino Linotype" w:hAnsi="Palatino Linotype"/>
          <w:color w:val="222222"/>
          <w:shd w:val="clear" w:color="auto" w:fill="FFFFFF"/>
          <w:lang w:val="es-ES_tradnl"/>
        </w:rPr>
      </w:pPr>
      <w:r>
        <w:rPr>
          <w:rFonts w:ascii="Palatino Linotype" w:hAnsi="Palatino Linotype"/>
          <w:b/>
          <w:bCs/>
          <w:color w:val="222222"/>
          <w:shd w:val="clear" w:color="auto" w:fill="FFFFFF"/>
        </w:rPr>
        <w:t>7. </w:t>
      </w:r>
      <w:r>
        <w:rPr>
          <w:rStyle w:val="il"/>
          <w:rFonts w:ascii="Palatino Linotype" w:hAnsi="Palatino Linotype"/>
          <w:b/>
          <w:bCs/>
          <w:color w:val="222222"/>
          <w:shd w:val="clear" w:color="auto" w:fill="FFFFFF"/>
        </w:rPr>
        <w:t>Returno</w:t>
      </w:r>
      <w:r>
        <w:rPr>
          <w:rFonts w:ascii="Palatino Linotype" w:hAnsi="Palatino Linotype"/>
          <w:b/>
          <w:bCs/>
          <w:color w:val="222222"/>
          <w:shd w:val="clear" w:color="auto" w:fill="FFFFFF"/>
        </w:rPr>
        <w:t>. </w:t>
      </w:r>
      <w:r>
        <w:rPr>
          <w:rFonts w:ascii="Palatino Linotype" w:hAnsi="Palatino Linotype"/>
          <w:color w:val="222222"/>
          <w:shd w:val="clear" w:color="auto" w:fill="FFFFFF"/>
          <w:lang w:val="es-ES_tradnl"/>
        </w:rPr>
        <w:t>El </w:t>
      </w:r>
      <w:r>
        <w:rPr>
          <w:rFonts w:ascii="Palatino Linotype" w:hAnsi="Palatino Linotype"/>
          <w:b/>
          <w:bCs/>
          <w:color w:val="222222"/>
          <w:shd w:val="clear" w:color="auto" w:fill="FFFFFF"/>
          <w:lang w:val="es-ES_tradnl"/>
        </w:rPr>
        <w:t>veintitrés de agosto de dos mil veintiuno, en la Segunda Sesión Extraordinaria</w:t>
      </w:r>
      <w:r>
        <w:rPr>
          <w:rFonts w:ascii="Palatino Linotype" w:hAnsi="Palatino Linotype"/>
          <w:color w:val="222222"/>
          <w:shd w:val="clear" w:color="auto" w:fill="FFFFFF"/>
          <w:lang w:val="es-ES_tradnl"/>
        </w:rPr>
        <w:t>, el Pleno del Instituto aprobó el </w:t>
      </w:r>
      <w:r>
        <w:rPr>
          <w:rStyle w:val="il"/>
          <w:rFonts w:ascii="Palatino Linotype" w:hAnsi="Palatino Linotype"/>
          <w:color w:val="222222"/>
          <w:shd w:val="clear" w:color="auto" w:fill="FFFFFF"/>
          <w:lang w:val="es-ES_tradnl"/>
        </w:rPr>
        <w:t>returno</w:t>
      </w:r>
      <w:r>
        <w:rPr>
          <w:rFonts w:ascii="Palatino Linotype" w:hAnsi="Palatino Linotype"/>
          <w:color w:val="222222"/>
          <w:shd w:val="clear" w:color="auto" w:fill="FFFFFF"/>
          <w:lang w:val="es-ES_tradnl"/>
        </w:rPr>
        <w:t> del recurso de revisión indicado al rubro a la Ponencia de la </w:t>
      </w:r>
      <w:r>
        <w:rPr>
          <w:rFonts w:ascii="Palatino Linotype" w:hAnsi="Palatino Linotype"/>
          <w:b/>
          <w:bCs/>
          <w:color w:val="222222"/>
          <w:shd w:val="clear" w:color="auto" w:fill="FFFFFF"/>
          <w:lang w:val="es-ES_tradnl"/>
        </w:rPr>
        <w:t>Comisionada Guadalupe Ramírez Peña</w:t>
      </w:r>
      <w:r>
        <w:rPr>
          <w:rFonts w:ascii="Palatino Linotype" w:hAnsi="Palatino Linotype"/>
          <w:color w:val="222222"/>
          <w:shd w:val="clear" w:color="auto" w:fill="FFFFFF"/>
          <w:lang w:val="es-ES_tradnl"/>
        </w:rPr>
        <w:t> para su estudio y resolución.</w:t>
      </w:r>
    </w:p>
    <w:p w14:paraId="5F604A00" w14:textId="73D3B325" w:rsidR="00B86F3F" w:rsidRDefault="00B86F3F" w:rsidP="00B86F3F">
      <w:pPr>
        <w:widowControl w:val="0"/>
        <w:autoSpaceDE w:val="0"/>
        <w:autoSpaceDN w:val="0"/>
        <w:adjustRightInd w:val="0"/>
        <w:spacing w:line="360" w:lineRule="auto"/>
        <w:ind w:right="49"/>
        <w:jc w:val="both"/>
        <w:rPr>
          <w:rFonts w:ascii="Palatino Linotype" w:hAnsi="Palatino Linotype" w:cs="Arial"/>
        </w:rPr>
      </w:pPr>
      <w:r w:rsidRPr="00B86F3F">
        <w:rPr>
          <w:rFonts w:ascii="Palatino Linotype" w:hAnsi="Palatino Linotype" w:cs="Arial"/>
          <w:b/>
          <w:szCs w:val="32"/>
          <w:lang w:val="es-ES"/>
        </w:rPr>
        <w:t xml:space="preserve">8. Ampliación del plazo. </w:t>
      </w:r>
      <w:r w:rsidRPr="00B86F3F">
        <w:rPr>
          <w:rFonts w:ascii="Palatino Linotype" w:hAnsi="Palatino Linotype" w:cs="Arial"/>
          <w:lang w:val="es-ES"/>
        </w:rPr>
        <w:t xml:space="preserve">En fecha </w:t>
      </w:r>
      <w:r>
        <w:rPr>
          <w:rFonts w:ascii="Palatino Linotype" w:hAnsi="Palatino Linotype" w:cs="Arial"/>
          <w:b/>
          <w:lang w:val="es-ES"/>
        </w:rPr>
        <w:t>catorc</w:t>
      </w:r>
      <w:r w:rsidRPr="00B86F3F">
        <w:rPr>
          <w:rFonts w:ascii="Palatino Linotype" w:hAnsi="Palatino Linotype" w:cs="Arial"/>
          <w:b/>
          <w:lang w:val="es-ES"/>
        </w:rPr>
        <w:t>e de septiembre de dos mil veintiuno</w:t>
      </w:r>
      <w:r w:rsidRPr="00B86F3F">
        <w:rPr>
          <w:rFonts w:ascii="Palatino Linotype" w:hAnsi="Palatino Linotype" w:cs="Arial"/>
          <w:lang w:val="es-ES"/>
        </w:rPr>
        <w:t xml:space="preserve">, </w:t>
      </w:r>
      <w:r w:rsidRPr="00B86F3F">
        <w:rPr>
          <w:rFonts w:ascii="Palatino Linotype" w:eastAsia="Calibri" w:hAnsi="Palatino Linotype"/>
          <w:szCs w:val="22"/>
          <w:lang w:val="es-ES"/>
        </w:rPr>
        <w:t xml:space="preserve">este Instituto </w:t>
      </w:r>
      <w:r w:rsidRPr="00B86F3F">
        <w:rPr>
          <w:rFonts w:ascii="Palatino Linotype" w:hAnsi="Palatino Linotype" w:cs="Arial"/>
        </w:rPr>
        <w:t>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0EEF2847" w14:textId="6DB9272B" w:rsidR="00B86F3F" w:rsidRPr="00154BEF" w:rsidRDefault="00B86F3F" w:rsidP="00B86F3F">
      <w:pPr>
        <w:spacing w:before="240" w:after="240" w:line="360" w:lineRule="auto"/>
        <w:jc w:val="both"/>
        <w:rPr>
          <w:rFonts w:ascii="Palatino Linotype" w:hAnsi="Palatino Linotype" w:cs="Arial"/>
        </w:rPr>
      </w:pPr>
      <w:r>
        <w:rPr>
          <w:rFonts w:ascii="Palatino Linotype" w:hAnsi="Palatino Linotype"/>
          <w:b/>
        </w:rPr>
        <w:t>8</w:t>
      </w:r>
      <w:r w:rsidRPr="004326A0">
        <w:rPr>
          <w:rFonts w:ascii="Palatino Linotype" w:hAnsi="Palatino Linotype"/>
          <w:b/>
        </w:rPr>
        <w:t xml:space="preserve">. Cierre de Instrucción. </w:t>
      </w:r>
      <w:r w:rsidRPr="004326A0">
        <w:rPr>
          <w:rFonts w:ascii="Palatino Linotype" w:hAnsi="Palatino Linotype"/>
        </w:rPr>
        <w:t xml:space="preserve">En fecha </w:t>
      </w:r>
      <w:r>
        <w:rPr>
          <w:rFonts w:ascii="Palatino Linotype" w:hAnsi="Palatino Linotype"/>
          <w:b/>
        </w:rPr>
        <w:t xml:space="preserve">doce de octubre </w:t>
      </w:r>
      <w:r w:rsidRPr="00B65E33">
        <w:rPr>
          <w:rFonts w:ascii="Palatino Linotype" w:hAnsi="Palatino Linotype"/>
          <w:b/>
        </w:rPr>
        <w:t xml:space="preserve">de la </w:t>
      </w:r>
      <w:r>
        <w:rPr>
          <w:rFonts w:ascii="Palatino Linotype" w:hAnsi="Palatino Linotype"/>
          <w:b/>
        </w:rPr>
        <w:t xml:space="preserve">presente </w:t>
      </w:r>
      <w:r w:rsidRPr="00B65E33">
        <w:rPr>
          <w:rFonts w:ascii="Palatino Linotype" w:hAnsi="Palatino Linotype"/>
          <w:b/>
        </w:rPr>
        <w:t>anualidad</w:t>
      </w:r>
      <w:r w:rsidRPr="004326A0">
        <w:rPr>
          <w:rFonts w:ascii="Palatino Linotype" w:hAnsi="Palatino Linotype"/>
        </w:rPr>
        <w:t xml:space="preserve"> en curso, con fundamento en lo establecido en los artículos 185, fracción VI de la </w:t>
      </w:r>
      <w:r w:rsidRPr="004326A0">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bookmarkEnd w:id="2"/>
    <w:p w14:paraId="2877E31E" w14:textId="77777777" w:rsidR="002C4AD5" w:rsidRPr="004326A0" w:rsidRDefault="002C4AD5" w:rsidP="007707B4">
      <w:pPr>
        <w:pStyle w:val="Prrafodelista"/>
        <w:numPr>
          <w:ilvl w:val="0"/>
          <w:numId w:val="1"/>
        </w:numPr>
        <w:spacing w:before="240" w:after="240" w:line="360" w:lineRule="auto"/>
        <w:ind w:right="616" w:hanging="513"/>
        <w:jc w:val="center"/>
        <w:rPr>
          <w:rFonts w:ascii="Palatino Linotype" w:hAnsi="Palatino Linotype" w:cs="Arial"/>
          <w:b/>
          <w:sz w:val="24"/>
          <w:szCs w:val="24"/>
        </w:rPr>
      </w:pPr>
      <w:r w:rsidRPr="004326A0">
        <w:rPr>
          <w:rFonts w:ascii="Palatino Linotype" w:hAnsi="Palatino Linotype" w:cs="Arial"/>
          <w:b/>
          <w:sz w:val="24"/>
          <w:szCs w:val="24"/>
        </w:rPr>
        <w:t>C O N S I D E R A N D O:</w:t>
      </w:r>
    </w:p>
    <w:p w14:paraId="1A50C89F" w14:textId="22BD3D99" w:rsidR="002C4AD5" w:rsidRPr="004326A0" w:rsidRDefault="002C4AD5" w:rsidP="002C4AD5">
      <w:pPr>
        <w:spacing w:before="240" w:after="240" w:line="360" w:lineRule="auto"/>
        <w:jc w:val="both"/>
        <w:rPr>
          <w:rFonts w:ascii="Palatino Linotype" w:hAnsi="Palatino Linotype"/>
          <w:shd w:val="clear" w:color="auto" w:fill="FFFFFF"/>
        </w:rPr>
      </w:pPr>
      <w:r w:rsidRPr="004326A0">
        <w:rPr>
          <w:rFonts w:ascii="Palatino Linotype" w:hAnsi="Palatino Linotype" w:cs="Arial"/>
          <w:b/>
        </w:rPr>
        <w:t xml:space="preserve">Primero. Competencia. </w:t>
      </w:r>
      <w:r w:rsidRPr="004326A0">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4A473B">
        <w:rPr>
          <w:rFonts w:ascii="Palatino Linotype" w:hAnsi="Palatino Linotype"/>
          <w:shd w:val="clear" w:color="auto" w:fill="FFFFFF"/>
          <w:lang w:val="es-ES"/>
        </w:rPr>
        <w:t>trigésimo</w:t>
      </w:r>
      <w:r w:rsidR="00910E83">
        <w:rPr>
          <w:rFonts w:ascii="Palatino Linotype" w:hAnsi="Palatino Linotype"/>
          <w:shd w:val="clear" w:color="auto" w:fill="FFFFFF"/>
          <w:lang w:val="es-ES"/>
        </w:rPr>
        <w:t>, trigésimo primero y trigésimo segund</w:t>
      </w:r>
      <w:r w:rsidR="00200718" w:rsidRPr="00200718">
        <w:rPr>
          <w:rFonts w:ascii="Palatino Linotype" w:hAnsi="Palatino Linotype"/>
          <w:shd w:val="clear" w:color="auto" w:fill="FFFFFF"/>
          <w:lang w:val="es-ES"/>
        </w:rPr>
        <w:t>o, fracciones IV y V</w:t>
      </w:r>
      <w:r w:rsidRPr="004326A0">
        <w:rPr>
          <w:rFonts w:ascii="Palatino Linotype" w:hAnsi="Palatino Linotype"/>
          <w:shd w:val="clear" w:color="auto" w:fill="FFFFFF"/>
        </w:rPr>
        <w:t xml:space="preserve"> de la Constitución Política del Estado Libre y Soberano de México; 1, 2, fracción II; 13,  29, 36, fracciones I y II; 176, 178, 179, 181 párrafo 3 y 185 de la Ley Transparencia y Acceso a la Información Pública;</w:t>
      </w:r>
      <w:r w:rsidRPr="004326A0">
        <w:rPr>
          <w:rStyle w:val="apple-converted-space"/>
          <w:rFonts w:ascii="Palatino Linotype" w:eastAsiaTheme="majorEastAsia" w:hAnsi="Palatino Linotype"/>
          <w:shd w:val="clear" w:color="auto" w:fill="FFFFFF"/>
        </w:rPr>
        <w:t xml:space="preserve"> 7, </w:t>
      </w:r>
      <w:r w:rsidRPr="004326A0">
        <w:rPr>
          <w:rFonts w:ascii="Palatino Linotype" w:hAnsi="Palatino Linotype" w:cs="Arial"/>
        </w:rPr>
        <w:t xml:space="preserve">9, fracciones I y XXIV y 11 </w:t>
      </w:r>
      <w:r w:rsidRPr="004326A0">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82D439F" w14:textId="77777777" w:rsidR="002C4AD5" w:rsidRPr="004326A0" w:rsidRDefault="002C4AD5" w:rsidP="002C4AD5">
      <w:pPr>
        <w:spacing w:before="240" w:after="240" w:line="360" w:lineRule="auto"/>
        <w:jc w:val="both"/>
        <w:rPr>
          <w:rFonts w:ascii="Palatino Linotype" w:hAnsi="Palatino Linotype" w:cs="Arial"/>
          <w:lang w:eastAsia="es-MX"/>
        </w:rPr>
      </w:pPr>
      <w:r w:rsidRPr="004326A0">
        <w:rPr>
          <w:rFonts w:ascii="Palatino Linotype" w:hAnsi="Palatino Linotype" w:cs="Arial"/>
          <w:b/>
        </w:rPr>
        <w:t xml:space="preserve">Segundo. Oportunidad y Procedibilidad. </w:t>
      </w:r>
      <w:r w:rsidRPr="004326A0">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4326A0">
        <w:rPr>
          <w:rFonts w:ascii="Palatino Linotype" w:hAnsi="Palatino Linotype" w:cs="Arial"/>
          <w:lang w:eastAsia="es-MX"/>
        </w:rPr>
        <w:t>178 y 180 de la Ley de Transparencia y Acceso a la Información Pública del Estado de México y Municipios</w:t>
      </w:r>
      <w:r w:rsidRPr="004326A0">
        <w:rPr>
          <w:rFonts w:ascii="Palatino Linotype" w:hAnsi="Palatino Linotype" w:cs="Arial"/>
        </w:rPr>
        <w:t>.</w:t>
      </w:r>
    </w:p>
    <w:p w14:paraId="6B87E5A7" w14:textId="153D2DF3" w:rsidR="002C4AD5" w:rsidRDefault="002C4AD5" w:rsidP="002C4AD5">
      <w:pPr>
        <w:spacing w:before="240" w:after="240" w:line="360" w:lineRule="auto"/>
        <w:jc w:val="both"/>
        <w:rPr>
          <w:rFonts w:ascii="Palatino Linotype" w:hAnsi="Palatino Linotype" w:cs="Arial"/>
        </w:rPr>
      </w:pPr>
      <w:r w:rsidRPr="004326A0">
        <w:rPr>
          <w:rFonts w:ascii="Palatino Linotype" w:hAnsi="Palatino Linotype" w:cs="Arial"/>
        </w:rPr>
        <w:t xml:space="preserve">El recurso de revisión fue interpuesto dentro del plazo de quince días hábiles, previsto en el artículo 178 de la </w:t>
      </w:r>
      <w:r w:rsidRPr="004326A0">
        <w:rPr>
          <w:rFonts w:ascii="Palatino Linotype" w:hAnsi="Palatino Linotype" w:cs="Arial"/>
          <w:lang w:eastAsia="es-MX"/>
        </w:rPr>
        <w:t>Ley de Transparencia y Acceso a la Información Pública del Estado de México y Municipios</w:t>
      </w:r>
      <w:r w:rsidRPr="004326A0">
        <w:rPr>
          <w:rFonts w:ascii="Palatino Linotype" w:hAnsi="Palatino Linotype" w:cs="Arial"/>
        </w:rPr>
        <w:t>, ya que el Sujeto Obligado proporcionó respuesta a</w:t>
      </w:r>
      <w:r w:rsidR="005903D0">
        <w:rPr>
          <w:rFonts w:ascii="Palatino Linotype" w:hAnsi="Palatino Linotype" w:cs="Arial"/>
        </w:rPr>
        <w:t xml:space="preserve"> la </w:t>
      </w:r>
      <w:r w:rsidR="009A6034">
        <w:rPr>
          <w:rFonts w:ascii="Palatino Linotype" w:hAnsi="Palatino Linotype" w:cs="Arial"/>
        </w:rPr>
        <w:t xml:space="preserve">solicitud de información el </w:t>
      </w:r>
      <w:r w:rsidR="0095111F">
        <w:rPr>
          <w:rFonts w:ascii="Palatino Linotype" w:hAnsi="Palatino Linotype" w:cs="Arial"/>
          <w:b/>
        </w:rPr>
        <w:t>catorce de may</w:t>
      </w:r>
      <w:r w:rsidR="009A6034" w:rsidRPr="009A6034">
        <w:rPr>
          <w:rFonts w:ascii="Palatino Linotype" w:hAnsi="Palatino Linotype" w:cs="Arial"/>
          <w:b/>
        </w:rPr>
        <w:t>o</w:t>
      </w:r>
      <w:r w:rsidR="00AF537B" w:rsidRPr="009A6034">
        <w:rPr>
          <w:rFonts w:ascii="Palatino Linotype" w:hAnsi="Palatino Linotype" w:cs="Arial"/>
          <w:b/>
        </w:rPr>
        <w:t xml:space="preserve"> </w:t>
      </w:r>
      <w:r w:rsidR="009A6034" w:rsidRPr="009A6034">
        <w:rPr>
          <w:rFonts w:ascii="Palatino Linotype" w:hAnsi="Palatino Linotype" w:cs="Arial"/>
          <w:b/>
        </w:rPr>
        <w:t>de dos mil veintiuno</w:t>
      </w:r>
      <w:r w:rsidRPr="004326A0">
        <w:rPr>
          <w:rFonts w:ascii="Palatino Linotype" w:hAnsi="Palatino Linotype" w:cs="Arial"/>
        </w:rPr>
        <w:t xml:space="preserve">, mientras que el recurrente </w:t>
      </w:r>
      <w:r w:rsidRPr="004326A0">
        <w:rPr>
          <w:rFonts w:ascii="Palatino Linotype" w:hAnsi="Palatino Linotype"/>
        </w:rPr>
        <w:t xml:space="preserve">interpuso el recurso de revisión el día </w:t>
      </w:r>
      <w:r w:rsidR="0095111F">
        <w:rPr>
          <w:rFonts w:ascii="Palatino Linotype" w:hAnsi="Palatino Linotype"/>
          <w:b/>
        </w:rPr>
        <w:t>treinta y uno de may</w:t>
      </w:r>
      <w:r w:rsidR="009A6034" w:rsidRPr="009A6034">
        <w:rPr>
          <w:rFonts w:ascii="Palatino Linotype" w:hAnsi="Palatino Linotype"/>
          <w:b/>
        </w:rPr>
        <w:t>o</w:t>
      </w:r>
      <w:r w:rsidR="00AF537B" w:rsidRPr="009A6034">
        <w:rPr>
          <w:rFonts w:ascii="Palatino Linotype" w:hAnsi="Palatino Linotype"/>
          <w:b/>
        </w:rPr>
        <w:t xml:space="preserve"> </w:t>
      </w:r>
      <w:r w:rsidR="009A6034">
        <w:rPr>
          <w:rFonts w:ascii="Palatino Linotype" w:hAnsi="Palatino Linotype"/>
          <w:b/>
        </w:rPr>
        <w:t>de dos mil veintiuno</w:t>
      </w:r>
      <w:r w:rsidRPr="004326A0">
        <w:rPr>
          <w:rFonts w:ascii="Palatino Linotype" w:hAnsi="Palatino Linotype"/>
        </w:rPr>
        <w:t xml:space="preserve">, </w:t>
      </w:r>
      <w:r w:rsidR="009A6034">
        <w:rPr>
          <w:rFonts w:ascii="Palatino Linotype" w:hAnsi="Palatino Linotype"/>
        </w:rPr>
        <w:t xml:space="preserve">esto es, al </w:t>
      </w:r>
      <w:r w:rsidR="0095111F" w:rsidRPr="0095111F">
        <w:rPr>
          <w:rFonts w:ascii="Palatino Linotype" w:hAnsi="Palatino Linotype"/>
          <w:b/>
        </w:rPr>
        <w:t xml:space="preserve">décimo </w:t>
      </w:r>
      <w:r w:rsidR="004A473B">
        <w:rPr>
          <w:rFonts w:ascii="Palatino Linotype" w:hAnsi="Palatino Linotype"/>
          <w:b/>
        </w:rPr>
        <w:t>prim</w:t>
      </w:r>
      <w:r w:rsidR="009A6034" w:rsidRPr="009A6034">
        <w:rPr>
          <w:rFonts w:ascii="Palatino Linotype" w:hAnsi="Palatino Linotype"/>
          <w:b/>
        </w:rPr>
        <w:t>er día hábil</w:t>
      </w:r>
      <w:r w:rsidR="009A6034">
        <w:rPr>
          <w:rFonts w:ascii="Palatino Linotype" w:hAnsi="Palatino Linotype"/>
        </w:rPr>
        <w:t xml:space="preserve">, por lo tanto, </w:t>
      </w:r>
      <w:r w:rsidR="005903D0">
        <w:rPr>
          <w:rFonts w:ascii="Palatino Linotype" w:hAnsi="Palatino Linotype"/>
        </w:rPr>
        <w:t>se encuentra dentro de los márgenes temporales previstos para interponer el recurso de revisión</w:t>
      </w:r>
      <w:r w:rsidRPr="004326A0">
        <w:rPr>
          <w:rFonts w:ascii="Palatino Linotype" w:hAnsi="Palatino Linotype" w:cs="Arial"/>
        </w:rPr>
        <w:t>.</w:t>
      </w:r>
    </w:p>
    <w:p w14:paraId="30F069F4" w14:textId="77777777" w:rsidR="00A85ED7" w:rsidRPr="00A85ED7" w:rsidRDefault="00A85ED7" w:rsidP="00A85ED7">
      <w:pPr>
        <w:spacing w:before="240" w:after="240" w:line="360" w:lineRule="auto"/>
        <w:jc w:val="both"/>
        <w:rPr>
          <w:rFonts w:ascii="Palatino Linotype" w:hAnsi="Palatino Linotype" w:cs="Segoe UI"/>
          <w:lang w:val="es-ES"/>
        </w:rPr>
      </w:pPr>
      <w:r w:rsidRPr="00A85ED7">
        <w:rPr>
          <w:rFonts w:ascii="Palatino Linotype" w:hAnsi="Palatino Linotype" w:cs="Arial"/>
          <w:lang w:val="es-ES"/>
        </w:rPr>
        <w:t>Así también, por cuanto hace a la procedibilidad del recurso de revisión una vez realizado el análisis del formato de interposición</w:t>
      </w:r>
      <w:r w:rsidRPr="00A85ED7">
        <w:rPr>
          <w:rFonts w:ascii="Palatino Linotype" w:hAnsi="Palatino Linotype" w:cs="Segoe UI"/>
          <w:lang w:val="es-ES"/>
        </w:rPr>
        <w:t xml:space="preserve"> del recurso, se advierte que el artículo 180 de la</w:t>
      </w:r>
      <w:r w:rsidRPr="00A85ED7">
        <w:rPr>
          <w:rFonts w:ascii="Palatino Linotype" w:eastAsia="Cambria" w:hAnsi="Palatino Linotype" w:cs="Segoe UI"/>
          <w:lang w:val="es-ES"/>
        </w:rPr>
        <w:t> </w:t>
      </w:r>
      <w:r w:rsidRPr="00A85ED7">
        <w:rPr>
          <w:rFonts w:ascii="Palatino Linotype" w:hAnsi="Palatino Linotype" w:cs="Segoe UI"/>
          <w:lang w:val="es-ES"/>
        </w:rPr>
        <w:t>Ley de Transparencia y Acceso a la Información Pública del Estado de México y Municipios, establece los siguientes elementos formales para la presentación del recurso:</w:t>
      </w:r>
    </w:p>
    <w:p w14:paraId="121D79C1"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i/>
          <w:sz w:val="22"/>
          <w:lang w:val="es-ES"/>
        </w:rPr>
      </w:pPr>
      <w:r w:rsidRPr="00A85ED7">
        <w:rPr>
          <w:rFonts w:ascii="Palatino Linotype" w:hAnsi="Palatino Linotype" w:cs="Arial"/>
          <w:b/>
          <w:i/>
          <w:sz w:val="22"/>
          <w:lang w:val="es-ES"/>
        </w:rPr>
        <w:t>“Artículo 180.</w:t>
      </w:r>
      <w:r w:rsidRPr="00A85ED7">
        <w:rPr>
          <w:rFonts w:ascii="Palatino Linotype" w:hAnsi="Palatino Linotype" w:cs="Arial"/>
          <w:i/>
          <w:sz w:val="22"/>
          <w:lang w:val="es-ES"/>
        </w:rPr>
        <w:t xml:space="preserve"> El recurso de revisión contendrá: </w:t>
      </w:r>
    </w:p>
    <w:p w14:paraId="0FD498DD"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i/>
          <w:sz w:val="22"/>
          <w:lang w:val="es-ES"/>
        </w:rPr>
      </w:pPr>
    </w:p>
    <w:p w14:paraId="69F90F27"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i/>
          <w:sz w:val="22"/>
          <w:lang w:val="es-ES"/>
        </w:rPr>
      </w:pPr>
      <w:r w:rsidRPr="00A85ED7">
        <w:rPr>
          <w:rFonts w:ascii="Palatino Linotype" w:hAnsi="Palatino Linotype" w:cs="Arial"/>
          <w:i/>
          <w:sz w:val="22"/>
          <w:lang w:val="es-ES"/>
        </w:rPr>
        <w:t>(…)</w:t>
      </w:r>
    </w:p>
    <w:p w14:paraId="12C74634"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b/>
          <w:i/>
          <w:sz w:val="22"/>
          <w:u w:val="single"/>
          <w:lang w:val="es-ES"/>
        </w:rPr>
      </w:pPr>
      <w:r w:rsidRPr="00A85ED7">
        <w:rPr>
          <w:rFonts w:ascii="Palatino Linotype" w:hAnsi="Palatino Linotype" w:cs="Arial"/>
          <w:b/>
          <w:i/>
          <w:sz w:val="22"/>
          <w:u w:val="single"/>
          <w:lang w:val="es-ES"/>
        </w:rPr>
        <w:t xml:space="preserve">II. El nombre del solicitante que recurre o de su representante y, en su caso, del tercero interesado, así como la dirección o medio que señale para recibir notificaciones; </w:t>
      </w:r>
    </w:p>
    <w:p w14:paraId="01DCF61C"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i/>
          <w:sz w:val="22"/>
          <w:lang w:val="es-ES"/>
        </w:rPr>
      </w:pPr>
      <w:r w:rsidRPr="00A85ED7">
        <w:rPr>
          <w:rFonts w:ascii="Palatino Linotype" w:hAnsi="Palatino Linotype" w:cs="Arial"/>
          <w:i/>
          <w:sz w:val="22"/>
          <w:lang w:val="es-ES"/>
        </w:rPr>
        <w:t xml:space="preserve">    (…)</w:t>
      </w:r>
    </w:p>
    <w:p w14:paraId="14DA5303"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b/>
          <w:i/>
          <w:sz w:val="22"/>
          <w:u w:val="single"/>
          <w:lang w:val="es-ES"/>
        </w:rPr>
      </w:pPr>
      <w:r w:rsidRPr="00A85ED7">
        <w:rPr>
          <w:rFonts w:ascii="Palatino Linotype" w:hAnsi="Palatino Linotype" w:cs="Arial"/>
          <w:b/>
          <w:i/>
          <w:sz w:val="22"/>
          <w:u w:val="single"/>
          <w:lang w:val="es-ES"/>
        </w:rPr>
        <w:t>En caso de que el recurso se interponga de manera electrónica no será indispensable que contengan los requisitos establecidos en las fracciones II, IV, VII y VIII.”</w:t>
      </w:r>
    </w:p>
    <w:p w14:paraId="16AF4E78" w14:textId="77777777" w:rsidR="00A85ED7" w:rsidRPr="00A85ED7" w:rsidRDefault="00A85ED7" w:rsidP="00A85ED7">
      <w:pPr>
        <w:spacing w:before="240" w:after="240" w:line="360" w:lineRule="auto"/>
        <w:jc w:val="both"/>
        <w:rPr>
          <w:rFonts w:ascii="Palatino Linotype" w:hAnsi="Palatino Linotype" w:cs="Segoe UI"/>
          <w:lang w:val="es-ES"/>
        </w:rPr>
      </w:pPr>
      <w:r w:rsidRPr="00A85ED7">
        <w:rPr>
          <w:rFonts w:ascii="Palatino Linotype" w:hAnsi="Palatino Linotype" w:cs="Segoe UI"/>
          <w:lang w:val="es-ES"/>
        </w:rPr>
        <w:t>Por su parte, el artículo 181 del citado ordenamiento dispone, que:</w:t>
      </w:r>
    </w:p>
    <w:p w14:paraId="5E621ACC" w14:textId="77777777" w:rsidR="00A85ED7" w:rsidRPr="00A85ED7" w:rsidRDefault="00A85ED7" w:rsidP="00A85ED7">
      <w:pPr>
        <w:autoSpaceDE w:val="0"/>
        <w:autoSpaceDN w:val="0"/>
        <w:adjustRightInd w:val="0"/>
        <w:spacing w:after="120"/>
        <w:ind w:left="567" w:right="902"/>
        <w:jc w:val="both"/>
        <w:rPr>
          <w:rFonts w:ascii="Palatino Linotype" w:hAnsi="Palatino Linotype" w:cs="Arial"/>
          <w:i/>
          <w:sz w:val="22"/>
          <w:szCs w:val="20"/>
          <w:lang w:val="es-ES"/>
        </w:rPr>
      </w:pPr>
      <w:r w:rsidRPr="00A85ED7">
        <w:rPr>
          <w:rFonts w:ascii="Palatino Linotype" w:hAnsi="Palatino Linotype" w:cs="Arial"/>
          <w:b/>
          <w:i/>
          <w:sz w:val="22"/>
          <w:szCs w:val="20"/>
          <w:lang w:val="es-ES"/>
        </w:rPr>
        <w:t>“Artículo 181.</w:t>
      </w:r>
      <w:r w:rsidRPr="00A85ED7">
        <w:rPr>
          <w:rFonts w:ascii="Palatino Linotype" w:hAnsi="Palatino Linotype" w:cs="Arial"/>
          <w:i/>
          <w:sz w:val="22"/>
          <w:szCs w:val="20"/>
          <w:lang w:val="es-ES"/>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74AAEFB4" w14:textId="77777777" w:rsidR="00A85ED7" w:rsidRPr="00A85ED7" w:rsidRDefault="00A85ED7" w:rsidP="00A85ED7">
      <w:pPr>
        <w:autoSpaceDE w:val="0"/>
        <w:autoSpaceDN w:val="0"/>
        <w:adjustRightInd w:val="0"/>
        <w:spacing w:after="120"/>
        <w:ind w:left="567" w:right="902"/>
        <w:jc w:val="both"/>
        <w:rPr>
          <w:rFonts w:ascii="Palatino Linotype" w:hAnsi="Palatino Linotype" w:cs="Arial"/>
          <w:i/>
          <w:sz w:val="22"/>
          <w:szCs w:val="20"/>
          <w:lang w:val="es-ES"/>
        </w:rPr>
      </w:pPr>
      <w:r w:rsidRPr="00A85ED7">
        <w:rPr>
          <w:rFonts w:ascii="Palatino Linotype" w:hAnsi="Palatino Linotype" w:cs="Arial"/>
          <w:i/>
          <w:sz w:val="22"/>
          <w:szCs w:val="20"/>
          <w:lang w:val="es-ES"/>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5CBAC64C"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szCs w:val="20"/>
          <w:lang w:val="es-ES"/>
        </w:rPr>
      </w:pPr>
      <w:r w:rsidRPr="00A85ED7">
        <w:rPr>
          <w:rFonts w:ascii="Palatino Linotype" w:hAnsi="Palatino Linotype" w:cs="Arial"/>
          <w:i/>
          <w:sz w:val="22"/>
          <w:szCs w:val="20"/>
          <w:lang w:val="es-ES"/>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04563FD5"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szCs w:val="20"/>
          <w:lang w:val="es-ES"/>
        </w:rPr>
      </w:pPr>
      <w:r w:rsidRPr="00A85ED7">
        <w:rPr>
          <w:rFonts w:ascii="Palatino Linotype" w:hAnsi="Palatino Linotype" w:cs="Arial"/>
          <w:i/>
          <w:sz w:val="22"/>
          <w:szCs w:val="20"/>
          <w:lang w:val="es-ES"/>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7BDB8945" w14:textId="77777777" w:rsidR="00A85ED7" w:rsidRPr="00A85ED7" w:rsidRDefault="00A85ED7" w:rsidP="00A85ED7">
      <w:pPr>
        <w:spacing w:after="120"/>
        <w:ind w:left="851" w:right="902"/>
        <w:jc w:val="both"/>
        <w:rPr>
          <w:rFonts w:ascii="Palatino Linotype" w:hAnsi="Palatino Linotype" w:cs="Segoe UI"/>
          <w:sz w:val="22"/>
          <w:szCs w:val="20"/>
          <w:lang w:val="es-ES"/>
        </w:rPr>
      </w:pPr>
      <w:r w:rsidRPr="00A85ED7">
        <w:rPr>
          <w:rFonts w:ascii="Palatino Linotype" w:hAnsi="Palatino Linotype" w:cs="Arial"/>
          <w:i/>
          <w:sz w:val="22"/>
          <w:szCs w:val="20"/>
          <w:lang w:val="es-ES"/>
        </w:rPr>
        <w:t>Para el caso de interposición del recurso de revisión a través de la Plataforma Nacional o la plataforma que para tales efectos habilite el Instituto, éste podrá solicitar al particular subsane las deficiencias por ese medio.”</w:t>
      </w:r>
    </w:p>
    <w:p w14:paraId="302E136E" w14:textId="77777777" w:rsidR="00A85ED7" w:rsidRPr="00A85ED7" w:rsidRDefault="00A85ED7" w:rsidP="00A85ED7">
      <w:pPr>
        <w:autoSpaceDE w:val="0"/>
        <w:autoSpaceDN w:val="0"/>
        <w:adjustRightInd w:val="0"/>
        <w:spacing w:before="240" w:after="240" w:line="360" w:lineRule="auto"/>
        <w:ind w:right="49"/>
        <w:jc w:val="both"/>
        <w:rPr>
          <w:rFonts w:ascii="Palatino Linotype" w:hAnsi="Palatino Linotype" w:cs="Arial"/>
          <w:lang w:val="es-ES"/>
        </w:rPr>
      </w:pPr>
      <w:r w:rsidRPr="00A85ED7">
        <w:rPr>
          <w:rFonts w:ascii="Palatino Linotype" w:hAnsi="Palatino Linotype" w:cs="Arial"/>
          <w:lang w:val="es-ES"/>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72AC2412" w14:textId="77777777" w:rsidR="00A85ED7" w:rsidRPr="00A85ED7" w:rsidRDefault="00A85ED7" w:rsidP="00A85ED7">
      <w:pPr>
        <w:autoSpaceDE w:val="0"/>
        <w:autoSpaceDN w:val="0"/>
        <w:adjustRightInd w:val="0"/>
        <w:spacing w:before="240" w:after="240" w:line="360" w:lineRule="auto"/>
        <w:ind w:right="49"/>
        <w:jc w:val="both"/>
        <w:rPr>
          <w:rFonts w:ascii="Palatino Linotype" w:hAnsi="Palatino Linotype" w:cs="Arial"/>
          <w:lang w:val="es-ES"/>
        </w:rPr>
      </w:pPr>
      <w:r w:rsidRPr="00A85ED7">
        <w:rPr>
          <w:rFonts w:ascii="Palatino Linotype" w:hAnsi="Palatino Linotype" w:cs="Arial"/>
          <w:lang w:val="es-ES"/>
        </w:rPr>
        <w:t xml:space="preserve">Sobre el particular, de la revisión al expediente electrónico del SAIMEX se desprende que la parte solicitante, en ejercicio de su derecho de acceso a la información pública, y ahora recurrente, </w:t>
      </w:r>
      <w:r w:rsidRPr="00A85ED7">
        <w:rPr>
          <w:rFonts w:ascii="Palatino Linotype" w:hAnsi="Palatino Linotype" w:cs="Arial"/>
          <w:b/>
          <w:color w:val="002060"/>
          <w:lang w:val="es-ES"/>
        </w:rPr>
        <w:t>no proporcionó datos que lo hagan identificable, por ende no se tiene certeza sobre su identidad</w:t>
      </w:r>
      <w:r w:rsidRPr="00A85ED7">
        <w:rPr>
          <w:rFonts w:ascii="Palatino Linotype" w:hAnsi="Palatino Linotype" w:cs="Arial"/>
          <w:b/>
          <w:color w:val="000000"/>
          <w:lang w:val="es-ES"/>
        </w:rPr>
        <w:t>,</w:t>
      </w:r>
      <w:r w:rsidRPr="00A85ED7">
        <w:rPr>
          <w:rFonts w:ascii="Palatino Linotype" w:hAnsi="Palatino Linotype" w:cs="Arial"/>
          <w:color w:val="000000"/>
          <w:lang w:val="es-ES"/>
        </w:rPr>
        <w:t xml:space="preserve"> </w:t>
      </w:r>
      <w:r w:rsidRPr="00A85ED7">
        <w:rPr>
          <w:rFonts w:ascii="Palatino Linotype" w:hAnsi="Palatino Linotype" w:cs="Arial"/>
          <w:lang w:val="es-ES"/>
        </w:rPr>
        <w:t>lo que en estricto sentido provoca que no se colmen los requisitos establecidos en el citado artículo 180 de la Ley de Transparencia.</w:t>
      </w:r>
    </w:p>
    <w:p w14:paraId="50F0C0D2" w14:textId="77777777" w:rsidR="00A85ED7" w:rsidRPr="00A85ED7" w:rsidRDefault="00A85ED7" w:rsidP="00A85ED7">
      <w:pPr>
        <w:autoSpaceDE w:val="0"/>
        <w:autoSpaceDN w:val="0"/>
        <w:adjustRightInd w:val="0"/>
        <w:spacing w:before="240" w:after="240" w:line="360" w:lineRule="auto"/>
        <w:ind w:right="49"/>
        <w:jc w:val="both"/>
        <w:rPr>
          <w:rFonts w:ascii="Palatino Linotype" w:hAnsi="Palatino Linotype" w:cs="Arial"/>
          <w:lang w:val="es-ES"/>
        </w:rPr>
      </w:pPr>
      <w:r w:rsidRPr="00A85ED7">
        <w:rPr>
          <w:rFonts w:ascii="Palatino Linotype" w:hAnsi="Palatino Linotype" w:cs="Arial"/>
          <w:lang w:val="es-ES"/>
        </w:rPr>
        <w:t xml:space="preserve">Empero lo anterior, debe destacarse que el artículo 15 de </w:t>
      </w:r>
      <w:r w:rsidRPr="00A85ED7">
        <w:rPr>
          <w:rFonts w:ascii="Palatino Linotype" w:hAnsi="Palatino Linotype" w:cs="Arial"/>
        </w:rPr>
        <w:t xml:space="preserve">Ley de Transparencia y Acceso a la Información Pública del Estado de México y Municipios </w:t>
      </w:r>
      <w:r w:rsidRPr="00A85ED7">
        <w:rPr>
          <w:rFonts w:ascii="Palatino Linotype" w:hAnsi="Palatino Linotype" w:cs="Arial"/>
          <w:iCs/>
          <w:lang w:val="es-ES"/>
        </w:rPr>
        <w:t xml:space="preserve">prevé que </w:t>
      </w:r>
      <w:r w:rsidRPr="00A85ED7">
        <w:rPr>
          <w:rFonts w:ascii="Palatino Linotype" w:hAnsi="Palatino Linotype" w:cs="Arial"/>
          <w:lang w:val="es-ES"/>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A85ED7">
        <w:rPr>
          <w:rFonts w:ascii="Palatino Linotype" w:hAnsi="Palatino Linotype" w:cs="Arial"/>
          <w:b/>
          <w:i/>
          <w:lang w:val="es-ES"/>
        </w:rPr>
        <w:t>sine qua non</w:t>
      </w:r>
      <w:r w:rsidRPr="00A85ED7">
        <w:rPr>
          <w:rFonts w:ascii="Palatino Linotype" w:hAnsi="Palatino Linotype" w:cs="Arial"/>
          <w:lang w:val="es-ES"/>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3F2222EA" w14:textId="77777777" w:rsidR="00A85ED7" w:rsidRPr="00A85ED7" w:rsidRDefault="00A85ED7" w:rsidP="00A85ED7">
      <w:pPr>
        <w:autoSpaceDE w:val="0"/>
        <w:autoSpaceDN w:val="0"/>
        <w:adjustRightInd w:val="0"/>
        <w:spacing w:before="240" w:after="240" w:line="360" w:lineRule="auto"/>
        <w:ind w:right="-91"/>
        <w:jc w:val="both"/>
        <w:rPr>
          <w:rFonts w:ascii="Palatino Linotype" w:hAnsi="Palatino Linotype" w:cs="Arial"/>
          <w:lang w:val="es-ES"/>
        </w:rPr>
      </w:pPr>
      <w:r w:rsidRPr="00A85ED7">
        <w:rPr>
          <w:rFonts w:ascii="Palatino Linotype" w:hAnsi="Palatino Linotype" w:cs="Arial"/>
          <w:lang w:val="es-ES"/>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BA230B2"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lang w:val="es-ES"/>
        </w:rPr>
      </w:pPr>
      <w:r w:rsidRPr="00A85ED7">
        <w:rPr>
          <w:rFonts w:ascii="Palatino Linotype" w:hAnsi="Palatino Linotype" w:cs="Arial"/>
          <w:i/>
          <w:sz w:val="22"/>
          <w:lang w:val="es-ES"/>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832CD4B"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lang w:val="es-ES"/>
        </w:rPr>
      </w:pPr>
      <w:r w:rsidRPr="00A85ED7">
        <w:rPr>
          <w:rFonts w:ascii="Palatino Linotype" w:hAnsi="Palatino Linotype" w:cs="Arial"/>
          <w:i/>
          <w:sz w:val="22"/>
          <w:lang w:val="es-ES"/>
        </w:rPr>
        <w:t>(…)</w:t>
      </w:r>
    </w:p>
    <w:p w14:paraId="0FFA8BAB"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lang w:val="es-ES"/>
        </w:rPr>
      </w:pPr>
      <w:r w:rsidRPr="00A85ED7">
        <w:rPr>
          <w:rFonts w:ascii="Palatino Linotype" w:hAnsi="Palatino Linotype" w:cs="Arial"/>
          <w:i/>
          <w:sz w:val="22"/>
          <w:lang w:val="es-ES"/>
        </w:rPr>
        <w:t xml:space="preserve"> Para efectos de lo dispuesto en el presente artículo se observará lo siguiente: </w:t>
      </w:r>
    </w:p>
    <w:p w14:paraId="19CCD54C"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lang w:val="es-ES"/>
        </w:rPr>
      </w:pPr>
      <w:r w:rsidRPr="00A85ED7">
        <w:rPr>
          <w:rFonts w:ascii="Palatino Linotype" w:hAnsi="Palatino Linotype" w:cs="Arial"/>
          <w:i/>
          <w:sz w:val="22"/>
          <w:lang w:val="es-ES"/>
        </w:rPr>
        <w:t xml:space="preserve">A. Para el ejercicio del derecho de acceso a la información, la Federación, los Estados y el Distrito Federal, en el ámbito de sus respectivas competencias, se regirán por los siguientes principios y bases: </w:t>
      </w:r>
    </w:p>
    <w:p w14:paraId="621F8499"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lang w:val="es-ES"/>
        </w:rPr>
      </w:pPr>
      <w:r w:rsidRPr="00A85ED7">
        <w:rPr>
          <w:rFonts w:ascii="Palatino Linotype" w:hAnsi="Palatino Linotype" w:cs="Arial"/>
          <w:i/>
          <w:sz w:val="22"/>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28B27E4" w14:textId="0D42DC8B" w:rsidR="00A85ED7" w:rsidRPr="00A85ED7" w:rsidRDefault="00A85ED7" w:rsidP="00A85ED7">
      <w:pPr>
        <w:autoSpaceDE w:val="0"/>
        <w:autoSpaceDN w:val="0"/>
        <w:adjustRightInd w:val="0"/>
        <w:spacing w:after="120"/>
        <w:ind w:left="851" w:right="902"/>
        <w:jc w:val="both"/>
        <w:rPr>
          <w:rFonts w:ascii="Palatino Linotype" w:hAnsi="Palatino Linotype" w:cs="Arial"/>
          <w:i/>
          <w:sz w:val="22"/>
          <w:lang w:val="es-ES"/>
        </w:rPr>
      </w:pPr>
      <w:r w:rsidRPr="00A85ED7">
        <w:rPr>
          <w:rFonts w:ascii="Palatino Linotype" w:hAnsi="Palatino Linotype" w:cs="Arial"/>
          <w:i/>
          <w:sz w:val="22"/>
          <w:lang w:val="es-ES"/>
        </w:rPr>
        <w:t xml:space="preserve">II. La información que se refiere a la vida privada y los datos personales será protegida en los términos y con las excepciones que fijen las leyes. </w:t>
      </w:r>
    </w:p>
    <w:p w14:paraId="7F8615E3"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b/>
          <w:i/>
          <w:sz w:val="22"/>
          <w:u w:val="single"/>
          <w:lang w:val="es-ES"/>
        </w:rPr>
      </w:pPr>
      <w:r w:rsidRPr="00A85ED7">
        <w:rPr>
          <w:rFonts w:ascii="Palatino Linotype" w:hAnsi="Palatino Linotype" w:cs="Arial"/>
          <w:b/>
          <w:i/>
          <w:sz w:val="22"/>
          <w:u w:val="single"/>
          <w:lang w:val="es-ES"/>
        </w:rPr>
        <w:t xml:space="preserve">III. Toda persona, sin necesidad de acreditar interés alguno o justificar su utilización, tendrá acceso gratuito a la información pública, a sus datos personales o a la rectificación de éstos. </w:t>
      </w:r>
    </w:p>
    <w:p w14:paraId="5602B148" w14:textId="77777777" w:rsidR="00A85ED7" w:rsidRPr="00A85ED7" w:rsidRDefault="00A85ED7" w:rsidP="00A85ED7">
      <w:pPr>
        <w:autoSpaceDE w:val="0"/>
        <w:autoSpaceDN w:val="0"/>
        <w:adjustRightInd w:val="0"/>
        <w:spacing w:after="120"/>
        <w:ind w:left="851" w:right="902"/>
        <w:jc w:val="both"/>
        <w:rPr>
          <w:rFonts w:ascii="Palatino Linotype" w:hAnsi="Palatino Linotype" w:cs="Arial"/>
          <w:i/>
          <w:sz w:val="22"/>
          <w:lang w:val="es-ES"/>
        </w:rPr>
      </w:pPr>
      <w:r w:rsidRPr="00A85ED7">
        <w:rPr>
          <w:rFonts w:ascii="Palatino Linotype" w:hAnsi="Palatino Linotype" w:cs="Arial"/>
          <w:i/>
          <w:sz w:val="22"/>
          <w:lang w:val="es-ES"/>
        </w:rPr>
        <w:t xml:space="preserve">IV. Se establecerán mecanismos de acceso a la información y procedimientos de revisión expeditos que se sustanciarán ante los organismos autónomos especializados e imparciales que establece esta Constitución.” </w:t>
      </w:r>
    </w:p>
    <w:p w14:paraId="4057EEE6"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0874BBEF"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w:t>
      </w:r>
    </w:p>
    <w:p w14:paraId="015A7327"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60062E8"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Este derecho se regirá por los principios y bases siguientes:</w:t>
      </w:r>
    </w:p>
    <w:p w14:paraId="57DF198D"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4E40F33"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w:t>
      </w:r>
    </w:p>
    <w:p w14:paraId="5C27CB00"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b/>
          <w:i/>
          <w:sz w:val="22"/>
          <w:u w:val="single"/>
          <w:lang w:val="es-ES"/>
        </w:rPr>
      </w:pPr>
      <w:r w:rsidRPr="00A85ED7">
        <w:rPr>
          <w:rFonts w:ascii="Palatino Linotype" w:hAnsi="Palatino Linotype" w:cs="Arial"/>
          <w:b/>
          <w:i/>
          <w:sz w:val="22"/>
          <w:u w:val="single"/>
          <w:lang w:val="es-ES"/>
        </w:rPr>
        <w:t xml:space="preserve"> III. Toda persona, sin necesidad de acreditar interés alguno o justificar su utilización, tendrá acceso gratuito a la información pública, a sus datos personales o a la rectificación de éstos;</w:t>
      </w:r>
    </w:p>
    <w:p w14:paraId="7DA3B708"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w:t>
      </w:r>
    </w:p>
    <w:p w14:paraId="0CB1ADAA" w14:textId="77777777" w:rsidR="00A85ED7" w:rsidRPr="00A85ED7" w:rsidRDefault="00A85ED7" w:rsidP="00A85ED7">
      <w:pPr>
        <w:autoSpaceDE w:val="0"/>
        <w:autoSpaceDN w:val="0"/>
        <w:adjustRightInd w:val="0"/>
        <w:spacing w:after="120"/>
        <w:ind w:left="851" w:right="900"/>
        <w:jc w:val="both"/>
        <w:rPr>
          <w:rFonts w:ascii="Palatino Linotype" w:hAnsi="Palatino Linotype" w:cs="Arial"/>
          <w:i/>
          <w:sz w:val="22"/>
          <w:lang w:val="es-ES"/>
        </w:rPr>
      </w:pPr>
      <w:r w:rsidRPr="00A85ED7">
        <w:rPr>
          <w:rFonts w:ascii="Palatino Linotype" w:hAnsi="Palatino Linotype" w:cs="Arial"/>
          <w:i/>
          <w:sz w:val="22"/>
          <w:lang w:val="es-ES"/>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75FFAB3" w14:textId="77777777" w:rsidR="00A85ED7" w:rsidRPr="00A85ED7" w:rsidRDefault="00A85ED7" w:rsidP="00A85ED7">
      <w:pPr>
        <w:autoSpaceDE w:val="0"/>
        <w:autoSpaceDN w:val="0"/>
        <w:adjustRightInd w:val="0"/>
        <w:spacing w:before="240" w:after="240" w:line="360" w:lineRule="auto"/>
        <w:ind w:right="-91"/>
        <w:jc w:val="both"/>
        <w:rPr>
          <w:rFonts w:ascii="Palatino Linotype" w:hAnsi="Palatino Linotype" w:cs="Arial"/>
          <w:lang w:val="es-ES"/>
        </w:rPr>
      </w:pPr>
      <w:r w:rsidRPr="00A85ED7">
        <w:rPr>
          <w:rFonts w:ascii="Palatino Linotype" w:hAnsi="Palatino Linotype" w:cs="Arial"/>
          <w:lang w:val="es-ES"/>
        </w:rPr>
        <w:t>Por otra parte, del contenido del artículo 1 de la Constitución Política de los Estados Unidos Mexicanos, se destaca lo siguiente:</w:t>
      </w:r>
    </w:p>
    <w:p w14:paraId="58215162" w14:textId="77777777" w:rsidR="00A85ED7" w:rsidRPr="00A85ED7" w:rsidRDefault="00A85ED7" w:rsidP="00A85ED7">
      <w:pPr>
        <w:tabs>
          <w:tab w:val="left" w:pos="7655"/>
        </w:tabs>
        <w:autoSpaceDE w:val="0"/>
        <w:autoSpaceDN w:val="0"/>
        <w:adjustRightInd w:val="0"/>
        <w:spacing w:after="120"/>
        <w:ind w:left="567" w:right="709"/>
        <w:jc w:val="both"/>
        <w:rPr>
          <w:rFonts w:ascii="Palatino Linotype" w:hAnsi="Palatino Linotype" w:cs="Arial"/>
          <w:b/>
          <w:i/>
          <w:sz w:val="22"/>
          <w:u w:val="single"/>
          <w:lang w:val="es-ES"/>
        </w:rPr>
      </w:pPr>
      <w:r w:rsidRPr="00A85ED7">
        <w:rPr>
          <w:rFonts w:ascii="Palatino Linotype" w:hAnsi="Palatino Linotype" w:cs="Arial"/>
          <w:i/>
          <w:sz w:val="22"/>
          <w:lang w:val="es-ES"/>
        </w:rPr>
        <w:t>“</w:t>
      </w:r>
      <w:r w:rsidRPr="00A85ED7">
        <w:rPr>
          <w:rFonts w:ascii="Palatino Linotype" w:hAnsi="Palatino Linotype" w:cs="Arial"/>
          <w:b/>
          <w:i/>
          <w:sz w:val="22"/>
          <w:u w:val="single"/>
          <w:lang w:val="es-E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13C0AD3"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i/>
          <w:sz w:val="22"/>
          <w:lang w:val="es-ES"/>
        </w:rPr>
      </w:pPr>
      <w:r w:rsidRPr="00A85ED7">
        <w:rPr>
          <w:rFonts w:ascii="Palatino Linotype" w:hAnsi="Palatino Linotype" w:cs="Arial"/>
          <w:i/>
          <w:sz w:val="22"/>
          <w:lang w:val="es-ES"/>
        </w:rPr>
        <w:t>Las normas relativas a los derechos humanos se interpretarán de conformidad con esta Constitución y con los tratados internacionales de la materia favoreciendo en todo tiempo a las personas la protección más amplia.</w:t>
      </w:r>
    </w:p>
    <w:p w14:paraId="4777FB8C"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i/>
          <w:sz w:val="22"/>
          <w:lang w:val="es-ES"/>
        </w:rPr>
      </w:pPr>
      <w:r w:rsidRPr="00A85ED7">
        <w:rPr>
          <w:rFonts w:ascii="Palatino Linotype" w:hAnsi="Palatino Linotype" w:cs="Arial"/>
          <w:i/>
          <w:sz w:val="22"/>
          <w:lang w:val="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0F9FADB" w14:textId="77777777" w:rsidR="00A85ED7" w:rsidRPr="00A85ED7" w:rsidRDefault="00A85ED7" w:rsidP="00A85ED7">
      <w:pPr>
        <w:autoSpaceDE w:val="0"/>
        <w:autoSpaceDN w:val="0"/>
        <w:adjustRightInd w:val="0"/>
        <w:spacing w:before="240" w:after="240" w:line="360" w:lineRule="auto"/>
        <w:ind w:right="-91"/>
        <w:jc w:val="both"/>
        <w:rPr>
          <w:rFonts w:ascii="Palatino Linotype" w:hAnsi="Palatino Linotype" w:cs="Arial"/>
          <w:lang w:val="es-ES"/>
        </w:rPr>
      </w:pPr>
      <w:r w:rsidRPr="00A85ED7">
        <w:rPr>
          <w:rFonts w:ascii="Palatino Linotype" w:hAnsi="Palatino Linotype" w:cs="Arial"/>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1198AF5" w14:textId="77777777" w:rsidR="00A85ED7" w:rsidRPr="00A85ED7" w:rsidRDefault="00A85ED7" w:rsidP="00A85ED7">
      <w:pPr>
        <w:autoSpaceDE w:val="0"/>
        <w:autoSpaceDN w:val="0"/>
        <w:adjustRightInd w:val="0"/>
        <w:spacing w:before="240" w:after="240" w:line="360" w:lineRule="auto"/>
        <w:ind w:right="-91"/>
        <w:jc w:val="both"/>
        <w:rPr>
          <w:rFonts w:ascii="Palatino Linotype" w:hAnsi="Palatino Linotype" w:cs="Arial"/>
          <w:lang w:val="es-ES"/>
        </w:rPr>
      </w:pPr>
      <w:r w:rsidRPr="00A85ED7">
        <w:rPr>
          <w:rFonts w:ascii="Palatino Linotype" w:hAnsi="Palatino Linotype" w:cs="Arial"/>
          <w:lang w:val="es-ES"/>
        </w:rPr>
        <w:t>Robustece lo anterior, el Criterio 6/2014 del entonces Instituto Federal de Acceso a la Información y Protección de Datos, el cual se reproduce para una mayor referencia:</w:t>
      </w:r>
    </w:p>
    <w:p w14:paraId="7BF4CC51" w14:textId="77777777" w:rsidR="00A85ED7" w:rsidRPr="00A85ED7" w:rsidRDefault="00A85ED7" w:rsidP="00A85ED7">
      <w:pPr>
        <w:autoSpaceDE w:val="0"/>
        <w:autoSpaceDN w:val="0"/>
        <w:adjustRightInd w:val="0"/>
        <w:spacing w:after="120"/>
        <w:ind w:left="567" w:right="709"/>
        <w:jc w:val="both"/>
        <w:rPr>
          <w:rFonts w:ascii="Palatino Linotype" w:hAnsi="Palatino Linotype" w:cs="Arial"/>
          <w:i/>
          <w:sz w:val="22"/>
          <w:lang w:val="es-ES"/>
        </w:rPr>
      </w:pPr>
      <w:r w:rsidRPr="00A85ED7">
        <w:rPr>
          <w:rFonts w:ascii="Palatino Linotype" w:hAnsi="Palatino Linotype" w:cs="Arial"/>
          <w:i/>
          <w:sz w:val="22"/>
          <w:lang w:val="es-ES"/>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94F2E3E" w14:textId="77777777" w:rsidR="00A85ED7" w:rsidRPr="00A85ED7" w:rsidRDefault="00A85ED7" w:rsidP="00A85ED7">
      <w:pPr>
        <w:autoSpaceDE w:val="0"/>
        <w:autoSpaceDN w:val="0"/>
        <w:adjustRightInd w:val="0"/>
        <w:spacing w:before="240" w:after="240" w:line="360" w:lineRule="auto"/>
        <w:ind w:right="-91"/>
        <w:jc w:val="both"/>
        <w:rPr>
          <w:rFonts w:ascii="Palatino Linotype" w:hAnsi="Palatino Linotype" w:cs="Arial"/>
          <w:lang w:val="es-ES"/>
        </w:rPr>
      </w:pPr>
      <w:r w:rsidRPr="00A85ED7">
        <w:rPr>
          <w:rFonts w:ascii="Palatino Linotype" w:hAnsi="Palatino Linotype" w:cs="Arial"/>
          <w:lang w:val="es-ES"/>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6DADF33C" w14:textId="77777777" w:rsidR="00A85ED7" w:rsidRPr="00A85ED7" w:rsidRDefault="00A85ED7" w:rsidP="00A85ED7">
      <w:pPr>
        <w:autoSpaceDE w:val="0"/>
        <w:autoSpaceDN w:val="0"/>
        <w:adjustRightInd w:val="0"/>
        <w:spacing w:before="240" w:after="240" w:line="360" w:lineRule="auto"/>
        <w:ind w:right="-91"/>
        <w:jc w:val="both"/>
        <w:rPr>
          <w:rFonts w:ascii="Palatino Linotype" w:hAnsi="Palatino Linotype" w:cs="Arial"/>
          <w:lang w:val="es-ES"/>
        </w:rPr>
      </w:pPr>
      <w:r w:rsidRPr="00A85ED7">
        <w:rPr>
          <w:rFonts w:ascii="Palatino Linotype" w:hAnsi="Palatino Linotype" w:cs="Arial"/>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490F40E" w14:textId="78EB6E57" w:rsidR="00CD5C5F" w:rsidRPr="0074736E" w:rsidRDefault="00A85ED7" w:rsidP="0074736E">
      <w:pPr>
        <w:autoSpaceDE w:val="0"/>
        <w:autoSpaceDN w:val="0"/>
        <w:adjustRightInd w:val="0"/>
        <w:spacing w:before="240" w:after="240" w:line="360" w:lineRule="auto"/>
        <w:ind w:right="-91"/>
        <w:jc w:val="both"/>
        <w:rPr>
          <w:rFonts w:ascii="Palatino Linotype" w:hAnsi="Palatino Linotype" w:cs="Arial"/>
          <w:lang w:val="es-ES"/>
        </w:rPr>
      </w:pPr>
      <w:r w:rsidRPr="00A85ED7">
        <w:rPr>
          <w:rFonts w:ascii="Palatino Linotype" w:hAnsi="Palatino Linotype" w:cs="Arial"/>
          <w:lang w:val="es-ES"/>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0858BB3C" w14:textId="77777777" w:rsidR="00C006C9" w:rsidRPr="00C006C9" w:rsidRDefault="00C006C9" w:rsidP="00C006C9">
      <w:pPr>
        <w:spacing w:before="240" w:after="240" w:line="360" w:lineRule="auto"/>
        <w:ind w:right="49"/>
        <w:jc w:val="both"/>
        <w:rPr>
          <w:rFonts w:ascii="Segoe UI" w:hAnsi="Segoe UI" w:cs="Segoe UI"/>
          <w:lang w:val="es-ES"/>
        </w:rPr>
      </w:pPr>
      <w:r w:rsidRPr="00C006C9">
        <w:rPr>
          <w:rFonts w:ascii="Palatino Linotype" w:hAnsi="Palatino Linotype" w:cs="Arial"/>
          <w:lang w:val="es-ES"/>
        </w:rPr>
        <w:t xml:space="preserve">Así las cosas, se concluye la acreditación plena de todos y cada uno de los elementos formales exigidos por el artículo 180 de la </w:t>
      </w:r>
      <w:r w:rsidRPr="00C006C9">
        <w:rPr>
          <w:rFonts w:ascii="Palatino Linotype" w:hAnsi="Palatino Linotype" w:cs="Arial"/>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C006C9">
        <w:rPr>
          <w:rFonts w:ascii="Palatino Linotype" w:hAnsi="Palatino Linotype" w:cs="Segoe UI"/>
          <w:lang w:val="es-ES"/>
        </w:rPr>
        <w:t>artículos 176 y</w:t>
      </w:r>
      <w:r w:rsidRPr="00C006C9">
        <w:rPr>
          <w:rFonts w:ascii="Palatino Linotype" w:eastAsia="Cambria" w:hAnsi="Palatino Linotype" w:cs="Segoe UI"/>
          <w:lang w:val="es-ES"/>
        </w:rPr>
        <w:t xml:space="preserve"> 179 fracción I </w:t>
      </w:r>
      <w:r w:rsidRPr="00C006C9">
        <w:rPr>
          <w:rFonts w:ascii="Palatino Linotype" w:hAnsi="Palatino Linotype" w:cs="Segoe UI"/>
          <w:lang w:val="es-ES"/>
        </w:rPr>
        <w:t>del ordenamiento legal citado, que establecen los supuestos en que puede interponerse el recurso de revisión:</w:t>
      </w:r>
    </w:p>
    <w:p w14:paraId="4F13AFEF" w14:textId="77777777" w:rsidR="00C006C9" w:rsidRPr="00C006C9" w:rsidRDefault="00C006C9" w:rsidP="00C006C9">
      <w:pPr>
        <w:ind w:left="567" w:right="900"/>
        <w:jc w:val="both"/>
        <w:textAlignment w:val="baseline"/>
        <w:rPr>
          <w:rFonts w:ascii="Palatino Linotype" w:eastAsia="Cambria" w:hAnsi="Palatino Linotype" w:cs="Segoe UI"/>
          <w:i/>
          <w:iCs/>
          <w:sz w:val="22"/>
          <w:szCs w:val="22"/>
          <w:lang w:eastAsia="es-MX"/>
        </w:rPr>
      </w:pPr>
      <w:r w:rsidRPr="00C006C9">
        <w:rPr>
          <w:rFonts w:ascii="Palatino Linotype" w:hAnsi="Palatino Linotype" w:cs="Segoe UI"/>
          <w:bCs/>
          <w:i/>
          <w:iCs/>
          <w:sz w:val="22"/>
          <w:szCs w:val="22"/>
          <w:lang w:eastAsia="es-MX"/>
        </w:rPr>
        <w:t>“</w:t>
      </w:r>
      <w:r w:rsidRPr="00C006C9">
        <w:rPr>
          <w:rFonts w:ascii="Palatino Linotype" w:hAnsi="Palatino Linotype" w:cs="Segoe UI"/>
          <w:b/>
          <w:bCs/>
          <w:i/>
          <w:sz w:val="22"/>
          <w:szCs w:val="22"/>
          <w:lang w:eastAsia="es-MX"/>
        </w:rPr>
        <w:t>Artículo 179.</w:t>
      </w:r>
      <w:r w:rsidRPr="00C006C9">
        <w:rPr>
          <w:rFonts w:ascii="Palatino Linotype" w:eastAsia="Cambria" w:hAnsi="Palatino Linotype" w:cs="Segoe UI"/>
          <w:i/>
          <w:iCs/>
          <w:sz w:val="22"/>
          <w:szCs w:val="22"/>
          <w:lang w:eastAsia="es-MX"/>
        </w:rPr>
        <w:t xml:space="preserve"> El recurso de revisión es un medio de protección que la Ley otorga a los particulares, para hacer valer su derecho de acceso a la información pública, y procederá en contra de las siguientes causas: </w:t>
      </w:r>
    </w:p>
    <w:p w14:paraId="41513413" w14:textId="77777777" w:rsidR="00C006C9" w:rsidRPr="00C006C9" w:rsidRDefault="00C006C9" w:rsidP="00C006C9">
      <w:pPr>
        <w:ind w:left="567" w:right="900"/>
        <w:contextualSpacing/>
        <w:jc w:val="both"/>
        <w:textAlignment w:val="baseline"/>
        <w:rPr>
          <w:rFonts w:ascii="Palatino Linotype" w:hAnsi="Palatino Linotype" w:cs="Segoe UI"/>
          <w:b/>
          <w:i/>
          <w:sz w:val="22"/>
          <w:szCs w:val="22"/>
          <w:lang w:eastAsia="es-MX"/>
        </w:rPr>
      </w:pPr>
    </w:p>
    <w:p w14:paraId="634784FB" w14:textId="77777777" w:rsidR="00C006C9" w:rsidRPr="00C006C9" w:rsidRDefault="00C006C9" w:rsidP="00C006C9">
      <w:pPr>
        <w:ind w:left="567" w:right="900"/>
        <w:contextualSpacing/>
        <w:jc w:val="both"/>
        <w:textAlignment w:val="baseline"/>
        <w:rPr>
          <w:rFonts w:ascii="Palatino Linotype" w:hAnsi="Palatino Linotype" w:cs="Segoe UI"/>
          <w:b/>
          <w:i/>
          <w:sz w:val="22"/>
          <w:szCs w:val="22"/>
          <w:lang w:eastAsia="es-MX"/>
        </w:rPr>
      </w:pPr>
      <w:r w:rsidRPr="00C006C9">
        <w:rPr>
          <w:rFonts w:ascii="Palatino Linotype" w:hAnsi="Palatino Linotype" w:cs="Segoe UI"/>
          <w:b/>
          <w:i/>
          <w:sz w:val="22"/>
          <w:szCs w:val="22"/>
          <w:lang w:eastAsia="es-MX"/>
        </w:rPr>
        <w:t xml:space="preserve">I. La negativa a la información solicitada; </w:t>
      </w:r>
    </w:p>
    <w:p w14:paraId="49C58758" w14:textId="77777777" w:rsidR="00C006C9" w:rsidRPr="00C006C9" w:rsidRDefault="00C006C9" w:rsidP="00C006C9">
      <w:pPr>
        <w:ind w:left="567" w:right="900"/>
        <w:contextualSpacing/>
        <w:jc w:val="both"/>
        <w:textAlignment w:val="baseline"/>
        <w:rPr>
          <w:rFonts w:ascii="Palatino Linotype" w:hAnsi="Palatino Linotype" w:cs="Segoe UI"/>
          <w:b/>
          <w:i/>
          <w:sz w:val="22"/>
          <w:szCs w:val="22"/>
          <w:lang w:eastAsia="es-MX"/>
        </w:rPr>
      </w:pPr>
    </w:p>
    <w:p w14:paraId="5B00F120" w14:textId="4D4B5D41" w:rsidR="00C006C9" w:rsidRPr="00C006C9" w:rsidRDefault="00C006C9" w:rsidP="00C006C9">
      <w:pPr>
        <w:ind w:left="567" w:right="900"/>
        <w:contextualSpacing/>
        <w:jc w:val="both"/>
        <w:textAlignment w:val="baseline"/>
        <w:rPr>
          <w:rFonts w:ascii="Palatino Linotype" w:eastAsia="MS Gothic" w:hAnsi="Palatino Linotype" w:cs="Segoe UI"/>
          <w:i/>
          <w:sz w:val="22"/>
          <w:szCs w:val="22"/>
          <w:lang w:eastAsia="es-MX"/>
        </w:rPr>
      </w:pPr>
      <w:r w:rsidRPr="00C006C9">
        <w:rPr>
          <w:rFonts w:ascii="Palatino Linotype" w:hAnsi="Palatino Linotype" w:cs="Segoe UI"/>
          <w:i/>
          <w:sz w:val="22"/>
          <w:szCs w:val="22"/>
          <w:lang w:eastAsia="es-MX"/>
        </w:rPr>
        <w:t xml:space="preserve"> … </w:t>
      </w:r>
      <w:r w:rsidRPr="00C006C9">
        <w:rPr>
          <w:rFonts w:ascii="Palatino Linotype" w:hAnsi="Palatino Linotype" w:cs="Segoe UI"/>
          <w:bCs/>
          <w:i/>
          <w:iCs/>
          <w:sz w:val="22"/>
          <w:szCs w:val="22"/>
          <w:lang w:eastAsia="es-MX"/>
        </w:rPr>
        <w:t>”</w:t>
      </w:r>
      <w:r w:rsidRPr="00C006C9">
        <w:rPr>
          <w:rFonts w:ascii="Palatino Linotype" w:eastAsia="MS Gothic" w:hAnsi="Palatino Linotype" w:cs="Segoe UI"/>
          <w:i/>
          <w:sz w:val="22"/>
          <w:szCs w:val="22"/>
          <w:lang w:eastAsia="es-MX"/>
        </w:rPr>
        <w:t> </w:t>
      </w:r>
    </w:p>
    <w:p w14:paraId="6C02C181" w14:textId="73B12E33" w:rsidR="00544B0C" w:rsidRPr="009A6034" w:rsidRDefault="00544B0C" w:rsidP="009A6034">
      <w:pPr>
        <w:spacing w:before="240" w:after="240" w:line="360" w:lineRule="auto"/>
        <w:jc w:val="both"/>
        <w:rPr>
          <w:rFonts w:ascii="Palatino Linotype" w:hAnsi="Palatino Linotype"/>
          <w:szCs w:val="28"/>
          <w:lang w:val="es-ES"/>
        </w:rPr>
      </w:pPr>
      <w:r w:rsidRPr="00544B0C">
        <w:rPr>
          <w:rFonts w:ascii="Palatino Linotype" w:hAnsi="Palatino Linotype" w:cs="Arial"/>
          <w:b/>
          <w:lang w:val="es-ES"/>
        </w:rPr>
        <w:t xml:space="preserve">Tercero. </w:t>
      </w:r>
      <w:r w:rsidRPr="00544B0C">
        <w:rPr>
          <w:rFonts w:ascii="Palatino Linotype" w:hAnsi="Palatino Linotype"/>
          <w:b/>
          <w:szCs w:val="28"/>
          <w:lang w:val="es-ES"/>
        </w:rPr>
        <w:t xml:space="preserve">Análisis de las causas de sobreseimiento del recurso de revisión. </w:t>
      </w:r>
      <w:r w:rsidR="009A6034">
        <w:rPr>
          <w:rFonts w:ascii="Palatino Linotype" w:hAnsi="Palatino Linotype"/>
          <w:szCs w:val="28"/>
          <w:lang w:val="es-ES"/>
        </w:rPr>
        <w:t xml:space="preserve">En primera instancia, debe apuntarse que del análisis al </w:t>
      </w:r>
      <w:r w:rsidRPr="00544B0C">
        <w:rPr>
          <w:rFonts w:ascii="Palatino Linotype" w:hAnsi="Palatino Linotype"/>
          <w:szCs w:val="28"/>
          <w:lang w:val="es-ES"/>
        </w:rPr>
        <w:t>recurso de revisión que ahora se resuelve</w:t>
      </w:r>
      <w:r w:rsidR="00CF1CB4">
        <w:rPr>
          <w:rFonts w:ascii="Palatino Linotype" w:hAnsi="Palatino Linotype"/>
          <w:szCs w:val="28"/>
          <w:lang w:val="es-ES"/>
        </w:rPr>
        <w:t>, se tiene que</w:t>
      </w:r>
      <w:r w:rsidRPr="00544B0C">
        <w:rPr>
          <w:rFonts w:ascii="Palatino Linotype" w:hAnsi="Palatino Linotype"/>
          <w:szCs w:val="28"/>
          <w:lang w:val="es-ES"/>
        </w:rPr>
        <w:t xml:space="preserve"> se actualiza la causa</w:t>
      </w:r>
      <w:r w:rsidR="00CF1CB4">
        <w:rPr>
          <w:rFonts w:ascii="Palatino Linotype" w:hAnsi="Palatino Linotype"/>
          <w:szCs w:val="28"/>
          <w:lang w:val="es-ES"/>
        </w:rPr>
        <w:t>l</w:t>
      </w:r>
      <w:r w:rsidRPr="00544B0C">
        <w:rPr>
          <w:rFonts w:ascii="Palatino Linotype" w:hAnsi="Palatino Linotype"/>
          <w:szCs w:val="28"/>
          <w:lang w:val="es-ES"/>
        </w:rPr>
        <w:t xml:space="preserve"> de sobreseimiento del recurso de revisión establecido en la fracción III del artículo 192</w:t>
      </w:r>
      <w:r w:rsidRPr="00544B0C">
        <w:rPr>
          <w:rFonts w:ascii="Palatino Linotype" w:hAnsi="Palatino Linotype"/>
          <w:szCs w:val="28"/>
          <w:vertAlign w:val="superscript"/>
          <w:lang w:val="es-ES"/>
        </w:rPr>
        <w:footnoteReference w:id="1"/>
      </w:r>
      <w:r w:rsidRPr="00544B0C">
        <w:rPr>
          <w:rFonts w:ascii="Palatino Linotype" w:hAnsi="Palatino Linotype"/>
          <w:szCs w:val="28"/>
          <w:lang w:val="es-ES"/>
        </w:rPr>
        <w:t xml:space="preserve"> en relación con el diverso 186 fracción I</w:t>
      </w:r>
      <w:r w:rsidRPr="00544B0C">
        <w:rPr>
          <w:rFonts w:ascii="Palatino Linotype" w:hAnsi="Palatino Linotype"/>
          <w:szCs w:val="28"/>
          <w:vertAlign w:val="superscript"/>
          <w:lang w:val="es-ES"/>
        </w:rPr>
        <w:footnoteReference w:id="2"/>
      </w:r>
      <w:r w:rsidRPr="00544B0C">
        <w:rPr>
          <w:rFonts w:ascii="Palatino Linotype" w:hAnsi="Palatino Linotype"/>
          <w:szCs w:val="28"/>
          <w:lang w:val="es-ES"/>
        </w:rPr>
        <w:t xml:space="preserve">, ambos de la Ley de Transparencia y Acceso a la Información Pública del Estado de México y Municipios, derivado del contenido del informe justificado rendido por el </w:t>
      </w:r>
      <w:r w:rsidRPr="00544B0C">
        <w:rPr>
          <w:rFonts w:ascii="Palatino Linotype" w:hAnsi="Palatino Linotype"/>
          <w:b/>
          <w:szCs w:val="28"/>
          <w:lang w:val="es-ES"/>
        </w:rPr>
        <w:t>Sujeto Obligado.</w:t>
      </w:r>
      <w:r w:rsidRPr="00544B0C">
        <w:rPr>
          <w:rFonts w:ascii="Palatino Linotype" w:hAnsi="Palatino Linotype"/>
          <w:noProof/>
          <w:lang w:val="es-ES" w:eastAsia="es-MX"/>
        </w:rPr>
        <w:t xml:space="preserve"> </w:t>
      </w:r>
    </w:p>
    <w:p w14:paraId="40C663AE" w14:textId="77777777" w:rsidR="00544B0C" w:rsidRPr="00544B0C" w:rsidRDefault="00544B0C" w:rsidP="00544B0C">
      <w:pPr>
        <w:tabs>
          <w:tab w:val="left" w:pos="7513"/>
        </w:tabs>
        <w:adjustRightInd w:val="0"/>
        <w:spacing w:after="240" w:line="360" w:lineRule="auto"/>
        <w:ind w:right="49"/>
        <w:jc w:val="both"/>
        <w:rPr>
          <w:rFonts w:ascii="Palatino Linotype" w:hAnsi="Palatino Linotype"/>
          <w:lang w:val="es-ES"/>
        </w:rPr>
      </w:pPr>
      <w:r w:rsidRPr="00544B0C">
        <w:rPr>
          <w:rFonts w:ascii="Palatino Linotype" w:hAnsi="Palatino Linotype"/>
          <w:lang w:val="es-ES"/>
        </w:rPr>
        <w:t>Para una mejor comprensión del asunto, de las constancias que obran en el expediente electrónico, valoradas anteriormente, destacan por su importancia los antecedentes siguientes:</w:t>
      </w:r>
    </w:p>
    <w:p w14:paraId="5A714028" w14:textId="05BF83B0" w:rsidR="00CF1CB4" w:rsidRDefault="00544B0C" w:rsidP="00CF1CB4">
      <w:pPr>
        <w:tabs>
          <w:tab w:val="left" w:pos="7513"/>
        </w:tabs>
        <w:adjustRightInd w:val="0"/>
        <w:spacing w:after="240" w:line="360" w:lineRule="auto"/>
        <w:ind w:right="49"/>
        <w:contextualSpacing/>
        <w:jc w:val="both"/>
        <w:rPr>
          <w:rFonts w:ascii="Palatino Linotype" w:hAnsi="Palatino Linotype" w:cs="Arial"/>
          <w:lang w:eastAsia="en-US"/>
        </w:rPr>
      </w:pPr>
      <w:r w:rsidRPr="00544B0C">
        <w:rPr>
          <w:rFonts w:ascii="Palatino Linotype" w:hAnsi="Palatino Linotype"/>
          <w:lang w:eastAsia="en-US"/>
        </w:rPr>
        <w:t>En la solicitud de información materia del presente recurso, la parte solicitante requirió al Sujeto Obligado lo siguiente</w:t>
      </w:r>
      <w:r w:rsidRPr="00544B0C">
        <w:rPr>
          <w:rFonts w:ascii="Palatino Linotype" w:hAnsi="Palatino Linotype" w:cs="Arial"/>
          <w:lang w:eastAsia="en-US"/>
        </w:rPr>
        <w:t>:</w:t>
      </w:r>
    </w:p>
    <w:p w14:paraId="667C012D" w14:textId="2261D35C" w:rsidR="00F07EDA" w:rsidRPr="00F07EDA" w:rsidRDefault="00F07EDA" w:rsidP="00F07EDA">
      <w:pPr>
        <w:pStyle w:val="Prrafodelista"/>
        <w:numPr>
          <w:ilvl w:val="0"/>
          <w:numId w:val="23"/>
        </w:numPr>
        <w:tabs>
          <w:tab w:val="left" w:pos="7513"/>
        </w:tabs>
        <w:adjustRightInd w:val="0"/>
        <w:spacing w:after="240" w:line="360" w:lineRule="auto"/>
        <w:ind w:right="900"/>
        <w:contextualSpacing/>
        <w:jc w:val="both"/>
        <w:rPr>
          <w:rFonts w:ascii="Palatino Linotype" w:hAnsi="Palatino Linotype" w:cs="Arial"/>
        </w:rPr>
      </w:pPr>
      <w:r w:rsidRPr="00F07EDA">
        <w:rPr>
          <w:rFonts w:ascii="Palatino Linotype" w:hAnsi="Palatino Linotype" w:cs="Arial"/>
        </w:rPr>
        <w:t xml:space="preserve">Los documentos que acrediten la integración del Observatorio Ciudadano en el Estado de México, quienes lo integran, el acta, acuerdo convenio o documento que lo acredite. </w:t>
      </w:r>
    </w:p>
    <w:p w14:paraId="08F10787" w14:textId="77777777" w:rsidR="00F07EDA" w:rsidRPr="00F07EDA" w:rsidRDefault="00F07EDA" w:rsidP="00F07EDA">
      <w:pPr>
        <w:pStyle w:val="Prrafodelista"/>
        <w:numPr>
          <w:ilvl w:val="0"/>
          <w:numId w:val="23"/>
        </w:numPr>
        <w:tabs>
          <w:tab w:val="left" w:pos="7513"/>
        </w:tabs>
        <w:adjustRightInd w:val="0"/>
        <w:spacing w:after="240" w:line="360" w:lineRule="auto"/>
        <w:ind w:right="900"/>
        <w:contextualSpacing/>
        <w:jc w:val="both"/>
        <w:rPr>
          <w:rFonts w:ascii="Palatino Linotype" w:hAnsi="Palatino Linotype" w:cs="Arial"/>
        </w:rPr>
      </w:pPr>
      <w:r w:rsidRPr="00F07EDA">
        <w:rPr>
          <w:rFonts w:ascii="Palatino Linotype" w:hAnsi="Palatino Linotype" w:cs="Arial"/>
        </w:rPr>
        <w:t xml:space="preserve">Las acciones que se han realizados mediante este observatorio, que resultados se tiene todo documentado. </w:t>
      </w:r>
    </w:p>
    <w:p w14:paraId="37F174AE" w14:textId="77777777" w:rsidR="0074736E" w:rsidRDefault="00F07EDA" w:rsidP="00F07EDA">
      <w:pPr>
        <w:pStyle w:val="Prrafodelista"/>
        <w:numPr>
          <w:ilvl w:val="0"/>
          <w:numId w:val="23"/>
        </w:numPr>
        <w:tabs>
          <w:tab w:val="left" w:pos="7513"/>
        </w:tabs>
        <w:adjustRightInd w:val="0"/>
        <w:spacing w:after="240" w:line="360" w:lineRule="auto"/>
        <w:ind w:right="900"/>
        <w:contextualSpacing/>
        <w:jc w:val="both"/>
        <w:rPr>
          <w:rFonts w:ascii="Palatino Linotype" w:hAnsi="Palatino Linotype" w:cs="Arial"/>
        </w:rPr>
      </w:pPr>
      <w:r w:rsidRPr="00F07EDA">
        <w:rPr>
          <w:rFonts w:ascii="Palatino Linotype" w:hAnsi="Palatino Linotype" w:cs="Arial"/>
        </w:rPr>
        <w:t xml:space="preserve">Requiere al Sujeto Obligado, informe sobre la integración el Consejo Directivo con la </w:t>
      </w:r>
      <w:r w:rsidR="0074736E">
        <w:rPr>
          <w:rFonts w:ascii="Palatino Linotype" w:hAnsi="Palatino Linotype" w:cs="Arial"/>
        </w:rPr>
        <w:t xml:space="preserve">documentación de su integración. </w:t>
      </w:r>
    </w:p>
    <w:p w14:paraId="50CBD99C" w14:textId="451613AC" w:rsidR="00F07EDA" w:rsidRPr="00F07EDA" w:rsidRDefault="0074736E" w:rsidP="00F07EDA">
      <w:pPr>
        <w:pStyle w:val="Prrafodelista"/>
        <w:numPr>
          <w:ilvl w:val="0"/>
          <w:numId w:val="23"/>
        </w:numPr>
        <w:tabs>
          <w:tab w:val="left" w:pos="7513"/>
        </w:tabs>
        <w:adjustRightInd w:val="0"/>
        <w:spacing w:after="240" w:line="360" w:lineRule="auto"/>
        <w:ind w:right="900"/>
        <w:contextualSpacing/>
        <w:jc w:val="both"/>
        <w:rPr>
          <w:rFonts w:ascii="Palatino Linotype" w:hAnsi="Palatino Linotype" w:cs="Arial"/>
        </w:rPr>
      </w:pPr>
      <w:r>
        <w:rPr>
          <w:rFonts w:ascii="Palatino Linotype" w:hAnsi="Palatino Linotype" w:cs="Arial"/>
        </w:rPr>
        <w:t>T</w:t>
      </w:r>
      <w:r w:rsidR="00F07EDA" w:rsidRPr="00F07EDA">
        <w:rPr>
          <w:rFonts w:ascii="Palatino Linotype" w:hAnsi="Palatino Linotype" w:cs="Arial"/>
        </w:rPr>
        <w:t>odos los estudios realizados durante los años 2017, 2018, 2019, 2020 y 2021 en materia de movilidad, de transporte para mejorar el transporte y tarifas.</w:t>
      </w:r>
    </w:p>
    <w:p w14:paraId="7805FEE0" w14:textId="42217E69" w:rsidR="00CA65D0" w:rsidRDefault="00544B0C" w:rsidP="00CA65D0">
      <w:pPr>
        <w:tabs>
          <w:tab w:val="left" w:pos="7513"/>
        </w:tabs>
        <w:adjustRightInd w:val="0"/>
        <w:spacing w:after="240" w:line="360" w:lineRule="auto"/>
        <w:ind w:right="51"/>
        <w:contextualSpacing/>
        <w:jc w:val="both"/>
        <w:rPr>
          <w:rFonts w:ascii="Palatino Linotype" w:hAnsi="Palatino Linotype" w:cs="Arial"/>
        </w:rPr>
      </w:pPr>
      <w:r w:rsidRPr="00CF1CB4">
        <w:rPr>
          <w:rFonts w:ascii="Palatino Linotype" w:hAnsi="Palatino Linotype" w:cs="Arial"/>
        </w:rPr>
        <w:t xml:space="preserve">El Sujeto Obligado </w:t>
      </w:r>
      <w:r w:rsidR="00A1520C" w:rsidRPr="00CF1CB4">
        <w:rPr>
          <w:rFonts w:ascii="Palatino Linotype" w:hAnsi="Palatino Linotype" w:cs="Arial"/>
        </w:rPr>
        <w:t>en respuesta envió</w:t>
      </w:r>
      <w:r w:rsidR="00CF1CB4">
        <w:rPr>
          <w:rFonts w:ascii="Palatino Linotype" w:hAnsi="Palatino Linotype" w:cs="Arial"/>
        </w:rPr>
        <w:t xml:space="preserve"> los </w:t>
      </w:r>
      <w:r w:rsidR="00F07EDA">
        <w:rPr>
          <w:rFonts w:ascii="Palatino Linotype" w:hAnsi="Palatino Linotype" w:cs="Arial"/>
        </w:rPr>
        <w:t xml:space="preserve">siguientes </w:t>
      </w:r>
      <w:r w:rsidR="00CF1CB4">
        <w:rPr>
          <w:rFonts w:ascii="Palatino Linotype" w:hAnsi="Palatino Linotype" w:cs="Arial"/>
        </w:rPr>
        <w:t xml:space="preserve">archivos electrónicos </w:t>
      </w:r>
      <w:r w:rsidR="00F07EDA">
        <w:rPr>
          <w:rFonts w:ascii="Palatino Linotype" w:hAnsi="Palatino Linotype" w:cs="Arial"/>
        </w:rPr>
        <w:t>d</w:t>
      </w:r>
      <w:r w:rsidR="00CA65D0" w:rsidRPr="00CA65D0">
        <w:rPr>
          <w:rFonts w:ascii="Palatino Linotype" w:hAnsi="Palatino Linotype" w:cs="Arial"/>
        </w:rPr>
        <w:t>e</w:t>
      </w:r>
      <w:r w:rsidR="00F07EDA">
        <w:rPr>
          <w:rFonts w:ascii="Palatino Linotype" w:hAnsi="Palatino Linotype" w:cs="Arial"/>
        </w:rPr>
        <w:t xml:space="preserve"> los</w:t>
      </w:r>
      <w:r w:rsidR="00CA65D0" w:rsidRPr="00CA65D0">
        <w:rPr>
          <w:rFonts w:ascii="Palatino Linotype" w:hAnsi="Palatino Linotype" w:cs="Arial"/>
        </w:rPr>
        <w:t xml:space="preserve"> cual</w:t>
      </w:r>
      <w:r w:rsidR="00F07EDA">
        <w:rPr>
          <w:rFonts w:ascii="Palatino Linotype" w:hAnsi="Palatino Linotype" w:cs="Arial"/>
        </w:rPr>
        <w:t xml:space="preserve">es se advierte el siguiente contenido: </w:t>
      </w:r>
      <w:r w:rsidR="00CA65D0" w:rsidRPr="00CA65D0">
        <w:rPr>
          <w:rFonts w:ascii="Palatino Linotype" w:hAnsi="Palatino Linotype" w:cs="Arial"/>
        </w:rPr>
        <w:t xml:space="preserve"> </w:t>
      </w:r>
    </w:p>
    <w:p w14:paraId="560ACE38" w14:textId="77777777" w:rsidR="00F07EDA" w:rsidRPr="00A035F6" w:rsidRDefault="00F07EDA" w:rsidP="00F07EDA">
      <w:pPr>
        <w:pStyle w:val="Prrafodelista"/>
        <w:numPr>
          <w:ilvl w:val="0"/>
          <w:numId w:val="18"/>
        </w:numPr>
        <w:spacing w:line="360" w:lineRule="auto"/>
        <w:ind w:right="851"/>
        <w:jc w:val="both"/>
        <w:rPr>
          <w:rFonts w:ascii="Palatino Linotype" w:hAnsi="Palatino Linotype" w:cs="Arial"/>
          <w:b/>
          <w:i/>
        </w:rPr>
      </w:pPr>
      <w:r>
        <w:rPr>
          <w:rFonts w:ascii="Palatino Linotype" w:hAnsi="Palatino Linotype" w:cs="Arial"/>
          <w:b/>
          <w:i/>
        </w:rPr>
        <w:t>“</w:t>
      </w:r>
      <w:r w:rsidRPr="00A035F6">
        <w:rPr>
          <w:rFonts w:ascii="Palatino Linotype" w:hAnsi="Palatino Linotype" w:cs="Arial"/>
          <w:b/>
          <w:i/>
        </w:rPr>
        <w:t>3 Acciones Observatorio C 14.05.2019-.pdf</w:t>
      </w:r>
      <w:r>
        <w:rPr>
          <w:rFonts w:ascii="Palatino Linotype" w:hAnsi="Palatino Linotype" w:cs="Arial"/>
          <w:b/>
          <w:i/>
        </w:rPr>
        <w:t xml:space="preserve">”: </w:t>
      </w:r>
      <w:r>
        <w:rPr>
          <w:rFonts w:ascii="Palatino Linotype" w:hAnsi="Palatino Linotype" w:cs="Arial"/>
        </w:rPr>
        <w:t xml:space="preserve">Presentación de sesión informativa por el que se dan </w:t>
      </w:r>
      <w:r w:rsidRPr="00A035F6">
        <w:rPr>
          <w:rFonts w:ascii="Palatino Linotype" w:hAnsi="Palatino Linotype" w:cs="Arial"/>
        </w:rPr>
        <w:t>a conocer a los integrantes del Observatorio Ciudadano de Movilidad, las acciones, programas y estrategias que desarrolla la Secretaría del ramo, como parte de la Política Pública de Movilidad para impulsar la competitividad, elevar la productividad de las personas y hacer más humano el traslado de los Mexiquenses.</w:t>
      </w:r>
    </w:p>
    <w:p w14:paraId="77962929" w14:textId="77777777" w:rsidR="00F07EDA" w:rsidRPr="005B5F00" w:rsidRDefault="00F07EDA" w:rsidP="00F07EDA">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2018 Estudio NT Taxi.pdf</w:t>
      </w:r>
      <w:r>
        <w:rPr>
          <w:rFonts w:ascii="Palatino Linotype" w:hAnsi="Palatino Linotype" w:cs="Arial"/>
          <w:b/>
          <w:i/>
        </w:rPr>
        <w:t xml:space="preserve">”: </w:t>
      </w:r>
      <w:r>
        <w:rPr>
          <w:rFonts w:ascii="Palatino Linotype" w:hAnsi="Palatino Linotype" w:cs="Arial"/>
        </w:rPr>
        <w:t>Estudio Preliminar para el posible ajuste tarifario para el servicio regular de pasaje en las modalidades de servicio discrecional de pasaje e</w:t>
      </w:r>
      <w:r w:rsidRPr="005B5F00">
        <w:rPr>
          <w:rFonts w:ascii="Palatino Linotype" w:hAnsi="Palatino Linotype" w:cs="Arial"/>
        </w:rPr>
        <w:t>n: Individual En Automóvil Alquiler De Radio Servicio Individual En Automóvil Alquiler Sin Base Individual En Automóvil Alquiler De Sitio</w:t>
      </w:r>
      <w:r>
        <w:rPr>
          <w:rFonts w:ascii="Palatino Linotype" w:hAnsi="Palatino Linotype" w:cs="Arial"/>
        </w:rPr>
        <w:t>.</w:t>
      </w:r>
    </w:p>
    <w:p w14:paraId="56B5FC89" w14:textId="77777777" w:rsidR="00F07EDA" w:rsidRPr="00A035F6" w:rsidRDefault="00F07EDA" w:rsidP="00F07EDA">
      <w:pPr>
        <w:pStyle w:val="Prrafodelista"/>
        <w:numPr>
          <w:ilvl w:val="0"/>
          <w:numId w:val="18"/>
        </w:numPr>
        <w:spacing w:line="360" w:lineRule="auto"/>
        <w:ind w:right="851"/>
        <w:jc w:val="both"/>
        <w:rPr>
          <w:rFonts w:ascii="Palatino Linotype" w:hAnsi="Palatino Linotype" w:cs="Arial"/>
          <w:b/>
          <w:i/>
        </w:rPr>
      </w:pPr>
      <w:r>
        <w:rPr>
          <w:rFonts w:ascii="Palatino Linotype" w:hAnsi="Palatino Linotype" w:cs="Arial"/>
          <w:b/>
          <w:i/>
        </w:rPr>
        <w:t>“</w:t>
      </w:r>
      <w:r w:rsidRPr="00A035F6">
        <w:rPr>
          <w:rFonts w:ascii="Palatino Linotype" w:hAnsi="Palatino Linotype" w:cs="Arial"/>
          <w:b/>
          <w:i/>
        </w:rPr>
        <w:t>1 ACTA INST OBSE CIUDADANO.pdf</w:t>
      </w:r>
      <w:r>
        <w:rPr>
          <w:rFonts w:ascii="Palatino Linotype" w:hAnsi="Palatino Linotype" w:cs="Arial"/>
          <w:b/>
          <w:i/>
        </w:rPr>
        <w:t xml:space="preserve">”: </w:t>
      </w:r>
      <w:r>
        <w:rPr>
          <w:rFonts w:ascii="Palatino Linotype" w:hAnsi="Palatino Linotype" w:cs="Arial"/>
        </w:rPr>
        <w:t>Acta de instalación del Observatorio Ciudadano de Movilidad del Estado de México.</w:t>
      </w:r>
    </w:p>
    <w:p w14:paraId="1EA5EA50" w14:textId="77777777" w:rsidR="00F07EDA" w:rsidRPr="00A035F6" w:rsidRDefault="00F07EDA" w:rsidP="00F07EDA">
      <w:pPr>
        <w:pStyle w:val="Prrafodelista"/>
        <w:numPr>
          <w:ilvl w:val="0"/>
          <w:numId w:val="18"/>
        </w:numPr>
        <w:spacing w:line="360" w:lineRule="auto"/>
        <w:ind w:right="851"/>
        <w:jc w:val="both"/>
        <w:rPr>
          <w:rFonts w:ascii="Palatino Linotype" w:hAnsi="Palatino Linotype" w:cs="Arial"/>
          <w:b/>
          <w:i/>
        </w:rPr>
      </w:pPr>
      <w:r>
        <w:rPr>
          <w:rFonts w:ascii="Palatino Linotype" w:hAnsi="Palatino Linotype" w:cs="Arial"/>
          <w:b/>
          <w:i/>
        </w:rPr>
        <w:t>“</w:t>
      </w:r>
      <w:r w:rsidRPr="00A035F6">
        <w:rPr>
          <w:rFonts w:ascii="Palatino Linotype" w:hAnsi="Palatino Linotype" w:cs="Arial"/>
          <w:b/>
          <w:i/>
        </w:rPr>
        <w:t>Reglamento Interno.pdf</w:t>
      </w:r>
      <w:r>
        <w:rPr>
          <w:rFonts w:ascii="Palatino Linotype" w:hAnsi="Palatino Linotype" w:cs="Arial"/>
          <w:b/>
          <w:i/>
        </w:rPr>
        <w:t xml:space="preserve">”: </w:t>
      </w:r>
      <w:r>
        <w:rPr>
          <w:rFonts w:ascii="Palatino Linotype" w:hAnsi="Palatino Linotype" w:cs="Arial"/>
        </w:rPr>
        <w:t>Reglamento del Transporte Pú</w:t>
      </w:r>
      <w:r w:rsidRPr="005B5F00">
        <w:rPr>
          <w:rFonts w:ascii="Palatino Linotype" w:hAnsi="Palatino Linotype" w:cs="Arial"/>
        </w:rPr>
        <w:t xml:space="preserve">blico </w:t>
      </w:r>
      <w:r>
        <w:rPr>
          <w:rFonts w:ascii="Palatino Linotype" w:hAnsi="Palatino Linotype" w:cs="Arial"/>
        </w:rPr>
        <w:t>y</w:t>
      </w:r>
      <w:r w:rsidRPr="005B5F00">
        <w:rPr>
          <w:rFonts w:ascii="Palatino Linotype" w:hAnsi="Palatino Linotype" w:cs="Arial"/>
        </w:rPr>
        <w:t xml:space="preserve"> Se</w:t>
      </w:r>
      <w:r>
        <w:rPr>
          <w:rFonts w:ascii="Palatino Linotype" w:hAnsi="Palatino Linotype" w:cs="Arial"/>
        </w:rPr>
        <w:t>rvicios Conexos Del Estado De Mé</w:t>
      </w:r>
      <w:r w:rsidRPr="005B5F00">
        <w:rPr>
          <w:rFonts w:ascii="Palatino Linotype" w:hAnsi="Palatino Linotype" w:cs="Arial"/>
        </w:rPr>
        <w:t>xico</w:t>
      </w:r>
    </w:p>
    <w:p w14:paraId="5E1AD108" w14:textId="77777777" w:rsidR="00F07EDA" w:rsidRPr="005B5F00" w:rsidRDefault="00F07EDA" w:rsidP="00F07EDA">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2017 ESTUDIO TARIFARIO s autobús $9.81 julio 2017.pdf</w:t>
      </w:r>
      <w:r>
        <w:rPr>
          <w:rFonts w:ascii="Palatino Linotype" w:hAnsi="Palatino Linotype" w:cs="Arial"/>
          <w:b/>
          <w:i/>
        </w:rPr>
        <w:t xml:space="preserve">”: </w:t>
      </w:r>
      <w:r>
        <w:rPr>
          <w:rFonts w:ascii="Palatino Linotype" w:hAnsi="Palatino Linotype" w:cs="Arial"/>
        </w:rPr>
        <w:t>Estudio para el posible ajuste t</w:t>
      </w:r>
      <w:r w:rsidRPr="005B5F00">
        <w:rPr>
          <w:rFonts w:ascii="Palatino Linotype" w:hAnsi="Palatino Linotype" w:cs="Arial"/>
        </w:rPr>
        <w:t>arifario. Servicio Púb</w:t>
      </w:r>
      <w:r>
        <w:rPr>
          <w:rFonts w:ascii="Palatino Linotype" w:hAnsi="Palatino Linotype" w:cs="Arial"/>
        </w:rPr>
        <w:t>lico de Transporte en la modalidad de c</w:t>
      </w:r>
      <w:r w:rsidRPr="005B5F00">
        <w:rPr>
          <w:rFonts w:ascii="Palatino Linotype" w:hAnsi="Palatino Linotype" w:cs="Arial"/>
        </w:rPr>
        <w:t>olectivo (Autobús)</w:t>
      </w:r>
    </w:p>
    <w:p w14:paraId="45D2152B" w14:textId="77777777" w:rsidR="00F07EDA" w:rsidRPr="005B5F00" w:rsidRDefault="00F07EDA" w:rsidP="00F07EDA">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Reglamento de transpoprte y Sc.pdf</w:t>
      </w:r>
      <w:r>
        <w:rPr>
          <w:rFonts w:ascii="Palatino Linotype" w:hAnsi="Palatino Linotype" w:cs="Arial"/>
          <w:b/>
          <w:i/>
        </w:rPr>
        <w:t xml:space="preserve">”: </w:t>
      </w:r>
      <w:r>
        <w:rPr>
          <w:rFonts w:ascii="Palatino Linotype" w:hAnsi="Palatino Linotype" w:cs="Arial"/>
        </w:rPr>
        <w:t>Reglamento del Transporte Público y servicios conexos del Estado d</w:t>
      </w:r>
      <w:r w:rsidRPr="005B5F00">
        <w:rPr>
          <w:rFonts w:ascii="Palatino Linotype" w:hAnsi="Palatino Linotype" w:cs="Arial"/>
        </w:rPr>
        <w:t>e México</w:t>
      </w:r>
    </w:p>
    <w:p w14:paraId="2782F6BA" w14:textId="77777777" w:rsidR="00F07EDA" w:rsidRPr="005B5F00" w:rsidRDefault="00F07EDA" w:rsidP="00F07EDA">
      <w:pPr>
        <w:pStyle w:val="Prrafodelista"/>
        <w:numPr>
          <w:ilvl w:val="0"/>
          <w:numId w:val="18"/>
        </w:numPr>
        <w:spacing w:line="360" w:lineRule="auto"/>
        <w:ind w:right="851"/>
        <w:jc w:val="both"/>
        <w:rPr>
          <w:rFonts w:ascii="Palatino Linotype" w:hAnsi="Palatino Linotype" w:cs="Arial"/>
          <w:i/>
        </w:rPr>
      </w:pPr>
      <w:r>
        <w:rPr>
          <w:rFonts w:ascii="Palatino Linotype" w:hAnsi="Palatino Linotype" w:cs="Arial"/>
          <w:b/>
          <w:i/>
        </w:rPr>
        <w:t>“</w:t>
      </w:r>
      <w:r w:rsidRPr="00A035F6">
        <w:rPr>
          <w:rFonts w:ascii="Palatino Linotype" w:hAnsi="Palatino Linotype" w:cs="Arial"/>
          <w:b/>
          <w:i/>
        </w:rPr>
        <w:t>2020 ESTUDIO TARIFAS.pdf</w:t>
      </w:r>
      <w:r>
        <w:rPr>
          <w:rFonts w:ascii="Palatino Linotype" w:hAnsi="Palatino Linotype" w:cs="Arial"/>
          <w:b/>
          <w:i/>
        </w:rPr>
        <w:t xml:space="preserve">”: </w:t>
      </w:r>
      <w:r>
        <w:rPr>
          <w:rFonts w:ascii="Palatino Linotype" w:hAnsi="Palatino Linotype" w:cs="Arial"/>
        </w:rPr>
        <w:t>Análisis para fijar y a</w:t>
      </w:r>
      <w:r w:rsidRPr="005B5F00">
        <w:rPr>
          <w:rFonts w:ascii="Palatino Linotype" w:hAnsi="Palatino Linotype" w:cs="Arial"/>
        </w:rPr>
        <w:t>ctual</w:t>
      </w:r>
      <w:r>
        <w:rPr>
          <w:rFonts w:ascii="Palatino Linotype" w:hAnsi="Palatino Linotype" w:cs="Arial"/>
        </w:rPr>
        <w:t>izar las Bases para establecer la Norma Técnica que permita determinar las Tarifas del Servicio Público d</w:t>
      </w:r>
      <w:r w:rsidRPr="005B5F00">
        <w:rPr>
          <w:rFonts w:ascii="Palatino Linotype" w:hAnsi="Palatino Linotype" w:cs="Arial"/>
        </w:rPr>
        <w:t>el Transporte.</w:t>
      </w:r>
    </w:p>
    <w:p w14:paraId="66400AD2" w14:textId="77777777" w:rsidR="00F07EDA" w:rsidRPr="005B5F00" w:rsidRDefault="00F07EDA" w:rsidP="00F07EDA">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2019 CORREDORES DE MEDIANA CAPACIDAD.pdf</w:t>
      </w:r>
      <w:r>
        <w:rPr>
          <w:rFonts w:ascii="Palatino Linotype" w:hAnsi="Palatino Linotype" w:cs="Arial"/>
          <w:b/>
          <w:i/>
        </w:rPr>
        <w:t xml:space="preserve">”: </w:t>
      </w:r>
      <w:r>
        <w:rPr>
          <w:rFonts w:ascii="Palatino Linotype" w:hAnsi="Palatino Linotype" w:cs="Arial"/>
        </w:rPr>
        <w:t>Programa de Implementación  de Corredores d</w:t>
      </w:r>
      <w:r w:rsidRPr="005B5F00">
        <w:rPr>
          <w:rFonts w:ascii="Palatino Linotype" w:hAnsi="Palatino Linotype" w:cs="Arial"/>
        </w:rPr>
        <w:t>e Median</w:t>
      </w:r>
      <w:r>
        <w:rPr>
          <w:rFonts w:ascii="Palatino Linotype" w:hAnsi="Palatino Linotype" w:cs="Arial"/>
        </w:rPr>
        <w:t xml:space="preserve">a Capacidad para la Zona  Metropolitana del Valle de </w:t>
      </w:r>
      <w:r w:rsidRPr="005B5F00">
        <w:rPr>
          <w:rFonts w:ascii="Palatino Linotype" w:hAnsi="Palatino Linotype" w:cs="Arial"/>
        </w:rPr>
        <w:t>México (Zmvm) Resumen Ejecutivo</w:t>
      </w:r>
    </w:p>
    <w:p w14:paraId="41EBFE8B" w14:textId="77777777" w:rsidR="00F07EDA" w:rsidRPr="005B5F00" w:rsidRDefault="00F07EDA" w:rsidP="00F07EDA">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2021 Estudio.pdf</w:t>
      </w:r>
      <w:r>
        <w:rPr>
          <w:rFonts w:ascii="Palatino Linotype" w:hAnsi="Palatino Linotype" w:cs="Arial"/>
          <w:b/>
          <w:i/>
        </w:rPr>
        <w:t xml:space="preserve">”: </w:t>
      </w:r>
      <w:r>
        <w:rPr>
          <w:rFonts w:ascii="Palatino Linotype" w:hAnsi="Palatino Linotype" w:cs="Arial"/>
        </w:rPr>
        <w:t>Análisis para fijar y actualizar las Bases  para establecer la Norma Técnica que permita determinar las tarifas del Servicio Público d</w:t>
      </w:r>
      <w:r w:rsidRPr="005B5F00">
        <w:rPr>
          <w:rFonts w:ascii="Palatino Linotype" w:hAnsi="Palatino Linotype" w:cs="Arial"/>
        </w:rPr>
        <w:t>el Transporte.</w:t>
      </w:r>
    </w:p>
    <w:p w14:paraId="1590F5B0" w14:textId="77777777" w:rsidR="00F07EDA" w:rsidRDefault="00F07EDA" w:rsidP="00F07EDA">
      <w:pPr>
        <w:pStyle w:val="Prrafodelista"/>
        <w:numPr>
          <w:ilvl w:val="0"/>
          <w:numId w:val="18"/>
        </w:numPr>
        <w:spacing w:line="360" w:lineRule="auto"/>
        <w:ind w:right="851"/>
        <w:jc w:val="both"/>
        <w:rPr>
          <w:rFonts w:ascii="Palatino Linotype" w:hAnsi="Palatino Linotype" w:cs="Arial"/>
        </w:rPr>
      </w:pPr>
      <w:r>
        <w:rPr>
          <w:rFonts w:ascii="Palatino Linotype" w:hAnsi="Palatino Linotype" w:cs="Arial"/>
          <w:b/>
          <w:i/>
        </w:rPr>
        <w:t>“</w:t>
      </w:r>
      <w:r w:rsidRPr="00A035F6">
        <w:rPr>
          <w:rFonts w:ascii="Palatino Linotype" w:hAnsi="Palatino Linotype" w:cs="Arial"/>
          <w:b/>
          <w:i/>
        </w:rPr>
        <w:t>2 Integrantes OB Ciudadano.pdf</w:t>
      </w:r>
      <w:r>
        <w:rPr>
          <w:rFonts w:ascii="Palatino Linotype" w:hAnsi="Palatino Linotype" w:cs="Arial"/>
          <w:b/>
          <w:i/>
        </w:rPr>
        <w:t xml:space="preserve">”: </w:t>
      </w:r>
      <w:r>
        <w:rPr>
          <w:rFonts w:ascii="Palatino Linotype" w:hAnsi="Palatino Linotype" w:cs="Arial"/>
        </w:rPr>
        <w:t>Listado con los integrantes del Observatorio Ciudadano.</w:t>
      </w:r>
    </w:p>
    <w:p w14:paraId="7BF29125" w14:textId="77777777" w:rsidR="00CF1CB4" w:rsidRPr="00CF1CB4" w:rsidRDefault="00CF1CB4" w:rsidP="00CF1CB4">
      <w:pPr>
        <w:tabs>
          <w:tab w:val="left" w:pos="7513"/>
        </w:tabs>
        <w:adjustRightInd w:val="0"/>
        <w:spacing w:after="240" w:line="360" w:lineRule="auto"/>
        <w:ind w:right="49"/>
        <w:contextualSpacing/>
        <w:jc w:val="both"/>
        <w:rPr>
          <w:rFonts w:ascii="Palatino Linotype" w:hAnsi="Palatino Linotype"/>
          <w:i/>
          <w:lang w:eastAsia="en-US"/>
        </w:rPr>
      </w:pPr>
    </w:p>
    <w:p w14:paraId="14F4AA50" w14:textId="6D1976F1" w:rsidR="00B06B69" w:rsidRDefault="00CF1CB4" w:rsidP="00B06B69">
      <w:pPr>
        <w:spacing w:line="360" w:lineRule="auto"/>
        <w:ind w:right="49"/>
        <w:contextualSpacing/>
        <w:jc w:val="both"/>
        <w:rPr>
          <w:rFonts w:ascii="Palatino Linotype" w:hAnsi="Palatino Linotype" w:cs="Arial"/>
          <w:i/>
          <w:szCs w:val="22"/>
          <w:lang w:eastAsia="en-US"/>
        </w:rPr>
      </w:pPr>
      <w:r>
        <w:rPr>
          <w:rFonts w:ascii="Palatino Linotype" w:hAnsi="Palatino Linotype" w:cs="Arial"/>
          <w:szCs w:val="22"/>
          <w:lang w:eastAsia="en-US"/>
        </w:rPr>
        <w:t>Una vez conocida la respuesta, el</w:t>
      </w:r>
      <w:r w:rsidR="00BF5198" w:rsidRPr="00BF5198">
        <w:rPr>
          <w:rFonts w:ascii="Palatino Linotype" w:hAnsi="Palatino Linotype" w:cs="Arial"/>
          <w:szCs w:val="22"/>
          <w:lang w:eastAsia="en-US"/>
        </w:rPr>
        <w:t xml:space="preserve"> recurrente interpuso el medio de impugnación que nos ocupa, expresando que</w:t>
      </w:r>
      <w:r w:rsidR="00A1520C">
        <w:rPr>
          <w:rFonts w:ascii="Palatino Linotype" w:hAnsi="Palatino Linotype" w:cs="Arial"/>
          <w:szCs w:val="22"/>
          <w:lang w:eastAsia="en-US"/>
        </w:rPr>
        <w:t xml:space="preserve"> </w:t>
      </w:r>
      <w:r w:rsidR="00B06B69">
        <w:rPr>
          <w:rFonts w:ascii="Palatino Linotype" w:hAnsi="Palatino Linotype" w:cs="Arial"/>
          <w:szCs w:val="22"/>
          <w:lang w:eastAsia="en-US"/>
        </w:rPr>
        <w:t>“</w:t>
      </w:r>
      <w:r w:rsidR="00F07EDA" w:rsidRPr="00F07EDA">
        <w:rPr>
          <w:rFonts w:ascii="Palatino Linotype" w:hAnsi="Palatino Linotype" w:cs="Arial"/>
          <w:i/>
          <w:szCs w:val="22"/>
          <w:lang w:eastAsia="en-US"/>
        </w:rPr>
        <w:t xml:space="preserve">En razón que la información que proporciona no es una información clara, </w:t>
      </w:r>
      <w:r w:rsidR="00F07EDA" w:rsidRPr="007F0A62">
        <w:rPr>
          <w:rFonts w:ascii="Palatino Linotype" w:hAnsi="Palatino Linotype" w:cs="Arial"/>
          <w:b/>
          <w:i/>
          <w:szCs w:val="22"/>
          <w:u w:val="single"/>
          <w:lang w:eastAsia="en-US"/>
        </w:rPr>
        <w:t>por lo que hace a las actas de instalación no lo es ya que una acta debe ser de manera formar con el contenido y las firmas de quien lo integra de como quedo conformado el Observatorio</w:t>
      </w:r>
      <w:r w:rsidR="00F07EDA" w:rsidRPr="00F07EDA">
        <w:rPr>
          <w:rFonts w:ascii="Palatino Linotype" w:hAnsi="Palatino Linotype" w:cs="Arial"/>
          <w:i/>
          <w:szCs w:val="22"/>
          <w:lang w:eastAsia="en-US"/>
        </w:rPr>
        <w:t xml:space="preserve">, eso más bien parece una lista de asistencia, </w:t>
      </w:r>
      <w:r w:rsidR="00F07EDA" w:rsidRPr="007F0A62">
        <w:rPr>
          <w:rFonts w:ascii="Palatino Linotype" w:hAnsi="Palatino Linotype" w:cs="Arial"/>
          <w:b/>
          <w:i/>
          <w:szCs w:val="22"/>
          <w:u w:val="single"/>
          <w:lang w:eastAsia="en-US"/>
        </w:rPr>
        <w:t>por lo que hace a los estudios ejecutivos que dicen hacen entrega pero la realidad es que lo que entregan están incompleto ya que solo es una portada y un hoja, con un programa o metas, eso no es un estudio cualquiera a todas luces lo puede observar, por lo que hace a los estudios tarifarios solo hacen entrega de unos estudios incompletos se puede observar, por lo que hace al integración del Consejo Directivo no hacen entrega de la información</w:t>
      </w:r>
      <w:r w:rsidR="00F07EDA" w:rsidRPr="00F07EDA">
        <w:rPr>
          <w:rFonts w:ascii="Palatino Linotype" w:hAnsi="Palatino Linotype" w:cs="Arial"/>
          <w:i/>
          <w:szCs w:val="22"/>
          <w:lang w:eastAsia="en-US"/>
        </w:rPr>
        <w:t>, y tampoco, por lo que se puede ver que no cumplen con el derecho de acceso a la información, pública y que además debe ser pública por ser generada por una dependencia.</w:t>
      </w:r>
      <w:r w:rsidR="00B06B69">
        <w:rPr>
          <w:rFonts w:ascii="Palatino Linotype" w:hAnsi="Palatino Linotype" w:cs="Arial"/>
          <w:i/>
          <w:szCs w:val="22"/>
          <w:lang w:eastAsia="en-US"/>
        </w:rPr>
        <w:t>”</w:t>
      </w:r>
    </w:p>
    <w:p w14:paraId="04F4F085" w14:textId="4F4E9D1E" w:rsidR="007F0A62" w:rsidRPr="007F0A62" w:rsidRDefault="007F0A62" w:rsidP="00B06B69">
      <w:pPr>
        <w:spacing w:line="360" w:lineRule="auto"/>
        <w:ind w:right="49"/>
        <w:contextualSpacing/>
        <w:jc w:val="both"/>
        <w:rPr>
          <w:rFonts w:ascii="Palatino Linotype" w:hAnsi="Palatino Linotype" w:cs="Arial"/>
          <w:i/>
          <w:sz w:val="22"/>
          <w:szCs w:val="22"/>
          <w:lang w:eastAsia="en-US"/>
        </w:rPr>
      </w:pPr>
      <w:r w:rsidRPr="007F0A62">
        <w:rPr>
          <w:rFonts w:ascii="Palatino Linotype" w:hAnsi="Palatino Linotype" w:cs="Arial"/>
          <w:i/>
          <w:sz w:val="22"/>
          <w:szCs w:val="22"/>
          <w:lang w:eastAsia="en-US"/>
        </w:rPr>
        <w:t>(Énfasis añadido)</w:t>
      </w:r>
    </w:p>
    <w:p w14:paraId="625589D1" w14:textId="782589DA" w:rsidR="007F0A62" w:rsidRPr="00B27637" w:rsidRDefault="007F0A62" w:rsidP="007F0A62">
      <w:pPr>
        <w:spacing w:before="240" w:after="240" w:line="360" w:lineRule="auto"/>
        <w:jc w:val="both"/>
        <w:rPr>
          <w:rFonts w:ascii="Palatino Linotype" w:hAnsi="Palatino Linotype" w:cs="Bookman Old Style"/>
          <w:color w:val="000000"/>
          <w:lang w:val="es-ES"/>
        </w:rPr>
      </w:pPr>
      <w:r w:rsidRPr="00B27637">
        <w:rPr>
          <w:rFonts w:ascii="Palatino Linotype" w:eastAsia="Arial Unicode MS" w:hAnsi="Palatino Linotype" w:cs="Arial"/>
          <w:color w:val="000000"/>
          <w:lang w:val="es-ES"/>
        </w:rPr>
        <w:t xml:space="preserve">Bajo este tenor, la parte de la respuesta </w:t>
      </w:r>
      <w:r>
        <w:rPr>
          <w:rFonts w:ascii="Palatino Linotype" w:eastAsia="Arial Unicode MS" w:hAnsi="Palatino Linotype" w:cs="Arial"/>
          <w:color w:val="000000"/>
          <w:lang w:val="es-ES"/>
        </w:rPr>
        <w:t xml:space="preserve">concerniente a las </w:t>
      </w:r>
      <w:r w:rsidRPr="0095111F">
        <w:rPr>
          <w:rFonts w:ascii="Palatino Linotype" w:eastAsia="Arial Unicode MS" w:hAnsi="Palatino Linotype" w:cs="Arial"/>
          <w:b/>
          <w:i/>
          <w:color w:val="000000"/>
          <w:lang w:val="es-ES"/>
        </w:rPr>
        <w:t>acciones</w:t>
      </w:r>
      <w:r>
        <w:rPr>
          <w:rFonts w:ascii="Palatino Linotype" w:eastAsia="Arial Unicode MS" w:hAnsi="Palatino Linotype" w:cs="Arial"/>
          <w:color w:val="000000"/>
          <w:lang w:val="es-ES"/>
        </w:rPr>
        <w:t xml:space="preserve"> </w:t>
      </w:r>
      <w:r w:rsidR="0095111F" w:rsidRPr="0095111F">
        <w:rPr>
          <w:rFonts w:ascii="Palatino Linotype" w:eastAsia="Arial Unicode MS" w:hAnsi="Palatino Linotype" w:cs="Arial"/>
          <w:b/>
          <w:i/>
          <w:color w:val="000000"/>
          <w:lang w:val="es-ES"/>
        </w:rPr>
        <w:t>realizadas por el observatorio así como sus resultados</w:t>
      </w:r>
      <w:r w:rsidR="0095111F">
        <w:rPr>
          <w:rFonts w:ascii="Palatino Linotype" w:eastAsia="Arial Unicode MS" w:hAnsi="Palatino Linotype" w:cs="Arial"/>
          <w:color w:val="000000"/>
          <w:lang w:val="es-ES"/>
        </w:rPr>
        <w:t xml:space="preserve">, se tiene </w:t>
      </w:r>
      <w:r w:rsidRPr="00B27637">
        <w:rPr>
          <w:rFonts w:ascii="Palatino Linotype" w:eastAsia="Arial Unicode MS" w:hAnsi="Palatino Linotype" w:cs="Arial"/>
          <w:color w:val="000000"/>
          <w:lang w:val="es-ES"/>
        </w:rPr>
        <w:t>que no fue impugnada</w:t>
      </w:r>
      <w:r w:rsidR="0095111F">
        <w:rPr>
          <w:rFonts w:ascii="Palatino Linotype" w:eastAsia="Arial Unicode MS" w:hAnsi="Palatino Linotype" w:cs="Arial"/>
          <w:color w:val="000000"/>
          <w:lang w:val="es-ES"/>
        </w:rPr>
        <w:t>, por lo que consecuentemente</w:t>
      </w:r>
      <w:r w:rsidRPr="00B27637">
        <w:rPr>
          <w:rFonts w:ascii="Palatino Linotype" w:eastAsia="Arial Unicode MS" w:hAnsi="Palatino Linotype" w:cs="Arial"/>
          <w:color w:val="000000"/>
          <w:lang w:val="es-ES"/>
        </w:rPr>
        <w:t xml:space="preserve"> debe declararse consentida, toda vez que, al no haber realizado manifestaciones de inconformidad al respecto, se infiere que la información proporcionada por el Sujeto Obligado, satisface </w:t>
      </w:r>
      <w:r w:rsidR="00CD5C5F">
        <w:rPr>
          <w:rFonts w:ascii="Palatino Linotype" w:eastAsia="Arial Unicode MS" w:hAnsi="Palatino Linotype" w:cs="Arial"/>
          <w:color w:val="000000"/>
          <w:lang w:val="es-ES"/>
        </w:rPr>
        <w:t xml:space="preserve">este punto de </w:t>
      </w:r>
      <w:r w:rsidRPr="00B27637">
        <w:rPr>
          <w:rFonts w:ascii="Palatino Linotype" w:eastAsia="Arial Unicode MS" w:hAnsi="Palatino Linotype" w:cs="Arial"/>
          <w:color w:val="000000"/>
          <w:lang w:val="es-ES"/>
        </w:rPr>
        <w:t>la solicitud presentada.</w:t>
      </w:r>
    </w:p>
    <w:p w14:paraId="06950779" w14:textId="77777777" w:rsidR="007F0A62" w:rsidRPr="00B27637" w:rsidRDefault="007F0A62" w:rsidP="007F0A62">
      <w:pPr>
        <w:spacing w:before="240" w:after="360" w:line="360" w:lineRule="auto"/>
        <w:jc w:val="both"/>
        <w:rPr>
          <w:rFonts w:ascii="Palatino Linotype" w:eastAsia="Calibri" w:hAnsi="Palatino Linotype" w:cs="Arial"/>
          <w:color w:val="000000"/>
          <w:lang w:val="es-ES"/>
        </w:rPr>
      </w:pPr>
      <w:r w:rsidRPr="00B27637">
        <w:rPr>
          <w:rFonts w:ascii="Palatino Linotype" w:eastAsia="Calibri" w:hAnsi="Palatino Linotype" w:cs="Arial"/>
          <w:color w:val="000000"/>
          <w:lang w:val="es-ES"/>
        </w:rPr>
        <w:t>Lo anterior es así, debido a que cuando un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E4C59B1" w14:textId="77777777" w:rsidR="007F0A62" w:rsidRPr="00B27637" w:rsidRDefault="007F0A62" w:rsidP="007F0A62">
      <w:pPr>
        <w:autoSpaceDE w:val="0"/>
        <w:autoSpaceDN w:val="0"/>
        <w:adjustRightInd w:val="0"/>
        <w:spacing w:before="240" w:after="360"/>
        <w:ind w:left="851" w:right="900"/>
        <w:jc w:val="both"/>
        <w:rPr>
          <w:rFonts w:ascii="Palatino Linotype" w:eastAsia="Calibri" w:hAnsi="Palatino Linotype" w:cs="Arial"/>
          <w:i/>
          <w:color w:val="000000"/>
          <w:sz w:val="22"/>
          <w:lang w:val="es-ES"/>
        </w:rPr>
      </w:pPr>
      <w:r w:rsidRPr="00B27637">
        <w:rPr>
          <w:rFonts w:ascii="Palatino Linotype" w:eastAsia="Calibri" w:hAnsi="Palatino Linotype" w:cs="Arial"/>
          <w:b/>
          <w:i/>
          <w:color w:val="000000"/>
          <w:sz w:val="22"/>
          <w:lang w:val="es-ES"/>
        </w:rPr>
        <w:t xml:space="preserve">“REVISIÓN EN AMPARO. LOS RESOLUTIVOS NO COMBATIDOS DEBEN DECLARARSE FIRMES. </w:t>
      </w:r>
      <w:r w:rsidRPr="00B27637">
        <w:rPr>
          <w:rFonts w:ascii="Palatino Linotype" w:eastAsia="Calibri" w:hAnsi="Palatino Linotype" w:cs="Arial"/>
          <w:bCs/>
          <w:i/>
          <w:iCs/>
          <w:color w:val="000000"/>
          <w:sz w:val="22"/>
          <w:lang w:val="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199FA2" w14:textId="77777777" w:rsidR="007F0A62" w:rsidRPr="00B27637" w:rsidRDefault="007F0A62" w:rsidP="007F0A62">
      <w:pPr>
        <w:spacing w:before="240" w:after="240" w:line="360" w:lineRule="auto"/>
        <w:jc w:val="both"/>
        <w:rPr>
          <w:rFonts w:ascii="Palatino Linotype" w:eastAsia="Arial Unicode MS" w:hAnsi="Palatino Linotype" w:cs="Arial"/>
          <w:color w:val="000000"/>
          <w:lang w:val="es-ES"/>
        </w:rPr>
      </w:pPr>
      <w:r w:rsidRPr="00B27637">
        <w:rPr>
          <w:rFonts w:ascii="Palatino Linotype" w:eastAsia="Arial Unicode MS" w:hAnsi="Palatino Linotype" w:cs="Arial"/>
          <w:color w:val="000000"/>
          <w:lang w:val="es-ES"/>
        </w:rPr>
        <w:t xml:space="preserve">Consecuentemente, se reitera que la parte de la solicitud que no fue impugnada debe declararse consentida por la hoy Recurrente,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5C0DFCDD" w14:textId="77777777" w:rsidR="007F0A62" w:rsidRPr="00B27637" w:rsidRDefault="007F0A62" w:rsidP="007F0A62">
      <w:pPr>
        <w:spacing w:before="240" w:after="240" w:line="360" w:lineRule="auto"/>
        <w:jc w:val="both"/>
        <w:rPr>
          <w:rFonts w:ascii="Palatino Linotype" w:eastAsia="Arial Unicode MS" w:hAnsi="Palatino Linotype" w:cs="Arial"/>
          <w:color w:val="000000"/>
          <w:lang w:val="es-ES"/>
        </w:rPr>
      </w:pPr>
      <w:r w:rsidRPr="00B27637">
        <w:rPr>
          <w:rFonts w:ascii="Palatino Linotype" w:eastAsia="Arial Unicode MS" w:hAnsi="Palatino Linotype" w:cs="Arial"/>
          <w:color w:val="000000"/>
          <w:lang w:val="es-ES"/>
        </w:rPr>
        <w:t xml:space="preserve">Sirve de sustento a lo anterior por analogía la tesis jurisprudencial número </w:t>
      </w:r>
      <w:r w:rsidRPr="00B27637">
        <w:rPr>
          <w:rFonts w:ascii="Palatino Linotype" w:eastAsia="Calibri" w:hAnsi="Palatino Linotype" w:cs="Arial"/>
          <w:color w:val="000000"/>
          <w:lang w:val="es-ES"/>
        </w:rPr>
        <w:t>VI.3o.C. J/60, publicada en el Semanario Judicial de la Federación y su Gaceta bajo el número de registro 176,608 que a la letra dice:</w:t>
      </w:r>
    </w:p>
    <w:p w14:paraId="1FAAA399" w14:textId="77777777" w:rsidR="007F0A62" w:rsidRPr="00B27637" w:rsidRDefault="007F0A62" w:rsidP="007F0A62">
      <w:pPr>
        <w:spacing w:before="240" w:after="240"/>
        <w:ind w:left="567" w:right="900"/>
        <w:jc w:val="both"/>
        <w:rPr>
          <w:rFonts w:ascii="Palatino Linotype" w:eastAsia="MS Mincho" w:hAnsi="Palatino Linotype" w:cs="Bookman Old Style"/>
        </w:rPr>
      </w:pPr>
      <w:r w:rsidRPr="00B27637">
        <w:rPr>
          <w:rFonts w:ascii="Palatino Linotype" w:hAnsi="Palatino Linotype" w:cs="Arial"/>
          <w:b/>
          <w:bCs/>
          <w:i/>
          <w:caps/>
          <w:color w:val="000000"/>
          <w:sz w:val="22"/>
          <w:lang w:val="es-ES" w:eastAsia="es-MX"/>
        </w:rPr>
        <w:t xml:space="preserve">“ACTOS CONSENTIDOS. SON LOS QUE NO SE IMPUGNAN MEDIANTE EL RECURSO IDÓNEO. </w:t>
      </w:r>
      <w:r w:rsidRPr="00B27637">
        <w:rPr>
          <w:rFonts w:ascii="Palatino Linotype" w:hAnsi="Palatino Linotype" w:cs="Arial"/>
          <w:i/>
          <w:color w:val="000000"/>
          <w:sz w:val="22"/>
          <w:lang w:val="es-ES"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0836B75" w14:textId="2DECB4D8" w:rsidR="00BF5198" w:rsidRDefault="003C3DBF" w:rsidP="00806347">
      <w:pPr>
        <w:spacing w:before="240" w:after="240" w:line="360" w:lineRule="auto"/>
        <w:jc w:val="both"/>
        <w:rPr>
          <w:rFonts w:ascii="Palatino Linotype" w:hAnsi="Palatino Linotype"/>
          <w:lang w:val="es-ES"/>
        </w:rPr>
      </w:pPr>
      <w:r>
        <w:rPr>
          <w:rFonts w:ascii="Palatino Linotype" w:hAnsi="Palatino Linotype"/>
          <w:lang w:val="es-ES"/>
        </w:rPr>
        <w:t>En este orden de ideas</w:t>
      </w:r>
      <w:r w:rsidR="00544B0C" w:rsidRPr="00544B0C">
        <w:rPr>
          <w:rFonts w:ascii="Palatino Linotype" w:hAnsi="Palatino Linotype"/>
          <w:lang w:val="es-ES"/>
        </w:rPr>
        <w:t xml:space="preserve">, </w:t>
      </w:r>
      <w:r>
        <w:rPr>
          <w:rFonts w:ascii="Palatino Linotype" w:hAnsi="Palatino Linotype"/>
          <w:lang w:val="es-ES"/>
        </w:rPr>
        <w:t xml:space="preserve">al momento de rendir su informe justificado, </w:t>
      </w:r>
      <w:r w:rsidR="00544B0C" w:rsidRPr="00544B0C">
        <w:rPr>
          <w:rFonts w:ascii="Palatino Linotype" w:hAnsi="Palatino Linotype"/>
          <w:lang w:val="es-ES"/>
        </w:rPr>
        <w:t xml:space="preserve">se destaca que el Sujeto Obligado </w:t>
      </w:r>
      <w:r w:rsidR="00BF5198">
        <w:rPr>
          <w:rFonts w:ascii="Palatino Linotype" w:hAnsi="Palatino Linotype"/>
          <w:lang w:val="es-ES"/>
        </w:rPr>
        <w:t>amplía la respuesta</w:t>
      </w:r>
      <w:r w:rsidR="00544B0C" w:rsidRPr="00544B0C">
        <w:rPr>
          <w:rFonts w:ascii="Palatino Linotype" w:hAnsi="Palatino Linotype"/>
          <w:lang w:val="es-ES"/>
        </w:rPr>
        <w:t xml:space="preserve"> </w:t>
      </w:r>
      <w:r w:rsidR="00BF5198">
        <w:rPr>
          <w:rFonts w:ascii="Palatino Linotype" w:hAnsi="Palatino Linotype"/>
          <w:lang w:val="es-ES"/>
        </w:rPr>
        <w:t>que había otorgado inicialmente y dio origen a</w:t>
      </w:r>
      <w:r w:rsidR="00544B0C" w:rsidRPr="00544B0C">
        <w:rPr>
          <w:rFonts w:ascii="Palatino Linotype" w:hAnsi="Palatino Linotype"/>
          <w:lang w:val="es-ES"/>
        </w:rPr>
        <w:t xml:space="preserve"> la interposición del recurso de revisión citada al</w:t>
      </w:r>
      <w:r w:rsidR="00806347">
        <w:rPr>
          <w:rFonts w:ascii="Palatino Linotype" w:hAnsi="Palatino Linotype"/>
          <w:lang w:val="es-ES"/>
        </w:rPr>
        <w:t xml:space="preserve"> rubro.</w:t>
      </w:r>
    </w:p>
    <w:p w14:paraId="5FC02696" w14:textId="189D2319" w:rsidR="0074736E" w:rsidRDefault="003C3DBF" w:rsidP="0074736E">
      <w:pPr>
        <w:spacing w:before="240" w:after="240" w:line="360" w:lineRule="auto"/>
        <w:jc w:val="both"/>
        <w:rPr>
          <w:rFonts w:ascii="Palatino Linotype" w:hAnsi="Palatino Linotype" w:cs="Arial"/>
          <w:bCs/>
          <w:lang w:val="es-ES"/>
        </w:rPr>
      </w:pPr>
      <w:r>
        <w:rPr>
          <w:rFonts w:ascii="Palatino Linotype" w:hAnsi="Palatino Linotype" w:cs="Arial"/>
          <w:bCs/>
          <w:lang w:val="es-ES"/>
        </w:rPr>
        <w:t>Es por ello que</w:t>
      </w:r>
      <w:r w:rsidR="0074736E" w:rsidRPr="0074736E">
        <w:rPr>
          <w:rFonts w:ascii="Palatino Linotype" w:hAnsi="Palatino Linotype" w:cs="Arial"/>
          <w:bCs/>
          <w:lang w:val="es-ES"/>
        </w:rPr>
        <w:t xml:space="preserve"> a efecto de garantizar el efectivo ejercicio del derecho de acceso a la información pública que asiste al particular, resulta conveniente traer a colación el siguiente cuadro de análisis en el que se esquematizarán las constancias que conforman el expediente electrónico: </w:t>
      </w:r>
    </w:p>
    <w:tbl>
      <w:tblPr>
        <w:tblStyle w:val="Tablaconcuadrcula"/>
        <w:tblW w:w="9209" w:type="dxa"/>
        <w:tblLayout w:type="fixed"/>
        <w:tblLook w:val="04A0" w:firstRow="1" w:lastRow="0" w:firstColumn="1" w:lastColumn="0" w:noHBand="0" w:noVBand="1"/>
      </w:tblPr>
      <w:tblGrid>
        <w:gridCol w:w="1349"/>
        <w:gridCol w:w="1872"/>
        <w:gridCol w:w="1736"/>
        <w:gridCol w:w="3110"/>
        <w:gridCol w:w="1142"/>
      </w:tblGrid>
      <w:tr w:rsidR="002F0DD9" w14:paraId="7F6CE3DF" w14:textId="77777777" w:rsidTr="002F0DD9">
        <w:tc>
          <w:tcPr>
            <w:tcW w:w="1349" w:type="dxa"/>
            <w:shd w:val="clear" w:color="auto" w:fill="538135" w:themeFill="accent6" w:themeFillShade="BF"/>
          </w:tcPr>
          <w:p w14:paraId="1C6B6412" w14:textId="51805C43" w:rsidR="002F0DD9" w:rsidRPr="0074736E" w:rsidRDefault="002F0DD9" w:rsidP="0074736E">
            <w:pPr>
              <w:spacing w:before="240" w:after="240"/>
              <w:jc w:val="center"/>
              <w:rPr>
                <w:rFonts w:ascii="Palatino Linotype" w:hAnsi="Palatino Linotype" w:cs="Arial"/>
                <w:bCs/>
                <w:color w:val="FFFFFF" w:themeColor="background1"/>
                <w:sz w:val="22"/>
                <w:lang w:val="es-ES"/>
              </w:rPr>
            </w:pPr>
            <w:r w:rsidRPr="0074736E">
              <w:rPr>
                <w:rFonts w:ascii="Palatino Linotype" w:hAnsi="Palatino Linotype" w:cs="Arial"/>
                <w:bCs/>
                <w:color w:val="FFFFFF" w:themeColor="background1"/>
                <w:sz w:val="22"/>
                <w:lang w:val="es-ES"/>
              </w:rPr>
              <w:t>Solicitud</w:t>
            </w:r>
          </w:p>
        </w:tc>
        <w:tc>
          <w:tcPr>
            <w:tcW w:w="1872" w:type="dxa"/>
            <w:shd w:val="clear" w:color="auto" w:fill="538135" w:themeFill="accent6" w:themeFillShade="BF"/>
          </w:tcPr>
          <w:p w14:paraId="5EEAC81A" w14:textId="3D59DD36" w:rsidR="002F0DD9" w:rsidRPr="0074736E" w:rsidRDefault="002F0DD9" w:rsidP="0074736E">
            <w:pPr>
              <w:spacing w:before="240" w:after="240"/>
              <w:jc w:val="center"/>
              <w:rPr>
                <w:rFonts w:ascii="Palatino Linotype" w:hAnsi="Palatino Linotype" w:cs="Arial"/>
                <w:bCs/>
                <w:color w:val="FFFFFF" w:themeColor="background1"/>
                <w:sz w:val="22"/>
                <w:lang w:val="es-ES"/>
              </w:rPr>
            </w:pPr>
            <w:r w:rsidRPr="0074736E">
              <w:rPr>
                <w:rFonts w:ascii="Palatino Linotype" w:hAnsi="Palatino Linotype" w:cs="Arial"/>
                <w:bCs/>
                <w:color w:val="FFFFFF" w:themeColor="background1"/>
                <w:sz w:val="22"/>
                <w:lang w:val="es-ES"/>
              </w:rPr>
              <w:t>Respuesta</w:t>
            </w:r>
          </w:p>
        </w:tc>
        <w:tc>
          <w:tcPr>
            <w:tcW w:w="1736" w:type="dxa"/>
            <w:shd w:val="clear" w:color="auto" w:fill="538135" w:themeFill="accent6" w:themeFillShade="BF"/>
          </w:tcPr>
          <w:p w14:paraId="6EA54EB3" w14:textId="41766CC3" w:rsidR="002F0DD9" w:rsidRPr="0074736E" w:rsidRDefault="002F0DD9" w:rsidP="0074736E">
            <w:pPr>
              <w:spacing w:before="240" w:after="240"/>
              <w:jc w:val="center"/>
              <w:rPr>
                <w:rFonts w:ascii="Palatino Linotype" w:hAnsi="Palatino Linotype" w:cs="Arial"/>
                <w:bCs/>
                <w:color w:val="FFFFFF" w:themeColor="background1"/>
                <w:sz w:val="22"/>
                <w:lang w:val="es-ES"/>
              </w:rPr>
            </w:pPr>
            <w:r>
              <w:rPr>
                <w:rFonts w:ascii="Palatino Linotype" w:hAnsi="Palatino Linotype" w:cs="Arial"/>
                <w:bCs/>
                <w:color w:val="FFFFFF" w:themeColor="background1"/>
                <w:sz w:val="22"/>
                <w:lang w:val="es-ES"/>
              </w:rPr>
              <w:t xml:space="preserve">Razones o Motivos de inconformidad </w:t>
            </w:r>
          </w:p>
        </w:tc>
        <w:tc>
          <w:tcPr>
            <w:tcW w:w="3110" w:type="dxa"/>
            <w:shd w:val="clear" w:color="auto" w:fill="538135" w:themeFill="accent6" w:themeFillShade="BF"/>
          </w:tcPr>
          <w:p w14:paraId="700B64CF" w14:textId="5C6375A6" w:rsidR="002F0DD9" w:rsidRPr="0074736E" w:rsidRDefault="002F0DD9" w:rsidP="0074736E">
            <w:pPr>
              <w:spacing w:before="240" w:after="240"/>
              <w:jc w:val="center"/>
              <w:rPr>
                <w:rFonts w:ascii="Palatino Linotype" w:hAnsi="Palatino Linotype" w:cs="Arial"/>
                <w:bCs/>
                <w:color w:val="FFFFFF" w:themeColor="background1"/>
                <w:sz w:val="22"/>
                <w:lang w:val="es-ES"/>
              </w:rPr>
            </w:pPr>
            <w:r w:rsidRPr="0074736E">
              <w:rPr>
                <w:rFonts w:ascii="Palatino Linotype" w:hAnsi="Palatino Linotype" w:cs="Arial"/>
                <w:bCs/>
                <w:color w:val="FFFFFF" w:themeColor="background1"/>
                <w:sz w:val="22"/>
                <w:lang w:val="es-ES"/>
              </w:rPr>
              <w:t>Informe Justificado</w:t>
            </w:r>
          </w:p>
        </w:tc>
        <w:tc>
          <w:tcPr>
            <w:tcW w:w="1142" w:type="dxa"/>
            <w:shd w:val="clear" w:color="auto" w:fill="538135" w:themeFill="accent6" w:themeFillShade="BF"/>
          </w:tcPr>
          <w:p w14:paraId="00275177" w14:textId="2AAEC6B0" w:rsidR="002F0DD9" w:rsidRPr="0074736E" w:rsidRDefault="002F0DD9" w:rsidP="0074736E">
            <w:pPr>
              <w:spacing w:before="240" w:after="240"/>
              <w:jc w:val="center"/>
              <w:rPr>
                <w:rFonts w:ascii="Palatino Linotype" w:hAnsi="Palatino Linotype" w:cs="Arial"/>
                <w:bCs/>
                <w:color w:val="FFFFFF" w:themeColor="background1"/>
                <w:sz w:val="22"/>
                <w:lang w:val="es-ES"/>
              </w:rPr>
            </w:pPr>
            <w:r w:rsidRPr="0074736E">
              <w:rPr>
                <w:rFonts w:ascii="Palatino Linotype" w:hAnsi="Palatino Linotype" w:cs="Arial"/>
                <w:bCs/>
                <w:color w:val="FFFFFF" w:themeColor="background1"/>
                <w:sz w:val="22"/>
                <w:lang w:val="es-ES"/>
              </w:rPr>
              <w:t>Colma</w:t>
            </w:r>
          </w:p>
        </w:tc>
      </w:tr>
      <w:tr w:rsidR="002F0DD9" w14:paraId="79DC4CC4" w14:textId="77777777" w:rsidTr="002F0DD9">
        <w:tc>
          <w:tcPr>
            <w:tcW w:w="1349" w:type="dxa"/>
          </w:tcPr>
          <w:p w14:paraId="7503C742" w14:textId="77777777" w:rsidR="002F0DD9" w:rsidRPr="00BC4A9E" w:rsidRDefault="002F0DD9" w:rsidP="00BC4A9E">
            <w:pPr>
              <w:spacing w:before="240" w:after="240"/>
              <w:jc w:val="both"/>
              <w:rPr>
                <w:rFonts w:ascii="Palatino Linotype" w:hAnsi="Palatino Linotype" w:cs="Arial"/>
                <w:bCs/>
                <w:i/>
                <w:sz w:val="22"/>
                <w:lang w:val="es-MX"/>
              </w:rPr>
            </w:pPr>
            <w:r w:rsidRPr="00BC4A9E">
              <w:rPr>
                <w:rFonts w:ascii="Palatino Linotype" w:hAnsi="Palatino Linotype" w:cs="Arial"/>
                <w:bCs/>
                <w:i/>
                <w:sz w:val="22"/>
                <w:lang w:val="es-MX"/>
              </w:rPr>
              <w:t xml:space="preserve">Los documentos que acrediten la integración del Observatorio Ciudadano en el Estado de México, quienes lo integran, el acta, acuerdo convenio o documento que lo acredite. </w:t>
            </w:r>
          </w:p>
          <w:p w14:paraId="0F6ED136" w14:textId="77777777" w:rsidR="002F0DD9" w:rsidRDefault="002F0DD9" w:rsidP="0074736E">
            <w:pPr>
              <w:spacing w:before="240" w:after="240" w:line="360" w:lineRule="auto"/>
              <w:jc w:val="both"/>
              <w:rPr>
                <w:rFonts w:ascii="Palatino Linotype" w:hAnsi="Palatino Linotype" w:cs="Arial"/>
                <w:bCs/>
                <w:lang w:val="es-ES"/>
              </w:rPr>
            </w:pPr>
          </w:p>
        </w:tc>
        <w:tc>
          <w:tcPr>
            <w:tcW w:w="1872" w:type="dxa"/>
          </w:tcPr>
          <w:p w14:paraId="512EC272" w14:textId="77777777" w:rsidR="002F0DD9" w:rsidRPr="009A4BE5" w:rsidRDefault="002F0DD9" w:rsidP="009A4BE5">
            <w:pPr>
              <w:spacing w:before="240" w:after="240"/>
              <w:jc w:val="both"/>
              <w:rPr>
                <w:rFonts w:ascii="Palatino Linotype" w:hAnsi="Palatino Linotype" w:cs="Arial"/>
                <w:b/>
                <w:bCs/>
                <w:i/>
                <w:sz w:val="22"/>
                <w:lang w:val="es-MX"/>
              </w:rPr>
            </w:pPr>
            <w:r w:rsidRPr="009A4BE5">
              <w:rPr>
                <w:rFonts w:ascii="Palatino Linotype" w:hAnsi="Palatino Linotype" w:cs="Arial"/>
                <w:b/>
                <w:bCs/>
                <w:i/>
                <w:sz w:val="22"/>
                <w:lang w:val="es-MX"/>
              </w:rPr>
              <w:t xml:space="preserve">“1 ACTA INST OBSE CIUDADANO.pdf”: </w:t>
            </w:r>
            <w:r w:rsidRPr="009A4BE5">
              <w:rPr>
                <w:rFonts w:ascii="Palatino Linotype" w:hAnsi="Palatino Linotype" w:cs="Arial"/>
                <w:bCs/>
                <w:sz w:val="22"/>
                <w:lang w:val="es-MX"/>
              </w:rPr>
              <w:t>Acta de instalación del Observatorio Ciudadano de Movilidad del Estado de México.</w:t>
            </w:r>
          </w:p>
          <w:p w14:paraId="09E67971" w14:textId="77777777" w:rsidR="002F0DD9" w:rsidRPr="009A4BE5" w:rsidRDefault="002F0DD9" w:rsidP="009A4BE5">
            <w:pPr>
              <w:spacing w:before="240" w:after="240"/>
              <w:jc w:val="both"/>
              <w:rPr>
                <w:rFonts w:ascii="Palatino Linotype" w:hAnsi="Palatino Linotype" w:cs="Arial"/>
                <w:b/>
                <w:bCs/>
                <w:i/>
                <w:sz w:val="22"/>
                <w:lang w:val="es-MX"/>
              </w:rPr>
            </w:pPr>
            <w:r w:rsidRPr="009A4BE5">
              <w:rPr>
                <w:rFonts w:ascii="Palatino Linotype" w:hAnsi="Palatino Linotype" w:cs="Arial"/>
                <w:b/>
                <w:bCs/>
                <w:i/>
                <w:sz w:val="22"/>
                <w:lang w:val="es-MX"/>
              </w:rPr>
              <w:t xml:space="preserve">“Reglamento Interno.pdf”: </w:t>
            </w:r>
            <w:r w:rsidRPr="009A4BE5">
              <w:rPr>
                <w:rFonts w:ascii="Palatino Linotype" w:hAnsi="Palatino Linotype" w:cs="Arial"/>
                <w:bCs/>
                <w:sz w:val="22"/>
                <w:lang w:val="es-MX"/>
              </w:rPr>
              <w:t>Reglamento del Transporte Público y Servicios Conexos Del Estado De México</w:t>
            </w:r>
          </w:p>
          <w:p w14:paraId="2D1F40F5" w14:textId="404A5D28" w:rsidR="002F0DD9" w:rsidRPr="009A4BE5" w:rsidRDefault="002F0DD9" w:rsidP="009A4BE5">
            <w:pPr>
              <w:spacing w:before="240" w:after="240"/>
              <w:jc w:val="both"/>
              <w:rPr>
                <w:rFonts w:ascii="Palatino Linotype" w:hAnsi="Palatino Linotype" w:cs="Arial"/>
                <w:bCs/>
                <w:lang w:val="es-MX"/>
              </w:rPr>
            </w:pPr>
            <w:r w:rsidRPr="009A4BE5">
              <w:rPr>
                <w:rFonts w:ascii="Palatino Linotype" w:hAnsi="Palatino Linotype" w:cs="Arial"/>
                <w:b/>
                <w:bCs/>
                <w:i/>
                <w:lang w:val="es-MX"/>
              </w:rPr>
              <w:t xml:space="preserve"> “2 Integrantes OB Ciudadano.pdf”: </w:t>
            </w:r>
            <w:r w:rsidRPr="009A4BE5">
              <w:rPr>
                <w:rFonts w:ascii="Palatino Linotype" w:hAnsi="Palatino Linotype" w:cs="Arial"/>
                <w:bCs/>
                <w:lang w:val="es-MX"/>
              </w:rPr>
              <w:t>Listado con los integrantes del Observatorio Ciudadano.</w:t>
            </w:r>
          </w:p>
          <w:p w14:paraId="295CB566" w14:textId="77777777" w:rsidR="002F0DD9" w:rsidRDefault="002F0DD9" w:rsidP="0074736E">
            <w:pPr>
              <w:spacing w:before="240" w:after="240" w:line="360" w:lineRule="auto"/>
              <w:jc w:val="both"/>
              <w:rPr>
                <w:rFonts w:ascii="Palatino Linotype" w:hAnsi="Palatino Linotype" w:cs="Arial"/>
                <w:bCs/>
                <w:lang w:val="es-ES"/>
              </w:rPr>
            </w:pPr>
          </w:p>
        </w:tc>
        <w:tc>
          <w:tcPr>
            <w:tcW w:w="1736" w:type="dxa"/>
          </w:tcPr>
          <w:p w14:paraId="799F4376" w14:textId="54E51A0D" w:rsidR="002F0DD9" w:rsidRPr="00CC6A07" w:rsidRDefault="002F0DD9" w:rsidP="00CC6A07">
            <w:pPr>
              <w:spacing w:before="240" w:after="240"/>
              <w:jc w:val="both"/>
              <w:rPr>
                <w:rFonts w:ascii="Palatino Linotype" w:hAnsi="Palatino Linotype" w:cs="Arial"/>
                <w:bCs/>
                <w:sz w:val="22"/>
                <w:lang w:val="es-ES"/>
              </w:rPr>
            </w:pPr>
            <w:r>
              <w:rPr>
                <w:rFonts w:ascii="Palatino Linotype" w:hAnsi="Palatino Linotype" w:cs="Arial"/>
                <w:szCs w:val="22"/>
                <w:lang w:eastAsia="en-US"/>
              </w:rPr>
              <w:t>“</w:t>
            </w:r>
            <w:r w:rsidRPr="00F07EDA">
              <w:rPr>
                <w:rFonts w:ascii="Palatino Linotype" w:hAnsi="Palatino Linotype" w:cs="Arial"/>
                <w:i/>
                <w:szCs w:val="22"/>
                <w:lang w:eastAsia="en-US"/>
              </w:rPr>
              <w:t xml:space="preserve">En razón que la información que proporciona no es una información clara, </w:t>
            </w:r>
            <w:r w:rsidRPr="007F0A62">
              <w:rPr>
                <w:rFonts w:ascii="Palatino Linotype" w:hAnsi="Palatino Linotype" w:cs="Arial"/>
                <w:b/>
                <w:i/>
                <w:szCs w:val="22"/>
                <w:u w:val="single"/>
                <w:lang w:eastAsia="en-US"/>
              </w:rPr>
              <w:t>por lo que hace a las actas de instalación no lo es ya que una acta debe ser de manera formar con el contenido y las firmas de quien lo integra de como quedo conformado el Observatorio</w:t>
            </w:r>
            <w:r w:rsidRPr="00F07EDA">
              <w:rPr>
                <w:rFonts w:ascii="Palatino Linotype" w:hAnsi="Palatino Linotype" w:cs="Arial"/>
                <w:i/>
                <w:szCs w:val="22"/>
                <w:lang w:eastAsia="en-US"/>
              </w:rPr>
              <w:t>, eso más bien</w:t>
            </w:r>
            <w:r>
              <w:rPr>
                <w:rFonts w:ascii="Palatino Linotype" w:hAnsi="Palatino Linotype" w:cs="Arial"/>
                <w:i/>
                <w:szCs w:val="22"/>
                <w:lang w:eastAsia="en-US"/>
              </w:rPr>
              <w:t xml:space="preserve"> parece una lista de asistencia”</w:t>
            </w:r>
          </w:p>
        </w:tc>
        <w:tc>
          <w:tcPr>
            <w:tcW w:w="3110" w:type="dxa"/>
          </w:tcPr>
          <w:p w14:paraId="64A7C70B" w14:textId="56C90A5C" w:rsidR="002F0DD9" w:rsidRDefault="002F0DD9" w:rsidP="00CC6A07">
            <w:pPr>
              <w:spacing w:before="240" w:after="240"/>
              <w:jc w:val="both"/>
              <w:rPr>
                <w:rFonts w:ascii="Palatino Linotype" w:hAnsi="Palatino Linotype" w:cs="Arial"/>
                <w:bCs/>
                <w:lang w:val="es-ES"/>
              </w:rPr>
            </w:pPr>
            <w:r w:rsidRPr="00CC6A07">
              <w:rPr>
                <w:rFonts w:ascii="Palatino Linotype" w:hAnsi="Palatino Linotype" w:cs="Arial"/>
                <w:bCs/>
                <w:sz w:val="22"/>
                <w:lang w:val="es-ES"/>
              </w:rPr>
              <w:t>Remite de nueva cuenta el Acta de Instalación del Observatorio Ciudadano de Movilidad del Estado de México, además precisa que derivado de la pandemia ocasionada por el virus SARS-COV2 (COVID-19) este órgano de opinión no ha sesionado en cumplimiento a lo dispuesto por las autoridades de salud.</w:t>
            </w:r>
          </w:p>
        </w:tc>
        <w:tc>
          <w:tcPr>
            <w:tcW w:w="1142" w:type="dxa"/>
          </w:tcPr>
          <w:p w14:paraId="138BEBA8" w14:textId="13D36118" w:rsidR="002F0DD9" w:rsidRDefault="002F0DD9" w:rsidP="00CC6A07">
            <w:pPr>
              <w:spacing w:before="240" w:after="240" w:line="360" w:lineRule="auto"/>
              <w:jc w:val="center"/>
              <w:rPr>
                <w:rFonts w:ascii="Palatino Linotype" w:hAnsi="Palatino Linotype" w:cs="Arial"/>
                <w:bCs/>
                <w:lang w:val="es-ES"/>
              </w:rPr>
            </w:pPr>
            <w:r>
              <w:rPr>
                <w:rFonts w:ascii="Palatino Linotype" w:hAnsi="Palatino Linotype" w:cs="Arial"/>
                <w:bCs/>
                <w:lang w:val="es-ES"/>
              </w:rPr>
              <w:t>Si</w:t>
            </w:r>
          </w:p>
        </w:tc>
      </w:tr>
      <w:tr w:rsidR="002F0DD9" w14:paraId="2B42CB00" w14:textId="77777777" w:rsidTr="002F0DD9">
        <w:tc>
          <w:tcPr>
            <w:tcW w:w="1349" w:type="dxa"/>
          </w:tcPr>
          <w:p w14:paraId="6B790919" w14:textId="77777777" w:rsidR="002F0DD9" w:rsidRPr="00BC4A9E" w:rsidRDefault="002F0DD9" w:rsidP="00BC4A9E">
            <w:pPr>
              <w:spacing w:before="240" w:after="240"/>
              <w:jc w:val="both"/>
              <w:rPr>
                <w:rFonts w:ascii="Palatino Linotype" w:hAnsi="Palatino Linotype" w:cs="Arial"/>
                <w:bCs/>
                <w:i/>
                <w:sz w:val="22"/>
                <w:lang w:val="es-MX"/>
              </w:rPr>
            </w:pPr>
            <w:r w:rsidRPr="00BC4A9E">
              <w:rPr>
                <w:rFonts w:ascii="Palatino Linotype" w:hAnsi="Palatino Linotype" w:cs="Arial"/>
                <w:bCs/>
                <w:i/>
                <w:sz w:val="22"/>
                <w:lang w:val="es-MX"/>
              </w:rPr>
              <w:t xml:space="preserve">Requiere al Sujeto Obligado, informe sobre la integración el Consejo Directivo con la documentación de su integración. </w:t>
            </w:r>
          </w:p>
          <w:p w14:paraId="1379F903" w14:textId="77777777" w:rsidR="002F0DD9" w:rsidRDefault="002F0DD9" w:rsidP="00BC4A9E">
            <w:pPr>
              <w:spacing w:before="240" w:after="240" w:line="360" w:lineRule="auto"/>
              <w:jc w:val="both"/>
              <w:rPr>
                <w:rFonts w:ascii="Palatino Linotype" w:hAnsi="Palatino Linotype" w:cs="Arial"/>
                <w:bCs/>
                <w:lang w:val="es-ES"/>
              </w:rPr>
            </w:pPr>
          </w:p>
        </w:tc>
        <w:tc>
          <w:tcPr>
            <w:tcW w:w="1872" w:type="dxa"/>
          </w:tcPr>
          <w:p w14:paraId="1A54E7D3" w14:textId="77777777" w:rsidR="002F0DD9" w:rsidRDefault="002F0DD9" w:rsidP="009A4BE5">
            <w:pPr>
              <w:spacing w:before="240" w:after="240"/>
              <w:jc w:val="both"/>
              <w:rPr>
                <w:rFonts w:ascii="Palatino Linotype" w:hAnsi="Palatino Linotype" w:cs="Arial"/>
                <w:bCs/>
                <w:sz w:val="22"/>
                <w:lang w:val="es-ES"/>
              </w:rPr>
            </w:pPr>
            <w:r w:rsidRPr="009A4BE5">
              <w:rPr>
                <w:rFonts w:ascii="Palatino Linotype" w:hAnsi="Palatino Linotype" w:cs="Arial"/>
                <w:bCs/>
                <w:sz w:val="22"/>
                <w:lang w:val="es-ES"/>
              </w:rPr>
              <w:t xml:space="preserve">El Sujeto Obligado manifestó que el Instituto del Transporte del Estado de México, a partir de la fusión de la Secretaría de Movilidad y la Secretaría de Comunicaciones, se encuentra en una reestructuración legislativa, por tal motivo, no se han presentado acciones que generen documentaciones referentes al Consejo Directivo. </w:t>
            </w:r>
          </w:p>
          <w:p w14:paraId="2F88E2B4" w14:textId="22AD7D92" w:rsidR="002F0DD9" w:rsidRPr="009A4BE5" w:rsidRDefault="002F0DD9" w:rsidP="009A4BE5">
            <w:pPr>
              <w:spacing w:before="240" w:after="240"/>
              <w:rPr>
                <w:rFonts w:ascii="Palatino Linotype" w:hAnsi="Palatino Linotype" w:cs="Arial"/>
                <w:bCs/>
                <w:lang w:val="es-MX"/>
              </w:rPr>
            </w:pPr>
            <w:r>
              <w:rPr>
                <w:rFonts w:ascii="Palatino Linotype" w:hAnsi="Palatino Linotype" w:cs="Arial"/>
                <w:bCs/>
                <w:sz w:val="22"/>
                <w:lang w:val="es-ES"/>
              </w:rPr>
              <w:t xml:space="preserve">Además remite el soporte documental </w:t>
            </w:r>
            <w:r w:rsidRPr="009A4BE5">
              <w:rPr>
                <w:rFonts w:ascii="Palatino Linotype" w:hAnsi="Palatino Linotype" w:cs="Arial"/>
                <w:b/>
                <w:bCs/>
                <w:i/>
                <w:lang w:val="es-MX"/>
              </w:rPr>
              <w:t xml:space="preserve">“Reglamento de transpoprte y Sc.pdf”: </w:t>
            </w:r>
            <w:r w:rsidRPr="009A4BE5">
              <w:rPr>
                <w:rFonts w:ascii="Palatino Linotype" w:hAnsi="Palatino Linotype" w:cs="Arial"/>
                <w:bCs/>
                <w:lang w:val="es-MX"/>
              </w:rPr>
              <w:t>Reglamento del Transporte Público y servicios conexos del Estado de México</w:t>
            </w:r>
            <w:r>
              <w:rPr>
                <w:rFonts w:ascii="Palatino Linotype" w:hAnsi="Palatino Linotype" w:cs="Arial"/>
                <w:bCs/>
                <w:lang w:val="es-MX"/>
              </w:rPr>
              <w:t>, mediante el cual argumenta con fundamento en el artículo 148, la dirección del Instituto a cargo  del Consejo Directivo.</w:t>
            </w:r>
          </w:p>
          <w:p w14:paraId="49529AAB" w14:textId="1A14EB05" w:rsidR="002F0DD9" w:rsidRDefault="002F0DD9" w:rsidP="009A4BE5">
            <w:pPr>
              <w:spacing w:before="240" w:after="240"/>
              <w:jc w:val="both"/>
              <w:rPr>
                <w:rFonts w:ascii="Palatino Linotype" w:hAnsi="Palatino Linotype" w:cs="Arial"/>
                <w:bCs/>
                <w:lang w:val="es-ES"/>
              </w:rPr>
            </w:pPr>
          </w:p>
        </w:tc>
        <w:tc>
          <w:tcPr>
            <w:tcW w:w="1736" w:type="dxa"/>
          </w:tcPr>
          <w:p w14:paraId="0F677842" w14:textId="61A50A27" w:rsidR="002F0DD9" w:rsidRPr="002F0DD9" w:rsidRDefault="002F0DD9" w:rsidP="004C595A">
            <w:pPr>
              <w:spacing w:before="240" w:after="240"/>
              <w:jc w:val="both"/>
              <w:rPr>
                <w:rFonts w:ascii="Palatino Linotype" w:hAnsi="Palatino Linotype" w:cs="Arial"/>
                <w:bCs/>
                <w:sz w:val="22"/>
                <w:lang w:val="es-ES"/>
              </w:rPr>
            </w:pPr>
            <w:r w:rsidRPr="002F0DD9">
              <w:rPr>
                <w:rFonts w:ascii="Palatino Linotype" w:hAnsi="Palatino Linotype" w:cs="Arial"/>
                <w:i/>
                <w:szCs w:val="22"/>
                <w:u w:val="single"/>
                <w:lang w:eastAsia="en-US"/>
              </w:rPr>
              <w:t>por lo que hace al integración del Consejo Directivo no hacen entrega de la información</w:t>
            </w:r>
          </w:p>
        </w:tc>
        <w:tc>
          <w:tcPr>
            <w:tcW w:w="3110" w:type="dxa"/>
          </w:tcPr>
          <w:p w14:paraId="01045CE7" w14:textId="6DEBF01D" w:rsidR="002F0DD9" w:rsidRDefault="002F0DD9" w:rsidP="004C595A">
            <w:pPr>
              <w:spacing w:before="240" w:after="240"/>
              <w:jc w:val="both"/>
              <w:rPr>
                <w:rFonts w:ascii="Palatino Linotype" w:hAnsi="Palatino Linotype" w:cs="Arial"/>
                <w:bCs/>
                <w:lang w:val="es-ES"/>
              </w:rPr>
            </w:pPr>
            <w:r w:rsidRPr="004C595A">
              <w:rPr>
                <w:rFonts w:ascii="Palatino Linotype" w:hAnsi="Palatino Linotype" w:cs="Arial"/>
                <w:bCs/>
                <w:sz w:val="22"/>
                <w:lang w:val="es-ES"/>
              </w:rPr>
              <w:t>El Sujeto Obligado reafirma que en términos del artículo 148 del Reglamento del Transporte Público y Servicios Conexos del Estado de México, el cual menciona la manera en la que se regirá la Dirección del Instituto del Transporte del Estado de México, así como la integración de éste, se informa que actualmente se encuentra en proceso de instalación el Consejo Directivo, esto derivado de las reformas y la reingeniería administrativa que han sufrido las autoridades que integran dicho Consejo, de conformidad con lo señalado por el Decreto número 191, emitido por la LIX y LX Legislatura  del Estado de México, de fecha 29 de septiembre de 2020, por el que se reforman, adicionan y derogan diversas disposiciones de la Ley Orgánica de la Administración Pública del Estado de México, en el cual se observa la fusión de la Secretaría de Comunicaciones y la Secretaría de Movilidad, creando la Secretaría de Movilidad del Gobierno del Estado de M</w:t>
            </w:r>
            <w:r>
              <w:rPr>
                <w:rFonts w:ascii="Palatino Linotype" w:hAnsi="Palatino Linotype" w:cs="Arial"/>
                <w:bCs/>
                <w:sz w:val="22"/>
                <w:lang w:val="es-ES"/>
              </w:rPr>
              <w:t>éxico, en tal virtud se puede advertir que actualmente se está conformando el nuevo Consejo Directivo, asimismo mencionan que parte de los vocales que acuerde el Secretario designar de entre las organizaciones de concesionarios o permisionarios que satisfagan los requisitos del artículo 64 del mismo ordenamiento y los que cumplan con los lineamientos para el reordenamiento del Transporte Público en la entidad, situación que se encuentra en análisis para la selección de los integrantes.</w:t>
            </w:r>
          </w:p>
        </w:tc>
        <w:tc>
          <w:tcPr>
            <w:tcW w:w="1142" w:type="dxa"/>
          </w:tcPr>
          <w:p w14:paraId="1F6CC809" w14:textId="53BCDB63" w:rsidR="002F0DD9" w:rsidRDefault="0082776C" w:rsidP="0082776C">
            <w:pPr>
              <w:spacing w:before="240" w:after="240" w:line="360" w:lineRule="auto"/>
              <w:jc w:val="center"/>
              <w:rPr>
                <w:rFonts w:ascii="Palatino Linotype" w:hAnsi="Palatino Linotype" w:cs="Arial"/>
                <w:bCs/>
                <w:lang w:val="es-ES"/>
              </w:rPr>
            </w:pPr>
            <w:r>
              <w:rPr>
                <w:rFonts w:ascii="Palatino Linotype" w:hAnsi="Palatino Linotype" w:cs="Arial"/>
                <w:bCs/>
                <w:lang w:val="es-ES"/>
              </w:rPr>
              <w:t>Si</w:t>
            </w:r>
          </w:p>
        </w:tc>
      </w:tr>
      <w:tr w:rsidR="002F0DD9" w14:paraId="009D1B3E" w14:textId="77777777" w:rsidTr="002F0DD9">
        <w:tc>
          <w:tcPr>
            <w:tcW w:w="1349" w:type="dxa"/>
          </w:tcPr>
          <w:p w14:paraId="1660DE3A" w14:textId="77777777" w:rsidR="002F0DD9" w:rsidRPr="00BC4A9E" w:rsidRDefault="002F0DD9" w:rsidP="00BC4A9E">
            <w:pPr>
              <w:spacing w:before="240" w:after="240"/>
              <w:jc w:val="both"/>
              <w:rPr>
                <w:rFonts w:ascii="Palatino Linotype" w:hAnsi="Palatino Linotype" w:cs="Arial"/>
                <w:bCs/>
                <w:i/>
                <w:sz w:val="22"/>
                <w:lang w:val="es-MX"/>
              </w:rPr>
            </w:pPr>
            <w:r w:rsidRPr="00BC4A9E">
              <w:rPr>
                <w:rFonts w:ascii="Palatino Linotype" w:hAnsi="Palatino Linotype" w:cs="Arial"/>
                <w:bCs/>
                <w:i/>
                <w:sz w:val="22"/>
                <w:lang w:val="es-MX"/>
              </w:rPr>
              <w:t>Todos los estudios realizados durante los años 2017, 2018, 2019, 2020 y 2021 en materia de movilidad, de transporte para mejorar el transporte y tarifas.</w:t>
            </w:r>
          </w:p>
          <w:p w14:paraId="3C729A27" w14:textId="77777777" w:rsidR="002F0DD9" w:rsidRDefault="002F0DD9" w:rsidP="0074736E">
            <w:pPr>
              <w:spacing w:before="240" w:after="240" w:line="360" w:lineRule="auto"/>
              <w:jc w:val="both"/>
              <w:rPr>
                <w:rFonts w:ascii="Palatino Linotype" w:hAnsi="Palatino Linotype" w:cs="Arial"/>
                <w:bCs/>
                <w:lang w:val="es-ES"/>
              </w:rPr>
            </w:pPr>
          </w:p>
        </w:tc>
        <w:tc>
          <w:tcPr>
            <w:tcW w:w="1872" w:type="dxa"/>
          </w:tcPr>
          <w:p w14:paraId="59CABD17" w14:textId="77777777" w:rsidR="002F0DD9" w:rsidRPr="009A4BE5" w:rsidRDefault="002F0DD9" w:rsidP="009A4BE5">
            <w:pPr>
              <w:spacing w:before="240" w:after="240"/>
              <w:jc w:val="both"/>
              <w:rPr>
                <w:rFonts w:ascii="Palatino Linotype" w:hAnsi="Palatino Linotype" w:cs="Arial"/>
                <w:bCs/>
                <w:sz w:val="22"/>
                <w:lang w:val="es-MX"/>
              </w:rPr>
            </w:pPr>
            <w:r w:rsidRPr="009A4BE5">
              <w:rPr>
                <w:rFonts w:ascii="Palatino Linotype" w:hAnsi="Palatino Linotype" w:cs="Arial"/>
                <w:b/>
                <w:bCs/>
                <w:i/>
                <w:sz w:val="22"/>
                <w:lang w:val="es-MX"/>
              </w:rPr>
              <w:t xml:space="preserve">“2017 ESTUDIO TARIFARIO s autobús $9.81 julio 2017.pdf”: </w:t>
            </w:r>
            <w:r w:rsidRPr="009A4BE5">
              <w:rPr>
                <w:rFonts w:ascii="Palatino Linotype" w:hAnsi="Palatino Linotype" w:cs="Arial"/>
                <w:bCs/>
                <w:sz w:val="22"/>
                <w:lang w:val="es-MX"/>
              </w:rPr>
              <w:t>Estudio para el posible ajuste tarifario. Servicio Público de Transporte en la modalidad de colectivo (Autobús)</w:t>
            </w:r>
          </w:p>
          <w:p w14:paraId="51C5103F" w14:textId="19D64BCE" w:rsidR="002F0DD9" w:rsidRPr="009A4BE5" w:rsidRDefault="002F0DD9" w:rsidP="009A4BE5">
            <w:pPr>
              <w:spacing w:before="240" w:after="240"/>
              <w:jc w:val="both"/>
              <w:rPr>
                <w:rFonts w:ascii="Palatino Linotype" w:hAnsi="Palatino Linotype" w:cs="Arial"/>
                <w:bCs/>
                <w:sz w:val="22"/>
                <w:lang w:val="es-MX"/>
              </w:rPr>
            </w:pPr>
            <w:r w:rsidRPr="009A4BE5">
              <w:rPr>
                <w:rFonts w:ascii="Palatino Linotype" w:hAnsi="Palatino Linotype" w:cs="Arial"/>
                <w:b/>
                <w:bCs/>
                <w:i/>
                <w:sz w:val="22"/>
                <w:lang w:val="es-MX"/>
              </w:rPr>
              <w:t xml:space="preserve">“2018 Estudio NT Taxi.pdf”: </w:t>
            </w:r>
            <w:r w:rsidRPr="009A4BE5">
              <w:rPr>
                <w:rFonts w:ascii="Palatino Linotype" w:hAnsi="Palatino Linotype" w:cs="Arial"/>
                <w:bCs/>
                <w:i/>
                <w:sz w:val="22"/>
                <w:lang w:val="es-MX"/>
              </w:rPr>
              <w:t>Estudio Preliminar para el posible ajuste tarifario para el servicio regular de pasaje en las modalidades de servicio discrecional de pasaje en: Individual En Automóvil Alquiler De Radio Servicio Individual En Automóvil Alquiler Sin Base Individual En Automóvil Alquiler De Sitio</w:t>
            </w:r>
          </w:p>
          <w:p w14:paraId="618AC5F5" w14:textId="64C0012A" w:rsidR="002F0DD9" w:rsidRPr="009A4BE5" w:rsidRDefault="002F0DD9" w:rsidP="009A4BE5">
            <w:pPr>
              <w:spacing w:before="240" w:after="240"/>
              <w:jc w:val="both"/>
              <w:rPr>
                <w:rFonts w:ascii="Palatino Linotype" w:hAnsi="Palatino Linotype" w:cs="Arial"/>
                <w:bCs/>
                <w:i/>
                <w:sz w:val="22"/>
                <w:lang w:val="es-MX"/>
              </w:rPr>
            </w:pPr>
            <w:r w:rsidRPr="009A4BE5">
              <w:rPr>
                <w:rFonts w:ascii="Palatino Linotype" w:hAnsi="Palatino Linotype" w:cs="Arial"/>
                <w:b/>
                <w:bCs/>
                <w:i/>
                <w:sz w:val="22"/>
                <w:lang w:val="es-MX"/>
              </w:rPr>
              <w:t xml:space="preserve"> “2020 ESTUDIO TARIFAS.pdf”: </w:t>
            </w:r>
            <w:r w:rsidRPr="009A4BE5">
              <w:rPr>
                <w:rFonts w:ascii="Palatino Linotype" w:hAnsi="Palatino Linotype" w:cs="Arial"/>
                <w:bCs/>
                <w:sz w:val="22"/>
                <w:lang w:val="es-MX"/>
              </w:rPr>
              <w:t>Análisis para fijar y actualizar las Bases para establecer la Norma Técnica que permita determinar las Tarifas del Servicio Público del Transporte.</w:t>
            </w:r>
          </w:p>
          <w:p w14:paraId="23D92B36" w14:textId="77777777" w:rsidR="002F0DD9" w:rsidRPr="009A4BE5" w:rsidRDefault="002F0DD9" w:rsidP="009A4BE5">
            <w:pPr>
              <w:spacing w:before="240" w:after="240"/>
              <w:jc w:val="both"/>
              <w:rPr>
                <w:rFonts w:ascii="Palatino Linotype" w:hAnsi="Palatino Linotype" w:cs="Arial"/>
                <w:bCs/>
                <w:sz w:val="22"/>
                <w:lang w:val="es-MX"/>
              </w:rPr>
            </w:pPr>
            <w:r w:rsidRPr="009A4BE5">
              <w:rPr>
                <w:rFonts w:ascii="Palatino Linotype" w:hAnsi="Palatino Linotype" w:cs="Arial"/>
                <w:b/>
                <w:bCs/>
                <w:i/>
                <w:sz w:val="22"/>
                <w:lang w:val="es-MX"/>
              </w:rPr>
              <w:t xml:space="preserve">“2019 CORREDORES DE MEDIANA CAPACIDAD.pdf”: </w:t>
            </w:r>
            <w:r w:rsidRPr="009A4BE5">
              <w:rPr>
                <w:rFonts w:ascii="Palatino Linotype" w:hAnsi="Palatino Linotype" w:cs="Arial"/>
                <w:bCs/>
                <w:sz w:val="22"/>
                <w:lang w:val="es-MX"/>
              </w:rPr>
              <w:t>Programa de Implementación  de Corredores de Mediana Capacidad para la Zona  Metropolitana del Valle de México (Zmvm) Resumen Ejecutivo</w:t>
            </w:r>
          </w:p>
          <w:p w14:paraId="5D5B7CF9" w14:textId="77777777" w:rsidR="002F0DD9" w:rsidRPr="009A4BE5" w:rsidRDefault="002F0DD9" w:rsidP="009A4BE5">
            <w:pPr>
              <w:spacing w:before="240" w:after="240"/>
              <w:jc w:val="both"/>
              <w:rPr>
                <w:rFonts w:ascii="Palatino Linotype" w:hAnsi="Palatino Linotype" w:cs="Arial"/>
                <w:bCs/>
                <w:sz w:val="22"/>
                <w:lang w:val="es-MX"/>
              </w:rPr>
            </w:pPr>
            <w:r w:rsidRPr="009A4BE5">
              <w:rPr>
                <w:rFonts w:ascii="Palatino Linotype" w:hAnsi="Palatino Linotype" w:cs="Arial"/>
                <w:b/>
                <w:bCs/>
                <w:i/>
                <w:sz w:val="22"/>
                <w:lang w:val="es-MX"/>
              </w:rPr>
              <w:t xml:space="preserve">“2021 Estudio.pdf”: </w:t>
            </w:r>
            <w:r w:rsidRPr="009A4BE5">
              <w:rPr>
                <w:rFonts w:ascii="Palatino Linotype" w:hAnsi="Palatino Linotype" w:cs="Arial"/>
                <w:bCs/>
                <w:sz w:val="22"/>
                <w:lang w:val="es-MX"/>
              </w:rPr>
              <w:t>Análisis para fijar y actualizar las Bases  para establecer la Norma Técnica que permita determinar las tarifas del Servicio Público del Transporte.</w:t>
            </w:r>
          </w:p>
          <w:p w14:paraId="13908F84" w14:textId="77777777" w:rsidR="002F0DD9" w:rsidRDefault="002F0DD9" w:rsidP="0074736E">
            <w:pPr>
              <w:spacing w:before="240" w:after="240" w:line="360" w:lineRule="auto"/>
              <w:jc w:val="both"/>
              <w:rPr>
                <w:rFonts w:ascii="Palatino Linotype" w:hAnsi="Palatino Linotype" w:cs="Arial"/>
                <w:bCs/>
                <w:lang w:val="es-ES"/>
              </w:rPr>
            </w:pPr>
          </w:p>
        </w:tc>
        <w:tc>
          <w:tcPr>
            <w:tcW w:w="1736" w:type="dxa"/>
          </w:tcPr>
          <w:p w14:paraId="4F955231" w14:textId="2EA29B61" w:rsidR="002F0DD9" w:rsidRDefault="002F0DD9" w:rsidP="004C595A">
            <w:pPr>
              <w:spacing w:before="240" w:after="240"/>
              <w:jc w:val="both"/>
              <w:rPr>
                <w:rFonts w:ascii="Palatino Linotype" w:hAnsi="Palatino Linotype" w:cs="Arial"/>
                <w:bCs/>
                <w:lang w:val="es-ES"/>
              </w:rPr>
            </w:pPr>
            <w:r w:rsidRPr="007F0A62">
              <w:rPr>
                <w:rFonts w:ascii="Palatino Linotype" w:hAnsi="Palatino Linotype" w:cs="Arial"/>
                <w:b/>
                <w:i/>
                <w:szCs w:val="22"/>
                <w:u w:val="single"/>
                <w:lang w:eastAsia="en-US"/>
              </w:rPr>
              <w:t>por lo que hace a los estudios ejecutivos que dicen hacen entrega pero la realidad es que lo que entregan están incompleto ya que solo es una portada y un hoja, con un programa o metas, eso no es un estudio cualquiera a todas luces lo puede observar, por lo que hace a los estudios tarifarios solo hacen entrega de unos estudios incompletos se puede observar,</w:t>
            </w:r>
          </w:p>
        </w:tc>
        <w:tc>
          <w:tcPr>
            <w:tcW w:w="3110" w:type="dxa"/>
          </w:tcPr>
          <w:p w14:paraId="2DEA73A5" w14:textId="0F7D28DD" w:rsidR="002F0DD9" w:rsidRDefault="002F0DD9" w:rsidP="004C595A">
            <w:pPr>
              <w:spacing w:before="240" w:after="240"/>
              <w:jc w:val="both"/>
              <w:rPr>
                <w:rFonts w:ascii="Palatino Linotype" w:hAnsi="Palatino Linotype" w:cs="Arial"/>
                <w:bCs/>
                <w:lang w:val="es-ES"/>
              </w:rPr>
            </w:pPr>
            <w:r>
              <w:rPr>
                <w:rFonts w:ascii="Palatino Linotype" w:hAnsi="Palatino Linotype" w:cs="Arial"/>
                <w:bCs/>
                <w:lang w:val="es-ES"/>
              </w:rPr>
              <w:t xml:space="preserve">Ratificó la respuesta inicial, sin embargo detalló el número de páginas de cada estudio, tal como se ilustra a continuación: </w:t>
            </w:r>
          </w:p>
          <w:p w14:paraId="2BDE85BC" w14:textId="0EE9D984" w:rsidR="002F0DD9" w:rsidRDefault="0082776C" w:rsidP="004C595A">
            <w:pPr>
              <w:spacing w:before="240" w:after="240"/>
              <w:jc w:val="both"/>
              <w:rPr>
                <w:rFonts w:ascii="Palatino Linotype" w:hAnsi="Palatino Linotype" w:cs="Arial"/>
                <w:bCs/>
                <w:lang w:val="es-ES"/>
              </w:rPr>
            </w:pPr>
            <w:r>
              <w:rPr>
                <w:lang w:val="es-MX"/>
              </w:rPr>
              <w:object w:dxaOrig="9015" w:dyaOrig="10815" w14:anchorId="070C0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89pt" o:ole="">
                  <v:imagedata r:id="rId7" o:title=""/>
                </v:shape>
                <o:OLEObject Type="Embed" ProgID="PBrush" ShapeID="_x0000_i1025" DrawAspect="Content" ObjectID="_1697292483" r:id="rId8"/>
              </w:object>
            </w:r>
          </w:p>
        </w:tc>
        <w:tc>
          <w:tcPr>
            <w:tcW w:w="1142" w:type="dxa"/>
          </w:tcPr>
          <w:p w14:paraId="12BD3B6A" w14:textId="22C23C39" w:rsidR="002F0DD9" w:rsidRDefault="002F0DD9" w:rsidP="004C595A">
            <w:pPr>
              <w:spacing w:before="240" w:after="240" w:line="360" w:lineRule="auto"/>
              <w:jc w:val="center"/>
              <w:rPr>
                <w:rFonts w:ascii="Palatino Linotype" w:hAnsi="Palatino Linotype" w:cs="Arial"/>
                <w:bCs/>
                <w:lang w:val="es-ES"/>
              </w:rPr>
            </w:pPr>
            <w:r>
              <w:rPr>
                <w:rFonts w:ascii="Palatino Linotype" w:hAnsi="Palatino Linotype" w:cs="Arial"/>
                <w:bCs/>
                <w:lang w:val="es-ES"/>
              </w:rPr>
              <w:t>Si</w:t>
            </w:r>
          </w:p>
        </w:tc>
      </w:tr>
    </w:tbl>
    <w:p w14:paraId="1F926870" w14:textId="77777777" w:rsidR="00F74F8B" w:rsidRDefault="00F74F8B" w:rsidP="00F74F8B">
      <w:pPr>
        <w:spacing w:line="360" w:lineRule="auto"/>
        <w:ind w:right="49"/>
        <w:jc w:val="both"/>
        <w:rPr>
          <w:rFonts w:ascii="Palatino Linotype" w:hAnsi="Palatino Linotype" w:cs="Arial"/>
          <w:bCs/>
          <w:szCs w:val="22"/>
          <w:lang w:val="es-ES"/>
        </w:rPr>
      </w:pPr>
    </w:p>
    <w:p w14:paraId="59C4795E" w14:textId="77777777" w:rsidR="00F74F8B" w:rsidRPr="00F74F8B" w:rsidRDefault="00F74F8B" w:rsidP="00F74F8B">
      <w:pPr>
        <w:spacing w:line="360" w:lineRule="auto"/>
        <w:ind w:right="49"/>
        <w:jc w:val="both"/>
        <w:rPr>
          <w:rFonts w:ascii="Palatino Linotype" w:hAnsi="Palatino Linotype" w:cs="Arial"/>
          <w:bCs/>
          <w:szCs w:val="22"/>
          <w:lang w:val="es-ES"/>
        </w:rPr>
      </w:pPr>
      <w:r w:rsidRPr="00F74F8B">
        <w:rPr>
          <w:rFonts w:ascii="Palatino Linotype" w:hAnsi="Palatino Linotype" w:cs="Arial"/>
          <w:bCs/>
          <w:szCs w:val="22"/>
          <w:lang w:val="es-ES"/>
        </w:rPr>
        <w:t xml:space="preserve">En esta tesitura, de las constancias que integran el expediente electrónico  relacionado con el recurso de revisión materia de estudio, se colige que el Sujeto Obligado no niega la competencia para conocer de la información solicitada, sino por el contrario, con la respuesta pronunciada asevera que es competente para conocer de la solicitud de información, lo anterior es así, ya que el estudio enunciado tiene por objeto determinar si el Sujeto Obligado genera, posee o administra  la información solicitada, sin embargo, en aquellos casos en que éste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 </w:t>
      </w:r>
    </w:p>
    <w:p w14:paraId="61710282" w14:textId="77777777" w:rsidR="00F74F8B" w:rsidRPr="00F74F8B" w:rsidRDefault="00F74F8B" w:rsidP="00F74F8B">
      <w:pPr>
        <w:ind w:left="567" w:right="900"/>
        <w:jc w:val="both"/>
        <w:rPr>
          <w:rFonts w:ascii="Palatino Linotype" w:hAnsi="Palatino Linotype" w:cs="Arial"/>
          <w:bCs/>
          <w:i/>
          <w:sz w:val="22"/>
          <w:szCs w:val="22"/>
          <w:lang w:val="es-ES"/>
        </w:rPr>
      </w:pPr>
      <w:r w:rsidRPr="00F74F8B">
        <w:rPr>
          <w:rFonts w:ascii="Palatino Linotype" w:hAnsi="Palatino Linotype" w:cs="Arial"/>
          <w:bCs/>
          <w:i/>
          <w:sz w:val="22"/>
          <w:szCs w:val="22"/>
          <w:lang w:val="es-ES"/>
        </w:rPr>
        <w:t>“</w:t>
      </w:r>
      <w:r w:rsidRPr="00F74F8B">
        <w:rPr>
          <w:rFonts w:ascii="Palatino Linotype" w:hAnsi="Palatino Linotype" w:cs="Arial"/>
          <w:b/>
          <w:bCs/>
          <w:i/>
          <w:sz w:val="22"/>
          <w:szCs w:val="22"/>
          <w:lang w:val="es-ES"/>
        </w:rPr>
        <w:t>Artículo 12</w:t>
      </w:r>
      <w:r w:rsidRPr="00F74F8B">
        <w:rPr>
          <w:rFonts w:ascii="Palatino Linotype" w:hAnsi="Palatino Linotype" w:cs="Arial"/>
          <w:bCs/>
          <w:i/>
          <w:sz w:val="22"/>
          <w:szCs w:val="22"/>
          <w:lang w:val="es-ES"/>
        </w:rPr>
        <w:t>. Quienes generen, recopilen, administren, manejen, procesen, archiven o conserven información pública serán responsables de la misma en los términos de las disposiciones jurídicas aplicables.”</w:t>
      </w:r>
    </w:p>
    <w:p w14:paraId="477A1CA1" w14:textId="77777777" w:rsidR="00F74F8B" w:rsidRPr="00F74F8B" w:rsidRDefault="00F74F8B" w:rsidP="00F74F8B">
      <w:pPr>
        <w:ind w:left="567" w:right="900"/>
        <w:jc w:val="both"/>
        <w:rPr>
          <w:rFonts w:ascii="Palatino Linotype" w:hAnsi="Palatino Linotype" w:cs="Arial"/>
          <w:bCs/>
          <w:i/>
          <w:sz w:val="22"/>
          <w:szCs w:val="22"/>
          <w:lang w:val="es-ES"/>
        </w:rPr>
      </w:pPr>
    </w:p>
    <w:p w14:paraId="32A91971" w14:textId="77777777" w:rsidR="00F74F8B" w:rsidRPr="00F74F8B" w:rsidRDefault="00F74F8B" w:rsidP="00F74F8B">
      <w:pPr>
        <w:spacing w:line="360" w:lineRule="auto"/>
        <w:ind w:right="49"/>
        <w:jc w:val="both"/>
        <w:rPr>
          <w:rFonts w:ascii="Palatino Linotype" w:hAnsi="Palatino Linotype" w:cs="Arial"/>
          <w:bCs/>
          <w:szCs w:val="22"/>
          <w:lang w:val="es-ES"/>
        </w:rPr>
      </w:pPr>
      <w:r w:rsidRPr="00F74F8B">
        <w:rPr>
          <w:rFonts w:ascii="Palatino Linotype" w:hAnsi="Palatino Linotype" w:cs="Arial"/>
          <w:bCs/>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829CC2" w14:textId="0E183211" w:rsidR="00F74F8B" w:rsidRPr="008D7791" w:rsidRDefault="008D7791" w:rsidP="003C3DBF">
      <w:pPr>
        <w:spacing w:before="240" w:after="240" w:line="360" w:lineRule="auto"/>
        <w:jc w:val="both"/>
        <w:rPr>
          <w:rFonts w:ascii="Palatino Linotype" w:hAnsi="Palatino Linotype" w:cs="Arial"/>
          <w:bCs/>
          <w:lang w:val="es-ES"/>
        </w:rPr>
      </w:pPr>
      <w:r w:rsidRPr="008D7791">
        <w:rPr>
          <w:rFonts w:ascii="Palatino Linotype" w:hAnsi="Palatino Linotype" w:cs="Arial"/>
          <w:bCs/>
          <w:lang w:val="es-ES"/>
        </w:rPr>
        <w:t xml:space="preserve">Ahora bien, a efecto de garantizar el efectivo ejercicio del derecho de acceso a la información pública que asiste al particular, resulta conveniente entrar al estudio de las siguientes consideraciones de hecho y derecho: </w:t>
      </w:r>
    </w:p>
    <w:p w14:paraId="3BF5648A" w14:textId="6BF4B106" w:rsidR="00B10368" w:rsidRDefault="00820B20" w:rsidP="003C3DBF">
      <w:pPr>
        <w:spacing w:before="240" w:after="240" w:line="360" w:lineRule="auto"/>
        <w:jc w:val="both"/>
        <w:rPr>
          <w:rFonts w:ascii="Palatino Linotype" w:hAnsi="Palatino Linotype"/>
          <w:lang w:val="es-ES"/>
        </w:rPr>
      </w:pPr>
      <w:r>
        <w:rPr>
          <w:rFonts w:ascii="Palatino Linotype" w:hAnsi="Palatino Linotype"/>
          <w:lang w:val="es-ES"/>
        </w:rPr>
        <w:t xml:space="preserve">Para robustecer el presente estudio debe establecerse que el Servidor Público Habilitado que otorgó respuesta a la presente solicitud es </w:t>
      </w:r>
      <w:r w:rsidR="003C3DBF">
        <w:rPr>
          <w:rFonts w:ascii="Palatino Linotype" w:hAnsi="Palatino Linotype"/>
          <w:lang w:val="es-ES"/>
        </w:rPr>
        <w:t xml:space="preserve">la </w:t>
      </w:r>
      <w:r w:rsidR="003C3DBF" w:rsidRPr="00F74F8B">
        <w:rPr>
          <w:rFonts w:ascii="Palatino Linotype" w:hAnsi="Palatino Linotype"/>
          <w:b/>
          <w:lang w:val="es-ES"/>
        </w:rPr>
        <w:t>Directora General del Instituto del Transporte del Estado de México</w:t>
      </w:r>
      <w:r w:rsidR="003C3DBF">
        <w:rPr>
          <w:rFonts w:ascii="Palatino Linotype" w:hAnsi="Palatino Linotype"/>
          <w:lang w:val="es-ES"/>
        </w:rPr>
        <w:t xml:space="preserve">, tal como se ilustra a continuación: </w:t>
      </w:r>
    </w:p>
    <w:p w14:paraId="389FF7DD" w14:textId="625B6668" w:rsidR="003C3DBF" w:rsidRPr="00B10368" w:rsidRDefault="003C3DBF" w:rsidP="003C3DBF">
      <w:pPr>
        <w:spacing w:before="240" w:after="240" w:line="360" w:lineRule="auto"/>
        <w:jc w:val="both"/>
        <w:rPr>
          <w:rFonts w:ascii="Palatino Linotype" w:hAnsi="Palatino Linotype"/>
          <w:i/>
          <w:sz w:val="22"/>
        </w:rPr>
      </w:pPr>
      <w:r>
        <w:rPr>
          <w:rFonts w:ascii="Palatino Linotype" w:hAnsi="Palatino Linotype"/>
          <w:i/>
          <w:noProof/>
          <w:sz w:val="22"/>
          <w:lang w:eastAsia="es-MX"/>
        </w:rPr>
        <mc:AlternateContent>
          <mc:Choice Requires="wps">
            <w:drawing>
              <wp:anchor distT="0" distB="0" distL="114300" distR="114300" simplePos="0" relativeHeight="251661312" behindDoc="0" locked="0" layoutInCell="1" allowOverlap="1" wp14:anchorId="67748E67" wp14:editId="399F53E0">
                <wp:simplePos x="0" y="0"/>
                <wp:positionH relativeFrom="column">
                  <wp:posOffset>272415</wp:posOffset>
                </wp:positionH>
                <wp:positionV relativeFrom="paragraph">
                  <wp:posOffset>2616200</wp:posOffset>
                </wp:positionV>
                <wp:extent cx="4514850" cy="86677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4514850" cy="8667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D5434" id="Rectángulo 4" o:spid="_x0000_s1026" style="position:absolute;margin-left:21.45pt;margin-top:206pt;width:355.5pt;height:6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" filled="f" strokecolor="#1f3763 [1604]" strokeweight="3pt"/>
            </w:pict>
          </mc:Fallback>
        </mc:AlternateContent>
      </w:r>
      <w:r>
        <w:rPr>
          <w:rFonts w:ascii="Palatino Linotype" w:hAnsi="Palatino Linotype"/>
          <w:i/>
          <w:noProof/>
          <w:sz w:val="22"/>
          <w:lang w:eastAsia="es-MX"/>
        </w:rPr>
        <mc:AlternateContent>
          <mc:Choice Requires="wps">
            <w:drawing>
              <wp:anchor distT="0" distB="0" distL="114300" distR="114300" simplePos="0" relativeHeight="251660288" behindDoc="0" locked="0" layoutInCell="1" allowOverlap="1" wp14:anchorId="3ECCE893" wp14:editId="27789F54">
                <wp:simplePos x="0" y="0"/>
                <wp:positionH relativeFrom="column">
                  <wp:posOffset>1101090</wp:posOffset>
                </wp:positionH>
                <wp:positionV relativeFrom="paragraph">
                  <wp:posOffset>130175</wp:posOffset>
                </wp:positionV>
                <wp:extent cx="533400" cy="8382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533400" cy="838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640C8" id="Rectángulo 3" o:spid="_x0000_s1026" style="position:absolute;margin-left:86.7pt;margin-top:10.25pt;width:42pt;height: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" filled="f" strokecolor="#1f3763 [1604]" strokeweight="2.25pt"/>
            </w:pict>
          </mc:Fallback>
        </mc:AlternateContent>
      </w:r>
      <w:r>
        <w:rPr>
          <w:rFonts w:ascii="Palatino Linotype" w:hAnsi="Palatino Linotype"/>
          <w:i/>
          <w:noProof/>
          <w:sz w:val="22"/>
          <w:lang w:eastAsia="es-MX"/>
        </w:rPr>
        <w:drawing>
          <wp:anchor distT="0" distB="0" distL="114300" distR="114300" simplePos="0" relativeHeight="251658240" behindDoc="0" locked="0" layoutInCell="1" allowOverlap="1" wp14:anchorId="6D1DC1EC" wp14:editId="2BD5FC01">
            <wp:simplePos x="0" y="0"/>
            <wp:positionH relativeFrom="column">
              <wp:posOffset>-299085</wp:posOffset>
            </wp:positionH>
            <wp:positionV relativeFrom="paragraph">
              <wp:posOffset>124</wp:posOffset>
            </wp:positionV>
            <wp:extent cx="6483949" cy="134302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949"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noProof/>
          <w:sz w:val="22"/>
          <w:lang w:eastAsia="es-MX"/>
        </w:rPr>
        <w:drawing>
          <wp:anchor distT="0" distB="0" distL="114300" distR="114300" simplePos="0" relativeHeight="251659264" behindDoc="0" locked="0" layoutInCell="1" allowOverlap="1" wp14:anchorId="7DC17078" wp14:editId="25464AC5">
            <wp:simplePos x="0" y="0"/>
            <wp:positionH relativeFrom="column">
              <wp:posOffset>224790</wp:posOffset>
            </wp:positionH>
            <wp:positionV relativeFrom="paragraph">
              <wp:posOffset>1749425</wp:posOffset>
            </wp:positionV>
            <wp:extent cx="5162550" cy="42291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18D88" w14:textId="77777777" w:rsidR="003C3DBF" w:rsidRDefault="003C3DBF" w:rsidP="005D5F23">
      <w:pPr>
        <w:spacing w:line="360" w:lineRule="auto"/>
        <w:ind w:right="49"/>
        <w:jc w:val="both"/>
        <w:rPr>
          <w:rFonts w:ascii="Palatino Linotype" w:hAnsi="Palatino Linotype" w:cs="Arial"/>
          <w:bCs/>
          <w:szCs w:val="22"/>
          <w:lang w:eastAsia="es-MX"/>
        </w:rPr>
      </w:pPr>
    </w:p>
    <w:p w14:paraId="2B68F0B0" w14:textId="7D7CB4E1" w:rsidR="00FF5F71" w:rsidRDefault="00FF5F71" w:rsidP="005D5F23">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eastAsia="es-MX"/>
        </w:rPr>
        <w:t xml:space="preserve">Al respecto el Reglamento </w:t>
      </w:r>
      <w:r w:rsidRPr="00FF5F71">
        <w:rPr>
          <w:rFonts w:ascii="Palatino Linotype" w:hAnsi="Palatino Linotype" w:cs="Arial"/>
          <w:bCs/>
          <w:szCs w:val="22"/>
          <w:lang w:eastAsia="es-MX"/>
        </w:rPr>
        <w:t>del Transporte Público y Servicios Conexos del Estado de México</w:t>
      </w:r>
      <w:r w:rsidR="00FE6A5F">
        <w:rPr>
          <w:rFonts w:ascii="Palatino Linotype" w:hAnsi="Palatino Linotype" w:cs="Arial"/>
          <w:bCs/>
          <w:szCs w:val="22"/>
          <w:lang w:eastAsia="es-MX"/>
        </w:rPr>
        <w:t xml:space="preserve"> prevé lo siguiente: </w:t>
      </w:r>
    </w:p>
    <w:p w14:paraId="78077032" w14:textId="77777777" w:rsidR="00406B2C" w:rsidRDefault="00406B2C" w:rsidP="005D5F23">
      <w:pPr>
        <w:spacing w:line="360" w:lineRule="auto"/>
        <w:ind w:right="49"/>
        <w:jc w:val="both"/>
        <w:rPr>
          <w:rFonts w:ascii="Palatino Linotype" w:hAnsi="Palatino Linotype" w:cs="Arial"/>
          <w:bCs/>
          <w:szCs w:val="22"/>
          <w:lang w:eastAsia="es-MX"/>
        </w:rPr>
      </w:pPr>
    </w:p>
    <w:p w14:paraId="5AC56B55" w14:textId="637518DB" w:rsidR="00FE6A5F" w:rsidRPr="00FE6A5F" w:rsidRDefault="00FE6A5F" w:rsidP="00FE6A5F">
      <w:pPr>
        <w:spacing w:line="360" w:lineRule="auto"/>
        <w:ind w:left="567" w:right="49"/>
        <w:jc w:val="both"/>
        <w:rPr>
          <w:rFonts w:ascii="Palatino Linotype" w:hAnsi="Palatino Linotype" w:cs="Arial"/>
          <w:b/>
          <w:bCs/>
          <w:i/>
          <w:sz w:val="22"/>
          <w:szCs w:val="22"/>
          <w:lang w:eastAsia="es-MX"/>
        </w:rPr>
      </w:pPr>
      <w:r>
        <w:rPr>
          <w:rFonts w:ascii="Palatino Linotype" w:hAnsi="Palatino Linotype" w:cs="Arial"/>
          <w:bCs/>
          <w:i/>
          <w:sz w:val="22"/>
          <w:szCs w:val="22"/>
          <w:lang w:eastAsia="es-MX"/>
        </w:rPr>
        <w:t>“</w:t>
      </w:r>
      <w:r w:rsidRPr="00FE6A5F">
        <w:rPr>
          <w:rFonts w:ascii="Palatino Linotype" w:hAnsi="Palatino Linotype" w:cs="Arial"/>
          <w:b/>
          <w:bCs/>
          <w:i/>
          <w:sz w:val="22"/>
          <w:szCs w:val="22"/>
          <w:lang w:eastAsia="es-MX"/>
        </w:rPr>
        <w:t>TITULO SEXTO</w:t>
      </w:r>
    </w:p>
    <w:p w14:paraId="3590E25D" w14:textId="77777777" w:rsidR="00FE6A5F" w:rsidRPr="00FE6A5F" w:rsidRDefault="00FE6A5F" w:rsidP="00FE6A5F">
      <w:pPr>
        <w:spacing w:line="360" w:lineRule="auto"/>
        <w:ind w:left="567" w:right="49"/>
        <w:jc w:val="both"/>
        <w:rPr>
          <w:rFonts w:ascii="Palatino Linotype" w:hAnsi="Palatino Linotype" w:cs="Arial"/>
          <w:b/>
          <w:bCs/>
          <w:i/>
          <w:sz w:val="22"/>
          <w:szCs w:val="22"/>
          <w:lang w:eastAsia="es-MX"/>
        </w:rPr>
      </w:pPr>
      <w:r w:rsidRPr="00FE6A5F">
        <w:rPr>
          <w:rFonts w:ascii="Palatino Linotype" w:hAnsi="Palatino Linotype" w:cs="Arial"/>
          <w:b/>
          <w:bCs/>
          <w:i/>
          <w:sz w:val="22"/>
          <w:szCs w:val="22"/>
          <w:lang w:eastAsia="es-MX"/>
        </w:rPr>
        <w:t xml:space="preserve">DEL INSTITUTO DEL TRANSPORTE DEL ESTADO DE MEXICO </w:t>
      </w:r>
    </w:p>
    <w:p w14:paraId="45B327CF" w14:textId="77777777" w:rsidR="00FE6A5F" w:rsidRDefault="00FE6A5F" w:rsidP="00FE6A5F">
      <w:pPr>
        <w:ind w:left="567" w:right="900"/>
        <w:jc w:val="both"/>
        <w:rPr>
          <w:rFonts w:ascii="Palatino Linotype" w:hAnsi="Palatino Linotype" w:cs="Arial"/>
          <w:bCs/>
          <w:i/>
          <w:sz w:val="22"/>
          <w:szCs w:val="22"/>
          <w:lang w:eastAsia="es-MX"/>
        </w:rPr>
      </w:pPr>
      <w:r w:rsidRPr="00FE6A5F">
        <w:rPr>
          <w:rFonts w:ascii="Palatino Linotype" w:hAnsi="Palatino Linotype" w:cs="Arial"/>
          <w:bCs/>
          <w:i/>
          <w:sz w:val="22"/>
          <w:szCs w:val="22"/>
          <w:lang w:eastAsia="es-MX"/>
        </w:rPr>
        <w:t xml:space="preserve">ARTÍCULO 146.- </w:t>
      </w:r>
      <w:r w:rsidRPr="00FE6A5F">
        <w:rPr>
          <w:rFonts w:ascii="Palatino Linotype" w:hAnsi="Palatino Linotype" w:cs="Arial"/>
          <w:b/>
          <w:bCs/>
          <w:i/>
          <w:sz w:val="22"/>
          <w:szCs w:val="22"/>
          <w:u w:val="single"/>
          <w:lang w:eastAsia="es-MX"/>
        </w:rPr>
        <w:t>Se crea el Instituto del Transporte del Estado de México, como órgano desconcentrado de la Secretaría, cuyo objeto es la investigación, elaboración de estudios, modernización y desarrollo de los sistemas de transportación pública en la entidad.</w:t>
      </w:r>
      <w:r w:rsidRPr="00FE6A5F">
        <w:rPr>
          <w:rFonts w:ascii="Palatino Linotype" w:hAnsi="Palatino Linotype" w:cs="Arial"/>
          <w:bCs/>
          <w:i/>
          <w:sz w:val="22"/>
          <w:szCs w:val="22"/>
          <w:lang w:eastAsia="es-MX"/>
        </w:rPr>
        <w:t xml:space="preserve"> Para tal efecto, el Instituto operará bajo un sistema de participación y consulta permanente con los sectores participantes en el transporte y los usuarios. </w:t>
      </w:r>
    </w:p>
    <w:p w14:paraId="1489E7ED" w14:textId="0C4A0F31" w:rsidR="00FE6A5F" w:rsidRPr="00406B2C" w:rsidRDefault="00FE6A5F" w:rsidP="00FE6A5F">
      <w:pPr>
        <w:ind w:left="567" w:right="900"/>
        <w:jc w:val="both"/>
        <w:rPr>
          <w:rFonts w:ascii="Palatino Linotype" w:hAnsi="Palatino Linotype" w:cs="Arial"/>
          <w:b/>
          <w:bCs/>
          <w:i/>
          <w:sz w:val="22"/>
          <w:szCs w:val="22"/>
          <w:u w:val="single"/>
          <w:lang w:eastAsia="es-MX"/>
        </w:rPr>
      </w:pPr>
      <w:r w:rsidRPr="00FE6A5F">
        <w:rPr>
          <w:rFonts w:ascii="Palatino Linotype" w:hAnsi="Palatino Linotype" w:cs="Arial"/>
          <w:bCs/>
          <w:i/>
          <w:sz w:val="22"/>
          <w:szCs w:val="22"/>
          <w:lang w:eastAsia="es-MX"/>
        </w:rPr>
        <w:t xml:space="preserve">ARTÍCULO 147.- </w:t>
      </w:r>
      <w:r w:rsidRPr="00406B2C">
        <w:rPr>
          <w:rFonts w:ascii="Palatino Linotype" w:hAnsi="Palatino Linotype" w:cs="Arial"/>
          <w:b/>
          <w:bCs/>
          <w:i/>
          <w:sz w:val="22"/>
          <w:szCs w:val="22"/>
          <w:u w:val="single"/>
          <w:lang w:eastAsia="es-MX"/>
        </w:rPr>
        <w:t xml:space="preserve">Los actos que emita el Instituto no constituyen actos administrativos decisorios, y serán de las siguientes clases: </w:t>
      </w:r>
    </w:p>
    <w:p w14:paraId="6FB5CFA3" w14:textId="63E6981A" w:rsidR="00FE6A5F" w:rsidRPr="00406B2C" w:rsidRDefault="00FE6A5F" w:rsidP="00FE6A5F">
      <w:pPr>
        <w:pStyle w:val="Prrafodelista"/>
        <w:numPr>
          <w:ilvl w:val="0"/>
          <w:numId w:val="24"/>
        </w:numPr>
        <w:ind w:left="567" w:right="900" w:hanging="141"/>
        <w:jc w:val="both"/>
        <w:rPr>
          <w:rFonts w:ascii="Palatino Linotype" w:hAnsi="Palatino Linotype" w:cs="Arial"/>
          <w:b/>
          <w:bCs/>
          <w:i/>
          <w:u w:val="single"/>
          <w:lang w:eastAsia="es-MX"/>
        </w:rPr>
      </w:pPr>
      <w:r w:rsidRPr="00406B2C">
        <w:rPr>
          <w:rFonts w:ascii="Palatino Linotype" w:hAnsi="Palatino Linotype" w:cs="Arial"/>
          <w:b/>
          <w:bCs/>
          <w:i/>
          <w:u w:val="single"/>
          <w:lang w:eastAsia="es-MX"/>
        </w:rPr>
        <w:t xml:space="preserve">Dictámenes: aquellos que con tal carácter emita conforme a este Reglamento. </w:t>
      </w:r>
    </w:p>
    <w:p w14:paraId="70EC47EF" w14:textId="77777777" w:rsidR="00FE6A5F" w:rsidRPr="00406B2C" w:rsidRDefault="00FE6A5F" w:rsidP="00FE6A5F">
      <w:pPr>
        <w:pStyle w:val="Prrafodelista"/>
        <w:numPr>
          <w:ilvl w:val="0"/>
          <w:numId w:val="24"/>
        </w:numPr>
        <w:ind w:left="567" w:right="900" w:hanging="283"/>
        <w:jc w:val="both"/>
        <w:rPr>
          <w:rFonts w:ascii="Palatino Linotype" w:hAnsi="Palatino Linotype" w:cs="Arial"/>
          <w:b/>
          <w:bCs/>
          <w:i/>
          <w:u w:val="single"/>
          <w:lang w:eastAsia="es-MX"/>
        </w:rPr>
      </w:pPr>
      <w:r w:rsidRPr="00406B2C">
        <w:rPr>
          <w:rFonts w:ascii="Palatino Linotype" w:hAnsi="Palatino Linotype" w:cs="Arial"/>
          <w:b/>
          <w:bCs/>
          <w:i/>
          <w:u w:val="single"/>
          <w:lang w:eastAsia="es-MX"/>
        </w:rPr>
        <w:t>Opiniones: todo desahogo de consulta que le sea cursada por la autoridad de transporte.</w:t>
      </w:r>
    </w:p>
    <w:p w14:paraId="5F0E0061" w14:textId="77777777" w:rsidR="00FE6A5F" w:rsidRPr="00406B2C" w:rsidRDefault="00FE6A5F" w:rsidP="00FE6A5F">
      <w:pPr>
        <w:pStyle w:val="Prrafodelista"/>
        <w:numPr>
          <w:ilvl w:val="0"/>
          <w:numId w:val="24"/>
        </w:numPr>
        <w:ind w:left="567" w:right="900" w:hanging="283"/>
        <w:jc w:val="both"/>
        <w:rPr>
          <w:rFonts w:ascii="Palatino Linotype" w:hAnsi="Palatino Linotype" w:cs="Arial"/>
          <w:b/>
          <w:bCs/>
          <w:i/>
          <w:u w:val="single"/>
          <w:lang w:eastAsia="es-MX"/>
        </w:rPr>
      </w:pPr>
      <w:r w:rsidRPr="00406B2C">
        <w:rPr>
          <w:rFonts w:ascii="Palatino Linotype" w:hAnsi="Palatino Linotype" w:cs="Arial"/>
          <w:b/>
          <w:bCs/>
          <w:i/>
          <w:u w:val="single"/>
          <w:lang w:eastAsia="es-MX"/>
        </w:rPr>
        <w:t xml:space="preserve">Propuestas: las conclusiones o resultados de su actividad de investigación. </w:t>
      </w:r>
    </w:p>
    <w:p w14:paraId="790A719E" w14:textId="77777777" w:rsidR="00FE6A5F" w:rsidRPr="00406B2C" w:rsidRDefault="00FE6A5F" w:rsidP="00FE6A5F">
      <w:pPr>
        <w:pStyle w:val="Prrafodelista"/>
        <w:numPr>
          <w:ilvl w:val="0"/>
          <w:numId w:val="24"/>
        </w:numPr>
        <w:ind w:left="567" w:right="900" w:hanging="283"/>
        <w:jc w:val="both"/>
        <w:rPr>
          <w:rFonts w:ascii="Palatino Linotype" w:hAnsi="Palatino Linotype" w:cs="Arial"/>
          <w:b/>
          <w:bCs/>
          <w:i/>
          <w:u w:val="single"/>
          <w:lang w:eastAsia="es-MX"/>
        </w:rPr>
      </w:pPr>
      <w:r w:rsidRPr="00406B2C">
        <w:rPr>
          <w:rFonts w:ascii="Palatino Linotype" w:hAnsi="Palatino Linotype" w:cs="Arial"/>
          <w:b/>
          <w:bCs/>
          <w:i/>
          <w:u w:val="single"/>
          <w:lang w:eastAsia="es-MX"/>
        </w:rPr>
        <w:t xml:space="preserve">Laudos: Los que resulten de la instrucción de procedimientos arbitrales respecto de las contiendas internas de un mismo concesionario, entre diversos concesionarios, o entre éstos y terceras personas. Los laudos constituirán un acto decisorio sólo en lo que afecte los derechos privados de los particulares, si el mismo versare sobre derechos de concesiones o permisos, deberá ser ratificado por la autoridad de transporte, correspondiendo a esta la ejecución de esa parte de laudo. </w:t>
      </w:r>
    </w:p>
    <w:p w14:paraId="5167A5C1" w14:textId="77777777" w:rsidR="00FE6A5F" w:rsidRPr="00FE6A5F" w:rsidRDefault="00FE6A5F" w:rsidP="00FE6A5F">
      <w:pPr>
        <w:ind w:left="567" w:right="900"/>
        <w:jc w:val="both"/>
        <w:rPr>
          <w:rFonts w:ascii="Palatino Linotype" w:hAnsi="Palatino Linotype" w:cs="Arial"/>
          <w:b/>
          <w:bCs/>
          <w:i/>
          <w:sz w:val="22"/>
          <w:szCs w:val="22"/>
          <w:u w:val="single"/>
          <w:lang w:eastAsia="es-MX"/>
        </w:rPr>
      </w:pPr>
      <w:r w:rsidRPr="00FE6A5F">
        <w:rPr>
          <w:rFonts w:ascii="Palatino Linotype" w:hAnsi="Palatino Linotype" w:cs="Arial"/>
          <w:bCs/>
          <w:i/>
          <w:sz w:val="22"/>
          <w:szCs w:val="22"/>
          <w:lang w:eastAsia="es-MX"/>
        </w:rPr>
        <w:t xml:space="preserve">ARTÍCULO 148.- </w:t>
      </w:r>
      <w:r w:rsidRPr="00FE6A5F">
        <w:rPr>
          <w:rFonts w:ascii="Palatino Linotype" w:hAnsi="Palatino Linotype" w:cs="Arial"/>
          <w:b/>
          <w:bCs/>
          <w:i/>
          <w:sz w:val="22"/>
          <w:szCs w:val="22"/>
          <w:u w:val="single"/>
          <w:lang w:eastAsia="es-MX"/>
        </w:rPr>
        <w:t xml:space="preserve">La Dirección del Instituto estará a cargo del Consejo Directivo y de un Vocal Ejecutivo. El cargo de miembro del Consejo será honorífico, excepto el de Vocal Ejecutivo. </w:t>
      </w:r>
    </w:p>
    <w:p w14:paraId="23722E5F" w14:textId="104EB049" w:rsidR="00FE6A5F" w:rsidRPr="00FE6A5F" w:rsidRDefault="00FE6A5F" w:rsidP="00FE6A5F">
      <w:pPr>
        <w:ind w:left="567" w:right="900"/>
        <w:jc w:val="both"/>
        <w:rPr>
          <w:rFonts w:ascii="Palatino Linotype" w:hAnsi="Palatino Linotype" w:cs="Arial"/>
          <w:b/>
          <w:bCs/>
          <w:i/>
          <w:sz w:val="22"/>
          <w:szCs w:val="22"/>
          <w:u w:val="single"/>
          <w:lang w:eastAsia="es-MX"/>
        </w:rPr>
      </w:pPr>
      <w:r w:rsidRPr="00FE6A5F">
        <w:rPr>
          <w:rFonts w:ascii="Palatino Linotype" w:hAnsi="Palatino Linotype" w:cs="Arial"/>
          <w:b/>
          <w:bCs/>
          <w:i/>
          <w:sz w:val="22"/>
          <w:szCs w:val="22"/>
          <w:u w:val="single"/>
          <w:lang w:eastAsia="es-MX"/>
        </w:rPr>
        <w:t xml:space="preserve">El Consejo Directivo será el órgano máximo del Instituto y se integrará por: </w:t>
      </w:r>
    </w:p>
    <w:p w14:paraId="679B7ADD" w14:textId="774BED30" w:rsidR="00FE6A5F" w:rsidRPr="00FE6A5F" w:rsidRDefault="00FE6A5F" w:rsidP="00FE6A5F">
      <w:pPr>
        <w:pStyle w:val="Prrafodelista"/>
        <w:numPr>
          <w:ilvl w:val="0"/>
          <w:numId w:val="25"/>
        </w:numPr>
        <w:ind w:left="567" w:right="900" w:hanging="141"/>
        <w:jc w:val="both"/>
        <w:rPr>
          <w:rFonts w:ascii="Palatino Linotype" w:hAnsi="Palatino Linotype" w:cs="Arial"/>
          <w:bCs/>
          <w:i/>
          <w:lang w:eastAsia="es-MX"/>
        </w:rPr>
      </w:pPr>
      <w:r w:rsidRPr="00FE6A5F">
        <w:rPr>
          <w:rFonts w:ascii="Palatino Linotype" w:hAnsi="Palatino Linotype" w:cs="Arial"/>
          <w:bCs/>
          <w:i/>
          <w:lang w:eastAsia="es-MX"/>
        </w:rPr>
        <w:t xml:space="preserve">Un Presidente, que será el Subsecretario de Transporte. </w:t>
      </w:r>
    </w:p>
    <w:p w14:paraId="624458F1" w14:textId="77777777" w:rsidR="00FE6A5F" w:rsidRPr="00FE6A5F" w:rsidRDefault="00FE6A5F" w:rsidP="00FE6A5F">
      <w:pPr>
        <w:pStyle w:val="Prrafodelista"/>
        <w:numPr>
          <w:ilvl w:val="0"/>
          <w:numId w:val="25"/>
        </w:numPr>
        <w:ind w:left="567" w:right="900" w:hanging="141"/>
        <w:jc w:val="both"/>
        <w:rPr>
          <w:rFonts w:ascii="Palatino Linotype" w:hAnsi="Palatino Linotype" w:cs="Arial"/>
          <w:bCs/>
          <w:i/>
          <w:lang w:eastAsia="es-MX"/>
        </w:rPr>
      </w:pPr>
      <w:r w:rsidRPr="00FE6A5F">
        <w:rPr>
          <w:rFonts w:ascii="Palatino Linotype" w:hAnsi="Palatino Linotype" w:cs="Arial"/>
          <w:bCs/>
          <w:i/>
          <w:lang w:eastAsia="es-MX"/>
        </w:rPr>
        <w:t xml:space="preserve">Un Secretario Técnico, que será el Vocal Ejecutivo, designado por el Secretario, quien no tendrá voto en las sesiones de Consejo. </w:t>
      </w:r>
    </w:p>
    <w:p w14:paraId="79A3E20E" w14:textId="77777777" w:rsidR="00FE6A5F" w:rsidRPr="00FE6A5F" w:rsidRDefault="00FE6A5F" w:rsidP="00FE6A5F">
      <w:pPr>
        <w:pStyle w:val="Prrafodelista"/>
        <w:numPr>
          <w:ilvl w:val="0"/>
          <w:numId w:val="25"/>
        </w:numPr>
        <w:ind w:left="567" w:right="900" w:hanging="141"/>
        <w:jc w:val="both"/>
        <w:rPr>
          <w:rFonts w:ascii="Palatino Linotype" w:hAnsi="Palatino Linotype" w:cs="Arial"/>
          <w:bCs/>
          <w:i/>
          <w:lang w:eastAsia="es-MX"/>
        </w:rPr>
      </w:pPr>
      <w:r w:rsidRPr="00FE6A5F">
        <w:rPr>
          <w:rFonts w:ascii="Palatino Linotype" w:hAnsi="Palatino Linotype" w:cs="Arial"/>
          <w:bCs/>
          <w:i/>
          <w:lang w:eastAsia="es-MX"/>
        </w:rPr>
        <w:t xml:space="preserve">Los vocales permanentes siguientes: </w:t>
      </w:r>
    </w:p>
    <w:p w14:paraId="495DA063"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a) El Director General de la Junta de Caminos. </w:t>
      </w:r>
    </w:p>
    <w:p w14:paraId="2B0A75AC"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b) El Director General del Sistema de Autopistas, Aeropuertos, Servicios Conexos y Auxiliares. </w:t>
      </w:r>
    </w:p>
    <w:p w14:paraId="7F8FC051"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c) El Director General de Transporte Terrestre. </w:t>
      </w:r>
    </w:p>
    <w:p w14:paraId="35FF95DB"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d) El Director General de Transporte Masivo. </w:t>
      </w:r>
    </w:p>
    <w:p w14:paraId="0271E5DD"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e) El Director General de Vialidad. </w:t>
      </w:r>
    </w:p>
    <w:p w14:paraId="21C641E0"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f) Un representante de la Secretaría de Ecología. </w:t>
      </w:r>
    </w:p>
    <w:p w14:paraId="3A91FBAE"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g) Un representante de la Procuraduría General de Justicia. </w:t>
      </w:r>
    </w:p>
    <w:p w14:paraId="58827B22"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IV. Los vocales que acuerde el Secretario designar de entre las organizaciones de concesionarios o permisionarios inscritas en el Registro y con padrón actualizado de miembros. </w:t>
      </w:r>
    </w:p>
    <w:p w14:paraId="35A6855E" w14:textId="77777777" w:rsidR="00FE6A5F" w:rsidRPr="00FE6A5F" w:rsidRDefault="00FE6A5F" w:rsidP="00FE6A5F">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Las vocalías se ejercerán por quienes tengan la representación legal de las organizaciones correspondientes. </w:t>
      </w:r>
    </w:p>
    <w:p w14:paraId="3B73DD77" w14:textId="1F14136B" w:rsidR="00FE6A5F" w:rsidRDefault="00FE6A5F" w:rsidP="00F74F8B">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 xml:space="preserve">El Presidente del Instituto podrá invitar a representantes de usuarios, de organizaciones vecinales, de instituciones académicas o de otras dependencias federales, estatales o municipales, para que opinen en relación con asuntos determinados. </w:t>
      </w:r>
    </w:p>
    <w:p w14:paraId="1B80F0F5" w14:textId="54A959E6" w:rsidR="00FE6A5F" w:rsidRPr="00FE6A5F" w:rsidRDefault="00FE6A5F" w:rsidP="00F74F8B">
      <w:pPr>
        <w:pStyle w:val="Prrafodelista"/>
        <w:ind w:left="567" w:right="900"/>
        <w:jc w:val="both"/>
        <w:rPr>
          <w:rFonts w:ascii="Palatino Linotype" w:hAnsi="Palatino Linotype" w:cs="Arial"/>
          <w:bCs/>
          <w:i/>
          <w:lang w:eastAsia="es-MX"/>
        </w:rPr>
      </w:pPr>
      <w:r w:rsidRPr="00FE6A5F">
        <w:rPr>
          <w:rFonts w:ascii="Palatino Linotype" w:hAnsi="Palatino Linotype" w:cs="Arial"/>
          <w:bCs/>
          <w:i/>
          <w:lang w:eastAsia="es-MX"/>
        </w:rPr>
        <w:t>Tratándose de propuestas de la Secretaría, relativas a programas de transporte de pasaje que afecten el ámbito territorial de uno o varios municipios, se dará intervención a las autoridades de dichos municipios, debiéndose prevenir en los mismos, la intervención que tendrán en su aplicación.</w:t>
      </w:r>
      <w:r>
        <w:rPr>
          <w:rFonts w:ascii="Palatino Linotype" w:hAnsi="Palatino Linotype" w:cs="Arial"/>
          <w:bCs/>
          <w:i/>
          <w:lang w:eastAsia="es-MX"/>
        </w:rPr>
        <w:t>”</w:t>
      </w:r>
    </w:p>
    <w:p w14:paraId="7FEAB959" w14:textId="77777777" w:rsidR="00FE6A5F" w:rsidRDefault="00FE6A5F" w:rsidP="005D5F23">
      <w:pPr>
        <w:spacing w:line="360" w:lineRule="auto"/>
        <w:ind w:right="49"/>
        <w:jc w:val="both"/>
        <w:rPr>
          <w:rFonts w:ascii="Palatino Linotype" w:hAnsi="Palatino Linotype" w:cs="Arial"/>
          <w:bCs/>
          <w:szCs w:val="22"/>
          <w:lang w:eastAsia="es-MX"/>
        </w:rPr>
      </w:pPr>
    </w:p>
    <w:p w14:paraId="6AD581A4" w14:textId="7FBE2543" w:rsidR="00FE6A5F" w:rsidRDefault="00406B2C" w:rsidP="005D5F23">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eastAsia="es-MX"/>
        </w:rPr>
        <w:t xml:space="preserve">De lo anteriormente citado se arriban a las siguientes conclusiones: </w:t>
      </w:r>
    </w:p>
    <w:p w14:paraId="06B8EF3A" w14:textId="77777777" w:rsidR="00406B2C" w:rsidRDefault="00406B2C" w:rsidP="005D5F23">
      <w:pPr>
        <w:spacing w:line="360" w:lineRule="auto"/>
        <w:ind w:right="49"/>
        <w:jc w:val="both"/>
        <w:rPr>
          <w:rFonts w:ascii="Palatino Linotype" w:hAnsi="Palatino Linotype" w:cs="Arial"/>
          <w:bCs/>
          <w:szCs w:val="22"/>
          <w:lang w:eastAsia="es-MX"/>
        </w:rPr>
      </w:pPr>
    </w:p>
    <w:p w14:paraId="3CA86716" w14:textId="62B75816" w:rsidR="00406B2C" w:rsidRDefault="00406B2C" w:rsidP="00406B2C">
      <w:pPr>
        <w:pStyle w:val="Prrafodelista"/>
        <w:numPr>
          <w:ilvl w:val="0"/>
          <w:numId w:val="26"/>
        </w:numPr>
        <w:spacing w:line="360" w:lineRule="auto"/>
        <w:ind w:right="900"/>
        <w:jc w:val="both"/>
        <w:rPr>
          <w:rFonts w:ascii="Palatino Linotype" w:hAnsi="Palatino Linotype" w:cs="Arial"/>
          <w:bCs/>
          <w:sz w:val="24"/>
          <w:lang w:eastAsia="es-MX"/>
        </w:rPr>
      </w:pPr>
      <w:r w:rsidRPr="00406B2C">
        <w:rPr>
          <w:rFonts w:ascii="Palatino Linotype" w:hAnsi="Palatino Linotype" w:cs="Arial"/>
          <w:bCs/>
          <w:sz w:val="24"/>
          <w:lang w:eastAsia="es-MX"/>
        </w:rPr>
        <w:t xml:space="preserve">El Instituto del Transporte del Estado de México es un órgano desconcentrado de la Secretaría de Movilidad, el cual tiene por objeto la investigación, elaboración de estudios, modernización y desarrollo de los sistemas de transportación pública en la entidad. </w:t>
      </w:r>
    </w:p>
    <w:p w14:paraId="764589C1" w14:textId="62BC6395" w:rsidR="00406B2C" w:rsidRDefault="00406B2C" w:rsidP="00406B2C">
      <w:pPr>
        <w:pStyle w:val="Prrafodelista"/>
        <w:numPr>
          <w:ilvl w:val="0"/>
          <w:numId w:val="26"/>
        </w:numPr>
        <w:spacing w:line="360" w:lineRule="auto"/>
        <w:ind w:right="900"/>
        <w:jc w:val="both"/>
        <w:rPr>
          <w:rFonts w:ascii="Palatino Linotype" w:hAnsi="Palatino Linotype" w:cs="Arial"/>
          <w:bCs/>
          <w:sz w:val="24"/>
          <w:lang w:eastAsia="es-MX"/>
        </w:rPr>
      </w:pPr>
      <w:r>
        <w:rPr>
          <w:rFonts w:ascii="Palatino Linotype" w:hAnsi="Palatino Linotype" w:cs="Arial"/>
          <w:bCs/>
          <w:sz w:val="24"/>
          <w:lang w:eastAsia="es-MX"/>
        </w:rPr>
        <w:t xml:space="preserve">Los actos que desempeñen no son considerados actos administrativos decisorios, por lo que únicamente se clasifican en: dictámenes, opiniones, propuestas o laudos. </w:t>
      </w:r>
    </w:p>
    <w:p w14:paraId="6225E483" w14:textId="41478ED5" w:rsidR="00406B2C" w:rsidRDefault="00406B2C" w:rsidP="00406B2C">
      <w:pPr>
        <w:pStyle w:val="Prrafodelista"/>
        <w:numPr>
          <w:ilvl w:val="0"/>
          <w:numId w:val="26"/>
        </w:numPr>
        <w:spacing w:line="360" w:lineRule="auto"/>
        <w:ind w:right="900"/>
        <w:jc w:val="both"/>
        <w:rPr>
          <w:rFonts w:ascii="Palatino Linotype" w:hAnsi="Palatino Linotype" w:cs="Arial"/>
          <w:bCs/>
          <w:sz w:val="24"/>
          <w:lang w:eastAsia="es-MX"/>
        </w:rPr>
      </w:pPr>
      <w:r>
        <w:rPr>
          <w:rFonts w:ascii="Palatino Linotype" w:hAnsi="Palatino Linotype" w:cs="Arial"/>
          <w:bCs/>
          <w:sz w:val="24"/>
          <w:lang w:eastAsia="es-MX"/>
        </w:rPr>
        <w:t xml:space="preserve">La Dirección de este Instituto estará a cargo de un Consejo Directivo, el cual será considerado como el órgano máximo al interior de la institución y se conforma del presidente, secretario técnico, vocales permanentes, representante de la Secretaría de Ecología, un representante de la Fiscalía General de Justicia del Estado de México y los vocales que estime el Secretario entre los concesionarios o permisionarios inscritos en el registro. </w:t>
      </w:r>
    </w:p>
    <w:p w14:paraId="4DCC3FDB" w14:textId="29F87AEE" w:rsidR="007F1770" w:rsidRPr="007F1770" w:rsidRDefault="007F1770" w:rsidP="007F1770">
      <w:pPr>
        <w:spacing w:line="360" w:lineRule="auto"/>
        <w:ind w:right="900"/>
        <w:jc w:val="both"/>
        <w:rPr>
          <w:rFonts w:ascii="Palatino Linotype" w:hAnsi="Palatino Linotype" w:cs="Arial"/>
          <w:bCs/>
          <w:lang w:eastAsia="es-MX"/>
        </w:rPr>
      </w:pPr>
    </w:p>
    <w:p w14:paraId="7F067AB1" w14:textId="77777777" w:rsidR="009C5B5B" w:rsidRDefault="009C5B5B" w:rsidP="009C5B5B">
      <w:pPr>
        <w:pStyle w:val="Prrafodelista"/>
        <w:spacing w:line="360" w:lineRule="auto"/>
        <w:ind w:left="720" w:right="900"/>
        <w:jc w:val="both"/>
        <w:rPr>
          <w:rFonts w:ascii="Palatino Linotype" w:hAnsi="Palatino Linotype" w:cs="Arial"/>
          <w:bCs/>
          <w:sz w:val="24"/>
          <w:lang w:eastAsia="es-MX"/>
        </w:rPr>
      </w:pPr>
    </w:p>
    <w:p w14:paraId="47FF0F52" w14:textId="77777777" w:rsidR="00406B2C" w:rsidRDefault="00406B2C" w:rsidP="00406B2C">
      <w:pPr>
        <w:spacing w:line="360" w:lineRule="auto"/>
        <w:ind w:right="900"/>
        <w:jc w:val="both"/>
        <w:rPr>
          <w:rFonts w:ascii="Palatino Linotype" w:hAnsi="Palatino Linotype" w:cs="Arial"/>
          <w:bCs/>
          <w:lang w:eastAsia="es-MX"/>
        </w:rPr>
      </w:pPr>
    </w:p>
    <w:p w14:paraId="1EFB86BF" w14:textId="6DD6C46F" w:rsidR="00406B2C" w:rsidRDefault="007F1770" w:rsidP="00406B2C">
      <w:pPr>
        <w:spacing w:line="360" w:lineRule="auto"/>
        <w:ind w:right="900"/>
        <w:jc w:val="both"/>
        <w:rPr>
          <w:rFonts w:ascii="Palatino Linotype" w:hAnsi="Palatino Linotype" w:cs="Arial"/>
          <w:bCs/>
          <w:lang w:eastAsia="es-MX"/>
        </w:rPr>
      </w:pPr>
      <w:r>
        <w:rPr>
          <w:rFonts w:ascii="Palatino Linotype" w:hAnsi="Palatino Linotype" w:cs="Arial"/>
          <w:bCs/>
          <w:noProof/>
          <w:lang w:eastAsia="es-MX"/>
        </w:rPr>
        <mc:AlternateContent>
          <mc:Choice Requires="wps">
            <w:drawing>
              <wp:anchor distT="0" distB="0" distL="114300" distR="114300" simplePos="0" relativeHeight="251663360" behindDoc="0" locked="0" layoutInCell="1" allowOverlap="1" wp14:anchorId="13D5947A" wp14:editId="2A1050F0">
                <wp:simplePos x="0" y="0"/>
                <wp:positionH relativeFrom="column">
                  <wp:posOffset>1863090</wp:posOffset>
                </wp:positionH>
                <wp:positionV relativeFrom="paragraph">
                  <wp:posOffset>1835150</wp:posOffset>
                </wp:positionV>
                <wp:extent cx="1028700" cy="63817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1028700" cy="638175"/>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69A09" id="Rectángulo 6" o:spid="_x0000_s1026" style="position:absolute;margin-left:146.7pt;margin-top:144.5pt;width:81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" filled="f" strokecolor="#4472c4 [3204]" strokeweight="3pt"/>
            </w:pict>
          </mc:Fallback>
        </mc:AlternateContent>
      </w:r>
      <w:r>
        <w:rPr>
          <w:rFonts w:ascii="Palatino Linotype" w:hAnsi="Palatino Linotype" w:cs="Arial"/>
          <w:bCs/>
          <w:noProof/>
          <w:lang w:eastAsia="es-MX"/>
        </w:rPr>
        <w:drawing>
          <wp:anchor distT="0" distB="0" distL="114300" distR="114300" simplePos="0" relativeHeight="251662336" behindDoc="0" locked="0" layoutInCell="1" allowOverlap="1" wp14:anchorId="344DA55A" wp14:editId="633AD793">
            <wp:simplePos x="0" y="0"/>
            <wp:positionH relativeFrom="column">
              <wp:posOffset>386715</wp:posOffset>
            </wp:positionH>
            <wp:positionV relativeFrom="paragraph">
              <wp:posOffset>152400</wp:posOffset>
            </wp:positionV>
            <wp:extent cx="4695825" cy="4638675"/>
            <wp:effectExtent l="0" t="0" r="952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98EA4" w14:textId="77777777" w:rsidR="007F1770" w:rsidRDefault="007F1770" w:rsidP="005D5F23">
      <w:pPr>
        <w:spacing w:line="360" w:lineRule="auto"/>
        <w:ind w:right="49"/>
        <w:jc w:val="both"/>
        <w:rPr>
          <w:rFonts w:ascii="Palatino Linotype" w:hAnsi="Palatino Linotype" w:cs="Arial"/>
          <w:bCs/>
          <w:szCs w:val="22"/>
          <w:lang w:eastAsia="es-MX"/>
        </w:rPr>
      </w:pPr>
    </w:p>
    <w:p w14:paraId="5EB87175" w14:textId="3C021C1F" w:rsidR="0045459A" w:rsidRDefault="00F74F8B" w:rsidP="005D5F23">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eastAsia="es-MX"/>
        </w:rPr>
        <w:t xml:space="preserve">Ahora bien, sobre el Observatorio Ciudadano de Movilidad, la Ley de Movilidad del Estado de México </w:t>
      </w:r>
      <w:r w:rsidR="009E0CB2">
        <w:rPr>
          <w:rFonts w:ascii="Palatino Linotype" w:hAnsi="Palatino Linotype" w:cs="Arial"/>
          <w:bCs/>
          <w:szCs w:val="22"/>
          <w:lang w:eastAsia="es-MX"/>
        </w:rPr>
        <w:t xml:space="preserve">en su artículo tercero transitorio mandata a la Secretaría de Movilidad en un término de sesenta días hábiles a partir de la entrada en vigor de la legislación en análisis, es decir, a partir del 12 de agosto de 2015 </w:t>
      </w:r>
      <w:r w:rsidR="0045459A">
        <w:rPr>
          <w:rFonts w:ascii="Palatino Linotype" w:hAnsi="Palatino Linotype" w:cs="Arial"/>
          <w:bCs/>
          <w:szCs w:val="22"/>
          <w:lang w:eastAsia="es-MX"/>
        </w:rPr>
        <w:t xml:space="preserve">para la expedición de la convocatoria para conformar el observatorio ciudadano de movilidad, sin embargo, del análisis a la documentación remitida por el Sujeto Obligado en respuesta como en informe justificado, se tiene que su integración se dio hasta el 9 de abril de 2019, acreditando esto mediante el Acta de </w:t>
      </w:r>
      <w:r w:rsidR="00A45CBD">
        <w:rPr>
          <w:rFonts w:ascii="Palatino Linotype" w:hAnsi="Palatino Linotype" w:cs="Arial"/>
          <w:bCs/>
          <w:szCs w:val="22"/>
          <w:lang w:eastAsia="es-MX"/>
        </w:rPr>
        <w:t>Instalación del Observatorio en análisis</w:t>
      </w:r>
      <w:r w:rsidR="0045459A">
        <w:rPr>
          <w:rFonts w:ascii="Palatino Linotype" w:hAnsi="Palatino Linotype" w:cs="Arial"/>
          <w:bCs/>
          <w:szCs w:val="22"/>
          <w:lang w:eastAsia="es-MX"/>
        </w:rPr>
        <w:t xml:space="preserve">. </w:t>
      </w:r>
    </w:p>
    <w:p w14:paraId="277DEA41" w14:textId="6015EB37" w:rsidR="00620E0D" w:rsidRDefault="00A45CBD" w:rsidP="005D5F23">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eastAsia="es-MX"/>
        </w:rPr>
        <w:t xml:space="preserve">Al respecto, sobre su naturaleza jurídica debe apuntarse que es un órgano de opinión, </w:t>
      </w:r>
      <w:r w:rsidR="0045459A">
        <w:rPr>
          <w:rFonts w:ascii="Palatino Linotype" w:hAnsi="Palatino Linotype" w:cs="Arial"/>
          <w:bCs/>
          <w:szCs w:val="22"/>
          <w:lang w:eastAsia="es-MX"/>
        </w:rPr>
        <w:t>el cual em</w:t>
      </w:r>
      <w:r w:rsidR="00E259F4">
        <w:rPr>
          <w:rFonts w:ascii="Palatino Linotype" w:hAnsi="Palatino Linotype" w:cs="Arial"/>
          <w:bCs/>
          <w:szCs w:val="22"/>
          <w:lang w:eastAsia="es-MX"/>
        </w:rPr>
        <w:t xml:space="preserve">ite sus recomendaciones para </w:t>
      </w:r>
      <w:r w:rsidR="0045459A">
        <w:rPr>
          <w:rFonts w:ascii="Palatino Linotype" w:hAnsi="Palatino Linotype" w:cs="Arial"/>
          <w:bCs/>
          <w:szCs w:val="22"/>
          <w:lang w:eastAsia="es-MX"/>
        </w:rPr>
        <w:t xml:space="preserve">mejorar de la movilidad sustentable en el Estado, tal como lo </w:t>
      </w:r>
      <w:r w:rsidR="00F74F8B">
        <w:rPr>
          <w:rFonts w:ascii="Palatino Linotype" w:hAnsi="Palatino Linotype" w:cs="Arial"/>
          <w:bCs/>
          <w:szCs w:val="22"/>
          <w:lang w:eastAsia="es-MX"/>
        </w:rPr>
        <w:t>establece</w:t>
      </w:r>
      <w:r w:rsidR="0045459A">
        <w:rPr>
          <w:rFonts w:ascii="Palatino Linotype" w:hAnsi="Palatino Linotype" w:cs="Arial"/>
          <w:bCs/>
          <w:szCs w:val="22"/>
          <w:lang w:eastAsia="es-MX"/>
        </w:rPr>
        <w:t>n los preceptos legales que a continuación se citan</w:t>
      </w:r>
      <w:r w:rsidR="00F74F8B">
        <w:rPr>
          <w:rFonts w:ascii="Palatino Linotype" w:hAnsi="Palatino Linotype" w:cs="Arial"/>
          <w:bCs/>
          <w:szCs w:val="22"/>
          <w:lang w:eastAsia="es-MX"/>
        </w:rPr>
        <w:t xml:space="preserve">: </w:t>
      </w:r>
    </w:p>
    <w:p w14:paraId="36934216" w14:textId="77777777" w:rsidR="00F74F8B" w:rsidRDefault="00F74F8B" w:rsidP="005D5F23">
      <w:pPr>
        <w:spacing w:line="360" w:lineRule="auto"/>
        <w:ind w:right="49"/>
        <w:jc w:val="both"/>
        <w:rPr>
          <w:rFonts w:ascii="Palatino Linotype" w:hAnsi="Palatino Linotype" w:cs="Arial"/>
          <w:bCs/>
          <w:szCs w:val="22"/>
          <w:lang w:eastAsia="es-MX"/>
        </w:rPr>
      </w:pPr>
    </w:p>
    <w:p w14:paraId="505DD714" w14:textId="1B1B8ADE" w:rsidR="00F74F8B" w:rsidRPr="00F74F8B" w:rsidRDefault="00F74F8B" w:rsidP="00F74F8B">
      <w:pPr>
        <w:ind w:left="567" w:right="900"/>
        <w:jc w:val="both"/>
        <w:rPr>
          <w:rFonts w:ascii="Palatino Linotype" w:hAnsi="Palatino Linotype" w:cs="Arial"/>
          <w:bCs/>
          <w:i/>
          <w:sz w:val="22"/>
          <w:szCs w:val="22"/>
          <w:lang w:eastAsia="es-MX"/>
        </w:rPr>
      </w:pPr>
      <w:r>
        <w:rPr>
          <w:rFonts w:ascii="Palatino Linotype" w:hAnsi="Palatino Linotype" w:cs="Arial"/>
          <w:bCs/>
          <w:i/>
          <w:sz w:val="22"/>
          <w:szCs w:val="22"/>
          <w:lang w:eastAsia="es-MX"/>
        </w:rPr>
        <w:t>“</w:t>
      </w:r>
      <w:r w:rsidRPr="00F74F8B">
        <w:rPr>
          <w:rFonts w:ascii="Palatino Linotype" w:hAnsi="Palatino Linotype" w:cs="Arial"/>
          <w:bCs/>
          <w:i/>
          <w:sz w:val="22"/>
          <w:szCs w:val="22"/>
          <w:lang w:eastAsia="es-MX"/>
        </w:rPr>
        <w:t xml:space="preserve">CAPÍTULO QUINTO </w:t>
      </w:r>
    </w:p>
    <w:p w14:paraId="14E19C71" w14:textId="77777777" w:rsidR="00F74F8B" w:rsidRPr="00F74F8B" w:rsidRDefault="00F74F8B" w:rsidP="00F74F8B">
      <w:pPr>
        <w:ind w:left="567" w:right="900"/>
        <w:jc w:val="both"/>
        <w:rPr>
          <w:rFonts w:ascii="Palatino Linotype" w:hAnsi="Palatino Linotype" w:cs="Arial"/>
          <w:bCs/>
          <w:i/>
          <w:sz w:val="22"/>
          <w:szCs w:val="22"/>
          <w:lang w:eastAsia="es-MX"/>
        </w:rPr>
      </w:pPr>
      <w:r w:rsidRPr="00F74F8B">
        <w:rPr>
          <w:rFonts w:ascii="Palatino Linotype" w:hAnsi="Palatino Linotype" w:cs="Arial"/>
          <w:bCs/>
          <w:i/>
          <w:sz w:val="22"/>
          <w:szCs w:val="22"/>
          <w:lang w:eastAsia="es-MX"/>
        </w:rPr>
        <w:t xml:space="preserve">DEL OBSERVATORIO CIUDADANO DE MOVILIDAD. </w:t>
      </w:r>
    </w:p>
    <w:p w14:paraId="33185009" w14:textId="77777777" w:rsidR="00F74F8B" w:rsidRPr="00F74F8B" w:rsidRDefault="00F74F8B" w:rsidP="00F74F8B">
      <w:pPr>
        <w:ind w:left="567" w:right="900"/>
        <w:jc w:val="both"/>
        <w:rPr>
          <w:rFonts w:ascii="Palatino Linotype" w:hAnsi="Palatino Linotype" w:cs="Arial"/>
          <w:b/>
          <w:bCs/>
          <w:i/>
          <w:sz w:val="22"/>
          <w:szCs w:val="22"/>
          <w:u w:val="single"/>
          <w:lang w:eastAsia="es-MX"/>
        </w:rPr>
      </w:pPr>
      <w:r w:rsidRPr="00F74F8B">
        <w:rPr>
          <w:rFonts w:ascii="Palatino Linotype" w:hAnsi="Palatino Linotype" w:cs="Arial"/>
          <w:bCs/>
          <w:i/>
          <w:sz w:val="22"/>
          <w:szCs w:val="22"/>
          <w:lang w:eastAsia="es-MX"/>
        </w:rPr>
        <w:t xml:space="preserve">Artículo 14. </w:t>
      </w:r>
      <w:r w:rsidRPr="00F74F8B">
        <w:rPr>
          <w:rFonts w:ascii="Palatino Linotype" w:hAnsi="Palatino Linotype" w:cs="Arial"/>
          <w:b/>
          <w:bCs/>
          <w:i/>
          <w:sz w:val="22"/>
          <w:szCs w:val="22"/>
          <w:u w:val="single"/>
          <w:lang w:eastAsia="es-MX"/>
        </w:rPr>
        <w:t xml:space="preserve">El observatorio ciudadano de movilidad es un órgano de opinión y consulta con funciones deliberativas y propositivas donde participen los sectores privado, académico y social. </w:t>
      </w:r>
    </w:p>
    <w:p w14:paraId="225D1D06" w14:textId="5D88737F" w:rsidR="00F74F8B" w:rsidRPr="00F74F8B" w:rsidRDefault="00F74F8B" w:rsidP="00F74F8B">
      <w:pPr>
        <w:ind w:left="567" w:right="900"/>
        <w:jc w:val="both"/>
        <w:rPr>
          <w:rFonts w:ascii="Palatino Linotype" w:hAnsi="Palatino Linotype" w:cs="Arial"/>
          <w:bCs/>
          <w:i/>
          <w:sz w:val="22"/>
          <w:szCs w:val="22"/>
          <w:lang w:eastAsia="es-MX"/>
        </w:rPr>
      </w:pPr>
      <w:r w:rsidRPr="00F74F8B">
        <w:rPr>
          <w:rFonts w:ascii="Palatino Linotype" w:hAnsi="Palatino Linotype" w:cs="Arial"/>
          <w:bCs/>
          <w:i/>
          <w:sz w:val="22"/>
          <w:szCs w:val="22"/>
          <w:lang w:eastAsia="es-MX"/>
        </w:rPr>
        <w:t xml:space="preserve">Artículo 15. </w:t>
      </w:r>
      <w:r w:rsidRPr="00F74F8B">
        <w:rPr>
          <w:rFonts w:ascii="Palatino Linotype" w:hAnsi="Palatino Linotype" w:cs="Arial"/>
          <w:b/>
          <w:bCs/>
          <w:i/>
          <w:sz w:val="22"/>
          <w:szCs w:val="22"/>
          <w:u w:val="single"/>
          <w:lang w:eastAsia="es-MX"/>
        </w:rPr>
        <w:t>Las recomendaciones que emita el Observatorio Ciudadano de Movilidad deberán ir encaminadas a construir una movilidad sustentable y con calidad en el Estado</w:t>
      </w:r>
      <w:r w:rsidRPr="00F74F8B">
        <w:rPr>
          <w:rFonts w:ascii="Palatino Linotype" w:hAnsi="Palatino Linotype" w:cs="Arial"/>
          <w:bCs/>
          <w:i/>
          <w:sz w:val="22"/>
          <w:szCs w:val="22"/>
          <w:lang w:eastAsia="es-MX"/>
        </w:rPr>
        <w:t>.</w:t>
      </w:r>
      <w:r>
        <w:rPr>
          <w:rFonts w:ascii="Palatino Linotype" w:hAnsi="Palatino Linotype" w:cs="Arial"/>
          <w:bCs/>
          <w:i/>
          <w:sz w:val="22"/>
          <w:szCs w:val="22"/>
          <w:lang w:eastAsia="es-MX"/>
        </w:rPr>
        <w:t>”</w:t>
      </w:r>
    </w:p>
    <w:p w14:paraId="3BFA81C6" w14:textId="77777777" w:rsidR="009E0CB2" w:rsidRDefault="009E0CB2" w:rsidP="005D5F23">
      <w:pPr>
        <w:spacing w:line="360" w:lineRule="auto"/>
        <w:ind w:right="49"/>
        <w:jc w:val="both"/>
        <w:rPr>
          <w:rFonts w:ascii="Palatino Linotype" w:hAnsi="Palatino Linotype" w:cs="Arial"/>
          <w:bCs/>
          <w:szCs w:val="22"/>
          <w:lang w:eastAsia="es-MX"/>
        </w:rPr>
      </w:pPr>
    </w:p>
    <w:p w14:paraId="075583AD" w14:textId="24DF755A" w:rsidR="00390CFA" w:rsidRPr="00390CFA" w:rsidRDefault="00390CFA" w:rsidP="00390CFA">
      <w:pPr>
        <w:spacing w:line="360" w:lineRule="auto"/>
        <w:ind w:right="49"/>
        <w:jc w:val="both"/>
        <w:rPr>
          <w:rFonts w:ascii="Palatino Linotype" w:hAnsi="Palatino Linotype" w:cs="Arial"/>
          <w:bCs/>
          <w:szCs w:val="22"/>
          <w:lang w:val="es-ES" w:eastAsia="es-MX"/>
        </w:rPr>
      </w:pPr>
      <w:r>
        <w:rPr>
          <w:rFonts w:ascii="Palatino Linotype" w:hAnsi="Palatino Linotype" w:cs="Arial"/>
          <w:bCs/>
          <w:szCs w:val="22"/>
          <w:lang w:eastAsia="es-MX"/>
        </w:rPr>
        <w:t xml:space="preserve">Al respecto, debe precisarse que sobre el requerimiento, el Sujeto Obligado remitió el Acta de Instalación del Observatorio Ciudadano de Movilidad, </w:t>
      </w:r>
      <w:r>
        <w:rPr>
          <w:rFonts w:ascii="Palatino Linotype" w:hAnsi="Palatino Linotype" w:cs="Arial"/>
          <w:bCs/>
          <w:szCs w:val="22"/>
          <w:lang w:val="es-ES" w:eastAsia="es-MX"/>
        </w:rPr>
        <w:t>de ahí que se insista que en términos del artículo 12 de la legislación aplicable en la entidad, los</w:t>
      </w:r>
      <w:r w:rsidRPr="00390CFA">
        <w:rPr>
          <w:rFonts w:ascii="Palatino Linotype" w:hAnsi="Palatino Linotype" w:cs="Arial"/>
          <w:bCs/>
          <w:szCs w:val="22"/>
          <w:lang w:val="es-ES" w:eastAsia="es-MX"/>
        </w:rPr>
        <w:t xml:space="preserve">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AB39D5" w14:textId="18C2E19A" w:rsidR="00390CFA" w:rsidRDefault="00390CFA" w:rsidP="005D5F23">
      <w:pPr>
        <w:spacing w:line="360" w:lineRule="auto"/>
        <w:ind w:right="49"/>
        <w:jc w:val="both"/>
        <w:rPr>
          <w:rFonts w:ascii="Palatino Linotype" w:hAnsi="Palatino Linotype" w:cs="Arial"/>
          <w:bCs/>
          <w:szCs w:val="22"/>
          <w:lang w:eastAsia="es-MX"/>
        </w:rPr>
      </w:pPr>
    </w:p>
    <w:p w14:paraId="79E57AF6" w14:textId="77777777" w:rsidR="00390CFA" w:rsidRDefault="00390CFA" w:rsidP="00A45CBD">
      <w:pPr>
        <w:spacing w:before="240" w:after="240" w:line="360" w:lineRule="auto"/>
        <w:ind w:right="49"/>
        <w:jc w:val="both"/>
        <w:rPr>
          <w:rFonts w:ascii="Palatino Linotype" w:hAnsi="Palatino Linotype"/>
          <w:lang w:eastAsia="es-MX"/>
        </w:rPr>
      </w:pPr>
    </w:p>
    <w:p w14:paraId="369C056F" w14:textId="760A6AF1" w:rsidR="00A45CBD" w:rsidRPr="00E259F4" w:rsidRDefault="00A45CBD" w:rsidP="00A45CBD">
      <w:pPr>
        <w:spacing w:before="240" w:after="240" w:line="360" w:lineRule="auto"/>
        <w:ind w:right="49"/>
        <w:jc w:val="both"/>
        <w:rPr>
          <w:rFonts w:ascii="Palatino Linotype" w:hAnsi="Palatino Linotype" w:cs="Arial"/>
          <w:bCs/>
          <w:lang w:val="es-ES" w:eastAsia="es-MX"/>
        </w:rPr>
      </w:pPr>
      <w:r>
        <w:rPr>
          <w:rFonts w:ascii="Palatino Linotype" w:hAnsi="Palatino Linotype"/>
          <w:lang w:eastAsia="es-MX"/>
        </w:rPr>
        <w:t xml:space="preserve">Finalmente, respecto al punto </w:t>
      </w:r>
      <w:r>
        <w:rPr>
          <w:rFonts w:ascii="Palatino Linotype" w:hAnsi="Palatino Linotype" w:cs="Arial"/>
          <w:lang w:eastAsia="es-MX"/>
        </w:rPr>
        <w:t xml:space="preserve">en el que se solicita la </w:t>
      </w:r>
      <w:r w:rsidRPr="00A45CBD">
        <w:rPr>
          <w:rFonts w:ascii="Palatino Linotype" w:hAnsi="Palatino Linotype" w:cs="Arial"/>
          <w:b/>
          <w:lang w:eastAsia="es-MX"/>
        </w:rPr>
        <w:t>documentación referente a la instalación del Consejo Directivo</w:t>
      </w:r>
      <w:r>
        <w:rPr>
          <w:rFonts w:ascii="Palatino Linotype" w:hAnsi="Palatino Linotype" w:cs="Arial"/>
          <w:lang w:eastAsia="es-MX"/>
        </w:rPr>
        <w:t>,</w:t>
      </w:r>
      <w:r w:rsidRPr="00A45CBD">
        <w:rPr>
          <w:rFonts w:ascii="Palatino Linotype" w:hAnsi="Palatino Linotype"/>
          <w:lang w:eastAsia="es-MX"/>
        </w:rPr>
        <w:t xml:space="preserve"> </w:t>
      </w:r>
      <w:r w:rsidRPr="005D5F23">
        <w:rPr>
          <w:rFonts w:ascii="Palatino Linotype" w:hAnsi="Palatino Linotype"/>
          <w:lang w:eastAsia="es-MX"/>
        </w:rPr>
        <w:t>debe precisarse que</w:t>
      </w:r>
      <w:r>
        <w:rPr>
          <w:rFonts w:ascii="Palatino Linotype" w:hAnsi="Palatino Linotype" w:cs="Arial"/>
          <w:lang w:eastAsia="es-MX"/>
        </w:rPr>
        <w:t xml:space="preserve"> </w:t>
      </w:r>
      <w:r w:rsidRPr="005D5F23">
        <w:rPr>
          <w:rFonts w:ascii="Palatino Linotype" w:hAnsi="Palatino Linotype" w:cs="Arial"/>
          <w:lang w:eastAsia="es-MX"/>
        </w:rPr>
        <w:t xml:space="preserve">se actualiza el supuesto de un hecho de naturaleza negativa, </w:t>
      </w:r>
      <w:r>
        <w:rPr>
          <w:rFonts w:ascii="Palatino Linotype" w:hAnsi="Palatino Linotype" w:cs="Arial"/>
          <w:bCs/>
          <w:lang w:val="es-ES" w:eastAsia="es-MX"/>
        </w:rPr>
        <w:t>ello en virtud de que como manifestó el Sujeto Obligado</w:t>
      </w:r>
      <w:r w:rsidR="007F1770">
        <w:rPr>
          <w:rFonts w:ascii="Palatino Linotype" w:hAnsi="Palatino Linotype" w:cs="Arial"/>
          <w:bCs/>
          <w:lang w:val="es-ES" w:eastAsia="es-MX"/>
        </w:rPr>
        <w:t xml:space="preserve"> en respuesta </w:t>
      </w:r>
      <w:r>
        <w:rPr>
          <w:rFonts w:ascii="Palatino Linotype" w:hAnsi="Palatino Linotype" w:cs="Arial"/>
          <w:bCs/>
          <w:lang w:val="es-ES" w:eastAsia="es-MX"/>
        </w:rPr>
        <w:t xml:space="preserve"> por conducto </w:t>
      </w:r>
      <w:r w:rsidRPr="00A45CBD">
        <w:rPr>
          <w:rFonts w:ascii="Palatino Linotype" w:hAnsi="Palatino Linotype" w:cs="Arial"/>
          <w:bCs/>
          <w:lang w:val="es-ES" w:eastAsia="es-MX"/>
        </w:rPr>
        <w:t xml:space="preserve"> </w:t>
      </w:r>
      <w:r>
        <w:rPr>
          <w:rFonts w:ascii="Palatino Linotype" w:hAnsi="Palatino Linotype" w:cs="Arial"/>
          <w:bCs/>
          <w:lang w:val="es-ES" w:eastAsia="es-MX"/>
        </w:rPr>
        <w:t>d</w:t>
      </w:r>
      <w:r w:rsidRPr="00A45CBD">
        <w:rPr>
          <w:rFonts w:ascii="Palatino Linotype" w:hAnsi="Palatino Linotype" w:cs="Arial"/>
          <w:bCs/>
          <w:lang w:val="es-ES" w:eastAsia="es-MX"/>
        </w:rPr>
        <w:t>el Instituto del Transporte del Estado de México, a partir de la fusión de la Secretaría de Movilidad y la Secretaría</w:t>
      </w:r>
      <w:r>
        <w:rPr>
          <w:rFonts w:ascii="Palatino Linotype" w:hAnsi="Palatino Linotype" w:cs="Arial"/>
          <w:bCs/>
          <w:lang w:val="es-ES" w:eastAsia="es-MX"/>
        </w:rPr>
        <w:t xml:space="preserve"> de Comunicaciones, al encontrarse</w:t>
      </w:r>
      <w:r w:rsidRPr="00A45CBD">
        <w:rPr>
          <w:rFonts w:ascii="Palatino Linotype" w:hAnsi="Palatino Linotype" w:cs="Arial"/>
          <w:bCs/>
          <w:lang w:val="es-ES" w:eastAsia="es-MX"/>
        </w:rPr>
        <w:t xml:space="preserve"> en una reestructuración legislativa, </w:t>
      </w:r>
      <w:r w:rsidRPr="00E259F4">
        <w:rPr>
          <w:rFonts w:ascii="Palatino Linotype" w:hAnsi="Palatino Linotype" w:cs="Arial"/>
          <w:b/>
          <w:bCs/>
          <w:lang w:val="es-ES" w:eastAsia="es-MX"/>
        </w:rPr>
        <w:t>no se han presentado acciones que generen documentaciones r</w:t>
      </w:r>
      <w:r w:rsidR="00E259F4" w:rsidRPr="00E259F4">
        <w:rPr>
          <w:rFonts w:ascii="Palatino Linotype" w:hAnsi="Palatino Linotype" w:cs="Arial"/>
          <w:b/>
          <w:bCs/>
          <w:lang w:val="es-ES" w:eastAsia="es-MX"/>
        </w:rPr>
        <w:t>eferentes</w:t>
      </w:r>
      <w:r w:rsidR="00E259F4" w:rsidRPr="00E259F4">
        <w:rPr>
          <w:rFonts w:ascii="Palatino Linotype" w:hAnsi="Palatino Linotype" w:cs="Arial"/>
          <w:bCs/>
          <w:lang w:val="es-ES" w:eastAsia="es-MX"/>
        </w:rPr>
        <w:t xml:space="preserve"> </w:t>
      </w:r>
      <w:r w:rsidR="00E259F4">
        <w:rPr>
          <w:rFonts w:ascii="Palatino Linotype" w:hAnsi="Palatino Linotype" w:cs="Arial"/>
          <w:bCs/>
          <w:lang w:val="es-ES" w:eastAsia="es-MX"/>
        </w:rPr>
        <w:t xml:space="preserve">a la integración del Consejo Directivo, por lo tanto, </w:t>
      </w:r>
      <w:r w:rsidRPr="005D5F23">
        <w:rPr>
          <w:rFonts w:ascii="Palatino Linotype" w:hAnsi="Palatino Linotype" w:cs="Arial"/>
          <w:lang w:eastAsia="es-MX"/>
        </w:rPr>
        <w:t xml:space="preserve">no puede acreditarse documentalmente, ya que no puede probarse un hecho negativo por ser lógica y materialmente imposible, discernimiento que encuentra apoyo en la siguiente tesis: </w:t>
      </w:r>
    </w:p>
    <w:p w14:paraId="1A893766" w14:textId="77777777" w:rsidR="00A45CBD" w:rsidRPr="005D5F23" w:rsidRDefault="00A45CBD" w:rsidP="00A45CBD">
      <w:pPr>
        <w:spacing w:before="120" w:after="120"/>
        <w:ind w:left="567" w:right="1466"/>
        <w:jc w:val="both"/>
        <w:rPr>
          <w:rFonts w:ascii="Palatino Linotype" w:hAnsi="Palatino Linotype" w:cs="Arial"/>
          <w:i/>
          <w:sz w:val="22"/>
          <w:szCs w:val="22"/>
          <w:lang w:eastAsia="es-MX"/>
        </w:rPr>
      </w:pPr>
      <w:r w:rsidRPr="005D5F23">
        <w:rPr>
          <w:rFonts w:ascii="Palatino Linotype" w:hAnsi="Palatino Linotype" w:cs="Arial"/>
          <w:b/>
          <w:i/>
          <w:sz w:val="22"/>
          <w:szCs w:val="22"/>
          <w:lang w:eastAsia="es-MX"/>
        </w:rPr>
        <w:t>“HECHOS NEGATIVOS, NO SON SUSCEPTIBLES DE DEMOSTRACIÓN</w:t>
      </w:r>
      <w:r w:rsidRPr="005D5F23">
        <w:rPr>
          <w:rFonts w:ascii="Palatino Linotype" w:hAnsi="Palatino Linotype" w:cs="Arial"/>
          <w:i/>
          <w:sz w:val="22"/>
          <w:szCs w:val="22"/>
          <w:lang w:eastAsia="es-MX"/>
        </w:rPr>
        <w:t xml:space="preserve">. </w:t>
      </w:r>
    </w:p>
    <w:p w14:paraId="1D1F0B8A" w14:textId="77777777" w:rsidR="00A45CBD" w:rsidRPr="005D5F23" w:rsidRDefault="00A45CBD" w:rsidP="00A45CBD">
      <w:pPr>
        <w:ind w:left="567" w:right="1466"/>
        <w:jc w:val="both"/>
        <w:rPr>
          <w:rFonts w:ascii="Palatino Linotype" w:hAnsi="Palatino Linotype" w:cs="Arial"/>
          <w:i/>
          <w:sz w:val="22"/>
          <w:szCs w:val="22"/>
          <w:lang w:eastAsia="es-MX"/>
        </w:rPr>
      </w:pPr>
      <w:r w:rsidRPr="005D5F23">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14:paraId="4B0A6B8C" w14:textId="77777777" w:rsidR="00A45CBD" w:rsidRPr="005D5F23" w:rsidRDefault="00A45CBD" w:rsidP="00A45CBD">
      <w:pPr>
        <w:ind w:left="567" w:right="1466"/>
        <w:jc w:val="both"/>
        <w:rPr>
          <w:rFonts w:ascii="Palatino Linotype" w:hAnsi="Palatino Linotype" w:cs="Arial"/>
          <w:i/>
          <w:sz w:val="22"/>
          <w:szCs w:val="22"/>
          <w:lang w:eastAsia="es-MX"/>
        </w:rPr>
      </w:pPr>
    </w:p>
    <w:p w14:paraId="69CCBF76" w14:textId="77777777" w:rsidR="00A45CBD" w:rsidRPr="005D5F23" w:rsidRDefault="00A45CBD" w:rsidP="00A45CBD">
      <w:pPr>
        <w:spacing w:before="120" w:after="120"/>
        <w:ind w:left="567" w:right="1466"/>
        <w:jc w:val="both"/>
        <w:rPr>
          <w:rFonts w:ascii="Palatino Linotype" w:hAnsi="Palatino Linotype" w:cs="Arial"/>
          <w:i/>
          <w:sz w:val="22"/>
          <w:szCs w:val="22"/>
          <w:lang w:eastAsia="es-MX"/>
        </w:rPr>
      </w:pPr>
      <w:r w:rsidRPr="005D5F23">
        <w:rPr>
          <w:rFonts w:ascii="Palatino Linotype" w:hAnsi="Palatino Linotype" w:cs="Arial"/>
          <w:i/>
          <w:sz w:val="22"/>
          <w:szCs w:val="22"/>
          <w:lang w:eastAsia="es-MX"/>
        </w:rPr>
        <w:t>Amparo en revisión 2022/61. José García Florín (Menor). 9 de octubre de 1961. Cinco votos. Ponente: José Rivera Pérez Campos.” (Sic)</w:t>
      </w:r>
    </w:p>
    <w:p w14:paraId="6ED9F764" w14:textId="77777777" w:rsidR="00A45CBD" w:rsidRPr="005D5F23" w:rsidRDefault="00A45CBD" w:rsidP="00A45CBD">
      <w:pPr>
        <w:ind w:left="284" w:right="615"/>
        <w:contextualSpacing/>
        <w:jc w:val="both"/>
        <w:rPr>
          <w:rFonts w:ascii="Palatino Linotype" w:hAnsi="Palatino Linotype" w:cs="Arial"/>
          <w:i/>
          <w:sz w:val="16"/>
          <w:szCs w:val="16"/>
          <w:lang w:eastAsia="es-MX"/>
        </w:rPr>
      </w:pPr>
    </w:p>
    <w:p w14:paraId="3AF4BC40" w14:textId="77777777" w:rsidR="00A45CBD" w:rsidRPr="005D5F23" w:rsidRDefault="00A45CBD" w:rsidP="00A45CBD">
      <w:pPr>
        <w:spacing w:before="240" w:after="240" w:line="360" w:lineRule="auto"/>
        <w:ind w:right="49"/>
        <w:jc w:val="both"/>
        <w:rPr>
          <w:rFonts w:ascii="Palatino Linotype" w:hAnsi="Palatino Linotype" w:cs="Arial"/>
          <w:lang w:eastAsia="es-MX"/>
        </w:rPr>
      </w:pPr>
      <w:r w:rsidRPr="005D5F23">
        <w:rPr>
          <w:rFonts w:ascii="Palatino Linotype" w:hAnsi="Palatino Linotype" w:cs="Arial"/>
          <w:lang w:eastAsia="es-MX"/>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38CB079A" w14:textId="4652C38F" w:rsidR="0045459A" w:rsidRPr="000E1D65" w:rsidRDefault="00A45CBD" w:rsidP="000E1D65">
      <w:pPr>
        <w:spacing w:before="240" w:after="240" w:line="360" w:lineRule="auto"/>
        <w:jc w:val="both"/>
        <w:rPr>
          <w:rFonts w:ascii="Palatino Linotype" w:hAnsi="Palatino Linotype" w:cs="Arial"/>
          <w:b/>
          <w:bCs/>
          <w:szCs w:val="28"/>
          <w:lang w:eastAsia="es-MX"/>
        </w:rPr>
      </w:pPr>
      <w:r w:rsidRPr="005D5F23">
        <w:rPr>
          <w:rFonts w:ascii="Palatino Linotype" w:hAnsi="Palatino Linotype"/>
          <w:lang w:eastAsia="es-MX"/>
        </w:rPr>
        <w:t>En consecuencia, se colige que</w:t>
      </w:r>
      <w:r>
        <w:rPr>
          <w:rFonts w:ascii="Palatino Linotype" w:hAnsi="Palatino Linotype"/>
          <w:lang w:eastAsia="es-MX"/>
        </w:rPr>
        <w:t xml:space="preserve"> </w:t>
      </w:r>
      <w:r w:rsidRPr="005D5F23">
        <w:rPr>
          <w:rFonts w:ascii="Palatino Linotype" w:hAnsi="Palatino Linotype"/>
          <w:lang w:eastAsia="es-MX"/>
        </w:rPr>
        <w:t xml:space="preserve">al existir un pronunciamiento </w:t>
      </w:r>
      <w:r>
        <w:rPr>
          <w:rFonts w:ascii="Palatino Linotype" w:hAnsi="Palatino Linotype"/>
          <w:lang w:eastAsia="es-MX"/>
        </w:rPr>
        <w:t xml:space="preserve">de la </w:t>
      </w:r>
      <w:r w:rsidR="000E1D65" w:rsidRPr="000E1D65">
        <w:rPr>
          <w:rFonts w:ascii="Palatino Linotype" w:hAnsi="Palatino Linotype"/>
          <w:b/>
          <w:lang w:val="es-ES" w:eastAsia="es-MX"/>
        </w:rPr>
        <w:t>Directora General del Instituto del Transporte del Estado de México</w:t>
      </w:r>
      <w:r w:rsidRPr="005D5F23">
        <w:rPr>
          <w:rFonts w:ascii="Palatino Linotype" w:hAnsi="Palatino Linotype"/>
          <w:lang w:eastAsia="es-MX"/>
        </w:rPr>
        <w:t>, Servidor Público compet</w:t>
      </w:r>
      <w:r>
        <w:rPr>
          <w:rFonts w:ascii="Palatino Linotype" w:hAnsi="Palatino Linotype"/>
          <w:lang w:eastAsia="es-MX"/>
        </w:rPr>
        <w:t xml:space="preserve">ente como ya se apuntó en líneas anteriores, resulta pertinente tomar por válidos los pronunciamientos vertidos en </w:t>
      </w:r>
      <w:r w:rsidRPr="005D5F23">
        <w:rPr>
          <w:rFonts w:ascii="Palatino Linotype" w:hAnsi="Palatino Linotype"/>
          <w:lang w:eastAsia="es-MX"/>
        </w:rPr>
        <w:t xml:space="preserve"> respuesta </w:t>
      </w:r>
      <w:r>
        <w:rPr>
          <w:rFonts w:ascii="Palatino Linotype" w:hAnsi="Palatino Linotype"/>
          <w:lang w:eastAsia="es-MX"/>
        </w:rPr>
        <w:t xml:space="preserve"> e informe justificado en </w:t>
      </w:r>
      <w:r w:rsidRPr="005D5F23">
        <w:rPr>
          <w:rFonts w:ascii="Palatino Linotype" w:hAnsi="Palatino Linotype"/>
          <w:lang w:eastAsia="es-MX"/>
        </w:rPr>
        <w:t xml:space="preserve">la solicitud  </w:t>
      </w:r>
      <w:r w:rsidR="000E1D65" w:rsidRPr="000E1D65">
        <w:rPr>
          <w:rFonts w:ascii="Palatino Linotype" w:hAnsi="Palatino Linotype" w:cs="Arial"/>
          <w:b/>
          <w:bCs/>
          <w:szCs w:val="28"/>
          <w:lang w:eastAsia="es-MX"/>
        </w:rPr>
        <w:t>00144/SMOV/IP/2021</w:t>
      </w:r>
      <w:r w:rsidRPr="005D5F23">
        <w:rPr>
          <w:rFonts w:ascii="Palatino Linotype" w:hAnsi="Palatino Linotype" w:cs="Arial"/>
          <w:b/>
          <w:bCs/>
          <w:szCs w:val="28"/>
          <w:lang w:eastAsia="es-MX"/>
        </w:rPr>
        <w:t>.</w:t>
      </w:r>
    </w:p>
    <w:p w14:paraId="300F3F7D" w14:textId="77777777" w:rsidR="005D5F23" w:rsidRPr="005D5F23" w:rsidRDefault="005D5F23" w:rsidP="005D5F23">
      <w:pPr>
        <w:spacing w:line="360" w:lineRule="auto"/>
        <w:ind w:right="49"/>
        <w:jc w:val="both"/>
        <w:rPr>
          <w:rFonts w:ascii="Palatino Linotype" w:hAnsi="Palatino Linotype" w:cs="Arial"/>
          <w:lang w:eastAsia="es-MX"/>
        </w:rPr>
      </w:pPr>
      <w:r w:rsidRPr="005D5F23">
        <w:rPr>
          <w:rFonts w:ascii="Palatino Linotype" w:hAnsi="Palatino Linotype" w:cs="Arial"/>
          <w:bCs/>
          <w:szCs w:val="22"/>
          <w:lang w:eastAsia="es-MX"/>
        </w:rPr>
        <w:t>Así las cosas, es dable sostener que al haber existido un pronunciamiento por parte del Servidor Público competente al interior del Sujeto Obligado,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540377E0" w14:textId="77777777" w:rsidR="005D5F23" w:rsidRPr="005D5F23" w:rsidRDefault="005D5F23" w:rsidP="005D5F23">
      <w:pPr>
        <w:tabs>
          <w:tab w:val="left" w:pos="709"/>
        </w:tabs>
        <w:ind w:left="567" w:right="1324"/>
        <w:jc w:val="both"/>
        <w:rPr>
          <w:rFonts w:ascii="Palatino Linotype" w:hAnsi="Palatino Linotype" w:cs="Arial"/>
          <w:b/>
          <w:bCs/>
          <w:i/>
          <w:sz w:val="22"/>
          <w:szCs w:val="22"/>
          <w:lang w:eastAsia="es-MX"/>
        </w:rPr>
      </w:pPr>
    </w:p>
    <w:p w14:paraId="241AA192" w14:textId="77777777" w:rsidR="005D5F23" w:rsidRPr="005D5F23" w:rsidRDefault="005D5F23" w:rsidP="005D5F23">
      <w:pPr>
        <w:tabs>
          <w:tab w:val="left" w:pos="709"/>
        </w:tabs>
        <w:ind w:left="567" w:right="1324"/>
        <w:jc w:val="both"/>
        <w:rPr>
          <w:rFonts w:ascii="Palatino Linotype" w:hAnsi="Palatino Linotype" w:cs="Arial"/>
          <w:bCs/>
          <w:i/>
          <w:sz w:val="22"/>
          <w:szCs w:val="22"/>
          <w:lang w:eastAsia="es-MX"/>
        </w:rPr>
      </w:pPr>
      <w:r w:rsidRPr="005D5F23">
        <w:rPr>
          <w:rFonts w:ascii="Palatino Linotype" w:hAnsi="Palatino Linotype" w:cs="Arial"/>
          <w:b/>
          <w:bCs/>
          <w:i/>
          <w:sz w:val="22"/>
          <w:szCs w:val="22"/>
          <w:lang w:eastAsia="es-MX"/>
        </w:rPr>
        <w:t>“El Instituto Federal de Acceso a la Información y Protección de Datos no cuenta con facultades para pronunciarse respecto de la veracidad de los documentos proporcionados por los sujetos obligados</w:t>
      </w:r>
      <w:r w:rsidRPr="005D5F23">
        <w:rPr>
          <w:rFonts w:ascii="Palatino Linotype" w:hAnsi="Palatino Linotype" w:cs="Arial"/>
          <w:bCs/>
          <w:i/>
          <w:sz w:val="22"/>
          <w:szCs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14:paraId="2CB525AC" w14:textId="77777777" w:rsidR="005D5F23" w:rsidRPr="005D5F23" w:rsidRDefault="005D5F23" w:rsidP="005D5F23">
      <w:pPr>
        <w:tabs>
          <w:tab w:val="left" w:pos="709"/>
        </w:tabs>
        <w:ind w:left="567" w:right="1324"/>
        <w:jc w:val="both"/>
        <w:rPr>
          <w:rFonts w:ascii="Palatino Linotype" w:hAnsi="Palatino Linotype" w:cs="Arial"/>
          <w:b/>
          <w:bCs/>
          <w:i/>
          <w:sz w:val="22"/>
          <w:szCs w:val="22"/>
          <w:lang w:eastAsia="es-MX"/>
        </w:rPr>
      </w:pPr>
      <w:r w:rsidRPr="005D5F23">
        <w:rPr>
          <w:rFonts w:ascii="Palatino Linotype" w:hAnsi="Palatino Linotype" w:cs="Arial"/>
          <w:bCs/>
          <w:i/>
          <w:sz w:val="22"/>
          <w:szCs w:val="22"/>
          <w:lang w:eastAsia="es-MX"/>
        </w:rPr>
        <w:t>recurso revisión, al respecto.</w:t>
      </w:r>
      <w:r w:rsidRPr="005D5F23">
        <w:rPr>
          <w:rFonts w:ascii="Palatino Linotype" w:hAnsi="Palatino Linotype" w:cs="Arial"/>
          <w:b/>
          <w:bCs/>
          <w:i/>
          <w:sz w:val="22"/>
          <w:szCs w:val="22"/>
          <w:lang w:eastAsia="es-MX"/>
        </w:rPr>
        <w:t>”</w:t>
      </w:r>
    </w:p>
    <w:p w14:paraId="5FBB4276" w14:textId="77777777" w:rsidR="00AA1A3D" w:rsidRDefault="00AA1A3D" w:rsidP="00AA1A3D">
      <w:pPr>
        <w:spacing w:line="360" w:lineRule="auto"/>
        <w:contextualSpacing/>
        <w:jc w:val="both"/>
        <w:rPr>
          <w:rFonts w:ascii="Palatino Linotype" w:eastAsia="Calibri" w:hAnsi="Palatino Linotype"/>
          <w:lang w:val="es-ES"/>
        </w:rPr>
      </w:pPr>
    </w:p>
    <w:p w14:paraId="2AC17EFC" w14:textId="77777777" w:rsidR="00AA1A3D" w:rsidRPr="00AA1A3D" w:rsidRDefault="00AA1A3D" w:rsidP="00AA1A3D">
      <w:pPr>
        <w:spacing w:line="360" w:lineRule="auto"/>
        <w:contextualSpacing/>
        <w:jc w:val="both"/>
        <w:rPr>
          <w:rFonts w:ascii="Palatino Linotype" w:eastAsia="Calibri" w:hAnsi="Palatino Linotype"/>
          <w:lang w:val="es-ES"/>
        </w:rPr>
      </w:pPr>
      <w:r w:rsidRPr="00AA1A3D">
        <w:rPr>
          <w:rFonts w:ascii="Palatino Linotype" w:eastAsia="Calibri" w:hAnsi="Palatino Linotype"/>
          <w:lang w:val="es-ES"/>
        </w:rPr>
        <w:t xml:space="preserve">Así mismo el artículo 4 de la </w:t>
      </w:r>
      <w:r w:rsidRPr="00AA1A3D">
        <w:rPr>
          <w:rFonts w:ascii="Palatino Linotype" w:eastAsia="Calibri" w:hAnsi="Palatino Linotype"/>
          <w:b/>
          <w:lang w:val="es-ES"/>
        </w:rPr>
        <w:t>Ley de Transparencia y Acceso a la Información Pública del Estado de México y Municipios</w:t>
      </w:r>
      <w:r w:rsidRPr="00AA1A3D">
        <w:rPr>
          <w:rFonts w:ascii="Palatino Linotype" w:eastAsia="Calibri" w:hAnsi="Palatino Linotype"/>
          <w:lang w:val="es-ES"/>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14:paraId="5C31602A" w14:textId="77777777" w:rsidR="00AA1A3D" w:rsidRPr="00AA1A3D" w:rsidRDefault="00AA1A3D" w:rsidP="00AA1A3D">
      <w:pPr>
        <w:spacing w:line="360" w:lineRule="auto"/>
        <w:ind w:left="426"/>
        <w:contextualSpacing/>
        <w:jc w:val="both"/>
        <w:rPr>
          <w:rFonts w:ascii="Palatino Linotype" w:eastAsia="Calibri" w:hAnsi="Palatino Linotype"/>
          <w:lang w:val="es-ES"/>
        </w:rPr>
      </w:pPr>
    </w:p>
    <w:p w14:paraId="6D430432" w14:textId="77777777" w:rsidR="00AA1A3D" w:rsidRPr="00AA1A3D" w:rsidRDefault="00AA1A3D" w:rsidP="00AA1A3D">
      <w:pPr>
        <w:ind w:left="851" w:right="851"/>
        <w:contextualSpacing/>
        <w:jc w:val="both"/>
        <w:rPr>
          <w:rFonts w:ascii="Palatino Linotype" w:eastAsia="Calibri" w:hAnsi="Palatino Linotype"/>
          <w:sz w:val="22"/>
          <w:lang w:val="es-ES"/>
        </w:rPr>
      </w:pPr>
      <w:r w:rsidRPr="00AA1A3D">
        <w:rPr>
          <w:rFonts w:ascii="Palatino Linotype" w:eastAsia="Calibri" w:hAnsi="Palatino Linotype"/>
          <w:b/>
          <w:i/>
          <w:sz w:val="22"/>
          <w:lang w:val="es-ES"/>
        </w:rPr>
        <w:t>Artículo 4.</w:t>
      </w:r>
      <w:r w:rsidRPr="00AA1A3D">
        <w:rPr>
          <w:rFonts w:ascii="Palatino Linotype" w:eastAsia="Calibri" w:hAnsi="Palatino Linotype"/>
          <w:i/>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3F04E34E" w14:textId="77777777" w:rsidR="00AA1A3D" w:rsidRPr="00AA1A3D" w:rsidRDefault="00AA1A3D" w:rsidP="00AA1A3D">
      <w:pPr>
        <w:spacing w:line="360" w:lineRule="auto"/>
        <w:ind w:left="426"/>
        <w:contextualSpacing/>
        <w:jc w:val="both"/>
        <w:rPr>
          <w:rFonts w:ascii="Palatino Linotype" w:eastAsia="Calibri" w:hAnsi="Palatino Linotype"/>
          <w:lang w:val="es-ES"/>
        </w:rPr>
      </w:pPr>
    </w:p>
    <w:p w14:paraId="25C88493" w14:textId="0E21E3BE" w:rsidR="00AA1A3D" w:rsidRPr="00AA1A3D" w:rsidRDefault="00AA1A3D" w:rsidP="00AA1A3D">
      <w:pPr>
        <w:spacing w:before="240" w:after="240" w:line="360" w:lineRule="auto"/>
        <w:contextualSpacing/>
        <w:jc w:val="both"/>
        <w:rPr>
          <w:rFonts w:ascii="Palatino Linotype" w:eastAsia="Calibri" w:hAnsi="Palatino Linotype"/>
          <w:lang w:val="es-ES"/>
        </w:rPr>
      </w:pPr>
      <w:r w:rsidRPr="00AA1A3D">
        <w:rPr>
          <w:rFonts w:ascii="Palatino Linotype" w:eastAsia="Calibri" w:hAnsi="Palatino Linotype"/>
          <w:lang w:val="es-ES"/>
        </w:rPr>
        <w:t xml:space="preserve">Numerales que compelen al </w:t>
      </w:r>
      <w:r w:rsidRPr="00AA1A3D">
        <w:rPr>
          <w:rFonts w:ascii="Palatino Linotype" w:eastAsia="Calibri" w:hAnsi="Palatino Linotype"/>
          <w:b/>
          <w:lang w:val="es-ES"/>
        </w:rPr>
        <w:t>SUJETO OBLIGADO</w:t>
      </w:r>
      <w:r w:rsidRPr="00AA1A3D">
        <w:rPr>
          <w:rFonts w:ascii="Palatino Linotype" w:eastAsia="Calibri" w:hAnsi="Palatino Linotype"/>
          <w:lang w:val="es-ES"/>
        </w:rPr>
        <w:t xml:space="preserve"> a apegarse en todo momento a los criterios ya expuestos, impidiendo a este Órgano Colegiado cuestionar la veracidad de la información.</w:t>
      </w:r>
    </w:p>
    <w:p w14:paraId="71D38B0B"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rPr>
        <w:t xml:space="preserve">Precisado lo anterior, </w:t>
      </w:r>
      <w:r w:rsidRPr="00544B0C">
        <w:rPr>
          <w:rFonts w:ascii="Palatino Linotype" w:eastAsia="Calibri" w:hAnsi="Palatino Linotype"/>
          <w:lang w:val="es-ES"/>
        </w:rPr>
        <w:t xml:space="preserve">por lo que hace a las causas de sobreseimiento contenidas en la fracción III del artículo 192 de la </w:t>
      </w:r>
      <w:r w:rsidRPr="00544B0C">
        <w:rPr>
          <w:rFonts w:ascii="Palatino Linotype" w:eastAsia="Calibri" w:hAnsi="Palatino Linotype"/>
          <w:b/>
          <w:lang w:val="es-ES"/>
        </w:rPr>
        <w:t>Ley de Transparencia y Acceso a la Información Pública del Estado de México y Municipios</w:t>
      </w:r>
      <w:r w:rsidRPr="00544B0C">
        <w:rPr>
          <w:rFonts w:ascii="Palatino Linotype" w:eastAsia="Calibri" w:hAnsi="Palatino Linotype"/>
          <w:lang w:val="es-ES"/>
        </w:rPr>
        <w:t xml:space="preserve">, es oportuno señalar que estos requisitos privilegian la existencia de elementos de fondo, tales como el desistimiento o fallecimiento del </w:t>
      </w:r>
      <w:r w:rsidRPr="00544B0C">
        <w:rPr>
          <w:rFonts w:ascii="Palatino Linotype" w:eastAsia="Calibri" w:hAnsi="Palatino Linotype"/>
          <w:b/>
          <w:lang w:val="es-ES"/>
        </w:rPr>
        <w:t>RECURRENTE</w:t>
      </w:r>
      <w:r w:rsidRPr="00544B0C">
        <w:rPr>
          <w:rFonts w:ascii="Palatino Linotype" w:eastAsia="Calibri" w:hAnsi="Palatino Linotype"/>
          <w:lang w:val="es-ES"/>
        </w:rPr>
        <w:t xml:space="preserve"> o que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w:t>
      </w:r>
      <w:r w:rsidRPr="00544B0C">
        <w:rPr>
          <w:rFonts w:ascii="Palatino Linotype" w:eastAsia="Calibri" w:hAnsi="Palatino Linotype"/>
          <w:b/>
          <w:u w:val="single"/>
          <w:lang w:val="es-ES"/>
        </w:rPr>
        <w:t>modifique o revoque el acto</w:t>
      </w:r>
      <w:r w:rsidRPr="00544B0C">
        <w:rPr>
          <w:rFonts w:ascii="Palatino Linotype" w:eastAsia="Calibri" w:hAnsi="Palatino Linotype"/>
          <w:lang w:val="es-ES"/>
        </w:rPr>
        <w:t>; de ahí que la actualización de alguno de éstos trae como consecuencia que el medio de impugnación se concluya sin que se analice el objeto de estudio planteado, es decir se sobresea.</w:t>
      </w:r>
    </w:p>
    <w:p w14:paraId="5B8A26EC"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Para los efectos de esta resolución, es oportuno precisar los alcances jurídicos de la fracción III de la disposición legal transcrita. Así, procede el sobreseimiento del recurso de revisión cuando el </w:t>
      </w:r>
      <w:r w:rsidRPr="00544B0C">
        <w:rPr>
          <w:rFonts w:ascii="Palatino Linotype" w:eastAsia="Calibri" w:hAnsi="Palatino Linotype"/>
          <w:b/>
          <w:lang w:val="es-ES"/>
        </w:rPr>
        <w:t>SUJETO OBLIGADO</w:t>
      </w:r>
      <w:r w:rsidRPr="00544B0C">
        <w:rPr>
          <w:rFonts w:ascii="Palatino Linotype" w:eastAsia="Calibri" w:hAnsi="Palatino Linotype"/>
          <w:lang w:val="es-ES"/>
        </w:rPr>
        <w:t>:</w:t>
      </w:r>
    </w:p>
    <w:p w14:paraId="5E04045F" w14:textId="77777777" w:rsidR="00544B0C" w:rsidRPr="00544B0C" w:rsidRDefault="00544B0C" w:rsidP="00544B0C">
      <w:pPr>
        <w:spacing w:line="360" w:lineRule="auto"/>
        <w:contextualSpacing/>
        <w:jc w:val="both"/>
        <w:rPr>
          <w:rFonts w:ascii="Palatino Linotype" w:eastAsia="Calibri" w:hAnsi="Palatino Linotype"/>
          <w:lang w:val="es-ES"/>
        </w:rPr>
      </w:pPr>
    </w:p>
    <w:p w14:paraId="5B28AC24" w14:textId="77777777" w:rsidR="00544B0C" w:rsidRPr="00544B0C" w:rsidRDefault="00544B0C" w:rsidP="00544B0C">
      <w:pPr>
        <w:numPr>
          <w:ilvl w:val="0"/>
          <w:numId w:val="15"/>
        </w:numPr>
        <w:spacing w:line="360" w:lineRule="auto"/>
        <w:ind w:right="616"/>
        <w:contextualSpacing/>
        <w:jc w:val="both"/>
        <w:rPr>
          <w:rFonts w:ascii="Palatino Linotype" w:hAnsi="Palatino Linotype" w:cs="Arial"/>
          <w:sz w:val="22"/>
          <w:szCs w:val="22"/>
          <w:lang w:eastAsia="en-US"/>
        </w:rPr>
      </w:pPr>
      <w:r w:rsidRPr="00544B0C">
        <w:rPr>
          <w:rFonts w:ascii="Palatino Linotype" w:hAnsi="Palatino Linotype" w:cs="Arial"/>
          <w:b/>
          <w:sz w:val="22"/>
          <w:szCs w:val="22"/>
          <w:lang w:eastAsia="en-US"/>
        </w:rPr>
        <w:t>Modifique el acto impugnado:</w:t>
      </w:r>
      <w:r w:rsidRPr="00544B0C">
        <w:rPr>
          <w:rFonts w:ascii="Palatino Linotype" w:hAnsi="Palatino Linotype" w:cs="Arial"/>
          <w:sz w:val="22"/>
          <w:szCs w:val="22"/>
          <w:lang w:eastAsia="en-US"/>
        </w:rPr>
        <w:t xml:space="preserve"> Se actualiza cuando el </w:t>
      </w:r>
      <w:r w:rsidRPr="00544B0C">
        <w:rPr>
          <w:rFonts w:ascii="Palatino Linotype" w:hAnsi="Palatino Linotype" w:cs="Arial"/>
          <w:b/>
          <w:sz w:val="22"/>
          <w:szCs w:val="22"/>
          <w:lang w:eastAsia="en-US"/>
        </w:rPr>
        <w:t>SUJETO OBLIGADO</w:t>
      </w:r>
      <w:r w:rsidRPr="00544B0C">
        <w:rPr>
          <w:rFonts w:ascii="Palatino Linotype" w:hAnsi="Palatino Linotype" w:cs="Arial"/>
          <w:sz w:val="22"/>
          <w:szCs w:val="22"/>
          <w:lang w:eastAsia="en-US"/>
        </w:rPr>
        <w:t xml:space="preserve"> después de haber otorgado una respuesta y hasta antes de dictada la resolución del recurso de revisión, emite una diversa en la que subsane las deficiencias que hubiera tenido.</w:t>
      </w:r>
    </w:p>
    <w:p w14:paraId="4260D60B" w14:textId="77777777" w:rsidR="00544B0C" w:rsidRPr="00544B0C" w:rsidRDefault="00544B0C" w:rsidP="00544B0C">
      <w:pPr>
        <w:numPr>
          <w:ilvl w:val="0"/>
          <w:numId w:val="15"/>
        </w:numPr>
        <w:spacing w:line="360" w:lineRule="auto"/>
        <w:ind w:right="616"/>
        <w:contextualSpacing/>
        <w:jc w:val="both"/>
        <w:rPr>
          <w:rFonts w:ascii="Palatino Linotype" w:hAnsi="Palatino Linotype" w:cs="Arial"/>
          <w:sz w:val="22"/>
          <w:szCs w:val="22"/>
          <w:lang w:eastAsia="en-US"/>
        </w:rPr>
      </w:pPr>
      <w:r w:rsidRPr="00544B0C">
        <w:rPr>
          <w:rFonts w:ascii="Palatino Linotype" w:hAnsi="Palatino Linotype" w:cs="Arial"/>
          <w:b/>
          <w:sz w:val="22"/>
          <w:szCs w:val="22"/>
          <w:lang w:eastAsia="en-US"/>
        </w:rPr>
        <w:t>Revoque el acto impugnado:</w:t>
      </w:r>
      <w:r w:rsidRPr="00544B0C">
        <w:rPr>
          <w:rFonts w:ascii="Palatino Linotype" w:hAnsi="Palatino Linotype" w:cs="Arial"/>
          <w:sz w:val="22"/>
          <w:szCs w:val="22"/>
          <w:lang w:eastAsia="en-US"/>
        </w:rPr>
        <w:t xml:space="preserve"> En este supuesto, el </w:t>
      </w:r>
      <w:r w:rsidRPr="00544B0C">
        <w:rPr>
          <w:rFonts w:ascii="Palatino Linotype" w:hAnsi="Palatino Linotype" w:cs="Arial"/>
          <w:b/>
          <w:sz w:val="22"/>
          <w:szCs w:val="22"/>
          <w:lang w:eastAsia="en-US"/>
        </w:rPr>
        <w:t>SUJETO OBLIGADO</w:t>
      </w:r>
      <w:r w:rsidRPr="00544B0C">
        <w:rPr>
          <w:rFonts w:ascii="Palatino Linotype" w:hAnsi="Palatino Linotype" w:cs="Arial"/>
          <w:sz w:val="22"/>
          <w:szCs w:val="22"/>
          <w:lang w:eastAsia="en-US"/>
        </w:rPr>
        <w:t xml:space="preserve"> deja sin efectos la primera respuesta y en su lugar emite otra que satisfaga lo solicitado por el particular en un primer momento.</w:t>
      </w:r>
    </w:p>
    <w:p w14:paraId="18002C3B" w14:textId="77777777" w:rsidR="00544B0C" w:rsidRPr="00544B0C" w:rsidRDefault="00544B0C" w:rsidP="00544B0C">
      <w:pPr>
        <w:spacing w:line="360" w:lineRule="auto"/>
        <w:ind w:right="616"/>
        <w:contextualSpacing/>
        <w:jc w:val="both"/>
        <w:rPr>
          <w:rFonts w:ascii="Palatino Linotype" w:hAnsi="Palatino Linotype" w:cs="Arial"/>
          <w:lang w:val="es-ES"/>
        </w:rPr>
      </w:pPr>
    </w:p>
    <w:p w14:paraId="59AD8ACE"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1B2E397"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En el presente asunto, se advierte que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con la información enviada a través del informe justificado, </w:t>
      </w:r>
      <w:r w:rsidRPr="00544B0C">
        <w:rPr>
          <w:rFonts w:ascii="Palatino Linotype" w:eastAsia="Calibri" w:hAnsi="Palatino Linotype"/>
          <w:b/>
          <w:lang w:val="es-ES"/>
        </w:rPr>
        <w:t>modifica</w:t>
      </w:r>
      <w:r w:rsidRPr="00544B0C">
        <w:rPr>
          <w:rFonts w:ascii="Palatino Linotype" w:eastAsia="Calibri" w:hAnsi="Palatino Linotype"/>
          <w:lang w:val="es-ES"/>
        </w:rPr>
        <w:t xml:space="preserve"> el acto que le dio origen al recurso de revisión, lo que trae como consecuencia que el mismo quede sin materia, actualizándose de este modo, la hipótesis jurídica contenida en la fracción III del citado artículo; esto es así pues la información remitida por este proporciona la información que le fue solicitada.</w:t>
      </w:r>
    </w:p>
    <w:p w14:paraId="2A95D10E" w14:textId="321942BC"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En el particular, el Sujeto Obligado al momento de rendir su informe justificado, proporciono información novedosa, misma que contiene argumentos por más idóneos, pertinentes y suficientes para tener por atendido el derecho de acceso a la información ejercido por el particular.</w:t>
      </w:r>
    </w:p>
    <w:p w14:paraId="6F972F00" w14:textId="789F464F" w:rsidR="00DF305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No obstante, lo anterior, el Sujeto Obligado al momento de rendir su informe justificado, </w:t>
      </w:r>
      <w:r w:rsidR="00DF305C">
        <w:rPr>
          <w:rFonts w:ascii="Palatino Linotype" w:eastAsia="Calibri" w:hAnsi="Palatino Linotype"/>
          <w:lang w:val="es-ES"/>
        </w:rPr>
        <w:t>amplió los argumentos de su respuesta inicial</w:t>
      </w:r>
      <w:r w:rsidRPr="00544B0C">
        <w:rPr>
          <w:rFonts w:ascii="Palatino Linotype" w:eastAsia="Calibri" w:hAnsi="Palatino Linotype"/>
          <w:lang w:val="es-ES"/>
        </w:rPr>
        <w:t>, consecuentemente se actualiza la causa de sobreseimiento establecida en el artículo 192 fracción III.</w:t>
      </w:r>
    </w:p>
    <w:p w14:paraId="203C26FF"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MS Mincho" w:hAnsi="Palatino Linotype"/>
          <w:lang w:val="es-ES"/>
        </w:rPr>
        <w:t xml:space="preserve">Por </w:t>
      </w:r>
      <w:r w:rsidRPr="00544B0C">
        <w:rPr>
          <w:rFonts w:ascii="Palatino Linotype" w:hAnsi="Palatino Linotype"/>
          <w:lang w:val="es-ES"/>
        </w:rPr>
        <w:t>consiguiente</w:t>
      </w:r>
      <w:r w:rsidRPr="00544B0C">
        <w:rPr>
          <w:rFonts w:ascii="Palatino Linotype" w:eastAsia="MS Mincho" w:hAnsi="Palatino Linotype"/>
          <w:lang w:val="es-ES"/>
        </w:rPr>
        <w:t xml:space="preserve">, con lo remitido por el </w:t>
      </w:r>
      <w:r w:rsidRPr="00544B0C">
        <w:rPr>
          <w:rFonts w:ascii="Palatino Linotype" w:eastAsia="MS Mincho" w:hAnsi="Palatino Linotype"/>
          <w:b/>
          <w:lang w:val="es-ES"/>
        </w:rPr>
        <w:t xml:space="preserve">SUJETO OBLIGADO </w:t>
      </w:r>
      <w:r w:rsidRPr="00544B0C">
        <w:rPr>
          <w:rFonts w:ascii="Palatino Linotype" w:eastAsia="MS Mincho" w:hAnsi="Palatino Linotype"/>
          <w:lang w:val="es-ES"/>
        </w:rPr>
        <w:t xml:space="preserve">se tiene por colmado el presente recurso de </w:t>
      </w:r>
      <w:r w:rsidRPr="00544B0C">
        <w:rPr>
          <w:rFonts w:ascii="Palatino Linotype" w:hAnsi="Palatino Linotype" w:cs="Arial"/>
          <w:lang w:val="es-ES" w:eastAsia="es-MX"/>
        </w:rPr>
        <w:t>revisión</w:t>
      </w:r>
      <w:r w:rsidRPr="00544B0C">
        <w:rPr>
          <w:rFonts w:ascii="Palatino Linotype" w:eastAsia="MS Mincho" w:hAnsi="Palatino Linotype"/>
          <w:lang w:val="es-ES"/>
        </w:rPr>
        <w:t>, al atender lo requerido a</w:t>
      </w:r>
      <w:r w:rsidRPr="00544B0C">
        <w:rPr>
          <w:rFonts w:ascii="Palatino Linotype" w:hAnsi="Palatino Linotype"/>
          <w:lang w:val="es-ES"/>
        </w:rPr>
        <w:t xml:space="preserve">tento a lo anterior, se tiene que, al haber existido un </w:t>
      </w:r>
      <w:r w:rsidRPr="00544B0C">
        <w:rPr>
          <w:rFonts w:ascii="Palatino Linotype" w:hAnsi="Palatino Linotype" w:cs="Arial"/>
          <w:lang w:val="es-ES"/>
        </w:rPr>
        <w:t>pronunciamiento</w:t>
      </w:r>
      <w:r w:rsidRPr="00544B0C">
        <w:rPr>
          <w:rFonts w:ascii="Palatino Linotype" w:hAnsi="Palatino Linotype"/>
          <w:lang w:val="es-ES"/>
        </w:rPr>
        <w:t xml:space="preserve"> por parte del </w:t>
      </w:r>
      <w:r w:rsidRPr="00544B0C">
        <w:rPr>
          <w:rFonts w:ascii="Palatino Linotype" w:eastAsia="MS Mincho" w:hAnsi="Palatino Linotype"/>
          <w:b/>
          <w:lang w:val="es-ES"/>
        </w:rPr>
        <w:t>SUJETO OBLIGADO</w:t>
      </w:r>
      <w:r w:rsidRPr="00544B0C">
        <w:rPr>
          <w:rFonts w:ascii="Palatino Linotype" w:hAnsi="Palatino Linotype"/>
          <w:b/>
          <w:lang w:val="es-ES"/>
        </w:rPr>
        <w:t xml:space="preserve"> </w:t>
      </w:r>
      <w:r w:rsidRPr="00544B0C">
        <w:rPr>
          <w:rFonts w:ascii="Palatino Linotype" w:hAnsi="Palatino Linotype"/>
          <w:lang w:val="es-ES"/>
        </w:rPr>
        <w:t>para dar respuesta a la solicitud de información, este Instituto concluye que se atiende la solicitud de información del Recurrente</w:t>
      </w:r>
    </w:p>
    <w:p w14:paraId="3EB0D6FC"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544B0C">
        <w:rPr>
          <w:rFonts w:ascii="Palatino Linotype" w:eastAsia="Calibri" w:hAnsi="Palatino Linotype"/>
          <w:b/>
          <w:lang w:val="es-ES"/>
        </w:rPr>
        <w:t>SUJETOS OBLIGADOS</w:t>
      </w:r>
      <w:r w:rsidRPr="00544B0C">
        <w:rPr>
          <w:rFonts w:ascii="Palatino Linotype" w:eastAsia="Calibri" w:hAnsi="Palatino Linotype"/>
          <w:lang w:val="es-ES"/>
        </w:rPr>
        <w:t xml:space="preserve"> o la negativa de entrega de la misma, derivada de la solicitud de información pública.</w:t>
      </w:r>
    </w:p>
    <w:p w14:paraId="21344CED"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De este modo, cuando el </w:t>
      </w:r>
      <w:r w:rsidRPr="00544B0C">
        <w:rPr>
          <w:rFonts w:ascii="Palatino Linotype" w:eastAsia="Calibri" w:hAnsi="Palatino Linotype"/>
          <w:b/>
          <w:lang w:val="es-ES"/>
        </w:rPr>
        <w:t xml:space="preserve">SUJETO OBLIGADO, </w:t>
      </w:r>
      <w:r w:rsidRPr="00544B0C">
        <w:rPr>
          <w:rFonts w:ascii="Palatino Linotype" w:eastAsia="Calibri" w:hAnsi="Palatino Linotype"/>
          <w:lang w:val="es-ES"/>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544B0C">
        <w:rPr>
          <w:rFonts w:ascii="Palatino Linotype" w:eastAsia="Calibri" w:hAnsi="Palatino Linotype"/>
          <w:i/>
          <w:lang w:val="es-ES"/>
        </w:rPr>
        <w:t>litis</w:t>
      </w:r>
      <w:r w:rsidRPr="00544B0C">
        <w:rPr>
          <w:rFonts w:ascii="Palatino Linotype" w:eastAsia="Calibri" w:hAnsi="Palatino Linotype"/>
          <w:lang w:val="es-ES"/>
        </w:rPr>
        <w:t xml:space="preserve"> planteada, debido a que la afectación en su esfera de derechos fue restituida por la propia autoridad que emitió el acto motivo de impugnación.</w:t>
      </w:r>
    </w:p>
    <w:p w14:paraId="6E77EF98"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Sirve de sustento a lo anterior la siguiente jurisprudencia por contradicción, cuyo rubro, texto y datos de identificación son los siguientes:</w:t>
      </w:r>
    </w:p>
    <w:p w14:paraId="0A2F8FB6" w14:textId="77777777" w:rsidR="00544B0C" w:rsidRPr="00544B0C" w:rsidRDefault="00544B0C" w:rsidP="00544B0C">
      <w:pPr>
        <w:ind w:left="851" w:right="851"/>
        <w:contextualSpacing/>
        <w:jc w:val="both"/>
        <w:rPr>
          <w:rFonts w:ascii="Palatino Linotype" w:eastAsia="Calibri" w:hAnsi="Palatino Linotype"/>
          <w:lang w:val="es-ES"/>
        </w:rPr>
      </w:pPr>
    </w:p>
    <w:p w14:paraId="5DA8E566" w14:textId="77777777" w:rsidR="00544B0C" w:rsidRPr="00544B0C" w:rsidRDefault="00544B0C" w:rsidP="00544B0C">
      <w:pPr>
        <w:ind w:left="851" w:right="851"/>
        <w:contextualSpacing/>
        <w:jc w:val="both"/>
        <w:rPr>
          <w:rFonts w:ascii="Palatino Linotype" w:eastAsia="Calibri" w:hAnsi="Palatino Linotype"/>
          <w:i/>
          <w:sz w:val="22"/>
          <w:lang w:val="es-ES"/>
        </w:rPr>
      </w:pPr>
      <w:r w:rsidRPr="00544B0C">
        <w:rPr>
          <w:rFonts w:ascii="Palatino Linotype" w:eastAsia="Calibri" w:hAnsi="Palatino Linotype"/>
          <w:b/>
          <w:i/>
          <w:sz w:val="22"/>
          <w:lang w:val="es-E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544B0C">
        <w:rPr>
          <w:rFonts w:ascii="Palatino Linotype" w:eastAsia="Calibri" w:hAnsi="Palatino Linotype"/>
          <w:i/>
          <w:sz w:val="22"/>
          <w:lang w:val="es-E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3375614F" w14:textId="77777777" w:rsidR="00544B0C" w:rsidRPr="00544B0C" w:rsidRDefault="00544B0C" w:rsidP="00544B0C">
      <w:pPr>
        <w:spacing w:line="360" w:lineRule="auto"/>
        <w:ind w:left="708"/>
        <w:contextualSpacing/>
        <w:jc w:val="both"/>
        <w:rPr>
          <w:rFonts w:ascii="Palatino Linotype" w:eastAsia="Calibri" w:hAnsi="Palatino Linotype"/>
          <w:i/>
          <w:lang w:val="es-ES"/>
        </w:rPr>
      </w:pPr>
    </w:p>
    <w:p w14:paraId="3922D2B7"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lang w:val="es-ES"/>
        </w:rPr>
        <w:t>La anterior jurisprudencia resulta aplicable al presente asunto, en dos aspectos:</w:t>
      </w:r>
    </w:p>
    <w:p w14:paraId="07FA871B" w14:textId="77777777" w:rsidR="00544B0C" w:rsidRPr="00544B0C" w:rsidRDefault="00544B0C" w:rsidP="00544B0C">
      <w:pPr>
        <w:spacing w:line="360" w:lineRule="auto"/>
        <w:ind w:left="426"/>
        <w:contextualSpacing/>
        <w:jc w:val="both"/>
        <w:rPr>
          <w:rFonts w:ascii="Palatino Linotype" w:eastAsia="Calibri" w:hAnsi="Palatino Linotype"/>
          <w:sz w:val="28"/>
          <w:lang w:val="es-ES"/>
        </w:rPr>
      </w:pPr>
    </w:p>
    <w:p w14:paraId="311DDB5F" w14:textId="77777777" w:rsidR="00544B0C" w:rsidRPr="00544B0C" w:rsidRDefault="00544B0C" w:rsidP="0092322B">
      <w:pPr>
        <w:numPr>
          <w:ilvl w:val="0"/>
          <w:numId w:val="16"/>
        </w:numPr>
        <w:spacing w:line="360" w:lineRule="auto"/>
        <w:ind w:left="567" w:right="900" w:hanging="141"/>
        <w:contextualSpacing/>
        <w:jc w:val="both"/>
        <w:rPr>
          <w:rFonts w:ascii="Palatino Linotype" w:eastAsia="Calibri" w:hAnsi="Palatino Linotype"/>
          <w:sz w:val="22"/>
          <w:szCs w:val="22"/>
          <w:lang w:eastAsia="en-US"/>
        </w:rPr>
      </w:pPr>
      <w:r w:rsidRPr="00544B0C">
        <w:rPr>
          <w:rFonts w:ascii="Palatino Linotype" w:eastAsia="Calibri" w:hAnsi="Palatino Linotype"/>
          <w:b/>
          <w:sz w:val="22"/>
          <w:szCs w:val="22"/>
          <w:lang w:eastAsia="en-US"/>
        </w:rPr>
        <w:t>La cesación de los efectos perniciosos del acto de autoridad:</w:t>
      </w:r>
      <w:r w:rsidRPr="00544B0C">
        <w:rPr>
          <w:rFonts w:ascii="Palatino Linotype" w:eastAsia="Calibri" w:hAnsi="Palatino Linotype"/>
          <w:sz w:val="22"/>
          <w:szCs w:val="22"/>
          <w:lang w:eastAsia="en-US"/>
        </w:rPr>
        <w:t xml:space="preserve"> Al respecto, la Ley de Transparencia contempla la figura jurídica del sobreseimiento cuando el </w:t>
      </w:r>
      <w:r w:rsidRPr="00544B0C">
        <w:rPr>
          <w:rFonts w:ascii="Palatino Linotype" w:eastAsia="Calibri" w:hAnsi="Palatino Linotype"/>
          <w:b/>
          <w:sz w:val="22"/>
          <w:szCs w:val="22"/>
          <w:lang w:eastAsia="en-US"/>
        </w:rPr>
        <w:t>SUJETO OBLIGADO</w:t>
      </w:r>
      <w:r w:rsidRPr="00544B0C">
        <w:rPr>
          <w:rFonts w:ascii="Palatino Linotype" w:eastAsia="Calibri" w:hAnsi="Palatino Linotype"/>
          <w:sz w:val="22"/>
          <w:szCs w:val="22"/>
          <w:lang w:eastAsia="en-US"/>
        </w:rPr>
        <w:t xml:space="preserve"> de </w:t>
      </w:r>
      <w:r w:rsidRPr="00544B0C">
        <w:rPr>
          <w:rFonts w:ascii="Palatino Linotype" w:eastAsia="Calibri" w:hAnsi="Palatino Linotype"/>
          <w:i/>
          <w:sz w:val="22"/>
          <w:szCs w:val="22"/>
          <w:lang w:eastAsia="en-US"/>
        </w:rPr>
        <w:t>motu proprio</w:t>
      </w:r>
      <w:r w:rsidRPr="00544B0C">
        <w:rPr>
          <w:rFonts w:ascii="Palatino Linotype" w:eastAsia="Calibri" w:hAnsi="Palatino Linotype"/>
          <w:sz w:val="22"/>
          <w:szCs w:val="22"/>
          <w:lang w:eastAsia="en-US"/>
        </w:rPr>
        <w:t xml:space="preserve"> modifica o revoca de tal manera el acto motivo de la impugnación que lo deja sin materia; es decir, cesan los efectos de éste y el derecho de acceso a la información pública se encuentra satisfecho.</w:t>
      </w:r>
    </w:p>
    <w:p w14:paraId="617586B4" w14:textId="77777777" w:rsidR="00544B0C" w:rsidRPr="00544B0C" w:rsidRDefault="00544B0C" w:rsidP="0092322B">
      <w:pPr>
        <w:spacing w:line="360" w:lineRule="auto"/>
        <w:ind w:left="567" w:right="900" w:hanging="141"/>
        <w:jc w:val="both"/>
        <w:rPr>
          <w:rFonts w:ascii="Palatino Linotype" w:eastAsia="Calibri" w:hAnsi="Palatino Linotype"/>
          <w:sz w:val="22"/>
          <w:szCs w:val="22"/>
          <w:lang w:eastAsia="en-US"/>
        </w:rPr>
      </w:pPr>
    </w:p>
    <w:p w14:paraId="74BD9442" w14:textId="77777777" w:rsidR="00544B0C" w:rsidRPr="00544B0C" w:rsidRDefault="00544B0C" w:rsidP="0092322B">
      <w:pPr>
        <w:numPr>
          <w:ilvl w:val="0"/>
          <w:numId w:val="16"/>
        </w:numPr>
        <w:spacing w:line="360" w:lineRule="auto"/>
        <w:ind w:left="567" w:right="900" w:hanging="141"/>
        <w:contextualSpacing/>
        <w:jc w:val="both"/>
        <w:rPr>
          <w:rFonts w:ascii="Palatino Linotype" w:eastAsia="Calibri" w:hAnsi="Palatino Linotype"/>
          <w:sz w:val="22"/>
          <w:szCs w:val="22"/>
          <w:lang w:eastAsia="en-US"/>
        </w:rPr>
      </w:pPr>
      <w:r w:rsidRPr="00544B0C">
        <w:rPr>
          <w:rFonts w:ascii="Palatino Linotype" w:eastAsia="Calibri" w:hAnsi="Palatino Linotype"/>
          <w:b/>
          <w:sz w:val="22"/>
          <w:szCs w:val="22"/>
          <w:lang w:eastAsia="en-US"/>
        </w:rPr>
        <w:t>El momento procesal para modificar el acto impugnado:</w:t>
      </w:r>
      <w:r w:rsidRPr="00544B0C">
        <w:rPr>
          <w:rFonts w:ascii="Palatino Linotype" w:eastAsia="Calibri" w:hAnsi="Palatino Linotype"/>
          <w:sz w:val="22"/>
          <w:szCs w:val="22"/>
          <w:lang w:eastAsia="en-US"/>
        </w:rPr>
        <w:t xml:space="preserve"> Para que se actualice el sobreseimiento de un recurso de revisión, el </w:t>
      </w:r>
      <w:r w:rsidRPr="00544B0C">
        <w:rPr>
          <w:rFonts w:ascii="Palatino Linotype" w:eastAsia="Calibri" w:hAnsi="Palatino Linotype"/>
          <w:b/>
          <w:sz w:val="22"/>
          <w:szCs w:val="22"/>
          <w:lang w:eastAsia="en-US"/>
        </w:rPr>
        <w:t>SUJETO OBLIGADO</w:t>
      </w:r>
      <w:r w:rsidRPr="00544B0C">
        <w:rPr>
          <w:rFonts w:ascii="Palatino Linotype" w:eastAsia="Calibri" w:hAnsi="Palatino Linotype"/>
          <w:sz w:val="22"/>
          <w:szCs w:val="22"/>
          <w:lang w:eastAsia="en-US"/>
        </w:rPr>
        <w:t xml:space="preserve"> puede entregar o completar la información al momento de rendir su informe justificado o </w:t>
      </w:r>
      <w:r w:rsidRPr="00544B0C">
        <w:rPr>
          <w:rFonts w:ascii="Palatino Linotype" w:eastAsia="Calibri" w:hAnsi="Palatino Linotype"/>
          <w:b/>
          <w:sz w:val="22"/>
          <w:szCs w:val="22"/>
          <w:u w:val="single"/>
          <w:lang w:eastAsia="en-US"/>
        </w:rPr>
        <w:t>posteriormente</w:t>
      </w:r>
      <w:r w:rsidRPr="00544B0C">
        <w:rPr>
          <w:rFonts w:ascii="Palatino Linotype" w:eastAsia="Calibri" w:hAnsi="Palatino Linotype"/>
          <w:sz w:val="22"/>
          <w:szCs w:val="22"/>
          <w:lang w:eastAsia="en-US"/>
        </w:rPr>
        <w:t xml:space="preserve"> a éste, siempre y cuando el Pleno del Instituto no haya dictado resolución definitiva.</w:t>
      </w:r>
    </w:p>
    <w:p w14:paraId="27EDA542" w14:textId="77777777" w:rsidR="00544B0C" w:rsidRPr="00544B0C" w:rsidRDefault="00544B0C" w:rsidP="00544B0C">
      <w:pPr>
        <w:spacing w:line="360" w:lineRule="auto"/>
        <w:jc w:val="both"/>
        <w:rPr>
          <w:rFonts w:ascii="Palatino Linotype" w:eastAsia="Calibri" w:hAnsi="Palatino Linotype"/>
          <w:lang w:val="es-ES"/>
        </w:rPr>
      </w:pPr>
    </w:p>
    <w:p w14:paraId="62E9A36D"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Además, de acuerdo con el procesalista Niceto Alcalá-Zamora y Castillo en su obra </w:t>
      </w:r>
      <w:r w:rsidRPr="00544B0C">
        <w:rPr>
          <w:rFonts w:ascii="Palatino Linotype" w:eastAsia="Calibri" w:hAnsi="Palatino Linotype"/>
          <w:i/>
          <w:lang w:val="es-ES"/>
        </w:rPr>
        <w:t>“Cuestiones de Terminología Procesal”</w:t>
      </w:r>
      <w:r w:rsidRPr="00544B0C">
        <w:rPr>
          <w:rFonts w:ascii="Palatino Linotype" w:eastAsia="Calibri" w:hAnsi="Palatino Linotype"/>
          <w:lang w:val="es-ES"/>
        </w:rPr>
        <w:t xml:space="preserve">, el sobreseimiento es </w:t>
      </w:r>
      <w:r w:rsidRPr="00544B0C">
        <w:rPr>
          <w:rFonts w:ascii="Palatino Linotype" w:eastAsia="Calibri" w:hAnsi="Palatino Linotype"/>
          <w:i/>
          <w:lang w:val="es-ES"/>
        </w:rPr>
        <w:t>“... una resolución en forma de auto, que produce la suspensión indefinida del procedimiento penal, o que pone fin al proceso, impidiendo en ambos casos, mientras subsista, la apertura del plenario o que en él se pronuncie sentencia...”.</w:t>
      </w:r>
    </w:p>
    <w:p w14:paraId="382F6D42"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Eduardo Pallares, en su artículo </w:t>
      </w:r>
      <w:r w:rsidRPr="00544B0C">
        <w:rPr>
          <w:rFonts w:ascii="Palatino Linotype" w:eastAsia="Calibri" w:hAnsi="Palatino Linotype"/>
          <w:i/>
          <w:lang w:val="es-ES"/>
        </w:rPr>
        <w:t>“La caducidad y el sobreseimiento en el amparo”</w:t>
      </w:r>
      <w:r w:rsidRPr="00544B0C">
        <w:rPr>
          <w:rFonts w:ascii="Palatino Linotype" w:eastAsia="Calibri" w:hAnsi="Palatino Linotype"/>
          <w:lang w:val="es-ES"/>
        </w:rPr>
        <w:t xml:space="preserve">, cita la definición de Aguilera Paz, aduciendo que se </w:t>
      </w:r>
      <w:r w:rsidRPr="00544B0C">
        <w:rPr>
          <w:rFonts w:ascii="Palatino Linotype" w:eastAsia="Calibri" w:hAnsi="Palatino Linotype"/>
          <w:i/>
          <w:lang w:val="es-ES"/>
        </w:rPr>
        <w:t>“...entiende por sobreseimiento en el tecnicismo forense, el hecho de cesar en el procedimiento o curso de la causa, por no existir méritos bastantes para entrar en un juicio o para entablar la contienda judicial que debe ser objeto del mismo...”</w:t>
      </w:r>
      <w:r w:rsidRPr="00544B0C">
        <w:rPr>
          <w:rFonts w:ascii="Palatino Linotype" w:eastAsia="Calibri" w:hAnsi="Palatino Linotype"/>
          <w:lang w:val="es-ES"/>
        </w:rPr>
        <w:t xml:space="preserve">. </w:t>
      </w:r>
    </w:p>
    <w:p w14:paraId="42444EDD" w14:textId="11594308"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Asimismo señala que existe el sobreseimiento provisional y el definitivo</w:t>
      </w:r>
      <w:r w:rsidRPr="00544B0C">
        <w:rPr>
          <w:rFonts w:ascii="Palatino Linotype" w:eastAsia="Calibri" w:hAnsi="Palatino Linotype"/>
          <w:i/>
          <w:lang w:val="es-ES"/>
        </w:rPr>
        <w:t>: “...el definitivo es una verdadera sentencia que pone fin al juicio, y que una vez dictada, produce cosa juzgada, mientras que el provisorio tiene por efectos suspender la prosecución de la causa...”</w:t>
      </w:r>
    </w:p>
    <w:p w14:paraId="51923E3D" w14:textId="77777777" w:rsidR="00544B0C" w:rsidRPr="00544B0C" w:rsidRDefault="00544B0C" w:rsidP="00544B0C">
      <w:pPr>
        <w:spacing w:before="240" w:after="240" w:line="360" w:lineRule="auto"/>
        <w:contextualSpacing/>
        <w:jc w:val="both"/>
        <w:rPr>
          <w:rFonts w:ascii="Palatino Linotype" w:eastAsia="Calibri" w:hAnsi="Palatino Linotype"/>
          <w:b/>
          <w:u w:val="single"/>
          <w:lang w:val="es-ES"/>
        </w:rPr>
      </w:pPr>
      <w:r w:rsidRPr="00544B0C">
        <w:rPr>
          <w:rFonts w:ascii="Palatino Linotype" w:eastAsia="Calibri" w:hAnsi="Palatino Linotype"/>
          <w:lang w:val="es-ES"/>
        </w:rPr>
        <w:t xml:space="preserve">Así, para la doctrina el sobreseimiento provoca que un procedimiento se suspenda o se resuelva en definitiva </w:t>
      </w:r>
      <w:r w:rsidRPr="00544B0C">
        <w:rPr>
          <w:rFonts w:ascii="Palatino Linotype" w:eastAsia="Calibri" w:hAnsi="Palatino Linotype"/>
          <w:b/>
          <w:u w:val="single"/>
          <w:lang w:val="es-ES"/>
        </w:rPr>
        <w:t>sin que se entre al estudio de los agravios o motivos de inconformidad.</w:t>
      </w:r>
    </w:p>
    <w:p w14:paraId="726A8EB6" w14:textId="77777777" w:rsidR="00544B0C" w:rsidRDefault="00544B0C" w:rsidP="00544B0C">
      <w:pPr>
        <w:spacing w:before="240" w:after="240" w:line="360" w:lineRule="auto"/>
        <w:contextualSpacing/>
        <w:jc w:val="both"/>
        <w:rPr>
          <w:rFonts w:ascii="Palatino Linotype" w:hAnsi="Palatino Linotype"/>
          <w:szCs w:val="27"/>
          <w:lang w:val="es-ES"/>
        </w:rPr>
      </w:pPr>
      <w:r w:rsidRPr="00544B0C">
        <w:rPr>
          <w:rFonts w:ascii="Palatino Linotype" w:hAnsi="Palatino Linotype"/>
          <w:szCs w:val="27"/>
          <w:lang w:val="es-ES"/>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14:paraId="2E7089CA" w14:textId="77777777" w:rsidR="00FB466B" w:rsidRPr="00544B0C" w:rsidRDefault="00FB466B" w:rsidP="00544B0C">
      <w:pPr>
        <w:spacing w:before="240" w:after="240" w:line="360" w:lineRule="auto"/>
        <w:contextualSpacing/>
        <w:jc w:val="both"/>
        <w:rPr>
          <w:rFonts w:ascii="Palatino Linotype" w:eastAsia="Calibri" w:hAnsi="Palatino Linotype"/>
          <w:b/>
          <w:u w:val="single"/>
          <w:lang w:val="es-ES"/>
        </w:rPr>
      </w:pPr>
    </w:p>
    <w:p w14:paraId="7CF1D32D" w14:textId="77777777" w:rsidR="00544B0C" w:rsidRPr="00544B0C" w:rsidRDefault="00544B0C" w:rsidP="00544B0C">
      <w:pPr>
        <w:ind w:left="851" w:right="851"/>
        <w:jc w:val="both"/>
        <w:rPr>
          <w:rFonts w:ascii="Palatino Linotype" w:hAnsi="Palatino Linotype" w:cs="Verdana"/>
          <w:i/>
          <w:sz w:val="22"/>
          <w:szCs w:val="22"/>
          <w:lang w:eastAsia="en-US"/>
        </w:rPr>
      </w:pPr>
      <w:r w:rsidRPr="00544B0C">
        <w:rPr>
          <w:rFonts w:ascii="Palatino Linotype" w:hAnsi="Palatino Linotype" w:cs="Verdana"/>
          <w:b/>
          <w:i/>
          <w:sz w:val="22"/>
          <w:szCs w:val="22"/>
          <w:lang w:eastAsia="en-US"/>
        </w:rPr>
        <w:t xml:space="preserve">“SOBRESEIMIENTO. NO PERMITE ENTRAR AL ESTUDIO DE LAS </w:t>
      </w:r>
      <w:r w:rsidRPr="00544B0C">
        <w:rPr>
          <w:rFonts w:ascii="Palatino Linotype" w:hAnsi="Palatino Linotype" w:cs="Verdana"/>
          <w:b/>
          <w:bCs/>
          <w:i/>
          <w:sz w:val="22"/>
          <w:szCs w:val="22"/>
          <w:lang w:eastAsia="en-US"/>
        </w:rPr>
        <w:t xml:space="preserve">CUESTIONES DE FONDO. </w:t>
      </w:r>
      <w:r w:rsidRPr="00544B0C">
        <w:rPr>
          <w:rFonts w:ascii="Palatino Linotype" w:hAnsi="Palatino Linotype" w:cs="Verdana"/>
          <w:i/>
          <w:sz w:val="22"/>
          <w:szCs w:val="22"/>
          <w:lang w:eastAsia="en-US"/>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544B0C">
        <w:rPr>
          <w:rFonts w:ascii="Palatino Linotype" w:hAnsi="Palatino Linotype" w:cs="Verdana"/>
          <w:b/>
          <w:i/>
          <w:sz w:val="22"/>
          <w:szCs w:val="22"/>
          <w:lang w:eastAsia="en-US"/>
        </w:rPr>
        <w:t>”</w:t>
      </w:r>
    </w:p>
    <w:p w14:paraId="643F5750" w14:textId="77777777" w:rsidR="00544B0C" w:rsidRPr="00544B0C" w:rsidRDefault="00544B0C" w:rsidP="00544B0C">
      <w:pPr>
        <w:spacing w:line="360" w:lineRule="auto"/>
        <w:ind w:left="426"/>
        <w:contextualSpacing/>
        <w:jc w:val="both"/>
        <w:rPr>
          <w:rFonts w:ascii="Palatino Linotype" w:eastAsia="Calibri" w:hAnsi="Palatino Linotype"/>
          <w:i/>
          <w:lang w:val="es-AR"/>
        </w:rPr>
      </w:pPr>
    </w:p>
    <w:p w14:paraId="3FA0A675"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111E99CB"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Por lo que para que se actualice el sobreseimiento de un recurso de revisión,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2B71B920" w14:textId="3C717AC5" w:rsidR="007707B4" w:rsidRPr="00544B0C" w:rsidRDefault="00544B0C" w:rsidP="002C4AD5">
      <w:pPr>
        <w:spacing w:before="240" w:after="240" w:line="360" w:lineRule="auto"/>
        <w:contextualSpacing/>
        <w:jc w:val="both"/>
        <w:rPr>
          <w:rFonts w:ascii="Palatino Linotype" w:eastAsia="Calibri" w:hAnsi="Palatino Linotype"/>
          <w:lang w:val="es-CO"/>
        </w:rPr>
      </w:pPr>
      <w:r w:rsidRPr="00544B0C">
        <w:rPr>
          <w:rFonts w:ascii="Palatino Linotype" w:eastAsia="Calibri" w:hAnsi="Palatino Linotype"/>
          <w:lang w:val="es-CO"/>
        </w:rPr>
        <w:t xml:space="preserve">Bajo ese tenor y en términos de los artículos 186 fracción I, y 192, fracción III este Pleno determina el </w:t>
      </w:r>
      <w:r w:rsidRPr="00544B0C">
        <w:rPr>
          <w:rFonts w:ascii="Palatino Linotype" w:eastAsia="Calibri" w:hAnsi="Palatino Linotype"/>
          <w:b/>
          <w:lang w:val="es-CO"/>
        </w:rPr>
        <w:t xml:space="preserve">SOBRESEIMIENTO </w:t>
      </w:r>
      <w:r w:rsidRPr="00544B0C">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69D40793" w14:textId="108D23F6" w:rsidR="001430BC"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rPr>
        <w:t xml:space="preserve">Así, con fundamento en lo prescrito en los artículos 5 </w:t>
      </w:r>
      <w:r w:rsidRPr="004326A0">
        <w:rPr>
          <w:rFonts w:ascii="Palatino Linotype" w:hAnsi="Palatino Linotype"/>
          <w:shd w:val="clear" w:color="auto" w:fill="FFFFFF"/>
        </w:rPr>
        <w:t xml:space="preserve">párrafos </w:t>
      </w:r>
      <w:r w:rsidR="000A0882">
        <w:rPr>
          <w:rFonts w:ascii="Palatino Linotype" w:hAnsi="Palatino Linotype"/>
          <w:shd w:val="clear" w:color="auto" w:fill="FFFFFF"/>
          <w:lang w:val="es-ES"/>
        </w:rPr>
        <w:t>trigésimo</w:t>
      </w:r>
      <w:r w:rsidR="00200718" w:rsidRPr="00200718">
        <w:rPr>
          <w:rFonts w:ascii="Palatino Linotype" w:hAnsi="Palatino Linotype"/>
          <w:shd w:val="clear" w:color="auto" w:fill="FFFFFF"/>
          <w:lang w:val="es-ES"/>
        </w:rPr>
        <w:t xml:space="preserve">, trigésimo </w:t>
      </w:r>
      <w:r w:rsidR="000A0882">
        <w:rPr>
          <w:rFonts w:ascii="Palatino Linotype" w:hAnsi="Palatino Linotype"/>
          <w:shd w:val="clear" w:color="auto" w:fill="FFFFFF"/>
          <w:lang w:val="es-ES"/>
        </w:rPr>
        <w:t>primero y trigésimo segund</w:t>
      </w:r>
      <w:r w:rsidR="00200718" w:rsidRPr="00200718">
        <w:rPr>
          <w:rFonts w:ascii="Palatino Linotype" w:hAnsi="Palatino Linotype"/>
          <w:shd w:val="clear" w:color="auto" w:fill="FFFFFF"/>
          <w:lang w:val="es-ES"/>
        </w:rPr>
        <w:t xml:space="preserve">o, fracciones IV y V </w:t>
      </w:r>
      <w:r w:rsidRPr="004326A0">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6CCE0B2D" w14:textId="77777777" w:rsidR="007707B4" w:rsidRPr="007707B4" w:rsidRDefault="007707B4" w:rsidP="007707B4">
      <w:pPr>
        <w:numPr>
          <w:ilvl w:val="0"/>
          <w:numId w:val="1"/>
        </w:numPr>
        <w:spacing w:before="100" w:beforeAutospacing="1" w:after="100" w:afterAutospacing="1" w:line="360" w:lineRule="auto"/>
        <w:ind w:left="284" w:hanging="426"/>
        <w:jc w:val="center"/>
        <w:rPr>
          <w:rFonts w:ascii="Palatino Linotype" w:hAnsi="Palatino Linotype" w:cs="Arial"/>
          <w:b/>
          <w:lang w:eastAsia="es-MX"/>
        </w:rPr>
      </w:pPr>
      <w:r w:rsidRPr="007707B4">
        <w:rPr>
          <w:rFonts w:ascii="Palatino Linotype" w:hAnsi="Palatino Linotype" w:cs="Arial"/>
          <w:b/>
          <w:lang w:eastAsia="es-MX"/>
        </w:rPr>
        <w:t>R E S U E L V E:</w:t>
      </w:r>
    </w:p>
    <w:p w14:paraId="0ECDBD5C" w14:textId="27C5892B" w:rsidR="0088388C"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Primero.</w:t>
      </w:r>
      <w:r w:rsidRPr="007707B4">
        <w:rPr>
          <w:rFonts w:ascii="Palatino Linotype" w:eastAsia="Calibri" w:hAnsi="Palatino Linotype"/>
          <w:lang w:val="es-ES"/>
        </w:rPr>
        <w:t xml:space="preserve"> </w:t>
      </w:r>
      <w:r w:rsidRPr="007707B4">
        <w:rPr>
          <w:rFonts w:ascii="Palatino Linotype" w:hAnsi="Palatino Linotype" w:cs="Arial"/>
          <w:lang w:val="es-ES"/>
        </w:rPr>
        <w:t xml:space="preserve">Se </w:t>
      </w:r>
      <w:r w:rsidRPr="007707B4">
        <w:rPr>
          <w:rFonts w:ascii="Palatino Linotype" w:hAnsi="Palatino Linotype" w:cs="Arial"/>
          <w:b/>
          <w:lang w:val="es-ES"/>
        </w:rPr>
        <w:t>SOBRESEE</w:t>
      </w:r>
      <w:r w:rsidRPr="007707B4">
        <w:rPr>
          <w:rFonts w:ascii="Palatino Linotype" w:hAnsi="Palatino Linotype" w:cs="Arial"/>
          <w:lang w:val="es-ES"/>
        </w:rPr>
        <w:t xml:space="preserve"> el recurso de revisión </w:t>
      </w:r>
      <w:r w:rsidR="004C595A">
        <w:rPr>
          <w:rFonts w:ascii="Palatino Linotype" w:hAnsi="Palatino Linotype" w:cs="Arial"/>
          <w:b/>
          <w:lang w:val="es-ES"/>
        </w:rPr>
        <w:t>03234</w:t>
      </w:r>
      <w:r w:rsidR="0088388C">
        <w:rPr>
          <w:rFonts w:ascii="Palatino Linotype" w:hAnsi="Palatino Linotype" w:cs="Arial"/>
          <w:b/>
          <w:lang w:val="es-ES"/>
        </w:rPr>
        <w:t>/INFOEM/IP/RR/2021</w:t>
      </w:r>
      <w:r w:rsidRPr="007707B4">
        <w:rPr>
          <w:rFonts w:ascii="Palatino Linotype" w:hAnsi="Palatino Linotype" w:cs="Arial"/>
          <w:b/>
          <w:lang w:val="es-ES"/>
        </w:rPr>
        <w:t xml:space="preserve">, </w:t>
      </w:r>
      <w:r w:rsidR="0088388C">
        <w:rPr>
          <w:rFonts w:ascii="Palatino Linotype" w:hAnsi="Palatino Linotype" w:cs="Arial"/>
          <w:lang w:val="es-ES"/>
        </w:rPr>
        <w:t xml:space="preserve">porque al modificar la respuesta el recurso de revisión quedó sin materia en términos del </w:t>
      </w:r>
      <w:r w:rsidRPr="007707B4">
        <w:rPr>
          <w:rFonts w:ascii="Palatino Linotype" w:hAnsi="Palatino Linotype" w:cs="Arial"/>
          <w:lang w:val="es-ES"/>
        </w:rPr>
        <w:t xml:space="preserve"> </w:t>
      </w:r>
      <w:r w:rsidRPr="007707B4">
        <w:rPr>
          <w:rFonts w:ascii="Palatino Linotype" w:hAnsi="Palatino Linotype" w:cs="Arial"/>
          <w:b/>
          <w:lang w:val="es-ES"/>
        </w:rPr>
        <w:t xml:space="preserve">Considerando Tercero </w:t>
      </w:r>
      <w:r w:rsidRPr="007707B4">
        <w:rPr>
          <w:rFonts w:ascii="Palatino Linotype" w:hAnsi="Palatino Linotype" w:cs="Arial"/>
          <w:lang w:val="es-ES"/>
        </w:rPr>
        <w:t>de la presente resolución.</w:t>
      </w:r>
    </w:p>
    <w:p w14:paraId="1BB61208" w14:textId="09880D9B" w:rsidR="007707B4"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 xml:space="preserve">Segundo. </w:t>
      </w:r>
      <w:r w:rsidR="00726FEE">
        <w:rPr>
          <w:rFonts w:ascii="Palatino Linotype" w:hAnsi="Palatino Linotype" w:cs="Arial"/>
          <w:b/>
          <w:bCs/>
          <w:shd w:val="clear" w:color="auto" w:fill="FFFFFF"/>
          <w:lang w:val="es-ES"/>
        </w:rPr>
        <w:t>Notifíque</w:t>
      </w:r>
      <w:r w:rsidR="00726FEE" w:rsidRPr="007707B4">
        <w:rPr>
          <w:rFonts w:ascii="Palatino Linotype" w:hAnsi="Palatino Linotype" w:cs="Arial"/>
          <w:b/>
          <w:bCs/>
          <w:shd w:val="clear" w:color="auto" w:fill="FFFFFF"/>
          <w:lang w:val="es-ES"/>
        </w:rPr>
        <w:t>se</w:t>
      </w:r>
      <w:r w:rsidRPr="007707B4">
        <w:rPr>
          <w:rFonts w:ascii="Palatino Linotype" w:hAnsi="Palatino Linotype" w:cs="Arial"/>
          <w:b/>
          <w:bCs/>
          <w:i/>
          <w:iCs/>
          <w:shd w:val="clear" w:color="auto" w:fill="FFFFFF"/>
          <w:lang w:val="es-ES"/>
        </w:rPr>
        <w:t> </w:t>
      </w:r>
      <w:r w:rsidRPr="007707B4">
        <w:rPr>
          <w:rFonts w:ascii="Palatino Linotype" w:hAnsi="Palatino Linotype"/>
          <w:shd w:val="clear" w:color="auto" w:fill="FFFFFF"/>
          <w:lang w:val="es-ES"/>
        </w:rPr>
        <w:t>la presente resolución al Responsable de la Unidad de Transparencia del</w:t>
      </w:r>
      <w:r w:rsidRPr="007707B4">
        <w:rPr>
          <w:rFonts w:ascii="Palatino Linotype" w:hAnsi="Palatino Linotype"/>
          <w:bCs/>
          <w:shd w:val="clear" w:color="auto" w:fill="FFFFFF"/>
          <w:lang w:val="es-ES"/>
        </w:rPr>
        <w:t> Sujeto Obligado, para su conocimiento</w:t>
      </w:r>
      <w:r w:rsidRPr="007707B4">
        <w:rPr>
          <w:rFonts w:ascii="Palatino Linotype" w:hAnsi="Palatino Linotype"/>
          <w:shd w:val="clear" w:color="auto" w:fill="FFFFFF"/>
          <w:lang w:val="es-ES"/>
        </w:rPr>
        <w:t>.</w:t>
      </w:r>
    </w:p>
    <w:p w14:paraId="7AA36DD6" w14:textId="67C4CE54" w:rsidR="007707B4"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 xml:space="preserve">Tercero. Hágase del Conocimiento </w:t>
      </w:r>
      <w:r w:rsidRPr="007707B4">
        <w:rPr>
          <w:rFonts w:ascii="Palatino Linotype" w:hAnsi="Palatino Linotype" w:cs="Arial"/>
          <w:lang w:val="es-ES"/>
        </w:rPr>
        <w:t xml:space="preserve">de la </w:t>
      </w:r>
      <w:r w:rsidR="004C595A" w:rsidRPr="004C595A">
        <w:rPr>
          <w:rFonts w:ascii="Palatino Linotype" w:hAnsi="Palatino Linotype" w:cs="Arial"/>
          <w:b/>
          <w:lang w:val="es-ES"/>
        </w:rPr>
        <w:t>parte</w:t>
      </w:r>
      <w:r w:rsidR="004C595A">
        <w:rPr>
          <w:rFonts w:ascii="Palatino Linotype" w:hAnsi="Palatino Linotype" w:cs="Arial"/>
          <w:lang w:val="es-ES"/>
        </w:rPr>
        <w:t xml:space="preserve"> </w:t>
      </w:r>
      <w:r w:rsidRPr="007707B4">
        <w:rPr>
          <w:rFonts w:ascii="Palatino Linotype" w:hAnsi="Palatino Linotype" w:cs="Arial"/>
          <w:b/>
          <w:lang w:val="es-ES"/>
        </w:rPr>
        <w:t>recurrente</w:t>
      </w:r>
      <w:r w:rsidRPr="007707B4">
        <w:rPr>
          <w:rFonts w:ascii="Palatino Linotype" w:hAnsi="Palatino Linotype" w:cs="Arial"/>
          <w:lang w:val="es-ES"/>
        </w:rPr>
        <w:t xml:space="preserve">, la presente resolución, así como, que de conformidad con lo establecido en el artículo 196 de la Ley de Transparencia y Acceso a la Información Pública del Estado de México y Municipios, podrá impugnarla vía </w:t>
      </w:r>
      <w:r w:rsidRPr="007707B4">
        <w:rPr>
          <w:rFonts w:ascii="Palatino Linotype" w:hAnsi="Palatino Linotype" w:cs="Arial"/>
          <w:b/>
          <w:lang w:val="es-ES"/>
        </w:rPr>
        <w:t xml:space="preserve">Juicio de Amparo </w:t>
      </w:r>
      <w:r w:rsidRPr="007707B4">
        <w:rPr>
          <w:rFonts w:ascii="Palatino Linotype" w:hAnsi="Palatino Linotype" w:cs="Arial"/>
          <w:lang w:val="es-ES"/>
        </w:rPr>
        <w:t>en los términos de las leyes aplicables.</w:t>
      </w:r>
    </w:p>
    <w:p w14:paraId="0FB4F4FB" w14:textId="77777777" w:rsidR="00B86F3F" w:rsidRDefault="005D5F23" w:rsidP="005E0CA6">
      <w:pPr>
        <w:spacing w:before="240" w:after="240" w:line="360" w:lineRule="auto"/>
        <w:jc w:val="both"/>
        <w:rPr>
          <w:rFonts w:ascii="Palatino Linotype" w:hAnsi="Palatino Linotype"/>
        </w:rPr>
        <w:sectPr w:rsidR="00B86F3F" w:rsidSect="00E46369">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pPr>
      <w:r>
        <w:rPr>
          <w:rFonts w:ascii="Palatino Linotype" w:hAnsi="Palatino Linotype"/>
          <w:color w:val="222222"/>
          <w:shd w:val="clear" w:color="auto" w:fill="FFFFFF"/>
          <w:lang w:val="es-ES"/>
        </w:rPr>
        <w:t>ASÍ LO RESUELVE, POR UNANIMIDAD DE VOTOS, EL PLENO DEL INSTITUTO DE TRANSPARENCIA, ACCESO A LA INFORMACIÓN PÚBLICA Y PROTECCIÓN DE DATOS PERSONALES DEL ESTADO DE MÉXICO Y MUNICIPIOS, CONFORMADO POR LOS COMISIONADOS </w:t>
      </w:r>
      <w:r w:rsidRPr="005D5F23">
        <w:rPr>
          <w:rFonts w:ascii="Palatino Linotype" w:hAnsi="Palatino Linotype"/>
          <w:color w:val="222222"/>
          <w:shd w:val="clear" w:color="auto" w:fill="FFFFFF"/>
        </w:rPr>
        <w:t>JOSÉ MARTÍNEZ VILCHIS, MARÍA DEL ROSARIO MEJÍA AYALA, SHARON CRISTINA MORALES MARTÍNEZ, LUIS GUSTAVO PARRA NORIEGA Y GUADALUPE RAMÍREZ PEÑA</w:t>
      </w:r>
      <w:r w:rsidR="00AC0D7B" w:rsidRPr="005D5F23">
        <w:rPr>
          <w:rFonts w:ascii="Palatino Linotype" w:hAnsi="Palatino Linotype"/>
        </w:rPr>
        <w:t>;</w:t>
      </w:r>
      <w:r w:rsidR="003009CE">
        <w:rPr>
          <w:rFonts w:ascii="Palatino Linotype" w:hAnsi="Palatino Linotype"/>
        </w:rPr>
        <w:t xml:space="preserve"> EN LA TRIGÉSIMA SEX</w:t>
      </w:r>
      <w:r>
        <w:rPr>
          <w:rFonts w:ascii="Palatino Linotype" w:hAnsi="Palatino Linotype"/>
        </w:rPr>
        <w:t>TA</w:t>
      </w:r>
      <w:r w:rsidR="005E0CA6" w:rsidRPr="004326A0">
        <w:rPr>
          <w:rFonts w:ascii="Palatino Linotype" w:hAnsi="Palatino Linotype"/>
        </w:rPr>
        <w:t xml:space="preserve"> SESIÓN O</w:t>
      </w:r>
      <w:r w:rsidR="00B65E33">
        <w:rPr>
          <w:rFonts w:ascii="Palatino Linotype" w:hAnsi="Palatino Linotype"/>
        </w:rPr>
        <w:t>RDI</w:t>
      </w:r>
      <w:r w:rsidR="003009CE">
        <w:rPr>
          <w:rFonts w:ascii="Palatino Linotype" w:hAnsi="Palatino Linotype"/>
        </w:rPr>
        <w:t>NARIA CELEBRADA EL TRECE</w:t>
      </w:r>
      <w:r>
        <w:rPr>
          <w:rFonts w:ascii="Palatino Linotype" w:hAnsi="Palatino Linotype"/>
        </w:rPr>
        <w:t xml:space="preserve"> DE OCTU</w:t>
      </w:r>
      <w:r w:rsidR="005E0CA6" w:rsidRPr="004326A0">
        <w:rPr>
          <w:rFonts w:ascii="Palatino Linotype" w:hAnsi="Palatino Linotype"/>
        </w:rPr>
        <w:t xml:space="preserve">BRE DE DOS MIL VEINTE, ANTE EL SECRETARIO </w:t>
      </w:r>
      <w:r w:rsidR="00B86F3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7803F97" wp14:editId="10739E91">
                <wp:simplePos x="0" y="0"/>
                <wp:positionH relativeFrom="column">
                  <wp:posOffset>-22860</wp:posOffset>
                </wp:positionH>
                <wp:positionV relativeFrom="paragraph">
                  <wp:posOffset>1092200</wp:posOffset>
                </wp:positionV>
                <wp:extent cx="5962650" cy="6800850"/>
                <wp:effectExtent l="0" t="0" r="19050" b="19050"/>
                <wp:wrapNone/>
                <wp:docPr id="7" name="Conector recto 7"/>
                <wp:cNvGraphicFramePr/>
                <a:graphic xmlns:a="http://schemas.openxmlformats.org/drawingml/2006/main">
                  <a:graphicData uri="http://schemas.microsoft.com/office/word/2010/wordprocessingShape">
                    <wps:wsp>
                      <wps:cNvCnPr/>
                      <wps:spPr>
                        <a:xfrm flipH="1">
                          <a:off x="0" y="0"/>
                          <a:ext cx="5962650" cy="680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825493" id="Conector recto 7"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86pt" to="467.7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" strokecolor="black [3200]" strokeweight=".5pt">
                <v:stroke joinstyle="miter"/>
              </v:line>
            </w:pict>
          </mc:Fallback>
        </mc:AlternateContent>
      </w:r>
      <w:r w:rsidR="005E0CA6" w:rsidRPr="004326A0">
        <w:rPr>
          <w:rFonts w:ascii="Palatino Linotype" w:hAnsi="Palatino Linotype"/>
        </w:rPr>
        <w:t>TÉCNICO DEL PLENO ALEXIS TAPIA RAMÍREZ.</w:t>
      </w:r>
    </w:p>
    <w:p w14:paraId="6FD1A763" w14:textId="0C0AA6FD" w:rsidR="00DF305C"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rPr>
        <w:t xml:space="preserve"> </w:t>
      </w:r>
      <w:bookmarkEnd w:id="0"/>
    </w:p>
    <w:sectPr w:rsidR="00DF305C" w:rsidSect="00E46369">
      <w:headerReference w:type="first" r:id="rId1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1E468" w14:textId="77777777" w:rsidR="007F0A44" w:rsidRDefault="007F0A44">
      <w:r>
        <w:separator/>
      </w:r>
    </w:p>
  </w:endnote>
  <w:endnote w:type="continuationSeparator" w:id="0">
    <w:p w14:paraId="74CAA970" w14:textId="77777777" w:rsidR="007F0A44" w:rsidRDefault="007F0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26C2" w14:textId="77777777" w:rsidR="00E46369" w:rsidRDefault="00E46369" w:rsidP="00E4636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D60B7">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D60B7">
      <w:rPr>
        <w:rFonts w:ascii="Arial" w:hAnsi="Arial" w:cs="Arial"/>
        <w:b/>
        <w:bCs/>
        <w:noProof/>
        <w:sz w:val="20"/>
        <w:szCs w:val="20"/>
      </w:rPr>
      <w:t>42</w:t>
    </w:r>
    <w:r>
      <w:rPr>
        <w:rFonts w:ascii="Arial" w:hAnsi="Arial" w:cs="Arial"/>
        <w:b/>
        <w:bCs/>
        <w:sz w:val="20"/>
        <w:szCs w:val="20"/>
      </w:rPr>
      <w:fldChar w:fldCharType="end"/>
    </w:r>
  </w:p>
  <w:p w14:paraId="317CC1BC" w14:textId="77777777" w:rsidR="00E46369" w:rsidRDefault="00E46369" w:rsidP="00E46369">
    <w:pPr>
      <w:pStyle w:val="Piedepgina"/>
      <w:rPr>
        <w:rFonts w:ascii="Times New Roman" w:hAnsi="Times New Roman" w:cs="Times New Roman"/>
      </w:rPr>
    </w:pPr>
  </w:p>
  <w:p w14:paraId="1A211A4C" w14:textId="77777777" w:rsidR="00E46369" w:rsidRDefault="00E46369" w:rsidP="00E46369">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69770" w14:textId="77777777" w:rsidR="00E46369" w:rsidRDefault="00E46369" w:rsidP="00E4636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D60B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D60B7">
      <w:rPr>
        <w:rFonts w:ascii="Arial" w:hAnsi="Arial" w:cs="Arial"/>
        <w:b/>
        <w:bCs/>
        <w:noProof/>
        <w:sz w:val="20"/>
        <w:szCs w:val="20"/>
      </w:rPr>
      <w:t>42</w:t>
    </w:r>
    <w:r>
      <w:rPr>
        <w:rFonts w:ascii="Arial" w:hAnsi="Arial" w:cs="Arial"/>
        <w:b/>
        <w:bCs/>
        <w:sz w:val="20"/>
        <w:szCs w:val="20"/>
      </w:rPr>
      <w:fldChar w:fldCharType="end"/>
    </w:r>
  </w:p>
  <w:p w14:paraId="3BACAB3C" w14:textId="77777777" w:rsidR="00E46369" w:rsidRDefault="00E463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45E4D" w14:textId="77777777" w:rsidR="007F0A44" w:rsidRDefault="007F0A44">
      <w:r>
        <w:separator/>
      </w:r>
    </w:p>
  </w:footnote>
  <w:footnote w:type="continuationSeparator" w:id="0">
    <w:p w14:paraId="5AD21924" w14:textId="77777777" w:rsidR="007F0A44" w:rsidRDefault="007F0A44">
      <w:r>
        <w:continuationSeparator/>
      </w:r>
    </w:p>
  </w:footnote>
  <w:footnote w:id="1">
    <w:p w14:paraId="0FFB78E2" w14:textId="77777777" w:rsidR="00544B0C" w:rsidRPr="006E31CF" w:rsidRDefault="00544B0C" w:rsidP="00544B0C">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3D592049" w14:textId="77777777" w:rsidR="00544B0C" w:rsidRPr="006E31CF" w:rsidRDefault="00544B0C" w:rsidP="00544B0C">
      <w:pPr>
        <w:pStyle w:val="Textonotapie"/>
        <w:rPr>
          <w:rFonts w:ascii="Palatino Linotype" w:hAnsi="Palatino Linotype"/>
          <w:sz w:val="18"/>
        </w:rPr>
      </w:pPr>
      <w:r w:rsidRPr="006E31CF">
        <w:rPr>
          <w:rFonts w:ascii="Palatino Linotype" w:hAnsi="Palatino Linotype"/>
          <w:sz w:val="18"/>
        </w:rPr>
        <w:t>…</w:t>
      </w:r>
    </w:p>
    <w:p w14:paraId="1F38747A" w14:textId="77777777" w:rsidR="00544B0C" w:rsidRPr="006E31CF" w:rsidRDefault="00544B0C" w:rsidP="00544B0C">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53D92BA2" w14:textId="77777777" w:rsidR="00544B0C" w:rsidRPr="006E31CF" w:rsidRDefault="00544B0C" w:rsidP="00544B0C">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4D6BD259" w14:textId="77777777" w:rsidR="00544B0C" w:rsidRDefault="00544B0C" w:rsidP="00544B0C">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E46369" w:rsidRPr="00E51193" w14:paraId="17A96649" w14:textId="77777777" w:rsidTr="00E46369">
      <w:tc>
        <w:tcPr>
          <w:tcW w:w="2552" w:type="dxa"/>
          <w:vAlign w:val="center"/>
          <w:hideMark/>
        </w:tcPr>
        <w:p w14:paraId="1B5C749B" w14:textId="77777777" w:rsidR="00E46369" w:rsidRPr="00E51193" w:rsidRDefault="00E46369" w:rsidP="00E46369">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44F21F59" w14:textId="5283A72D" w:rsidR="00E46369" w:rsidRPr="00E51193" w:rsidRDefault="00E46369" w:rsidP="00E46369">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sidR="00A035F6">
            <w:rPr>
              <w:rFonts w:ascii="Palatino Linotype" w:hAnsi="Palatino Linotype"/>
              <w:b/>
              <w:sz w:val="21"/>
              <w:szCs w:val="21"/>
              <w:lang w:val="es-ES_tradnl"/>
            </w:rPr>
            <w:t>3234</w:t>
          </w:r>
          <w:r w:rsidR="00056AE1">
            <w:rPr>
              <w:rFonts w:ascii="Palatino Linotype" w:hAnsi="Palatino Linotype"/>
              <w:b/>
              <w:sz w:val="21"/>
              <w:szCs w:val="21"/>
              <w:lang w:val="es-ES_tradnl"/>
            </w:rPr>
            <w:t>/INFOEM/IP/RR/2021</w:t>
          </w:r>
        </w:p>
      </w:tc>
    </w:tr>
    <w:tr w:rsidR="00E46369" w:rsidRPr="00E51193" w14:paraId="7474F895" w14:textId="77777777" w:rsidTr="00E46369">
      <w:trPr>
        <w:trHeight w:val="228"/>
      </w:trPr>
      <w:tc>
        <w:tcPr>
          <w:tcW w:w="2552" w:type="dxa"/>
          <w:vAlign w:val="center"/>
          <w:hideMark/>
        </w:tcPr>
        <w:p w14:paraId="58C5C6E6" w14:textId="77777777" w:rsidR="00E46369" w:rsidRPr="00E51193" w:rsidRDefault="00E46369" w:rsidP="00E46369">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366C513A" w14:textId="7C5369B3" w:rsidR="00E46369" w:rsidRPr="00E51193" w:rsidRDefault="00A035F6" w:rsidP="00E46369">
          <w:pPr>
            <w:jc w:val="both"/>
            <w:rPr>
              <w:rFonts w:ascii="Palatino Linotype" w:hAnsi="Palatino Linotype"/>
              <w:b/>
              <w:sz w:val="21"/>
              <w:szCs w:val="21"/>
              <w:lang w:val="es-ES_tradnl"/>
            </w:rPr>
          </w:pPr>
          <w:r>
            <w:rPr>
              <w:rFonts w:ascii="Palatino Linotype" w:hAnsi="Palatino Linotype"/>
              <w:b/>
              <w:bCs/>
              <w:sz w:val="22"/>
              <w:szCs w:val="21"/>
            </w:rPr>
            <w:t>Secretaría de Movilidad</w:t>
          </w:r>
        </w:p>
      </w:tc>
    </w:tr>
    <w:tr w:rsidR="00E46369" w:rsidRPr="00E51193" w14:paraId="5CE0CCD8" w14:textId="77777777" w:rsidTr="00E46369">
      <w:tc>
        <w:tcPr>
          <w:tcW w:w="2552" w:type="dxa"/>
          <w:vAlign w:val="center"/>
          <w:hideMark/>
        </w:tcPr>
        <w:p w14:paraId="46715627" w14:textId="35BB95B1" w:rsidR="00E46369" w:rsidRPr="00E51193" w:rsidRDefault="00056AE1" w:rsidP="00E46369">
          <w:pPr>
            <w:rPr>
              <w:rFonts w:ascii="Palatino Linotype" w:hAnsi="Palatino Linotype"/>
              <w:b/>
              <w:sz w:val="21"/>
              <w:szCs w:val="21"/>
              <w:lang w:val="es-ES_tradnl"/>
            </w:rPr>
          </w:pPr>
          <w:r>
            <w:rPr>
              <w:rFonts w:ascii="Palatino Linotype" w:hAnsi="Palatino Linotype"/>
              <w:b/>
              <w:sz w:val="21"/>
              <w:szCs w:val="21"/>
              <w:lang w:val="es-ES_tradnl"/>
            </w:rPr>
            <w:t>Comisionada</w:t>
          </w:r>
          <w:r w:rsidR="00E46369" w:rsidRPr="00E51193">
            <w:rPr>
              <w:rFonts w:ascii="Palatino Linotype" w:hAnsi="Palatino Linotype"/>
              <w:b/>
              <w:sz w:val="21"/>
              <w:szCs w:val="21"/>
              <w:lang w:val="es-ES_tradnl"/>
            </w:rPr>
            <w:t xml:space="preserve"> ponente:</w:t>
          </w:r>
        </w:p>
      </w:tc>
      <w:tc>
        <w:tcPr>
          <w:tcW w:w="2976" w:type="dxa"/>
          <w:vAlign w:val="center"/>
          <w:hideMark/>
        </w:tcPr>
        <w:p w14:paraId="0502F0E9" w14:textId="1E1DA795" w:rsidR="00E46369" w:rsidRPr="00E51193" w:rsidRDefault="00056AE1" w:rsidP="00E46369">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371F6F22" w14:textId="77777777" w:rsidR="00E46369" w:rsidRDefault="00E46369" w:rsidP="00E46369">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773F80C" wp14:editId="56FFACD0">
          <wp:simplePos x="0" y="0"/>
          <wp:positionH relativeFrom="margin">
            <wp:align>center</wp:align>
          </wp:positionH>
          <wp:positionV relativeFrom="paragraph">
            <wp:posOffset>-1249680</wp:posOffset>
          </wp:positionV>
          <wp:extent cx="7635163" cy="9944100"/>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22B41" w14:textId="5D439887" w:rsidR="00E46369" w:rsidRDefault="00E46369" w:rsidP="00E46369">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E46369" w:rsidRPr="00294C56" w14:paraId="4CF0D1BE" w14:textId="77777777" w:rsidTr="00E46369">
      <w:tc>
        <w:tcPr>
          <w:tcW w:w="2551" w:type="dxa"/>
          <w:vAlign w:val="center"/>
          <w:hideMark/>
        </w:tcPr>
        <w:p w14:paraId="50F24B5C" w14:textId="77777777" w:rsidR="00E46369" w:rsidRPr="00541CBF" w:rsidRDefault="00E46369" w:rsidP="00E46369">
          <w:pPr>
            <w:rPr>
              <w:rFonts w:ascii="Palatino Linotype" w:hAnsi="Palatino Linotype"/>
              <w:b/>
              <w:sz w:val="22"/>
              <w:szCs w:val="21"/>
              <w:lang w:val="es-ES_tradnl"/>
            </w:rPr>
          </w:pPr>
          <w:r w:rsidRPr="00541CBF">
            <w:rPr>
              <w:rFonts w:ascii="Palatino Linotype" w:hAnsi="Palatino Linotype"/>
              <w:b/>
              <w:sz w:val="22"/>
              <w:szCs w:val="21"/>
              <w:lang w:val="es-ES_tradnl"/>
            </w:rPr>
            <w:t>Recurso de Revisión:</w:t>
          </w:r>
        </w:p>
      </w:tc>
      <w:tc>
        <w:tcPr>
          <w:tcW w:w="3687" w:type="dxa"/>
          <w:vAlign w:val="center"/>
          <w:hideMark/>
        </w:tcPr>
        <w:p w14:paraId="7A41E4BB" w14:textId="40C9D264" w:rsidR="00E46369" w:rsidRPr="00541CBF" w:rsidRDefault="00E46369" w:rsidP="00E46369">
          <w:pPr>
            <w:jc w:val="both"/>
            <w:rPr>
              <w:rFonts w:ascii="Palatino Linotype" w:hAnsi="Palatino Linotype"/>
              <w:b/>
              <w:sz w:val="22"/>
              <w:szCs w:val="21"/>
              <w:lang w:val="es-ES_tradnl"/>
            </w:rPr>
          </w:pPr>
          <w:r w:rsidRPr="00541CBF">
            <w:rPr>
              <w:rFonts w:ascii="Palatino Linotype" w:hAnsi="Palatino Linotype"/>
              <w:b/>
              <w:sz w:val="22"/>
              <w:szCs w:val="21"/>
              <w:lang w:val="es-ES_tradnl"/>
            </w:rPr>
            <w:t>0</w:t>
          </w:r>
          <w:r w:rsidR="00A035F6">
            <w:rPr>
              <w:rFonts w:ascii="Palatino Linotype" w:hAnsi="Palatino Linotype"/>
              <w:b/>
              <w:sz w:val="22"/>
              <w:szCs w:val="21"/>
              <w:lang w:val="es-ES_tradnl"/>
            </w:rPr>
            <w:t>3234</w:t>
          </w:r>
          <w:r w:rsidR="00056AE1" w:rsidRPr="00541CBF">
            <w:rPr>
              <w:rFonts w:ascii="Palatino Linotype" w:hAnsi="Palatino Linotype"/>
              <w:b/>
              <w:sz w:val="22"/>
              <w:szCs w:val="21"/>
              <w:lang w:val="es-ES_tradnl"/>
            </w:rPr>
            <w:t>/INFOEM/IP/RR/2021</w:t>
          </w:r>
        </w:p>
      </w:tc>
    </w:tr>
    <w:tr w:rsidR="00E46369" w:rsidRPr="00294C56" w14:paraId="6D092976" w14:textId="77777777" w:rsidTr="008A5BDF">
      <w:trPr>
        <w:trHeight w:val="431"/>
      </w:trPr>
      <w:tc>
        <w:tcPr>
          <w:tcW w:w="2551" w:type="dxa"/>
          <w:vAlign w:val="center"/>
          <w:hideMark/>
        </w:tcPr>
        <w:p w14:paraId="4DAB50F2" w14:textId="77777777" w:rsidR="00E46369" w:rsidRPr="00541CBF" w:rsidRDefault="00E46369" w:rsidP="00E46369">
          <w:pPr>
            <w:ind w:left="35" w:hanging="35"/>
            <w:rPr>
              <w:rFonts w:ascii="Palatino Linotype" w:hAnsi="Palatino Linotype"/>
              <w:b/>
              <w:sz w:val="22"/>
              <w:szCs w:val="21"/>
              <w:lang w:val="es-ES_tradnl"/>
            </w:rPr>
          </w:pPr>
          <w:r w:rsidRPr="00541CBF">
            <w:rPr>
              <w:rFonts w:ascii="Palatino Linotype" w:hAnsi="Palatino Linotype"/>
              <w:b/>
              <w:sz w:val="22"/>
              <w:szCs w:val="21"/>
              <w:lang w:val="es-ES_tradnl"/>
            </w:rPr>
            <w:t>Recurrente:</w:t>
          </w:r>
        </w:p>
      </w:tc>
      <w:tc>
        <w:tcPr>
          <w:tcW w:w="3687" w:type="dxa"/>
          <w:vAlign w:val="center"/>
          <w:hideMark/>
        </w:tcPr>
        <w:p w14:paraId="404D3579" w14:textId="19991FDF" w:rsidR="00E46369" w:rsidRPr="00541CBF" w:rsidRDefault="00E46369" w:rsidP="00E46369">
          <w:pPr>
            <w:jc w:val="both"/>
            <w:rPr>
              <w:rFonts w:ascii="Palatino Linotype" w:hAnsi="Palatino Linotype"/>
              <w:b/>
              <w:sz w:val="22"/>
              <w:szCs w:val="21"/>
              <w:lang w:val="es-ES_tradnl"/>
            </w:rPr>
          </w:pPr>
        </w:p>
      </w:tc>
    </w:tr>
    <w:tr w:rsidR="00E46369" w:rsidRPr="00294C56" w14:paraId="0815F746" w14:textId="77777777" w:rsidTr="00E46369">
      <w:trPr>
        <w:trHeight w:val="228"/>
      </w:trPr>
      <w:tc>
        <w:tcPr>
          <w:tcW w:w="2551" w:type="dxa"/>
          <w:vAlign w:val="center"/>
          <w:hideMark/>
        </w:tcPr>
        <w:p w14:paraId="13889126" w14:textId="77777777" w:rsidR="00E46369" w:rsidRPr="00541CBF" w:rsidRDefault="00E46369" w:rsidP="00E46369">
          <w:pPr>
            <w:rPr>
              <w:rFonts w:ascii="Palatino Linotype" w:hAnsi="Palatino Linotype"/>
              <w:b/>
              <w:sz w:val="22"/>
              <w:szCs w:val="21"/>
              <w:lang w:val="es-ES_tradnl"/>
            </w:rPr>
          </w:pPr>
          <w:r w:rsidRPr="00541CBF">
            <w:rPr>
              <w:rFonts w:ascii="Palatino Linotype" w:hAnsi="Palatino Linotype"/>
              <w:b/>
              <w:sz w:val="22"/>
              <w:szCs w:val="21"/>
              <w:lang w:val="es-ES_tradnl"/>
            </w:rPr>
            <w:t>Sujeto obligado:</w:t>
          </w:r>
        </w:p>
      </w:tc>
      <w:tc>
        <w:tcPr>
          <w:tcW w:w="3687" w:type="dxa"/>
          <w:vAlign w:val="center"/>
          <w:hideMark/>
        </w:tcPr>
        <w:p w14:paraId="79352D40" w14:textId="381B2C5B" w:rsidR="00E46369" w:rsidRPr="008E656D" w:rsidRDefault="008A5BDF" w:rsidP="008E656D">
          <w:pPr>
            <w:ind w:right="318"/>
            <w:jc w:val="both"/>
            <w:rPr>
              <w:rFonts w:ascii="Palatino Linotype" w:hAnsi="Palatino Linotype"/>
              <w:b/>
              <w:bCs/>
              <w:sz w:val="22"/>
              <w:szCs w:val="21"/>
            </w:rPr>
          </w:pPr>
          <w:r w:rsidRPr="00541CBF">
            <w:rPr>
              <w:noProof/>
              <w:sz w:val="22"/>
              <w:lang w:eastAsia="es-MX"/>
            </w:rPr>
            <w:drawing>
              <wp:anchor distT="0" distB="0" distL="114300" distR="114300" simplePos="0" relativeHeight="251660288" behindDoc="1" locked="0" layoutInCell="1" allowOverlap="1" wp14:anchorId="29959A34" wp14:editId="063F9801">
                <wp:simplePos x="0" y="0"/>
                <wp:positionH relativeFrom="page">
                  <wp:posOffset>-4543425</wp:posOffset>
                </wp:positionH>
                <wp:positionV relativeFrom="paragraph">
                  <wp:posOffset>-1029335</wp:posOffset>
                </wp:positionV>
                <wp:extent cx="7635240" cy="9942830"/>
                <wp:effectExtent l="0" t="0" r="381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sidR="00A035F6">
            <w:rPr>
              <w:rFonts w:ascii="Palatino Linotype" w:hAnsi="Palatino Linotype"/>
              <w:b/>
              <w:bCs/>
              <w:sz w:val="22"/>
              <w:szCs w:val="21"/>
            </w:rPr>
            <w:t>Secretaría de Movilidad</w:t>
          </w:r>
        </w:p>
      </w:tc>
    </w:tr>
    <w:tr w:rsidR="00E46369" w:rsidRPr="00294C56" w14:paraId="4ABEE419" w14:textId="77777777" w:rsidTr="00E46369">
      <w:tc>
        <w:tcPr>
          <w:tcW w:w="2551" w:type="dxa"/>
          <w:vAlign w:val="center"/>
          <w:hideMark/>
        </w:tcPr>
        <w:p w14:paraId="4DBBF831" w14:textId="20264929" w:rsidR="00E46369" w:rsidRPr="00541CBF" w:rsidRDefault="00056AE1" w:rsidP="00E46369">
          <w:pPr>
            <w:rPr>
              <w:rFonts w:ascii="Palatino Linotype" w:hAnsi="Palatino Linotype"/>
              <w:b/>
              <w:sz w:val="22"/>
              <w:szCs w:val="21"/>
              <w:lang w:val="es-ES_tradnl"/>
            </w:rPr>
          </w:pPr>
          <w:r w:rsidRPr="00541CBF">
            <w:rPr>
              <w:rFonts w:ascii="Palatino Linotype" w:hAnsi="Palatino Linotype"/>
              <w:b/>
              <w:sz w:val="22"/>
              <w:szCs w:val="21"/>
              <w:lang w:val="es-ES_tradnl"/>
            </w:rPr>
            <w:t>Comisionada</w:t>
          </w:r>
          <w:r w:rsidR="00E46369" w:rsidRPr="00541CBF">
            <w:rPr>
              <w:rFonts w:ascii="Palatino Linotype" w:hAnsi="Palatino Linotype"/>
              <w:b/>
              <w:sz w:val="22"/>
              <w:szCs w:val="21"/>
              <w:lang w:val="es-ES_tradnl"/>
            </w:rPr>
            <w:t xml:space="preserve"> ponente:</w:t>
          </w:r>
        </w:p>
      </w:tc>
      <w:tc>
        <w:tcPr>
          <w:tcW w:w="3687" w:type="dxa"/>
          <w:vAlign w:val="center"/>
          <w:hideMark/>
        </w:tcPr>
        <w:p w14:paraId="3F2D5FBE" w14:textId="12803E56" w:rsidR="00E46369" w:rsidRPr="00541CBF" w:rsidRDefault="00056AE1" w:rsidP="00E46369">
          <w:pPr>
            <w:ind w:right="-533"/>
            <w:jc w:val="both"/>
            <w:rPr>
              <w:rFonts w:ascii="Palatino Linotype" w:hAnsi="Palatino Linotype"/>
              <w:b/>
              <w:sz w:val="22"/>
              <w:szCs w:val="21"/>
              <w:lang w:val="es-ES_tradnl"/>
            </w:rPr>
          </w:pPr>
          <w:r w:rsidRPr="00541CBF">
            <w:rPr>
              <w:rFonts w:ascii="Palatino Linotype" w:hAnsi="Palatino Linotype"/>
              <w:b/>
              <w:sz w:val="22"/>
              <w:szCs w:val="21"/>
              <w:lang w:val="es-ES_tradnl"/>
            </w:rPr>
            <w:t>Guadalupe Ramírez Peña</w:t>
          </w:r>
        </w:p>
      </w:tc>
    </w:tr>
  </w:tbl>
  <w:p w14:paraId="18417863" w14:textId="77777777" w:rsidR="00E46369" w:rsidRDefault="00E46369" w:rsidP="00E4636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49" w14:textId="77777777" w:rsidR="00B86F3F" w:rsidRDefault="00B86F3F" w:rsidP="00E46369">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496D"/>
    <w:multiLevelType w:val="hybridMultilevel"/>
    <w:tmpl w:val="539AB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7153F5"/>
    <w:multiLevelType w:val="hybridMultilevel"/>
    <w:tmpl w:val="DE0E4724"/>
    <w:lvl w:ilvl="0" w:tplc="B1A6C1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86371"/>
    <w:multiLevelType w:val="hybridMultilevel"/>
    <w:tmpl w:val="CB980382"/>
    <w:lvl w:ilvl="0" w:tplc="FFC4CF8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65069A"/>
    <w:multiLevelType w:val="hybridMultilevel"/>
    <w:tmpl w:val="A3A439E8"/>
    <w:lvl w:ilvl="0" w:tplc="8D5C72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876D16"/>
    <w:multiLevelType w:val="hybridMultilevel"/>
    <w:tmpl w:val="7FD6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8723F6"/>
    <w:multiLevelType w:val="hybridMultilevel"/>
    <w:tmpl w:val="AB6E4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2D375900"/>
    <w:multiLevelType w:val="hybridMultilevel"/>
    <w:tmpl w:val="3BC67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D67C0B"/>
    <w:multiLevelType w:val="hybridMultilevel"/>
    <w:tmpl w:val="65F8763C"/>
    <w:lvl w:ilvl="0" w:tplc="C52A92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CC396C"/>
    <w:multiLevelType w:val="hybridMultilevel"/>
    <w:tmpl w:val="237CA58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48E1227B"/>
    <w:multiLevelType w:val="hybridMultilevel"/>
    <w:tmpl w:val="F7F063C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nsid w:val="4AAA132E"/>
    <w:multiLevelType w:val="hybridMultilevel"/>
    <w:tmpl w:val="E6669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B1C377F"/>
    <w:multiLevelType w:val="hybridMultilevel"/>
    <w:tmpl w:val="9912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F1263B"/>
    <w:multiLevelType w:val="hybridMultilevel"/>
    <w:tmpl w:val="AECEC36E"/>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5">
    <w:nsid w:val="58C00647"/>
    <w:multiLevelType w:val="hybridMultilevel"/>
    <w:tmpl w:val="8C2A97DE"/>
    <w:lvl w:ilvl="0" w:tplc="B7E4495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AED1191"/>
    <w:multiLevelType w:val="hybridMultilevel"/>
    <w:tmpl w:val="C9D805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6129220C"/>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62FA5499"/>
    <w:multiLevelType w:val="multilevel"/>
    <w:tmpl w:val="70DA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0C0DF4"/>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E70609"/>
    <w:multiLevelType w:val="hybridMultilevel"/>
    <w:tmpl w:val="A4E8C1C0"/>
    <w:lvl w:ilvl="0" w:tplc="395CC7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6B0B93"/>
    <w:multiLevelType w:val="hybridMultilevel"/>
    <w:tmpl w:val="95C4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1732929"/>
    <w:multiLevelType w:val="hybridMultilevel"/>
    <w:tmpl w:val="2B62C072"/>
    <w:lvl w:ilvl="0" w:tplc="2BE682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7817371"/>
    <w:multiLevelType w:val="hybridMultilevel"/>
    <w:tmpl w:val="9474D1C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77D61F97"/>
    <w:multiLevelType w:val="hybridMultilevel"/>
    <w:tmpl w:val="457AA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3"/>
  </w:num>
  <w:num w:numId="4">
    <w:abstractNumId w:val="16"/>
  </w:num>
  <w:num w:numId="5">
    <w:abstractNumId w:val="4"/>
  </w:num>
  <w:num w:numId="6">
    <w:abstractNumId w:val="2"/>
  </w:num>
  <w:num w:numId="7">
    <w:abstractNumId w:val="0"/>
  </w:num>
  <w:num w:numId="8">
    <w:abstractNumId w:val="18"/>
  </w:num>
  <w:num w:numId="9">
    <w:abstractNumId w:val="22"/>
  </w:num>
  <w:num w:numId="10">
    <w:abstractNumId w:val="24"/>
  </w:num>
  <w:num w:numId="11">
    <w:abstractNumId w:val="9"/>
  </w:num>
  <w:num w:numId="12">
    <w:abstractNumId w:val="12"/>
  </w:num>
  <w:num w:numId="13">
    <w:abstractNumId w:val="11"/>
  </w:num>
  <w:num w:numId="14">
    <w:abstractNumId w:val="17"/>
  </w:num>
  <w:num w:numId="15">
    <w:abstractNumId w:val="10"/>
  </w:num>
  <w:num w:numId="16">
    <w:abstractNumId w:val="6"/>
  </w:num>
  <w:num w:numId="17">
    <w:abstractNumId w:val="19"/>
  </w:num>
  <w:num w:numId="18">
    <w:abstractNumId w:val="15"/>
  </w:num>
  <w:num w:numId="19">
    <w:abstractNumId w:val="14"/>
  </w:num>
  <w:num w:numId="20">
    <w:abstractNumId w:val="25"/>
  </w:num>
  <w:num w:numId="21">
    <w:abstractNumId w:val="23"/>
  </w:num>
  <w:num w:numId="22">
    <w:abstractNumId w:val="21"/>
  </w:num>
  <w:num w:numId="23">
    <w:abstractNumId w:val="7"/>
  </w:num>
  <w:num w:numId="24">
    <w:abstractNumId w:val="3"/>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98"/>
    <w:rsid w:val="0001513C"/>
    <w:rsid w:val="000509AF"/>
    <w:rsid w:val="00050CEC"/>
    <w:rsid w:val="000514B2"/>
    <w:rsid w:val="00056AE1"/>
    <w:rsid w:val="0007583A"/>
    <w:rsid w:val="00085930"/>
    <w:rsid w:val="00086D94"/>
    <w:rsid w:val="00096ABA"/>
    <w:rsid w:val="000A0882"/>
    <w:rsid w:val="000A0A28"/>
    <w:rsid w:val="000D63DF"/>
    <w:rsid w:val="000E1D65"/>
    <w:rsid w:val="00100BA4"/>
    <w:rsid w:val="00101E7C"/>
    <w:rsid w:val="00102CB8"/>
    <w:rsid w:val="00140097"/>
    <w:rsid w:val="001430BC"/>
    <w:rsid w:val="00154BEF"/>
    <w:rsid w:val="00167B6A"/>
    <w:rsid w:val="001C29A2"/>
    <w:rsid w:val="001D48D9"/>
    <w:rsid w:val="00200718"/>
    <w:rsid w:val="00211620"/>
    <w:rsid w:val="00255C71"/>
    <w:rsid w:val="00271FE2"/>
    <w:rsid w:val="00294440"/>
    <w:rsid w:val="002C4AD5"/>
    <w:rsid w:val="002D3B50"/>
    <w:rsid w:val="002F0DD9"/>
    <w:rsid w:val="003009CE"/>
    <w:rsid w:val="00342E40"/>
    <w:rsid w:val="003538A4"/>
    <w:rsid w:val="00390CFA"/>
    <w:rsid w:val="00393492"/>
    <w:rsid w:val="003C3DBF"/>
    <w:rsid w:val="003E0A3E"/>
    <w:rsid w:val="003E6F6F"/>
    <w:rsid w:val="00406B2C"/>
    <w:rsid w:val="004326A0"/>
    <w:rsid w:val="0045459A"/>
    <w:rsid w:val="00456BC4"/>
    <w:rsid w:val="0046390E"/>
    <w:rsid w:val="00467A91"/>
    <w:rsid w:val="00467CAE"/>
    <w:rsid w:val="0047791F"/>
    <w:rsid w:val="00485BC7"/>
    <w:rsid w:val="004A473B"/>
    <w:rsid w:val="004C595A"/>
    <w:rsid w:val="004C760D"/>
    <w:rsid w:val="004E3FCF"/>
    <w:rsid w:val="00505347"/>
    <w:rsid w:val="005176D6"/>
    <w:rsid w:val="00527258"/>
    <w:rsid w:val="00527F8A"/>
    <w:rsid w:val="00541CBF"/>
    <w:rsid w:val="00544B0C"/>
    <w:rsid w:val="00553B5B"/>
    <w:rsid w:val="005903D0"/>
    <w:rsid w:val="00590FC4"/>
    <w:rsid w:val="005945F5"/>
    <w:rsid w:val="005B5F00"/>
    <w:rsid w:val="005D5F23"/>
    <w:rsid w:val="005E0CA6"/>
    <w:rsid w:val="005E2DAD"/>
    <w:rsid w:val="0060556D"/>
    <w:rsid w:val="00620E0D"/>
    <w:rsid w:val="00622BE6"/>
    <w:rsid w:val="00651F1D"/>
    <w:rsid w:val="00696CAB"/>
    <w:rsid w:val="006A250A"/>
    <w:rsid w:val="006D60B7"/>
    <w:rsid w:val="00726FEE"/>
    <w:rsid w:val="0074736E"/>
    <w:rsid w:val="007644BD"/>
    <w:rsid w:val="007707B4"/>
    <w:rsid w:val="007E328A"/>
    <w:rsid w:val="007F0A44"/>
    <w:rsid w:val="007F0A62"/>
    <w:rsid w:val="007F1770"/>
    <w:rsid w:val="007F4D71"/>
    <w:rsid w:val="00802FA0"/>
    <w:rsid w:val="00806347"/>
    <w:rsid w:val="00820B20"/>
    <w:rsid w:val="0082776C"/>
    <w:rsid w:val="00841824"/>
    <w:rsid w:val="00876963"/>
    <w:rsid w:val="0088388C"/>
    <w:rsid w:val="008921BD"/>
    <w:rsid w:val="008A5BDF"/>
    <w:rsid w:val="008D7791"/>
    <w:rsid w:val="008D79C0"/>
    <w:rsid w:val="008E656D"/>
    <w:rsid w:val="008E76D7"/>
    <w:rsid w:val="00905A92"/>
    <w:rsid w:val="00910E83"/>
    <w:rsid w:val="009200A4"/>
    <w:rsid w:val="0092322B"/>
    <w:rsid w:val="00950002"/>
    <w:rsid w:val="0095111F"/>
    <w:rsid w:val="00961F13"/>
    <w:rsid w:val="00963DFA"/>
    <w:rsid w:val="009678AF"/>
    <w:rsid w:val="0097712D"/>
    <w:rsid w:val="009860A3"/>
    <w:rsid w:val="00986132"/>
    <w:rsid w:val="00995216"/>
    <w:rsid w:val="009A4BE5"/>
    <w:rsid w:val="009A6034"/>
    <w:rsid w:val="009B1168"/>
    <w:rsid w:val="009C5B5B"/>
    <w:rsid w:val="009E0CB2"/>
    <w:rsid w:val="00A035F6"/>
    <w:rsid w:val="00A1520C"/>
    <w:rsid w:val="00A45CBD"/>
    <w:rsid w:val="00A52290"/>
    <w:rsid w:val="00A6266F"/>
    <w:rsid w:val="00A85ED7"/>
    <w:rsid w:val="00AA1A3D"/>
    <w:rsid w:val="00AA314F"/>
    <w:rsid w:val="00AC0D7B"/>
    <w:rsid w:val="00AC2D98"/>
    <w:rsid w:val="00AF537B"/>
    <w:rsid w:val="00AF5CCE"/>
    <w:rsid w:val="00B06B69"/>
    <w:rsid w:val="00B07F66"/>
    <w:rsid w:val="00B10368"/>
    <w:rsid w:val="00B10F28"/>
    <w:rsid w:val="00B21A6F"/>
    <w:rsid w:val="00B344BA"/>
    <w:rsid w:val="00B5445E"/>
    <w:rsid w:val="00B619C4"/>
    <w:rsid w:val="00B65E33"/>
    <w:rsid w:val="00B82BF7"/>
    <w:rsid w:val="00B86F3F"/>
    <w:rsid w:val="00BA2118"/>
    <w:rsid w:val="00BA3957"/>
    <w:rsid w:val="00BA657E"/>
    <w:rsid w:val="00BC2CA8"/>
    <w:rsid w:val="00BC4A9E"/>
    <w:rsid w:val="00BD5405"/>
    <w:rsid w:val="00BF1A00"/>
    <w:rsid w:val="00BF5198"/>
    <w:rsid w:val="00C006C9"/>
    <w:rsid w:val="00C3076A"/>
    <w:rsid w:val="00C93F5E"/>
    <w:rsid w:val="00CA54AC"/>
    <w:rsid w:val="00CA65D0"/>
    <w:rsid w:val="00CC6A07"/>
    <w:rsid w:val="00CD5C5F"/>
    <w:rsid w:val="00CF1CB4"/>
    <w:rsid w:val="00D7548B"/>
    <w:rsid w:val="00DE3525"/>
    <w:rsid w:val="00DF305C"/>
    <w:rsid w:val="00E259F4"/>
    <w:rsid w:val="00E26C63"/>
    <w:rsid w:val="00E34919"/>
    <w:rsid w:val="00E46369"/>
    <w:rsid w:val="00E72A3F"/>
    <w:rsid w:val="00E85C7B"/>
    <w:rsid w:val="00EA2E8F"/>
    <w:rsid w:val="00EB6586"/>
    <w:rsid w:val="00F07EDA"/>
    <w:rsid w:val="00F37C60"/>
    <w:rsid w:val="00F5321F"/>
    <w:rsid w:val="00F558CD"/>
    <w:rsid w:val="00F65DC4"/>
    <w:rsid w:val="00F74F8B"/>
    <w:rsid w:val="00FA0BE1"/>
    <w:rsid w:val="00FA411C"/>
    <w:rsid w:val="00FB466B"/>
    <w:rsid w:val="00FE6A5F"/>
    <w:rsid w:val="00FF5F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63DE53"/>
  <w15:chartTrackingRefBased/>
  <w15:docId w15:val="{B33DD8E6-A4B5-4065-8F09-11EA481B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2D9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2D98"/>
    <w:rPr>
      <w:rFonts w:eastAsiaTheme="minorEastAsia"/>
      <w:sz w:val="24"/>
      <w:szCs w:val="24"/>
      <w:lang w:val="es-ES_tradnl" w:eastAsia="es-ES"/>
    </w:rPr>
  </w:style>
  <w:style w:type="paragraph" w:styleId="Piedepgina">
    <w:name w:val="footer"/>
    <w:basedOn w:val="Normal"/>
    <w:link w:val="PiedepginaCar"/>
    <w:uiPriority w:val="99"/>
    <w:unhideWhenUsed/>
    <w:rsid w:val="00AC2D9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2D9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2D9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2D98"/>
    <w:pPr>
      <w:ind w:left="708"/>
    </w:pPr>
    <w:rPr>
      <w:sz w:val="22"/>
      <w:szCs w:val="22"/>
      <w:lang w:eastAsia="en-US"/>
    </w:rPr>
  </w:style>
  <w:style w:type="table" w:styleId="Tablaconcuadrcula">
    <w:name w:val="Table Grid"/>
    <w:basedOn w:val="Tablanormal"/>
    <w:uiPriority w:val="39"/>
    <w:rsid w:val="00AC2D9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2D98"/>
  </w:style>
  <w:style w:type="character" w:customStyle="1" w:styleId="apple-converted-space">
    <w:name w:val="apple-converted-space"/>
    <w:basedOn w:val="Fuentedeprrafopredeter"/>
    <w:rsid w:val="00AC2D98"/>
  </w:style>
  <w:style w:type="character" w:styleId="Hipervnculo">
    <w:name w:val="Hyperlink"/>
    <w:basedOn w:val="Fuentedeprrafopredeter"/>
    <w:uiPriority w:val="99"/>
    <w:unhideWhenUsed/>
    <w:rsid w:val="00AC2D98"/>
    <w:rPr>
      <w:color w:val="0000FF"/>
      <w:u w:val="single"/>
    </w:rPr>
  </w:style>
  <w:style w:type="paragraph" w:styleId="NormalWeb">
    <w:name w:val="Normal (Web)"/>
    <w:basedOn w:val="Normal"/>
    <w:uiPriority w:val="99"/>
    <w:unhideWhenUsed/>
    <w:rsid w:val="00AC2D98"/>
    <w:pPr>
      <w:spacing w:before="100" w:beforeAutospacing="1" w:after="100" w:afterAutospacing="1"/>
    </w:pPr>
    <w:rPr>
      <w:lang w:eastAsia="es-MX"/>
    </w:rPr>
  </w:style>
  <w:style w:type="paragraph" w:customStyle="1" w:styleId="Default">
    <w:name w:val="Default"/>
    <w:rsid w:val="00AC2D9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D7548B"/>
    <w:pPr>
      <w:spacing w:after="0" w:line="240" w:lineRule="auto"/>
    </w:pPr>
  </w:style>
  <w:style w:type="character" w:customStyle="1" w:styleId="SinespaciadoCar">
    <w:name w:val="Sin espaciado Car"/>
    <w:aliases w:val="Francesa Car"/>
    <w:link w:val="Sinespaciado"/>
    <w:uiPriority w:val="1"/>
    <w:locked/>
    <w:rsid w:val="00D7548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707B4"/>
    <w:rPr>
      <w:vertAlign w:val="superscript"/>
    </w:rPr>
  </w:style>
  <w:style w:type="paragraph" w:customStyle="1" w:styleId="ADB1">
    <w:name w:val="ADB1"/>
    <w:basedOn w:val="Normal"/>
    <w:next w:val="Textonotapie"/>
    <w:link w:val="TextonotapieCar"/>
    <w:uiPriority w:val="99"/>
    <w:unhideWhenUsed/>
    <w:qFormat/>
    <w:rsid w:val="007707B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uiPriority w:val="99"/>
    <w:rsid w:val="007707B4"/>
    <w:rPr>
      <w:sz w:val="20"/>
      <w:szCs w:val="20"/>
      <w:lang w:val="es-MX"/>
    </w:rPr>
  </w:style>
  <w:style w:type="paragraph" w:styleId="Textonotapie">
    <w:name w:val="footnote text"/>
    <w:basedOn w:val="Normal"/>
    <w:link w:val="TextonotapieCar1"/>
    <w:uiPriority w:val="99"/>
    <w:semiHidden/>
    <w:unhideWhenUsed/>
    <w:rsid w:val="007707B4"/>
    <w:rPr>
      <w:sz w:val="20"/>
      <w:szCs w:val="20"/>
    </w:rPr>
  </w:style>
  <w:style w:type="character" w:customStyle="1" w:styleId="TextonotapieCar1">
    <w:name w:val="Texto nota pie Car1"/>
    <w:basedOn w:val="Fuentedeprrafopredeter"/>
    <w:link w:val="Textonotapie"/>
    <w:uiPriority w:val="99"/>
    <w:semiHidden/>
    <w:rsid w:val="007707B4"/>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88388C"/>
    <w:rPr>
      <w:sz w:val="16"/>
      <w:szCs w:val="16"/>
    </w:rPr>
  </w:style>
  <w:style w:type="paragraph" w:styleId="Textocomentario">
    <w:name w:val="annotation text"/>
    <w:basedOn w:val="Normal"/>
    <w:link w:val="TextocomentarioCar"/>
    <w:uiPriority w:val="99"/>
    <w:semiHidden/>
    <w:unhideWhenUsed/>
    <w:rsid w:val="0088388C"/>
    <w:rPr>
      <w:sz w:val="20"/>
      <w:szCs w:val="20"/>
      <w:lang w:val="es-ES"/>
    </w:rPr>
  </w:style>
  <w:style w:type="character" w:customStyle="1" w:styleId="TextocomentarioCar">
    <w:name w:val="Texto comentario Car"/>
    <w:basedOn w:val="Fuentedeprrafopredeter"/>
    <w:link w:val="Textocomentario"/>
    <w:uiPriority w:val="99"/>
    <w:semiHidden/>
    <w:rsid w:val="0088388C"/>
    <w:rPr>
      <w:rFonts w:ascii="Times New Roman" w:eastAsia="Times New Roman" w:hAnsi="Times New Roman" w:cs="Times New Roman"/>
      <w:sz w:val="20"/>
      <w:szCs w:val="20"/>
      <w:lang w:val="es-ES" w:eastAsia="es-ES"/>
    </w:rPr>
  </w:style>
  <w:style w:type="character" w:customStyle="1" w:styleId="il">
    <w:name w:val="il"/>
    <w:basedOn w:val="Fuentedeprrafopredeter"/>
    <w:rsid w:val="00951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47709">
      <w:bodyDiv w:val="1"/>
      <w:marLeft w:val="0"/>
      <w:marRight w:val="0"/>
      <w:marTop w:val="0"/>
      <w:marBottom w:val="0"/>
      <w:divBdr>
        <w:top w:val="none" w:sz="0" w:space="0" w:color="auto"/>
        <w:left w:val="none" w:sz="0" w:space="0" w:color="auto"/>
        <w:bottom w:val="none" w:sz="0" w:space="0" w:color="auto"/>
        <w:right w:val="none" w:sz="0" w:space="0" w:color="auto"/>
      </w:divBdr>
    </w:div>
    <w:div w:id="364984642">
      <w:bodyDiv w:val="1"/>
      <w:marLeft w:val="0"/>
      <w:marRight w:val="0"/>
      <w:marTop w:val="0"/>
      <w:marBottom w:val="0"/>
      <w:divBdr>
        <w:top w:val="none" w:sz="0" w:space="0" w:color="auto"/>
        <w:left w:val="none" w:sz="0" w:space="0" w:color="auto"/>
        <w:bottom w:val="none" w:sz="0" w:space="0" w:color="auto"/>
        <w:right w:val="none" w:sz="0" w:space="0" w:color="auto"/>
      </w:divBdr>
      <w:divsChild>
        <w:div w:id="859708909">
          <w:marLeft w:val="0"/>
          <w:marRight w:val="0"/>
          <w:marTop w:val="0"/>
          <w:marBottom w:val="0"/>
          <w:divBdr>
            <w:top w:val="none" w:sz="0" w:space="0" w:color="auto"/>
            <w:left w:val="none" w:sz="0" w:space="0" w:color="auto"/>
            <w:bottom w:val="none" w:sz="0" w:space="0" w:color="auto"/>
            <w:right w:val="none" w:sz="0" w:space="0" w:color="auto"/>
          </w:divBdr>
        </w:div>
      </w:divsChild>
    </w:div>
    <w:div w:id="375588863">
      <w:bodyDiv w:val="1"/>
      <w:marLeft w:val="0"/>
      <w:marRight w:val="0"/>
      <w:marTop w:val="0"/>
      <w:marBottom w:val="0"/>
      <w:divBdr>
        <w:top w:val="none" w:sz="0" w:space="0" w:color="auto"/>
        <w:left w:val="none" w:sz="0" w:space="0" w:color="auto"/>
        <w:bottom w:val="none" w:sz="0" w:space="0" w:color="auto"/>
        <w:right w:val="none" w:sz="0" w:space="0" w:color="auto"/>
      </w:divBdr>
    </w:div>
    <w:div w:id="1146818342">
      <w:bodyDiv w:val="1"/>
      <w:marLeft w:val="0"/>
      <w:marRight w:val="0"/>
      <w:marTop w:val="0"/>
      <w:marBottom w:val="0"/>
      <w:divBdr>
        <w:top w:val="none" w:sz="0" w:space="0" w:color="auto"/>
        <w:left w:val="none" w:sz="0" w:space="0" w:color="auto"/>
        <w:bottom w:val="none" w:sz="0" w:space="0" w:color="auto"/>
        <w:right w:val="none" w:sz="0" w:space="0" w:color="auto"/>
      </w:divBdr>
    </w:div>
    <w:div w:id="1147284913">
      <w:bodyDiv w:val="1"/>
      <w:marLeft w:val="0"/>
      <w:marRight w:val="0"/>
      <w:marTop w:val="0"/>
      <w:marBottom w:val="0"/>
      <w:divBdr>
        <w:top w:val="none" w:sz="0" w:space="0" w:color="auto"/>
        <w:left w:val="none" w:sz="0" w:space="0" w:color="auto"/>
        <w:bottom w:val="none" w:sz="0" w:space="0" w:color="auto"/>
        <w:right w:val="none" w:sz="0" w:space="0" w:color="auto"/>
      </w:divBdr>
    </w:div>
    <w:div w:id="1320111227">
      <w:bodyDiv w:val="1"/>
      <w:marLeft w:val="0"/>
      <w:marRight w:val="0"/>
      <w:marTop w:val="0"/>
      <w:marBottom w:val="0"/>
      <w:divBdr>
        <w:top w:val="none" w:sz="0" w:space="0" w:color="auto"/>
        <w:left w:val="none" w:sz="0" w:space="0" w:color="auto"/>
        <w:bottom w:val="none" w:sz="0" w:space="0" w:color="auto"/>
        <w:right w:val="none" w:sz="0" w:space="0" w:color="auto"/>
      </w:divBdr>
    </w:div>
    <w:div w:id="1458332517">
      <w:bodyDiv w:val="1"/>
      <w:marLeft w:val="0"/>
      <w:marRight w:val="0"/>
      <w:marTop w:val="0"/>
      <w:marBottom w:val="0"/>
      <w:divBdr>
        <w:top w:val="none" w:sz="0" w:space="0" w:color="auto"/>
        <w:left w:val="none" w:sz="0" w:space="0" w:color="auto"/>
        <w:bottom w:val="none" w:sz="0" w:space="0" w:color="auto"/>
        <w:right w:val="none" w:sz="0" w:space="0" w:color="auto"/>
      </w:divBdr>
    </w:div>
    <w:div w:id="181136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10453</Words>
  <Characters>57496</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user</cp:lastModifiedBy>
  <cp:revision>2</cp:revision>
  <dcterms:created xsi:type="dcterms:W3CDTF">2021-11-01T23:22:00Z</dcterms:created>
  <dcterms:modified xsi:type="dcterms:W3CDTF">2021-11-01T23:22:00Z</dcterms:modified>
</cp:coreProperties>
</file>