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1D7D81">
        <w:rPr>
          <w:rFonts w:ascii="Palatino Linotype" w:eastAsia="Times New Roman" w:hAnsi="Palatino Linotype" w:cs="Arial"/>
          <w:color w:val="000000"/>
          <w:sz w:val="24"/>
          <w:szCs w:val="24"/>
          <w:lang w:eastAsia="es-MX"/>
        </w:rPr>
        <w:t>diecinueve de mayo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1D7D81"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w:t>
      </w:r>
      <w:r w:rsidR="00C873E0">
        <w:rPr>
          <w:rFonts w:ascii="Palatino Linotype" w:hAnsi="Palatino Linotype" w:cs="Arial"/>
          <w:b/>
          <w:bCs/>
          <w:sz w:val="24"/>
          <w:lang w:eastAsia="es-MX"/>
        </w:rPr>
        <w:t>37</w:t>
      </w:r>
      <w:r w:rsidR="00297212">
        <w:rPr>
          <w:rFonts w:ascii="Palatino Linotype" w:hAnsi="Palatino Linotype" w:cs="Arial"/>
          <w:b/>
          <w:bCs/>
          <w:sz w:val="24"/>
          <w:lang w:eastAsia="es-MX"/>
        </w:rPr>
        <w:t>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BE7CAE">
        <w:rPr>
          <w:rFonts w:ascii="Palatino Linotype" w:hAnsi="Palatino Linotype" w:cs="Arial"/>
          <w:sz w:val="24"/>
        </w:rPr>
        <w:t>un ciudadano que no proporciono un nombre para ser identificado</w:t>
      </w:r>
      <w:r w:rsidR="000A110B">
        <w:rPr>
          <w:rFonts w:ascii="Palatino Linotype" w:hAnsi="Palatino Linotype" w:cs="Arial"/>
          <w:sz w:val="24"/>
        </w:rPr>
        <w:t>,</w:t>
      </w:r>
      <w:r w:rsidR="00BE7CAE">
        <w:rPr>
          <w:rFonts w:ascii="Palatino Linotype" w:hAnsi="Palatino Linotype" w:cs="Arial"/>
          <w:sz w:val="24"/>
        </w:rPr>
        <w:t xml:space="preserve"> sin embargo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se le denominará</w:t>
      </w:r>
      <w:r w:rsidR="00CB5B7B" w:rsidRPr="00BE7CAE">
        <w:rPr>
          <w:rFonts w:ascii="Palatino Linotype" w:hAnsi="Palatino Linotype" w:cs="Arial"/>
          <w:sz w:val="24"/>
          <w:szCs w:val="24"/>
        </w:rPr>
        <w:t xml:space="preserve"> </w:t>
      </w:r>
      <w:r w:rsidR="00895187" w:rsidRPr="00BE7CAE">
        <w:rPr>
          <w:rFonts w:ascii="Palatino Linotype" w:hAnsi="Palatino Linotype" w:cs="Arial"/>
          <w:sz w:val="24"/>
          <w:szCs w:val="24"/>
        </w:rPr>
        <w:t>e</w:t>
      </w:r>
      <w:r w:rsidR="002C4718" w:rsidRPr="00BE7CAE">
        <w:rPr>
          <w:rFonts w:ascii="Palatino Linotype" w:hAnsi="Palatino Linotype" w:cs="Arial"/>
          <w:sz w:val="24"/>
          <w:szCs w:val="24"/>
        </w:rPr>
        <w:t>l</w:t>
      </w:r>
      <w:r w:rsidRPr="00F63239">
        <w:rPr>
          <w:rFonts w:ascii="Palatino Linotype" w:hAnsi="Palatino Linotype" w:cs="Arial"/>
          <w:b/>
          <w:sz w:val="24"/>
          <w:szCs w:val="24"/>
        </w:rPr>
        <w:t xml:space="preserve"> </w:t>
      </w:r>
      <w:r w:rsidR="00BE7CAE" w:rsidRPr="00BE7CAE">
        <w:rPr>
          <w:rFonts w:ascii="Palatino Linotype" w:hAnsi="Palatino Linotype" w:cs="Arial"/>
          <w:sz w:val="24"/>
          <w:szCs w:val="24"/>
        </w:rPr>
        <w:t>Recurrente</w:t>
      </w:r>
      <w:r w:rsidRPr="00F63239">
        <w:rPr>
          <w:rFonts w:ascii="Palatino Linotype" w:hAnsi="Palatino Linotype" w:cs="Arial"/>
          <w:sz w:val="24"/>
          <w:szCs w:val="24"/>
        </w:rPr>
        <w:t xml:space="preserve">, en contra de la respuesta otorgada por </w:t>
      </w:r>
      <w:r w:rsidR="00C873E0">
        <w:rPr>
          <w:rFonts w:ascii="Palatino Linotype" w:hAnsi="Palatino Linotype" w:cs="Arial"/>
          <w:b/>
          <w:sz w:val="24"/>
          <w:szCs w:val="24"/>
        </w:rPr>
        <w:t>el Ayuntamiento de Cuautitlán</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1D7D81" w:rsidRDefault="00F2498E" w:rsidP="001624E8">
      <w:pPr>
        <w:tabs>
          <w:tab w:val="left" w:pos="1701"/>
        </w:tabs>
        <w:spacing w:after="0" w:line="360" w:lineRule="auto"/>
        <w:jc w:val="both"/>
        <w:rPr>
          <w:rFonts w:ascii="Palatino Linotype" w:hAnsi="Palatino Linotype" w:cs="Arial"/>
          <w:sz w:val="20"/>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1D7D81" w:rsidRDefault="001624E8" w:rsidP="001624E8">
      <w:pPr>
        <w:spacing w:after="0" w:line="360" w:lineRule="auto"/>
        <w:jc w:val="center"/>
        <w:rPr>
          <w:rFonts w:ascii="Palatino Linotype" w:hAnsi="Palatino Linotype" w:cs="Arial"/>
          <w:b/>
          <w:sz w:val="1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C873E0" w:rsidRDefault="00E120FC" w:rsidP="001624E8">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Con fecha </w:t>
      </w:r>
      <w:r w:rsidR="00C873E0">
        <w:rPr>
          <w:rFonts w:ascii="Palatino Linotype" w:hAnsi="Palatino Linotype" w:cs="Arial"/>
          <w:sz w:val="24"/>
          <w:szCs w:val="24"/>
        </w:rPr>
        <w:t>dieciséis</w:t>
      </w:r>
      <w:r w:rsidR="00041DEA">
        <w:rPr>
          <w:rFonts w:ascii="Palatino Linotype" w:hAnsi="Palatino Linotype" w:cs="Arial"/>
          <w:sz w:val="24"/>
          <w:szCs w:val="24"/>
        </w:rPr>
        <w:t xml:space="preserve"> </w:t>
      </w:r>
      <w:r w:rsidR="00696FD6">
        <w:rPr>
          <w:rFonts w:ascii="Palatino Linotype" w:hAnsi="Palatino Linotype" w:cs="Arial"/>
          <w:sz w:val="24"/>
          <w:szCs w:val="24"/>
        </w:rPr>
        <w:t>de febrero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C873E0" w:rsidRPr="00C873E0">
        <w:rPr>
          <w:rFonts w:ascii="Palatino Linotype" w:hAnsi="Palatino Linotype" w:cs="Arial"/>
          <w:b/>
          <w:sz w:val="24"/>
          <w:szCs w:val="24"/>
        </w:rPr>
        <w:t>00043/CUAUTIT/IP/2021</w:t>
      </w:r>
      <w:r w:rsidR="00F2498E" w:rsidRPr="000C2D59">
        <w:rPr>
          <w:rFonts w:ascii="Palatino Linotype" w:hAnsi="Palatino Linotype" w:cs="Arial"/>
          <w:b/>
          <w:sz w:val="24"/>
          <w:szCs w:val="24"/>
        </w:rPr>
        <w:t>,</w:t>
      </w:r>
      <w:r w:rsidR="00F2498E" w:rsidRPr="00C873E0">
        <w:rPr>
          <w:rFonts w:ascii="Palatino Linotype" w:hAnsi="Palatino Linotype" w:cs="Arial"/>
          <w:b/>
          <w:sz w:val="24"/>
          <w:szCs w:val="24"/>
        </w:rPr>
        <w:t xml:space="preserve"> </w:t>
      </w:r>
      <w:r w:rsidR="00F2498E" w:rsidRPr="00C873E0">
        <w:rPr>
          <w:rFonts w:ascii="Palatino Linotype" w:hAnsi="Palatino Linotype" w:cs="Arial"/>
          <w:sz w:val="24"/>
          <w:szCs w:val="24"/>
        </w:rPr>
        <w:t>mediante la cual solicitó lo siguiente:</w:t>
      </w:r>
    </w:p>
    <w:p w:rsidR="001624E8" w:rsidRPr="001D7D81" w:rsidRDefault="001624E8" w:rsidP="001624E8">
      <w:pPr>
        <w:spacing w:after="0" w:line="360" w:lineRule="auto"/>
        <w:jc w:val="both"/>
        <w:rPr>
          <w:rFonts w:ascii="Palatino Linotype" w:hAnsi="Palatino Linotype" w:cs="Arial"/>
          <w:sz w:val="18"/>
          <w:szCs w:val="24"/>
        </w:rPr>
      </w:pPr>
    </w:p>
    <w:p w:rsidR="00D71BF7" w:rsidRPr="00C873E0" w:rsidRDefault="0023293E" w:rsidP="00041DEA">
      <w:pPr>
        <w:ind w:left="851" w:right="850"/>
        <w:jc w:val="both"/>
        <w:rPr>
          <w:rFonts w:ascii="Palatino Linotype" w:eastAsia="Times New Roman" w:hAnsi="Palatino Linotype" w:cs="Times New Roman"/>
          <w:i/>
          <w:lang w:eastAsia="es-MX"/>
        </w:rPr>
      </w:pPr>
      <w:r w:rsidRPr="00C873E0">
        <w:rPr>
          <w:rFonts w:ascii="Palatino Linotype" w:hAnsi="Palatino Linotype"/>
          <w:i/>
          <w:color w:val="000000"/>
        </w:rPr>
        <w:t>“</w:t>
      </w:r>
      <w:r w:rsidR="00C873E0" w:rsidRPr="00C873E0">
        <w:rPr>
          <w:rFonts w:ascii="Palatino Linotype" w:hAnsi="Palatino Linotype"/>
          <w:i/>
          <w:color w:val="000000"/>
        </w:rPr>
        <w:t>Todo el procedimiento de gestión de las direcciones correspondientes que se realizaron para los aparatos de ejercicio que se instalaron en el parque Centauro, así como los gastos que se llevaron a cabo, sea tan amable de anexarme todo los documentos que usted crea pertinentes para sustentar su respuesta</w:t>
      </w:r>
      <w:r w:rsidR="00041DEA" w:rsidRPr="00C873E0">
        <w:rPr>
          <w:rFonts w:ascii="Palatino Linotype" w:eastAsia="Times New Roman" w:hAnsi="Palatino Linotype" w:cs="Times New Roman"/>
          <w:i/>
          <w:lang w:eastAsia="es-MX"/>
        </w:rPr>
        <w:t>.</w:t>
      </w:r>
      <w:r w:rsidR="002155ED" w:rsidRPr="00C873E0">
        <w:rPr>
          <w:rFonts w:ascii="Palatino Linotype" w:hAnsi="Palatino Linotype"/>
          <w:i/>
          <w:color w:val="000000"/>
        </w:rPr>
        <w:t>(Sic).</w:t>
      </w:r>
    </w:p>
    <w:p w:rsidR="001624E8" w:rsidRPr="00793B7C" w:rsidRDefault="001624E8" w:rsidP="001624E8">
      <w:pPr>
        <w:spacing w:after="0" w:line="240" w:lineRule="auto"/>
        <w:ind w:left="851" w:right="850"/>
        <w:jc w:val="both"/>
        <w:rPr>
          <w:rFonts w:ascii="Palatino Linotype" w:hAnsi="Palatino Linotype" w:cs="Arial"/>
          <w:i/>
        </w:rPr>
      </w:pPr>
    </w:p>
    <w:p w:rsidR="006834AD"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De la </w:t>
      </w:r>
      <w:r w:rsidR="00C873E0">
        <w:rPr>
          <w:rFonts w:ascii="Palatino Linotype" w:hAnsi="Palatino Linotype"/>
          <w:b/>
          <w:sz w:val="24"/>
          <w:szCs w:val="24"/>
        </w:rPr>
        <w:t>prorroga</w:t>
      </w:r>
    </w:p>
    <w:p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C873E0">
        <w:rPr>
          <w:rFonts w:ascii="Palatino Linotype" w:hAnsi="Palatino Linotype" w:cs="Arial"/>
          <w:sz w:val="24"/>
          <w:szCs w:val="24"/>
        </w:rPr>
        <w:t>diez</w:t>
      </w:r>
      <w:r w:rsidR="006834AD">
        <w:rPr>
          <w:rFonts w:ascii="Palatino Linotype" w:hAnsi="Palatino Linotype" w:cs="Arial"/>
          <w:sz w:val="24"/>
          <w:szCs w:val="24"/>
        </w:rPr>
        <w:t xml:space="preserve"> de marzo</w:t>
      </w:r>
      <w:r>
        <w:rPr>
          <w:rFonts w:ascii="Palatino Linotype" w:hAnsi="Palatino Linotype" w:cs="Arial"/>
          <w:sz w:val="24"/>
          <w:szCs w:val="24"/>
        </w:rPr>
        <w:t xml:space="preserve"> de dos mil veintiuno, </w:t>
      </w:r>
      <w:r w:rsidR="006834AD">
        <w:rPr>
          <w:rFonts w:ascii="Palatino Linotype" w:hAnsi="Palatino Linotype" w:cs="Arial"/>
          <w:sz w:val="24"/>
          <w:szCs w:val="24"/>
        </w:rPr>
        <w:t>el Sujeto Obligado emitió respuesta</w:t>
      </w:r>
      <w:r>
        <w:rPr>
          <w:rFonts w:ascii="Palatino Linotype" w:hAnsi="Palatino Linotype" w:cs="Arial"/>
          <w:sz w:val="24"/>
          <w:szCs w:val="24"/>
        </w:rPr>
        <w:t>, como a continuación se muestra.</w:t>
      </w:r>
    </w:p>
    <w:p w:rsidR="00D979CF" w:rsidRPr="001D7D81" w:rsidRDefault="00D979CF" w:rsidP="000A110B">
      <w:pPr>
        <w:spacing w:after="0" w:line="360" w:lineRule="auto"/>
        <w:jc w:val="both"/>
        <w:rPr>
          <w:rFonts w:ascii="Palatino Linotype" w:hAnsi="Palatino Linotype" w:cs="Arial"/>
          <w:sz w:val="6"/>
          <w:szCs w:val="24"/>
        </w:rPr>
      </w:pPr>
    </w:p>
    <w:p w:rsidR="00D979CF" w:rsidRPr="00C873E0" w:rsidRDefault="00C873E0" w:rsidP="00D979CF">
      <w:pPr>
        <w:spacing w:after="0" w:line="240" w:lineRule="auto"/>
        <w:ind w:left="851" w:right="850"/>
        <w:jc w:val="right"/>
        <w:rPr>
          <w:rFonts w:ascii="Palatino Linotype" w:hAnsi="Palatino Linotype"/>
          <w:i/>
          <w:color w:val="000000"/>
        </w:rPr>
      </w:pPr>
      <w:r w:rsidRPr="00C873E0">
        <w:rPr>
          <w:rFonts w:ascii="Palatino Linotype" w:hAnsi="Palatino Linotype"/>
          <w:i/>
          <w:color w:val="000000"/>
        </w:rPr>
        <w:t>Folio de la solicitud: 00043/CUAUTIT/IP/2021</w:t>
      </w:r>
    </w:p>
    <w:p w:rsidR="00C873E0" w:rsidRPr="00C873E0" w:rsidRDefault="00C873E0" w:rsidP="00D979CF">
      <w:pPr>
        <w:spacing w:after="0" w:line="240" w:lineRule="auto"/>
        <w:ind w:left="851" w:right="850"/>
        <w:jc w:val="right"/>
        <w:rPr>
          <w:rFonts w:ascii="Palatino Linotype" w:hAnsi="Palatino Linotype"/>
          <w:i/>
        </w:rPr>
      </w:pPr>
    </w:p>
    <w:p w:rsidR="00C873E0" w:rsidRPr="00C873E0" w:rsidRDefault="00C873E0" w:rsidP="00D979CF">
      <w:pPr>
        <w:spacing w:after="0" w:line="240" w:lineRule="auto"/>
        <w:ind w:left="851" w:right="850"/>
        <w:jc w:val="both"/>
        <w:rPr>
          <w:rFonts w:ascii="Palatino Linotype" w:hAnsi="Palatino Linotype"/>
          <w:i/>
          <w:color w:val="000000"/>
        </w:rPr>
      </w:pPr>
      <w:r w:rsidRPr="00C873E0">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873E0" w:rsidRPr="00C873E0" w:rsidRDefault="00C873E0" w:rsidP="00C873E0">
      <w:pPr>
        <w:spacing w:after="0" w:line="240" w:lineRule="auto"/>
        <w:ind w:left="851" w:right="850"/>
        <w:jc w:val="both"/>
        <w:rPr>
          <w:rFonts w:ascii="Palatino Linotype" w:hAnsi="Palatino Linotype"/>
          <w:i/>
          <w:color w:val="000000"/>
        </w:rPr>
      </w:pPr>
      <w:r w:rsidRPr="00C873E0">
        <w:rPr>
          <w:rFonts w:ascii="Palatino Linotype" w:hAnsi="Palatino Linotype"/>
          <w:i/>
          <w:color w:val="000000"/>
        </w:rPr>
        <w:t>APROBADA</w:t>
      </w:r>
    </w:p>
    <w:p w:rsidR="00C873E0" w:rsidRPr="00C873E0" w:rsidRDefault="00C873E0" w:rsidP="00C873E0">
      <w:pPr>
        <w:spacing w:after="0" w:line="240" w:lineRule="auto"/>
        <w:ind w:left="851" w:right="850"/>
        <w:jc w:val="both"/>
        <w:rPr>
          <w:rFonts w:ascii="Palatino Linotype" w:hAnsi="Palatino Linotype"/>
          <w:i/>
          <w:color w:val="000000"/>
        </w:rPr>
      </w:pPr>
    </w:p>
    <w:p w:rsidR="002C7329" w:rsidRPr="00C873E0" w:rsidRDefault="00C873E0" w:rsidP="00C873E0">
      <w:pPr>
        <w:spacing w:after="0" w:line="240" w:lineRule="auto"/>
        <w:ind w:left="851" w:right="850"/>
        <w:jc w:val="both"/>
        <w:rPr>
          <w:rFonts w:ascii="Palatino Linotype" w:hAnsi="Palatino Linotype"/>
          <w:i/>
          <w:color w:val="000000"/>
        </w:rPr>
      </w:pPr>
      <w:r w:rsidRPr="00C873E0">
        <w:rPr>
          <w:rFonts w:ascii="Palatino Linotype" w:hAnsi="Palatino Linotype"/>
          <w:i/>
          <w:color w:val="000000"/>
        </w:rPr>
        <w:t>LIC. LUIS UBALDO GARAY RIOS</w:t>
      </w:r>
    </w:p>
    <w:p w:rsidR="00C873E0" w:rsidRDefault="00C873E0" w:rsidP="003D5450">
      <w:pPr>
        <w:spacing w:after="0" w:line="360" w:lineRule="auto"/>
        <w:ind w:left="851" w:right="850"/>
        <w:jc w:val="both"/>
        <w:rPr>
          <w:rFonts w:ascii="Palatino Linotype" w:hAnsi="Palatino Linotype"/>
          <w:bCs/>
          <w:i/>
          <w:color w:val="000000"/>
        </w:rPr>
      </w:pPr>
      <w:r w:rsidRPr="00C873E0">
        <w:rPr>
          <w:rFonts w:ascii="Palatino Linotype" w:hAnsi="Palatino Linotype"/>
          <w:bCs/>
          <w:i/>
          <w:color w:val="000000"/>
        </w:rPr>
        <w:t>Responsable de la Unidad de Transparencia</w:t>
      </w:r>
    </w:p>
    <w:p w:rsidR="00C873E0" w:rsidRPr="001D7D81" w:rsidRDefault="00C873E0" w:rsidP="003D5450">
      <w:pPr>
        <w:spacing w:after="0" w:line="360" w:lineRule="auto"/>
        <w:ind w:left="851" w:right="850"/>
        <w:jc w:val="both"/>
        <w:rPr>
          <w:rFonts w:ascii="Palatino Linotype" w:eastAsia="Times New Roman" w:hAnsi="Palatino Linotype" w:cs="Times New Roman"/>
          <w:i/>
          <w:sz w:val="16"/>
          <w:lang w:eastAsia="es-MX"/>
        </w:rPr>
      </w:pPr>
    </w:p>
    <w:p w:rsidR="00C873E0" w:rsidRDefault="00891CFC" w:rsidP="00F86C5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Cabe señalar </w:t>
      </w:r>
      <w:r w:rsidR="00C873E0">
        <w:rPr>
          <w:rFonts w:ascii="Palatino Linotype" w:eastAsia="Times New Roman" w:hAnsi="Palatino Linotype" w:cs="Times New Roman"/>
          <w:sz w:val="24"/>
          <w:szCs w:val="24"/>
          <w:lang w:eastAsia="es-MX"/>
        </w:rPr>
        <w:t>no se adjuntó el acuerdo correspondientes, que señala el artículo 163</w:t>
      </w:r>
      <w:r w:rsidR="00C873E0">
        <w:rPr>
          <w:rStyle w:val="Refdenotaalpie"/>
          <w:rFonts w:ascii="Palatino Linotype" w:eastAsia="Times New Roman" w:hAnsi="Palatino Linotype" w:cs="Times New Roman"/>
          <w:sz w:val="24"/>
          <w:szCs w:val="24"/>
          <w:lang w:eastAsia="es-MX"/>
        </w:rPr>
        <w:footnoteReference w:id="1"/>
      </w:r>
      <w:r w:rsidR="00C873E0">
        <w:rPr>
          <w:rFonts w:ascii="Palatino Linotype" w:eastAsia="Times New Roman" w:hAnsi="Palatino Linotype" w:cs="Times New Roman"/>
          <w:sz w:val="24"/>
          <w:szCs w:val="24"/>
          <w:lang w:eastAsia="es-MX"/>
        </w:rPr>
        <w:t xml:space="preserve"> de la Ley de Transparencia y Acceso a la Información Pública del Estado de México y Municipios.</w:t>
      </w:r>
    </w:p>
    <w:p w:rsidR="001D7D81" w:rsidRDefault="001D7D81" w:rsidP="00F86C5F">
      <w:pPr>
        <w:spacing w:after="0" w:line="360" w:lineRule="auto"/>
        <w:jc w:val="both"/>
        <w:rPr>
          <w:rFonts w:ascii="Palatino Linotype" w:eastAsia="Times New Roman" w:hAnsi="Palatino Linotype" w:cs="Times New Roman"/>
          <w:sz w:val="24"/>
          <w:szCs w:val="24"/>
          <w:lang w:eastAsia="es-MX"/>
        </w:rPr>
      </w:pPr>
    </w:p>
    <w:p w:rsidR="00C873E0" w:rsidRPr="00AD2A55" w:rsidRDefault="00C873E0" w:rsidP="00C873E0">
      <w:pPr>
        <w:spacing w:after="0" w:line="360" w:lineRule="auto"/>
        <w:jc w:val="both"/>
        <w:rPr>
          <w:rFonts w:ascii="Palatino Linotype" w:hAnsi="Palatino Linotype" w:cs="Arial"/>
          <w:b/>
          <w:sz w:val="24"/>
          <w:szCs w:val="24"/>
        </w:rPr>
      </w:pPr>
      <w:r>
        <w:rPr>
          <w:rFonts w:ascii="Palatino Linotype" w:hAnsi="Palatino Linotype" w:cs="Arial"/>
          <w:b/>
          <w:sz w:val="28"/>
          <w:szCs w:val="28"/>
        </w:rPr>
        <w:t xml:space="preserve">TRCERO.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C873E0" w:rsidRDefault="00C873E0" w:rsidP="00C873E0">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remitió respuesta en fecha veintidós de marzo como se muestra a continuación:</w:t>
      </w:r>
    </w:p>
    <w:p w:rsidR="00C873E0" w:rsidRDefault="003E5660" w:rsidP="001D7D81">
      <w:pPr>
        <w:spacing w:after="0" w:line="240" w:lineRule="auto"/>
        <w:ind w:left="851" w:right="850"/>
        <w:jc w:val="right"/>
        <w:rPr>
          <w:rFonts w:ascii="Palatino Linotype" w:hAnsi="Palatino Linotype"/>
          <w:i/>
          <w:color w:val="000000"/>
        </w:rPr>
      </w:pPr>
      <w:r w:rsidRPr="00A547CF">
        <w:rPr>
          <w:rFonts w:ascii="Palatino Linotype" w:hAnsi="Palatino Linotype"/>
          <w:i/>
          <w:color w:val="000000"/>
        </w:rPr>
        <w:lastRenderedPageBreak/>
        <w:t>Folio de la solicitud: 00043/CUAUTIT/IP/2021</w:t>
      </w:r>
    </w:p>
    <w:p w:rsidR="001D7D81" w:rsidRPr="00A547CF" w:rsidRDefault="001D7D81" w:rsidP="001D7D81">
      <w:pPr>
        <w:spacing w:after="0" w:line="240" w:lineRule="auto"/>
        <w:ind w:left="851" w:right="850"/>
        <w:jc w:val="right"/>
        <w:rPr>
          <w:rFonts w:ascii="Palatino Linotype" w:hAnsi="Palatino Linotype"/>
          <w:i/>
          <w:color w:val="000000"/>
        </w:rPr>
      </w:pPr>
    </w:p>
    <w:p w:rsidR="003E5660" w:rsidRPr="00A547CF" w:rsidRDefault="003E5660" w:rsidP="001D7D81">
      <w:pPr>
        <w:spacing w:after="0" w:line="240" w:lineRule="auto"/>
        <w:ind w:left="851" w:right="850"/>
        <w:jc w:val="both"/>
        <w:rPr>
          <w:rFonts w:ascii="Palatino Linotype" w:hAnsi="Palatino Linotype"/>
          <w:i/>
          <w:color w:val="000000"/>
        </w:rPr>
      </w:pPr>
      <w:r w:rsidRPr="00A547C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E5660" w:rsidRPr="00A547CF" w:rsidRDefault="00A547CF" w:rsidP="001D7D81">
      <w:pPr>
        <w:spacing w:after="0" w:line="240" w:lineRule="auto"/>
        <w:ind w:left="851" w:right="850"/>
        <w:jc w:val="both"/>
        <w:rPr>
          <w:rFonts w:ascii="Palatino Linotype" w:hAnsi="Palatino Linotype"/>
          <w:i/>
          <w:color w:val="000000"/>
        </w:rPr>
      </w:pPr>
      <w:r w:rsidRPr="00A547CF">
        <w:rPr>
          <w:rFonts w:ascii="Palatino Linotype" w:hAnsi="Palatino Linotype"/>
          <w:i/>
          <w:color w:val="000000"/>
        </w:rPr>
        <w:t>Se anexa respuesta</w:t>
      </w:r>
    </w:p>
    <w:p w:rsidR="00A547CF" w:rsidRPr="00A547CF" w:rsidRDefault="00A547CF" w:rsidP="001D7D81">
      <w:pPr>
        <w:spacing w:after="0" w:line="240" w:lineRule="auto"/>
        <w:ind w:left="851" w:right="850"/>
        <w:jc w:val="both"/>
        <w:rPr>
          <w:rFonts w:ascii="Palatino Linotype" w:hAnsi="Palatino Linotype"/>
          <w:i/>
          <w:color w:val="000000"/>
        </w:rPr>
      </w:pPr>
      <w:r w:rsidRPr="00A547CF">
        <w:rPr>
          <w:rFonts w:ascii="Palatino Linotype" w:hAnsi="Palatino Linotype"/>
          <w:i/>
          <w:color w:val="000000"/>
        </w:rPr>
        <w:t>ATENTAMENTE</w:t>
      </w:r>
    </w:p>
    <w:p w:rsidR="00A547CF" w:rsidRPr="00A547CF" w:rsidRDefault="00A547CF" w:rsidP="001D7D81">
      <w:pPr>
        <w:spacing w:after="0" w:line="240" w:lineRule="auto"/>
        <w:ind w:left="851" w:right="850"/>
        <w:jc w:val="both"/>
        <w:rPr>
          <w:rFonts w:ascii="Palatino Linotype" w:eastAsia="Times New Roman" w:hAnsi="Palatino Linotype" w:cs="Times New Roman"/>
          <w:i/>
          <w:lang w:eastAsia="es-MX"/>
        </w:rPr>
      </w:pPr>
      <w:r w:rsidRPr="00A547CF">
        <w:rPr>
          <w:rFonts w:ascii="Palatino Linotype" w:eastAsia="Times New Roman" w:hAnsi="Palatino Linotype" w:cs="Times New Roman"/>
          <w:i/>
          <w:lang w:eastAsia="es-MX"/>
        </w:rPr>
        <w:t>LIC. LUIS UBALDO GARAY RIOS</w:t>
      </w:r>
    </w:p>
    <w:p w:rsidR="00A547CF" w:rsidRPr="001D7D81" w:rsidRDefault="00A547CF" w:rsidP="001624E8">
      <w:pPr>
        <w:spacing w:after="0" w:line="360" w:lineRule="auto"/>
        <w:jc w:val="both"/>
        <w:rPr>
          <w:rFonts w:ascii="Palatino Linotype" w:hAnsi="Palatino Linotype"/>
          <w:b/>
          <w:szCs w:val="28"/>
        </w:rPr>
      </w:pPr>
    </w:p>
    <w:p w:rsidR="00A547CF" w:rsidRDefault="00A547CF" w:rsidP="001624E8">
      <w:pPr>
        <w:spacing w:after="0" w:line="360" w:lineRule="auto"/>
        <w:jc w:val="both"/>
        <w:rPr>
          <w:rFonts w:ascii="Palatino Linotype" w:hAnsi="Palatino Linotype"/>
          <w:sz w:val="24"/>
          <w:szCs w:val="24"/>
        </w:rPr>
      </w:pPr>
      <w:r>
        <w:rPr>
          <w:rFonts w:ascii="Palatino Linotype" w:hAnsi="Palatino Linotype"/>
          <w:sz w:val="24"/>
          <w:szCs w:val="24"/>
        </w:rPr>
        <w:t xml:space="preserve">El Sujeto Obligado adjunto un archivo denominado </w:t>
      </w:r>
      <w:r>
        <w:rPr>
          <w:rFonts w:ascii="Palatino Linotype" w:hAnsi="Palatino Linotype"/>
          <w:b/>
          <w:sz w:val="24"/>
          <w:szCs w:val="24"/>
        </w:rPr>
        <w:t xml:space="preserve">solicitud 00043.pdf, </w:t>
      </w:r>
      <w:r>
        <w:rPr>
          <w:rFonts w:ascii="Palatino Linotype" w:hAnsi="Palatino Linotype"/>
          <w:sz w:val="24"/>
          <w:szCs w:val="24"/>
        </w:rPr>
        <w:t xml:space="preserve">el cual contiene; una carta de agradecimiento de fecha dieciocho de agosto de dos mil veinte, la cual es dirigida a la empresa Operadora de </w:t>
      </w:r>
      <w:r w:rsidR="00266BCA">
        <w:rPr>
          <w:rFonts w:ascii="Palatino Linotype" w:hAnsi="Palatino Linotype"/>
          <w:sz w:val="24"/>
          <w:szCs w:val="24"/>
        </w:rPr>
        <w:t>Es</w:t>
      </w:r>
      <w:r w:rsidR="00A11458">
        <w:rPr>
          <w:rFonts w:ascii="Palatino Linotype" w:hAnsi="Palatino Linotype"/>
          <w:sz w:val="24"/>
          <w:szCs w:val="24"/>
        </w:rPr>
        <w:t>p</w:t>
      </w:r>
      <w:r w:rsidR="00266BCA">
        <w:rPr>
          <w:rFonts w:ascii="Palatino Linotype" w:hAnsi="Palatino Linotype"/>
          <w:sz w:val="24"/>
          <w:szCs w:val="24"/>
        </w:rPr>
        <w:t>acios</w:t>
      </w:r>
      <w:r>
        <w:rPr>
          <w:rFonts w:ascii="Palatino Linotype" w:hAnsi="Palatino Linotype"/>
          <w:sz w:val="24"/>
          <w:szCs w:val="24"/>
        </w:rPr>
        <w:t xml:space="preserve"> las </w:t>
      </w:r>
      <w:r w:rsidR="00A11458">
        <w:rPr>
          <w:rFonts w:ascii="Palatino Linotype" w:hAnsi="Palatino Linotype"/>
          <w:sz w:val="24"/>
          <w:szCs w:val="24"/>
        </w:rPr>
        <w:t>Américas</w:t>
      </w:r>
      <w:r>
        <w:rPr>
          <w:rFonts w:ascii="Palatino Linotype" w:hAnsi="Palatino Linotype"/>
          <w:sz w:val="24"/>
          <w:szCs w:val="24"/>
        </w:rPr>
        <w:t xml:space="preserve"> S. de R.L., signa</w:t>
      </w:r>
      <w:r w:rsidR="00A11458">
        <w:rPr>
          <w:rFonts w:ascii="Palatino Linotype" w:hAnsi="Palatino Linotype"/>
          <w:sz w:val="24"/>
          <w:szCs w:val="24"/>
        </w:rPr>
        <w:t>do</w:t>
      </w:r>
      <w:r>
        <w:rPr>
          <w:rFonts w:ascii="Palatino Linotype" w:hAnsi="Palatino Linotype"/>
          <w:sz w:val="24"/>
          <w:szCs w:val="24"/>
        </w:rPr>
        <w:t xml:space="preserve"> por el Encargado del Despacho de la </w:t>
      </w:r>
      <w:r w:rsidR="00A11458">
        <w:rPr>
          <w:rFonts w:ascii="Palatino Linotype" w:hAnsi="Palatino Linotype"/>
          <w:sz w:val="24"/>
          <w:szCs w:val="24"/>
        </w:rPr>
        <w:t>Dirección</w:t>
      </w:r>
      <w:r>
        <w:rPr>
          <w:rFonts w:ascii="Palatino Linotype" w:hAnsi="Palatino Linotype"/>
          <w:sz w:val="24"/>
          <w:szCs w:val="24"/>
        </w:rPr>
        <w:t xml:space="preserve"> de Desarrollo Urbano, agradeciendo a la empresa por la donación de equipo de </w:t>
      </w:r>
      <w:r w:rsidR="00A11458">
        <w:rPr>
          <w:rFonts w:ascii="Palatino Linotype" w:hAnsi="Palatino Linotype"/>
          <w:sz w:val="24"/>
          <w:szCs w:val="24"/>
        </w:rPr>
        <w:t>gimnasio</w:t>
      </w:r>
      <w:r>
        <w:rPr>
          <w:rFonts w:ascii="Palatino Linotype" w:hAnsi="Palatino Linotype"/>
          <w:sz w:val="24"/>
          <w:szCs w:val="24"/>
        </w:rPr>
        <w:t xml:space="preserve"> al aire libre con anclas y </w:t>
      </w:r>
      <w:r w:rsidR="00A11458">
        <w:rPr>
          <w:rFonts w:ascii="Palatino Linotype" w:hAnsi="Palatino Linotype"/>
          <w:sz w:val="24"/>
          <w:szCs w:val="24"/>
        </w:rPr>
        <w:t>tornilleros</w:t>
      </w:r>
      <w:r>
        <w:rPr>
          <w:rFonts w:ascii="Palatino Linotype" w:hAnsi="Palatino Linotype"/>
          <w:sz w:val="24"/>
          <w:szCs w:val="24"/>
        </w:rPr>
        <w:t xml:space="preserve"> para su instalación, así </w:t>
      </w:r>
      <w:r w:rsidR="00A11458">
        <w:rPr>
          <w:rFonts w:ascii="Palatino Linotype" w:hAnsi="Palatino Linotype"/>
          <w:sz w:val="24"/>
          <w:szCs w:val="24"/>
        </w:rPr>
        <w:t>mismo</w:t>
      </w:r>
      <w:r>
        <w:rPr>
          <w:rFonts w:ascii="Palatino Linotype" w:hAnsi="Palatino Linotype"/>
          <w:sz w:val="24"/>
          <w:szCs w:val="24"/>
        </w:rPr>
        <w:t xml:space="preserve"> contiene el oficio DDU/242/2021 de fecha </w:t>
      </w:r>
      <w:r w:rsidR="00A11458">
        <w:rPr>
          <w:rFonts w:ascii="Palatino Linotype" w:hAnsi="Palatino Linotype"/>
          <w:sz w:val="24"/>
          <w:szCs w:val="24"/>
        </w:rPr>
        <w:t>veintidós</w:t>
      </w:r>
      <w:r>
        <w:rPr>
          <w:rFonts w:ascii="Palatino Linotype" w:hAnsi="Palatino Linotype"/>
          <w:sz w:val="24"/>
          <w:szCs w:val="24"/>
        </w:rPr>
        <w:t xml:space="preserve"> de marzo de dos mil veintiuno, en donde el Director de Desarrollo Urbano, informa a la Coordinadora de la Unidad de Transparencia que la dirección a su cargo sostuvo platicas con representantes de Operadora de Espacios las </w:t>
      </w:r>
      <w:r w:rsidR="00A11458">
        <w:rPr>
          <w:rFonts w:ascii="Palatino Linotype" w:hAnsi="Palatino Linotype"/>
          <w:sz w:val="24"/>
          <w:szCs w:val="24"/>
        </w:rPr>
        <w:t>Américas</w:t>
      </w:r>
      <w:r>
        <w:rPr>
          <w:rFonts w:ascii="Palatino Linotype" w:hAnsi="Palatino Linotype"/>
          <w:sz w:val="24"/>
          <w:szCs w:val="24"/>
        </w:rPr>
        <w:t xml:space="preserve"> S. de R.L., en donde se les hizo saber que la empresa participa activamente con los municipios que tienen operaciones colaborando con acciones sociales que impacten de manera positiva a las comunidades, es </w:t>
      </w:r>
      <w:r w:rsidR="00A11458">
        <w:rPr>
          <w:rFonts w:ascii="Palatino Linotype" w:hAnsi="Palatino Linotype"/>
          <w:sz w:val="24"/>
          <w:szCs w:val="24"/>
        </w:rPr>
        <w:t>así</w:t>
      </w:r>
      <w:r>
        <w:rPr>
          <w:rFonts w:ascii="Palatino Linotype" w:hAnsi="Palatino Linotype"/>
          <w:sz w:val="24"/>
          <w:szCs w:val="24"/>
        </w:rPr>
        <w:t xml:space="preserve"> como ofrecieron donación de equipos de </w:t>
      </w:r>
      <w:r w:rsidR="00104893">
        <w:rPr>
          <w:rFonts w:ascii="Palatino Linotype" w:hAnsi="Palatino Linotype"/>
          <w:sz w:val="24"/>
          <w:szCs w:val="24"/>
        </w:rPr>
        <w:t>gimnasio</w:t>
      </w:r>
      <w:r>
        <w:rPr>
          <w:rFonts w:ascii="Palatino Linotype" w:hAnsi="Palatino Linotype"/>
          <w:sz w:val="24"/>
          <w:szCs w:val="24"/>
        </w:rPr>
        <w:t xml:space="preserve"> al aire libre y el </w:t>
      </w:r>
      <w:r w:rsidR="00104893">
        <w:rPr>
          <w:rFonts w:ascii="Palatino Linotype" w:hAnsi="Palatino Linotype"/>
          <w:sz w:val="24"/>
          <w:szCs w:val="24"/>
        </w:rPr>
        <w:t>día</w:t>
      </w:r>
      <w:r>
        <w:rPr>
          <w:rFonts w:ascii="Palatino Linotype" w:hAnsi="Palatino Linotype"/>
          <w:sz w:val="24"/>
          <w:szCs w:val="24"/>
        </w:rPr>
        <w:t xml:space="preserve"> dieciocho de agosto de dos mil veinte, se recibieron 18 equipos con anclas y tornillería para su instalación, como comprobante de la recepción de esos equipos se anexa copia del documento con el que se recibe los equipos mencionados. </w:t>
      </w:r>
      <w:r w:rsidR="00104893">
        <w:rPr>
          <w:rFonts w:ascii="Palatino Linotype" w:hAnsi="Palatino Linotype"/>
          <w:sz w:val="24"/>
          <w:szCs w:val="24"/>
        </w:rPr>
        <w:t>Así</w:t>
      </w:r>
      <w:r>
        <w:rPr>
          <w:rFonts w:ascii="Palatino Linotype" w:hAnsi="Palatino Linotype"/>
          <w:sz w:val="24"/>
          <w:szCs w:val="24"/>
        </w:rPr>
        <w:t xml:space="preserve"> mismo hace </w:t>
      </w:r>
      <w:r w:rsidR="00104893">
        <w:rPr>
          <w:rFonts w:ascii="Palatino Linotype" w:hAnsi="Palatino Linotype"/>
          <w:sz w:val="24"/>
          <w:szCs w:val="24"/>
        </w:rPr>
        <w:t>del conocimiento</w:t>
      </w:r>
      <w:r>
        <w:rPr>
          <w:rFonts w:ascii="Palatino Linotype" w:hAnsi="Palatino Linotype"/>
          <w:sz w:val="24"/>
          <w:szCs w:val="24"/>
        </w:rPr>
        <w:t xml:space="preserve"> que en relación con los gastos que se </w:t>
      </w:r>
      <w:r w:rsidR="00104893">
        <w:rPr>
          <w:rFonts w:ascii="Palatino Linotype" w:hAnsi="Palatino Linotype"/>
          <w:sz w:val="24"/>
          <w:szCs w:val="24"/>
        </w:rPr>
        <w:t xml:space="preserve">llevaron a cabo corrieron por cuenta de las comunidades en las que se instalaron por los equipos y </w:t>
      </w:r>
      <w:r w:rsidR="00104893">
        <w:rPr>
          <w:rFonts w:ascii="Palatino Linotype" w:hAnsi="Palatino Linotype"/>
          <w:sz w:val="24"/>
          <w:szCs w:val="24"/>
        </w:rPr>
        <w:lastRenderedPageBreak/>
        <w:t>consistieron en materiales de construcción tales como arena, grava y cemento y la instalación fue realizada por el personal de la Dirección de Servicios Urbanos.</w:t>
      </w:r>
    </w:p>
    <w:p w:rsidR="00104893" w:rsidRPr="001D7D81" w:rsidRDefault="00104893" w:rsidP="001624E8">
      <w:pPr>
        <w:spacing w:after="0" w:line="360" w:lineRule="auto"/>
        <w:jc w:val="both"/>
        <w:rPr>
          <w:rFonts w:ascii="Palatino Linotype" w:hAnsi="Palatino Linotype"/>
          <w:sz w:val="16"/>
          <w:szCs w:val="24"/>
        </w:rPr>
      </w:pPr>
    </w:p>
    <w:p w:rsidR="00F2498E" w:rsidRPr="00ED5476" w:rsidRDefault="00104893"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8A3E6F">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104893">
        <w:rPr>
          <w:rFonts w:ascii="Palatino Linotype" w:hAnsi="Palatino Linotype" w:cs="Arial"/>
          <w:sz w:val="24"/>
          <w:szCs w:val="24"/>
        </w:rPr>
        <w:t xml:space="preserve">veintitrés </w:t>
      </w:r>
      <w:r w:rsidR="00841673">
        <w:rPr>
          <w:rFonts w:ascii="Palatino Linotype" w:hAnsi="Palatino Linotype" w:cs="Arial"/>
          <w:sz w:val="24"/>
          <w:szCs w:val="24"/>
        </w:rPr>
        <w:t>de marzo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746DD6">
        <w:rPr>
          <w:rFonts w:ascii="Palatino Linotype" w:hAnsi="Palatino Linotype" w:cs="Arial"/>
          <w:b/>
          <w:bCs/>
          <w:sz w:val="24"/>
          <w:szCs w:val="24"/>
          <w:lang w:eastAsia="es-MX"/>
        </w:rPr>
        <w:t>1</w:t>
      </w:r>
      <w:r w:rsidR="00104893">
        <w:rPr>
          <w:rFonts w:ascii="Palatino Linotype" w:hAnsi="Palatino Linotype" w:cs="Arial"/>
          <w:b/>
          <w:bCs/>
          <w:sz w:val="24"/>
          <w:szCs w:val="24"/>
          <w:lang w:eastAsia="es-MX"/>
        </w:rPr>
        <w:t>37</w:t>
      </w:r>
      <w:r w:rsidR="005E34E9">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104893" w:rsidRDefault="00841673" w:rsidP="005E34E9">
      <w:pPr>
        <w:tabs>
          <w:tab w:val="left" w:pos="1405"/>
        </w:tabs>
        <w:spacing w:after="0" w:line="360" w:lineRule="auto"/>
        <w:ind w:left="851" w:right="850"/>
        <w:jc w:val="both"/>
        <w:rPr>
          <w:rFonts w:ascii="Palatino Linotype" w:hAnsi="Palatino Linotype"/>
          <w:i/>
          <w:color w:val="000000"/>
        </w:rPr>
      </w:pPr>
      <w:r w:rsidRPr="00104893">
        <w:rPr>
          <w:rFonts w:ascii="Palatino Linotype" w:hAnsi="Palatino Linotype"/>
          <w:i/>
          <w:color w:val="000000"/>
        </w:rPr>
        <w:t>“</w:t>
      </w:r>
      <w:r w:rsidR="00104893" w:rsidRPr="00104893">
        <w:rPr>
          <w:rFonts w:ascii="Palatino Linotype" w:hAnsi="Palatino Linotype"/>
          <w:i/>
          <w:color w:val="000000"/>
        </w:rPr>
        <w:t>Respuesta incomoden</w:t>
      </w:r>
      <w:proofErr w:type="gramStart"/>
      <w:r w:rsidRPr="00104893">
        <w:rPr>
          <w:rFonts w:ascii="Palatino Linotype" w:hAnsi="Palatino Linotype"/>
          <w:i/>
          <w:color w:val="000000"/>
        </w:rPr>
        <w:t>”(</w:t>
      </w:r>
      <w:proofErr w:type="gramEnd"/>
      <w:r w:rsidRPr="00104893">
        <w:rPr>
          <w:rFonts w:ascii="Palatino Linotype" w:hAnsi="Palatino Linotype"/>
          <w:i/>
          <w:color w:val="000000"/>
        </w:rPr>
        <w:t>Sic).</w:t>
      </w:r>
    </w:p>
    <w:p w:rsidR="00841673" w:rsidRPr="001D7D81" w:rsidRDefault="00841673" w:rsidP="001624E8">
      <w:pPr>
        <w:spacing w:after="0" w:line="360" w:lineRule="auto"/>
        <w:jc w:val="both"/>
        <w:rPr>
          <w:rFonts w:ascii="Palatino Linotype" w:hAnsi="Palatino Linotype" w:cs="Arial"/>
          <w:b/>
          <w:sz w:val="16"/>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104893" w:rsidRDefault="00296E92" w:rsidP="005E34E9">
      <w:pPr>
        <w:ind w:left="851" w:right="850"/>
        <w:jc w:val="both"/>
        <w:rPr>
          <w:rFonts w:ascii="Palatino Linotype" w:eastAsia="Times New Roman" w:hAnsi="Palatino Linotype" w:cs="Times New Roman"/>
          <w:i/>
          <w:lang w:eastAsia="es-MX"/>
        </w:rPr>
      </w:pPr>
      <w:r w:rsidRPr="00104893">
        <w:rPr>
          <w:rFonts w:ascii="Palatino Linotype" w:hAnsi="Palatino Linotype"/>
          <w:i/>
          <w:color w:val="000000"/>
        </w:rPr>
        <w:t>“</w:t>
      </w:r>
      <w:proofErr w:type="spellStart"/>
      <w:r w:rsidR="00104893" w:rsidRPr="00104893">
        <w:rPr>
          <w:rFonts w:ascii="Palatino Linotype" w:hAnsi="Palatino Linotype"/>
          <w:i/>
          <w:color w:val="000000"/>
        </w:rPr>
        <w:t>Esta</w:t>
      </w:r>
      <w:proofErr w:type="spellEnd"/>
      <w:r w:rsidR="00104893" w:rsidRPr="00104893">
        <w:rPr>
          <w:rFonts w:ascii="Palatino Linotype" w:hAnsi="Palatino Linotype"/>
          <w:i/>
          <w:color w:val="000000"/>
        </w:rPr>
        <w:t xml:space="preserve"> incompleta y no se me sustenta la respuesta, solo me dan dos oficios firmados por un encargado de despacho</w:t>
      </w:r>
      <w:r w:rsidR="00746DD6" w:rsidRPr="00104893">
        <w:rPr>
          <w:rFonts w:ascii="Palatino Linotype" w:hAnsi="Palatino Linotype"/>
          <w:i/>
          <w:color w:val="000000"/>
        </w:rPr>
        <w:t>.</w:t>
      </w:r>
      <w:r w:rsidRPr="00104893">
        <w:rPr>
          <w:rFonts w:ascii="Palatino Linotype" w:hAnsi="Palatino Linotype"/>
          <w:i/>
          <w:color w:val="000000"/>
        </w:rPr>
        <w:t>”</w:t>
      </w:r>
      <w:r w:rsidR="00B84A8A" w:rsidRPr="00104893">
        <w:rPr>
          <w:rFonts w:ascii="Palatino Linotype" w:hAnsi="Palatino Linotype"/>
          <w:i/>
          <w:color w:val="000000"/>
        </w:rPr>
        <w:t>(Sic).</w:t>
      </w:r>
    </w:p>
    <w:p w:rsidR="00181A9D" w:rsidRPr="001D7D81" w:rsidRDefault="00181A9D" w:rsidP="00181A9D">
      <w:pPr>
        <w:tabs>
          <w:tab w:val="left" w:pos="1405"/>
        </w:tabs>
        <w:spacing w:after="0" w:line="360" w:lineRule="auto"/>
        <w:ind w:right="850"/>
        <w:jc w:val="both"/>
        <w:rPr>
          <w:rFonts w:ascii="Palatino Linotype" w:hAnsi="Palatino Linotype"/>
          <w:i/>
          <w:color w:val="000000"/>
          <w:sz w:val="12"/>
          <w:szCs w:val="24"/>
        </w:rPr>
      </w:pPr>
    </w:p>
    <w:p w:rsidR="00400915" w:rsidRPr="00AD2A55" w:rsidRDefault="00104893"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CA195F">
        <w:rPr>
          <w:rFonts w:ascii="Palatino Linotype" w:hAnsi="Palatino Linotype" w:cs="Arial"/>
          <w:sz w:val="24"/>
          <w:szCs w:val="24"/>
        </w:rPr>
        <w:t xml:space="preserve"> cinco 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1D7D81" w:rsidRDefault="001D7D81" w:rsidP="001624E8">
      <w:pPr>
        <w:spacing w:after="0" w:line="360" w:lineRule="auto"/>
        <w:jc w:val="both"/>
        <w:rPr>
          <w:rFonts w:ascii="Palatino Linotype" w:hAnsi="Palatino Linotype" w:cs="Arial"/>
          <w:b/>
          <w:sz w:val="28"/>
          <w:szCs w:val="28"/>
        </w:rPr>
      </w:pPr>
    </w:p>
    <w:p w:rsidR="001D7D81" w:rsidRDefault="001D7D81" w:rsidP="001624E8">
      <w:pPr>
        <w:spacing w:after="0" w:line="360" w:lineRule="auto"/>
        <w:jc w:val="both"/>
        <w:rPr>
          <w:rFonts w:ascii="Palatino Linotype" w:hAnsi="Palatino Linotype" w:cs="Arial"/>
          <w:b/>
          <w:sz w:val="28"/>
          <w:szCs w:val="28"/>
        </w:rPr>
      </w:pPr>
    </w:p>
    <w:p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1E2186">
        <w:rPr>
          <w:rFonts w:ascii="Palatino Linotype" w:hAnsi="Palatino Linotype"/>
          <w:b/>
          <w:sz w:val="24"/>
          <w:szCs w:val="24"/>
        </w:rPr>
        <w:t>1</w:t>
      </w:r>
      <w:r w:rsidR="00CA195F">
        <w:rPr>
          <w:rFonts w:ascii="Palatino Linotype" w:hAnsi="Palatino Linotype"/>
          <w:b/>
          <w:sz w:val="24"/>
          <w:szCs w:val="24"/>
        </w:rPr>
        <w:t>37</w:t>
      </w:r>
      <w:r w:rsidR="001E2186">
        <w:rPr>
          <w:rFonts w:ascii="Palatino Linotype" w:hAnsi="Palatino Linotype"/>
          <w:b/>
          <w:sz w:val="24"/>
          <w:szCs w:val="24"/>
        </w:rPr>
        <w:t>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CA195F">
        <w:rPr>
          <w:rFonts w:ascii="Palatino Linotype" w:hAnsi="Palatino Linotype"/>
          <w:sz w:val="24"/>
          <w:szCs w:val="24"/>
        </w:rPr>
        <w:t>cinco de abril</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Pr="001D7D81" w:rsidRDefault="005660D0" w:rsidP="001624E8">
      <w:pPr>
        <w:spacing w:after="0" w:line="360" w:lineRule="auto"/>
        <w:jc w:val="both"/>
        <w:rPr>
          <w:rFonts w:ascii="Palatino Linotype" w:hAnsi="Palatino Linotype"/>
          <w:sz w:val="18"/>
          <w:szCs w:val="24"/>
        </w:rPr>
      </w:pPr>
    </w:p>
    <w:p w:rsidR="00CA195F" w:rsidRDefault="005660D0" w:rsidP="00FC5CDF">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FC5CDF">
        <w:rPr>
          <w:rFonts w:ascii="Palatino Linotype" w:hAnsi="Palatino Linotype" w:cs="Arial"/>
          <w:b/>
          <w:bCs/>
          <w:sz w:val="24"/>
          <w:szCs w:val="24"/>
          <w:lang w:eastAsia="es-MX"/>
        </w:rPr>
        <w:t>1</w:t>
      </w:r>
      <w:r w:rsidR="00CA195F">
        <w:rPr>
          <w:rFonts w:ascii="Palatino Linotype" w:hAnsi="Palatino Linotype" w:cs="Arial"/>
          <w:b/>
          <w:bCs/>
          <w:sz w:val="24"/>
          <w:szCs w:val="24"/>
          <w:lang w:eastAsia="es-MX"/>
        </w:rPr>
        <w:t>375</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CA195F">
        <w:rPr>
          <w:rFonts w:ascii="Palatino Linotype" w:hAnsi="Palatino Linotype" w:cs="Arial"/>
          <w:sz w:val="24"/>
          <w:szCs w:val="24"/>
        </w:rPr>
        <w:t xml:space="preserve">tanto </w:t>
      </w:r>
      <w:r w:rsidR="00FC5CDF">
        <w:rPr>
          <w:rFonts w:ascii="Palatino Linotype" w:hAnsi="Palatino Linotype" w:cs="Arial"/>
          <w:sz w:val="24"/>
          <w:szCs w:val="24"/>
        </w:rPr>
        <w:t>el Sujeto Obligado</w:t>
      </w:r>
      <w:r w:rsidR="00CA195F">
        <w:rPr>
          <w:rFonts w:ascii="Palatino Linotype" w:hAnsi="Palatino Linotype" w:cs="Arial"/>
          <w:sz w:val="24"/>
          <w:szCs w:val="24"/>
        </w:rPr>
        <w:t>, como el Recurrente no emitieron manifestaciones ni formularon alegatos que a su derecho convinieran, como se muestra en la siguiente imagen:</w:t>
      </w:r>
    </w:p>
    <w:p w:rsidR="00FC5CDF" w:rsidRDefault="00CA195F" w:rsidP="00FC5CDF">
      <w:pPr>
        <w:spacing w:after="0" w:line="360" w:lineRule="auto"/>
        <w:jc w:val="both"/>
        <w:rPr>
          <w:rFonts w:ascii="Palatino Linotype" w:hAnsi="Palatino Linotype" w:cs="Arial"/>
          <w:sz w:val="24"/>
          <w:szCs w:val="24"/>
        </w:rPr>
      </w:pPr>
      <w:r>
        <w:rPr>
          <w:noProof/>
          <w:lang w:eastAsia="es-MX"/>
        </w:rPr>
        <w:drawing>
          <wp:inline distT="0" distB="0" distL="0" distR="0" wp14:anchorId="2B2D9DB4" wp14:editId="07D2851D">
            <wp:extent cx="5210175" cy="1764738"/>
            <wp:effectExtent l="190500" t="190500" r="180975" b="1974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14" t="34392" r="19478" b="28571"/>
                    <a:stretch/>
                  </pic:blipFill>
                  <pic:spPr bwMode="auto">
                    <a:xfrm>
                      <a:off x="0" y="0"/>
                      <a:ext cx="5250937" cy="17785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60D0" w:rsidRDefault="005660D0" w:rsidP="001624E8">
      <w:pPr>
        <w:spacing w:after="0" w:line="360" w:lineRule="auto"/>
        <w:jc w:val="both"/>
        <w:rPr>
          <w:rFonts w:ascii="Palatino Linotype" w:hAnsi="Palatino Linotype"/>
          <w:sz w:val="24"/>
          <w:szCs w:val="24"/>
        </w:rPr>
      </w:pPr>
    </w:p>
    <w:p w:rsidR="001D7D81" w:rsidRDefault="001D7D81" w:rsidP="001624E8">
      <w:pPr>
        <w:tabs>
          <w:tab w:val="left" w:pos="3206"/>
        </w:tabs>
        <w:spacing w:after="0" w:line="360" w:lineRule="auto"/>
        <w:jc w:val="both"/>
        <w:rPr>
          <w:rFonts w:ascii="Palatino Linotype" w:hAnsi="Palatino Linotype" w:cs="Arial"/>
          <w:b/>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lastRenderedPageBreak/>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A195F">
        <w:rPr>
          <w:rFonts w:ascii="Palatino Linotype" w:hAnsi="Palatino Linotype" w:cs="Arial"/>
          <w:sz w:val="24"/>
          <w:szCs w:val="24"/>
        </w:rPr>
        <w:t xml:space="preserve">quince </w:t>
      </w:r>
      <w:r w:rsidR="00F86C5F">
        <w:rPr>
          <w:rFonts w:ascii="Palatino Linotype" w:hAnsi="Palatino Linotype" w:cs="Arial"/>
          <w:sz w:val="24"/>
          <w:szCs w:val="24"/>
        </w:rPr>
        <w:t>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Default="00D26217" w:rsidP="001624E8">
      <w:pPr>
        <w:spacing w:after="0" w:line="360" w:lineRule="auto"/>
        <w:jc w:val="center"/>
        <w:rPr>
          <w:rFonts w:ascii="Palatino Linotype" w:hAnsi="Palatino Linotype" w:cs="Arial"/>
          <w:b/>
          <w:sz w:val="24"/>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275719" w:rsidRPr="00275719" w:rsidRDefault="00275719" w:rsidP="00275719">
      <w:pPr>
        <w:autoSpaceDE w:val="0"/>
        <w:autoSpaceDN w:val="0"/>
        <w:adjustRightInd w:val="0"/>
        <w:spacing w:after="0" w:line="360" w:lineRule="auto"/>
        <w:jc w:val="both"/>
        <w:rPr>
          <w:rFonts w:ascii="Palatino Linotype" w:hAnsi="Palatino Linotype" w:cs="Arial"/>
          <w:b/>
          <w:sz w:val="24"/>
          <w:szCs w:val="24"/>
        </w:rPr>
      </w:pPr>
      <w:r w:rsidRPr="00275719">
        <w:rPr>
          <w:rFonts w:ascii="Palatino Linotype" w:hAnsi="Palatino Linotype" w:cs="Arial"/>
          <w:b/>
          <w:sz w:val="28"/>
          <w:szCs w:val="28"/>
        </w:rPr>
        <w:t>TERCERO</w:t>
      </w:r>
      <w:r w:rsidRPr="00275719">
        <w:rPr>
          <w:rFonts w:ascii="Palatino Linotype" w:hAnsi="Palatino Linotype" w:cs="Arial"/>
          <w:b/>
          <w:sz w:val="24"/>
          <w:szCs w:val="24"/>
        </w:rPr>
        <w:t xml:space="preserve">. Del estudio de las causas de improcedencia. </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275719">
        <w:rPr>
          <w:rFonts w:ascii="Palatino Linotype" w:hAnsi="Palatino Linotype" w:cs="Arial"/>
          <w:sz w:val="24"/>
          <w:szCs w:val="24"/>
        </w:rPr>
        <w:lastRenderedPageBreak/>
        <w:t>la justicia, ya que éste no se coarta por regular causas de improcedencia y sobreseimiento con tales fines.</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spacing w:after="0" w:line="240" w:lineRule="auto"/>
        <w:ind w:left="851" w:right="851"/>
        <w:jc w:val="both"/>
        <w:rPr>
          <w:rFonts w:ascii="Palatino Linotype" w:hAnsi="Palatino Linotype"/>
          <w:b/>
          <w:bCs/>
          <w:i/>
          <w:lang w:eastAsia="es-MX"/>
        </w:rPr>
      </w:pPr>
      <w:r w:rsidRPr="00275719">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275719" w:rsidRPr="00275719" w:rsidRDefault="00275719" w:rsidP="00275719">
      <w:pPr>
        <w:pStyle w:val="Prrafodelista"/>
        <w:autoSpaceDE w:val="0"/>
        <w:autoSpaceDN w:val="0"/>
        <w:adjustRightInd w:val="0"/>
        <w:ind w:left="851" w:right="851"/>
        <w:jc w:val="both"/>
        <w:rPr>
          <w:rFonts w:ascii="Palatino Linotype" w:hAnsi="Palatino Linotype" w:cs="Arial"/>
          <w:sz w:val="22"/>
          <w:szCs w:val="22"/>
        </w:rPr>
      </w:pPr>
      <w:r w:rsidRPr="00275719">
        <w:rPr>
          <w:rFonts w:ascii="Palatino Linotype" w:hAnsi="Palatino Linotype"/>
          <w:i/>
          <w:sz w:val="22"/>
          <w:szCs w:val="22"/>
        </w:rPr>
        <w:t>Del examen de compatibilidad de los artículos</w:t>
      </w:r>
      <w:r w:rsidRPr="00275719">
        <w:rPr>
          <w:rStyle w:val="apple-converted-space"/>
          <w:rFonts w:ascii="Palatino Linotype" w:hAnsi="Palatino Linotype"/>
          <w:i/>
          <w:sz w:val="22"/>
          <w:szCs w:val="22"/>
        </w:rPr>
        <w:t> </w:t>
      </w:r>
      <w:hyperlink r:id="rId9" w:history="1">
        <w:r w:rsidRPr="00275719">
          <w:rPr>
            <w:rStyle w:val="Hipervnculo"/>
            <w:rFonts w:ascii="Palatino Linotype" w:eastAsia="Calibri" w:hAnsi="Palatino Linotype"/>
            <w:i/>
            <w:sz w:val="22"/>
            <w:szCs w:val="22"/>
          </w:rPr>
          <w:t>73 y 74 de la Ley de Amparo</w:t>
        </w:r>
      </w:hyperlink>
      <w:r w:rsidRPr="00275719">
        <w:rPr>
          <w:rStyle w:val="apple-converted-space"/>
          <w:rFonts w:ascii="Palatino Linotype" w:hAnsi="Palatino Linotype"/>
          <w:i/>
          <w:sz w:val="22"/>
          <w:szCs w:val="22"/>
        </w:rPr>
        <w:t> </w:t>
      </w:r>
      <w:r w:rsidRPr="00275719">
        <w:rPr>
          <w:rFonts w:ascii="Palatino Linotype" w:hAnsi="Palatino Linotype"/>
          <w:i/>
          <w:sz w:val="22"/>
          <w:szCs w:val="22"/>
        </w:rPr>
        <w:t>con el artículo</w:t>
      </w:r>
      <w:r w:rsidRPr="00275719">
        <w:rPr>
          <w:rStyle w:val="apple-converted-space"/>
          <w:rFonts w:ascii="Palatino Linotype" w:hAnsi="Palatino Linotype"/>
          <w:i/>
          <w:sz w:val="22"/>
          <w:szCs w:val="22"/>
        </w:rPr>
        <w:t> </w:t>
      </w:r>
      <w:hyperlink r:id="rId10" w:history="1">
        <w:r w:rsidRPr="00275719">
          <w:rPr>
            <w:rStyle w:val="Hipervnculo"/>
            <w:rFonts w:ascii="Palatino Linotype" w:eastAsia="Calibri" w:hAnsi="Palatino Linotype"/>
            <w:i/>
            <w:sz w:val="22"/>
            <w:szCs w:val="22"/>
          </w:rPr>
          <w:t>25.1 de la Convención Americana sobre Derechos Humanos</w:t>
        </w:r>
      </w:hyperlink>
      <w:r w:rsidRPr="00275719">
        <w:rPr>
          <w:rStyle w:val="apple-converted-space"/>
          <w:rFonts w:ascii="Palatino Linotype" w:hAnsi="Palatino Linotype"/>
          <w:i/>
          <w:sz w:val="22"/>
          <w:szCs w:val="22"/>
        </w:rPr>
        <w:t> </w:t>
      </w:r>
      <w:r w:rsidRPr="0027571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571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75719">
        <w:rPr>
          <w:rFonts w:ascii="Palatino Linotype" w:hAnsi="Palatino Linotype"/>
          <w:i/>
          <w:sz w:val="22"/>
          <w:szCs w:val="22"/>
        </w:rPr>
        <w:t>concesoria</w:t>
      </w:r>
      <w:proofErr w:type="spellEnd"/>
      <w:r w:rsidRPr="00275719">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75719" w:rsidRPr="00275719" w:rsidRDefault="00275719" w:rsidP="00275719">
      <w:pPr>
        <w:pStyle w:val="Prrafodelista"/>
        <w:autoSpaceDE w:val="0"/>
        <w:autoSpaceDN w:val="0"/>
        <w:adjustRightInd w:val="0"/>
        <w:spacing w:line="360" w:lineRule="auto"/>
        <w:ind w:left="0"/>
        <w:jc w:val="both"/>
        <w:rPr>
          <w:rFonts w:ascii="Palatino Linotype" w:hAnsi="Palatino Linotype" w:cs="Arial"/>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Por lo que una vez que se analizó el expediente en estudio se cae en la cuenta de que no se actualiza ninguna de las casuales a continuación transcritas:</w:t>
      </w:r>
    </w:p>
    <w:p w:rsidR="00275719" w:rsidRPr="00275719" w:rsidRDefault="00275719" w:rsidP="00275719">
      <w:pPr>
        <w:pStyle w:val="Prrafodelista"/>
        <w:autoSpaceDE w:val="0"/>
        <w:autoSpaceDN w:val="0"/>
        <w:adjustRightInd w:val="0"/>
        <w:spacing w:line="360" w:lineRule="auto"/>
        <w:ind w:left="0"/>
        <w:jc w:val="both"/>
        <w:rPr>
          <w:rFonts w:ascii="Palatino Linotype" w:hAnsi="Palatino Linotype" w:cs="Arial"/>
        </w:rPr>
      </w:pP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“Artículo 191. El recurso será desechado por improcedente cuando: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 Sea extemporáneo por haber transcurrido el plazo establecido en la presente Ley, a partir de la respuesta;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III. No actualice alguno de los supuestos previstos en la presente Ley;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IV. No se haya desahogado la prevención en los términos establecidos en la presente Ley;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V. Se impugne la veracidad de la información proporcionada;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VI. Se trate de una consulta, o trámite en específico; y  </w:t>
      </w:r>
    </w:p>
    <w:p w:rsidR="00275719" w:rsidRPr="00275719" w:rsidRDefault="00275719" w:rsidP="0027571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VII. El recurrente amplíe su solicitud en el recurso de revisión, únicamente respecto de los nuevos contenidos.”</w:t>
      </w:r>
    </w:p>
    <w:p w:rsidR="00275719" w:rsidRPr="00275719" w:rsidRDefault="00275719" w:rsidP="00275719">
      <w:pPr>
        <w:pStyle w:val="Prrafodelista"/>
        <w:autoSpaceDE w:val="0"/>
        <w:autoSpaceDN w:val="0"/>
        <w:adjustRightInd w:val="0"/>
        <w:spacing w:line="360" w:lineRule="auto"/>
        <w:ind w:right="850"/>
        <w:jc w:val="both"/>
        <w:rPr>
          <w:rFonts w:ascii="Palatino Linotype" w:hAnsi="Palatino Linotype" w:cs="Arial"/>
          <w:i/>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“Artículo 180. El recurso de revisión contendrá: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 El sujeto obligado ante la cual se presentó la solicitud;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II. El nombre del solicitante</w:t>
      </w:r>
      <w:r w:rsidRPr="00275719">
        <w:rPr>
          <w:rFonts w:ascii="Palatino Linotype" w:hAnsi="Palatino Linotype" w:cs="Arial"/>
          <w:i/>
          <w:szCs w:val="24"/>
        </w:rPr>
        <w:t xml:space="preserve"> que recurre o de su representante y, en su caso, del tercero interesado, así como la dirección o medio que señale para recibir notificaciones;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III. El número de folio de respuesta de la solicitud de acceso;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 El acto que se recurre;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 Las razones o motivos de inconformidad;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VII. La copia de la respuesta que se impugna y, en su caso, de la notificación correspondiente, en el caso de respuesta de la solicitud; y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VIII. Firma del recurrente, en su caso, cuando se presente por escrito, requisito sin el cual se dará trámite al recurso.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lastRenderedPageBreak/>
        <w:t xml:space="preserve">Adicionalmente, se podrán anexar las pruebas y demás elementos que considere procedentes someter a juicio del Instituto.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En ningún caso será necesario que el particular ratifique el recurso de revisión interpuesto.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En caso de que el recurso se interponga de manera electrónica no será indispensable que contengan los requisitos establecidos en las fracciones II, IV, VII y VIII.”</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w:t>
      </w:r>
      <w:r w:rsidR="000B5631">
        <w:rPr>
          <w:rFonts w:ascii="Palatino Linotype" w:hAnsi="Palatino Linotype" w:cs="Arial"/>
          <w:sz w:val="24"/>
          <w:szCs w:val="24"/>
        </w:rPr>
        <w:t>xxxx</w:t>
      </w:r>
      <w:bookmarkStart w:id="0" w:name="_GoBack"/>
      <w:bookmarkEnd w:id="0"/>
      <w:r w:rsidRPr="00275719">
        <w:rPr>
          <w:rFonts w:ascii="Palatino Linotype" w:hAnsi="Palatino Linotype" w:cs="Arial"/>
          <w:sz w:val="24"/>
          <w:szCs w:val="24"/>
        </w:rPr>
        <w:t>_____”, por lo que no tiene certeza sobre su identidad, lo que en estricto sentido, no se colmarían los requisitos establecidos en el citado artículo 180 de la Ley de Transparencia.</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240" w:lineRule="auto"/>
        <w:jc w:val="center"/>
        <w:rPr>
          <w:rFonts w:ascii="Palatino Linotype" w:hAnsi="Palatino Linotype" w:cs="Arial"/>
          <w:b/>
          <w:i/>
        </w:rPr>
      </w:pPr>
      <w:r w:rsidRPr="00275719">
        <w:rPr>
          <w:rFonts w:ascii="Palatino Linotype" w:hAnsi="Palatino Linotype" w:cs="Arial"/>
          <w:b/>
          <w:i/>
        </w:rPr>
        <w:t>Constitución Política de los Estados Unidos Mexicanos</w:t>
      </w:r>
    </w:p>
    <w:p w:rsidR="00275719" w:rsidRPr="00275719" w:rsidRDefault="00275719" w:rsidP="00275719">
      <w:pPr>
        <w:autoSpaceDE w:val="0"/>
        <w:autoSpaceDN w:val="0"/>
        <w:adjustRightInd w:val="0"/>
        <w:spacing w:after="0" w:line="240" w:lineRule="auto"/>
        <w:jc w:val="both"/>
        <w:rPr>
          <w:rFonts w:ascii="Palatino Linotype" w:hAnsi="Palatino Linotype" w:cs="Arial"/>
        </w:rPr>
      </w:pP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rPr>
      </w:pPr>
      <w:r w:rsidRPr="00275719">
        <w:rPr>
          <w:rFonts w:ascii="Palatino Linotype" w:hAnsi="Palatino Linotype" w:cs="Arial"/>
          <w:i/>
        </w:rPr>
        <w:t>“</w:t>
      </w:r>
      <w:r w:rsidRPr="00275719">
        <w:rPr>
          <w:rFonts w:ascii="Palatino Linotype" w:hAnsi="Palatino Linotype" w:cs="Arial"/>
          <w:b/>
          <w:i/>
        </w:rPr>
        <w:t>Artículo 6o</w:t>
      </w:r>
      <w:r w:rsidRPr="0027571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Para efectos de lo dispuesto en el presente artículo se observará lo siguiente:</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A</w:t>
      </w:r>
      <w:r w:rsidRPr="00275719">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I</w:t>
      </w:r>
      <w:r w:rsidRPr="00275719">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lastRenderedPageBreak/>
        <w:t>III.</w:t>
      </w:r>
      <w:r w:rsidRPr="00275719">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V</w:t>
      </w:r>
      <w:r w:rsidRPr="00275719">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VI.</w:t>
      </w:r>
      <w:r w:rsidRPr="00275719">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La ley establecerá aquella información que se considere reservada o confidencial.</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Por otra parte, del contenido del artículo 1 de la Constitución Política de los Estados Unidos Mexicanos, se destaca lo siguiente:</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r w:rsidRPr="00275719">
        <w:rPr>
          <w:rFonts w:ascii="Palatino Linotype" w:hAnsi="Palatino Linotype" w:cs="Arial"/>
          <w:b/>
          <w:i/>
          <w:szCs w:val="24"/>
        </w:rPr>
        <w:t>Artículo 1o.</w:t>
      </w:r>
      <w:r w:rsidRPr="00275719">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275719">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275719">
        <w:rPr>
          <w:rFonts w:ascii="Palatino Linotype" w:hAnsi="Palatino Linotype" w:cs="Arial"/>
          <w:sz w:val="24"/>
          <w:szCs w:val="24"/>
        </w:rPr>
        <w:lastRenderedPageBreak/>
        <w:t>de su interés o justificación de su utilización, lo que materialmente haría nugatorio un derecho fundamental.</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275719" w:rsidRP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275719" w:rsidRDefault="00275719" w:rsidP="00275719">
      <w:pPr>
        <w:pStyle w:val="Prrafodelista"/>
        <w:autoSpaceDE w:val="0"/>
        <w:autoSpaceDN w:val="0"/>
        <w:adjustRightInd w:val="0"/>
        <w:spacing w:line="360" w:lineRule="auto"/>
        <w:ind w:left="0"/>
        <w:jc w:val="both"/>
        <w:rPr>
          <w:rFonts w:ascii="Palatino Linotype" w:hAnsi="Palatino Linotype" w:cs="Arial"/>
        </w:rPr>
      </w:pPr>
      <w:r w:rsidRPr="00275719">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275719">
        <w:rPr>
          <w:rFonts w:ascii="Palatino Linotype" w:hAnsi="Palatino Linotype" w:cs="Arial"/>
        </w:rPr>
        <w:t>procede</w:t>
      </w:r>
      <w:proofErr w:type="gramEnd"/>
      <w:r w:rsidRPr="00275719">
        <w:rPr>
          <w:rFonts w:ascii="Palatino Linotype" w:hAnsi="Palatino Linotype" w:cs="Arial"/>
        </w:rPr>
        <w:t xml:space="preserve"> al análisis del fondo de los asuntos en los siguientes términos.</w:t>
      </w:r>
    </w:p>
    <w:p w:rsid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2D2F05">
        <w:rPr>
          <w:rFonts w:ascii="Palatino Linotype" w:hAnsi="Palatino Linotype"/>
          <w:color w:val="000000"/>
          <w:sz w:val="24"/>
          <w:szCs w:val="24"/>
        </w:rPr>
        <w:t>Partamos de la solicitud de información, siendo los requerimientos los siguientes:</w:t>
      </w:r>
    </w:p>
    <w:p w:rsidR="00224FEA" w:rsidRDefault="00224FEA" w:rsidP="001624E8">
      <w:pPr>
        <w:spacing w:after="0" w:line="360" w:lineRule="auto"/>
        <w:jc w:val="both"/>
        <w:rPr>
          <w:rFonts w:ascii="Palatino Linotype" w:hAnsi="Palatino Linotype" w:cs="Arial"/>
          <w:sz w:val="24"/>
          <w:szCs w:val="24"/>
          <w:lang w:eastAsia="es-MX"/>
        </w:rPr>
      </w:pPr>
    </w:p>
    <w:p w:rsidR="00822BA1" w:rsidRDefault="00266BCA" w:rsidP="001624E8">
      <w:pPr>
        <w:spacing w:after="0" w:line="360" w:lineRule="auto"/>
        <w:jc w:val="both"/>
        <w:rPr>
          <w:rFonts w:ascii="Palatino Linotype" w:hAnsi="Palatino Linotype"/>
          <w:i/>
          <w:color w:val="000000"/>
        </w:rPr>
      </w:pPr>
      <w:r w:rsidRPr="00C873E0">
        <w:rPr>
          <w:rFonts w:ascii="Palatino Linotype" w:hAnsi="Palatino Linotype"/>
          <w:i/>
          <w:color w:val="000000"/>
        </w:rPr>
        <w:t>Todo el procedimiento de gestión de las direcciones correspondientes que se realizaron para los aparatos de ejercicio que se instalaron en el parque Centauro, así como los gastos que se llevaron a cabo, sea tan amable de anexarme todo los documentos que usted crea pertinentes para sustentar su respuesta</w:t>
      </w:r>
    </w:p>
    <w:p w:rsidR="00266BCA" w:rsidRDefault="00266BCA" w:rsidP="001624E8">
      <w:pPr>
        <w:spacing w:after="0" w:line="360" w:lineRule="auto"/>
        <w:jc w:val="both"/>
        <w:rPr>
          <w:rFonts w:ascii="Palatino Linotype" w:eastAsia="Times New Roman" w:hAnsi="Palatino Linotype" w:cs="Times New Roman"/>
          <w:i/>
          <w:lang w:eastAsia="es-MX"/>
        </w:rPr>
      </w:pPr>
    </w:p>
    <w:p w:rsidR="00A11458" w:rsidRDefault="00822BA1" w:rsidP="00A11458">
      <w:pPr>
        <w:spacing w:after="0" w:line="360" w:lineRule="auto"/>
        <w:jc w:val="both"/>
        <w:rPr>
          <w:rFonts w:ascii="Palatino Linotype" w:hAnsi="Palatino Linotype"/>
          <w:sz w:val="24"/>
          <w:szCs w:val="24"/>
        </w:rPr>
      </w:pPr>
      <w:r>
        <w:rPr>
          <w:rFonts w:ascii="Palatino Linotype" w:eastAsia="Times New Roman" w:hAnsi="Palatino Linotype" w:cs="Times New Roman"/>
          <w:lang w:eastAsia="es-MX"/>
        </w:rPr>
        <w:t>En respuesta el Sujeto Obligado</w:t>
      </w:r>
      <w:r w:rsidR="001D7D81">
        <w:rPr>
          <w:rFonts w:ascii="Palatino Linotype" w:eastAsia="Times New Roman" w:hAnsi="Palatino Linotype" w:cs="Times New Roman"/>
          <w:lang w:eastAsia="es-MX"/>
        </w:rPr>
        <w:t xml:space="preserve"> remitió</w:t>
      </w:r>
      <w:r w:rsidR="00A11458">
        <w:rPr>
          <w:rFonts w:ascii="Palatino Linotype" w:eastAsia="Times New Roman" w:hAnsi="Palatino Linotype" w:cs="Times New Roman"/>
          <w:lang w:eastAsia="es-MX"/>
        </w:rPr>
        <w:t xml:space="preserve"> un archivo que contiene </w:t>
      </w:r>
      <w:r w:rsidR="00A11458">
        <w:rPr>
          <w:rFonts w:ascii="Palatino Linotype" w:hAnsi="Palatino Linotype"/>
          <w:sz w:val="24"/>
          <w:szCs w:val="24"/>
        </w:rPr>
        <w:t xml:space="preserve">una carta de agradecimiento de fecha dieciocho de agosto de dos mil veinte, la cual es dirigida a la empresa Operadora de Espacios las Américas S. de R.L., signado por el Encargado del Despacho de la Dirección de Desarrollo Urbano, agradeciendo a la empresa por la donación de equipo de gimnasio al aire libre con anclas y tornilleros para su instalación, así mismo contiene el oficio DDU/242/2021 de fecha veintidós de marzo de dos mil veintiuno, en donde el Director de Desarrollo Urbano, informa a la Coordinadora de la Unidad de Transparencia que la dirección a su cargo sostuvo platicas con representantes de Operadora de Espacios las Américas S. de R.L., en donde se les hizo saber que la empresa participa activamente con los municipios que tienen operaciones colaborando con acciones sociales que impacten de manera positiva a las comunidades, es así como ofrecieron donación de equipos de gimnasio al aire libre y el día dieciocho de agosto de dos mil veinte, se recibieron 18 equipos con anclas y tornillería para su instalación, como comprobante de la recepción de esos equipos se anexa copia del documento con el que se recibe los equipos mencionados. Así mismo hace del conocimiento que en relación con los gastos que se llevaron a cabo corrieron por cuenta de las comunidades en las que se instalaron por los equipos y </w:t>
      </w:r>
      <w:r w:rsidR="00A11458">
        <w:rPr>
          <w:rFonts w:ascii="Palatino Linotype" w:hAnsi="Palatino Linotype"/>
          <w:sz w:val="24"/>
          <w:szCs w:val="24"/>
        </w:rPr>
        <w:lastRenderedPageBreak/>
        <w:t>consistieron en materiales de construcción tales como arena, grava y cemento y la instalación fue realizada por el personal de la Dirección de Servicios Urbanos.</w:t>
      </w:r>
    </w:p>
    <w:p w:rsidR="00A11458" w:rsidRDefault="00A11458" w:rsidP="001624E8">
      <w:pPr>
        <w:spacing w:after="0" w:line="360" w:lineRule="auto"/>
        <w:jc w:val="both"/>
        <w:rPr>
          <w:rFonts w:ascii="Palatino Linotype" w:eastAsia="Times New Roman" w:hAnsi="Palatino Linotype" w:cs="Times New Roman"/>
          <w:lang w:eastAsia="es-MX"/>
        </w:rPr>
      </w:pPr>
    </w:p>
    <w:p w:rsidR="00A11458" w:rsidRDefault="00A11458" w:rsidP="001624E8">
      <w:pPr>
        <w:spacing w:after="0" w:line="360" w:lineRule="auto"/>
        <w:jc w:val="both"/>
        <w:rPr>
          <w:rFonts w:ascii="Palatino Linotype" w:eastAsia="Times New Roman" w:hAnsi="Palatino Linotype" w:cs="Times New Roman"/>
          <w:lang w:eastAsia="es-MX"/>
        </w:rPr>
      </w:pPr>
      <w:r>
        <w:rPr>
          <w:rFonts w:ascii="Palatino Linotype" w:eastAsia="Times New Roman" w:hAnsi="Palatino Linotype" w:cs="Times New Roman"/>
          <w:lang w:eastAsia="es-MX"/>
        </w:rPr>
        <w:t>Derivado do la respuesta el ahora Recurrente suscribió recurso de revisión en donde manifestó que la información está incompleta.</w:t>
      </w:r>
    </w:p>
    <w:p w:rsidR="00A11458" w:rsidRDefault="00A11458" w:rsidP="001624E8">
      <w:pPr>
        <w:spacing w:after="0" w:line="360" w:lineRule="auto"/>
        <w:jc w:val="both"/>
        <w:rPr>
          <w:rFonts w:ascii="Palatino Linotype" w:eastAsia="Times New Roman" w:hAnsi="Palatino Linotype" w:cs="Times New Roman"/>
          <w:lang w:eastAsia="es-MX"/>
        </w:rPr>
      </w:pPr>
    </w:p>
    <w:p w:rsidR="00A11458" w:rsidRDefault="00E05FCE" w:rsidP="001624E8">
      <w:pPr>
        <w:spacing w:after="0" w:line="360" w:lineRule="auto"/>
        <w:jc w:val="both"/>
        <w:rPr>
          <w:rFonts w:ascii="Palatino Linotype" w:eastAsia="MS Gothic" w:hAnsi="Palatino Linotype" w:cs="Times New Roman"/>
          <w:sz w:val="24"/>
          <w:szCs w:val="24"/>
        </w:rPr>
      </w:pPr>
      <w:r w:rsidRPr="00D403DA">
        <w:rPr>
          <w:rFonts w:ascii="Palatino Linotype" w:eastAsia="MS Gothic" w:hAnsi="Palatino Linotype" w:cs="Times New Roman"/>
          <w:sz w:val="24"/>
          <w:szCs w:val="24"/>
        </w:rPr>
        <w:t xml:space="preserve">En consecuencia, la Litis del presente asunto corresponde en resolver si el </w:t>
      </w:r>
      <w:r w:rsidRPr="00E05FCE">
        <w:rPr>
          <w:rFonts w:ascii="Palatino Linotype" w:eastAsia="MS Gothic" w:hAnsi="Palatino Linotype" w:cs="Times New Roman"/>
          <w:sz w:val="24"/>
          <w:szCs w:val="24"/>
        </w:rPr>
        <w:t>Sujeto Obligado</w:t>
      </w:r>
      <w:r>
        <w:rPr>
          <w:rFonts w:ascii="Palatino Linotype" w:eastAsia="MS Gothic" w:hAnsi="Palatino Linotype" w:cs="Times New Roman"/>
          <w:sz w:val="24"/>
          <w:szCs w:val="24"/>
        </w:rPr>
        <w:t xml:space="preserve">, </w:t>
      </w:r>
      <w:r w:rsidR="00A11458">
        <w:rPr>
          <w:rFonts w:ascii="Palatino Linotype" w:eastAsia="MS Gothic" w:hAnsi="Palatino Linotype" w:cs="Times New Roman"/>
          <w:sz w:val="24"/>
          <w:szCs w:val="24"/>
        </w:rPr>
        <w:t>con la información remitida mediante respuesta colma el derecho de acceso a la información accionado por el particular.</w:t>
      </w:r>
    </w:p>
    <w:p w:rsidR="00D5734A" w:rsidRDefault="00A11458" w:rsidP="00D5734A">
      <w:pPr>
        <w:spacing w:after="0" w:line="360" w:lineRule="auto"/>
        <w:jc w:val="both"/>
        <w:rPr>
          <w:rFonts w:ascii="Palatino Linotype" w:eastAsia="MS Gothic" w:hAnsi="Palatino Linotype" w:cs="Times New Roman"/>
          <w:sz w:val="24"/>
          <w:szCs w:val="24"/>
        </w:rPr>
      </w:pPr>
      <w:r>
        <w:rPr>
          <w:rFonts w:ascii="Palatino Linotype" w:eastAsia="MS Gothic" w:hAnsi="Palatino Linotype" w:cs="Times New Roman"/>
          <w:sz w:val="24"/>
          <w:szCs w:val="24"/>
        </w:rPr>
        <w:t xml:space="preserve"> </w:t>
      </w:r>
    </w:p>
    <w:p w:rsidR="00D5734A" w:rsidRPr="0091780E" w:rsidRDefault="00D5734A" w:rsidP="00D5734A">
      <w:pPr>
        <w:spacing w:after="0" w:line="360" w:lineRule="auto"/>
        <w:jc w:val="both"/>
        <w:rPr>
          <w:rFonts w:ascii="Palatino Linotype" w:hAnsi="Palatino Linotype" w:cs="Arial"/>
          <w:sz w:val="24"/>
        </w:rPr>
      </w:pPr>
      <w:r w:rsidRPr="00FD7078">
        <w:rPr>
          <w:rFonts w:ascii="Palatino Linotype" w:hAnsi="Palatino Linotype"/>
          <w:sz w:val="24"/>
        </w:rPr>
        <w:t xml:space="preserve">En primer término, </w:t>
      </w:r>
      <w:r w:rsidRPr="00FD7078">
        <w:rPr>
          <w:rFonts w:ascii="Palatino Linotype" w:hAnsi="Palatino Linotype" w:cs="Arial"/>
          <w:sz w:val="24"/>
        </w:rPr>
        <w:t xml:space="preserve">se considera pertinente analizar si </w:t>
      </w:r>
      <w:r w:rsidRPr="00D5734A">
        <w:rPr>
          <w:rFonts w:ascii="Palatino Linotype" w:hAnsi="Palatino Linotype" w:cs="Arial"/>
          <w:sz w:val="24"/>
        </w:rPr>
        <w:t>el Sujeto Obligado</w:t>
      </w:r>
      <w:r w:rsidRPr="00FD7078">
        <w:rPr>
          <w:rFonts w:ascii="Palatino Linotype" w:hAnsi="Palatino Linotype" w:cs="Arial"/>
          <w:sz w:val="24"/>
        </w:rPr>
        <w:t xml:space="preserve">, es la </w:t>
      </w:r>
      <w:r w:rsidRPr="00FD7078">
        <w:rPr>
          <w:rFonts w:ascii="Palatino Linotype" w:hAnsi="Palatino Linotype"/>
          <w:sz w:val="24"/>
          <w:szCs w:val="17"/>
          <w:lang w:eastAsia="es-ES_tradnl"/>
        </w:rPr>
        <w:t>autoridad</w:t>
      </w:r>
      <w:r w:rsidRPr="00FD7078">
        <w:rPr>
          <w:rFonts w:ascii="Palatino Linotype" w:hAnsi="Palatino Linotype" w:cs="Arial"/>
          <w:sz w:val="24"/>
        </w:rPr>
        <w:t xml:space="preserve"> competente para generar, administrar o poseer dicha información, con relación al ámbito de sus atribuciones, funciones, facultades o competencias.</w:t>
      </w:r>
    </w:p>
    <w:p w:rsidR="00D5734A" w:rsidRPr="0091780E" w:rsidRDefault="00D5734A" w:rsidP="00D5734A">
      <w:pPr>
        <w:spacing w:before="360" w:after="360" w:line="360" w:lineRule="auto"/>
        <w:jc w:val="both"/>
        <w:rPr>
          <w:rFonts w:ascii="Palatino Linotype" w:hAnsi="Palatino Linotype"/>
          <w:sz w:val="24"/>
        </w:rPr>
      </w:pPr>
      <w:r w:rsidRPr="0091780E">
        <w:rPr>
          <w:rFonts w:ascii="Palatino Linotype" w:hAnsi="Palatino Linotype" w:cs="Arial"/>
          <w:sz w:val="24"/>
        </w:rPr>
        <w:t xml:space="preserve">No obstante, </w:t>
      </w:r>
      <w:r w:rsidRPr="0091780E">
        <w:rPr>
          <w:rFonts w:ascii="Palatino Linotype" w:hAnsi="Palatino Linotype"/>
          <w:sz w:val="24"/>
        </w:rPr>
        <w:t xml:space="preserve">en aquellos casos en que los Sujetos Obligados hayan asumido que cuentan con la información </w:t>
      </w:r>
      <w:r w:rsidRPr="0091780E">
        <w:rPr>
          <w:rFonts w:ascii="Palatino Linotype" w:hAnsi="Palatino Linotype" w:cs="Arial"/>
          <w:sz w:val="24"/>
        </w:rPr>
        <w:t>requerida</w:t>
      </w:r>
      <w:r w:rsidRPr="0091780E">
        <w:rPr>
          <w:rFonts w:ascii="Palatino Linotype" w:hAnsi="Palatino Linotype"/>
          <w:sz w:val="24"/>
        </w:rPr>
        <w:t xml:space="preserve">, ello se traduce en que la generan, poseen o administran. Así, en el presente caso, </w:t>
      </w:r>
      <w:r w:rsidRPr="00D5734A">
        <w:rPr>
          <w:rFonts w:ascii="Palatino Linotype" w:hAnsi="Palatino Linotype" w:cs="Arial"/>
          <w:sz w:val="24"/>
        </w:rPr>
        <w:t>el Sujeto Obligado</w:t>
      </w:r>
      <w:r w:rsidRPr="0091780E">
        <w:rPr>
          <w:rFonts w:ascii="Palatino Linotype" w:hAnsi="Palatino Linotype"/>
          <w:sz w:val="24"/>
        </w:rPr>
        <w:t xml:space="preserve"> asumió tal situación al afirmar en su respuesta que, </w:t>
      </w:r>
      <w:r>
        <w:rPr>
          <w:rFonts w:ascii="Palatino Linotype" w:hAnsi="Palatino Linotype"/>
          <w:sz w:val="24"/>
        </w:rPr>
        <w:t>recibió como donación el gimnasio al aire libre.</w:t>
      </w:r>
    </w:p>
    <w:p w:rsidR="00D5734A" w:rsidRPr="0091780E" w:rsidRDefault="00D5734A" w:rsidP="00D5734A">
      <w:pPr>
        <w:spacing w:before="100" w:beforeAutospacing="1" w:after="100" w:afterAutospacing="1" w:line="360" w:lineRule="auto"/>
        <w:jc w:val="both"/>
        <w:rPr>
          <w:rFonts w:ascii="Palatino Linotype" w:hAnsi="Palatino Linotype"/>
          <w:sz w:val="24"/>
        </w:rPr>
      </w:pPr>
      <w:r w:rsidRPr="0091780E">
        <w:rPr>
          <w:rFonts w:ascii="Palatino Linotype" w:hAnsi="Palatino Linotype"/>
          <w:sz w:val="24"/>
        </w:rPr>
        <w:t xml:space="preserve">Asimismo, no se omite comentar que al haber existido un pronunciamiento por parte del </w:t>
      </w:r>
      <w:r w:rsidRPr="00D5734A">
        <w:rPr>
          <w:rFonts w:ascii="Palatino Linotype" w:hAnsi="Palatino Linotype"/>
          <w:sz w:val="24"/>
        </w:rPr>
        <w:t>Sujeto Obligado</w:t>
      </w:r>
      <w:r w:rsidRPr="0091780E">
        <w:rPr>
          <w:rFonts w:ascii="Palatino Linotype" w:hAnsi="Palatino Linotype"/>
          <w:sz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5734A" w:rsidRPr="0091780E" w:rsidRDefault="00D5734A" w:rsidP="00D5734A">
      <w:pPr>
        <w:spacing w:before="100" w:beforeAutospacing="1" w:after="100" w:afterAutospacing="1" w:line="360" w:lineRule="auto"/>
        <w:jc w:val="both"/>
        <w:rPr>
          <w:rFonts w:ascii="Palatino Linotype" w:hAnsi="Palatino Linotype" w:cs="Arial"/>
          <w:sz w:val="24"/>
        </w:rPr>
      </w:pPr>
      <w:r w:rsidRPr="0091780E">
        <w:rPr>
          <w:rFonts w:ascii="Palatino Linotype" w:hAnsi="Palatino Linotype" w:cs="Arial"/>
          <w:sz w:val="24"/>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5734A" w:rsidRPr="00121494" w:rsidRDefault="00D5734A" w:rsidP="00D5734A">
      <w:pPr>
        <w:ind w:left="709" w:right="760"/>
        <w:jc w:val="both"/>
        <w:rPr>
          <w:rFonts w:ascii="Palatino Linotype" w:hAnsi="Palatino Linotype" w:cs="Arial"/>
          <w:i/>
        </w:rPr>
      </w:pPr>
      <w:r w:rsidRPr="0012149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12149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D5734A" w:rsidRPr="00121494" w:rsidRDefault="00D5734A" w:rsidP="00D5734A">
      <w:pPr>
        <w:ind w:left="709" w:right="760"/>
        <w:jc w:val="both"/>
        <w:rPr>
          <w:rFonts w:ascii="Palatino Linotype" w:hAnsi="Palatino Linotype" w:cs="Arial"/>
          <w:i/>
        </w:rPr>
      </w:pPr>
    </w:p>
    <w:p w:rsidR="00D5734A" w:rsidRDefault="00D5734A" w:rsidP="00D5734A">
      <w:pPr>
        <w:ind w:left="709" w:right="760"/>
        <w:jc w:val="both"/>
        <w:rPr>
          <w:rFonts w:ascii="Palatino Linotype" w:hAnsi="Palatino Linotype" w:cs="Arial"/>
          <w:i/>
        </w:rPr>
      </w:pPr>
      <w:r w:rsidRPr="00121494">
        <w:rPr>
          <w:rFonts w:ascii="Palatino Linotype" w:hAnsi="Palatino Linotype" w:cs="Arial"/>
          <w:i/>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21494">
        <w:rPr>
          <w:rFonts w:ascii="Palatino Linotype" w:hAnsi="Palatino Linotype" w:cs="Arial"/>
          <w:i/>
        </w:rPr>
        <w:t>Marván</w:t>
      </w:r>
      <w:proofErr w:type="spellEnd"/>
      <w:r w:rsidRPr="00121494">
        <w:rPr>
          <w:rFonts w:ascii="Palatino Linotype" w:hAnsi="Palatino Linotype" w:cs="Arial"/>
          <w:i/>
        </w:rPr>
        <w:t xml:space="preserve"> Laborde 2395/09 Secretaría de Economía - María </w:t>
      </w:r>
      <w:proofErr w:type="spellStart"/>
      <w:r w:rsidRPr="00121494">
        <w:rPr>
          <w:rFonts w:ascii="Palatino Linotype" w:hAnsi="Palatino Linotype" w:cs="Arial"/>
          <w:i/>
        </w:rPr>
        <w:t>Marván</w:t>
      </w:r>
      <w:proofErr w:type="spellEnd"/>
      <w:r w:rsidRPr="00121494">
        <w:rPr>
          <w:rFonts w:ascii="Palatino Linotype" w:hAnsi="Palatino Linotype" w:cs="Arial"/>
          <w:i/>
        </w:rPr>
        <w:t xml:space="preserve"> Laborde 0837/10 Administración Portuaria Integral de Veracruz, S.A. de C.V. – María </w:t>
      </w:r>
      <w:proofErr w:type="spellStart"/>
      <w:r w:rsidRPr="00121494">
        <w:rPr>
          <w:rFonts w:ascii="Palatino Linotype" w:hAnsi="Palatino Linotype" w:cs="Arial"/>
          <w:i/>
        </w:rPr>
        <w:t>Marván</w:t>
      </w:r>
      <w:proofErr w:type="spellEnd"/>
      <w:r w:rsidRPr="00121494">
        <w:rPr>
          <w:rFonts w:ascii="Palatino Linotype" w:hAnsi="Palatino Linotype" w:cs="Arial"/>
          <w:i/>
        </w:rPr>
        <w:t xml:space="preserve"> Laborde Criterio 31/10</w:t>
      </w:r>
      <w:r w:rsidRPr="00121494">
        <w:rPr>
          <w:rFonts w:ascii="Palatino Linotype" w:hAnsi="Palatino Linotype" w:cs="Arial"/>
          <w:b/>
          <w:i/>
        </w:rPr>
        <w:t>”</w:t>
      </w:r>
      <w:r w:rsidRPr="00121494">
        <w:rPr>
          <w:rFonts w:ascii="Palatino Linotype" w:hAnsi="Palatino Linotype" w:cs="Arial"/>
          <w:i/>
        </w:rPr>
        <w:t xml:space="preserve"> (sic)</w:t>
      </w:r>
    </w:p>
    <w:p w:rsidR="00D5734A" w:rsidRDefault="00D5734A" w:rsidP="00D5734A">
      <w:pPr>
        <w:ind w:left="709" w:right="760"/>
        <w:jc w:val="both"/>
        <w:rPr>
          <w:rFonts w:ascii="Palatino Linotype" w:hAnsi="Palatino Linotype" w:cs="Arial"/>
          <w:b/>
          <w:i/>
        </w:rPr>
      </w:pPr>
    </w:p>
    <w:p w:rsidR="00D5734A" w:rsidRPr="00354E99" w:rsidRDefault="00D5734A" w:rsidP="00D5734A">
      <w:pPr>
        <w:pStyle w:val="Prrafodelista"/>
        <w:spacing w:before="240" w:after="240" w:line="360" w:lineRule="auto"/>
        <w:ind w:left="0"/>
        <w:contextualSpacing/>
        <w:jc w:val="both"/>
        <w:rPr>
          <w:rFonts w:ascii="Palatino Linotype" w:eastAsia="MS Mincho" w:hAnsi="Palatino Linotype" w:cs="Arial"/>
          <w:i/>
        </w:rPr>
      </w:pPr>
      <w:r w:rsidRPr="00354E99">
        <w:rPr>
          <w:rFonts w:ascii="Palatino Linotype" w:eastAsia="Calibri" w:hAnsi="Palatino Linotype"/>
        </w:rPr>
        <w:t xml:space="preserve">Así las cosas, resulta importante señalar que por cuanto hace a las donaciones realizadas, el artículo 92 la Ley de Transparencia y Acceso a la Información Pública del </w:t>
      </w:r>
      <w:r w:rsidRPr="00354E99">
        <w:rPr>
          <w:rFonts w:ascii="Palatino Linotype" w:eastAsia="Calibri" w:hAnsi="Palatino Linotype"/>
        </w:rPr>
        <w:lastRenderedPageBreak/>
        <w:t xml:space="preserve">Estado de México y Municipios, señala como una de las obligaciones de transparencia común la siguiente: </w:t>
      </w:r>
    </w:p>
    <w:p w:rsidR="00D5734A" w:rsidRPr="00364BDC" w:rsidRDefault="00D5734A" w:rsidP="00D5734A">
      <w:pPr>
        <w:spacing w:line="360" w:lineRule="auto"/>
        <w:ind w:left="567" w:right="616"/>
        <w:contextualSpacing/>
        <w:jc w:val="both"/>
        <w:rPr>
          <w:rFonts w:ascii="Palatino Linotype" w:eastAsia="Calibri" w:hAnsi="Palatino Linotype" w:cs="Times New Roman"/>
          <w:i/>
        </w:rPr>
      </w:pPr>
      <w:r w:rsidRPr="00364BDC">
        <w:rPr>
          <w:rFonts w:ascii="Palatino Linotype" w:eastAsia="Calibri" w:hAnsi="Palatino Linotype" w:cs="Times New Roman"/>
          <w:b/>
          <w:bCs/>
          <w:i/>
        </w:rPr>
        <w:t>“Artículo 92.</w:t>
      </w:r>
      <w:r w:rsidRPr="00364BDC">
        <w:rPr>
          <w:rFonts w:ascii="Palatino Linotype" w:eastAsia="Calibri"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5734A" w:rsidRPr="00364BDC" w:rsidRDefault="00D5734A" w:rsidP="00D5734A">
      <w:pPr>
        <w:spacing w:line="360" w:lineRule="auto"/>
        <w:ind w:left="567" w:right="616"/>
        <w:contextualSpacing/>
        <w:jc w:val="both"/>
        <w:rPr>
          <w:rFonts w:ascii="Palatino Linotype" w:eastAsia="Calibri" w:hAnsi="Palatino Linotype" w:cs="Times New Roman"/>
        </w:rPr>
      </w:pPr>
      <w:r w:rsidRPr="00364BDC">
        <w:rPr>
          <w:rFonts w:ascii="Palatino Linotype" w:eastAsia="Calibri" w:hAnsi="Palatino Linotype" w:cs="Times New Roman"/>
        </w:rPr>
        <w:t>(…)</w:t>
      </w:r>
    </w:p>
    <w:p w:rsidR="00D5734A" w:rsidRPr="00364BDC" w:rsidRDefault="00D5734A" w:rsidP="00D5734A">
      <w:pPr>
        <w:spacing w:line="360" w:lineRule="auto"/>
        <w:ind w:left="567" w:right="616"/>
        <w:contextualSpacing/>
        <w:jc w:val="both"/>
        <w:rPr>
          <w:rFonts w:ascii="Palatino Linotype" w:eastAsia="Calibri" w:hAnsi="Palatino Linotype" w:cs="Times New Roman"/>
          <w:b/>
          <w:i/>
        </w:rPr>
      </w:pPr>
      <w:r w:rsidRPr="00354E99">
        <w:rPr>
          <w:rFonts w:ascii="Palatino Linotype" w:eastAsia="Calibri" w:hAnsi="Palatino Linotype" w:cs="Times New Roman"/>
          <w:b/>
          <w:i/>
        </w:rPr>
        <w:t>XLVII.</w:t>
      </w:r>
      <w:r w:rsidRPr="00354E99">
        <w:rPr>
          <w:rFonts w:ascii="Palatino Linotype" w:eastAsia="Calibri" w:hAnsi="Palatino Linotype" w:cs="Times New Roman"/>
          <w:i/>
        </w:rPr>
        <w:t xml:space="preserve"> </w:t>
      </w:r>
      <w:r w:rsidRPr="00354E99">
        <w:rPr>
          <w:rFonts w:ascii="Palatino Linotype" w:eastAsia="Calibri" w:hAnsi="Palatino Linotype" w:cs="Times New Roman"/>
          <w:b/>
          <w:i/>
        </w:rPr>
        <w:t>Los ingresos recibidos por cualquier concepto señalando el nombre de los responsables de recibirlos, administrarlos y ejercerlos, indicando el destino de cada uno de ellos;</w:t>
      </w:r>
    </w:p>
    <w:p w:rsidR="00D5734A" w:rsidRDefault="00D5734A" w:rsidP="00D5734A">
      <w:pPr>
        <w:spacing w:line="360" w:lineRule="auto"/>
        <w:ind w:left="567" w:right="616"/>
        <w:contextualSpacing/>
        <w:jc w:val="both"/>
        <w:rPr>
          <w:rFonts w:ascii="Palatino Linotype" w:eastAsia="Calibri" w:hAnsi="Palatino Linotype" w:cs="Times New Roman"/>
        </w:rPr>
      </w:pPr>
      <w:r w:rsidRPr="00364BDC">
        <w:rPr>
          <w:rFonts w:ascii="Palatino Linotype" w:eastAsia="Calibri" w:hAnsi="Palatino Linotype" w:cs="Times New Roman"/>
        </w:rPr>
        <w:t>(…)”</w:t>
      </w:r>
    </w:p>
    <w:p w:rsidR="00D5734A" w:rsidRPr="00364BDC" w:rsidRDefault="00D5734A" w:rsidP="00D5734A">
      <w:pPr>
        <w:spacing w:line="360" w:lineRule="auto"/>
        <w:ind w:left="567" w:right="616"/>
        <w:contextualSpacing/>
        <w:jc w:val="both"/>
        <w:rPr>
          <w:rFonts w:ascii="Palatino Linotype" w:eastAsia="Calibri" w:hAnsi="Palatino Linotype" w:cs="Times New Roman"/>
        </w:rPr>
      </w:pPr>
    </w:p>
    <w:p w:rsidR="00D5734A" w:rsidRPr="00354E99" w:rsidRDefault="00D5734A" w:rsidP="00D5734A">
      <w:pPr>
        <w:pStyle w:val="Prrafodelista"/>
        <w:widowControl w:val="0"/>
        <w:autoSpaceDE w:val="0"/>
        <w:autoSpaceDN w:val="0"/>
        <w:adjustRightInd w:val="0"/>
        <w:spacing w:before="240" w:after="240" w:line="360" w:lineRule="auto"/>
        <w:ind w:left="0"/>
        <w:contextualSpacing/>
        <w:jc w:val="both"/>
        <w:rPr>
          <w:rFonts w:ascii="Palatino Linotype" w:eastAsia="MS Mincho" w:hAnsi="Palatino Linotype"/>
          <w:i/>
          <w:lang w:eastAsia="es-ES_tradnl"/>
        </w:rPr>
      </w:pPr>
      <w:r w:rsidRPr="00354E99">
        <w:rPr>
          <w:rFonts w:ascii="Palatino Linotype" w:eastAsia="MS Mincho" w:hAnsi="Palatino Linotype"/>
          <w:lang w:eastAsia="es-ES_tradnl"/>
        </w:rPr>
        <w:t xml:space="preserve">Por otro lado, la Ley </w:t>
      </w:r>
      <w:r>
        <w:rPr>
          <w:rFonts w:ascii="Palatino Linotype" w:eastAsia="MS Mincho" w:hAnsi="Palatino Linotype"/>
          <w:lang w:eastAsia="es-ES_tradnl"/>
        </w:rPr>
        <w:t>en cita,</w:t>
      </w:r>
      <w:r w:rsidRPr="00354E99">
        <w:rPr>
          <w:rFonts w:ascii="Palatino Linotype" w:eastAsia="MS Mincho" w:hAnsi="Palatino Linotype"/>
          <w:lang w:eastAsia="es-ES_tradnl"/>
        </w:rPr>
        <w:t xml:space="preserve"> señala en su diverso 97 que la hacienda pública municipal </w:t>
      </w:r>
      <w:r>
        <w:rPr>
          <w:rFonts w:ascii="Palatino Linotype" w:eastAsia="MS Mincho" w:hAnsi="Palatino Linotype"/>
          <w:lang w:eastAsia="es-ES_tradnl"/>
        </w:rPr>
        <w:t>se</w:t>
      </w:r>
      <w:r w:rsidRPr="00354E99">
        <w:rPr>
          <w:rFonts w:ascii="Palatino Linotype" w:eastAsia="MS Mincho" w:hAnsi="Palatino Linotype"/>
          <w:lang w:eastAsia="es-ES_tradnl"/>
        </w:rPr>
        <w:t xml:space="preserve"> integra por las donaciones recibidas:</w:t>
      </w:r>
    </w:p>
    <w:p w:rsidR="00D5734A" w:rsidRPr="00354E99" w:rsidRDefault="00D5734A" w:rsidP="00D5734A">
      <w:pPr>
        <w:pStyle w:val="Prrafodelista"/>
        <w:widowControl w:val="0"/>
        <w:autoSpaceDE w:val="0"/>
        <w:autoSpaceDN w:val="0"/>
        <w:adjustRightInd w:val="0"/>
        <w:spacing w:before="240" w:after="240" w:line="360" w:lineRule="auto"/>
        <w:ind w:left="0"/>
        <w:jc w:val="both"/>
        <w:rPr>
          <w:rFonts w:ascii="Palatino Linotype" w:eastAsia="MS Mincho" w:hAnsi="Palatino Linotype"/>
          <w:i/>
          <w:lang w:eastAsia="es-ES_tradnl"/>
        </w:rPr>
      </w:pP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b/>
          <w:i/>
          <w:lang w:eastAsia="es-ES_tradnl"/>
        </w:rPr>
        <w:t>“Artículo 97.-</w:t>
      </w:r>
      <w:r w:rsidRPr="00354E99">
        <w:rPr>
          <w:rFonts w:ascii="Palatino Linotype" w:eastAsia="MS Mincho" w:hAnsi="Palatino Linotype" w:cs="Times New Roman"/>
          <w:i/>
          <w:lang w:eastAsia="es-ES_tradnl"/>
        </w:rPr>
        <w:t xml:space="preserve"> La hacienda pública municipal se integra por: </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 Los bienes muebles e inmuebles propiedad del municipio; </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II. Los capitales y créditos a favor del municipio, así como los intereses y productos que generen los mismos; </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III. Las rentas y productos de todos los bienes municipales; </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IV. Las participaciones que perciban de acuerdo con las leyes federales y del Estado; </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lastRenderedPageBreak/>
        <w:t>V. Las contribuciones y demás ingresos determinados en la Ley de Ingresos de los Municipios, los que decrete la Legislatura y otros que por cualquier título legal reciba;</w:t>
      </w:r>
    </w:p>
    <w:p w:rsidR="00D5734A" w:rsidRPr="00354E99" w:rsidRDefault="00D5734A" w:rsidP="00D5734A">
      <w:pPr>
        <w:widowControl w:val="0"/>
        <w:autoSpaceDE w:val="0"/>
        <w:autoSpaceDN w:val="0"/>
        <w:adjustRightInd w:val="0"/>
        <w:spacing w:before="240" w:after="240" w:line="360" w:lineRule="auto"/>
        <w:ind w:left="567" w:right="616"/>
        <w:jc w:val="both"/>
        <w:rPr>
          <w:rFonts w:ascii="Palatino Linotype" w:eastAsia="MS Mincho" w:hAnsi="Palatino Linotype" w:cs="Times New Roman"/>
          <w:b/>
          <w:i/>
          <w:lang w:eastAsia="es-ES_tradnl"/>
        </w:rPr>
      </w:pPr>
      <w:r w:rsidRPr="00354E99">
        <w:rPr>
          <w:rFonts w:ascii="Palatino Linotype" w:eastAsia="MS Mincho" w:hAnsi="Palatino Linotype" w:cs="Times New Roman"/>
          <w:b/>
          <w:i/>
          <w:lang w:eastAsia="es-ES_tradnl"/>
        </w:rPr>
        <w:t xml:space="preserve"> VI. Las donaciones, herencias y legados que reciban.” (Sic)</w:t>
      </w:r>
    </w:p>
    <w:p w:rsidR="00D5734A" w:rsidRPr="00354E99" w:rsidRDefault="00D5734A" w:rsidP="00D5734A">
      <w:pPr>
        <w:pStyle w:val="Prrafodelista"/>
        <w:spacing w:before="240" w:after="240" w:line="360" w:lineRule="auto"/>
        <w:ind w:left="0"/>
        <w:contextualSpacing/>
        <w:jc w:val="both"/>
        <w:rPr>
          <w:rFonts w:ascii="Palatino Linotype" w:hAnsi="Palatino Linotype" w:cs="Arial"/>
        </w:rPr>
      </w:pPr>
      <w:r w:rsidRPr="00354E99">
        <w:rPr>
          <w:rFonts w:ascii="Palatino Linotype" w:eastAsia="MS Mincho" w:hAnsi="Palatino Linotype"/>
          <w:color w:val="000000"/>
        </w:rPr>
        <w:t xml:space="preserve">De lo anterior se observa que la hacienda pública municipal se integrará por las donaciones realizadas a los Ayuntamientos , así y en el entendido de que los donativos señalados en el párrafo anterior representan un aumento en el haber patrimonial, son fiscalizadas por la Legislatura a través del Órgano Superior de Fiscalización  y en ese sentido el </w:t>
      </w:r>
      <w:r>
        <w:rPr>
          <w:rFonts w:ascii="Palatino Linotype" w:eastAsia="MS Mincho" w:hAnsi="Palatino Linotype"/>
          <w:color w:val="000000"/>
        </w:rPr>
        <w:t xml:space="preserve">artículo </w:t>
      </w:r>
      <w:r w:rsidRPr="00354E99">
        <w:rPr>
          <w:rFonts w:ascii="Palatino Linotype" w:hAnsi="Palatino Linotype" w:cs="Arial"/>
        </w:rPr>
        <w:t xml:space="preserve">61 de la </w:t>
      </w:r>
      <w:r w:rsidRPr="00354E99">
        <w:rPr>
          <w:rFonts w:ascii="Palatino Linotype" w:hAnsi="Palatino Linotype" w:cs="Arial"/>
          <w:b/>
        </w:rPr>
        <w:t>Constitución Política del Estado Libre y Soberano de México</w:t>
      </w:r>
      <w:r w:rsidRPr="00354E99">
        <w:rPr>
          <w:rFonts w:ascii="Palatino Linotype" w:hAnsi="Palatino Linotype" w:cs="Arial"/>
        </w:rPr>
        <w:t xml:space="preserve"> establece las facultades y obligaciones de la Legislatura de las cuales podemos resaltar las siguientes: </w:t>
      </w:r>
    </w:p>
    <w:p w:rsidR="00D5734A" w:rsidRDefault="00D5734A" w:rsidP="00D5734A">
      <w:pPr>
        <w:spacing w:line="360" w:lineRule="auto"/>
        <w:ind w:left="851" w:right="616"/>
        <w:contextualSpacing/>
        <w:jc w:val="both"/>
        <w:rPr>
          <w:rFonts w:ascii="Palatino Linotype" w:eastAsia="Times New Roman" w:hAnsi="Palatino Linotype" w:cs="Arial"/>
          <w:b/>
          <w:i/>
          <w:lang w:val="es-ES"/>
        </w:rPr>
      </w:pPr>
      <w:r w:rsidRPr="00065B08">
        <w:rPr>
          <w:rFonts w:ascii="Palatino Linotype" w:eastAsia="Times New Roman" w:hAnsi="Palatino Linotype" w:cs="Arial"/>
          <w:b/>
          <w:i/>
          <w:lang w:val="es-ES"/>
        </w:rPr>
        <w:t>“Artículo 61.</w:t>
      </w:r>
    </w:p>
    <w:p w:rsidR="00D5734A" w:rsidRPr="00065B08" w:rsidRDefault="00D5734A" w:rsidP="00D5734A">
      <w:pPr>
        <w:spacing w:line="360" w:lineRule="auto"/>
        <w:ind w:left="851" w:right="616"/>
        <w:contextualSpacing/>
        <w:jc w:val="both"/>
        <w:rPr>
          <w:rFonts w:ascii="Palatino Linotype" w:eastAsia="Times New Roman" w:hAnsi="Palatino Linotype" w:cs="Arial"/>
          <w:b/>
          <w:i/>
          <w:lang w:val="es-ES"/>
        </w:rPr>
      </w:pPr>
    </w:p>
    <w:p w:rsidR="00D5734A" w:rsidRPr="00065B08" w:rsidRDefault="00D5734A" w:rsidP="00D5734A">
      <w:pPr>
        <w:spacing w:line="360" w:lineRule="auto"/>
        <w:ind w:left="851" w:right="616"/>
        <w:contextualSpacing/>
        <w:jc w:val="both"/>
        <w:rPr>
          <w:rFonts w:ascii="Palatino Linotype" w:eastAsia="Times New Roman" w:hAnsi="Palatino Linotype" w:cs="Arial"/>
          <w:b/>
          <w:i/>
          <w:lang w:val="es-ES"/>
        </w:rPr>
      </w:pPr>
      <w:r w:rsidRPr="00065B08">
        <w:rPr>
          <w:rFonts w:ascii="Palatino Linotype" w:eastAsia="Times New Roman" w:hAnsi="Palatino Linotype" w:cs="Arial"/>
          <w:b/>
          <w:i/>
          <w:lang w:val="es-ES"/>
        </w:rPr>
        <w:t xml:space="preserve">(…) </w:t>
      </w:r>
    </w:p>
    <w:p w:rsidR="00D5734A" w:rsidRPr="00065B08" w:rsidRDefault="00D5734A" w:rsidP="00D5734A">
      <w:pPr>
        <w:autoSpaceDE w:val="0"/>
        <w:autoSpaceDN w:val="0"/>
        <w:adjustRightInd w:val="0"/>
        <w:spacing w:line="360" w:lineRule="auto"/>
        <w:ind w:left="851" w:right="616"/>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XXXIII. Revisar, por conducto del </w:t>
      </w:r>
      <w:r w:rsidRPr="00065B08">
        <w:rPr>
          <w:rFonts w:ascii="Palatino Linotype" w:eastAsia="Times New Roman" w:hAnsi="Palatino Linotype" w:cs="Bookman Old Style"/>
          <w:b/>
          <w:i/>
        </w:rPr>
        <w:t>Órgano Superior de Fiscalización del Estado de México</w:t>
      </w:r>
      <w:r w:rsidRPr="00065B08">
        <w:rPr>
          <w:rFonts w:ascii="Palatino Linotype" w:eastAsia="Times New Roman"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D5734A" w:rsidRPr="00065B08" w:rsidRDefault="00D5734A" w:rsidP="00D5734A">
      <w:pPr>
        <w:autoSpaceDE w:val="0"/>
        <w:autoSpaceDN w:val="0"/>
        <w:adjustRightInd w:val="0"/>
        <w:spacing w:line="360" w:lineRule="auto"/>
        <w:ind w:left="851" w:right="616"/>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65B08">
        <w:rPr>
          <w:rFonts w:ascii="Palatino Linotype" w:eastAsia="Times New Roman" w:hAnsi="Palatino Linotype" w:cs="Bookman Old Style"/>
          <w:b/>
          <w:i/>
        </w:rPr>
        <w:t>Órgano Superior de Fiscalización</w:t>
      </w:r>
      <w:r w:rsidRPr="00065B08">
        <w:rPr>
          <w:rFonts w:ascii="Palatino Linotype" w:eastAsia="Times New Roman" w:hAnsi="Palatino Linotype" w:cs="Bookman Old Style"/>
          <w:i/>
        </w:rPr>
        <w:t>.”</w:t>
      </w:r>
    </w:p>
    <w:p w:rsidR="00D5734A" w:rsidRPr="00065B08" w:rsidRDefault="00D5734A" w:rsidP="00D5734A">
      <w:pPr>
        <w:autoSpaceDE w:val="0"/>
        <w:autoSpaceDN w:val="0"/>
        <w:adjustRightInd w:val="0"/>
        <w:spacing w:line="360" w:lineRule="auto"/>
        <w:ind w:left="851" w:right="616"/>
        <w:jc w:val="both"/>
        <w:rPr>
          <w:rFonts w:ascii="Palatino Linotype" w:eastAsia="Times New Roman" w:hAnsi="Palatino Linotype" w:cs="Bookman Old Style"/>
          <w:i/>
        </w:rPr>
      </w:pPr>
    </w:p>
    <w:p w:rsidR="00D5734A" w:rsidRPr="009F0F68" w:rsidRDefault="00D5734A" w:rsidP="00D5734A">
      <w:pPr>
        <w:spacing w:before="240" w:after="240" w:line="360" w:lineRule="auto"/>
        <w:contextualSpacing/>
        <w:jc w:val="both"/>
        <w:rPr>
          <w:rFonts w:ascii="Palatino Linotype" w:eastAsia="Times New Roman" w:hAnsi="Palatino Linotype" w:cs="Bookman Old Style"/>
          <w:i/>
          <w:sz w:val="24"/>
        </w:rPr>
      </w:pPr>
      <w:r w:rsidRPr="009F0F68">
        <w:rPr>
          <w:rFonts w:ascii="Palatino Linotype" w:eastAsia="Times New Roman" w:hAnsi="Palatino Linotype" w:cs="Bookman Old Style"/>
          <w:sz w:val="24"/>
        </w:rPr>
        <w:t xml:space="preserve">La </w:t>
      </w:r>
      <w:r w:rsidRPr="009F0F68">
        <w:rPr>
          <w:rFonts w:ascii="Palatino Linotype" w:eastAsia="Times New Roman" w:hAnsi="Palatino Linotype" w:cs="Bookman Old Style"/>
          <w:b/>
          <w:sz w:val="24"/>
        </w:rPr>
        <w:t xml:space="preserve">Ley de Fiscalización Superior del Estado de México </w:t>
      </w:r>
      <w:r w:rsidRPr="009F0F68">
        <w:rPr>
          <w:rFonts w:ascii="Palatino Linotype" w:eastAsia="Times New Roman"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9F0F68">
        <w:rPr>
          <w:rFonts w:ascii="Palatino Linotype" w:eastAsia="Times New Roman" w:hAnsi="Palatino Linotype" w:cs="Bookman Old Style"/>
          <w:b/>
          <w:sz w:val="24"/>
        </w:rPr>
        <w:t xml:space="preserve">Informe Mensual. </w:t>
      </w:r>
      <w:r w:rsidRPr="009F0F68">
        <w:rPr>
          <w:rFonts w:ascii="Palatino Linotype" w:eastAsia="Times New Roman" w:hAnsi="Palatino Linotype" w:cs="Bookman Old Style"/>
          <w:sz w:val="24"/>
        </w:rPr>
        <w:t xml:space="preserve">El artículo 32 párrafo segundo de la ley en cita establece: </w:t>
      </w:r>
    </w:p>
    <w:p w:rsidR="00D5734A" w:rsidRPr="00065B08" w:rsidRDefault="00D5734A" w:rsidP="00D5734A">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rPr>
      </w:pPr>
      <w:r w:rsidRPr="00065B08">
        <w:rPr>
          <w:rFonts w:ascii="Palatino Linotype" w:eastAsia="Times New Roman" w:hAnsi="Palatino Linotype" w:cs="Bookman Old Style"/>
          <w:b/>
          <w:i/>
        </w:rPr>
        <w:t>“Articulo 32.-</w:t>
      </w:r>
    </w:p>
    <w:p w:rsidR="00D5734A" w:rsidRPr="00065B08" w:rsidRDefault="00D5734A" w:rsidP="00D5734A">
      <w:pPr>
        <w:autoSpaceDE w:val="0"/>
        <w:autoSpaceDN w:val="0"/>
        <w:adjustRightInd w:val="0"/>
        <w:spacing w:line="360" w:lineRule="auto"/>
        <w:ind w:left="851" w:right="616"/>
        <w:contextualSpacing/>
        <w:jc w:val="both"/>
        <w:rPr>
          <w:rFonts w:ascii="Palatino Linotype" w:eastAsia="Times New Roman" w:hAnsi="Palatino Linotype" w:cs="Bookman Old Style"/>
          <w:i/>
        </w:rPr>
      </w:pPr>
      <w:r w:rsidRPr="00065B08">
        <w:rPr>
          <w:rFonts w:ascii="Palatino Linotype" w:eastAsia="Times New Roman" w:hAnsi="Palatino Linotype" w:cs="Bookman Old Style"/>
          <w:i/>
        </w:rPr>
        <w:t>(…)</w:t>
      </w:r>
    </w:p>
    <w:p w:rsidR="00D5734A" w:rsidRPr="00065B08" w:rsidRDefault="00D5734A" w:rsidP="00D5734A">
      <w:pPr>
        <w:autoSpaceDE w:val="0"/>
        <w:autoSpaceDN w:val="0"/>
        <w:adjustRightInd w:val="0"/>
        <w:spacing w:line="360" w:lineRule="auto"/>
        <w:ind w:left="851" w:right="616"/>
        <w:contextualSpacing/>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065B08">
        <w:rPr>
          <w:rFonts w:ascii="Palatino Linotype" w:eastAsia="Times New Roman" w:hAnsi="Palatino Linotype" w:cs="Bookman Old Style"/>
          <w:b/>
          <w:i/>
        </w:rPr>
        <w:t>los informes mensuales</w:t>
      </w:r>
      <w:r w:rsidRPr="00065B08">
        <w:rPr>
          <w:rFonts w:ascii="Palatino Linotype" w:eastAsia="Times New Roman" w:hAnsi="Palatino Linotype" w:cs="Bookman Old Style"/>
          <w:i/>
        </w:rPr>
        <w:t xml:space="preserve"> los deberán presentar dentro de los veinte días posteriores al término del mes correspondiente.”</w:t>
      </w:r>
    </w:p>
    <w:p w:rsidR="00D5734A" w:rsidRPr="00065B08" w:rsidRDefault="00D5734A" w:rsidP="00D5734A">
      <w:pPr>
        <w:autoSpaceDE w:val="0"/>
        <w:autoSpaceDN w:val="0"/>
        <w:adjustRightInd w:val="0"/>
        <w:spacing w:line="360" w:lineRule="auto"/>
        <w:ind w:left="851" w:right="616"/>
        <w:contextualSpacing/>
        <w:jc w:val="both"/>
        <w:rPr>
          <w:rFonts w:ascii="Palatino Linotype" w:eastAsia="Times New Roman" w:hAnsi="Palatino Linotype" w:cs="Bookman Old Style"/>
          <w:i/>
        </w:rPr>
      </w:pPr>
    </w:p>
    <w:p w:rsidR="00D5734A" w:rsidRDefault="00D5734A" w:rsidP="00D5734A">
      <w:pPr>
        <w:spacing w:before="240" w:after="240" w:line="360" w:lineRule="auto"/>
        <w:contextualSpacing/>
        <w:jc w:val="both"/>
        <w:rPr>
          <w:rFonts w:ascii="Palatino Linotype" w:eastAsia="Times New Roman" w:hAnsi="Palatino Linotype" w:cs="Bookman Old Style"/>
          <w:sz w:val="24"/>
        </w:rPr>
      </w:pPr>
      <w:r w:rsidRPr="009F0F68">
        <w:rPr>
          <w:rFonts w:ascii="Palatino Linotype" w:eastAsia="Times New Roman" w:hAnsi="Palatino Linotype" w:cs="Bookman Old Style"/>
          <w:sz w:val="24"/>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1D7D81" w:rsidRPr="009F0F68" w:rsidRDefault="001D7D81" w:rsidP="00D5734A">
      <w:pPr>
        <w:spacing w:before="240" w:after="240" w:line="360" w:lineRule="auto"/>
        <w:contextualSpacing/>
        <w:jc w:val="both"/>
        <w:rPr>
          <w:rFonts w:ascii="Palatino Linotype" w:eastAsia="Times New Roman" w:hAnsi="Palatino Linotype" w:cs="Bookman Old Style"/>
          <w:sz w:val="24"/>
        </w:rPr>
      </w:pPr>
    </w:p>
    <w:p w:rsidR="00D5734A" w:rsidRPr="0073211F" w:rsidRDefault="00D5734A" w:rsidP="00D5734A">
      <w:pPr>
        <w:spacing w:before="240" w:after="240" w:line="360" w:lineRule="auto"/>
        <w:contextualSpacing/>
        <w:jc w:val="both"/>
        <w:rPr>
          <w:rFonts w:ascii="Palatino Linotype" w:eastAsia="Times New Roman" w:hAnsi="Palatino Linotype" w:cs="Arial"/>
          <w:sz w:val="24"/>
        </w:rPr>
      </w:pPr>
      <w:r w:rsidRPr="0073211F">
        <w:rPr>
          <w:rFonts w:ascii="Palatino Linotype" w:eastAsia="Times New Roman" w:hAnsi="Palatino Linotype" w:cs="Bookman Old Style"/>
          <w:sz w:val="24"/>
        </w:rPr>
        <w:t xml:space="preserve">Por lo que los </w:t>
      </w:r>
      <w:r w:rsidRPr="0073211F">
        <w:rPr>
          <w:rFonts w:ascii="Palatino Linotype" w:eastAsia="Times New Roman" w:hAnsi="Palatino Linotype" w:cs="Bookman Old Style"/>
          <w:b/>
          <w:sz w:val="24"/>
        </w:rPr>
        <w:t xml:space="preserve">Lineamientos para la Integración del Informe Mensual 2019 constituyen </w:t>
      </w:r>
      <w:r w:rsidRPr="0073211F">
        <w:rPr>
          <w:rFonts w:ascii="Palatino Linotype" w:eastAsia="Times New Roman" w:hAnsi="Palatino Linotype" w:cs="Bookman Old Style"/>
          <w:sz w:val="24"/>
        </w:rPr>
        <w:t xml:space="preserve">el instrumento que sirve como herramienta para elaborar y presentar los Informes Mensuales, de acuerdo a los requerimientos financieros, contables, </w:t>
      </w:r>
      <w:r w:rsidRPr="0073211F">
        <w:rPr>
          <w:rFonts w:ascii="Palatino Linotype" w:eastAsia="Times New Roman" w:hAnsi="Palatino Linotype" w:cs="Bookman Old Style"/>
          <w:sz w:val="24"/>
        </w:rPr>
        <w:lastRenderedPageBreak/>
        <w:t>patrimoniales, presupuestales, programáticos y administrativos que señales los ordenamientos legales respectivos, entre los que destacan: L</w:t>
      </w:r>
      <w:r w:rsidRPr="0073211F">
        <w:rPr>
          <w:rFonts w:ascii="Palatino Linotype" w:eastAsia="Times New Roman"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D5734A" w:rsidRPr="00065B08" w:rsidRDefault="00D5734A" w:rsidP="00D5734A">
      <w:pPr>
        <w:ind w:left="720"/>
        <w:contextualSpacing/>
        <w:rPr>
          <w:rFonts w:ascii="Palatino Linotype" w:eastAsia="Times New Roman" w:hAnsi="Palatino Linotype" w:cs="Arial"/>
        </w:rPr>
      </w:pPr>
    </w:p>
    <w:p w:rsidR="00D5734A" w:rsidRPr="0073211F" w:rsidRDefault="00D5734A" w:rsidP="00D5734A">
      <w:pPr>
        <w:spacing w:before="240" w:after="240" w:line="360" w:lineRule="auto"/>
        <w:contextualSpacing/>
        <w:jc w:val="both"/>
        <w:rPr>
          <w:rFonts w:ascii="Palatino Linotype" w:eastAsia="Times New Roman" w:hAnsi="Palatino Linotype" w:cs="Arial"/>
          <w:sz w:val="24"/>
        </w:rPr>
      </w:pPr>
      <w:r w:rsidRPr="0073211F">
        <w:rPr>
          <w:rFonts w:ascii="Palatino Linotype" w:eastAsia="Times New Roman" w:hAnsi="Palatino Linotype" w:cs="Arial"/>
          <w:sz w:val="24"/>
        </w:rPr>
        <w:t xml:space="preserve">En la integración del Informe Mensual se detallará la información en </w:t>
      </w:r>
      <w:r>
        <w:rPr>
          <w:rFonts w:ascii="Palatino Linotype" w:eastAsia="Times New Roman" w:hAnsi="Palatino Linotype" w:cs="Arial"/>
          <w:sz w:val="24"/>
        </w:rPr>
        <w:t>cinco</w:t>
      </w:r>
      <w:r w:rsidRPr="0073211F">
        <w:rPr>
          <w:rFonts w:ascii="Palatino Linotype" w:eastAsia="Times New Roman" w:hAnsi="Palatino Linotype" w:cs="Arial"/>
          <w:sz w:val="24"/>
        </w:rPr>
        <w:t xml:space="preserve"> (05) discos que se entregarán mensualmente, dentro de los veinte (20) días hábiles siguientes terminado el mes; por lo que de acuerdo a los Lineamientos citados la integración de los discos será conforme a lo siguiente: </w:t>
      </w:r>
    </w:p>
    <w:p w:rsidR="001D7D81" w:rsidRDefault="001D7D81" w:rsidP="00D5734A">
      <w:pPr>
        <w:spacing w:before="240" w:after="240" w:line="360" w:lineRule="auto"/>
        <w:ind w:left="567" w:right="616"/>
        <w:contextualSpacing/>
        <w:jc w:val="both"/>
        <w:rPr>
          <w:rFonts w:ascii="Palatino Linotype" w:eastAsia="Times New Roman" w:hAnsi="Palatino Linotype" w:cs="Arial"/>
          <w:i/>
        </w:rPr>
      </w:pPr>
    </w:p>
    <w:p w:rsidR="00D5734A" w:rsidRPr="00354E99" w:rsidRDefault="00D5734A" w:rsidP="00D5734A">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“Informe Mensual Municipal en </w:t>
      </w:r>
      <w:proofErr w:type="spellStart"/>
      <w:r w:rsidRPr="00354E99">
        <w:rPr>
          <w:rFonts w:ascii="Palatino Linotype" w:eastAsia="Times New Roman" w:hAnsi="Palatino Linotype" w:cs="Arial"/>
          <w:i/>
        </w:rPr>
        <w:t>CD´s</w:t>
      </w:r>
      <w:proofErr w:type="spellEnd"/>
      <w:r w:rsidRPr="00354E99">
        <w:rPr>
          <w:rFonts w:ascii="Palatino Linotype" w:eastAsia="Times New Roman" w:hAnsi="Palatino Linotype" w:cs="Arial"/>
          <w:i/>
        </w:rPr>
        <w:t xml:space="preserve">: </w:t>
      </w:r>
    </w:p>
    <w:p w:rsidR="00D5734A" w:rsidRPr="00354E99" w:rsidRDefault="00D5734A" w:rsidP="00D5734A">
      <w:pPr>
        <w:spacing w:before="240" w:after="240" w:line="360" w:lineRule="auto"/>
        <w:ind w:left="567" w:right="616"/>
        <w:contextualSpacing/>
        <w:jc w:val="both"/>
        <w:rPr>
          <w:rFonts w:ascii="Palatino Linotype" w:eastAsia="Times New Roman" w:hAnsi="Palatino Linotype" w:cs="Arial"/>
          <w:b/>
          <w:i/>
        </w:rPr>
      </w:pPr>
      <w:r w:rsidRPr="00354E99">
        <w:rPr>
          <w:rFonts w:ascii="Palatino Linotype" w:eastAsia="Times New Roman" w:hAnsi="Palatino Linotype" w:cs="Arial"/>
          <w:b/>
          <w:i/>
        </w:rPr>
        <w:t>Disco 1.- Información Patrimonial (Contable y Administrativa)</w:t>
      </w:r>
    </w:p>
    <w:p w:rsidR="00D5734A" w:rsidRPr="00354E99" w:rsidRDefault="00D5734A" w:rsidP="00D5734A">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2.- Información Presupuestal, de Bienes Muebles e Inmuebles y de Recaudación del Impuesto Predial y Derechos de Agua </w:t>
      </w:r>
    </w:p>
    <w:p w:rsidR="00D5734A" w:rsidRPr="00354E99" w:rsidRDefault="00D5734A" w:rsidP="00D5734A">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3.- Información de Obra </w:t>
      </w:r>
    </w:p>
    <w:p w:rsidR="00D5734A" w:rsidRPr="00354E99" w:rsidRDefault="00D5734A" w:rsidP="00D5734A">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4.- Información de Nómina </w:t>
      </w:r>
    </w:p>
    <w:p w:rsidR="00D5734A" w:rsidRPr="00065B08" w:rsidRDefault="00D5734A" w:rsidP="00D5734A">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Disco 5.- Imágenes Digitalizadas Disco 6.- Información de Evaluación Programática (archivo de texto plano TXT y PDF)*” (Sic)</w:t>
      </w:r>
    </w:p>
    <w:p w:rsidR="00D5734A" w:rsidRDefault="00D5734A" w:rsidP="00D5734A">
      <w:pPr>
        <w:pStyle w:val="Prrafodelista"/>
        <w:spacing w:before="240" w:after="240" w:line="360" w:lineRule="auto"/>
        <w:ind w:left="0"/>
        <w:contextualSpacing/>
        <w:jc w:val="both"/>
        <w:rPr>
          <w:rFonts w:ascii="Palatino Linotype" w:hAnsi="Palatino Linotype" w:cs="Arial"/>
          <w:b/>
          <w:i/>
          <w:szCs w:val="20"/>
          <w:lang w:val="es-MX"/>
        </w:rPr>
      </w:pPr>
      <w:r w:rsidRPr="00354E99">
        <w:rPr>
          <w:rFonts w:ascii="Palatino Linotype" w:hAnsi="Palatino Linotype" w:cs="Arial"/>
          <w:lang w:val="es-MX"/>
        </w:rPr>
        <w:t>Derivado de los instrumentos normativos citados es de señalar que la información solicitada por el particular</w:t>
      </w:r>
      <w:r w:rsidRPr="00354E99">
        <w:rPr>
          <w:rFonts w:ascii="Palatino Linotype" w:hAnsi="Palatino Linotype" w:cs="Arial"/>
          <w:szCs w:val="20"/>
        </w:rPr>
        <w:t xml:space="preserve"> se localiza en los archivos del </w:t>
      </w:r>
      <w:r w:rsidRPr="00354E99">
        <w:rPr>
          <w:rFonts w:ascii="Palatino Linotype" w:hAnsi="Palatino Linotype" w:cs="Arial"/>
          <w:b/>
          <w:szCs w:val="20"/>
        </w:rPr>
        <w:t xml:space="preserve">Municipio de </w:t>
      </w:r>
      <w:proofErr w:type="spellStart"/>
      <w:r>
        <w:rPr>
          <w:rFonts w:ascii="Palatino Linotype" w:hAnsi="Palatino Linotype"/>
          <w:b/>
          <w:bCs/>
        </w:rPr>
        <w:t>Cuautitlan</w:t>
      </w:r>
      <w:proofErr w:type="spellEnd"/>
      <w:r w:rsidRPr="00354E99">
        <w:rPr>
          <w:rFonts w:ascii="Palatino Linotype" w:hAnsi="Palatino Linotype" w:cs="Arial"/>
          <w:b/>
          <w:szCs w:val="20"/>
        </w:rPr>
        <w:t xml:space="preserve">, </w:t>
      </w:r>
      <w:r w:rsidRPr="00354E99">
        <w:rPr>
          <w:rFonts w:ascii="Palatino Linotype" w:hAnsi="Palatino Linotype" w:cs="Arial"/>
          <w:szCs w:val="20"/>
        </w:rPr>
        <w:t xml:space="preserve">toda vez que, mensualmente da cumplimiento a los requerimientos de obligaciones periódicas establecidas por el Órgano Superior de Fiscalización, por lo que la información solicitada por </w:t>
      </w:r>
      <w:r>
        <w:rPr>
          <w:rFonts w:ascii="Palatino Linotype" w:hAnsi="Palatino Linotype" w:cs="Arial"/>
          <w:szCs w:val="20"/>
        </w:rPr>
        <w:t>la parte</w:t>
      </w:r>
      <w:r w:rsidRPr="00354E99">
        <w:rPr>
          <w:rFonts w:ascii="Palatino Linotype" w:hAnsi="Palatino Linotype" w:cs="Arial"/>
          <w:szCs w:val="20"/>
        </w:rPr>
        <w:t xml:space="preserve"> </w:t>
      </w:r>
      <w:r w:rsidRPr="00354E99">
        <w:rPr>
          <w:rFonts w:ascii="Palatino Linotype" w:hAnsi="Palatino Linotype" w:cs="Arial"/>
          <w:b/>
          <w:szCs w:val="20"/>
        </w:rPr>
        <w:t xml:space="preserve">RECURRENTE </w:t>
      </w:r>
      <w:r w:rsidRPr="00354E99">
        <w:rPr>
          <w:rFonts w:ascii="Palatino Linotype" w:hAnsi="Palatino Linotype" w:cs="Arial"/>
          <w:szCs w:val="20"/>
        </w:rPr>
        <w:t>forma parte de la integración del</w:t>
      </w:r>
      <w:r w:rsidRPr="00354E99">
        <w:rPr>
          <w:rFonts w:ascii="Palatino Linotype" w:hAnsi="Palatino Linotype" w:cs="Arial"/>
          <w:b/>
          <w:szCs w:val="20"/>
        </w:rPr>
        <w:t xml:space="preserve"> </w:t>
      </w:r>
      <w:r w:rsidRPr="00354E99">
        <w:rPr>
          <w:rFonts w:ascii="Palatino Linotype" w:hAnsi="Palatino Linotype" w:cs="Arial"/>
          <w:b/>
          <w:i/>
        </w:rPr>
        <w:t xml:space="preserve">Disco 1.- Información Patrimonial (Contable y Administrativa) y </w:t>
      </w:r>
      <w:r w:rsidRPr="00354E99">
        <w:rPr>
          <w:rFonts w:ascii="Palatino Linotype" w:hAnsi="Palatino Linotype" w:cs="Arial"/>
          <w:b/>
          <w:i/>
          <w:szCs w:val="20"/>
          <w:lang w:val="es-MX"/>
        </w:rPr>
        <w:t xml:space="preserve">Disco 2.- </w:t>
      </w:r>
      <w:r w:rsidRPr="00354E99">
        <w:rPr>
          <w:rFonts w:ascii="Palatino Linotype" w:hAnsi="Palatino Linotype" w:cs="Arial"/>
          <w:b/>
          <w:i/>
          <w:szCs w:val="20"/>
          <w:lang w:val="es-MX"/>
        </w:rPr>
        <w:lastRenderedPageBreak/>
        <w:t xml:space="preserve">Información Presupuestal, de Bienes Muebles e Inmuebles y de Recaudación del Impuesto Predial y Derechos de Agua. </w:t>
      </w:r>
    </w:p>
    <w:p w:rsidR="00D5734A" w:rsidRPr="00354E99" w:rsidRDefault="00D5734A" w:rsidP="00D5734A">
      <w:pPr>
        <w:pStyle w:val="Prrafodelista"/>
        <w:spacing w:before="240" w:after="240" w:line="360" w:lineRule="auto"/>
        <w:ind w:left="0"/>
        <w:contextualSpacing/>
        <w:jc w:val="both"/>
        <w:rPr>
          <w:rFonts w:ascii="Palatino Linotype" w:hAnsi="Palatino Linotype" w:cs="Arial"/>
          <w:b/>
          <w:i/>
          <w:szCs w:val="20"/>
          <w:lang w:val="es-MX"/>
        </w:rPr>
      </w:pPr>
    </w:p>
    <w:p w:rsidR="00D5734A" w:rsidRPr="00920DF8" w:rsidRDefault="00D5734A" w:rsidP="00D5734A">
      <w:pPr>
        <w:pStyle w:val="Prrafodelista"/>
        <w:spacing w:before="240" w:after="240" w:line="360" w:lineRule="auto"/>
        <w:ind w:left="0"/>
        <w:contextualSpacing/>
        <w:jc w:val="both"/>
        <w:rPr>
          <w:rFonts w:ascii="Palatino Linotype" w:eastAsia="MS Mincho" w:hAnsi="Palatino Linotype"/>
          <w:color w:val="000000"/>
        </w:rPr>
      </w:pPr>
      <w:r w:rsidRPr="00354E99">
        <w:rPr>
          <w:rFonts w:ascii="Palatino Linotype" w:eastAsia="MS Mincho" w:hAnsi="Palatino Linotype"/>
          <w:color w:val="000000"/>
        </w:rPr>
        <w:t xml:space="preserve">En cuanto a la documentación que contienen los </w:t>
      </w:r>
      <w:r w:rsidRPr="00354E99">
        <w:rPr>
          <w:rFonts w:ascii="Palatino Linotype" w:eastAsia="MS Mincho" w:hAnsi="Palatino Linotype"/>
          <w:b/>
          <w:i/>
          <w:color w:val="000000"/>
        </w:rPr>
        <w:t>Discos 1.- Información Patrimonial (Contable y Administrativa)</w:t>
      </w:r>
      <w:r w:rsidRPr="00354E99">
        <w:rPr>
          <w:rFonts w:ascii="Palatino Linotype" w:eastAsia="MS Mincho" w:hAnsi="Palatino Linotype"/>
          <w:color w:val="000000"/>
        </w:rPr>
        <w:t xml:space="preserve">  y  </w:t>
      </w:r>
      <w:r w:rsidRPr="00354E99">
        <w:rPr>
          <w:rFonts w:ascii="Palatino Linotype" w:hAnsi="Palatino Linotype" w:cs="Arial"/>
          <w:b/>
          <w:i/>
          <w:szCs w:val="20"/>
          <w:lang w:val="es-MX"/>
        </w:rPr>
        <w:t>Disco 2.- Información Presupuestal, de Bienes Muebles e Inmuebles y de Recaudación del Impuesto Predial y Derechos de Agua</w:t>
      </w:r>
      <w:r w:rsidRPr="00354E99">
        <w:rPr>
          <w:rFonts w:ascii="Palatino Linotype" w:eastAsia="MS Mincho" w:hAnsi="Palatino Linotype"/>
          <w:color w:val="000000"/>
        </w:rPr>
        <w:t xml:space="preserve">  </w:t>
      </w:r>
      <w:r w:rsidRPr="00354E99">
        <w:rPr>
          <w:rFonts w:ascii="Palatino Linotype" w:hAnsi="Palatino Linotype" w:cs="Arial"/>
          <w:szCs w:val="20"/>
          <w:lang w:val="es-MX"/>
        </w:rPr>
        <w:t xml:space="preserve">los lineamientos para la integración del informe mensual 2019 describen cada punto que deberá integrar cada disco, respectivamente, tal como se muestra en las imagen siguientes: </w:t>
      </w:r>
    </w:p>
    <w:p w:rsidR="00D5734A" w:rsidRPr="00354E99" w:rsidRDefault="00D5734A" w:rsidP="00D5734A">
      <w:pPr>
        <w:spacing w:before="240" w:after="240" w:line="360" w:lineRule="auto"/>
        <w:jc w:val="center"/>
        <w:rPr>
          <w:rFonts w:ascii="Palatino Linotype" w:eastAsia="MS Gothic" w:hAnsi="Palatino Linotype" w:cs="Times New Roman"/>
          <w:b/>
          <w:szCs w:val="26"/>
        </w:rPr>
      </w:pPr>
      <w:r w:rsidRPr="00354E9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9B0488F" wp14:editId="6ADC5D6E">
                <wp:simplePos x="0" y="0"/>
                <wp:positionH relativeFrom="column">
                  <wp:posOffset>491490</wp:posOffset>
                </wp:positionH>
                <wp:positionV relativeFrom="paragraph">
                  <wp:posOffset>2179320</wp:posOffset>
                </wp:positionV>
                <wp:extent cx="1047750" cy="3143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1047750" cy="314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FFE8F" id="Rectángulo 2" o:spid="_x0000_s1026" style="position:absolute;margin-left:38.7pt;margin-top:171.6pt;width:82.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" filled="f" strokecolor="red" strokeweight="1.5pt"/>
            </w:pict>
          </mc:Fallback>
        </mc:AlternateContent>
      </w:r>
      <w:r w:rsidRPr="00354E99">
        <w:rPr>
          <w:rFonts w:ascii="Palatino Linotype" w:hAnsi="Palatino Linotype"/>
          <w:noProof/>
          <w:lang w:eastAsia="es-MX"/>
        </w:rPr>
        <w:drawing>
          <wp:inline distT="0" distB="0" distL="0" distR="0" wp14:anchorId="22F929BE" wp14:editId="4BC31D56">
            <wp:extent cx="5477774" cy="403225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09" t="21726" r="26511" b="14303"/>
                    <a:stretch/>
                  </pic:blipFill>
                  <pic:spPr bwMode="auto">
                    <a:xfrm>
                      <a:off x="0" y="0"/>
                      <a:ext cx="5505864" cy="4052928"/>
                    </a:xfrm>
                    <a:prstGeom prst="rect">
                      <a:avLst/>
                    </a:prstGeom>
                    <a:ln>
                      <a:noFill/>
                    </a:ln>
                    <a:extLst>
                      <a:ext uri="{53640926-AAD7-44D8-BBD7-CCE9431645EC}">
                        <a14:shadowObscured xmlns:a14="http://schemas.microsoft.com/office/drawing/2010/main"/>
                      </a:ext>
                    </a:extLst>
                  </pic:spPr>
                </pic:pic>
              </a:graphicData>
            </a:graphic>
          </wp:inline>
        </w:drawing>
      </w:r>
    </w:p>
    <w:p w:rsidR="00D5734A" w:rsidRPr="00920DF8" w:rsidRDefault="00D5734A" w:rsidP="00D5734A">
      <w:pPr>
        <w:spacing w:before="240" w:after="240" w:line="360" w:lineRule="auto"/>
        <w:jc w:val="center"/>
        <w:rPr>
          <w:rFonts w:ascii="Palatino Linotype" w:eastAsia="MS Gothic" w:hAnsi="Palatino Linotype" w:cs="Times New Roman"/>
          <w:b/>
          <w:szCs w:val="26"/>
        </w:rPr>
      </w:pPr>
      <w:r w:rsidRPr="00354E99">
        <w:rPr>
          <w:rFonts w:ascii="Palatino Linotype" w:hAnsi="Palatino Linotype"/>
          <w:noProof/>
          <w:lang w:eastAsia="es-MX"/>
        </w:rPr>
        <w:lastRenderedPageBreak/>
        <w:drawing>
          <wp:inline distT="0" distB="0" distL="0" distR="0" wp14:anchorId="174958BE" wp14:editId="73DE2519">
            <wp:extent cx="5707380" cy="33337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77" t="15691" r="31602" b="46590"/>
                    <a:stretch/>
                  </pic:blipFill>
                  <pic:spPr bwMode="auto">
                    <a:xfrm>
                      <a:off x="0" y="0"/>
                      <a:ext cx="5714292" cy="3337787"/>
                    </a:xfrm>
                    <a:prstGeom prst="rect">
                      <a:avLst/>
                    </a:prstGeom>
                    <a:ln>
                      <a:noFill/>
                    </a:ln>
                    <a:extLst>
                      <a:ext uri="{53640926-AAD7-44D8-BBD7-CCE9431645EC}">
                        <a14:shadowObscured xmlns:a14="http://schemas.microsoft.com/office/drawing/2010/main"/>
                      </a:ext>
                    </a:extLst>
                  </pic:spPr>
                </pic:pic>
              </a:graphicData>
            </a:graphic>
          </wp:inline>
        </w:drawing>
      </w:r>
    </w:p>
    <w:p w:rsidR="00D5734A" w:rsidRPr="0073211F" w:rsidRDefault="00D5734A" w:rsidP="00D5734A">
      <w:pPr>
        <w:spacing w:before="240" w:after="240" w:line="360" w:lineRule="auto"/>
        <w:contextualSpacing/>
        <w:jc w:val="both"/>
        <w:rPr>
          <w:rFonts w:ascii="Palatino Linotype" w:eastAsia="MS Gothic" w:hAnsi="Palatino Linotype" w:cs="Times New Roman"/>
          <w:b/>
          <w:sz w:val="24"/>
          <w:szCs w:val="26"/>
        </w:rPr>
      </w:pPr>
      <w:r w:rsidRPr="0073211F">
        <w:rPr>
          <w:rFonts w:ascii="Palatino Linotype" w:eastAsia="MS Gothic" w:hAnsi="Palatino Linotype" w:cs="Times New Roman"/>
          <w:sz w:val="24"/>
          <w:szCs w:val="26"/>
        </w:rPr>
        <w:t xml:space="preserve">Así, por cuanto hace al Estado de Variación en la Hacienda Pública, localizado en el disco 1,  se observa que tiene como propósito </w:t>
      </w:r>
      <w:r w:rsidRPr="0073211F">
        <w:rPr>
          <w:rFonts w:ascii="Palatino Linotype" w:eastAsia="MS Gothic" w:hAnsi="Palatino Linotype" w:cs="Times New Roman"/>
          <w:i/>
          <w:sz w:val="24"/>
          <w:szCs w:val="26"/>
        </w:rPr>
        <w:t xml:space="preserve">“mostrar los cambios o variaciones que sufrieron los distintos elementos que componen la Hacienda Pública de un ente público, entre el inicio y el final del periodo. Del análisis de los cambios y las variaciones se pueden detectar situaciones negativas y positivas acontecidas durante el ejercicio que pueden servir de base para tomar decisiones correctivas, o para aprovechar oportunidades y fortalezas detectadas del comportamiento de la Hacienda Pública. Para elaborar el Estado de Variación en la Hacienda Pública se utiliza el Estado de Actividades y el Estado de Situación Financiera, con corte en dos fechas, de modo que se puede determinar la respectiva variación. Este Estado debe abarcar las variaciones entre las fechas de inicio y cierre del periodo, aunque para efectos de análisis puede trabajarse con un lapso mayor. Dicho Estado debe ser analizado en conjunto con sus notas particulares, con el fin de obtener información relevante sobre el mismo que no surge de su </w:t>
      </w:r>
      <w:r w:rsidRPr="0073211F">
        <w:rPr>
          <w:rFonts w:ascii="Palatino Linotype" w:eastAsia="MS Gothic" w:hAnsi="Palatino Linotype" w:cs="Times New Roman"/>
          <w:i/>
          <w:sz w:val="24"/>
          <w:szCs w:val="26"/>
        </w:rPr>
        <w:lastRenderedPageBreak/>
        <w:t xml:space="preserve">estructura.” (Sic), </w:t>
      </w:r>
      <w:r w:rsidRPr="0073211F">
        <w:rPr>
          <w:rFonts w:ascii="Palatino Linotype" w:eastAsia="MS Gothic" w:hAnsi="Palatino Linotype" w:cs="Times New Roman"/>
          <w:sz w:val="24"/>
          <w:szCs w:val="26"/>
        </w:rPr>
        <w:t xml:space="preserve">por lo que de conformidad con lo siguiente, se deberán registrar las donaciones de capital recibidas: </w:t>
      </w: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2C421324" wp14:editId="7DE504A5">
            <wp:extent cx="5427081" cy="3771900"/>
            <wp:effectExtent l="190500" t="190500" r="19304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73" t="6639" r="17854" b="13096"/>
                    <a:stretch/>
                  </pic:blipFill>
                  <pic:spPr bwMode="auto">
                    <a:xfrm>
                      <a:off x="0" y="0"/>
                      <a:ext cx="5449254" cy="3787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lastRenderedPageBreak/>
        <w:drawing>
          <wp:inline distT="0" distB="0" distL="0" distR="0" wp14:anchorId="55F03376" wp14:editId="7AF32A14">
            <wp:extent cx="4724400" cy="6442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05" t="20821" r="58758" b="15812"/>
                    <a:stretch/>
                  </pic:blipFill>
                  <pic:spPr bwMode="auto">
                    <a:xfrm>
                      <a:off x="0" y="0"/>
                      <a:ext cx="4730822" cy="6451121"/>
                    </a:xfrm>
                    <a:prstGeom prst="rect">
                      <a:avLst/>
                    </a:prstGeom>
                    <a:ln>
                      <a:noFill/>
                    </a:ln>
                    <a:extLst>
                      <a:ext uri="{53640926-AAD7-44D8-BBD7-CCE9431645EC}">
                        <a14:shadowObscured xmlns:a14="http://schemas.microsoft.com/office/drawing/2010/main"/>
                      </a:ext>
                    </a:extLst>
                  </pic:spPr>
                </pic:pic>
              </a:graphicData>
            </a:graphic>
          </wp:inline>
        </w:drawing>
      </w:r>
    </w:p>
    <w:p w:rsidR="00D5734A" w:rsidRPr="00354E99" w:rsidRDefault="00D5734A" w:rsidP="00D5734A">
      <w:pPr>
        <w:spacing w:before="240" w:after="240" w:line="360" w:lineRule="auto"/>
        <w:contextualSpacing/>
        <w:rPr>
          <w:rFonts w:ascii="Palatino Linotype" w:eastAsia="MS Gothic" w:hAnsi="Palatino Linotype" w:cs="Times New Roman"/>
          <w:b/>
          <w:szCs w:val="26"/>
        </w:rPr>
      </w:pPr>
    </w:p>
    <w:p w:rsidR="00D5734A" w:rsidRPr="0073211F" w:rsidRDefault="00D5734A" w:rsidP="00D5734A">
      <w:pPr>
        <w:spacing w:before="240" w:after="240" w:line="360" w:lineRule="auto"/>
        <w:contextualSpacing/>
        <w:jc w:val="both"/>
        <w:rPr>
          <w:rFonts w:ascii="Palatino Linotype" w:eastAsia="MS Gothic" w:hAnsi="Palatino Linotype" w:cs="Times New Roman"/>
          <w:b/>
          <w:sz w:val="24"/>
          <w:szCs w:val="26"/>
        </w:rPr>
      </w:pPr>
      <w:r w:rsidRPr="0073211F">
        <w:rPr>
          <w:rFonts w:ascii="Palatino Linotype" w:eastAsia="MS Gothic" w:hAnsi="Palatino Linotype" w:cs="Times New Roman"/>
          <w:sz w:val="24"/>
          <w:szCs w:val="26"/>
        </w:rPr>
        <w:t xml:space="preserve">Por otro lado el </w:t>
      </w:r>
      <w:r w:rsidRPr="0073211F">
        <w:rPr>
          <w:rFonts w:ascii="Palatino Linotype" w:hAnsi="Palatino Linotype"/>
          <w:sz w:val="24"/>
        </w:rPr>
        <w:t xml:space="preserve">Reporte Mensual de Movimientos de Bienes Inmuebles y Reporte Mensual de Movimientos de Bienes Muebles, localizados en el disco dos se observa </w:t>
      </w:r>
      <w:r w:rsidRPr="0073211F">
        <w:rPr>
          <w:rFonts w:ascii="Palatino Linotype" w:hAnsi="Palatino Linotype"/>
          <w:sz w:val="24"/>
        </w:rPr>
        <w:lastRenderedPageBreak/>
        <w:t>que tienen como propósito los siguientes “</w:t>
      </w:r>
      <w:r w:rsidRPr="0073211F">
        <w:rPr>
          <w:rFonts w:ascii="Palatino Linotype" w:hAnsi="Palatino Linotype"/>
          <w:i/>
          <w:sz w:val="24"/>
        </w:rPr>
        <w:t xml:space="preserve">Registrar las adquisiciones y/o bajas de bienes inmuebles realizadas durante el mes que corresponda.” </w:t>
      </w:r>
      <w:r w:rsidRPr="0073211F">
        <w:rPr>
          <w:rFonts w:ascii="Palatino Linotype" w:hAnsi="Palatino Linotype"/>
          <w:sz w:val="24"/>
        </w:rPr>
        <w:t>y “</w:t>
      </w:r>
      <w:r w:rsidRPr="0073211F">
        <w:rPr>
          <w:rFonts w:ascii="Palatino Linotype" w:hAnsi="Palatino Linotype"/>
          <w:i/>
          <w:sz w:val="24"/>
        </w:rPr>
        <w:t>Registrar las adquisiciones y/o bajas de bienes muebles realizadas durante el mes que corresponda.”</w:t>
      </w:r>
      <w:r w:rsidRPr="0073211F">
        <w:rPr>
          <w:rFonts w:ascii="Palatino Linotype" w:hAnsi="Palatino Linotype"/>
          <w:sz w:val="24"/>
        </w:rPr>
        <w:t xml:space="preserve">, respectivamente, como a continuación se observa: </w:t>
      </w: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pStyle w:val="Prrafodelista"/>
        <w:numPr>
          <w:ilvl w:val="0"/>
          <w:numId w:val="43"/>
        </w:numPr>
        <w:spacing w:before="240" w:after="240" w:line="360" w:lineRule="auto"/>
        <w:contextualSpacing/>
        <w:jc w:val="both"/>
        <w:rPr>
          <w:rFonts w:ascii="Palatino Linotype" w:hAnsi="Palatino Linotype"/>
        </w:rPr>
      </w:pPr>
      <w:r w:rsidRPr="00354E99">
        <w:rPr>
          <w:rFonts w:ascii="Palatino Linotype" w:hAnsi="Palatino Linotype"/>
        </w:rPr>
        <w:t xml:space="preserve">Reporte Mensual de Movimientos de Bienes Inmuebles: </w:t>
      </w:r>
    </w:p>
    <w:p w:rsidR="00D5734A" w:rsidRPr="00354E99" w:rsidRDefault="00D5734A" w:rsidP="00D5734A">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5DA236E7" wp14:editId="33211CA7">
            <wp:extent cx="5745192" cy="5180965"/>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77" t="11768" r="27529" b="28485"/>
                    <a:stretch/>
                  </pic:blipFill>
                  <pic:spPr bwMode="auto">
                    <a:xfrm>
                      <a:off x="0" y="0"/>
                      <a:ext cx="5785343" cy="5217173"/>
                    </a:xfrm>
                    <a:prstGeom prst="rect">
                      <a:avLst/>
                    </a:prstGeom>
                    <a:ln>
                      <a:noFill/>
                    </a:ln>
                    <a:extLst>
                      <a:ext uri="{53640926-AAD7-44D8-BBD7-CCE9431645EC}">
                        <a14:shadowObscured xmlns:a14="http://schemas.microsoft.com/office/drawing/2010/main"/>
                      </a:ext>
                    </a:extLst>
                  </pic:spPr>
                </pic:pic>
              </a:graphicData>
            </a:graphic>
          </wp:inline>
        </w:drawing>
      </w:r>
    </w:p>
    <w:p w:rsidR="00D5734A" w:rsidRPr="00354E99" w:rsidRDefault="00D5734A" w:rsidP="00D5734A">
      <w:pPr>
        <w:pStyle w:val="Prrafodelista"/>
        <w:numPr>
          <w:ilvl w:val="0"/>
          <w:numId w:val="43"/>
        </w:numPr>
        <w:spacing w:before="240" w:after="240" w:line="360" w:lineRule="auto"/>
        <w:contextualSpacing/>
        <w:rPr>
          <w:rFonts w:ascii="Palatino Linotype" w:eastAsia="MS Gothic" w:hAnsi="Palatino Linotype"/>
          <w:szCs w:val="26"/>
        </w:rPr>
      </w:pPr>
      <w:r w:rsidRPr="00354E99">
        <w:rPr>
          <w:rFonts w:ascii="Palatino Linotype" w:eastAsia="MS Gothic" w:hAnsi="Palatino Linotype"/>
          <w:szCs w:val="26"/>
        </w:rPr>
        <w:lastRenderedPageBreak/>
        <w:t xml:space="preserve">Reporte Mensual de Movimientos de Bienes Muebles: </w:t>
      </w:r>
    </w:p>
    <w:p w:rsidR="00D5734A" w:rsidRPr="00354E99" w:rsidRDefault="00D5734A" w:rsidP="00D5734A">
      <w:pPr>
        <w:spacing w:before="240" w:after="240" w:line="360" w:lineRule="auto"/>
        <w:contextualSpacing/>
        <w:jc w:val="both"/>
        <w:rPr>
          <w:rFonts w:ascii="Palatino Linotype" w:eastAsia="MS Gothic" w:hAnsi="Palatino Linotype" w:cs="Times New Roman"/>
          <w:b/>
          <w:szCs w:val="26"/>
        </w:rPr>
      </w:pPr>
    </w:p>
    <w:p w:rsidR="00D5734A" w:rsidRPr="00354E99" w:rsidRDefault="00D5734A" w:rsidP="00D5734A">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1854F941" wp14:editId="0EEAEA23">
            <wp:extent cx="5209413" cy="4857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68" t="13881" r="26001" b="32710"/>
                    <a:stretch/>
                  </pic:blipFill>
                  <pic:spPr bwMode="auto">
                    <a:xfrm>
                      <a:off x="0" y="0"/>
                      <a:ext cx="5225643" cy="4872884"/>
                    </a:xfrm>
                    <a:prstGeom prst="rect">
                      <a:avLst/>
                    </a:prstGeom>
                    <a:ln>
                      <a:noFill/>
                    </a:ln>
                    <a:extLst>
                      <a:ext uri="{53640926-AAD7-44D8-BBD7-CCE9431645EC}">
                        <a14:shadowObscured xmlns:a14="http://schemas.microsoft.com/office/drawing/2010/main"/>
                      </a:ext>
                    </a:extLst>
                  </pic:spPr>
                </pic:pic>
              </a:graphicData>
            </a:graphic>
          </wp:inline>
        </w:drawing>
      </w:r>
    </w:p>
    <w:p w:rsidR="00D5734A" w:rsidRDefault="00D5734A" w:rsidP="00D5734A">
      <w:pPr>
        <w:spacing w:before="240" w:after="240" w:line="360" w:lineRule="auto"/>
        <w:contextualSpacing/>
        <w:jc w:val="both"/>
        <w:rPr>
          <w:rFonts w:ascii="Palatino Linotype" w:eastAsia="MS Gothic" w:hAnsi="Palatino Linotype" w:cs="Times New Roman"/>
          <w:szCs w:val="26"/>
        </w:rPr>
      </w:pPr>
    </w:p>
    <w:p w:rsidR="00D5734A" w:rsidRDefault="00D5734A" w:rsidP="00D5734A">
      <w:pPr>
        <w:spacing w:before="240" w:after="240" w:line="360" w:lineRule="auto"/>
        <w:contextualSpacing/>
        <w:jc w:val="both"/>
        <w:rPr>
          <w:rFonts w:ascii="Palatino Linotype" w:eastAsia="MS Gothic" w:hAnsi="Palatino Linotype" w:cs="Times New Roman"/>
          <w:sz w:val="24"/>
          <w:szCs w:val="26"/>
        </w:rPr>
      </w:pPr>
      <w:r w:rsidRPr="0073211F">
        <w:rPr>
          <w:rFonts w:ascii="Palatino Linotype" w:eastAsia="MS Gothic" w:hAnsi="Palatino Linotype" w:cs="Times New Roman"/>
          <w:sz w:val="24"/>
          <w:szCs w:val="26"/>
        </w:rPr>
        <w:t xml:space="preserve">Por lo tanto de los preceptos jurídicos citados se advierte que el municipio de </w:t>
      </w:r>
      <w:r>
        <w:rPr>
          <w:rFonts w:ascii="Palatino Linotype" w:eastAsia="MS Gothic" w:hAnsi="Palatino Linotype" w:cs="Times New Roman"/>
          <w:b/>
          <w:sz w:val="24"/>
          <w:szCs w:val="26"/>
        </w:rPr>
        <w:t xml:space="preserve">Cuautitlán </w:t>
      </w:r>
      <w:r w:rsidRPr="0073211F">
        <w:rPr>
          <w:rFonts w:ascii="Palatino Linotype" w:eastAsia="MS Gothic" w:hAnsi="Palatino Linotype" w:cs="Times New Roman"/>
          <w:sz w:val="24"/>
          <w:szCs w:val="26"/>
        </w:rPr>
        <w:t xml:space="preserve">genera, administra y posee la información requerida toda vez que de manera enunciativa </w:t>
      </w:r>
      <w:proofErr w:type="gramStart"/>
      <w:r w:rsidRPr="0073211F">
        <w:rPr>
          <w:rFonts w:ascii="Palatino Linotype" w:eastAsia="MS Gothic" w:hAnsi="Palatino Linotype" w:cs="Times New Roman"/>
          <w:sz w:val="24"/>
          <w:szCs w:val="26"/>
        </w:rPr>
        <w:t>mas</w:t>
      </w:r>
      <w:proofErr w:type="gramEnd"/>
      <w:r w:rsidRPr="0073211F">
        <w:rPr>
          <w:rFonts w:ascii="Palatino Linotype" w:eastAsia="MS Gothic" w:hAnsi="Palatino Linotype" w:cs="Times New Roman"/>
          <w:sz w:val="24"/>
          <w:szCs w:val="26"/>
        </w:rPr>
        <w:t xml:space="preserve"> no limitativa la in</w:t>
      </w:r>
      <w:r>
        <w:rPr>
          <w:rFonts w:ascii="Palatino Linotype" w:eastAsia="MS Gothic" w:hAnsi="Palatino Linotype" w:cs="Times New Roman"/>
          <w:sz w:val="24"/>
          <w:szCs w:val="26"/>
        </w:rPr>
        <w:t>formación se puede contener en e</w:t>
      </w:r>
      <w:r w:rsidRPr="0073211F">
        <w:rPr>
          <w:rFonts w:ascii="Palatino Linotype" w:eastAsia="MS Gothic" w:hAnsi="Palatino Linotype" w:cs="Times New Roman"/>
          <w:sz w:val="24"/>
          <w:szCs w:val="26"/>
        </w:rPr>
        <w:t xml:space="preserve">l Estado de Variación en la Hacienda Pública y los </w:t>
      </w:r>
      <w:r w:rsidRPr="0073211F">
        <w:rPr>
          <w:rFonts w:ascii="Palatino Linotype" w:hAnsi="Palatino Linotype"/>
          <w:sz w:val="24"/>
        </w:rPr>
        <w:t>Reportes Mensuales de Movimientos de Bienes Inmuebles y Bienes Muebles</w:t>
      </w:r>
      <w:r>
        <w:rPr>
          <w:rFonts w:ascii="Palatino Linotype" w:eastAsia="MS Gothic" w:hAnsi="Palatino Linotype" w:cs="Times New Roman"/>
          <w:sz w:val="24"/>
          <w:szCs w:val="26"/>
        </w:rPr>
        <w:t>.</w:t>
      </w:r>
    </w:p>
    <w:p w:rsidR="000846DF" w:rsidRDefault="000846DF" w:rsidP="000846DF">
      <w:pPr>
        <w:spacing w:line="360" w:lineRule="auto"/>
        <w:jc w:val="both"/>
        <w:rPr>
          <w:rFonts w:ascii="Palatino Linotype" w:hAnsi="Palatino Linotype" w:cs="Arial"/>
        </w:rPr>
      </w:pPr>
      <w:r>
        <w:rPr>
          <w:rFonts w:ascii="Palatino Linotype" w:hAnsi="Palatino Linotype" w:cs="Arial"/>
        </w:rPr>
        <w:lastRenderedPageBreak/>
        <w:t>Adicionalmente el Código Civil del Estado de México  define la donación de la siguiente manera en su Título Cuarto, Capítulo I del artículo 7.610 al 7.628, señalan lo siguiente:</w:t>
      </w:r>
    </w:p>
    <w:p w:rsidR="000846DF" w:rsidRDefault="000846DF" w:rsidP="000846DF">
      <w:pPr>
        <w:ind w:left="851" w:right="851"/>
        <w:jc w:val="center"/>
        <w:rPr>
          <w:rFonts w:ascii="Palatino Linotype" w:hAnsi="Palatino Linotype"/>
          <w:i/>
        </w:rPr>
      </w:pPr>
      <w:r>
        <w:rPr>
          <w:rFonts w:ascii="Palatino Linotype" w:hAnsi="Palatino Linotype"/>
          <w:i/>
        </w:rPr>
        <w:t>“</w:t>
      </w:r>
      <w:r w:rsidRPr="009F5B5B">
        <w:rPr>
          <w:rFonts w:ascii="Palatino Linotype" w:hAnsi="Palatino Linotype"/>
          <w:i/>
        </w:rPr>
        <w:t xml:space="preserve">TITULO CUARTO </w:t>
      </w:r>
    </w:p>
    <w:p w:rsidR="000846DF" w:rsidRDefault="000846DF" w:rsidP="000846DF">
      <w:pPr>
        <w:ind w:left="851" w:right="851"/>
        <w:jc w:val="center"/>
        <w:rPr>
          <w:rFonts w:ascii="Palatino Linotype" w:hAnsi="Palatino Linotype"/>
          <w:i/>
        </w:rPr>
      </w:pPr>
      <w:r w:rsidRPr="009F5B5B">
        <w:rPr>
          <w:rFonts w:ascii="Palatino Linotype" w:hAnsi="Palatino Linotype"/>
          <w:i/>
        </w:rPr>
        <w:t xml:space="preserve">De las Donaciones </w:t>
      </w:r>
    </w:p>
    <w:p w:rsidR="000846DF" w:rsidRDefault="000846DF" w:rsidP="000846DF">
      <w:pPr>
        <w:ind w:left="851" w:right="851"/>
        <w:jc w:val="center"/>
        <w:rPr>
          <w:rFonts w:ascii="Palatino Linotype" w:hAnsi="Palatino Linotype"/>
          <w:i/>
        </w:rPr>
      </w:pPr>
      <w:r w:rsidRPr="009F5B5B">
        <w:rPr>
          <w:rFonts w:ascii="Palatino Linotype" w:hAnsi="Palatino Linotype"/>
          <w:i/>
        </w:rPr>
        <w:t xml:space="preserve">CAPITULO I </w:t>
      </w:r>
    </w:p>
    <w:p w:rsidR="000846DF" w:rsidRPr="009F5B5B" w:rsidRDefault="000846DF" w:rsidP="000846DF">
      <w:pPr>
        <w:ind w:left="851" w:right="851"/>
        <w:jc w:val="center"/>
        <w:rPr>
          <w:rFonts w:ascii="Palatino Linotype" w:hAnsi="Palatino Linotype"/>
          <w:i/>
        </w:rPr>
      </w:pPr>
      <w:r w:rsidRPr="009F5B5B">
        <w:rPr>
          <w:rFonts w:ascii="Palatino Linotype" w:hAnsi="Palatino Linotype"/>
          <w:i/>
        </w:rPr>
        <w:t>De las Donaciones en General</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Concepto de donación </w:t>
      </w:r>
    </w:p>
    <w:p w:rsidR="000846DF" w:rsidRDefault="000846DF" w:rsidP="000846DF">
      <w:pPr>
        <w:ind w:left="851" w:right="851"/>
        <w:jc w:val="both"/>
        <w:rPr>
          <w:rFonts w:ascii="Palatino Linotype" w:hAnsi="Palatino Linotype"/>
          <w:i/>
        </w:rPr>
      </w:pPr>
      <w:r w:rsidRPr="009F5B5B">
        <w:rPr>
          <w:rFonts w:ascii="Palatino Linotype" w:hAnsi="Palatino Linotype"/>
          <w:b/>
          <w:i/>
        </w:rPr>
        <w:t>Artículo 7.610</w:t>
      </w:r>
      <w:r w:rsidRPr="009F5B5B">
        <w:rPr>
          <w:rFonts w:ascii="Palatino Linotype" w:hAnsi="Palatino Linotype"/>
          <w:i/>
        </w:rPr>
        <w:t xml:space="preserve">.- La donación es un contrato, por virtud del cual una persona llamada donante, transfiere, en forma gratuita, una parte de sus bienes presentes, a otra llamada donataria quien acepta dicha liberalidad.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Clases de donación </w:t>
      </w:r>
    </w:p>
    <w:p w:rsidR="000846DF" w:rsidRDefault="000846DF" w:rsidP="000846DF">
      <w:pPr>
        <w:ind w:left="851" w:right="851"/>
        <w:jc w:val="both"/>
        <w:rPr>
          <w:rFonts w:ascii="Palatino Linotype" w:hAnsi="Palatino Linotype"/>
          <w:i/>
        </w:rPr>
      </w:pPr>
      <w:r w:rsidRPr="009F5B5B">
        <w:rPr>
          <w:rFonts w:ascii="Palatino Linotype" w:hAnsi="Palatino Linotype"/>
          <w:b/>
          <w:i/>
        </w:rPr>
        <w:t>Artículo 7.611</w:t>
      </w:r>
      <w:r w:rsidRPr="009F5B5B">
        <w:rPr>
          <w:rFonts w:ascii="Palatino Linotype" w:hAnsi="Palatino Linotype"/>
          <w:i/>
        </w:rPr>
        <w:t xml:space="preserve">.- La donación puede ser pura, condicional, con carga o remuneratoria.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Donación pura y donación condicional</w:t>
      </w:r>
    </w:p>
    <w:p w:rsidR="000846DF" w:rsidRDefault="000846DF" w:rsidP="000846DF">
      <w:pPr>
        <w:ind w:left="851" w:right="851"/>
        <w:jc w:val="both"/>
        <w:rPr>
          <w:rFonts w:ascii="Palatino Linotype" w:hAnsi="Palatino Linotype"/>
          <w:i/>
        </w:rPr>
      </w:pPr>
      <w:r w:rsidRPr="009F5B5B">
        <w:rPr>
          <w:rFonts w:ascii="Palatino Linotype" w:hAnsi="Palatino Linotype"/>
          <w:b/>
          <w:i/>
        </w:rPr>
        <w:t>Artículo 7.612</w:t>
      </w:r>
      <w:r w:rsidRPr="009F5B5B">
        <w:rPr>
          <w:rFonts w:ascii="Palatino Linotype" w:hAnsi="Palatino Linotype"/>
          <w:i/>
        </w:rPr>
        <w:t xml:space="preserve">.- Es donación pura la que se otorga en términos absolutos; condicional la que depende de algún acontecimiento futuro de realización incierta. </w:t>
      </w:r>
      <w:r w:rsidRPr="009F5B5B">
        <w:rPr>
          <w:rFonts w:ascii="Palatino Linotype" w:hAnsi="Palatino Linotype"/>
          <w:b/>
          <w:i/>
        </w:rPr>
        <w:t xml:space="preserve">Donación con carga y donación remuneratoria </w:t>
      </w:r>
    </w:p>
    <w:p w:rsidR="000846DF" w:rsidRDefault="000846DF" w:rsidP="000846DF">
      <w:pPr>
        <w:ind w:left="851" w:right="851"/>
        <w:jc w:val="both"/>
        <w:rPr>
          <w:rFonts w:ascii="Palatino Linotype" w:hAnsi="Palatino Linotype"/>
          <w:i/>
        </w:rPr>
      </w:pPr>
      <w:r w:rsidRPr="009F5B5B">
        <w:rPr>
          <w:rFonts w:ascii="Palatino Linotype" w:hAnsi="Palatino Linotype"/>
          <w:i/>
        </w:rPr>
        <w:t>Artículo 7.613.- La donación es con carga cuando impone algunas obligaciones; remuneratoria la que se hace en atención a servicios recibidos por el donante y que éste no tenga obligación de pagar.</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i/>
        </w:rPr>
        <w:t xml:space="preserve"> </w:t>
      </w:r>
      <w:r w:rsidRPr="009F5B5B">
        <w:rPr>
          <w:rFonts w:ascii="Palatino Linotype" w:hAnsi="Palatino Linotype"/>
          <w:b/>
          <w:i/>
        </w:rPr>
        <w:t xml:space="preserve">Legitimación en la donación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7.614.- La donación sólo puede tener lugar entre vivos; y únicamente es revocable en los casos previstos en la ley.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Donación para después de la muerte</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7.615.- La donación que se haga para después de la muerte del donante, se regirá por las disposiciones relativas a las sucesiones.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Formación del consentimiento en la donación </w:t>
      </w:r>
    </w:p>
    <w:p w:rsidR="000846DF" w:rsidRDefault="000846DF" w:rsidP="000846DF">
      <w:pPr>
        <w:ind w:left="851" w:right="851"/>
        <w:jc w:val="both"/>
        <w:rPr>
          <w:rFonts w:ascii="Palatino Linotype" w:hAnsi="Palatino Linotype"/>
          <w:i/>
        </w:rPr>
      </w:pPr>
      <w:r w:rsidRPr="009F5B5B">
        <w:rPr>
          <w:rFonts w:ascii="Palatino Linotype" w:hAnsi="Palatino Linotype"/>
          <w:i/>
        </w:rPr>
        <w:lastRenderedPageBreak/>
        <w:t xml:space="preserve">Artículo 7.616.- La donación es perfecta desde que el donatario hace saber la aceptación al donante.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Formalidad de la donación </w:t>
      </w:r>
    </w:p>
    <w:p w:rsidR="000846DF" w:rsidRDefault="000846DF" w:rsidP="000846DF">
      <w:pPr>
        <w:ind w:left="851" w:right="851"/>
        <w:jc w:val="both"/>
        <w:rPr>
          <w:rFonts w:ascii="Palatino Linotype" w:hAnsi="Palatino Linotype"/>
          <w:i/>
        </w:rPr>
      </w:pPr>
      <w:r w:rsidRPr="009F5B5B">
        <w:rPr>
          <w:rFonts w:ascii="Palatino Linotype" w:hAnsi="Palatino Linotype"/>
          <w:i/>
        </w:rPr>
        <w:t>Artículo 7.617.- La donación puede hacerse verbalmente o por escrito.</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i/>
        </w:rPr>
        <w:t xml:space="preserve"> </w:t>
      </w:r>
      <w:r w:rsidRPr="009F5B5B">
        <w:rPr>
          <w:rFonts w:ascii="Palatino Linotype" w:hAnsi="Palatino Linotype"/>
          <w:b/>
          <w:i/>
        </w:rPr>
        <w:t xml:space="preserve">Donación verbal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7.618. Sólo puede hacerse donación verbal de bienes muebles, cuyo valor no exceda de cien veces el valor diario de la Unidad de Medida y Actualización vigente, debe hacerse por escrito. Si excede de la suma mencionada la donación deberá hacerse en escritura pública.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Donación que requiere forma escrita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7.619. Si el valor de los muebles excede de la cantidad señalada en el artículo anterior, pero no excede de quinientas veces el valor diario de la Unidad de Medida y Actualización vigente, debe hacerse por escrito. Si excede de la suma mencionada la donación deberá hacerse en escritura pública.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Formalidad de la donación de inmuebles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7.620.- La donación de inmuebles se hará en la misma forma que para su venta exige la ley.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Aceptación en vida del donante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7.621.- La aceptación de la donación se hará en la misma forma en que ésta deba hacerse, pero no surtirá efecto si no se hiciere en vida del donante. </w:t>
      </w:r>
      <w:r w:rsidRPr="009F5B5B">
        <w:rPr>
          <w:rFonts w:ascii="Palatino Linotype" w:hAnsi="Palatino Linotype"/>
          <w:b/>
          <w:i/>
        </w:rPr>
        <w:t>Nulidad de la donación del total de bienes</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7.622.- Es nula la donación que comprende la totalidad de los bienes del donante, si éste no se reserva en propiedad o en usufructo el setenta por ciento de los bienes o derechos que formen parte de su patrimonio; en todo caso deberá conservar el donante lo necesario para vivir.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Donaciones inoficiosas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7.623.- Las donaciones serán inoficiosas en cuanto perjudiquen la obligación del donante de ministrar alimentos a aquellas personas a quienes los debe conforme a la ley.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lastRenderedPageBreak/>
        <w:t xml:space="preserve">La evicción en la donación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7.624.- El donante sólo es responsable de la evicción del bien donado si expresamente se obligó.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Subrogación del donatario en caso de evicción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7.625.- No obstante, lo dispuesto en el artículo que precede, el donatario queda subrogado en todos los derechos del donante si se verifica la evicción. </w:t>
      </w:r>
      <w:r w:rsidRPr="009F5B5B">
        <w:rPr>
          <w:rFonts w:ascii="Palatino Linotype" w:hAnsi="Palatino Linotype"/>
          <w:b/>
          <w:i/>
        </w:rPr>
        <w:t xml:space="preserve">Donación con carga de pagar deudas del donante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7.626.- Si la donación se hace con la carga de pagar las deudas del donante, sólo se entenderán comprendidas las que existan al tiempo de la donación. </w:t>
      </w:r>
    </w:p>
    <w:p w:rsidR="000846DF" w:rsidRPr="009F5B5B" w:rsidRDefault="000846DF" w:rsidP="000846DF">
      <w:pPr>
        <w:ind w:left="851" w:right="851"/>
        <w:jc w:val="both"/>
        <w:rPr>
          <w:rFonts w:ascii="Palatino Linotype" w:hAnsi="Palatino Linotype"/>
          <w:b/>
          <w:i/>
        </w:rPr>
      </w:pPr>
      <w:r w:rsidRPr="009F5B5B">
        <w:rPr>
          <w:rFonts w:ascii="Palatino Linotype" w:hAnsi="Palatino Linotype"/>
          <w:b/>
          <w:i/>
        </w:rPr>
        <w:t xml:space="preserve">Donación con carga en caso de bienes ciertos y determinados </w:t>
      </w:r>
    </w:p>
    <w:p w:rsidR="000846DF" w:rsidRDefault="000846DF" w:rsidP="000846DF">
      <w:pPr>
        <w:ind w:left="851" w:right="851"/>
        <w:jc w:val="both"/>
        <w:rPr>
          <w:rFonts w:ascii="Palatino Linotype" w:hAnsi="Palatino Linotype"/>
          <w:i/>
        </w:rPr>
      </w:pPr>
      <w:r w:rsidRPr="009F5B5B">
        <w:rPr>
          <w:rFonts w:ascii="Palatino Linotype" w:hAnsi="Palatino Linotype"/>
          <w:i/>
        </w:rPr>
        <w:t xml:space="preserve">Artículo 7.627.- Si la donación fuere de ciertos y determinados bienes, el donatario no responderá de las deudas del donante, sino cuando sobre los bienes donados estuviere constituida alguna hipoteca o prenda, o en caso de fraude de acreedores. </w:t>
      </w:r>
      <w:r w:rsidRPr="009F5B5B">
        <w:rPr>
          <w:rFonts w:ascii="Palatino Linotype" w:hAnsi="Palatino Linotype"/>
          <w:b/>
          <w:i/>
        </w:rPr>
        <w:t>Donación consistente en prestaciones periódicas</w:t>
      </w:r>
      <w:r w:rsidRPr="009F5B5B">
        <w:rPr>
          <w:rFonts w:ascii="Palatino Linotype" w:hAnsi="Palatino Linotype"/>
          <w:i/>
        </w:rPr>
        <w:t xml:space="preserve"> </w:t>
      </w:r>
    </w:p>
    <w:p w:rsidR="000846DF" w:rsidRPr="009F5B5B" w:rsidRDefault="000846DF" w:rsidP="000846DF">
      <w:pPr>
        <w:ind w:left="851" w:right="851"/>
        <w:jc w:val="both"/>
        <w:rPr>
          <w:rFonts w:ascii="Palatino Linotype" w:hAnsi="Palatino Linotype"/>
          <w:i/>
        </w:rPr>
      </w:pPr>
      <w:r w:rsidRPr="009F5B5B">
        <w:rPr>
          <w:rFonts w:ascii="Palatino Linotype" w:hAnsi="Palatino Linotype"/>
          <w:i/>
        </w:rPr>
        <w:t>Artículo 7.628.- La donación que consista en prestaciones periódicas se extingue con la muerte del donante.</w:t>
      </w:r>
      <w:r>
        <w:rPr>
          <w:rFonts w:ascii="Palatino Linotype" w:hAnsi="Palatino Linotype"/>
          <w:i/>
        </w:rPr>
        <w:t>” (Sic)</w:t>
      </w:r>
    </w:p>
    <w:p w:rsidR="000846DF" w:rsidRDefault="000846DF" w:rsidP="000846DF">
      <w:pPr>
        <w:spacing w:before="240" w:after="240" w:line="360" w:lineRule="auto"/>
        <w:contextualSpacing/>
        <w:jc w:val="both"/>
        <w:rPr>
          <w:rFonts w:ascii="Palatino Linotype" w:hAnsi="Palatino Linotype" w:cs="Arial"/>
        </w:rPr>
      </w:pPr>
    </w:p>
    <w:p w:rsidR="000846DF" w:rsidRDefault="000846DF" w:rsidP="000846DF">
      <w:pPr>
        <w:spacing w:before="240" w:after="240" w:line="360" w:lineRule="auto"/>
        <w:contextualSpacing/>
        <w:jc w:val="both"/>
        <w:rPr>
          <w:rFonts w:ascii="Palatino Linotype" w:hAnsi="Palatino Linotype" w:cs="Arial"/>
        </w:rPr>
      </w:pPr>
      <w:r>
        <w:rPr>
          <w:rFonts w:ascii="Palatino Linotype" w:hAnsi="Palatino Linotype" w:cs="Arial"/>
        </w:rPr>
        <w:t xml:space="preserve">De los </w:t>
      </w:r>
      <w:r w:rsidRPr="00236E14">
        <w:rPr>
          <w:rFonts w:ascii="Palatino Linotype" w:hAnsi="Palatino Linotype" w:cs="Arial"/>
          <w:sz w:val="24"/>
          <w:szCs w:val="24"/>
        </w:rPr>
        <w:t>preceptos legales citados, se advierte que cuando se configura una donación una Dependencia Publica, esta debe darse en dos partes mismas que deberán estar de acuerdo, estas se harán por escrito, s</w:t>
      </w:r>
      <w:r w:rsidRPr="00236E14">
        <w:rPr>
          <w:rFonts w:ascii="Palatino Linotype" w:hAnsi="Palatino Linotype"/>
          <w:sz w:val="24"/>
          <w:szCs w:val="24"/>
        </w:rPr>
        <w:t>i el valor de los muebles excede cien veces el valor diario de la Unidad de Medida y Actualización vigente, pero no excede de quinientas veces el valor diario de la Unidad de Medida y Actualización vigente, debe hacerse por escrito. Si excede de la suma mencionada la donación deberá hacerse en escritura pública</w:t>
      </w:r>
      <w:r w:rsidR="00236E14" w:rsidRPr="00236E14">
        <w:rPr>
          <w:rFonts w:ascii="Palatino Linotype" w:hAnsi="Palatino Linotype"/>
          <w:sz w:val="24"/>
          <w:szCs w:val="24"/>
        </w:rPr>
        <w:t>.</w:t>
      </w:r>
    </w:p>
    <w:p w:rsidR="000846DF" w:rsidRDefault="000846DF" w:rsidP="000846DF">
      <w:pPr>
        <w:spacing w:before="240" w:after="240" w:line="360" w:lineRule="auto"/>
        <w:contextualSpacing/>
        <w:jc w:val="both"/>
        <w:rPr>
          <w:rFonts w:ascii="Palatino Linotype" w:hAnsi="Palatino Linotype" w:cs="Arial"/>
        </w:rPr>
      </w:pPr>
    </w:p>
    <w:p w:rsidR="000846DF" w:rsidRDefault="000846DF" w:rsidP="000846DF">
      <w:pPr>
        <w:spacing w:before="240" w:after="240" w:line="360" w:lineRule="auto"/>
        <w:contextualSpacing/>
        <w:jc w:val="both"/>
        <w:rPr>
          <w:rFonts w:ascii="Palatino Linotype" w:hAnsi="Palatino Linotype"/>
        </w:rPr>
      </w:pPr>
      <w:r w:rsidRPr="006A33FA">
        <w:rPr>
          <w:rFonts w:ascii="Palatino Linotype" w:hAnsi="Palatino Linotype" w:cs="Arial"/>
        </w:rPr>
        <w:lastRenderedPageBreak/>
        <w:t xml:space="preserve">Razones por las cuales, lo dable es ordenar al Sujeto Obligado la búsqueda exhaustiva y razonable del </w:t>
      </w:r>
      <w:r>
        <w:rPr>
          <w:rFonts w:ascii="Palatino Linotype" w:hAnsi="Palatino Linotype" w:cs="Arial"/>
        </w:rPr>
        <w:t xml:space="preserve">todos los </w:t>
      </w:r>
      <w:r w:rsidRPr="006A33FA">
        <w:rPr>
          <w:rFonts w:ascii="Palatino Linotype" w:hAnsi="Palatino Linotype" w:cs="Arial"/>
        </w:rPr>
        <w:t>documento</w:t>
      </w:r>
      <w:r>
        <w:rPr>
          <w:rFonts w:ascii="Palatino Linotype" w:hAnsi="Palatino Linotype" w:cs="Arial"/>
        </w:rPr>
        <w:t>s</w:t>
      </w:r>
      <w:r w:rsidRPr="006A33FA">
        <w:rPr>
          <w:rFonts w:ascii="Palatino Linotype" w:hAnsi="Palatino Linotype" w:cs="Arial"/>
        </w:rPr>
        <w:t xml:space="preserve"> en donde conste la</w:t>
      </w:r>
      <w:r>
        <w:rPr>
          <w:rFonts w:ascii="Palatino Linotype" w:hAnsi="Palatino Linotype" w:cs="Arial"/>
        </w:rPr>
        <w:t xml:space="preserve"> donación </w:t>
      </w:r>
      <w:r w:rsidRPr="006A33FA">
        <w:rPr>
          <w:rFonts w:ascii="Palatino Linotype" w:hAnsi="Palatino Linotype" w:cs="Arial"/>
        </w:rPr>
        <w:t xml:space="preserve"> recibida</w:t>
      </w:r>
      <w:r>
        <w:rPr>
          <w:rFonts w:ascii="Palatino Linotype" w:hAnsi="Palatino Linotype" w:cs="Arial"/>
        </w:rPr>
        <w:t xml:space="preserve"> por la empresa señalada en la respuesta</w:t>
      </w:r>
      <w:r>
        <w:rPr>
          <w:rFonts w:ascii="Palatino Linotype" w:hAnsi="Palatino Linotype"/>
        </w:rPr>
        <w:t>.</w:t>
      </w:r>
    </w:p>
    <w:p w:rsidR="000846DF" w:rsidRDefault="000846DF" w:rsidP="000846DF">
      <w:pPr>
        <w:spacing w:before="240" w:after="240" w:line="360" w:lineRule="auto"/>
        <w:contextualSpacing/>
        <w:jc w:val="both"/>
        <w:rPr>
          <w:rFonts w:ascii="Palatino Linotype" w:hAnsi="Palatino Linotype"/>
        </w:rPr>
      </w:pPr>
    </w:p>
    <w:p w:rsidR="000846DF" w:rsidRDefault="000846DF" w:rsidP="000846DF">
      <w:pPr>
        <w:spacing w:before="240" w:after="240" w:line="360" w:lineRule="auto"/>
        <w:contextualSpacing/>
        <w:jc w:val="both"/>
        <w:rPr>
          <w:rFonts w:ascii="Palatino Linotype" w:hAnsi="Palatino Linotype"/>
        </w:rPr>
      </w:pPr>
      <w:r>
        <w:rPr>
          <w:rFonts w:ascii="Palatino Linotype" w:hAnsi="Palatino Linotype"/>
        </w:rPr>
        <w:t>Ahora bien para el caso de que la información a entregar contenga datos susceptibles de ser testados, el Sujeto Obligado deberá observar lo siguiente:</w:t>
      </w:r>
    </w:p>
    <w:p w:rsidR="000846DF" w:rsidRPr="000846DF" w:rsidRDefault="000846DF" w:rsidP="000846DF">
      <w:pPr>
        <w:pStyle w:val="Textoindependiente"/>
        <w:numPr>
          <w:ilvl w:val="0"/>
          <w:numId w:val="44"/>
        </w:numPr>
        <w:spacing w:line="360" w:lineRule="auto"/>
        <w:jc w:val="both"/>
        <w:rPr>
          <w:rFonts w:ascii="Palatino Linotype" w:hAnsi="Palatino Linotype"/>
          <w:i/>
        </w:rPr>
      </w:pPr>
      <w:r w:rsidRPr="000846DF">
        <w:rPr>
          <w:rFonts w:ascii="Palatino Linotype" w:hAnsi="Palatino Linotype"/>
          <w:b/>
          <w:bCs/>
          <w:i/>
        </w:rPr>
        <w:t xml:space="preserve"> Versión Pública.</w:t>
      </w:r>
      <w:r w:rsidRPr="000846DF">
        <w:rPr>
          <w:rFonts w:ascii="Palatino Linotype" w:hAnsi="Palatino Linotype"/>
          <w:i/>
        </w:rPr>
        <w:t xml:space="preserve"> </w:t>
      </w:r>
    </w:p>
    <w:p w:rsidR="000846DF" w:rsidRDefault="000846DF" w:rsidP="00236E14">
      <w:pPr>
        <w:pStyle w:val="Textoindependiente"/>
        <w:spacing w:before="0" w:beforeAutospacing="0" w:after="0" w:afterAutospacing="0" w:line="360" w:lineRule="auto"/>
        <w:jc w:val="both"/>
        <w:rPr>
          <w:rFonts w:ascii="Palatino Linotype" w:hAnsi="Palatino Linotype"/>
        </w:rPr>
      </w:pPr>
      <w:r w:rsidRPr="00027640">
        <w:rPr>
          <w:rFonts w:ascii="Palatino Linotype" w:hAnsi="Palatino Linotype"/>
        </w:rPr>
        <w:t>Como fue debidamente apuntado, el Sujeto Obligado debe satisfacer la solicitud de acceso a la información; sin embargo, dada la naturaleza de la información de la cual se ordena su entrega, deberá hacerse en versión pública, esto es, omitirá, eliminará o suprimirá la información personal del</w:t>
      </w:r>
      <w:r>
        <w:rPr>
          <w:rFonts w:ascii="Palatino Linotype" w:hAnsi="Palatino Linotype"/>
        </w:rPr>
        <w:t xml:space="preserve"> </w:t>
      </w:r>
      <w:r w:rsidRPr="00027640">
        <w:rPr>
          <w:rFonts w:ascii="Palatino Linotype" w:hAnsi="Palatino Linotype"/>
        </w:rPr>
        <w:t>servidor público referido, toda vez que en dichos documentos existen datos que son</w:t>
      </w:r>
      <w:r>
        <w:rPr>
          <w:rFonts w:ascii="Palatino Linotype" w:hAnsi="Palatino Linotype"/>
        </w:rPr>
        <w:t xml:space="preserve"> </w:t>
      </w:r>
      <w:r w:rsidRPr="00027640">
        <w:rPr>
          <w:rFonts w:ascii="Palatino Linotype" w:hAnsi="Palatino Linotype"/>
        </w:rPr>
        <w:t>considerados confidenciales, cuyo acceso debe ser restringido, los cuales deben</w:t>
      </w:r>
      <w:r>
        <w:rPr>
          <w:rFonts w:ascii="Palatino Linotype" w:hAnsi="Palatino Linotype"/>
        </w:rPr>
        <w:t xml:space="preserve"> </w:t>
      </w:r>
      <w:r w:rsidRPr="00027640">
        <w:rPr>
          <w:rFonts w:ascii="Palatino Linotype" w:hAnsi="Palatino Linotype"/>
        </w:rPr>
        <w:t>testarse al momento de la versión pública, atento a lo siguiente:</w:t>
      </w:r>
    </w:p>
    <w:p w:rsidR="000846DF" w:rsidRPr="00027640" w:rsidRDefault="000846DF" w:rsidP="00236E14">
      <w:pPr>
        <w:pStyle w:val="Textoindependiente"/>
        <w:spacing w:before="0" w:beforeAutospacing="0" w:after="0" w:afterAutospacing="0" w:line="360" w:lineRule="auto"/>
        <w:jc w:val="both"/>
        <w:rPr>
          <w:rFonts w:ascii="Palatino Linotype" w:hAnsi="Palatino Linotype"/>
        </w:rPr>
      </w:pPr>
    </w:p>
    <w:p w:rsidR="000846DF" w:rsidRPr="00027640" w:rsidRDefault="000846DF" w:rsidP="00236E14">
      <w:pPr>
        <w:pStyle w:val="Textoindependiente"/>
        <w:spacing w:before="0" w:beforeAutospacing="0" w:after="0" w:afterAutospacing="0" w:line="360" w:lineRule="auto"/>
        <w:jc w:val="both"/>
        <w:rPr>
          <w:rFonts w:ascii="Palatino Linotype" w:hAnsi="Palatino Linotype"/>
        </w:rPr>
      </w:pPr>
      <w:r w:rsidRPr="00027640">
        <w:rPr>
          <w:rFonts w:ascii="Palatino Linotype" w:hAnsi="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w:t>
      </w:r>
      <w:r>
        <w:rPr>
          <w:rFonts w:ascii="Palatino Linotype" w:hAnsi="Palatino Linotype"/>
        </w:rPr>
        <w:t xml:space="preserve"> </w:t>
      </w:r>
      <w:r w:rsidRPr="00027640">
        <w:rPr>
          <w:rFonts w:ascii="Palatino Linotype" w:hAnsi="Palatino Linotype"/>
        </w:rPr>
        <w:t>cuentas y la transparencia en el ejercicio de las atribuciones que tienen conferidas.</w:t>
      </w:r>
    </w:p>
    <w:p w:rsidR="000846DF" w:rsidRDefault="000846DF" w:rsidP="000846DF">
      <w:pPr>
        <w:pStyle w:val="Textoindependiente"/>
        <w:spacing w:line="360" w:lineRule="auto"/>
        <w:jc w:val="both"/>
        <w:rPr>
          <w:rFonts w:ascii="Palatino Linotype" w:hAnsi="Palatino Linotype"/>
        </w:rPr>
      </w:pPr>
    </w:p>
    <w:p w:rsidR="000846DF" w:rsidRPr="00027640" w:rsidRDefault="000846DF" w:rsidP="00236E14">
      <w:pPr>
        <w:pStyle w:val="Textoindependiente"/>
        <w:spacing w:before="0" w:beforeAutospacing="0" w:after="0" w:afterAutospacing="0" w:line="360" w:lineRule="auto"/>
        <w:jc w:val="both"/>
        <w:rPr>
          <w:rFonts w:ascii="Palatino Linotype" w:hAnsi="Palatino Linotype"/>
        </w:rPr>
      </w:pPr>
      <w:r w:rsidRPr="00027640">
        <w:rPr>
          <w:rFonts w:ascii="Palatino Linotype" w:hAnsi="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w:t>
      </w:r>
      <w:r>
        <w:rPr>
          <w:rFonts w:ascii="Palatino Linotype" w:hAnsi="Palatino Linotype"/>
        </w:rPr>
        <w:t xml:space="preserve"> </w:t>
      </w:r>
      <w:r w:rsidRPr="00027640">
        <w:rPr>
          <w:rFonts w:ascii="Palatino Linotype" w:hAnsi="Palatino Linotype"/>
        </w:rPr>
        <w:t>vida privada de los particulares y de los servidores públicos.</w:t>
      </w:r>
    </w:p>
    <w:p w:rsidR="000846DF" w:rsidRDefault="000846DF" w:rsidP="00236E14">
      <w:pPr>
        <w:pStyle w:val="Textoindependiente"/>
        <w:spacing w:before="0" w:beforeAutospacing="0" w:after="0" w:afterAutospacing="0" w:line="360" w:lineRule="auto"/>
        <w:jc w:val="both"/>
        <w:rPr>
          <w:rFonts w:ascii="Palatino Linotype" w:hAnsi="Palatino Linotype"/>
        </w:rPr>
      </w:pPr>
    </w:p>
    <w:p w:rsidR="000846DF" w:rsidRPr="00027640" w:rsidRDefault="000846DF" w:rsidP="00236E14">
      <w:pPr>
        <w:pStyle w:val="Textoindependiente"/>
        <w:spacing w:before="0" w:beforeAutospacing="0" w:after="0" w:afterAutospacing="0" w:line="360" w:lineRule="auto"/>
        <w:jc w:val="both"/>
        <w:rPr>
          <w:rFonts w:ascii="Palatino Linotype" w:hAnsi="Palatino Linotype"/>
        </w:rPr>
      </w:pPr>
      <w:r w:rsidRPr="00027640">
        <w:rPr>
          <w:rFonts w:ascii="Palatino Linotype" w:hAnsi="Palatino Linotype"/>
        </w:rPr>
        <w:t>Al respecto, los artículos 3, fracciones IX, XX, XXI, XXXIL XLV; 6, 49 fracción VIII, 91, 137, 143, fracción L, de la Ley de Transparencia y Acceso a la Información Pública</w:t>
      </w:r>
      <w:r>
        <w:rPr>
          <w:rFonts w:ascii="Palatino Linotype" w:hAnsi="Palatino Linotype"/>
        </w:rPr>
        <w:t xml:space="preserve"> </w:t>
      </w:r>
      <w:r w:rsidRPr="00027640">
        <w:rPr>
          <w:rFonts w:ascii="Palatino Linotype" w:hAnsi="Palatino Linotype"/>
        </w:rPr>
        <w:t>del Estado de México y Municipios vigente establecen:</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“Artículo 3. Para los efectos de la presente Ley se entenderá por:</w:t>
      </w:r>
    </w:p>
    <w:p w:rsidR="000846DF" w:rsidRPr="00A2545F" w:rsidRDefault="000846DF" w:rsidP="000846DF">
      <w:pPr>
        <w:spacing w:before="240" w:after="240"/>
        <w:ind w:left="567" w:right="474"/>
        <w:contextualSpacing/>
        <w:jc w:val="both"/>
        <w:rPr>
          <w:rFonts w:ascii="Palatino Linotype" w:hAnsi="Palatino Linotype"/>
          <w:i/>
          <w:iCs/>
        </w:rPr>
      </w:pPr>
      <w:r>
        <w:rPr>
          <w:rFonts w:ascii="Palatino Linotype" w:hAnsi="Palatino Linotype"/>
          <w:i/>
          <w:iCs/>
        </w:rPr>
        <w:t>…</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IX, Datos personales</w:t>
      </w:r>
      <w:r w:rsidRPr="00A2545F">
        <w:rPr>
          <w:rFonts w:ascii="Palatino Linotype" w:hAnsi="Palatino Linotype"/>
          <w:i/>
          <w:iCs/>
        </w:rPr>
        <w:t>: La información concerniente a una persona, identificada o identificable según lo dispuesto por la Ley de Protección de Datos Personales del Estado de México;</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XX. Información clasificada</w:t>
      </w:r>
      <w:r w:rsidRPr="00A2545F">
        <w:rPr>
          <w:rFonts w:ascii="Palatino Linotype" w:hAnsi="Palatino Linotype"/>
          <w:i/>
          <w:iCs/>
        </w:rPr>
        <w:t>: Aquella considerada por la presente Ley como reservada o confidencial;</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XXI. Información confidencial</w:t>
      </w:r>
      <w:r w:rsidRPr="00A2545F">
        <w:rPr>
          <w:rFonts w:ascii="Palatino Linotype" w:hAnsi="Palatino Linotype"/>
          <w:i/>
          <w:iC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XXXII. Protección de Datos Personales</w:t>
      </w:r>
      <w:r w:rsidRPr="00A2545F">
        <w:rPr>
          <w:rFonts w:ascii="Palatino Linotype" w:hAnsi="Palatino Linotype"/>
          <w:i/>
          <w:iCs/>
        </w:rPr>
        <w:t>: Derecho humano que tutela la privacidad de datos personales en poder de los sujetos obligados y sujetos particulares;</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w:t>
      </w:r>
    </w:p>
    <w:p w:rsidR="000846D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XLV. Versión pública</w:t>
      </w:r>
      <w:r w:rsidRPr="00A2545F">
        <w:rPr>
          <w:rFonts w:ascii="Palatino Linotype" w:hAnsi="Palatino Linotype"/>
          <w:i/>
          <w:iCs/>
        </w:rPr>
        <w:t xml:space="preserve">: Documento en el que se elimine, suprime o borra la información clasificada como reservada o confidencial para permitir su acceso. </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Artículo 6.</w:t>
      </w:r>
      <w:r w:rsidRPr="00A2545F">
        <w:rPr>
          <w:rFonts w:ascii="Palatino Linotype" w:hAnsi="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w:t>
      </w:r>
      <w:r w:rsidRPr="00A2545F">
        <w:rPr>
          <w:rFonts w:ascii="Palatino Linotype" w:hAnsi="Palatino Linotype"/>
          <w:i/>
          <w:iCs/>
        </w:rPr>
        <w:lastRenderedPageBreak/>
        <w:t>disposiciones en materia de datos personales, se deberá estar a lo dispuesto en las leyes de la materia.</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Artículo 49</w:t>
      </w:r>
      <w:r w:rsidRPr="00A2545F">
        <w:rPr>
          <w:rFonts w:ascii="Palatino Linotype" w:hAnsi="Palatino Linotype"/>
          <w:i/>
          <w:iCs/>
        </w:rPr>
        <w:t>, Los Comités de Transparencia tendrán las siguientes atribuciones: (...)</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Aprobar, modificar o revocar la clasificación de la información;</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Artículo 91</w:t>
      </w:r>
      <w:r w:rsidRPr="00A2545F">
        <w:rPr>
          <w:rFonts w:ascii="Palatino Linotype" w:hAnsi="Palatino Linotype"/>
          <w:i/>
          <w:iCs/>
        </w:rPr>
        <w:t>, El acceso a la información pública será restringido excepcionalmente, cuando ésta sea clasificada como reservada o confidencial. (...)</w:t>
      </w:r>
    </w:p>
    <w:p w:rsidR="000846D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Artículo 137.</w:t>
      </w:r>
      <w:r w:rsidRPr="00A2545F">
        <w:rPr>
          <w:rFonts w:ascii="Palatino Linotype" w:hAnsi="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b/>
          <w:bCs/>
          <w:i/>
          <w:iCs/>
        </w:rPr>
        <w:t>Artículo 143</w:t>
      </w:r>
      <w:r w:rsidRPr="00A2545F">
        <w:rPr>
          <w:rFonts w:ascii="Palatino Linotype" w:hAnsi="Palatino Linotype"/>
          <w:i/>
          <w:iCs/>
        </w:rPr>
        <w:t>. Para los efectos de esta Ley se considera información confidencial, la clasificada como tal, de manera permanente, por su naturaleza, cuando:</w:t>
      </w:r>
    </w:p>
    <w:p w:rsidR="000846DF" w:rsidRPr="00A2545F" w:rsidRDefault="000846DF" w:rsidP="000846DF">
      <w:pPr>
        <w:spacing w:before="240" w:after="240"/>
        <w:ind w:left="567" w:right="474"/>
        <w:contextualSpacing/>
        <w:jc w:val="both"/>
        <w:rPr>
          <w:rFonts w:ascii="Palatino Linotype" w:hAnsi="Palatino Linotype"/>
          <w:i/>
          <w:iCs/>
        </w:rPr>
      </w:pPr>
      <w:r w:rsidRPr="00A2545F">
        <w:rPr>
          <w:rFonts w:ascii="Palatino Linotype" w:hAnsi="Palatino Linotype"/>
          <w:i/>
          <w:iCs/>
        </w:rPr>
        <w:t>I. Se refiera a la información privada y los datos personales concernientes a una persona física o jurídico colectiva identificada o identificable...</w:t>
      </w:r>
      <w:proofErr w:type="gramStart"/>
      <w:r w:rsidRPr="00A2545F">
        <w:rPr>
          <w:rFonts w:ascii="Palatino Linotype" w:hAnsi="Palatino Linotype"/>
          <w:i/>
          <w:iCs/>
        </w:rPr>
        <w:t>”</w:t>
      </w:r>
      <w:r>
        <w:rPr>
          <w:rFonts w:ascii="Palatino Linotype" w:hAnsi="Palatino Linotype"/>
          <w:i/>
          <w:iCs/>
        </w:rPr>
        <w:t>(</w:t>
      </w:r>
      <w:proofErr w:type="gramEnd"/>
      <w:r>
        <w:rPr>
          <w:rFonts w:ascii="Palatino Linotype" w:hAnsi="Palatino Linotype"/>
          <w:i/>
          <w:iCs/>
        </w:rPr>
        <w:t>Sic)</w:t>
      </w:r>
    </w:p>
    <w:p w:rsidR="000846DF" w:rsidRDefault="000846DF" w:rsidP="000846DF">
      <w:pPr>
        <w:pStyle w:val="Textoindependiente"/>
        <w:spacing w:line="360" w:lineRule="auto"/>
        <w:jc w:val="both"/>
        <w:rPr>
          <w:rFonts w:ascii="Palatino Linotype" w:hAnsi="Palatino Linotype"/>
        </w:rPr>
      </w:pPr>
      <w:r w:rsidRPr="00027640">
        <w:rPr>
          <w:rFonts w:ascii="Palatino Linotype" w:hAnsi="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w:t>
      </w:r>
      <w:r>
        <w:rPr>
          <w:rFonts w:ascii="Palatino Linotype" w:hAnsi="Palatino Linotype"/>
        </w:rPr>
        <w:t xml:space="preserve"> </w:t>
      </w:r>
      <w:r w:rsidRPr="00027640">
        <w:rPr>
          <w:rFonts w:ascii="Palatino Linotype" w:hAnsi="Palatino Linotype"/>
        </w:rPr>
        <w:t>Obligado deberá proceder a testar los datos personales que se encuentre contenidos</w:t>
      </w:r>
      <w:r>
        <w:rPr>
          <w:rFonts w:ascii="Palatino Linotype" w:hAnsi="Palatino Linotype"/>
        </w:rPr>
        <w:t xml:space="preserve"> </w:t>
      </w:r>
      <w:r w:rsidRPr="00027640">
        <w:rPr>
          <w:rFonts w:ascii="Palatino Linotype" w:hAnsi="Palatino Linotype"/>
        </w:rPr>
        <w:t>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w:t>
      </w:r>
      <w:r>
        <w:rPr>
          <w:rFonts w:ascii="Palatino Linotype" w:hAnsi="Palatino Linotype"/>
        </w:rPr>
        <w:t xml:space="preserve"> </w:t>
      </w:r>
      <w:r w:rsidRPr="00027640">
        <w:rPr>
          <w:rFonts w:ascii="Palatino Linotype" w:hAnsi="Palatino Linotype"/>
        </w:rPr>
        <w:t>México.</w:t>
      </w:r>
    </w:p>
    <w:p w:rsidR="000846DF" w:rsidRPr="00027640" w:rsidRDefault="000846DF" w:rsidP="000846DF">
      <w:pPr>
        <w:pStyle w:val="Textoindependiente"/>
        <w:spacing w:line="360" w:lineRule="auto"/>
        <w:jc w:val="both"/>
        <w:rPr>
          <w:rFonts w:ascii="Palatino Linotype" w:hAnsi="Palatino Linotype"/>
        </w:rPr>
      </w:pPr>
      <w:r w:rsidRPr="00027640">
        <w:rPr>
          <w:rFonts w:ascii="Palatino Linotype" w:hAnsi="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w:t>
      </w:r>
      <w:r>
        <w:rPr>
          <w:rFonts w:ascii="Palatino Linotype" w:hAnsi="Palatino Linotype"/>
        </w:rPr>
        <w:t xml:space="preserve"> </w:t>
      </w:r>
      <w:r w:rsidRPr="00027640">
        <w:rPr>
          <w:rFonts w:ascii="Palatino Linotype" w:hAnsi="Palatino Linotype"/>
        </w:rPr>
        <w:t>los mismos a personas ajenas a su titular.</w:t>
      </w:r>
    </w:p>
    <w:p w:rsidR="000846DF" w:rsidRPr="00021A87" w:rsidRDefault="000846DF" w:rsidP="000846DF">
      <w:pPr>
        <w:spacing w:before="240" w:after="240" w:line="360" w:lineRule="auto"/>
        <w:jc w:val="both"/>
        <w:rPr>
          <w:rFonts w:ascii="Palatino Linotype" w:hAnsi="Palatino Linotype"/>
        </w:rPr>
      </w:pPr>
      <w:r w:rsidRPr="00021A87">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021A87">
        <w:rPr>
          <w:rFonts w:ascii="Palatino Linotype" w:hAnsi="Palatino Linotype"/>
        </w:rPr>
        <w:t>resulta necesario que el Comité de Transparencia d</w:t>
      </w:r>
      <w:r w:rsidRPr="00021A87">
        <w:rPr>
          <w:rFonts w:ascii="Palatino Linotype" w:hAnsi="Palatino Linotype"/>
          <w:lang w:val="es-ES_tradnl"/>
        </w:rPr>
        <w:t xml:space="preserve">el Sujeto Obligado </w:t>
      </w:r>
      <w:r w:rsidRPr="00021A87">
        <w:rPr>
          <w:rFonts w:ascii="Palatino Linotype" w:hAnsi="Palatino Linotype"/>
        </w:rPr>
        <w:t>emita el Acuerdo de Clasificación correspondiente</w:t>
      </w:r>
      <w:r w:rsidRPr="00021A87">
        <w:rPr>
          <w:rFonts w:ascii="Palatino Linotype" w:hAnsi="Palatino Linotype"/>
          <w:lang w:val="es-ES_tradnl"/>
        </w:rPr>
        <w:t xml:space="preserve"> debidamente fundado y motivado, </w:t>
      </w:r>
      <w:r w:rsidRPr="00021A87">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21A87">
        <w:rPr>
          <w:rFonts w:ascii="Palatino Linotype" w:hAnsi="Palatino Linotype"/>
          <w:b/>
        </w:rPr>
        <w:t>LINEAMIENTOS GENERALES EN MATERIA DE CLASIFICACIÓN Y DESCLASIFICACIÓN DE LA INFORMACIÓN, ASÍ COMO PARA LA ELABORACIÓN DE VERSIONES PÚBLICAS</w:t>
      </w:r>
      <w:r w:rsidRPr="00021A87">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021A87">
        <w:rPr>
          <w:rFonts w:ascii="Palatino Linotype" w:hAnsi="Palatino Linotype" w:cs="Arial"/>
          <w:lang w:val="es-ES_tradnl"/>
        </w:rPr>
        <w:t>que literalmente expresan:</w:t>
      </w:r>
    </w:p>
    <w:p w:rsidR="000846DF" w:rsidRPr="00976045" w:rsidRDefault="000846DF" w:rsidP="000846DF">
      <w:pPr>
        <w:spacing w:before="360"/>
        <w:ind w:left="709" w:right="709"/>
        <w:contextualSpacing/>
        <w:jc w:val="both"/>
        <w:rPr>
          <w:rFonts w:ascii="Palatino Linotype" w:hAnsi="Palatino Linotype" w:cs="Arial"/>
          <w:b/>
          <w:i/>
        </w:rPr>
      </w:pPr>
      <w:r w:rsidRPr="00976045">
        <w:rPr>
          <w:rFonts w:ascii="Palatino Linotype" w:hAnsi="Palatino Linotype" w:cs="Arial"/>
          <w:b/>
          <w:i/>
        </w:rPr>
        <w:t>Lineamientos Generales en materia de Clasificación y Desclasificación de la Información, así como para la elaboración de Versiones Públicas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i/>
        </w:rPr>
        <w:t>“</w:t>
      </w:r>
      <w:r w:rsidRPr="00976045">
        <w:rPr>
          <w:rFonts w:ascii="Palatino Linotype" w:hAnsi="Palatino Linotype" w:cs="Arial"/>
          <w:b/>
          <w:i/>
        </w:rPr>
        <w:t>Segundo.-</w:t>
      </w:r>
      <w:r w:rsidRPr="00976045">
        <w:rPr>
          <w:rFonts w:ascii="Palatino Linotype" w:hAnsi="Palatino Linotype" w:cs="Arial"/>
          <w:i/>
        </w:rPr>
        <w:t xml:space="preserve"> Para efectos de los presentes Lineamientos Generales, se entenderá por:</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XVIII.</w:t>
      </w:r>
      <w:r w:rsidRPr="00976045">
        <w:rPr>
          <w:rFonts w:ascii="Palatino Linotype" w:hAnsi="Palatino Linotype" w:cs="Arial"/>
          <w:i/>
        </w:rPr>
        <w:t xml:space="preserve"> </w:t>
      </w:r>
      <w:r w:rsidRPr="00976045">
        <w:rPr>
          <w:rFonts w:ascii="Palatino Linotype" w:hAnsi="Palatino Linotype" w:cs="Arial"/>
          <w:b/>
          <w:i/>
        </w:rPr>
        <w:t>Versión pública:</w:t>
      </w:r>
      <w:r w:rsidRPr="00976045">
        <w:rPr>
          <w:rFonts w:ascii="Palatino Linotype" w:hAnsi="Palatino Linotype" w:cs="Arial"/>
          <w:i/>
        </w:rPr>
        <w:t xml:space="preserve"> El </w:t>
      </w:r>
      <w:r w:rsidRPr="00976045">
        <w:rPr>
          <w:rFonts w:ascii="Palatino Linotype" w:hAnsi="Palatino Linotype" w:cs="Arial"/>
          <w:bCs/>
          <w:i/>
          <w:noProof/>
        </w:rPr>
        <w:t>documento</w:t>
      </w:r>
      <w:r w:rsidRPr="00976045">
        <w:rPr>
          <w:rFonts w:ascii="Palatino Linotype" w:hAnsi="Palatino Linotype" w:cs="Arial"/>
          <w:i/>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u w:val="single"/>
        </w:rPr>
        <w:t>fundando y motivando la</w:t>
      </w:r>
      <w:r w:rsidRPr="00976045">
        <w:rPr>
          <w:rFonts w:ascii="Palatino Linotype" w:hAnsi="Palatino Linotype" w:cs="Arial"/>
          <w:i/>
        </w:rPr>
        <w:t xml:space="preserve"> reserva o </w:t>
      </w:r>
      <w:r w:rsidRPr="00976045">
        <w:rPr>
          <w:rFonts w:ascii="Palatino Linotype" w:hAnsi="Palatino Linotype" w:cs="Arial"/>
          <w:b/>
          <w:i/>
          <w:u w:val="single"/>
        </w:rPr>
        <w:t>confidencialidad</w:t>
      </w:r>
      <w:r w:rsidRPr="00976045">
        <w:rPr>
          <w:rFonts w:ascii="Palatino Linotype" w:hAnsi="Palatino Linotype" w:cs="Arial"/>
          <w:i/>
        </w:rPr>
        <w:t xml:space="preserve">, a través de la resolución que para tal efecto emita el </w:t>
      </w:r>
      <w:r w:rsidRPr="00976045">
        <w:rPr>
          <w:rFonts w:ascii="Palatino Linotype" w:hAnsi="Palatino Linotype" w:cs="Arial"/>
          <w:bCs/>
          <w:i/>
          <w:noProof/>
        </w:rPr>
        <w:t>Comité</w:t>
      </w:r>
      <w:r w:rsidRPr="00976045">
        <w:rPr>
          <w:rFonts w:ascii="Palatino Linotype" w:hAnsi="Palatino Linotype" w:cs="Arial"/>
          <w:i/>
        </w:rPr>
        <w:t xml:space="preserve"> de Transparencia.</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Cuarto.</w:t>
      </w:r>
      <w:r w:rsidRPr="00976045">
        <w:rPr>
          <w:rFonts w:ascii="Palatino Linotype" w:hAnsi="Palatino Linotype" w:cs="Arial"/>
          <w:i/>
        </w:rPr>
        <w:t xml:space="preserve"> Para clasificar la información como reservada o confidencial, de manera total o parcial, el titular del </w:t>
      </w:r>
      <w:r w:rsidRPr="00976045">
        <w:rPr>
          <w:rFonts w:ascii="Palatino Linotype" w:hAnsi="Palatino Linotype" w:cs="Arial"/>
          <w:bCs/>
          <w:i/>
          <w:noProof/>
        </w:rPr>
        <w:t>área</w:t>
      </w:r>
      <w:r w:rsidRPr="00976045">
        <w:rPr>
          <w:rFonts w:ascii="Palatino Linotype" w:hAnsi="Palatino Linotype" w:cs="Arial"/>
          <w:i/>
        </w:rPr>
        <w:t xml:space="preserve"> del sujeto obligado deberá atender lo dispuesto por el Título Sexto de la Ley General, en relación con las disposiciones contenidas en los presentes lineamientos, así como en aquellas disposiciones legales aplicables a la materia en el </w:t>
      </w:r>
      <w:r w:rsidRPr="00976045">
        <w:rPr>
          <w:rFonts w:ascii="Palatino Linotype" w:hAnsi="Palatino Linotype" w:cs="Arial"/>
          <w:i/>
        </w:rPr>
        <w:lastRenderedPageBreak/>
        <w:t>ámbito de sus respectivas competencias, en tanto estas últimas no contravengan lo dispuesto en la Ley General.</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i/>
        </w:rPr>
        <w:t xml:space="preserve">Los sujetos obligados deberán aplicar, de manera estricta, las excepciones al derecho de acceso a la </w:t>
      </w:r>
      <w:r w:rsidRPr="00976045">
        <w:rPr>
          <w:rFonts w:ascii="Palatino Linotype" w:hAnsi="Palatino Linotype" w:cs="Arial"/>
          <w:bCs/>
          <w:i/>
          <w:noProof/>
        </w:rPr>
        <w:t>información</w:t>
      </w:r>
      <w:r w:rsidRPr="00976045">
        <w:rPr>
          <w:rFonts w:ascii="Palatino Linotype" w:hAnsi="Palatino Linotype" w:cs="Arial"/>
          <w:i/>
        </w:rPr>
        <w:t xml:space="preserve"> y sólo podrán invocarlas cuando acrediten su procedencia.</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Quinto.</w:t>
      </w:r>
      <w:r w:rsidRPr="00976045">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Sexto.</w:t>
      </w:r>
      <w:r w:rsidRPr="00976045">
        <w:rPr>
          <w:rFonts w:ascii="Palatino Linotype" w:hAnsi="Palatino Linotype" w:cs="Arial"/>
          <w:i/>
        </w:rPr>
        <w:t xml:space="preserve"> Los sujetos obligados no podrán emitir acuerdos de carácter general ni particular que clasifiquen </w:t>
      </w:r>
      <w:r w:rsidRPr="00976045">
        <w:rPr>
          <w:rFonts w:ascii="Palatino Linotype" w:hAnsi="Palatino Linotype" w:cs="Arial"/>
          <w:bCs/>
          <w:i/>
          <w:noProof/>
        </w:rPr>
        <w:t>documentos</w:t>
      </w:r>
      <w:r w:rsidRPr="00976045">
        <w:rPr>
          <w:rFonts w:ascii="Palatino Linotype" w:hAnsi="Palatino Linotype" w:cs="Arial"/>
          <w:i/>
        </w:rPr>
        <w:t xml:space="preserve"> o expedientes como reservados, ni clasificar documentos antes de que se genere la información o cuando éstos no obren en sus archivos.</w:t>
      </w:r>
    </w:p>
    <w:p w:rsidR="000846DF" w:rsidRPr="00976045" w:rsidRDefault="000846DF" w:rsidP="000846DF">
      <w:pPr>
        <w:spacing w:before="160"/>
        <w:ind w:left="709" w:right="709"/>
        <w:contextualSpacing/>
        <w:jc w:val="both"/>
        <w:rPr>
          <w:rFonts w:ascii="Palatino Linotype" w:hAnsi="Palatino Linotype" w:cs="Arial"/>
          <w:i/>
        </w:rPr>
      </w:pPr>
      <w:r w:rsidRPr="00976045">
        <w:rPr>
          <w:rFonts w:ascii="Palatino Linotype" w:hAnsi="Palatino Linotype" w:cs="Arial"/>
          <w:i/>
        </w:rPr>
        <w:t xml:space="preserve">La clasificación de información se realizará conforme a un análisis caso por caso, mediante la aplicación </w:t>
      </w:r>
      <w:r w:rsidRPr="00976045">
        <w:rPr>
          <w:rFonts w:ascii="Palatino Linotype" w:hAnsi="Palatino Linotype" w:cs="Arial"/>
          <w:bCs/>
          <w:i/>
          <w:noProof/>
        </w:rPr>
        <w:t>de</w:t>
      </w:r>
      <w:r w:rsidRPr="00976045">
        <w:rPr>
          <w:rFonts w:ascii="Palatino Linotype" w:hAnsi="Palatino Linotype" w:cs="Arial"/>
          <w:i/>
        </w:rPr>
        <w:t xml:space="preserve"> la prueba de daño y de interés público.</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Séptimo.</w:t>
      </w:r>
      <w:r w:rsidRPr="00976045">
        <w:rPr>
          <w:rFonts w:ascii="Palatino Linotype" w:hAnsi="Palatino Linotype" w:cs="Arial"/>
          <w:i/>
        </w:rPr>
        <w:t xml:space="preserve"> La clasificación </w:t>
      </w:r>
      <w:r w:rsidRPr="00976045">
        <w:rPr>
          <w:rFonts w:ascii="Palatino Linotype" w:hAnsi="Palatino Linotype" w:cs="Arial"/>
          <w:bCs/>
          <w:i/>
          <w:noProof/>
        </w:rPr>
        <w:t>de</w:t>
      </w:r>
      <w:r w:rsidRPr="00976045">
        <w:rPr>
          <w:rFonts w:ascii="Palatino Linotype" w:hAnsi="Palatino Linotype" w:cs="Arial"/>
          <w:i/>
        </w:rPr>
        <w:t xml:space="preserve"> la información se llevará a cabo en el momento en que:</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I.</w:t>
      </w:r>
      <w:r w:rsidRPr="00976045">
        <w:rPr>
          <w:rFonts w:ascii="Palatino Linotype" w:hAnsi="Palatino Linotype" w:cs="Arial"/>
          <w:i/>
        </w:rPr>
        <w:t xml:space="preserve"> Se reciba una solicitud de acceso a la información;</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II.</w:t>
      </w:r>
      <w:r w:rsidRPr="00976045">
        <w:rPr>
          <w:rFonts w:ascii="Palatino Linotype" w:hAnsi="Palatino Linotype" w:cs="Arial"/>
          <w:i/>
        </w:rPr>
        <w:t xml:space="preserve"> Se determine </w:t>
      </w:r>
      <w:r w:rsidRPr="00976045">
        <w:rPr>
          <w:rFonts w:ascii="Palatino Linotype" w:hAnsi="Palatino Linotype" w:cs="Arial"/>
          <w:bCs/>
          <w:i/>
          <w:noProof/>
        </w:rPr>
        <w:t>mediante</w:t>
      </w:r>
      <w:r w:rsidRPr="00976045">
        <w:rPr>
          <w:rFonts w:ascii="Palatino Linotype" w:hAnsi="Palatino Linotype" w:cs="Arial"/>
          <w:i/>
        </w:rPr>
        <w:t xml:space="preserve"> resolución de autoridad competente, o</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III.</w:t>
      </w:r>
      <w:r w:rsidRPr="00976045">
        <w:rPr>
          <w:rFonts w:ascii="Palatino Linotype" w:hAnsi="Palatino Linotype" w:cs="Arial"/>
          <w:i/>
        </w:rPr>
        <w:t xml:space="preserve"> Se generen </w:t>
      </w:r>
      <w:r w:rsidRPr="00976045">
        <w:rPr>
          <w:rFonts w:ascii="Palatino Linotype" w:hAnsi="Palatino Linotype" w:cs="Arial"/>
          <w:bCs/>
          <w:i/>
          <w:noProof/>
        </w:rPr>
        <w:t>versiones</w:t>
      </w:r>
      <w:r w:rsidRPr="00976045">
        <w:rPr>
          <w:rFonts w:ascii="Palatino Linotype" w:hAnsi="Palatino Linotype" w:cs="Arial"/>
          <w:i/>
        </w:rPr>
        <w:t xml:space="preserve"> públicas para dar cumplimiento a las obligaciones de transparencia previstas en la Ley General, la Ley Federal y las correspondientes de las entidades federativas.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i/>
        </w:rPr>
        <w:t xml:space="preserve">Los titulares de las áreas deberán revisar la clasificación al momento de la recepción de una solicitud de </w:t>
      </w:r>
      <w:r w:rsidRPr="00976045">
        <w:rPr>
          <w:rFonts w:ascii="Palatino Linotype" w:hAnsi="Palatino Linotype" w:cs="Arial"/>
          <w:bCs/>
          <w:i/>
          <w:noProof/>
        </w:rPr>
        <w:t>acceso</w:t>
      </w:r>
      <w:r w:rsidRPr="00976045">
        <w:rPr>
          <w:rFonts w:ascii="Palatino Linotype" w:hAnsi="Palatino Linotype" w:cs="Arial"/>
          <w:i/>
        </w:rPr>
        <w:t xml:space="preserve"> a la información, para verificar si encuadra en una causal de reserva o de confidencialidad.</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Octavo.</w:t>
      </w:r>
      <w:r w:rsidRPr="00976045">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rPr>
        <w:t>expresamente</w:t>
      </w:r>
      <w:r w:rsidRPr="00976045">
        <w:rPr>
          <w:rFonts w:ascii="Palatino Linotype" w:hAnsi="Palatino Linotype" w:cs="Arial"/>
          <w:i/>
        </w:rPr>
        <w:t xml:space="preserve"> le otorga el carácter de reservada o confidencial.</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bCs/>
          <w:i/>
          <w:noProof/>
        </w:rPr>
      </w:pPr>
      <w:r w:rsidRPr="00976045">
        <w:rPr>
          <w:rFonts w:ascii="Palatino Linotype" w:hAnsi="Palatino Linotype" w:cs="Arial"/>
          <w:i/>
        </w:rPr>
        <w:t xml:space="preserve">Para </w:t>
      </w:r>
      <w:r w:rsidRPr="00976045">
        <w:rPr>
          <w:rFonts w:ascii="Palatino Linotype" w:hAnsi="Palatino Linotype" w:cs="Arial"/>
          <w:bCs/>
          <w:i/>
          <w:noProof/>
        </w:rPr>
        <w:t xml:space="preserve">motivar la clasificación se deberán señalar las razones o circunstancias especiales que lo </w:t>
      </w:r>
      <w:r w:rsidRPr="00976045">
        <w:rPr>
          <w:rFonts w:ascii="Palatino Linotype" w:hAnsi="Palatino Linotype" w:cs="Arial"/>
          <w:i/>
        </w:rPr>
        <w:t>llevaron</w:t>
      </w:r>
      <w:r w:rsidRPr="00976045">
        <w:rPr>
          <w:rFonts w:ascii="Palatino Linotype" w:hAnsi="Palatino Linotype" w:cs="Arial"/>
          <w:bCs/>
          <w:i/>
          <w:noProof/>
        </w:rPr>
        <w:t xml:space="preserve"> a concluir que el caso particular se ajusta al supuesto previsto por la norma legal invocada como fundamento.</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bCs/>
          <w:i/>
          <w:noProof/>
        </w:rPr>
      </w:pPr>
      <w:r w:rsidRPr="00976045">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rPr>
        <w:t>de</w:t>
      </w:r>
      <w:r w:rsidRPr="00976045">
        <w:rPr>
          <w:rFonts w:ascii="Palatino Linotype" w:hAnsi="Palatino Linotype" w:cs="Arial"/>
          <w:bCs/>
          <w:i/>
          <w:noProof/>
        </w:rPr>
        <w:t xml:space="preserve"> </w:t>
      </w:r>
      <w:r w:rsidRPr="00976045">
        <w:rPr>
          <w:rFonts w:ascii="Palatino Linotype" w:hAnsi="Palatino Linotype" w:cs="Arial"/>
          <w:i/>
        </w:rPr>
        <w:t>reserva</w:t>
      </w:r>
      <w:r w:rsidRPr="00976045">
        <w:rPr>
          <w:rFonts w:ascii="Palatino Linotype" w:hAnsi="Palatino Linotype" w:cs="Arial"/>
          <w:bCs/>
          <w:i/>
          <w:noProof/>
        </w:rPr>
        <w:t>.</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bCs/>
          <w:i/>
          <w:noProof/>
        </w:rPr>
      </w:pPr>
      <w:r w:rsidRPr="00976045">
        <w:rPr>
          <w:rFonts w:ascii="Palatino Linotype" w:hAnsi="Palatino Linotype" w:cs="Arial"/>
          <w:i/>
        </w:rPr>
        <w:lastRenderedPageBreak/>
        <w:t>Tratándose</w:t>
      </w:r>
      <w:r w:rsidRPr="00976045">
        <w:rPr>
          <w:rFonts w:ascii="Palatino Linotype" w:hAnsi="Palatino Linotype" w:cs="Arial"/>
          <w:bCs/>
          <w:i/>
          <w:noProof/>
        </w:rPr>
        <w:t xml:space="preserve"> de información clasificada como confidencial respecto de la cual se haya </w:t>
      </w:r>
      <w:r w:rsidRPr="00976045">
        <w:rPr>
          <w:rFonts w:ascii="Palatino Linotype" w:hAnsi="Palatino Linotype" w:cs="Arial"/>
          <w:i/>
        </w:rPr>
        <w:t>determinado</w:t>
      </w:r>
      <w:r w:rsidRPr="00976045">
        <w:rPr>
          <w:rFonts w:ascii="Palatino Linotype" w:hAnsi="Palatino Linotype" w:cs="Arial"/>
          <w:bCs/>
          <w:i/>
          <w:noProof/>
        </w:rPr>
        <w:t xml:space="preserve"> </w:t>
      </w:r>
      <w:r w:rsidRPr="00976045">
        <w:rPr>
          <w:rFonts w:ascii="Palatino Linotype" w:hAnsi="Palatino Linotype" w:cs="Arial"/>
          <w:i/>
        </w:rPr>
        <w:t>su</w:t>
      </w:r>
      <w:r w:rsidRPr="00976045">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Cs/>
          <w:i/>
          <w:noProof/>
        </w:rPr>
        <w:t>Los documentos contenidos</w:t>
      </w:r>
      <w:r w:rsidRPr="00976045">
        <w:rPr>
          <w:rFonts w:ascii="Palatino Linotype" w:hAnsi="Palatino Linotype" w:cs="Arial"/>
          <w:i/>
        </w:rPr>
        <w:t xml:space="preserve"> en los archivos históricos y los identificados como históricos confidenciales no serán susceptibles de clasificación como reservados.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Noveno.</w:t>
      </w:r>
      <w:r w:rsidRPr="00976045">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Décimo.</w:t>
      </w:r>
      <w:r w:rsidRPr="00976045">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b/>
          <w:i/>
        </w:rPr>
        <w:t>Décimo primero.</w:t>
      </w:r>
      <w:r w:rsidRPr="00976045">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846DF" w:rsidRPr="00976045" w:rsidRDefault="000846DF" w:rsidP="000846DF">
      <w:pPr>
        <w:autoSpaceDE w:val="0"/>
        <w:autoSpaceDN w:val="0"/>
        <w:adjustRightInd w:val="0"/>
        <w:spacing w:before="160"/>
        <w:ind w:left="709" w:right="709"/>
        <w:contextualSpacing/>
        <w:jc w:val="both"/>
        <w:rPr>
          <w:rFonts w:ascii="Palatino Linotype" w:hAnsi="Palatino Linotype" w:cs="Arial"/>
          <w:i/>
        </w:rPr>
      </w:pPr>
      <w:r w:rsidRPr="00976045">
        <w:rPr>
          <w:rFonts w:ascii="Palatino Linotype" w:hAnsi="Palatino Linotype" w:cs="Arial"/>
          <w:i/>
        </w:rPr>
        <w:t>[…]</w:t>
      </w:r>
    </w:p>
    <w:p w:rsidR="000846DF" w:rsidRPr="00976045" w:rsidRDefault="000846DF" w:rsidP="000846DF">
      <w:pPr>
        <w:ind w:left="709" w:right="709"/>
        <w:contextualSpacing/>
        <w:jc w:val="center"/>
        <w:rPr>
          <w:rFonts w:ascii="Palatino Linotype" w:hAnsi="Palatino Linotype" w:cs="Arial"/>
          <w:b/>
          <w:i/>
        </w:rPr>
      </w:pPr>
      <w:r w:rsidRPr="00976045">
        <w:rPr>
          <w:rFonts w:ascii="Palatino Linotype" w:hAnsi="Palatino Linotype" w:cs="Arial"/>
          <w:b/>
          <w:i/>
        </w:rPr>
        <w:t>CAPÍTULO VIII</w:t>
      </w:r>
    </w:p>
    <w:p w:rsidR="000846DF" w:rsidRPr="00976045" w:rsidRDefault="000846DF" w:rsidP="000846DF">
      <w:pPr>
        <w:ind w:left="709" w:right="709"/>
        <w:contextualSpacing/>
        <w:jc w:val="center"/>
        <w:rPr>
          <w:rFonts w:ascii="Palatino Linotype" w:hAnsi="Palatino Linotype" w:cs="Arial"/>
          <w:b/>
          <w:i/>
        </w:rPr>
      </w:pPr>
      <w:r w:rsidRPr="00976045">
        <w:rPr>
          <w:rFonts w:ascii="Palatino Linotype" w:hAnsi="Palatino Linotype" w:cs="Arial"/>
          <w:b/>
          <w:i/>
        </w:rPr>
        <w:t>DE LA LEYENDA DE CLASIFICACIÓN</w:t>
      </w:r>
    </w:p>
    <w:p w:rsidR="000846DF" w:rsidRPr="00976045" w:rsidRDefault="000846DF" w:rsidP="000846DF">
      <w:pPr>
        <w:spacing w:before="160"/>
        <w:ind w:left="709" w:right="709"/>
        <w:contextualSpacing/>
        <w:jc w:val="both"/>
        <w:rPr>
          <w:rFonts w:ascii="Palatino Linotype" w:hAnsi="Palatino Linotype" w:cs="Arial"/>
          <w:i/>
        </w:rPr>
      </w:pPr>
      <w:r w:rsidRPr="00976045">
        <w:rPr>
          <w:rFonts w:ascii="Palatino Linotype" w:hAnsi="Palatino Linotype" w:cs="Arial"/>
          <w:b/>
          <w:i/>
        </w:rPr>
        <w:t xml:space="preserve">Quincuagésimo. </w:t>
      </w:r>
      <w:r w:rsidRPr="00976045">
        <w:rPr>
          <w:rFonts w:ascii="Palatino Linotype" w:hAnsi="Palatino Linotype" w:cs="Arial"/>
          <w:b/>
          <w:i/>
          <w:u w:val="single"/>
        </w:rPr>
        <w:t>Los titulares de las áreas de los sujetos obligados podrán utilizar los formatos contenidos en el presente Capítulo como modelo</w:t>
      </w:r>
      <w:r w:rsidRPr="00976045">
        <w:rPr>
          <w:rFonts w:ascii="Palatino Linotype" w:hAnsi="Palatino Linotype" w:cs="Arial"/>
          <w:i/>
        </w:rPr>
        <w:t xml:space="preserve"> para señalar la clasificación de documentos o expedientes, sin perjuicio de que establezcan los propios.</w:t>
      </w:r>
    </w:p>
    <w:p w:rsidR="000846DF" w:rsidRPr="00976045" w:rsidRDefault="000846DF" w:rsidP="000846DF">
      <w:pPr>
        <w:spacing w:before="160"/>
        <w:ind w:left="709" w:right="709"/>
        <w:contextualSpacing/>
        <w:jc w:val="both"/>
        <w:rPr>
          <w:rFonts w:ascii="Palatino Linotype" w:hAnsi="Palatino Linotype" w:cs="Arial"/>
          <w:i/>
        </w:rPr>
      </w:pPr>
      <w:r>
        <w:rPr>
          <w:rFonts w:ascii="Palatino Linotype" w:hAnsi="Palatino Linotype" w:cs="Arial"/>
          <w:i/>
        </w:rPr>
        <w:t>…</w:t>
      </w:r>
    </w:p>
    <w:p w:rsidR="000846DF" w:rsidRDefault="000846DF" w:rsidP="000846DF">
      <w:pPr>
        <w:spacing w:before="160"/>
        <w:ind w:left="709" w:right="709"/>
        <w:contextualSpacing/>
        <w:jc w:val="both"/>
        <w:rPr>
          <w:rFonts w:ascii="Palatino Linotype" w:hAnsi="Palatino Linotype" w:cs="Arial"/>
          <w:i/>
        </w:rPr>
      </w:pPr>
      <w:r w:rsidRPr="00976045">
        <w:rPr>
          <w:rFonts w:ascii="Palatino Linotype" w:hAnsi="Palatino Linotype" w:cs="Arial"/>
          <w:b/>
          <w:i/>
        </w:rPr>
        <w:t xml:space="preserve">Quincuagésimo tercero. </w:t>
      </w:r>
      <w:r w:rsidRPr="00976045">
        <w:rPr>
          <w:rFonts w:ascii="Palatino Linotype" w:hAnsi="Palatino Linotype" w:cs="Arial"/>
          <w:b/>
          <w:i/>
          <w:u w:val="single"/>
        </w:rPr>
        <w:t>El formato para señalar la clasificación parcial de un documento</w:t>
      </w:r>
      <w:r w:rsidRPr="00976045">
        <w:rPr>
          <w:rFonts w:ascii="Palatino Linotype" w:hAnsi="Palatino Linotype" w:cs="Arial"/>
          <w:i/>
        </w:rPr>
        <w:t>, es el siguiente:</w:t>
      </w:r>
    </w:p>
    <w:p w:rsidR="000846DF" w:rsidRPr="00976045" w:rsidRDefault="000846DF" w:rsidP="000846DF">
      <w:pPr>
        <w:spacing w:before="160"/>
        <w:ind w:left="709" w:right="709"/>
        <w:contextualSpacing/>
        <w:jc w:val="both"/>
        <w:rPr>
          <w:rFonts w:ascii="Palatino Linotype" w:hAnsi="Palatino Linotype" w:cs="Arial"/>
          <w:i/>
        </w:rPr>
      </w:pPr>
    </w:p>
    <w:tbl>
      <w:tblPr>
        <w:tblStyle w:val="Tablaconcuadrcula"/>
        <w:tblW w:w="0" w:type="auto"/>
        <w:jc w:val="center"/>
        <w:tblLook w:val="04A0" w:firstRow="1" w:lastRow="0" w:firstColumn="1" w:lastColumn="0" w:noHBand="0" w:noVBand="1"/>
      </w:tblPr>
      <w:tblGrid>
        <w:gridCol w:w="1129"/>
        <w:gridCol w:w="1990"/>
        <w:gridCol w:w="4531"/>
      </w:tblGrid>
      <w:tr w:rsidR="000846DF" w:rsidRPr="00976045" w:rsidTr="000846DF">
        <w:trPr>
          <w:jc w:val="center"/>
        </w:trPr>
        <w:tc>
          <w:tcPr>
            <w:tcW w:w="1129" w:type="dxa"/>
            <w:tcBorders>
              <w:top w:val="nil"/>
              <w:left w:val="nil"/>
              <w:bottom w:val="single" w:sz="4" w:space="0" w:color="auto"/>
              <w:right w:val="single" w:sz="4" w:space="0" w:color="auto"/>
            </w:tcBorders>
          </w:tcPr>
          <w:p w:rsidR="000846DF" w:rsidRPr="00976045" w:rsidRDefault="000846DF" w:rsidP="000846DF">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846DF" w:rsidRPr="00976045" w:rsidRDefault="000846DF" w:rsidP="000846DF">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0846DF" w:rsidRPr="00976045" w:rsidRDefault="000846DF" w:rsidP="000846DF">
            <w:pPr>
              <w:jc w:val="center"/>
              <w:rPr>
                <w:rFonts w:ascii="Palatino Linotype" w:hAnsi="Palatino Linotype"/>
                <w:b/>
                <w:i/>
              </w:rPr>
            </w:pPr>
            <w:r w:rsidRPr="00976045">
              <w:rPr>
                <w:rFonts w:ascii="Palatino Linotype" w:hAnsi="Palatino Linotype"/>
                <w:b/>
                <w:i/>
              </w:rPr>
              <w:t>Dónde:</w:t>
            </w:r>
          </w:p>
        </w:tc>
      </w:tr>
      <w:tr w:rsidR="000846DF" w:rsidRPr="00976045" w:rsidTr="000846DF">
        <w:trPr>
          <w:jc w:val="center"/>
        </w:trPr>
        <w:tc>
          <w:tcPr>
            <w:tcW w:w="1129" w:type="dxa"/>
            <w:vMerge w:val="restart"/>
            <w:tcBorders>
              <w:top w:val="single" w:sz="4" w:space="0" w:color="auto"/>
            </w:tcBorders>
            <w:vAlign w:val="center"/>
          </w:tcPr>
          <w:p w:rsidR="000846DF" w:rsidRPr="00976045" w:rsidRDefault="000846DF" w:rsidP="000846DF">
            <w:pPr>
              <w:jc w:val="center"/>
              <w:rPr>
                <w:rFonts w:ascii="Palatino Linotype" w:hAnsi="Palatino Linotype" w:cs="Arial"/>
                <w:b/>
                <w:i/>
                <w:lang w:eastAsia="es-MX"/>
              </w:rPr>
            </w:pPr>
            <w:r w:rsidRPr="00976045">
              <w:rPr>
                <w:rFonts w:ascii="Palatino Linotype" w:hAnsi="Palatino Linotype" w:cs="Arial"/>
                <w:b/>
                <w:i/>
                <w:lang w:eastAsia="es-MX"/>
              </w:rPr>
              <w:lastRenderedPageBreak/>
              <w:t>Sello oficial o logotipo del sujeto obligado</w:t>
            </w:r>
          </w:p>
        </w:tc>
        <w:tc>
          <w:tcPr>
            <w:tcW w:w="1990" w:type="dxa"/>
            <w:tcBorders>
              <w:top w:val="single" w:sz="4" w:space="0" w:color="auto"/>
            </w:tcBorders>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976045">
              <w:rPr>
                <w:rFonts w:ascii="Palatino Linotype" w:hAnsi="Palatino Linotype" w:cs="Arial"/>
                <w:i/>
                <w:lang w:eastAsia="es-MX"/>
              </w:rPr>
              <w:t>anotarán</w:t>
            </w:r>
            <w:proofErr w:type="gramEnd"/>
            <w:r w:rsidRPr="00976045">
              <w:rPr>
                <w:rFonts w:ascii="Palatino Linotype" w:hAnsi="Palatino Linotype" w:cs="Arial"/>
                <w:i/>
                <w:lang w:eastAsia="es-MX"/>
              </w:rPr>
              <w:t xml:space="preserve"> todas las páginas que lo conforman. Si el documento no contiene información reservada, se tachará este apartado.</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rsidR="000846DF" w:rsidRPr="00976045" w:rsidRDefault="000846DF" w:rsidP="000846DF">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0846DF" w:rsidRPr="00976045" w:rsidTr="000846DF">
        <w:trPr>
          <w:jc w:val="center"/>
        </w:trPr>
        <w:tc>
          <w:tcPr>
            <w:tcW w:w="1129" w:type="dxa"/>
            <w:vMerge/>
          </w:tcPr>
          <w:p w:rsidR="000846DF" w:rsidRPr="00976045" w:rsidRDefault="000846DF" w:rsidP="000846DF">
            <w:pPr>
              <w:jc w:val="both"/>
              <w:rPr>
                <w:rFonts w:ascii="Palatino Linotype" w:hAnsi="Palatino Linotype" w:cs="Arial"/>
                <w:i/>
                <w:lang w:eastAsia="es-MX"/>
              </w:rPr>
            </w:pPr>
          </w:p>
        </w:tc>
        <w:tc>
          <w:tcPr>
            <w:tcW w:w="1990" w:type="dxa"/>
          </w:tcPr>
          <w:p w:rsidR="000846DF" w:rsidRPr="00976045" w:rsidRDefault="000846DF" w:rsidP="000846DF">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rsidR="000846DF" w:rsidRPr="00976045" w:rsidRDefault="000846DF" w:rsidP="000846DF">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rsidR="000846DF" w:rsidRDefault="000846DF" w:rsidP="000846DF">
      <w:pPr>
        <w:autoSpaceDE w:val="0"/>
        <w:autoSpaceDN w:val="0"/>
        <w:adjustRightInd w:val="0"/>
        <w:spacing w:before="240" w:after="240" w:line="360" w:lineRule="auto"/>
        <w:ind w:right="51"/>
        <w:contextualSpacing/>
        <w:jc w:val="both"/>
        <w:rPr>
          <w:rFonts w:ascii="Palatino Linotype" w:hAnsi="Palatino Linotype" w:cs="Arial"/>
        </w:rPr>
      </w:pPr>
    </w:p>
    <w:p w:rsidR="000846DF" w:rsidRPr="00021A87" w:rsidRDefault="000846DF" w:rsidP="000846DF">
      <w:pPr>
        <w:autoSpaceDE w:val="0"/>
        <w:autoSpaceDN w:val="0"/>
        <w:adjustRightInd w:val="0"/>
        <w:spacing w:before="240" w:after="240" w:line="360" w:lineRule="auto"/>
        <w:ind w:right="51"/>
        <w:contextualSpacing/>
        <w:jc w:val="both"/>
        <w:rPr>
          <w:rFonts w:ascii="Palatino Linotype" w:hAnsi="Palatino Linotype" w:cs="Arial"/>
        </w:rPr>
      </w:pPr>
      <w:r w:rsidRPr="00021A87">
        <w:rPr>
          <w:rFonts w:ascii="Palatino Linotype" w:hAnsi="Palatino Linotype" w:cs="Arial"/>
        </w:rPr>
        <w:lastRenderedPageBreak/>
        <w:t>También,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846DF" w:rsidRPr="000818BF" w:rsidRDefault="000846DF" w:rsidP="000846DF">
      <w:pPr>
        <w:autoSpaceDE w:val="0"/>
        <w:autoSpaceDN w:val="0"/>
        <w:adjustRightInd w:val="0"/>
        <w:spacing w:before="240" w:after="240" w:line="360" w:lineRule="auto"/>
        <w:ind w:right="51"/>
        <w:contextualSpacing/>
        <w:jc w:val="both"/>
        <w:rPr>
          <w:rFonts w:ascii="Palatino Linotype" w:hAnsi="Palatino Linotype" w:cs="Arial"/>
        </w:rPr>
      </w:pP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b/>
          <w:i/>
        </w:rPr>
        <w:t>“Artículo 49.</w:t>
      </w:r>
      <w:r w:rsidRPr="000818BF">
        <w:rPr>
          <w:rFonts w:ascii="Palatino Linotype" w:hAnsi="Palatino Linotype"/>
          <w:i/>
        </w:rPr>
        <w:t xml:space="preserve"> </w:t>
      </w:r>
      <w:r w:rsidRPr="000818BF">
        <w:rPr>
          <w:rFonts w:ascii="Palatino Linotype" w:hAnsi="Palatino Linotype"/>
          <w:b/>
          <w:i/>
        </w:rPr>
        <w:t>Los Comités de Transparencia</w:t>
      </w:r>
      <w:r w:rsidRPr="000818BF">
        <w:rPr>
          <w:rFonts w:ascii="Palatino Linotype" w:hAnsi="Palatino Linotype"/>
          <w:i/>
        </w:rPr>
        <w:t xml:space="preserve"> tendrán las siguientes atribuciones:</w:t>
      </w:r>
    </w:p>
    <w:p w:rsidR="000846DF" w:rsidRPr="000818BF" w:rsidRDefault="000846DF" w:rsidP="000846DF">
      <w:pPr>
        <w:spacing w:before="240" w:after="240"/>
        <w:ind w:left="992" w:right="1043"/>
        <w:contextualSpacing/>
        <w:jc w:val="both"/>
        <w:rPr>
          <w:rFonts w:ascii="Palatino Linotype" w:hAnsi="Palatino Linotype"/>
          <w:i/>
        </w:rPr>
      </w:pP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b/>
          <w:i/>
        </w:rPr>
        <w:t>VIII. Aprobar, modificar o revocar la clasificación de la información</w:t>
      </w:r>
      <w:r w:rsidRPr="000818BF">
        <w:rPr>
          <w:rFonts w:ascii="Palatino Linotype" w:hAnsi="Palatino Linotype"/>
          <w:i/>
        </w:rPr>
        <w:t>…”</w:t>
      </w: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i/>
        </w:rPr>
        <w:t>“</w:t>
      </w:r>
      <w:r w:rsidRPr="000818BF">
        <w:rPr>
          <w:rFonts w:ascii="Palatino Linotype" w:hAnsi="Palatino Linotype"/>
          <w:b/>
          <w:i/>
        </w:rPr>
        <w:t>Artículo 53.</w:t>
      </w:r>
      <w:r w:rsidRPr="000818BF">
        <w:rPr>
          <w:rFonts w:ascii="Palatino Linotype" w:hAnsi="Palatino Linotype"/>
          <w:i/>
        </w:rPr>
        <w:t xml:space="preserve"> Las </w:t>
      </w:r>
      <w:r w:rsidRPr="000818BF">
        <w:rPr>
          <w:rFonts w:ascii="Palatino Linotype" w:hAnsi="Palatino Linotype"/>
          <w:b/>
          <w:i/>
        </w:rPr>
        <w:t>Unidades de Transparencia</w:t>
      </w:r>
      <w:r w:rsidRPr="000818BF">
        <w:rPr>
          <w:rFonts w:ascii="Palatino Linotype" w:hAnsi="Palatino Linotype"/>
          <w:i/>
        </w:rPr>
        <w:t xml:space="preserve"> tendrán las siguientes </w:t>
      </w:r>
      <w:r w:rsidRPr="000818BF">
        <w:rPr>
          <w:rFonts w:ascii="Palatino Linotype" w:hAnsi="Palatino Linotype"/>
          <w:b/>
          <w:i/>
        </w:rPr>
        <w:t>funciones</w:t>
      </w:r>
      <w:r w:rsidRPr="000818BF">
        <w:rPr>
          <w:rFonts w:ascii="Palatino Linotype" w:hAnsi="Palatino Linotype"/>
          <w:i/>
        </w:rPr>
        <w:t>:</w:t>
      </w: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b/>
          <w:i/>
        </w:rPr>
        <w:t>X. Presentar ante el Comité, el proyecto de clasificación de información</w:t>
      </w:r>
      <w:r w:rsidRPr="000818BF">
        <w:rPr>
          <w:rFonts w:ascii="Palatino Linotype" w:hAnsi="Palatino Linotype"/>
          <w:i/>
        </w:rPr>
        <w:t xml:space="preserve">…” </w:t>
      </w: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b/>
          <w:i/>
        </w:rPr>
        <w:t>“Artículo 59.</w:t>
      </w:r>
      <w:r w:rsidRPr="000818BF">
        <w:rPr>
          <w:rFonts w:ascii="Palatino Linotype" w:hAnsi="Palatino Linotype"/>
          <w:i/>
        </w:rPr>
        <w:t xml:space="preserve"> Los </w:t>
      </w:r>
      <w:r w:rsidRPr="000818BF">
        <w:rPr>
          <w:rFonts w:ascii="Palatino Linotype" w:hAnsi="Palatino Linotype"/>
          <w:b/>
          <w:i/>
        </w:rPr>
        <w:t>servidores públicos habilitados</w:t>
      </w:r>
      <w:r w:rsidRPr="000818BF">
        <w:rPr>
          <w:rFonts w:ascii="Palatino Linotype" w:hAnsi="Palatino Linotype"/>
          <w:i/>
        </w:rPr>
        <w:t xml:space="preserve"> tendrán las </w:t>
      </w:r>
      <w:r w:rsidRPr="000818BF">
        <w:rPr>
          <w:rFonts w:ascii="Palatino Linotype" w:hAnsi="Palatino Linotype"/>
          <w:b/>
          <w:i/>
        </w:rPr>
        <w:t>funciones</w:t>
      </w:r>
      <w:r w:rsidRPr="000818BF">
        <w:rPr>
          <w:rFonts w:ascii="Palatino Linotype" w:hAnsi="Palatino Linotype"/>
          <w:i/>
        </w:rPr>
        <w:t xml:space="preserve"> siguientes:</w:t>
      </w:r>
    </w:p>
    <w:p w:rsidR="000846DF" w:rsidRPr="000818BF" w:rsidRDefault="000846DF" w:rsidP="000846DF">
      <w:pPr>
        <w:spacing w:before="240" w:after="240"/>
        <w:ind w:left="992" w:right="1043"/>
        <w:contextualSpacing/>
        <w:jc w:val="both"/>
        <w:rPr>
          <w:rFonts w:ascii="Palatino Linotype" w:hAnsi="Palatino Linotype"/>
          <w:i/>
        </w:rPr>
      </w:pPr>
      <w:r w:rsidRPr="000818BF">
        <w:rPr>
          <w:rFonts w:ascii="Palatino Linotype" w:hAnsi="Palatino Linotype"/>
          <w:b/>
          <w:i/>
        </w:rPr>
        <w:t>V. Integrar y presentar al responsable de la Unidad de Transparencia la propuesta de clasificación de información</w:t>
      </w:r>
      <w:r w:rsidRPr="000818BF">
        <w:rPr>
          <w:rFonts w:ascii="Palatino Linotype" w:hAnsi="Palatino Linotype"/>
          <w:i/>
        </w:rPr>
        <w:t>, la cual tendrá los fundamentos y argumentos en que se basa dicha propuesta…”</w:t>
      </w:r>
    </w:p>
    <w:p w:rsidR="000846DF" w:rsidRPr="000818BF" w:rsidRDefault="000846DF" w:rsidP="000846DF">
      <w:pPr>
        <w:spacing w:before="240" w:after="240"/>
        <w:ind w:left="992" w:right="1043"/>
        <w:contextualSpacing/>
        <w:jc w:val="both"/>
        <w:rPr>
          <w:rFonts w:ascii="Palatino Linotype" w:hAnsi="Palatino Linotype"/>
          <w:i/>
        </w:rPr>
      </w:pPr>
    </w:p>
    <w:p w:rsidR="000846DF" w:rsidRPr="00236E14" w:rsidRDefault="000846DF" w:rsidP="000846DF">
      <w:pPr>
        <w:spacing w:before="240" w:after="240" w:line="360" w:lineRule="auto"/>
        <w:jc w:val="both"/>
        <w:rPr>
          <w:rFonts w:ascii="Palatino Linotype" w:hAnsi="Palatino Linotype" w:cs="Arial"/>
          <w:sz w:val="24"/>
          <w:szCs w:val="24"/>
        </w:rPr>
      </w:pPr>
      <w:r w:rsidRPr="00236E14">
        <w:rPr>
          <w:rFonts w:ascii="Palatino Linotype" w:hAnsi="Palatino Linotype" w:cs="Arial"/>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846DF" w:rsidRPr="00236E14" w:rsidRDefault="000846DF" w:rsidP="000846DF">
      <w:pPr>
        <w:spacing w:before="240" w:after="240" w:line="360" w:lineRule="auto"/>
        <w:jc w:val="both"/>
        <w:rPr>
          <w:rFonts w:ascii="Palatino Linotype" w:hAnsi="Palatino Linotype"/>
          <w:sz w:val="24"/>
          <w:szCs w:val="24"/>
        </w:rPr>
      </w:pPr>
      <w:r w:rsidRPr="00236E14">
        <w:rPr>
          <w:rFonts w:ascii="Palatino Linotype" w:hAnsi="Palatino Linotype" w:cs="Arial"/>
          <w:sz w:val="24"/>
          <w:szCs w:val="24"/>
        </w:rPr>
        <w:lastRenderedPageBreak/>
        <w:t>Para lo cual, a su vez en el caso de información de carácter confidencial, se debe atender a lo que señala el artículo 149 de la Ley de Transparencia Local vigente, cuyo contenido es de la literalidad siguiente:</w:t>
      </w:r>
    </w:p>
    <w:p w:rsidR="000846DF" w:rsidRPr="000818BF" w:rsidRDefault="000846DF" w:rsidP="000846DF">
      <w:pPr>
        <w:spacing w:before="240" w:after="240"/>
        <w:ind w:left="993" w:right="1041"/>
        <w:jc w:val="both"/>
        <w:rPr>
          <w:rFonts w:ascii="Palatino Linotype" w:hAnsi="Palatino Linotype" w:cs="Arial"/>
          <w:i/>
        </w:rPr>
      </w:pPr>
      <w:r w:rsidRPr="000818BF">
        <w:rPr>
          <w:rFonts w:ascii="Palatino Linotype" w:hAnsi="Palatino Linotype"/>
          <w:i/>
        </w:rPr>
        <w:t>“</w:t>
      </w:r>
      <w:r w:rsidRPr="000818BF">
        <w:rPr>
          <w:rFonts w:ascii="Palatino Linotype" w:hAnsi="Palatino Linotype"/>
          <w:b/>
          <w:i/>
        </w:rPr>
        <w:t>Artículo 149.</w:t>
      </w:r>
      <w:r w:rsidRPr="000818BF">
        <w:rPr>
          <w:rFonts w:ascii="Palatino Linotype" w:hAnsi="Palatino Linotype"/>
          <w:i/>
        </w:rPr>
        <w:t xml:space="preserve"> El </w:t>
      </w:r>
      <w:r w:rsidRPr="000818BF">
        <w:rPr>
          <w:rFonts w:ascii="Palatino Linotype" w:hAnsi="Palatino Linotype"/>
          <w:b/>
          <w:i/>
        </w:rPr>
        <w:t>acuerdo que clasifique la información como confidencial</w:t>
      </w:r>
      <w:r w:rsidRPr="000818BF">
        <w:rPr>
          <w:rFonts w:ascii="Palatino Linotype" w:hAnsi="Palatino Linotype"/>
          <w:i/>
        </w:rPr>
        <w:t xml:space="preserve"> deberá contener un razonamiento lógico en el que demuestre que la información se encuentra en alguna o algunas de las hipótesis previstas en la presente Ley.”</w:t>
      </w:r>
    </w:p>
    <w:p w:rsidR="000846DF" w:rsidRPr="001D7D81" w:rsidRDefault="000846DF" w:rsidP="000846DF">
      <w:pPr>
        <w:spacing w:before="240" w:after="240" w:line="360" w:lineRule="auto"/>
        <w:ind w:right="49"/>
        <w:jc w:val="both"/>
        <w:rPr>
          <w:rFonts w:ascii="Palatino Linotype" w:hAnsi="Palatino Linotype" w:cs="Arial"/>
          <w:sz w:val="24"/>
          <w:szCs w:val="24"/>
          <w:lang w:eastAsia="es-CO"/>
        </w:rPr>
      </w:pPr>
      <w:r w:rsidRPr="001D7D81">
        <w:rPr>
          <w:rFonts w:ascii="Palatino Linotype" w:hAnsi="Palatino Linotype" w:cs="Arial"/>
          <w:sz w:val="24"/>
          <w:szCs w:val="24"/>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236E14" w:rsidRPr="001D7D81" w:rsidRDefault="00236E14" w:rsidP="001624E8">
      <w:pPr>
        <w:spacing w:after="0" w:line="360" w:lineRule="auto"/>
        <w:jc w:val="both"/>
        <w:rPr>
          <w:rFonts w:ascii="Palatino Linotype" w:hAnsi="Palatino Linotype" w:cs="Arial"/>
          <w:sz w:val="24"/>
          <w:szCs w:val="24"/>
          <w:lang w:eastAsia="es-MX"/>
        </w:rPr>
      </w:pPr>
    </w:p>
    <w:p w:rsidR="00AB26D5" w:rsidRPr="001D7D81" w:rsidRDefault="00AB26D5" w:rsidP="001624E8">
      <w:pPr>
        <w:spacing w:after="0" w:line="360" w:lineRule="auto"/>
        <w:jc w:val="both"/>
        <w:rPr>
          <w:rFonts w:ascii="Palatino Linotype" w:hAnsi="Palatino Linotype"/>
          <w:sz w:val="24"/>
          <w:szCs w:val="24"/>
        </w:rPr>
      </w:pPr>
      <w:r w:rsidRPr="001D7D81">
        <w:rPr>
          <w:rFonts w:ascii="Palatino Linotype" w:hAnsi="Palatino Linotype" w:cs="Arial"/>
          <w:sz w:val="24"/>
          <w:szCs w:val="24"/>
          <w:lang w:eastAsia="es-MX"/>
        </w:rPr>
        <w:t>Final</w:t>
      </w:r>
      <w:r w:rsidRPr="001D7D81">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8A3E6F" w:rsidRPr="001D7D81">
        <w:rPr>
          <w:rFonts w:ascii="Palatino Linotype" w:hAnsi="Palatino Linotype"/>
          <w:sz w:val="24"/>
          <w:szCs w:val="24"/>
        </w:rPr>
        <w:t>modifica</w:t>
      </w:r>
      <w:r w:rsidRPr="001D7D81">
        <w:rPr>
          <w:rFonts w:ascii="Palatino Linotype" w:hAnsi="Palatino Linotype"/>
          <w:sz w:val="24"/>
          <w:szCs w:val="24"/>
        </w:rPr>
        <w:t xml:space="preserve"> la respuesta a la solicitud de información </w:t>
      </w:r>
      <w:r w:rsidR="00236E14" w:rsidRPr="001D7D81">
        <w:rPr>
          <w:rFonts w:ascii="Palatino Linotype" w:hAnsi="Palatino Linotype" w:cs="Arial"/>
          <w:b/>
          <w:sz w:val="24"/>
          <w:szCs w:val="24"/>
        </w:rPr>
        <w:t>00043/CUAUTIT/IP/2021</w:t>
      </w:r>
      <w:r w:rsidRPr="001D7D81">
        <w:rPr>
          <w:rFonts w:ascii="Palatino Linotype" w:hAnsi="Palatino Linotype" w:cs="Arial"/>
          <w:b/>
          <w:sz w:val="24"/>
          <w:szCs w:val="24"/>
        </w:rPr>
        <w:t xml:space="preserve">, </w:t>
      </w:r>
      <w:r w:rsidRPr="001D7D81">
        <w:rPr>
          <w:rFonts w:ascii="Palatino Linotype" w:hAnsi="Palatino Linotype"/>
          <w:sz w:val="24"/>
          <w:szCs w:val="24"/>
        </w:rPr>
        <w:t>que han sido materia del presente fallo.</w:t>
      </w:r>
    </w:p>
    <w:p w:rsidR="001F5E58" w:rsidRDefault="001F5E58" w:rsidP="007E3C2E">
      <w:pPr>
        <w:tabs>
          <w:tab w:val="left" w:pos="3437"/>
        </w:tabs>
        <w:spacing w:after="0" w:line="360" w:lineRule="auto"/>
        <w:jc w:val="center"/>
        <w:rPr>
          <w:rFonts w:ascii="Palatino Linotype" w:eastAsia="Times New Roman" w:hAnsi="Palatino Linotype"/>
          <w:b/>
          <w:bCs/>
          <w:spacing w:val="60"/>
          <w:sz w:val="24"/>
          <w:szCs w:val="24"/>
          <w:lang w:val="es-ES_tradnl"/>
        </w:rPr>
      </w:pPr>
    </w:p>
    <w:p w:rsidR="001D7D81" w:rsidRDefault="001D7D81" w:rsidP="007E3C2E">
      <w:pPr>
        <w:tabs>
          <w:tab w:val="left" w:pos="3437"/>
        </w:tabs>
        <w:spacing w:after="0" w:line="360" w:lineRule="auto"/>
        <w:jc w:val="center"/>
        <w:rPr>
          <w:rFonts w:ascii="Palatino Linotype" w:eastAsia="Times New Roman" w:hAnsi="Palatino Linotype"/>
          <w:b/>
          <w:bCs/>
          <w:spacing w:val="60"/>
          <w:sz w:val="24"/>
          <w:szCs w:val="24"/>
          <w:lang w:val="es-ES_tradnl"/>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8A3E6F">
        <w:rPr>
          <w:rFonts w:ascii="Palatino Linotype" w:hAnsi="Palatino Linotype" w:cs="Arial"/>
          <w:sz w:val="24"/>
          <w:szCs w:val="24"/>
        </w:rPr>
        <w:t>modifi</w:t>
      </w:r>
      <w:r w:rsidR="0021627B">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236E14" w:rsidRPr="00C873E0">
        <w:rPr>
          <w:rFonts w:ascii="Palatino Linotype" w:hAnsi="Palatino Linotype" w:cs="Arial"/>
          <w:b/>
          <w:sz w:val="24"/>
          <w:szCs w:val="24"/>
        </w:rPr>
        <w:t>00043/CUAUTIT/IP/2021</w:t>
      </w:r>
      <w:r w:rsidRPr="00A64804">
        <w:rPr>
          <w:rFonts w:ascii="Palatino Linotype" w:hAnsi="Palatino Linotype" w:cs="Arial"/>
          <w:sz w:val="24"/>
          <w:szCs w:val="24"/>
        </w:rPr>
        <w:t xml:space="preserve">, por </w:t>
      </w:r>
      <w:r w:rsidRPr="00236E14">
        <w:rPr>
          <w:rFonts w:ascii="Palatino Linotype" w:hAnsi="Palatino Linotype" w:cs="Arial"/>
          <w:sz w:val="24"/>
          <w:szCs w:val="24"/>
        </w:rPr>
        <w:t xml:space="preserve">resultar </w:t>
      </w:r>
      <w:r w:rsidR="0021627B" w:rsidRPr="00236E14">
        <w:rPr>
          <w:rFonts w:ascii="Palatino Linotype" w:hAnsi="Palatino Linotype" w:cs="Arial"/>
          <w:sz w:val="24"/>
          <w:szCs w:val="24"/>
        </w:rPr>
        <w:t xml:space="preserve">parcialmente </w:t>
      </w:r>
      <w:r w:rsidRPr="00236E14">
        <w:rPr>
          <w:rFonts w:ascii="Palatino Linotype" w:hAnsi="Palatino Linotype" w:cs="Arial"/>
          <w:sz w:val="24"/>
          <w:szCs w:val="24"/>
        </w:rPr>
        <w:t>fundados</w:t>
      </w:r>
      <w:r w:rsidR="001F5E58" w:rsidRPr="00236E14">
        <w:rPr>
          <w:rFonts w:ascii="Palatino Linotype" w:hAnsi="Palatino Linotype" w:cs="Arial"/>
          <w:sz w:val="24"/>
          <w:szCs w:val="24"/>
        </w:rPr>
        <w:t xml:space="preserve">, </w:t>
      </w:r>
      <w:r w:rsidRPr="00236E14">
        <w:rPr>
          <w:rFonts w:ascii="Palatino Linotype" w:hAnsi="Palatino Linotype" w:cs="Arial"/>
          <w:sz w:val="24"/>
          <w:szCs w:val="24"/>
        </w:rPr>
        <w:t xml:space="preserve">los </w:t>
      </w:r>
      <w:r w:rsidRPr="00A64804">
        <w:rPr>
          <w:rFonts w:ascii="Palatino Linotype" w:hAnsi="Palatino Linotype" w:cs="Arial"/>
          <w:sz w:val="24"/>
          <w:szCs w:val="24"/>
        </w:rPr>
        <w:t>motivos de inconformidad que arguye la recurrente, en términos del considerando cuarto de la presente resolución.</w:t>
      </w:r>
    </w:p>
    <w:p w:rsidR="00AB26D5" w:rsidRPr="001624E8" w:rsidRDefault="00AB26D5" w:rsidP="007E3C2E">
      <w:pPr>
        <w:spacing w:after="0" w:line="360" w:lineRule="auto"/>
        <w:jc w:val="both"/>
        <w:rPr>
          <w:rFonts w:ascii="Palatino Linotype" w:hAnsi="Palatino Linotype" w:cs="Arial"/>
          <w:sz w:val="24"/>
          <w:szCs w:val="24"/>
        </w:rPr>
      </w:pPr>
    </w:p>
    <w:p w:rsidR="00A67EF4" w:rsidRDefault="00AB26D5" w:rsidP="007E3C2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236E14">
        <w:rPr>
          <w:rFonts w:ascii="Palatino Linotype" w:hAnsi="Palatino Linotype" w:cs="Arial"/>
          <w:sz w:val="24"/>
          <w:szCs w:val="24"/>
        </w:rPr>
        <w:t xml:space="preserve">previa búsqueda exhaustiva y razonable, </w:t>
      </w:r>
      <w:r w:rsidR="00D65C56">
        <w:rPr>
          <w:rFonts w:ascii="Palatino Linotype" w:hAnsi="Palatino Linotype" w:cs="Arial"/>
          <w:sz w:val="24"/>
          <w:szCs w:val="24"/>
        </w:rPr>
        <w:t>en términos del considerando cuarto de la presente resolución</w:t>
      </w:r>
      <w:r w:rsidR="001D3563">
        <w:rPr>
          <w:rFonts w:ascii="Palatino Linotype" w:hAnsi="Palatino Linotype" w:cs="Arial"/>
          <w:sz w:val="24"/>
          <w:szCs w:val="24"/>
        </w:rPr>
        <w:t xml:space="preserve"> y</w:t>
      </w:r>
      <w:r>
        <w:rPr>
          <w:rFonts w:ascii="Palatino Linotype" w:hAnsi="Palatino Linotype" w:cs="Arial"/>
          <w:sz w:val="24"/>
          <w:szCs w:val="24"/>
        </w:rPr>
        <w:t xml:space="preserve"> </w:t>
      </w:r>
      <w:r w:rsidR="002B40FF">
        <w:rPr>
          <w:rFonts w:ascii="Palatino Linotype" w:hAnsi="Palatino Linotype" w:cs="Arial"/>
          <w:sz w:val="24"/>
          <w:szCs w:val="24"/>
        </w:rPr>
        <w:t>mediante el SAIMEX</w:t>
      </w:r>
      <w:r w:rsidR="00236E14">
        <w:rPr>
          <w:rFonts w:ascii="Palatino Linotype" w:hAnsi="Palatino Linotype" w:cs="Arial"/>
          <w:sz w:val="24"/>
          <w:szCs w:val="24"/>
        </w:rPr>
        <w:t xml:space="preserve"> y en caso de ser procedente en versión pública,</w:t>
      </w:r>
      <w:r w:rsidR="002B40FF">
        <w:rPr>
          <w:rFonts w:ascii="Palatino Linotype" w:hAnsi="Palatino Linotype" w:cs="Arial"/>
          <w:sz w:val="24"/>
          <w:szCs w:val="24"/>
        </w:rPr>
        <w:t xml:space="preserve"> </w:t>
      </w:r>
      <w:r w:rsidR="001D3563">
        <w:rPr>
          <w:rFonts w:ascii="Palatino Linotype" w:hAnsi="Palatino Linotype" w:cs="Arial"/>
          <w:sz w:val="24"/>
          <w:szCs w:val="24"/>
        </w:rPr>
        <w:t>de</w:t>
      </w:r>
      <w:r w:rsidR="00A67EF4">
        <w:rPr>
          <w:rFonts w:ascii="Palatino Linotype" w:hAnsi="Palatino Linotype" w:cs="Arial"/>
          <w:sz w:val="24"/>
          <w:szCs w:val="24"/>
        </w:rPr>
        <w:t xml:space="preserve"> </w:t>
      </w:r>
      <w:r w:rsidRPr="00A64804">
        <w:rPr>
          <w:rFonts w:ascii="Palatino Linotype" w:hAnsi="Palatino Linotype" w:cs="Arial"/>
          <w:sz w:val="24"/>
          <w:szCs w:val="24"/>
        </w:rPr>
        <w:t>lo</w:t>
      </w:r>
      <w:r w:rsidR="00A67EF4">
        <w:rPr>
          <w:rFonts w:ascii="Palatino Linotype" w:hAnsi="Palatino Linotype" w:cs="Arial"/>
          <w:sz w:val="24"/>
          <w:szCs w:val="24"/>
        </w:rPr>
        <w:t xml:space="preserve"> siguiente:</w:t>
      </w:r>
    </w:p>
    <w:p w:rsidR="00A67EF4" w:rsidRPr="001D7D81" w:rsidRDefault="00A67EF4" w:rsidP="007E3C2E">
      <w:pPr>
        <w:spacing w:after="0" w:line="360" w:lineRule="auto"/>
        <w:jc w:val="both"/>
        <w:rPr>
          <w:rFonts w:ascii="Palatino Linotype" w:hAnsi="Palatino Linotype" w:cs="Arial"/>
          <w:sz w:val="20"/>
          <w:szCs w:val="24"/>
        </w:rPr>
      </w:pPr>
    </w:p>
    <w:p w:rsidR="00236E14" w:rsidRPr="00236E14" w:rsidRDefault="00236E14" w:rsidP="00236E14">
      <w:pPr>
        <w:pStyle w:val="Prrafodelista"/>
        <w:numPr>
          <w:ilvl w:val="0"/>
          <w:numId w:val="42"/>
        </w:numPr>
        <w:spacing w:line="360" w:lineRule="auto"/>
        <w:jc w:val="both"/>
        <w:rPr>
          <w:rFonts w:ascii="Palatino Linotype" w:hAnsi="Palatino Linotype" w:cs="Arial"/>
          <w:i/>
        </w:rPr>
      </w:pPr>
      <w:r w:rsidRPr="00236E14">
        <w:rPr>
          <w:rFonts w:ascii="Palatino Linotype" w:hAnsi="Palatino Linotype" w:cs="Arial"/>
          <w:i/>
        </w:rPr>
        <w:t>Todos los documentos que susten</w:t>
      </w:r>
      <w:r>
        <w:rPr>
          <w:rFonts w:ascii="Palatino Linotype" w:hAnsi="Palatino Linotype" w:cs="Arial"/>
          <w:i/>
        </w:rPr>
        <w:t>ten</w:t>
      </w:r>
      <w:r w:rsidRPr="00236E14">
        <w:rPr>
          <w:rFonts w:ascii="Palatino Linotype" w:hAnsi="Palatino Linotype" w:cs="Arial"/>
          <w:i/>
        </w:rPr>
        <w:t xml:space="preserve"> la donación del Gimnasio al aire libre (</w:t>
      </w:r>
      <w:r w:rsidRPr="00236E14">
        <w:rPr>
          <w:rFonts w:ascii="Palatino Linotype" w:hAnsi="Palatino Linotype"/>
          <w:i/>
          <w:color w:val="000000"/>
        </w:rPr>
        <w:t>aparatos de ejercicio) que se instalaron en el parque Centauro.</w:t>
      </w:r>
    </w:p>
    <w:p w:rsidR="00236E14" w:rsidRDefault="00236E14" w:rsidP="00236E14">
      <w:pPr>
        <w:spacing w:after="240" w:line="360" w:lineRule="auto"/>
        <w:contextualSpacing/>
        <w:jc w:val="both"/>
        <w:rPr>
          <w:rFonts w:ascii="Palatino Linotype" w:hAnsi="Palatino Linotype"/>
        </w:rPr>
      </w:pPr>
    </w:p>
    <w:p w:rsidR="00236E14" w:rsidRPr="00236E14" w:rsidRDefault="00236E14" w:rsidP="00236E14">
      <w:pPr>
        <w:spacing w:after="240" w:line="360" w:lineRule="auto"/>
        <w:contextualSpacing/>
        <w:jc w:val="both"/>
        <w:rPr>
          <w:rFonts w:ascii="Palatino Linotype" w:hAnsi="Palatino Linotype"/>
          <w:i/>
        </w:rPr>
      </w:pPr>
      <w:r w:rsidRPr="00236E14">
        <w:rPr>
          <w:rFonts w:ascii="Palatino Linotype" w:hAnsi="Palatino Linotype"/>
          <w:i/>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236E14" w:rsidRPr="001D7D81" w:rsidRDefault="00236E14" w:rsidP="00236E14">
      <w:pPr>
        <w:spacing w:line="360" w:lineRule="auto"/>
        <w:jc w:val="both"/>
        <w:rPr>
          <w:rFonts w:ascii="Palatino Linotype" w:hAnsi="Palatino Linotype" w:cs="Arial"/>
          <w:b/>
          <w:sz w:val="20"/>
          <w:szCs w:val="28"/>
        </w:rPr>
      </w:pPr>
    </w:p>
    <w:p w:rsidR="00AB26D5" w:rsidRPr="00236E14" w:rsidRDefault="00236E14" w:rsidP="00236E14">
      <w:pPr>
        <w:spacing w:line="360" w:lineRule="auto"/>
        <w:jc w:val="both"/>
        <w:rPr>
          <w:rFonts w:ascii="Palatino Linotype" w:hAnsi="Palatino Linotype" w:cs="Arial"/>
        </w:rPr>
      </w:pPr>
      <w:r w:rsidRPr="00236E14">
        <w:rPr>
          <w:rFonts w:ascii="Palatino Linotype" w:hAnsi="Palatino Linotype" w:cs="Arial"/>
          <w:b/>
          <w:sz w:val="28"/>
          <w:szCs w:val="28"/>
        </w:rPr>
        <w:t xml:space="preserve"> </w:t>
      </w:r>
      <w:r w:rsidR="00AB26D5" w:rsidRPr="00236E14">
        <w:rPr>
          <w:rFonts w:ascii="Palatino Linotype" w:hAnsi="Palatino Linotype" w:cs="Arial"/>
          <w:b/>
          <w:sz w:val="28"/>
          <w:szCs w:val="28"/>
        </w:rPr>
        <w:t>TERCERO.</w:t>
      </w:r>
      <w:r w:rsidR="00AB26D5" w:rsidRPr="00236E14">
        <w:rPr>
          <w:rFonts w:ascii="Palatino Linotype" w:hAnsi="Palatino Linotype" w:cs="Arial"/>
          <w:b/>
        </w:rPr>
        <w:t xml:space="preserve"> </w:t>
      </w:r>
      <w:r w:rsidR="00AB26D5" w:rsidRPr="00236E14">
        <w:rPr>
          <w:rFonts w:ascii="Palatino Linotype" w:hAnsi="Palatino Linotype" w:cs="Arial"/>
        </w:rPr>
        <w:t>Notifíquese</w:t>
      </w:r>
      <w:r w:rsidR="00AB26D5" w:rsidRPr="00236E14">
        <w:rPr>
          <w:rFonts w:ascii="Palatino Linotype" w:hAnsi="Palatino Linotype" w:cs="Arial"/>
          <w:i/>
        </w:rPr>
        <w:t xml:space="preserve"> </w:t>
      </w:r>
      <w:r w:rsidR="00AB26D5" w:rsidRPr="00236E14">
        <w:rPr>
          <w:rFonts w:ascii="Palatino Linotype" w:hAnsi="Palatino Linotype" w:cs="Arial"/>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sidRPr="00236E14">
        <w:rPr>
          <w:rFonts w:ascii="Palatino Linotype" w:hAnsi="Palatino Linotype" w:cs="Arial"/>
        </w:rPr>
        <w:t>quince</w:t>
      </w:r>
      <w:r w:rsidR="00AB26D5" w:rsidRPr="00236E14">
        <w:rPr>
          <w:rFonts w:ascii="Palatino Linotype" w:hAnsi="Palatino Linotype" w:cs="Arial"/>
        </w:rPr>
        <w:t xml:space="preserve"> días hábiles, debiendo informar a este </w:t>
      </w:r>
      <w:r w:rsidR="00AB26D5" w:rsidRPr="00236E14">
        <w:rPr>
          <w:rFonts w:ascii="Palatino Linotype" w:hAnsi="Palatino Linotype" w:cs="Arial"/>
        </w:rPr>
        <w:lastRenderedPageBreak/>
        <w:t>Instituto en un plazo de tres días hábiles siguientes sobre el cumplimiento dado a la presente resolución.</w:t>
      </w:r>
    </w:p>
    <w:p w:rsidR="00777372" w:rsidRPr="001D7D81" w:rsidRDefault="00777372" w:rsidP="007E3C2E">
      <w:pPr>
        <w:autoSpaceDE w:val="0"/>
        <w:autoSpaceDN w:val="0"/>
        <w:adjustRightInd w:val="0"/>
        <w:spacing w:after="0" w:line="360" w:lineRule="auto"/>
        <w:jc w:val="both"/>
        <w:rPr>
          <w:rFonts w:ascii="Palatino Linotype" w:hAnsi="Palatino Linotype" w:cs="Arial"/>
          <w:sz w:val="18"/>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D7D81" w:rsidRDefault="00AB26D5" w:rsidP="007E3C2E">
      <w:pPr>
        <w:autoSpaceDE w:val="0"/>
        <w:autoSpaceDN w:val="0"/>
        <w:adjustRightInd w:val="0"/>
        <w:spacing w:after="0" w:line="360" w:lineRule="auto"/>
        <w:jc w:val="both"/>
        <w:rPr>
          <w:rFonts w:ascii="Palatino Linotype" w:hAnsi="Palatino Linotype" w:cs="Arial"/>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1D7D81">
        <w:rPr>
          <w:rFonts w:ascii="Palatino Linotype" w:hAnsi="Palatino Linotype" w:cs="Arial"/>
          <w:sz w:val="24"/>
          <w:szCs w:val="24"/>
        </w:rPr>
        <w:t>DÉCIMA SÉPTIMA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1D7D81">
        <w:rPr>
          <w:rFonts w:ascii="Palatino Linotype" w:hAnsi="Palatino Linotype" w:cs="Arial"/>
          <w:sz w:val="24"/>
          <w:szCs w:val="24"/>
        </w:rPr>
        <w:t>DIECINUEVE DE MAYO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1D7D81">
        <w:rPr>
          <w:rFonts w:ascii="Palatino Linotype" w:hAnsi="Palatino Linotype" w:cs="Arial"/>
          <w:sz w:val="24"/>
          <w:szCs w:val="24"/>
        </w:rPr>
        <w:t>-----------------------------------------------------------------------------------------------</w:t>
      </w:r>
      <w:r w:rsidR="001624E8">
        <w:rPr>
          <w:rFonts w:ascii="Palatino Linotype" w:hAnsi="Palatino Linotype" w:cs="Arial"/>
          <w:sz w:val="24"/>
          <w:szCs w:val="24"/>
        </w:rPr>
        <w:t>OSAM/MOC.</w:t>
      </w:r>
    </w:p>
    <w:p w:rsidR="001D7D81" w:rsidRPr="00152075" w:rsidRDefault="001D7D81" w:rsidP="001624E8">
      <w:pPr>
        <w:spacing w:after="0" w:line="360" w:lineRule="auto"/>
        <w:jc w:val="both"/>
        <w:rPr>
          <w:rFonts w:ascii="Palatino Linotype" w:hAnsi="Palatino Linotype"/>
        </w:rPr>
      </w:pPr>
    </w:p>
    <w:sectPr w:rsidR="001D7D81" w:rsidRPr="00152075"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9D5" w:rsidRDefault="002139D5" w:rsidP="00F2498E">
      <w:pPr>
        <w:spacing w:after="0" w:line="240" w:lineRule="auto"/>
      </w:pPr>
      <w:r>
        <w:separator/>
      </w:r>
    </w:p>
  </w:endnote>
  <w:endnote w:type="continuationSeparator" w:id="0">
    <w:p w:rsidR="002139D5" w:rsidRDefault="002139D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DF" w:rsidRPr="000B69FA" w:rsidRDefault="000846D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63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631">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DF" w:rsidRPr="000B69FA" w:rsidRDefault="000846D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6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631">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9D5" w:rsidRDefault="002139D5" w:rsidP="00F2498E">
      <w:pPr>
        <w:spacing w:after="0" w:line="240" w:lineRule="auto"/>
      </w:pPr>
      <w:r>
        <w:separator/>
      </w:r>
    </w:p>
  </w:footnote>
  <w:footnote w:type="continuationSeparator" w:id="0">
    <w:p w:rsidR="002139D5" w:rsidRDefault="002139D5" w:rsidP="00F2498E">
      <w:pPr>
        <w:spacing w:after="0" w:line="240" w:lineRule="auto"/>
      </w:pPr>
      <w:r>
        <w:continuationSeparator/>
      </w:r>
    </w:p>
  </w:footnote>
  <w:footnote w:id="1">
    <w:p w:rsidR="000846DF" w:rsidRDefault="000846DF" w:rsidP="00C873E0">
      <w:pPr>
        <w:pStyle w:val="Textonotapie"/>
        <w:jc w:val="both"/>
        <w:rPr>
          <w:rFonts w:ascii="Palatino Linotype" w:hAnsi="Palatino Linotype"/>
          <w:sz w:val="18"/>
          <w:szCs w:val="18"/>
        </w:rPr>
      </w:pPr>
      <w:r w:rsidRPr="00C873E0">
        <w:rPr>
          <w:rStyle w:val="Refdenotaalpie"/>
          <w:rFonts w:ascii="Palatino Linotype" w:hAnsi="Palatino Linotype"/>
          <w:sz w:val="18"/>
          <w:szCs w:val="18"/>
        </w:rPr>
        <w:footnoteRef/>
      </w:r>
      <w:r w:rsidRPr="00C873E0">
        <w:rPr>
          <w:rFonts w:ascii="Palatino Linotype" w:hAnsi="Palatino Linotype"/>
          <w:sz w:val="18"/>
          <w:szCs w:val="18"/>
        </w:rPr>
        <w:t xml:space="preserve"> Artículo 163. La Unidad de Transparencia deberá notificar la respuesta a la solicitud al interesado en el menor tiempo posible, que no podrá exceder de quince días hábiles, contados a partir del día siguiente a la presentación de aquélla. </w:t>
      </w:r>
    </w:p>
    <w:p w:rsidR="000846DF" w:rsidRPr="00C873E0" w:rsidRDefault="000846DF" w:rsidP="00C873E0">
      <w:pPr>
        <w:pStyle w:val="Textonotapie"/>
        <w:jc w:val="both"/>
        <w:rPr>
          <w:rFonts w:ascii="Palatino Linotype" w:hAnsi="Palatino Linotype"/>
          <w:sz w:val="18"/>
          <w:szCs w:val="18"/>
        </w:rPr>
      </w:pPr>
      <w:r w:rsidRPr="00C873E0">
        <w:rPr>
          <w:rFonts w:ascii="Palatino Linotype" w:hAnsi="Palatino Linotype"/>
          <w:sz w:val="18"/>
          <w:szCs w:val="18"/>
        </w:rPr>
        <w:t xml:space="preserve">Excepcionalmente, el plazo referido en el párrafo anterior podrá ampliarse hasta por siete días hábiles más, </w:t>
      </w:r>
      <w:r w:rsidRPr="00C873E0">
        <w:rPr>
          <w:rFonts w:ascii="Palatino Linotype" w:hAnsi="Palatino Linotype"/>
          <w:b/>
          <w:sz w:val="18"/>
          <w:szCs w:val="18"/>
        </w:rPr>
        <w:t>siempre y cuando existan razones fundadas y motivadas, las cuales deberán ser aprobadas por el Comité de Transparencia,</w:t>
      </w:r>
      <w:r w:rsidRPr="00C873E0">
        <w:rPr>
          <w:rFonts w:ascii="Palatino Linotype" w:hAnsi="Palatino Linotype"/>
          <w:sz w:val="18"/>
          <w:szCs w:val="18"/>
        </w:rPr>
        <w:t xml:space="preserve">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E1" w:rsidRDefault="002139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149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DF" w:rsidRDefault="002139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149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0846DF" w:rsidRPr="00B17577" w:rsidTr="00C36B0D">
      <w:trPr>
        <w:trHeight w:val="227"/>
      </w:trPr>
      <w:tc>
        <w:tcPr>
          <w:tcW w:w="5529" w:type="dxa"/>
          <w:hideMark/>
        </w:tcPr>
        <w:p w:rsidR="000846DF" w:rsidRDefault="000846DF"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0846DF" w:rsidRPr="00B17577" w:rsidRDefault="000846DF" w:rsidP="00C873E0">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1375/INFOEM/IP/RR/2021</w:t>
          </w:r>
        </w:p>
      </w:tc>
    </w:tr>
    <w:tr w:rsidR="000846DF" w:rsidTr="00C36B0D">
      <w:trPr>
        <w:trHeight w:val="242"/>
      </w:trPr>
      <w:tc>
        <w:tcPr>
          <w:tcW w:w="5529" w:type="dxa"/>
          <w:vAlign w:val="center"/>
          <w:hideMark/>
        </w:tcPr>
        <w:p w:rsidR="000846DF" w:rsidRDefault="000846DF"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0846DF" w:rsidRPr="00F63239" w:rsidRDefault="000846DF" w:rsidP="00891CFC">
          <w:pPr>
            <w:jc w:val="right"/>
            <w:rPr>
              <w:rFonts w:ascii="Palatino Linotype" w:hAnsi="Palatino Linotype" w:cs="Arial"/>
              <w:b/>
            </w:rPr>
          </w:pPr>
          <w:r>
            <w:rPr>
              <w:rFonts w:ascii="Palatino Linotype" w:hAnsi="Palatino Linotype" w:cs="Arial"/>
              <w:b/>
            </w:rPr>
            <w:t>Ayuntamiento de Cuautitlán</w:t>
          </w:r>
        </w:p>
      </w:tc>
    </w:tr>
    <w:tr w:rsidR="000846DF" w:rsidRPr="00F63239" w:rsidTr="00C36B0D">
      <w:trPr>
        <w:trHeight w:val="342"/>
      </w:trPr>
      <w:tc>
        <w:tcPr>
          <w:tcW w:w="5529" w:type="dxa"/>
          <w:hideMark/>
        </w:tcPr>
        <w:p w:rsidR="000846DF" w:rsidRDefault="000846DF"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0846DF" w:rsidRPr="00F63239" w:rsidRDefault="000846DF"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0846DF" w:rsidRDefault="000846D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0846DF" w:rsidTr="000C2D59">
      <w:trPr>
        <w:trHeight w:val="227"/>
      </w:trPr>
      <w:tc>
        <w:tcPr>
          <w:tcW w:w="5949" w:type="dxa"/>
          <w:hideMark/>
        </w:tcPr>
        <w:p w:rsidR="000846DF" w:rsidRDefault="000846D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0846DF" w:rsidRPr="00F63239" w:rsidRDefault="000846DF" w:rsidP="00C873E0">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1375/INFOEM/IP/RR/2021</w:t>
          </w:r>
        </w:p>
      </w:tc>
    </w:tr>
    <w:tr w:rsidR="000846DF" w:rsidTr="000C2D59">
      <w:trPr>
        <w:trHeight w:val="196"/>
      </w:trPr>
      <w:tc>
        <w:tcPr>
          <w:tcW w:w="5949" w:type="dxa"/>
          <w:hideMark/>
        </w:tcPr>
        <w:p w:rsidR="000846DF" w:rsidRDefault="000846D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0846DF" w:rsidRPr="00F63239" w:rsidRDefault="000B5631"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w:t>
          </w:r>
          <w:proofErr w:type="spellEnd"/>
        </w:p>
      </w:tc>
    </w:tr>
    <w:tr w:rsidR="000846DF" w:rsidTr="000C2D59">
      <w:trPr>
        <w:trHeight w:val="242"/>
      </w:trPr>
      <w:tc>
        <w:tcPr>
          <w:tcW w:w="5949" w:type="dxa"/>
          <w:vAlign w:val="center"/>
          <w:hideMark/>
        </w:tcPr>
        <w:p w:rsidR="000846DF" w:rsidRDefault="000846D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0846DF" w:rsidRPr="00F63239" w:rsidRDefault="000846DF" w:rsidP="000A110B">
          <w:pPr>
            <w:jc w:val="right"/>
            <w:rPr>
              <w:rFonts w:ascii="Palatino Linotype" w:hAnsi="Palatino Linotype" w:cs="Arial"/>
              <w:b/>
            </w:rPr>
          </w:pPr>
          <w:r>
            <w:rPr>
              <w:rFonts w:ascii="Palatino Linotype" w:hAnsi="Palatino Linotype" w:cs="Arial"/>
              <w:b/>
            </w:rPr>
            <w:t>Ayuntamiento Cuautitlán</w:t>
          </w:r>
        </w:p>
      </w:tc>
    </w:tr>
    <w:tr w:rsidR="000846DF" w:rsidTr="000C2D59">
      <w:trPr>
        <w:trHeight w:val="342"/>
      </w:trPr>
      <w:tc>
        <w:tcPr>
          <w:tcW w:w="5949" w:type="dxa"/>
          <w:hideMark/>
        </w:tcPr>
        <w:p w:rsidR="000846DF" w:rsidRDefault="000846DF"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0846DF" w:rsidRPr="00F63239" w:rsidRDefault="000846DF"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0846DF" w:rsidRDefault="002139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149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3CAE"/>
    <w:multiLevelType w:val="hybridMultilevel"/>
    <w:tmpl w:val="FBA8E9FC"/>
    <w:lvl w:ilvl="0" w:tplc="86F01AD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C95FF3"/>
    <w:multiLevelType w:val="hybridMultilevel"/>
    <w:tmpl w:val="8536F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F51F1A"/>
    <w:multiLevelType w:val="multilevel"/>
    <w:tmpl w:val="9E7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C1F36"/>
    <w:multiLevelType w:val="hybridMultilevel"/>
    <w:tmpl w:val="45509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E8F2A25"/>
    <w:multiLevelType w:val="hybridMultilevel"/>
    <w:tmpl w:val="BB542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8">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6"/>
  </w:num>
  <w:num w:numId="3">
    <w:abstractNumId w:val="31"/>
  </w:num>
  <w:num w:numId="4">
    <w:abstractNumId w:val="1"/>
  </w:num>
  <w:num w:numId="5">
    <w:abstractNumId w:val="21"/>
  </w:num>
  <w:num w:numId="6">
    <w:abstractNumId w:val="22"/>
  </w:num>
  <w:num w:numId="7">
    <w:abstractNumId w:val="40"/>
  </w:num>
  <w:num w:numId="8">
    <w:abstractNumId w:val="33"/>
  </w:num>
  <w:num w:numId="9">
    <w:abstractNumId w:val="28"/>
  </w:num>
  <w:num w:numId="10">
    <w:abstractNumId w:val="18"/>
  </w:num>
  <w:num w:numId="11">
    <w:abstractNumId w:val="24"/>
  </w:num>
  <w:num w:numId="12">
    <w:abstractNumId w:val="19"/>
  </w:num>
  <w:num w:numId="13">
    <w:abstractNumId w:val="38"/>
  </w:num>
  <w:num w:numId="14">
    <w:abstractNumId w:val="39"/>
  </w:num>
  <w:num w:numId="15">
    <w:abstractNumId w:val="35"/>
  </w:num>
  <w:num w:numId="16">
    <w:abstractNumId w:val="32"/>
  </w:num>
  <w:num w:numId="17">
    <w:abstractNumId w:val="42"/>
  </w:num>
  <w:num w:numId="18">
    <w:abstractNumId w:val="9"/>
  </w:num>
  <w:num w:numId="19">
    <w:abstractNumId w:val="29"/>
  </w:num>
  <w:num w:numId="20">
    <w:abstractNumId w:val="8"/>
  </w:num>
  <w:num w:numId="21">
    <w:abstractNumId w:val="43"/>
  </w:num>
  <w:num w:numId="22">
    <w:abstractNumId w:val="10"/>
  </w:num>
  <w:num w:numId="23">
    <w:abstractNumId w:val="5"/>
  </w:num>
  <w:num w:numId="24">
    <w:abstractNumId w:val="27"/>
  </w:num>
  <w:num w:numId="25">
    <w:abstractNumId w:val="20"/>
  </w:num>
  <w:num w:numId="26">
    <w:abstractNumId w:val="34"/>
  </w:num>
  <w:num w:numId="27">
    <w:abstractNumId w:val="14"/>
  </w:num>
  <w:num w:numId="28">
    <w:abstractNumId w:val="15"/>
  </w:num>
  <w:num w:numId="29">
    <w:abstractNumId w:val="37"/>
  </w:num>
  <w:num w:numId="30">
    <w:abstractNumId w:val="6"/>
  </w:num>
  <w:num w:numId="31">
    <w:abstractNumId w:val="41"/>
  </w:num>
  <w:num w:numId="32">
    <w:abstractNumId w:val="17"/>
  </w:num>
  <w:num w:numId="33">
    <w:abstractNumId w:val="26"/>
  </w:num>
  <w:num w:numId="34">
    <w:abstractNumId w:val="30"/>
  </w:num>
  <w:num w:numId="35">
    <w:abstractNumId w:val="16"/>
  </w:num>
  <w:num w:numId="36">
    <w:abstractNumId w:val="4"/>
  </w:num>
  <w:num w:numId="37">
    <w:abstractNumId w:val="2"/>
  </w:num>
  <w:num w:numId="38">
    <w:abstractNumId w:val="7"/>
  </w:num>
  <w:num w:numId="39">
    <w:abstractNumId w:val="23"/>
  </w:num>
  <w:num w:numId="40">
    <w:abstractNumId w:val="13"/>
  </w:num>
  <w:num w:numId="41">
    <w:abstractNumId w:val="11"/>
  </w:num>
  <w:num w:numId="42">
    <w:abstractNumId w:val="3"/>
  </w:num>
  <w:num w:numId="43">
    <w:abstractNumId w:val="2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1DEA"/>
    <w:rsid w:val="00042C95"/>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3498"/>
    <w:rsid w:val="000846DF"/>
    <w:rsid w:val="0008496A"/>
    <w:rsid w:val="0008737D"/>
    <w:rsid w:val="00092D82"/>
    <w:rsid w:val="0009609D"/>
    <w:rsid w:val="000A110B"/>
    <w:rsid w:val="000A3F41"/>
    <w:rsid w:val="000B1F27"/>
    <w:rsid w:val="000B5608"/>
    <w:rsid w:val="000B5631"/>
    <w:rsid w:val="000C2D59"/>
    <w:rsid w:val="000C51AF"/>
    <w:rsid w:val="000C7F8F"/>
    <w:rsid w:val="000D14DA"/>
    <w:rsid w:val="000D5634"/>
    <w:rsid w:val="000D5C00"/>
    <w:rsid w:val="000D772A"/>
    <w:rsid w:val="000E1FD4"/>
    <w:rsid w:val="000F114E"/>
    <w:rsid w:val="00103C89"/>
    <w:rsid w:val="00104893"/>
    <w:rsid w:val="001050A9"/>
    <w:rsid w:val="001116B7"/>
    <w:rsid w:val="00115495"/>
    <w:rsid w:val="00116F6B"/>
    <w:rsid w:val="00123D0B"/>
    <w:rsid w:val="00131F2D"/>
    <w:rsid w:val="00136A94"/>
    <w:rsid w:val="00142D35"/>
    <w:rsid w:val="00144BA8"/>
    <w:rsid w:val="001509C0"/>
    <w:rsid w:val="00151431"/>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B3FD2"/>
    <w:rsid w:val="001B6C2D"/>
    <w:rsid w:val="001C0F32"/>
    <w:rsid w:val="001C2C72"/>
    <w:rsid w:val="001C7697"/>
    <w:rsid w:val="001D3563"/>
    <w:rsid w:val="001D3EE2"/>
    <w:rsid w:val="001D7D81"/>
    <w:rsid w:val="001E2186"/>
    <w:rsid w:val="001E5453"/>
    <w:rsid w:val="001E678B"/>
    <w:rsid w:val="001F408E"/>
    <w:rsid w:val="001F5E58"/>
    <w:rsid w:val="001F7890"/>
    <w:rsid w:val="00201765"/>
    <w:rsid w:val="00205FAC"/>
    <w:rsid w:val="00210714"/>
    <w:rsid w:val="0021327B"/>
    <w:rsid w:val="002139D5"/>
    <w:rsid w:val="002155ED"/>
    <w:rsid w:val="0021627B"/>
    <w:rsid w:val="00224FEA"/>
    <w:rsid w:val="00227DBC"/>
    <w:rsid w:val="0023118D"/>
    <w:rsid w:val="0023293E"/>
    <w:rsid w:val="00232A7A"/>
    <w:rsid w:val="0023573F"/>
    <w:rsid w:val="00236B9A"/>
    <w:rsid w:val="00236E14"/>
    <w:rsid w:val="00240046"/>
    <w:rsid w:val="002432E1"/>
    <w:rsid w:val="00256277"/>
    <w:rsid w:val="00256CE0"/>
    <w:rsid w:val="0026506A"/>
    <w:rsid w:val="00266BCA"/>
    <w:rsid w:val="002710B5"/>
    <w:rsid w:val="002729A0"/>
    <w:rsid w:val="00273F7C"/>
    <w:rsid w:val="0027555F"/>
    <w:rsid w:val="00275719"/>
    <w:rsid w:val="00282431"/>
    <w:rsid w:val="00283D5E"/>
    <w:rsid w:val="00284245"/>
    <w:rsid w:val="002913C5"/>
    <w:rsid w:val="00293F85"/>
    <w:rsid w:val="00296E92"/>
    <w:rsid w:val="00297212"/>
    <w:rsid w:val="002A5ADD"/>
    <w:rsid w:val="002A6FCE"/>
    <w:rsid w:val="002A7501"/>
    <w:rsid w:val="002B317E"/>
    <w:rsid w:val="002B40FF"/>
    <w:rsid w:val="002C0E65"/>
    <w:rsid w:val="002C26CD"/>
    <w:rsid w:val="002C4718"/>
    <w:rsid w:val="002C6010"/>
    <w:rsid w:val="002C7329"/>
    <w:rsid w:val="002C7EC4"/>
    <w:rsid w:val="002D2F05"/>
    <w:rsid w:val="002D4953"/>
    <w:rsid w:val="002E1484"/>
    <w:rsid w:val="002E40AD"/>
    <w:rsid w:val="002E72F0"/>
    <w:rsid w:val="002F368E"/>
    <w:rsid w:val="002F40FF"/>
    <w:rsid w:val="00302BF3"/>
    <w:rsid w:val="00303F92"/>
    <w:rsid w:val="00315AE3"/>
    <w:rsid w:val="00316A7B"/>
    <w:rsid w:val="00324F09"/>
    <w:rsid w:val="00331513"/>
    <w:rsid w:val="0033491A"/>
    <w:rsid w:val="00341178"/>
    <w:rsid w:val="00344766"/>
    <w:rsid w:val="00344AD3"/>
    <w:rsid w:val="00345687"/>
    <w:rsid w:val="00345708"/>
    <w:rsid w:val="003467CD"/>
    <w:rsid w:val="0036188D"/>
    <w:rsid w:val="0037526D"/>
    <w:rsid w:val="003839F9"/>
    <w:rsid w:val="00392022"/>
    <w:rsid w:val="0039214E"/>
    <w:rsid w:val="003A0B24"/>
    <w:rsid w:val="003A3A32"/>
    <w:rsid w:val="003A59A6"/>
    <w:rsid w:val="003B1752"/>
    <w:rsid w:val="003D0AE2"/>
    <w:rsid w:val="003D5450"/>
    <w:rsid w:val="003E468A"/>
    <w:rsid w:val="003E5660"/>
    <w:rsid w:val="003E6E17"/>
    <w:rsid w:val="003F2491"/>
    <w:rsid w:val="003F5D5C"/>
    <w:rsid w:val="00400915"/>
    <w:rsid w:val="00403319"/>
    <w:rsid w:val="00414020"/>
    <w:rsid w:val="004176BF"/>
    <w:rsid w:val="004204D0"/>
    <w:rsid w:val="004232C6"/>
    <w:rsid w:val="00426124"/>
    <w:rsid w:val="00433E65"/>
    <w:rsid w:val="00434C3F"/>
    <w:rsid w:val="00444E7F"/>
    <w:rsid w:val="00445853"/>
    <w:rsid w:val="00447748"/>
    <w:rsid w:val="00447A90"/>
    <w:rsid w:val="00453687"/>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603D"/>
    <w:rsid w:val="00562117"/>
    <w:rsid w:val="0056402C"/>
    <w:rsid w:val="00564DDB"/>
    <w:rsid w:val="005660D0"/>
    <w:rsid w:val="00566380"/>
    <w:rsid w:val="005701EF"/>
    <w:rsid w:val="00571527"/>
    <w:rsid w:val="005727FC"/>
    <w:rsid w:val="00572C2A"/>
    <w:rsid w:val="00573B96"/>
    <w:rsid w:val="00584C51"/>
    <w:rsid w:val="00587B1E"/>
    <w:rsid w:val="00587E84"/>
    <w:rsid w:val="005964D7"/>
    <w:rsid w:val="00597018"/>
    <w:rsid w:val="005A2F92"/>
    <w:rsid w:val="005A7E33"/>
    <w:rsid w:val="005B10CC"/>
    <w:rsid w:val="005B6FFD"/>
    <w:rsid w:val="005B72D5"/>
    <w:rsid w:val="005C5501"/>
    <w:rsid w:val="005C7AFE"/>
    <w:rsid w:val="005D10B3"/>
    <w:rsid w:val="005D158D"/>
    <w:rsid w:val="005E1AEC"/>
    <w:rsid w:val="005E24C2"/>
    <w:rsid w:val="005E34E9"/>
    <w:rsid w:val="005E35AB"/>
    <w:rsid w:val="005F4D3D"/>
    <w:rsid w:val="005F5B10"/>
    <w:rsid w:val="0060244C"/>
    <w:rsid w:val="00610A95"/>
    <w:rsid w:val="00613401"/>
    <w:rsid w:val="0061516D"/>
    <w:rsid w:val="00615B10"/>
    <w:rsid w:val="006168EB"/>
    <w:rsid w:val="00616DEB"/>
    <w:rsid w:val="00624E9E"/>
    <w:rsid w:val="006263D3"/>
    <w:rsid w:val="0062694E"/>
    <w:rsid w:val="00630030"/>
    <w:rsid w:val="00636EB3"/>
    <w:rsid w:val="00640E61"/>
    <w:rsid w:val="00642A8B"/>
    <w:rsid w:val="006468ED"/>
    <w:rsid w:val="006512F6"/>
    <w:rsid w:val="00653B0F"/>
    <w:rsid w:val="0066148E"/>
    <w:rsid w:val="00661B3F"/>
    <w:rsid w:val="00665A8F"/>
    <w:rsid w:val="00667860"/>
    <w:rsid w:val="0067157E"/>
    <w:rsid w:val="00676D1D"/>
    <w:rsid w:val="00680D15"/>
    <w:rsid w:val="006818D9"/>
    <w:rsid w:val="006834AD"/>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DF3"/>
    <w:rsid w:val="006E15A2"/>
    <w:rsid w:val="006E20F9"/>
    <w:rsid w:val="006E6076"/>
    <w:rsid w:val="006F04A3"/>
    <w:rsid w:val="006F1A99"/>
    <w:rsid w:val="00700C90"/>
    <w:rsid w:val="00704693"/>
    <w:rsid w:val="007054D8"/>
    <w:rsid w:val="0071601C"/>
    <w:rsid w:val="00720D8F"/>
    <w:rsid w:val="007214D9"/>
    <w:rsid w:val="00723C6D"/>
    <w:rsid w:val="007264EA"/>
    <w:rsid w:val="00732AB3"/>
    <w:rsid w:val="007332CF"/>
    <w:rsid w:val="00736F47"/>
    <w:rsid w:val="00740DFE"/>
    <w:rsid w:val="007410C2"/>
    <w:rsid w:val="00746DD6"/>
    <w:rsid w:val="00752886"/>
    <w:rsid w:val="007550BD"/>
    <w:rsid w:val="0075799A"/>
    <w:rsid w:val="0076064B"/>
    <w:rsid w:val="00761EE8"/>
    <w:rsid w:val="00762151"/>
    <w:rsid w:val="0076215F"/>
    <w:rsid w:val="00764010"/>
    <w:rsid w:val="00764368"/>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214"/>
    <w:rsid w:val="007C14EE"/>
    <w:rsid w:val="007D07B3"/>
    <w:rsid w:val="007D1B1E"/>
    <w:rsid w:val="007E3C2E"/>
    <w:rsid w:val="007E781F"/>
    <w:rsid w:val="007F1538"/>
    <w:rsid w:val="007F5C41"/>
    <w:rsid w:val="007F5E4F"/>
    <w:rsid w:val="007F7965"/>
    <w:rsid w:val="00800EF1"/>
    <w:rsid w:val="008017D6"/>
    <w:rsid w:val="0080185B"/>
    <w:rsid w:val="00802AC9"/>
    <w:rsid w:val="00810E97"/>
    <w:rsid w:val="00816C5A"/>
    <w:rsid w:val="0082049D"/>
    <w:rsid w:val="008217BC"/>
    <w:rsid w:val="00822BA1"/>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1CFC"/>
    <w:rsid w:val="00895187"/>
    <w:rsid w:val="008A0C9F"/>
    <w:rsid w:val="008A1645"/>
    <w:rsid w:val="008A3E6F"/>
    <w:rsid w:val="008A7EF2"/>
    <w:rsid w:val="008B70C4"/>
    <w:rsid w:val="008B7F11"/>
    <w:rsid w:val="008C442E"/>
    <w:rsid w:val="008C4943"/>
    <w:rsid w:val="008C5658"/>
    <w:rsid w:val="008D346A"/>
    <w:rsid w:val="008D41FC"/>
    <w:rsid w:val="008E2654"/>
    <w:rsid w:val="008F1C22"/>
    <w:rsid w:val="008F47DC"/>
    <w:rsid w:val="00914986"/>
    <w:rsid w:val="00914DFE"/>
    <w:rsid w:val="0092131F"/>
    <w:rsid w:val="00933540"/>
    <w:rsid w:val="00935439"/>
    <w:rsid w:val="00941D0E"/>
    <w:rsid w:val="00946522"/>
    <w:rsid w:val="0095183B"/>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82494"/>
    <w:rsid w:val="009845F3"/>
    <w:rsid w:val="00990935"/>
    <w:rsid w:val="00996BCA"/>
    <w:rsid w:val="009A3604"/>
    <w:rsid w:val="009A473C"/>
    <w:rsid w:val="009A640D"/>
    <w:rsid w:val="009A7F00"/>
    <w:rsid w:val="009B41F0"/>
    <w:rsid w:val="009B7FFD"/>
    <w:rsid w:val="009C4284"/>
    <w:rsid w:val="009C5DC4"/>
    <w:rsid w:val="009C6B84"/>
    <w:rsid w:val="009D0BC2"/>
    <w:rsid w:val="009D5B2E"/>
    <w:rsid w:val="009D7D83"/>
    <w:rsid w:val="009E19CB"/>
    <w:rsid w:val="009E439C"/>
    <w:rsid w:val="009E620D"/>
    <w:rsid w:val="009E7F49"/>
    <w:rsid w:val="009F0B98"/>
    <w:rsid w:val="00A004D3"/>
    <w:rsid w:val="00A11458"/>
    <w:rsid w:val="00A14320"/>
    <w:rsid w:val="00A15E74"/>
    <w:rsid w:val="00A164FB"/>
    <w:rsid w:val="00A175E5"/>
    <w:rsid w:val="00A24F60"/>
    <w:rsid w:val="00A254EA"/>
    <w:rsid w:val="00A30DB1"/>
    <w:rsid w:val="00A31101"/>
    <w:rsid w:val="00A34451"/>
    <w:rsid w:val="00A35D0A"/>
    <w:rsid w:val="00A42629"/>
    <w:rsid w:val="00A4524B"/>
    <w:rsid w:val="00A45454"/>
    <w:rsid w:val="00A50EE4"/>
    <w:rsid w:val="00A53511"/>
    <w:rsid w:val="00A547CF"/>
    <w:rsid w:val="00A60841"/>
    <w:rsid w:val="00A63700"/>
    <w:rsid w:val="00A67625"/>
    <w:rsid w:val="00A67EF4"/>
    <w:rsid w:val="00A73EF9"/>
    <w:rsid w:val="00A80BB6"/>
    <w:rsid w:val="00A80C68"/>
    <w:rsid w:val="00A855BE"/>
    <w:rsid w:val="00A87937"/>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4839"/>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D034D"/>
    <w:rsid w:val="00BD780A"/>
    <w:rsid w:val="00BE346A"/>
    <w:rsid w:val="00BE635E"/>
    <w:rsid w:val="00BE6364"/>
    <w:rsid w:val="00BE718D"/>
    <w:rsid w:val="00BE7A12"/>
    <w:rsid w:val="00BE7CAE"/>
    <w:rsid w:val="00BF6362"/>
    <w:rsid w:val="00C056BE"/>
    <w:rsid w:val="00C06182"/>
    <w:rsid w:val="00C06249"/>
    <w:rsid w:val="00C07B7F"/>
    <w:rsid w:val="00C07EC8"/>
    <w:rsid w:val="00C13C38"/>
    <w:rsid w:val="00C14933"/>
    <w:rsid w:val="00C235D5"/>
    <w:rsid w:val="00C238FB"/>
    <w:rsid w:val="00C25B3F"/>
    <w:rsid w:val="00C2627B"/>
    <w:rsid w:val="00C32F37"/>
    <w:rsid w:val="00C33352"/>
    <w:rsid w:val="00C34DB4"/>
    <w:rsid w:val="00C35A64"/>
    <w:rsid w:val="00C36B0D"/>
    <w:rsid w:val="00C536D2"/>
    <w:rsid w:val="00C54558"/>
    <w:rsid w:val="00C559CD"/>
    <w:rsid w:val="00C61FEC"/>
    <w:rsid w:val="00C65918"/>
    <w:rsid w:val="00C72F35"/>
    <w:rsid w:val="00C76CD4"/>
    <w:rsid w:val="00C77686"/>
    <w:rsid w:val="00C80B05"/>
    <w:rsid w:val="00C84348"/>
    <w:rsid w:val="00C873E0"/>
    <w:rsid w:val="00C9443B"/>
    <w:rsid w:val="00CA195F"/>
    <w:rsid w:val="00CA39B7"/>
    <w:rsid w:val="00CB2149"/>
    <w:rsid w:val="00CB2159"/>
    <w:rsid w:val="00CB4BBD"/>
    <w:rsid w:val="00CB5B7B"/>
    <w:rsid w:val="00CC4F1E"/>
    <w:rsid w:val="00CD19DB"/>
    <w:rsid w:val="00CD30FC"/>
    <w:rsid w:val="00CD4B87"/>
    <w:rsid w:val="00CE4450"/>
    <w:rsid w:val="00CE49B6"/>
    <w:rsid w:val="00CE4A28"/>
    <w:rsid w:val="00CF0AE0"/>
    <w:rsid w:val="00CF31B4"/>
    <w:rsid w:val="00CF4CEF"/>
    <w:rsid w:val="00CF6431"/>
    <w:rsid w:val="00D01DCF"/>
    <w:rsid w:val="00D20EF6"/>
    <w:rsid w:val="00D219AA"/>
    <w:rsid w:val="00D2237A"/>
    <w:rsid w:val="00D24BD1"/>
    <w:rsid w:val="00D2588A"/>
    <w:rsid w:val="00D26217"/>
    <w:rsid w:val="00D278F0"/>
    <w:rsid w:val="00D338DB"/>
    <w:rsid w:val="00D3511F"/>
    <w:rsid w:val="00D4515E"/>
    <w:rsid w:val="00D52933"/>
    <w:rsid w:val="00D52FF0"/>
    <w:rsid w:val="00D56683"/>
    <w:rsid w:val="00D5734A"/>
    <w:rsid w:val="00D61E4F"/>
    <w:rsid w:val="00D65159"/>
    <w:rsid w:val="00D65C56"/>
    <w:rsid w:val="00D66CBB"/>
    <w:rsid w:val="00D70514"/>
    <w:rsid w:val="00D71305"/>
    <w:rsid w:val="00D71BF7"/>
    <w:rsid w:val="00D731D0"/>
    <w:rsid w:val="00D738D2"/>
    <w:rsid w:val="00D766B4"/>
    <w:rsid w:val="00D81B85"/>
    <w:rsid w:val="00D90C1B"/>
    <w:rsid w:val="00D925D1"/>
    <w:rsid w:val="00D92668"/>
    <w:rsid w:val="00D94F27"/>
    <w:rsid w:val="00D95B37"/>
    <w:rsid w:val="00D962F4"/>
    <w:rsid w:val="00D979CF"/>
    <w:rsid w:val="00DA1F2A"/>
    <w:rsid w:val="00DB0D6D"/>
    <w:rsid w:val="00DB1035"/>
    <w:rsid w:val="00DB44A1"/>
    <w:rsid w:val="00DC0C9F"/>
    <w:rsid w:val="00DC4957"/>
    <w:rsid w:val="00DC63B3"/>
    <w:rsid w:val="00DD7FD2"/>
    <w:rsid w:val="00DE0F3E"/>
    <w:rsid w:val="00DE1DEE"/>
    <w:rsid w:val="00DE2CE1"/>
    <w:rsid w:val="00DE3218"/>
    <w:rsid w:val="00DF06C4"/>
    <w:rsid w:val="00DF1173"/>
    <w:rsid w:val="00DF2CB0"/>
    <w:rsid w:val="00DF451B"/>
    <w:rsid w:val="00DF6006"/>
    <w:rsid w:val="00DF6955"/>
    <w:rsid w:val="00DF7B01"/>
    <w:rsid w:val="00E05FCE"/>
    <w:rsid w:val="00E120FC"/>
    <w:rsid w:val="00E14BA9"/>
    <w:rsid w:val="00E1701F"/>
    <w:rsid w:val="00E245A1"/>
    <w:rsid w:val="00E24831"/>
    <w:rsid w:val="00E34A4E"/>
    <w:rsid w:val="00E41D0D"/>
    <w:rsid w:val="00E46685"/>
    <w:rsid w:val="00E50A06"/>
    <w:rsid w:val="00E55EA0"/>
    <w:rsid w:val="00E701AC"/>
    <w:rsid w:val="00E730F3"/>
    <w:rsid w:val="00E75386"/>
    <w:rsid w:val="00E758A1"/>
    <w:rsid w:val="00E77015"/>
    <w:rsid w:val="00E807E8"/>
    <w:rsid w:val="00E8267D"/>
    <w:rsid w:val="00E8653F"/>
    <w:rsid w:val="00E86C05"/>
    <w:rsid w:val="00E91006"/>
    <w:rsid w:val="00E92204"/>
    <w:rsid w:val="00E93F35"/>
    <w:rsid w:val="00EA4C1F"/>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6F58"/>
    <w:rsid w:val="00EF7935"/>
    <w:rsid w:val="00F01526"/>
    <w:rsid w:val="00F04A95"/>
    <w:rsid w:val="00F12FB0"/>
    <w:rsid w:val="00F16039"/>
    <w:rsid w:val="00F20DCF"/>
    <w:rsid w:val="00F2498E"/>
    <w:rsid w:val="00F34068"/>
    <w:rsid w:val="00F3421F"/>
    <w:rsid w:val="00F43916"/>
    <w:rsid w:val="00F51CC4"/>
    <w:rsid w:val="00F51EAB"/>
    <w:rsid w:val="00F55B3B"/>
    <w:rsid w:val="00F56426"/>
    <w:rsid w:val="00F63239"/>
    <w:rsid w:val="00F74FB9"/>
    <w:rsid w:val="00F77D38"/>
    <w:rsid w:val="00F86C5F"/>
    <w:rsid w:val="00F914C6"/>
    <w:rsid w:val="00F97115"/>
    <w:rsid w:val="00F97289"/>
    <w:rsid w:val="00F97B3C"/>
    <w:rsid w:val="00F97DE7"/>
    <w:rsid w:val="00FA00A8"/>
    <w:rsid w:val="00FA1F4B"/>
    <w:rsid w:val="00FA4DC7"/>
    <w:rsid w:val="00FA5D15"/>
    <w:rsid w:val="00FB6398"/>
    <w:rsid w:val="00FC54A4"/>
    <w:rsid w:val="00FC5CDF"/>
    <w:rsid w:val="00FD0A58"/>
    <w:rsid w:val="00FD160B"/>
    <w:rsid w:val="00FD39C9"/>
    <w:rsid w:val="00FD4378"/>
    <w:rsid w:val="00FE1867"/>
    <w:rsid w:val="00FE26EC"/>
    <w:rsid w:val="00FE2DFF"/>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5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238812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0976048">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F35DC-DA41-404D-9CDB-05A3A89C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5319</TotalTime>
  <Pages>43</Pages>
  <Words>9766</Words>
  <Characters>53715</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93</cp:revision>
  <cp:lastPrinted>2021-05-07T20:34:00Z</cp:lastPrinted>
  <dcterms:created xsi:type="dcterms:W3CDTF">2020-10-04T14:04:00Z</dcterms:created>
  <dcterms:modified xsi:type="dcterms:W3CDTF">2021-06-17T23:03:00Z</dcterms:modified>
</cp:coreProperties>
</file>