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9D3" w:rsidRPr="009A7BF4" w:rsidRDefault="005419D3" w:rsidP="005419D3">
      <w:pPr>
        <w:spacing w:before="240" w:after="240" w:line="360" w:lineRule="auto"/>
        <w:jc w:val="both"/>
        <w:rPr>
          <w:rFonts w:ascii="Palatino Linotype" w:hAnsi="Palatino Linotype" w:cs="Arial"/>
        </w:rPr>
      </w:pPr>
      <w:r w:rsidRPr="009A7BF4">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9A7BF4">
        <w:rPr>
          <w:rStyle w:val="normaltextrun"/>
          <w:rFonts w:ascii="Palatino Linotype" w:hAnsi="Palatino Linotype" w:cs="Arial"/>
        </w:rPr>
        <w:t>,</w:t>
      </w:r>
      <w:r w:rsidRPr="009A7BF4">
        <w:rPr>
          <w:rStyle w:val="apple-converted-space"/>
          <w:rFonts w:ascii="Palatino Linotype" w:hAnsi="Palatino Linotype" w:cs="Arial"/>
        </w:rPr>
        <w:t> </w:t>
      </w:r>
      <w:r w:rsidRPr="009A7BF4">
        <w:rPr>
          <w:rStyle w:val="normaltextrun"/>
          <w:rFonts w:ascii="Palatino Linotype" w:hAnsi="Palatino Linotype" w:cs="Arial"/>
        </w:rPr>
        <w:t xml:space="preserve">de fecha </w:t>
      </w:r>
      <w:r w:rsidR="005F1479">
        <w:rPr>
          <w:rStyle w:val="normaltextrun"/>
          <w:rFonts w:ascii="Palatino Linotype" w:hAnsi="Palatino Linotype" w:cs="Arial"/>
        </w:rPr>
        <w:t>veintinueve</w:t>
      </w:r>
      <w:r w:rsidR="00F92DA1">
        <w:rPr>
          <w:rStyle w:val="normaltextrun"/>
          <w:rFonts w:ascii="Palatino Linotype" w:hAnsi="Palatino Linotype" w:cs="Arial"/>
        </w:rPr>
        <w:t xml:space="preserve"> </w:t>
      </w:r>
      <w:r w:rsidR="005F1479">
        <w:rPr>
          <w:rStyle w:val="normaltextrun"/>
          <w:rFonts w:ascii="Palatino Linotype" w:hAnsi="Palatino Linotype" w:cs="Arial"/>
        </w:rPr>
        <w:t>de septiembre</w:t>
      </w:r>
      <w:r>
        <w:rPr>
          <w:rStyle w:val="normaltextrun"/>
          <w:rFonts w:ascii="Palatino Linotype" w:hAnsi="Palatino Linotype" w:cs="Arial"/>
        </w:rPr>
        <w:t xml:space="preserve"> </w:t>
      </w:r>
      <w:r w:rsidR="009D4F62">
        <w:rPr>
          <w:rStyle w:val="normaltextrun"/>
          <w:rFonts w:ascii="Palatino Linotype" w:hAnsi="Palatino Linotype" w:cs="Arial"/>
        </w:rPr>
        <w:t>del dos mil veintiuno</w:t>
      </w:r>
      <w:r w:rsidRPr="009A7BF4">
        <w:rPr>
          <w:rStyle w:val="normaltextrun"/>
          <w:rFonts w:ascii="Palatino Linotype" w:hAnsi="Palatino Linotype" w:cs="Arial"/>
        </w:rPr>
        <w:t>.</w:t>
      </w:r>
    </w:p>
    <w:p w:rsidR="005419D3" w:rsidRDefault="005419D3" w:rsidP="005419D3">
      <w:pPr>
        <w:spacing w:before="240" w:after="240" w:line="360" w:lineRule="auto"/>
        <w:jc w:val="both"/>
        <w:rPr>
          <w:rFonts w:ascii="Palatino Linotype" w:hAnsi="Palatino Linotype" w:cs="Arial"/>
        </w:rPr>
      </w:pPr>
      <w:r w:rsidRPr="009A7BF4">
        <w:rPr>
          <w:rFonts w:ascii="Palatino Linotype" w:hAnsi="Palatino Linotype" w:cs="Arial"/>
          <w:b/>
        </w:rPr>
        <w:t xml:space="preserve">Visto </w:t>
      </w:r>
      <w:r w:rsidRPr="009A7BF4">
        <w:rPr>
          <w:rFonts w:ascii="Palatino Linotype" w:hAnsi="Palatino Linotype" w:cs="Arial"/>
        </w:rPr>
        <w:t xml:space="preserve">el expediente relativo al recurso de revisión </w:t>
      </w:r>
      <w:r w:rsidR="005F1479">
        <w:rPr>
          <w:rFonts w:ascii="Palatino Linotype" w:hAnsi="Palatino Linotype" w:cs="Arial"/>
          <w:b/>
          <w:bCs/>
        </w:rPr>
        <w:t>03889</w:t>
      </w:r>
      <w:r w:rsidRPr="009A7BF4">
        <w:rPr>
          <w:rFonts w:ascii="Palatino Linotype" w:hAnsi="Palatino Linotype" w:cs="Arial"/>
          <w:b/>
          <w:bCs/>
        </w:rPr>
        <w:t>/INFOEM/IP/RR/202</w:t>
      </w:r>
      <w:r w:rsidR="005F1479">
        <w:rPr>
          <w:rFonts w:ascii="Palatino Linotype" w:hAnsi="Palatino Linotype" w:cs="Arial"/>
          <w:b/>
          <w:bCs/>
        </w:rPr>
        <w:t>1</w:t>
      </w:r>
      <w:r w:rsidRPr="009A7BF4">
        <w:rPr>
          <w:rFonts w:ascii="Palatino Linotype" w:hAnsi="Palatino Linotype" w:cs="Arial"/>
        </w:rPr>
        <w:t>, interpuesto por</w:t>
      </w:r>
      <w:r>
        <w:rPr>
          <w:rFonts w:ascii="Palatino Linotype" w:hAnsi="Palatino Linotype" w:cs="Arial"/>
        </w:rPr>
        <w:t xml:space="preserve"> </w:t>
      </w:r>
      <w:r w:rsidR="000879F6">
        <w:rPr>
          <w:rFonts w:ascii="Palatino Linotype" w:hAnsi="Palatino Linotype" w:cs="Arial"/>
          <w:b/>
        </w:rPr>
        <w:t>XXXXX XXXXX XXXXX</w:t>
      </w:r>
      <w:r w:rsidRPr="009A7BF4">
        <w:rPr>
          <w:rFonts w:ascii="Palatino Linotype" w:hAnsi="Palatino Linotype" w:cs="Arial"/>
        </w:rPr>
        <w:t xml:space="preserve">, en lo sucesivo el </w:t>
      </w:r>
      <w:r w:rsidRPr="009A7BF4">
        <w:rPr>
          <w:rFonts w:ascii="Palatino Linotype" w:hAnsi="Palatino Linotype" w:cs="Arial"/>
          <w:b/>
        </w:rPr>
        <w:t>recurrente</w:t>
      </w:r>
      <w:r w:rsidRPr="009A7BF4">
        <w:rPr>
          <w:rFonts w:ascii="Palatino Linotype" w:hAnsi="Palatino Linotype" w:cs="Arial"/>
        </w:rPr>
        <w:t xml:space="preserve"> en contra de la respuesta emitida a la solicitud de información con número de folio </w:t>
      </w:r>
      <w:r w:rsidR="005F1479" w:rsidRPr="005F1479">
        <w:rPr>
          <w:rFonts w:ascii="Palatino Linotype" w:hAnsi="Palatino Linotype" w:cs="Arial"/>
          <w:b/>
        </w:rPr>
        <w:t>00384/PLEGISLA/IP/2021</w:t>
      </w:r>
      <w:r w:rsidRPr="009A7BF4">
        <w:rPr>
          <w:rFonts w:ascii="Palatino Linotype" w:hAnsi="Palatino Linotype" w:cs="Arial"/>
        </w:rPr>
        <w:t>,</w:t>
      </w:r>
      <w:bookmarkStart w:id="0" w:name="_GoBack"/>
      <w:bookmarkEnd w:id="0"/>
      <w:r w:rsidRPr="009A7BF4">
        <w:rPr>
          <w:rFonts w:ascii="Palatino Linotype" w:hAnsi="Palatino Linotype" w:cs="Arial"/>
        </w:rPr>
        <w:t xml:space="preserve"> por parte del</w:t>
      </w:r>
      <w:r>
        <w:rPr>
          <w:rFonts w:ascii="Palatino Linotype" w:hAnsi="Palatino Linotype" w:cs="Arial"/>
        </w:rPr>
        <w:t xml:space="preserve"> </w:t>
      </w:r>
      <w:r w:rsidR="005F1479">
        <w:rPr>
          <w:rFonts w:ascii="Palatino Linotype" w:hAnsi="Palatino Linotype" w:cs="Arial"/>
          <w:b/>
          <w:bCs/>
        </w:rPr>
        <w:t>Poder Legislativo</w:t>
      </w:r>
      <w:r w:rsidRPr="009A7BF4">
        <w:rPr>
          <w:rFonts w:ascii="Palatino Linotype" w:hAnsi="Palatino Linotype" w:cs="Arial"/>
        </w:rPr>
        <w:t xml:space="preserve">, en lo sucesivo el </w:t>
      </w:r>
      <w:r w:rsidRPr="009A7BF4">
        <w:rPr>
          <w:rFonts w:ascii="Palatino Linotype" w:hAnsi="Palatino Linotype" w:cs="Arial"/>
          <w:b/>
        </w:rPr>
        <w:t xml:space="preserve">Sujeto Obligado; </w:t>
      </w:r>
      <w:r w:rsidRPr="009A7BF4">
        <w:rPr>
          <w:rFonts w:ascii="Palatino Linotype" w:hAnsi="Palatino Linotype" w:cs="Arial"/>
        </w:rPr>
        <w:t>se procede a dictar la presente resolución, con base en lo siguiente.</w:t>
      </w:r>
    </w:p>
    <w:p w:rsidR="005419D3" w:rsidRPr="009A7BF4" w:rsidRDefault="005419D3" w:rsidP="005419D3">
      <w:pPr>
        <w:pStyle w:val="Prrafodelista"/>
        <w:numPr>
          <w:ilvl w:val="0"/>
          <w:numId w:val="1"/>
        </w:numPr>
        <w:spacing w:before="240" w:after="240" w:line="360" w:lineRule="auto"/>
        <w:ind w:left="1077"/>
        <w:jc w:val="center"/>
        <w:rPr>
          <w:rFonts w:ascii="Palatino Linotype" w:hAnsi="Palatino Linotype" w:cs="Arial"/>
          <w:b/>
        </w:rPr>
      </w:pPr>
      <w:r w:rsidRPr="009A7BF4">
        <w:rPr>
          <w:rFonts w:ascii="Palatino Linotype" w:hAnsi="Palatino Linotype" w:cs="Arial"/>
          <w:b/>
        </w:rPr>
        <w:t>A N T E C E D E N T E S:</w:t>
      </w:r>
    </w:p>
    <w:p w:rsidR="005419D3" w:rsidRPr="009A7BF4" w:rsidRDefault="005419D3" w:rsidP="005419D3">
      <w:pPr>
        <w:spacing w:before="240" w:after="240" w:line="360" w:lineRule="auto"/>
        <w:jc w:val="both"/>
        <w:rPr>
          <w:rFonts w:ascii="Palatino Linotype" w:hAnsi="Palatino Linotype" w:cs="Arial"/>
          <w:b/>
        </w:rPr>
      </w:pPr>
      <w:r w:rsidRPr="009A7BF4">
        <w:rPr>
          <w:rFonts w:ascii="Palatino Linotype" w:hAnsi="Palatino Linotype" w:cs="Arial"/>
          <w:b/>
        </w:rPr>
        <w:t xml:space="preserve">1. Solicitud de acceso a la información. </w:t>
      </w:r>
      <w:r w:rsidRPr="009A7BF4">
        <w:rPr>
          <w:rFonts w:ascii="Palatino Linotype" w:hAnsi="Palatino Linotype" w:cs="Arial"/>
        </w:rPr>
        <w:t xml:space="preserve">Con fecha </w:t>
      </w:r>
      <w:r w:rsidR="005F1479">
        <w:rPr>
          <w:rFonts w:ascii="Palatino Linotype" w:hAnsi="Palatino Linotype" w:cs="Arial"/>
        </w:rPr>
        <w:t>veintiocho de junio</w:t>
      </w:r>
      <w:r>
        <w:rPr>
          <w:rFonts w:ascii="Palatino Linotype" w:hAnsi="Palatino Linotype" w:cs="Arial"/>
        </w:rPr>
        <w:t xml:space="preserve"> </w:t>
      </w:r>
      <w:r w:rsidR="005F1479">
        <w:rPr>
          <w:rFonts w:ascii="Palatino Linotype" w:hAnsi="Palatino Linotype" w:cs="Arial"/>
        </w:rPr>
        <w:t>de dos mil veintiuno</w:t>
      </w:r>
      <w:r w:rsidRPr="009A7BF4">
        <w:rPr>
          <w:rFonts w:ascii="Palatino Linotype" w:hAnsi="Palatino Linotype" w:cs="Arial"/>
        </w:rPr>
        <w:t xml:space="preserve">, la parte </w:t>
      </w:r>
      <w:r w:rsidRPr="009A7BF4">
        <w:rPr>
          <w:rFonts w:ascii="Palatino Linotype" w:hAnsi="Palatino Linotype" w:cs="Arial"/>
          <w:b/>
        </w:rPr>
        <w:t>recurrente</w:t>
      </w:r>
      <w:r w:rsidRPr="009A7BF4">
        <w:rPr>
          <w:rFonts w:ascii="Palatino Linotype" w:hAnsi="Palatino Linotype" w:cs="Arial"/>
        </w:rPr>
        <w:t xml:space="preserve"> formuló solicitud de acceso a información pública al </w:t>
      </w:r>
      <w:r w:rsidRPr="009A7BF4">
        <w:rPr>
          <w:rFonts w:ascii="Palatino Linotype" w:hAnsi="Palatino Linotype" w:cs="Arial"/>
          <w:b/>
        </w:rPr>
        <w:t>Sujeto Obligado</w:t>
      </w:r>
      <w:r w:rsidRPr="009A7BF4">
        <w:rPr>
          <w:rFonts w:ascii="Palatino Linotype" w:hAnsi="Palatino Linotype" w:cs="Arial"/>
        </w:rPr>
        <w:t xml:space="preserve"> a través del Sistema de Acceso a la Información Mexiquense, en adelante </w:t>
      </w:r>
      <w:r w:rsidRPr="009A7BF4">
        <w:rPr>
          <w:rFonts w:ascii="Palatino Linotype" w:hAnsi="Palatino Linotype" w:cs="Arial"/>
          <w:b/>
        </w:rPr>
        <w:t>SAIMEX,</w:t>
      </w:r>
      <w:r w:rsidRPr="009A7BF4">
        <w:rPr>
          <w:rFonts w:ascii="Palatino Linotype" w:hAnsi="Palatino Linotype" w:cs="Arial"/>
        </w:rPr>
        <w:t xml:space="preserve"> requiriéndole lo siguiente:</w:t>
      </w:r>
    </w:p>
    <w:p w:rsidR="005419D3" w:rsidRPr="005F1479" w:rsidRDefault="005419D3" w:rsidP="00BE77BC">
      <w:pPr>
        <w:autoSpaceDE w:val="0"/>
        <w:autoSpaceDN w:val="0"/>
        <w:adjustRightInd w:val="0"/>
        <w:ind w:left="992" w:right="1043"/>
        <w:jc w:val="both"/>
        <w:rPr>
          <w:rFonts w:ascii="Palatino Linotype" w:hAnsi="Palatino Linotype" w:cs="Arial"/>
          <w:i/>
          <w:sz w:val="22"/>
          <w:szCs w:val="22"/>
        </w:rPr>
      </w:pPr>
      <w:r>
        <w:rPr>
          <w:rFonts w:ascii="Palatino Linotype" w:hAnsi="Palatino Linotype" w:cs="Arial"/>
          <w:i/>
          <w:sz w:val="22"/>
          <w:szCs w:val="22"/>
        </w:rPr>
        <w:t>“</w:t>
      </w:r>
      <w:r w:rsidR="005F1479" w:rsidRPr="005F1479">
        <w:rPr>
          <w:rFonts w:ascii="Palatino Linotype" w:hAnsi="Palatino Linotype" w:cs="Arial"/>
          <w:i/>
          <w:sz w:val="22"/>
          <w:szCs w:val="22"/>
        </w:rPr>
        <w:t>Con fundamento por lo establecido en el articulo sexto de la Constitución Política de los Estados Unidos Mexicanos, respetuosamente solicito de la Legislatura del Estado de México, la siguiente información pública: 1.- Solicito del Presidente de la Comision Legislativa de Limites Territoriales del Estado de México y sus Municipios, me proporcione en version publica, toda la informacion relativa al diferendo limitrofe del Municipio de Teoloyucan vs Municipio de Tepotzotlán. 2.-Todos y cada uno de los documentos considerados como anexos de la presente solicitud de acceso a la información pública.</w:t>
      </w:r>
      <w:r w:rsidRPr="009A7BF4">
        <w:rPr>
          <w:rFonts w:ascii="Palatino Linotype" w:hAnsi="Palatino Linotype" w:cs="Arial"/>
          <w:i/>
          <w:sz w:val="22"/>
          <w:szCs w:val="22"/>
        </w:rPr>
        <w:t>” (sic)</w:t>
      </w:r>
    </w:p>
    <w:p w:rsidR="005419D3" w:rsidRDefault="005419D3" w:rsidP="005419D3">
      <w:pPr>
        <w:spacing w:before="240" w:after="240" w:line="360" w:lineRule="auto"/>
        <w:jc w:val="both"/>
        <w:rPr>
          <w:rFonts w:ascii="Palatino Linotype" w:hAnsi="Palatino Linotype" w:cs="Arial"/>
        </w:rPr>
      </w:pPr>
      <w:r w:rsidRPr="009A7BF4">
        <w:rPr>
          <w:rFonts w:ascii="Palatino Linotype" w:hAnsi="Palatino Linotype" w:cs="Arial"/>
          <w:b/>
        </w:rPr>
        <w:t xml:space="preserve">Modalidad elegida para la entrega de la información: </w:t>
      </w:r>
      <w:r w:rsidRPr="009A7BF4">
        <w:rPr>
          <w:rFonts w:ascii="Palatino Linotype" w:hAnsi="Palatino Linotype" w:cs="Arial"/>
        </w:rPr>
        <w:t xml:space="preserve">a través </w:t>
      </w:r>
      <w:r>
        <w:rPr>
          <w:rFonts w:ascii="Palatino Linotype" w:hAnsi="Palatino Linotype" w:cs="Arial"/>
        </w:rPr>
        <w:t>de</w:t>
      </w:r>
      <w:r w:rsidR="005F1479">
        <w:rPr>
          <w:rFonts w:ascii="Palatino Linotype" w:hAnsi="Palatino Linotype" w:cs="Arial"/>
        </w:rPr>
        <w:t>l SAIMEX.</w:t>
      </w:r>
    </w:p>
    <w:p w:rsidR="005419D3" w:rsidRPr="00EE5241" w:rsidRDefault="005419D3" w:rsidP="005419D3">
      <w:pPr>
        <w:spacing w:before="240" w:after="240" w:line="360" w:lineRule="auto"/>
        <w:jc w:val="both"/>
        <w:rPr>
          <w:rFonts w:ascii="Palatino Linotype" w:hAnsi="Palatino Linotype" w:cs="Arial"/>
          <w:bCs/>
        </w:rPr>
      </w:pPr>
      <w:r w:rsidRPr="009A7BF4">
        <w:rPr>
          <w:rFonts w:ascii="Palatino Linotype" w:hAnsi="Palatino Linotype" w:cs="Arial"/>
          <w:b/>
        </w:rPr>
        <w:lastRenderedPageBreak/>
        <w:t xml:space="preserve">2. Respuesta. </w:t>
      </w:r>
      <w:r w:rsidRPr="009A7BF4">
        <w:rPr>
          <w:rFonts w:ascii="Palatino Linotype" w:hAnsi="Palatino Linotype" w:cs="Arial"/>
        </w:rPr>
        <w:t xml:space="preserve">De las constancias que obran en </w:t>
      </w:r>
      <w:r w:rsidRPr="009A7BF4">
        <w:rPr>
          <w:rFonts w:ascii="Palatino Linotype" w:hAnsi="Palatino Linotype" w:cs="Arial"/>
          <w:b/>
        </w:rPr>
        <w:t>SAIMEX</w:t>
      </w:r>
      <w:r w:rsidRPr="009A7BF4">
        <w:rPr>
          <w:rFonts w:ascii="Palatino Linotype" w:hAnsi="Palatino Linotype" w:cs="Arial"/>
        </w:rPr>
        <w:t xml:space="preserve">, se observa que </w:t>
      </w:r>
      <w:r w:rsidRPr="009A7BF4">
        <w:rPr>
          <w:rFonts w:ascii="Palatino Linotype" w:hAnsi="Palatino Linotype" w:cs="Arial"/>
          <w:b/>
        </w:rPr>
        <w:t xml:space="preserve">El Sujeto Obligado </w:t>
      </w:r>
      <w:r w:rsidRPr="009A7BF4">
        <w:rPr>
          <w:rFonts w:ascii="Palatino Linotype" w:hAnsi="Palatino Linotype" w:cs="Arial"/>
        </w:rPr>
        <w:t xml:space="preserve">en fecha </w:t>
      </w:r>
      <w:r w:rsidR="005F1479">
        <w:rPr>
          <w:rFonts w:ascii="Palatino Linotype" w:hAnsi="Palatino Linotype" w:cs="Arial"/>
        </w:rPr>
        <w:t>dos de agosto</w:t>
      </w:r>
      <w:r>
        <w:rPr>
          <w:rFonts w:ascii="Palatino Linotype" w:hAnsi="Palatino Linotype" w:cs="Arial"/>
        </w:rPr>
        <w:t xml:space="preserve"> de dos mil veint</w:t>
      </w:r>
      <w:r w:rsidR="005F1479">
        <w:rPr>
          <w:rFonts w:ascii="Palatino Linotype" w:hAnsi="Palatino Linotype" w:cs="Arial"/>
        </w:rPr>
        <w:t>iuno</w:t>
      </w:r>
      <w:r>
        <w:rPr>
          <w:rFonts w:ascii="Palatino Linotype" w:hAnsi="Palatino Linotype" w:cs="Arial"/>
        </w:rPr>
        <w:t xml:space="preserve"> </w:t>
      </w:r>
      <w:r w:rsidRPr="009A7BF4">
        <w:rPr>
          <w:rFonts w:ascii="Palatino Linotype" w:hAnsi="Palatino Linotype" w:cs="Arial"/>
        </w:rPr>
        <w:t>emitió respuesta, en los siguientes términos:</w:t>
      </w:r>
    </w:p>
    <w:p w:rsidR="005419D3" w:rsidRPr="005F1479" w:rsidRDefault="005419D3" w:rsidP="005419D3">
      <w:pPr>
        <w:ind w:left="851" w:right="851"/>
        <w:jc w:val="both"/>
        <w:rPr>
          <w:rFonts w:ascii="Palatino Linotype" w:hAnsi="Palatino Linotype"/>
          <w:i/>
          <w:sz w:val="22"/>
          <w:szCs w:val="22"/>
        </w:rPr>
      </w:pPr>
      <w:r w:rsidRPr="009A7BF4">
        <w:rPr>
          <w:rFonts w:ascii="Palatino Linotype" w:hAnsi="Palatino Linotype"/>
          <w:i/>
          <w:sz w:val="22"/>
          <w:szCs w:val="22"/>
        </w:rPr>
        <w:t>“</w:t>
      </w:r>
      <w:r w:rsidR="005F1479" w:rsidRPr="005F1479">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F1479" w:rsidRPr="005F1479" w:rsidRDefault="005F1479" w:rsidP="005419D3">
      <w:pPr>
        <w:ind w:left="851" w:right="851"/>
        <w:jc w:val="both"/>
        <w:rPr>
          <w:rFonts w:ascii="Palatino Linotype" w:hAnsi="Palatino Linotype"/>
          <w:i/>
          <w:sz w:val="22"/>
          <w:szCs w:val="22"/>
        </w:rPr>
      </w:pPr>
      <w:r w:rsidRPr="005F1479">
        <w:rPr>
          <w:rFonts w:ascii="Palatino Linotype" w:hAnsi="Palatino Linotype"/>
          <w:i/>
          <w:sz w:val="22"/>
          <w:szCs w:val="22"/>
        </w:rPr>
        <w:t>Envío respuesta en archivos adjuntos</w:t>
      </w:r>
    </w:p>
    <w:p w:rsidR="005419D3" w:rsidRPr="00496EED" w:rsidRDefault="005419D3" w:rsidP="005419D3">
      <w:pPr>
        <w:ind w:left="851" w:right="851"/>
        <w:jc w:val="both"/>
        <w:rPr>
          <w:rFonts w:ascii="Palatino Linotype" w:hAnsi="Palatino Linotype"/>
          <w:i/>
          <w:sz w:val="22"/>
          <w:szCs w:val="22"/>
        </w:rPr>
      </w:pPr>
      <w:r w:rsidRPr="00496EED">
        <w:rPr>
          <w:rFonts w:ascii="Palatino Linotype" w:hAnsi="Palatino Linotype"/>
          <w:i/>
          <w:sz w:val="22"/>
          <w:szCs w:val="22"/>
        </w:rPr>
        <w:t>ATENTAMENTE</w:t>
      </w:r>
    </w:p>
    <w:p w:rsidR="005419D3" w:rsidRPr="009D4F62" w:rsidRDefault="005F1479" w:rsidP="005419D3">
      <w:pPr>
        <w:ind w:left="851" w:right="851"/>
        <w:jc w:val="both"/>
        <w:rPr>
          <w:rFonts w:ascii="Palatino Linotype" w:hAnsi="Palatino Linotype"/>
          <w:i/>
          <w:sz w:val="22"/>
          <w:szCs w:val="22"/>
        </w:rPr>
      </w:pPr>
      <w:r w:rsidRPr="005F1479">
        <w:rPr>
          <w:rFonts w:ascii="Palatino Linotype" w:hAnsi="Palatino Linotype"/>
          <w:i/>
          <w:sz w:val="22"/>
          <w:szCs w:val="22"/>
        </w:rPr>
        <w:t>Jesús Felipe Borja Coronel</w:t>
      </w:r>
      <w:r w:rsidR="005419D3" w:rsidRPr="009D4F62">
        <w:rPr>
          <w:rFonts w:ascii="Palatino Linotype" w:hAnsi="Palatino Linotype"/>
          <w:i/>
          <w:sz w:val="22"/>
          <w:szCs w:val="22"/>
        </w:rPr>
        <w:t>” (Sic)</w:t>
      </w:r>
    </w:p>
    <w:p w:rsidR="005419D3" w:rsidRPr="009D4F62" w:rsidRDefault="005419D3" w:rsidP="005419D3">
      <w:pPr>
        <w:ind w:left="851" w:right="851"/>
        <w:jc w:val="both"/>
        <w:rPr>
          <w:rFonts w:ascii="Palatino Linotype" w:hAnsi="Palatino Linotype"/>
          <w:i/>
          <w:sz w:val="22"/>
          <w:szCs w:val="22"/>
        </w:rPr>
      </w:pPr>
    </w:p>
    <w:p w:rsidR="005419D3" w:rsidRDefault="005419D3" w:rsidP="005419D3">
      <w:pPr>
        <w:spacing w:before="240" w:after="240" w:line="360" w:lineRule="auto"/>
        <w:jc w:val="both"/>
        <w:rPr>
          <w:rFonts w:ascii="Palatino Linotype" w:hAnsi="Palatino Linotype"/>
        </w:rPr>
      </w:pPr>
      <w:r w:rsidRPr="009A7BF4">
        <w:rPr>
          <w:rFonts w:ascii="Palatino Linotype" w:hAnsi="Palatino Linotype"/>
        </w:rPr>
        <w:t>En este sentido es de mencionar que el Sujeto Obligado adjuntó los archivos electrónicos cuyo contenido se detalla a continuación:</w:t>
      </w:r>
    </w:p>
    <w:p w:rsidR="00704F29" w:rsidRDefault="00704F29" w:rsidP="00704F29">
      <w:pPr>
        <w:pStyle w:val="Prrafodelista"/>
        <w:numPr>
          <w:ilvl w:val="0"/>
          <w:numId w:val="2"/>
        </w:numPr>
        <w:spacing w:before="240" w:after="240" w:line="360" w:lineRule="auto"/>
        <w:contextualSpacing w:val="0"/>
        <w:jc w:val="both"/>
        <w:rPr>
          <w:rFonts w:ascii="Palatino Linotype" w:hAnsi="Palatino Linotype"/>
        </w:rPr>
      </w:pPr>
      <w:r>
        <w:rPr>
          <w:rFonts w:ascii="Palatino Linotype" w:hAnsi="Palatino Linotype"/>
        </w:rPr>
        <w:t>“</w:t>
      </w:r>
      <w:hyperlink r:id="rId8" w:tgtFrame="_blank" w:history="1">
        <w:r w:rsidRPr="00704F29">
          <w:rPr>
            <w:rFonts w:ascii="Palatino Linotype" w:hAnsi="Palatino Linotype"/>
          </w:rPr>
          <w:t>384 RESPUESTA.pdf</w:t>
        </w:r>
      </w:hyperlink>
      <w:r>
        <w:rPr>
          <w:rFonts w:ascii="Palatino Linotype" w:hAnsi="Palatino Linotype"/>
        </w:rPr>
        <w:t xml:space="preserve">”: el cual contiene la respuesta otorgada por el Servidor Público Habilitado, por medio del cual informó medularmente al Titular de la Unidad de Transparencia del Sujeto Obligado, que efectivamente es </w:t>
      </w:r>
      <w:r w:rsidRPr="00704F29">
        <w:rPr>
          <w:rFonts w:ascii="Palatino Linotype" w:hAnsi="Palatino Linotype"/>
        </w:rPr>
        <w:t>facultad exclusiva de la Legislatura resolver las diferencias en materia de límites territoriales entre los Municipios del Estado de México</w:t>
      </w:r>
      <w:r>
        <w:rPr>
          <w:rFonts w:ascii="Palatino Linotype" w:hAnsi="Palatino Linotype"/>
        </w:rPr>
        <w:t xml:space="preserve"> y que de acuerdo al </w:t>
      </w:r>
      <w:r w:rsidRPr="00704F29">
        <w:rPr>
          <w:rFonts w:ascii="Palatino Linotype" w:hAnsi="Palatino Linotype"/>
        </w:rPr>
        <w:t xml:space="preserve">punto número 25 del orden del día de la sesión de la Legislatura de fecha 15 de diciembre de 2020, </w:t>
      </w:r>
      <w:r>
        <w:rPr>
          <w:rFonts w:ascii="Palatino Linotype" w:hAnsi="Palatino Linotype"/>
        </w:rPr>
        <w:t>el Sujeto Obligado</w:t>
      </w:r>
      <w:r w:rsidRPr="00704F29">
        <w:rPr>
          <w:rFonts w:ascii="Palatino Linotype" w:hAnsi="Palatino Linotype"/>
        </w:rPr>
        <w:t xml:space="preserve"> se encuentra desahogando el Procedimiento de Diferendo Limítrofe intermunicipal entre municipi</w:t>
      </w:r>
      <w:r>
        <w:rPr>
          <w:rFonts w:ascii="Palatino Linotype" w:hAnsi="Palatino Linotype"/>
        </w:rPr>
        <w:t xml:space="preserve">os de Teoloyucan vs Tepotzotlán, proporcionando las etapas del procedimiento; pero, </w:t>
      </w:r>
      <w:r w:rsidRPr="00704F29">
        <w:rPr>
          <w:rFonts w:ascii="Palatino Linotype" w:hAnsi="Palatino Linotype"/>
        </w:rPr>
        <w:t>la documentación que forma parte del diferendo, tiene el carácter de información reservada en términos del acuerdo número PLEGISLA/LX/CT/19ªext/2021/SEXTO dictado por el</w:t>
      </w:r>
      <w:r>
        <w:rPr>
          <w:rFonts w:ascii="Palatino Linotype" w:hAnsi="Palatino Linotype"/>
        </w:rPr>
        <w:t xml:space="preserve"> Comité de </w:t>
      </w:r>
      <w:r>
        <w:rPr>
          <w:rFonts w:ascii="Palatino Linotype" w:hAnsi="Palatino Linotype"/>
        </w:rPr>
        <w:lastRenderedPageBreak/>
        <w:t>Transparencia del sujeto obligado, adjuntando el</w:t>
      </w:r>
      <w:r w:rsidRPr="00704F29">
        <w:rPr>
          <w:rFonts w:ascii="Palatino Linotype" w:hAnsi="Palatino Linotype"/>
        </w:rPr>
        <w:t xml:space="preserve"> acta de la sesión dicho comité, de fecha 30 de julio de 2021. </w:t>
      </w:r>
    </w:p>
    <w:p w:rsidR="00704F29" w:rsidRPr="00704F29" w:rsidRDefault="00704F29" w:rsidP="00704F29">
      <w:pPr>
        <w:pStyle w:val="Prrafodelista"/>
        <w:spacing w:before="240" w:after="240" w:line="360" w:lineRule="auto"/>
        <w:contextualSpacing w:val="0"/>
        <w:jc w:val="both"/>
        <w:rPr>
          <w:rFonts w:ascii="Palatino Linotype" w:hAnsi="Palatino Linotype"/>
        </w:rPr>
      </w:pPr>
      <w:r>
        <w:rPr>
          <w:rFonts w:ascii="Palatino Linotype" w:hAnsi="Palatino Linotype"/>
        </w:rPr>
        <w:t>Finalmente indicó que c</w:t>
      </w:r>
      <w:r w:rsidRPr="00704F29">
        <w:rPr>
          <w:rFonts w:ascii="Palatino Linotype" w:hAnsi="Palatino Linotype"/>
        </w:rPr>
        <w:t>oncluido el plazo de reserva, o bien, una vez que el asunto haya causado estado, la documentación será de accesible al público, con la excepción lógica de los datos personales que deban ser protegidos conforme a la legislación correspondiente.</w:t>
      </w:r>
    </w:p>
    <w:p w:rsidR="00704F29" w:rsidRDefault="00704F29" w:rsidP="00704F29">
      <w:pPr>
        <w:pStyle w:val="Prrafodelista"/>
        <w:numPr>
          <w:ilvl w:val="0"/>
          <w:numId w:val="2"/>
        </w:numPr>
        <w:spacing w:before="240" w:after="240" w:line="360" w:lineRule="auto"/>
        <w:contextualSpacing w:val="0"/>
        <w:jc w:val="both"/>
        <w:rPr>
          <w:rFonts w:ascii="Palatino Linotype" w:hAnsi="Palatino Linotype"/>
        </w:rPr>
      </w:pPr>
      <w:r>
        <w:rPr>
          <w:rFonts w:ascii="Palatino Linotype" w:hAnsi="Palatino Linotype"/>
        </w:rPr>
        <w:t>“</w:t>
      </w:r>
      <w:hyperlink r:id="rId9" w:tgtFrame="_blank" w:history="1">
        <w:r w:rsidRPr="00704F29">
          <w:rPr>
            <w:rFonts w:ascii="Palatino Linotype" w:hAnsi="Palatino Linotype"/>
          </w:rPr>
          <w:t>384 ACTA DEL COMITE.pdf</w:t>
        </w:r>
      </w:hyperlink>
      <w:r>
        <w:rPr>
          <w:rFonts w:ascii="Palatino Linotype" w:hAnsi="Palatino Linotype"/>
        </w:rPr>
        <w:t xml:space="preserve">”: el cual contiene el acta de la décima novena sesión extraordinaria del Comité de Transparencia del Poder Legislativo del Estado Libre y Soberano de México, entre los que se advierten diversos acuerdos entre ellos el acuerdo número </w:t>
      </w:r>
      <w:r w:rsidR="00305910" w:rsidRPr="00704F29">
        <w:rPr>
          <w:rFonts w:ascii="Palatino Linotype" w:hAnsi="Palatino Linotype"/>
        </w:rPr>
        <w:t>PLEGISLA/LX/CT/19ªext/2021/SEXTO</w:t>
      </w:r>
      <w:r w:rsidR="00305910">
        <w:rPr>
          <w:rFonts w:ascii="Palatino Linotype" w:hAnsi="Palatino Linotype"/>
        </w:rPr>
        <w:t>, por medio del cual el Sujeto Obligado reserva el expediente y los anexos del diferendo limítrofe intermunicipal entre los municipios de Teoloyucan y Tepotzotlán que obran en los archivos de la Comisión Legislativa de Límites Territoriales del Estado de México y sus Municipios, por un periodo de cinco años.</w:t>
      </w:r>
    </w:p>
    <w:p w:rsidR="00704F29" w:rsidRPr="009A7BF4" w:rsidRDefault="00704F29" w:rsidP="00704F29">
      <w:pPr>
        <w:pStyle w:val="Prrafodelista"/>
        <w:numPr>
          <w:ilvl w:val="0"/>
          <w:numId w:val="2"/>
        </w:numPr>
        <w:spacing w:before="240" w:after="240" w:line="360" w:lineRule="auto"/>
        <w:contextualSpacing w:val="0"/>
        <w:jc w:val="both"/>
        <w:rPr>
          <w:rFonts w:ascii="Palatino Linotype" w:hAnsi="Palatino Linotype"/>
        </w:rPr>
      </w:pPr>
      <w:r>
        <w:rPr>
          <w:rFonts w:ascii="Palatino Linotype" w:hAnsi="Palatino Linotype"/>
        </w:rPr>
        <w:t>“</w:t>
      </w:r>
      <w:hyperlink r:id="rId10" w:tgtFrame="_blank" w:history="1">
        <w:r w:rsidRPr="00704F29">
          <w:rPr>
            <w:rFonts w:ascii="Palatino Linotype" w:hAnsi="Palatino Linotype"/>
          </w:rPr>
          <w:t>RESPUESTA 0384- SAP.pdf</w:t>
        </w:r>
      </w:hyperlink>
      <w:r>
        <w:rPr>
          <w:rFonts w:ascii="Palatino Linotype" w:hAnsi="Palatino Linotype"/>
        </w:rPr>
        <w:t xml:space="preserve">”: </w:t>
      </w:r>
      <w:r w:rsidR="00305910">
        <w:rPr>
          <w:rFonts w:ascii="Palatino Linotype" w:hAnsi="Palatino Linotype"/>
        </w:rPr>
        <w:t>el cual contiene el oficio número UIPL/1270/2021, por medio del cual el Titular de la Unidad de Transparencia del Sujeto Obligado, informó la respuesta del Servidor Público Habilitado y  su derecho de interponer su recurso de revisión.</w:t>
      </w:r>
    </w:p>
    <w:p w:rsidR="005419D3" w:rsidRPr="00496EED" w:rsidRDefault="005419D3" w:rsidP="005419D3">
      <w:pPr>
        <w:spacing w:before="240" w:after="240" w:line="360" w:lineRule="auto"/>
        <w:jc w:val="both"/>
        <w:rPr>
          <w:rFonts w:ascii="Palatino Linotype" w:hAnsi="Palatino Linotype" w:cs="Arial"/>
        </w:rPr>
      </w:pPr>
      <w:r w:rsidRPr="00496EED">
        <w:rPr>
          <w:rFonts w:ascii="Palatino Linotype" w:hAnsi="Palatino Linotype"/>
          <w:b/>
        </w:rPr>
        <w:t>3.</w:t>
      </w:r>
      <w:r w:rsidRPr="00496EED">
        <w:rPr>
          <w:rFonts w:ascii="Palatino Linotype" w:hAnsi="Palatino Linotype" w:cs="Arial"/>
          <w:b/>
        </w:rPr>
        <w:t xml:space="preserve"> Interposición del recurso de revisión. </w:t>
      </w:r>
      <w:r w:rsidRPr="00496EED">
        <w:rPr>
          <w:rFonts w:ascii="Palatino Linotype" w:hAnsi="Palatino Linotype" w:cs="Arial"/>
        </w:rPr>
        <w:t>Inconforme el solicitante con la respuesta del Sujeto Obligado interpuso recurso de revisión a</w:t>
      </w:r>
      <w:r>
        <w:rPr>
          <w:rFonts w:ascii="Palatino Linotype" w:hAnsi="Palatino Linotype" w:cs="Arial"/>
        </w:rPr>
        <w:t xml:space="preserve"> través del SAIMEX con fecha dos</w:t>
      </w:r>
      <w:r w:rsidR="00305910">
        <w:rPr>
          <w:rFonts w:ascii="Palatino Linotype" w:hAnsi="Palatino Linotype" w:cs="Arial"/>
        </w:rPr>
        <w:t xml:space="preserve"> de agosto</w:t>
      </w:r>
      <w:r w:rsidRPr="00496EED">
        <w:rPr>
          <w:rFonts w:ascii="Palatino Linotype" w:hAnsi="Palatino Linotype" w:cs="Arial"/>
        </w:rPr>
        <w:t xml:space="preserve"> de</w:t>
      </w:r>
      <w:r w:rsidR="00305910">
        <w:rPr>
          <w:rFonts w:ascii="Palatino Linotype" w:hAnsi="Palatino Linotype" w:cs="Arial"/>
        </w:rPr>
        <w:t>l dos mil veintiuno</w:t>
      </w:r>
      <w:r w:rsidRPr="00496EED">
        <w:rPr>
          <w:rFonts w:ascii="Palatino Linotype" w:hAnsi="Palatino Linotype" w:cs="Arial"/>
        </w:rPr>
        <w:t>, a través del cual expresó lo siguiente:</w:t>
      </w:r>
    </w:p>
    <w:p w:rsidR="005419D3" w:rsidRPr="009A7BF4" w:rsidRDefault="005419D3" w:rsidP="005419D3">
      <w:pPr>
        <w:spacing w:line="360" w:lineRule="auto"/>
        <w:rPr>
          <w:rFonts w:ascii="Palatino Linotype" w:hAnsi="Palatino Linotype" w:cs="Arial"/>
          <w:b/>
        </w:rPr>
      </w:pPr>
      <w:r w:rsidRPr="009A7BF4">
        <w:rPr>
          <w:rFonts w:ascii="Palatino Linotype" w:hAnsi="Palatino Linotype" w:cs="Arial"/>
          <w:b/>
        </w:rPr>
        <w:lastRenderedPageBreak/>
        <w:t>a) Acto impugnado.</w:t>
      </w:r>
    </w:p>
    <w:p w:rsidR="005419D3" w:rsidRPr="009A7BF4" w:rsidRDefault="005419D3" w:rsidP="005419D3">
      <w:pPr>
        <w:spacing w:before="240" w:after="240"/>
        <w:ind w:left="992" w:right="1043"/>
        <w:jc w:val="both"/>
        <w:rPr>
          <w:rFonts w:ascii="Palatino Linotype" w:hAnsi="Palatino Linotype" w:cs="Arial"/>
          <w:i/>
        </w:rPr>
      </w:pPr>
      <w:r w:rsidRPr="009A7BF4">
        <w:rPr>
          <w:rFonts w:ascii="Palatino Linotype" w:hAnsi="Palatino Linotype" w:cs="Arial"/>
          <w:i/>
          <w:sz w:val="22"/>
          <w:szCs w:val="22"/>
        </w:rPr>
        <w:t xml:space="preserve"> </w:t>
      </w:r>
      <w:r w:rsidRPr="00305910">
        <w:rPr>
          <w:rFonts w:ascii="Palatino Linotype" w:hAnsi="Palatino Linotype" w:cs="Arial"/>
          <w:i/>
        </w:rPr>
        <w:t>“</w:t>
      </w:r>
      <w:r w:rsidR="00305910" w:rsidRPr="00305910">
        <w:rPr>
          <w:rFonts w:ascii="Palatino Linotype" w:hAnsi="Palatino Linotype" w:cs="Arial"/>
          <w:i/>
        </w:rPr>
        <w:t>La respuesta del sujeto obligado.</w:t>
      </w:r>
      <w:r w:rsidRPr="009A7BF4">
        <w:rPr>
          <w:rFonts w:ascii="Palatino Linotype" w:hAnsi="Palatino Linotype" w:cs="Arial"/>
          <w:i/>
        </w:rPr>
        <w:t>” (sic)</w:t>
      </w:r>
    </w:p>
    <w:p w:rsidR="005419D3" w:rsidRPr="009A7BF4" w:rsidRDefault="005419D3" w:rsidP="005419D3">
      <w:pPr>
        <w:spacing w:line="360" w:lineRule="auto"/>
        <w:jc w:val="both"/>
        <w:rPr>
          <w:rFonts w:ascii="Palatino Linotype" w:hAnsi="Palatino Linotype" w:cs="Arial"/>
          <w:b/>
        </w:rPr>
      </w:pPr>
      <w:r w:rsidRPr="009A7BF4">
        <w:rPr>
          <w:rFonts w:ascii="Palatino Linotype" w:hAnsi="Palatino Linotype" w:cs="Arial"/>
          <w:b/>
        </w:rPr>
        <w:t>b) Motivos de inconformidad.</w:t>
      </w:r>
    </w:p>
    <w:p w:rsidR="005419D3" w:rsidRPr="009A7BF4" w:rsidRDefault="005419D3" w:rsidP="005419D3">
      <w:pPr>
        <w:spacing w:line="276" w:lineRule="auto"/>
        <w:ind w:right="1041"/>
        <w:jc w:val="both"/>
        <w:rPr>
          <w:rFonts w:ascii="Palatino Linotype" w:hAnsi="Palatino Linotype" w:cs="Arial"/>
          <w:i/>
          <w:sz w:val="22"/>
          <w:szCs w:val="22"/>
        </w:rPr>
      </w:pPr>
    </w:p>
    <w:p w:rsidR="00BE77BC" w:rsidRPr="00305910" w:rsidRDefault="005419D3" w:rsidP="00305910">
      <w:pPr>
        <w:spacing w:before="240" w:after="240"/>
        <w:ind w:left="992" w:right="1043"/>
        <w:jc w:val="both"/>
        <w:rPr>
          <w:rFonts w:ascii="Palatino Linotype" w:hAnsi="Palatino Linotype" w:cs="Arial"/>
          <w:i/>
        </w:rPr>
      </w:pPr>
      <w:r w:rsidRPr="00305910">
        <w:rPr>
          <w:rFonts w:ascii="Palatino Linotype" w:hAnsi="Palatino Linotype" w:cs="Arial"/>
          <w:i/>
        </w:rPr>
        <w:t>“</w:t>
      </w:r>
      <w:r w:rsidR="00305910" w:rsidRPr="00305910">
        <w:rPr>
          <w:rFonts w:ascii="Palatino Linotype" w:hAnsi="Palatino Linotype" w:cs="Arial"/>
          <w:i/>
        </w:rPr>
        <w:t>La reserva de la informacion por cinco años, cuando se debio analizar tambien si era procedente y oportuno proporcionar una version publica.</w:t>
      </w:r>
      <w:r w:rsidRPr="00305910">
        <w:rPr>
          <w:rFonts w:ascii="Palatino Linotype" w:hAnsi="Palatino Linotype" w:cs="Arial"/>
          <w:i/>
        </w:rPr>
        <w:t>” (sic)</w:t>
      </w:r>
    </w:p>
    <w:p w:rsidR="005419D3" w:rsidRDefault="005419D3" w:rsidP="00305910">
      <w:pPr>
        <w:spacing w:before="240" w:after="240" w:line="360" w:lineRule="auto"/>
        <w:ind w:right="49"/>
        <w:contextualSpacing/>
        <w:jc w:val="both"/>
        <w:rPr>
          <w:rFonts w:ascii="Palatino Linotype" w:hAnsi="Palatino Linotype"/>
        </w:rPr>
      </w:pPr>
      <w:r w:rsidRPr="009A7BF4">
        <w:rPr>
          <w:rFonts w:ascii="Palatino Linotype" w:hAnsi="Palatino Linotype" w:cs="Arial"/>
          <w:b/>
        </w:rPr>
        <w:t xml:space="preserve">4. </w:t>
      </w:r>
      <w:r w:rsidRPr="009A7BF4">
        <w:rPr>
          <w:rFonts w:ascii="Palatino Linotype" w:hAnsi="Palatino Linotype"/>
          <w:b/>
        </w:rPr>
        <w:t xml:space="preserve">Turno. </w:t>
      </w:r>
      <w:r w:rsidRPr="009A7BF4">
        <w:rPr>
          <w:rFonts w:ascii="Palatino Linotype" w:hAnsi="Palatino Linotype"/>
        </w:rPr>
        <w:t>De conformidad con el artículo 185</w:t>
      </w:r>
      <w:r w:rsidR="00305910">
        <w:rPr>
          <w:rFonts w:ascii="Palatino Linotype" w:hAnsi="Palatino Linotype"/>
        </w:rPr>
        <w:t>,</w:t>
      </w:r>
      <w:r w:rsidRPr="009A7BF4">
        <w:rPr>
          <w:rFonts w:ascii="Palatino Linotype" w:hAnsi="Palatino Linotype"/>
        </w:rPr>
        <w:t xml:space="preserve"> fracción I </w:t>
      </w:r>
      <w:r w:rsidRPr="009A7BF4">
        <w:rPr>
          <w:rFonts w:ascii="Palatino Linotype" w:hAnsi="Palatino Linotype"/>
          <w:shd w:val="clear" w:color="auto" w:fill="FFFFFF"/>
        </w:rPr>
        <w:t>de la Ley Transparencia y Acceso a la Información Pública</w:t>
      </w:r>
      <w:r w:rsidRPr="009A7BF4">
        <w:rPr>
          <w:rFonts w:ascii="Palatino Linotype" w:hAnsi="Palatino Linotype" w:cs="Arial"/>
        </w:rPr>
        <w:t xml:space="preserve">, el recurso de revisión número </w:t>
      </w:r>
      <w:r w:rsidR="00305910">
        <w:rPr>
          <w:rFonts w:ascii="Palatino Linotype" w:hAnsi="Palatino Linotype" w:cs="Arial"/>
          <w:b/>
        </w:rPr>
        <w:t>03889/INFOEM/IP/RR/2021</w:t>
      </w:r>
      <w:r w:rsidRPr="009A7BF4">
        <w:rPr>
          <w:rFonts w:ascii="Palatino Linotype" w:hAnsi="Palatino Linotype" w:cs="Arial"/>
          <w:b/>
        </w:rPr>
        <w:t xml:space="preserve"> </w:t>
      </w:r>
      <w:r w:rsidRPr="009A7BF4">
        <w:rPr>
          <w:rFonts w:ascii="Palatino Linotype" w:hAnsi="Palatino Linotype" w:cs="Arial"/>
          <w:bCs/>
          <w:lang w:eastAsia="es-MX"/>
        </w:rPr>
        <w:t xml:space="preserve">fue </w:t>
      </w:r>
      <w:r w:rsidRPr="009A7BF4">
        <w:rPr>
          <w:rFonts w:ascii="Palatino Linotype" w:hAnsi="Palatino Linotype"/>
        </w:rPr>
        <w:t>turnado a</w:t>
      </w:r>
      <w:r w:rsidR="00305910">
        <w:rPr>
          <w:rFonts w:ascii="Palatino Linotype" w:hAnsi="Palatino Linotype"/>
        </w:rPr>
        <w:t xml:space="preserve"> la Comisionada Ponente Guadalupe Ramírez Peña</w:t>
      </w:r>
      <w:r w:rsidRPr="009A7BF4">
        <w:rPr>
          <w:rFonts w:ascii="Palatino Linotype" w:hAnsi="Palatino Linotype"/>
        </w:rPr>
        <w:t>; a efecto de presentar al Pleno el proyecto de resolución correspondiente.</w:t>
      </w:r>
    </w:p>
    <w:p w:rsidR="00305910" w:rsidRPr="009A7BF4" w:rsidRDefault="00305910" w:rsidP="00305910">
      <w:pPr>
        <w:spacing w:before="240" w:after="240" w:line="360" w:lineRule="auto"/>
        <w:ind w:right="49"/>
        <w:contextualSpacing/>
        <w:jc w:val="both"/>
        <w:rPr>
          <w:rFonts w:ascii="Palatino Linotype" w:hAnsi="Palatino Linotype"/>
        </w:rPr>
      </w:pPr>
    </w:p>
    <w:p w:rsidR="005419D3" w:rsidRPr="009A7BF4" w:rsidRDefault="005419D3" w:rsidP="005419D3">
      <w:pPr>
        <w:spacing w:before="240" w:after="240" w:line="360" w:lineRule="auto"/>
        <w:jc w:val="both"/>
        <w:rPr>
          <w:rFonts w:ascii="Palatino Linotype" w:hAnsi="Palatino Linotype"/>
        </w:rPr>
      </w:pPr>
      <w:r w:rsidRPr="009A7BF4">
        <w:rPr>
          <w:rFonts w:ascii="Palatino Linotype" w:hAnsi="Palatino Linotype"/>
          <w:b/>
        </w:rPr>
        <w:t xml:space="preserve">5. Admisión. </w:t>
      </w:r>
      <w:r w:rsidRPr="009A7BF4">
        <w:rPr>
          <w:rFonts w:ascii="Palatino Linotype" w:hAnsi="Palatino Linotype"/>
        </w:rPr>
        <w:t xml:space="preserve">En fecha </w:t>
      </w:r>
      <w:r w:rsidR="00305910">
        <w:rPr>
          <w:rFonts w:ascii="Palatino Linotype" w:hAnsi="Palatino Linotype"/>
        </w:rPr>
        <w:t>cinco de agosto</w:t>
      </w:r>
      <w:r w:rsidRPr="009A7BF4">
        <w:rPr>
          <w:rFonts w:ascii="Palatino Linotype" w:hAnsi="Palatino Linotype"/>
        </w:rPr>
        <w:t xml:space="preserve"> de</w:t>
      </w:r>
      <w:r w:rsidR="00305910">
        <w:rPr>
          <w:rFonts w:ascii="Palatino Linotype" w:hAnsi="Palatino Linotype"/>
        </w:rPr>
        <w:t>l dos mil veintiuno</w:t>
      </w:r>
      <w:r w:rsidRPr="009A7BF4">
        <w:rPr>
          <w:rFonts w:ascii="Palatino Linotype" w:hAnsi="Palatino Linotype"/>
        </w:rPr>
        <w:t>, en términos de lo dispuesto en el artículo 185 fracciones I, II y IV de la Ley de Transparencia y Acceso a la Información Pública del Estado de México y Municipios, se admitió a trámite el presente recurso de revisión.</w:t>
      </w:r>
    </w:p>
    <w:p w:rsidR="00305910" w:rsidRDefault="005419D3" w:rsidP="00305910">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rPr>
      </w:pPr>
      <w:r w:rsidRPr="00D27764">
        <w:rPr>
          <w:rFonts w:ascii="Palatino Linotype" w:hAnsi="Palatino Linotype" w:cs="Arial"/>
          <w:b/>
        </w:rPr>
        <w:t>6. Manifestaciones</w:t>
      </w:r>
      <w:r w:rsidRPr="00D27764">
        <w:rPr>
          <w:rFonts w:ascii="Palatino Linotype" w:hAnsi="Palatino Linotype" w:cs="Arial"/>
        </w:rPr>
        <w:t xml:space="preserve">: </w:t>
      </w:r>
      <w:r w:rsidR="00305910">
        <w:rPr>
          <w:rFonts w:ascii="Palatino Linotype" w:hAnsi="Palatino Linotype" w:cs="Arial"/>
        </w:rPr>
        <w:t>De las constancias que integran el expediente en que se actúa se advierte que la recurrente fue omisa en ofrecer pruebas y alegatos.</w:t>
      </w:r>
    </w:p>
    <w:p w:rsidR="00305910" w:rsidRDefault="00305910" w:rsidP="00305910">
      <w:pPr>
        <w:spacing w:line="360" w:lineRule="auto"/>
        <w:jc w:val="both"/>
        <w:rPr>
          <w:rFonts w:ascii="Palatino Linotype" w:hAnsi="Palatino Linotype" w:cs="Arial"/>
        </w:rPr>
      </w:pPr>
      <w:r>
        <w:rPr>
          <w:rFonts w:ascii="Palatino Linotype" w:hAnsi="Palatino Linotype" w:cs="Arial"/>
        </w:rPr>
        <w:t xml:space="preserve">Por su parte, el </w:t>
      </w:r>
      <w:r>
        <w:rPr>
          <w:rFonts w:ascii="Palatino Linotype" w:hAnsi="Palatino Linotype" w:cs="Arial"/>
          <w:b/>
        </w:rPr>
        <w:t>Sujeto Obligado</w:t>
      </w:r>
      <w:r>
        <w:rPr>
          <w:rFonts w:ascii="Palatino Linotype" w:hAnsi="Palatino Linotype" w:cs="Arial"/>
        </w:rPr>
        <w:t xml:space="preserve"> en fecha dieciséis de agosto del dos mil veintiuno, remite en vía informe justificado, remitió los siguientes archivos electrónicos siguientes:</w:t>
      </w:r>
    </w:p>
    <w:p w:rsidR="00305910" w:rsidRDefault="00305910" w:rsidP="00305910">
      <w:pPr>
        <w:spacing w:line="360" w:lineRule="auto"/>
        <w:jc w:val="both"/>
        <w:rPr>
          <w:rFonts w:ascii="Palatino Linotype" w:hAnsi="Palatino Linotype" w:cs="Arial"/>
        </w:rPr>
      </w:pPr>
    </w:p>
    <w:p w:rsidR="00305910" w:rsidRPr="00F163AA" w:rsidRDefault="00305910" w:rsidP="00305910">
      <w:pPr>
        <w:spacing w:line="360" w:lineRule="auto"/>
        <w:contextualSpacing/>
        <w:jc w:val="both"/>
        <w:rPr>
          <w:rFonts w:ascii="Arial" w:hAnsi="Arial" w:cs="Arial"/>
          <w:lang w:eastAsia="en-US"/>
        </w:rPr>
      </w:pPr>
      <w:r w:rsidRPr="00305910">
        <w:rPr>
          <w:rFonts w:ascii="Palatino Linotype" w:hAnsi="Palatino Linotype"/>
        </w:rPr>
        <w:lastRenderedPageBreak/>
        <w:t>“</w:t>
      </w:r>
      <w:hyperlink r:id="rId11" w:history="1">
        <w:r w:rsidRPr="00305910">
          <w:rPr>
            <w:rFonts w:ascii="Palatino Linotype" w:hAnsi="Palatino Linotype"/>
          </w:rPr>
          <w:t>384 INFOR JUSTIF SAP.pdf</w:t>
        </w:r>
      </w:hyperlink>
      <w:r w:rsidRPr="00F163AA">
        <w:rPr>
          <w:rFonts w:ascii="Palatino Linotype" w:hAnsi="Palatino Linotype" w:cs="Arial"/>
        </w:rPr>
        <w:t xml:space="preserve">” y </w:t>
      </w:r>
      <w:r>
        <w:rPr>
          <w:rFonts w:ascii="Palatino Linotype" w:hAnsi="Palatino Linotype" w:cs="Arial"/>
        </w:rPr>
        <w:t>“</w:t>
      </w:r>
      <w:hyperlink r:id="rId12" w:history="1">
        <w:r w:rsidRPr="00305910">
          <w:rPr>
            <w:rFonts w:ascii="Palatino Linotype" w:hAnsi="Palatino Linotype"/>
          </w:rPr>
          <w:t>RR. 3889 Informe justificado.pdf</w:t>
        </w:r>
      </w:hyperlink>
      <w:r w:rsidRPr="00305910">
        <w:rPr>
          <w:rFonts w:ascii="Palatino Linotype" w:hAnsi="Palatino Linotype"/>
        </w:rPr>
        <w:t>”, l</w:t>
      </w:r>
      <w:r>
        <w:rPr>
          <w:rFonts w:ascii="Palatino Linotype" w:hAnsi="Palatino Linotype" w:cs="Arial"/>
        </w:rPr>
        <w:t xml:space="preserve">os cuales se determinó </w:t>
      </w:r>
      <w:r w:rsidR="005319C9">
        <w:rPr>
          <w:rFonts w:ascii="Palatino Linotype" w:hAnsi="Palatino Linotype" w:cs="Arial"/>
        </w:rPr>
        <w:t xml:space="preserve">no </w:t>
      </w:r>
      <w:r>
        <w:rPr>
          <w:rFonts w:ascii="Palatino Linotype" w:hAnsi="Palatino Linotype" w:cs="Arial"/>
        </w:rPr>
        <w:t xml:space="preserve">poner a la vista del recurrente en razón </w:t>
      </w:r>
      <w:r w:rsidR="005319C9">
        <w:rPr>
          <w:rFonts w:ascii="Palatino Linotype" w:hAnsi="Palatino Linotype" w:cs="Arial"/>
        </w:rPr>
        <w:t>de que no</w:t>
      </w:r>
      <w:r>
        <w:rPr>
          <w:rFonts w:ascii="Palatino Linotype" w:hAnsi="Palatino Linotype" w:cs="Arial"/>
        </w:rPr>
        <w:t xml:space="preserve"> actualiza el articulo artículo 185 de la Ley de Transparencia y Acceso a la Información Pública del Estado de México y Municipios</w:t>
      </w:r>
      <w:r w:rsidR="005319C9">
        <w:rPr>
          <w:rFonts w:ascii="Palatino Linotype" w:hAnsi="Palatino Linotype" w:cs="Arial"/>
        </w:rPr>
        <w:t>; ya que el Sujeto Obligado confirmó su respuesta inicial.</w:t>
      </w:r>
    </w:p>
    <w:p w:rsidR="005419D3" w:rsidRDefault="005419D3" w:rsidP="00305910">
      <w:pPr>
        <w:spacing w:after="240" w:line="360" w:lineRule="auto"/>
        <w:contextualSpacing/>
        <w:jc w:val="both"/>
        <w:rPr>
          <w:rFonts w:ascii="Palatino Linotype" w:hAnsi="Palatino Linotype"/>
          <w:b/>
        </w:rPr>
      </w:pPr>
    </w:p>
    <w:p w:rsidR="005419D3" w:rsidRDefault="005419D3" w:rsidP="005319C9">
      <w:pPr>
        <w:spacing w:line="360" w:lineRule="auto"/>
        <w:jc w:val="both"/>
        <w:rPr>
          <w:rFonts w:ascii="Palatino Linotype" w:hAnsi="Palatino Linotype" w:cs="Arial"/>
        </w:rPr>
      </w:pPr>
      <w:r w:rsidRPr="00926EE0">
        <w:rPr>
          <w:rFonts w:ascii="Palatino Linotype" w:hAnsi="Palatino Linotype"/>
          <w:b/>
        </w:rPr>
        <w:t xml:space="preserve">7. </w:t>
      </w:r>
      <w:r w:rsidRPr="009A7BF4">
        <w:rPr>
          <w:rFonts w:ascii="Palatino Linotype" w:hAnsi="Palatino Linotype"/>
          <w:b/>
        </w:rPr>
        <w:t xml:space="preserve">Cierre de Instrucción. </w:t>
      </w:r>
      <w:r w:rsidR="005319C9">
        <w:rPr>
          <w:rFonts w:ascii="Palatino Linotype" w:hAnsi="Palatino Linotype"/>
        </w:rPr>
        <w:t>En fecha diecisiete de septiembre</w:t>
      </w:r>
      <w:r>
        <w:rPr>
          <w:rFonts w:ascii="Palatino Linotype" w:hAnsi="Palatino Linotype"/>
        </w:rPr>
        <w:t xml:space="preserve"> </w:t>
      </w:r>
      <w:r w:rsidRPr="009A7BF4">
        <w:rPr>
          <w:rFonts w:ascii="Palatino Linotype" w:hAnsi="Palatino Linotype"/>
        </w:rPr>
        <w:t>de</w:t>
      </w:r>
      <w:r w:rsidR="005319C9">
        <w:rPr>
          <w:rFonts w:ascii="Palatino Linotype" w:hAnsi="Palatino Linotype"/>
        </w:rPr>
        <w:t>l dos mil veintiuno</w:t>
      </w:r>
      <w:r w:rsidRPr="009A7BF4">
        <w:rPr>
          <w:rFonts w:ascii="Palatino Linotype" w:hAnsi="Palatino Linotype"/>
        </w:rPr>
        <w:t xml:space="preserve">, con fundamento en lo establecido en los artículos 185, fracción VI de la </w:t>
      </w:r>
      <w:r w:rsidRPr="009A7BF4">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5419D3" w:rsidRPr="009A7BF4" w:rsidRDefault="005419D3" w:rsidP="005419D3">
      <w:pPr>
        <w:pStyle w:val="Prrafodelista"/>
        <w:numPr>
          <w:ilvl w:val="0"/>
          <w:numId w:val="1"/>
        </w:numPr>
        <w:spacing w:before="240" w:after="240" w:line="360" w:lineRule="auto"/>
        <w:contextualSpacing w:val="0"/>
        <w:jc w:val="center"/>
        <w:rPr>
          <w:rFonts w:ascii="Palatino Linotype" w:hAnsi="Palatino Linotype" w:cs="Arial"/>
          <w:b/>
        </w:rPr>
      </w:pPr>
      <w:r w:rsidRPr="009A7BF4">
        <w:rPr>
          <w:rFonts w:ascii="Palatino Linotype" w:hAnsi="Palatino Linotype" w:cs="Arial"/>
          <w:b/>
        </w:rPr>
        <w:t>C O N S I D E R A N D O:</w:t>
      </w:r>
    </w:p>
    <w:p w:rsidR="005419D3" w:rsidRPr="009A7BF4" w:rsidRDefault="005419D3" w:rsidP="005419D3">
      <w:pPr>
        <w:spacing w:before="240" w:after="240" w:line="360" w:lineRule="auto"/>
        <w:jc w:val="both"/>
        <w:rPr>
          <w:rFonts w:ascii="Palatino Linotype" w:hAnsi="Palatino Linotype"/>
          <w:shd w:val="clear" w:color="auto" w:fill="FFFFFF"/>
        </w:rPr>
      </w:pPr>
      <w:r w:rsidRPr="009A7BF4">
        <w:rPr>
          <w:rFonts w:ascii="Palatino Linotype" w:hAnsi="Palatino Linotype" w:cs="Arial"/>
          <w:b/>
        </w:rPr>
        <w:t xml:space="preserve">Primero. Competencia. </w:t>
      </w:r>
      <w:r w:rsidRPr="009A7BF4">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w:t>
      </w:r>
      <w:r w:rsidR="005319C9">
        <w:rPr>
          <w:rFonts w:ascii="Palatino Linotype" w:hAnsi="Palatino Linotype"/>
          <w:shd w:val="clear" w:color="auto" w:fill="FFFFFF"/>
        </w:rPr>
        <w:t>os; 5, párrafos vigésimo noveno, trigésimo y trigésimo tercero</w:t>
      </w:r>
      <w:r w:rsidRPr="009A7BF4">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3 y 185 de la Ley Transparencia y Acceso a la Información Pública;</w:t>
      </w:r>
      <w:r w:rsidRPr="009A7BF4">
        <w:rPr>
          <w:rStyle w:val="apple-converted-space"/>
          <w:rFonts w:ascii="Palatino Linotype" w:hAnsi="Palatino Linotype"/>
          <w:shd w:val="clear" w:color="auto" w:fill="FFFFFF"/>
        </w:rPr>
        <w:t xml:space="preserve"> 7, </w:t>
      </w:r>
      <w:r w:rsidRPr="009A7BF4">
        <w:rPr>
          <w:rFonts w:ascii="Palatino Linotype" w:hAnsi="Palatino Linotype" w:cs="Arial"/>
        </w:rPr>
        <w:t xml:space="preserve">9, fracciones I y XXIV y 11 </w:t>
      </w:r>
      <w:r w:rsidRPr="009A7BF4">
        <w:rPr>
          <w:rFonts w:ascii="Palatino Linotype" w:hAnsi="Palatino Linotype"/>
          <w:shd w:val="clear" w:color="auto" w:fill="FFFFFF"/>
        </w:rPr>
        <w:t xml:space="preserve">del Reglamento Interior del Instituto de </w:t>
      </w:r>
      <w:r w:rsidRPr="009A7BF4">
        <w:rPr>
          <w:rFonts w:ascii="Palatino Linotype" w:hAnsi="Palatino Linotype"/>
          <w:shd w:val="clear" w:color="auto" w:fill="FFFFFF"/>
        </w:rPr>
        <w:lastRenderedPageBreak/>
        <w:t>Transparencia, Acceso a la Información Pública y Protección de Datos Personales del Estado de México y Municipios.</w:t>
      </w:r>
    </w:p>
    <w:p w:rsidR="005419D3" w:rsidRPr="009A7BF4" w:rsidRDefault="005419D3" w:rsidP="005419D3">
      <w:pPr>
        <w:spacing w:before="240" w:after="240" w:line="360" w:lineRule="auto"/>
        <w:jc w:val="both"/>
        <w:rPr>
          <w:rFonts w:ascii="Palatino Linotype" w:hAnsi="Palatino Linotype" w:cs="Arial"/>
          <w:lang w:eastAsia="es-MX"/>
        </w:rPr>
      </w:pPr>
      <w:r w:rsidRPr="009A7BF4">
        <w:rPr>
          <w:rFonts w:ascii="Palatino Linotype" w:hAnsi="Palatino Linotype" w:cs="Arial"/>
          <w:b/>
        </w:rPr>
        <w:t xml:space="preserve">Segundo. Oportunidad y Procedibilidad. </w:t>
      </w:r>
      <w:r w:rsidRPr="009A7BF4">
        <w:rPr>
          <w:rFonts w:ascii="Palatino Linotype" w:hAnsi="Palatino Linotype" w:cs="Arial"/>
        </w:rPr>
        <w:t xml:space="preserve">Previo al estudio del fondo del asunto, se procede a analizar los requisitos de oportunidad y procedibilidad que deben reunir los recursos de revisión interpuestos, previstos en los artículos </w:t>
      </w:r>
      <w:r w:rsidRPr="009A7BF4">
        <w:rPr>
          <w:rFonts w:ascii="Palatino Linotype" w:hAnsi="Palatino Linotype" w:cs="Arial"/>
          <w:lang w:eastAsia="es-MX"/>
        </w:rPr>
        <w:t>178 y 180 de la Ley de Transparencia y Acceso a la Información Pública del Estado de México y Municipios</w:t>
      </w:r>
      <w:r w:rsidRPr="009A7BF4">
        <w:rPr>
          <w:rFonts w:ascii="Palatino Linotype" w:hAnsi="Palatino Linotype" w:cs="Arial"/>
        </w:rPr>
        <w:t>.</w:t>
      </w:r>
    </w:p>
    <w:p w:rsidR="005319C9" w:rsidRPr="005319C9" w:rsidRDefault="005419D3" w:rsidP="005319C9">
      <w:pPr>
        <w:spacing w:before="240" w:after="240" w:line="360" w:lineRule="auto"/>
        <w:jc w:val="both"/>
        <w:rPr>
          <w:rFonts w:ascii="Palatino Linotype" w:hAnsi="Palatino Linotype"/>
        </w:rPr>
      </w:pPr>
      <w:r w:rsidRPr="009A7BF4">
        <w:rPr>
          <w:rFonts w:ascii="Palatino Linotype" w:hAnsi="Palatino Linotype" w:cs="Arial"/>
        </w:rPr>
        <w:t xml:space="preserve">El recurso de revisión fue interpuesto dentro del plazo de quince días hábiles, previsto en el artículo 178 de la </w:t>
      </w:r>
      <w:r w:rsidRPr="009A7BF4">
        <w:rPr>
          <w:rFonts w:ascii="Palatino Linotype" w:hAnsi="Palatino Linotype" w:cs="Arial"/>
          <w:lang w:eastAsia="es-MX"/>
        </w:rPr>
        <w:t>Ley de Transparencia y Acceso a la Información Pública del Estado de México y Municipios</w:t>
      </w:r>
      <w:r w:rsidRPr="009A7BF4">
        <w:rPr>
          <w:rFonts w:ascii="Palatino Linotype" w:hAnsi="Palatino Linotype" w:cs="Arial"/>
        </w:rPr>
        <w:t xml:space="preserve">, ya que el Sujeto Obligado proporcionó respuesta a la solicitud de información </w:t>
      </w:r>
      <w:r w:rsidR="005319C9">
        <w:rPr>
          <w:rFonts w:ascii="Palatino Linotype" w:hAnsi="Palatino Linotype" w:cs="Arial"/>
        </w:rPr>
        <w:t>el dos de agosto</w:t>
      </w:r>
      <w:r>
        <w:rPr>
          <w:rFonts w:ascii="Palatino Linotype" w:hAnsi="Palatino Linotype" w:cs="Arial"/>
        </w:rPr>
        <w:t xml:space="preserve"> </w:t>
      </w:r>
      <w:r w:rsidRPr="009A7BF4">
        <w:rPr>
          <w:rFonts w:ascii="Palatino Linotype" w:hAnsi="Palatino Linotype" w:cs="Arial"/>
        </w:rPr>
        <w:t>de</w:t>
      </w:r>
      <w:r w:rsidR="005319C9">
        <w:rPr>
          <w:rFonts w:ascii="Palatino Linotype" w:hAnsi="Palatino Linotype" w:cs="Arial"/>
        </w:rPr>
        <w:t>l dos mil veintiuno</w:t>
      </w:r>
      <w:r w:rsidRPr="009A7BF4">
        <w:rPr>
          <w:rFonts w:ascii="Palatino Linotype" w:hAnsi="Palatino Linotype" w:cs="Arial"/>
        </w:rPr>
        <w:t xml:space="preserve">, mientras que el recurrente </w:t>
      </w:r>
      <w:r w:rsidRPr="009A7BF4">
        <w:rPr>
          <w:rFonts w:ascii="Palatino Linotype" w:hAnsi="Palatino Linotype"/>
        </w:rPr>
        <w:t>inte</w:t>
      </w:r>
      <w:r w:rsidR="005319C9">
        <w:rPr>
          <w:rFonts w:ascii="Palatino Linotype" w:hAnsi="Palatino Linotype"/>
        </w:rPr>
        <w:t>rpuso el recurso de revisión el</w:t>
      </w:r>
      <w:r w:rsidR="005319C9">
        <w:rPr>
          <w:rFonts w:ascii="Palatino Linotype" w:eastAsia="Palatino Linotype" w:hAnsi="Palatino Linotype" w:cs="Palatino Linotype"/>
        </w:rPr>
        <w:t xml:space="preserve"> </w:t>
      </w:r>
      <w:r w:rsidR="005319C9" w:rsidRPr="005319C9">
        <w:rPr>
          <w:rFonts w:ascii="Palatino Linotype" w:hAnsi="Palatino Linotype"/>
        </w:rPr>
        <w:t>mismo día, mes y año, esto es el mismo día hábil en el que tuvo conocimiento de la respuesta; circunstancia que no es determinante para declararlo extemporáneo, toda vez que el tiempo concedido es para delimitar el término en que puede impugnarse la respuesta, lo cual no impide que se presente antes de iniciado el plazo previsto.</w:t>
      </w:r>
    </w:p>
    <w:p w:rsidR="005319C9" w:rsidRPr="005319C9" w:rsidRDefault="005319C9" w:rsidP="005319C9">
      <w:pPr>
        <w:spacing w:before="240" w:after="240" w:line="360" w:lineRule="auto"/>
        <w:jc w:val="both"/>
        <w:rPr>
          <w:rFonts w:ascii="Palatino Linotype" w:hAnsi="Palatino Linotype"/>
        </w:rPr>
      </w:pPr>
      <w:r w:rsidRPr="005319C9">
        <w:rPr>
          <w:rFonts w:ascii="Palatino Linotype" w:hAnsi="Palatino Linotype"/>
        </w:rPr>
        <w:t>Resulta aplicable el siguiente criterio de este Órgano Garante que se robustece con la jurisprudencia número la./J.41/2015 (l0a.), Décima época, sustentada por la Primera Sala de la Suprema Corte de Justicia de la Nación, visible en la página 569, libro 19, tomo I, de la Gaceta del Semanario Judicial de la Federación, del mes de junio de 2015, cuyo rubro y texto esgrimen:</w:t>
      </w:r>
    </w:p>
    <w:p w:rsidR="005319C9" w:rsidRPr="00CD4EFB" w:rsidRDefault="005319C9" w:rsidP="005319C9">
      <w:pPr>
        <w:pStyle w:val="Textoindependiente"/>
        <w:kinsoku w:val="0"/>
        <w:overflowPunct w:val="0"/>
        <w:spacing w:before="5"/>
        <w:rPr>
          <w:i/>
          <w:iCs/>
          <w:sz w:val="24"/>
          <w:szCs w:val="24"/>
          <w:highlight w:val="yellow"/>
        </w:rPr>
      </w:pPr>
    </w:p>
    <w:p w:rsidR="005319C9" w:rsidRPr="005319C9" w:rsidRDefault="005319C9" w:rsidP="005319C9">
      <w:pPr>
        <w:pStyle w:val="Prrafodelista"/>
        <w:autoSpaceDE w:val="0"/>
        <w:autoSpaceDN w:val="0"/>
        <w:adjustRightInd w:val="0"/>
        <w:ind w:left="567" w:right="760"/>
        <w:jc w:val="both"/>
        <w:rPr>
          <w:rFonts w:ascii="Palatino Linotype" w:hAnsi="Palatino Linotype" w:cs="Arial"/>
          <w:i/>
          <w:sz w:val="22"/>
          <w:szCs w:val="22"/>
        </w:rPr>
      </w:pPr>
      <w:r w:rsidRPr="005319C9">
        <w:rPr>
          <w:rFonts w:ascii="Palatino Linotype" w:hAnsi="Palatino Linotype" w:cs="Arial"/>
          <w:sz w:val="22"/>
          <w:szCs w:val="22"/>
        </w:rPr>
        <w:lastRenderedPageBreak/>
        <w:t>"</w:t>
      </w:r>
      <w:r w:rsidRPr="005319C9">
        <w:rPr>
          <w:rFonts w:ascii="Palatino Linotype" w:hAnsi="Palatino Linotype" w:cs="Arial"/>
          <w:i/>
          <w:sz w:val="22"/>
          <w:szCs w:val="22"/>
        </w:rPr>
        <w:t>RECURSO DE RECLAMACIÓN. SU INTERPOSICIÓN NO ES EXTEMPORÁNEA SI SE REALIZA ANTES DE QUE INICIE EL PLAZO PARA HACERLO.</w:t>
      </w:r>
    </w:p>
    <w:p w:rsidR="005319C9" w:rsidRPr="005319C9" w:rsidRDefault="005319C9" w:rsidP="005319C9">
      <w:pPr>
        <w:pStyle w:val="Prrafodelista"/>
        <w:autoSpaceDE w:val="0"/>
        <w:autoSpaceDN w:val="0"/>
        <w:adjustRightInd w:val="0"/>
        <w:ind w:left="567" w:right="760"/>
        <w:jc w:val="both"/>
        <w:rPr>
          <w:rFonts w:ascii="Palatino Linotype" w:hAnsi="Palatino Linotype" w:cs="Arial"/>
          <w:i/>
          <w:sz w:val="22"/>
          <w:szCs w:val="22"/>
        </w:rPr>
      </w:pPr>
      <w:r w:rsidRPr="005319C9">
        <w:rPr>
          <w:rFonts w:ascii="Palatino Linotype" w:hAnsi="Palatino Linotype" w:cs="Arial"/>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rsidR="005319C9" w:rsidRPr="005319C9" w:rsidRDefault="005319C9" w:rsidP="005319C9">
      <w:pPr>
        <w:pStyle w:val="Prrafodelista"/>
        <w:autoSpaceDE w:val="0"/>
        <w:autoSpaceDN w:val="0"/>
        <w:adjustRightInd w:val="0"/>
        <w:ind w:left="567" w:right="760"/>
        <w:jc w:val="both"/>
        <w:rPr>
          <w:rFonts w:ascii="Palatino Linotype" w:hAnsi="Palatino Linotype" w:cs="Arial"/>
          <w:sz w:val="22"/>
          <w:szCs w:val="22"/>
        </w:rPr>
      </w:pPr>
      <w:r w:rsidRPr="005319C9">
        <w:rPr>
          <w:rFonts w:ascii="Palatino Linotype" w:hAnsi="Palatino Linotype" w:cs="Arial"/>
          <w:i/>
          <w:sz w:val="22"/>
          <w:szCs w:val="22"/>
        </w:rPr>
        <w:t>De ahí que si dicho recurso se interpone antes de que inicie el plazo para hacerlo, su presentación no es extemporánea…</w:t>
      </w:r>
      <w:r w:rsidRPr="005319C9">
        <w:rPr>
          <w:rFonts w:ascii="Palatino Linotype" w:hAnsi="Palatino Linotype" w:cs="Arial"/>
          <w:sz w:val="22"/>
          <w:szCs w:val="22"/>
        </w:rPr>
        <w:t>"(Sic)</w:t>
      </w:r>
    </w:p>
    <w:p w:rsidR="005419D3" w:rsidRDefault="005419D3" w:rsidP="005419D3">
      <w:pPr>
        <w:tabs>
          <w:tab w:val="left" w:pos="8647"/>
        </w:tabs>
        <w:spacing w:before="240" w:after="240" w:line="360" w:lineRule="auto"/>
        <w:jc w:val="both"/>
        <w:rPr>
          <w:rFonts w:ascii="Palatino Linotype" w:hAnsi="Palatino Linotype" w:cs="Arial"/>
          <w:b/>
        </w:rPr>
      </w:pPr>
      <w:r>
        <w:rPr>
          <w:rFonts w:ascii="Palatino Linotype" w:hAnsi="Palatino Linotype" w:cs="Arial"/>
          <w:b/>
        </w:rPr>
        <w:t>Tercero</w:t>
      </w:r>
      <w:r w:rsidRPr="00AD2E75">
        <w:rPr>
          <w:rFonts w:ascii="Palatino Linotype" w:hAnsi="Palatino Linotype" w:cs="Arial"/>
          <w:b/>
        </w:rPr>
        <w:t xml:space="preserve">. Materia de la revisión. </w:t>
      </w:r>
      <w:r w:rsidRPr="00AD2E75">
        <w:rPr>
          <w:rFonts w:ascii="Palatino Linotype" w:hAnsi="Palatino Linotype" w:cs="Arial"/>
        </w:rPr>
        <w:t xml:space="preserve">De la revisión a las constancias que obran en el expediente electrónico se advierte que el tema sobre el que este Instituto se pronunciará será: </w:t>
      </w:r>
      <w:r w:rsidRPr="00AD2E75">
        <w:rPr>
          <w:rFonts w:ascii="Palatino Linotype" w:hAnsi="Palatino Linotype" w:cs="Arial"/>
          <w:b/>
        </w:rPr>
        <w:t>verificar si la respuesta otorgada por parte del Sujeto Obligado satisface el requerimiento del ahora recurrente, o en su caso procede ordenar la en</w:t>
      </w:r>
      <w:r>
        <w:rPr>
          <w:rFonts w:ascii="Palatino Linotype" w:hAnsi="Palatino Linotype" w:cs="Arial"/>
          <w:b/>
        </w:rPr>
        <w:t>trega de la información correspondiente</w:t>
      </w:r>
      <w:r w:rsidRPr="00AD2E75">
        <w:rPr>
          <w:rFonts w:ascii="Palatino Linotype" w:hAnsi="Palatino Linotype" w:cs="Arial"/>
          <w:b/>
        </w:rPr>
        <w:t>.</w:t>
      </w:r>
    </w:p>
    <w:p w:rsidR="005419D3" w:rsidRPr="009A7BF4" w:rsidRDefault="005419D3" w:rsidP="005419D3">
      <w:pPr>
        <w:spacing w:before="240" w:after="240" w:line="360" w:lineRule="auto"/>
        <w:jc w:val="both"/>
        <w:rPr>
          <w:rFonts w:ascii="Palatino Linotype" w:hAnsi="Palatino Linotype" w:cs="Arial"/>
        </w:rPr>
      </w:pPr>
      <w:r>
        <w:rPr>
          <w:rFonts w:ascii="Palatino Linotype" w:hAnsi="Palatino Linotype" w:cs="Arial"/>
          <w:b/>
        </w:rPr>
        <w:t>Cuar</w:t>
      </w:r>
      <w:r w:rsidRPr="009A7BF4">
        <w:rPr>
          <w:rFonts w:ascii="Palatino Linotype" w:hAnsi="Palatino Linotype" w:cs="Arial"/>
          <w:b/>
        </w:rPr>
        <w:t xml:space="preserve">to. Estudio del asunto. </w:t>
      </w:r>
      <w:r w:rsidRPr="009A7BF4">
        <w:rPr>
          <w:rFonts w:ascii="Palatino Linotype" w:hAnsi="Palatino Linotype" w:cs="Arial"/>
        </w:rPr>
        <w:t>Antes de entrar al estudio de la presente resolución es preciso determinar si resulta procedente la interposición del recurso de revisión al rubro anotado, toda vez que se actualiza las hipótesis previstas en e</w:t>
      </w:r>
      <w:r w:rsidR="005319C9">
        <w:rPr>
          <w:rFonts w:ascii="Palatino Linotype" w:hAnsi="Palatino Linotype" w:cs="Arial"/>
        </w:rPr>
        <w:t>l artículo 179, fracciones II</w:t>
      </w:r>
      <w:r w:rsidRPr="009A7BF4">
        <w:rPr>
          <w:rFonts w:ascii="Palatino Linotype" w:hAnsi="Palatino Linotype" w:cs="Arial"/>
        </w:rPr>
        <w:t xml:space="preserve"> de la ley de la materia, que a la letra dice:</w:t>
      </w:r>
    </w:p>
    <w:p w:rsidR="005419D3" w:rsidRPr="00E215C4" w:rsidRDefault="005419D3" w:rsidP="005419D3">
      <w:pPr>
        <w:autoSpaceDE w:val="0"/>
        <w:autoSpaceDN w:val="0"/>
        <w:adjustRightInd w:val="0"/>
        <w:ind w:left="1276" w:right="1752"/>
        <w:jc w:val="both"/>
        <w:rPr>
          <w:rFonts w:ascii="Palatino Linotype" w:hAnsi="Palatino Linotype" w:cs="Arial"/>
          <w:i/>
          <w:sz w:val="22"/>
          <w:szCs w:val="22"/>
        </w:rPr>
      </w:pPr>
      <w:r w:rsidRPr="009A7BF4">
        <w:rPr>
          <w:rFonts w:ascii="Palatino Linotype" w:hAnsi="Palatino Linotype" w:cs="Arial"/>
          <w:bCs/>
          <w:i/>
          <w:sz w:val="22"/>
          <w:szCs w:val="22"/>
        </w:rPr>
        <w:t>“</w:t>
      </w:r>
      <w:r w:rsidRPr="009A7BF4">
        <w:rPr>
          <w:rFonts w:ascii="Palatino Linotype" w:hAnsi="Palatino Linotype" w:cs="Arial"/>
          <w:b/>
          <w:bCs/>
          <w:i/>
          <w:sz w:val="22"/>
          <w:szCs w:val="22"/>
        </w:rPr>
        <w:t xml:space="preserve">Artículo 179. </w:t>
      </w:r>
      <w:r w:rsidRPr="009A7BF4">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5319C9">
        <w:rPr>
          <w:rFonts w:ascii="Palatino Linotype" w:hAnsi="Palatino Linotype" w:cs="Arial"/>
          <w:i/>
          <w:sz w:val="22"/>
          <w:szCs w:val="22"/>
        </w:rPr>
        <w:t>causas</w:t>
      </w:r>
      <w:r w:rsidRPr="009A7BF4">
        <w:rPr>
          <w:rFonts w:ascii="Palatino Linotype" w:hAnsi="Palatino Linotype" w:cs="Arial"/>
          <w:i/>
          <w:sz w:val="22"/>
          <w:szCs w:val="22"/>
        </w:rPr>
        <w:t>:</w:t>
      </w:r>
    </w:p>
    <w:p w:rsidR="005319C9" w:rsidRPr="005319C9" w:rsidRDefault="005319C9" w:rsidP="005419D3">
      <w:pPr>
        <w:autoSpaceDE w:val="0"/>
        <w:autoSpaceDN w:val="0"/>
        <w:adjustRightInd w:val="0"/>
        <w:ind w:left="1276" w:right="1752"/>
        <w:jc w:val="both"/>
        <w:rPr>
          <w:rFonts w:ascii="Palatino Linotype" w:hAnsi="Palatino Linotype" w:cs="Arial"/>
          <w:i/>
          <w:sz w:val="22"/>
          <w:szCs w:val="22"/>
        </w:rPr>
      </w:pPr>
      <w:r w:rsidRPr="005319C9">
        <w:rPr>
          <w:rFonts w:ascii="Palatino Linotype" w:hAnsi="Palatino Linotype" w:cs="Arial"/>
          <w:i/>
          <w:sz w:val="22"/>
          <w:szCs w:val="22"/>
        </w:rPr>
        <w:t>…</w:t>
      </w:r>
    </w:p>
    <w:p w:rsidR="005419D3" w:rsidRPr="005319C9" w:rsidRDefault="005319C9" w:rsidP="005419D3">
      <w:pPr>
        <w:autoSpaceDE w:val="0"/>
        <w:autoSpaceDN w:val="0"/>
        <w:adjustRightInd w:val="0"/>
        <w:ind w:left="1276" w:right="1752"/>
        <w:jc w:val="both"/>
        <w:rPr>
          <w:rFonts w:ascii="Palatino Linotype" w:hAnsi="Palatino Linotype" w:cs="Arial"/>
          <w:i/>
          <w:sz w:val="22"/>
          <w:szCs w:val="22"/>
        </w:rPr>
      </w:pPr>
      <w:r w:rsidRPr="005319C9">
        <w:rPr>
          <w:rFonts w:ascii="Palatino Linotype" w:hAnsi="Palatino Linotype" w:cs="Arial"/>
          <w:i/>
          <w:sz w:val="22"/>
          <w:szCs w:val="22"/>
        </w:rPr>
        <w:t xml:space="preserve">II. La </w:t>
      </w:r>
      <w:r>
        <w:rPr>
          <w:rFonts w:ascii="Palatino Linotype" w:hAnsi="Palatino Linotype" w:cs="Arial"/>
          <w:i/>
          <w:sz w:val="22"/>
          <w:szCs w:val="22"/>
        </w:rPr>
        <w:t>clasificación de la información</w:t>
      </w:r>
      <w:r w:rsidR="005419D3" w:rsidRPr="005319C9">
        <w:rPr>
          <w:rFonts w:ascii="Palatino Linotype" w:hAnsi="Palatino Linotype" w:cs="Arial"/>
          <w:i/>
          <w:sz w:val="22"/>
          <w:szCs w:val="22"/>
        </w:rPr>
        <w:t>;</w:t>
      </w:r>
    </w:p>
    <w:p w:rsidR="005419D3" w:rsidRDefault="005419D3" w:rsidP="005419D3">
      <w:pPr>
        <w:spacing w:before="240" w:after="240" w:line="360" w:lineRule="auto"/>
        <w:jc w:val="both"/>
        <w:rPr>
          <w:rFonts w:ascii="Palatino Linotype" w:hAnsi="Palatino Linotype" w:cs="Arial"/>
        </w:rPr>
      </w:pPr>
      <w:bookmarkStart w:id="1" w:name="_Hlk29489835"/>
      <w:r w:rsidRPr="009A7BF4">
        <w:rPr>
          <w:rFonts w:ascii="Palatino Linotype" w:hAnsi="Palatino Linotype" w:cs="Arial"/>
        </w:rPr>
        <w:t>De manera previa a entrar a analizar las constancias que integran el recurso de revisión al rubro anotado, este Órgano Garante es</w:t>
      </w:r>
      <w:r w:rsidR="00D753E8">
        <w:rPr>
          <w:rFonts w:ascii="Palatino Linotype" w:hAnsi="Palatino Linotype" w:cs="Arial"/>
        </w:rPr>
        <w:t>tima pertinente mencionar que el</w:t>
      </w:r>
      <w:r w:rsidRPr="009A7BF4">
        <w:rPr>
          <w:rFonts w:ascii="Palatino Linotype" w:hAnsi="Palatino Linotype" w:cs="Arial"/>
        </w:rPr>
        <w:t xml:space="preserve"> </w:t>
      </w:r>
      <w:r w:rsidRPr="009A7BF4">
        <w:rPr>
          <w:rFonts w:ascii="Palatino Linotype" w:hAnsi="Palatino Linotype" w:cs="Arial"/>
        </w:rPr>
        <w:lastRenderedPageBreak/>
        <w:t xml:space="preserve">recurrente en su solicitud número </w:t>
      </w:r>
      <w:r w:rsidR="00D753E8" w:rsidRPr="00D753E8">
        <w:rPr>
          <w:rFonts w:ascii="Palatino Linotype" w:hAnsi="Palatino Linotype" w:cs="Arial"/>
          <w:b/>
          <w:bCs/>
        </w:rPr>
        <w:t>00384/PLEGISLA/IP/2021</w:t>
      </w:r>
      <w:r w:rsidRPr="009A7BF4">
        <w:rPr>
          <w:rFonts w:ascii="Palatino Linotype" w:hAnsi="Palatino Linotype" w:cs="Arial"/>
          <w:b/>
          <w:bCs/>
        </w:rPr>
        <w:t xml:space="preserve"> </w:t>
      </w:r>
      <w:r w:rsidRPr="009A7BF4">
        <w:rPr>
          <w:rFonts w:ascii="Palatino Linotype" w:hAnsi="Palatino Linotype" w:cs="Arial"/>
        </w:rPr>
        <w:t>requirió al</w:t>
      </w:r>
      <w:bookmarkEnd w:id="1"/>
      <w:r>
        <w:rPr>
          <w:rFonts w:ascii="Palatino Linotype" w:hAnsi="Palatino Linotype" w:cs="Arial"/>
        </w:rPr>
        <w:t xml:space="preserve"> </w:t>
      </w:r>
      <w:r w:rsidR="00D753E8">
        <w:rPr>
          <w:rFonts w:ascii="Palatino Linotype" w:hAnsi="Palatino Linotype" w:cs="Arial"/>
          <w:b/>
          <w:bCs/>
        </w:rPr>
        <w:t>Poder Legislativo</w:t>
      </w:r>
      <w:r w:rsidRPr="009A7BF4">
        <w:rPr>
          <w:rFonts w:ascii="Palatino Linotype" w:hAnsi="Palatino Linotype" w:cs="Arial"/>
          <w:b/>
          <w:bCs/>
        </w:rPr>
        <w:t xml:space="preserve">, </w:t>
      </w:r>
      <w:r w:rsidRPr="009A7BF4">
        <w:rPr>
          <w:rFonts w:ascii="Palatino Linotype" w:hAnsi="Palatino Linotype" w:cs="Arial"/>
        </w:rPr>
        <w:t>que le proporcionara lo siguiente:</w:t>
      </w:r>
    </w:p>
    <w:p w:rsidR="00D753E8" w:rsidRDefault="00D753E8" w:rsidP="00D753E8">
      <w:pPr>
        <w:pStyle w:val="Prrafodelista"/>
        <w:numPr>
          <w:ilvl w:val="0"/>
          <w:numId w:val="21"/>
        </w:numPr>
        <w:spacing w:before="240" w:after="240" w:line="360" w:lineRule="auto"/>
        <w:jc w:val="both"/>
        <w:rPr>
          <w:rFonts w:ascii="Palatino Linotype" w:hAnsi="Palatino Linotype" w:cs="Arial"/>
        </w:rPr>
      </w:pPr>
      <w:r w:rsidRPr="00D753E8">
        <w:rPr>
          <w:rFonts w:ascii="Palatino Linotype" w:hAnsi="Palatino Linotype" w:cs="Arial"/>
        </w:rPr>
        <w:t>En versión publica, toda la información relativa al diferendo limítrofe del Municipio de Teoloyucan vs Municipio de Tepotzotlá</w:t>
      </w:r>
      <w:r>
        <w:rPr>
          <w:rFonts w:ascii="Palatino Linotype" w:hAnsi="Palatino Linotype" w:cs="Arial"/>
        </w:rPr>
        <w:t xml:space="preserve">n. </w:t>
      </w:r>
    </w:p>
    <w:p w:rsidR="005419D3" w:rsidRPr="00D753E8" w:rsidRDefault="00D753E8" w:rsidP="00D753E8">
      <w:pPr>
        <w:pStyle w:val="Prrafodelista"/>
        <w:numPr>
          <w:ilvl w:val="0"/>
          <w:numId w:val="21"/>
        </w:numPr>
        <w:spacing w:before="240" w:after="240" w:line="360" w:lineRule="auto"/>
        <w:jc w:val="both"/>
        <w:rPr>
          <w:rFonts w:ascii="Palatino Linotype" w:hAnsi="Palatino Linotype" w:cs="Arial"/>
        </w:rPr>
      </w:pPr>
      <w:r w:rsidRPr="00D753E8">
        <w:rPr>
          <w:rFonts w:ascii="Palatino Linotype" w:hAnsi="Palatino Linotype" w:cs="Arial"/>
        </w:rPr>
        <w:t>Todos y cada uno de los documentos considerados como anexos de la presente solicitud de acceso a la información pública</w:t>
      </w:r>
      <w:r w:rsidR="005419D3" w:rsidRPr="00D753E8">
        <w:rPr>
          <w:rFonts w:ascii="Palatino Linotype" w:hAnsi="Palatino Linotype" w:cs="Arial"/>
        </w:rPr>
        <w:t>.</w:t>
      </w:r>
    </w:p>
    <w:p w:rsidR="005419D3" w:rsidRPr="009A7BF4" w:rsidRDefault="00D753E8" w:rsidP="005419D3">
      <w:pPr>
        <w:spacing w:before="240" w:after="240" w:line="360" w:lineRule="auto"/>
        <w:jc w:val="both"/>
        <w:rPr>
          <w:rFonts w:ascii="Palatino Linotype" w:hAnsi="Palatino Linotype" w:cs="Arial"/>
        </w:rPr>
      </w:pPr>
      <w:r>
        <w:rPr>
          <w:rFonts w:ascii="Palatino Linotype" w:hAnsi="Palatino Linotype" w:cs="Arial"/>
        </w:rPr>
        <w:t>En relación a</w:t>
      </w:r>
      <w:r w:rsidR="005419D3" w:rsidRPr="009A7BF4">
        <w:rPr>
          <w:rFonts w:ascii="Palatino Linotype" w:hAnsi="Palatino Linotype" w:cs="Arial"/>
        </w:rPr>
        <w:t xml:space="preserve">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524E1" w:rsidRDefault="005419D3" w:rsidP="005419D3">
      <w:pPr>
        <w:spacing w:before="240" w:after="240" w:line="360" w:lineRule="auto"/>
        <w:jc w:val="both"/>
        <w:rPr>
          <w:rFonts w:ascii="Palatino Linotype" w:hAnsi="Palatino Linotype"/>
        </w:rPr>
      </w:pPr>
      <w:r>
        <w:rPr>
          <w:rFonts w:ascii="Palatino Linotype" w:hAnsi="Palatino Linotype" w:cs="Arial"/>
        </w:rPr>
        <w:t>E</w:t>
      </w:r>
      <w:r w:rsidRPr="00574791">
        <w:rPr>
          <w:rFonts w:ascii="Palatino Linotype" w:hAnsi="Palatino Linotype" w:cs="Arial"/>
        </w:rPr>
        <w:t>s necesario hacer referencia que, con motivo de la solicitud de información del recurrente, el sujeto obligado en fecha veintinueve de septiembre de la anu</w:t>
      </w:r>
      <w:r>
        <w:rPr>
          <w:rFonts w:ascii="Palatino Linotype" w:hAnsi="Palatino Linotype" w:cs="Arial"/>
        </w:rPr>
        <w:t>alidad en curso, a través de la</w:t>
      </w:r>
      <w:r w:rsidRPr="00574791">
        <w:rPr>
          <w:rFonts w:ascii="Palatino Linotype" w:hAnsi="Palatino Linotype"/>
        </w:rPr>
        <w:t xml:space="preserve"> Titular de la Unidad de Transparencia y Acceso a la Información Pública hace saber al solicitante de la información, con base a la inform</w:t>
      </w:r>
      <w:r w:rsidR="00B524E1">
        <w:rPr>
          <w:rFonts w:ascii="Palatino Linotype" w:hAnsi="Palatino Linotype"/>
        </w:rPr>
        <w:t>ación proporcionada por parte del Servidor Público Habilitado</w:t>
      </w:r>
      <w:r w:rsidRPr="00574791">
        <w:rPr>
          <w:rFonts w:ascii="Palatino Linotype" w:hAnsi="Palatino Linotype"/>
        </w:rPr>
        <w:t xml:space="preserve">, poniendo a disposición el </w:t>
      </w:r>
      <w:r w:rsidR="00B524E1">
        <w:rPr>
          <w:rFonts w:ascii="Palatino Linotype" w:hAnsi="Palatino Linotype"/>
        </w:rPr>
        <w:t xml:space="preserve">acta de la décima novena sesión extraordinaria del Comité de Transparencia del Poder Legislativo del Estado Libre y Soberano de México, entre los que se advierten diversos acuerdos entre ellos el acuerdo número </w:t>
      </w:r>
      <w:r w:rsidR="00B524E1" w:rsidRPr="00704F29">
        <w:rPr>
          <w:rFonts w:ascii="Palatino Linotype" w:hAnsi="Palatino Linotype"/>
        </w:rPr>
        <w:t>PLEGISLA/LX/CT/19ªext/2021/SEXTO</w:t>
      </w:r>
      <w:r w:rsidR="00B524E1">
        <w:rPr>
          <w:rFonts w:ascii="Palatino Linotype" w:hAnsi="Palatino Linotype"/>
        </w:rPr>
        <w:t xml:space="preserve">, por medio del cual el Sujeto Obligado </w:t>
      </w:r>
      <w:r w:rsidR="00B524E1">
        <w:rPr>
          <w:rFonts w:ascii="Palatino Linotype" w:hAnsi="Palatino Linotype"/>
        </w:rPr>
        <w:lastRenderedPageBreak/>
        <w:t>reserva el expediente y los anexos del diferendo limítrofe intermunicipal entre los municipios de Teoloyucan y Tepotzotlán que obran en los archivos de la Comisión Legislativa de Límites Territoriales del Estado de México y sus Municipios, por un periodo de cinco años.</w:t>
      </w:r>
    </w:p>
    <w:p w:rsidR="00B524E1" w:rsidRPr="00B524E1" w:rsidRDefault="005419D3" w:rsidP="005419D3">
      <w:pPr>
        <w:spacing w:before="240" w:after="240" w:line="360" w:lineRule="auto"/>
        <w:jc w:val="both"/>
        <w:rPr>
          <w:rFonts w:ascii="Palatino Linotype" w:hAnsi="Palatino Linotype"/>
        </w:rPr>
      </w:pPr>
      <w:r>
        <w:rPr>
          <w:rFonts w:ascii="Palatino Linotype" w:hAnsi="Palatino Linotype"/>
        </w:rPr>
        <w:t>I</w:t>
      </w:r>
      <w:r w:rsidRPr="009A7BF4">
        <w:rPr>
          <w:rFonts w:ascii="Palatino Linotype" w:hAnsi="Palatino Linotype"/>
        </w:rPr>
        <w:t xml:space="preserve">nconforme con la respuesta emitida por el Sujeto Obligado, el recurrente interpuso recurso de revisión manifestando </w:t>
      </w:r>
      <w:r w:rsidR="00B524E1">
        <w:rPr>
          <w:rFonts w:ascii="Palatino Linotype" w:hAnsi="Palatino Linotype"/>
        </w:rPr>
        <w:t>en sus</w:t>
      </w:r>
      <w:r w:rsidRPr="009A7BF4">
        <w:rPr>
          <w:rFonts w:ascii="Palatino Linotype" w:hAnsi="Palatino Linotype"/>
        </w:rPr>
        <w:t xml:space="preserve"> motivos de inconformi</w:t>
      </w:r>
      <w:r>
        <w:rPr>
          <w:rFonts w:ascii="Palatino Linotype" w:hAnsi="Palatino Linotype"/>
        </w:rPr>
        <w:t xml:space="preserve">dad </w:t>
      </w:r>
      <w:r w:rsidR="00B524E1">
        <w:rPr>
          <w:rFonts w:ascii="Palatino Linotype" w:hAnsi="Palatino Linotype"/>
        </w:rPr>
        <w:t>l</w:t>
      </w:r>
      <w:r w:rsidR="00B524E1" w:rsidRPr="00B524E1">
        <w:rPr>
          <w:rFonts w:ascii="Palatino Linotype" w:hAnsi="Palatino Linotype"/>
        </w:rPr>
        <w:t>a reserva de la información por cinco años, cuando se debió analizar también si era procedente y oportuno proporcionar una versión pública.</w:t>
      </w:r>
    </w:p>
    <w:p w:rsidR="007E419B" w:rsidRDefault="005419D3" w:rsidP="005419D3">
      <w:pPr>
        <w:spacing w:before="240" w:after="240" w:line="360" w:lineRule="auto"/>
        <w:jc w:val="both"/>
        <w:rPr>
          <w:rFonts w:ascii="Palatino Linotype" w:eastAsia="Palatino Linotype" w:hAnsi="Palatino Linotype" w:cs="Palatino Linotype"/>
        </w:rPr>
      </w:pPr>
      <w:r w:rsidRPr="00E64F8E">
        <w:rPr>
          <w:rFonts w:ascii="Palatino Linotype" w:eastAsia="Palatino Linotype" w:hAnsi="Palatino Linotype" w:cs="Palatino Linotype"/>
        </w:rPr>
        <w:t>En tal contexto</w:t>
      </w:r>
      <w:r>
        <w:rPr>
          <w:rFonts w:ascii="Palatino Linotype" w:eastAsia="Palatino Linotype" w:hAnsi="Palatino Linotype" w:cs="Palatino Linotype"/>
        </w:rPr>
        <w:t>, del análisis de las constancias que integran el expediente en que se actúa, así como de la materia sobre la que versa la solicitud de acceso a la información pública, se advierte que los motivos de incon</w:t>
      </w:r>
      <w:r w:rsidR="00067F1B">
        <w:rPr>
          <w:rFonts w:ascii="Palatino Linotype" w:eastAsia="Palatino Linotype" w:hAnsi="Palatino Linotype" w:cs="Palatino Linotype"/>
        </w:rPr>
        <w:t xml:space="preserve">formidad acontecen </w:t>
      </w:r>
      <w:r>
        <w:rPr>
          <w:rFonts w:ascii="Palatino Linotype" w:eastAsia="Palatino Linotype" w:hAnsi="Palatino Linotype" w:cs="Palatino Linotype"/>
        </w:rPr>
        <w:t>fundados y suficientes para revocar la respuesta del Sujeto Obligado</w:t>
      </w:r>
      <w:r w:rsidR="00B52E2E">
        <w:rPr>
          <w:rFonts w:ascii="Palatino Linotype" w:eastAsia="Palatino Linotype" w:hAnsi="Palatino Linotype" w:cs="Palatino Linotype"/>
        </w:rPr>
        <w:t>.</w:t>
      </w:r>
    </w:p>
    <w:p w:rsidR="005419D3" w:rsidRPr="007E419B" w:rsidRDefault="005419D3" w:rsidP="005419D3">
      <w:pPr>
        <w:spacing w:before="240" w:after="240" w:line="360" w:lineRule="auto"/>
        <w:jc w:val="both"/>
        <w:rPr>
          <w:rFonts w:ascii="Palatino Linotype" w:eastAsia="Palatino Linotype" w:hAnsi="Palatino Linotype" w:cs="Palatino Linotype"/>
        </w:rPr>
      </w:pPr>
      <w:r w:rsidRPr="002F124E">
        <w:rPr>
          <w:rFonts w:ascii="Palatino Linotype" w:hAnsi="Palatino Linotype"/>
        </w:rPr>
        <w:t xml:space="preserve">Ante todo, </w:t>
      </w:r>
      <w:r w:rsidRPr="002F124E">
        <w:rPr>
          <w:rFonts w:ascii="Palatino Linotype" w:hAnsi="Palatino Linotype" w:cs="Arial"/>
        </w:rPr>
        <w:t>se debe resaltar que con las manifestaciones hechas valer por el Sujeto Obligado en su respuesta</w:t>
      </w:r>
      <w:r>
        <w:rPr>
          <w:rFonts w:ascii="Palatino Linotype" w:hAnsi="Palatino Linotype" w:cs="Arial"/>
        </w:rPr>
        <w:t>,</w:t>
      </w:r>
      <w:r w:rsidRPr="002F124E">
        <w:rPr>
          <w:rFonts w:ascii="Palatino Linotype" w:hAnsi="Palatino Linotype" w:cs="Arial"/>
        </w:rPr>
        <w:t xml:space="preserve"> proporcionada en el SAIMEX, </w:t>
      </w:r>
      <w:r w:rsidRPr="002F124E">
        <w:rPr>
          <w:rFonts w:ascii="Palatino Linotype" w:hAnsi="Palatino Linotype"/>
        </w:rPr>
        <w:t xml:space="preserve">éste </w:t>
      </w:r>
      <w:r w:rsidRPr="002F124E">
        <w:rPr>
          <w:rFonts w:ascii="Palatino Linotype" w:hAnsi="Palatino Linotype" w:cs="Arial"/>
        </w:rPr>
        <w:t xml:space="preserve">no niega contar con la información solicitada por el recurrente, sino </w:t>
      </w:r>
      <w:r>
        <w:rPr>
          <w:rFonts w:ascii="Palatino Linotype" w:eastAsia="Calibri" w:hAnsi="Palatino Linotype" w:cs="Arial"/>
          <w:lang w:eastAsia="en-US"/>
        </w:rPr>
        <w:t>por el contrario, asume que la tiene al reservarla por un periodo de cinco años.</w:t>
      </w:r>
    </w:p>
    <w:p w:rsidR="005419D3" w:rsidRDefault="005419D3" w:rsidP="005419D3">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Calibri" w:hAnsi="Palatino Linotype" w:cs="Arial"/>
        </w:rPr>
        <w:t>Lo anterior es así, ya que e</w:t>
      </w:r>
      <w:r>
        <w:rPr>
          <w:rFonts w:ascii="Palatino Linotype" w:eastAsia="Arial Unicode MS" w:hAnsi="Palatino Linotype" w:cs="Arial"/>
        </w:rPr>
        <w:t>l estudio enunciado tiene por objeto determinar si el Sujeto Obligado genera, posee o administra la información solicitada</w:t>
      </w:r>
      <w:r>
        <w:rPr>
          <w:rFonts w:ascii="Palatino Linotype" w:eastAsia="Arial Unicode MS" w:hAnsi="Palatino Linotype" w:cs="Arial"/>
          <w:color w:val="000000"/>
        </w:rPr>
        <w:t>;</w:t>
      </w:r>
      <w:r>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 Sujeto Obligado.</w:t>
      </w:r>
    </w:p>
    <w:p w:rsidR="005419D3" w:rsidRDefault="005419D3" w:rsidP="005419D3">
      <w:pPr>
        <w:spacing w:before="240" w:after="240" w:line="360" w:lineRule="auto"/>
        <w:ind w:right="-91"/>
        <w:jc w:val="both"/>
        <w:rPr>
          <w:rFonts w:ascii="Palatino Linotype" w:eastAsia="Palatino Linotype" w:hAnsi="Palatino Linotype" w:cs="Palatino Linotype"/>
          <w:color w:val="000000"/>
          <w:lang w:eastAsia="es-MX"/>
        </w:rPr>
      </w:pPr>
      <w:r>
        <w:rPr>
          <w:rFonts w:ascii="Palatino Linotype" w:eastAsia="Calibri" w:hAnsi="Palatino Linotype" w:cs="Arial"/>
          <w:lang w:eastAsia="en-US"/>
        </w:rPr>
        <w:lastRenderedPageBreak/>
        <w:t>En primer lugar</w:t>
      </w:r>
      <w:r>
        <w:rPr>
          <w:rFonts w:ascii="Palatino Linotype" w:eastAsia="Palatino Linotype" w:hAnsi="Palatino Linotype" w:cs="Palatino Linotype"/>
        </w:rPr>
        <w:t xml:space="preserve">, es conveniente señalar que en la Ley de Transparencia y Acceso a la Información Pública del Estado de México y Municipios en su </w:t>
      </w:r>
      <w:r>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5419D3" w:rsidRDefault="005419D3" w:rsidP="005419D3">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5419D3" w:rsidRDefault="005419D3" w:rsidP="005419D3">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5419D3" w:rsidRDefault="005419D3" w:rsidP="005419D3">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 (Sic)</w:t>
      </w:r>
    </w:p>
    <w:p w:rsidR="005419D3" w:rsidRDefault="005419D3" w:rsidP="005419D3">
      <w:pPr>
        <w:ind w:left="709" w:right="760"/>
        <w:jc w:val="both"/>
        <w:rPr>
          <w:rFonts w:ascii="Palatino Linotype" w:eastAsia="Palatino Linotype" w:hAnsi="Palatino Linotype" w:cs="Palatino Linotype"/>
          <w:i/>
        </w:rPr>
      </w:pPr>
    </w:p>
    <w:p w:rsidR="005419D3" w:rsidRDefault="005419D3" w:rsidP="005419D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w:t>
      </w:r>
      <w:r>
        <w:rPr>
          <w:rFonts w:ascii="Palatino Linotype" w:eastAsia="Palatino Linotype" w:hAnsi="Palatino Linotype" w:cs="Palatino Linotype"/>
        </w:rPr>
        <w:lastRenderedPageBreak/>
        <w:t>la Ley de Transparencia y Acceso a la Información Pública del Estado de México y Municipios, el cual a la letra dice:</w:t>
      </w:r>
    </w:p>
    <w:p w:rsidR="005419D3" w:rsidRDefault="005419D3" w:rsidP="005419D3">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5419D3" w:rsidRDefault="005419D3" w:rsidP="005419D3">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r w:rsidRPr="007A0C64">
        <w:rPr>
          <w:rFonts w:ascii="Palatino Linotype" w:eastAsia="Palatino Linotype" w:hAnsi="Palatino Linotype" w:cs="Palatino Linotype"/>
          <w:i/>
          <w:sz w:val="22"/>
          <w:szCs w:val="22"/>
        </w:rPr>
        <w:t>(Sic)</w:t>
      </w:r>
    </w:p>
    <w:p w:rsidR="005419D3" w:rsidRDefault="005419D3" w:rsidP="005419D3">
      <w:pPr>
        <w:spacing w:line="360" w:lineRule="auto"/>
        <w:ind w:right="-93"/>
        <w:jc w:val="both"/>
        <w:rPr>
          <w:rFonts w:ascii="Palatino Linotype" w:eastAsia="Palatino Linotype" w:hAnsi="Palatino Linotype" w:cs="Palatino Linotype"/>
          <w:color w:val="000000"/>
        </w:rPr>
      </w:pPr>
    </w:p>
    <w:p w:rsidR="005419D3" w:rsidRDefault="005419D3" w:rsidP="005419D3">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w:t>
      </w:r>
    </w:p>
    <w:p w:rsidR="005419D3" w:rsidRDefault="005419D3" w:rsidP="005419D3">
      <w:pPr>
        <w:spacing w:line="360" w:lineRule="auto"/>
        <w:ind w:right="-93"/>
        <w:jc w:val="both"/>
        <w:rPr>
          <w:rFonts w:ascii="Palatino Linotype" w:eastAsia="Palatino Linotype" w:hAnsi="Palatino Linotype" w:cs="Palatino Linotype"/>
          <w:color w:val="000000"/>
        </w:rPr>
      </w:pPr>
    </w:p>
    <w:p w:rsidR="005419D3" w:rsidRDefault="005419D3" w:rsidP="005419D3">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5419D3" w:rsidRDefault="005419D3" w:rsidP="005419D3">
      <w:pPr>
        <w:ind w:left="851" w:right="850"/>
        <w:jc w:val="both"/>
        <w:rPr>
          <w:rFonts w:ascii="Palatino Linotype" w:hAnsi="Palatino Linotype" w:cs="Arial"/>
          <w:color w:val="000000"/>
        </w:rPr>
      </w:pPr>
    </w:p>
    <w:p w:rsidR="005419D3" w:rsidRDefault="005419D3" w:rsidP="005419D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Pr>
          <w:rFonts w:ascii="Palatino Linotype" w:hAnsi="Palatino Linotype" w:cs="Arial"/>
          <w:i/>
          <w:color w:val="000000"/>
          <w:sz w:val="22"/>
          <w:szCs w:val="22"/>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rsidR="005419D3" w:rsidRDefault="005419D3" w:rsidP="005419D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5419D3" w:rsidRDefault="005419D3" w:rsidP="005419D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5419D3" w:rsidRDefault="005419D3" w:rsidP="005419D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5419D3" w:rsidRDefault="005419D3" w:rsidP="005419D3">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5419D3" w:rsidRDefault="005419D3" w:rsidP="005419D3">
      <w:pPr>
        <w:spacing w:line="360" w:lineRule="auto"/>
        <w:jc w:val="both"/>
        <w:rPr>
          <w:rFonts w:ascii="Palatino Linotype" w:hAnsi="Palatino Linotype" w:cs="Arial"/>
        </w:rPr>
      </w:pPr>
    </w:p>
    <w:p w:rsidR="005419D3" w:rsidRDefault="005419D3" w:rsidP="005419D3">
      <w:pPr>
        <w:spacing w:line="360" w:lineRule="auto"/>
        <w:jc w:val="both"/>
        <w:rPr>
          <w:rFonts w:ascii="Palatino Linotype" w:hAnsi="Palatino Linotype" w:cs="Arial"/>
          <w:color w:val="000000" w:themeColor="text1"/>
        </w:rPr>
      </w:pPr>
      <w:r>
        <w:rPr>
          <w:rFonts w:ascii="Palatino Linotype" w:hAnsi="Palatino Linotype" w:cs="Arial"/>
        </w:rPr>
        <w:t xml:space="preserve">En esa tesitura, el artículo 24 en su último párrafo de la Ley de la Materia, dispone que los Sujetos Obligados </w:t>
      </w:r>
      <w:r>
        <w:rPr>
          <w:rFonts w:ascii="Palatino Linotype" w:hAnsi="Palatino Linotype" w:cs="Arial"/>
          <w:color w:val="000000" w:themeColor="text1"/>
        </w:rPr>
        <w:t xml:space="preserve">sólo proporcionarán la información pública que </w:t>
      </w:r>
      <w:r>
        <w:rPr>
          <w:rFonts w:ascii="Palatino Linotype" w:hAnsi="Palatino Linotype" w:cs="Arial"/>
        </w:rPr>
        <w:t>generen</w:t>
      </w:r>
      <w:r>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5419D3" w:rsidRDefault="005419D3" w:rsidP="005419D3">
      <w:pPr>
        <w:spacing w:line="360" w:lineRule="auto"/>
        <w:jc w:val="both"/>
        <w:rPr>
          <w:rFonts w:ascii="Palatino Linotype" w:hAnsi="Palatino Linotype" w:cs="Arial"/>
          <w:color w:val="000000" w:themeColor="text1"/>
        </w:rPr>
      </w:pPr>
    </w:p>
    <w:p w:rsidR="005419D3" w:rsidRDefault="005419D3" w:rsidP="005419D3">
      <w:pPr>
        <w:spacing w:before="240" w:after="240" w:line="360" w:lineRule="auto"/>
        <w:ind w:right="49"/>
        <w:contextualSpacing/>
        <w:jc w:val="both"/>
        <w:rPr>
          <w:rFonts w:ascii="Palatino Linotype" w:hAnsi="Palatino Linotype" w:cs="Arial"/>
        </w:rPr>
      </w:pPr>
      <w:r>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5419D3" w:rsidRDefault="005419D3" w:rsidP="005419D3">
      <w:pPr>
        <w:spacing w:before="240" w:after="240" w:line="360" w:lineRule="auto"/>
        <w:ind w:right="49"/>
        <w:contextualSpacing/>
        <w:jc w:val="both"/>
        <w:rPr>
          <w:rFonts w:ascii="Palatino Linotype" w:hAnsi="Palatino Linotype" w:cs="Arial"/>
        </w:rPr>
      </w:pPr>
    </w:p>
    <w:p w:rsidR="005419D3" w:rsidRDefault="005419D3" w:rsidP="005419D3">
      <w:pPr>
        <w:spacing w:line="360" w:lineRule="auto"/>
        <w:jc w:val="both"/>
        <w:rPr>
          <w:rFonts w:ascii="Palatino Linotype" w:hAnsi="Palatino Linotype" w:cs="Arial"/>
        </w:rPr>
      </w:pPr>
      <w:r>
        <w:rPr>
          <w:rFonts w:ascii="Palatino Linotype" w:hAnsi="Palatino Linotype" w:cs="Arial"/>
        </w:rPr>
        <w:t xml:space="preserve">En conclusión, el derecho de acceso a la información pública, consiste en que la información solicitada conste en un documento en cualquiera de sus formas, a saber: </w:t>
      </w:r>
      <w:r>
        <w:rPr>
          <w:rFonts w:ascii="Palatino Linotype" w:hAnsi="Palatino Linotype" w:cs="Arial"/>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5419D3" w:rsidRDefault="005419D3" w:rsidP="005419D3">
      <w:pPr>
        <w:ind w:left="851" w:right="899"/>
        <w:jc w:val="both"/>
        <w:rPr>
          <w:rFonts w:ascii="Palatino Linotype" w:hAnsi="Palatino Linotype" w:cs="Arial"/>
          <w:i/>
          <w:sz w:val="22"/>
          <w:szCs w:val="22"/>
        </w:rPr>
      </w:pPr>
    </w:p>
    <w:p w:rsidR="005419D3" w:rsidRDefault="005419D3" w:rsidP="005419D3">
      <w:pPr>
        <w:ind w:left="851" w:right="899"/>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rsidR="005419D3" w:rsidRDefault="005419D3" w:rsidP="005419D3">
      <w:pPr>
        <w:ind w:left="851" w:right="899"/>
        <w:jc w:val="both"/>
        <w:rPr>
          <w:rFonts w:ascii="Palatino Linotype" w:hAnsi="Palatino Linotype" w:cs="Arial"/>
          <w:i/>
          <w:sz w:val="22"/>
          <w:szCs w:val="22"/>
        </w:rPr>
      </w:pPr>
      <w:r>
        <w:rPr>
          <w:rFonts w:ascii="Palatino Linotype" w:hAnsi="Palatino Linotype" w:cs="Arial"/>
          <w:i/>
          <w:sz w:val="22"/>
          <w:szCs w:val="22"/>
        </w:rPr>
        <w:t>…</w:t>
      </w:r>
    </w:p>
    <w:p w:rsidR="005419D3" w:rsidRDefault="005419D3" w:rsidP="005419D3">
      <w:pPr>
        <w:ind w:left="851" w:right="899"/>
        <w:jc w:val="both"/>
        <w:rPr>
          <w:rFonts w:ascii="Palatino Linotype" w:hAnsi="Palatino Linotype" w:cs="Arial"/>
          <w:i/>
          <w:color w:val="000000"/>
          <w:sz w:val="22"/>
          <w:szCs w:val="22"/>
        </w:rPr>
      </w:pPr>
      <w:r>
        <w:rPr>
          <w:rFonts w:ascii="Palatino Linotype" w:hAnsi="Palatino Linotype" w:cs="Arial"/>
          <w:b/>
          <w:i/>
          <w:color w:val="000000"/>
          <w:sz w:val="22"/>
          <w:szCs w:val="22"/>
        </w:rPr>
        <w:t>XI. Documento:</w:t>
      </w:r>
      <w:r>
        <w:rPr>
          <w:rFonts w:ascii="Palatino Linotype" w:hAnsi="Palatino Linotype" w:cs="Arial"/>
          <w:i/>
          <w:color w:val="000000"/>
          <w:sz w:val="22"/>
          <w:szCs w:val="22"/>
        </w:rPr>
        <w:t xml:space="preserve"> Los expedientes, reportes, estudios, actas</w:t>
      </w:r>
      <w:r>
        <w:rPr>
          <w:rFonts w:ascii="Palatino Linotype" w:hAnsi="Palatino Linotype" w:cs="Arial"/>
          <w:b/>
          <w:i/>
          <w:color w:val="000000"/>
          <w:sz w:val="22"/>
          <w:szCs w:val="22"/>
        </w:rPr>
        <w:t>,</w:t>
      </w:r>
      <w:r>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5419D3" w:rsidRDefault="005419D3" w:rsidP="005419D3">
      <w:pPr>
        <w:ind w:left="851" w:right="899"/>
        <w:jc w:val="both"/>
        <w:rPr>
          <w:rFonts w:ascii="Palatino Linotype" w:hAnsi="Palatino Linotype" w:cs="Arial"/>
          <w:sz w:val="22"/>
          <w:szCs w:val="22"/>
        </w:rPr>
      </w:pPr>
    </w:p>
    <w:p w:rsidR="005419D3" w:rsidRDefault="005419D3" w:rsidP="005419D3">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Siendo aplicable, el Criterio </w:t>
      </w:r>
      <w:r>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refieren lo siguiente:</w:t>
      </w:r>
    </w:p>
    <w:p w:rsidR="005419D3" w:rsidRDefault="005419D3" w:rsidP="005419D3">
      <w:pPr>
        <w:ind w:left="851" w:right="899"/>
        <w:jc w:val="both"/>
        <w:rPr>
          <w:rFonts w:ascii="Palatino Linotype" w:hAnsi="Palatino Linotype" w:cs="Arial"/>
        </w:rPr>
      </w:pPr>
    </w:p>
    <w:p w:rsidR="005419D3" w:rsidRDefault="005419D3" w:rsidP="005419D3">
      <w:pPr>
        <w:ind w:left="851" w:right="899"/>
        <w:jc w:val="both"/>
        <w:rPr>
          <w:rFonts w:ascii="Palatino Linotype" w:hAnsi="Palatino Linotype" w:cs="Arial"/>
          <w:b/>
          <w:i/>
          <w:sz w:val="22"/>
          <w:szCs w:val="22"/>
        </w:rPr>
      </w:pPr>
      <w:r>
        <w:rPr>
          <w:rFonts w:ascii="Palatino Linotype" w:hAnsi="Palatino Linotype" w:cs="Arial"/>
          <w:b/>
          <w:sz w:val="22"/>
          <w:szCs w:val="22"/>
        </w:rPr>
        <w:t>“</w:t>
      </w:r>
      <w:r>
        <w:rPr>
          <w:rFonts w:ascii="Palatino Linotype" w:hAnsi="Palatino Linotype" w:cs="Arial"/>
          <w:b/>
          <w:i/>
          <w:sz w:val="22"/>
          <w:szCs w:val="22"/>
        </w:rPr>
        <w:t>CRITERIO 0002-11</w:t>
      </w:r>
    </w:p>
    <w:p w:rsidR="005419D3" w:rsidRDefault="005419D3" w:rsidP="005419D3">
      <w:pPr>
        <w:ind w:left="851" w:right="899"/>
        <w:jc w:val="both"/>
        <w:rPr>
          <w:rFonts w:ascii="Palatino Linotype" w:hAnsi="Palatino Linotype" w:cs="Arial"/>
          <w:i/>
          <w:sz w:val="22"/>
          <w:szCs w:val="22"/>
        </w:rPr>
      </w:pPr>
      <w:r>
        <w:rPr>
          <w:rFonts w:ascii="Palatino Linotype" w:hAnsi="Palatino Linotype" w:cs="Arial"/>
          <w:b/>
          <w:i/>
          <w:sz w:val="22"/>
          <w:szCs w:val="22"/>
        </w:rPr>
        <w:t xml:space="preserve">INFORMACIÓN PÚBLICA, CONCEPTO DE, EN MATERIA DE TRANSPARENCIA. INTERPRETACIÓN SISTEMÁTICA DE LOS ARTÍCULOS 2°, FRACCIÓN </w:t>
      </w:r>
      <w:r>
        <w:rPr>
          <w:rFonts w:ascii="Palatino Linotype" w:hAnsi="Palatino Linotype" w:cs="Arial"/>
          <w:b/>
          <w:bCs/>
          <w:i/>
          <w:sz w:val="22"/>
          <w:szCs w:val="22"/>
        </w:rPr>
        <w:t xml:space="preserve">V, XV, Y XVI, </w:t>
      </w:r>
      <w:r>
        <w:rPr>
          <w:rFonts w:ascii="Palatino Linotype" w:hAnsi="Palatino Linotype" w:cs="Arial"/>
          <w:b/>
          <w:i/>
          <w:sz w:val="22"/>
          <w:szCs w:val="22"/>
        </w:rPr>
        <w:t>3°, 4°, 11 Y 41.</w:t>
      </w:r>
      <w:r>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419D3" w:rsidRDefault="005419D3" w:rsidP="005419D3">
      <w:pPr>
        <w:ind w:left="851" w:right="899"/>
        <w:jc w:val="both"/>
        <w:rPr>
          <w:rFonts w:ascii="Palatino Linotype" w:hAnsi="Palatino Linotype" w:cs="Arial"/>
          <w:i/>
          <w:sz w:val="22"/>
          <w:szCs w:val="22"/>
        </w:rPr>
      </w:pPr>
      <w:r>
        <w:rPr>
          <w:rFonts w:ascii="Palatino Linotype" w:hAnsi="Palatino Linotype" w:cs="Arial"/>
          <w:i/>
          <w:sz w:val="22"/>
          <w:szCs w:val="22"/>
        </w:rPr>
        <w:lastRenderedPageBreak/>
        <w:t>En consecuencia el acceso a la información se refiere a que se cumplan cualquiera de los siguientes tres supuestos:</w:t>
      </w:r>
    </w:p>
    <w:p w:rsidR="005419D3" w:rsidRDefault="005419D3" w:rsidP="005419D3">
      <w:pPr>
        <w:ind w:left="851" w:right="899"/>
        <w:jc w:val="both"/>
        <w:rPr>
          <w:rFonts w:ascii="Palatino Linotype" w:hAnsi="Palatino Linotype" w:cs="Arial"/>
          <w:i/>
          <w:sz w:val="22"/>
          <w:szCs w:val="22"/>
        </w:rPr>
      </w:pPr>
      <w:r>
        <w:rPr>
          <w:rFonts w:ascii="Palatino Linotype" w:hAnsi="Palatino Linotype" w:cs="Arial"/>
          <w:i/>
          <w:sz w:val="22"/>
          <w:szCs w:val="22"/>
        </w:rPr>
        <w:t>1) Que se trate de información registrada en cualquier soporte documental, que en ejercicio de las atribuciones conferidas, sea generada por los Sujetos Obligados;</w:t>
      </w:r>
    </w:p>
    <w:p w:rsidR="005419D3" w:rsidRDefault="005419D3" w:rsidP="005419D3">
      <w:pPr>
        <w:ind w:left="851" w:right="899"/>
        <w:jc w:val="both"/>
        <w:rPr>
          <w:rFonts w:ascii="Palatino Linotype" w:hAnsi="Palatino Linotype" w:cs="Arial"/>
          <w:b/>
          <w:i/>
          <w:sz w:val="22"/>
          <w:szCs w:val="22"/>
        </w:rPr>
      </w:pPr>
      <w:r>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rsidR="005419D3" w:rsidRDefault="005419D3" w:rsidP="005419D3">
      <w:pPr>
        <w:ind w:left="851" w:right="899"/>
        <w:jc w:val="both"/>
        <w:rPr>
          <w:rFonts w:ascii="Palatino Linotype" w:hAnsi="Palatino Linotype" w:cs="Arial"/>
          <w:b/>
          <w:i/>
          <w:sz w:val="22"/>
          <w:szCs w:val="22"/>
        </w:rPr>
      </w:pPr>
      <w:r>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rsidR="005419D3" w:rsidRDefault="005419D3" w:rsidP="005419D3">
      <w:pPr>
        <w:spacing w:line="360" w:lineRule="auto"/>
        <w:ind w:right="-93"/>
        <w:jc w:val="both"/>
        <w:rPr>
          <w:rFonts w:ascii="Palatino Linotype" w:eastAsia="Palatino Linotype" w:hAnsi="Palatino Linotype" w:cs="Palatino Linotype"/>
          <w:color w:val="000000"/>
        </w:rPr>
      </w:pPr>
    </w:p>
    <w:p w:rsidR="005419D3" w:rsidRDefault="005419D3" w:rsidP="005419D3">
      <w:pPr>
        <w:spacing w:line="360" w:lineRule="auto"/>
        <w:ind w:right="-93"/>
        <w:jc w:val="both"/>
        <w:rPr>
          <w:rFonts w:ascii="Palatino Linotype" w:hAnsi="Palatino Linotype" w:cs="Arial"/>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xml:space="preserve">, se determina que la información emitida por el Sujeto Obligado en su respuesta </w:t>
      </w:r>
      <w:r>
        <w:rPr>
          <w:rFonts w:ascii="Palatino Linotype" w:hAnsi="Palatino Linotype" w:cs="Arial"/>
        </w:rPr>
        <w:t>no cumple con lo establecido por los artículos 4, 12 y 24 último párrafo de la Ley de Transparencia y Acceso a la Información Pública del</w:t>
      </w:r>
      <w:r w:rsidR="001D31EA">
        <w:rPr>
          <w:rFonts w:ascii="Palatino Linotype" w:hAnsi="Palatino Linotype" w:cs="Arial"/>
        </w:rPr>
        <w:t xml:space="preserve"> Estado de México y Municipios, conforme a lo siguiente:</w:t>
      </w:r>
    </w:p>
    <w:p w:rsidR="005419D3" w:rsidRDefault="005419D3" w:rsidP="005419D3">
      <w:pPr>
        <w:spacing w:before="240" w:after="240" w:line="360" w:lineRule="auto"/>
        <w:contextualSpacing/>
        <w:jc w:val="both"/>
        <w:rPr>
          <w:rFonts w:ascii="Palatino Linotype" w:hAnsi="Palatino Linotype" w:cs="Arial"/>
        </w:rPr>
      </w:pPr>
    </w:p>
    <w:p w:rsidR="005419D3" w:rsidRPr="006A212E" w:rsidRDefault="005419D3" w:rsidP="005419D3">
      <w:pPr>
        <w:spacing w:line="360" w:lineRule="auto"/>
        <w:jc w:val="both"/>
        <w:rPr>
          <w:rFonts w:ascii="Palatino Linotype" w:hAnsi="Palatino Linotype" w:cs="Arial"/>
        </w:rPr>
      </w:pPr>
      <w:r w:rsidRPr="00394DD9">
        <w:rPr>
          <w:rFonts w:ascii="Palatino Linotype" w:hAnsi="Palatino Linotype" w:cs="Arial"/>
        </w:rPr>
        <w:t>En segundo lugar, es importante destacar que conforme a lo previsto en los artículos 6, apartado A, fracción I, de la Constitución Política de los Estados Unidos Mexicanos y 5, fracción I, de la Constitución Política del Estado Libre y Soberano de México, toda la información en posesión</w:t>
      </w:r>
      <w:r w:rsidRPr="00C12391">
        <w:rPr>
          <w:rFonts w:ascii="Palatino Linotype" w:hAnsi="Palatino Linotype" w:cs="Arial"/>
        </w:rPr>
        <w:t xml:space="preserve"> de cualquier autoridad, entidad, órgano y organismos de los Poderes Ejecutivo, Legislativo y Judicial, órganos autónomos, partidos políticos, fideicomisos y fondos públicos estatales y municipales, así como del gobierno y de la administración pública</w:t>
      </w:r>
      <w:r w:rsidRPr="006A212E">
        <w:rPr>
          <w:rFonts w:ascii="Palatino Linotype" w:hAnsi="Palatino Linotype" w:cs="Arial"/>
        </w:rPr>
        <w:t xml:space="preserve">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263F55" w:rsidRDefault="00263F55" w:rsidP="005419D3">
      <w:pPr>
        <w:spacing w:line="360" w:lineRule="auto"/>
        <w:jc w:val="both"/>
        <w:rPr>
          <w:rFonts w:ascii="Palatino Linotype" w:hAnsi="Palatino Linotype"/>
        </w:rPr>
      </w:pPr>
    </w:p>
    <w:p w:rsidR="0039010B" w:rsidRDefault="005419D3" w:rsidP="0039010B">
      <w:pPr>
        <w:spacing w:before="240" w:after="240" w:line="360" w:lineRule="auto"/>
        <w:jc w:val="both"/>
        <w:rPr>
          <w:rFonts w:ascii="Palatino Linotype" w:hAnsi="Palatino Linotype"/>
        </w:rPr>
      </w:pPr>
      <w:r w:rsidRPr="006A212E">
        <w:rPr>
          <w:rFonts w:ascii="Palatino Linotype" w:hAnsi="Palatino Linotype"/>
          <w:bCs/>
        </w:rPr>
        <w:lastRenderedPageBreak/>
        <w:t xml:space="preserve">Por todo lo anterior, la reserva de la información implica una clasificación, la cual debe entenderse como el proceso mediante el </w:t>
      </w:r>
      <w:r w:rsidRPr="00C12391">
        <w:rPr>
          <w:rFonts w:ascii="Palatino Linotype" w:hAnsi="Palatino Linotype"/>
          <w:bCs/>
        </w:rPr>
        <w:t>cual el Sujeto Obligado</w:t>
      </w:r>
      <w:r w:rsidRPr="006A212E">
        <w:rPr>
          <w:rFonts w:ascii="Palatino Linotype" w:hAnsi="Palatino Linotype"/>
          <w:bCs/>
        </w:rPr>
        <w:t xml:space="preserve"> determina que la i</w:t>
      </w:r>
      <w:r>
        <w:rPr>
          <w:rFonts w:ascii="Palatino Linotype" w:hAnsi="Palatino Linotype"/>
          <w:bCs/>
        </w:rPr>
        <w:t>nformación en su poder actualizar</w:t>
      </w:r>
      <w:r w:rsidRPr="006A212E">
        <w:rPr>
          <w:rFonts w:ascii="Palatino Linotype" w:hAnsi="Palatino Linotype"/>
          <w:bCs/>
        </w:rPr>
        <w:t xml:space="preserve"> alguno de los supuestos de reserva o confidencialidad, de conformidad con las </w:t>
      </w:r>
      <w:r>
        <w:rPr>
          <w:rFonts w:ascii="Palatino Linotype" w:hAnsi="Palatino Linotype"/>
          <w:bCs/>
        </w:rPr>
        <w:t>normas aplicables, en consecuencia, es que se analiza</w:t>
      </w:r>
      <w:r w:rsidRPr="006A212E">
        <w:rPr>
          <w:rFonts w:ascii="Palatino Linotype" w:hAnsi="Palatino Linotype"/>
          <w:bCs/>
        </w:rPr>
        <w:t xml:space="preserve"> </w:t>
      </w:r>
      <w:r w:rsidR="0039010B">
        <w:rPr>
          <w:rFonts w:ascii="Palatino Linotype" w:hAnsi="Palatino Linotype"/>
        </w:rPr>
        <w:t xml:space="preserve">acta de la décima novena sesión extraordinaria del Comité de Transparencia del Poder Legislativo del Estado Libre y Soberano de México, entre los que se advierten diversos acuerdos entre ellos el acuerdo número </w:t>
      </w:r>
      <w:r w:rsidR="0039010B" w:rsidRPr="00704F29">
        <w:rPr>
          <w:rFonts w:ascii="Palatino Linotype" w:hAnsi="Palatino Linotype"/>
        </w:rPr>
        <w:t>PLEGISLA/LX/CT/19ªext/2021/SEXTO</w:t>
      </w:r>
      <w:r w:rsidR="0039010B">
        <w:rPr>
          <w:rFonts w:ascii="Palatino Linotype" w:hAnsi="Palatino Linotype"/>
        </w:rPr>
        <w:t>, por medio del cual el Sujeto Obligado reserva el expediente y los anexos del diferendo limítrofe intermunicipal entre los municipios de Teoloyucan y Tepotzotlán que obran en los archivos de la Comisión Legislativa de Límites Territoriales del Estado de México y sus Municipios, por un periodo de cinco años.</w:t>
      </w:r>
    </w:p>
    <w:p w:rsidR="005419D3" w:rsidRPr="006A212E" w:rsidRDefault="005419D3" w:rsidP="005419D3">
      <w:pPr>
        <w:spacing w:line="360" w:lineRule="auto"/>
        <w:jc w:val="both"/>
        <w:rPr>
          <w:rFonts w:ascii="Palatino Linotype" w:eastAsia="Calibri" w:hAnsi="Palatino Linotype" w:cs="Arial"/>
        </w:rPr>
      </w:pPr>
      <w:r>
        <w:rPr>
          <w:rFonts w:ascii="Palatino Linotype" w:eastAsia="Calibri" w:hAnsi="Palatino Linotype" w:cs="Arial"/>
          <w:lang w:eastAsia="es-CO"/>
        </w:rPr>
        <w:t>De ahí que, en lo que concierne</w:t>
      </w:r>
      <w:r w:rsidRPr="006A212E">
        <w:rPr>
          <w:rFonts w:ascii="Palatino Linotype" w:eastAsia="Calibri" w:hAnsi="Palatino Linotype" w:cs="Arial"/>
          <w:lang w:eastAsia="es-CO"/>
        </w:rPr>
        <w:t xml:space="preserve"> a la información clasificada como reservada la </w:t>
      </w:r>
      <w:r w:rsidRPr="006A212E">
        <w:rPr>
          <w:rFonts w:ascii="Palatino Linotype" w:eastAsia="Calibri" w:hAnsi="Palatino Linotype" w:cs="Arial"/>
        </w:rPr>
        <w:t>Ley de Transparencia vigente en nuestra entidad establece en su artículo 140 una serie de hipótesis en las cuales radica la posibilidad de tal clasificación de información, que son:</w:t>
      </w:r>
    </w:p>
    <w:p w:rsidR="005419D3" w:rsidRPr="00C12391" w:rsidRDefault="005419D3" w:rsidP="005419D3">
      <w:pPr>
        <w:spacing w:after="120"/>
        <w:ind w:left="851" w:right="851"/>
        <w:jc w:val="both"/>
        <w:rPr>
          <w:rFonts w:ascii="Palatino Linotype" w:eastAsia="Calibri" w:hAnsi="Palatino Linotype"/>
          <w:i/>
          <w:sz w:val="22"/>
          <w:szCs w:val="22"/>
        </w:rPr>
      </w:pPr>
      <w:r w:rsidRPr="006A212E">
        <w:rPr>
          <w:rFonts w:ascii="Palatino Linotype" w:eastAsia="Calibri" w:hAnsi="Palatino Linotype"/>
          <w:i/>
        </w:rPr>
        <w:t xml:space="preserve"> </w:t>
      </w:r>
      <w:r w:rsidRPr="00C12391">
        <w:rPr>
          <w:rFonts w:ascii="Palatino Linotype" w:eastAsia="Calibri" w:hAnsi="Palatino Linotype"/>
          <w:i/>
          <w:sz w:val="22"/>
          <w:szCs w:val="22"/>
        </w:rPr>
        <w:t>“</w:t>
      </w:r>
      <w:r w:rsidRPr="00C12391">
        <w:rPr>
          <w:rFonts w:ascii="Palatino Linotype" w:eastAsia="Calibri" w:hAnsi="Palatino Linotype"/>
          <w:b/>
          <w:i/>
          <w:sz w:val="22"/>
          <w:szCs w:val="22"/>
        </w:rPr>
        <w:t>Artículo 140.</w:t>
      </w:r>
      <w:r w:rsidRPr="00C12391">
        <w:rPr>
          <w:rFonts w:ascii="Palatino Linotype" w:eastAsia="Calibri" w:hAnsi="Palatino Linotype"/>
          <w:i/>
          <w:sz w:val="22"/>
          <w:szCs w:val="22"/>
        </w:rPr>
        <w:t xml:space="preserve"> El acceso a la información pública será restringido excepcionalmente, cuando por razones de interés público, ésta sea clasificada como reservada, conforme a los criterios siguientes: </w:t>
      </w:r>
    </w:p>
    <w:p w:rsidR="005419D3" w:rsidRPr="00C12391" w:rsidRDefault="005419D3" w:rsidP="005419D3">
      <w:pPr>
        <w:spacing w:after="120"/>
        <w:ind w:left="851" w:right="851"/>
        <w:jc w:val="both"/>
        <w:rPr>
          <w:rFonts w:ascii="Palatino Linotype" w:eastAsia="Calibri" w:hAnsi="Palatino Linotype"/>
          <w:i/>
          <w:sz w:val="22"/>
          <w:szCs w:val="22"/>
        </w:rPr>
      </w:pPr>
      <w:r w:rsidRPr="00C12391">
        <w:rPr>
          <w:rFonts w:ascii="Palatino Linotype" w:eastAsia="Calibri" w:hAnsi="Palatino Linotype"/>
          <w:b/>
          <w:i/>
          <w:sz w:val="22"/>
          <w:szCs w:val="22"/>
        </w:rPr>
        <w:t>I.</w:t>
      </w:r>
      <w:r w:rsidRPr="00C12391">
        <w:rPr>
          <w:rFonts w:ascii="Palatino Linotype" w:eastAsia="Calibri" w:hAnsi="Palatino Linotype"/>
          <w:i/>
          <w:sz w:val="22"/>
          <w:szCs w:val="22"/>
        </w:rPr>
        <w:t xml:space="preserve"> Comprometa la seguridad pública y cuente con un propósito genuino y un efecto demostrable; </w:t>
      </w:r>
    </w:p>
    <w:p w:rsidR="005419D3" w:rsidRPr="00C12391" w:rsidRDefault="005419D3" w:rsidP="005419D3">
      <w:pPr>
        <w:spacing w:after="120"/>
        <w:ind w:left="851" w:right="851"/>
        <w:jc w:val="both"/>
        <w:rPr>
          <w:rFonts w:ascii="Palatino Linotype" w:eastAsia="Calibri" w:hAnsi="Palatino Linotype"/>
          <w:i/>
          <w:sz w:val="22"/>
          <w:szCs w:val="22"/>
        </w:rPr>
      </w:pPr>
      <w:r w:rsidRPr="00C12391">
        <w:rPr>
          <w:rFonts w:ascii="Palatino Linotype" w:eastAsia="Calibri" w:hAnsi="Palatino Linotype"/>
          <w:b/>
          <w:i/>
          <w:sz w:val="22"/>
          <w:szCs w:val="22"/>
        </w:rPr>
        <w:t>II.</w:t>
      </w:r>
      <w:r w:rsidRPr="00C12391">
        <w:rPr>
          <w:rFonts w:ascii="Palatino Linotype" w:eastAsia="Calibri" w:hAnsi="Palatino Linotype"/>
          <w:i/>
          <w:sz w:val="22"/>
          <w:szCs w:val="22"/>
        </w:rPr>
        <w:t xml:space="preserve"> Pueda menoscabar la conducción de las negociaciones y relaciones internacionales; </w:t>
      </w:r>
    </w:p>
    <w:p w:rsidR="005419D3" w:rsidRPr="00C12391" w:rsidRDefault="005419D3" w:rsidP="005419D3">
      <w:pPr>
        <w:spacing w:after="120"/>
        <w:ind w:left="851" w:right="851"/>
        <w:jc w:val="both"/>
        <w:rPr>
          <w:rFonts w:ascii="Palatino Linotype" w:eastAsia="Calibri" w:hAnsi="Palatino Linotype"/>
          <w:i/>
          <w:sz w:val="22"/>
          <w:szCs w:val="22"/>
        </w:rPr>
      </w:pPr>
      <w:r w:rsidRPr="00C12391">
        <w:rPr>
          <w:rFonts w:ascii="Palatino Linotype" w:eastAsia="Calibri" w:hAnsi="Palatino Linotype"/>
          <w:b/>
          <w:i/>
          <w:sz w:val="22"/>
          <w:szCs w:val="22"/>
        </w:rPr>
        <w:t>III.</w:t>
      </w:r>
      <w:r w:rsidRPr="00C12391">
        <w:rPr>
          <w:rFonts w:ascii="Palatino Linotype" w:eastAsia="Calibri" w:hAnsi="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5419D3" w:rsidRPr="00C12391" w:rsidRDefault="005419D3" w:rsidP="005419D3">
      <w:pPr>
        <w:spacing w:after="120"/>
        <w:ind w:left="851" w:right="851"/>
        <w:jc w:val="both"/>
        <w:rPr>
          <w:rFonts w:ascii="Palatino Linotype" w:eastAsia="Calibri" w:hAnsi="Palatino Linotype"/>
          <w:i/>
          <w:sz w:val="22"/>
          <w:szCs w:val="22"/>
        </w:rPr>
      </w:pPr>
      <w:r w:rsidRPr="00C12391">
        <w:rPr>
          <w:rFonts w:ascii="Palatino Linotype" w:eastAsia="Calibri" w:hAnsi="Palatino Linotype"/>
          <w:b/>
          <w:i/>
          <w:sz w:val="22"/>
          <w:szCs w:val="22"/>
        </w:rPr>
        <w:t>IV.</w:t>
      </w:r>
      <w:r w:rsidRPr="00C12391">
        <w:rPr>
          <w:rFonts w:ascii="Palatino Linotype" w:eastAsia="Calibri" w:hAnsi="Palatino Linotype"/>
          <w:i/>
          <w:sz w:val="22"/>
          <w:szCs w:val="22"/>
        </w:rPr>
        <w:t xml:space="preserve"> Ponga en riesgo la vida, la seguridad o la salud de una persona física; </w:t>
      </w:r>
    </w:p>
    <w:p w:rsidR="005419D3" w:rsidRPr="00E24647" w:rsidRDefault="005419D3" w:rsidP="005419D3">
      <w:pPr>
        <w:spacing w:after="120"/>
        <w:ind w:left="851" w:right="851"/>
        <w:jc w:val="both"/>
        <w:rPr>
          <w:rFonts w:ascii="Palatino Linotype" w:eastAsia="Calibri" w:hAnsi="Palatino Linotype"/>
          <w:i/>
          <w:sz w:val="22"/>
          <w:szCs w:val="22"/>
        </w:rPr>
      </w:pPr>
      <w:r w:rsidRPr="00E24647">
        <w:rPr>
          <w:rFonts w:ascii="Palatino Linotype" w:eastAsia="Calibri" w:hAnsi="Palatino Linotype"/>
          <w:b/>
          <w:i/>
          <w:sz w:val="22"/>
          <w:szCs w:val="22"/>
        </w:rPr>
        <w:lastRenderedPageBreak/>
        <w:t>V</w:t>
      </w:r>
      <w:r w:rsidRPr="00E24647">
        <w:rPr>
          <w:rFonts w:ascii="Palatino Linotype" w:eastAsia="Calibri" w:hAnsi="Palatino Linotype"/>
          <w:i/>
          <w:sz w:val="22"/>
          <w:szCs w:val="22"/>
        </w:rPr>
        <w:t xml:space="preserve">. </w:t>
      </w:r>
      <w:r w:rsidRPr="00E24647">
        <w:rPr>
          <w:rFonts w:ascii="Palatino Linotype" w:eastAsia="Calibri" w:hAnsi="Palatino Linotype"/>
          <w:bCs/>
          <w:i/>
          <w:sz w:val="22"/>
          <w:szCs w:val="22"/>
        </w:rPr>
        <w:t>Aquella cuya divulgación obstruya o pueda causar un serio perjuicio</w:t>
      </w:r>
      <w:r w:rsidRPr="00E24647">
        <w:rPr>
          <w:rFonts w:ascii="Palatino Linotype" w:eastAsia="Calibri" w:hAnsi="Palatino Linotype"/>
          <w:i/>
          <w:sz w:val="22"/>
          <w:szCs w:val="22"/>
        </w:rPr>
        <w:t xml:space="preserve"> a: </w:t>
      </w:r>
    </w:p>
    <w:p w:rsidR="005419D3" w:rsidRPr="00C12391" w:rsidRDefault="005419D3" w:rsidP="005419D3">
      <w:pPr>
        <w:spacing w:after="120"/>
        <w:ind w:left="851" w:right="851"/>
        <w:jc w:val="both"/>
        <w:rPr>
          <w:rFonts w:ascii="Palatino Linotype" w:eastAsia="Calibri" w:hAnsi="Palatino Linotype"/>
          <w:i/>
          <w:sz w:val="22"/>
          <w:szCs w:val="22"/>
        </w:rPr>
      </w:pPr>
      <w:r w:rsidRPr="00C12391">
        <w:rPr>
          <w:rFonts w:ascii="Palatino Linotype" w:eastAsia="Calibri" w:hAnsi="Palatino Linotype"/>
          <w:b/>
          <w:i/>
          <w:sz w:val="22"/>
          <w:szCs w:val="22"/>
        </w:rPr>
        <w:t>1.</w:t>
      </w:r>
      <w:r w:rsidRPr="00C12391">
        <w:rPr>
          <w:rFonts w:ascii="Palatino Linotype" w:eastAsia="Calibri" w:hAnsi="Palatino Linotype"/>
          <w:i/>
          <w:sz w:val="22"/>
          <w:szCs w:val="22"/>
        </w:rPr>
        <w:t xml:space="preserve"> Las actividades de fiscalización, verificación, inspección, comprobación y auditoría sobre el cumplimiento de las Leyes; o </w:t>
      </w:r>
    </w:p>
    <w:p w:rsidR="005419D3" w:rsidRPr="00C12391" w:rsidRDefault="005419D3" w:rsidP="005419D3">
      <w:pPr>
        <w:spacing w:after="120"/>
        <w:ind w:left="851" w:right="851"/>
        <w:jc w:val="both"/>
        <w:rPr>
          <w:rFonts w:ascii="Palatino Linotype" w:eastAsia="Calibri" w:hAnsi="Palatino Linotype"/>
          <w:i/>
          <w:sz w:val="22"/>
          <w:szCs w:val="22"/>
        </w:rPr>
      </w:pPr>
      <w:r w:rsidRPr="00C12391">
        <w:rPr>
          <w:rFonts w:ascii="Palatino Linotype" w:eastAsia="Calibri" w:hAnsi="Palatino Linotype"/>
          <w:b/>
          <w:i/>
          <w:sz w:val="22"/>
          <w:szCs w:val="22"/>
        </w:rPr>
        <w:t>2.</w:t>
      </w:r>
      <w:r w:rsidRPr="00C12391">
        <w:rPr>
          <w:rFonts w:ascii="Palatino Linotype" w:eastAsia="Calibri" w:hAnsi="Palatino Linotype"/>
          <w:i/>
          <w:sz w:val="22"/>
          <w:szCs w:val="22"/>
        </w:rPr>
        <w:t xml:space="preserve"> La recaudación de las contribuciones. </w:t>
      </w:r>
    </w:p>
    <w:p w:rsidR="005419D3" w:rsidRPr="00C12391" w:rsidRDefault="005419D3" w:rsidP="005419D3">
      <w:pPr>
        <w:spacing w:after="120"/>
        <w:ind w:left="851" w:right="851"/>
        <w:jc w:val="both"/>
        <w:rPr>
          <w:rFonts w:ascii="Palatino Linotype" w:eastAsia="Calibri" w:hAnsi="Palatino Linotype"/>
          <w:i/>
          <w:sz w:val="22"/>
          <w:szCs w:val="22"/>
        </w:rPr>
      </w:pPr>
      <w:r w:rsidRPr="00C12391">
        <w:rPr>
          <w:rFonts w:ascii="Palatino Linotype" w:eastAsia="Calibri" w:hAnsi="Palatino Linotype"/>
          <w:b/>
          <w:i/>
          <w:sz w:val="22"/>
          <w:szCs w:val="22"/>
        </w:rPr>
        <w:t>VI.</w:t>
      </w:r>
      <w:r w:rsidRPr="00C12391">
        <w:rPr>
          <w:rFonts w:ascii="Palatino Linotype" w:eastAsia="Calibri" w:hAnsi="Palatino Linotype"/>
          <w:i/>
          <w:sz w:val="22"/>
          <w:szCs w:val="22"/>
        </w:rPr>
        <w:t xml:space="preserve"> Pueda causar daño u obstruya la prevención o persecución de los delitos, altere el proceso de investigación de las carpetas de investigación, </w:t>
      </w:r>
      <w:r w:rsidRPr="00E24647">
        <w:rPr>
          <w:rFonts w:ascii="Palatino Linotype" w:eastAsia="Calibri" w:hAnsi="Palatino Linotype"/>
          <w:i/>
          <w:sz w:val="22"/>
          <w:szCs w:val="22"/>
        </w:rPr>
        <w:t>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w:t>
      </w:r>
      <w:r w:rsidRPr="00C12391">
        <w:rPr>
          <w:rFonts w:ascii="Palatino Linotype" w:eastAsia="Calibri" w:hAnsi="Palatino Linotype"/>
          <w:i/>
          <w:sz w:val="22"/>
          <w:szCs w:val="22"/>
        </w:rPr>
        <w:t xml:space="preserve"> o la seguridad de un denunciante, querellante o testigo, así como sus familias, en los términos de las disposiciones jurídicas aplicables; </w:t>
      </w:r>
    </w:p>
    <w:p w:rsidR="005419D3" w:rsidRPr="0072637B" w:rsidRDefault="005419D3" w:rsidP="005419D3">
      <w:pPr>
        <w:spacing w:after="120"/>
        <w:ind w:left="851" w:right="851"/>
        <w:jc w:val="both"/>
        <w:rPr>
          <w:rFonts w:ascii="Palatino Linotype" w:eastAsia="Calibri" w:hAnsi="Palatino Linotype"/>
          <w:i/>
          <w:sz w:val="22"/>
          <w:szCs w:val="22"/>
        </w:rPr>
      </w:pPr>
      <w:r w:rsidRPr="00E24647">
        <w:rPr>
          <w:rFonts w:ascii="Palatino Linotype" w:eastAsia="Calibri" w:hAnsi="Palatino Linotype"/>
          <w:b/>
          <w:i/>
          <w:sz w:val="22"/>
          <w:szCs w:val="22"/>
        </w:rPr>
        <w:t>VII</w:t>
      </w:r>
      <w:r w:rsidRPr="0072637B">
        <w:rPr>
          <w:rFonts w:ascii="Palatino Linotype" w:eastAsia="Calibri" w:hAnsi="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rsidR="005419D3" w:rsidRPr="00E24647" w:rsidRDefault="005419D3" w:rsidP="005419D3">
      <w:pPr>
        <w:spacing w:after="120"/>
        <w:ind w:left="851" w:right="851"/>
        <w:jc w:val="both"/>
        <w:rPr>
          <w:rFonts w:ascii="Palatino Linotype" w:eastAsia="Calibri" w:hAnsi="Palatino Linotype"/>
          <w:i/>
          <w:sz w:val="22"/>
          <w:szCs w:val="22"/>
        </w:rPr>
      </w:pPr>
      <w:r w:rsidRPr="00C12391">
        <w:rPr>
          <w:rFonts w:ascii="Palatino Linotype" w:eastAsia="Calibri" w:hAnsi="Palatino Linotype"/>
          <w:b/>
          <w:i/>
          <w:sz w:val="22"/>
          <w:szCs w:val="22"/>
        </w:rPr>
        <w:t>VIII.</w:t>
      </w:r>
      <w:r w:rsidRPr="00C12391">
        <w:rPr>
          <w:rFonts w:ascii="Palatino Linotype" w:eastAsia="Calibri" w:hAnsi="Palatino Linotype"/>
          <w:i/>
          <w:sz w:val="22"/>
          <w:szCs w:val="22"/>
        </w:rPr>
        <w:t xml:space="preserve"> </w:t>
      </w:r>
      <w:r w:rsidRPr="00E24647">
        <w:rPr>
          <w:rFonts w:ascii="Palatino Linotype" w:eastAsia="Calibri" w:hAnsi="Palatino Linotype"/>
          <w:i/>
          <w:sz w:val="22"/>
          <w:szCs w:val="22"/>
        </w:rPr>
        <w:t xml:space="preserve">Vulnere la conducción de los expedientes judiciales o de los procedimientos administrativos seguidos en forma de juicio, en tanto no hayan quedado firmes; </w:t>
      </w:r>
    </w:p>
    <w:p w:rsidR="005419D3" w:rsidRPr="00C12391" w:rsidRDefault="005419D3" w:rsidP="005419D3">
      <w:pPr>
        <w:spacing w:after="120"/>
        <w:ind w:left="851" w:right="851"/>
        <w:jc w:val="both"/>
        <w:rPr>
          <w:rFonts w:ascii="Palatino Linotype" w:eastAsia="Calibri" w:hAnsi="Palatino Linotype"/>
          <w:i/>
          <w:sz w:val="22"/>
          <w:szCs w:val="22"/>
        </w:rPr>
      </w:pPr>
      <w:r w:rsidRPr="00C12391">
        <w:rPr>
          <w:rFonts w:ascii="Palatino Linotype" w:eastAsia="Calibri" w:hAnsi="Palatino Linotype"/>
          <w:b/>
          <w:i/>
          <w:sz w:val="22"/>
          <w:szCs w:val="22"/>
        </w:rPr>
        <w:t>IX.</w:t>
      </w:r>
      <w:r w:rsidRPr="00C12391">
        <w:rPr>
          <w:rFonts w:ascii="Palatino Linotype" w:eastAsia="Calibri" w:hAnsi="Palatino Linotype"/>
          <w:i/>
          <w:sz w:val="22"/>
          <w:szCs w:val="22"/>
        </w:rPr>
        <w:t xml:space="preserve"> Se encuentre contenida dentro de las investigaciones de hechos que la Ley señale como delitos y se tramiten ante el Ministerio Público; </w:t>
      </w:r>
    </w:p>
    <w:p w:rsidR="005419D3" w:rsidRPr="00E24647" w:rsidRDefault="005419D3" w:rsidP="005419D3">
      <w:pPr>
        <w:spacing w:after="120"/>
        <w:ind w:left="851" w:right="851"/>
        <w:jc w:val="both"/>
        <w:rPr>
          <w:rFonts w:ascii="Palatino Linotype" w:eastAsia="Calibri" w:hAnsi="Palatino Linotype"/>
          <w:i/>
          <w:sz w:val="22"/>
          <w:szCs w:val="22"/>
        </w:rPr>
      </w:pPr>
      <w:r w:rsidRPr="00C12391">
        <w:rPr>
          <w:rFonts w:ascii="Palatino Linotype" w:eastAsia="Calibri" w:hAnsi="Palatino Linotype"/>
          <w:b/>
          <w:i/>
          <w:sz w:val="22"/>
          <w:szCs w:val="22"/>
        </w:rPr>
        <w:t>X.</w:t>
      </w:r>
      <w:r w:rsidRPr="00C12391">
        <w:rPr>
          <w:rFonts w:ascii="Palatino Linotype" w:eastAsia="Calibri" w:hAnsi="Palatino Linotype"/>
          <w:i/>
          <w:sz w:val="22"/>
          <w:szCs w:val="22"/>
        </w:rPr>
        <w:t xml:space="preserve"> </w:t>
      </w:r>
      <w:r w:rsidRPr="00E24647">
        <w:rPr>
          <w:rFonts w:ascii="Palatino Linotype" w:eastAsia="Calibri" w:hAnsi="Palatino Linotype"/>
          <w:i/>
          <w:sz w:val="22"/>
          <w:szCs w:val="22"/>
        </w:rPr>
        <w:t xml:space="preserve">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5419D3" w:rsidRPr="00C12391" w:rsidRDefault="005419D3" w:rsidP="005419D3">
      <w:pPr>
        <w:spacing w:after="120"/>
        <w:ind w:left="851" w:right="851"/>
        <w:jc w:val="both"/>
        <w:rPr>
          <w:rFonts w:ascii="Palatino Linotype" w:eastAsia="Calibri" w:hAnsi="Palatino Linotype"/>
          <w:i/>
          <w:sz w:val="22"/>
          <w:szCs w:val="22"/>
        </w:rPr>
      </w:pPr>
      <w:r w:rsidRPr="00C12391">
        <w:rPr>
          <w:rFonts w:ascii="Palatino Linotype" w:eastAsia="Calibri" w:hAnsi="Palatino Linotype"/>
          <w:i/>
          <w:sz w:val="22"/>
          <w:szCs w:val="22"/>
        </w:rPr>
        <w:t xml:space="preserve">Cuando se trate de información sobre estudios y proyectos cuya divulgación pueda causar daños al interés del Estado o suponga un riesgo para su </w:t>
      </w:r>
      <w:r w:rsidR="007D545F">
        <w:rPr>
          <w:rFonts w:ascii="Palatino Linotype" w:eastAsia="Calibri" w:hAnsi="Palatino Linotype"/>
          <w:i/>
          <w:sz w:val="22"/>
          <w:szCs w:val="22"/>
        </w:rPr>
        <w:t>realización,</w:t>
      </w:r>
      <w:r w:rsidRPr="00C12391">
        <w:rPr>
          <w:rFonts w:ascii="Palatino Linotype" w:eastAsia="Calibri" w:hAnsi="Palatino Linotype"/>
          <w:i/>
          <w:sz w:val="22"/>
          <w:szCs w:val="22"/>
        </w:rPr>
        <w:t xml:space="preserve">siempre que esté directamente relacionado con procesos o procedimientos administrativos o judiciales que no hayan quedado firmes; y </w:t>
      </w:r>
    </w:p>
    <w:p w:rsidR="005419D3" w:rsidRPr="00C12391" w:rsidRDefault="005419D3" w:rsidP="005419D3">
      <w:pPr>
        <w:spacing w:after="120"/>
        <w:ind w:left="851" w:right="851"/>
        <w:jc w:val="both"/>
        <w:rPr>
          <w:rFonts w:ascii="Palatino Linotype" w:eastAsia="Calibri" w:hAnsi="Palatino Linotype"/>
          <w:sz w:val="22"/>
          <w:szCs w:val="22"/>
        </w:rPr>
      </w:pPr>
      <w:r w:rsidRPr="00C12391">
        <w:rPr>
          <w:rFonts w:ascii="Palatino Linotype" w:eastAsia="Calibri" w:hAnsi="Palatino Linotype"/>
          <w:b/>
          <w:i/>
          <w:sz w:val="22"/>
          <w:szCs w:val="22"/>
        </w:rPr>
        <w:t>XI.</w:t>
      </w:r>
      <w:r w:rsidRPr="00C12391">
        <w:rPr>
          <w:rFonts w:ascii="Palatino Linotype" w:eastAsia="Calibri" w:hAnsi="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 (Sic)</w:t>
      </w:r>
    </w:p>
    <w:p w:rsidR="005419D3" w:rsidRPr="006A212E" w:rsidRDefault="005419D3" w:rsidP="005419D3">
      <w:pPr>
        <w:spacing w:line="360" w:lineRule="auto"/>
        <w:jc w:val="both"/>
        <w:rPr>
          <w:rFonts w:ascii="Palatino Linotype" w:hAnsi="Palatino Linotype"/>
          <w:bCs/>
        </w:rPr>
      </w:pPr>
    </w:p>
    <w:p w:rsidR="005419D3" w:rsidRDefault="005419D3" w:rsidP="005419D3">
      <w:pPr>
        <w:spacing w:line="360" w:lineRule="auto"/>
        <w:jc w:val="both"/>
        <w:rPr>
          <w:rFonts w:ascii="Palatino Linotype" w:hAnsi="Palatino Linotype"/>
          <w:bCs/>
        </w:rPr>
      </w:pPr>
      <w:r w:rsidRPr="006A212E">
        <w:rPr>
          <w:rFonts w:ascii="Palatino Linotype" w:hAnsi="Palatino Linotype"/>
          <w:bCs/>
        </w:rPr>
        <w:t xml:space="preserve">Del precepto </w:t>
      </w:r>
      <w:r>
        <w:rPr>
          <w:rFonts w:ascii="Palatino Linotype" w:hAnsi="Palatino Linotype"/>
          <w:bCs/>
        </w:rPr>
        <w:t xml:space="preserve">legal </w:t>
      </w:r>
      <w:r w:rsidRPr="006A212E">
        <w:rPr>
          <w:rFonts w:ascii="Palatino Linotype" w:hAnsi="Palatino Linotype"/>
          <w:bCs/>
        </w:rPr>
        <w:t>ante</w:t>
      </w:r>
      <w:r>
        <w:rPr>
          <w:rFonts w:ascii="Palatino Linotype" w:hAnsi="Palatino Linotype"/>
          <w:bCs/>
        </w:rPr>
        <w:t>s referido, se advierte</w:t>
      </w:r>
      <w:r w:rsidRPr="006A212E">
        <w:rPr>
          <w:rFonts w:ascii="Palatino Linotype" w:hAnsi="Palatino Linotype"/>
          <w:bCs/>
        </w:rPr>
        <w:t xml:space="preserve"> que la Ley de Transparencia vigente en nuestra entidad establece que la información pública será restringida excepcionalmente cuando por razones de interés público, ésta sea clasificada como </w:t>
      </w:r>
      <w:r w:rsidRPr="006A212E">
        <w:rPr>
          <w:rFonts w:ascii="Palatino Linotype" w:hAnsi="Palatino Linotype"/>
          <w:bCs/>
        </w:rPr>
        <w:lastRenderedPageBreak/>
        <w:t xml:space="preserve">reservada, estableciendo una serie de supuestos entre los que se encuentran cuando afecte o vulnere la conducción o los derechos del debido proceso en los procedimientos judiciales o administrativos, incluidos los </w:t>
      </w:r>
      <w:r>
        <w:rPr>
          <w:rFonts w:ascii="Palatino Linotype" w:hAnsi="Palatino Linotype"/>
          <w:bCs/>
        </w:rPr>
        <w:t>expedientes judiciales</w:t>
      </w:r>
      <w:r w:rsidRPr="006A212E">
        <w:rPr>
          <w:rFonts w:ascii="Palatino Linotype" w:hAnsi="Palatino Linotype"/>
          <w:bCs/>
        </w:rPr>
        <w:t xml:space="preserve"> en tanto no hayan quedado firmes, </w:t>
      </w:r>
      <w:r w:rsidRPr="00C12391">
        <w:rPr>
          <w:rFonts w:ascii="Palatino Linotype" w:hAnsi="Palatino Linotype"/>
        </w:rPr>
        <w:t>hasta en tanto sea adoptada la decisión definitiva</w:t>
      </w:r>
      <w:r w:rsidRPr="008B3E27">
        <w:rPr>
          <w:rFonts w:ascii="Palatino Linotype" w:hAnsi="Palatino Linotype"/>
          <w:b/>
        </w:rPr>
        <w:t>,</w:t>
      </w:r>
      <w:r w:rsidRPr="006A212E">
        <w:rPr>
          <w:rFonts w:ascii="Palatino Linotype" w:hAnsi="Palatino Linotype"/>
          <w:bCs/>
        </w:rPr>
        <w:t xml:space="preserve"> la cual deberá estar documentada, o el daño que pueda producirse con la publicación de la información sea mayor al interés público, siempre y cuando esté directamente relacionado con procesos o procedimientos administrativos o judiciales que no hayan quedado firmes.</w:t>
      </w:r>
    </w:p>
    <w:p w:rsidR="005419D3" w:rsidRDefault="005419D3" w:rsidP="005419D3">
      <w:pPr>
        <w:spacing w:before="240" w:after="240" w:line="360" w:lineRule="auto"/>
        <w:contextualSpacing/>
        <w:jc w:val="both"/>
        <w:rPr>
          <w:rFonts w:ascii="Palatino Linotype" w:hAnsi="Palatino Linotype"/>
          <w:bCs/>
        </w:rPr>
      </w:pPr>
    </w:p>
    <w:p w:rsidR="0072637B" w:rsidRPr="00731A81" w:rsidRDefault="00D1398D" w:rsidP="00D1398D">
      <w:pPr>
        <w:spacing w:before="240" w:after="240" w:line="360" w:lineRule="auto"/>
        <w:jc w:val="both"/>
        <w:rPr>
          <w:rFonts w:ascii="Palatino Linotype" w:eastAsia="Cambria" w:hAnsi="Palatino Linotype"/>
          <w:lang w:eastAsia="en-US"/>
        </w:rPr>
      </w:pPr>
      <w:r w:rsidRPr="00D1398D">
        <w:rPr>
          <w:rFonts w:ascii="Palatino Linotype" w:eastAsia="Cambria" w:hAnsi="Palatino Linotype" w:cs="Arial"/>
          <w:bCs/>
          <w:lang w:eastAsia="es-MX"/>
        </w:rPr>
        <w:t xml:space="preserve">Ahora </w:t>
      </w:r>
      <w:r w:rsidR="00C53A21" w:rsidRPr="00D1398D">
        <w:rPr>
          <w:rFonts w:ascii="Palatino Linotype" w:eastAsia="Cambria" w:hAnsi="Palatino Linotype" w:cs="Arial"/>
          <w:bCs/>
          <w:lang w:eastAsia="es-MX"/>
        </w:rPr>
        <w:t>bien, es</w:t>
      </w:r>
      <w:r w:rsidRPr="00D1398D">
        <w:rPr>
          <w:rFonts w:ascii="Palatino Linotype" w:eastAsia="Cambria" w:hAnsi="Palatino Linotype" w:cs="Arial"/>
          <w:bCs/>
          <w:lang w:eastAsia="es-MX"/>
        </w:rPr>
        <w:t xml:space="preserve"> pertinente mencionar </w:t>
      </w:r>
      <w:r w:rsidR="0072637B" w:rsidRPr="00731A81">
        <w:rPr>
          <w:rFonts w:ascii="Palatino Linotype" w:eastAsia="Cambria" w:hAnsi="Palatino Linotype"/>
          <w:lang w:eastAsia="en-US"/>
        </w:rPr>
        <w:t xml:space="preserve">respecto de los </w:t>
      </w:r>
      <w:r w:rsidR="00C53A21" w:rsidRPr="00731A81">
        <w:rPr>
          <w:rFonts w:ascii="Palatino Linotype" w:eastAsia="Cambria" w:hAnsi="Palatino Linotype"/>
          <w:lang w:eastAsia="en-US"/>
        </w:rPr>
        <w:t>límites</w:t>
      </w:r>
      <w:r w:rsidR="0072637B" w:rsidRPr="00731A81">
        <w:rPr>
          <w:rFonts w:ascii="Palatino Linotype" w:eastAsia="Cambria" w:hAnsi="Palatino Linotype"/>
          <w:lang w:eastAsia="en-US"/>
        </w:rPr>
        <w:t xml:space="preserve"> territoriales que el artículo 112</w:t>
      </w:r>
      <w:r w:rsidR="00731A81" w:rsidRPr="00731A81">
        <w:rPr>
          <w:rFonts w:ascii="Palatino Linotype" w:eastAsia="Cambria" w:hAnsi="Palatino Linotype"/>
          <w:lang w:eastAsia="en-US"/>
        </w:rPr>
        <w:t xml:space="preserve"> de la Constitución Política del Estado Libere y Soberano del Estado de México, dispone lo siguiente:</w:t>
      </w:r>
    </w:p>
    <w:p w:rsidR="0072637B" w:rsidRPr="00731A81" w:rsidRDefault="00731A81" w:rsidP="00731A81">
      <w:pPr>
        <w:spacing w:after="120"/>
        <w:ind w:left="851" w:right="851"/>
        <w:jc w:val="both"/>
        <w:rPr>
          <w:rFonts w:ascii="Palatino Linotype" w:eastAsia="Calibri" w:hAnsi="Palatino Linotype"/>
          <w:i/>
          <w:sz w:val="22"/>
          <w:szCs w:val="22"/>
        </w:rPr>
      </w:pPr>
      <w:r>
        <w:rPr>
          <w:rFonts w:ascii="Palatino Linotype" w:eastAsia="Calibri" w:hAnsi="Palatino Linotype"/>
          <w:i/>
          <w:sz w:val="22"/>
          <w:szCs w:val="22"/>
        </w:rPr>
        <w:t>“</w:t>
      </w:r>
      <w:r w:rsidR="0072637B" w:rsidRPr="00731A81">
        <w:rPr>
          <w:rFonts w:ascii="Palatino Linotype" w:eastAsia="Calibri" w:hAnsi="Palatino Linotype"/>
          <w:i/>
          <w:sz w:val="22"/>
          <w:szCs w:val="22"/>
        </w:rPr>
        <w:t>Artículo 112.- 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rsidR="00731A81" w:rsidRDefault="00731A81" w:rsidP="00731A81">
      <w:pPr>
        <w:spacing w:after="120"/>
        <w:ind w:left="851" w:right="851"/>
        <w:jc w:val="both"/>
        <w:rPr>
          <w:rFonts w:ascii="Palatino Linotype" w:eastAsia="Calibri" w:hAnsi="Palatino Linotype"/>
          <w:i/>
          <w:sz w:val="22"/>
          <w:szCs w:val="22"/>
        </w:rPr>
      </w:pPr>
      <w:r w:rsidRPr="00731A81">
        <w:rPr>
          <w:rFonts w:ascii="Palatino Linotype" w:eastAsia="Calibri" w:hAnsi="Palatino Linotype"/>
          <w:i/>
          <w:sz w:val="22"/>
          <w:szCs w:val="22"/>
        </w:rPr>
        <w:t>Los municipios del Estado, su denominación y la de sus cabeceras, serán los que señale la ley de la materia.</w:t>
      </w:r>
      <w:r>
        <w:rPr>
          <w:rFonts w:ascii="Palatino Linotype" w:eastAsia="Calibri" w:hAnsi="Palatino Linotype"/>
          <w:i/>
          <w:sz w:val="22"/>
          <w:szCs w:val="22"/>
        </w:rPr>
        <w:t>” (Sic)</w:t>
      </w:r>
    </w:p>
    <w:p w:rsidR="00731A81" w:rsidRPr="00731A81" w:rsidRDefault="00731A81" w:rsidP="00731A81">
      <w:pPr>
        <w:spacing w:after="120"/>
        <w:ind w:left="851" w:right="851"/>
        <w:jc w:val="both"/>
        <w:rPr>
          <w:rFonts w:ascii="Palatino Linotype" w:eastAsia="Calibri" w:hAnsi="Palatino Linotype"/>
          <w:i/>
          <w:sz w:val="22"/>
          <w:szCs w:val="22"/>
        </w:rPr>
      </w:pPr>
    </w:p>
    <w:p w:rsidR="00731A81" w:rsidRPr="00731A81" w:rsidRDefault="00731A81" w:rsidP="00D1398D">
      <w:pPr>
        <w:spacing w:before="240" w:after="240" w:line="360" w:lineRule="auto"/>
        <w:jc w:val="both"/>
        <w:rPr>
          <w:rFonts w:ascii="Palatino Linotype" w:eastAsia="Cambria" w:hAnsi="Palatino Linotype"/>
          <w:lang w:eastAsia="en-US"/>
        </w:rPr>
      </w:pPr>
      <w:r w:rsidRPr="00731A81">
        <w:rPr>
          <w:rFonts w:ascii="Palatino Linotype" w:eastAsia="Cambria" w:hAnsi="Palatino Linotype"/>
          <w:lang w:eastAsia="en-US"/>
        </w:rPr>
        <w:t xml:space="preserve">Con base a la disposición legal referida, el municipio tiene la facultad de establecer su división territorial, ante ello viene a colación lo establecido por los artículos 4, 7 y 8 de la Ley Orgánica Municipal del Estado de México, los que disponen: </w:t>
      </w:r>
    </w:p>
    <w:p w:rsidR="00731A81" w:rsidRPr="00731A81" w:rsidRDefault="00731A81" w:rsidP="00731A81">
      <w:pPr>
        <w:spacing w:after="120"/>
        <w:ind w:left="851" w:right="851"/>
        <w:jc w:val="both"/>
        <w:rPr>
          <w:rFonts w:ascii="Palatino Linotype" w:eastAsia="Calibri" w:hAnsi="Palatino Linotype"/>
          <w:i/>
          <w:sz w:val="22"/>
          <w:szCs w:val="22"/>
        </w:rPr>
      </w:pPr>
      <w:r>
        <w:rPr>
          <w:rFonts w:ascii="Palatino Linotype" w:eastAsia="Calibri" w:hAnsi="Palatino Linotype"/>
          <w:i/>
          <w:sz w:val="22"/>
          <w:szCs w:val="22"/>
        </w:rPr>
        <w:t>“</w:t>
      </w:r>
      <w:r w:rsidRPr="00731A81">
        <w:rPr>
          <w:rFonts w:ascii="Palatino Linotype" w:eastAsia="Calibri" w:hAnsi="Palatino Linotype"/>
          <w:i/>
          <w:sz w:val="22"/>
          <w:szCs w:val="22"/>
        </w:rPr>
        <w:t>Artículo 4.- La creación y supresión de municipios, la modificación de su territorio, cambios en su denominación o ubicación de sus cabeceras municipales, así como la solución de conflictos sobre límites intermunicipales, corresponden a la Legislatura del Estado.</w:t>
      </w:r>
    </w:p>
    <w:p w:rsidR="00731A81" w:rsidRPr="00731A81" w:rsidRDefault="00731A81" w:rsidP="00731A81">
      <w:pPr>
        <w:spacing w:after="120"/>
        <w:ind w:left="851" w:right="851"/>
        <w:jc w:val="both"/>
        <w:rPr>
          <w:rFonts w:ascii="Palatino Linotype" w:eastAsia="Calibri" w:hAnsi="Palatino Linotype"/>
          <w:i/>
          <w:sz w:val="22"/>
          <w:szCs w:val="22"/>
        </w:rPr>
      </w:pPr>
      <w:r w:rsidRPr="00731A81">
        <w:rPr>
          <w:rFonts w:ascii="Palatino Linotype" w:eastAsia="Calibri" w:hAnsi="Palatino Linotype"/>
          <w:i/>
          <w:sz w:val="22"/>
          <w:szCs w:val="22"/>
        </w:rPr>
        <w:lastRenderedPageBreak/>
        <w:t>Artículo 7.- La extensión territorial de los municipios del Estado, comprenderá la superficie y límites reco</w:t>
      </w:r>
      <w:r w:rsidR="00C53A21">
        <w:rPr>
          <w:rFonts w:ascii="Palatino Linotype" w:eastAsia="Calibri" w:hAnsi="Palatino Linotype"/>
          <w:i/>
          <w:sz w:val="22"/>
          <w:szCs w:val="22"/>
        </w:rPr>
        <w:t>nocidos para cada uno de ellos.” (Sic)</w:t>
      </w:r>
    </w:p>
    <w:p w:rsidR="00731A81" w:rsidRPr="00731A81" w:rsidRDefault="00731A81" w:rsidP="00731A81">
      <w:pPr>
        <w:spacing w:after="120"/>
        <w:ind w:left="851" w:right="851"/>
        <w:jc w:val="both"/>
        <w:rPr>
          <w:rFonts w:ascii="Palatino Linotype" w:eastAsia="Calibri" w:hAnsi="Palatino Linotype"/>
          <w:i/>
          <w:sz w:val="22"/>
          <w:szCs w:val="22"/>
        </w:rPr>
      </w:pPr>
      <w:r w:rsidRPr="00731A81">
        <w:rPr>
          <w:rFonts w:ascii="Palatino Linotype" w:eastAsia="Calibri" w:hAnsi="Palatino Linotype"/>
          <w:i/>
          <w:sz w:val="22"/>
          <w:szCs w:val="22"/>
        </w:rPr>
        <w:t>Artículo 8.- La división territorial de los municipios se integra por la cabecera municipal, y por las delegaciones, subdelegaciones, colonias, sectores y manzanas, con la denominación, extensión y límites que establezcan los ayuntamientos.</w:t>
      </w:r>
      <w:r>
        <w:rPr>
          <w:rFonts w:ascii="Palatino Linotype" w:eastAsia="Calibri" w:hAnsi="Palatino Linotype"/>
          <w:i/>
          <w:sz w:val="22"/>
          <w:szCs w:val="22"/>
        </w:rPr>
        <w:t>” (Sic)</w:t>
      </w:r>
    </w:p>
    <w:p w:rsidR="00731A81" w:rsidRDefault="002C7B85" w:rsidP="00D1398D">
      <w:pPr>
        <w:spacing w:before="240" w:after="240" w:line="360" w:lineRule="auto"/>
        <w:jc w:val="both"/>
        <w:rPr>
          <w:rFonts w:ascii="Palatino Linotype" w:eastAsia="Cambria" w:hAnsi="Palatino Linotype"/>
          <w:lang w:eastAsia="en-US"/>
        </w:rPr>
      </w:pPr>
      <w:r w:rsidRPr="002C7B85">
        <w:rPr>
          <w:rFonts w:ascii="Palatino Linotype" w:eastAsia="Cambria" w:hAnsi="Palatino Linotype"/>
          <w:lang w:eastAsia="en-US"/>
        </w:rPr>
        <w:t>De lo procedente se advierte que los m</w:t>
      </w:r>
      <w:r w:rsidR="0039010B">
        <w:rPr>
          <w:rFonts w:ascii="Palatino Linotype" w:eastAsia="Cambria" w:hAnsi="Palatino Linotype"/>
          <w:lang w:eastAsia="en-US"/>
        </w:rPr>
        <w:t xml:space="preserve">unicipios del Estado de México, tienen </w:t>
      </w:r>
      <w:r w:rsidRPr="002C7B85">
        <w:rPr>
          <w:rFonts w:ascii="Palatino Linotype" w:eastAsia="Cambria" w:hAnsi="Palatino Linotype"/>
          <w:lang w:eastAsia="en-US"/>
        </w:rPr>
        <w:t xml:space="preserve">la facultad para modificar su territorio, denominación o ubicación de sus cabeceras municipales y la </w:t>
      </w:r>
      <w:r w:rsidRPr="002C7B85">
        <w:rPr>
          <w:rFonts w:ascii="Palatino Linotype" w:eastAsia="Cambria" w:hAnsi="Palatino Linotype"/>
          <w:b/>
          <w:lang w:eastAsia="en-US"/>
        </w:rPr>
        <w:t>solución de conflictos sobre límites intermunicipales</w:t>
      </w:r>
      <w:r w:rsidR="0039010B">
        <w:rPr>
          <w:rFonts w:ascii="Palatino Linotype" w:eastAsia="Cambria" w:hAnsi="Palatino Linotype"/>
          <w:b/>
          <w:lang w:eastAsia="en-US"/>
        </w:rPr>
        <w:t xml:space="preserve"> le corresponde al Sujeto Obligado</w:t>
      </w:r>
      <w:r>
        <w:rPr>
          <w:rFonts w:ascii="Palatino Linotype" w:eastAsia="Cambria" w:hAnsi="Palatino Linotype"/>
          <w:lang w:eastAsia="en-US"/>
        </w:rPr>
        <w:t>.</w:t>
      </w:r>
    </w:p>
    <w:p w:rsidR="00821003" w:rsidRDefault="007E0B58" w:rsidP="00821003">
      <w:pPr>
        <w:spacing w:before="240" w:after="240" w:line="360" w:lineRule="auto"/>
        <w:jc w:val="both"/>
        <w:rPr>
          <w:rFonts w:ascii="Palatino Linotype" w:eastAsia="Cambria" w:hAnsi="Palatino Linotype"/>
          <w:lang w:eastAsia="en-US"/>
        </w:rPr>
      </w:pPr>
      <w:r>
        <w:rPr>
          <w:rFonts w:ascii="Palatino Linotype" w:eastAsia="Cambria" w:hAnsi="Palatino Linotype"/>
          <w:lang w:eastAsia="en-US"/>
        </w:rPr>
        <w:t xml:space="preserve">En ese contexto, se debe mencionar </w:t>
      </w:r>
      <w:r w:rsidR="00571904">
        <w:rPr>
          <w:rFonts w:ascii="Palatino Linotype" w:eastAsia="Cambria" w:hAnsi="Palatino Linotype"/>
          <w:lang w:eastAsia="en-US"/>
        </w:rPr>
        <w:t xml:space="preserve">que la autoridad competente para conocer sobre los conflictos intermunicipales es la </w:t>
      </w:r>
      <w:r w:rsidR="00571904" w:rsidRPr="00571904">
        <w:rPr>
          <w:rFonts w:ascii="Palatino Linotype" w:eastAsia="Cambria" w:hAnsi="Palatino Linotype"/>
          <w:lang w:eastAsia="en-US"/>
        </w:rPr>
        <w:t>Comisión</w:t>
      </w:r>
      <w:r w:rsidR="00571904">
        <w:rPr>
          <w:rFonts w:ascii="Palatino Linotype" w:eastAsia="Cambria" w:hAnsi="Palatino Linotype"/>
          <w:lang w:eastAsia="en-US"/>
        </w:rPr>
        <w:t xml:space="preserve"> de Límites del Gobierno d</w:t>
      </w:r>
      <w:r w:rsidR="00571904" w:rsidRPr="00571904">
        <w:rPr>
          <w:rFonts w:ascii="Palatino Linotype" w:eastAsia="Cambria" w:hAnsi="Palatino Linotype"/>
          <w:lang w:eastAsia="en-US"/>
        </w:rPr>
        <w:t>el Estado</w:t>
      </w:r>
      <w:r w:rsidR="00571904">
        <w:rPr>
          <w:rFonts w:ascii="Palatino Linotype" w:eastAsia="Cambria" w:hAnsi="Palatino Linotype"/>
          <w:lang w:eastAsia="en-US"/>
        </w:rPr>
        <w:t xml:space="preserve"> d</w:t>
      </w:r>
      <w:r w:rsidR="00571904" w:rsidRPr="00571904">
        <w:rPr>
          <w:rFonts w:ascii="Palatino Linotype" w:eastAsia="Cambria" w:hAnsi="Palatino Linotype"/>
          <w:lang w:eastAsia="en-US"/>
        </w:rPr>
        <w:t>e México</w:t>
      </w:r>
      <w:r w:rsidR="00571904">
        <w:rPr>
          <w:rFonts w:ascii="Palatino Linotype" w:eastAsia="Cambria" w:hAnsi="Palatino Linotype"/>
          <w:lang w:eastAsia="en-US"/>
        </w:rPr>
        <w:t xml:space="preserve">, dependiente del Poder Legislativo del Estado de México, la cual en el artículo 19 y de los artículos 40 </w:t>
      </w:r>
      <w:r w:rsidR="00821003">
        <w:rPr>
          <w:rFonts w:ascii="Palatino Linotype" w:eastAsia="Cambria" w:hAnsi="Palatino Linotype"/>
          <w:lang w:eastAsia="en-US"/>
        </w:rPr>
        <w:t>al 60 de la Ley Reglamentaria d</w:t>
      </w:r>
      <w:r w:rsidR="00821003" w:rsidRPr="00821003">
        <w:rPr>
          <w:rFonts w:ascii="Palatino Linotype" w:eastAsia="Cambria" w:hAnsi="Palatino Linotype"/>
          <w:lang w:eastAsia="en-US"/>
        </w:rPr>
        <w:t xml:space="preserve">e Las Fracciones </w:t>
      </w:r>
      <w:r w:rsidR="00821003">
        <w:rPr>
          <w:rFonts w:ascii="Palatino Linotype" w:eastAsia="Cambria" w:hAnsi="Palatino Linotype"/>
          <w:lang w:eastAsia="en-US"/>
        </w:rPr>
        <w:t>XXV y</w:t>
      </w:r>
      <w:r w:rsidR="00821003" w:rsidRPr="00821003">
        <w:rPr>
          <w:rFonts w:ascii="Palatino Linotype" w:eastAsia="Cambria" w:hAnsi="Palatino Linotype"/>
          <w:lang w:eastAsia="en-US"/>
        </w:rPr>
        <w:t xml:space="preserve"> XXVI</w:t>
      </w:r>
      <w:r w:rsidR="008A061C">
        <w:rPr>
          <w:rFonts w:ascii="Palatino Linotype" w:eastAsia="Cambria" w:hAnsi="Palatino Linotype"/>
          <w:lang w:eastAsia="en-US"/>
        </w:rPr>
        <w:t xml:space="preserve"> d</w:t>
      </w:r>
      <w:r w:rsidR="00821003" w:rsidRPr="00821003">
        <w:rPr>
          <w:rFonts w:ascii="Palatino Linotype" w:eastAsia="Cambria" w:hAnsi="Palatino Linotype"/>
          <w:lang w:eastAsia="en-US"/>
        </w:rPr>
        <w:t>el Artícul</w:t>
      </w:r>
      <w:r w:rsidR="00821003">
        <w:rPr>
          <w:rFonts w:ascii="Palatino Linotype" w:eastAsia="Cambria" w:hAnsi="Palatino Linotype"/>
          <w:lang w:eastAsia="en-US"/>
        </w:rPr>
        <w:t>o 61 de la Constitución Política del Estado Libre y Soberano d</w:t>
      </w:r>
      <w:r w:rsidR="00821003" w:rsidRPr="00821003">
        <w:rPr>
          <w:rFonts w:ascii="Palatino Linotype" w:eastAsia="Cambria" w:hAnsi="Palatino Linotype"/>
          <w:lang w:eastAsia="en-US"/>
        </w:rPr>
        <w:t>e México</w:t>
      </w:r>
      <w:r w:rsidR="00821003">
        <w:rPr>
          <w:rFonts w:ascii="Palatino Linotype" w:eastAsia="Cambria" w:hAnsi="Palatino Linotype"/>
          <w:lang w:eastAsia="en-US"/>
        </w:rPr>
        <w:t>, se</w:t>
      </w:r>
      <w:r w:rsidR="00571904">
        <w:rPr>
          <w:rFonts w:ascii="Palatino Linotype" w:eastAsia="Cambria" w:hAnsi="Palatino Linotype"/>
          <w:lang w:eastAsia="en-US"/>
        </w:rPr>
        <w:t xml:space="preserve"> establece </w:t>
      </w:r>
      <w:r w:rsidR="00821003">
        <w:rPr>
          <w:rFonts w:ascii="Palatino Linotype" w:eastAsia="Cambria" w:hAnsi="Palatino Linotype"/>
          <w:lang w:eastAsia="en-US"/>
        </w:rPr>
        <w:t xml:space="preserve">las atribuciones de la Comisión y el </w:t>
      </w:r>
      <w:r w:rsidR="00821003" w:rsidRPr="00821003">
        <w:rPr>
          <w:rFonts w:ascii="Palatino Linotype" w:eastAsia="Cambria" w:hAnsi="Palatino Linotype"/>
          <w:lang w:eastAsia="en-US"/>
        </w:rPr>
        <w:t>procedimiento para la solución de diferendos limítrofes intermunicipales</w:t>
      </w:r>
      <w:r w:rsidR="00821003">
        <w:rPr>
          <w:rFonts w:ascii="Palatino Linotype" w:eastAsia="Cambria" w:hAnsi="Palatino Linotype"/>
          <w:lang w:eastAsia="en-US"/>
        </w:rPr>
        <w:t>, respectivamente</w:t>
      </w:r>
      <w:r w:rsidR="008A061C">
        <w:rPr>
          <w:rStyle w:val="Refdenotaalpie"/>
          <w:rFonts w:ascii="Palatino Linotype" w:eastAsia="Cambria" w:hAnsi="Palatino Linotype"/>
          <w:lang w:eastAsia="en-US"/>
        </w:rPr>
        <w:footnoteReference w:id="1"/>
      </w:r>
      <w:r w:rsidR="00821003">
        <w:rPr>
          <w:rFonts w:ascii="Palatino Linotype" w:eastAsia="Cambria" w:hAnsi="Palatino Linotype"/>
          <w:lang w:eastAsia="en-US"/>
        </w:rPr>
        <w:t xml:space="preserve">. </w:t>
      </w:r>
    </w:p>
    <w:p w:rsidR="00E24647" w:rsidRDefault="00571904" w:rsidP="00C53A21">
      <w:pPr>
        <w:spacing w:before="240" w:after="240" w:line="360" w:lineRule="auto"/>
        <w:jc w:val="both"/>
        <w:rPr>
          <w:rFonts w:ascii="Palatino Linotype" w:eastAsia="Cambria" w:hAnsi="Palatino Linotype"/>
          <w:lang w:eastAsia="en-US"/>
        </w:rPr>
      </w:pPr>
      <w:r>
        <w:rPr>
          <w:rFonts w:ascii="Palatino Linotype" w:eastAsia="Cambria" w:hAnsi="Palatino Linotype"/>
          <w:lang w:eastAsia="en-US"/>
        </w:rPr>
        <w:t>Una vez precisad</w:t>
      </w:r>
      <w:r w:rsidR="008A061C">
        <w:rPr>
          <w:rFonts w:ascii="Palatino Linotype" w:eastAsia="Cambria" w:hAnsi="Palatino Linotype"/>
          <w:lang w:eastAsia="en-US"/>
        </w:rPr>
        <w:t>o</w:t>
      </w:r>
      <w:r>
        <w:rPr>
          <w:rFonts w:ascii="Palatino Linotype" w:eastAsia="Cambria" w:hAnsi="Palatino Linotype"/>
          <w:lang w:eastAsia="en-US"/>
        </w:rPr>
        <w:t xml:space="preserve"> lo anterior</w:t>
      </w:r>
      <w:r w:rsidR="00E24647">
        <w:rPr>
          <w:rFonts w:ascii="Palatino Linotype" w:eastAsia="Cambria" w:hAnsi="Palatino Linotype"/>
          <w:lang w:eastAsia="en-US"/>
        </w:rPr>
        <w:t xml:space="preserve">, se procede a realizar los </w:t>
      </w:r>
      <w:r w:rsidR="00C93B0C">
        <w:rPr>
          <w:rFonts w:ascii="Palatino Linotype" w:eastAsia="Cambria" w:hAnsi="Palatino Linotype"/>
          <w:lang w:eastAsia="en-US"/>
        </w:rPr>
        <w:t>siguientes cuestionamientos</w:t>
      </w:r>
      <w:r w:rsidR="00E24647">
        <w:rPr>
          <w:rFonts w:ascii="Palatino Linotype" w:eastAsia="Cambria" w:hAnsi="Palatino Linotype"/>
          <w:lang w:eastAsia="en-US"/>
        </w:rPr>
        <w:t xml:space="preserve"> para determina</w:t>
      </w:r>
      <w:r w:rsidR="00C93B0C">
        <w:rPr>
          <w:rFonts w:ascii="Palatino Linotype" w:eastAsia="Cambria" w:hAnsi="Palatino Linotype"/>
          <w:lang w:eastAsia="en-US"/>
        </w:rPr>
        <w:t>r</w:t>
      </w:r>
      <w:r w:rsidR="00E24647">
        <w:rPr>
          <w:rFonts w:ascii="Palatino Linotype" w:eastAsia="Cambria" w:hAnsi="Palatino Linotype"/>
          <w:lang w:eastAsia="en-US"/>
        </w:rPr>
        <w:t xml:space="preserve"> la procedencia de la entrega de la información requerida por el recurrente.</w:t>
      </w:r>
    </w:p>
    <w:p w:rsidR="00E24647" w:rsidRPr="00C93B0C" w:rsidRDefault="00E24647" w:rsidP="00C93B0C">
      <w:pPr>
        <w:autoSpaceDE w:val="0"/>
        <w:autoSpaceDN w:val="0"/>
        <w:adjustRightInd w:val="0"/>
        <w:spacing w:before="240" w:after="240" w:line="360" w:lineRule="auto"/>
        <w:ind w:right="51"/>
        <w:contextualSpacing/>
        <w:jc w:val="both"/>
        <w:rPr>
          <w:rFonts w:ascii="Palatino Linotype" w:hAnsi="Palatino Linotype"/>
        </w:rPr>
      </w:pPr>
      <w:r w:rsidRPr="00C93B0C">
        <w:rPr>
          <w:rFonts w:ascii="Palatino Linotype" w:hAnsi="Palatino Linotype"/>
        </w:rPr>
        <w:t>Primera cuestión: ¿Pueden ser restringidos los Principios establecidos en el artículo 6 de la Constitución Federal respecto del derecho de acceso a la información?</w:t>
      </w:r>
    </w:p>
    <w:p w:rsidR="00821003" w:rsidRDefault="00821003" w:rsidP="00E24647">
      <w:pPr>
        <w:spacing w:line="360" w:lineRule="auto"/>
        <w:jc w:val="both"/>
        <w:rPr>
          <w:rFonts w:ascii="Palatino Linotype" w:hAnsi="Palatino Linotype"/>
        </w:rPr>
      </w:pPr>
    </w:p>
    <w:p w:rsidR="00E24647" w:rsidRPr="00C93B0C" w:rsidRDefault="00E24647" w:rsidP="00E24647">
      <w:pPr>
        <w:spacing w:line="360" w:lineRule="auto"/>
        <w:jc w:val="both"/>
        <w:rPr>
          <w:rFonts w:ascii="Palatino Linotype" w:hAnsi="Palatino Linotype"/>
        </w:rPr>
      </w:pPr>
      <w:r w:rsidRPr="00C93B0C">
        <w:rPr>
          <w:rFonts w:ascii="Palatino Linotype" w:hAnsi="Palatino Linotype"/>
        </w:rPr>
        <w:lastRenderedPageBreak/>
        <w:t xml:space="preserve">El artículo 6 de la Constitución General de la República, establece una serie de principios y bases sobre las cuales se erige el reconocimiento y ejercicio del derecho humano del acceso a la información pública. </w:t>
      </w:r>
    </w:p>
    <w:p w:rsidR="00E24647" w:rsidRPr="00C93B0C" w:rsidRDefault="00E24647" w:rsidP="00E24647">
      <w:pPr>
        <w:spacing w:line="360" w:lineRule="auto"/>
        <w:jc w:val="both"/>
        <w:rPr>
          <w:rFonts w:ascii="Palatino Linotype" w:hAnsi="Palatino Linotype"/>
        </w:rPr>
      </w:pPr>
    </w:p>
    <w:p w:rsidR="00E24647" w:rsidRPr="00C93B0C" w:rsidRDefault="00E24647" w:rsidP="00E24647">
      <w:pPr>
        <w:pStyle w:val="corte4fondo"/>
        <w:ind w:firstLine="0"/>
        <w:rPr>
          <w:rFonts w:ascii="Palatino Linotype" w:hAnsi="Palatino Linotype"/>
          <w:b/>
          <w:sz w:val="24"/>
          <w:szCs w:val="24"/>
        </w:rPr>
      </w:pPr>
      <w:r w:rsidRPr="00C93B0C">
        <w:rPr>
          <w:rFonts w:ascii="Palatino Linotype" w:hAnsi="Palatino Linotype"/>
          <w:sz w:val="24"/>
          <w:szCs w:val="24"/>
        </w:rPr>
        <w:t xml:space="preserve">En este sentido, en la fracción I del citado artículo, establece que es pública la información que posea cualquier ente estatal, con </w:t>
      </w:r>
      <w:r w:rsidRPr="00C93B0C">
        <w:rPr>
          <w:rFonts w:ascii="Palatino Linotype" w:hAnsi="Palatino Linotype"/>
          <w:b/>
          <w:sz w:val="24"/>
          <w:szCs w:val="24"/>
        </w:rPr>
        <w:t>excepción de reserva temporal</w:t>
      </w:r>
      <w:r w:rsidRPr="00C93B0C">
        <w:rPr>
          <w:rFonts w:ascii="Palatino Linotype" w:hAnsi="Palatino Linotype"/>
          <w:sz w:val="24"/>
          <w:szCs w:val="24"/>
        </w:rPr>
        <w:t xml:space="preserve"> </w:t>
      </w:r>
      <w:r w:rsidRPr="00C93B0C">
        <w:rPr>
          <w:rFonts w:ascii="Palatino Linotype" w:hAnsi="Palatino Linotype"/>
          <w:b/>
          <w:sz w:val="24"/>
          <w:szCs w:val="24"/>
        </w:rPr>
        <w:t>por razón de interés público</w:t>
      </w:r>
      <w:r w:rsidRPr="00C93B0C">
        <w:rPr>
          <w:rFonts w:ascii="Palatino Linotype" w:hAnsi="Palatino Linotype" w:cs="Arial"/>
        </w:rPr>
        <w:t xml:space="preserve"> </w:t>
      </w:r>
      <w:r w:rsidRPr="00C93B0C">
        <w:rPr>
          <w:rFonts w:ascii="Palatino Linotype" w:hAnsi="Palatino Linotype" w:cs="Arial"/>
          <w:b/>
          <w:sz w:val="24"/>
          <w:szCs w:val="24"/>
        </w:rPr>
        <w:t>en los términos que fijen las leyes</w:t>
      </w:r>
      <w:r w:rsidRPr="00C93B0C">
        <w:rPr>
          <w:rFonts w:ascii="Palatino Linotype" w:hAnsi="Palatino Linotype"/>
          <w:b/>
          <w:sz w:val="24"/>
          <w:szCs w:val="24"/>
        </w:rPr>
        <w:t>;</w:t>
      </w:r>
      <w:r w:rsidRPr="00C93B0C">
        <w:rPr>
          <w:rFonts w:ascii="Palatino Linotype" w:hAnsi="Palatino Linotype"/>
          <w:sz w:val="24"/>
          <w:szCs w:val="24"/>
        </w:rPr>
        <w:t xml:space="preserve"> y en la fracción segunda se ordena, que la referente a la vida privada y datos personales, sea protegida.</w:t>
      </w:r>
    </w:p>
    <w:p w:rsidR="00E24647" w:rsidRPr="00C93B0C" w:rsidRDefault="00E24647" w:rsidP="00E24647">
      <w:pPr>
        <w:pStyle w:val="corte4fondo"/>
        <w:ind w:firstLine="0"/>
        <w:rPr>
          <w:rFonts w:ascii="Palatino Linotype" w:hAnsi="Palatino Linotype"/>
          <w:sz w:val="24"/>
          <w:szCs w:val="24"/>
        </w:rPr>
      </w:pPr>
    </w:p>
    <w:p w:rsidR="00E24647" w:rsidRDefault="00E24647" w:rsidP="00E24647">
      <w:pPr>
        <w:pStyle w:val="corte4fondo"/>
        <w:ind w:firstLine="0"/>
        <w:rPr>
          <w:rFonts w:ascii="Palatino Linotype" w:hAnsi="Palatino Linotype"/>
          <w:sz w:val="24"/>
          <w:szCs w:val="24"/>
        </w:rPr>
      </w:pPr>
      <w:r w:rsidRPr="00C93B0C">
        <w:rPr>
          <w:rFonts w:ascii="Palatino Linotype" w:hAnsi="Palatino Linotype"/>
          <w:sz w:val="24"/>
          <w:szCs w:val="24"/>
        </w:rPr>
        <w:t xml:space="preserve">Por lo tanto, se puede determinar que, a rango constitucional </w:t>
      </w:r>
      <w:r w:rsidRPr="00C93B0C">
        <w:rPr>
          <w:rFonts w:ascii="Palatino Linotype" w:hAnsi="Palatino Linotype"/>
          <w:b/>
          <w:sz w:val="24"/>
          <w:szCs w:val="24"/>
        </w:rPr>
        <w:t>el ejercicio del poder público debe operar bajo la máxima publicidad y accesibilidad, solo limitada por circunstancias específicas establecidas por la ley</w:t>
      </w:r>
      <w:r w:rsidRPr="00C93B0C">
        <w:rPr>
          <w:rFonts w:ascii="Palatino Linotype" w:hAnsi="Palatino Linotype"/>
          <w:sz w:val="24"/>
          <w:szCs w:val="24"/>
        </w:rPr>
        <w:t>, y que pudieran implicar que la divulgación de la información atente contra los derechos de terceros o la protección de la seguridad nacional, el orden público, la salud o moral públicas.</w:t>
      </w:r>
    </w:p>
    <w:p w:rsidR="00821003" w:rsidRPr="00C93B0C" w:rsidRDefault="00821003" w:rsidP="00E24647">
      <w:pPr>
        <w:pStyle w:val="corte4fondo"/>
        <w:ind w:firstLine="0"/>
        <w:rPr>
          <w:rFonts w:ascii="Palatino Linotype" w:hAnsi="Palatino Linotype"/>
          <w:sz w:val="24"/>
          <w:szCs w:val="24"/>
        </w:rPr>
      </w:pPr>
    </w:p>
    <w:p w:rsidR="00E24647" w:rsidRPr="00C93B0C" w:rsidRDefault="00E24647" w:rsidP="00E24647">
      <w:pPr>
        <w:spacing w:line="360" w:lineRule="auto"/>
        <w:jc w:val="both"/>
        <w:rPr>
          <w:rFonts w:ascii="Palatino Linotype" w:hAnsi="Palatino Linotype"/>
        </w:rPr>
      </w:pPr>
      <w:r w:rsidRPr="00C93B0C">
        <w:rPr>
          <w:rFonts w:ascii="Palatino Linotype" w:hAnsi="Palatino Linotype"/>
        </w:rPr>
        <w:t xml:space="preserve">Así, témenos que como sucede con el ejercicio de otros derechos fundamentales, </w:t>
      </w:r>
      <w:r w:rsidRPr="00C93B0C">
        <w:rPr>
          <w:rFonts w:ascii="Palatino Linotype" w:hAnsi="Palatino Linotype"/>
          <w:b/>
          <w:u w:val="single"/>
        </w:rPr>
        <w:t>el derecho al acceso a la información, se encuentra sujeto a determinadas restricciones; sin embargo, a efecto de no ser excesivas, que lleguen al grado de anular el ejercicio del derecho fundamental, están condicionadas a diversos aspectos,</w:t>
      </w:r>
      <w:r w:rsidRPr="00C93B0C">
        <w:rPr>
          <w:rFonts w:ascii="Palatino Linotype" w:hAnsi="Palatino Linotype"/>
        </w:rPr>
        <w:t xml:space="preserve"> de modo que, como lo indica la propia Convención Americana de Derechos Humanos en su artículo 13.2, para que una restricción al derecho a la información pública pueda ser aplicable, debe demostrarse que ha cumplido con las condiciones de: i)</w:t>
      </w:r>
      <w:r w:rsidRPr="00C93B0C">
        <w:rPr>
          <w:rFonts w:ascii="Palatino Linotype" w:hAnsi="Palatino Linotype"/>
          <w:i/>
        </w:rPr>
        <w:t>carácter excepcional, ii) consagración legal, iii) objetivos legítimos, iii) necesidad y proporcionalidad.</w:t>
      </w:r>
    </w:p>
    <w:p w:rsidR="00E24647" w:rsidRPr="00C93B0C" w:rsidRDefault="00E24647" w:rsidP="00E24647">
      <w:pPr>
        <w:spacing w:line="360" w:lineRule="auto"/>
        <w:jc w:val="both"/>
        <w:rPr>
          <w:rFonts w:ascii="Palatino Linotype" w:hAnsi="Palatino Linotype"/>
        </w:rPr>
      </w:pPr>
    </w:p>
    <w:p w:rsidR="00E24647" w:rsidRPr="00C93B0C" w:rsidRDefault="00E24647" w:rsidP="00E24647">
      <w:pPr>
        <w:spacing w:line="360" w:lineRule="auto"/>
        <w:jc w:val="both"/>
        <w:rPr>
          <w:rFonts w:ascii="Palatino Linotype" w:hAnsi="Palatino Linotype"/>
        </w:rPr>
      </w:pPr>
      <w:r w:rsidRPr="00C93B0C">
        <w:rPr>
          <w:rFonts w:ascii="Palatino Linotype" w:hAnsi="Palatino Linotype"/>
        </w:rPr>
        <w:t xml:space="preserve">Respecto de estas excepciones, la </w:t>
      </w:r>
      <w:r w:rsidRPr="00C93B0C">
        <w:rPr>
          <w:rFonts w:ascii="Palatino Linotype" w:hAnsi="Palatino Linotype"/>
          <w:b/>
        </w:rPr>
        <w:t xml:space="preserve">Corte Interamericana al resolver el </w:t>
      </w:r>
      <w:r w:rsidRPr="00C93B0C">
        <w:rPr>
          <w:rFonts w:ascii="Palatino Linotype" w:hAnsi="Palatino Linotype"/>
          <w:b/>
          <w:i/>
        </w:rPr>
        <w:t>Caso de Clade Reyes y Otros (sentencia del 19 de septiembre de 2006)</w:t>
      </w:r>
      <w:r w:rsidRPr="00C93B0C">
        <w:rPr>
          <w:rFonts w:ascii="Palatino Linotype" w:hAnsi="Palatino Linotype"/>
        </w:rPr>
        <w:t xml:space="preserve">  preciso que,  el establecimiento de </w:t>
      </w:r>
      <w:r w:rsidRPr="00C93B0C">
        <w:rPr>
          <w:rFonts w:ascii="Palatino Linotype" w:hAnsi="Palatino Linotype"/>
          <w:b/>
          <w:u w:val="single"/>
        </w:rPr>
        <w:t>restricciones al derecho de acceso a la información bajo control del Estado, a través de la práctica de las autoridades, sin cumplimiento de los requisitos establecidos en la Convención Americana, crea un campo fértil para la actuación discrecional y arbitraria en la clasificación de informaciones como secretas, reservadas</w:t>
      </w:r>
      <w:r w:rsidRPr="00C93B0C">
        <w:rPr>
          <w:rFonts w:ascii="Palatino Linotype" w:hAnsi="Palatino Linotype"/>
        </w:rPr>
        <w:t xml:space="preserve"> o confidenciales y genera inseguridad jurídica respecto del ejercicio de dicho derecho, así como del alcance de las facultades estatales para restringirlo; es por ello que, en atención al principio de máxima divulgación, toda excepción que precisen los entes públicos debe sujetarse a  una serie de parámetros jurídicos. </w:t>
      </w:r>
    </w:p>
    <w:p w:rsidR="00E24647" w:rsidRPr="00C93B0C" w:rsidRDefault="00E24647" w:rsidP="00E24647">
      <w:pPr>
        <w:spacing w:line="360" w:lineRule="auto"/>
        <w:jc w:val="both"/>
        <w:rPr>
          <w:rFonts w:ascii="Palatino Linotype" w:hAnsi="Palatino Linotype"/>
        </w:rPr>
      </w:pPr>
    </w:p>
    <w:p w:rsidR="00E24647" w:rsidRPr="00C93B0C" w:rsidRDefault="00E24647" w:rsidP="00E24647">
      <w:pPr>
        <w:spacing w:line="360" w:lineRule="auto"/>
        <w:jc w:val="both"/>
        <w:rPr>
          <w:rFonts w:ascii="Palatino Linotype" w:hAnsi="Palatino Linotype"/>
          <w:b/>
        </w:rPr>
      </w:pPr>
      <w:r w:rsidRPr="00C93B0C">
        <w:rPr>
          <w:rFonts w:ascii="Palatino Linotype" w:hAnsi="Palatino Linotype"/>
        </w:rPr>
        <w:t xml:space="preserve">Además, en la misma sentencia el tribunal interamericano puntualizó que la ley debe garantizar un acceso a la información pública que sea efectivo y lo más amplio posible, además de que, </w:t>
      </w:r>
      <w:r w:rsidRPr="00C93B0C">
        <w:rPr>
          <w:rFonts w:ascii="Palatino Linotype" w:hAnsi="Palatino Linotype"/>
          <w:b/>
          <w:u w:val="single"/>
        </w:rPr>
        <w:t xml:space="preserve">en caso de contemplar excepciones, éstas no deben convertirse en la práctica en la regla general, sino deben ser la excepción sujetas a estudios casuísticos. </w:t>
      </w:r>
    </w:p>
    <w:p w:rsidR="00E24647" w:rsidRPr="00C93B0C" w:rsidRDefault="00E24647" w:rsidP="00E24647">
      <w:pPr>
        <w:spacing w:line="360" w:lineRule="auto"/>
        <w:jc w:val="both"/>
        <w:rPr>
          <w:rFonts w:ascii="Palatino Linotype" w:hAnsi="Palatino Linotype"/>
        </w:rPr>
      </w:pPr>
    </w:p>
    <w:p w:rsidR="00E24647" w:rsidRPr="00C93B0C" w:rsidRDefault="00E24647" w:rsidP="00E24647">
      <w:pPr>
        <w:spacing w:line="360" w:lineRule="auto"/>
        <w:jc w:val="both"/>
        <w:rPr>
          <w:rFonts w:ascii="Palatino Linotype" w:hAnsi="Palatino Linotype"/>
        </w:rPr>
      </w:pPr>
      <w:r w:rsidRPr="00C93B0C">
        <w:rPr>
          <w:rFonts w:ascii="Palatino Linotype" w:hAnsi="Palatino Linotype"/>
        </w:rPr>
        <w:t xml:space="preserve">En esa medida, la Relatoría para la Libertad de Expresión de la Comisión Interamericana de Derechos Humanos, </w:t>
      </w:r>
      <w:r w:rsidRPr="00C93B0C">
        <w:rPr>
          <w:rFonts w:ascii="Palatino Linotype" w:hAnsi="Palatino Linotype"/>
          <w:b/>
        </w:rPr>
        <w:t xml:space="preserve">ha sostenido que las limitaciones impuestas al derecho de acceso a la información, como cualquier otra limitación que se imponga a cualquiera de las derivaciones del derecho a la libertad de expresión, deben ser necesarias en una sociedad democrática para satisfacer un interés público imperativo; debiendo escoger la que restrinja en menor escala el </w:t>
      </w:r>
      <w:r w:rsidRPr="00C93B0C">
        <w:rPr>
          <w:rFonts w:ascii="Palatino Linotype" w:hAnsi="Palatino Linotype"/>
          <w:b/>
        </w:rPr>
        <w:lastRenderedPageBreak/>
        <w:t>derecho protegido</w:t>
      </w:r>
      <w:r w:rsidRPr="00C93B0C">
        <w:rPr>
          <w:rFonts w:ascii="Palatino Linotype" w:hAnsi="Palatino Linotype"/>
        </w:rPr>
        <w:t>, y observando que ésta:  (i) sea conducente para alcanzar su logro, (ii) sea proporcional al interés que la justifica, e (iii) interfiera en la menor medida posible en el ejercicio efectivo del derecho.</w:t>
      </w:r>
    </w:p>
    <w:p w:rsidR="00E24647" w:rsidRPr="00C93B0C" w:rsidRDefault="00E24647" w:rsidP="00E24647">
      <w:pPr>
        <w:spacing w:line="360" w:lineRule="auto"/>
        <w:jc w:val="both"/>
        <w:rPr>
          <w:rFonts w:ascii="Palatino Linotype" w:hAnsi="Palatino Linotype"/>
        </w:rPr>
      </w:pPr>
    </w:p>
    <w:p w:rsidR="00E24647" w:rsidRPr="00C93B0C" w:rsidRDefault="00E24647" w:rsidP="00E24647">
      <w:pPr>
        <w:spacing w:line="360" w:lineRule="auto"/>
        <w:jc w:val="both"/>
        <w:rPr>
          <w:rFonts w:ascii="Palatino Linotype" w:hAnsi="Palatino Linotype"/>
          <w:b/>
          <w:u w:val="single"/>
        </w:rPr>
      </w:pPr>
      <w:r w:rsidRPr="00C93B0C">
        <w:rPr>
          <w:rFonts w:ascii="Palatino Linotype" w:hAnsi="Palatino Linotype"/>
        </w:rPr>
        <w:t xml:space="preserve">De esta forma, del principio de máxima publicidad tanto en el ámbito internos como en la óptica </w:t>
      </w:r>
      <w:r w:rsidR="000C368B" w:rsidRPr="00C93B0C">
        <w:rPr>
          <w:rFonts w:ascii="Palatino Linotype" w:hAnsi="Palatino Linotype"/>
        </w:rPr>
        <w:t>internacional, deriva</w:t>
      </w:r>
      <w:r w:rsidRPr="00C93B0C">
        <w:rPr>
          <w:rFonts w:ascii="Palatino Linotype" w:hAnsi="Palatino Linotype"/>
        </w:rPr>
        <w:t xml:space="preserve"> el que </w:t>
      </w:r>
      <w:r w:rsidRPr="00C93B0C">
        <w:rPr>
          <w:rFonts w:ascii="Palatino Linotype" w:hAnsi="Palatino Linotype"/>
          <w:b/>
          <w:u w:val="single"/>
        </w:rPr>
        <w:t xml:space="preserve">las normas que limitan el derecho de acceso a la información deben ser interpretadas de manera restrictiva y que toda limitación debe estar debidamente sujeta a una serie de parámetros con los cuales se permita determinar la menor limitación posible al derecho de acceso. </w:t>
      </w:r>
    </w:p>
    <w:p w:rsidR="000C368B" w:rsidRDefault="000C368B" w:rsidP="000C368B">
      <w:pPr>
        <w:autoSpaceDE w:val="0"/>
        <w:autoSpaceDN w:val="0"/>
        <w:adjustRightInd w:val="0"/>
        <w:spacing w:before="240" w:after="240" w:line="360" w:lineRule="auto"/>
        <w:ind w:right="51"/>
        <w:contextualSpacing/>
        <w:jc w:val="both"/>
        <w:rPr>
          <w:rFonts w:ascii="Palatino Linotype" w:hAnsi="Palatino Linotype"/>
        </w:rPr>
      </w:pPr>
    </w:p>
    <w:p w:rsidR="00E24647" w:rsidRPr="000C368B" w:rsidRDefault="00E24647" w:rsidP="000C368B">
      <w:pPr>
        <w:autoSpaceDE w:val="0"/>
        <w:autoSpaceDN w:val="0"/>
        <w:adjustRightInd w:val="0"/>
        <w:spacing w:before="240" w:after="240" w:line="360" w:lineRule="auto"/>
        <w:ind w:right="51"/>
        <w:contextualSpacing/>
        <w:jc w:val="both"/>
        <w:rPr>
          <w:rFonts w:ascii="Palatino Linotype" w:hAnsi="Palatino Linotype"/>
        </w:rPr>
      </w:pPr>
      <w:r w:rsidRPr="000C368B">
        <w:rPr>
          <w:rFonts w:ascii="Palatino Linotype" w:hAnsi="Palatino Linotype"/>
        </w:rPr>
        <w:t>Segunda cuestión: ¿Cuál es el marco legal que contempla el conjunto de limitaciones excepcionales al Derecho de Acceso a la información Pública en México en los casos en concreto?</w:t>
      </w:r>
    </w:p>
    <w:p w:rsidR="00E24647" w:rsidRPr="00C93B0C" w:rsidRDefault="00E24647" w:rsidP="00E24647">
      <w:pPr>
        <w:pStyle w:val="corte4fondo"/>
        <w:shd w:val="clear" w:color="auto" w:fill="FFFFFF" w:themeFill="background1"/>
        <w:ind w:firstLine="0"/>
        <w:rPr>
          <w:rFonts w:ascii="Palatino Linotype" w:hAnsi="Palatino Linotype" w:cs="Arial"/>
          <w:sz w:val="24"/>
          <w:szCs w:val="24"/>
        </w:rPr>
      </w:pPr>
      <w:r w:rsidRPr="00C93B0C">
        <w:rPr>
          <w:rFonts w:ascii="Palatino Linotype" w:hAnsi="Palatino Linotype" w:cs="Arial"/>
          <w:sz w:val="24"/>
          <w:szCs w:val="24"/>
        </w:rPr>
        <w:t xml:space="preserve">Bajo este panorama, en congruencia con el marco constitucional y convencional, la Ley General de Transparencia y de forma equivalente la Ley de Transparencia y Acceso a la Información Pública del Estado de México y Municipios, establecen dos supuestos bajo los cuales una autoridad del estado puede restringir el Derecho de acceso a la información pública ejercido por los particulares, dichas hipótesis de restricción las podemos delimitar en dos conjuntos, el primero como información: </w:t>
      </w:r>
      <w:r w:rsidRPr="000C368B">
        <w:rPr>
          <w:rFonts w:ascii="Palatino Linotype" w:hAnsi="Palatino Linotype" w:cs="Arial"/>
          <w:sz w:val="24"/>
          <w:szCs w:val="24"/>
        </w:rPr>
        <w:t>“</w:t>
      </w:r>
      <w:r w:rsidRPr="000C368B">
        <w:rPr>
          <w:rFonts w:ascii="Palatino Linotype" w:hAnsi="Palatino Linotype" w:cs="Arial"/>
          <w:b/>
          <w:sz w:val="24"/>
          <w:szCs w:val="24"/>
        </w:rPr>
        <w:t>Confidencial”</w:t>
      </w:r>
      <w:r w:rsidRPr="000C368B">
        <w:rPr>
          <w:rFonts w:ascii="Palatino Linotype" w:hAnsi="Palatino Linotype" w:cs="Arial"/>
          <w:sz w:val="24"/>
          <w:szCs w:val="24"/>
        </w:rPr>
        <w:t xml:space="preserve"> y el segundo como información “</w:t>
      </w:r>
      <w:r w:rsidRPr="000C368B">
        <w:rPr>
          <w:rFonts w:ascii="Palatino Linotype" w:hAnsi="Palatino Linotype" w:cs="Arial"/>
          <w:b/>
          <w:sz w:val="24"/>
          <w:szCs w:val="24"/>
        </w:rPr>
        <w:t>Reservada</w:t>
      </w:r>
      <w:r w:rsidRPr="000C368B">
        <w:rPr>
          <w:rFonts w:ascii="Palatino Linotype" w:hAnsi="Palatino Linotype" w:cs="Arial"/>
          <w:sz w:val="24"/>
          <w:szCs w:val="24"/>
        </w:rPr>
        <w:t>”.</w:t>
      </w:r>
      <w:r w:rsidRPr="00C93B0C">
        <w:rPr>
          <w:rFonts w:ascii="Palatino Linotype" w:hAnsi="Palatino Linotype" w:cs="Arial"/>
          <w:sz w:val="24"/>
          <w:szCs w:val="24"/>
        </w:rPr>
        <w:t xml:space="preserve">  </w:t>
      </w:r>
    </w:p>
    <w:p w:rsidR="00E24647" w:rsidRPr="00C93B0C" w:rsidRDefault="00E24647" w:rsidP="00E24647">
      <w:pPr>
        <w:pStyle w:val="corte4fondo"/>
        <w:shd w:val="clear" w:color="auto" w:fill="FFFFFF" w:themeFill="background1"/>
        <w:ind w:firstLine="0"/>
        <w:rPr>
          <w:rFonts w:ascii="Palatino Linotype" w:hAnsi="Palatino Linotype" w:cs="Arial"/>
          <w:sz w:val="24"/>
          <w:szCs w:val="24"/>
        </w:rPr>
      </w:pPr>
    </w:p>
    <w:p w:rsidR="00E24647" w:rsidRPr="00C93B0C" w:rsidRDefault="00E24647" w:rsidP="00E24647">
      <w:pPr>
        <w:pStyle w:val="corte4fondo"/>
        <w:shd w:val="clear" w:color="auto" w:fill="FFFFFF" w:themeFill="background1"/>
        <w:ind w:firstLine="0"/>
        <w:rPr>
          <w:rFonts w:ascii="Palatino Linotype" w:hAnsi="Palatino Linotype" w:cs="Arial"/>
          <w:sz w:val="24"/>
          <w:szCs w:val="24"/>
        </w:rPr>
      </w:pPr>
      <w:r w:rsidRPr="00C93B0C">
        <w:rPr>
          <w:rFonts w:ascii="Palatino Linotype" w:hAnsi="Palatino Linotype" w:cs="Arial"/>
          <w:sz w:val="24"/>
          <w:szCs w:val="24"/>
        </w:rPr>
        <w:t xml:space="preserve">En este sentido, para proteger la vida privada y los datos personales </w:t>
      </w:r>
      <w:r w:rsidRPr="000C368B">
        <w:rPr>
          <w:rFonts w:ascii="Palatino Linotype" w:hAnsi="Palatino Linotype" w:cs="Arial"/>
          <w:sz w:val="24"/>
          <w:szCs w:val="24"/>
        </w:rPr>
        <w:t>–considerados como uno de los límites constitucionalmente legítimos–</w:t>
      </w:r>
      <w:r w:rsidRPr="00C93B0C">
        <w:rPr>
          <w:rFonts w:ascii="Palatino Linotype" w:hAnsi="Palatino Linotype" w:cs="Arial"/>
          <w:i/>
          <w:sz w:val="24"/>
          <w:szCs w:val="24"/>
        </w:rPr>
        <w:t xml:space="preserve"> </w:t>
      </w:r>
      <w:r w:rsidRPr="00C93B0C">
        <w:rPr>
          <w:rFonts w:ascii="Palatino Linotype" w:hAnsi="Palatino Linotype" w:cs="Arial"/>
          <w:sz w:val="24"/>
          <w:szCs w:val="24"/>
        </w:rPr>
        <w:t xml:space="preserve">el artículo 116 de la legislación general reproducido de forma simétrica en el análogo 143 de ley local en </w:t>
      </w:r>
      <w:r w:rsidRPr="00C93B0C">
        <w:rPr>
          <w:rFonts w:ascii="Palatino Linotype" w:hAnsi="Palatino Linotype" w:cs="Arial"/>
          <w:sz w:val="24"/>
          <w:szCs w:val="24"/>
        </w:rPr>
        <w:lastRenderedPageBreak/>
        <w:t>la materia, se establece como criterio de clasificación el de “</w:t>
      </w:r>
      <w:r w:rsidRPr="00C93B0C">
        <w:rPr>
          <w:rFonts w:ascii="Palatino Linotype" w:hAnsi="Palatino Linotype" w:cs="Arial"/>
          <w:b/>
          <w:sz w:val="24"/>
          <w:szCs w:val="24"/>
        </w:rPr>
        <w:t>información confidencial</w:t>
      </w:r>
      <w:r w:rsidRPr="00C93B0C">
        <w:rPr>
          <w:rFonts w:ascii="Palatino Linotype" w:hAnsi="Palatino Linotype" w:cs="Arial"/>
          <w:sz w:val="24"/>
          <w:szCs w:val="24"/>
        </w:rPr>
        <w:t xml:space="preserve">”, el cual restringe el acceso a la información pública que contenga datos personales o haga referencia a la vida privada de una persona física que requieran el consentimiento de estos para su difusión, distribución o comercialización. </w:t>
      </w:r>
    </w:p>
    <w:p w:rsidR="000C368B" w:rsidRDefault="00E24647" w:rsidP="00E24647">
      <w:pPr>
        <w:shd w:val="clear" w:color="auto" w:fill="FFFFFF" w:themeFill="background1"/>
        <w:spacing w:before="240" w:after="240" w:line="360" w:lineRule="auto"/>
        <w:jc w:val="both"/>
        <w:rPr>
          <w:rFonts w:ascii="Palatino Linotype" w:hAnsi="Palatino Linotype" w:cs="Arial"/>
        </w:rPr>
      </w:pPr>
      <w:r w:rsidRPr="00C93B0C">
        <w:rPr>
          <w:rFonts w:ascii="Palatino Linotype" w:hAnsi="Palatino Linotype" w:cs="Arial"/>
        </w:rPr>
        <w:t>Por otro lado, para proteger el interés público, amabas le</w:t>
      </w:r>
      <w:r w:rsidR="000C368B">
        <w:rPr>
          <w:rFonts w:ascii="Palatino Linotype" w:hAnsi="Palatino Linotype" w:cs="Arial"/>
        </w:rPr>
        <w:t>gislaciones de manera homogénea</w:t>
      </w:r>
      <w:r w:rsidRPr="00C93B0C">
        <w:rPr>
          <w:rFonts w:ascii="Palatino Linotype" w:hAnsi="Palatino Linotype" w:cs="Arial"/>
        </w:rPr>
        <w:t xml:space="preserve"> en </w:t>
      </w:r>
      <w:r w:rsidR="000C368B">
        <w:rPr>
          <w:rFonts w:ascii="Palatino Linotype" w:hAnsi="Palatino Linotype" w:cs="Arial"/>
        </w:rPr>
        <w:t>los numerales 113</w:t>
      </w:r>
      <w:r w:rsidRPr="00C93B0C">
        <w:rPr>
          <w:rFonts w:ascii="Palatino Linotype" w:hAnsi="Palatino Linotype" w:cs="Arial"/>
        </w:rPr>
        <w:t xml:space="preserve"> y 140 de la ley general y de la ley local respectivamente, consideran la </w:t>
      </w:r>
      <w:r w:rsidRPr="000C368B">
        <w:rPr>
          <w:rFonts w:ascii="Palatino Linotype" w:hAnsi="Palatino Linotype" w:cs="Arial"/>
        </w:rPr>
        <w:t>posibilidad de restringir el derecho de acceso a la información pública</w:t>
      </w:r>
      <w:r w:rsidRPr="00C93B0C">
        <w:rPr>
          <w:rFonts w:ascii="Palatino Linotype" w:hAnsi="Palatino Linotype" w:cs="Arial"/>
        </w:rPr>
        <w:t xml:space="preserve"> ejercido por los particular</w:t>
      </w:r>
      <w:r w:rsidR="000C368B">
        <w:rPr>
          <w:rFonts w:ascii="Palatino Linotype" w:hAnsi="Palatino Linotype" w:cs="Arial"/>
        </w:rPr>
        <w:t>es</w:t>
      </w:r>
      <w:r w:rsidRPr="00C93B0C">
        <w:rPr>
          <w:rFonts w:ascii="Palatino Linotype" w:hAnsi="Palatino Linotype" w:cs="Arial"/>
        </w:rPr>
        <w:t xml:space="preserve">, estableciendo la posibilidad de catalogar la información pública que obra en su </w:t>
      </w:r>
      <w:r w:rsidRPr="000C368B">
        <w:rPr>
          <w:rFonts w:ascii="Palatino Linotype" w:hAnsi="Palatino Linotype" w:cs="Arial"/>
        </w:rPr>
        <w:t xml:space="preserve">poder </w:t>
      </w:r>
      <w:r w:rsidRPr="000C368B">
        <w:rPr>
          <w:rFonts w:ascii="Palatino Linotype" w:hAnsi="Palatino Linotype" w:cs="Arial"/>
          <w:b/>
        </w:rPr>
        <w:t>con la calidad de reservada.</w:t>
      </w:r>
      <w:r w:rsidRPr="00C93B0C">
        <w:rPr>
          <w:rFonts w:ascii="Palatino Linotype" w:hAnsi="Palatino Linotype" w:cs="Arial"/>
        </w:rPr>
        <w:t xml:space="preserve"> </w:t>
      </w:r>
    </w:p>
    <w:p w:rsidR="00E24647" w:rsidRPr="00C93B0C" w:rsidRDefault="00E24647" w:rsidP="00E24647">
      <w:pPr>
        <w:shd w:val="clear" w:color="auto" w:fill="FFFFFF" w:themeFill="background1"/>
        <w:spacing w:before="240" w:after="240" w:line="360" w:lineRule="auto"/>
        <w:jc w:val="both"/>
        <w:rPr>
          <w:rFonts w:ascii="Palatino Linotype" w:hAnsi="Palatino Linotype" w:cs="Arial"/>
        </w:rPr>
      </w:pPr>
      <w:r w:rsidRPr="00C93B0C">
        <w:rPr>
          <w:rFonts w:ascii="Palatino Linotype" w:hAnsi="Palatino Linotype" w:cs="Arial"/>
        </w:rPr>
        <w:t xml:space="preserve">Además, la información que sea clasificada como reservada, podrá permanecer con tal carácter hasta por un periodo de cinco años; </w:t>
      </w:r>
      <w:r w:rsidR="00821003" w:rsidRPr="00C93B0C">
        <w:rPr>
          <w:rFonts w:ascii="Palatino Linotype" w:hAnsi="Palatino Linotype" w:cs="Arial"/>
        </w:rPr>
        <w:t>previendo,</w:t>
      </w:r>
      <w:r w:rsidRPr="00C93B0C">
        <w:rPr>
          <w:rFonts w:ascii="Palatino Linotype" w:hAnsi="Palatino Linotype" w:cs="Arial"/>
        </w:rPr>
        <w:t xml:space="preserve"> además, que podrá ser desclasificada cuando se extingan las causas que dieron origen a su clasificación o haya transcurrido el periodo de reserva.</w:t>
      </w:r>
    </w:p>
    <w:p w:rsidR="00E24647" w:rsidRPr="00C93B0C" w:rsidRDefault="00E24647" w:rsidP="00E24647">
      <w:pPr>
        <w:shd w:val="clear" w:color="auto" w:fill="FFFFFF" w:themeFill="background1"/>
        <w:spacing w:before="240" w:after="240" w:line="360" w:lineRule="auto"/>
        <w:jc w:val="both"/>
        <w:rPr>
          <w:rFonts w:ascii="Palatino Linotype" w:hAnsi="Palatino Linotype" w:cs="Arial"/>
        </w:rPr>
      </w:pPr>
      <w:r w:rsidRPr="00C93B0C">
        <w:rPr>
          <w:rFonts w:ascii="Palatino Linotype" w:hAnsi="Palatino Linotype" w:cs="Arial"/>
        </w:rPr>
        <w:t xml:space="preserve">En la misma lógica, los numerales en comento precisan un catálogo generoso de lineamientos bajo los cuales deberá reservarse la información, lo cual procederá cuando la difusión de la información pueda, entre otras en las aplicables en el presente caso: </w:t>
      </w:r>
    </w:p>
    <w:p w:rsidR="00E24647" w:rsidRPr="00C93B0C" w:rsidRDefault="00E24647" w:rsidP="00E24647">
      <w:pPr>
        <w:pStyle w:val="corte4fondo"/>
        <w:numPr>
          <w:ilvl w:val="0"/>
          <w:numId w:val="15"/>
        </w:numPr>
        <w:shd w:val="clear" w:color="auto" w:fill="FFFFFF" w:themeFill="background1"/>
        <w:rPr>
          <w:rFonts w:ascii="Palatino Linotype" w:hAnsi="Palatino Linotype" w:cs="Arial"/>
          <w:sz w:val="24"/>
          <w:szCs w:val="24"/>
        </w:rPr>
      </w:pPr>
      <w:r w:rsidRPr="00C93B0C">
        <w:rPr>
          <w:rFonts w:ascii="Palatino Linotype" w:hAnsi="Palatino Linotype"/>
          <w:b/>
          <w:sz w:val="24"/>
          <w:szCs w:val="24"/>
          <w:u w:val="single"/>
        </w:rPr>
        <w:t>Pueda causar daño u obstruya</w:t>
      </w:r>
      <w:r w:rsidRPr="00C93B0C">
        <w:rPr>
          <w:rFonts w:ascii="Palatino Linotype" w:hAnsi="Palatino Linotype"/>
          <w:sz w:val="24"/>
          <w:szCs w:val="24"/>
        </w:rPr>
        <w:t xml:space="preserve"> la prevención o persecución de los delitos, altere el proceso de investigación de las carpetas de investigación, </w:t>
      </w:r>
      <w:r w:rsidRPr="00C93B0C">
        <w:rPr>
          <w:rFonts w:ascii="Palatino Linotype" w:hAnsi="Palatino Linotype"/>
          <w:b/>
          <w:sz w:val="24"/>
          <w:szCs w:val="24"/>
        </w:rPr>
        <w:t>afecte o vulnere la conducción</w:t>
      </w:r>
      <w:r w:rsidRPr="00C93B0C">
        <w:rPr>
          <w:rFonts w:ascii="Palatino Linotype" w:hAnsi="Palatino Linotype"/>
          <w:sz w:val="24"/>
          <w:szCs w:val="24"/>
        </w:rPr>
        <w:t xml:space="preserve"> o los derechos </w:t>
      </w:r>
      <w:r w:rsidRPr="00C93B0C">
        <w:rPr>
          <w:rFonts w:ascii="Palatino Linotype" w:hAnsi="Palatino Linotype"/>
          <w:b/>
          <w:sz w:val="24"/>
          <w:szCs w:val="24"/>
        </w:rPr>
        <w:t>del debido proceso en los procedimientos</w:t>
      </w:r>
      <w:r w:rsidRPr="00C93B0C">
        <w:rPr>
          <w:rFonts w:ascii="Palatino Linotype" w:hAnsi="Palatino Linotype"/>
          <w:sz w:val="24"/>
          <w:szCs w:val="24"/>
        </w:rPr>
        <w:t xml:space="preserve"> judiciales o </w:t>
      </w:r>
      <w:r w:rsidRPr="00C93B0C">
        <w:rPr>
          <w:rFonts w:ascii="Palatino Linotype" w:hAnsi="Palatino Linotype"/>
          <w:b/>
          <w:sz w:val="24"/>
          <w:szCs w:val="24"/>
        </w:rPr>
        <w:t>administrativos,</w:t>
      </w:r>
      <w:r w:rsidRPr="00C93B0C">
        <w:rPr>
          <w:rFonts w:ascii="Palatino Linotype" w:hAnsi="Palatino Linotype"/>
          <w:sz w:val="24"/>
          <w:szCs w:val="24"/>
        </w:rPr>
        <w:t xml:space="preserve"> incluidos los de quejas, denuncias, inconformidades, responsabilidades administrativas y </w:t>
      </w:r>
      <w:r w:rsidRPr="00C93B0C">
        <w:rPr>
          <w:rFonts w:ascii="Palatino Linotype" w:hAnsi="Palatino Linotype"/>
          <w:sz w:val="24"/>
          <w:szCs w:val="24"/>
        </w:rPr>
        <w:lastRenderedPageBreak/>
        <w:t xml:space="preserve">resarcitorias </w:t>
      </w:r>
      <w:r w:rsidRPr="00C93B0C">
        <w:rPr>
          <w:rFonts w:ascii="Palatino Linotype" w:hAnsi="Palatino Linotype"/>
          <w:b/>
          <w:sz w:val="24"/>
          <w:szCs w:val="24"/>
        </w:rPr>
        <w:t>en tanto no hayan quedado firmes</w:t>
      </w:r>
      <w:r w:rsidRPr="00C93B0C">
        <w:rPr>
          <w:rFonts w:ascii="Palatino Linotype" w:hAnsi="Palatino Linotype"/>
          <w:sz w:val="24"/>
          <w:szCs w:val="24"/>
        </w:rPr>
        <w:t xml:space="preserve"> o afecte la administración de justicia o la seguridad de un denunciante, querellante o testigo, así como sus familias, en los términos de las disposiciones jurídicas aplicables.</w:t>
      </w:r>
    </w:p>
    <w:p w:rsidR="00E24647" w:rsidRPr="00C93B0C" w:rsidRDefault="00E24647" w:rsidP="00E24647">
      <w:pPr>
        <w:pStyle w:val="corte4fondo"/>
        <w:shd w:val="clear" w:color="auto" w:fill="FFFFFF" w:themeFill="background1"/>
        <w:ind w:left="1068" w:firstLine="0"/>
        <w:rPr>
          <w:rFonts w:ascii="Palatino Linotype" w:hAnsi="Palatino Linotype" w:cs="Arial"/>
          <w:sz w:val="24"/>
          <w:szCs w:val="24"/>
        </w:rPr>
      </w:pPr>
    </w:p>
    <w:p w:rsidR="00E24647" w:rsidRPr="00C93B0C" w:rsidRDefault="00E24647" w:rsidP="00E24647">
      <w:pPr>
        <w:pStyle w:val="corte4fondo"/>
        <w:numPr>
          <w:ilvl w:val="0"/>
          <w:numId w:val="14"/>
        </w:numPr>
        <w:shd w:val="clear" w:color="auto" w:fill="FFFFFF" w:themeFill="background1"/>
        <w:rPr>
          <w:rFonts w:ascii="Palatino Linotype" w:hAnsi="Palatino Linotype" w:cs="Arial"/>
          <w:sz w:val="24"/>
          <w:szCs w:val="24"/>
        </w:rPr>
      </w:pPr>
      <w:r w:rsidRPr="000C368B">
        <w:rPr>
          <w:rFonts w:ascii="Palatino Linotype" w:hAnsi="Palatino Linotype"/>
          <w:b/>
          <w:sz w:val="24"/>
          <w:szCs w:val="24"/>
        </w:rPr>
        <w:t xml:space="preserve">Vulnere </w:t>
      </w:r>
      <w:r w:rsidRPr="00C93B0C">
        <w:rPr>
          <w:rFonts w:ascii="Palatino Linotype" w:hAnsi="Palatino Linotype"/>
          <w:b/>
          <w:sz w:val="24"/>
          <w:szCs w:val="24"/>
        </w:rPr>
        <w:t>la conducción de los expedientes</w:t>
      </w:r>
      <w:r w:rsidRPr="00C93B0C">
        <w:rPr>
          <w:rFonts w:ascii="Palatino Linotype" w:hAnsi="Palatino Linotype"/>
          <w:sz w:val="24"/>
          <w:szCs w:val="24"/>
        </w:rPr>
        <w:t xml:space="preserve"> judiciales o </w:t>
      </w:r>
      <w:r w:rsidRPr="00C93B0C">
        <w:rPr>
          <w:rFonts w:ascii="Palatino Linotype" w:hAnsi="Palatino Linotype"/>
          <w:b/>
          <w:sz w:val="24"/>
          <w:szCs w:val="24"/>
        </w:rPr>
        <w:t>de los procedimientos administrativos seguidos en forma de juicio, en tanto no hayan quedado firmes</w:t>
      </w:r>
      <w:r w:rsidRPr="00C93B0C">
        <w:rPr>
          <w:rFonts w:ascii="Palatino Linotype" w:hAnsi="Palatino Linotype"/>
          <w:sz w:val="24"/>
          <w:szCs w:val="24"/>
        </w:rPr>
        <w:t>;</w:t>
      </w:r>
    </w:p>
    <w:p w:rsidR="00E24647" w:rsidRPr="00C93B0C" w:rsidRDefault="00E24647" w:rsidP="00E24647">
      <w:pPr>
        <w:pStyle w:val="corte4fondo"/>
        <w:shd w:val="clear" w:color="auto" w:fill="FFFFFF" w:themeFill="background1"/>
        <w:ind w:left="1068" w:firstLine="0"/>
        <w:rPr>
          <w:rFonts w:ascii="Palatino Linotype" w:hAnsi="Palatino Linotype" w:cs="Arial"/>
          <w:sz w:val="24"/>
          <w:szCs w:val="24"/>
        </w:rPr>
      </w:pPr>
    </w:p>
    <w:p w:rsidR="00E24647" w:rsidRPr="00C93B0C" w:rsidRDefault="00E24647" w:rsidP="00E24647">
      <w:pPr>
        <w:pStyle w:val="corte4fondo"/>
        <w:numPr>
          <w:ilvl w:val="0"/>
          <w:numId w:val="14"/>
        </w:numPr>
        <w:shd w:val="clear" w:color="auto" w:fill="FFFFFF" w:themeFill="background1"/>
        <w:rPr>
          <w:rFonts w:ascii="Palatino Linotype" w:hAnsi="Palatino Linotype" w:cs="Arial"/>
          <w:b/>
          <w:sz w:val="24"/>
          <w:szCs w:val="24"/>
        </w:rPr>
      </w:pPr>
      <w:r w:rsidRPr="00C93B0C">
        <w:rPr>
          <w:rFonts w:ascii="Palatino Linotype" w:hAnsi="Palatino Linotype" w:cs="Arial"/>
          <w:b/>
          <w:sz w:val="24"/>
          <w:szCs w:val="24"/>
          <w:u w:val="single"/>
        </w:rPr>
        <w:t xml:space="preserve">El daño que pueda producirse con la publicación de la información sea mayor que el interés público </w:t>
      </w:r>
      <w:r w:rsidRPr="00C93B0C">
        <w:rPr>
          <w:rFonts w:ascii="Palatino Linotype" w:hAnsi="Palatino Linotype" w:cs="Arial"/>
          <w:sz w:val="24"/>
          <w:szCs w:val="24"/>
        </w:rPr>
        <w:t xml:space="preserve">de conocer la información de referencia, siempre que esté directamente relacionado con procesos o </w:t>
      </w:r>
      <w:r w:rsidRPr="00C93B0C">
        <w:rPr>
          <w:rFonts w:ascii="Palatino Linotype" w:hAnsi="Palatino Linotype" w:cs="Arial"/>
          <w:b/>
          <w:sz w:val="24"/>
          <w:szCs w:val="24"/>
        </w:rPr>
        <w:t>procedimientos administrativos o judiciales que no hayan quedado firmes;</w:t>
      </w:r>
    </w:p>
    <w:p w:rsidR="008A061C" w:rsidRDefault="008A061C" w:rsidP="00E24647">
      <w:pPr>
        <w:pStyle w:val="corte4fondo"/>
        <w:shd w:val="clear" w:color="auto" w:fill="FFFFFF" w:themeFill="background1"/>
        <w:ind w:firstLine="0"/>
        <w:rPr>
          <w:rFonts w:ascii="Palatino Linotype" w:hAnsi="Palatino Linotype" w:cs="Arial"/>
          <w:sz w:val="24"/>
          <w:szCs w:val="24"/>
        </w:rPr>
      </w:pPr>
    </w:p>
    <w:p w:rsidR="00E24647" w:rsidRPr="00C93B0C" w:rsidRDefault="00E24647" w:rsidP="00E24647">
      <w:pPr>
        <w:pStyle w:val="corte4fondo"/>
        <w:shd w:val="clear" w:color="auto" w:fill="FFFFFF" w:themeFill="background1"/>
        <w:ind w:firstLine="0"/>
        <w:rPr>
          <w:rFonts w:ascii="Palatino Linotype" w:hAnsi="Palatino Linotype" w:cs="Arial"/>
          <w:sz w:val="24"/>
          <w:szCs w:val="24"/>
        </w:rPr>
      </w:pPr>
      <w:r w:rsidRPr="00C93B0C">
        <w:rPr>
          <w:rFonts w:ascii="Palatino Linotype" w:hAnsi="Palatino Linotype" w:cs="Arial"/>
          <w:sz w:val="24"/>
          <w:szCs w:val="24"/>
        </w:rPr>
        <w:t xml:space="preserve">Las hipótesis contenidas en las fracciones que se transcriben, para su actualización manifiestan dos momentos para poder restringir el derecho de acceso a la información pública, a saber: </w:t>
      </w:r>
    </w:p>
    <w:p w:rsidR="00E24647" w:rsidRPr="00C93B0C" w:rsidRDefault="00E24647" w:rsidP="00E24647">
      <w:pPr>
        <w:pStyle w:val="corte4fondo"/>
        <w:shd w:val="clear" w:color="auto" w:fill="FFFFFF" w:themeFill="background1"/>
        <w:ind w:firstLine="0"/>
        <w:rPr>
          <w:rFonts w:ascii="Palatino Linotype" w:hAnsi="Palatino Linotype" w:cs="Arial"/>
          <w:sz w:val="12"/>
          <w:szCs w:val="24"/>
        </w:rPr>
      </w:pPr>
    </w:p>
    <w:p w:rsidR="00E24647" w:rsidRPr="00C93B0C" w:rsidRDefault="00E24647" w:rsidP="00E24647">
      <w:pPr>
        <w:pStyle w:val="corte4fondo"/>
        <w:numPr>
          <w:ilvl w:val="0"/>
          <w:numId w:val="16"/>
        </w:numPr>
        <w:shd w:val="clear" w:color="auto" w:fill="FFFFFF" w:themeFill="background1"/>
        <w:rPr>
          <w:rFonts w:ascii="Palatino Linotype" w:hAnsi="Palatino Linotype" w:cs="Arial"/>
          <w:sz w:val="24"/>
          <w:szCs w:val="24"/>
        </w:rPr>
      </w:pPr>
      <w:r w:rsidRPr="00C93B0C">
        <w:rPr>
          <w:rFonts w:ascii="Palatino Linotype" w:hAnsi="Palatino Linotype" w:cs="Arial"/>
          <w:sz w:val="24"/>
          <w:szCs w:val="24"/>
        </w:rPr>
        <w:t>En primer lugar, que la información solicitada se encuentr</w:t>
      </w:r>
      <w:r w:rsidR="00394DD9">
        <w:rPr>
          <w:rFonts w:ascii="Palatino Linotype" w:hAnsi="Palatino Linotype" w:cs="Arial"/>
          <w:sz w:val="24"/>
          <w:szCs w:val="24"/>
        </w:rPr>
        <w:t xml:space="preserve">e en un procedimiento </w:t>
      </w:r>
      <w:r w:rsidRPr="00C93B0C">
        <w:rPr>
          <w:rFonts w:ascii="Palatino Linotype" w:hAnsi="Palatino Linotype" w:cs="Arial"/>
          <w:sz w:val="24"/>
          <w:szCs w:val="24"/>
        </w:rPr>
        <w:t>vivo; y</w:t>
      </w:r>
    </w:p>
    <w:p w:rsidR="00E24647" w:rsidRPr="00C93B0C" w:rsidRDefault="00E24647" w:rsidP="00E24647">
      <w:pPr>
        <w:pStyle w:val="corte4fondo"/>
        <w:numPr>
          <w:ilvl w:val="0"/>
          <w:numId w:val="16"/>
        </w:numPr>
        <w:shd w:val="clear" w:color="auto" w:fill="FFFFFF" w:themeFill="background1"/>
        <w:rPr>
          <w:rFonts w:ascii="Palatino Linotype" w:hAnsi="Palatino Linotype" w:cs="Arial"/>
          <w:sz w:val="24"/>
          <w:szCs w:val="24"/>
        </w:rPr>
      </w:pPr>
      <w:r w:rsidRPr="00C93B0C">
        <w:rPr>
          <w:rFonts w:ascii="Palatino Linotype" w:hAnsi="Palatino Linotype" w:cs="Arial"/>
          <w:sz w:val="24"/>
          <w:szCs w:val="24"/>
        </w:rPr>
        <w:t xml:space="preserve"> Como segundo requisito, que el operador jurídico que posee la información, demuestre que su publicidad vulnera, transgrede y pone en riesgo la conducción de expedientes </w:t>
      </w:r>
      <w:r w:rsidR="008A061C">
        <w:rPr>
          <w:rFonts w:ascii="Palatino Linotype" w:hAnsi="Palatino Linotype" w:cs="Arial"/>
          <w:sz w:val="24"/>
          <w:szCs w:val="24"/>
        </w:rPr>
        <w:t>administrativos</w:t>
      </w:r>
      <w:r w:rsidRPr="00C93B0C">
        <w:rPr>
          <w:rFonts w:ascii="Palatino Linotype" w:hAnsi="Palatino Linotype" w:cs="Arial"/>
          <w:sz w:val="24"/>
          <w:szCs w:val="24"/>
        </w:rPr>
        <w:t xml:space="preserve"> y demostrar </w:t>
      </w:r>
      <w:r w:rsidRPr="00C93B0C">
        <w:rPr>
          <w:rFonts w:ascii="Palatino Linotype" w:hAnsi="Palatino Linotype" w:cs="Arial"/>
          <w:sz w:val="24"/>
          <w:szCs w:val="24"/>
        </w:rPr>
        <w:lastRenderedPageBreak/>
        <w:t>que el daño que pueda producirse con la publicación de la información sea mayor que el interés público.</w:t>
      </w:r>
    </w:p>
    <w:p w:rsidR="00394DD9" w:rsidRDefault="00394DD9" w:rsidP="00394DD9">
      <w:pPr>
        <w:pStyle w:val="corte4fondo"/>
        <w:shd w:val="clear" w:color="auto" w:fill="FFFFFF" w:themeFill="background1"/>
        <w:ind w:firstLine="0"/>
        <w:rPr>
          <w:rFonts w:ascii="Palatino Linotype" w:hAnsi="Palatino Linotype" w:cs="Arial"/>
          <w:sz w:val="24"/>
          <w:szCs w:val="24"/>
        </w:rPr>
      </w:pPr>
    </w:p>
    <w:p w:rsidR="002E40BE" w:rsidRDefault="00394DD9" w:rsidP="002E40BE">
      <w:pPr>
        <w:pStyle w:val="corte4fondo"/>
        <w:shd w:val="clear" w:color="auto" w:fill="FFFFFF" w:themeFill="background1"/>
        <w:ind w:firstLine="0"/>
        <w:rPr>
          <w:rFonts w:ascii="Palatino Linotype" w:hAnsi="Palatino Linotype" w:cs="Arial"/>
          <w:sz w:val="24"/>
          <w:szCs w:val="24"/>
        </w:rPr>
      </w:pPr>
      <w:r w:rsidRPr="00C50FE1">
        <w:rPr>
          <w:rFonts w:ascii="Palatino Linotype" w:hAnsi="Palatino Linotype" w:cs="Arial"/>
          <w:sz w:val="24"/>
          <w:szCs w:val="24"/>
        </w:rPr>
        <w:t>Ahora bien,</w:t>
      </w:r>
      <w:r>
        <w:rPr>
          <w:rFonts w:ascii="Palatino Linotype" w:hAnsi="Palatino Linotype" w:cs="Arial"/>
          <w:sz w:val="24"/>
          <w:szCs w:val="24"/>
        </w:rPr>
        <w:t xml:space="preserve"> en el presente</w:t>
      </w:r>
      <w:r w:rsidRPr="00C50FE1">
        <w:rPr>
          <w:rFonts w:ascii="Palatino Linotype" w:hAnsi="Palatino Linotype" w:cs="Arial"/>
          <w:sz w:val="24"/>
          <w:szCs w:val="24"/>
        </w:rPr>
        <w:t xml:space="preserve"> caso el Sujeto Obligado </w:t>
      </w:r>
      <w:r w:rsidRPr="00394DD9">
        <w:rPr>
          <w:rFonts w:ascii="Palatino Linotype" w:hAnsi="Palatino Linotype" w:cs="Arial"/>
          <w:sz w:val="24"/>
          <w:szCs w:val="24"/>
        </w:rPr>
        <w:t xml:space="preserve">clasifica </w:t>
      </w:r>
      <w:r>
        <w:rPr>
          <w:rFonts w:ascii="Palatino Linotype" w:hAnsi="Palatino Linotype" w:cs="Arial"/>
          <w:sz w:val="24"/>
          <w:szCs w:val="24"/>
        </w:rPr>
        <w:t>como reservada el</w:t>
      </w:r>
      <w:r w:rsidRPr="00394DD9">
        <w:rPr>
          <w:rFonts w:ascii="Palatino Linotype" w:hAnsi="Palatino Linotype" w:cs="Arial"/>
          <w:sz w:val="24"/>
          <w:szCs w:val="24"/>
        </w:rPr>
        <w:t xml:space="preserve"> expediente </w:t>
      </w:r>
      <w:r w:rsidR="001A0CB7">
        <w:rPr>
          <w:rFonts w:ascii="Palatino Linotype" w:hAnsi="Palatino Linotype" w:cs="Arial"/>
          <w:sz w:val="24"/>
          <w:szCs w:val="24"/>
        </w:rPr>
        <w:t>y los anexos del diferendo limítrofe intermunicipal entre los municipios de Teoloyucan y Tepotzotlán</w:t>
      </w:r>
      <w:r w:rsidRPr="00394DD9">
        <w:rPr>
          <w:rFonts w:ascii="Palatino Linotype" w:hAnsi="Palatino Linotype" w:cs="Arial"/>
          <w:sz w:val="24"/>
          <w:szCs w:val="24"/>
        </w:rPr>
        <w:t xml:space="preserve">, </w:t>
      </w:r>
      <w:r>
        <w:rPr>
          <w:rFonts w:ascii="Palatino Linotype" w:hAnsi="Palatino Linotype" w:cs="Arial"/>
          <w:sz w:val="24"/>
          <w:szCs w:val="24"/>
        </w:rPr>
        <w:t>por medio del</w:t>
      </w:r>
      <w:r w:rsidR="001A0CB7">
        <w:rPr>
          <w:rFonts w:ascii="Palatino Linotype" w:hAnsi="Palatino Linotype" w:cs="Arial"/>
          <w:sz w:val="24"/>
          <w:szCs w:val="24"/>
        </w:rPr>
        <w:t xml:space="preserve"> </w:t>
      </w:r>
      <w:r w:rsidR="001A0CB7" w:rsidRPr="001A0CB7">
        <w:rPr>
          <w:rFonts w:ascii="Palatino Linotype" w:hAnsi="Palatino Linotype" w:cs="Arial"/>
          <w:sz w:val="24"/>
          <w:szCs w:val="24"/>
        </w:rPr>
        <w:t xml:space="preserve">acuerdo número PLEGISLA/LX/CT/19ªext/2021/SEXTO </w:t>
      </w:r>
      <w:r w:rsidR="001A0CB7">
        <w:rPr>
          <w:rFonts w:ascii="Palatino Linotype" w:hAnsi="Palatino Linotype" w:cs="Arial"/>
          <w:sz w:val="24"/>
          <w:szCs w:val="24"/>
        </w:rPr>
        <w:t xml:space="preserve">contenido en el </w:t>
      </w:r>
      <w:r w:rsidR="001A0CB7" w:rsidRPr="001A0CB7">
        <w:rPr>
          <w:rFonts w:ascii="Palatino Linotype" w:hAnsi="Palatino Linotype" w:cs="Arial"/>
          <w:sz w:val="24"/>
          <w:szCs w:val="24"/>
        </w:rPr>
        <w:t>acta de la décima novena sesión extraordinaria del Comité de Transparencia del Poder Legislativo del Estado Libre y Soberano de M</w:t>
      </w:r>
      <w:r w:rsidR="001A0CB7">
        <w:rPr>
          <w:rFonts w:ascii="Palatino Linotype" w:hAnsi="Palatino Linotype" w:cs="Arial"/>
          <w:sz w:val="24"/>
          <w:szCs w:val="24"/>
        </w:rPr>
        <w:t>éxico</w:t>
      </w:r>
      <w:r>
        <w:rPr>
          <w:rFonts w:ascii="Palatino Linotype" w:hAnsi="Palatino Linotype" w:cs="Arial"/>
          <w:sz w:val="24"/>
          <w:szCs w:val="24"/>
        </w:rPr>
        <w:t xml:space="preserve">; en virtud de que al proporcionar dicha información se vulneraria la </w:t>
      </w:r>
      <w:r w:rsidR="001A0CB7">
        <w:rPr>
          <w:rFonts w:ascii="Palatino Linotype" w:hAnsi="Palatino Linotype" w:cs="Arial"/>
          <w:sz w:val="24"/>
          <w:szCs w:val="24"/>
        </w:rPr>
        <w:t>conducción o los derechos del debido proceso en los procesos administrativos en tanto no hayan quedado firmes.</w:t>
      </w:r>
    </w:p>
    <w:p w:rsidR="001A0CB7" w:rsidRDefault="001A0CB7" w:rsidP="002E40BE">
      <w:pPr>
        <w:pStyle w:val="corte4fondo"/>
        <w:shd w:val="clear" w:color="auto" w:fill="FFFFFF" w:themeFill="background1"/>
        <w:ind w:firstLine="0"/>
        <w:rPr>
          <w:rFonts w:ascii="Palatino Linotype" w:hAnsi="Palatino Linotype" w:cs="Arial"/>
          <w:sz w:val="24"/>
          <w:szCs w:val="24"/>
        </w:rPr>
      </w:pPr>
    </w:p>
    <w:p w:rsidR="002E40BE" w:rsidRDefault="002E40BE" w:rsidP="002E40BE">
      <w:pPr>
        <w:pStyle w:val="corte4fondo"/>
        <w:shd w:val="clear" w:color="auto" w:fill="FFFFFF" w:themeFill="background1"/>
        <w:ind w:firstLine="0"/>
        <w:rPr>
          <w:sz w:val="24"/>
          <w:szCs w:val="24"/>
        </w:rPr>
      </w:pPr>
      <w:r w:rsidRPr="00A2135F">
        <w:rPr>
          <w:rFonts w:ascii="Palatino Linotype" w:hAnsi="Palatino Linotype" w:cs="Arial"/>
          <w:sz w:val="24"/>
          <w:szCs w:val="24"/>
        </w:rPr>
        <w:t xml:space="preserve">Para funda y motivar dicha clasificación </w:t>
      </w:r>
      <w:r>
        <w:rPr>
          <w:rFonts w:ascii="Palatino Linotype" w:hAnsi="Palatino Linotype" w:cs="Arial"/>
          <w:sz w:val="24"/>
          <w:szCs w:val="24"/>
        </w:rPr>
        <w:t>el Comité de T</w:t>
      </w:r>
      <w:r w:rsidRPr="00A2135F">
        <w:rPr>
          <w:rFonts w:ascii="Palatino Linotype" w:hAnsi="Palatino Linotype" w:cs="Arial"/>
          <w:sz w:val="24"/>
          <w:szCs w:val="24"/>
        </w:rPr>
        <w:t xml:space="preserve">ransparencia </w:t>
      </w:r>
      <w:r>
        <w:rPr>
          <w:rFonts w:ascii="Palatino Linotype" w:hAnsi="Palatino Linotype" w:cs="Arial"/>
          <w:sz w:val="24"/>
          <w:szCs w:val="24"/>
        </w:rPr>
        <w:t xml:space="preserve">del </w:t>
      </w:r>
      <w:r w:rsidR="001A0CB7">
        <w:rPr>
          <w:rFonts w:ascii="Palatino Linotype" w:hAnsi="Palatino Linotype" w:cs="Arial"/>
          <w:sz w:val="24"/>
          <w:szCs w:val="24"/>
        </w:rPr>
        <w:t>Poder Legislativo</w:t>
      </w:r>
      <w:r>
        <w:rPr>
          <w:rFonts w:ascii="Palatino Linotype" w:hAnsi="Palatino Linotype" w:cs="Arial"/>
          <w:sz w:val="24"/>
          <w:szCs w:val="24"/>
        </w:rPr>
        <w:t xml:space="preserve"> </w:t>
      </w:r>
      <w:r w:rsidRPr="00A2135F">
        <w:rPr>
          <w:rFonts w:ascii="Palatino Linotype" w:hAnsi="Palatino Linotype" w:cs="Arial"/>
          <w:sz w:val="24"/>
          <w:szCs w:val="24"/>
        </w:rPr>
        <w:t xml:space="preserve">proporciona el Acuerdo </w:t>
      </w:r>
      <w:r>
        <w:rPr>
          <w:rFonts w:ascii="Palatino Linotype" w:hAnsi="Palatino Linotype" w:cs="Arial"/>
          <w:sz w:val="24"/>
          <w:szCs w:val="24"/>
        </w:rPr>
        <w:t xml:space="preserve">número </w:t>
      </w:r>
      <w:r w:rsidR="001A0CB7" w:rsidRPr="001A0CB7">
        <w:rPr>
          <w:rFonts w:ascii="Palatino Linotype" w:hAnsi="Palatino Linotype" w:cs="Arial"/>
          <w:sz w:val="24"/>
          <w:szCs w:val="24"/>
        </w:rPr>
        <w:t>PLEGISLA/LX/CT/19ªext/2021/SEXTO</w:t>
      </w:r>
      <w:r w:rsidRPr="002E40BE">
        <w:rPr>
          <w:rFonts w:ascii="Palatino Linotype" w:hAnsi="Palatino Linotype" w:cs="Arial"/>
          <w:sz w:val="24"/>
          <w:szCs w:val="24"/>
        </w:rPr>
        <w:t>,</w:t>
      </w:r>
      <w:r w:rsidRPr="00A2135F">
        <w:rPr>
          <w:rFonts w:ascii="Palatino Linotype" w:hAnsi="Palatino Linotype" w:cs="Arial"/>
          <w:sz w:val="24"/>
          <w:szCs w:val="24"/>
        </w:rPr>
        <w:t xml:space="preserve"> </w:t>
      </w:r>
      <w:r>
        <w:rPr>
          <w:rFonts w:ascii="Palatino Linotype" w:hAnsi="Palatino Linotype" w:cs="Arial"/>
          <w:sz w:val="24"/>
          <w:szCs w:val="24"/>
        </w:rPr>
        <w:t>cuyo contenido s</w:t>
      </w:r>
      <w:r w:rsidRPr="00A2135F">
        <w:rPr>
          <w:rFonts w:ascii="Palatino Linotype" w:hAnsi="Palatino Linotype" w:cs="Arial"/>
          <w:sz w:val="24"/>
          <w:szCs w:val="24"/>
        </w:rPr>
        <w:t>e precisa que el Sujeto Obligado aplicó la prueba de año</w:t>
      </w:r>
      <w:r w:rsidRPr="002E40BE">
        <w:rPr>
          <w:rFonts w:ascii="Palatino Linotype" w:hAnsi="Palatino Linotype" w:cs="Arial"/>
          <w:sz w:val="24"/>
          <w:szCs w:val="24"/>
        </w:rPr>
        <w:t xml:space="preserve"> establecida en el artículo 3 fracción XXXIII de la Ley de Transparencia y Acceso a la Información Pública del Estado de México y Municipios, así como en Lineamientos Generales en Materia de Clasificación y Desclasificación de la</w:t>
      </w:r>
      <w:r w:rsidRPr="002E40BE">
        <w:rPr>
          <w:rFonts w:cs="Arial"/>
        </w:rPr>
        <w:t> </w:t>
      </w:r>
      <w:r w:rsidRPr="002E40BE">
        <w:rPr>
          <w:rFonts w:ascii="Palatino Linotype" w:hAnsi="Palatino Linotype" w:cs="Arial"/>
          <w:sz w:val="24"/>
          <w:szCs w:val="24"/>
        </w:rPr>
        <w:t>Información, así como para la Elaboración de Versiones Públicas.</w:t>
      </w:r>
      <w:r w:rsidRPr="002E40BE">
        <w:rPr>
          <w:sz w:val="24"/>
          <w:szCs w:val="24"/>
        </w:rPr>
        <w:t xml:space="preserve"> </w:t>
      </w:r>
    </w:p>
    <w:p w:rsidR="00F74E6D" w:rsidRDefault="00F74E6D" w:rsidP="002E40BE">
      <w:pPr>
        <w:pStyle w:val="corte4fondo"/>
        <w:shd w:val="clear" w:color="auto" w:fill="FFFFFF" w:themeFill="background1"/>
        <w:ind w:firstLine="0"/>
        <w:rPr>
          <w:sz w:val="24"/>
          <w:szCs w:val="24"/>
        </w:rPr>
      </w:pPr>
    </w:p>
    <w:p w:rsidR="00F74E6D" w:rsidRPr="00D173E3" w:rsidRDefault="00F74E6D" w:rsidP="00F74E6D">
      <w:pPr>
        <w:pStyle w:val="corte4fondo"/>
        <w:shd w:val="clear" w:color="auto" w:fill="FFFFFF" w:themeFill="background1"/>
        <w:ind w:firstLine="0"/>
        <w:rPr>
          <w:rFonts w:ascii="Palatino Linotype" w:hAnsi="Palatino Linotype" w:cs="Arial"/>
          <w:sz w:val="24"/>
          <w:szCs w:val="24"/>
        </w:rPr>
      </w:pPr>
      <w:r w:rsidRPr="00F74E6D">
        <w:rPr>
          <w:rFonts w:ascii="Palatino Linotype" w:hAnsi="Palatino Linotype" w:cs="Arial"/>
          <w:sz w:val="24"/>
          <w:szCs w:val="24"/>
        </w:rPr>
        <w:t xml:space="preserve">Dentro de la citada argumentación, se observa que el </w:t>
      </w:r>
      <w:r w:rsidR="00821003" w:rsidRPr="00F74E6D">
        <w:rPr>
          <w:rFonts w:ascii="Palatino Linotype" w:hAnsi="Palatino Linotype" w:cs="Arial"/>
          <w:sz w:val="24"/>
          <w:szCs w:val="24"/>
        </w:rPr>
        <w:t>Sujeto</w:t>
      </w:r>
      <w:r w:rsidRPr="00F74E6D">
        <w:rPr>
          <w:rFonts w:ascii="Palatino Linotype" w:hAnsi="Palatino Linotype" w:cs="Arial"/>
          <w:sz w:val="24"/>
          <w:szCs w:val="24"/>
        </w:rPr>
        <w:t xml:space="preserve"> Obligado se ajustó de manera somera a demostrar i) Un razonamiento lógico que demostrara que la información encuadra en alguna de las hipótesis de excepción previstas en la Ley (fundamentación y Motivación), así como se enfocó a demostrar existencia de elementos objetivos que permitieron determinar que difusión de la información </w:t>
      </w:r>
      <w:r w:rsidRPr="00F74E6D">
        <w:rPr>
          <w:rFonts w:ascii="Palatino Linotype" w:hAnsi="Palatino Linotype" w:cs="Arial"/>
          <w:sz w:val="24"/>
          <w:szCs w:val="24"/>
        </w:rPr>
        <w:lastRenderedPageBreak/>
        <w:t>causaría un daño</w:t>
      </w:r>
      <w:r>
        <w:rPr>
          <w:rFonts w:ascii="Palatino Linotype" w:hAnsi="Palatino Linotype" w:cs="Arial"/>
          <w:sz w:val="24"/>
          <w:szCs w:val="24"/>
        </w:rPr>
        <w:t xml:space="preserve"> real, demostrable e identificable de perjuicio significativo al interés público.</w:t>
      </w:r>
    </w:p>
    <w:p w:rsidR="00F74E6D" w:rsidRPr="00981390" w:rsidRDefault="00F74E6D" w:rsidP="00F74E6D">
      <w:pPr>
        <w:pStyle w:val="corte4fondo"/>
        <w:shd w:val="clear" w:color="auto" w:fill="FFFFFF" w:themeFill="background1"/>
        <w:ind w:firstLine="0"/>
        <w:rPr>
          <w:rFonts w:ascii="Palatino Linotype" w:hAnsi="Palatino Linotype" w:cs="Arial"/>
          <w:sz w:val="24"/>
          <w:szCs w:val="24"/>
        </w:rPr>
      </w:pPr>
    </w:p>
    <w:p w:rsidR="00F74E6D" w:rsidRPr="00F74E6D" w:rsidRDefault="00F74E6D" w:rsidP="00F74E6D">
      <w:pPr>
        <w:pStyle w:val="corte4fondo"/>
        <w:shd w:val="clear" w:color="auto" w:fill="FFFFFF" w:themeFill="background1"/>
        <w:ind w:firstLine="0"/>
        <w:rPr>
          <w:rFonts w:ascii="Palatino Linotype" w:hAnsi="Palatino Linotype" w:cs="Arial"/>
          <w:sz w:val="24"/>
          <w:szCs w:val="24"/>
        </w:rPr>
      </w:pPr>
      <w:r w:rsidRPr="00F74E6D">
        <w:rPr>
          <w:rFonts w:ascii="Palatino Linotype" w:hAnsi="Palatino Linotype" w:cs="Arial"/>
          <w:sz w:val="24"/>
          <w:szCs w:val="24"/>
        </w:rPr>
        <w:t xml:space="preserve">Sin embargo, si bien el artículo 140 citado con anterioridad, incluye como información reservada toda aquella </w:t>
      </w:r>
      <w:r>
        <w:rPr>
          <w:rFonts w:ascii="Palatino Linotype" w:hAnsi="Palatino Linotype" w:cs="Arial"/>
          <w:sz w:val="24"/>
          <w:szCs w:val="24"/>
        </w:rPr>
        <w:t>que v</w:t>
      </w:r>
      <w:r w:rsidRPr="00F74E6D">
        <w:rPr>
          <w:rFonts w:ascii="Palatino Linotype" w:hAnsi="Palatino Linotype" w:cs="Arial"/>
          <w:sz w:val="24"/>
          <w:szCs w:val="24"/>
        </w:rPr>
        <w:t xml:space="preserve">ulnere la conducción de los expedientes judiciales o de los procedimientos administrativos seguidos en forma de juicio, en tanto no hayan quedado firmes; no debemos generalizar y asumir que, </w:t>
      </w:r>
      <w:r w:rsidRPr="00F74E6D">
        <w:rPr>
          <w:rFonts w:ascii="Palatino Linotype" w:hAnsi="Palatino Linotype" w:cs="Arial"/>
          <w:i/>
          <w:sz w:val="24"/>
          <w:szCs w:val="24"/>
        </w:rPr>
        <w:t>per se</w:t>
      </w:r>
      <w:r w:rsidRPr="00F74E6D">
        <w:rPr>
          <w:rFonts w:ascii="Palatino Linotype" w:hAnsi="Palatino Linotype" w:cs="Arial"/>
          <w:sz w:val="24"/>
          <w:szCs w:val="24"/>
        </w:rPr>
        <w:t xml:space="preserve"> la información pública generada y que se ubique dentro de un procedimiento judicial </w:t>
      </w:r>
      <w:r>
        <w:rPr>
          <w:rFonts w:ascii="Palatino Linotype" w:hAnsi="Palatino Linotype" w:cs="Arial"/>
          <w:sz w:val="24"/>
          <w:szCs w:val="24"/>
        </w:rPr>
        <w:t xml:space="preserve">o administrativo </w:t>
      </w:r>
      <w:r w:rsidRPr="00F74E6D">
        <w:rPr>
          <w:rFonts w:ascii="Palatino Linotype" w:hAnsi="Palatino Linotype" w:cs="Arial"/>
          <w:sz w:val="24"/>
          <w:szCs w:val="24"/>
        </w:rPr>
        <w:t>que no haya quedado firme tiene naturaleza de reservada, pues se estaría omitiendo la obligación por parte de la autoridad del estado de demostrar que su publicidad vulneraría el propio procedimiento.</w:t>
      </w:r>
    </w:p>
    <w:p w:rsidR="00F74E6D" w:rsidRPr="00F74E6D" w:rsidRDefault="00F74E6D" w:rsidP="00F74E6D">
      <w:pPr>
        <w:pStyle w:val="corte4fondo"/>
        <w:shd w:val="clear" w:color="auto" w:fill="FFFFFF" w:themeFill="background1"/>
        <w:ind w:firstLine="0"/>
        <w:rPr>
          <w:rFonts w:ascii="Palatino Linotype" w:hAnsi="Palatino Linotype" w:cs="Arial"/>
          <w:sz w:val="24"/>
          <w:szCs w:val="24"/>
        </w:rPr>
      </w:pPr>
    </w:p>
    <w:p w:rsidR="00F74E6D" w:rsidRDefault="00F74E6D" w:rsidP="00F74E6D">
      <w:pPr>
        <w:pStyle w:val="corte4fondo"/>
        <w:shd w:val="clear" w:color="auto" w:fill="FFFFFF" w:themeFill="background1"/>
        <w:ind w:firstLine="0"/>
        <w:rPr>
          <w:rFonts w:ascii="Palatino Linotype" w:hAnsi="Palatino Linotype" w:cs="Arial"/>
          <w:sz w:val="24"/>
          <w:szCs w:val="24"/>
        </w:rPr>
      </w:pPr>
      <w:r w:rsidRPr="00F74E6D">
        <w:rPr>
          <w:rFonts w:ascii="Palatino Linotype" w:hAnsi="Palatino Linotype" w:cs="Arial"/>
          <w:sz w:val="24"/>
          <w:szCs w:val="24"/>
        </w:rPr>
        <w:t>Además, de consentir este Órgano Garante la reserva de la informació</w:t>
      </w:r>
      <w:r w:rsidR="001A0CB7">
        <w:rPr>
          <w:rFonts w:ascii="Palatino Linotype" w:hAnsi="Palatino Linotype" w:cs="Arial"/>
          <w:sz w:val="24"/>
          <w:szCs w:val="24"/>
        </w:rPr>
        <w:t>n solicitada, por el só</w:t>
      </w:r>
      <w:r w:rsidRPr="00F74E6D">
        <w:rPr>
          <w:rFonts w:ascii="Palatino Linotype" w:hAnsi="Palatino Linotype" w:cs="Arial"/>
          <w:sz w:val="24"/>
          <w:szCs w:val="24"/>
        </w:rPr>
        <w:t>lo hecho de encontrarse inmersa en un procedimiento que no ha causado estado, se anularía por completo</w:t>
      </w:r>
      <w:r>
        <w:rPr>
          <w:rFonts w:ascii="Palatino Linotype" w:hAnsi="Palatino Linotype" w:cs="Arial"/>
          <w:sz w:val="24"/>
          <w:szCs w:val="24"/>
        </w:rPr>
        <w:t xml:space="preserve"> la posibilidad de </w:t>
      </w:r>
      <w:r w:rsidRPr="00F74E6D">
        <w:rPr>
          <w:rFonts w:ascii="Palatino Linotype" w:hAnsi="Palatino Linotype" w:cs="Arial"/>
          <w:sz w:val="24"/>
          <w:szCs w:val="24"/>
        </w:rPr>
        <w:t xml:space="preserve">la existencia de casos excepcionales en los cuales existen intereses superiores de la sociedad de conocer la información. </w:t>
      </w:r>
    </w:p>
    <w:p w:rsidR="00F74E6D" w:rsidRDefault="00F74E6D" w:rsidP="00F74E6D">
      <w:pPr>
        <w:pStyle w:val="corte4fondo"/>
        <w:shd w:val="clear" w:color="auto" w:fill="FFFFFF" w:themeFill="background1"/>
        <w:ind w:firstLine="0"/>
        <w:rPr>
          <w:rFonts w:ascii="Palatino Linotype" w:hAnsi="Palatino Linotype" w:cs="Arial"/>
          <w:sz w:val="24"/>
          <w:szCs w:val="24"/>
        </w:rPr>
      </w:pPr>
    </w:p>
    <w:p w:rsidR="00F74E6D" w:rsidRPr="00F74E6D" w:rsidRDefault="00F74E6D" w:rsidP="00F74E6D">
      <w:pPr>
        <w:pStyle w:val="corte4fondo"/>
        <w:shd w:val="clear" w:color="auto" w:fill="FFFFFF" w:themeFill="background1"/>
        <w:ind w:firstLine="0"/>
        <w:rPr>
          <w:rFonts w:ascii="Palatino Linotype" w:hAnsi="Palatino Linotype" w:cs="Arial"/>
          <w:sz w:val="24"/>
          <w:szCs w:val="24"/>
        </w:rPr>
      </w:pPr>
      <w:r w:rsidRPr="00F74E6D">
        <w:rPr>
          <w:rFonts w:ascii="Palatino Linotype" w:hAnsi="Palatino Linotype" w:cs="Arial"/>
          <w:sz w:val="24"/>
          <w:szCs w:val="24"/>
        </w:rPr>
        <w:t>Es decir, conforme a lo expresado por la Corte Interamericana, ha de vigilarse en todo momento, que las excepciones no se conviertan en regla general, dado que el derecho a la información juega un papel determinante en un Estado democrático, a partir del cual, los gobernados pueden ejercer un control respecto del funcionamiento institucional de los poderes públicos.</w:t>
      </w:r>
    </w:p>
    <w:p w:rsidR="00F74E6D" w:rsidRPr="00F74E6D" w:rsidRDefault="00F74E6D" w:rsidP="00F74E6D">
      <w:pPr>
        <w:pStyle w:val="corte4fondo"/>
        <w:shd w:val="clear" w:color="auto" w:fill="FFFFFF" w:themeFill="background1"/>
        <w:ind w:firstLine="0"/>
        <w:rPr>
          <w:rFonts w:ascii="Palatino Linotype" w:hAnsi="Palatino Linotype" w:cs="Arial"/>
          <w:sz w:val="24"/>
          <w:szCs w:val="24"/>
        </w:rPr>
      </w:pPr>
    </w:p>
    <w:p w:rsidR="00F74E6D" w:rsidRPr="00F74E6D" w:rsidRDefault="00F74E6D" w:rsidP="00F74E6D">
      <w:pPr>
        <w:pStyle w:val="corte4fondo"/>
        <w:shd w:val="clear" w:color="auto" w:fill="FFFFFF" w:themeFill="background1"/>
        <w:ind w:firstLine="0"/>
        <w:rPr>
          <w:rFonts w:ascii="Palatino Linotype" w:hAnsi="Palatino Linotype" w:cs="Arial"/>
          <w:sz w:val="24"/>
          <w:szCs w:val="24"/>
        </w:rPr>
      </w:pPr>
      <w:r w:rsidRPr="00F74E6D">
        <w:rPr>
          <w:rFonts w:ascii="Palatino Linotype" w:hAnsi="Palatino Linotype" w:cs="Arial"/>
          <w:sz w:val="24"/>
          <w:szCs w:val="24"/>
        </w:rPr>
        <w:lastRenderedPageBreak/>
        <w:t xml:space="preserve">En este sentido, la propia Suprema Corte de Justicia de la Nación (SCJN) al resolver la Acción de inconstitucionalidad 26/2006, concreto la tesis de jurisprudencia de rubro: </w:t>
      </w:r>
      <w:r w:rsidRPr="00F74E6D">
        <w:rPr>
          <w:rFonts w:ascii="Palatino Linotype" w:hAnsi="Palatino Linotype" w:cs="Arial"/>
          <w:b/>
          <w:sz w:val="24"/>
          <w:szCs w:val="24"/>
        </w:rPr>
        <w:t>“INFORMACIÓN RESERVADA. EXCEPCIÓN A LA PROHIBICIÓN DE SU DIVULGACIÓN”</w:t>
      </w:r>
      <w:r w:rsidRPr="00F74E6D">
        <w:rPr>
          <w:rFonts w:ascii="Palatino Linotype" w:hAnsi="Palatino Linotype" w:cs="Arial"/>
          <w:sz w:val="24"/>
          <w:szCs w:val="24"/>
        </w:rPr>
        <w:t>, de cuyo cuerpo</w:t>
      </w:r>
      <w:r>
        <w:rPr>
          <w:rFonts w:ascii="Palatino Linotype" w:hAnsi="Palatino Linotype" w:cs="Arial"/>
          <w:sz w:val="24"/>
          <w:szCs w:val="24"/>
        </w:rPr>
        <w:t>,</w:t>
      </w:r>
      <w:r w:rsidRPr="00F74E6D">
        <w:rPr>
          <w:rFonts w:ascii="Palatino Linotype" w:hAnsi="Palatino Linotype" w:cs="Arial"/>
          <w:sz w:val="24"/>
          <w:szCs w:val="24"/>
        </w:rPr>
        <w:t xml:space="preserve"> en el tema que interesa se precisa que: “…No obstante la imposibilidad de acceder a dicha información no puede considerarse como una regla absoluta, porque en aquellos supuestos en los cuales su difusión producirá mayores beneficios para la sociedad que los daños que pudieran provocarse con su divulgación, debe hacerse una excepción a la regla general, privilegiando la transparencia y difusión de la información respectiva.”</w:t>
      </w:r>
      <w:r>
        <w:rPr>
          <w:rStyle w:val="Refdenotaalpie"/>
          <w:rFonts w:ascii="Palatino Linotype" w:hAnsi="Palatino Linotype" w:cs="Arial"/>
          <w:sz w:val="24"/>
          <w:szCs w:val="24"/>
        </w:rPr>
        <w:footnoteReference w:id="2"/>
      </w:r>
    </w:p>
    <w:p w:rsidR="00F74E6D" w:rsidRPr="00F74E6D" w:rsidRDefault="00F74E6D" w:rsidP="00F74E6D">
      <w:pPr>
        <w:pStyle w:val="corte4fondo"/>
        <w:shd w:val="clear" w:color="auto" w:fill="FFFFFF" w:themeFill="background1"/>
        <w:ind w:firstLine="0"/>
        <w:rPr>
          <w:rFonts w:ascii="Palatino Linotype" w:hAnsi="Palatino Linotype" w:cs="Arial"/>
          <w:sz w:val="24"/>
          <w:szCs w:val="24"/>
        </w:rPr>
      </w:pPr>
    </w:p>
    <w:p w:rsidR="00F74E6D" w:rsidRPr="00F74E6D" w:rsidRDefault="00F74E6D" w:rsidP="00F74E6D">
      <w:pPr>
        <w:pStyle w:val="corte4fondo"/>
        <w:shd w:val="clear" w:color="auto" w:fill="FFFFFF" w:themeFill="background1"/>
        <w:ind w:firstLine="0"/>
        <w:rPr>
          <w:rFonts w:ascii="Palatino Linotype" w:hAnsi="Palatino Linotype" w:cs="Arial"/>
          <w:sz w:val="24"/>
          <w:szCs w:val="24"/>
        </w:rPr>
      </w:pPr>
      <w:r w:rsidRPr="00F74E6D">
        <w:rPr>
          <w:rFonts w:ascii="Palatino Linotype" w:hAnsi="Palatino Linotype" w:cs="Arial"/>
          <w:sz w:val="24"/>
          <w:szCs w:val="24"/>
        </w:rPr>
        <w:t xml:space="preserve">Así, se puede desprender que la restricción para acceder a la información relacionada con expedientes </w:t>
      </w:r>
      <w:r w:rsidR="00E00344">
        <w:rPr>
          <w:rFonts w:ascii="Palatino Linotype" w:hAnsi="Palatino Linotype" w:cs="Arial"/>
          <w:sz w:val="24"/>
          <w:szCs w:val="24"/>
        </w:rPr>
        <w:t>administrativos</w:t>
      </w:r>
      <w:r w:rsidRPr="00F74E6D">
        <w:rPr>
          <w:rFonts w:ascii="Palatino Linotype" w:hAnsi="Palatino Linotype" w:cs="Arial"/>
          <w:sz w:val="24"/>
          <w:szCs w:val="24"/>
        </w:rPr>
        <w:t> que no hayan causado estado, no puede considerarse como una regla absoluta. De</w:t>
      </w:r>
      <w:r w:rsidR="00E00344">
        <w:rPr>
          <w:rFonts w:ascii="Palatino Linotype" w:hAnsi="Palatino Linotype" w:cs="Arial"/>
          <w:sz w:val="24"/>
          <w:szCs w:val="24"/>
        </w:rPr>
        <w:t xml:space="preserve">be hacerse una excepción a esta </w:t>
      </w:r>
      <w:r w:rsidRPr="00F74E6D">
        <w:rPr>
          <w:rFonts w:ascii="Palatino Linotype" w:hAnsi="Palatino Linotype" w:cs="Arial"/>
          <w:sz w:val="24"/>
          <w:szCs w:val="24"/>
        </w:rPr>
        <w:t>regla privilegiando la transparencia y difusión de la información respectiva cuando su difusión producirá mayores beneficios para la sociedad que los daños que pudieran provocarse con su divulgación.</w:t>
      </w:r>
    </w:p>
    <w:p w:rsidR="00F74E6D" w:rsidRPr="00F74E6D" w:rsidRDefault="00F74E6D" w:rsidP="00F74E6D">
      <w:pPr>
        <w:pStyle w:val="corte4fondo"/>
        <w:shd w:val="clear" w:color="auto" w:fill="FFFFFF" w:themeFill="background1"/>
        <w:ind w:firstLine="0"/>
        <w:rPr>
          <w:rFonts w:ascii="Palatino Linotype" w:hAnsi="Palatino Linotype" w:cs="Arial"/>
          <w:sz w:val="24"/>
          <w:szCs w:val="24"/>
        </w:rPr>
      </w:pPr>
    </w:p>
    <w:p w:rsidR="00F74E6D" w:rsidRPr="00F74E6D" w:rsidRDefault="00F74E6D" w:rsidP="00F74E6D">
      <w:pPr>
        <w:pStyle w:val="corte4fondo"/>
        <w:shd w:val="clear" w:color="auto" w:fill="FFFFFF" w:themeFill="background1"/>
        <w:ind w:firstLine="0"/>
        <w:rPr>
          <w:rFonts w:ascii="Palatino Linotype" w:hAnsi="Palatino Linotype" w:cs="Arial"/>
          <w:sz w:val="24"/>
          <w:szCs w:val="24"/>
        </w:rPr>
      </w:pPr>
      <w:r w:rsidRPr="00F74E6D">
        <w:rPr>
          <w:rFonts w:ascii="Palatino Linotype" w:hAnsi="Palatino Linotype" w:cs="Arial"/>
          <w:sz w:val="24"/>
          <w:szCs w:val="24"/>
        </w:rPr>
        <w:t xml:space="preserve">Por esta razón, resulta inexacta la conclusión en la Prueba de Daño ejecutada por el </w:t>
      </w:r>
      <w:r w:rsidR="00E00344" w:rsidRPr="00F74E6D">
        <w:rPr>
          <w:rFonts w:ascii="Palatino Linotype" w:hAnsi="Palatino Linotype" w:cs="Arial"/>
          <w:sz w:val="24"/>
          <w:szCs w:val="24"/>
        </w:rPr>
        <w:t xml:space="preserve">Sujeto Obligado </w:t>
      </w:r>
      <w:r w:rsidRPr="00F74E6D">
        <w:rPr>
          <w:rFonts w:ascii="Palatino Linotype" w:hAnsi="Palatino Linotype" w:cs="Arial"/>
          <w:sz w:val="24"/>
          <w:szCs w:val="24"/>
        </w:rPr>
        <w:t xml:space="preserve">en consideración a  que, en la fundamentación del acuerdo número </w:t>
      </w:r>
      <w:r w:rsidR="001A0CB7" w:rsidRPr="001A0CB7">
        <w:rPr>
          <w:rFonts w:ascii="Palatino Linotype" w:hAnsi="Palatino Linotype" w:cs="Arial"/>
          <w:sz w:val="24"/>
          <w:szCs w:val="24"/>
        </w:rPr>
        <w:t xml:space="preserve">PLEGISLA/LX/CT/19ªext/2021/SEXTO </w:t>
      </w:r>
      <w:r w:rsidR="001A0CB7">
        <w:rPr>
          <w:rFonts w:ascii="Palatino Linotype" w:hAnsi="Palatino Linotype" w:cs="Arial"/>
          <w:sz w:val="24"/>
          <w:szCs w:val="24"/>
        </w:rPr>
        <w:t xml:space="preserve">contenido en el </w:t>
      </w:r>
      <w:r w:rsidR="001A0CB7" w:rsidRPr="001A0CB7">
        <w:rPr>
          <w:rFonts w:ascii="Palatino Linotype" w:hAnsi="Palatino Linotype" w:cs="Arial"/>
          <w:sz w:val="24"/>
          <w:szCs w:val="24"/>
        </w:rPr>
        <w:t>acta de la décima novena sesión extraordinaria del Comité de Transparencia del Poder Legislativo del Estado Libre y Soberano de M</w:t>
      </w:r>
      <w:r w:rsidR="001A0CB7">
        <w:rPr>
          <w:rFonts w:ascii="Palatino Linotype" w:hAnsi="Palatino Linotype" w:cs="Arial"/>
          <w:sz w:val="24"/>
          <w:szCs w:val="24"/>
        </w:rPr>
        <w:t>éxico</w:t>
      </w:r>
      <w:r w:rsidRPr="00F74E6D">
        <w:rPr>
          <w:rFonts w:ascii="Palatino Linotype" w:hAnsi="Palatino Linotype" w:cs="Arial"/>
          <w:sz w:val="24"/>
          <w:szCs w:val="24"/>
        </w:rPr>
        <w:t xml:space="preserve">, se omitió tomar en consideración el supra citado criterio de la Suprema Corte de Justicia de la Nación; es decir, el </w:t>
      </w:r>
      <w:r w:rsidR="00E00344" w:rsidRPr="00F74E6D">
        <w:rPr>
          <w:rFonts w:ascii="Palatino Linotype" w:hAnsi="Palatino Linotype" w:cs="Arial"/>
          <w:sz w:val="24"/>
          <w:szCs w:val="24"/>
        </w:rPr>
        <w:t xml:space="preserve">Sujeto Obligado </w:t>
      </w:r>
      <w:r w:rsidRPr="00F74E6D">
        <w:rPr>
          <w:rFonts w:ascii="Palatino Linotype" w:hAnsi="Palatino Linotype" w:cs="Arial"/>
          <w:sz w:val="24"/>
          <w:szCs w:val="24"/>
        </w:rPr>
        <w:t xml:space="preserve">no  analizó </w:t>
      </w:r>
      <w:r w:rsidRPr="00F74E6D">
        <w:rPr>
          <w:rFonts w:ascii="Palatino Linotype" w:hAnsi="Palatino Linotype" w:cs="Arial"/>
          <w:sz w:val="24"/>
          <w:szCs w:val="24"/>
        </w:rPr>
        <w:lastRenderedPageBreak/>
        <w:t>la posibilidad de qu</w:t>
      </w:r>
      <w:r w:rsidR="00E00344">
        <w:rPr>
          <w:rFonts w:ascii="Palatino Linotype" w:hAnsi="Palatino Linotype" w:cs="Arial"/>
          <w:sz w:val="24"/>
          <w:szCs w:val="24"/>
        </w:rPr>
        <w:t>e la información que referencia</w:t>
      </w:r>
      <w:r w:rsidRPr="00F74E6D">
        <w:rPr>
          <w:rFonts w:ascii="Palatino Linotype" w:hAnsi="Palatino Linotype" w:cs="Arial"/>
          <w:sz w:val="24"/>
          <w:szCs w:val="24"/>
        </w:rPr>
        <w:t xml:space="preserve"> </w:t>
      </w:r>
      <w:r w:rsidR="00E00344">
        <w:rPr>
          <w:rFonts w:ascii="Palatino Linotype" w:hAnsi="Palatino Linotype" w:cs="Arial"/>
          <w:sz w:val="24"/>
          <w:szCs w:val="24"/>
        </w:rPr>
        <w:t>al expediente</w:t>
      </w:r>
      <w:r w:rsidR="001A0CB7">
        <w:rPr>
          <w:rFonts w:ascii="Palatino Linotype" w:hAnsi="Palatino Linotype" w:cs="Arial"/>
          <w:sz w:val="24"/>
          <w:szCs w:val="24"/>
        </w:rPr>
        <w:t xml:space="preserve"> y anexos</w:t>
      </w:r>
      <w:r w:rsidR="00E00344">
        <w:rPr>
          <w:rFonts w:ascii="Palatino Linotype" w:hAnsi="Palatino Linotype" w:cs="Arial"/>
          <w:sz w:val="24"/>
          <w:szCs w:val="24"/>
        </w:rPr>
        <w:t xml:space="preserve"> que contiene lo </w:t>
      </w:r>
      <w:r w:rsidR="00E00344" w:rsidRPr="00E00344">
        <w:rPr>
          <w:rFonts w:ascii="Palatino Linotype" w:hAnsi="Palatino Linotype" w:cs="Arial"/>
          <w:sz w:val="24"/>
          <w:szCs w:val="24"/>
        </w:rPr>
        <w:t xml:space="preserve">relacionado con los conflictos por límites territoriales </w:t>
      </w:r>
      <w:r w:rsidR="001A0CB7">
        <w:rPr>
          <w:rFonts w:ascii="Palatino Linotype" w:hAnsi="Palatino Linotype" w:cs="Arial"/>
          <w:sz w:val="24"/>
          <w:szCs w:val="24"/>
        </w:rPr>
        <w:t>entre el municipio de T</w:t>
      </w:r>
      <w:r w:rsidR="00BC3A0D">
        <w:rPr>
          <w:rFonts w:ascii="Palatino Linotype" w:hAnsi="Palatino Linotype" w:cs="Arial"/>
          <w:sz w:val="24"/>
          <w:szCs w:val="24"/>
        </w:rPr>
        <w:t>eoloyucan</w:t>
      </w:r>
      <w:r w:rsidRPr="00F74E6D">
        <w:rPr>
          <w:rFonts w:ascii="Palatino Linotype" w:hAnsi="Palatino Linotype" w:cs="Arial"/>
          <w:sz w:val="24"/>
          <w:szCs w:val="24"/>
        </w:rPr>
        <w:t>, ostente características tan especiales que el beneficio social y colectivo que otorga su acceso es tan grande que la reserva no resultaba ser una barrera infranqueable.</w:t>
      </w:r>
    </w:p>
    <w:p w:rsidR="00E00344" w:rsidRDefault="00E00344" w:rsidP="00F74E6D">
      <w:pPr>
        <w:pStyle w:val="corte4fondo"/>
        <w:shd w:val="clear" w:color="auto" w:fill="FFFFFF" w:themeFill="background1"/>
        <w:ind w:firstLine="0"/>
        <w:rPr>
          <w:rFonts w:ascii="Palatino Linotype" w:hAnsi="Palatino Linotype" w:cs="Arial"/>
          <w:sz w:val="24"/>
          <w:szCs w:val="24"/>
        </w:rPr>
      </w:pPr>
    </w:p>
    <w:p w:rsidR="00F74E6D" w:rsidRDefault="00F74E6D" w:rsidP="00F74E6D">
      <w:pPr>
        <w:pStyle w:val="corte4fondo"/>
        <w:shd w:val="clear" w:color="auto" w:fill="FFFFFF" w:themeFill="background1"/>
        <w:ind w:firstLine="0"/>
        <w:rPr>
          <w:rFonts w:ascii="Palatino Linotype" w:hAnsi="Palatino Linotype" w:cs="Arial"/>
          <w:sz w:val="24"/>
          <w:szCs w:val="24"/>
        </w:rPr>
      </w:pPr>
      <w:r w:rsidRPr="00F74E6D">
        <w:rPr>
          <w:rFonts w:ascii="Palatino Linotype" w:hAnsi="Palatino Linotype" w:cs="Arial"/>
          <w:noProof/>
          <w:sz w:val="24"/>
          <w:szCs w:val="24"/>
        </w:rPr>
        <w:drawing>
          <wp:anchor distT="0" distB="0" distL="114300" distR="114300" simplePos="0" relativeHeight="251659264" behindDoc="1" locked="0" layoutInCell="1" allowOverlap="1" wp14:anchorId="24D373CD" wp14:editId="5F0E3AF7">
            <wp:simplePos x="0" y="0"/>
            <wp:positionH relativeFrom="column">
              <wp:posOffset>-47625</wp:posOffset>
            </wp:positionH>
            <wp:positionV relativeFrom="paragraph">
              <wp:posOffset>-1028700</wp:posOffset>
            </wp:positionV>
            <wp:extent cx="1695450" cy="10287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344">
        <w:rPr>
          <w:rFonts w:ascii="Palatino Linotype" w:hAnsi="Palatino Linotype" w:cs="Arial"/>
          <w:sz w:val="24"/>
          <w:szCs w:val="24"/>
        </w:rPr>
        <w:t xml:space="preserve">En razón de lo anterior, </w:t>
      </w:r>
      <w:r w:rsidRPr="00F74E6D">
        <w:rPr>
          <w:rFonts w:ascii="Palatino Linotype" w:hAnsi="Palatino Linotype" w:cs="Arial"/>
          <w:sz w:val="24"/>
          <w:szCs w:val="24"/>
        </w:rPr>
        <w:t xml:space="preserve">este Órgano Garante del Derecho de Acceso a la información Publica en la entidad Mexiquense, debe valorar de nueva cuenta a través de criterios razonables y ponderables </w:t>
      </w:r>
      <w:r w:rsidR="00E00344" w:rsidRPr="00F74E6D">
        <w:rPr>
          <w:rFonts w:ascii="Palatino Linotype" w:hAnsi="Palatino Linotype" w:cs="Arial"/>
          <w:sz w:val="24"/>
          <w:szCs w:val="24"/>
        </w:rPr>
        <w:t>el interés</w:t>
      </w:r>
      <w:r w:rsidRPr="00F74E6D">
        <w:rPr>
          <w:rFonts w:ascii="Palatino Linotype" w:hAnsi="Palatino Linotype" w:cs="Arial"/>
          <w:sz w:val="24"/>
          <w:szCs w:val="24"/>
        </w:rPr>
        <w:t xml:space="preserve"> público en el presente caso, a fin de determinar si este interés público que reviste </w:t>
      </w:r>
      <w:r w:rsidR="00E00344">
        <w:rPr>
          <w:rFonts w:ascii="Palatino Linotype" w:hAnsi="Palatino Linotype" w:cs="Arial"/>
          <w:sz w:val="24"/>
          <w:szCs w:val="24"/>
        </w:rPr>
        <w:t>el expediente</w:t>
      </w:r>
      <w:r w:rsidR="00BC3A0D">
        <w:rPr>
          <w:rFonts w:ascii="Palatino Linotype" w:hAnsi="Palatino Linotype" w:cs="Arial"/>
          <w:sz w:val="24"/>
          <w:szCs w:val="24"/>
        </w:rPr>
        <w:t xml:space="preserve"> y anexos</w:t>
      </w:r>
      <w:r w:rsidRPr="00F74E6D">
        <w:rPr>
          <w:rFonts w:ascii="Palatino Linotype" w:hAnsi="Palatino Linotype" w:cs="Arial"/>
          <w:sz w:val="24"/>
          <w:szCs w:val="24"/>
        </w:rPr>
        <w:t xml:space="preserve"> de méri</w:t>
      </w:r>
      <w:r w:rsidR="00E00344">
        <w:rPr>
          <w:rFonts w:ascii="Palatino Linotype" w:hAnsi="Palatino Linotype" w:cs="Arial"/>
          <w:sz w:val="24"/>
          <w:szCs w:val="24"/>
        </w:rPr>
        <w:t xml:space="preserve">to, resulta </w:t>
      </w:r>
      <w:r w:rsidRPr="00F74E6D">
        <w:rPr>
          <w:rFonts w:ascii="Palatino Linotype" w:hAnsi="Palatino Linotype" w:cs="Arial"/>
          <w:sz w:val="24"/>
          <w:szCs w:val="24"/>
        </w:rPr>
        <w:t>suficiente para restringir la necesidad de clasificar la información como reservada, o en su defecto, determinar si prevalece más el sigilo de la información.</w:t>
      </w:r>
    </w:p>
    <w:p w:rsidR="00E00344" w:rsidRDefault="00E00344" w:rsidP="00E00344">
      <w:pPr>
        <w:pStyle w:val="corte4fondo"/>
        <w:shd w:val="clear" w:color="auto" w:fill="FFFFFF" w:themeFill="background1"/>
        <w:ind w:firstLine="0"/>
        <w:contextualSpacing/>
        <w:rPr>
          <w:rFonts w:ascii="Palatino Linotype" w:hAnsi="Palatino Linotype" w:cs="Arial"/>
          <w:sz w:val="24"/>
          <w:szCs w:val="24"/>
        </w:rPr>
      </w:pPr>
    </w:p>
    <w:p w:rsidR="00E00344" w:rsidRPr="00E00344" w:rsidRDefault="00E00344" w:rsidP="00E00344">
      <w:pPr>
        <w:pStyle w:val="corte4fondo"/>
        <w:shd w:val="clear" w:color="auto" w:fill="FFFFFF" w:themeFill="background1"/>
        <w:ind w:firstLine="0"/>
        <w:contextualSpacing/>
        <w:rPr>
          <w:rFonts w:ascii="Palatino Linotype" w:hAnsi="Palatino Linotype" w:cs="Arial"/>
          <w:sz w:val="24"/>
          <w:szCs w:val="24"/>
        </w:rPr>
      </w:pPr>
      <w:r w:rsidRPr="00E00344">
        <w:rPr>
          <w:rFonts w:ascii="Palatino Linotype" w:hAnsi="Palatino Linotype" w:cs="Arial"/>
          <w:sz w:val="24"/>
          <w:szCs w:val="24"/>
        </w:rPr>
        <w:t xml:space="preserve">Tercera cuestión: ¿El interés público que envuelve </w:t>
      </w:r>
      <w:r>
        <w:rPr>
          <w:rFonts w:ascii="Palatino Linotype" w:hAnsi="Palatino Linotype" w:cs="Arial"/>
          <w:sz w:val="24"/>
          <w:szCs w:val="24"/>
        </w:rPr>
        <w:t xml:space="preserve">el expediente referido </w:t>
      </w:r>
      <w:r w:rsidRPr="00E00344">
        <w:rPr>
          <w:rFonts w:ascii="Palatino Linotype" w:hAnsi="Palatino Linotype" w:cs="Arial"/>
          <w:sz w:val="24"/>
          <w:szCs w:val="24"/>
        </w:rPr>
        <w:t>resulta suficiente para restringir la necesidad de clasificar la información como reservada?</w:t>
      </w:r>
    </w:p>
    <w:p w:rsidR="00E00344" w:rsidRPr="0017386A" w:rsidRDefault="00E00344" w:rsidP="00E00344">
      <w:pPr>
        <w:shd w:val="clear" w:color="auto" w:fill="FFFFFF" w:themeFill="background1"/>
        <w:spacing w:before="100" w:beforeAutospacing="1" w:after="100" w:afterAutospacing="1" w:line="360" w:lineRule="auto"/>
        <w:jc w:val="both"/>
        <w:rPr>
          <w:rFonts w:ascii="Palatino Linotype" w:hAnsi="Palatino Linotype"/>
          <w:b/>
          <w:i/>
        </w:rPr>
      </w:pPr>
      <w:r w:rsidRPr="00E00344">
        <w:rPr>
          <w:rFonts w:ascii="Palatino Linotype" w:hAnsi="Palatino Linotype"/>
        </w:rPr>
        <w:t xml:space="preserve">Entonces al hablar de una valoración de los beneficios o perjuicios de la divulgación señalada, debe fundarse en las consecuencias concretas que, potencialmente, resulten de la publicidad de la información, se deberá ponderar si </w:t>
      </w:r>
      <w:r w:rsidR="00751109">
        <w:rPr>
          <w:rFonts w:ascii="Palatino Linotype" w:hAnsi="Palatino Linotype"/>
        </w:rPr>
        <w:t>la publicidad de la información</w:t>
      </w:r>
      <w:r w:rsidRPr="00E00344">
        <w:rPr>
          <w:rFonts w:ascii="Palatino Linotype" w:hAnsi="Palatino Linotype"/>
        </w:rPr>
        <w:t xml:space="preserve"> tienen una trascendencia social y poder ser catalogada como información de interés público</w:t>
      </w:r>
      <w:r w:rsidRPr="00E00344">
        <w:rPr>
          <w:rFonts w:ascii="Palatino Linotype" w:hAnsi="Palatino Linotype"/>
          <w:b/>
          <w:i/>
        </w:rPr>
        <w:t>.</w:t>
      </w:r>
      <w:r w:rsidRPr="00E00344">
        <w:rPr>
          <w:rStyle w:val="Refdenotaalpie"/>
          <w:rFonts w:ascii="Palatino Linotype" w:hAnsi="Palatino Linotype" w:cs="Arial"/>
          <w:b/>
          <w:u w:val="single"/>
        </w:rPr>
        <w:t xml:space="preserve"> </w:t>
      </w:r>
      <w:r w:rsidRPr="00E00344">
        <w:rPr>
          <w:rStyle w:val="Refdenotaalpie"/>
          <w:rFonts w:ascii="Palatino Linotype" w:hAnsi="Palatino Linotype" w:cs="Arial"/>
          <w:b/>
          <w:u w:val="single"/>
        </w:rPr>
        <w:footnoteReference w:id="3"/>
      </w:r>
    </w:p>
    <w:p w:rsidR="00E00344" w:rsidRPr="00751109" w:rsidRDefault="00E00344" w:rsidP="00E00344">
      <w:pPr>
        <w:shd w:val="clear" w:color="auto" w:fill="FFFFFF" w:themeFill="background1"/>
        <w:spacing w:before="100" w:beforeAutospacing="1" w:after="100" w:afterAutospacing="1" w:line="360" w:lineRule="auto"/>
        <w:jc w:val="both"/>
        <w:rPr>
          <w:rFonts w:ascii="Palatino Linotype" w:hAnsi="Palatino Linotype"/>
        </w:rPr>
      </w:pPr>
      <w:r>
        <w:rPr>
          <w:rFonts w:ascii="Palatino Linotype" w:hAnsi="Palatino Linotype"/>
        </w:rPr>
        <w:lastRenderedPageBreak/>
        <w:t>Así, este</w:t>
      </w:r>
      <w:r w:rsidRPr="005361D6">
        <w:rPr>
          <w:rFonts w:ascii="Palatino Linotype" w:hAnsi="Palatino Linotype"/>
        </w:rPr>
        <w:t xml:space="preserve"> Instituto considera procedente efectuar una </w:t>
      </w:r>
      <w:r w:rsidRPr="00751109">
        <w:rPr>
          <w:rFonts w:ascii="Palatino Linotype" w:hAnsi="Palatino Linotype"/>
        </w:rPr>
        <w:t>prueba de interés público</w:t>
      </w:r>
      <w:r w:rsidRPr="005361D6">
        <w:rPr>
          <w:rFonts w:ascii="Palatino Linotype" w:hAnsi="Palatino Linotype"/>
        </w:rPr>
        <w:t xml:space="preserve"> </w:t>
      </w:r>
      <w:r w:rsidRPr="00751109">
        <w:rPr>
          <w:rFonts w:ascii="Palatino Linotype" w:hAnsi="Palatino Linotype"/>
        </w:rPr>
        <w:t>ante la colisión de derechos que se plantea en el presente recurso de revisión</w:t>
      </w:r>
      <w:r w:rsidRPr="005361D6">
        <w:rPr>
          <w:rFonts w:ascii="Palatino Linotype" w:hAnsi="Palatino Linotype"/>
        </w:rPr>
        <w:t xml:space="preserve">, por una parte: i) el derecho aducido por el </w:t>
      </w:r>
      <w:r w:rsidR="00751109" w:rsidRPr="00751109">
        <w:rPr>
          <w:rFonts w:ascii="Palatino Linotype" w:hAnsi="Palatino Linotype"/>
        </w:rPr>
        <w:t>Sujeto Obligado</w:t>
      </w:r>
      <w:r w:rsidR="00751109" w:rsidRPr="005361D6">
        <w:rPr>
          <w:rFonts w:ascii="Palatino Linotype" w:hAnsi="Palatino Linotype"/>
        </w:rPr>
        <w:t xml:space="preserve"> </w:t>
      </w:r>
      <w:r w:rsidR="00751109">
        <w:rPr>
          <w:rFonts w:ascii="Palatino Linotype" w:hAnsi="Palatino Linotype"/>
        </w:rPr>
        <w:t xml:space="preserve">consistente en el </w:t>
      </w:r>
      <w:r w:rsidRPr="00751109">
        <w:rPr>
          <w:rFonts w:ascii="Palatino Linotype" w:hAnsi="Palatino Linotype"/>
        </w:rPr>
        <w:t>derecho a la secrecía</w:t>
      </w:r>
      <w:r w:rsidR="00751109">
        <w:rPr>
          <w:rFonts w:ascii="Palatino Linotype" w:hAnsi="Palatino Linotype"/>
        </w:rPr>
        <w:t xml:space="preserve"> del expediente</w:t>
      </w:r>
      <w:r w:rsidR="00BC3A0D">
        <w:rPr>
          <w:rFonts w:ascii="Palatino Linotype" w:hAnsi="Palatino Linotype"/>
        </w:rPr>
        <w:t xml:space="preserve"> y anexos</w:t>
      </w:r>
      <w:r w:rsidR="00751109">
        <w:rPr>
          <w:rFonts w:ascii="Palatino Linotype" w:hAnsi="Palatino Linotype"/>
        </w:rPr>
        <w:t xml:space="preserve"> </w:t>
      </w:r>
      <w:r w:rsidRPr="00751109">
        <w:rPr>
          <w:rFonts w:ascii="Palatino Linotype" w:hAnsi="Palatino Linotype"/>
        </w:rPr>
        <w:t>en virtud de no haber causado estado</w:t>
      </w:r>
      <w:r w:rsidRPr="005361D6">
        <w:rPr>
          <w:rFonts w:ascii="Palatino Linotype" w:hAnsi="Palatino Linotype"/>
        </w:rPr>
        <w:t xml:space="preserve">, frente al derecho ejercido por el particular consiéntete en el </w:t>
      </w:r>
      <w:r w:rsidRPr="00751109">
        <w:rPr>
          <w:rFonts w:ascii="Palatino Linotype" w:hAnsi="Palatino Linotype"/>
        </w:rPr>
        <w:t>Derecho de Acceso a la Información Pública</w:t>
      </w:r>
      <w:r w:rsidRPr="005361D6">
        <w:rPr>
          <w:rFonts w:ascii="Palatino Linotype" w:hAnsi="Palatino Linotype"/>
        </w:rPr>
        <w:t>.</w:t>
      </w:r>
      <w:r>
        <w:rPr>
          <w:rFonts w:ascii="Palatino Linotype" w:hAnsi="Palatino Linotype"/>
        </w:rPr>
        <w:t xml:space="preserve"> Lo anterior, conforme a lo que mandata la Ley General de Transparencia y Acceso a la Información Pública, la cual en su </w:t>
      </w:r>
      <w:r w:rsidR="00751109">
        <w:rPr>
          <w:rFonts w:ascii="Palatino Linotype" w:hAnsi="Palatino Linotype"/>
        </w:rPr>
        <w:t>artículo 149</w:t>
      </w:r>
      <w:r>
        <w:rPr>
          <w:rFonts w:ascii="Palatino Linotype" w:hAnsi="Palatino Linotype"/>
        </w:rPr>
        <w:t xml:space="preserve"> refiere la posibilidad, tratándose de colisión de derechos, la solución bajo el principio de proporcionalidad en</w:t>
      </w:r>
      <w:r w:rsidRPr="00751109">
        <w:rPr>
          <w:rFonts w:ascii="Palatino Linotype" w:hAnsi="Palatino Linotype"/>
        </w:rPr>
        <w:t xml:space="preserve"> observancia a las </w:t>
      </w:r>
      <w:r w:rsidR="00751109" w:rsidRPr="00751109">
        <w:rPr>
          <w:rFonts w:ascii="Palatino Linotype" w:hAnsi="Palatino Linotype"/>
        </w:rPr>
        <w:t>gradas de</w:t>
      </w:r>
      <w:r w:rsidRPr="00751109">
        <w:rPr>
          <w:rFonts w:ascii="Palatino Linotype" w:hAnsi="Palatino Linotype"/>
        </w:rPr>
        <w:t xml:space="preserve">: idoneidad, necesidad y proporcionalidad </w:t>
      </w:r>
      <w:r>
        <w:rPr>
          <w:rFonts w:ascii="Palatino Linotype" w:hAnsi="Palatino Linotype"/>
        </w:rPr>
        <w:t xml:space="preserve">(premisa que es </w:t>
      </w:r>
      <w:r w:rsidRPr="00751109">
        <w:rPr>
          <w:rFonts w:ascii="Palatino Linotype" w:hAnsi="Palatino Linotype"/>
        </w:rPr>
        <w:t>replicada en el artículo 184 de la ley local en la materia)</w:t>
      </w:r>
      <w:r>
        <w:rPr>
          <w:rFonts w:ascii="Palatino Linotype" w:hAnsi="Palatino Linotype"/>
        </w:rPr>
        <w:t xml:space="preserve">, tal y como se precisa:  </w:t>
      </w:r>
    </w:p>
    <w:p w:rsidR="00E00344" w:rsidRPr="00025FA5" w:rsidRDefault="00751109" w:rsidP="00751109">
      <w:pPr>
        <w:shd w:val="clear" w:color="auto" w:fill="FFFFFF" w:themeFill="background1"/>
        <w:spacing w:before="100" w:beforeAutospacing="1" w:after="100" w:afterAutospacing="1"/>
        <w:ind w:left="993" w:right="1041"/>
        <w:jc w:val="both"/>
        <w:rPr>
          <w:rFonts w:ascii="Palatino Linotype" w:hAnsi="Palatino Linotype"/>
          <w:i/>
          <w:sz w:val="22"/>
        </w:rPr>
      </w:pPr>
      <w:r>
        <w:rPr>
          <w:rFonts w:ascii="Palatino Linotype" w:hAnsi="Palatino Linotype"/>
          <w:i/>
          <w:sz w:val="22"/>
        </w:rPr>
        <w:t>“</w:t>
      </w:r>
      <w:r w:rsidR="00E00344" w:rsidRPr="00025FA5">
        <w:rPr>
          <w:rFonts w:ascii="Palatino Linotype" w:hAnsi="Palatino Linotype"/>
          <w:i/>
          <w:sz w:val="22"/>
        </w:rPr>
        <w:t xml:space="preserve">Artículo 149. </w:t>
      </w:r>
      <w:r w:rsidR="00E00344" w:rsidRPr="00025FA5">
        <w:rPr>
          <w:rFonts w:ascii="Palatino Linotype" w:hAnsi="Palatino Linotype"/>
          <w:b/>
          <w:i/>
          <w:sz w:val="22"/>
        </w:rPr>
        <w:t xml:space="preserve">El organismo garante, al resolver el recurso de revisión, deberá aplicar una prueba de interés público con base en elementos de idoneidad, necesidad y proporcionalidad, cuando exista una </w:t>
      </w:r>
      <w:r w:rsidR="00E00344" w:rsidRPr="00025FA5">
        <w:rPr>
          <w:rFonts w:ascii="Palatino Linotype" w:hAnsi="Palatino Linotype"/>
          <w:b/>
          <w:i/>
          <w:sz w:val="22"/>
          <w:u w:val="single"/>
        </w:rPr>
        <w:t>colisión de derechos.</w:t>
      </w:r>
      <w:r>
        <w:rPr>
          <w:rFonts w:ascii="Palatino Linotype" w:hAnsi="Palatino Linotype"/>
          <w:b/>
          <w:i/>
          <w:sz w:val="22"/>
          <w:u w:val="single"/>
        </w:rPr>
        <w:t xml:space="preserve">” </w:t>
      </w:r>
      <w:r w:rsidRPr="00751109">
        <w:rPr>
          <w:rFonts w:ascii="Palatino Linotype" w:hAnsi="Palatino Linotype"/>
          <w:b/>
          <w:i/>
          <w:sz w:val="22"/>
        </w:rPr>
        <w:t>(Sic)</w:t>
      </w:r>
    </w:p>
    <w:p w:rsidR="00E00344" w:rsidRPr="00025FA5" w:rsidRDefault="00E00344" w:rsidP="00E00344">
      <w:pPr>
        <w:shd w:val="clear" w:color="auto" w:fill="FFFFFF" w:themeFill="background1"/>
        <w:spacing w:before="100" w:beforeAutospacing="1" w:after="100" w:afterAutospacing="1"/>
        <w:ind w:left="993"/>
        <w:jc w:val="both"/>
        <w:rPr>
          <w:rFonts w:ascii="Palatino Linotype" w:hAnsi="Palatino Linotype"/>
          <w:i/>
          <w:sz w:val="22"/>
        </w:rPr>
      </w:pPr>
      <w:r w:rsidRPr="00025FA5">
        <w:rPr>
          <w:rFonts w:ascii="Palatino Linotype" w:hAnsi="Palatino Linotype"/>
          <w:i/>
          <w:sz w:val="22"/>
        </w:rPr>
        <w:t>Para estos efectos, se entenderá por:</w:t>
      </w:r>
    </w:p>
    <w:p w:rsidR="00E00344" w:rsidRPr="00025FA5" w:rsidRDefault="00E00344" w:rsidP="00E00344">
      <w:pPr>
        <w:pStyle w:val="Prrafodelista"/>
        <w:shd w:val="clear" w:color="auto" w:fill="FFFFFF" w:themeFill="background1"/>
        <w:spacing w:before="100" w:beforeAutospacing="1" w:after="100" w:afterAutospacing="1"/>
        <w:ind w:left="993"/>
        <w:jc w:val="both"/>
        <w:rPr>
          <w:rFonts w:ascii="Palatino Linotype" w:hAnsi="Palatino Linotype"/>
          <w:i/>
          <w:sz w:val="22"/>
        </w:rPr>
      </w:pPr>
      <w:r w:rsidRPr="00025FA5">
        <w:rPr>
          <w:rFonts w:ascii="Palatino Linotype" w:hAnsi="Palatino Linotype"/>
          <w:b/>
          <w:i/>
          <w:sz w:val="22"/>
        </w:rPr>
        <w:t>I. Idoneidad:</w:t>
      </w:r>
      <w:r w:rsidRPr="00025FA5">
        <w:rPr>
          <w:rFonts w:ascii="Palatino Linotype" w:hAnsi="Palatino Linotype"/>
          <w:i/>
          <w:sz w:val="22"/>
        </w:rPr>
        <w:t xml:space="preserve"> La legitimidad del derecho adoptado como preferente, que sea el adecuado para el logro de un fin constitucionalmente válido o apto para conseguir el fin pretendido;</w:t>
      </w:r>
    </w:p>
    <w:p w:rsidR="00E00344" w:rsidRDefault="00E00344" w:rsidP="00E00344">
      <w:pPr>
        <w:pStyle w:val="Prrafodelista"/>
        <w:shd w:val="clear" w:color="auto" w:fill="FFFFFF" w:themeFill="background1"/>
        <w:spacing w:before="100" w:beforeAutospacing="1" w:after="100" w:afterAutospacing="1"/>
        <w:ind w:left="993"/>
        <w:jc w:val="both"/>
        <w:rPr>
          <w:rFonts w:ascii="Palatino Linotype" w:hAnsi="Palatino Linotype"/>
          <w:i/>
          <w:sz w:val="22"/>
        </w:rPr>
      </w:pPr>
    </w:p>
    <w:p w:rsidR="00E00344" w:rsidRPr="00025FA5" w:rsidRDefault="00E00344" w:rsidP="00E00344">
      <w:pPr>
        <w:pStyle w:val="Prrafodelista"/>
        <w:shd w:val="clear" w:color="auto" w:fill="FFFFFF" w:themeFill="background1"/>
        <w:spacing w:before="100" w:beforeAutospacing="1" w:after="100" w:afterAutospacing="1"/>
        <w:ind w:left="993"/>
        <w:jc w:val="both"/>
        <w:rPr>
          <w:rFonts w:ascii="Palatino Linotype" w:hAnsi="Palatino Linotype"/>
          <w:b/>
          <w:i/>
          <w:sz w:val="22"/>
        </w:rPr>
      </w:pPr>
      <w:r w:rsidRPr="00025FA5">
        <w:rPr>
          <w:rFonts w:ascii="Palatino Linotype" w:hAnsi="Palatino Linotype"/>
          <w:i/>
          <w:sz w:val="22"/>
        </w:rPr>
        <w:t xml:space="preserve"> </w:t>
      </w:r>
      <w:r w:rsidRPr="00025FA5">
        <w:rPr>
          <w:rFonts w:ascii="Palatino Linotype" w:hAnsi="Palatino Linotype"/>
          <w:b/>
          <w:i/>
          <w:sz w:val="22"/>
        </w:rPr>
        <w:t>II. Necesidad:</w:t>
      </w:r>
      <w:r w:rsidRPr="00025FA5">
        <w:rPr>
          <w:rFonts w:ascii="Palatino Linotype" w:hAnsi="Palatino Linotype"/>
          <w:i/>
          <w:sz w:val="22"/>
        </w:rPr>
        <w:t xml:space="preserve"> La falta de un medio alternativo menos lesivo a la apertura de la información, para satisfacer el interés público, y </w:t>
      </w:r>
    </w:p>
    <w:p w:rsidR="00E00344" w:rsidRDefault="00E00344" w:rsidP="00E00344">
      <w:pPr>
        <w:pStyle w:val="Prrafodelista"/>
        <w:shd w:val="clear" w:color="auto" w:fill="FFFFFF" w:themeFill="background1"/>
        <w:spacing w:before="100" w:beforeAutospacing="1" w:after="100" w:afterAutospacing="1"/>
        <w:ind w:left="993"/>
        <w:jc w:val="both"/>
        <w:rPr>
          <w:rFonts w:ascii="Palatino Linotype" w:hAnsi="Palatino Linotype"/>
          <w:i/>
          <w:sz w:val="22"/>
        </w:rPr>
      </w:pPr>
    </w:p>
    <w:p w:rsidR="00E00344" w:rsidRPr="00D8011C" w:rsidRDefault="00E00344" w:rsidP="00E00344">
      <w:pPr>
        <w:pStyle w:val="Prrafodelista"/>
        <w:shd w:val="clear" w:color="auto" w:fill="FFFFFF" w:themeFill="background1"/>
        <w:spacing w:before="100" w:beforeAutospacing="1" w:after="100" w:afterAutospacing="1"/>
        <w:ind w:left="993"/>
        <w:jc w:val="both"/>
        <w:rPr>
          <w:rFonts w:ascii="Palatino Linotype" w:hAnsi="Palatino Linotype"/>
          <w:b/>
          <w:i/>
          <w:sz w:val="22"/>
        </w:rPr>
      </w:pPr>
      <w:r w:rsidRPr="00025FA5">
        <w:rPr>
          <w:rFonts w:ascii="Palatino Linotype" w:hAnsi="Palatino Linotype"/>
          <w:b/>
          <w:i/>
          <w:sz w:val="22"/>
        </w:rPr>
        <w:t>III. Proporcionalidad:</w:t>
      </w:r>
      <w:r w:rsidRPr="00025FA5">
        <w:rPr>
          <w:rFonts w:ascii="Palatino Linotype" w:hAnsi="Palatino Linotype"/>
          <w:i/>
          <w:sz w:val="22"/>
        </w:rPr>
        <w:t xml:space="preserve"> El equilibrio entre perjuicio y beneficio a favor del interés público, a fin de que la decisión tomada represente un beneficio mayor al perjuicio que podría causar a la población.</w:t>
      </w:r>
    </w:p>
    <w:p w:rsidR="00E00344" w:rsidRPr="00A65B2F" w:rsidRDefault="00E00344" w:rsidP="00E00344">
      <w:pPr>
        <w:shd w:val="clear" w:color="auto" w:fill="FFFFFF" w:themeFill="background1"/>
        <w:spacing w:before="100" w:beforeAutospacing="1" w:after="100" w:afterAutospacing="1" w:line="360" w:lineRule="auto"/>
        <w:jc w:val="both"/>
        <w:rPr>
          <w:rFonts w:ascii="Palatino Linotype" w:hAnsi="Palatino Linotype"/>
          <w:b/>
          <w:i/>
        </w:rPr>
      </w:pPr>
      <w:r>
        <w:rPr>
          <w:rFonts w:ascii="Palatino Linotype" w:hAnsi="Palatino Linotype" w:cs="Arial"/>
        </w:rPr>
        <w:lastRenderedPageBreak/>
        <w:t>Ahora bien, utilizando lo precisado en la parte inicial de este apartado, e</w:t>
      </w:r>
      <w:r w:rsidRPr="00CD060A">
        <w:rPr>
          <w:rFonts w:ascii="Palatino Linotype" w:hAnsi="Palatino Linotype" w:cs="Arial"/>
        </w:rPr>
        <w:t>l contenido de ciertos derechos fundamentales no puede ser absoluto, y la colisión entre derechos fundamentales no puede resolverse apelando a r</w:t>
      </w:r>
      <w:r>
        <w:rPr>
          <w:rFonts w:ascii="Palatino Linotype" w:hAnsi="Palatino Linotype" w:cs="Arial"/>
        </w:rPr>
        <w:t>eglas de prioridad entre normas,</w:t>
      </w:r>
      <w:r w:rsidRPr="00CD060A">
        <w:rPr>
          <w:rFonts w:ascii="Palatino Linotype" w:hAnsi="Palatino Linotype" w:cs="Arial"/>
        </w:rPr>
        <w:t xml:space="preserve"> s</w:t>
      </w:r>
      <w:r w:rsidRPr="00E0361A">
        <w:rPr>
          <w:rFonts w:ascii="Palatino Linotype" w:hAnsi="Palatino Linotype" w:cs="Arial"/>
          <w:b/>
          <w:i/>
        </w:rPr>
        <w:t>ino mediante una ponderación que determine el derecho que ha de prevalecer</w:t>
      </w:r>
      <w:r w:rsidR="00751109">
        <w:rPr>
          <w:rFonts w:ascii="Palatino Linotype" w:hAnsi="Palatino Linotype" w:cs="Arial"/>
        </w:rPr>
        <w:t xml:space="preserve"> </w:t>
      </w:r>
      <w:r w:rsidRPr="00CD060A">
        <w:rPr>
          <w:rFonts w:ascii="Palatino Linotype" w:hAnsi="Palatino Linotype" w:cs="Arial"/>
        </w:rPr>
        <w:t xml:space="preserve">en el </w:t>
      </w:r>
      <w:r w:rsidR="00751109" w:rsidRPr="00CD060A">
        <w:rPr>
          <w:rFonts w:ascii="Palatino Linotype" w:hAnsi="Palatino Linotype" w:cs="Arial"/>
        </w:rPr>
        <w:t xml:space="preserve">caso </w:t>
      </w:r>
      <w:r w:rsidR="004466FF" w:rsidRPr="00CD060A">
        <w:rPr>
          <w:rFonts w:ascii="Palatino Linotype" w:hAnsi="Palatino Linotype" w:cs="Arial"/>
        </w:rPr>
        <w:t>concreto</w:t>
      </w:r>
      <w:r w:rsidR="004466FF">
        <w:rPr>
          <w:rFonts w:ascii="Palatino Linotype" w:hAnsi="Palatino Linotype" w:cs="Arial"/>
        </w:rPr>
        <w:t xml:space="preserve">, </w:t>
      </w:r>
      <w:r w:rsidR="008A061C">
        <w:rPr>
          <w:rFonts w:ascii="Palatino Linotype" w:hAnsi="Palatino Linotype" w:cs="Arial"/>
        </w:rPr>
        <w:t>esto conforme la</w:t>
      </w:r>
      <w:r>
        <w:rPr>
          <w:rFonts w:ascii="Palatino Linotype" w:hAnsi="Palatino Linotype" w:cs="Arial"/>
        </w:rPr>
        <w:t xml:space="preserve"> doctrina de</w:t>
      </w:r>
      <w:r w:rsidRPr="00353D63">
        <w:rPr>
          <w:rFonts w:ascii="Palatino Linotype" w:hAnsi="Palatino Linotype"/>
          <w:b/>
        </w:rPr>
        <w:t xml:space="preserve"> Riccard</w:t>
      </w:r>
      <w:r>
        <w:rPr>
          <w:rFonts w:ascii="Palatino Linotype" w:hAnsi="Palatino Linotype"/>
          <w:b/>
        </w:rPr>
        <w:t>na</w:t>
      </w:r>
      <w:r w:rsidRPr="00353D63">
        <w:rPr>
          <w:rFonts w:ascii="Palatino Linotype" w:hAnsi="Palatino Linotype"/>
          <w:b/>
        </w:rPr>
        <w:t>o</w:t>
      </w:r>
      <w:r>
        <w:rPr>
          <w:rFonts w:ascii="Palatino Linotype" w:hAnsi="Palatino Linotype"/>
          <w:b/>
        </w:rPr>
        <w:t xml:space="preserve"> Guastini al señalar </w:t>
      </w:r>
      <w:r w:rsidR="008A061C">
        <w:rPr>
          <w:rFonts w:ascii="Palatino Linotype" w:hAnsi="Palatino Linotype"/>
          <w:b/>
        </w:rPr>
        <w:t>que</w:t>
      </w:r>
      <w:r w:rsidR="008A061C" w:rsidRPr="00353D63">
        <w:rPr>
          <w:rFonts w:ascii="Palatino Linotype" w:hAnsi="Palatino Linotype"/>
          <w:b/>
        </w:rPr>
        <w:t xml:space="preserve"> “</w:t>
      </w:r>
      <w:r w:rsidRPr="00353D63">
        <w:rPr>
          <w:rFonts w:ascii="Palatino Linotype" w:hAnsi="Palatino Linotype"/>
          <w:i/>
        </w:rPr>
        <w:t>La ponderación, por tanto, no es una “conciliación</w:t>
      </w:r>
      <w:r w:rsidRPr="00353D63">
        <w:rPr>
          <w:rFonts w:ascii="Palatino Linotype" w:hAnsi="Palatino Linotype"/>
        </w:rPr>
        <w:t>”. No consiste en “</w:t>
      </w:r>
      <w:r w:rsidRPr="00353D63">
        <w:rPr>
          <w:rFonts w:ascii="Palatino Linotype" w:hAnsi="Palatino Linotype"/>
          <w:i/>
        </w:rPr>
        <w:t>poner de acuerdo</w:t>
      </w:r>
      <w:r w:rsidRPr="00353D63">
        <w:rPr>
          <w:rFonts w:ascii="Palatino Linotype" w:hAnsi="Palatino Linotype"/>
        </w:rPr>
        <w:t xml:space="preserve">” los dos principios en conflicto, o en encontrar un punto de “equilibrio” entre ellos. No consiste en la aplicación o en el sacrificio parcial de dos principios. </w:t>
      </w:r>
      <w:r w:rsidRPr="00353D63">
        <w:rPr>
          <w:rFonts w:ascii="Palatino Linotype" w:hAnsi="Palatino Linotype"/>
          <w:b/>
          <w:i/>
        </w:rPr>
        <w:t xml:space="preserve">Uno de los dos principios es aplicado, el otro es ciertamente </w:t>
      </w:r>
      <w:r w:rsidRPr="00A65B2F">
        <w:rPr>
          <w:rFonts w:ascii="Palatino Linotype" w:hAnsi="Palatino Linotype"/>
          <w:b/>
          <w:i/>
        </w:rPr>
        <w:t>acantonado.”</w:t>
      </w:r>
      <w:r w:rsidRPr="00A65B2F">
        <w:rPr>
          <w:rStyle w:val="Refdenotaalpie"/>
          <w:rFonts w:ascii="Palatino Linotype" w:hAnsi="Palatino Linotype" w:cs="Arial"/>
        </w:rPr>
        <w:t xml:space="preserve"> </w:t>
      </w:r>
      <w:r w:rsidRPr="00A65B2F">
        <w:rPr>
          <w:rStyle w:val="Refdenotaalpie"/>
          <w:rFonts w:ascii="Palatino Linotype" w:hAnsi="Palatino Linotype" w:cs="Arial"/>
        </w:rPr>
        <w:footnoteReference w:id="4"/>
      </w:r>
    </w:p>
    <w:p w:rsidR="00E00344" w:rsidRPr="00751109" w:rsidRDefault="00E00344" w:rsidP="00E00344">
      <w:pPr>
        <w:shd w:val="clear" w:color="auto" w:fill="FFFFFF" w:themeFill="background1"/>
        <w:spacing w:before="100" w:beforeAutospacing="1" w:after="100" w:afterAutospacing="1" w:line="360" w:lineRule="auto"/>
        <w:jc w:val="both"/>
        <w:rPr>
          <w:rFonts w:ascii="Palatino Linotype" w:hAnsi="Palatino Linotype"/>
        </w:rPr>
      </w:pPr>
      <w:r w:rsidRPr="00751109">
        <w:rPr>
          <w:rFonts w:ascii="Palatino Linotype" w:hAnsi="Palatino Linotype"/>
        </w:rPr>
        <w:t xml:space="preserve">En cuanto a la metodología de ponderación de derechos, es necesario citar el siguiente criterio del Poder Judicial de la Federación, en el que se dispone lo siguiente: </w:t>
      </w:r>
    </w:p>
    <w:p w:rsidR="00E00344" w:rsidRPr="003557BE" w:rsidRDefault="00E00344" w:rsidP="00492577">
      <w:pPr>
        <w:shd w:val="clear" w:color="auto" w:fill="FFFFFF" w:themeFill="background1"/>
        <w:ind w:left="993" w:right="758"/>
        <w:jc w:val="both"/>
        <w:rPr>
          <w:i/>
        </w:rPr>
      </w:pPr>
      <w:r w:rsidRPr="003557BE">
        <w:rPr>
          <w:i/>
        </w:rPr>
        <w:t xml:space="preserve">Época Novena Época  </w:t>
      </w:r>
    </w:p>
    <w:p w:rsidR="00E00344" w:rsidRPr="003557BE" w:rsidRDefault="00E00344" w:rsidP="00492577">
      <w:pPr>
        <w:shd w:val="clear" w:color="auto" w:fill="FFFFFF" w:themeFill="background1"/>
        <w:ind w:left="993" w:right="758"/>
        <w:jc w:val="both"/>
        <w:rPr>
          <w:i/>
        </w:rPr>
      </w:pPr>
      <w:r w:rsidRPr="003557BE">
        <w:rPr>
          <w:i/>
        </w:rPr>
        <w:t xml:space="preserve">Registro 174338 </w:t>
      </w:r>
    </w:p>
    <w:p w:rsidR="00E00344" w:rsidRPr="003557BE" w:rsidRDefault="00E00344" w:rsidP="00492577">
      <w:pPr>
        <w:shd w:val="clear" w:color="auto" w:fill="FFFFFF" w:themeFill="background1"/>
        <w:ind w:left="993" w:right="758"/>
        <w:jc w:val="both"/>
        <w:rPr>
          <w:i/>
        </w:rPr>
      </w:pPr>
      <w:r w:rsidRPr="003557BE">
        <w:rPr>
          <w:i/>
        </w:rPr>
        <w:t>Instancia Tribunales Colegiados de Circuito</w:t>
      </w:r>
    </w:p>
    <w:p w:rsidR="00E00344" w:rsidRPr="003557BE" w:rsidRDefault="00E00344" w:rsidP="00492577">
      <w:pPr>
        <w:shd w:val="clear" w:color="auto" w:fill="FFFFFF" w:themeFill="background1"/>
        <w:ind w:left="993" w:right="758"/>
        <w:jc w:val="both"/>
        <w:rPr>
          <w:i/>
        </w:rPr>
      </w:pPr>
      <w:r w:rsidRPr="003557BE">
        <w:rPr>
          <w:i/>
        </w:rPr>
        <w:t xml:space="preserve"> Tipo de Tesis: Aislada </w:t>
      </w:r>
    </w:p>
    <w:p w:rsidR="00E00344" w:rsidRPr="003557BE" w:rsidRDefault="00E00344" w:rsidP="00492577">
      <w:pPr>
        <w:shd w:val="clear" w:color="auto" w:fill="FFFFFF" w:themeFill="background1"/>
        <w:ind w:left="993" w:right="758"/>
        <w:jc w:val="both"/>
        <w:rPr>
          <w:i/>
        </w:rPr>
      </w:pPr>
      <w:r w:rsidRPr="003557BE">
        <w:rPr>
          <w:i/>
        </w:rPr>
        <w:t xml:space="preserve">Fuente Semanario Judicial de la Federación y su Gaceta </w:t>
      </w:r>
    </w:p>
    <w:p w:rsidR="00E00344" w:rsidRPr="003557BE" w:rsidRDefault="00E00344" w:rsidP="00492577">
      <w:pPr>
        <w:shd w:val="clear" w:color="auto" w:fill="FFFFFF" w:themeFill="background1"/>
        <w:ind w:left="993" w:right="758"/>
        <w:jc w:val="both"/>
        <w:rPr>
          <w:rFonts w:ascii="Palatino Linotype" w:hAnsi="Palatino Linotype"/>
          <w:b/>
          <w:i/>
          <w:sz w:val="22"/>
        </w:rPr>
      </w:pPr>
      <w:r w:rsidRPr="003557BE">
        <w:rPr>
          <w:i/>
        </w:rPr>
        <w:t>Tomo XXIV. Agosto</w:t>
      </w:r>
    </w:p>
    <w:p w:rsidR="00E00344" w:rsidRDefault="00E00344" w:rsidP="00492577">
      <w:pPr>
        <w:shd w:val="clear" w:color="auto" w:fill="FFFFFF" w:themeFill="background1"/>
        <w:spacing w:before="100" w:beforeAutospacing="1" w:after="100" w:afterAutospacing="1"/>
        <w:ind w:left="993" w:right="758"/>
        <w:jc w:val="both"/>
        <w:rPr>
          <w:rFonts w:ascii="Palatino Linotype" w:hAnsi="Palatino Linotype"/>
          <w:i/>
          <w:sz w:val="22"/>
        </w:rPr>
      </w:pPr>
      <w:r w:rsidRPr="003557BE">
        <w:rPr>
          <w:rFonts w:ascii="Palatino Linotype" w:hAnsi="Palatino Linotype"/>
          <w:i/>
          <w:sz w:val="22"/>
        </w:rPr>
        <w:t xml:space="preserve">SUSPENSIÓN EN EL AMPARO. CONFORME A LA TEORÍA DE PONDERACIÓN DE PRINCIPIOS DEBE NEGARSE SI EL INTERÉS SOCIAL CONSTITUCIONALMENTE TUTELADO ES PREFERENTE AL DEL PARTICULAR. </w:t>
      </w:r>
    </w:p>
    <w:p w:rsidR="00E00344" w:rsidRPr="00081C18" w:rsidRDefault="00E00344" w:rsidP="00492577">
      <w:pPr>
        <w:shd w:val="clear" w:color="auto" w:fill="FFFFFF" w:themeFill="background1"/>
        <w:spacing w:before="100" w:beforeAutospacing="1" w:after="100" w:afterAutospacing="1"/>
        <w:ind w:left="993" w:right="758"/>
        <w:jc w:val="both"/>
        <w:rPr>
          <w:rFonts w:ascii="Palatino Linotype" w:hAnsi="Palatino Linotype"/>
          <w:b/>
          <w:i/>
          <w:sz w:val="22"/>
        </w:rPr>
      </w:pPr>
      <w:r w:rsidRPr="003557BE">
        <w:rPr>
          <w:rFonts w:ascii="Palatino Linotype" w:hAnsi="Palatino Linotype"/>
          <w:b/>
          <w:i/>
          <w:sz w:val="22"/>
        </w:rPr>
        <w:t xml:space="preserve">Cuando dos derechos fundamentales entran en colisión, se debe resolver el problema atendiendo a las características y naturaleza del caso concreto, conforme al criterio de proporcionalidad, ponderando los </w:t>
      </w:r>
      <w:r w:rsidRPr="003557BE">
        <w:rPr>
          <w:rFonts w:ascii="Palatino Linotype" w:hAnsi="Palatino Linotype"/>
          <w:b/>
          <w:i/>
          <w:sz w:val="22"/>
        </w:rPr>
        <w:lastRenderedPageBreak/>
        <w:t>elementos o subprincipio</w:t>
      </w:r>
      <w:r w:rsidRPr="003557BE">
        <w:rPr>
          <w:rFonts w:ascii="Palatino Linotype" w:hAnsi="Palatino Linotype"/>
          <w:i/>
          <w:sz w:val="22"/>
        </w:rPr>
        <w:t xml:space="preserve">s siguientes: a) </w:t>
      </w:r>
      <w:r w:rsidRPr="003557BE">
        <w:rPr>
          <w:rFonts w:ascii="Palatino Linotype" w:hAnsi="Palatino Linotype"/>
          <w:b/>
          <w:i/>
          <w:sz w:val="22"/>
          <w:u w:val="single"/>
        </w:rPr>
        <w:t>idoneidad,</w:t>
      </w:r>
      <w:r w:rsidRPr="003557BE">
        <w:rPr>
          <w:rFonts w:ascii="Palatino Linotype" w:hAnsi="Palatino Linotype"/>
          <w:i/>
          <w:sz w:val="22"/>
        </w:rPr>
        <w:t xml:space="preserve"> la cual es la legitimidad constitucional del principio adoptado como preferente, por resultar ser el adecuado para el logro de un fin constitucionalmente válido o apto para conseguir el objetivo pretendido; b) </w:t>
      </w:r>
      <w:r w:rsidRPr="003557BE">
        <w:rPr>
          <w:rFonts w:ascii="Palatino Linotype" w:hAnsi="Palatino Linotype"/>
          <w:b/>
          <w:i/>
          <w:sz w:val="22"/>
          <w:u w:val="single"/>
        </w:rPr>
        <w:t>necesidad,</w:t>
      </w:r>
      <w:r w:rsidRPr="003557BE">
        <w:rPr>
          <w:rFonts w:ascii="Palatino Linotype" w:hAnsi="Palatino Linotype"/>
          <w:i/>
          <w:sz w:val="22"/>
        </w:rPr>
        <w:t xml:space="preserve"> consistente en que no exista otro medio menos limitativo para satisfacer el fin del interés público y que sacrifique, en menor medida, los principios constitucionales afectados por el uso de esos medios; o sea, que resulte imprescindible la restricción, porque no exista un medio menos oneroso, en términos del sacrificio de otros principios constitucionales, para alcanzar el fin deseado y que afecten en menor grado los derechos fundamentales de los implicados; y c</w:t>
      </w:r>
      <w:r w:rsidRPr="003557BE">
        <w:rPr>
          <w:rFonts w:ascii="Palatino Linotype" w:hAnsi="Palatino Linotype"/>
          <w:b/>
          <w:i/>
          <w:sz w:val="22"/>
          <w:u w:val="single"/>
        </w:rPr>
        <w:t>) el mandato de proporcionalidad</w:t>
      </w:r>
      <w:r w:rsidRPr="003557BE">
        <w:rPr>
          <w:rFonts w:ascii="Palatino Linotype" w:hAnsi="Palatino Linotype"/>
          <w:i/>
          <w:sz w:val="22"/>
        </w:rPr>
        <w:t xml:space="preserve"> entre medios y fines implica que al elegir entre un perjuicio y un beneficio a favor de dos bienes tutelados, el principio satisfecho o que resulta privilegiado lo sea en mayor proporción que el sacrificado. Esto es que no se renuncie o sacrifiquen valores y principios con mayor peso o medida a aquel que se desea satisfacer. Así, el derecho o principio que debe prevalecer, en el caso, es aquel que optimice los intereses en conflicto y, por ende, privilegiándose el que resulte indispensable y que conlleve a un mayor beneficio o cause un menor daño. Consecuentemente, tratándose de la suspensión debe negarse dicha medida cautelar cuando el interés social constitucionalmente tutelado es preferente al del particular, ya que el derecho o principio a primar debe ser aquel que cause un menor daño y el que resulta indispensable privilegiarse, o sea, el que evidentemente conlleve a un mayor beneficio.</w:t>
      </w:r>
      <w:r w:rsidR="00607C1A">
        <w:rPr>
          <w:rFonts w:ascii="Palatino Linotype" w:hAnsi="Palatino Linotype"/>
          <w:i/>
          <w:sz w:val="22"/>
        </w:rPr>
        <w:t>” (Sic)</w:t>
      </w:r>
    </w:p>
    <w:p w:rsidR="00E00344" w:rsidRPr="00A65B2F" w:rsidRDefault="00E00344" w:rsidP="00E00344">
      <w:pPr>
        <w:shd w:val="clear" w:color="auto" w:fill="FFFFFF" w:themeFill="background1"/>
        <w:spacing w:before="100" w:beforeAutospacing="1" w:after="100" w:afterAutospacing="1" w:line="360" w:lineRule="auto"/>
        <w:jc w:val="both"/>
        <w:rPr>
          <w:rFonts w:ascii="Palatino Linotype" w:hAnsi="Palatino Linotype"/>
        </w:rPr>
      </w:pPr>
      <w:r>
        <w:rPr>
          <w:rFonts w:ascii="Palatino Linotype" w:hAnsi="Palatino Linotype"/>
        </w:rPr>
        <w:t>De lo que se desprende que,</w:t>
      </w:r>
      <w:r w:rsidRPr="00A86435">
        <w:rPr>
          <w:rFonts w:ascii="Palatino Linotype" w:hAnsi="Palatino Linotype"/>
        </w:rPr>
        <w:t xml:space="preserve"> cuando dos derechos fundamentales entran en colisión debe re</w:t>
      </w:r>
      <w:r>
        <w:rPr>
          <w:rFonts w:ascii="Palatino Linotype" w:hAnsi="Palatino Linotype"/>
        </w:rPr>
        <w:t>solverse el problema atendiendo</w:t>
      </w:r>
      <w:r w:rsidRPr="00A86435">
        <w:rPr>
          <w:rFonts w:ascii="Palatino Linotype" w:hAnsi="Palatino Linotype"/>
        </w:rPr>
        <w:t xml:space="preserve"> a las características y naturaleza del caso concreto, conforme al criteri</w:t>
      </w:r>
      <w:r>
        <w:rPr>
          <w:rFonts w:ascii="Palatino Linotype" w:hAnsi="Palatino Linotype"/>
        </w:rPr>
        <w:t>o de</w:t>
      </w:r>
      <w:r w:rsidRPr="001117BD">
        <w:rPr>
          <w:rFonts w:ascii="Palatino Linotype" w:hAnsi="Palatino Linotype"/>
          <w:b/>
          <w:u w:val="single"/>
        </w:rPr>
        <w:t xml:space="preserve"> proporcionalidad, ponderando los elementos o subprincipios </w:t>
      </w:r>
      <w:r w:rsidRPr="00A65B2F">
        <w:rPr>
          <w:rFonts w:ascii="Palatino Linotype" w:hAnsi="Palatino Linotype"/>
          <w:b/>
          <w:u w:val="single"/>
        </w:rPr>
        <w:t>siguientes: a) Idoneidad. b) necesidad y c) proporcionalidad:</w:t>
      </w:r>
    </w:p>
    <w:p w:rsidR="00E00344" w:rsidRPr="00751109" w:rsidRDefault="00E00344" w:rsidP="00E00344">
      <w:pPr>
        <w:pStyle w:val="Prrafodelista"/>
        <w:numPr>
          <w:ilvl w:val="0"/>
          <w:numId w:val="17"/>
        </w:numPr>
        <w:shd w:val="clear" w:color="auto" w:fill="FFFFFF" w:themeFill="background1"/>
        <w:spacing w:before="100" w:beforeAutospacing="1" w:after="100" w:afterAutospacing="1"/>
        <w:jc w:val="both"/>
        <w:rPr>
          <w:rFonts w:ascii="Palatino Linotype" w:hAnsi="Palatino Linotype" w:cs="Arial"/>
        </w:rPr>
      </w:pPr>
      <w:r w:rsidRPr="00751109">
        <w:rPr>
          <w:rFonts w:ascii="Palatino Linotype" w:hAnsi="Palatino Linotype"/>
        </w:rPr>
        <w:t xml:space="preserve">Análisis en el caso en concreto de la primera grada de la ponderación: Idoneidad. </w:t>
      </w:r>
    </w:p>
    <w:p w:rsidR="00E00344" w:rsidRDefault="00751109" w:rsidP="00E00344">
      <w:pPr>
        <w:shd w:val="clear" w:color="auto" w:fill="FFFFFF" w:themeFill="background1"/>
        <w:spacing w:before="100" w:beforeAutospacing="1" w:after="100" w:afterAutospacing="1" w:line="360" w:lineRule="auto"/>
        <w:jc w:val="both"/>
        <w:rPr>
          <w:rFonts w:ascii="Palatino Linotype" w:hAnsi="Palatino Linotype"/>
        </w:rPr>
      </w:pPr>
      <w:r>
        <w:rPr>
          <w:rFonts w:ascii="Palatino Linotype" w:hAnsi="Palatino Linotype"/>
        </w:rPr>
        <w:t xml:space="preserve">Cabe recordar que, </w:t>
      </w:r>
      <w:r w:rsidR="00E00344" w:rsidRPr="00A65B2F">
        <w:rPr>
          <w:rFonts w:ascii="Palatino Linotype" w:hAnsi="Palatino Linotype"/>
        </w:rPr>
        <w:t>sin la intensión de entrar en materia de los d</w:t>
      </w:r>
      <w:r w:rsidR="004466FF">
        <w:rPr>
          <w:rFonts w:ascii="Palatino Linotype" w:hAnsi="Palatino Linotype"/>
        </w:rPr>
        <w:t>erechos que involucran el procedimiento</w:t>
      </w:r>
      <w:r w:rsidR="00E00344" w:rsidRPr="00A65B2F">
        <w:rPr>
          <w:rFonts w:ascii="Palatino Linotype" w:hAnsi="Palatino Linotype"/>
        </w:rPr>
        <w:t xml:space="preserve"> que únicamente compete</w:t>
      </w:r>
      <w:r w:rsidR="00E00344" w:rsidRPr="00774B45">
        <w:rPr>
          <w:rFonts w:ascii="Palatino Linotype" w:hAnsi="Palatino Linotype"/>
        </w:rPr>
        <w:t xml:space="preserve"> a </w:t>
      </w:r>
      <w:r w:rsidR="004466FF">
        <w:rPr>
          <w:rFonts w:ascii="Palatino Linotype" w:hAnsi="Palatino Linotype"/>
        </w:rPr>
        <w:t xml:space="preserve">la </w:t>
      </w:r>
      <w:r w:rsidR="004466FF" w:rsidRPr="00571904">
        <w:rPr>
          <w:rFonts w:ascii="Palatino Linotype" w:eastAsia="Cambria" w:hAnsi="Palatino Linotype"/>
          <w:lang w:eastAsia="en-US"/>
        </w:rPr>
        <w:t>Comisión</w:t>
      </w:r>
      <w:r w:rsidR="004466FF">
        <w:rPr>
          <w:rFonts w:ascii="Palatino Linotype" w:eastAsia="Cambria" w:hAnsi="Palatino Linotype"/>
          <w:lang w:eastAsia="en-US"/>
        </w:rPr>
        <w:t xml:space="preserve"> de Límites del Gobierno d</w:t>
      </w:r>
      <w:r w:rsidR="004466FF" w:rsidRPr="00571904">
        <w:rPr>
          <w:rFonts w:ascii="Palatino Linotype" w:eastAsia="Cambria" w:hAnsi="Palatino Linotype"/>
          <w:lang w:eastAsia="en-US"/>
        </w:rPr>
        <w:t>el Estado</w:t>
      </w:r>
      <w:r w:rsidR="004466FF">
        <w:rPr>
          <w:rFonts w:ascii="Palatino Linotype" w:eastAsia="Cambria" w:hAnsi="Palatino Linotype"/>
          <w:lang w:eastAsia="en-US"/>
        </w:rPr>
        <w:t xml:space="preserve"> d</w:t>
      </w:r>
      <w:r w:rsidR="004466FF" w:rsidRPr="00571904">
        <w:rPr>
          <w:rFonts w:ascii="Palatino Linotype" w:eastAsia="Cambria" w:hAnsi="Palatino Linotype"/>
          <w:lang w:eastAsia="en-US"/>
        </w:rPr>
        <w:t>e México</w:t>
      </w:r>
      <w:r w:rsidR="00E00344" w:rsidRPr="00774B45">
        <w:rPr>
          <w:rFonts w:ascii="Palatino Linotype" w:hAnsi="Palatino Linotype"/>
        </w:rPr>
        <w:t>, esta autoridad se abocara</w:t>
      </w:r>
      <w:r>
        <w:rPr>
          <w:rFonts w:ascii="Palatino Linotype" w:hAnsi="Palatino Linotype"/>
        </w:rPr>
        <w:t xml:space="preserve"> a la publicidad del </w:t>
      </w:r>
      <w:r w:rsidR="00B67363">
        <w:rPr>
          <w:rFonts w:ascii="Palatino Linotype" w:hAnsi="Palatino Linotype"/>
        </w:rPr>
        <w:lastRenderedPageBreak/>
        <w:t>expediente</w:t>
      </w:r>
      <w:r w:rsidR="00BC3A0D">
        <w:rPr>
          <w:rFonts w:ascii="Palatino Linotype" w:hAnsi="Palatino Linotype"/>
        </w:rPr>
        <w:t xml:space="preserve"> y anexos</w:t>
      </w:r>
      <w:r w:rsidR="00B67363">
        <w:rPr>
          <w:rFonts w:ascii="Palatino Linotype" w:hAnsi="Palatino Linotype"/>
        </w:rPr>
        <w:t xml:space="preserve"> </w:t>
      </w:r>
      <w:r w:rsidR="00B67363" w:rsidRPr="00774B45">
        <w:rPr>
          <w:rFonts w:ascii="Palatino Linotype" w:hAnsi="Palatino Linotype"/>
        </w:rPr>
        <w:t>por</w:t>
      </w:r>
      <w:r w:rsidR="00E00344" w:rsidRPr="00774B45">
        <w:rPr>
          <w:rFonts w:ascii="Palatino Linotype" w:hAnsi="Palatino Linotype"/>
        </w:rPr>
        <w:t xml:space="preserve"> motivo de la existencia de un interés social que motiva y obliga hacerla del dominio público.</w:t>
      </w:r>
    </w:p>
    <w:p w:rsidR="00E00344" w:rsidRDefault="00E00344" w:rsidP="00E00344">
      <w:pPr>
        <w:shd w:val="clear" w:color="auto" w:fill="FFFFFF" w:themeFill="background1"/>
        <w:spacing w:before="100" w:beforeAutospacing="1" w:after="100" w:afterAutospacing="1" w:line="360" w:lineRule="auto"/>
        <w:jc w:val="both"/>
        <w:rPr>
          <w:rFonts w:ascii="Palatino Linotype" w:hAnsi="Palatino Linotype"/>
        </w:rPr>
      </w:pPr>
      <w:r>
        <w:rPr>
          <w:rFonts w:ascii="Palatino Linotype" w:hAnsi="Palatino Linotype"/>
        </w:rPr>
        <w:t>Una vez puntualizado lo anterior, l</w:t>
      </w:r>
      <w:r w:rsidRPr="001C7470">
        <w:rPr>
          <w:rFonts w:ascii="Palatino Linotype" w:hAnsi="Palatino Linotype"/>
        </w:rPr>
        <w:t>a presente solicitud de acceso a la información</w:t>
      </w:r>
      <w:r>
        <w:rPr>
          <w:rFonts w:ascii="Palatino Linotype" w:hAnsi="Palatino Linotype"/>
        </w:rPr>
        <w:t xml:space="preserve"> para este Órgano Garante del Derecho de Acceso a la Información</w:t>
      </w:r>
      <w:r w:rsidRPr="001C7470">
        <w:rPr>
          <w:rFonts w:ascii="Palatino Linotype" w:hAnsi="Palatino Linotype"/>
        </w:rPr>
        <w:t xml:space="preserve"> evidencia el ejercicio del</w:t>
      </w:r>
      <w:r>
        <w:rPr>
          <w:rFonts w:ascii="Palatino Linotype" w:hAnsi="Palatino Linotype"/>
        </w:rPr>
        <w:t xml:space="preserve"> </w:t>
      </w:r>
      <w:r w:rsidRPr="001C7470">
        <w:rPr>
          <w:rFonts w:ascii="Palatino Linotype" w:hAnsi="Palatino Linotype"/>
        </w:rPr>
        <w:t>derec</w:t>
      </w:r>
      <w:r>
        <w:rPr>
          <w:rFonts w:ascii="Palatino Linotype" w:hAnsi="Palatino Linotype"/>
        </w:rPr>
        <w:t xml:space="preserve">ho de acceso a </w:t>
      </w:r>
      <w:r w:rsidR="00B67363">
        <w:rPr>
          <w:rFonts w:ascii="Palatino Linotype" w:hAnsi="Palatino Linotype"/>
        </w:rPr>
        <w:t>la información</w:t>
      </w:r>
      <w:r>
        <w:rPr>
          <w:rFonts w:ascii="Palatino Linotype" w:hAnsi="Palatino Linotype"/>
        </w:rPr>
        <w:t xml:space="preserve">, </w:t>
      </w:r>
      <w:r w:rsidRPr="001C7470">
        <w:rPr>
          <w:rFonts w:ascii="Palatino Linotype" w:hAnsi="Palatino Linotype"/>
        </w:rPr>
        <w:t>en contraposición</w:t>
      </w:r>
      <w:r>
        <w:rPr>
          <w:rFonts w:ascii="Palatino Linotype" w:hAnsi="Palatino Linotype"/>
        </w:rPr>
        <w:t xml:space="preserve"> al derecho de sigilo que deben guardar </w:t>
      </w:r>
      <w:r w:rsidR="00B67363">
        <w:rPr>
          <w:rFonts w:ascii="Palatino Linotype" w:hAnsi="Palatino Linotype"/>
        </w:rPr>
        <w:t>los expediente</w:t>
      </w:r>
      <w:r w:rsidR="004466FF">
        <w:rPr>
          <w:rFonts w:ascii="Palatino Linotype" w:hAnsi="Palatino Linotype"/>
        </w:rPr>
        <w:t>s</w:t>
      </w:r>
      <w:r w:rsidR="00BC3A0D">
        <w:rPr>
          <w:rFonts w:ascii="Palatino Linotype" w:hAnsi="Palatino Linotype"/>
        </w:rPr>
        <w:t xml:space="preserve"> y anexos</w:t>
      </w:r>
      <w:r w:rsidR="00B67363">
        <w:rPr>
          <w:rFonts w:ascii="Palatino Linotype" w:hAnsi="Palatino Linotype"/>
        </w:rPr>
        <w:t xml:space="preserve"> que se generan </w:t>
      </w:r>
      <w:r w:rsidR="004466FF">
        <w:rPr>
          <w:rFonts w:ascii="Palatino Linotype" w:hAnsi="Palatino Linotype"/>
        </w:rPr>
        <w:t xml:space="preserve">a raíz del </w:t>
      </w:r>
      <w:r w:rsidR="004466FF" w:rsidRPr="00821003">
        <w:rPr>
          <w:rFonts w:ascii="Palatino Linotype" w:eastAsia="Cambria" w:hAnsi="Palatino Linotype"/>
          <w:lang w:eastAsia="en-US"/>
        </w:rPr>
        <w:t>procedimiento para la solución de diferendos limítrofes intermunicipales</w:t>
      </w:r>
      <w:r w:rsidR="00B67363">
        <w:rPr>
          <w:rFonts w:ascii="Palatino Linotype" w:hAnsi="Palatino Linotype"/>
        </w:rPr>
        <w:t xml:space="preserve"> </w:t>
      </w:r>
      <w:r w:rsidR="004466FF">
        <w:rPr>
          <w:rFonts w:ascii="Palatino Linotype" w:hAnsi="Palatino Linotype"/>
        </w:rPr>
        <w:t>cuan</w:t>
      </w:r>
      <w:r>
        <w:rPr>
          <w:rFonts w:ascii="Palatino Linotype" w:hAnsi="Palatino Linotype"/>
        </w:rPr>
        <w:t xml:space="preserve">do aún no </w:t>
      </w:r>
      <w:r w:rsidR="004466FF">
        <w:rPr>
          <w:rFonts w:ascii="Palatino Linotype" w:hAnsi="Palatino Linotype"/>
        </w:rPr>
        <w:t>ha quedado firme o no</w:t>
      </w:r>
      <w:r w:rsidR="00B67363">
        <w:rPr>
          <w:rFonts w:ascii="Palatino Linotype" w:hAnsi="Palatino Linotype"/>
        </w:rPr>
        <w:t xml:space="preserve"> haya</w:t>
      </w:r>
      <w:r w:rsidR="004466FF">
        <w:rPr>
          <w:rFonts w:ascii="Palatino Linotype" w:hAnsi="Palatino Linotype"/>
        </w:rPr>
        <w:t xml:space="preserve"> concluido</w:t>
      </w:r>
      <w:r>
        <w:rPr>
          <w:rFonts w:ascii="Palatino Linotype" w:hAnsi="Palatino Linotype"/>
        </w:rPr>
        <w:t xml:space="preserve">. </w:t>
      </w:r>
    </w:p>
    <w:p w:rsidR="00E00344" w:rsidRDefault="00E00344" w:rsidP="00E00344">
      <w:pPr>
        <w:shd w:val="clear" w:color="auto" w:fill="FFFFFF" w:themeFill="background1"/>
        <w:spacing w:before="100" w:beforeAutospacing="1" w:after="100" w:afterAutospacing="1" w:line="360" w:lineRule="auto"/>
        <w:jc w:val="both"/>
        <w:rPr>
          <w:rFonts w:ascii="Palatino Linotype" w:hAnsi="Palatino Linotype"/>
        </w:rPr>
      </w:pPr>
      <w:r w:rsidRPr="00AB6CE6">
        <w:rPr>
          <w:rFonts w:ascii="Palatino Linotype" w:hAnsi="Palatino Linotype"/>
          <w:b/>
        </w:rPr>
        <w:t xml:space="preserve"> </w:t>
      </w:r>
      <w:r w:rsidRPr="00B67363">
        <w:rPr>
          <w:rFonts w:ascii="Palatino Linotype" w:hAnsi="Palatino Linotype"/>
        </w:rPr>
        <w:t xml:space="preserve">Al respecto, ambos derechos se encuentran reconocidos en el plano constitucional, en igualdad de características para los gobernados. </w:t>
      </w:r>
      <w:r w:rsidR="00B67363">
        <w:rPr>
          <w:rFonts w:ascii="Palatino Linotype" w:hAnsi="Palatino Linotype"/>
        </w:rPr>
        <w:t xml:space="preserve">Sin </w:t>
      </w:r>
      <w:r w:rsidR="00B67363" w:rsidRPr="00B67363">
        <w:rPr>
          <w:rFonts w:ascii="Palatino Linotype" w:hAnsi="Palatino Linotype"/>
        </w:rPr>
        <w:t>embargo, en el presente caso, existe una trascendencia social del caso</w:t>
      </w:r>
      <w:r w:rsidRPr="00B67363">
        <w:rPr>
          <w:rFonts w:ascii="Palatino Linotype" w:hAnsi="Palatino Linotype"/>
        </w:rPr>
        <w:t xml:space="preserve"> relacionado con la información </w:t>
      </w:r>
      <w:r w:rsidR="00B67363">
        <w:rPr>
          <w:rFonts w:ascii="Palatino Linotype" w:hAnsi="Palatino Linotype"/>
        </w:rPr>
        <w:t xml:space="preserve">correspondiente al conflicto </w:t>
      </w:r>
      <w:r w:rsidR="00B67363" w:rsidRPr="00AD5905">
        <w:rPr>
          <w:rFonts w:ascii="Palatino Linotype" w:hAnsi="Palatino Linotype"/>
        </w:rPr>
        <w:t>diferendo limítrofe con el municipio de Lerma</w:t>
      </w:r>
      <w:r w:rsidR="00B67363">
        <w:rPr>
          <w:rFonts w:ascii="Palatino Linotype" w:hAnsi="Palatino Linotype"/>
        </w:rPr>
        <w:t>, en</w:t>
      </w:r>
      <w:r>
        <w:rPr>
          <w:rFonts w:ascii="Palatino Linotype" w:hAnsi="Palatino Linotype"/>
        </w:rPr>
        <w:t xml:space="preserve"> atención a los siguientes argumentos: </w:t>
      </w:r>
    </w:p>
    <w:p w:rsidR="00607C1A" w:rsidRDefault="00E00344" w:rsidP="00E00344">
      <w:pPr>
        <w:shd w:val="clear" w:color="auto" w:fill="FFFFFF" w:themeFill="background1"/>
        <w:spacing w:before="100" w:beforeAutospacing="1" w:after="100" w:afterAutospacing="1" w:line="360" w:lineRule="auto"/>
        <w:jc w:val="both"/>
        <w:rPr>
          <w:rFonts w:ascii="Palatino Linotype" w:hAnsi="Palatino Linotype"/>
        </w:rPr>
      </w:pPr>
      <w:r w:rsidRPr="00607C1A">
        <w:rPr>
          <w:rFonts w:ascii="Palatino Linotype" w:hAnsi="Palatino Linotype"/>
        </w:rPr>
        <w:t>Primero, e</w:t>
      </w:r>
      <w:r w:rsidR="00B67363" w:rsidRPr="00607C1A">
        <w:rPr>
          <w:rFonts w:ascii="Palatino Linotype" w:hAnsi="Palatino Linotype"/>
        </w:rPr>
        <w:t>s precedente la publicidad del referido expediente</w:t>
      </w:r>
      <w:r w:rsidR="00221250">
        <w:rPr>
          <w:rFonts w:ascii="Palatino Linotype" w:hAnsi="Palatino Linotype"/>
        </w:rPr>
        <w:t xml:space="preserve"> y anexos</w:t>
      </w:r>
      <w:r w:rsidRPr="00607C1A">
        <w:rPr>
          <w:rFonts w:ascii="Palatino Linotype" w:hAnsi="Palatino Linotype"/>
        </w:rPr>
        <w:t xml:space="preserve"> en atención a la proyección pública de las partes</w:t>
      </w:r>
      <w:r w:rsidRPr="008B171B">
        <w:rPr>
          <w:rFonts w:ascii="Palatino Linotype" w:hAnsi="Palatino Linotype"/>
        </w:rPr>
        <w:t xml:space="preserve">, </w:t>
      </w:r>
      <w:r w:rsidR="00607C1A">
        <w:rPr>
          <w:rFonts w:ascii="Palatino Linotype" w:hAnsi="Palatino Linotype"/>
        </w:rPr>
        <w:t>ya que de acuerdo al artículo 115 de la Constitución Política de los Estados Unidos Mexicanos, define al municipio como:</w:t>
      </w:r>
    </w:p>
    <w:p w:rsidR="00607C1A" w:rsidRDefault="00607C1A" w:rsidP="00492577">
      <w:pPr>
        <w:shd w:val="clear" w:color="auto" w:fill="FFFFFF" w:themeFill="background1"/>
        <w:spacing w:before="100" w:beforeAutospacing="1" w:after="100" w:afterAutospacing="1"/>
        <w:ind w:left="993" w:right="616"/>
        <w:jc w:val="both"/>
        <w:rPr>
          <w:rFonts w:ascii="Palatino Linotype" w:hAnsi="Palatino Linotype"/>
          <w:i/>
          <w:sz w:val="22"/>
        </w:rPr>
      </w:pPr>
      <w:r>
        <w:rPr>
          <w:rFonts w:ascii="Palatino Linotype" w:hAnsi="Palatino Linotype"/>
          <w:i/>
          <w:sz w:val="22"/>
        </w:rPr>
        <w:t>“</w:t>
      </w:r>
      <w:r w:rsidRPr="00607C1A">
        <w:rPr>
          <w:rFonts w:ascii="Palatino Linotype" w:hAnsi="Palatino Linotype"/>
          <w:b/>
          <w:i/>
          <w:sz w:val="22"/>
        </w:rPr>
        <w:t>Artículo 115</w:t>
      </w:r>
      <w:r w:rsidRPr="00607C1A">
        <w:rPr>
          <w:rFonts w:ascii="Palatino Linotype" w:hAnsi="Palatino Linotype"/>
          <w:i/>
          <w:sz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607C1A" w:rsidRDefault="00607C1A" w:rsidP="00492577">
      <w:pPr>
        <w:shd w:val="clear" w:color="auto" w:fill="FFFFFF" w:themeFill="background1"/>
        <w:spacing w:before="100" w:beforeAutospacing="1" w:after="100" w:afterAutospacing="1"/>
        <w:ind w:left="993" w:right="616"/>
        <w:jc w:val="both"/>
        <w:rPr>
          <w:rFonts w:ascii="Palatino Linotype" w:hAnsi="Palatino Linotype"/>
          <w:i/>
          <w:sz w:val="22"/>
        </w:rPr>
      </w:pPr>
      <w:r w:rsidRPr="00607C1A">
        <w:rPr>
          <w:rFonts w:ascii="Palatino Linotype" w:hAnsi="Palatino Linotype"/>
          <w:b/>
          <w:i/>
          <w:sz w:val="22"/>
          <w:u w:val="single"/>
        </w:rPr>
        <w:t>I. Cada Municipio será gobernado por un Ayuntamiento de elección popular directa, integrado por un Presidente o Presidenta Municipal y el número de regidurías y sindicaturas que la ley determine, de conformidad con el principio de paridad.</w:t>
      </w:r>
    </w:p>
    <w:p w:rsidR="00607C1A" w:rsidRDefault="00607C1A" w:rsidP="00492577">
      <w:pPr>
        <w:shd w:val="clear" w:color="auto" w:fill="FFFFFF" w:themeFill="background1"/>
        <w:spacing w:before="100" w:beforeAutospacing="1" w:after="100" w:afterAutospacing="1"/>
        <w:ind w:left="993" w:right="616"/>
        <w:jc w:val="both"/>
        <w:rPr>
          <w:rFonts w:ascii="Palatino Linotype" w:hAnsi="Palatino Linotype"/>
          <w:i/>
          <w:sz w:val="22"/>
        </w:rPr>
      </w:pPr>
      <w:r w:rsidRPr="00607C1A">
        <w:rPr>
          <w:rFonts w:ascii="Palatino Linotype" w:hAnsi="Palatino Linotype"/>
          <w:i/>
          <w:sz w:val="22"/>
        </w:rPr>
        <w:lastRenderedPageBreak/>
        <w:t xml:space="preserve"> La competencia que esta Constitución otorga al gobierno municipal se ejercerá por el Ayuntamiento de manera exclusiva y no habrá autoridad intermedia alguna entre éste y el gobierno del Estado. </w:t>
      </w:r>
    </w:p>
    <w:p w:rsidR="00607C1A" w:rsidRDefault="00607C1A" w:rsidP="00492577">
      <w:pPr>
        <w:shd w:val="clear" w:color="auto" w:fill="FFFFFF" w:themeFill="background1"/>
        <w:spacing w:before="100" w:beforeAutospacing="1" w:after="100" w:afterAutospacing="1"/>
        <w:ind w:left="993" w:right="616"/>
        <w:jc w:val="both"/>
        <w:rPr>
          <w:rFonts w:ascii="Palatino Linotype" w:hAnsi="Palatino Linotype"/>
          <w:i/>
          <w:sz w:val="22"/>
        </w:rPr>
      </w:pPr>
      <w:r w:rsidRPr="00607C1A">
        <w:rPr>
          <w:rFonts w:ascii="Palatino Linotype" w:hAnsi="Palatino Linotype"/>
          <w:b/>
          <w:i/>
          <w:sz w:val="22"/>
        </w:rPr>
        <w:t>Las Constituciones de los estados deberán establecer la elección consecutiva para el mismo cargo de presidentes municipales, regidores y síndicos, por un período adicional, siempre y cuando el periodo del mandato de los ayuntamientos no sea superior a tres años</w:t>
      </w:r>
      <w:r w:rsidRPr="00607C1A">
        <w:rPr>
          <w:rFonts w:ascii="Palatino Linotype" w:hAnsi="Palatino Linotype"/>
          <w:i/>
          <w:sz w:val="22"/>
        </w:rPr>
        <w:t xml:space="preserve">. </w:t>
      </w:r>
    </w:p>
    <w:p w:rsidR="00607C1A" w:rsidRDefault="00607C1A" w:rsidP="00492577">
      <w:pPr>
        <w:shd w:val="clear" w:color="auto" w:fill="FFFFFF" w:themeFill="background1"/>
        <w:spacing w:before="100" w:beforeAutospacing="1" w:after="100" w:afterAutospacing="1"/>
        <w:ind w:left="992" w:right="616"/>
        <w:contextualSpacing/>
        <w:jc w:val="both"/>
        <w:rPr>
          <w:rFonts w:ascii="Palatino Linotype" w:hAnsi="Palatino Linotype"/>
          <w:i/>
          <w:sz w:val="22"/>
        </w:rPr>
      </w:pPr>
      <w:r w:rsidRPr="00607C1A">
        <w:rPr>
          <w:rFonts w:ascii="Palatino Linotype" w:hAnsi="Palatino Linotype"/>
          <w:i/>
          <w:sz w:val="22"/>
        </w:rPr>
        <w:t xml:space="preserve">La postulación sólo podrá ser realizada por el mismo partido o por cualquiera de los partidos integrantes de la coalición que lo hubieren postulado, salvo que hayan renunciado o perdido su militancia antes de la mitad de su mandato. </w:t>
      </w:r>
    </w:p>
    <w:p w:rsidR="00607C1A" w:rsidRDefault="00607C1A" w:rsidP="00492577">
      <w:pPr>
        <w:shd w:val="clear" w:color="auto" w:fill="FFFFFF" w:themeFill="background1"/>
        <w:spacing w:before="100" w:beforeAutospacing="1" w:after="100" w:afterAutospacing="1"/>
        <w:ind w:left="992" w:right="616"/>
        <w:contextualSpacing/>
        <w:jc w:val="both"/>
        <w:rPr>
          <w:rFonts w:ascii="Palatino Linotype" w:hAnsi="Palatino Linotype"/>
          <w:i/>
          <w:sz w:val="22"/>
        </w:rPr>
      </w:pPr>
      <w:r>
        <w:rPr>
          <w:rFonts w:ascii="Palatino Linotype" w:hAnsi="Palatino Linotype"/>
          <w:i/>
          <w:sz w:val="22"/>
        </w:rPr>
        <w:t>…</w:t>
      </w:r>
    </w:p>
    <w:p w:rsidR="00607C1A" w:rsidRDefault="00607C1A" w:rsidP="00492577">
      <w:pPr>
        <w:shd w:val="clear" w:color="auto" w:fill="FFFFFF" w:themeFill="background1"/>
        <w:spacing w:before="100" w:beforeAutospacing="1" w:after="100" w:afterAutospacing="1"/>
        <w:ind w:left="992" w:right="616"/>
        <w:contextualSpacing/>
        <w:jc w:val="both"/>
        <w:rPr>
          <w:rFonts w:ascii="Palatino Linotype" w:hAnsi="Palatino Linotype"/>
          <w:i/>
          <w:sz w:val="22"/>
        </w:rPr>
      </w:pPr>
      <w:r w:rsidRPr="00607C1A">
        <w:rPr>
          <w:rFonts w:ascii="Palatino Linotype" w:hAnsi="Palatino Linotype"/>
          <w:i/>
          <w:sz w:val="22"/>
        </w:rPr>
        <w:t xml:space="preserve">II. 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rsidR="00607C1A" w:rsidRDefault="00607C1A" w:rsidP="00492577">
      <w:pPr>
        <w:shd w:val="clear" w:color="auto" w:fill="FFFFFF" w:themeFill="background1"/>
        <w:spacing w:before="100" w:beforeAutospacing="1" w:after="100" w:afterAutospacing="1"/>
        <w:ind w:left="992" w:right="616"/>
        <w:contextualSpacing/>
        <w:jc w:val="both"/>
        <w:rPr>
          <w:rFonts w:ascii="Palatino Linotype" w:hAnsi="Palatino Linotype"/>
          <w:i/>
          <w:sz w:val="22"/>
        </w:rPr>
      </w:pPr>
      <w:r w:rsidRPr="00607C1A">
        <w:rPr>
          <w:rFonts w:ascii="Palatino Linotype" w:hAnsi="Palatino Linotype"/>
          <w:i/>
          <w:sz w:val="22"/>
        </w:rPr>
        <w:t xml:space="preserve">El objeto de las leyes a que se refiere el párrafo anterior será establecer: </w:t>
      </w:r>
    </w:p>
    <w:p w:rsidR="00607C1A" w:rsidRDefault="00607C1A" w:rsidP="00492577">
      <w:pPr>
        <w:shd w:val="clear" w:color="auto" w:fill="FFFFFF" w:themeFill="background1"/>
        <w:spacing w:before="100" w:beforeAutospacing="1" w:after="100" w:afterAutospacing="1"/>
        <w:ind w:left="992" w:right="616"/>
        <w:contextualSpacing/>
        <w:jc w:val="both"/>
        <w:rPr>
          <w:rFonts w:ascii="Palatino Linotype" w:hAnsi="Palatino Linotype"/>
          <w:i/>
          <w:sz w:val="22"/>
        </w:rPr>
      </w:pPr>
      <w:r w:rsidRPr="00607C1A">
        <w:rPr>
          <w:rFonts w:ascii="Palatino Linotype" w:hAnsi="Palatino Linotype"/>
          <w:b/>
          <w:i/>
          <w:sz w:val="22"/>
        </w:rPr>
        <w:t>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r>
        <w:rPr>
          <w:rFonts w:ascii="Palatino Linotype" w:hAnsi="Palatino Linotype"/>
          <w:i/>
          <w:sz w:val="22"/>
        </w:rPr>
        <w:t>…(Sic)</w:t>
      </w:r>
    </w:p>
    <w:p w:rsidR="00492577" w:rsidRDefault="00492577" w:rsidP="00492577">
      <w:pPr>
        <w:shd w:val="clear" w:color="auto" w:fill="FFFFFF" w:themeFill="background1"/>
        <w:spacing w:before="100" w:beforeAutospacing="1" w:after="100" w:afterAutospacing="1" w:line="360" w:lineRule="auto"/>
        <w:contextualSpacing/>
        <w:jc w:val="both"/>
        <w:rPr>
          <w:rFonts w:ascii="Palatino Linotype" w:hAnsi="Palatino Linotype"/>
        </w:rPr>
      </w:pPr>
    </w:p>
    <w:p w:rsidR="00607C1A" w:rsidRDefault="00607C1A" w:rsidP="00492577">
      <w:pPr>
        <w:shd w:val="clear" w:color="auto" w:fill="FFFFFF" w:themeFill="background1"/>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Lo que se robustece con lo señalado por el </w:t>
      </w:r>
      <w:r w:rsidR="00221250">
        <w:rPr>
          <w:rFonts w:ascii="Palatino Linotype" w:hAnsi="Palatino Linotype"/>
        </w:rPr>
        <w:t>artículo</w:t>
      </w:r>
      <w:r>
        <w:rPr>
          <w:rFonts w:ascii="Palatino Linotype" w:hAnsi="Palatino Linotype"/>
        </w:rPr>
        <w:t xml:space="preserve"> 1 de la Ley Municipal del Estado de México, </w:t>
      </w:r>
      <w:r w:rsidR="00492577">
        <w:rPr>
          <w:rFonts w:ascii="Palatino Linotype" w:hAnsi="Palatino Linotype"/>
        </w:rPr>
        <w:t>que señala</w:t>
      </w:r>
      <w:r>
        <w:rPr>
          <w:rFonts w:ascii="Palatino Linotype" w:hAnsi="Palatino Linotype"/>
        </w:rPr>
        <w:t>:</w:t>
      </w:r>
    </w:p>
    <w:p w:rsidR="00492577" w:rsidRDefault="00492577" w:rsidP="00492577">
      <w:pPr>
        <w:shd w:val="clear" w:color="auto" w:fill="FFFFFF" w:themeFill="background1"/>
        <w:spacing w:before="100" w:beforeAutospacing="1" w:after="100" w:afterAutospacing="1" w:line="360" w:lineRule="auto"/>
        <w:contextualSpacing/>
        <w:jc w:val="both"/>
        <w:rPr>
          <w:rFonts w:ascii="Palatino Linotype" w:hAnsi="Palatino Linotype"/>
        </w:rPr>
      </w:pPr>
    </w:p>
    <w:p w:rsidR="00607C1A" w:rsidRDefault="00492577" w:rsidP="00492577">
      <w:pPr>
        <w:shd w:val="clear" w:color="auto" w:fill="FFFFFF" w:themeFill="background1"/>
        <w:spacing w:before="100" w:beforeAutospacing="1" w:after="100" w:afterAutospacing="1"/>
        <w:ind w:left="993" w:right="758"/>
        <w:jc w:val="both"/>
        <w:rPr>
          <w:rFonts w:ascii="Palatino Linotype" w:hAnsi="Palatino Linotype"/>
          <w:i/>
          <w:sz w:val="22"/>
        </w:rPr>
      </w:pPr>
      <w:r>
        <w:rPr>
          <w:rFonts w:ascii="Palatino Linotype" w:hAnsi="Palatino Linotype"/>
          <w:b/>
          <w:i/>
          <w:sz w:val="22"/>
        </w:rPr>
        <w:t>“</w:t>
      </w:r>
      <w:r w:rsidR="00607C1A" w:rsidRPr="00607C1A">
        <w:rPr>
          <w:rFonts w:ascii="Palatino Linotype" w:hAnsi="Palatino Linotype"/>
          <w:b/>
          <w:i/>
          <w:sz w:val="22"/>
        </w:rPr>
        <w:t>Artículo 1.-</w:t>
      </w:r>
      <w:r w:rsidR="00607C1A" w:rsidRPr="00607C1A">
        <w:rPr>
          <w:rFonts w:ascii="Palatino Linotype" w:hAnsi="Palatino Linotype"/>
          <w:i/>
          <w:sz w:val="22"/>
        </w:rPr>
        <w:t xml:space="preserve"> Esta Ley es de interés público y tiene por objeto regular las bases para la integración y organización del territorio, la población, el gobierno y la administración pública municipales. </w:t>
      </w:r>
    </w:p>
    <w:p w:rsidR="00607C1A" w:rsidRPr="00607C1A" w:rsidRDefault="00607C1A" w:rsidP="00492577">
      <w:pPr>
        <w:shd w:val="clear" w:color="auto" w:fill="FFFFFF" w:themeFill="background1"/>
        <w:spacing w:before="100" w:beforeAutospacing="1" w:after="100" w:afterAutospacing="1"/>
        <w:ind w:left="993" w:right="758"/>
        <w:jc w:val="both"/>
        <w:rPr>
          <w:rFonts w:ascii="Palatino Linotype" w:hAnsi="Palatino Linotype"/>
          <w:b/>
          <w:i/>
          <w:sz w:val="22"/>
        </w:rPr>
      </w:pPr>
      <w:r w:rsidRPr="00607C1A">
        <w:rPr>
          <w:rFonts w:ascii="Palatino Linotype" w:hAnsi="Palatino Linotype"/>
          <w:b/>
          <w:i/>
          <w:sz w:val="22"/>
        </w:rPr>
        <w:t xml:space="preserve">El municipio libre es la base de la división territorial y de la organización política del Estado, investido de personalidad jurídica propia, integrado por una comunidad establecida en un territorio, con un gobierno </w:t>
      </w:r>
      <w:r w:rsidRPr="00607C1A">
        <w:rPr>
          <w:rFonts w:ascii="Palatino Linotype" w:hAnsi="Palatino Linotype"/>
          <w:b/>
          <w:i/>
          <w:sz w:val="22"/>
        </w:rPr>
        <w:lastRenderedPageBreak/>
        <w:t>autónomo en su régimen interior y en la administración de su hacienda pública, en términos del Artículo 115 de la Constitución Política de los Estados Unidos Mexicanos.</w:t>
      </w:r>
      <w:r w:rsidR="00492577">
        <w:rPr>
          <w:rFonts w:ascii="Palatino Linotype" w:hAnsi="Palatino Linotype"/>
          <w:b/>
          <w:i/>
          <w:sz w:val="22"/>
        </w:rPr>
        <w:t>” (sic)</w:t>
      </w:r>
    </w:p>
    <w:p w:rsidR="00E00344" w:rsidRPr="008B171B" w:rsidRDefault="00492577" w:rsidP="00E00344">
      <w:pPr>
        <w:shd w:val="clear" w:color="auto" w:fill="FFFFFF" w:themeFill="background1"/>
        <w:spacing w:before="100" w:beforeAutospacing="1" w:after="100" w:afterAutospacing="1" w:line="360" w:lineRule="auto"/>
        <w:jc w:val="both"/>
        <w:rPr>
          <w:rFonts w:ascii="Palatino Linotype" w:hAnsi="Palatino Linotype"/>
        </w:rPr>
      </w:pPr>
      <w:r>
        <w:rPr>
          <w:rFonts w:ascii="Palatino Linotype" w:hAnsi="Palatino Linotype"/>
        </w:rPr>
        <w:t>Por lo que</w:t>
      </w:r>
      <w:r w:rsidR="00E00344" w:rsidRPr="008B171B">
        <w:rPr>
          <w:rFonts w:ascii="Palatino Linotype" w:hAnsi="Palatino Linotype"/>
        </w:rPr>
        <w:t xml:space="preserve"> se precisa la existencia de elementos objetivos que permiten demostrar la relevancia del asunto por</w:t>
      </w:r>
      <w:r>
        <w:rPr>
          <w:rFonts w:ascii="Palatino Linotype" w:hAnsi="Palatino Linotype"/>
        </w:rPr>
        <w:t xml:space="preserve"> virtud de tratarse de municipios que son conocidos por todos, es decir, son entes públicos ya que su esencia es realizar actividades de interés público.</w:t>
      </w:r>
    </w:p>
    <w:p w:rsidR="00E00344" w:rsidRPr="001C7470" w:rsidRDefault="00E00344" w:rsidP="00286D15">
      <w:pPr>
        <w:shd w:val="clear" w:color="auto" w:fill="FFFFFF" w:themeFill="background1"/>
        <w:spacing w:before="100" w:beforeAutospacing="1" w:after="100" w:afterAutospacing="1" w:line="360" w:lineRule="auto"/>
        <w:jc w:val="both"/>
        <w:rPr>
          <w:rFonts w:ascii="Palatino Linotype" w:hAnsi="Palatino Linotype"/>
        </w:rPr>
      </w:pPr>
      <w:r w:rsidRPr="00073A67">
        <w:rPr>
          <w:rFonts w:ascii="Palatino Linotype" w:hAnsi="Palatino Linotype" w:cs="Arial"/>
        </w:rPr>
        <w:t xml:space="preserve">En tal contexto, la única forma que tiene la ciudadanía en general de constatar </w:t>
      </w:r>
      <w:r w:rsidR="00492577">
        <w:rPr>
          <w:rFonts w:ascii="Palatino Linotype" w:hAnsi="Palatino Linotype" w:cs="Arial"/>
        </w:rPr>
        <w:t xml:space="preserve">el buen funcionamiento y actuar de </w:t>
      </w:r>
      <w:r w:rsidR="004466FF">
        <w:rPr>
          <w:rFonts w:ascii="Palatino Linotype" w:hAnsi="Palatino Linotype" w:cs="Arial"/>
        </w:rPr>
        <w:t>la Comisión</w:t>
      </w:r>
      <w:r w:rsidR="004466FF">
        <w:rPr>
          <w:rFonts w:ascii="Palatino Linotype" w:eastAsia="Cambria" w:hAnsi="Palatino Linotype"/>
          <w:lang w:eastAsia="en-US"/>
        </w:rPr>
        <w:t xml:space="preserve"> de Límites del Gobierno d</w:t>
      </w:r>
      <w:r w:rsidR="004466FF" w:rsidRPr="00571904">
        <w:rPr>
          <w:rFonts w:ascii="Palatino Linotype" w:eastAsia="Cambria" w:hAnsi="Palatino Linotype"/>
          <w:lang w:eastAsia="en-US"/>
        </w:rPr>
        <w:t>el Estado</w:t>
      </w:r>
      <w:r w:rsidR="004466FF">
        <w:rPr>
          <w:rFonts w:ascii="Palatino Linotype" w:eastAsia="Cambria" w:hAnsi="Palatino Linotype"/>
          <w:lang w:eastAsia="en-US"/>
        </w:rPr>
        <w:t xml:space="preserve"> d</w:t>
      </w:r>
      <w:r w:rsidR="004466FF" w:rsidRPr="00571904">
        <w:rPr>
          <w:rFonts w:ascii="Palatino Linotype" w:eastAsia="Cambria" w:hAnsi="Palatino Linotype"/>
          <w:lang w:eastAsia="en-US"/>
        </w:rPr>
        <w:t>e México</w:t>
      </w:r>
      <w:r w:rsidR="008A061C">
        <w:rPr>
          <w:rFonts w:ascii="Palatino Linotype" w:eastAsia="Cambria" w:hAnsi="Palatino Linotype"/>
          <w:lang w:eastAsia="en-US"/>
        </w:rPr>
        <w:t xml:space="preserve"> </w:t>
      </w:r>
      <w:r w:rsidR="00221250">
        <w:rPr>
          <w:rFonts w:ascii="Palatino Linotype" w:eastAsia="Cambria" w:hAnsi="Palatino Linotype"/>
          <w:lang w:eastAsia="en-US"/>
        </w:rPr>
        <w:t xml:space="preserve">así </w:t>
      </w:r>
      <w:r w:rsidR="008A061C">
        <w:rPr>
          <w:rFonts w:ascii="Palatino Linotype" w:eastAsia="Cambria" w:hAnsi="Palatino Linotype"/>
          <w:lang w:eastAsia="en-US"/>
        </w:rPr>
        <w:t>como</w:t>
      </w:r>
      <w:r w:rsidR="00221250">
        <w:rPr>
          <w:rFonts w:ascii="Palatino Linotype" w:eastAsia="Cambria" w:hAnsi="Palatino Linotype"/>
          <w:lang w:eastAsia="en-US"/>
        </w:rPr>
        <w:t xml:space="preserve"> de los Ayuntamientos de Teoloyucan y Tepotzotlán</w:t>
      </w:r>
      <w:r w:rsidR="00492577">
        <w:rPr>
          <w:rFonts w:ascii="Palatino Linotype" w:hAnsi="Palatino Linotype" w:cs="Arial"/>
        </w:rPr>
        <w:t xml:space="preserve">, es accediendo a esta actuación de </w:t>
      </w:r>
      <w:r w:rsidR="004466FF">
        <w:rPr>
          <w:rFonts w:ascii="Palatino Linotype" w:hAnsi="Palatino Linotype" w:cs="Arial"/>
        </w:rPr>
        <w:t>dicha</w:t>
      </w:r>
      <w:r w:rsidRPr="00073A67">
        <w:rPr>
          <w:rFonts w:ascii="Palatino Linotype" w:hAnsi="Palatino Linotype" w:cs="Arial"/>
        </w:rPr>
        <w:t xml:space="preserve"> autoridad mediante el derecho de acceso a la </w:t>
      </w:r>
      <w:r w:rsidR="00492577">
        <w:rPr>
          <w:rFonts w:ascii="Palatino Linotype" w:hAnsi="Palatino Linotype" w:cs="Arial"/>
        </w:rPr>
        <w:t xml:space="preserve">información pública, lo que le permitirá </w:t>
      </w:r>
      <w:r w:rsidRPr="00073A67">
        <w:rPr>
          <w:rFonts w:ascii="Palatino Linotype" w:hAnsi="Palatino Linotype" w:cs="Arial"/>
        </w:rPr>
        <w:t>valora</w:t>
      </w:r>
      <w:r w:rsidR="00492577">
        <w:rPr>
          <w:rFonts w:ascii="Palatino Linotype" w:hAnsi="Palatino Linotype" w:cs="Arial"/>
        </w:rPr>
        <w:t xml:space="preserve">r el desempeño y actuar en el </w:t>
      </w:r>
      <w:r w:rsidR="00492577">
        <w:rPr>
          <w:rFonts w:ascii="Palatino Linotype" w:eastAsia="Cambria" w:hAnsi="Palatino Linotype"/>
          <w:lang w:eastAsia="en-US"/>
        </w:rPr>
        <w:t xml:space="preserve">expediente que contiene </w:t>
      </w:r>
      <w:r w:rsidR="00492577" w:rsidRPr="00C53A21">
        <w:rPr>
          <w:rFonts w:ascii="Palatino Linotype" w:eastAsia="Cambria" w:hAnsi="Palatino Linotype"/>
          <w:lang w:eastAsia="en-US"/>
        </w:rPr>
        <w:t>relacionado con los conflictos por límites territoria</w:t>
      </w:r>
      <w:r w:rsidR="00221250">
        <w:rPr>
          <w:rFonts w:ascii="Palatino Linotype" w:eastAsia="Cambria" w:hAnsi="Palatino Linotype"/>
          <w:lang w:eastAsia="en-US"/>
        </w:rPr>
        <w:t>les del municipio de Teoloyucan</w:t>
      </w:r>
      <w:r w:rsidR="00492577" w:rsidRPr="00C53A21">
        <w:rPr>
          <w:rFonts w:ascii="Palatino Linotype" w:eastAsia="Cambria" w:hAnsi="Palatino Linotype"/>
          <w:lang w:eastAsia="en-US"/>
        </w:rPr>
        <w:t xml:space="preserve"> con </w:t>
      </w:r>
      <w:r w:rsidR="00492577">
        <w:rPr>
          <w:rFonts w:ascii="Palatino Linotype" w:eastAsia="Cambria" w:hAnsi="Palatino Linotype"/>
          <w:lang w:eastAsia="en-US"/>
        </w:rPr>
        <w:t xml:space="preserve">el Municipio de </w:t>
      </w:r>
      <w:r w:rsidR="00221250">
        <w:rPr>
          <w:rFonts w:ascii="Palatino Linotype" w:eastAsia="Cambria" w:hAnsi="Palatino Linotype"/>
          <w:lang w:eastAsia="en-US"/>
        </w:rPr>
        <w:t>Tepotzotlán</w:t>
      </w:r>
      <w:r w:rsidR="00492577">
        <w:rPr>
          <w:rFonts w:ascii="Palatino Linotype" w:hAnsi="Palatino Linotype" w:cs="Arial"/>
        </w:rPr>
        <w:t>, al verse involucrado</w:t>
      </w:r>
      <w:r>
        <w:rPr>
          <w:rFonts w:ascii="Palatino Linotype" w:hAnsi="Palatino Linotype" w:cs="Arial"/>
        </w:rPr>
        <w:t xml:space="preserve">s </w:t>
      </w:r>
      <w:r w:rsidR="00492577">
        <w:rPr>
          <w:rFonts w:ascii="Palatino Linotype" w:hAnsi="Palatino Linotype" w:cs="Arial"/>
        </w:rPr>
        <w:t>entes públicos.</w:t>
      </w:r>
      <w:r>
        <w:rPr>
          <w:rFonts w:ascii="Palatino Linotype" w:hAnsi="Palatino Linotype" w:cs="Arial"/>
        </w:rPr>
        <w:t xml:space="preserve"> </w:t>
      </w:r>
    </w:p>
    <w:p w:rsidR="00E00344" w:rsidRPr="00286D15" w:rsidRDefault="00E00344" w:rsidP="00E00344">
      <w:pPr>
        <w:shd w:val="clear" w:color="auto" w:fill="FFFFFF" w:themeFill="background1"/>
        <w:spacing w:before="100" w:beforeAutospacing="1" w:after="100" w:afterAutospacing="1" w:line="360" w:lineRule="auto"/>
        <w:jc w:val="both"/>
        <w:rPr>
          <w:rFonts w:ascii="Palatino Linotype" w:hAnsi="Palatino Linotype"/>
        </w:rPr>
      </w:pPr>
      <w:r w:rsidRPr="00FC5F0F">
        <w:rPr>
          <w:rFonts w:ascii="Palatino Linotype" w:hAnsi="Palatino Linotype"/>
        </w:rPr>
        <w:t xml:space="preserve">Ante este panorama, es que se considera que existe un inminente interés público de conocer </w:t>
      </w:r>
      <w:r w:rsidR="00286D15">
        <w:rPr>
          <w:rFonts w:ascii="Palatino Linotype" w:hAnsi="Palatino Linotype"/>
        </w:rPr>
        <w:t xml:space="preserve">el expediente que contiene el conflicto por </w:t>
      </w:r>
      <w:r w:rsidR="00221250">
        <w:rPr>
          <w:rFonts w:ascii="Palatino Linotype" w:hAnsi="Palatino Linotype"/>
        </w:rPr>
        <w:t>límites</w:t>
      </w:r>
      <w:r w:rsidR="00286D15">
        <w:rPr>
          <w:rFonts w:ascii="Palatino Linotype" w:hAnsi="Palatino Linotype"/>
        </w:rPr>
        <w:t xml:space="preserve"> territoriales del </w:t>
      </w:r>
      <w:r w:rsidR="00221250">
        <w:rPr>
          <w:rFonts w:ascii="Palatino Linotype" w:eastAsia="Cambria" w:hAnsi="Palatino Linotype"/>
          <w:lang w:eastAsia="en-US"/>
        </w:rPr>
        <w:t>municipio de Teoloyucan</w:t>
      </w:r>
      <w:r w:rsidR="00221250" w:rsidRPr="00C53A21">
        <w:rPr>
          <w:rFonts w:ascii="Palatino Linotype" w:eastAsia="Cambria" w:hAnsi="Palatino Linotype"/>
          <w:lang w:eastAsia="en-US"/>
        </w:rPr>
        <w:t xml:space="preserve"> con </w:t>
      </w:r>
      <w:r w:rsidR="00221250">
        <w:rPr>
          <w:rFonts w:ascii="Palatino Linotype" w:eastAsia="Cambria" w:hAnsi="Palatino Linotype"/>
          <w:lang w:eastAsia="en-US"/>
        </w:rPr>
        <w:t xml:space="preserve">el Municipio de Tepotzotlán </w:t>
      </w:r>
      <w:r w:rsidR="00286D15">
        <w:rPr>
          <w:rFonts w:ascii="Palatino Linotype" w:eastAsia="Cambria" w:hAnsi="Palatino Linotype"/>
          <w:lang w:eastAsia="en-US"/>
        </w:rPr>
        <w:t>como toda la documentación relacionada</w:t>
      </w:r>
      <w:r w:rsidRPr="00FC5F0F">
        <w:rPr>
          <w:rFonts w:ascii="Palatino Linotype" w:hAnsi="Palatino Linotype"/>
        </w:rPr>
        <w:t>, pues el permitir el acceso a la misma fomentaría la tran</w:t>
      </w:r>
      <w:r w:rsidR="00D8451C">
        <w:rPr>
          <w:rFonts w:ascii="Palatino Linotype" w:hAnsi="Palatino Linotype"/>
        </w:rPr>
        <w:t xml:space="preserve">sparencia de las actividades de la </w:t>
      </w:r>
      <w:r w:rsidR="00D8451C">
        <w:rPr>
          <w:rFonts w:ascii="Palatino Linotype" w:hAnsi="Palatino Linotype" w:cs="Arial"/>
        </w:rPr>
        <w:t>Comisión</w:t>
      </w:r>
      <w:r w:rsidR="00D8451C">
        <w:rPr>
          <w:rFonts w:ascii="Palatino Linotype" w:eastAsia="Cambria" w:hAnsi="Palatino Linotype"/>
          <w:lang w:eastAsia="en-US"/>
        </w:rPr>
        <w:t xml:space="preserve"> de Límites del Gobierno d</w:t>
      </w:r>
      <w:r w:rsidR="00D8451C" w:rsidRPr="00571904">
        <w:rPr>
          <w:rFonts w:ascii="Palatino Linotype" w:eastAsia="Cambria" w:hAnsi="Palatino Linotype"/>
          <w:lang w:eastAsia="en-US"/>
        </w:rPr>
        <w:t>el Estado</w:t>
      </w:r>
      <w:r w:rsidR="00D8451C">
        <w:rPr>
          <w:rFonts w:ascii="Palatino Linotype" w:eastAsia="Cambria" w:hAnsi="Palatino Linotype"/>
          <w:lang w:eastAsia="en-US"/>
        </w:rPr>
        <w:t xml:space="preserve"> d</w:t>
      </w:r>
      <w:r w:rsidR="00D8451C" w:rsidRPr="00571904">
        <w:rPr>
          <w:rFonts w:ascii="Palatino Linotype" w:eastAsia="Cambria" w:hAnsi="Palatino Linotype"/>
          <w:lang w:eastAsia="en-US"/>
        </w:rPr>
        <w:t>e México</w:t>
      </w:r>
      <w:r w:rsidR="00221250">
        <w:rPr>
          <w:rFonts w:ascii="Palatino Linotype" w:eastAsia="Cambria" w:hAnsi="Palatino Linotype"/>
          <w:lang w:eastAsia="en-US"/>
        </w:rPr>
        <w:t xml:space="preserve"> como de los</w:t>
      </w:r>
      <w:r w:rsidR="008A061C">
        <w:rPr>
          <w:rFonts w:ascii="Palatino Linotype" w:eastAsia="Cambria" w:hAnsi="Palatino Linotype"/>
          <w:lang w:eastAsia="en-US"/>
        </w:rPr>
        <w:t xml:space="preserve"> Ayuntamiento</w:t>
      </w:r>
      <w:r w:rsidR="00221250">
        <w:rPr>
          <w:rFonts w:ascii="Palatino Linotype" w:eastAsia="Cambria" w:hAnsi="Palatino Linotype"/>
          <w:lang w:eastAsia="en-US"/>
        </w:rPr>
        <w:t>s</w:t>
      </w:r>
      <w:r w:rsidR="008A061C">
        <w:rPr>
          <w:rFonts w:ascii="Palatino Linotype" w:eastAsia="Cambria" w:hAnsi="Palatino Linotype"/>
          <w:lang w:eastAsia="en-US"/>
        </w:rPr>
        <w:t xml:space="preserve"> </w:t>
      </w:r>
      <w:r w:rsidR="00221250">
        <w:rPr>
          <w:rFonts w:ascii="Palatino Linotype" w:eastAsia="Cambria" w:hAnsi="Palatino Linotype"/>
          <w:lang w:eastAsia="en-US"/>
        </w:rPr>
        <w:t>de Teoloyucan</w:t>
      </w:r>
      <w:r w:rsidR="00221250" w:rsidRPr="00C53A21">
        <w:rPr>
          <w:rFonts w:ascii="Palatino Linotype" w:eastAsia="Cambria" w:hAnsi="Palatino Linotype"/>
          <w:lang w:eastAsia="en-US"/>
        </w:rPr>
        <w:t xml:space="preserve"> </w:t>
      </w:r>
      <w:r w:rsidR="00221250">
        <w:rPr>
          <w:rFonts w:ascii="Palatino Linotype" w:eastAsia="Cambria" w:hAnsi="Palatino Linotype"/>
          <w:lang w:eastAsia="en-US"/>
        </w:rPr>
        <w:t>y Tepotzotlán</w:t>
      </w:r>
      <w:r w:rsidRPr="00FC5F0F">
        <w:rPr>
          <w:rFonts w:ascii="Palatino Linotype" w:hAnsi="Palatino Linotype"/>
        </w:rPr>
        <w:t>, promoviendo de manera implícita la responsabilidad de los funcionarios sobre</w:t>
      </w:r>
      <w:r w:rsidR="00286D15">
        <w:rPr>
          <w:rFonts w:ascii="Palatino Linotype" w:hAnsi="Palatino Linotype"/>
        </w:rPr>
        <w:t xml:space="preserve"> su gestión pública, e</w:t>
      </w:r>
      <w:r w:rsidRPr="00286D15">
        <w:rPr>
          <w:rFonts w:ascii="Palatino Linotype" w:hAnsi="Palatino Linotype"/>
        </w:rPr>
        <w:t xml:space="preserve">s decir, se  considera  que el derecho  de  acceso  a  la información  es  el  medio que colma el principio de  idoneidad  para  la  rendición  de  cuentas  por  parte  de  la autoridad  </w:t>
      </w:r>
      <w:r w:rsidRPr="00286D15">
        <w:rPr>
          <w:rFonts w:ascii="Palatino Linotype" w:hAnsi="Palatino Linotype"/>
        </w:rPr>
        <w:lastRenderedPageBreak/>
        <w:t>sobre  la  efectiva  investigación  de  hechos  que  son  de  la  más  alta relevancia, al estar relacionados  con el quehacer  público y el desempeño de los servidores públicos.</w:t>
      </w:r>
    </w:p>
    <w:p w:rsidR="00E00344" w:rsidRPr="00901B1E" w:rsidRDefault="00E00344" w:rsidP="00E00344">
      <w:pPr>
        <w:shd w:val="clear" w:color="auto" w:fill="FFFFFF" w:themeFill="background1"/>
        <w:spacing w:before="100" w:beforeAutospacing="1" w:after="100" w:afterAutospacing="1" w:line="360" w:lineRule="auto"/>
        <w:jc w:val="both"/>
        <w:rPr>
          <w:rFonts w:ascii="Palatino Linotype" w:hAnsi="Palatino Linotype" w:cs="Arial"/>
          <w:b/>
        </w:rPr>
      </w:pPr>
      <w:r w:rsidRPr="00F635F2">
        <w:rPr>
          <w:rFonts w:ascii="Palatino Linotype" w:hAnsi="Palatino Linotype" w:cs="Arial"/>
        </w:rPr>
        <w:t>Con base en lo anterior, se considera que el principio que se deb</w:t>
      </w:r>
      <w:r w:rsidR="00286D15">
        <w:rPr>
          <w:rFonts w:ascii="Palatino Linotype" w:hAnsi="Palatino Linotype" w:cs="Arial"/>
        </w:rPr>
        <w:t xml:space="preserve">e adoptar en el presente asunto es el que </w:t>
      </w:r>
      <w:r w:rsidRPr="00F635F2">
        <w:rPr>
          <w:rFonts w:ascii="Palatino Linotype" w:hAnsi="Palatino Linotype" w:cs="Arial"/>
        </w:rPr>
        <w:t>subyace en el derecho</w:t>
      </w:r>
      <w:r w:rsidR="00286D15">
        <w:rPr>
          <w:rFonts w:ascii="Palatino Linotype" w:hAnsi="Palatino Linotype" w:cs="Arial"/>
        </w:rPr>
        <w:t xml:space="preserve"> fundamental de</w:t>
      </w:r>
      <w:r w:rsidRPr="00F635F2">
        <w:rPr>
          <w:rFonts w:ascii="Palatino Linotype" w:hAnsi="Palatino Linotype" w:cs="Arial"/>
        </w:rPr>
        <w:t xml:space="preserve"> </w:t>
      </w:r>
      <w:r w:rsidR="00286D15" w:rsidRPr="00F635F2">
        <w:rPr>
          <w:rFonts w:ascii="Palatino Linotype" w:hAnsi="Palatino Linotype" w:cs="Arial"/>
        </w:rPr>
        <w:t xml:space="preserve">acceso </w:t>
      </w:r>
      <w:r w:rsidR="00BE774F" w:rsidRPr="00F635F2">
        <w:rPr>
          <w:rFonts w:ascii="Palatino Linotype" w:hAnsi="Palatino Linotype" w:cs="Arial"/>
        </w:rPr>
        <w:t>a la</w:t>
      </w:r>
      <w:r w:rsidRPr="00F635F2">
        <w:rPr>
          <w:rFonts w:ascii="Palatino Linotype" w:hAnsi="Palatino Linotype" w:cs="Arial"/>
        </w:rPr>
        <w:t xml:space="preserve"> información, puesto que </w:t>
      </w:r>
      <w:r w:rsidR="00BE774F" w:rsidRPr="00F635F2">
        <w:rPr>
          <w:rFonts w:ascii="Palatino Linotype" w:hAnsi="Palatino Linotype" w:cs="Arial"/>
        </w:rPr>
        <w:t xml:space="preserve">a </w:t>
      </w:r>
      <w:r w:rsidR="00D8451C" w:rsidRPr="00F635F2">
        <w:rPr>
          <w:rFonts w:ascii="Palatino Linotype" w:hAnsi="Palatino Linotype" w:cs="Arial"/>
        </w:rPr>
        <w:t>través de</w:t>
      </w:r>
      <w:r w:rsidRPr="00F635F2">
        <w:rPr>
          <w:rFonts w:ascii="Palatino Linotype" w:hAnsi="Palatino Linotype" w:cs="Arial"/>
        </w:rPr>
        <w:t xml:space="preserve"> </w:t>
      </w:r>
      <w:r w:rsidR="00D8451C" w:rsidRPr="00F635F2">
        <w:rPr>
          <w:rFonts w:ascii="Palatino Linotype" w:hAnsi="Palatino Linotype" w:cs="Arial"/>
        </w:rPr>
        <w:t>éste se busca no sólo</w:t>
      </w:r>
      <w:r w:rsidRPr="00F635F2">
        <w:rPr>
          <w:rFonts w:ascii="Palatino Linotype" w:hAnsi="Palatino Linotype" w:cs="Arial"/>
        </w:rPr>
        <w:t xml:space="preserve"> </w:t>
      </w:r>
      <w:r w:rsidR="00D8451C" w:rsidRPr="00F635F2">
        <w:rPr>
          <w:rFonts w:ascii="Palatino Linotype" w:hAnsi="Palatino Linotype" w:cs="Arial"/>
        </w:rPr>
        <w:t>satisfacer un</w:t>
      </w:r>
      <w:r w:rsidRPr="00F635F2">
        <w:rPr>
          <w:rFonts w:ascii="Palatino Linotype" w:hAnsi="Palatino Linotype" w:cs="Arial"/>
        </w:rPr>
        <w:t xml:space="preserve"> interés individual, </w:t>
      </w:r>
      <w:r w:rsidRPr="00286D15">
        <w:rPr>
          <w:rFonts w:ascii="Palatino Linotype" w:hAnsi="Palatino Linotype" w:cs="Arial"/>
        </w:rPr>
        <w:t>sino la necesidad de la colectividad de estar en posibilidad de evaluar el desempeño de las autoridades, en el caso de mérito.</w:t>
      </w:r>
      <w:r w:rsidRPr="00901B1E">
        <w:rPr>
          <w:rFonts w:ascii="Palatino Linotype" w:hAnsi="Palatino Linotype" w:cs="Arial"/>
          <w:b/>
        </w:rPr>
        <w:t xml:space="preserve"> </w:t>
      </w:r>
    </w:p>
    <w:p w:rsidR="00E00344" w:rsidRPr="00286D15" w:rsidRDefault="00E00344" w:rsidP="00286D15">
      <w:pPr>
        <w:pStyle w:val="Prrafodelista"/>
        <w:numPr>
          <w:ilvl w:val="0"/>
          <w:numId w:val="17"/>
        </w:numPr>
        <w:shd w:val="clear" w:color="auto" w:fill="FFFFFF" w:themeFill="background1"/>
        <w:spacing w:before="100" w:beforeAutospacing="1" w:after="100" w:afterAutospacing="1"/>
        <w:jc w:val="both"/>
        <w:rPr>
          <w:rFonts w:ascii="Palatino Linotype" w:hAnsi="Palatino Linotype"/>
        </w:rPr>
      </w:pPr>
      <w:r w:rsidRPr="00286D15">
        <w:rPr>
          <w:rFonts w:ascii="Palatino Linotype" w:hAnsi="Palatino Linotype"/>
        </w:rPr>
        <w:t xml:space="preserve">Análisis de la segunda grada de la ponderación: Necesidad. </w:t>
      </w:r>
    </w:p>
    <w:p w:rsidR="00E00344" w:rsidRPr="00C169D3" w:rsidRDefault="00E00344" w:rsidP="00E00344">
      <w:pPr>
        <w:shd w:val="clear" w:color="auto" w:fill="FFFFFF" w:themeFill="background1"/>
        <w:spacing w:before="100" w:beforeAutospacing="1" w:after="100" w:afterAutospacing="1" w:line="360" w:lineRule="auto"/>
        <w:jc w:val="both"/>
        <w:rPr>
          <w:rFonts w:ascii="Palatino Linotype" w:hAnsi="Palatino Linotype"/>
        </w:rPr>
      </w:pPr>
      <w:r w:rsidRPr="00C169D3">
        <w:rPr>
          <w:rFonts w:ascii="Palatino Linotype" w:hAnsi="Palatino Linotype"/>
        </w:rPr>
        <w:t>Nuestra carta magna, así como diversos ordenamientos reconocen los principios bajo los cuales deben re</w:t>
      </w:r>
      <w:r w:rsidR="00286D15" w:rsidRPr="00C169D3">
        <w:rPr>
          <w:rFonts w:ascii="Palatino Linotype" w:hAnsi="Palatino Linotype"/>
        </w:rPr>
        <w:t>girse los procedimientos administrativos</w:t>
      </w:r>
      <w:r w:rsidRPr="00C169D3">
        <w:rPr>
          <w:rFonts w:ascii="Palatino Linotype" w:hAnsi="Palatino Linotype"/>
        </w:rPr>
        <w:t>, como lo es el principio de publicidad</w:t>
      </w:r>
      <w:r w:rsidR="00286D15" w:rsidRPr="00C169D3">
        <w:rPr>
          <w:rFonts w:ascii="Palatino Linotype" w:hAnsi="Palatino Linotype"/>
        </w:rPr>
        <w:t xml:space="preserve"> que implica el deber del dictaminador </w:t>
      </w:r>
      <w:r w:rsidRPr="00C169D3">
        <w:rPr>
          <w:rFonts w:ascii="Palatino Linotype" w:hAnsi="Palatino Linotype"/>
        </w:rPr>
        <w:t>de procurar que el proceso se desarrolle con conocimiento público, es decir, se admite la posibilidad de que el desarrollo general del proceso y determinados actos procesales sean de conocimiento de cualquier interesado, este principio constituye una garantía de la administración de la justicia, a fin de demostrar que no existe algo escondido en el proceso, que preste a suspicacias de las partes o duda en cuant</w:t>
      </w:r>
      <w:r w:rsidR="00D8451C" w:rsidRPr="00C169D3">
        <w:rPr>
          <w:rFonts w:ascii="Palatino Linotype" w:hAnsi="Palatino Linotype"/>
        </w:rPr>
        <w:t>o a la imparcialidad de la autoridad señalada</w:t>
      </w:r>
      <w:r w:rsidRPr="00C169D3">
        <w:rPr>
          <w:rFonts w:ascii="Palatino Linotype" w:hAnsi="Palatino Linotype"/>
        </w:rPr>
        <w:t>.</w:t>
      </w:r>
    </w:p>
    <w:p w:rsidR="00E00344" w:rsidRPr="00286D15" w:rsidRDefault="00E00344" w:rsidP="00E00344">
      <w:pPr>
        <w:shd w:val="clear" w:color="auto" w:fill="FFFFFF" w:themeFill="background1"/>
        <w:spacing w:before="100" w:beforeAutospacing="1" w:after="100" w:afterAutospacing="1" w:line="360" w:lineRule="auto"/>
        <w:jc w:val="both"/>
        <w:rPr>
          <w:rFonts w:ascii="Palatino Linotype" w:hAnsi="Palatino Linotype"/>
          <w:color w:val="FF0000"/>
        </w:rPr>
      </w:pPr>
      <w:r w:rsidRPr="00286D15">
        <w:rPr>
          <w:rFonts w:ascii="Palatino Linotype" w:hAnsi="Palatino Linotype"/>
        </w:rPr>
        <w:t xml:space="preserve">En este sentido, la  Corte Interamericana de Derechos Humanos al resolver el </w:t>
      </w:r>
      <w:r w:rsidRPr="00286D15">
        <w:rPr>
          <w:rFonts w:ascii="Palatino Linotype" w:hAnsi="Palatino Linotype"/>
          <w:i/>
        </w:rPr>
        <w:t>Caso Claude Reyes y otros vs. Chile</w:t>
      </w:r>
      <w:r w:rsidRPr="00286D15">
        <w:rPr>
          <w:rStyle w:val="Refdenotaalpie"/>
          <w:rFonts w:ascii="Palatino Linotype" w:hAnsi="Palatino Linotype"/>
        </w:rPr>
        <w:footnoteReference w:id="5"/>
      </w:r>
      <w:r w:rsidRPr="00286D15">
        <w:rPr>
          <w:rFonts w:ascii="Palatino Linotype" w:hAnsi="Palatino Linotype"/>
        </w:rPr>
        <w:t xml:space="preserve">, estimó que el actuar del Estado debe encontrarse regido por los principios de publicidad y transparencia en la gestión pública haciendo posible que las personas que se encuentran bajo su jurisdicción ejerzan el control </w:t>
      </w:r>
      <w:r w:rsidRPr="00286D15">
        <w:rPr>
          <w:rFonts w:ascii="Palatino Linotype" w:hAnsi="Palatino Linotype"/>
        </w:rPr>
        <w:lastRenderedPageBreak/>
        <w:t>democrático de las gestiones estatales, de forma tal que, puedan cuestionar, indagar y considerar si se está dando un adecuado cumplimiento de las funciones públicas.</w:t>
      </w:r>
    </w:p>
    <w:p w:rsidR="00E00344" w:rsidRPr="00BE774F" w:rsidRDefault="00E00344" w:rsidP="00E00344">
      <w:pPr>
        <w:shd w:val="clear" w:color="auto" w:fill="FFFFFF" w:themeFill="background1"/>
        <w:spacing w:before="100" w:beforeAutospacing="1" w:after="100" w:afterAutospacing="1" w:line="360" w:lineRule="auto"/>
        <w:jc w:val="both"/>
        <w:rPr>
          <w:rFonts w:ascii="Palatino Linotype" w:hAnsi="Palatino Linotype" w:cs="Arial"/>
        </w:rPr>
      </w:pPr>
      <w:r w:rsidRPr="00BE774F">
        <w:rPr>
          <w:rFonts w:ascii="Palatino Linotype" w:hAnsi="Palatino Linotype" w:cs="Arial"/>
        </w:rPr>
        <w:t xml:space="preserve">Así, la divulgación de la información en poder del Estado, que sea de interés público, juega un rol muy importante en una sociedad democrática, pues habilita a la sociedad civil para controlar las acciones del gobierno a quien ha confiado la protección de sus intereses, lo cual </w:t>
      </w:r>
      <w:r w:rsidRPr="00BE774F">
        <w:rPr>
          <w:rFonts w:ascii="Palatino Linotype" w:hAnsi="Palatino Linotype" w:cs="Arial"/>
          <w:b/>
        </w:rPr>
        <w:t>es necesario para evitar abusos de los funcionarios gubernamentales, promover la rendición de cuentas y la transparencia dentro del Estado y permitir un debate público sólido e informado para asegurar la garantía de contar con recursos efectivos contra tales abusos.</w:t>
      </w:r>
    </w:p>
    <w:p w:rsidR="00BE774F" w:rsidRDefault="00E00344" w:rsidP="00E00344">
      <w:pPr>
        <w:shd w:val="clear" w:color="auto" w:fill="FFFFFF" w:themeFill="background1"/>
        <w:spacing w:before="100" w:beforeAutospacing="1" w:after="100" w:afterAutospacing="1" w:line="360" w:lineRule="auto"/>
        <w:jc w:val="both"/>
        <w:rPr>
          <w:rFonts w:ascii="Palatino Linotype" w:hAnsi="Palatino Linotype"/>
        </w:rPr>
      </w:pPr>
      <w:r w:rsidRPr="00BE774F">
        <w:rPr>
          <w:rFonts w:ascii="Palatino Linotype" w:hAnsi="Palatino Linotype"/>
        </w:rPr>
        <w:t>En este sentido,</w:t>
      </w:r>
      <w:r w:rsidR="00BE774F" w:rsidRPr="00BE774F">
        <w:rPr>
          <w:rFonts w:ascii="Palatino Linotype" w:hAnsi="Palatino Linotype"/>
        </w:rPr>
        <w:t xml:space="preserve"> este </w:t>
      </w:r>
      <w:r w:rsidR="00BE774F">
        <w:rPr>
          <w:rFonts w:ascii="Palatino Linotype" w:hAnsi="Palatino Linotype"/>
        </w:rPr>
        <w:t xml:space="preserve">Instituto </w:t>
      </w:r>
      <w:r w:rsidRPr="00BE774F">
        <w:rPr>
          <w:rFonts w:ascii="Palatino Linotype" w:hAnsi="Palatino Linotype"/>
        </w:rPr>
        <w:t xml:space="preserve">observa que también se </w:t>
      </w:r>
      <w:r w:rsidR="00BE774F" w:rsidRPr="00BE774F">
        <w:rPr>
          <w:rFonts w:ascii="Palatino Linotype" w:hAnsi="Palatino Linotype"/>
        </w:rPr>
        <w:t>actualiza el</w:t>
      </w:r>
      <w:r w:rsidRPr="00BE774F">
        <w:rPr>
          <w:rFonts w:ascii="Palatino Linotype" w:hAnsi="Palatino Linotype"/>
        </w:rPr>
        <w:t xml:space="preserve"> principio de necesidad, ya que no existe un medio menos oneroso para lograr el fin </w:t>
      </w:r>
      <w:r w:rsidR="00BE774F" w:rsidRPr="00BE774F">
        <w:rPr>
          <w:rFonts w:ascii="Palatino Linotype" w:hAnsi="Palatino Linotype"/>
        </w:rPr>
        <w:t>constitucionalmente válido</w:t>
      </w:r>
      <w:r w:rsidRPr="00BE774F">
        <w:rPr>
          <w:rFonts w:ascii="Palatino Linotype" w:hAnsi="Palatino Linotype"/>
        </w:rPr>
        <w:t xml:space="preserve">, en </w:t>
      </w:r>
      <w:r w:rsidR="00BE774F" w:rsidRPr="00BE774F">
        <w:rPr>
          <w:rFonts w:ascii="Palatino Linotype" w:hAnsi="Palatino Linotype"/>
        </w:rPr>
        <w:t>tanto que</w:t>
      </w:r>
      <w:r w:rsidRPr="00BE774F">
        <w:rPr>
          <w:rFonts w:ascii="Palatino Linotype" w:hAnsi="Palatino Linotype"/>
        </w:rPr>
        <w:t xml:space="preserve"> el </w:t>
      </w:r>
      <w:r w:rsidR="00BE774F" w:rsidRPr="00BE774F">
        <w:rPr>
          <w:rFonts w:ascii="Palatino Linotype" w:hAnsi="Palatino Linotype"/>
        </w:rPr>
        <w:t>ejercicio del</w:t>
      </w:r>
      <w:r w:rsidRPr="00BE774F">
        <w:rPr>
          <w:rFonts w:ascii="Palatino Linotype" w:hAnsi="Palatino Linotype"/>
        </w:rPr>
        <w:t xml:space="preserve"> </w:t>
      </w:r>
      <w:r w:rsidR="00BE774F" w:rsidRPr="00BE774F">
        <w:rPr>
          <w:rFonts w:ascii="Palatino Linotype" w:hAnsi="Palatino Linotype"/>
        </w:rPr>
        <w:t>derecho de acceso a la</w:t>
      </w:r>
      <w:r w:rsidRPr="00BE774F">
        <w:rPr>
          <w:rFonts w:ascii="Palatino Linotype" w:hAnsi="Palatino Linotype"/>
        </w:rPr>
        <w:t xml:space="preserve"> información es la única vía para que cualquier persona</w:t>
      </w:r>
      <w:r w:rsidR="00BE774F">
        <w:rPr>
          <w:rFonts w:ascii="Palatino Linotype" w:hAnsi="Palatino Linotype"/>
        </w:rPr>
        <w:t xml:space="preserve"> acceda al </w:t>
      </w:r>
      <w:r w:rsidR="004E4E7C">
        <w:rPr>
          <w:rFonts w:ascii="Palatino Linotype" w:hAnsi="Palatino Linotype"/>
        </w:rPr>
        <w:t>multirreferido</w:t>
      </w:r>
      <w:r w:rsidR="00BE774F">
        <w:rPr>
          <w:rFonts w:ascii="Palatino Linotype" w:hAnsi="Palatino Linotype"/>
        </w:rPr>
        <w:t xml:space="preserve"> expediente.</w:t>
      </w:r>
    </w:p>
    <w:p w:rsidR="00E00344" w:rsidRPr="00EA29BA" w:rsidRDefault="00BE774F" w:rsidP="00E00344">
      <w:pPr>
        <w:shd w:val="clear" w:color="auto" w:fill="FFFFFF" w:themeFill="background1"/>
        <w:spacing w:before="100" w:beforeAutospacing="1" w:after="100" w:afterAutospacing="1" w:line="360" w:lineRule="auto"/>
        <w:jc w:val="both"/>
        <w:rPr>
          <w:rFonts w:ascii="Palatino Linotype" w:hAnsi="Palatino Linotype"/>
        </w:rPr>
      </w:pPr>
      <w:r w:rsidRPr="00BE774F">
        <w:rPr>
          <w:rFonts w:ascii="Palatino Linotype" w:hAnsi="Palatino Linotype"/>
        </w:rPr>
        <w:t>La necesidad de hacer pública</w:t>
      </w:r>
      <w:r w:rsidR="00E00344" w:rsidRPr="00BE774F">
        <w:rPr>
          <w:rFonts w:ascii="Palatino Linotype" w:hAnsi="Palatino Linotype"/>
        </w:rPr>
        <w:t xml:space="preserve"> </w:t>
      </w:r>
      <w:r>
        <w:rPr>
          <w:rFonts w:ascii="Palatino Linotype" w:hAnsi="Palatino Linotype"/>
        </w:rPr>
        <w:t>el multicitado expediente</w:t>
      </w:r>
      <w:r w:rsidR="00E00344" w:rsidRPr="00BE774F">
        <w:rPr>
          <w:rFonts w:ascii="Palatino Linotype" w:hAnsi="Palatino Linotype"/>
        </w:rPr>
        <w:t xml:space="preserve"> deriva</w:t>
      </w:r>
      <w:r>
        <w:rPr>
          <w:rFonts w:ascii="Palatino Linotype" w:hAnsi="Palatino Linotype"/>
        </w:rPr>
        <w:t xml:space="preserve"> de la trascendencia social al involucrar entes públicos </w:t>
      </w:r>
      <w:r w:rsidRPr="00BE774F">
        <w:rPr>
          <w:rFonts w:ascii="Palatino Linotype" w:hAnsi="Palatino Linotype"/>
        </w:rPr>
        <w:t>como</w:t>
      </w:r>
      <w:r>
        <w:rPr>
          <w:rFonts w:ascii="Palatino Linotype" w:hAnsi="Palatino Linotype"/>
        </w:rPr>
        <w:t xml:space="preserve"> quedó demostrado.</w:t>
      </w:r>
    </w:p>
    <w:p w:rsidR="00E00344" w:rsidRPr="006704E4" w:rsidRDefault="00E00344" w:rsidP="00E00344">
      <w:pPr>
        <w:spacing w:line="360" w:lineRule="auto"/>
        <w:jc w:val="both"/>
        <w:rPr>
          <w:rFonts w:ascii="Palatino Linotype" w:hAnsi="Palatino Linotype"/>
        </w:rPr>
      </w:pPr>
      <w:r w:rsidRPr="00BE774F">
        <w:rPr>
          <w:rFonts w:ascii="Palatino Linotype" w:hAnsi="Palatino Linotype"/>
        </w:rPr>
        <w:t xml:space="preserve">Así </w:t>
      </w:r>
      <w:r w:rsidR="007E0B58" w:rsidRPr="00BE774F">
        <w:rPr>
          <w:rFonts w:ascii="Palatino Linotype" w:hAnsi="Palatino Linotype"/>
        </w:rPr>
        <w:t>mismo, el</w:t>
      </w:r>
      <w:r w:rsidRPr="00BE774F">
        <w:rPr>
          <w:rFonts w:ascii="Palatino Linotype" w:hAnsi="Palatino Linotype"/>
        </w:rPr>
        <w:t xml:space="preserve"> acceso </w:t>
      </w:r>
      <w:r w:rsidR="007E0B58" w:rsidRPr="00BE774F">
        <w:rPr>
          <w:rFonts w:ascii="Palatino Linotype" w:hAnsi="Palatino Linotype"/>
        </w:rPr>
        <w:t xml:space="preserve">a </w:t>
      </w:r>
      <w:r w:rsidR="00D8451C" w:rsidRPr="00BE774F">
        <w:rPr>
          <w:rFonts w:ascii="Palatino Linotype" w:hAnsi="Palatino Linotype"/>
        </w:rPr>
        <w:t>la información</w:t>
      </w:r>
      <w:r w:rsidR="00BE774F" w:rsidRPr="00BE774F">
        <w:rPr>
          <w:rFonts w:ascii="Palatino Linotype" w:hAnsi="Palatino Linotype"/>
        </w:rPr>
        <w:t xml:space="preserve"> </w:t>
      </w:r>
      <w:r w:rsidR="008A061C" w:rsidRPr="00BE774F">
        <w:rPr>
          <w:rFonts w:ascii="Palatino Linotype" w:hAnsi="Palatino Linotype"/>
        </w:rPr>
        <w:t>al expediente</w:t>
      </w:r>
      <w:r w:rsidR="00C169D3">
        <w:rPr>
          <w:rFonts w:ascii="Palatino Linotype" w:hAnsi="Palatino Linotype"/>
        </w:rPr>
        <w:t xml:space="preserve"> y anexos</w:t>
      </w:r>
      <w:r w:rsidR="00BE774F" w:rsidRPr="00BE774F">
        <w:rPr>
          <w:rFonts w:ascii="Palatino Linotype" w:hAnsi="Palatino Linotype"/>
        </w:rPr>
        <w:t xml:space="preserve"> que contiene el conflicto por límites territoriales </w:t>
      </w:r>
      <w:r w:rsidR="00C169D3">
        <w:rPr>
          <w:rFonts w:ascii="Palatino Linotype" w:hAnsi="Palatino Linotype"/>
        </w:rPr>
        <w:t xml:space="preserve">del </w:t>
      </w:r>
      <w:r w:rsidR="00C169D3">
        <w:rPr>
          <w:rFonts w:ascii="Palatino Linotype" w:eastAsia="Cambria" w:hAnsi="Palatino Linotype"/>
          <w:lang w:eastAsia="en-US"/>
        </w:rPr>
        <w:t>municipio de Teoloyucan</w:t>
      </w:r>
      <w:r w:rsidR="00C169D3" w:rsidRPr="00C53A21">
        <w:rPr>
          <w:rFonts w:ascii="Palatino Linotype" w:eastAsia="Cambria" w:hAnsi="Palatino Linotype"/>
          <w:lang w:eastAsia="en-US"/>
        </w:rPr>
        <w:t xml:space="preserve"> con </w:t>
      </w:r>
      <w:r w:rsidR="00C169D3">
        <w:rPr>
          <w:rFonts w:ascii="Palatino Linotype" w:eastAsia="Cambria" w:hAnsi="Palatino Linotype"/>
          <w:lang w:eastAsia="en-US"/>
        </w:rPr>
        <w:t>el Municipio de Tepotzotlán como toda la documentación relacionada</w:t>
      </w:r>
      <w:r w:rsidR="00BE774F">
        <w:rPr>
          <w:rFonts w:ascii="Palatino Linotype" w:hAnsi="Palatino Linotype"/>
        </w:rPr>
        <w:t xml:space="preserve">, es </w:t>
      </w:r>
      <w:r w:rsidRPr="00BE774F">
        <w:rPr>
          <w:rFonts w:ascii="Palatino Linotype" w:hAnsi="Palatino Linotype"/>
        </w:rPr>
        <w:t>una aportación a la rendición de cuentas, que evidencia el actuar de la autoridad encarga de</w:t>
      </w:r>
      <w:r w:rsidR="00BE774F">
        <w:rPr>
          <w:rFonts w:ascii="Palatino Linotype" w:hAnsi="Palatino Linotype"/>
        </w:rPr>
        <w:t>l asunto</w:t>
      </w:r>
      <w:r w:rsidR="008A061C">
        <w:rPr>
          <w:rFonts w:ascii="Palatino Linotype" w:hAnsi="Palatino Linotype"/>
        </w:rPr>
        <w:t xml:space="preserve"> </w:t>
      </w:r>
      <w:r w:rsidR="008A061C">
        <w:rPr>
          <w:rFonts w:ascii="Palatino Linotype" w:eastAsia="Cambria" w:hAnsi="Palatino Linotype"/>
          <w:lang w:eastAsia="en-US"/>
        </w:rPr>
        <w:t xml:space="preserve">como </w:t>
      </w:r>
      <w:r w:rsidR="00C169D3">
        <w:rPr>
          <w:rFonts w:ascii="Palatino Linotype" w:eastAsia="Cambria" w:hAnsi="Palatino Linotype"/>
          <w:lang w:eastAsia="en-US"/>
        </w:rPr>
        <w:t xml:space="preserve">del Poder Legislativo y lo municipios involucrados, </w:t>
      </w:r>
      <w:r w:rsidRPr="00BE774F">
        <w:rPr>
          <w:rFonts w:ascii="Palatino Linotype" w:hAnsi="Palatino Linotype"/>
        </w:rPr>
        <w:t xml:space="preserve">en </w:t>
      </w:r>
      <w:r w:rsidR="00D8451C" w:rsidRPr="00BE774F">
        <w:rPr>
          <w:rFonts w:ascii="Palatino Linotype" w:hAnsi="Palatino Linotype"/>
        </w:rPr>
        <w:t>términos de</w:t>
      </w:r>
      <w:r w:rsidRPr="00BE774F">
        <w:rPr>
          <w:rFonts w:ascii="Palatino Linotype" w:hAnsi="Palatino Linotype"/>
        </w:rPr>
        <w:t xml:space="preserve"> su </w:t>
      </w:r>
      <w:r w:rsidR="00D8451C" w:rsidRPr="00BE774F">
        <w:rPr>
          <w:rFonts w:ascii="Palatino Linotype" w:hAnsi="Palatino Linotype"/>
        </w:rPr>
        <w:t xml:space="preserve">competencia y </w:t>
      </w:r>
      <w:r w:rsidR="00D8451C">
        <w:rPr>
          <w:rFonts w:ascii="Palatino Linotype" w:hAnsi="Palatino Linotype"/>
        </w:rPr>
        <w:t>atribuciones</w:t>
      </w:r>
      <w:r w:rsidR="00BE774F">
        <w:rPr>
          <w:rFonts w:ascii="Palatino Linotype" w:hAnsi="Palatino Linotype"/>
        </w:rPr>
        <w:t>.</w:t>
      </w:r>
    </w:p>
    <w:p w:rsidR="00E00344" w:rsidRPr="0055030C" w:rsidRDefault="00E00344" w:rsidP="00E00344">
      <w:pPr>
        <w:pStyle w:val="Prrafodelista"/>
        <w:numPr>
          <w:ilvl w:val="0"/>
          <w:numId w:val="17"/>
        </w:numPr>
        <w:shd w:val="clear" w:color="auto" w:fill="FFFFFF" w:themeFill="background1"/>
        <w:spacing w:before="100" w:beforeAutospacing="1" w:after="100" w:afterAutospacing="1" w:line="360" w:lineRule="auto"/>
        <w:jc w:val="both"/>
        <w:rPr>
          <w:rFonts w:ascii="Palatino Linotype" w:hAnsi="Palatino Linotype" w:cs="Arial"/>
        </w:rPr>
      </w:pPr>
      <w:r w:rsidRPr="0055030C">
        <w:rPr>
          <w:rFonts w:ascii="Palatino Linotype" w:hAnsi="Palatino Linotype"/>
        </w:rPr>
        <w:lastRenderedPageBreak/>
        <w:t xml:space="preserve">Finalmente, el análisis de la </w:t>
      </w:r>
      <w:r w:rsidR="007E0B58" w:rsidRPr="0055030C">
        <w:rPr>
          <w:rFonts w:ascii="Palatino Linotype" w:hAnsi="Palatino Linotype"/>
        </w:rPr>
        <w:t>tercera grada</w:t>
      </w:r>
      <w:r w:rsidRPr="0055030C">
        <w:rPr>
          <w:rFonts w:ascii="Palatino Linotype" w:hAnsi="Palatino Linotype"/>
        </w:rPr>
        <w:t xml:space="preserve"> de la ponderación: Proporcionalidad</w:t>
      </w:r>
    </w:p>
    <w:p w:rsidR="00E00344" w:rsidRPr="00B64473" w:rsidRDefault="00E00344" w:rsidP="00E00344">
      <w:pPr>
        <w:shd w:val="clear" w:color="auto" w:fill="FFFFFF" w:themeFill="background1"/>
        <w:spacing w:before="100" w:beforeAutospacing="1" w:after="100" w:afterAutospacing="1" w:line="360" w:lineRule="auto"/>
        <w:jc w:val="both"/>
        <w:rPr>
          <w:rFonts w:ascii="Palatino Linotype" w:hAnsi="Palatino Linotype" w:cs="Arial"/>
        </w:rPr>
      </w:pPr>
      <w:r w:rsidRPr="00A018B6">
        <w:rPr>
          <w:rFonts w:ascii="Palatino Linotype" w:hAnsi="Palatino Linotype" w:cs="Arial"/>
        </w:rPr>
        <w:t>El divulgar una</w:t>
      </w:r>
      <w:r w:rsidR="00D8451C" w:rsidRPr="00A018B6">
        <w:rPr>
          <w:rFonts w:ascii="Palatino Linotype" w:hAnsi="Palatino Linotype" w:cs="Arial"/>
        </w:rPr>
        <w:t xml:space="preserve"> decisión tomada por una autoridad</w:t>
      </w:r>
      <w:r w:rsidRPr="00A018B6">
        <w:rPr>
          <w:rFonts w:ascii="Palatino Linotype" w:hAnsi="Palatino Linotype" w:cs="Arial"/>
        </w:rPr>
        <w:t xml:space="preserve"> </w:t>
      </w:r>
      <w:r w:rsidR="00A018B6" w:rsidRPr="00A018B6">
        <w:rPr>
          <w:rFonts w:ascii="Palatino Linotype" w:hAnsi="Palatino Linotype" w:cs="Arial"/>
        </w:rPr>
        <w:t xml:space="preserve">derivado de un procedimiento </w:t>
      </w:r>
      <w:r w:rsidRPr="00A018B6">
        <w:rPr>
          <w:rFonts w:ascii="Palatino Linotype" w:hAnsi="Palatino Linotype" w:cs="Arial"/>
        </w:rPr>
        <w:t xml:space="preserve">que no ha </w:t>
      </w:r>
      <w:r w:rsidR="00A018B6" w:rsidRPr="00A018B6">
        <w:rPr>
          <w:rFonts w:ascii="Palatino Linotype" w:hAnsi="Palatino Linotype" w:cs="Arial"/>
        </w:rPr>
        <w:t>concluido,</w:t>
      </w:r>
      <w:r w:rsidRPr="00A018B6">
        <w:rPr>
          <w:rFonts w:ascii="Palatino Linotype" w:hAnsi="Palatino Linotype" w:cs="Arial"/>
        </w:rPr>
        <w:t xml:space="preserve"> pero que le reviste el carácter de interés público, permite conocer de alguna forma los elementos tomados en consideración por éste para resolver en tal o cual sentido u otorgar el beneficio del derecho a tal o cual persona y, por ende, se justifica en razón de que se satisface el interés público de valorar el desempeño, la eficiencia </w:t>
      </w:r>
      <w:r w:rsidR="00A018B6" w:rsidRPr="00A018B6">
        <w:rPr>
          <w:rFonts w:ascii="Palatino Linotype" w:hAnsi="Palatino Linotype" w:cs="Arial"/>
        </w:rPr>
        <w:t>y eficacia</w:t>
      </w:r>
      <w:r w:rsidRPr="00A018B6">
        <w:rPr>
          <w:rFonts w:ascii="Palatino Linotype" w:hAnsi="Palatino Linotype" w:cs="Arial"/>
        </w:rPr>
        <w:t xml:space="preserve"> del </w:t>
      </w:r>
      <w:r w:rsidR="00A018B6">
        <w:rPr>
          <w:rFonts w:ascii="Palatino Linotype" w:hAnsi="Palatino Linotype" w:cs="Arial"/>
        </w:rPr>
        <w:t>dictaminador</w:t>
      </w:r>
      <w:r w:rsidRPr="00A018B6">
        <w:rPr>
          <w:rFonts w:ascii="Palatino Linotype" w:hAnsi="Palatino Linotype" w:cs="Arial"/>
        </w:rPr>
        <w:t xml:space="preserve"> en el caso que se analiza.</w:t>
      </w:r>
    </w:p>
    <w:p w:rsidR="00E00344" w:rsidRPr="000304C0" w:rsidRDefault="00E00344" w:rsidP="00E00344">
      <w:pPr>
        <w:spacing w:line="360" w:lineRule="auto"/>
        <w:jc w:val="both"/>
        <w:rPr>
          <w:rFonts w:ascii="Palatino Linotype" w:hAnsi="Palatino Linotype"/>
        </w:rPr>
      </w:pPr>
      <w:r w:rsidRPr="000304C0">
        <w:rPr>
          <w:rFonts w:ascii="Palatino Linotype" w:hAnsi="Palatino Linotype"/>
        </w:rPr>
        <w:t xml:space="preserve">Luego entonces, es posible advertir un margen de beneficio mayor al favorecer el derecho de </w:t>
      </w:r>
      <w:r w:rsidR="00A018B6" w:rsidRPr="000304C0">
        <w:rPr>
          <w:rFonts w:ascii="Palatino Linotype" w:hAnsi="Palatino Linotype"/>
        </w:rPr>
        <w:t>acceso a</w:t>
      </w:r>
      <w:r w:rsidRPr="000304C0">
        <w:rPr>
          <w:rFonts w:ascii="Palatino Linotype" w:hAnsi="Palatino Linotype"/>
        </w:rPr>
        <w:t xml:space="preserve"> la información, respecto de la secrecía</w:t>
      </w:r>
      <w:r w:rsidR="00A018B6">
        <w:rPr>
          <w:rFonts w:ascii="Palatino Linotype" w:hAnsi="Palatino Linotype"/>
        </w:rPr>
        <w:t xml:space="preserve"> al expediente</w:t>
      </w:r>
      <w:r w:rsidR="0055030C">
        <w:rPr>
          <w:rFonts w:ascii="Palatino Linotype" w:hAnsi="Palatino Linotype"/>
        </w:rPr>
        <w:t xml:space="preserve"> y anexos</w:t>
      </w:r>
      <w:r w:rsidR="00A018B6">
        <w:rPr>
          <w:rFonts w:ascii="Palatino Linotype" w:hAnsi="Palatino Linotype"/>
        </w:rPr>
        <w:t xml:space="preserve"> que contiene el conflicto de límites territoriales multicitado</w:t>
      </w:r>
      <w:r w:rsidRPr="000304C0">
        <w:rPr>
          <w:rFonts w:ascii="Palatino Linotype" w:hAnsi="Palatino Linotype"/>
        </w:rPr>
        <w:t>, pues favorece la rendición de cuen</w:t>
      </w:r>
      <w:r w:rsidR="00A018B6">
        <w:rPr>
          <w:rFonts w:ascii="Palatino Linotype" w:hAnsi="Palatino Linotype"/>
        </w:rPr>
        <w:t>tas a los ciudadanos, de manera</w:t>
      </w:r>
      <w:r w:rsidRPr="000304C0">
        <w:rPr>
          <w:rFonts w:ascii="Palatino Linotype" w:hAnsi="Palatino Linotype"/>
        </w:rPr>
        <w:t xml:space="preserve"> </w:t>
      </w:r>
      <w:r w:rsidR="00A018B6" w:rsidRPr="000304C0">
        <w:rPr>
          <w:rFonts w:ascii="Palatino Linotype" w:hAnsi="Palatino Linotype"/>
        </w:rPr>
        <w:t>que puedan</w:t>
      </w:r>
      <w:r w:rsidR="00A018B6">
        <w:rPr>
          <w:rFonts w:ascii="Palatino Linotype" w:hAnsi="Palatino Linotype"/>
        </w:rPr>
        <w:t xml:space="preserve"> valorar el desempeño </w:t>
      </w:r>
      <w:r w:rsidR="0055030C">
        <w:rPr>
          <w:rFonts w:ascii="Palatino Linotype" w:hAnsi="Palatino Linotype"/>
        </w:rPr>
        <w:t xml:space="preserve">de los Ayuntamientos </w:t>
      </w:r>
      <w:r w:rsidR="0055030C">
        <w:rPr>
          <w:rFonts w:ascii="Palatino Linotype" w:eastAsia="Cambria" w:hAnsi="Palatino Linotype"/>
          <w:lang w:eastAsia="en-US"/>
        </w:rPr>
        <w:t>de Teoloyucan</w:t>
      </w:r>
      <w:r w:rsidR="0055030C" w:rsidRPr="00C53A21">
        <w:rPr>
          <w:rFonts w:ascii="Palatino Linotype" w:eastAsia="Cambria" w:hAnsi="Palatino Linotype"/>
          <w:lang w:eastAsia="en-US"/>
        </w:rPr>
        <w:t xml:space="preserve"> </w:t>
      </w:r>
      <w:r w:rsidR="0055030C">
        <w:rPr>
          <w:rFonts w:ascii="Palatino Linotype" w:eastAsia="Cambria" w:hAnsi="Palatino Linotype"/>
          <w:lang w:eastAsia="en-US"/>
        </w:rPr>
        <w:t xml:space="preserve">y Tepotzotlán, </w:t>
      </w:r>
      <w:r w:rsidR="005E06C1">
        <w:rPr>
          <w:rFonts w:ascii="Palatino Linotype" w:hAnsi="Palatino Linotype"/>
        </w:rPr>
        <w:t>como de la</w:t>
      </w:r>
      <w:r w:rsidR="00A018B6">
        <w:rPr>
          <w:rFonts w:ascii="Palatino Linotype" w:hAnsi="Palatino Linotype"/>
        </w:rPr>
        <w:t xml:space="preserve"> </w:t>
      </w:r>
      <w:r w:rsidR="00A018B6">
        <w:rPr>
          <w:rFonts w:ascii="Palatino Linotype" w:hAnsi="Palatino Linotype" w:cs="Arial"/>
        </w:rPr>
        <w:t>Comisión</w:t>
      </w:r>
      <w:r w:rsidR="00A018B6">
        <w:rPr>
          <w:rFonts w:ascii="Palatino Linotype" w:eastAsia="Cambria" w:hAnsi="Palatino Linotype"/>
          <w:lang w:eastAsia="en-US"/>
        </w:rPr>
        <w:t xml:space="preserve"> de Límites del Gobierno d</w:t>
      </w:r>
      <w:r w:rsidR="00A018B6" w:rsidRPr="00571904">
        <w:rPr>
          <w:rFonts w:ascii="Palatino Linotype" w:eastAsia="Cambria" w:hAnsi="Palatino Linotype"/>
          <w:lang w:eastAsia="en-US"/>
        </w:rPr>
        <w:t>el Estado</w:t>
      </w:r>
      <w:r w:rsidR="00A018B6">
        <w:rPr>
          <w:rFonts w:ascii="Palatino Linotype" w:eastAsia="Cambria" w:hAnsi="Palatino Linotype"/>
          <w:lang w:eastAsia="en-US"/>
        </w:rPr>
        <w:t xml:space="preserve"> d</w:t>
      </w:r>
      <w:r w:rsidR="00A018B6" w:rsidRPr="00571904">
        <w:rPr>
          <w:rFonts w:ascii="Palatino Linotype" w:eastAsia="Cambria" w:hAnsi="Palatino Linotype"/>
          <w:lang w:eastAsia="en-US"/>
        </w:rPr>
        <w:t>e México</w:t>
      </w:r>
      <w:r w:rsidR="005E06C1">
        <w:rPr>
          <w:rFonts w:ascii="Palatino Linotype" w:hAnsi="Palatino Linotype"/>
        </w:rPr>
        <w:t xml:space="preserve"> y</w:t>
      </w:r>
      <w:r w:rsidR="00A018B6">
        <w:rPr>
          <w:rFonts w:ascii="Palatino Linotype" w:hAnsi="Palatino Linotype"/>
        </w:rPr>
        <w:t xml:space="preserve"> </w:t>
      </w:r>
      <w:r w:rsidR="00A018B6" w:rsidRPr="000304C0">
        <w:rPr>
          <w:rFonts w:ascii="Palatino Linotype" w:hAnsi="Palatino Linotype"/>
        </w:rPr>
        <w:t>fortalece el</w:t>
      </w:r>
      <w:r w:rsidRPr="000304C0">
        <w:rPr>
          <w:rFonts w:ascii="Palatino Linotype" w:hAnsi="Palatino Linotype"/>
        </w:rPr>
        <w:t xml:space="preserve"> escrutinio ciudadano sobr</w:t>
      </w:r>
      <w:r>
        <w:rPr>
          <w:rFonts w:ascii="Palatino Linotype" w:hAnsi="Palatino Linotype"/>
        </w:rPr>
        <w:t xml:space="preserve">e </w:t>
      </w:r>
      <w:r w:rsidR="00A018B6">
        <w:rPr>
          <w:rFonts w:ascii="Palatino Linotype" w:hAnsi="Palatino Linotype"/>
        </w:rPr>
        <w:t>sus actividades sustantivas</w:t>
      </w:r>
      <w:r>
        <w:rPr>
          <w:rFonts w:ascii="Palatino Linotype" w:hAnsi="Palatino Linotype"/>
        </w:rPr>
        <w:t>.</w:t>
      </w:r>
    </w:p>
    <w:p w:rsidR="00E00344" w:rsidRPr="00A018B6" w:rsidRDefault="00E00344" w:rsidP="00E00344">
      <w:pPr>
        <w:shd w:val="clear" w:color="auto" w:fill="FFFFFF" w:themeFill="background1"/>
        <w:spacing w:before="100" w:beforeAutospacing="1" w:after="100" w:afterAutospacing="1" w:line="360" w:lineRule="auto"/>
        <w:jc w:val="both"/>
        <w:rPr>
          <w:rFonts w:ascii="Palatino Linotype" w:hAnsi="Palatino Linotype" w:cs="Arial"/>
        </w:rPr>
      </w:pPr>
      <w:r w:rsidRPr="00A018B6">
        <w:rPr>
          <w:rFonts w:ascii="Palatino Linotype" w:hAnsi="Palatino Linotype" w:cs="Arial"/>
        </w:rPr>
        <w:t xml:space="preserve">De tal suerte, que la </w:t>
      </w:r>
      <w:r w:rsidR="00A018B6">
        <w:rPr>
          <w:rFonts w:ascii="Palatino Linotype" w:hAnsi="Palatino Linotype" w:cs="Arial"/>
        </w:rPr>
        <w:t>i</w:t>
      </w:r>
      <w:r w:rsidRPr="00A018B6">
        <w:rPr>
          <w:rFonts w:ascii="Palatino Linotype" w:hAnsi="Palatino Linotype" w:cs="Arial"/>
        </w:rPr>
        <w:t xml:space="preserve">ntervención que subsume este ejercicio de ponderación apunta </w:t>
      </w:r>
      <w:r w:rsidR="00A018B6" w:rsidRPr="00A018B6">
        <w:rPr>
          <w:rFonts w:ascii="Palatino Linotype" w:hAnsi="Palatino Linotype" w:cs="Arial"/>
        </w:rPr>
        <w:t>a la obtención de mayores efectos positivos</w:t>
      </w:r>
      <w:r w:rsidRPr="00A018B6">
        <w:rPr>
          <w:rFonts w:ascii="Palatino Linotype" w:hAnsi="Palatino Linotype" w:cs="Arial"/>
        </w:rPr>
        <w:t xml:space="preserve"> para la </w:t>
      </w:r>
      <w:r w:rsidR="00A018B6" w:rsidRPr="00A018B6">
        <w:rPr>
          <w:rFonts w:ascii="Palatino Linotype" w:hAnsi="Palatino Linotype" w:cs="Arial"/>
        </w:rPr>
        <w:t>sociedad</w:t>
      </w:r>
      <w:r w:rsidR="00A018B6">
        <w:rPr>
          <w:rFonts w:ascii="Palatino Linotype" w:hAnsi="Palatino Linotype" w:cs="Arial"/>
        </w:rPr>
        <w:t xml:space="preserve"> y una afectación menor en </w:t>
      </w:r>
      <w:r w:rsidRPr="00A018B6">
        <w:rPr>
          <w:rFonts w:ascii="Palatino Linotype" w:hAnsi="Palatino Linotype" w:cs="Arial"/>
        </w:rPr>
        <w:t>el bien Jurídico de</w:t>
      </w:r>
      <w:r w:rsidR="00A018B6">
        <w:rPr>
          <w:rFonts w:ascii="Palatino Linotype" w:hAnsi="Palatino Linotype" w:cs="Arial"/>
        </w:rPr>
        <w:t xml:space="preserve"> secrecía al expediente</w:t>
      </w:r>
      <w:r w:rsidR="0055030C">
        <w:rPr>
          <w:rFonts w:ascii="Palatino Linotype" w:hAnsi="Palatino Linotype" w:cs="Arial"/>
        </w:rPr>
        <w:t xml:space="preserve"> y anexos</w:t>
      </w:r>
      <w:r w:rsidR="00A018B6">
        <w:rPr>
          <w:rFonts w:ascii="Palatino Linotype" w:hAnsi="Palatino Linotype" w:cs="Arial"/>
        </w:rPr>
        <w:t xml:space="preserve"> </w:t>
      </w:r>
      <w:r w:rsidRPr="00A018B6">
        <w:rPr>
          <w:rFonts w:ascii="Palatino Linotype" w:hAnsi="Palatino Linotype" w:cs="Arial"/>
        </w:rPr>
        <w:t xml:space="preserve">tomada </w:t>
      </w:r>
      <w:r w:rsidR="00A018B6">
        <w:rPr>
          <w:rFonts w:ascii="Palatino Linotype" w:hAnsi="Palatino Linotype" w:cs="Arial"/>
        </w:rPr>
        <w:t>por el Sujeto Obligado</w:t>
      </w:r>
      <w:r w:rsidRPr="00A018B6">
        <w:rPr>
          <w:rFonts w:ascii="Palatino Linotype" w:hAnsi="Palatino Linotype" w:cs="Arial"/>
        </w:rPr>
        <w:t xml:space="preserve">, favoreciendo el control ciudadano. </w:t>
      </w:r>
    </w:p>
    <w:p w:rsidR="00E00344" w:rsidRDefault="00E00344" w:rsidP="00E00344">
      <w:pPr>
        <w:shd w:val="clear" w:color="auto" w:fill="FFFFFF" w:themeFill="background1"/>
        <w:spacing w:before="100" w:beforeAutospacing="1" w:after="100" w:afterAutospacing="1" w:line="360" w:lineRule="auto"/>
        <w:jc w:val="both"/>
        <w:rPr>
          <w:rFonts w:ascii="Palatino Linotype" w:hAnsi="Palatino Linotype" w:cs="Arial"/>
        </w:rPr>
      </w:pPr>
      <w:r w:rsidRPr="00A018B6">
        <w:rPr>
          <w:rFonts w:ascii="Palatino Linotype" w:hAnsi="Palatino Linotype" w:cs="Arial"/>
        </w:rPr>
        <w:t xml:space="preserve">En  resumen, si  bien la  información  requerida  es  considerada  como  de  acceso restringido, ya  que encuadra en alguna de  las excepciones  a  la  publicidad  de  la información  establecida  en  la  Ley   General   de  Transparencia  y  Acceso   a  la Información Pública, replicada en el artículo 140 de la ley local, al tratarse de </w:t>
      </w:r>
      <w:r w:rsidRPr="00A018B6">
        <w:rPr>
          <w:rFonts w:ascii="Palatino Linotype" w:hAnsi="Palatino Linotype" w:cs="Arial"/>
        </w:rPr>
        <w:lastRenderedPageBreak/>
        <w:t xml:space="preserve">información relacionada con motivos de interés público, es que procede publicidad, pues su difusión contribuirá tanto a garantizar el ejercicio de acceso a la información, como a favorecer la rendición de cuentas a los  ciudadanos,  de  manera  que  puedan valorar el desempeño </w:t>
      </w:r>
      <w:r w:rsidR="0055030C">
        <w:rPr>
          <w:rFonts w:ascii="Palatino Linotype" w:hAnsi="Palatino Linotype" w:cs="Arial"/>
        </w:rPr>
        <w:t xml:space="preserve">de los </w:t>
      </w:r>
      <w:r w:rsidR="0055030C">
        <w:rPr>
          <w:rFonts w:ascii="Palatino Linotype" w:hAnsi="Palatino Linotype"/>
        </w:rPr>
        <w:t xml:space="preserve">Ayuntamientos </w:t>
      </w:r>
      <w:r w:rsidR="0055030C">
        <w:rPr>
          <w:rFonts w:ascii="Palatino Linotype" w:eastAsia="Cambria" w:hAnsi="Palatino Linotype"/>
          <w:lang w:eastAsia="en-US"/>
        </w:rPr>
        <w:t>de Teoloyucan</w:t>
      </w:r>
      <w:r w:rsidR="0055030C" w:rsidRPr="00C53A21">
        <w:rPr>
          <w:rFonts w:ascii="Palatino Linotype" w:eastAsia="Cambria" w:hAnsi="Palatino Linotype"/>
          <w:lang w:eastAsia="en-US"/>
        </w:rPr>
        <w:t xml:space="preserve"> </w:t>
      </w:r>
      <w:r w:rsidR="0055030C">
        <w:rPr>
          <w:rFonts w:ascii="Palatino Linotype" w:eastAsia="Cambria" w:hAnsi="Palatino Linotype"/>
          <w:lang w:eastAsia="en-US"/>
        </w:rPr>
        <w:t xml:space="preserve">y Tepotzotlán, </w:t>
      </w:r>
      <w:r w:rsidR="0055030C">
        <w:rPr>
          <w:rFonts w:ascii="Palatino Linotype" w:hAnsi="Palatino Linotype"/>
        </w:rPr>
        <w:t xml:space="preserve">como de la </w:t>
      </w:r>
      <w:r w:rsidR="0055030C">
        <w:rPr>
          <w:rFonts w:ascii="Palatino Linotype" w:hAnsi="Palatino Linotype" w:cs="Arial"/>
        </w:rPr>
        <w:t>Comisión</w:t>
      </w:r>
      <w:r w:rsidR="0055030C">
        <w:rPr>
          <w:rFonts w:ascii="Palatino Linotype" w:eastAsia="Cambria" w:hAnsi="Palatino Linotype"/>
          <w:lang w:eastAsia="en-US"/>
        </w:rPr>
        <w:t xml:space="preserve"> de Límites del Gobierno d</w:t>
      </w:r>
      <w:r w:rsidR="0055030C" w:rsidRPr="00571904">
        <w:rPr>
          <w:rFonts w:ascii="Palatino Linotype" w:eastAsia="Cambria" w:hAnsi="Palatino Linotype"/>
          <w:lang w:eastAsia="en-US"/>
        </w:rPr>
        <w:t>el Estado</w:t>
      </w:r>
      <w:r w:rsidR="0055030C">
        <w:rPr>
          <w:rFonts w:ascii="Palatino Linotype" w:eastAsia="Cambria" w:hAnsi="Palatino Linotype"/>
          <w:lang w:eastAsia="en-US"/>
        </w:rPr>
        <w:t xml:space="preserve"> d</w:t>
      </w:r>
      <w:r w:rsidR="0055030C" w:rsidRPr="00571904">
        <w:rPr>
          <w:rFonts w:ascii="Palatino Linotype" w:eastAsia="Cambria" w:hAnsi="Palatino Linotype"/>
          <w:lang w:eastAsia="en-US"/>
        </w:rPr>
        <w:t>e México</w:t>
      </w:r>
      <w:r w:rsidRPr="00A018B6">
        <w:rPr>
          <w:rFonts w:ascii="Palatino Linotype" w:hAnsi="Palatino Linotype" w:cs="Arial"/>
        </w:rPr>
        <w:t>, fortaleciendo el escrutinio ciudadano sobre sus actividades sustantivas, cumpliendo así con los ideales planteados en los  objetivos previstos en el artículo 2 de la Ley de Transparencia y Acceso a la información Pública del estado de México y Municipios.</w:t>
      </w:r>
      <w:r>
        <w:rPr>
          <w:rFonts w:ascii="Palatino Linotype" w:hAnsi="Palatino Linotype" w:cs="Arial"/>
        </w:rPr>
        <w:t xml:space="preserve"> </w:t>
      </w:r>
    </w:p>
    <w:p w:rsidR="00147D1A" w:rsidRDefault="00BA6088" w:rsidP="00792654">
      <w:pPr>
        <w:spacing w:line="360" w:lineRule="auto"/>
        <w:jc w:val="both"/>
        <w:rPr>
          <w:rFonts w:ascii="Palatino Linotype" w:hAnsi="Palatino Linotype"/>
        </w:rPr>
      </w:pPr>
      <w:r w:rsidRPr="004E4E7C">
        <w:rPr>
          <w:rFonts w:ascii="Palatino Linotype" w:hAnsi="Palatino Linotype" w:cs="Arial"/>
        </w:rPr>
        <w:t xml:space="preserve">Razones por la cuales </w:t>
      </w:r>
      <w:r w:rsidR="004E4E7C" w:rsidRPr="004E4E7C">
        <w:rPr>
          <w:rFonts w:ascii="Palatino Linotype" w:hAnsi="Palatino Linotype" w:cs="Arial"/>
        </w:rPr>
        <w:t>el acuerdo número PLEGISLA/LX/CT/19ªext/2021/SEXTO contenido en el acta de la décima novena sesión extraordinaria del Comité de Transparencia del Poder Legislativo del Estado Libre y Soberano de México</w:t>
      </w:r>
      <w:r w:rsidR="004E4E7C" w:rsidRPr="004E4E7C">
        <w:rPr>
          <w:rFonts w:ascii="Palatino Linotype" w:hAnsi="Palatino Linotype"/>
        </w:rPr>
        <w:t>, de fecha treinta de julio</w:t>
      </w:r>
      <w:r w:rsidRPr="004E4E7C">
        <w:rPr>
          <w:rFonts w:ascii="Palatino Linotype" w:hAnsi="Palatino Linotype"/>
        </w:rPr>
        <w:t xml:space="preserve"> de</w:t>
      </w:r>
      <w:r w:rsidR="004E4E7C" w:rsidRPr="004E4E7C">
        <w:rPr>
          <w:rFonts w:ascii="Palatino Linotype" w:hAnsi="Palatino Linotype"/>
        </w:rPr>
        <w:t>l dos mil veintiuno</w:t>
      </w:r>
      <w:r w:rsidRPr="004E4E7C">
        <w:rPr>
          <w:rFonts w:ascii="Palatino Linotype" w:hAnsi="Palatino Linotype"/>
        </w:rPr>
        <w:t xml:space="preserve">, resulta improcedente </w:t>
      </w:r>
      <w:r w:rsidR="00840D4E" w:rsidRPr="004E4E7C">
        <w:rPr>
          <w:rFonts w:ascii="Palatino Linotype" w:hAnsi="Palatino Linotype"/>
        </w:rPr>
        <w:t xml:space="preserve">en el presente caso en particular, por los motivos y fundamentos expuestos en el presente considerando; por consiguiente, lo dable es ordenar </w:t>
      </w:r>
      <w:r w:rsidR="00147D1A">
        <w:rPr>
          <w:rFonts w:ascii="Palatino Linotype" w:hAnsi="Palatino Linotype"/>
        </w:rPr>
        <w:t xml:space="preserve">en términos del considerando quinto, </w:t>
      </w:r>
      <w:r w:rsidR="00840D4E" w:rsidRPr="004E4E7C">
        <w:rPr>
          <w:rFonts w:ascii="Palatino Linotype" w:hAnsi="Palatino Linotype"/>
        </w:rPr>
        <w:t>el expediente completo en archivo PDF o en formato que se haya generado,</w:t>
      </w:r>
      <w:r w:rsidR="009F2879" w:rsidRPr="004E4E7C">
        <w:rPr>
          <w:rFonts w:ascii="Palatino Linotype" w:hAnsi="Palatino Linotype"/>
        </w:rPr>
        <w:t xml:space="preserve"> de </w:t>
      </w:r>
      <w:r w:rsidR="00840D4E" w:rsidRPr="004E4E7C">
        <w:rPr>
          <w:rFonts w:ascii="Palatino Linotype" w:hAnsi="Palatino Linotype"/>
        </w:rPr>
        <w:t xml:space="preserve">todo lo relacionado con el </w:t>
      </w:r>
      <w:r w:rsidR="009F2879" w:rsidRPr="004E4E7C">
        <w:rPr>
          <w:rFonts w:ascii="Palatino Linotype" w:hAnsi="Palatino Linotype"/>
        </w:rPr>
        <w:t>diferendo limítrofe</w:t>
      </w:r>
      <w:r w:rsidR="00840D4E" w:rsidRPr="004E4E7C">
        <w:rPr>
          <w:rFonts w:ascii="Palatino Linotype" w:hAnsi="Palatino Linotype"/>
        </w:rPr>
        <w:t xml:space="preserve"> </w:t>
      </w:r>
      <w:r w:rsidR="004E4E7C" w:rsidRPr="004E4E7C">
        <w:rPr>
          <w:rFonts w:ascii="Palatino Linotype" w:hAnsi="Palatino Linotype"/>
        </w:rPr>
        <w:t>intermunicipal entre los municipios de Teoloyucan y Tepotzotlán</w:t>
      </w:r>
      <w:r w:rsidR="00147D1A">
        <w:rPr>
          <w:rFonts w:ascii="Palatino Linotype" w:hAnsi="Palatino Linotype"/>
        </w:rPr>
        <w:t>, como sus anexos.</w:t>
      </w:r>
    </w:p>
    <w:p w:rsidR="00147D1A" w:rsidRDefault="00147D1A" w:rsidP="00792654">
      <w:pPr>
        <w:spacing w:line="360" w:lineRule="auto"/>
        <w:jc w:val="both"/>
        <w:rPr>
          <w:rFonts w:ascii="Palatino Linotype" w:hAnsi="Palatino Linotype"/>
        </w:rPr>
      </w:pPr>
    </w:p>
    <w:p w:rsidR="00147D1A" w:rsidRDefault="00147D1A" w:rsidP="00792654">
      <w:pPr>
        <w:spacing w:line="360" w:lineRule="auto"/>
        <w:jc w:val="both"/>
        <w:rPr>
          <w:rFonts w:ascii="Palatino Linotype" w:hAnsi="Palatino Linotype"/>
        </w:rPr>
      </w:pPr>
      <w:r w:rsidRPr="00147D1A">
        <w:rPr>
          <w:rFonts w:ascii="Palatino Linotype" w:hAnsi="Palatino Linotype"/>
        </w:rPr>
        <w:t xml:space="preserve">Lo anterior, en consideración a lo dispuesto por el Criterio número 17/17 emitido por entonces denominado IFAI, actualmente INAI, relacionado con los anexos de un documento, que a la letra establece: </w:t>
      </w:r>
    </w:p>
    <w:p w:rsidR="00147D1A" w:rsidRPr="00147D1A" w:rsidRDefault="00147D1A" w:rsidP="00147D1A">
      <w:pPr>
        <w:shd w:val="clear" w:color="auto" w:fill="FFFFFF" w:themeFill="background1"/>
        <w:spacing w:before="100" w:beforeAutospacing="1" w:after="100" w:afterAutospacing="1"/>
        <w:ind w:left="993" w:right="758"/>
        <w:jc w:val="both"/>
        <w:rPr>
          <w:rFonts w:ascii="Palatino Linotype" w:hAnsi="Palatino Linotype"/>
          <w:i/>
          <w:sz w:val="22"/>
        </w:rPr>
      </w:pPr>
      <w:r w:rsidRPr="00147D1A">
        <w:rPr>
          <w:rFonts w:ascii="Palatino Linotype" w:hAnsi="Palatino Linotype"/>
          <w:i/>
          <w:sz w:val="22"/>
        </w:rPr>
        <w:t xml:space="preserve">“Anexos de los documentos solicitados. Los anexos de un documento se consideran parte integral del mismo. Por lo anterior, ante solicitudes de información relacionadas con documentos que incluyen anexos, los sujetos obligados deberán entregarlos, con excepción de aquellos casos en que el </w:t>
      </w:r>
      <w:r w:rsidRPr="00147D1A">
        <w:rPr>
          <w:rFonts w:ascii="Palatino Linotype" w:hAnsi="Palatino Linotype"/>
          <w:i/>
          <w:sz w:val="22"/>
        </w:rPr>
        <w:lastRenderedPageBreak/>
        <w:t xml:space="preserve">solicitante manifieste expresamente su interés de acceder únicamente al documento principal. </w:t>
      </w:r>
    </w:p>
    <w:p w:rsidR="00147D1A" w:rsidRDefault="00147D1A" w:rsidP="00147D1A">
      <w:pPr>
        <w:shd w:val="clear" w:color="auto" w:fill="FFFFFF" w:themeFill="background1"/>
        <w:spacing w:before="100" w:beforeAutospacing="1" w:after="100" w:afterAutospacing="1"/>
        <w:ind w:left="993" w:right="758"/>
        <w:jc w:val="both"/>
        <w:rPr>
          <w:rFonts w:ascii="Palatino Linotype" w:hAnsi="Palatino Linotype"/>
          <w:i/>
          <w:sz w:val="22"/>
        </w:rPr>
      </w:pPr>
      <w:r w:rsidRPr="00147D1A">
        <w:rPr>
          <w:rFonts w:ascii="Palatino Linotype" w:hAnsi="Palatino Linotype"/>
          <w:i/>
          <w:sz w:val="22"/>
        </w:rPr>
        <w:t>Resoluciones: • RRA 0483/17. Universidad Nacional Autónoma de México. 22 de febrero de 2017. Por unanimidad. Comisionado Ponente Joel Salas Suárez. • RRA 4503/16. Secretaría de Hacienda y Crédito Público. 01 de marzo de 2017. Por unanimidad. Comisionada Ponente Areli Cano Guadiana. • RRA 1639/17. Instituto Mexicano del Seguro Social. 19 de abril de 2017. Por unanimidad. Comisionado Ponente Francisco Javier Acuña Llamas.”</w:t>
      </w:r>
    </w:p>
    <w:p w:rsidR="00792654" w:rsidRPr="00255CC3" w:rsidRDefault="00792654" w:rsidP="00792654">
      <w:pPr>
        <w:spacing w:before="240" w:after="240" w:line="360" w:lineRule="auto"/>
        <w:jc w:val="both"/>
        <w:rPr>
          <w:rFonts w:ascii="Palatino Linotype" w:hAnsi="Palatino Linotype"/>
        </w:rPr>
      </w:pPr>
      <w:r w:rsidRPr="00792654">
        <w:rPr>
          <w:rFonts w:ascii="Palatino Linotype" w:hAnsi="Palatino Linotype"/>
          <w:b/>
          <w:color w:val="000000"/>
        </w:rPr>
        <w:t>Quinto. Versión Pública.</w:t>
      </w:r>
      <w:r w:rsidRPr="00255CC3">
        <w:rPr>
          <w:rFonts w:ascii="Palatino Linotype" w:hAnsi="Palatino Linotype" w:cs="Arial"/>
          <w:bCs/>
          <w:sz w:val="28"/>
        </w:rPr>
        <w:t xml:space="preserve"> </w:t>
      </w:r>
      <w:r w:rsidRPr="00255CC3">
        <w:rPr>
          <w:rFonts w:ascii="Palatino Linotype" w:hAnsi="Palatino Linotype"/>
        </w:rPr>
        <w:t xml:space="preserve">Finalmente, debe señalarse que de ser el caso en que los documentos que vayan a ser entregados </w:t>
      </w:r>
      <w:r w:rsidRPr="004E4E7C">
        <w:rPr>
          <w:rFonts w:ascii="Palatino Linotype" w:hAnsi="Palatino Linotype"/>
        </w:rPr>
        <w:t xml:space="preserve">por el </w:t>
      </w:r>
      <w:r w:rsidR="004E4E7C" w:rsidRPr="004E4E7C">
        <w:rPr>
          <w:rFonts w:ascii="Palatino Linotype" w:hAnsi="Palatino Linotype" w:cs="Arial"/>
          <w:b/>
        </w:rPr>
        <w:t>Poder Legislativo</w:t>
      </w:r>
      <w:r w:rsidRPr="004E4E7C">
        <w:rPr>
          <w:rFonts w:ascii="Palatino Linotype" w:hAnsi="Palatino Linotype"/>
        </w:rPr>
        <w:t xml:space="preserve">, para </w:t>
      </w:r>
      <w:r w:rsidRPr="00255CC3">
        <w:rPr>
          <w:rFonts w:ascii="Palatino Linotype" w:hAnsi="Palatino Linotype"/>
        </w:rPr>
        <w:t>dar cumplimiento a la presente resolución, contengan datos que deban ser clasificados, el Sujeto Obligado deberá hacer la elaboración de la versión pública de tales documentos a fin de satisfacer el derecho de acceso a la información pública del recurrente sin menoscabo al derecho a la protección de los datos personales de terceros.</w:t>
      </w:r>
    </w:p>
    <w:p w:rsidR="00792654" w:rsidRPr="00255CC3" w:rsidRDefault="00792654" w:rsidP="00792654">
      <w:pPr>
        <w:spacing w:before="240" w:after="240" w:line="360" w:lineRule="auto"/>
        <w:jc w:val="both"/>
        <w:rPr>
          <w:rFonts w:ascii="Palatino Linotype" w:hAnsi="Palatino Linotype" w:cs="Arial"/>
        </w:rPr>
      </w:pPr>
      <w:r w:rsidRPr="00255CC3">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“Artículo 3. Para los efectos de la presente Ley se entenderá por:</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XX. Información clasificada: Aquella considerada por la presente Ley como reservada o confidencial;</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 xml:space="preserve">XXI. Información confidencial: Se considera como información confidencial los secretos bancario, fiduciario, industrial, comercial, fiscal, bursátil y postal, cuya titularidad </w:t>
      </w:r>
      <w:r w:rsidRPr="00255CC3">
        <w:rPr>
          <w:rFonts w:ascii="Palatino Linotype" w:hAnsi="Palatino Linotype" w:cs="Arial"/>
          <w:i/>
          <w:sz w:val="20"/>
          <w:szCs w:val="20"/>
        </w:rPr>
        <w:lastRenderedPageBreak/>
        <w:t>corresponda a particulares, sujetos de derecho internacional o a sujetos obligados cuando no involucren el ejercicio de recursos públicos;</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XLV. Versión pública: Documento en el que se elimine, suprime o borra la información clasificada como reservada o confidencial para permitir su acceso.</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Artículo 91. El acceso a la información pública será restringido excepcionalmente, cuando ésta sea clasificada como reservada o confidencial.</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Artículo 132. La clasificación de la información se llevará a cabo en el momento en que:</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I. Se reciba una solicitud de acceso a la información;</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II. Se determine mediante resolución de autoridad competente; o</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III. Se generen versiones públicas para dar cumplimiento a las obligaciones de transparencia previstas en esta Ley.</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Artículo 143. Para los efectos de esta Ley se considera información confidencial, la clasificada como tal, de manera permanente, por su naturaleza, cuando:</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I. Se refiera a la información privada y los datos personales concernientes a una persona física o jurídico colectiva identificada o identificable;</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III. La que presenten los particulares a los sujetos obligados, de conformidad con lo dispuesto por las leyes o los tratados internacionales.</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rsidR="00792654" w:rsidRPr="00255CC3" w:rsidRDefault="00792654" w:rsidP="00792654">
      <w:pPr>
        <w:spacing w:before="120" w:after="120"/>
        <w:ind w:left="851" w:right="902"/>
        <w:jc w:val="both"/>
        <w:rPr>
          <w:rFonts w:ascii="Palatino Linotype" w:hAnsi="Palatino Linotype" w:cs="Arial"/>
          <w:i/>
          <w:sz w:val="20"/>
          <w:szCs w:val="20"/>
        </w:rPr>
      </w:pPr>
      <w:r w:rsidRPr="00255CC3">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p>
    <w:p w:rsidR="00792654" w:rsidRPr="00255CC3" w:rsidRDefault="00792654" w:rsidP="00792654">
      <w:pPr>
        <w:spacing w:before="240" w:after="240" w:line="360" w:lineRule="auto"/>
        <w:jc w:val="both"/>
        <w:rPr>
          <w:rFonts w:ascii="Palatino Linotype" w:hAnsi="Palatino Linotype" w:cs="Arial"/>
        </w:rPr>
      </w:pPr>
      <w:r w:rsidRPr="00255CC3">
        <w:rPr>
          <w:rFonts w:ascii="Palatino Linotype" w:hAnsi="Palatino Linotype" w:cs="Arial"/>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w:t>
      </w:r>
      <w:r w:rsidRPr="00255CC3">
        <w:rPr>
          <w:rFonts w:ascii="Palatino Linotype" w:hAnsi="Palatino Linotype" w:cs="Arial"/>
        </w:rPr>
        <w:lastRenderedPageBreak/>
        <w:t>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92654" w:rsidRPr="00255CC3" w:rsidRDefault="00792654" w:rsidP="00792654">
      <w:pPr>
        <w:spacing w:before="240" w:after="240" w:line="360" w:lineRule="auto"/>
        <w:jc w:val="both"/>
        <w:rPr>
          <w:rFonts w:ascii="Palatino Linotype" w:hAnsi="Palatino Linotype" w:cs="Arial"/>
        </w:rPr>
      </w:pPr>
      <w:r w:rsidRPr="00255CC3">
        <w:rPr>
          <w:rFonts w:ascii="Palatino Linotype" w:hAnsi="Palatino Linotype" w:cs="Arial"/>
        </w:rPr>
        <w:t>Entorno a lo que aquí nos interesa, los Lineamientos Quincuagésimo sexto, Quincuagésimo séptimo y Quincuagésimo octavo, establecen lo siguiente:</w:t>
      </w:r>
    </w:p>
    <w:p w:rsidR="00792654" w:rsidRPr="00255CC3" w:rsidRDefault="00792654" w:rsidP="00792654">
      <w:pPr>
        <w:spacing w:before="120" w:after="120"/>
        <w:ind w:left="851" w:right="902"/>
        <w:jc w:val="both"/>
        <w:rPr>
          <w:rFonts w:ascii="Palatino Linotype" w:hAnsi="Palatino Linotype" w:cs="Arial"/>
          <w:i/>
          <w:sz w:val="22"/>
          <w:szCs w:val="20"/>
        </w:rPr>
      </w:pPr>
      <w:r w:rsidRPr="00255CC3">
        <w:rPr>
          <w:rFonts w:ascii="Palatino Linotype" w:hAnsi="Palatino Linotype" w:cs="Arial"/>
          <w:i/>
          <w:sz w:val="22"/>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92654" w:rsidRPr="00255CC3" w:rsidRDefault="00792654" w:rsidP="00792654">
      <w:pPr>
        <w:spacing w:before="120" w:after="120"/>
        <w:ind w:left="851" w:right="902"/>
        <w:jc w:val="both"/>
        <w:rPr>
          <w:rFonts w:ascii="Palatino Linotype" w:hAnsi="Palatino Linotype" w:cs="Arial"/>
          <w:i/>
          <w:sz w:val="22"/>
          <w:szCs w:val="20"/>
        </w:rPr>
      </w:pPr>
      <w:r w:rsidRPr="00255CC3">
        <w:rPr>
          <w:rFonts w:ascii="Palatino Linotype" w:hAnsi="Palatino Linotype" w:cs="Arial"/>
          <w:i/>
          <w:sz w:val="22"/>
          <w:szCs w:val="20"/>
        </w:rPr>
        <w:t xml:space="preserve">Quincuagésimo séptimo. Se considera, en principio, como información pública y no podrá omitirse de las versiones públicas la siguiente: </w:t>
      </w:r>
    </w:p>
    <w:p w:rsidR="00792654" w:rsidRPr="00255CC3" w:rsidRDefault="00792654" w:rsidP="00792654">
      <w:pPr>
        <w:spacing w:before="120" w:after="120"/>
        <w:ind w:left="851" w:right="902"/>
        <w:jc w:val="both"/>
        <w:rPr>
          <w:rFonts w:ascii="Palatino Linotype" w:hAnsi="Palatino Linotype" w:cs="Arial"/>
          <w:i/>
          <w:sz w:val="22"/>
          <w:szCs w:val="20"/>
        </w:rPr>
      </w:pPr>
      <w:r w:rsidRPr="00255CC3">
        <w:rPr>
          <w:rFonts w:ascii="Palatino Linotype" w:hAnsi="Palatino Linotype" w:cs="Arial"/>
          <w:i/>
          <w:sz w:val="22"/>
          <w:szCs w:val="20"/>
        </w:rPr>
        <w:t xml:space="preserve">I. La relativa a las Obligaciones de Transparencia que contempla el Título V de la Ley General y las demás disposiciones legales aplicables; </w:t>
      </w:r>
    </w:p>
    <w:p w:rsidR="00792654" w:rsidRPr="00255CC3" w:rsidRDefault="00792654" w:rsidP="00792654">
      <w:pPr>
        <w:spacing w:before="120" w:after="120"/>
        <w:ind w:left="851" w:right="902"/>
        <w:jc w:val="both"/>
        <w:rPr>
          <w:rFonts w:ascii="Palatino Linotype" w:hAnsi="Palatino Linotype" w:cs="Arial"/>
          <w:i/>
          <w:sz w:val="22"/>
          <w:szCs w:val="20"/>
        </w:rPr>
      </w:pPr>
      <w:r w:rsidRPr="00255CC3">
        <w:rPr>
          <w:rFonts w:ascii="Palatino Linotype" w:hAnsi="Palatino Linotype" w:cs="Arial"/>
          <w:i/>
          <w:sz w:val="22"/>
          <w:szCs w:val="20"/>
        </w:rPr>
        <w:t xml:space="preserve">II. El nombre de los servidores públicos en los documentos, y sus firmas autógrafas, cuando sean utilizados en el ejercicio de las facultades conferidas para el desempeño del servicio público, y </w:t>
      </w:r>
    </w:p>
    <w:p w:rsidR="00792654" w:rsidRPr="00255CC3" w:rsidRDefault="00792654" w:rsidP="00792654">
      <w:pPr>
        <w:spacing w:before="120" w:after="120"/>
        <w:ind w:left="851" w:right="902"/>
        <w:jc w:val="both"/>
        <w:rPr>
          <w:rFonts w:ascii="Palatino Linotype" w:hAnsi="Palatino Linotype" w:cs="Arial"/>
          <w:i/>
          <w:sz w:val="22"/>
          <w:szCs w:val="20"/>
        </w:rPr>
      </w:pPr>
      <w:r w:rsidRPr="00255CC3">
        <w:rPr>
          <w:rFonts w:ascii="Palatino Linotype" w:hAnsi="Palatino Linotype" w:cs="Arial"/>
          <w:i/>
          <w:sz w:val="22"/>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rsidR="00792654" w:rsidRPr="00255CC3" w:rsidRDefault="00792654" w:rsidP="00792654">
      <w:pPr>
        <w:spacing w:before="120" w:after="120"/>
        <w:ind w:left="851" w:right="902"/>
        <w:jc w:val="both"/>
        <w:rPr>
          <w:rFonts w:ascii="Palatino Linotype" w:hAnsi="Palatino Linotype" w:cs="Arial"/>
          <w:i/>
          <w:sz w:val="22"/>
          <w:szCs w:val="20"/>
        </w:rPr>
      </w:pPr>
      <w:r w:rsidRPr="00255CC3">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rsidR="00792654" w:rsidRPr="00255CC3" w:rsidRDefault="00792654" w:rsidP="00792654">
      <w:pPr>
        <w:spacing w:before="120" w:after="120"/>
        <w:ind w:left="851" w:right="902"/>
        <w:jc w:val="both"/>
        <w:rPr>
          <w:rFonts w:ascii="Palatino Linotype" w:hAnsi="Palatino Linotype" w:cs="Arial"/>
          <w:i/>
          <w:sz w:val="22"/>
          <w:szCs w:val="20"/>
        </w:rPr>
      </w:pPr>
      <w:r w:rsidRPr="00255CC3">
        <w:rPr>
          <w:rFonts w:ascii="Palatino Linotype" w:hAnsi="Palatino Linotype" w:cs="Arial"/>
          <w:i/>
          <w:sz w:val="22"/>
          <w:szCs w:val="20"/>
        </w:rPr>
        <w:t>Quincuagésimo octavo. Los sujetos obligados garantizarán que los sistemas o medios empleados para eliminar la información en las versiones públicas no permitan la recuperación o visualización de la misma.”</w:t>
      </w:r>
    </w:p>
    <w:p w:rsidR="00792654" w:rsidRPr="00255CC3" w:rsidRDefault="00792654" w:rsidP="00792654">
      <w:pPr>
        <w:spacing w:before="240" w:after="240" w:line="360" w:lineRule="auto"/>
        <w:jc w:val="both"/>
        <w:rPr>
          <w:rFonts w:ascii="Palatino Linotype" w:hAnsi="Palatino Linotype" w:cs="Arial"/>
        </w:rPr>
      </w:pPr>
      <w:r w:rsidRPr="00255CC3">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w:t>
      </w:r>
      <w:r w:rsidRPr="00255CC3">
        <w:rPr>
          <w:rFonts w:ascii="Palatino Linotype" w:hAnsi="Palatino Linotype" w:cs="Arial"/>
        </w:rPr>
        <w:lastRenderedPageBreak/>
        <w:t>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92654" w:rsidRPr="00255CC3" w:rsidRDefault="00792654" w:rsidP="00792654">
      <w:pPr>
        <w:spacing w:before="240" w:after="240" w:line="360" w:lineRule="auto"/>
        <w:jc w:val="both"/>
        <w:rPr>
          <w:rFonts w:ascii="Palatino Linotype" w:hAnsi="Palatino Linotype"/>
        </w:rPr>
      </w:pPr>
      <w:r w:rsidRPr="00255CC3">
        <w:rPr>
          <w:rFonts w:ascii="Palatino Linotype" w:hAnsi="Palatino Linotype" w:cs="Arial"/>
        </w:rPr>
        <w:t>En relación directa con ello, los Lineamientos en estudio</w:t>
      </w:r>
      <w:r w:rsidRPr="00255CC3">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846"/>
        <w:gridCol w:w="3568"/>
        <w:gridCol w:w="968"/>
        <w:gridCol w:w="3446"/>
      </w:tblGrid>
      <w:tr w:rsidR="00792654" w:rsidRPr="00255CC3" w:rsidTr="00F74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792654" w:rsidRPr="00255CC3" w:rsidRDefault="00792654" w:rsidP="00F74E6D">
            <w:pPr>
              <w:jc w:val="center"/>
              <w:rPr>
                <w:rFonts w:ascii="Palatino Linotype" w:hAnsi="Palatino Linotype"/>
                <w:sz w:val="12"/>
                <w:szCs w:val="12"/>
              </w:rPr>
            </w:pPr>
            <w:r w:rsidRPr="00255CC3">
              <w:rPr>
                <w:rFonts w:ascii="Palatino Linotype" w:hAnsi="Palatino Linotype"/>
                <w:sz w:val="12"/>
                <w:szCs w:val="12"/>
              </w:rPr>
              <w:t>Parcial</w:t>
            </w:r>
          </w:p>
        </w:tc>
        <w:tc>
          <w:tcPr>
            <w:tcW w:w="4414" w:type="dxa"/>
            <w:gridSpan w:val="2"/>
          </w:tcPr>
          <w:p w:rsidR="00792654" w:rsidRPr="00255CC3" w:rsidRDefault="00792654" w:rsidP="00F74E6D">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Total</w:t>
            </w:r>
          </w:p>
        </w:tc>
      </w:tr>
      <w:tr w:rsidR="00792654" w:rsidRPr="00255CC3" w:rsidTr="00F74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792654" w:rsidRPr="00255CC3" w:rsidRDefault="00792654" w:rsidP="00F74E6D">
            <w:pPr>
              <w:jc w:val="center"/>
              <w:rPr>
                <w:rFonts w:ascii="Palatino Linotype" w:hAnsi="Palatino Linotype"/>
                <w:sz w:val="12"/>
                <w:szCs w:val="12"/>
              </w:rPr>
            </w:pPr>
            <w:r w:rsidRPr="00255CC3">
              <w:rPr>
                <w:rFonts w:ascii="Palatino Linotype" w:hAnsi="Palatino Linotype"/>
                <w:sz w:val="12"/>
                <w:szCs w:val="12"/>
              </w:rPr>
              <w:t>Concepto</w:t>
            </w:r>
          </w:p>
        </w:tc>
        <w:tc>
          <w:tcPr>
            <w:tcW w:w="3568" w:type="dxa"/>
          </w:tcPr>
          <w:p w:rsidR="00792654" w:rsidRPr="00255CC3" w:rsidRDefault="00792654" w:rsidP="00F74E6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55CC3">
              <w:rPr>
                <w:rFonts w:ascii="Palatino Linotype" w:hAnsi="Palatino Linotype"/>
                <w:b/>
                <w:sz w:val="12"/>
                <w:szCs w:val="12"/>
              </w:rPr>
              <w:t>Dónde</w:t>
            </w:r>
          </w:p>
        </w:tc>
        <w:tc>
          <w:tcPr>
            <w:tcW w:w="968" w:type="dxa"/>
          </w:tcPr>
          <w:p w:rsidR="00792654" w:rsidRPr="00255CC3" w:rsidRDefault="00792654" w:rsidP="00F74E6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55CC3">
              <w:rPr>
                <w:rFonts w:ascii="Palatino Linotype" w:hAnsi="Palatino Linotype"/>
                <w:b/>
                <w:sz w:val="12"/>
                <w:szCs w:val="12"/>
              </w:rPr>
              <w:t>Concepto</w:t>
            </w:r>
          </w:p>
        </w:tc>
        <w:tc>
          <w:tcPr>
            <w:tcW w:w="3446" w:type="dxa"/>
          </w:tcPr>
          <w:p w:rsidR="00792654" w:rsidRPr="00255CC3" w:rsidRDefault="00792654" w:rsidP="00F74E6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55CC3">
              <w:rPr>
                <w:rFonts w:ascii="Palatino Linotype" w:hAnsi="Palatino Linotype"/>
                <w:b/>
                <w:sz w:val="12"/>
                <w:szCs w:val="12"/>
              </w:rPr>
              <w:t>Dónde</w:t>
            </w:r>
          </w:p>
        </w:tc>
      </w:tr>
      <w:tr w:rsidR="00792654" w:rsidRPr="00255CC3" w:rsidTr="00F74E6D">
        <w:tc>
          <w:tcPr>
            <w:cnfStyle w:val="001000000000" w:firstRow="0" w:lastRow="0" w:firstColumn="1" w:lastColumn="0" w:oddVBand="0" w:evenVBand="0" w:oddHBand="0" w:evenHBand="0" w:firstRowFirstColumn="0" w:firstRowLastColumn="0" w:lastRowFirstColumn="0" w:lastRowLastColumn="0"/>
            <w:tcW w:w="8828" w:type="dxa"/>
            <w:gridSpan w:val="4"/>
          </w:tcPr>
          <w:p w:rsidR="00792654" w:rsidRPr="00255CC3" w:rsidRDefault="00792654" w:rsidP="00F74E6D">
            <w:pPr>
              <w:jc w:val="center"/>
              <w:rPr>
                <w:rFonts w:ascii="Palatino Linotype" w:hAnsi="Palatino Linotype"/>
                <w:sz w:val="12"/>
                <w:szCs w:val="12"/>
              </w:rPr>
            </w:pPr>
            <w:r w:rsidRPr="00255CC3">
              <w:rPr>
                <w:rFonts w:ascii="Palatino Linotype" w:hAnsi="Palatino Linotype"/>
                <w:sz w:val="12"/>
                <w:szCs w:val="12"/>
              </w:rPr>
              <w:t>Sello oficial o logotipo del sujeto obligado</w:t>
            </w:r>
          </w:p>
        </w:tc>
      </w:tr>
      <w:tr w:rsidR="00792654" w:rsidRPr="00255CC3" w:rsidTr="00F74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792654" w:rsidRPr="00255CC3" w:rsidRDefault="00792654" w:rsidP="00F74E6D">
            <w:pPr>
              <w:jc w:val="both"/>
              <w:rPr>
                <w:rFonts w:ascii="Palatino Linotype" w:hAnsi="Palatino Linotype"/>
                <w:sz w:val="12"/>
                <w:szCs w:val="12"/>
              </w:rPr>
            </w:pPr>
            <w:r w:rsidRPr="00255CC3">
              <w:rPr>
                <w:rFonts w:ascii="Palatino Linotype" w:hAnsi="Palatino Linotype"/>
                <w:sz w:val="12"/>
                <w:szCs w:val="12"/>
              </w:rPr>
              <w:t>Fecha de clasificación</w:t>
            </w:r>
          </w:p>
        </w:tc>
        <w:tc>
          <w:tcPr>
            <w:tcW w:w="3568" w:type="dxa"/>
          </w:tcPr>
          <w:p w:rsidR="00792654" w:rsidRPr="00255CC3" w:rsidRDefault="00792654" w:rsidP="00F74E6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Se anotará la fecha en la que el Comité de Transparencia confirmó la clasificación del documento, en su caso.</w:t>
            </w:r>
          </w:p>
        </w:tc>
        <w:tc>
          <w:tcPr>
            <w:tcW w:w="968" w:type="dxa"/>
          </w:tcPr>
          <w:p w:rsidR="00792654" w:rsidRPr="00255CC3" w:rsidRDefault="00792654" w:rsidP="00F74E6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55CC3">
              <w:rPr>
                <w:rFonts w:ascii="Palatino Linotype" w:hAnsi="Palatino Linotype"/>
                <w:b/>
                <w:sz w:val="12"/>
                <w:szCs w:val="12"/>
              </w:rPr>
              <w:t>Fecha de clasificación</w:t>
            </w:r>
          </w:p>
        </w:tc>
        <w:tc>
          <w:tcPr>
            <w:tcW w:w="3446" w:type="dxa"/>
          </w:tcPr>
          <w:p w:rsidR="00792654" w:rsidRPr="00255CC3" w:rsidRDefault="00792654" w:rsidP="00F74E6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Se anotará la fecha en la que el Comité de Transparencia confirmó la clasificación del documento, en su caso.</w:t>
            </w:r>
          </w:p>
        </w:tc>
      </w:tr>
      <w:tr w:rsidR="00792654" w:rsidRPr="00255CC3" w:rsidTr="00F74E6D">
        <w:tc>
          <w:tcPr>
            <w:cnfStyle w:val="001000000000" w:firstRow="0" w:lastRow="0" w:firstColumn="1" w:lastColumn="0" w:oddVBand="0" w:evenVBand="0" w:oddHBand="0" w:evenHBand="0" w:firstRowFirstColumn="0" w:firstRowLastColumn="0" w:lastRowFirstColumn="0" w:lastRowLastColumn="0"/>
            <w:tcW w:w="846" w:type="dxa"/>
          </w:tcPr>
          <w:p w:rsidR="00792654" w:rsidRPr="00255CC3" w:rsidRDefault="00792654" w:rsidP="00F74E6D">
            <w:pPr>
              <w:jc w:val="both"/>
              <w:rPr>
                <w:rFonts w:ascii="Palatino Linotype" w:hAnsi="Palatino Linotype"/>
                <w:sz w:val="12"/>
                <w:szCs w:val="12"/>
              </w:rPr>
            </w:pPr>
            <w:r w:rsidRPr="00255CC3">
              <w:rPr>
                <w:rFonts w:ascii="Palatino Linotype" w:hAnsi="Palatino Linotype"/>
                <w:sz w:val="12"/>
                <w:szCs w:val="12"/>
              </w:rPr>
              <w:t>Área</w:t>
            </w:r>
          </w:p>
        </w:tc>
        <w:tc>
          <w:tcPr>
            <w:tcW w:w="3568" w:type="dxa"/>
          </w:tcPr>
          <w:p w:rsidR="00792654" w:rsidRPr="00255CC3" w:rsidRDefault="00792654" w:rsidP="00F74E6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Se señalará el nombre del área del cual es titular quien clasifica.</w:t>
            </w:r>
          </w:p>
        </w:tc>
        <w:tc>
          <w:tcPr>
            <w:tcW w:w="968" w:type="dxa"/>
          </w:tcPr>
          <w:p w:rsidR="00792654" w:rsidRPr="00255CC3" w:rsidRDefault="00792654" w:rsidP="00F74E6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55CC3">
              <w:rPr>
                <w:rFonts w:ascii="Palatino Linotype" w:hAnsi="Palatino Linotype"/>
                <w:b/>
                <w:sz w:val="12"/>
                <w:szCs w:val="12"/>
              </w:rPr>
              <w:t>Área</w:t>
            </w:r>
          </w:p>
        </w:tc>
        <w:tc>
          <w:tcPr>
            <w:tcW w:w="3446" w:type="dxa"/>
          </w:tcPr>
          <w:p w:rsidR="00792654" w:rsidRPr="00255CC3" w:rsidRDefault="00792654" w:rsidP="00F74E6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Se señalará el nombre del área de la cual es el titular quien clasifica.</w:t>
            </w:r>
          </w:p>
        </w:tc>
      </w:tr>
      <w:tr w:rsidR="00792654" w:rsidRPr="00255CC3" w:rsidTr="00F74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792654" w:rsidRPr="00255CC3" w:rsidRDefault="00792654" w:rsidP="00F74E6D">
            <w:pPr>
              <w:jc w:val="both"/>
              <w:rPr>
                <w:rFonts w:ascii="Palatino Linotype" w:hAnsi="Palatino Linotype"/>
                <w:sz w:val="12"/>
                <w:szCs w:val="12"/>
              </w:rPr>
            </w:pPr>
            <w:r w:rsidRPr="00255CC3">
              <w:rPr>
                <w:rFonts w:ascii="Palatino Linotype" w:hAnsi="Palatino Linotype"/>
                <w:sz w:val="12"/>
                <w:szCs w:val="12"/>
              </w:rPr>
              <w:t>Información reservada</w:t>
            </w:r>
          </w:p>
        </w:tc>
        <w:tc>
          <w:tcPr>
            <w:tcW w:w="3568" w:type="dxa"/>
          </w:tcPr>
          <w:p w:rsidR="00792654" w:rsidRPr="00255CC3" w:rsidRDefault="00792654" w:rsidP="00F74E6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792654" w:rsidRPr="00255CC3" w:rsidRDefault="00792654" w:rsidP="00F74E6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55CC3">
              <w:rPr>
                <w:rFonts w:ascii="Palatino Linotype" w:hAnsi="Palatino Linotype"/>
                <w:b/>
                <w:sz w:val="12"/>
                <w:szCs w:val="12"/>
              </w:rPr>
              <w:t>Reservado</w:t>
            </w:r>
          </w:p>
        </w:tc>
        <w:tc>
          <w:tcPr>
            <w:tcW w:w="3446" w:type="dxa"/>
          </w:tcPr>
          <w:p w:rsidR="00792654" w:rsidRPr="00255CC3" w:rsidRDefault="00792654" w:rsidP="00F74E6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Leyenda de información RESERVADA.</w:t>
            </w:r>
          </w:p>
        </w:tc>
      </w:tr>
      <w:tr w:rsidR="00792654" w:rsidRPr="00255CC3" w:rsidTr="00F74E6D">
        <w:tc>
          <w:tcPr>
            <w:cnfStyle w:val="001000000000" w:firstRow="0" w:lastRow="0" w:firstColumn="1" w:lastColumn="0" w:oddVBand="0" w:evenVBand="0" w:oddHBand="0" w:evenHBand="0" w:firstRowFirstColumn="0" w:firstRowLastColumn="0" w:lastRowFirstColumn="0" w:lastRowLastColumn="0"/>
            <w:tcW w:w="846" w:type="dxa"/>
          </w:tcPr>
          <w:p w:rsidR="00792654" w:rsidRPr="00255CC3" w:rsidRDefault="00792654" w:rsidP="00F74E6D">
            <w:pPr>
              <w:jc w:val="both"/>
              <w:rPr>
                <w:rFonts w:ascii="Palatino Linotype" w:hAnsi="Palatino Linotype"/>
                <w:sz w:val="12"/>
                <w:szCs w:val="12"/>
              </w:rPr>
            </w:pPr>
            <w:r w:rsidRPr="00255CC3">
              <w:rPr>
                <w:rFonts w:ascii="Palatino Linotype" w:hAnsi="Palatino Linotype"/>
                <w:sz w:val="12"/>
                <w:szCs w:val="12"/>
              </w:rPr>
              <w:t>Fundamento legal</w:t>
            </w:r>
          </w:p>
        </w:tc>
        <w:tc>
          <w:tcPr>
            <w:tcW w:w="3568" w:type="dxa"/>
          </w:tcPr>
          <w:p w:rsidR="00792654" w:rsidRPr="00255CC3" w:rsidRDefault="00792654" w:rsidP="00F74E6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Se señalará el nombre del ordenamiento, el o los artículos, fracción(es), párrafo(s) con base en los cuales se sustente la reserva.</w:t>
            </w:r>
          </w:p>
        </w:tc>
        <w:tc>
          <w:tcPr>
            <w:tcW w:w="968" w:type="dxa"/>
          </w:tcPr>
          <w:p w:rsidR="00792654" w:rsidRPr="00255CC3" w:rsidRDefault="00792654" w:rsidP="00F74E6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55CC3">
              <w:rPr>
                <w:rFonts w:ascii="Palatino Linotype" w:hAnsi="Palatino Linotype"/>
                <w:b/>
                <w:sz w:val="12"/>
                <w:szCs w:val="12"/>
              </w:rPr>
              <w:t>Periodo de reserva</w:t>
            </w:r>
          </w:p>
        </w:tc>
        <w:tc>
          <w:tcPr>
            <w:tcW w:w="3446" w:type="dxa"/>
          </w:tcPr>
          <w:p w:rsidR="00792654" w:rsidRPr="00255CC3" w:rsidRDefault="00792654" w:rsidP="00F74E6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792654" w:rsidRPr="00255CC3" w:rsidTr="00F74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792654" w:rsidRPr="00255CC3" w:rsidRDefault="00792654" w:rsidP="00F74E6D">
            <w:pPr>
              <w:jc w:val="both"/>
              <w:rPr>
                <w:rFonts w:ascii="Palatino Linotype" w:hAnsi="Palatino Linotype"/>
                <w:sz w:val="12"/>
                <w:szCs w:val="12"/>
              </w:rPr>
            </w:pPr>
            <w:r w:rsidRPr="00255CC3">
              <w:rPr>
                <w:rFonts w:ascii="Palatino Linotype" w:hAnsi="Palatino Linotype"/>
                <w:sz w:val="12"/>
                <w:szCs w:val="12"/>
              </w:rPr>
              <w:t>Ampliación del periodo de reserva</w:t>
            </w:r>
          </w:p>
        </w:tc>
        <w:tc>
          <w:tcPr>
            <w:tcW w:w="3568" w:type="dxa"/>
          </w:tcPr>
          <w:p w:rsidR="00792654" w:rsidRPr="00255CC3" w:rsidRDefault="00792654" w:rsidP="00F74E6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792654" w:rsidRPr="00255CC3" w:rsidRDefault="00792654" w:rsidP="00F74E6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55CC3">
              <w:rPr>
                <w:rFonts w:ascii="Palatino Linotype" w:hAnsi="Palatino Linotype"/>
                <w:b/>
                <w:sz w:val="12"/>
                <w:szCs w:val="12"/>
              </w:rPr>
              <w:t>Fundamento legal</w:t>
            </w:r>
          </w:p>
        </w:tc>
        <w:tc>
          <w:tcPr>
            <w:tcW w:w="3446" w:type="dxa"/>
          </w:tcPr>
          <w:p w:rsidR="00792654" w:rsidRPr="00255CC3" w:rsidRDefault="00792654" w:rsidP="00F74E6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Se señalará el nombre del o de los ordenamientos jurídicos, el o los artículos, fracción(es), párrafo(s) con base en los cuales se sustenta la reserva.</w:t>
            </w:r>
          </w:p>
        </w:tc>
      </w:tr>
      <w:tr w:rsidR="00792654" w:rsidRPr="00255CC3" w:rsidTr="00F74E6D">
        <w:tc>
          <w:tcPr>
            <w:cnfStyle w:val="001000000000" w:firstRow="0" w:lastRow="0" w:firstColumn="1" w:lastColumn="0" w:oddVBand="0" w:evenVBand="0" w:oddHBand="0" w:evenHBand="0" w:firstRowFirstColumn="0" w:firstRowLastColumn="0" w:lastRowFirstColumn="0" w:lastRowLastColumn="0"/>
            <w:tcW w:w="846" w:type="dxa"/>
          </w:tcPr>
          <w:p w:rsidR="00792654" w:rsidRPr="00255CC3" w:rsidRDefault="00792654" w:rsidP="00F74E6D">
            <w:pPr>
              <w:jc w:val="both"/>
              <w:rPr>
                <w:rFonts w:ascii="Palatino Linotype" w:hAnsi="Palatino Linotype"/>
                <w:sz w:val="12"/>
                <w:szCs w:val="12"/>
              </w:rPr>
            </w:pPr>
            <w:r w:rsidRPr="00255CC3">
              <w:rPr>
                <w:rFonts w:ascii="Palatino Linotype" w:hAnsi="Palatino Linotype"/>
                <w:sz w:val="12"/>
                <w:szCs w:val="12"/>
              </w:rPr>
              <w:t>Confidencial</w:t>
            </w:r>
          </w:p>
        </w:tc>
        <w:tc>
          <w:tcPr>
            <w:tcW w:w="3568" w:type="dxa"/>
          </w:tcPr>
          <w:p w:rsidR="00792654" w:rsidRPr="00255CC3" w:rsidRDefault="00792654" w:rsidP="00F74E6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792654" w:rsidRPr="00255CC3" w:rsidRDefault="00792654" w:rsidP="00F74E6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55CC3">
              <w:rPr>
                <w:rFonts w:ascii="Palatino Linotype" w:hAnsi="Palatino Linotype"/>
                <w:b/>
                <w:sz w:val="12"/>
                <w:szCs w:val="12"/>
              </w:rPr>
              <w:t>Ampliación del periodo de reserva</w:t>
            </w:r>
          </w:p>
        </w:tc>
        <w:tc>
          <w:tcPr>
            <w:tcW w:w="3446" w:type="dxa"/>
          </w:tcPr>
          <w:p w:rsidR="00792654" w:rsidRPr="00255CC3" w:rsidRDefault="00792654" w:rsidP="00F74E6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792654" w:rsidRPr="00255CC3" w:rsidTr="00F74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792654" w:rsidRPr="00255CC3" w:rsidRDefault="00792654" w:rsidP="00F74E6D">
            <w:pPr>
              <w:jc w:val="both"/>
              <w:rPr>
                <w:rFonts w:ascii="Palatino Linotype" w:hAnsi="Palatino Linotype"/>
                <w:sz w:val="12"/>
                <w:szCs w:val="12"/>
              </w:rPr>
            </w:pPr>
            <w:r w:rsidRPr="00255CC3">
              <w:rPr>
                <w:rFonts w:ascii="Palatino Linotype" w:hAnsi="Palatino Linotype"/>
                <w:sz w:val="12"/>
                <w:szCs w:val="12"/>
              </w:rPr>
              <w:t>Fundamento legal</w:t>
            </w:r>
          </w:p>
        </w:tc>
        <w:tc>
          <w:tcPr>
            <w:tcW w:w="3568" w:type="dxa"/>
          </w:tcPr>
          <w:p w:rsidR="00792654" w:rsidRPr="00255CC3" w:rsidRDefault="00792654" w:rsidP="00F74E6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rsidR="00792654" w:rsidRPr="00255CC3" w:rsidRDefault="00792654" w:rsidP="00F74E6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55CC3">
              <w:rPr>
                <w:rFonts w:ascii="Palatino Linotype" w:hAnsi="Palatino Linotype"/>
                <w:b/>
                <w:sz w:val="12"/>
                <w:szCs w:val="12"/>
              </w:rPr>
              <w:t>Confidencial</w:t>
            </w:r>
          </w:p>
        </w:tc>
        <w:tc>
          <w:tcPr>
            <w:tcW w:w="3446" w:type="dxa"/>
          </w:tcPr>
          <w:p w:rsidR="00792654" w:rsidRPr="00255CC3" w:rsidRDefault="00792654" w:rsidP="00F74E6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Leyenda de información CONFIDENCIAL.</w:t>
            </w:r>
          </w:p>
        </w:tc>
      </w:tr>
      <w:tr w:rsidR="00792654" w:rsidRPr="00255CC3" w:rsidTr="00F74E6D">
        <w:tc>
          <w:tcPr>
            <w:cnfStyle w:val="001000000000" w:firstRow="0" w:lastRow="0" w:firstColumn="1" w:lastColumn="0" w:oddVBand="0" w:evenVBand="0" w:oddHBand="0" w:evenHBand="0" w:firstRowFirstColumn="0" w:firstRowLastColumn="0" w:lastRowFirstColumn="0" w:lastRowLastColumn="0"/>
            <w:tcW w:w="846" w:type="dxa"/>
          </w:tcPr>
          <w:p w:rsidR="00792654" w:rsidRPr="00255CC3" w:rsidRDefault="00792654" w:rsidP="00F74E6D">
            <w:pPr>
              <w:jc w:val="both"/>
              <w:rPr>
                <w:rFonts w:ascii="Palatino Linotype" w:hAnsi="Palatino Linotype"/>
                <w:sz w:val="12"/>
                <w:szCs w:val="12"/>
              </w:rPr>
            </w:pPr>
            <w:r w:rsidRPr="00255CC3">
              <w:rPr>
                <w:rFonts w:ascii="Palatino Linotype" w:hAnsi="Palatino Linotype"/>
                <w:sz w:val="12"/>
                <w:szCs w:val="12"/>
              </w:rPr>
              <w:t>Rúbrica del titular del área</w:t>
            </w:r>
          </w:p>
        </w:tc>
        <w:tc>
          <w:tcPr>
            <w:tcW w:w="3568" w:type="dxa"/>
          </w:tcPr>
          <w:p w:rsidR="00792654" w:rsidRPr="00255CC3" w:rsidRDefault="00792654" w:rsidP="00F74E6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Rúbrica autógrafa de quien clasifica.</w:t>
            </w:r>
          </w:p>
        </w:tc>
        <w:tc>
          <w:tcPr>
            <w:tcW w:w="968" w:type="dxa"/>
          </w:tcPr>
          <w:p w:rsidR="00792654" w:rsidRPr="00255CC3" w:rsidRDefault="00792654" w:rsidP="00F74E6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55CC3">
              <w:rPr>
                <w:rFonts w:ascii="Palatino Linotype" w:hAnsi="Palatino Linotype"/>
                <w:b/>
                <w:sz w:val="12"/>
                <w:szCs w:val="12"/>
              </w:rPr>
              <w:t>Fundamento legal</w:t>
            </w:r>
          </w:p>
        </w:tc>
        <w:tc>
          <w:tcPr>
            <w:tcW w:w="3446" w:type="dxa"/>
          </w:tcPr>
          <w:p w:rsidR="00792654" w:rsidRPr="00255CC3" w:rsidRDefault="00792654" w:rsidP="00F74E6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792654" w:rsidRPr="00255CC3" w:rsidTr="00F74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792654" w:rsidRPr="00255CC3" w:rsidRDefault="00792654" w:rsidP="00F74E6D">
            <w:pPr>
              <w:jc w:val="both"/>
              <w:rPr>
                <w:rFonts w:ascii="Palatino Linotype" w:hAnsi="Palatino Linotype"/>
                <w:sz w:val="12"/>
                <w:szCs w:val="12"/>
              </w:rPr>
            </w:pPr>
            <w:r w:rsidRPr="00255CC3">
              <w:rPr>
                <w:rFonts w:ascii="Palatino Linotype" w:hAnsi="Palatino Linotype"/>
                <w:sz w:val="12"/>
                <w:szCs w:val="12"/>
              </w:rPr>
              <w:t>Fecha de desclasificación</w:t>
            </w:r>
          </w:p>
        </w:tc>
        <w:tc>
          <w:tcPr>
            <w:tcW w:w="3568" w:type="dxa"/>
          </w:tcPr>
          <w:p w:rsidR="00792654" w:rsidRPr="00255CC3" w:rsidRDefault="00792654" w:rsidP="00F74E6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Se anotará la fecha en que se desclasifica el documento.</w:t>
            </w:r>
          </w:p>
        </w:tc>
        <w:tc>
          <w:tcPr>
            <w:tcW w:w="968" w:type="dxa"/>
          </w:tcPr>
          <w:p w:rsidR="00792654" w:rsidRPr="00255CC3" w:rsidRDefault="00792654" w:rsidP="00F74E6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55CC3">
              <w:rPr>
                <w:rFonts w:ascii="Palatino Linotype" w:hAnsi="Palatino Linotype"/>
                <w:b/>
                <w:sz w:val="12"/>
                <w:szCs w:val="12"/>
              </w:rPr>
              <w:t>Rúbrica del titular del área</w:t>
            </w:r>
          </w:p>
        </w:tc>
        <w:tc>
          <w:tcPr>
            <w:tcW w:w="3446" w:type="dxa"/>
          </w:tcPr>
          <w:p w:rsidR="00792654" w:rsidRPr="00255CC3" w:rsidRDefault="00792654" w:rsidP="00F74E6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Rúbrica autógrafa de quien clasifica.</w:t>
            </w:r>
          </w:p>
        </w:tc>
      </w:tr>
      <w:tr w:rsidR="00792654" w:rsidRPr="00255CC3" w:rsidTr="00F74E6D">
        <w:tc>
          <w:tcPr>
            <w:cnfStyle w:val="001000000000" w:firstRow="0" w:lastRow="0" w:firstColumn="1" w:lastColumn="0" w:oddVBand="0" w:evenVBand="0" w:oddHBand="0" w:evenHBand="0" w:firstRowFirstColumn="0" w:firstRowLastColumn="0" w:lastRowFirstColumn="0" w:lastRowLastColumn="0"/>
            <w:tcW w:w="846" w:type="dxa"/>
          </w:tcPr>
          <w:p w:rsidR="00792654" w:rsidRPr="00255CC3" w:rsidRDefault="00792654" w:rsidP="00F74E6D">
            <w:pPr>
              <w:jc w:val="both"/>
              <w:rPr>
                <w:rFonts w:ascii="Palatino Linotype" w:hAnsi="Palatino Linotype"/>
                <w:sz w:val="12"/>
                <w:szCs w:val="12"/>
              </w:rPr>
            </w:pPr>
            <w:r w:rsidRPr="00255CC3">
              <w:rPr>
                <w:rFonts w:ascii="Palatino Linotype" w:hAnsi="Palatino Linotype"/>
                <w:sz w:val="12"/>
                <w:szCs w:val="12"/>
              </w:rPr>
              <w:t>Rúbrica y cargo del servidor público</w:t>
            </w:r>
          </w:p>
        </w:tc>
        <w:tc>
          <w:tcPr>
            <w:tcW w:w="3568" w:type="dxa"/>
          </w:tcPr>
          <w:p w:rsidR="00792654" w:rsidRPr="00255CC3" w:rsidRDefault="00792654" w:rsidP="00F74E6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Rúbrica autógrafa de quien desclasifica.</w:t>
            </w:r>
          </w:p>
        </w:tc>
        <w:tc>
          <w:tcPr>
            <w:tcW w:w="968" w:type="dxa"/>
          </w:tcPr>
          <w:p w:rsidR="00792654" w:rsidRPr="00255CC3" w:rsidRDefault="00792654" w:rsidP="00F74E6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55CC3">
              <w:rPr>
                <w:rFonts w:ascii="Palatino Linotype" w:hAnsi="Palatino Linotype"/>
                <w:b/>
                <w:sz w:val="12"/>
                <w:szCs w:val="12"/>
              </w:rPr>
              <w:t>Fecha de desclasificación</w:t>
            </w:r>
          </w:p>
        </w:tc>
        <w:tc>
          <w:tcPr>
            <w:tcW w:w="3446" w:type="dxa"/>
          </w:tcPr>
          <w:p w:rsidR="00792654" w:rsidRPr="00255CC3" w:rsidRDefault="00792654" w:rsidP="00F74E6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Se anotará la fecha en que se desclasifica.</w:t>
            </w:r>
          </w:p>
        </w:tc>
      </w:tr>
      <w:tr w:rsidR="00792654" w:rsidRPr="00255CC3" w:rsidTr="00F74E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792654" w:rsidRPr="00255CC3" w:rsidRDefault="00792654" w:rsidP="00F74E6D">
            <w:pPr>
              <w:jc w:val="both"/>
              <w:rPr>
                <w:rFonts w:ascii="Palatino Linotype" w:hAnsi="Palatino Linotype"/>
                <w:sz w:val="12"/>
                <w:szCs w:val="12"/>
              </w:rPr>
            </w:pPr>
          </w:p>
        </w:tc>
        <w:tc>
          <w:tcPr>
            <w:tcW w:w="3568" w:type="dxa"/>
          </w:tcPr>
          <w:p w:rsidR="00792654" w:rsidRPr="00255CC3" w:rsidRDefault="00792654" w:rsidP="00F74E6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rsidR="00792654" w:rsidRPr="00255CC3" w:rsidRDefault="00792654" w:rsidP="00F74E6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255CC3">
              <w:rPr>
                <w:rFonts w:ascii="Palatino Linotype" w:hAnsi="Palatino Linotype"/>
                <w:b/>
                <w:sz w:val="12"/>
                <w:szCs w:val="12"/>
              </w:rPr>
              <w:t>Partes o secciones reservadas o confidenciales</w:t>
            </w:r>
          </w:p>
        </w:tc>
        <w:tc>
          <w:tcPr>
            <w:tcW w:w="3446" w:type="dxa"/>
          </w:tcPr>
          <w:p w:rsidR="00792654" w:rsidRPr="00255CC3" w:rsidRDefault="00792654" w:rsidP="00F74E6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En caso que una vez desclasificado el expediente, subsistanpartes o secciones del mismo reservadas o confidenciales, se señalará este hecho.</w:t>
            </w:r>
          </w:p>
        </w:tc>
      </w:tr>
      <w:tr w:rsidR="00792654" w:rsidRPr="00255CC3" w:rsidTr="00F74E6D">
        <w:tc>
          <w:tcPr>
            <w:cnfStyle w:val="001000000000" w:firstRow="0" w:lastRow="0" w:firstColumn="1" w:lastColumn="0" w:oddVBand="0" w:evenVBand="0" w:oddHBand="0" w:evenHBand="0" w:firstRowFirstColumn="0" w:firstRowLastColumn="0" w:lastRowFirstColumn="0" w:lastRowLastColumn="0"/>
            <w:tcW w:w="846" w:type="dxa"/>
          </w:tcPr>
          <w:p w:rsidR="00792654" w:rsidRPr="00255CC3" w:rsidRDefault="00792654" w:rsidP="00F74E6D">
            <w:pPr>
              <w:jc w:val="both"/>
              <w:rPr>
                <w:rFonts w:ascii="Palatino Linotype" w:hAnsi="Palatino Linotype"/>
                <w:sz w:val="12"/>
                <w:szCs w:val="12"/>
              </w:rPr>
            </w:pPr>
          </w:p>
        </w:tc>
        <w:tc>
          <w:tcPr>
            <w:tcW w:w="3568" w:type="dxa"/>
          </w:tcPr>
          <w:p w:rsidR="00792654" w:rsidRPr="00255CC3" w:rsidRDefault="00792654" w:rsidP="00F74E6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rsidR="00792654" w:rsidRPr="00255CC3" w:rsidRDefault="00792654" w:rsidP="00F74E6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255CC3">
              <w:rPr>
                <w:rFonts w:ascii="Palatino Linotype" w:hAnsi="Palatino Linotype"/>
                <w:b/>
                <w:sz w:val="12"/>
                <w:szCs w:val="12"/>
              </w:rPr>
              <w:t>Rúbrica y cargo del servidor público</w:t>
            </w:r>
          </w:p>
        </w:tc>
        <w:tc>
          <w:tcPr>
            <w:tcW w:w="3446" w:type="dxa"/>
          </w:tcPr>
          <w:p w:rsidR="00792654" w:rsidRPr="00255CC3" w:rsidRDefault="00792654" w:rsidP="00F74E6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255CC3">
              <w:rPr>
                <w:rFonts w:ascii="Palatino Linotype" w:hAnsi="Palatino Linotype"/>
                <w:sz w:val="12"/>
                <w:szCs w:val="12"/>
              </w:rPr>
              <w:t>Rúbrica autógrafa de quien desclasifica.</w:t>
            </w:r>
          </w:p>
        </w:tc>
      </w:tr>
    </w:tbl>
    <w:p w:rsidR="00D1398D" w:rsidRPr="00F92DA1" w:rsidRDefault="00792654" w:rsidP="00F92DA1">
      <w:pPr>
        <w:spacing w:before="240" w:after="240" w:line="360" w:lineRule="auto"/>
        <w:ind w:right="49"/>
        <w:jc w:val="both"/>
        <w:rPr>
          <w:rFonts w:ascii="Palatino Linotype" w:hAnsi="Palatino Linotype"/>
          <w:lang w:eastAsia="es-MX"/>
        </w:rPr>
      </w:pPr>
      <w:r w:rsidRPr="00255CC3">
        <w:rPr>
          <w:rFonts w:ascii="Palatino Linotype" w:hAnsi="Palatino Linotype"/>
        </w:rPr>
        <w:lastRenderedPageBreak/>
        <w:t>Por lo expuesto, con fundamento en el artículo 186 fracción III de la Ley de Transparencia y Acceso a la Información Pública del Estado de México y Municipios, este Órgano Garante considera procedente</w:t>
      </w:r>
      <w:r w:rsidRPr="00255CC3">
        <w:rPr>
          <w:rFonts w:ascii="Palatino Linotype" w:hAnsi="Palatino Linotype"/>
          <w:b/>
        </w:rPr>
        <w:t xml:space="preserve"> revocar</w:t>
      </w:r>
      <w:r w:rsidRPr="00255CC3">
        <w:rPr>
          <w:rFonts w:ascii="Palatino Linotype" w:hAnsi="Palatino Linotype"/>
        </w:rPr>
        <w:t xml:space="preserve"> la respuesta emitida por </w:t>
      </w:r>
      <w:r w:rsidRPr="00F92DA1">
        <w:rPr>
          <w:rFonts w:ascii="Palatino Linotype" w:hAnsi="Palatino Linotype"/>
        </w:rPr>
        <w:t xml:space="preserve">el </w:t>
      </w:r>
      <w:r w:rsidR="00F92DA1" w:rsidRPr="00F92DA1">
        <w:rPr>
          <w:rFonts w:ascii="Palatino Linotype" w:hAnsi="Palatino Linotype"/>
        </w:rPr>
        <w:t>Sujeto Obligado.</w:t>
      </w:r>
    </w:p>
    <w:p w:rsidR="005419D3" w:rsidRPr="00911351" w:rsidRDefault="005419D3" w:rsidP="005419D3">
      <w:pPr>
        <w:spacing w:before="240" w:after="240" w:line="360" w:lineRule="auto"/>
        <w:contextualSpacing/>
        <w:jc w:val="both"/>
        <w:rPr>
          <w:rFonts w:ascii="Palatino Linotype" w:hAnsi="Palatino Linotype" w:cs="Arial"/>
        </w:rPr>
      </w:pPr>
      <w:r w:rsidRPr="003552D2">
        <w:rPr>
          <w:rFonts w:ascii="Palatino Linotype" w:hAnsi="Palatino Linotype" w:cs="Arial"/>
        </w:rPr>
        <w:t xml:space="preserve">Así, con fundamento </w:t>
      </w:r>
      <w:r w:rsidRPr="00911351">
        <w:rPr>
          <w:rFonts w:ascii="Palatino Linotype" w:hAnsi="Palatino Linotype" w:cs="Arial"/>
        </w:rPr>
        <w:t>en lo prescrito en los artículos 5 párrafos vigésimo</w:t>
      </w:r>
      <w:r>
        <w:rPr>
          <w:rFonts w:ascii="Palatino Linotype" w:hAnsi="Palatino Linotype" w:cs="Arial"/>
        </w:rPr>
        <w:t xml:space="preserve"> segundo</w:t>
      </w:r>
      <w:r w:rsidRPr="00911351">
        <w:rPr>
          <w:rFonts w:ascii="Palatino Linotype" w:hAnsi="Palatino Linotype" w:cs="Arial"/>
        </w:rPr>
        <w:t xml:space="preserve">, vigésimo </w:t>
      </w:r>
      <w:r>
        <w:rPr>
          <w:rFonts w:ascii="Palatino Linotype" w:hAnsi="Palatino Linotype" w:cs="Arial"/>
        </w:rPr>
        <w:t>tercero</w:t>
      </w:r>
      <w:r w:rsidRPr="00911351">
        <w:rPr>
          <w:rFonts w:ascii="Palatino Linotype" w:hAnsi="Palatino Linotype" w:cs="Arial"/>
        </w:rPr>
        <w:t xml:space="preserve"> y vigésimo </w:t>
      </w:r>
      <w:r>
        <w:rPr>
          <w:rFonts w:ascii="Palatino Linotype" w:hAnsi="Palatino Linotype" w:cs="Arial"/>
        </w:rPr>
        <w:t>cuarto</w:t>
      </w:r>
      <w:r w:rsidRPr="00911351">
        <w:rPr>
          <w:rFonts w:ascii="Palatino Linotype" w:hAnsi="Palatino Linotype" w:cs="Arial"/>
        </w:rPr>
        <w:t xml:space="preserve"> de la Constitución Política del Estado Libre y Soberano de México; 2, fracción II; 29, 36 fracciones I </w:t>
      </w:r>
      <w:r>
        <w:rPr>
          <w:rFonts w:ascii="Palatino Linotype" w:hAnsi="Palatino Linotype" w:cs="Arial"/>
        </w:rPr>
        <w:t>y II; 176, 178, 181,</w:t>
      </w:r>
      <w:r w:rsidRPr="00911351">
        <w:rPr>
          <w:rFonts w:ascii="Palatino Linotype" w:hAnsi="Palatino Linotype" w:cs="Arial"/>
        </w:rPr>
        <w:t xml:space="preserve"> 185 </w:t>
      </w:r>
      <w:r>
        <w:rPr>
          <w:rFonts w:ascii="Palatino Linotype" w:hAnsi="Palatino Linotype" w:cs="Arial"/>
        </w:rPr>
        <w:t xml:space="preserve">y </w:t>
      </w:r>
      <w:r>
        <w:rPr>
          <w:rFonts w:ascii="Palatino Linotype" w:hAnsi="Palatino Linotype" w:cs="Arial"/>
          <w:szCs w:val="22"/>
          <w:lang w:eastAsia="en-US"/>
        </w:rPr>
        <w:t xml:space="preserve">186 fracción II </w:t>
      </w:r>
      <w:r w:rsidRPr="00911351">
        <w:rPr>
          <w:rFonts w:ascii="Palatino Linotype" w:hAnsi="Palatino Linotype" w:cs="Arial"/>
        </w:rPr>
        <w:t>de la Ley de Transparencia y Acceso a la Información Pública del Estado de México y Municipios, este Pleno:</w:t>
      </w:r>
    </w:p>
    <w:p w:rsidR="005419D3" w:rsidRPr="009F2879" w:rsidRDefault="005419D3" w:rsidP="009F2879">
      <w:pPr>
        <w:pStyle w:val="Prrafodelista"/>
        <w:numPr>
          <w:ilvl w:val="0"/>
          <w:numId w:val="13"/>
        </w:numPr>
        <w:spacing w:before="240" w:after="240" w:line="360" w:lineRule="auto"/>
        <w:jc w:val="center"/>
        <w:rPr>
          <w:rFonts w:ascii="Palatino Linotype" w:hAnsi="Palatino Linotype" w:cs="Arial"/>
          <w:b/>
        </w:rPr>
      </w:pPr>
      <w:r w:rsidRPr="009F2879">
        <w:rPr>
          <w:rFonts w:ascii="Palatino Linotype" w:hAnsi="Palatino Linotype" w:cs="Arial"/>
          <w:b/>
        </w:rPr>
        <w:t>R E S U E L V E:</w:t>
      </w:r>
    </w:p>
    <w:p w:rsidR="005419D3" w:rsidRDefault="005419D3" w:rsidP="005419D3">
      <w:pPr>
        <w:spacing w:before="240" w:after="240" w:line="360" w:lineRule="auto"/>
        <w:jc w:val="both"/>
        <w:rPr>
          <w:rFonts w:ascii="Palatino Linotype" w:hAnsi="Palatino Linotype" w:cs="Arial"/>
        </w:rPr>
      </w:pPr>
      <w:r>
        <w:rPr>
          <w:rFonts w:ascii="Palatino Linotype" w:hAnsi="Palatino Linotype" w:cs="Arial"/>
          <w:b/>
        </w:rPr>
        <w:t xml:space="preserve">Primero. </w:t>
      </w:r>
      <w:r w:rsidR="00457540">
        <w:rPr>
          <w:rFonts w:ascii="Palatino Linotype" w:hAnsi="Palatino Linotype" w:cs="Arial"/>
          <w:lang w:val="es-ES_tradnl"/>
        </w:rPr>
        <w:t>Resultan</w:t>
      </w:r>
      <w:r>
        <w:rPr>
          <w:rFonts w:ascii="Palatino Linotype" w:hAnsi="Palatino Linotype" w:cs="Arial"/>
          <w:lang w:val="es-ES_tradnl"/>
        </w:rPr>
        <w:t xml:space="preserve"> fundados </w:t>
      </w:r>
      <w:r>
        <w:rPr>
          <w:rFonts w:ascii="Palatino Linotype" w:eastAsia="Arial Unicode MS" w:hAnsi="Palatino Linotype" w:cs="Arial"/>
        </w:rPr>
        <w:t xml:space="preserve">los motivos de inconformidad hecho valer por la recurrente en el recurso de revisión </w:t>
      </w:r>
      <w:r w:rsidR="0055030C">
        <w:rPr>
          <w:rFonts w:ascii="Palatino Linotype" w:hAnsi="Palatino Linotype" w:cs="Arial"/>
          <w:b/>
          <w:bCs/>
        </w:rPr>
        <w:t>03889</w:t>
      </w:r>
      <w:r>
        <w:rPr>
          <w:rFonts w:ascii="Palatino Linotype" w:hAnsi="Palatino Linotype" w:cs="Arial"/>
          <w:b/>
          <w:bCs/>
        </w:rPr>
        <w:t xml:space="preserve">/INFOEM/IP/RR/2020; </w:t>
      </w:r>
      <w:r>
        <w:rPr>
          <w:rFonts w:ascii="Palatino Linotype" w:hAnsi="Palatino Linotype" w:cs="Arial"/>
          <w:lang w:eastAsia="en-US"/>
        </w:rPr>
        <w:t xml:space="preserve">por lo que, en términos del considerando </w:t>
      </w:r>
      <w:r>
        <w:rPr>
          <w:rFonts w:ascii="Palatino Linotype" w:hAnsi="Palatino Linotype" w:cs="Arial"/>
          <w:b/>
          <w:lang w:eastAsia="en-US"/>
        </w:rPr>
        <w:t xml:space="preserve">Cuarto </w:t>
      </w:r>
      <w:r>
        <w:rPr>
          <w:rFonts w:ascii="Palatino Linotype" w:hAnsi="Palatino Linotype" w:cs="Arial"/>
          <w:lang w:eastAsia="en-US"/>
        </w:rPr>
        <w:t xml:space="preserve">de esta resolución, se </w:t>
      </w:r>
      <w:r>
        <w:rPr>
          <w:rFonts w:ascii="Palatino Linotype" w:hAnsi="Palatino Linotype" w:cs="Arial"/>
          <w:b/>
          <w:lang w:eastAsia="en-US"/>
        </w:rPr>
        <w:t xml:space="preserve">REVOCA </w:t>
      </w:r>
      <w:r>
        <w:rPr>
          <w:rFonts w:ascii="Palatino Linotype" w:hAnsi="Palatino Linotype" w:cs="Arial"/>
          <w:lang w:eastAsia="en-US"/>
        </w:rPr>
        <w:t>la respuesta emitida por el</w:t>
      </w:r>
      <w:r>
        <w:rPr>
          <w:rFonts w:ascii="Palatino Linotype" w:hAnsi="Palatino Linotype" w:cs="Arial"/>
          <w:bCs/>
          <w:lang w:eastAsia="en-US"/>
        </w:rPr>
        <w:t xml:space="preserve"> Sujeto Obligado.</w:t>
      </w:r>
    </w:p>
    <w:p w:rsidR="005419D3" w:rsidRDefault="005419D3" w:rsidP="005419D3">
      <w:pPr>
        <w:spacing w:before="240" w:after="240" w:line="360" w:lineRule="auto"/>
        <w:ind w:right="49"/>
        <w:jc w:val="both"/>
        <w:rPr>
          <w:rFonts w:ascii="Palatino Linotype" w:hAnsi="Palatino Linotype"/>
        </w:rPr>
      </w:pPr>
      <w:r>
        <w:rPr>
          <w:rFonts w:ascii="Palatino Linotype" w:hAnsi="Palatino Linotype" w:cs="Arial"/>
          <w:b/>
        </w:rPr>
        <w:t xml:space="preserve">Segundo. </w:t>
      </w:r>
      <w:r>
        <w:rPr>
          <w:rFonts w:ascii="Palatino Linotype" w:hAnsi="Palatino Linotype" w:cs="Arial"/>
        </w:rPr>
        <w:t>Se</w:t>
      </w:r>
      <w:r>
        <w:rPr>
          <w:rFonts w:ascii="Palatino Linotype" w:hAnsi="Palatino Linotype" w:cs="Arial"/>
          <w:b/>
        </w:rPr>
        <w:t xml:space="preserve"> </w:t>
      </w:r>
      <w:r>
        <w:rPr>
          <w:rFonts w:ascii="Palatino Linotype" w:hAnsi="Palatino Linotype"/>
          <w:b/>
        </w:rPr>
        <w:t xml:space="preserve">ORDENA </w:t>
      </w:r>
      <w:r>
        <w:rPr>
          <w:rFonts w:ascii="Palatino Linotype" w:hAnsi="Palatino Linotype"/>
        </w:rPr>
        <w:t xml:space="preserve">al </w:t>
      </w:r>
      <w:r>
        <w:rPr>
          <w:rFonts w:ascii="Palatino Linotype" w:hAnsi="Palatino Linotype"/>
          <w:b/>
        </w:rPr>
        <w:t>Sujeto Obligado</w:t>
      </w:r>
      <w:r>
        <w:rPr>
          <w:rFonts w:ascii="Palatino Linotype" w:eastAsia="Palatino Linotype" w:hAnsi="Palatino Linotype" w:cs="Palatino Linotype"/>
        </w:rPr>
        <w:t>, a que, en términos</w:t>
      </w:r>
      <w:r>
        <w:rPr>
          <w:rFonts w:ascii="Palatino Linotype" w:hAnsi="Palatino Linotype"/>
        </w:rPr>
        <w:t xml:space="preserve"> del Considerando Cuarto </w:t>
      </w:r>
      <w:r w:rsidR="00792654">
        <w:rPr>
          <w:rFonts w:ascii="Palatino Linotype" w:hAnsi="Palatino Linotype"/>
        </w:rPr>
        <w:t xml:space="preserve">y Quinto </w:t>
      </w:r>
      <w:r>
        <w:rPr>
          <w:rFonts w:ascii="Palatino Linotype" w:hAnsi="Palatino Linotype"/>
        </w:rPr>
        <w:t xml:space="preserve">de esta resolución, haga entrega al recurrente </w:t>
      </w:r>
      <w:r w:rsidR="00147D1A">
        <w:rPr>
          <w:rFonts w:ascii="Palatino Linotype" w:hAnsi="Palatino Linotype" w:cs="Arial"/>
          <w:lang w:val="es-ES"/>
        </w:rPr>
        <w:t>a través Sistema de Acceso a la Información Mexiquense</w:t>
      </w:r>
      <w:r>
        <w:rPr>
          <w:rFonts w:ascii="Palatino Linotype" w:hAnsi="Palatino Linotype"/>
        </w:rPr>
        <w:t xml:space="preserve">, </w:t>
      </w:r>
      <w:r w:rsidR="009F2879">
        <w:rPr>
          <w:rFonts w:ascii="Palatino Linotype" w:hAnsi="Palatino Linotype"/>
        </w:rPr>
        <w:t xml:space="preserve">en versión pública, </w:t>
      </w:r>
      <w:r>
        <w:rPr>
          <w:rFonts w:ascii="Palatino Linotype" w:hAnsi="Palatino Linotype" w:cs="Arial"/>
          <w:bCs/>
          <w:shd w:val="clear" w:color="auto" w:fill="FFFFFF"/>
        </w:rPr>
        <w:t>de</w:t>
      </w:r>
      <w:r w:rsidR="00147D1A">
        <w:rPr>
          <w:rFonts w:ascii="Palatino Linotype" w:hAnsi="Palatino Linotype"/>
        </w:rPr>
        <w:t xml:space="preserve">l soporte documental en donde conste </w:t>
      </w:r>
      <w:r>
        <w:rPr>
          <w:rFonts w:ascii="Palatino Linotype" w:hAnsi="Palatino Linotype"/>
        </w:rPr>
        <w:t>lo siguiente:</w:t>
      </w:r>
    </w:p>
    <w:p w:rsidR="009F2879" w:rsidRPr="004E4E7C" w:rsidRDefault="005419D3" w:rsidP="009F2879">
      <w:pPr>
        <w:pStyle w:val="Prrafodelista"/>
        <w:numPr>
          <w:ilvl w:val="0"/>
          <w:numId w:val="7"/>
        </w:numPr>
        <w:autoSpaceDE w:val="0"/>
        <w:autoSpaceDN w:val="0"/>
        <w:adjustRightInd w:val="0"/>
        <w:spacing w:before="240" w:after="240" w:line="360" w:lineRule="auto"/>
        <w:ind w:right="49"/>
        <w:jc w:val="both"/>
        <w:rPr>
          <w:rFonts w:ascii="Palatino Linotype" w:eastAsia="Calibri" w:hAnsi="Palatino Linotype" w:cs="Arial"/>
        </w:rPr>
      </w:pPr>
      <w:r w:rsidRPr="004E4E7C">
        <w:rPr>
          <w:rFonts w:ascii="Palatino Linotype" w:eastAsia="Calibri" w:hAnsi="Palatino Linotype" w:cs="Arial"/>
        </w:rPr>
        <w:t xml:space="preserve">El </w:t>
      </w:r>
      <w:r w:rsidR="00792654" w:rsidRPr="004E4E7C">
        <w:rPr>
          <w:rFonts w:ascii="Palatino Linotype" w:eastAsia="Calibri" w:hAnsi="Palatino Linotype" w:cs="Arial"/>
        </w:rPr>
        <w:t xml:space="preserve">expediente </w:t>
      </w:r>
      <w:r w:rsidR="009F2879" w:rsidRPr="004E4E7C">
        <w:rPr>
          <w:rFonts w:ascii="Palatino Linotype" w:eastAsia="Calibri" w:hAnsi="Palatino Linotype" w:cs="Arial"/>
        </w:rPr>
        <w:t xml:space="preserve">completo y </w:t>
      </w:r>
      <w:r w:rsidR="00147D1A">
        <w:rPr>
          <w:rFonts w:ascii="Palatino Linotype" w:eastAsia="Calibri" w:hAnsi="Palatino Linotype" w:cs="Arial"/>
        </w:rPr>
        <w:t>anexos, relacionados</w:t>
      </w:r>
      <w:r w:rsidR="009F2879" w:rsidRPr="004E4E7C">
        <w:rPr>
          <w:rFonts w:ascii="Palatino Linotype" w:eastAsia="Calibri" w:hAnsi="Palatino Linotype" w:cs="Arial"/>
        </w:rPr>
        <w:t xml:space="preserve"> con el diferendo limítrofe</w:t>
      </w:r>
      <w:r w:rsidR="004E4E7C" w:rsidRPr="004E4E7C">
        <w:rPr>
          <w:rFonts w:ascii="Palatino Linotype" w:eastAsia="Calibri" w:hAnsi="Palatino Linotype" w:cs="Arial"/>
        </w:rPr>
        <w:t xml:space="preserve"> intermunicipal entre los municipios de Teoloyucan y Tepotzotlán</w:t>
      </w:r>
      <w:r w:rsidR="009F2879" w:rsidRPr="004E4E7C">
        <w:rPr>
          <w:rFonts w:ascii="Palatino Linotype" w:eastAsia="Calibri" w:hAnsi="Palatino Linotype" w:cs="Arial"/>
        </w:rPr>
        <w:t>, señalado en la respuesta.</w:t>
      </w:r>
    </w:p>
    <w:p w:rsidR="00530B68" w:rsidRDefault="009F2879" w:rsidP="00530B68">
      <w:pPr>
        <w:autoSpaceDE w:val="0"/>
        <w:autoSpaceDN w:val="0"/>
        <w:adjustRightInd w:val="0"/>
        <w:spacing w:before="240" w:after="240" w:line="360" w:lineRule="auto"/>
        <w:ind w:right="49"/>
        <w:jc w:val="both"/>
        <w:rPr>
          <w:rFonts w:ascii="Palatino Linotype" w:hAnsi="Palatino Linotype"/>
        </w:rPr>
      </w:pPr>
      <w:r>
        <w:rPr>
          <w:rFonts w:ascii="Palatino Linotype" w:hAnsi="Palatino Linotype"/>
        </w:rPr>
        <w:lastRenderedPageBreak/>
        <w:t>D</w:t>
      </w:r>
      <w:r w:rsidRPr="0023392C">
        <w:rPr>
          <w:rFonts w:ascii="Palatino Linotype" w:hAnsi="Palatino Linotype"/>
        </w:rPr>
        <w:t>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w:t>
      </w:r>
      <w:r>
        <w:rPr>
          <w:rFonts w:ascii="Palatino Linotype" w:hAnsi="Palatino Linotype"/>
        </w:rPr>
        <w:t>e la recurrente</w:t>
      </w:r>
      <w:r w:rsidRPr="0023392C">
        <w:rPr>
          <w:rFonts w:ascii="Palatino Linotype" w:hAnsi="Palatino Linotype"/>
        </w:rPr>
        <w:t>, mismo que igualmente hará de su conocimiento.</w:t>
      </w:r>
    </w:p>
    <w:p w:rsidR="005419D3" w:rsidRPr="009F2879" w:rsidRDefault="006A5673" w:rsidP="009F2879">
      <w:pPr>
        <w:autoSpaceDE w:val="0"/>
        <w:autoSpaceDN w:val="0"/>
        <w:adjustRightInd w:val="0"/>
        <w:spacing w:before="240" w:after="240" w:line="360" w:lineRule="auto"/>
        <w:ind w:right="49"/>
        <w:jc w:val="both"/>
        <w:rPr>
          <w:rFonts w:ascii="Palatino Linotype" w:hAnsi="Palatino Linotype"/>
          <w:shd w:val="clear" w:color="auto" w:fill="FFFFFF"/>
        </w:rPr>
      </w:pPr>
      <w:r>
        <w:rPr>
          <w:rFonts w:ascii="Palatino Linotype" w:hAnsi="Palatino Linotype" w:cs="Arial"/>
          <w:b/>
          <w:bCs/>
          <w:shd w:val="clear" w:color="auto" w:fill="FFFFFF"/>
        </w:rPr>
        <w:t>Tercero. Notifíquese</w:t>
      </w:r>
      <w:r w:rsidR="005419D3" w:rsidRPr="009F2879">
        <w:rPr>
          <w:rFonts w:ascii="Palatino Linotype" w:hAnsi="Palatino Linotype" w:cs="Arial"/>
          <w:b/>
          <w:bCs/>
          <w:i/>
          <w:iCs/>
          <w:shd w:val="clear" w:color="auto" w:fill="FFFFFF"/>
        </w:rPr>
        <w:t xml:space="preserve"> </w:t>
      </w:r>
      <w:r w:rsidR="005419D3" w:rsidRPr="009F2879">
        <w:rPr>
          <w:rFonts w:ascii="Palatino Linotype" w:hAnsi="Palatino Linotype"/>
          <w:shd w:val="clear" w:color="auto" w:fill="FFFFFF"/>
        </w:rPr>
        <w:t>al Responsable de la Unidad de Transparencia del</w:t>
      </w:r>
      <w:r w:rsidR="005419D3" w:rsidRPr="009F2879">
        <w:rPr>
          <w:rFonts w:ascii="Palatino Linotype" w:hAnsi="Palatino Linotype"/>
          <w:bCs/>
          <w:shd w:val="clear" w:color="auto" w:fill="FFFFFF"/>
        </w:rPr>
        <w:t xml:space="preserve"> Sujeto Obligado</w:t>
      </w:r>
      <w:r w:rsidR="005419D3" w:rsidRPr="009F2879">
        <w:rPr>
          <w:rFonts w:ascii="Palatino Linotype" w:hAnsi="Palatino Linotype"/>
          <w:shd w:val="clear" w:color="auto" w:fill="FFFFFF"/>
        </w:rPr>
        <w:t>, para que conforme a los artículos 186, último párrafo y 189, párrafo segundo de la Ley de Transparencia y Acceso a la Información Pública del Estado de México y Municipios, y a lo acordado en la presenta sesión; dé cumplimiento a lo ord</w:t>
      </w:r>
      <w:r w:rsidR="00457540">
        <w:rPr>
          <w:rFonts w:ascii="Palatino Linotype" w:hAnsi="Palatino Linotype"/>
          <w:shd w:val="clear" w:color="auto" w:fill="FFFFFF"/>
        </w:rPr>
        <w:t>enado dentro del plazo de diez</w:t>
      </w:r>
      <w:r w:rsidR="005419D3" w:rsidRPr="009F2879">
        <w:rPr>
          <w:rFonts w:ascii="Palatino Linotype" w:hAnsi="Palatino Linotype"/>
          <w:shd w:val="clear" w:color="auto" w:fill="FFFFFF"/>
        </w:rPr>
        <w:t xml:space="preserve"> días hábiles, debiendo informar a este Instituto en un plazo de tres días hábiles siguientes sobre el cumplimiento dado a la presente resolución.</w:t>
      </w:r>
    </w:p>
    <w:p w:rsidR="00457540" w:rsidRPr="00E8249D" w:rsidRDefault="00457540" w:rsidP="00457540">
      <w:pPr>
        <w:spacing w:line="360" w:lineRule="auto"/>
        <w:contextualSpacing/>
        <w:jc w:val="both"/>
        <w:rPr>
          <w:rFonts w:ascii="Palatino Linotype" w:eastAsia="MS Mincho" w:hAnsi="Palatino Linotype"/>
          <w:shd w:val="clear" w:color="auto" w:fill="FFFFFF"/>
          <w:lang w:val="es-ES_tradnl"/>
        </w:rPr>
      </w:pPr>
      <w:r>
        <w:rPr>
          <w:rFonts w:ascii="Palatino Linotype" w:eastAsia="Palatino Linotype" w:hAnsi="Palatino Linotype" w:cs="Palatino Linotype"/>
          <w:b/>
        </w:rPr>
        <w:t xml:space="preserve">Cuarto. </w:t>
      </w:r>
      <w:r w:rsidRPr="00E8249D">
        <w:rPr>
          <w:rFonts w:ascii="Palatino Linotype" w:eastAsia="MS Mincho" w:hAnsi="Palatino Linotype"/>
          <w:shd w:val="clear" w:color="auto" w:fill="FFFFFF"/>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9F2879" w:rsidRPr="00C3307B" w:rsidRDefault="00457540" w:rsidP="009F2879">
      <w:pPr>
        <w:spacing w:before="240" w:after="240" w:line="360" w:lineRule="auto"/>
        <w:ind w:right="49"/>
        <w:jc w:val="both"/>
        <w:rPr>
          <w:rFonts w:ascii="Palatino Linotype" w:hAnsi="Palatino Linotype" w:cs="Arial"/>
        </w:rPr>
      </w:pPr>
      <w:r>
        <w:rPr>
          <w:rFonts w:ascii="Palatino Linotype" w:hAnsi="Palatino Linotype" w:cs="Arial"/>
          <w:b/>
        </w:rPr>
        <w:t>Quinto</w:t>
      </w:r>
      <w:r w:rsidR="009F2879" w:rsidRPr="00920CC4">
        <w:rPr>
          <w:rFonts w:ascii="Palatino Linotype" w:hAnsi="Palatino Linotype" w:cs="Arial"/>
          <w:b/>
        </w:rPr>
        <w:t>.</w:t>
      </w:r>
      <w:r w:rsidR="009F2879" w:rsidRPr="00C3307B">
        <w:rPr>
          <w:rFonts w:ascii="Palatino Linotype" w:hAnsi="Palatino Linotype" w:cs="Arial"/>
          <w:b/>
        </w:rPr>
        <w:t xml:space="preserve">  Hágase del Conocimiento </w:t>
      </w:r>
      <w:r w:rsidR="009F2879" w:rsidRPr="00C3307B">
        <w:rPr>
          <w:rFonts w:ascii="Palatino Linotype" w:hAnsi="Palatino Linotype" w:cs="Arial"/>
        </w:rPr>
        <w:t>d</w:t>
      </w:r>
      <w:r w:rsidR="009F2879">
        <w:rPr>
          <w:rFonts w:ascii="Palatino Linotype" w:hAnsi="Palatino Linotype" w:cs="Arial"/>
        </w:rPr>
        <w:t>e la recurrente</w:t>
      </w:r>
      <w:r w:rsidR="009F2879" w:rsidRPr="00C3307B">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FF7169" w:rsidRPr="00727FD8" w:rsidRDefault="00FF7169" w:rsidP="00FF7169">
      <w:pPr>
        <w:spacing w:line="360" w:lineRule="auto"/>
        <w:ind w:right="49"/>
        <w:jc w:val="both"/>
        <w:rPr>
          <w:rFonts w:ascii="Palatino Linotype" w:hAnsi="Palatino Linotype"/>
        </w:rPr>
      </w:pPr>
      <w:r w:rsidRPr="00727FD8">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rPr>
        <w:t>TRIGÉSIMA</w:t>
      </w:r>
      <w:r w:rsidRPr="00727FD8">
        <w:rPr>
          <w:rFonts w:ascii="Palatino Linotype" w:hAnsi="Palatino Linotype"/>
        </w:rPr>
        <w:t xml:space="preserve"> </w:t>
      </w:r>
      <w:r>
        <w:rPr>
          <w:rFonts w:ascii="Palatino Linotype" w:hAnsi="Palatino Linotype"/>
        </w:rPr>
        <w:t xml:space="preserve">CUARTA </w:t>
      </w:r>
      <w:r w:rsidRPr="00727FD8">
        <w:rPr>
          <w:rFonts w:ascii="Palatino Linotype" w:hAnsi="Palatino Linotype"/>
        </w:rPr>
        <w:t xml:space="preserve">SESIÓN ORDINARIA CELEBRADA EL </w:t>
      </w:r>
      <w:r>
        <w:rPr>
          <w:rFonts w:ascii="Palatino Linotype" w:hAnsi="Palatino Linotype"/>
        </w:rPr>
        <w:t>VEINTINUEVE DE SEPTIEMBRE</w:t>
      </w:r>
      <w:r w:rsidRPr="00727FD8">
        <w:rPr>
          <w:rFonts w:ascii="Palatino Linotype" w:hAnsi="Palatino Linotype"/>
        </w:rPr>
        <w:t xml:space="preserve"> DE DOS MIL VEINTIUNO, ANTE EL SECRETARIO TÉCNICO DEL PLENO ALEXIS TAPIA RAMÍREZ.</w:t>
      </w:r>
    </w:p>
    <w:p w:rsidR="005419D3" w:rsidRDefault="0094543A" w:rsidP="005419D3">
      <w:pPr>
        <w:spacing w:line="360" w:lineRule="auto"/>
        <w:ind w:right="49"/>
        <w:jc w:val="both"/>
        <w:rPr>
          <w:rFonts w:ascii="Palatino Linotype" w:hAnsi="Palatino Linotype" w:cs="Arial"/>
          <w:sz w:val="25"/>
          <w:szCs w:val="25"/>
        </w:rPr>
      </w:pPr>
      <w:r>
        <w:rPr>
          <w:rFonts w:ascii="Palatino Linotype" w:hAnsi="Palatino Linotype" w:cs="Arial"/>
          <w:noProof/>
          <w:sz w:val="25"/>
          <w:szCs w:val="25"/>
          <w:lang w:eastAsia="es-MX"/>
        </w:rPr>
        <mc:AlternateContent>
          <mc:Choice Requires="wps">
            <w:drawing>
              <wp:anchor distT="0" distB="0" distL="114300" distR="114300" simplePos="0" relativeHeight="251660288" behindDoc="0" locked="0" layoutInCell="1" allowOverlap="1">
                <wp:simplePos x="0" y="0"/>
                <wp:positionH relativeFrom="column">
                  <wp:posOffset>104609</wp:posOffset>
                </wp:positionH>
                <wp:positionV relativeFrom="paragraph">
                  <wp:posOffset>15875</wp:posOffset>
                </wp:positionV>
                <wp:extent cx="5446644" cy="1916264"/>
                <wp:effectExtent l="0" t="0" r="20955" b="27305"/>
                <wp:wrapNone/>
                <wp:docPr id="4" name="Conector recto 4"/>
                <wp:cNvGraphicFramePr/>
                <a:graphic xmlns:a="http://schemas.openxmlformats.org/drawingml/2006/main">
                  <a:graphicData uri="http://schemas.microsoft.com/office/word/2010/wordprocessingShape">
                    <wps:wsp>
                      <wps:cNvCnPr/>
                      <wps:spPr>
                        <a:xfrm>
                          <a:off x="0" y="0"/>
                          <a:ext cx="5446644" cy="19162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B1309F9"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5pt,1.25pt" to="437.1pt,1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" strokecolor="black [3200]" strokeweight=".5pt">
                <v:stroke joinstyle="miter"/>
              </v:line>
            </w:pict>
          </mc:Fallback>
        </mc:AlternateContent>
      </w:r>
    </w:p>
    <w:p w:rsidR="0094543A" w:rsidRDefault="0094543A" w:rsidP="00E14FC9">
      <w:pPr>
        <w:jc w:val="both"/>
        <w:rPr>
          <w:rFonts w:ascii="Palatino Linotype" w:hAnsi="Palatino Linotype" w:cs="Segoe UI"/>
        </w:rPr>
        <w:sectPr w:rsidR="0094543A" w:rsidSect="005256EC">
          <w:headerReference w:type="default" r:id="rId14"/>
          <w:footerReference w:type="default" r:id="rId15"/>
          <w:headerReference w:type="first" r:id="rId16"/>
          <w:footerReference w:type="first" r:id="rId17"/>
          <w:pgSz w:w="12240" w:h="15840"/>
          <w:pgMar w:top="1985" w:right="1701" w:bottom="1701" w:left="1701" w:header="709" w:footer="709" w:gutter="0"/>
          <w:cols w:space="708"/>
          <w:titlePg/>
          <w:docGrid w:linePitch="360"/>
        </w:sectPr>
      </w:pPr>
    </w:p>
    <w:p w:rsidR="00BF7EAE" w:rsidRPr="00E14FC9" w:rsidRDefault="00BF7EAE" w:rsidP="00E14FC9">
      <w:pPr>
        <w:jc w:val="both"/>
        <w:rPr>
          <w:rFonts w:ascii="Palatino Linotype" w:hAnsi="Palatino Linotype" w:cs="Segoe UI"/>
        </w:rPr>
      </w:pPr>
    </w:p>
    <w:sectPr w:rsidR="00BF7EAE" w:rsidRPr="00E14FC9" w:rsidSect="005256EC">
      <w:headerReference w:type="first" r:id="rId18"/>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CBB" w:rsidRDefault="003B4CBB" w:rsidP="005419D3">
      <w:r>
        <w:separator/>
      </w:r>
    </w:p>
  </w:endnote>
  <w:endnote w:type="continuationSeparator" w:id="0">
    <w:p w:rsidR="003B4CBB" w:rsidRDefault="003B4CBB" w:rsidP="00541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479" w:rsidRDefault="005F1479" w:rsidP="005256EC">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879F6">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879F6">
      <w:rPr>
        <w:rFonts w:ascii="Arial" w:hAnsi="Arial" w:cs="Arial"/>
        <w:b/>
        <w:bCs/>
        <w:noProof/>
        <w:sz w:val="20"/>
        <w:szCs w:val="20"/>
      </w:rPr>
      <w:t>45</w:t>
    </w:r>
    <w:r>
      <w:rPr>
        <w:rFonts w:ascii="Arial" w:hAnsi="Arial" w:cs="Arial"/>
        <w:b/>
        <w:bCs/>
        <w:sz w:val="20"/>
        <w:szCs w:val="20"/>
      </w:rPr>
      <w:fldChar w:fldCharType="end"/>
    </w:r>
  </w:p>
  <w:p w:rsidR="005F1479" w:rsidRDefault="005F1479" w:rsidP="005256EC">
    <w:pPr>
      <w:pStyle w:val="Piedepgina"/>
      <w:rPr>
        <w:rFonts w:ascii="Times New Roman" w:hAnsi="Times New Roman"/>
      </w:rPr>
    </w:pPr>
  </w:p>
  <w:p w:rsidR="005F1479" w:rsidRDefault="005F1479" w:rsidP="005256EC">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479" w:rsidRDefault="005F1479" w:rsidP="005256EC">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879F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879F6">
      <w:rPr>
        <w:rFonts w:ascii="Arial" w:hAnsi="Arial" w:cs="Arial"/>
        <w:b/>
        <w:bCs/>
        <w:noProof/>
        <w:sz w:val="20"/>
        <w:szCs w:val="20"/>
      </w:rPr>
      <w:t>45</w:t>
    </w:r>
    <w:r>
      <w:rPr>
        <w:rFonts w:ascii="Arial" w:hAnsi="Arial" w:cs="Arial"/>
        <w:b/>
        <w:bCs/>
        <w:sz w:val="20"/>
        <w:szCs w:val="20"/>
      </w:rPr>
      <w:fldChar w:fldCharType="end"/>
    </w:r>
  </w:p>
  <w:p w:rsidR="005F1479" w:rsidRDefault="005F14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CBB" w:rsidRDefault="003B4CBB" w:rsidP="005419D3">
      <w:r>
        <w:separator/>
      </w:r>
    </w:p>
  </w:footnote>
  <w:footnote w:type="continuationSeparator" w:id="0">
    <w:p w:rsidR="003B4CBB" w:rsidRDefault="003B4CBB" w:rsidP="005419D3">
      <w:r>
        <w:continuationSeparator/>
      </w:r>
    </w:p>
  </w:footnote>
  <w:footnote w:id="1">
    <w:p w:rsidR="005F1479" w:rsidRPr="008A061C" w:rsidRDefault="005F1479">
      <w:pPr>
        <w:pStyle w:val="Textonotapie"/>
        <w:rPr>
          <w:lang w:val="en-US"/>
        </w:rPr>
      </w:pPr>
      <w:r>
        <w:rPr>
          <w:rStyle w:val="Refdenotaalpie"/>
        </w:rPr>
        <w:footnoteRef/>
      </w:r>
      <w:r w:rsidRPr="008A061C">
        <w:rPr>
          <w:lang w:val="en-US"/>
        </w:rPr>
        <w:t xml:space="preserve"> Vease: </w:t>
      </w:r>
      <w:hyperlink r:id="rId1" w:history="1">
        <w:r w:rsidRPr="008A061C">
          <w:rPr>
            <w:rStyle w:val="Hipervnculo"/>
            <w:lang w:val="en-US"/>
          </w:rPr>
          <w:t>http://legislacion.edomex.gob.mx/sites/legislacion.edomex.gob.mx/files/files/pdf/ley/vig/leyvig001.pdf</w:t>
        </w:r>
      </w:hyperlink>
    </w:p>
  </w:footnote>
  <w:footnote w:id="2">
    <w:p w:rsidR="005F1479" w:rsidRPr="00F74E6D" w:rsidRDefault="005F1479" w:rsidP="00F74E6D">
      <w:pPr>
        <w:pStyle w:val="Textonotapie"/>
      </w:pPr>
      <w:r>
        <w:rPr>
          <w:rStyle w:val="Refdenotaalpie"/>
        </w:rPr>
        <w:footnoteRef/>
      </w:r>
      <w:r>
        <w:t xml:space="preserve"> </w:t>
      </w:r>
      <w:r w:rsidRPr="00C27907">
        <w:t xml:space="preserve">Visible en: </w:t>
      </w:r>
      <w:hyperlink r:id="rId2" w:history="1">
        <w:r w:rsidRPr="00C27907">
          <w:rPr>
            <w:rStyle w:val="Hipervnculo"/>
            <w:i/>
          </w:rPr>
          <w:t>http://sjf.scjn.gob.mx/SJFSist/Documentos/Tesis/170/170722.pdf</w:t>
        </w:r>
      </w:hyperlink>
      <w:r>
        <w:t>. Consultado en fecha 18 de marzo de 2019.</w:t>
      </w:r>
    </w:p>
  </w:footnote>
  <w:footnote w:id="3">
    <w:p w:rsidR="005F1479" w:rsidRDefault="005F1479" w:rsidP="00E00344">
      <w:pPr>
        <w:pStyle w:val="Textonotapie"/>
      </w:pPr>
      <w:r>
        <w:rPr>
          <w:rStyle w:val="Refdenotaalpie"/>
        </w:rPr>
        <w:footnoteRef/>
      </w:r>
      <w:r>
        <w:t xml:space="preserve"> Al respecto la fracd6n XII del artículo 3 de la ley General de Transparencia y Acceso a la Información Pública, define a la información de Interés público como:</w:t>
      </w:r>
    </w:p>
    <w:p w:rsidR="005F1479" w:rsidRDefault="005F1479" w:rsidP="00E00344">
      <w:pPr>
        <w:pStyle w:val="Textonotapie"/>
      </w:pPr>
    </w:p>
    <w:p w:rsidR="005F1479" w:rsidRDefault="005F1479" w:rsidP="00E00344">
      <w:pPr>
        <w:pStyle w:val="Textonotapie"/>
      </w:pPr>
      <w:r>
        <w:t>Artículo 3. Para los efectos de la presente Ley se entenderá por:</w:t>
      </w:r>
    </w:p>
    <w:p w:rsidR="005F1479" w:rsidRDefault="005F1479" w:rsidP="00E00344">
      <w:pPr>
        <w:pStyle w:val="Textonotapie"/>
      </w:pPr>
      <w:r>
        <w:t>…</w:t>
      </w:r>
    </w:p>
    <w:p w:rsidR="005F1479" w:rsidRDefault="005F1479" w:rsidP="00E00344">
      <w:pPr>
        <w:pStyle w:val="Textonotapie"/>
      </w:pPr>
      <w:r w:rsidRPr="00DD0357">
        <w:rPr>
          <w:b/>
        </w:rPr>
        <w:t>XII. Información de interés público: Se refiere a la información que resulta relevante o beneficiosa para la sociedad y no simplemente de interés individual</w:t>
      </w:r>
      <w:r>
        <w:t>, cuya divulgación resulta útil para que el público comprenda las actividades que llevan a cabo los sujetos obligados;</w:t>
      </w:r>
    </w:p>
    <w:p w:rsidR="005F1479" w:rsidRPr="00C27907" w:rsidRDefault="005F1479" w:rsidP="00E00344">
      <w:pPr>
        <w:pStyle w:val="Textonotapie"/>
      </w:pPr>
      <w:r>
        <w:t>…</w:t>
      </w:r>
    </w:p>
    <w:p w:rsidR="005F1479" w:rsidRDefault="005F1479" w:rsidP="00E00344">
      <w:pPr>
        <w:pStyle w:val="Textonotapie"/>
        <w:jc w:val="both"/>
      </w:pPr>
    </w:p>
  </w:footnote>
  <w:footnote w:id="4">
    <w:p w:rsidR="005F1479" w:rsidRDefault="005F1479" w:rsidP="00E00344">
      <w:pPr>
        <w:pStyle w:val="Textonotapie"/>
        <w:jc w:val="both"/>
      </w:pPr>
      <w:r>
        <w:rPr>
          <w:rStyle w:val="Refdenotaalpie"/>
        </w:rPr>
        <w:footnoteRef/>
      </w:r>
      <w:r>
        <w:t xml:space="preserve"> </w:t>
      </w:r>
      <w:r w:rsidRPr="003557BE">
        <w:t>Michelle Zezza</w:t>
      </w:r>
      <w:r>
        <w:t xml:space="preserve">. </w:t>
      </w:r>
      <w:r w:rsidRPr="0092679B">
        <w:t>LA RACIONALIDAD DE LA PONDERACIÓN JUDICIAL: ANÁLISIS DE LAS TEORÍAS DE ROBERT ALEXY Y RICCARDO GUASTINI</w:t>
      </w:r>
      <w:r>
        <w:t xml:space="preserve">” Universidad Carlos III de Madrid. 2006. Visible en: </w:t>
      </w:r>
      <w:hyperlink r:id="rId3" w:history="1">
        <w:r w:rsidRPr="00260B04">
          <w:rPr>
            <w:rStyle w:val="Hipervnculo"/>
          </w:rPr>
          <w:t>https://e-archivo.uc3m.es/bitstream/handle/10016/26545/WF-18-03.pdf</w:t>
        </w:r>
      </w:hyperlink>
      <w:r>
        <w:t>.</w:t>
      </w:r>
    </w:p>
    <w:p w:rsidR="005F1479" w:rsidRDefault="005F1479" w:rsidP="00E00344">
      <w:pPr>
        <w:pStyle w:val="Textonotapie"/>
        <w:jc w:val="both"/>
      </w:pPr>
    </w:p>
    <w:p w:rsidR="005F1479" w:rsidRDefault="005F1479" w:rsidP="00E00344">
      <w:pPr>
        <w:pStyle w:val="Textonotapie"/>
        <w:jc w:val="both"/>
      </w:pPr>
    </w:p>
  </w:footnote>
  <w:footnote w:id="5">
    <w:p w:rsidR="005F1479" w:rsidRPr="00320DFC" w:rsidRDefault="005F1479" w:rsidP="00E00344">
      <w:pPr>
        <w:pStyle w:val="Textonotapie"/>
        <w:rPr>
          <w:sz w:val="16"/>
          <w:szCs w:val="16"/>
        </w:rPr>
      </w:pPr>
      <w:r w:rsidRPr="00320DFC">
        <w:rPr>
          <w:rStyle w:val="Refdenotaalpie"/>
          <w:sz w:val="16"/>
          <w:szCs w:val="16"/>
        </w:rPr>
        <w:footnoteRef/>
      </w:r>
      <w:r w:rsidRPr="00320DFC">
        <w:rPr>
          <w:sz w:val="16"/>
          <w:szCs w:val="16"/>
        </w:rPr>
        <w:t xml:space="preserve"> S</w:t>
      </w:r>
      <w:r w:rsidRPr="00320DFC">
        <w:rPr>
          <w:rFonts w:ascii="Palatino Linotype" w:hAnsi="Palatino Linotype"/>
          <w:sz w:val="16"/>
          <w:szCs w:val="16"/>
        </w:rPr>
        <w:t>entencia de fecha 19 de septiembre de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5F1479" w:rsidRPr="00E51193" w:rsidTr="005256EC">
      <w:tc>
        <w:tcPr>
          <w:tcW w:w="2552" w:type="dxa"/>
          <w:vAlign w:val="center"/>
          <w:hideMark/>
        </w:tcPr>
        <w:p w:rsidR="005F1479" w:rsidRPr="00E51193" w:rsidRDefault="005F1479" w:rsidP="005256EC">
          <w:pPr>
            <w:rPr>
              <w:rFonts w:ascii="Palatino Linotype" w:hAnsi="Palatino Linotype"/>
              <w:b/>
              <w:sz w:val="21"/>
              <w:szCs w:val="21"/>
              <w:lang w:val="es-ES_tradnl"/>
            </w:rPr>
          </w:pPr>
          <w:r w:rsidRPr="00E51193">
            <w:rPr>
              <w:rFonts w:ascii="Palatino Linotype" w:hAnsi="Palatino Linotype"/>
              <w:b/>
              <w:sz w:val="21"/>
              <w:szCs w:val="21"/>
              <w:lang w:val="es-ES_tradnl"/>
            </w:rPr>
            <w:t>Recurso de Revisión:</w:t>
          </w:r>
        </w:p>
      </w:tc>
      <w:tc>
        <w:tcPr>
          <w:tcW w:w="2976" w:type="dxa"/>
          <w:vAlign w:val="center"/>
          <w:hideMark/>
        </w:tcPr>
        <w:p w:rsidR="005F1479" w:rsidRPr="00E51193" w:rsidRDefault="005F1479" w:rsidP="005256EC">
          <w:pPr>
            <w:jc w:val="both"/>
            <w:rPr>
              <w:rFonts w:ascii="Palatino Linotype" w:hAnsi="Palatino Linotype"/>
              <w:b/>
              <w:sz w:val="21"/>
              <w:szCs w:val="21"/>
              <w:lang w:val="es-ES_tradnl"/>
            </w:rPr>
          </w:pPr>
          <w:r>
            <w:rPr>
              <w:rFonts w:ascii="Palatino Linotype" w:hAnsi="Palatino Linotype"/>
              <w:b/>
              <w:sz w:val="21"/>
              <w:szCs w:val="21"/>
              <w:lang w:val="es-ES_tradnl"/>
            </w:rPr>
            <w:t>03889/INFOEM/IP/RR/2021</w:t>
          </w:r>
          <w:r w:rsidRPr="00E51193">
            <w:rPr>
              <w:rFonts w:ascii="Palatino Linotype" w:hAnsi="Palatino Linotype"/>
              <w:b/>
              <w:sz w:val="21"/>
              <w:szCs w:val="21"/>
              <w:lang w:val="es-ES_tradnl"/>
            </w:rPr>
            <w:t xml:space="preserve"> </w:t>
          </w:r>
        </w:p>
      </w:tc>
    </w:tr>
    <w:tr w:rsidR="005F1479" w:rsidRPr="00E51193" w:rsidTr="005256EC">
      <w:trPr>
        <w:trHeight w:val="228"/>
      </w:trPr>
      <w:tc>
        <w:tcPr>
          <w:tcW w:w="2552" w:type="dxa"/>
          <w:vAlign w:val="center"/>
          <w:hideMark/>
        </w:tcPr>
        <w:p w:rsidR="005F1479" w:rsidRPr="00E51193" w:rsidRDefault="005F1479" w:rsidP="005256EC">
          <w:pPr>
            <w:rPr>
              <w:rFonts w:ascii="Palatino Linotype" w:hAnsi="Palatino Linotype"/>
              <w:b/>
              <w:sz w:val="21"/>
              <w:szCs w:val="21"/>
              <w:lang w:val="es-ES_tradnl"/>
            </w:rPr>
          </w:pPr>
          <w:r w:rsidRPr="00E51193">
            <w:rPr>
              <w:rFonts w:ascii="Palatino Linotype" w:hAnsi="Palatino Linotype"/>
              <w:b/>
              <w:sz w:val="21"/>
              <w:szCs w:val="21"/>
              <w:lang w:val="es-ES_tradnl"/>
            </w:rPr>
            <w:t>Sujeto obligado:</w:t>
          </w:r>
        </w:p>
      </w:tc>
      <w:tc>
        <w:tcPr>
          <w:tcW w:w="2976" w:type="dxa"/>
          <w:vAlign w:val="center"/>
          <w:hideMark/>
        </w:tcPr>
        <w:p w:rsidR="005F1479" w:rsidRPr="00E51193" w:rsidRDefault="005F1479" w:rsidP="005256EC">
          <w:pPr>
            <w:jc w:val="both"/>
            <w:rPr>
              <w:rFonts w:ascii="Palatino Linotype" w:hAnsi="Palatino Linotype"/>
              <w:b/>
              <w:sz w:val="21"/>
              <w:szCs w:val="21"/>
              <w:lang w:val="es-ES_tradnl"/>
            </w:rPr>
          </w:pPr>
          <w:r>
            <w:rPr>
              <w:rFonts w:ascii="Palatino Linotype" w:hAnsi="Palatino Linotype"/>
              <w:b/>
              <w:bCs/>
              <w:sz w:val="21"/>
              <w:szCs w:val="21"/>
            </w:rPr>
            <w:t>Poder Legislativo.</w:t>
          </w:r>
        </w:p>
      </w:tc>
    </w:tr>
    <w:tr w:rsidR="005F1479" w:rsidRPr="00E51193" w:rsidTr="005256EC">
      <w:tc>
        <w:tcPr>
          <w:tcW w:w="2552" w:type="dxa"/>
          <w:vAlign w:val="center"/>
          <w:hideMark/>
        </w:tcPr>
        <w:p w:rsidR="005F1479" w:rsidRPr="00E51193" w:rsidRDefault="005F1479" w:rsidP="005256EC">
          <w:pPr>
            <w:rPr>
              <w:rFonts w:ascii="Palatino Linotype" w:hAnsi="Palatino Linotype"/>
              <w:b/>
              <w:sz w:val="21"/>
              <w:szCs w:val="21"/>
              <w:lang w:val="es-ES_tradnl"/>
            </w:rPr>
          </w:pPr>
          <w:r>
            <w:rPr>
              <w:rFonts w:ascii="Palatino Linotype" w:hAnsi="Palatino Linotype"/>
              <w:b/>
              <w:sz w:val="21"/>
              <w:szCs w:val="21"/>
              <w:lang w:val="es-ES_tradnl"/>
            </w:rPr>
            <w:t>Comisionada</w:t>
          </w:r>
          <w:r w:rsidRPr="00E51193">
            <w:rPr>
              <w:rFonts w:ascii="Palatino Linotype" w:hAnsi="Palatino Linotype"/>
              <w:b/>
              <w:sz w:val="21"/>
              <w:szCs w:val="21"/>
              <w:lang w:val="es-ES_tradnl"/>
            </w:rPr>
            <w:t xml:space="preserve"> ponente:</w:t>
          </w:r>
        </w:p>
      </w:tc>
      <w:tc>
        <w:tcPr>
          <w:tcW w:w="2976" w:type="dxa"/>
          <w:vAlign w:val="center"/>
          <w:hideMark/>
        </w:tcPr>
        <w:p w:rsidR="005F1479" w:rsidRPr="00E51193" w:rsidRDefault="005F1479" w:rsidP="005256EC">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rsidR="005F1479" w:rsidRDefault="005F1479" w:rsidP="005256EC">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6B736AEC" wp14:editId="45D9C6D6">
          <wp:simplePos x="0" y="0"/>
          <wp:positionH relativeFrom="margin">
            <wp:posOffset>-1156335</wp:posOffset>
          </wp:positionH>
          <wp:positionV relativeFrom="paragraph">
            <wp:posOffset>-1173480</wp:posOffset>
          </wp:positionV>
          <wp:extent cx="7635240" cy="994410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240" cy="99441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479" w:rsidRDefault="005F1479" w:rsidP="005256EC">
    <w:pPr>
      <w:pStyle w:val="Encabezado"/>
      <w:jc w:val="both"/>
    </w:pPr>
    <w:r>
      <w:rPr>
        <w:noProof/>
        <w:lang w:val="es-MX" w:eastAsia="es-MX"/>
      </w:rPr>
      <w:drawing>
        <wp:anchor distT="0" distB="0" distL="114300" distR="114300" simplePos="0" relativeHeight="251660288" behindDoc="1" locked="0" layoutInCell="1" allowOverlap="1" wp14:anchorId="4EADD72F" wp14:editId="7E24FEF0">
          <wp:simplePos x="0" y="0"/>
          <wp:positionH relativeFrom="page">
            <wp:align>left</wp:align>
          </wp:positionH>
          <wp:positionV relativeFrom="paragraph">
            <wp:posOffset>-438785</wp:posOffset>
          </wp:positionV>
          <wp:extent cx="7635875" cy="9943465"/>
          <wp:effectExtent l="0" t="0" r="317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5F1479" w:rsidRPr="00294C56" w:rsidTr="005256EC">
      <w:tc>
        <w:tcPr>
          <w:tcW w:w="2551" w:type="dxa"/>
          <w:vAlign w:val="center"/>
          <w:hideMark/>
        </w:tcPr>
        <w:p w:rsidR="005F1479" w:rsidRPr="00294C56" w:rsidRDefault="005F1479" w:rsidP="005256EC">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5F1479" w:rsidRPr="009A7BF4" w:rsidRDefault="005F1479" w:rsidP="005256EC">
          <w:pPr>
            <w:jc w:val="both"/>
            <w:rPr>
              <w:rFonts w:ascii="Palatino Linotype" w:hAnsi="Palatino Linotype"/>
              <w:b/>
              <w:sz w:val="21"/>
              <w:szCs w:val="21"/>
              <w:lang w:val="es-ES_tradnl"/>
            </w:rPr>
          </w:pPr>
          <w:r>
            <w:rPr>
              <w:rFonts w:ascii="Palatino Linotype" w:hAnsi="Palatino Linotype"/>
              <w:b/>
              <w:sz w:val="21"/>
              <w:szCs w:val="21"/>
              <w:lang w:val="es-ES_tradnl"/>
            </w:rPr>
            <w:t>03889/INFOEM/IP/RR/2021</w:t>
          </w:r>
        </w:p>
      </w:tc>
    </w:tr>
    <w:tr w:rsidR="005F1479" w:rsidRPr="00294C56" w:rsidTr="005256EC">
      <w:tc>
        <w:tcPr>
          <w:tcW w:w="2551" w:type="dxa"/>
          <w:vAlign w:val="center"/>
          <w:hideMark/>
        </w:tcPr>
        <w:p w:rsidR="005F1479" w:rsidRPr="00294C56" w:rsidRDefault="005F1479" w:rsidP="005256EC">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5F1479" w:rsidRPr="009A7BF4" w:rsidRDefault="000879F6" w:rsidP="005256EC">
          <w:pPr>
            <w:jc w:val="both"/>
            <w:rPr>
              <w:rFonts w:ascii="Palatino Linotype" w:hAnsi="Palatino Linotype"/>
              <w:b/>
              <w:sz w:val="21"/>
              <w:szCs w:val="21"/>
              <w:lang w:val="es-ES_tradnl"/>
            </w:rPr>
          </w:pPr>
          <w:r>
            <w:rPr>
              <w:rFonts w:ascii="Palatino Linotype" w:hAnsi="Palatino Linotype"/>
              <w:b/>
              <w:sz w:val="21"/>
              <w:szCs w:val="21"/>
              <w:lang w:val="es-ES_tradnl"/>
            </w:rPr>
            <w:t>XXXXX XXXXX XXXXX</w:t>
          </w:r>
          <w:r w:rsidR="005F1479">
            <w:rPr>
              <w:rFonts w:ascii="Palatino Linotype" w:hAnsi="Palatino Linotype"/>
              <w:b/>
              <w:sz w:val="21"/>
              <w:szCs w:val="21"/>
              <w:lang w:val="es-ES_tradnl"/>
            </w:rPr>
            <w:t>.</w:t>
          </w:r>
        </w:p>
      </w:tc>
    </w:tr>
    <w:tr w:rsidR="005F1479" w:rsidRPr="00294C56" w:rsidTr="005256EC">
      <w:trPr>
        <w:trHeight w:val="228"/>
      </w:trPr>
      <w:tc>
        <w:tcPr>
          <w:tcW w:w="2551" w:type="dxa"/>
          <w:vAlign w:val="center"/>
          <w:hideMark/>
        </w:tcPr>
        <w:p w:rsidR="005F1479" w:rsidRPr="00294C56" w:rsidRDefault="005F1479" w:rsidP="005256EC">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rsidR="005F1479" w:rsidRPr="00294C56" w:rsidRDefault="005F1479" w:rsidP="005256EC">
          <w:pPr>
            <w:jc w:val="both"/>
            <w:rPr>
              <w:rFonts w:ascii="Palatino Linotype" w:hAnsi="Palatino Linotype"/>
              <w:b/>
              <w:sz w:val="21"/>
              <w:szCs w:val="21"/>
              <w:lang w:val="es-ES_tradnl"/>
            </w:rPr>
          </w:pPr>
          <w:r>
            <w:rPr>
              <w:rFonts w:ascii="Palatino Linotype" w:hAnsi="Palatino Linotype"/>
              <w:b/>
              <w:bCs/>
              <w:sz w:val="21"/>
              <w:szCs w:val="21"/>
            </w:rPr>
            <w:t>Poder Legislativo.</w:t>
          </w:r>
        </w:p>
      </w:tc>
    </w:tr>
    <w:tr w:rsidR="005F1479" w:rsidRPr="00294C56" w:rsidTr="005256EC">
      <w:tc>
        <w:tcPr>
          <w:tcW w:w="2551" w:type="dxa"/>
          <w:vAlign w:val="center"/>
          <w:hideMark/>
        </w:tcPr>
        <w:p w:rsidR="005F1479" w:rsidRPr="00294C56" w:rsidRDefault="005F1479" w:rsidP="005F1479">
          <w:pPr>
            <w:rPr>
              <w:rFonts w:ascii="Palatino Linotype" w:hAnsi="Palatino Linotype"/>
              <w:b/>
              <w:sz w:val="21"/>
              <w:szCs w:val="21"/>
              <w:lang w:val="es-ES_tradnl"/>
            </w:rPr>
          </w:pPr>
          <w:r w:rsidRPr="00294C56">
            <w:rPr>
              <w:rFonts w:ascii="Palatino Linotype" w:hAnsi="Palatino Linotype"/>
              <w:b/>
              <w:sz w:val="21"/>
              <w:szCs w:val="21"/>
              <w:lang w:val="es-ES_tradnl"/>
            </w:rPr>
            <w:t>Comisionad</w:t>
          </w:r>
          <w:r>
            <w:rPr>
              <w:rFonts w:ascii="Palatino Linotype" w:hAnsi="Palatino Linotype"/>
              <w:b/>
              <w:sz w:val="21"/>
              <w:szCs w:val="21"/>
              <w:lang w:val="es-ES_tradnl"/>
            </w:rPr>
            <w:t>a</w:t>
          </w:r>
          <w:r w:rsidRPr="00294C56">
            <w:rPr>
              <w:rFonts w:ascii="Palatino Linotype" w:hAnsi="Palatino Linotype"/>
              <w:b/>
              <w:sz w:val="21"/>
              <w:szCs w:val="21"/>
              <w:lang w:val="es-ES_tradnl"/>
            </w:rPr>
            <w:t xml:space="preserve"> ponente:</w:t>
          </w:r>
        </w:p>
      </w:tc>
      <w:tc>
        <w:tcPr>
          <w:tcW w:w="3687" w:type="dxa"/>
          <w:vAlign w:val="center"/>
          <w:hideMark/>
        </w:tcPr>
        <w:p w:rsidR="005F1479" w:rsidRPr="00294C56" w:rsidRDefault="005F1479" w:rsidP="005256EC">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rsidR="005F1479" w:rsidRDefault="005F1479" w:rsidP="005256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43A" w:rsidRDefault="0094543A" w:rsidP="005256EC">
    <w:pPr>
      <w:pStyle w:val="Encabezado"/>
      <w:jc w:val="both"/>
    </w:pPr>
    <w:r>
      <w:t xml:space="preserve">                                  </w:t>
    </w:r>
  </w:p>
  <w:p w:rsidR="0094543A" w:rsidRDefault="0094543A" w:rsidP="005256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15140"/>
    <w:multiLevelType w:val="hybridMultilevel"/>
    <w:tmpl w:val="A6547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A4454E"/>
    <w:multiLevelType w:val="hybridMultilevel"/>
    <w:tmpl w:val="0F1284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537A0A"/>
    <w:multiLevelType w:val="hybridMultilevel"/>
    <w:tmpl w:val="6C6AB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8A57C2"/>
    <w:multiLevelType w:val="hybridMultilevel"/>
    <w:tmpl w:val="62FCB8A6"/>
    <w:lvl w:ilvl="0" w:tplc="7CE280A2">
      <w:start w:val="1"/>
      <w:numFmt w:val="upperLetter"/>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7A6423"/>
    <w:multiLevelType w:val="hybridMultilevel"/>
    <w:tmpl w:val="A1F850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1C71CE"/>
    <w:multiLevelType w:val="hybridMultilevel"/>
    <w:tmpl w:val="4E963124"/>
    <w:lvl w:ilvl="0" w:tplc="38989B6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17490"/>
    <w:multiLevelType w:val="hybridMultilevel"/>
    <w:tmpl w:val="3410B98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8465D1"/>
    <w:multiLevelType w:val="hybridMultilevel"/>
    <w:tmpl w:val="B0903448"/>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36BF0B84"/>
    <w:multiLevelType w:val="hybridMultilevel"/>
    <w:tmpl w:val="9D765334"/>
    <w:lvl w:ilvl="0" w:tplc="676AB2B2">
      <w:start w:val="1"/>
      <w:numFmt w:val="lowerRoman"/>
      <w:lvlText w:val="%1)"/>
      <w:lvlJc w:val="left"/>
      <w:pPr>
        <w:ind w:left="1068" w:hanging="360"/>
      </w:pPr>
      <w:rPr>
        <w:rFonts w:ascii="Palatino Linotype" w:eastAsia="Times New Roman" w:hAnsi="Palatino Linotype" w:cs="Times New Roman"/>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3A407077"/>
    <w:multiLevelType w:val="hybridMultilevel"/>
    <w:tmpl w:val="B77210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3A66C9"/>
    <w:multiLevelType w:val="hybridMultilevel"/>
    <w:tmpl w:val="4852D220"/>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85651F2"/>
    <w:multiLevelType w:val="hybridMultilevel"/>
    <w:tmpl w:val="67DA83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7F14CE"/>
    <w:multiLevelType w:val="hybridMultilevel"/>
    <w:tmpl w:val="8F3420D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12602F1"/>
    <w:multiLevelType w:val="hybridMultilevel"/>
    <w:tmpl w:val="5C34AF8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2B1258"/>
    <w:multiLevelType w:val="hybridMultilevel"/>
    <w:tmpl w:val="62FCB8A6"/>
    <w:lvl w:ilvl="0" w:tplc="7CE280A2">
      <w:start w:val="1"/>
      <w:numFmt w:val="upperLetter"/>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7A6835"/>
    <w:multiLevelType w:val="hybridMultilevel"/>
    <w:tmpl w:val="2354DA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0828E6"/>
    <w:multiLevelType w:val="hybridMultilevel"/>
    <w:tmpl w:val="682257DE"/>
    <w:lvl w:ilvl="0" w:tplc="A588F03A">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5"/>
  </w:num>
  <w:num w:numId="2">
    <w:abstractNumId w:val="10"/>
  </w:num>
  <w:num w:numId="3">
    <w:abstractNumId w:val="16"/>
  </w:num>
  <w:num w:numId="4">
    <w:abstractNumId w:val="11"/>
  </w:num>
  <w:num w:numId="5">
    <w:abstractNumId w:val="1"/>
  </w:num>
  <w:num w:numId="6">
    <w:abstractNumId w:val="13"/>
  </w:num>
  <w:num w:numId="7">
    <w:abstractNumId w:val="3"/>
  </w:num>
  <w:num w:numId="8">
    <w:abstractNumId w:val="5"/>
  </w:num>
  <w:num w:numId="9">
    <w:abstractNumId w:val="2"/>
  </w:num>
  <w:num w:numId="10">
    <w:abstractNumId w:val="17"/>
  </w:num>
  <w:num w:numId="11">
    <w:abstractNumId w:val="4"/>
  </w:num>
  <w:num w:numId="12">
    <w:abstractNumId w:val="18"/>
  </w:num>
  <w:num w:numId="13">
    <w:abstractNumId w:val="6"/>
  </w:num>
  <w:num w:numId="14">
    <w:abstractNumId w:val="12"/>
  </w:num>
  <w:num w:numId="15">
    <w:abstractNumId w:val="8"/>
  </w:num>
  <w:num w:numId="16">
    <w:abstractNumId w:val="20"/>
  </w:num>
  <w:num w:numId="17">
    <w:abstractNumId w:val="14"/>
  </w:num>
  <w:num w:numId="18">
    <w:abstractNumId w:val="9"/>
  </w:num>
  <w:num w:numId="19">
    <w:abstractNumId w:val="7"/>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D3"/>
    <w:rsid w:val="00011149"/>
    <w:rsid w:val="00011EF9"/>
    <w:rsid w:val="00035888"/>
    <w:rsid w:val="0006699D"/>
    <w:rsid w:val="00067F1B"/>
    <w:rsid w:val="000879F6"/>
    <w:rsid w:val="000C368B"/>
    <w:rsid w:val="000E08FB"/>
    <w:rsid w:val="000F71EB"/>
    <w:rsid w:val="00147D1A"/>
    <w:rsid w:val="00176D11"/>
    <w:rsid w:val="001A0CB7"/>
    <w:rsid w:val="001D31EA"/>
    <w:rsid w:val="00221250"/>
    <w:rsid w:val="00263F55"/>
    <w:rsid w:val="00286D15"/>
    <w:rsid w:val="002A37FA"/>
    <w:rsid w:val="002C7B85"/>
    <w:rsid w:val="002E40BE"/>
    <w:rsid w:val="00305910"/>
    <w:rsid w:val="0039010B"/>
    <w:rsid w:val="00394DD9"/>
    <w:rsid w:val="003A4ED9"/>
    <w:rsid w:val="003B4CBB"/>
    <w:rsid w:val="004466FF"/>
    <w:rsid w:val="004568E6"/>
    <w:rsid w:val="00457540"/>
    <w:rsid w:val="0047067B"/>
    <w:rsid w:val="00492577"/>
    <w:rsid w:val="004937F4"/>
    <w:rsid w:val="004B21B4"/>
    <w:rsid w:val="004E4E7C"/>
    <w:rsid w:val="00516D2F"/>
    <w:rsid w:val="005256EC"/>
    <w:rsid w:val="00530B68"/>
    <w:rsid w:val="005319C9"/>
    <w:rsid w:val="005419D3"/>
    <w:rsid w:val="0055030C"/>
    <w:rsid w:val="00571904"/>
    <w:rsid w:val="005E06C1"/>
    <w:rsid w:val="005F1479"/>
    <w:rsid w:val="00607C1A"/>
    <w:rsid w:val="006320C2"/>
    <w:rsid w:val="006A5673"/>
    <w:rsid w:val="00704F29"/>
    <w:rsid w:val="0072637B"/>
    <w:rsid w:val="00731A81"/>
    <w:rsid w:val="00751109"/>
    <w:rsid w:val="00792654"/>
    <w:rsid w:val="007D545F"/>
    <w:rsid w:val="007E0B58"/>
    <w:rsid w:val="007E419B"/>
    <w:rsid w:val="00821003"/>
    <w:rsid w:val="00840D4E"/>
    <w:rsid w:val="00884C6C"/>
    <w:rsid w:val="008A061C"/>
    <w:rsid w:val="0094543A"/>
    <w:rsid w:val="009D4F62"/>
    <w:rsid w:val="009F2879"/>
    <w:rsid w:val="00A018B6"/>
    <w:rsid w:val="00A10AA6"/>
    <w:rsid w:val="00B524E1"/>
    <w:rsid w:val="00B52E2E"/>
    <w:rsid w:val="00B62C6A"/>
    <w:rsid w:val="00B67363"/>
    <w:rsid w:val="00B85E12"/>
    <w:rsid w:val="00BA6088"/>
    <w:rsid w:val="00BC3A0D"/>
    <w:rsid w:val="00BE774F"/>
    <w:rsid w:val="00BE77BC"/>
    <w:rsid w:val="00BF194A"/>
    <w:rsid w:val="00BF7EAE"/>
    <w:rsid w:val="00C169D3"/>
    <w:rsid w:val="00C53A21"/>
    <w:rsid w:val="00C64750"/>
    <w:rsid w:val="00C93B0C"/>
    <w:rsid w:val="00D1398D"/>
    <w:rsid w:val="00D724DA"/>
    <w:rsid w:val="00D753E8"/>
    <w:rsid w:val="00D82C3A"/>
    <w:rsid w:val="00D8451C"/>
    <w:rsid w:val="00DB00D0"/>
    <w:rsid w:val="00DC2C51"/>
    <w:rsid w:val="00E00344"/>
    <w:rsid w:val="00E14FC9"/>
    <w:rsid w:val="00E24647"/>
    <w:rsid w:val="00EA07A9"/>
    <w:rsid w:val="00F069B2"/>
    <w:rsid w:val="00F74E6D"/>
    <w:rsid w:val="00F92DA1"/>
    <w:rsid w:val="00FA153C"/>
    <w:rsid w:val="00FD4ABF"/>
    <w:rsid w:val="00FE06D5"/>
    <w:rsid w:val="00FF71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211B9-7364-46D0-B05F-C9F9FCC3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9D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419D3"/>
    <w:pPr>
      <w:ind w:left="720"/>
      <w:contextualSpacing/>
    </w:pPr>
  </w:style>
  <w:style w:type="paragraph" w:styleId="Encabezado">
    <w:name w:val="header"/>
    <w:basedOn w:val="Normal"/>
    <w:link w:val="EncabezadoCar"/>
    <w:uiPriority w:val="99"/>
    <w:unhideWhenUsed/>
    <w:rsid w:val="005419D3"/>
    <w:pPr>
      <w:tabs>
        <w:tab w:val="center" w:pos="4252"/>
        <w:tab w:val="right" w:pos="8504"/>
      </w:tabs>
    </w:pPr>
    <w:rPr>
      <w:rFonts w:ascii="Calibri" w:hAnsi="Calibri"/>
      <w:lang w:val="es-ES_tradnl"/>
    </w:rPr>
  </w:style>
  <w:style w:type="character" w:customStyle="1" w:styleId="EncabezadoCar">
    <w:name w:val="Encabezado Car"/>
    <w:basedOn w:val="Fuentedeprrafopredeter"/>
    <w:link w:val="Encabezado"/>
    <w:uiPriority w:val="99"/>
    <w:rsid w:val="005419D3"/>
    <w:rPr>
      <w:rFonts w:ascii="Calibri" w:eastAsia="Times New Roman" w:hAnsi="Calibri" w:cs="Times New Roman"/>
      <w:sz w:val="24"/>
      <w:szCs w:val="24"/>
      <w:lang w:val="es-ES_tradnl" w:eastAsia="es-ES"/>
    </w:rPr>
  </w:style>
  <w:style w:type="paragraph" w:styleId="Piedepgina">
    <w:name w:val="footer"/>
    <w:basedOn w:val="Normal"/>
    <w:link w:val="PiedepginaCar"/>
    <w:uiPriority w:val="99"/>
    <w:unhideWhenUsed/>
    <w:rsid w:val="005419D3"/>
    <w:pPr>
      <w:tabs>
        <w:tab w:val="center" w:pos="4252"/>
        <w:tab w:val="right" w:pos="8504"/>
      </w:tabs>
    </w:pPr>
    <w:rPr>
      <w:rFonts w:ascii="Calibri" w:hAnsi="Calibri"/>
      <w:lang w:val="es-ES_tradnl"/>
    </w:rPr>
  </w:style>
  <w:style w:type="character" w:customStyle="1" w:styleId="PiedepginaCar">
    <w:name w:val="Pie de página Car"/>
    <w:basedOn w:val="Fuentedeprrafopredeter"/>
    <w:link w:val="Piedepgina"/>
    <w:uiPriority w:val="99"/>
    <w:rsid w:val="005419D3"/>
    <w:rPr>
      <w:rFonts w:ascii="Calibri" w:eastAsia="Times New Roman" w:hAnsi="Calibri" w:cs="Times New Roman"/>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419D3"/>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5419D3"/>
  </w:style>
  <w:style w:type="character" w:customStyle="1" w:styleId="apple-converted-space">
    <w:name w:val="apple-converted-space"/>
    <w:basedOn w:val="Fuentedeprrafopredeter"/>
    <w:rsid w:val="005419D3"/>
  </w:style>
  <w:style w:type="character" w:styleId="Hipervnculo">
    <w:name w:val="Hyperlink"/>
    <w:uiPriority w:val="99"/>
    <w:unhideWhenUsed/>
    <w:rsid w:val="005419D3"/>
    <w:rPr>
      <w:color w:val="0000FF"/>
      <w:u w:val="single"/>
    </w:rPr>
  </w:style>
  <w:style w:type="table" w:styleId="Tablaconcuadrcula">
    <w:name w:val="Table Grid"/>
    <w:basedOn w:val="Tablanormal"/>
    <w:uiPriority w:val="59"/>
    <w:rsid w:val="005419D3"/>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419D3"/>
    <w:rPr>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419D3"/>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419D3"/>
    <w:rPr>
      <w:vertAlign w:val="superscript"/>
    </w:rPr>
  </w:style>
  <w:style w:type="table" w:customStyle="1" w:styleId="Tabladelista1clara-nfasis11">
    <w:name w:val="Tabla de lista 1 clara - Énfasis 11"/>
    <w:basedOn w:val="Tablanormal"/>
    <w:uiPriority w:val="46"/>
    <w:rsid w:val="00792654"/>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corte4fondo">
    <w:name w:val="corte4 fondo"/>
    <w:basedOn w:val="Normal"/>
    <w:link w:val="corte4fondoCar3"/>
    <w:qFormat/>
    <w:rsid w:val="00E24647"/>
    <w:pPr>
      <w:spacing w:line="360" w:lineRule="auto"/>
      <w:ind w:firstLine="709"/>
      <w:jc w:val="both"/>
    </w:pPr>
    <w:rPr>
      <w:rFonts w:ascii="Arial" w:hAnsi="Arial"/>
      <w:sz w:val="30"/>
      <w:szCs w:val="20"/>
      <w:lang w:eastAsia="es-MX"/>
    </w:rPr>
  </w:style>
  <w:style w:type="character" w:customStyle="1" w:styleId="corte4fondoCar3">
    <w:name w:val="corte4 fondo Car3"/>
    <w:link w:val="corte4fondo"/>
    <w:locked/>
    <w:rsid w:val="00E24647"/>
    <w:rPr>
      <w:rFonts w:ascii="Arial" w:eastAsia="Times New Roman" w:hAnsi="Arial" w:cs="Times New Roman"/>
      <w:sz w:val="30"/>
      <w:szCs w:val="20"/>
      <w:lang w:eastAsia="es-MX"/>
    </w:rPr>
  </w:style>
  <w:style w:type="paragraph" w:customStyle="1" w:styleId="Listavistosa-nfasis11">
    <w:name w:val="Lista vistosa - Énfasis 11"/>
    <w:basedOn w:val="Normal"/>
    <w:link w:val="Listavistosa-nfasis1Car"/>
    <w:uiPriority w:val="34"/>
    <w:qFormat/>
    <w:rsid w:val="00F74E6D"/>
    <w:pPr>
      <w:ind w:left="708"/>
    </w:pPr>
    <w:rPr>
      <w:lang w:val="es-ES"/>
    </w:rPr>
  </w:style>
  <w:style w:type="character" w:customStyle="1" w:styleId="Listavistosa-nfasis1Car">
    <w:name w:val="Lista vistosa - Énfasis 1 Car"/>
    <w:link w:val="Listavistosa-nfasis11"/>
    <w:uiPriority w:val="34"/>
    <w:locked/>
    <w:rsid w:val="00F74E6D"/>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B85E12"/>
    <w:rPr>
      <w:i/>
      <w:iCs/>
    </w:rPr>
  </w:style>
  <w:style w:type="character" w:customStyle="1" w:styleId="nacep">
    <w:name w:val="n_acep"/>
    <w:basedOn w:val="Fuentedeprrafopredeter"/>
    <w:rsid w:val="00B85E12"/>
  </w:style>
  <w:style w:type="paragraph" w:styleId="Textoindependiente">
    <w:name w:val="Body Text"/>
    <w:basedOn w:val="Normal"/>
    <w:link w:val="TextoindependienteCar"/>
    <w:uiPriority w:val="1"/>
    <w:unhideWhenUsed/>
    <w:qFormat/>
    <w:rsid w:val="005319C9"/>
    <w:pPr>
      <w:autoSpaceDE w:val="0"/>
      <w:autoSpaceDN w:val="0"/>
      <w:adjustRightInd w:val="0"/>
      <w:ind w:left="93"/>
    </w:pPr>
    <w:rPr>
      <w:rFonts w:eastAsiaTheme="minorHAnsi"/>
      <w:sz w:val="23"/>
      <w:szCs w:val="23"/>
      <w:lang w:eastAsia="en-US"/>
    </w:rPr>
  </w:style>
  <w:style w:type="character" w:customStyle="1" w:styleId="TextoindependienteCar">
    <w:name w:val="Texto independiente Car"/>
    <w:basedOn w:val="Fuentedeprrafopredeter"/>
    <w:link w:val="Textoindependiente"/>
    <w:uiPriority w:val="1"/>
    <w:rsid w:val="005319C9"/>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81113.page"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193250.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93249.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1181442.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181114.pag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archivo.uc3m.es/bitstream/handle/10016/26545/WF-18-03.pdf" TargetMode="External"/><Relationship Id="rId2" Type="http://schemas.openxmlformats.org/officeDocument/2006/relationships/hyperlink" Target="http://sjf.scjn.gob.mx/SJFSist/Documentos/Tesis/170/170722.pdf" TargetMode="External"/><Relationship Id="rId1" Type="http://schemas.openxmlformats.org/officeDocument/2006/relationships/hyperlink" Target="http://legislacion.edomex.gob.mx/sites/legislacion.edomex.gob.mx/files/files/pdf/ley/vig/leyvig0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B306B-ABA6-47DA-B3A9-2207080A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45</Pages>
  <Words>11871</Words>
  <Characters>65296</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infoem</cp:lastModifiedBy>
  <cp:revision>10</cp:revision>
  <dcterms:created xsi:type="dcterms:W3CDTF">2021-09-17T16:39:00Z</dcterms:created>
  <dcterms:modified xsi:type="dcterms:W3CDTF">2021-10-04T16:19:00Z</dcterms:modified>
</cp:coreProperties>
</file>