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5D4E2" w14:textId="77777777" w:rsidR="003A77CE" w:rsidRDefault="003A77CE">
      <w:pPr>
        <w:widowControl w:val="0"/>
        <w:pBdr>
          <w:top w:val="nil"/>
          <w:left w:val="nil"/>
          <w:bottom w:val="nil"/>
          <w:right w:val="nil"/>
          <w:between w:val="nil"/>
        </w:pBdr>
        <w:spacing w:line="276" w:lineRule="auto"/>
      </w:pPr>
    </w:p>
    <w:p w14:paraId="70E4B33F" w14:textId="77777777" w:rsidR="003A77CE" w:rsidRDefault="00D706BB">
      <w:pPr>
        <w:tabs>
          <w:tab w:val="left" w:pos="3465"/>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uno (01) de diciembre de dos mil veintiuno.</w:t>
      </w:r>
    </w:p>
    <w:p w14:paraId="10BD6D3A" w14:textId="77777777" w:rsidR="003A77CE" w:rsidRDefault="003A77CE">
      <w:pPr>
        <w:tabs>
          <w:tab w:val="left" w:pos="3465"/>
        </w:tabs>
        <w:spacing w:line="360" w:lineRule="auto"/>
        <w:jc w:val="both"/>
        <w:rPr>
          <w:rFonts w:ascii="Palatino Linotype" w:eastAsia="Palatino Linotype" w:hAnsi="Palatino Linotype" w:cs="Palatino Linotype"/>
          <w:color w:val="000000"/>
        </w:rPr>
      </w:pPr>
    </w:p>
    <w:p w14:paraId="4E140EEE" w14:textId="4A947AA2" w:rsidR="003A77CE" w:rsidRDefault="00D706B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w:t>
      </w:r>
      <w:r>
        <w:rPr>
          <w:rFonts w:ascii="Palatino Linotype" w:eastAsia="Palatino Linotype" w:hAnsi="Palatino Linotype" w:cs="Palatino Linotype"/>
          <w:color w:val="000000"/>
        </w:rPr>
        <w:t xml:space="preserve">pediente electrónico formado con motivo del recurso de revisión </w:t>
      </w:r>
      <w:r>
        <w:rPr>
          <w:rFonts w:ascii="Palatino Linotype" w:eastAsia="Palatino Linotype" w:hAnsi="Palatino Linotype" w:cs="Palatino Linotype"/>
          <w:b/>
          <w:color w:val="000000"/>
        </w:rPr>
        <w:t>04768/INFOEM/IP/RR/2021</w:t>
      </w:r>
      <w:r>
        <w:rPr>
          <w:rFonts w:ascii="Palatino Linotype" w:eastAsia="Palatino Linotype" w:hAnsi="Palatino Linotype" w:cs="Palatino Linotype"/>
          <w:color w:val="000000"/>
        </w:rPr>
        <w:t xml:space="preserve">, interpuesto por </w:t>
      </w:r>
      <w:r w:rsidR="00D13A3A">
        <w:rPr>
          <w:rFonts w:ascii="Palatino Linotype" w:eastAsia="Palatino Linotype" w:hAnsi="Palatino Linotype" w:cs="Palatino Linotype"/>
          <w:b/>
          <w:color w:val="000000"/>
        </w:rPr>
        <w:t>XXXXXXXXXXXX XXXXXXXXXX XX XXXXXXXXX</w:t>
      </w:r>
      <w:r>
        <w:rPr>
          <w:rFonts w:ascii="Palatino Linotype" w:eastAsia="Palatino Linotype" w:hAnsi="Palatino Linotype" w:cs="Palatino Linotype"/>
          <w:color w:val="000000"/>
        </w:rPr>
        <w:t xml:space="preserve">, en lo sucesivo,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contra de la respuesta del </w:t>
      </w:r>
      <w:r>
        <w:rPr>
          <w:rFonts w:ascii="Palatino Linotype" w:eastAsia="Palatino Linotype" w:hAnsi="Palatino Linotype" w:cs="Palatino Linotype"/>
          <w:b/>
          <w:color w:val="000000"/>
        </w:rPr>
        <w:t>Ayuntamiento de Tenancingo</w:t>
      </w:r>
      <w:r>
        <w:rPr>
          <w:rFonts w:ascii="Palatino Linotype" w:eastAsia="Palatino Linotype" w:hAnsi="Palatino Linotype" w:cs="Palatino Linotype"/>
          <w:color w:val="000000"/>
        </w:rPr>
        <w:t>, en lo sucesivo el</w:t>
      </w:r>
      <w:r>
        <w:rPr>
          <w:rFonts w:ascii="Palatino Linotype" w:eastAsia="Palatino Linotype" w:hAnsi="Palatino Linotype" w:cs="Palatino Linotype"/>
          <w:b/>
          <w:color w:val="000000"/>
        </w:rPr>
        <w:t xml:space="preserve"> SUJETO</w:t>
      </w:r>
      <w:r>
        <w:rPr>
          <w:rFonts w:ascii="Palatino Linotype" w:eastAsia="Palatino Linotype" w:hAnsi="Palatino Linotype" w:cs="Palatino Linotype"/>
          <w:b/>
          <w:color w:val="000000"/>
        </w:rPr>
        <w:t xml:space="preserve"> OBLIGADO, </w:t>
      </w:r>
      <w:r>
        <w:rPr>
          <w:rFonts w:ascii="Palatino Linotype" w:eastAsia="Palatino Linotype" w:hAnsi="Palatino Linotype" w:cs="Palatino Linotype"/>
          <w:color w:val="000000"/>
        </w:rPr>
        <w:t>se procede a dictar la presente resolución, con base en los siguientes:</w:t>
      </w:r>
    </w:p>
    <w:p w14:paraId="728D9786" w14:textId="77777777" w:rsidR="003A77CE" w:rsidRDefault="003A77CE">
      <w:pPr>
        <w:spacing w:line="360" w:lineRule="auto"/>
        <w:jc w:val="both"/>
        <w:rPr>
          <w:rFonts w:ascii="Palatino Linotype" w:eastAsia="Palatino Linotype" w:hAnsi="Palatino Linotype" w:cs="Palatino Linotype"/>
          <w:b/>
          <w:color w:val="000000"/>
        </w:rPr>
      </w:pPr>
    </w:p>
    <w:p w14:paraId="3CFAF26E" w14:textId="77777777" w:rsidR="003A77CE" w:rsidRDefault="00D706BB">
      <w:pPr>
        <w:pStyle w:val="Ttulo1"/>
        <w:spacing w:before="0" w:line="360" w:lineRule="auto"/>
        <w:jc w:val="center"/>
        <w:rPr>
          <w:b/>
          <w:color w:val="000000"/>
        </w:rPr>
      </w:pPr>
      <w:bookmarkStart w:id="0" w:name="_heading=h.gjdgxs" w:colFirst="0" w:colLast="0"/>
      <w:bookmarkEnd w:id="0"/>
      <w:r>
        <w:rPr>
          <w:b/>
          <w:color w:val="000000"/>
        </w:rPr>
        <w:t>ANTECEDENTES</w:t>
      </w:r>
    </w:p>
    <w:p w14:paraId="02333E75"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02EFAF7A"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treinta (30) de agosto de dos mil veintiuno, el particular presentó, a través del Sistema de Acceso a la Información Mexiquense (SAIMEX),</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la solicitud de información pública registrada con el número</w:t>
      </w:r>
      <w:r>
        <w:rPr>
          <w:rFonts w:ascii="Palatino Linotype" w:eastAsia="Palatino Linotype" w:hAnsi="Palatino Linotype" w:cs="Palatino Linotype"/>
          <w:b/>
          <w:color w:val="000000"/>
        </w:rPr>
        <w:t xml:space="preserve"> 00279/TENANCIN/IP/2021,</w:t>
      </w:r>
      <w:r>
        <w:rPr>
          <w:rFonts w:ascii="Palatino Linotype" w:eastAsia="Palatino Linotype" w:hAnsi="Palatino Linotype" w:cs="Palatino Linotype"/>
          <w:color w:val="000000"/>
        </w:rPr>
        <w:t xml:space="preserve"> mediante la cual requirió lo s</w:t>
      </w:r>
      <w:r>
        <w:rPr>
          <w:rFonts w:ascii="Palatino Linotype" w:eastAsia="Palatino Linotype" w:hAnsi="Palatino Linotype" w:cs="Palatino Linotype"/>
          <w:color w:val="000000"/>
        </w:rPr>
        <w:t>iguiente:</w:t>
      </w:r>
    </w:p>
    <w:p w14:paraId="402B8BCD" w14:textId="77777777" w:rsidR="003A77CE" w:rsidRDefault="003A77CE">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p>
    <w:p w14:paraId="619F15F3" w14:textId="77777777" w:rsidR="003A77CE" w:rsidRDefault="00D706BB">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 xml:space="preserve">“Solicito información del catálogo general de puestos desde el inicio de la administración hasta la fecha” </w:t>
      </w:r>
      <w:r>
        <w:rPr>
          <w:rFonts w:ascii="Palatino Linotype" w:eastAsia="Palatino Linotype" w:hAnsi="Palatino Linotype" w:cs="Palatino Linotype"/>
          <w:color w:val="000000"/>
          <w:sz w:val="22"/>
          <w:szCs w:val="22"/>
        </w:rPr>
        <w:t>(Sic).</w:t>
      </w:r>
    </w:p>
    <w:p w14:paraId="2F1A05B6" w14:textId="77777777" w:rsidR="003A77CE" w:rsidRDefault="003A77CE">
      <w:pPr>
        <w:spacing w:line="360" w:lineRule="auto"/>
        <w:ind w:right="333"/>
        <w:jc w:val="both"/>
        <w:rPr>
          <w:rFonts w:ascii="Palatino Linotype" w:eastAsia="Palatino Linotype" w:hAnsi="Palatino Linotype" w:cs="Palatino Linotype"/>
          <w:color w:val="000000"/>
        </w:rPr>
      </w:pPr>
    </w:p>
    <w:p w14:paraId="1459E951"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hace constar que el entonces </w:t>
      </w:r>
      <w:r>
        <w:rPr>
          <w:rFonts w:ascii="Palatino Linotype" w:eastAsia="Palatino Linotype" w:hAnsi="Palatino Linotype" w:cs="Palatino Linotype"/>
          <w:b/>
          <w:color w:val="000000"/>
        </w:rPr>
        <w:t>SOLICITANTE</w:t>
      </w:r>
      <w:r>
        <w:rPr>
          <w:rFonts w:ascii="Palatino Linotype" w:eastAsia="Palatino Linotype" w:hAnsi="Palatino Linotype" w:cs="Palatino Linotype"/>
          <w:color w:val="000000"/>
        </w:rPr>
        <w:t xml:space="preserve"> señaló como modalidad de entrega de la información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A través del SAIMEX</w:t>
      </w:r>
      <w:r>
        <w:rPr>
          <w:rFonts w:ascii="Palatino Linotype" w:eastAsia="Palatino Linotype" w:hAnsi="Palatino Linotype" w:cs="Palatino Linotype"/>
          <w:i/>
          <w:color w:val="000000"/>
        </w:rPr>
        <w:t>.</w:t>
      </w:r>
    </w:p>
    <w:p w14:paraId="585885DE" w14:textId="77777777" w:rsidR="003A77CE" w:rsidRDefault="003A77CE">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p>
    <w:p w14:paraId="57146D63"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veinte (20) de septiembre de dos mil veintiuno,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la solicitud de información en los siguientes términos:</w:t>
      </w:r>
    </w:p>
    <w:p w14:paraId="45B563B4" w14:textId="77777777" w:rsidR="003A77CE" w:rsidRDefault="003A77CE">
      <w:pPr>
        <w:pBdr>
          <w:top w:val="nil"/>
          <w:left w:val="nil"/>
          <w:bottom w:val="nil"/>
          <w:right w:val="nil"/>
          <w:between w:val="nil"/>
        </w:pBdr>
        <w:ind w:left="567" w:right="567"/>
        <w:jc w:val="right"/>
        <w:rPr>
          <w:rFonts w:ascii="Palatino Linotype" w:eastAsia="Palatino Linotype" w:hAnsi="Palatino Linotype" w:cs="Palatino Linotype"/>
          <w:i/>
          <w:color w:val="000000"/>
        </w:rPr>
      </w:pPr>
    </w:p>
    <w:p w14:paraId="5ABECA14" w14:textId="77777777" w:rsidR="003A77CE" w:rsidRDefault="00D706BB">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5B4B5D" w14:textId="77777777" w:rsidR="003A77CE" w:rsidRDefault="003A77CE">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p>
    <w:p w14:paraId="1D67106B" w14:textId="77777777" w:rsidR="003A77CE" w:rsidRDefault="00D706BB">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Sirva este medio para enviarle un saludo, al mismo tiempo con fundamento en el artículo 53 fracciones II, V y VI de la Ley de Transparencia y Acceso a la Información Pública del Estado de México y Municipios, remito contestación del Servidor Público Habil</w:t>
      </w:r>
      <w:r>
        <w:rPr>
          <w:rFonts w:ascii="Palatino Linotype" w:eastAsia="Palatino Linotype" w:hAnsi="Palatino Linotype" w:cs="Palatino Linotype"/>
          <w:i/>
          <w:color w:val="000000"/>
          <w:sz w:val="22"/>
          <w:szCs w:val="22"/>
        </w:rPr>
        <w:t>itado a su solicitud de información identificada con folio No. 00279/TENANCIN/IP/2021, en archivo anexo PDF como se describe a continuación: 1.- R S.H.P. 00279 Administración Haciendo de su conocimiento que de acuerdo a lo establecido por los artículos 176</w:t>
      </w:r>
      <w:r>
        <w:rPr>
          <w:rFonts w:ascii="Palatino Linotype" w:eastAsia="Palatino Linotype" w:hAnsi="Palatino Linotype" w:cs="Palatino Linotype"/>
          <w:i/>
          <w:color w:val="000000"/>
          <w:sz w:val="22"/>
          <w:szCs w:val="22"/>
        </w:rPr>
        <w:t xml:space="preserve"> y 178 de la Ley de Transparencia y Acceso a la Información Pública del Estado de México y Municipios, podrá ejercer su segunda garantía del Derecho de Acceso a la Información pública, recurriendo la respuesta otorgada, ante el Instituto o ante la Unidad d</w:t>
      </w:r>
      <w:r>
        <w:rPr>
          <w:rFonts w:ascii="Palatino Linotype" w:eastAsia="Palatino Linotype" w:hAnsi="Palatino Linotype" w:cs="Palatino Linotype"/>
          <w:i/>
          <w:color w:val="000000"/>
          <w:sz w:val="22"/>
          <w:szCs w:val="22"/>
        </w:rPr>
        <w:t>e Transparencia, dentro de los quince días hábiles posteriores a la fecha de recepción de la respuesta, por alguna de las causales establecidas en el artículo 179 de la Ley de Transparencia y Acceso a la Información Pública del Estado de México y Municipio</w:t>
      </w:r>
      <w:r>
        <w:rPr>
          <w:rFonts w:ascii="Palatino Linotype" w:eastAsia="Palatino Linotype" w:hAnsi="Palatino Linotype" w:cs="Palatino Linotype"/>
          <w:i/>
          <w:color w:val="000000"/>
          <w:sz w:val="22"/>
          <w:szCs w:val="22"/>
        </w:rPr>
        <w:t>s, atendiendo los criterios señalados en los artículos 180 y 181 de la misma Ley. Sin otro particular por el momento, le reitero la seguridad de mi más atenta y distinguida consideración.</w:t>
      </w:r>
    </w:p>
    <w:p w14:paraId="15EDA65A" w14:textId="77777777" w:rsidR="003A77CE" w:rsidRDefault="003A77CE">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p>
    <w:p w14:paraId="59137720" w14:textId="77777777" w:rsidR="003A77CE" w:rsidRDefault="00D706BB">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5ACDFBD0" w14:textId="77777777" w:rsidR="003A77CE" w:rsidRDefault="00D706BB">
      <w:pPr>
        <w:pBdr>
          <w:top w:val="nil"/>
          <w:left w:val="nil"/>
          <w:bottom w:val="nil"/>
          <w:right w:val="nil"/>
          <w:between w:val="nil"/>
        </w:pBdr>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P. L. P. T. YEIMI ESMERALDA GONZÁLEZ VALDÉZ”</w:t>
      </w:r>
      <w:r>
        <w:rPr>
          <w:rFonts w:ascii="Palatino Linotype" w:eastAsia="Palatino Linotype" w:hAnsi="Palatino Linotype" w:cs="Palatino Linotype"/>
          <w:color w:val="000000"/>
          <w:sz w:val="22"/>
          <w:szCs w:val="22"/>
        </w:rPr>
        <w:t xml:space="preserve"> (Sic.)</w:t>
      </w:r>
    </w:p>
    <w:p w14:paraId="2B4237B3" w14:textId="77777777" w:rsidR="003A77CE" w:rsidRDefault="003A77CE">
      <w:pPr>
        <w:pBdr>
          <w:top w:val="nil"/>
          <w:left w:val="nil"/>
          <w:bottom w:val="nil"/>
          <w:right w:val="nil"/>
          <w:between w:val="nil"/>
        </w:pBdr>
        <w:ind w:right="567"/>
        <w:jc w:val="both"/>
        <w:rPr>
          <w:rFonts w:ascii="Palatino Linotype" w:eastAsia="Palatino Linotype" w:hAnsi="Palatino Linotype" w:cs="Palatino Linotype"/>
          <w:color w:val="000000"/>
        </w:rPr>
      </w:pPr>
    </w:p>
    <w:p w14:paraId="265F9F67" w14:textId="77777777" w:rsidR="003A77CE" w:rsidRDefault="00D706BB">
      <w:pPr>
        <w:numPr>
          <w:ilvl w:val="0"/>
          <w:numId w:val="4"/>
        </w:num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Adjunto al acuse de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al particular el documento que se describe a continuación:</w:t>
      </w:r>
    </w:p>
    <w:p w14:paraId="3D72EFEF" w14:textId="77777777" w:rsidR="003A77CE" w:rsidRDefault="00D706BB">
      <w:pPr>
        <w:numPr>
          <w:ilvl w:val="0"/>
          <w:numId w:val="1"/>
        </w:numPr>
        <w:pBdr>
          <w:top w:val="nil"/>
          <w:left w:val="nil"/>
          <w:bottom w:val="nil"/>
          <w:right w:val="nil"/>
          <w:between w:val="nil"/>
        </w:pBdr>
        <w:spacing w:line="360" w:lineRule="auto"/>
        <w:ind w:left="993"/>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“ACUSE TS 279.pdf”</w:t>
      </w:r>
      <w:r>
        <w:rPr>
          <w:rFonts w:ascii="Palatino Linotype" w:eastAsia="Palatino Linotype" w:hAnsi="Palatino Linotype" w:cs="Palatino Linotype"/>
          <w:color w:val="000000"/>
        </w:rPr>
        <w:t>: Documento una foja consistente en el oficio número MTM088/DA/761/2021</w:t>
      </w:r>
      <w:r>
        <w:rPr>
          <w:rFonts w:ascii="Palatino Linotype" w:eastAsia="Palatino Linotype" w:hAnsi="Palatino Linotype" w:cs="Palatino Linotype"/>
          <w:color w:val="000000"/>
        </w:rPr>
        <w:tab/>
        <w:t>, de quince (15) de septiembre de dos mil veintiu</w:t>
      </w:r>
      <w:r>
        <w:rPr>
          <w:rFonts w:ascii="Palatino Linotype" w:eastAsia="Palatino Linotype" w:hAnsi="Palatino Linotype" w:cs="Palatino Linotype"/>
          <w:color w:val="000000"/>
        </w:rPr>
        <w:t xml:space="preserve">no, emitido por el Director de Administración del Ayuntamiento de Tenancingo, por el que informa que la Subdirección de Recursos Humanos, </w:t>
      </w:r>
      <w:r>
        <w:rPr>
          <w:rFonts w:ascii="Palatino Linotype" w:eastAsia="Palatino Linotype" w:hAnsi="Palatino Linotype" w:cs="Palatino Linotype"/>
          <w:color w:val="000000"/>
        </w:rPr>
        <w:lastRenderedPageBreak/>
        <w:t>perteneciente a la Dirección a su cargo, se encuentra trabajando en la elaboración del catálogo de puestos.</w:t>
      </w:r>
    </w:p>
    <w:p w14:paraId="7D6B8288" w14:textId="77777777" w:rsidR="003A77CE" w:rsidRDefault="003A77CE">
      <w:pPr>
        <w:spacing w:line="360" w:lineRule="auto"/>
        <w:jc w:val="both"/>
        <w:rPr>
          <w:rFonts w:ascii="Palatino Linotype" w:eastAsia="Palatino Linotype" w:hAnsi="Palatino Linotype" w:cs="Palatino Linotype"/>
        </w:rPr>
      </w:pPr>
    </w:p>
    <w:p w14:paraId="207B8C07" w14:textId="77777777" w:rsidR="003A77CE" w:rsidRDefault="00D706BB">
      <w:pPr>
        <w:numPr>
          <w:ilvl w:val="0"/>
          <w:numId w:val="4"/>
        </w:num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w:t>
      </w:r>
      <w:r>
        <w:rPr>
          <w:rFonts w:ascii="Palatino Linotype" w:eastAsia="Palatino Linotype" w:hAnsi="Palatino Linotype" w:cs="Palatino Linotype"/>
          <w:color w:val="000000"/>
        </w:rPr>
        <w:t xml:space="preserve">de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el veintiuno (21) de septiembre de dos mil veintiuno, el particular interpuso el recurso de revisión </w:t>
      </w:r>
      <w:r>
        <w:rPr>
          <w:rFonts w:ascii="Palatino Linotype" w:eastAsia="Palatino Linotype" w:hAnsi="Palatino Linotype" w:cs="Palatino Linotype"/>
          <w:b/>
          <w:color w:val="000000"/>
        </w:rPr>
        <w:t>04768/INFOEM/IP/RR/2021;</w:t>
      </w:r>
      <w:r>
        <w:rPr>
          <w:rFonts w:ascii="Palatino Linotype" w:eastAsia="Palatino Linotype" w:hAnsi="Palatino Linotype" w:cs="Palatino Linotype"/>
          <w:color w:val="000000"/>
        </w:rPr>
        <w:t xml:space="preserve"> impugnación en la que refirió lo siguiente:</w:t>
      </w:r>
    </w:p>
    <w:p w14:paraId="3EB79C52" w14:textId="77777777" w:rsidR="003A77CE" w:rsidRDefault="003A77CE">
      <w:pPr>
        <w:pBdr>
          <w:top w:val="nil"/>
          <w:left w:val="nil"/>
          <w:bottom w:val="nil"/>
          <w:right w:val="nil"/>
          <w:between w:val="nil"/>
        </w:pBdr>
        <w:tabs>
          <w:tab w:val="left" w:pos="426"/>
        </w:tabs>
        <w:spacing w:line="360" w:lineRule="auto"/>
        <w:ind w:left="284"/>
        <w:jc w:val="both"/>
        <w:rPr>
          <w:rFonts w:ascii="Palatino Linotype" w:eastAsia="Palatino Linotype" w:hAnsi="Palatino Linotype" w:cs="Palatino Linotype"/>
          <w:color w:val="000000"/>
        </w:rPr>
      </w:pPr>
    </w:p>
    <w:p w14:paraId="24F4BCF9" w14:textId="77777777" w:rsidR="003A77CE" w:rsidRDefault="00D706BB">
      <w:pPr>
        <w:numPr>
          <w:ilvl w:val="0"/>
          <w:numId w:val="5"/>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Acto impugnado: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Se adjunta respuesta donde mencionan que están trabajando en la solicitud pero no se envía la respuesta correcta”</w:t>
      </w:r>
      <w:r>
        <w:rPr>
          <w:rFonts w:ascii="Palatino Linotype" w:eastAsia="Palatino Linotype" w:hAnsi="Palatino Linotype" w:cs="Palatino Linotype"/>
          <w:color w:val="000000"/>
        </w:rPr>
        <w:t xml:space="preserve"> (Sic).</w:t>
      </w:r>
    </w:p>
    <w:p w14:paraId="5C02655C" w14:textId="77777777" w:rsidR="003A77CE" w:rsidRDefault="003A77CE">
      <w:pPr>
        <w:pBdr>
          <w:top w:val="nil"/>
          <w:left w:val="nil"/>
          <w:bottom w:val="nil"/>
          <w:right w:val="nil"/>
          <w:between w:val="nil"/>
        </w:pBdr>
        <w:tabs>
          <w:tab w:val="left" w:pos="426"/>
        </w:tabs>
        <w:spacing w:line="360" w:lineRule="auto"/>
        <w:ind w:left="1004"/>
        <w:jc w:val="both"/>
        <w:rPr>
          <w:rFonts w:ascii="Palatino Linotype" w:eastAsia="Palatino Linotype" w:hAnsi="Palatino Linotype" w:cs="Palatino Linotype"/>
          <w:color w:val="000000"/>
        </w:rPr>
      </w:pPr>
    </w:p>
    <w:p w14:paraId="62F77082" w14:textId="77777777" w:rsidR="003A77CE" w:rsidRDefault="00D706BB">
      <w:pPr>
        <w:numPr>
          <w:ilvl w:val="0"/>
          <w:numId w:val="5"/>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Razones o motivos de inconformidad: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No se adjunta la información”</w:t>
      </w:r>
      <w:r>
        <w:rPr>
          <w:rFonts w:ascii="Palatino Linotype" w:eastAsia="Palatino Linotype" w:hAnsi="Palatino Linotype" w:cs="Palatino Linotype"/>
          <w:color w:val="000000"/>
        </w:rPr>
        <w:t xml:space="preserve"> (Sic).</w:t>
      </w:r>
    </w:p>
    <w:p w14:paraId="49A40F41" w14:textId="77777777" w:rsidR="003A77CE" w:rsidRDefault="003A77CE">
      <w:pPr>
        <w:pBdr>
          <w:top w:val="nil"/>
          <w:left w:val="nil"/>
          <w:bottom w:val="nil"/>
          <w:right w:val="nil"/>
          <w:between w:val="nil"/>
        </w:pBdr>
        <w:tabs>
          <w:tab w:val="left" w:pos="426"/>
        </w:tabs>
        <w:spacing w:line="360" w:lineRule="auto"/>
        <w:ind w:left="284"/>
        <w:jc w:val="both"/>
        <w:rPr>
          <w:rFonts w:ascii="Palatino Linotype" w:eastAsia="Palatino Linotype" w:hAnsi="Palatino Linotype" w:cs="Palatino Linotype"/>
          <w:color w:val="000000"/>
        </w:rPr>
      </w:pPr>
    </w:p>
    <w:p w14:paraId="35EA1D43"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registró el recurso de revisión bajo el número de expediente al rubro indicado, asimismo, con fundamento en lo dispuesto por el artículo 185 fracción I de la Ley de Transparencia y Acceso a la Información Pública del Estado de México y Municipios se tur</w:t>
      </w:r>
      <w:r>
        <w:rPr>
          <w:rFonts w:ascii="Palatino Linotype" w:eastAsia="Palatino Linotype" w:hAnsi="Palatino Linotype" w:cs="Palatino Linotype"/>
          <w:color w:val="000000"/>
        </w:rPr>
        <w:t>nó a la Comisionada María del Rosario Mejía Ayala, con el objeto de su análisis.</w:t>
      </w:r>
    </w:p>
    <w:p w14:paraId="71715559"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23E43883"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Ponente, con fundamento en lo dispuesto por el artículo 185 fracción II de la Ley de Transparencia y Acceso a la Información Pública del Estado de México y Mun</w:t>
      </w:r>
      <w:r>
        <w:rPr>
          <w:rFonts w:ascii="Palatino Linotype" w:eastAsia="Palatino Linotype" w:hAnsi="Palatino Linotype" w:cs="Palatino Linotype"/>
          <w:color w:val="000000"/>
        </w:rPr>
        <w:t>icipios, a través del acuerdo de admisión de veintisiete (27) de septiembre de dos mil veintiuno, puso a disposición de las partes el expediente electrónico vía Sistema de Acceso a la Información Mexiquense (</w:t>
      </w:r>
      <w:r>
        <w:rPr>
          <w:rFonts w:ascii="Palatino Linotype" w:eastAsia="Palatino Linotype" w:hAnsi="Palatino Linotype" w:cs="Palatino Linotype"/>
          <w:b/>
          <w:i/>
          <w:color w:val="000000"/>
        </w:rPr>
        <w:t>SAIMEX)</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 efecto de que en un plazo máximo de si</w:t>
      </w:r>
      <w:r>
        <w:rPr>
          <w:rFonts w:ascii="Palatino Linotype" w:eastAsia="Palatino Linotype" w:hAnsi="Palatino Linotype" w:cs="Palatino Linotype"/>
          <w:color w:val="000000"/>
        </w:rPr>
        <w:t xml:space="preserve">ete días manifestaran lo que a su derecho convinieran, ofrecieran pruebas y alegatos según corresponda a los casos concretos, </w:t>
      </w:r>
      <w:r>
        <w:rPr>
          <w:rFonts w:ascii="Palatino Linotype" w:eastAsia="Palatino Linotype" w:hAnsi="Palatino Linotype" w:cs="Palatino Linotype"/>
          <w:color w:val="000000"/>
        </w:rPr>
        <w:lastRenderedPageBreak/>
        <w:t xml:space="preserve">de esta forma para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presentara el informe justificado procedente.</w:t>
      </w:r>
    </w:p>
    <w:p w14:paraId="0558B2C4"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36CEAD05"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seis (06) de octubre de dos mil veinti</w:t>
      </w:r>
      <w:r>
        <w:rPr>
          <w:rFonts w:ascii="Palatino Linotype" w:eastAsia="Palatino Linotype" w:hAnsi="Palatino Linotype" w:cs="Palatino Linotype"/>
          <w:color w:val="000000"/>
        </w:rPr>
        <w:t xml:space="preserve">uno,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presentó su informe justificado a través del archivo electrónico cuyo contenido se describe a continuación:</w:t>
      </w:r>
    </w:p>
    <w:p w14:paraId="31D06BEA" w14:textId="77777777" w:rsidR="003A77CE" w:rsidRDefault="00D706BB">
      <w:pPr>
        <w:numPr>
          <w:ilvl w:val="1"/>
          <w:numId w:val="4"/>
        </w:numPr>
        <w:pBdr>
          <w:top w:val="nil"/>
          <w:left w:val="nil"/>
          <w:bottom w:val="nil"/>
          <w:right w:val="nil"/>
          <w:between w:val="nil"/>
        </w:pBdr>
        <w:tabs>
          <w:tab w:val="left" w:pos="426"/>
        </w:tabs>
        <w:spacing w:line="360" w:lineRule="auto"/>
        <w:ind w:left="993"/>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“RR 04768 ADMON.pdf”</w:t>
      </w:r>
      <w:r>
        <w:rPr>
          <w:rFonts w:ascii="Palatino Linotype" w:eastAsia="Palatino Linotype" w:hAnsi="Palatino Linotype" w:cs="Palatino Linotype"/>
          <w:color w:val="000000"/>
        </w:rPr>
        <w:t>: Documento de dos fojas consistente en el oficio número MTM088/DA/RH/0818/2021, de seis (06) de octubre</w:t>
      </w:r>
      <w:r>
        <w:rPr>
          <w:rFonts w:ascii="Palatino Linotype" w:eastAsia="Palatino Linotype" w:hAnsi="Palatino Linotype" w:cs="Palatino Linotype"/>
          <w:color w:val="000000"/>
        </w:rPr>
        <w:t xml:space="preserve"> de dos mil veintiuno, signado por el Director de Administración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mediante el cual, ratifica esencialmente su respuesta primigenia.</w:t>
      </w:r>
    </w:p>
    <w:p w14:paraId="23C8B458"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5BB609E"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veinticinco (25) de octubre de dos mil veintiuno, la Comisionada Ponente puso a la vista del </w:t>
      </w:r>
      <w:r>
        <w:rPr>
          <w:rFonts w:ascii="Palatino Linotype" w:eastAsia="Palatino Linotype" w:hAnsi="Palatino Linotype" w:cs="Palatino Linotype"/>
          <w:b/>
          <w:color w:val="000000"/>
        </w:rPr>
        <w:t>RECURRE</w:t>
      </w:r>
      <w:r>
        <w:rPr>
          <w:rFonts w:ascii="Palatino Linotype" w:eastAsia="Palatino Linotype" w:hAnsi="Palatino Linotype" w:cs="Palatino Linotype"/>
          <w:b/>
          <w:color w:val="000000"/>
        </w:rPr>
        <w:t>NTE</w:t>
      </w:r>
      <w:r>
        <w:rPr>
          <w:rFonts w:ascii="Palatino Linotype" w:eastAsia="Palatino Linotype" w:hAnsi="Palatino Linotype" w:cs="Palatino Linotype"/>
          <w:color w:val="000000"/>
        </w:rPr>
        <w:t xml:space="preserve"> el archivo presentado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como Informe Justificado, concediéndole un plazo de tres (03) días para que manifestara lo que a su derecho conviniera, de conformidad con el artículo 185, fracción III, de la Ley de Transparencia y Acceso a</w:t>
      </w:r>
      <w:r>
        <w:rPr>
          <w:rFonts w:ascii="Palatino Linotype" w:eastAsia="Palatino Linotype" w:hAnsi="Palatino Linotype" w:cs="Palatino Linotype"/>
          <w:color w:val="000000"/>
        </w:rPr>
        <w:t xml:space="preserve"> la Información Pública del Estado de México y Municipios; no obstante, se hace constar que el particular no ejerció su derecho de réplica sobre los nuevos contenidos.</w:t>
      </w:r>
    </w:p>
    <w:p w14:paraId="607686A1"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3E17CAA5"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bookmarkStart w:id="1" w:name="_heading=h.30j0zll" w:colFirst="0" w:colLast="0"/>
      <w:bookmarkEnd w:id="1"/>
      <w:r>
        <w:rPr>
          <w:rFonts w:ascii="Palatino Linotype" w:eastAsia="Palatino Linotype" w:hAnsi="Palatino Linotype" w:cs="Palatino Linotype"/>
          <w:color w:val="000000"/>
        </w:rPr>
        <w:t>El ocho (08) de noviembre de dos mil veintiuno, la Comisionada Ponente decretó el cierre del periodo de instrucción, por lo que ordenó turnar el expediente para su resolución, misma que ahora se pronuncia.</w:t>
      </w:r>
    </w:p>
    <w:p w14:paraId="31C5F4F5"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2532CC1"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Luego, el veintidós (22) de noviembre dos mil vei</w:t>
      </w:r>
      <w:r>
        <w:rPr>
          <w:rFonts w:ascii="Palatino Linotype" w:eastAsia="Palatino Linotype" w:hAnsi="Palatino Linotype" w:cs="Palatino Linotype"/>
          <w:color w:val="000000"/>
        </w:rPr>
        <w:t xml:space="preserve">ntiuno, con fundamento en el artículo 181, tercer párrafo, de la Ley de Transparencia y Acceso a la Información Pública del Estado de México y Municipios se notificó que el plazo de treinta (30) días para resolver el recurso de revisión sería ampliado por </w:t>
      </w:r>
      <w:r>
        <w:rPr>
          <w:rFonts w:ascii="Palatino Linotype" w:eastAsia="Palatino Linotype" w:hAnsi="Palatino Linotype" w:cs="Palatino Linotype"/>
          <w:color w:val="000000"/>
        </w:rPr>
        <w:t>un periodo de quince (15) días hábiles adicionales; y ---------------------------------------------------------------------</w:t>
      </w:r>
    </w:p>
    <w:p w14:paraId="1BE8A21C"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469FD647"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EC2DEB" w14:textId="77777777" w:rsidR="003A77CE" w:rsidRDefault="00D706BB">
      <w:pPr>
        <w:pStyle w:val="Ttulo1"/>
        <w:spacing w:before="0"/>
        <w:jc w:val="center"/>
        <w:rPr>
          <w:b/>
          <w:color w:val="000000"/>
        </w:rPr>
      </w:pPr>
      <w:bookmarkStart w:id="2" w:name="_heading=h.1fob9te" w:colFirst="0" w:colLast="0"/>
      <w:bookmarkEnd w:id="2"/>
      <w:r>
        <w:rPr>
          <w:b/>
          <w:color w:val="000000"/>
        </w:rPr>
        <w:t>C O N S I D E R A N D O</w:t>
      </w:r>
    </w:p>
    <w:p w14:paraId="0BAA7F32" w14:textId="77777777" w:rsidR="003A77CE" w:rsidRDefault="003A77CE">
      <w:pPr>
        <w:rPr>
          <w:color w:val="000000"/>
        </w:rPr>
      </w:pPr>
    </w:p>
    <w:p w14:paraId="26DE4728" w14:textId="77777777" w:rsidR="003A77CE" w:rsidRDefault="003A77CE">
      <w:pPr>
        <w:rPr>
          <w:color w:val="000000"/>
        </w:rPr>
      </w:pPr>
    </w:p>
    <w:p w14:paraId="385C8088" w14:textId="77777777" w:rsidR="003A77CE" w:rsidRDefault="00D706BB">
      <w:pPr>
        <w:pStyle w:val="Ttulo2"/>
        <w:spacing w:before="0"/>
        <w:rPr>
          <w:rFonts w:ascii="Palatino Linotype" w:eastAsia="Palatino Linotype" w:hAnsi="Palatino Linotype" w:cs="Palatino Linotype"/>
          <w:b/>
          <w:color w:val="000000"/>
          <w:sz w:val="24"/>
          <w:szCs w:val="24"/>
        </w:rPr>
      </w:pPr>
      <w:bookmarkStart w:id="3" w:name="_heading=h.3znysh7" w:colFirst="0" w:colLast="0"/>
      <w:bookmarkEnd w:id="3"/>
      <w:r>
        <w:rPr>
          <w:rFonts w:ascii="Palatino Linotype" w:eastAsia="Palatino Linotype" w:hAnsi="Palatino Linotype" w:cs="Palatino Linotype"/>
          <w:b/>
          <w:color w:val="000000"/>
          <w:sz w:val="24"/>
          <w:szCs w:val="24"/>
        </w:rPr>
        <w:t>PRIMERO. De la competencia</w:t>
      </w:r>
    </w:p>
    <w:p w14:paraId="4FBBA152" w14:textId="77777777" w:rsidR="003A77CE" w:rsidRDefault="003A77CE">
      <w:pPr>
        <w:rPr>
          <w:rFonts w:ascii="Palatino Linotype" w:eastAsia="Palatino Linotype" w:hAnsi="Palatino Linotype" w:cs="Palatino Linotype"/>
          <w:color w:val="000000"/>
        </w:rPr>
      </w:pPr>
    </w:p>
    <w:p w14:paraId="6C289E4E"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Pr>
          <w:rFonts w:ascii="Palatino Linotype" w:eastAsia="Palatino Linotype" w:hAnsi="Palatino Linotype" w:cs="Palatino Linotype"/>
          <w:b/>
          <w:color w:val="000000"/>
        </w:rPr>
        <w:t>Constitución Política de los Estados Unidos Mexicanos</w:t>
      </w:r>
      <w:r>
        <w:rPr>
          <w:rFonts w:ascii="Palatino Linotype" w:eastAsia="Palatino Linotype" w:hAnsi="Palatino Linotype" w:cs="Palatino Linotype"/>
          <w:color w:val="000000"/>
        </w:rPr>
        <w:t xml:space="preserve">; 5, párrafos trigésimo, trigésimo primero y trigésimo segundo, fracciones IV y V, de la </w:t>
      </w:r>
      <w:r>
        <w:rPr>
          <w:rFonts w:ascii="Palatino Linotype" w:eastAsia="Palatino Linotype" w:hAnsi="Palatino Linotype" w:cs="Palatino Linotype"/>
          <w:b/>
          <w:color w:val="000000"/>
        </w:rPr>
        <w:t>Constitución Política del Estado Libre y Soberano de México</w:t>
      </w:r>
      <w:r>
        <w:rPr>
          <w:rFonts w:ascii="Palatino Linotype" w:eastAsia="Palatino Linotype" w:hAnsi="Palatino Linotype" w:cs="Palatino Linotype"/>
          <w:color w:val="000000"/>
        </w:rPr>
        <w:t>; artículos 1, 2 fracción II, 13, 29, 36 fracciones I y</w:t>
      </w:r>
      <w:r>
        <w:rPr>
          <w:rFonts w:ascii="Palatino Linotype" w:eastAsia="Palatino Linotype" w:hAnsi="Palatino Linotype" w:cs="Palatino Linotype"/>
          <w:color w:val="000000"/>
        </w:rPr>
        <w:t xml:space="preserve"> II, 176, 178, 179, 181 párrafo tercero y 185 de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xml:space="preserve">; y 10, 7, 9 fracciones I y XXIV, y 11 del </w:t>
      </w:r>
      <w:r>
        <w:rPr>
          <w:rFonts w:ascii="Palatino Linotype" w:eastAsia="Palatino Linotype" w:hAnsi="Palatino Linotype" w:cs="Palatino Linotype"/>
          <w:b/>
          <w:color w:val="000000"/>
        </w:rPr>
        <w:t>Reglamento Interior del Instituto de Transparencia, Acceso a la Informaci</w:t>
      </w:r>
      <w:r>
        <w:rPr>
          <w:rFonts w:ascii="Palatino Linotype" w:eastAsia="Palatino Linotype" w:hAnsi="Palatino Linotype" w:cs="Palatino Linotype"/>
          <w:b/>
          <w:color w:val="000000"/>
        </w:rPr>
        <w:t>ón Pública y Protección de Datos Personales del Estado de México y Municipios.</w:t>
      </w:r>
    </w:p>
    <w:p w14:paraId="6D4DF62B"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62E9B5BF" w14:textId="77777777" w:rsidR="003A77CE" w:rsidRDefault="00D706BB">
      <w:pPr>
        <w:pStyle w:val="Ttulo2"/>
        <w:tabs>
          <w:tab w:val="left" w:pos="426"/>
        </w:tabs>
        <w:spacing w:before="0"/>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SEGUNDO. De la oportunidad y procedencia.</w:t>
      </w:r>
    </w:p>
    <w:p w14:paraId="3AEE5068" w14:textId="77777777" w:rsidR="003A77CE" w:rsidRDefault="003A77CE">
      <w:pPr>
        <w:rPr>
          <w:color w:val="000000"/>
        </w:rPr>
      </w:pPr>
    </w:p>
    <w:p w14:paraId="638F6E76" w14:textId="77777777" w:rsidR="003A77CE" w:rsidRDefault="00D706BB">
      <w:pPr>
        <w:numPr>
          <w:ilvl w:val="0"/>
          <w:numId w:val="4"/>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medio de impugnación fue presentado a través del SAIMEX en el formato previamente aprobado para tal efecto y dentro del plazo legal de quince días hábiles otorgados; siendo así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respuesta el veinte (20) de septiembre de dos</w:t>
      </w:r>
      <w:r>
        <w:rPr>
          <w:rFonts w:ascii="Palatino Linotype" w:eastAsia="Palatino Linotype" w:hAnsi="Palatino Linotype" w:cs="Palatino Linotype"/>
          <w:color w:val="000000"/>
        </w:rPr>
        <w:t xml:space="preserve"> mil veintiuno, de tal forma que el plazo para interponer el recurso de revisión transcurrió del veintiuno (21) de septiembre al once (11) de octubre de dos mil veintiuno, sin contemplar en el cómputo los días veinticinco (25) y veintiséis (26) de septiemb</w:t>
      </w:r>
      <w:r>
        <w:rPr>
          <w:rFonts w:ascii="Palatino Linotype" w:eastAsia="Palatino Linotype" w:hAnsi="Palatino Linotype" w:cs="Palatino Linotype"/>
          <w:color w:val="000000"/>
        </w:rPr>
        <w:t>re, así como el dos (02), tres (03), nueve (09) y diez (10) de octubre por corresponder a sábados y domingos en términos del artículo 3, fracción X, de la Ley de Transparencia y Acceso a la Información Pública del Estado de México y Municipios.</w:t>
      </w:r>
    </w:p>
    <w:p w14:paraId="108D860D" w14:textId="77777777" w:rsidR="003A77CE" w:rsidRDefault="003A77CE">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205C6AC1" w14:textId="77777777" w:rsidR="003A77CE" w:rsidRDefault="00D706BB">
      <w:pPr>
        <w:numPr>
          <w:ilvl w:val="0"/>
          <w:numId w:val="4"/>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Luego ento</w:t>
      </w:r>
      <w:r>
        <w:rPr>
          <w:rFonts w:ascii="Palatino Linotype" w:eastAsia="Palatino Linotype" w:hAnsi="Palatino Linotype" w:cs="Palatino Linotype"/>
          <w:color w:val="000000"/>
        </w:rPr>
        <w:t>nces, si el presente recurso de revisión fue interpuesto el veintiuno (21) de septiembre de dos mil veintiuno, éste se encuentra dentro de los márgenes temporales previstos en el artículo 178 de la Ley de Transparencia y Acceso a la Información Pública del</w:t>
      </w:r>
      <w:r>
        <w:rPr>
          <w:rFonts w:ascii="Palatino Linotype" w:eastAsia="Palatino Linotype" w:hAnsi="Palatino Linotype" w:cs="Palatino Linotype"/>
          <w:color w:val="000000"/>
        </w:rPr>
        <w:t xml:space="preserve"> Estado de México y Municipios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vigente.</w:t>
      </w:r>
    </w:p>
    <w:p w14:paraId="14783346" w14:textId="77777777" w:rsidR="003A77CE" w:rsidRDefault="003A77CE">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6253D101"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de la revisión al expediente electrónico contenido en el sistema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se desprende que la parte solicitante, en ejercicio de su derecho de acceso a la información pública en el expediente que se re</w:t>
      </w:r>
      <w:r>
        <w:rPr>
          <w:rFonts w:ascii="Palatino Linotype" w:eastAsia="Palatino Linotype" w:hAnsi="Palatino Linotype" w:cs="Palatino Linotype"/>
          <w:color w:val="000000"/>
        </w:rPr>
        <w:t xml:space="preserve">visa, tanto en la solicitud de información como en el recurso de revisión, </w:t>
      </w:r>
      <w:r>
        <w:rPr>
          <w:rFonts w:ascii="Palatino Linotype" w:eastAsia="Palatino Linotype" w:hAnsi="Palatino Linotype" w:cs="Palatino Linotype"/>
          <w:b/>
          <w:color w:val="000000"/>
        </w:rPr>
        <w:t>no señaló su nombre para ser identificado, ni se tiene certeza sobre su identidad.</w:t>
      </w:r>
      <w:r>
        <w:rPr>
          <w:rFonts w:ascii="Palatino Linotype" w:eastAsia="Palatino Linotype" w:hAnsi="Palatino Linotype" w:cs="Palatino Linotype"/>
          <w:color w:val="000000"/>
        </w:rPr>
        <w:t xml:space="preserve"> Sin embargo, es importante señalar que el nombre de los Solicitantes y Recurrentes no es un requis</w:t>
      </w:r>
      <w:r>
        <w:rPr>
          <w:rFonts w:ascii="Palatino Linotype" w:eastAsia="Palatino Linotype" w:hAnsi="Palatino Linotype" w:cs="Palatino Linotype"/>
          <w:color w:val="000000"/>
        </w:rPr>
        <w:t xml:space="preserve">ito indispensable para la tramitación del acto procesal específico en materia de acceso a </w:t>
      </w:r>
      <w:r>
        <w:rPr>
          <w:rFonts w:ascii="Palatino Linotype" w:eastAsia="Palatino Linotype" w:hAnsi="Palatino Linotype" w:cs="Palatino Linotype"/>
          <w:color w:val="000000"/>
        </w:rPr>
        <w:lastRenderedPageBreak/>
        <w:t>la información, ello en estricto apego al numeral 155 párrafo tercero de la Ley de la materia, en concatenación con el 180 del mismo ordenamiento.</w:t>
      </w:r>
    </w:p>
    <w:p w14:paraId="448605A1"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492CB66"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Esto es así, ya que de conformidad con los artículos 6, apartado A, fracciones III y IV de la </w:t>
      </w:r>
      <w:r>
        <w:rPr>
          <w:rFonts w:ascii="Palatino Linotype" w:eastAsia="Palatino Linotype" w:hAnsi="Palatino Linotype" w:cs="Palatino Linotype"/>
          <w:b/>
          <w:color w:val="000000"/>
        </w:rPr>
        <w:t>Constitución Política de los Estados Unidos Mexicanos</w:t>
      </w:r>
      <w:r>
        <w:rPr>
          <w:rFonts w:ascii="Palatino Linotype" w:eastAsia="Palatino Linotype" w:hAnsi="Palatino Linotype" w:cs="Palatino Linotype"/>
          <w:color w:val="000000"/>
        </w:rPr>
        <w:t xml:space="preserve">; 5, párrafos vigésimo segundo, vigésimo tercero y vigésimo cuarto, fracciones III, IV y V, de la </w:t>
      </w:r>
      <w:r>
        <w:rPr>
          <w:rFonts w:ascii="Palatino Linotype" w:eastAsia="Palatino Linotype" w:hAnsi="Palatino Linotype" w:cs="Palatino Linotype"/>
          <w:b/>
          <w:color w:val="000000"/>
        </w:rPr>
        <w:t>Constitució</w:t>
      </w:r>
      <w:r>
        <w:rPr>
          <w:rFonts w:ascii="Palatino Linotype" w:eastAsia="Palatino Linotype" w:hAnsi="Palatino Linotype" w:cs="Palatino Linotype"/>
          <w:b/>
          <w:color w:val="000000"/>
        </w:rPr>
        <w:t>n Política del Estado Libre y Soberano de México</w:t>
      </w:r>
      <w:r>
        <w:rPr>
          <w:rFonts w:ascii="Palatino Linotype" w:eastAsia="Palatino Linotype" w:hAnsi="Palatino Linotype" w:cs="Palatino Linotype"/>
          <w:color w:val="000000"/>
        </w:rPr>
        <w:t>, se establece que toda persona, sin necesidad de acreditar interés alguno o justificar su utilización, tendrá acceso gratuito a la información pública, a sus datos personales o a la rectificación de éstos, a</w:t>
      </w:r>
      <w:r>
        <w:rPr>
          <w:rFonts w:ascii="Palatino Linotype" w:eastAsia="Palatino Linotype" w:hAnsi="Palatino Linotype" w:cs="Palatino Linotype"/>
          <w:color w:val="000000"/>
        </w:rPr>
        <w:t>demás de  que se establecerán mecanismos de acceso a la información y procedimientos de revisión expeditos que se sustanciarán ante los organismos autónomos especializados e imparciales que establece la Constitución Federal y Local.</w:t>
      </w:r>
    </w:p>
    <w:p w14:paraId="6E92070E"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3259FB7"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cual, de una interpretación sistemática, armónica y progresiva del derecho humano de acceso a la información pública se aprecia que toda persona, sin necesidad de acreditar interés alguno o justificar su utilización, deberá tener acceso a la informa</w:t>
      </w:r>
      <w:r>
        <w:rPr>
          <w:rFonts w:ascii="Palatino Linotype" w:eastAsia="Palatino Linotype" w:hAnsi="Palatino Linotype" w:cs="Palatino Linotype"/>
          <w:color w:val="000000"/>
        </w:rPr>
        <w:t>ción pública, es decir, dicho derecho fundamental exime a quien lo ejerce, de acreditar su legitimación en la causa o su interés en el asunto, lo que permite la posibilidad de que inclusive, la solicitud de acceso a la información pueda ser anónima o no co</w:t>
      </w:r>
      <w:r>
        <w:rPr>
          <w:rFonts w:ascii="Palatino Linotype" w:eastAsia="Palatino Linotype" w:hAnsi="Palatino Linotype" w:cs="Palatino Linotype"/>
          <w:color w:val="000000"/>
        </w:rPr>
        <w:t>ntener un nombre que identifique al Solicitante o que permita tener certeza sobre su identidad.</w:t>
      </w:r>
    </w:p>
    <w:p w14:paraId="056D2499"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4721B176"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Asimismo, como lo establece la Convención Americana en su artículo 13, el derecho de acceso a la información es un derecho humano universal y en consecuencia, </w:t>
      </w:r>
      <w:r>
        <w:rPr>
          <w:rFonts w:ascii="Palatino Linotype" w:eastAsia="Palatino Linotype" w:hAnsi="Palatino Linotype" w:cs="Palatino Linotype"/>
          <w:color w:val="000000"/>
        </w:rPr>
        <w:t>toda persona tiene derecho a solicitar acceso a la información.</w:t>
      </w:r>
    </w:p>
    <w:p w14:paraId="72A1D853"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45F4EDE6"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igual forma, la Corte Interamericana ha precisado que no es necesario acreditar un interés directo ni una afectación personal para obtener la información en poder del Estado, excepto en lo</w:t>
      </w:r>
      <w:r>
        <w:rPr>
          <w:rFonts w:ascii="Palatino Linotype" w:eastAsia="Palatino Linotype" w:hAnsi="Palatino Linotype" w:cs="Palatino Linotype"/>
          <w:color w:val="000000"/>
        </w:rPr>
        <w:t>s casos en que se aplique una legítima restricción permitida por la Convención Americana.</w:t>
      </w:r>
    </w:p>
    <w:p w14:paraId="6057733C"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5ECA71B"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el nombre de la </w:t>
      </w:r>
      <w:r>
        <w:rPr>
          <w:rFonts w:ascii="Palatino Linotype" w:eastAsia="Palatino Linotype" w:hAnsi="Palatino Linotype" w:cs="Palatino Linotype"/>
          <w:b/>
          <w:color w:val="000000"/>
        </w:rPr>
        <w:t>SOLICITANTE</w:t>
      </w:r>
      <w:r>
        <w:rPr>
          <w:rFonts w:ascii="Palatino Linotype" w:eastAsia="Palatino Linotype" w:hAnsi="Palatino Linotype" w:cs="Palatino Linotype"/>
          <w:color w:val="000000"/>
        </w:rPr>
        <w:t xml:space="preserve"> y subsecuente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no puede ser considerado como un requisito indispensable de procedencia del recurso de revisión qu</w:t>
      </w:r>
      <w:r>
        <w:rPr>
          <w:rFonts w:ascii="Palatino Linotype" w:eastAsia="Palatino Linotype" w:hAnsi="Palatino Linotype" w:cs="Palatino Linotype"/>
          <w:color w:val="000000"/>
        </w:rPr>
        <w:t>e nos ocupa, ya que el acceso a la información no está condicionado a acreditar algún interés ya sea jurídico o legítimo, máxime que es un elemento subsanable por este Órgano Resolutor.</w:t>
      </w:r>
    </w:p>
    <w:p w14:paraId="32D37646"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56D2F7F" w14:textId="77777777" w:rsidR="003A77CE" w:rsidRDefault="00D706BB">
      <w:pPr>
        <w:numPr>
          <w:ilvl w:val="0"/>
          <w:numId w:val="4"/>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Consecuencia de lo anterior, esta Ponencia Resolutora advierte que el</w:t>
      </w:r>
      <w:r>
        <w:rPr>
          <w:rFonts w:ascii="Palatino Linotype" w:eastAsia="Palatino Linotype" w:hAnsi="Palatino Linotype" w:cs="Palatino Linotype"/>
          <w:color w:val="000000"/>
        </w:rPr>
        <w:t xml:space="preserve"> escrito contiene las formalidades previstas por el artículo 180 último párrafo de la Ley de Transparencia y Acceso a la Información Pública del Estado de México y Municipios, por lo que es procedente que este Instituto de Transparencia, Acceso a la Inform</w:t>
      </w:r>
      <w:r>
        <w:rPr>
          <w:rFonts w:ascii="Palatino Linotype" w:eastAsia="Palatino Linotype" w:hAnsi="Palatino Linotype" w:cs="Palatino Linotype"/>
          <w:color w:val="000000"/>
        </w:rPr>
        <w:t>ación Pública y Protección de Datos Personales del Estado de México y Municipios, conozca y resuelva el presente recurso.</w:t>
      </w:r>
    </w:p>
    <w:p w14:paraId="78C413B1" w14:textId="77777777" w:rsidR="003A77CE" w:rsidRDefault="003A77C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534778C" w14:textId="77777777" w:rsidR="003A77CE" w:rsidRDefault="00D706BB">
      <w:pPr>
        <w:pStyle w:val="Ttulo2"/>
        <w:spacing w:before="0"/>
        <w:rPr>
          <w:rFonts w:ascii="Palatino Linotype" w:eastAsia="Palatino Linotype" w:hAnsi="Palatino Linotype" w:cs="Palatino Linotype"/>
          <w:b/>
          <w:color w:val="000000"/>
          <w:sz w:val="24"/>
          <w:szCs w:val="24"/>
        </w:rPr>
      </w:pPr>
      <w:bookmarkStart w:id="5" w:name="_heading=h.tyjcwt" w:colFirst="0" w:colLast="0"/>
      <w:bookmarkEnd w:id="5"/>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18DAEE48" w14:textId="77777777" w:rsidR="003A77CE" w:rsidRDefault="003A77CE">
      <w:pPr>
        <w:rPr>
          <w:rFonts w:ascii="Palatino Linotype" w:eastAsia="Palatino Linotype" w:hAnsi="Palatino Linotype" w:cs="Palatino Linotype"/>
          <w:color w:val="000000"/>
        </w:rPr>
      </w:pPr>
    </w:p>
    <w:p w14:paraId="21F41161" w14:textId="77777777" w:rsidR="003A77CE" w:rsidRDefault="00D706BB">
      <w:pPr>
        <w:numPr>
          <w:ilvl w:val="0"/>
          <w:numId w:val="4"/>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Se requirió información del catálogo general de puestos, desde el inicio de la administración a la fecha de la presentación de la solicitud de información.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informó que la Subdirección de Recursos Humanos se encontraba trabajando en la el</w:t>
      </w:r>
      <w:r>
        <w:rPr>
          <w:rFonts w:ascii="Palatino Linotype" w:eastAsia="Palatino Linotype" w:hAnsi="Palatino Linotype" w:cs="Palatino Linotype"/>
          <w:color w:val="000000"/>
        </w:rPr>
        <w:t xml:space="preserve">aboración del catálogo. El particular impugnó la respuesta mediante recurso de revisión, en el que señaló por agravios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adjuntó la información.</w:t>
      </w:r>
    </w:p>
    <w:p w14:paraId="2B4B8C2F" w14:textId="77777777" w:rsidR="003A77CE" w:rsidRDefault="003A77CE">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0C4DA7AA" w14:textId="77777777" w:rsidR="003A77CE" w:rsidRDefault="00D706BB">
      <w:pPr>
        <w:numPr>
          <w:ilvl w:val="0"/>
          <w:numId w:val="4"/>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esta Ponencia Resolutora advierte que las razones o motivos de inconfo</w:t>
      </w:r>
      <w:r>
        <w:rPr>
          <w:rFonts w:ascii="Palatino Linotype" w:eastAsia="Palatino Linotype" w:hAnsi="Palatino Linotype" w:cs="Palatino Linotype"/>
          <w:color w:val="000000"/>
        </w:rPr>
        <w:t xml:space="preserve">rmidad manifestados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sugieren que la respuesta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cumplió con los principios contendidos en el artículo 11 de la Ley de Transparencia y Acceso a la Información Pública del Estado de México y Municipios,</w:t>
      </w:r>
      <w:r>
        <w:rPr>
          <w:rFonts w:ascii="Palatino Linotype" w:eastAsia="Palatino Linotype" w:hAnsi="Palatino Linotype" w:cs="Palatino Linotype"/>
          <w:color w:val="000000"/>
        </w:rPr>
        <w:t xml:space="preserve"> los cuales señalan que en la generación, publicación y entrega de información se deberá garantizar que ésta sea </w:t>
      </w:r>
      <w:r>
        <w:rPr>
          <w:rFonts w:ascii="Palatino Linotype" w:eastAsia="Palatino Linotype" w:hAnsi="Palatino Linotype" w:cs="Palatino Linotype"/>
          <w:b/>
          <w:color w:val="000000"/>
        </w:rPr>
        <w:t xml:space="preserve">oportuna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expedita</w:t>
      </w:r>
      <w:r>
        <w:rPr>
          <w:rFonts w:ascii="Palatino Linotype" w:eastAsia="Palatino Linotype" w:hAnsi="Palatino Linotype" w:cs="Palatino Linotype"/>
          <w:color w:val="000000"/>
        </w:rPr>
        <w:t>.</w:t>
      </w:r>
    </w:p>
    <w:p w14:paraId="1A25EE44" w14:textId="77777777" w:rsidR="003A77CE" w:rsidRDefault="003A77CE">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3C326173" w14:textId="77777777" w:rsidR="003A77CE" w:rsidRDefault="00D706BB">
      <w:pPr>
        <w:numPr>
          <w:ilvl w:val="0"/>
          <w:numId w:val="4"/>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el presente recurso se circunscribe en determinar si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colma el derecho de acceso a la información ejercido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o si, por el contrario, se actualizan las causales de procedencia del recurso de revisión establecidas en el artículo 179 fracciones I y XIII de la Ley de Transparencia</w:t>
      </w:r>
      <w:r>
        <w:rPr>
          <w:rFonts w:ascii="Palatino Linotype" w:eastAsia="Palatino Linotype" w:hAnsi="Palatino Linotype" w:cs="Palatino Linotype"/>
          <w:color w:val="000000"/>
        </w:rPr>
        <w:t xml:space="preserve"> y Acceso a la Información Pública del Estado de México y Municipios, y que se transcriben a continuación:</w:t>
      </w:r>
    </w:p>
    <w:p w14:paraId="73D13BD6" w14:textId="77777777" w:rsidR="003A77CE" w:rsidRDefault="00D706BB">
      <w:pPr>
        <w:pBdr>
          <w:top w:val="nil"/>
          <w:left w:val="nil"/>
          <w:bottom w:val="nil"/>
          <w:right w:val="nil"/>
          <w:between w:val="nil"/>
        </w:pBdr>
        <w:tabs>
          <w:tab w:val="left" w:pos="426"/>
        </w:tabs>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w:t>
      </w:r>
      <w:r>
        <w:rPr>
          <w:rFonts w:ascii="Palatino Linotype" w:eastAsia="Palatino Linotype" w:hAnsi="Palatino Linotype" w:cs="Palatino Linotype"/>
          <w:i/>
          <w:color w:val="000000"/>
          <w:sz w:val="22"/>
          <w:szCs w:val="22"/>
        </w:rPr>
        <w:t>rmación pública, y procederá en contra de las siguientes causas:</w:t>
      </w:r>
    </w:p>
    <w:p w14:paraId="3CF17063" w14:textId="77777777" w:rsidR="003A77CE" w:rsidRDefault="00D706BB">
      <w:pPr>
        <w:pBdr>
          <w:top w:val="nil"/>
          <w:left w:val="nil"/>
          <w:bottom w:val="nil"/>
          <w:right w:val="nil"/>
          <w:between w:val="nil"/>
        </w:pBdr>
        <w:tabs>
          <w:tab w:val="left" w:pos="426"/>
        </w:tabs>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La negativa a la información solicitada;</w:t>
      </w:r>
    </w:p>
    <w:p w14:paraId="15715252" w14:textId="77777777" w:rsidR="003A77CE" w:rsidRDefault="00D706BB">
      <w:pPr>
        <w:pBdr>
          <w:top w:val="nil"/>
          <w:left w:val="nil"/>
          <w:bottom w:val="nil"/>
          <w:right w:val="nil"/>
          <w:between w:val="nil"/>
        </w:pBdr>
        <w:tabs>
          <w:tab w:val="left" w:pos="426"/>
        </w:tabs>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76FCACA" w14:textId="77777777" w:rsidR="003A77CE" w:rsidRDefault="00D706BB">
      <w:pPr>
        <w:pBdr>
          <w:top w:val="nil"/>
          <w:left w:val="nil"/>
          <w:bottom w:val="nil"/>
          <w:right w:val="nil"/>
          <w:between w:val="nil"/>
        </w:pBdr>
        <w:tabs>
          <w:tab w:val="left" w:pos="426"/>
        </w:tabs>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XIII.</w:t>
      </w:r>
      <w:r>
        <w:rPr>
          <w:rFonts w:ascii="Palatino Linotype" w:eastAsia="Palatino Linotype" w:hAnsi="Palatino Linotype" w:cs="Palatino Linotype"/>
          <w:i/>
          <w:color w:val="000000"/>
          <w:sz w:val="22"/>
          <w:szCs w:val="22"/>
        </w:rPr>
        <w:t xml:space="preserve"> La falta, deficiencia o insuficiencia de la fundamentación y/o motivación en la respuesta; y</w:t>
      </w:r>
    </w:p>
    <w:p w14:paraId="56C3674C" w14:textId="77777777" w:rsidR="003A77CE" w:rsidRDefault="00D706BB">
      <w:pPr>
        <w:pBdr>
          <w:top w:val="nil"/>
          <w:left w:val="nil"/>
          <w:bottom w:val="nil"/>
          <w:right w:val="nil"/>
          <w:between w:val="nil"/>
        </w:pBdr>
        <w:tabs>
          <w:tab w:val="left" w:pos="426"/>
        </w:tabs>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15EA621" w14:textId="77777777" w:rsidR="003A77CE" w:rsidRDefault="003A77CE">
      <w:pPr>
        <w:pStyle w:val="Ttulo2"/>
        <w:tabs>
          <w:tab w:val="left" w:pos="426"/>
        </w:tabs>
        <w:rPr>
          <w:rFonts w:ascii="Palatino Linotype" w:eastAsia="Palatino Linotype" w:hAnsi="Palatino Linotype" w:cs="Palatino Linotype"/>
          <w:b/>
          <w:color w:val="FF0000"/>
          <w:sz w:val="24"/>
          <w:szCs w:val="24"/>
        </w:rPr>
      </w:pPr>
    </w:p>
    <w:p w14:paraId="4717F975" w14:textId="77777777" w:rsidR="003A77CE" w:rsidRDefault="003A77CE"/>
    <w:p w14:paraId="7DC9E38E" w14:textId="77777777" w:rsidR="003A77CE" w:rsidRDefault="00D706BB">
      <w:pPr>
        <w:pStyle w:val="Ttulo2"/>
        <w:tabs>
          <w:tab w:val="left" w:pos="426"/>
        </w:tabs>
        <w:rPr>
          <w:rFonts w:ascii="Palatino Linotype" w:eastAsia="Palatino Linotype" w:hAnsi="Palatino Linotype" w:cs="Palatino Linotype"/>
          <w:b/>
          <w:color w:val="000000"/>
          <w:sz w:val="24"/>
          <w:szCs w:val="24"/>
        </w:rPr>
      </w:pPr>
      <w:bookmarkStart w:id="6" w:name="_heading=h.3dy6vkm" w:colFirst="0" w:colLast="0"/>
      <w:bookmarkEnd w:id="6"/>
      <w:r>
        <w:rPr>
          <w:rFonts w:ascii="Palatino Linotype" w:eastAsia="Palatino Linotype" w:hAnsi="Palatino Linotype" w:cs="Palatino Linotype"/>
          <w:b/>
          <w:color w:val="000000"/>
          <w:sz w:val="24"/>
          <w:szCs w:val="24"/>
        </w:rPr>
        <w:t>CUARTO. Estudio y Resolución del asunto.</w:t>
      </w:r>
    </w:p>
    <w:p w14:paraId="452BA78F" w14:textId="77777777" w:rsidR="003A77CE" w:rsidRDefault="00D706BB">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b/>
          <w:color w:val="000000"/>
        </w:rPr>
      </w:pPr>
      <w:bookmarkStart w:id="7" w:name="_heading=h.1t3h5sf" w:colFirst="0" w:colLast="0"/>
      <w:bookmarkEnd w:id="7"/>
      <w:r>
        <w:rPr>
          <w:rFonts w:ascii="Palatino Linotype" w:eastAsia="Palatino Linotype" w:hAnsi="Palatino Linotype" w:cs="Palatino Linotype"/>
          <w:b/>
          <w:color w:val="000000"/>
        </w:rPr>
        <w:t>I. Del deber de las autoridades de promover, respetar, proteger y garantizar el derecho de acceso a la información pública.</w:t>
      </w:r>
    </w:p>
    <w:p w14:paraId="36C80539"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27D213E"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menester precisar que este Órgano Garante parte del hecho que el Derecho de Acceso a la Información Pública, es un derecho humano reconocido en el Pacto de Derechos Civiles y Políticos en su artículo 19.2; en la Convención Americana sobre Derechos Human</w:t>
      </w:r>
      <w:r>
        <w:rPr>
          <w:rFonts w:ascii="Palatino Linotype" w:eastAsia="Palatino Linotype" w:hAnsi="Palatino Linotype" w:cs="Palatino Linotype"/>
          <w:color w:val="000000"/>
        </w:rPr>
        <w:t xml:space="preserve">os en su artículo 13.1; en el artículo sexto de la Constitución Política de los Estados Unidos Mexicanos y en el artículo quinto de la Particular del Estado de México, por lo que al respecto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ser cuidadoso del debido cumplimiento de </w:t>
      </w:r>
      <w:r>
        <w:rPr>
          <w:rFonts w:ascii="Palatino Linotype" w:eastAsia="Palatino Linotype" w:hAnsi="Palatino Linotype" w:cs="Palatino Linotype"/>
          <w:color w:val="000000"/>
        </w:rPr>
        <w:t xml:space="preserve">las obligaciones constitucionales que se le imponen; en consecuencia, a todas las autoridades, en el ámbito de su competencia, según lo dispone el tercer párrafo del artículo primero de la </w:t>
      </w:r>
      <w:r>
        <w:rPr>
          <w:rFonts w:ascii="Palatino Linotype" w:eastAsia="Palatino Linotype" w:hAnsi="Palatino Linotype" w:cs="Palatino Linotype"/>
          <w:b/>
          <w:color w:val="000000"/>
        </w:rPr>
        <w:t>Constitución Política de los Estados Unidos Mexicanos</w:t>
      </w:r>
      <w:r>
        <w:rPr>
          <w:rFonts w:ascii="Palatino Linotype" w:eastAsia="Palatino Linotype" w:hAnsi="Palatino Linotype" w:cs="Palatino Linotype"/>
          <w:color w:val="000000"/>
        </w:rPr>
        <w:t>, tienen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la ob</w:t>
      </w:r>
      <w:r>
        <w:rPr>
          <w:rFonts w:ascii="Palatino Linotype" w:eastAsia="Palatino Linotype" w:hAnsi="Palatino Linotype" w:cs="Palatino Linotype"/>
          <w:color w:val="000000"/>
        </w:rPr>
        <w:t xml:space="preserve">ligación de “promover, </w:t>
      </w:r>
      <w:r>
        <w:rPr>
          <w:rFonts w:ascii="Palatino Linotype" w:eastAsia="Palatino Linotype" w:hAnsi="Palatino Linotype" w:cs="Palatino Linotype"/>
          <w:b/>
          <w:color w:val="000000"/>
        </w:rPr>
        <w:t>respetar</w:t>
      </w:r>
      <w:r>
        <w:rPr>
          <w:rFonts w:ascii="Palatino Linotype" w:eastAsia="Palatino Linotype" w:hAnsi="Palatino Linotype" w:cs="Palatino Linotype"/>
          <w:color w:val="000000"/>
        </w:rPr>
        <w:t xml:space="preserve">, proteger y </w:t>
      </w:r>
      <w:r>
        <w:rPr>
          <w:rFonts w:ascii="Palatino Linotype" w:eastAsia="Palatino Linotype" w:hAnsi="Palatino Linotype" w:cs="Palatino Linotype"/>
          <w:b/>
          <w:color w:val="000000"/>
        </w:rPr>
        <w:t>garantizar</w:t>
      </w:r>
      <w:r>
        <w:rPr>
          <w:rFonts w:ascii="Palatino Linotype" w:eastAsia="Palatino Linotype" w:hAnsi="Palatino Linotype" w:cs="Palatino Linotype"/>
          <w:color w:val="000000"/>
        </w:rPr>
        <w:t xml:space="preserve"> los derechos humanos”, entre los cuales se encuentra dicho derecho.</w:t>
      </w:r>
    </w:p>
    <w:p w14:paraId="05711095"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D95DB6D"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anterior, se deduce que el derecho de acceso a la información pública es un derecho humano convencional y constitucionalmente</w:t>
      </w:r>
      <w:r>
        <w:rPr>
          <w:rFonts w:ascii="Palatino Linotype" w:eastAsia="Palatino Linotype" w:hAnsi="Palatino Linotype" w:cs="Palatino Linotype"/>
          <w:color w:val="000000"/>
        </w:rPr>
        <w:t xml:space="preserve"> reconocido; en consecuencia, todas las autoridades en el ámbito de sus competencias, funciones y atribuciones tienen la obligación de respetarlo, protegerlo y garantizarlo.</w:t>
      </w:r>
    </w:p>
    <w:p w14:paraId="590FC062"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C545CFF"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podemos definir el Derecho de Acceso a la Información Pública como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w:t>
      </w:r>
      <w:r>
        <w:rPr>
          <w:rFonts w:ascii="Palatino Linotype" w:eastAsia="Palatino Linotype" w:hAnsi="Palatino Linotype" w:cs="Palatino Linotype"/>
          <w:i/>
          <w:color w:val="000000"/>
        </w:rPr>
        <w:t>erza recursos públicos o realice actos de autoridad en el ámbito federal, estatal y municipal,</w:t>
      </w:r>
      <w:r>
        <w:rPr>
          <w:rFonts w:ascii="Palatino Linotype" w:eastAsia="Palatino Linotype" w:hAnsi="Palatino Linotype" w:cs="Palatino Linotype"/>
          <w:i/>
          <w:color w:val="000000"/>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w:t>
      </w:r>
      <w:r>
        <w:rPr>
          <w:rFonts w:ascii="Palatino Linotype" w:eastAsia="Palatino Linotype" w:hAnsi="Palatino Linotype" w:cs="Palatino Linotype"/>
          <w:i/>
          <w:color w:val="000000"/>
        </w:rPr>
        <w:t xml:space="preserve"> considerar si se está dando un adecuado cumplimiento a las funciones públicas,</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color w:val="000000"/>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w:t>
      </w:r>
      <w:r>
        <w:rPr>
          <w:rFonts w:ascii="Palatino Linotype" w:eastAsia="Palatino Linotype" w:hAnsi="Palatino Linotype" w:cs="Palatino Linotype"/>
          <w:i/>
          <w:color w:val="000000"/>
        </w:rPr>
        <w:t>los gobiernos por sus pueblos, sin lo cual la verdad languidecería y la participación en el gobierno permanecería fragmentada.</w:t>
      </w:r>
    </w:p>
    <w:p w14:paraId="5B8083F8"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C53990F"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la Ley de Transparencia y Acceso a la Información Pública del Estado de México y Municipios, cuyo objeto es estab</w:t>
      </w:r>
      <w:r>
        <w:rPr>
          <w:rFonts w:ascii="Palatino Linotype" w:eastAsia="Palatino Linotype" w:hAnsi="Palatino Linotype" w:cs="Palatino Linotype"/>
          <w:color w:val="000000"/>
        </w:rPr>
        <w:t>lecer principios, bases generales y procedimientos para tutelar y garantizar la transparencia y el derecho humano de acceso a la información pública en posesión de los sujetos obligados; en su artículo 176 establece que el recurso de revisión es la garantí</w:t>
      </w:r>
      <w:r>
        <w:rPr>
          <w:rFonts w:ascii="Palatino Linotype" w:eastAsia="Palatino Linotype" w:hAnsi="Palatino Linotype" w:cs="Palatino Linotype"/>
          <w:color w:val="000000"/>
        </w:rPr>
        <w:t xml:space="preserve">a secundaria mediante la cual se pretende reparar cualquier posible afectación al derecho de acceso a la información pública, siendo éste el medio a través del cual, este Órgano Garante </w:t>
      </w:r>
      <w:r>
        <w:rPr>
          <w:rFonts w:ascii="Palatino Linotype" w:eastAsia="Palatino Linotype" w:hAnsi="Palatino Linotype" w:cs="Palatino Linotype"/>
          <w:color w:val="000000"/>
        </w:rPr>
        <w:lastRenderedPageBreak/>
        <w:t>después de realizar el análisis al procedimiento de acceso a la inform</w:t>
      </w:r>
      <w:r>
        <w:rPr>
          <w:rFonts w:ascii="Palatino Linotype" w:eastAsia="Palatino Linotype" w:hAnsi="Palatino Linotype" w:cs="Palatino Linotype"/>
          <w:color w:val="000000"/>
        </w:rPr>
        <w:t>ación, podrá determinar la posible afectación y, de ser el caso, ordenar la reparación a la violación del derecho en cuestión.</w:t>
      </w:r>
    </w:p>
    <w:p w14:paraId="5E23B7BA"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B4C4E56" w14:textId="77777777" w:rsidR="003A77CE" w:rsidRDefault="00D706B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bookmarkStart w:id="8" w:name="_heading=h.4d34og8" w:colFirst="0" w:colLast="0"/>
      <w:bookmarkEnd w:id="8"/>
      <w:r>
        <w:rPr>
          <w:rFonts w:ascii="Palatino Linotype" w:eastAsia="Palatino Linotype" w:hAnsi="Palatino Linotype" w:cs="Palatino Linotype"/>
          <w:b/>
          <w:color w:val="000000"/>
        </w:rPr>
        <w:t>II. Del derecho de acceso a la información.</w:t>
      </w:r>
    </w:p>
    <w:p w14:paraId="59660512"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9DD567C" w14:textId="77777777" w:rsidR="003A77CE" w:rsidRDefault="00D706BB">
      <w:pPr>
        <w:numPr>
          <w:ilvl w:val="0"/>
          <w:numId w:val="4"/>
        </w:num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Previo a iniciar el análisis de legalidad de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atender la solicitud </w:t>
      </w:r>
      <w:r>
        <w:rPr>
          <w:rFonts w:ascii="Palatino Linotype" w:eastAsia="Palatino Linotype" w:hAnsi="Palatino Linotype" w:cs="Palatino Linotype"/>
          <w:b/>
          <w:color w:val="000000"/>
        </w:rPr>
        <w:t>00279/TENANCIN/IP/2021</w:t>
      </w:r>
      <w:r>
        <w:rPr>
          <w:rFonts w:ascii="Palatino Linotype" w:eastAsia="Palatino Linotype" w:hAnsi="Palatino Linotype" w:cs="Palatino Linotype"/>
          <w:color w:val="000000"/>
        </w:rPr>
        <w:t xml:space="preserve">, y así determinar si se colmó o no el derecho de acceso a la información ejercido por el hoy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se considera importante </w:t>
      </w:r>
      <w:r>
        <w:rPr>
          <w:rFonts w:ascii="Palatino Linotype" w:eastAsia="Palatino Linotype" w:hAnsi="Palatino Linotype" w:cs="Palatino Linotype"/>
          <w:color w:val="000000"/>
        </w:rPr>
        <w:t>citar el Criterio de Interpretación en el orden administrativo número 0002-11, emitido por Acuerdo del Pleno de este Instituto de Transparencia y Acceso a la Información Pública del Estado de México y Municipios, publicado en el Periódico Oficial del Gobie</w:t>
      </w:r>
      <w:r>
        <w:rPr>
          <w:rFonts w:ascii="Palatino Linotype" w:eastAsia="Palatino Linotype" w:hAnsi="Palatino Linotype" w:cs="Palatino Linotype"/>
          <w:color w:val="000000"/>
        </w:rPr>
        <w:t>rno del Estado Libre y Soberano de México “Gaceta del Gobierno” el diecinueve (19) de octubre de dos mil once, cuyo rubro y texto dispone:</w:t>
      </w:r>
    </w:p>
    <w:p w14:paraId="7B4BAFCE"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w:t>
      </w:r>
      <w:r>
        <w:rPr>
          <w:rFonts w:ascii="Palatino Linotype" w:eastAsia="Palatino Linotype" w:hAnsi="Palatino Linotype" w:cs="Palatino Linotype"/>
          <w:i/>
          <w:sz w:val="22"/>
          <w:szCs w:val="22"/>
        </w:rPr>
        <w:t>uanto a su alcance y resultado material, el acceso a los archivos, registros y documentos públicos, administrados, generados o en posesión de los órganos u organismos públicos, en virtud del ejercicio de sus funciones de derecho público, sin importar su fu</w:t>
      </w:r>
      <w:r>
        <w:rPr>
          <w:rFonts w:ascii="Palatino Linotype" w:eastAsia="Palatino Linotype" w:hAnsi="Palatino Linotype" w:cs="Palatino Linotype"/>
          <w:i/>
          <w:sz w:val="22"/>
          <w:szCs w:val="22"/>
        </w:rPr>
        <w:t>ente, soporte o fecha de elaboración.</w:t>
      </w:r>
    </w:p>
    <w:p w14:paraId="21A46D18"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BFA03EA"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w:t>
      </w:r>
      <w:r>
        <w:rPr>
          <w:rFonts w:ascii="Palatino Linotype" w:eastAsia="Palatino Linotype" w:hAnsi="Palatino Linotype" w:cs="Palatino Linotype"/>
          <w:i/>
          <w:sz w:val="22"/>
          <w:szCs w:val="22"/>
        </w:rPr>
        <w:t>ciones conferidas, sea generada por los Sujetos Obligados;</w:t>
      </w:r>
    </w:p>
    <w:p w14:paraId="01750BD1"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administrada por los Sujetos Obligados, y</w:t>
      </w:r>
    </w:p>
    <w:p w14:paraId="0253024F" w14:textId="77777777" w:rsidR="003A77CE" w:rsidRDefault="00D706BB">
      <w:pPr>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Que se trate de información re</w:t>
      </w:r>
      <w:r>
        <w:rPr>
          <w:rFonts w:ascii="Palatino Linotype" w:eastAsia="Palatino Linotype" w:hAnsi="Palatino Linotype" w:cs="Palatino Linotype"/>
          <w:i/>
          <w:sz w:val="22"/>
          <w:szCs w:val="22"/>
        </w:rPr>
        <w:t>gistrada en cualquier soporte documental, que en ejercicio de las atribuciones conferidas, se encuentre en posesión de los Sujetos Obligados.”</w:t>
      </w:r>
    </w:p>
    <w:p w14:paraId="458C38B6" w14:textId="77777777" w:rsidR="003A77CE" w:rsidRDefault="003A77CE">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2F68834F" w14:textId="77777777" w:rsidR="003A77CE" w:rsidRDefault="00D706BB">
      <w:pPr>
        <w:numPr>
          <w:ilvl w:val="0"/>
          <w:numId w:val="4"/>
        </w:num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derecho de acceso a la información encuentra su materia elemental en los documentos, y la Ley de Transparenci</w:t>
      </w:r>
      <w:r>
        <w:rPr>
          <w:rFonts w:ascii="Palatino Linotype" w:eastAsia="Palatino Linotype" w:hAnsi="Palatino Linotype" w:cs="Palatino Linotype"/>
          <w:color w:val="000000"/>
        </w:rPr>
        <w:t>a local nos brinda el siguiente concepto</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 para darnos un mejor panorama:</w:t>
      </w:r>
    </w:p>
    <w:p w14:paraId="5782291E" w14:textId="77777777" w:rsidR="003A77CE" w:rsidRDefault="00D706BB">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“XI. Documento: </w:t>
      </w:r>
      <w:r>
        <w:rPr>
          <w:rFonts w:ascii="Palatino Linotype" w:eastAsia="Palatino Linotype" w:hAnsi="Palatino Linotype" w:cs="Palatino Linotype"/>
          <w:i/>
          <w:sz w:val="22"/>
          <w:szCs w:val="22"/>
        </w:rPr>
        <w:t>Los expedientes, reportes, estudios, actas, resoluciones, oficios, correspondencia, acuerdos, directivas, directrices, circulares, contratos, convenios, instructivos</w:t>
      </w:r>
      <w:r>
        <w:rPr>
          <w:rFonts w:ascii="Palatino Linotype" w:eastAsia="Palatino Linotype" w:hAnsi="Palatino Linotype" w:cs="Palatino Linotype"/>
          <w:i/>
          <w:sz w:val="22"/>
          <w:szCs w:val="22"/>
        </w:rPr>
        <w:t>, notas, memorandos, estadísticas o bien, cualquier otro registro que documente el ejercicio de las facultades, funciones y competencias de los sujetos obligados, sus servidores públicos e integrantes, sin importar su fuente o fecha de elaboración. Los doc</w:t>
      </w:r>
      <w:r>
        <w:rPr>
          <w:rFonts w:ascii="Palatino Linotype" w:eastAsia="Palatino Linotype" w:hAnsi="Palatino Linotype" w:cs="Palatino Linotype"/>
          <w:i/>
          <w:sz w:val="22"/>
          <w:szCs w:val="22"/>
        </w:rPr>
        <w:t>umentos podrán estar en cualquier medio, sea escrito, impreso,  sonoro, visual, electrónico, informático u holográfico;”</w:t>
      </w:r>
    </w:p>
    <w:p w14:paraId="37703F50" w14:textId="77777777" w:rsidR="003A77CE" w:rsidRDefault="003A77CE">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6839AA9D" w14:textId="77777777" w:rsidR="003A77CE" w:rsidRDefault="00D706BB">
      <w:pPr>
        <w:numPr>
          <w:ilvl w:val="0"/>
          <w:numId w:val="4"/>
        </w:num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Correlativo a lo anterior, debemos tomar en cuenta los artículos 4 y 12, de la Ley de Transparencia y Acceso a la Información Pública </w:t>
      </w:r>
      <w:r>
        <w:rPr>
          <w:rFonts w:ascii="Palatino Linotype" w:eastAsia="Palatino Linotype" w:hAnsi="Palatino Linotype" w:cs="Palatino Linotype"/>
          <w:color w:val="000000"/>
        </w:rPr>
        <w:t>del Estado de México y Municipios, los cuales establecen lo siguiente:</w:t>
      </w:r>
    </w:p>
    <w:p w14:paraId="07533EFA"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w:t>
      </w:r>
      <w:r>
        <w:rPr>
          <w:rFonts w:ascii="Palatino Linotype" w:eastAsia="Palatino Linotype" w:hAnsi="Palatino Linotype" w:cs="Palatino Linotype"/>
          <w:i/>
          <w:sz w:val="22"/>
          <w:szCs w:val="22"/>
        </w:rPr>
        <w:t xml:space="preserve"> sin necesidad de acreditar personalidad ni interés jurídico.</w:t>
      </w:r>
    </w:p>
    <w:p w14:paraId="1FA3AC8D"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w:t>
      </w:r>
      <w:r>
        <w:rPr>
          <w:rFonts w:ascii="Palatino Linotype" w:eastAsia="Palatino Linotype" w:hAnsi="Palatino Linotype" w:cs="Palatino Linotype"/>
          <w:i/>
          <w:sz w:val="22"/>
          <w:szCs w:val="22"/>
        </w:rPr>
        <w:t xml:space="preserve">onales de los que el Estado mexicano sea parte, en la </w:t>
      </w:r>
      <w:r>
        <w:rPr>
          <w:rFonts w:ascii="Palatino Linotype" w:eastAsia="Palatino Linotype" w:hAnsi="Palatino Linotype" w:cs="Palatino Linotype"/>
          <w:i/>
          <w:sz w:val="22"/>
          <w:szCs w:val="22"/>
        </w:rPr>
        <w:lastRenderedPageBreak/>
        <w:t>Ley General, la presente Ley y demás disposiciones de la materia, privilegiando el principio de máxima publicidad de la información. Solo podrá ser clasificada excepcionalmente como reservada temporalme</w:t>
      </w:r>
      <w:r>
        <w:rPr>
          <w:rFonts w:ascii="Palatino Linotype" w:eastAsia="Palatino Linotype" w:hAnsi="Palatino Linotype" w:cs="Palatino Linotype"/>
          <w:i/>
          <w:sz w:val="22"/>
          <w:szCs w:val="22"/>
        </w:rPr>
        <w:t>nte por razones de interés público, en los términos de las causas legítimas y estrictamente necesarias previstas por esta Ley.</w:t>
      </w:r>
    </w:p>
    <w:p w14:paraId="651F6BBF" w14:textId="77777777" w:rsidR="003A77CE" w:rsidRDefault="00D706BB">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w:t>
      </w:r>
      <w:r>
        <w:rPr>
          <w:rFonts w:ascii="Palatino Linotype" w:eastAsia="Palatino Linotype" w:hAnsi="Palatino Linotype" w:cs="Palatino Linotype"/>
          <w:b/>
          <w:i/>
          <w:sz w:val="22"/>
          <w:szCs w:val="22"/>
        </w:rPr>
        <w:t>licidad, veracidad, oportunidad, precisión y suficiencia en beneficio de los solicitantes.</w:t>
      </w:r>
    </w:p>
    <w:p w14:paraId="01756604" w14:textId="77777777" w:rsidR="003A77CE" w:rsidRDefault="003A77CE">
      <w:pPr>
        <w:spacing w:line="276" w:lineRule="auto"/>
        <w:ind w:right="567"/>
        <w:jc w:val="both"/>
        <w:rPr>
          <w:rFonts w:ascii="Palatino Linotype" w:eastAsia="Palatino Linotype" w:hAnsi="Palatino Linotype" w:cs="Palatino Linotype"/>
          <w:i/>
          <w:color w:val="000000"/>
          <w:sz w:val="28"/>
          <w:szCs w:val="28"/>
        </w:rPr>
      </w:pPr>
    </w:p>
    <w:p w14:paraId="0FD762F3"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54FBC04C"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w:t>
      </w:r>
      <w:r>
        <w:rPr>
          <w:rFonts w:ascii="Palatino Linotype" w:eastAsia="Palatino Linotype" w:hAnsi="Palatino Linotype" w:cs="Palatino Linotype"/>
          <w:i/>
          <w:sz w:val="22"/>
          <w:szCs w:val="22"/>
        </w:rPr>
        <w:t xml:space="preserve">ación pública que se les requiera y que obre en sus archivos y en el estado en que ésta se encuentre. La obligación de proporcionar información no comprende el procesamiento de </w:t>
      </w:r>
      <w:proofErr w:type="gramStart"/>
      <w:r>
        <w:rPr>
          <w:rFonts w:ascii="Palatino Linotype" w:eastAsia="Palatino Linotype" w:hAnsi="Palatino Linotype" w:cs="Palatino Linotype"/>
          <w:i/>
          <w:sz w:val="22"/>
          <w:szCs w:val="22"/>
        </w:rPr>
        <w:t>la misma</w:t>
      </w:r>
      <w:proofErr w:type="gramEnd"/>
      <w:r>
        <w:rPr>
          <w:rFonts w:ascii="Palatino Linotype" w:eastAsia="Palatino Linotype" w:hAnsi="Palatino Linotype" w:cs="Palatino Linotype"/>
          <w:i/>
          <w:sz w:val="22"/>
          <w:szCs w:val="22"/>
        </w:rPr>
        <w:t>, ni el presentarla conforme al interés del solicitante; no estarán obl</w:t>
      </w:r>
      <w:r>
        <w:rPr>
          <w:rFonts w:ascii="Palatino Linotype" w:eastAsia="Palatino Linotype" w:hAnsi="Palatino Linotype" w:cs="Palatino Linotype"/>
          <w:i/>
          <w:sz w:val="22"/>
          <w:szCs w:val="22"/>
        </w:rPr>
        <w:t>igados a generarla, resumirla, efectuar cálculos o practicar investigaciones.”</w:t>
      </w:r>
    </w:p>
    <w:p w14:paraId="590CF58B" w14:textId="77777777" w:rsidR="003A77CE" w:rsidRDefault="00D706BB">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134B40E" w14:textId="77777777" w:rsidR="003A77CE" w:rsidRDefault="003A77CE">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3DEC5FC4"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todos los actos de autoridad que realicen los Sujetos Obligados deben estar documentados y, bajo el más alto estándar de transparencia, deberán pon</w:t>
      </w:r>
      <w:r>
        <w:rPr>
          <w:rFonts w:ascii="Palatino Linotype" w:eastAsia="Palatino Linotype" w:hAnsi="Palatino Linotype" w:cs="Palatino Linotype"/>
          <w:color w:val="000000"/>
        </w:rPr>
        <w:t>er toda la información que se encuentre en su posesión, de manera permanente y actualizada, a disposición de los particulares que la soliciten.</w:t>
      </w:r>
    </w:p>
    <w:p w14:paraId="3022C483"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0D9950E"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la Ley de la materia establece que en la generación, publicación y entrega de información se deberá garantizar que ésta sea accesible, actualizada, completa, congruente, confiable, verificable, veraz, integral, oportuna y expedita, sujeta a </w:t>
      </w:r>
      <w:r>
        <w:rPr>
          <w:rFonts w:ascii="Palatino Linotype" w:eastAsia="Palatino Linotype" w:hAnsi="Palatino Linotype" w:cs="Palatino Linotype"/>
          <w:color w:val="000000"/>
        </w:rPr>
        <w:t xml:space="preserve">un claro régimen de excepciones que deberá estar definido y ser además </w:t>
      </w:r>
      <w:r>
        <w:rPr>
          <w:rFonts w:ascii="Palatino Linotype" w:eastAsia="Palatino Linotype" w:hAnsi="Palatino Linotype" w:cs="Palatino Linotype"/>
          <w:color w:val="000000"/>
        </w:rPr>
        <w:lastRenderedPageBreak/>
        <w:t>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w:t>
      </w:r>
    </w:p>
    <w:p w14:paraId="76380E27"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F83E6BA"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por un lad</w:t>
      </w:r>
      <w:r>
        <w:rPr>
          <w:rFonts w:ascii="Palatino Linotype" w:eastAsia="Palatino Linotype" w:hAnsi="Palatino Linotype" w:cs="Palatino Linotype"/>
          <w:color w:val="000000"/>
        </w:rPr>
        <w:t>o, se tiene la obligación de documentar todos los actos que se lleven a cabo en el ejercicio de sus funciones, atribuciones y competencias; mientras que por otro, se ven impuestos por la obligación de hacer pública toda aquella información que se encuentre</w:t>
      </w:r>
      <w:r>
        <w:rPr>
          <w:rFonts w:ascii="Palatino Linotype" w:eastAsia="Palatino Linotype" w:hAnsi="Palatino Linotype" w:cs="Palatino Linotype"/>
          <w:color w:val="000000"/>
        </w:rPr>
        <w:t xml:space="preserve"> en su posesión en estricto apego a los principios de eficacia</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toda la información en posesión de los Sujetos 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62375173"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F3C877C"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la Tesis aislada identificada con la clave I.4º.A.40 A del Cuarto Tribunal colegiado en Materia Administrativa del Prime</w:t>
      </w:r>
      <w:r>
        <w:rPr>
          <w:rFonts w:ascii="Palatino Linotype" w:eastAsia="Palatino Linotype" w:hAnsi="Palatino Linotype" w:cs="Palatino Linotype"/>
          <w:color w:val="000000"/>
        </w:rPr>
        <w:t>r Circuito, publicada en el Seminario Judicial de la Federación y su Gaceta en el libro XVIII, Marzo 2013, Página 1899:</w:t>
      </w:r>
    </w:p>
    <w:p w14:paraId="502690AA"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288A3E5" w14:textId="77777777" w:rsidR="003A77CE" w:rsidRDefault="00D706BB">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w:t>
      </w:r>
      <w:r>
        <w:rPr>
          <w:rFonts w:ascii="Palatino Linotype" w:eastAsia="Palatino Linotype" w:hAnsi="Palatino Linotype" w:cs="Palatino Linotype"/>
          <w:i/>
          <w:color w:val="000000"/>
          <w:sz w:val="22"/>
          <w:szCs w:val="22"/>
        </w:rPr>
        <w:t xml:space="preserve">ctos, pues se reconoce el derecho fundamental de los ciudadanos a acceder a la información que obra en poder </w:t>
      </w:r>
      <w:r>
        <w:rPr>
          <w:rFonts w:ascii="Palatino Linotype" w:eastAsia="Palatino Linotype" w:hAnsi="Palatino Linotype" w:cs="Palatino Linotype"/>
          <w:i/>
          <w:color w:val="000000"/>
          <w:sz w:val="22"/>
          <w:szCs w:val="22"/>
        </w:rPr>
        <w:lastRenderedPageBreak/>
        <w:t>de la autoridad, que como lo ha expuesto el Pleno de la Suprema Corte de Justicia de la Nación en la tesis P./J. 54/2008, publicada en el Semanario</w:t>
      </w:r>
      <w:r>
        <w:rPr>
          <w:rFonts w:ascii="Palatino Linotype" w:eastAsia="Palatino Linotype" w:hAnsi="Palatino Linotype" w:cs="Palatino Linotype"/>
          <w:i/>
          <w:color w:val="000000"/>
          <w:sz w:val="22"/>
          <w:szCs w:val="22"/>
        </w:rPr>
        <w:t xml:space="preserve"> Judicial de la Federación y su Gaceta, Novena Época, Tomo XXVII, junio de 2008, página 743, de rubro: "ACCESO A LA INFORMACIÓN. SU NATURALEZA COMO GARANTÍAS INDIVIDUAL Y SOCIAL.", contiene una doble dimensión: individual y social. En su primer aspecto, cu</w:t>
      </w:r>
      <w:r>
        <w:rPr>
          <w:rFonts w:ascii="Palatino Linotype" w:eastAsia="Palatino Linotype" w:hAnsi="Palatino Linotype" w:cs="Palatino Linotype"/>
          <w:i/>
          <w:color w:val="000000"/>
          <w:sz w:val="22"/>
          <w:szCs w:val="22"/>
        </w:rPr>
        <w:t xml:space="preserve">mple con la función de maximizar el campo de la autonomía personal, posibilitando el ejercicio de la libertad de expresión en un contexto de mayor diversidad de datos, voces y opiniones, mientras que en el segundo, brinda un derecho colectivo o social que </w:t>
      </w:r>
      <w:r>
        <w:rPr>
          <w:rFonts w:ascii="Palatino Linotype" w:eastAsia="Palatino Linotype" w:hAnsi="Palatino Linotype" w:cs="Palatino Linotype"/>
          <w:i/>
          <w:color w:val="000000"/>
          <w:sz w:val="22"/>
          <w:szCs w:val="22"/>
        </w:rPr>
        <w:t>tiende a revelar el empleo instrumental de la información no sólo como factor de autorrealización personal, sino como un mecanismo de control institucional, pues se trata de un derecho fundado en una de las características principales del gobierno republic</w:t>
      </w:r>
      <w:r>
        <w:rPr>
          <w:rFonts w:ascii="Palatino Linotype" w:eastAsia="Palatino Linotype" w:hAnsi="Palatino Linotype" w:cs="Palatino Linotype"/>
          <w:i/>
          <w:color w:val="000000"/>
          <w:sz w:val="22"/>
          <w:szCs w:val="22"/>
        </w:rPr>
        <w:t>ano, que es la publicidad de los actos de gobierno y la transparencia en el actuar de la administración, conducente y necesaria para la rendición de cuentas. Por ello, el principio de máxima publicidad incorporado en el texto constitucional, implica para c</w:t>
      </w:r>
      <w:r>
        <w:rPr>
          <w:rFonts w:ascii="Palatino Linotype" w:eastAsia="Palatino Linotype" w:hAnsi="Palatino Linotype" w:cs="Palatino Linotype"/>
          <w:i/>
          <w:color w:val="000000"/>
          <w:sz w:val="22"/>
          <w:szCs w:val="22"/>
        </w:rPr>
        <w:t>ualquier autoridad, realizar un manejo de la información bajo la premisa inicial que toda ella es pública y sólo por excepción, en los casos expresamente previstos en la legislación secundaria y justificados bajo determinadas circunstancias, se podrá clasi</w:t>
      </w:r>
      <w:r>
        <w:rPr>
          <w:rFonts w:ascii="Palatino Linotype" w:eastAsia="Palatino Linotype" w:hAnsi="Palatino Linotype" w:cs="Palatino Linotype"/>
          <w:i/>
          <w:color w:val="000000"/>
          <w:sz w:val="22"/>
          <w:szCs w:val="22"/>
        </w:rPr>
        <w:t>ficar como confidencial o reservada, esto es, considerarla con una calidad diversa.”</w:t>
      </w:r>
    </w:p>
    <w:p w14:paraId="7F0475BC"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9259CB7"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Tal y como se ha señalado, el derecho de acceso a la información se basa en permitir que la ciudadanía conozca de primera mano toda aquella información que se encuentra e</w:t>
      </w:r>
      <w:r>
        <w:rPr>
          <w:rFonts w:ascii="Palatino Linotype" w:eastAsia="Palatino Linotype" w:hAnsi="Palatino Linotype" w:cs="Palatino Linotype"/>
          <w:color w:val="000000"/>
        </w:rPr>
        <w:t xml:space="preserve">n posesión de los Sujetos Obligados, ya sea porque la genera, posee o administra; toda vez que, a través de dicha acción, </w:t>
      </w:r>
      <w:r>
        <w:rPr>
          <w:rFonts w:ascii="Palatino Linotype" w:eastAsia="Palatino Linotype" w:hAnsi="Palatino Linotype" w:cs="Palatino Linotype"/>
          <w:b/>
          <w:color w:val="000000"/>
        </w:rPr>
        <w:t>permite que las personas ejerzan un medio de control sobre las acciones que se están ejerciendo y evaluar su desempeño</w:t>
      </w:r>
      <w:r>
        <w:rPr>
          <w:rFonts w:ascii="Palatino Linotype" w:eastAsia="Palatino Linotype" w:hAnsi="Palatino Linotype" w:cs="Palatino Linotype"/>
          <w:color w:val="000000"/>
        </w:rPr>
        <w:t>.</w:t>
      </w:r>
    </w:p>
    <w:p w14:paraId="62F9F637"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A677EBD" w14:textId="77777777" w:rsidR="003A77CE" w:rsidRDefault="00D706B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bookmarkStart w:id="9" w:name="_heading=h.2s8eyo1" w:colFirst="0" w:colLast="0"/>
      <w:bookmarkEnd w:id="9"/>
      <w:r>
        <w:rPr>
          <w:rFonts w:ascii="Palatino Linotype" w:eastAsia="Palatino Linotype" w:hAnsi="Palatino Linotype" w:cs="Palatino Linotype"/>
          <w:b/>
          <w:color w:val="000000"/>
        </w:rPr>
        <w:t>III. De la at</w:t>
      </w:r>
      <w:r>
        <w:rPr>
          <w:rFonts w:ascii="Palatino Linotype" w:eastAsia="Palatino Linotype" w:hAnsi="Palatino Linotype" w:cs="Palatino Linotype"/>
          <w:b/>
          <w:color w:val="000000"/>
        </w:rPr>
        <w:t>ención a la solicitud de información.</w:t>
      </w:r>
    </w:p>
    <w:p w14:paraId="5F75DB92"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77551BF"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establecido lo anterior, de la lectura a la solicitud de información </w:t>
      </w:r>
      <w:r>
        <w:rPr>
          <w:rFonts w:ascii="Palatino Linotype" w:eastAsia="Palatino Linotype" w:hAnsi="Palatino Linotype" w:cs="Palatino Linotype"/>
          <w:b/>
          <w:color w:val="000000"/>
        </w:rPr>
        <w:t>00279/TENANCIN/IP/2021</w:t>
      </w:r>
      <w:r>
        <w:rPr>
          <w:rFonts w:ascii="Palatino Linotype" w:eastAsia="Palatino Linotype" w:hAnsi="Palatino Linotype" w:cs="Palatino Linotype"/>
          <w:color w:val="000000"/>
        </w:rPr>
        <w:t xml:space="preserve">, y como fuera señalado en el </w:t>
      </w:r>
      <w:r>
        <w:rPr>
          <w:rFonts w:ascii="Palatino Linotype" w:eastAsia="Palatino Linotype" w:hAnsi="Palatino Linotype" w:cs="Palatino Linotype"/>
          <w:i/>
          <w:color w:val="000000"/>
        </w:rPr>
        <w:t>Planteamiento de la Litis</w:t>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lastRenderedPageBreak/>
        <w:t xml:space="preserve">esta resolución, se advierte que el entonces </w:t>
      </w:r>
      <w:r>
        <w:rPr>
          <w:rFonts w:ascii="Palatino Linotype" w:eastAsia="Palatino Linotype" w:hAnsi="Palatino Linotype" w:cs="Palatino Linotype"/>
          <w:b/>
          <w:color w:val="000000"/>
        </w:rPr>
        <w:t>SOLICITANTE</w:t>
      </w:r>
      <w:r>
        <w:rPr>
          <w:rFonts w:ascii="Palatino Linotype" w:eastAsia="Palatino Linotype" w:hAnsi="Palatino Linotype" w:cs="Palatino Linotype"/>
          <w:color w:val="000000"/>
        </w:rPr>
        <w:t xml:space="preserve"> requirió acceder a la siguiente información:</w:t>
      </w:r>
    </w:p>
    <w:p w14:paraId="7ACDE0D4" w14:textId="77777777" w:rsidR="003A77CE" w:rsidRDefault="00D706BB">
      <w:pPr>
        <w:numPr>
          <w:ilvl w:val="1"/>
          <w:numId w:val="4"/>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Catálogo General de Puestos, desde el inicio de la presente administración a la fecha de la solicitud de información.</w:t>
      </w:r>
    </w:p>
    <w:p w14:paraId="47371A0E"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7EF5A70"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a la solicitud,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el oficio número MTM088/DA/761/2021, de quince (15) de septiembre de dos mil vein</w:t>
      </w:r>
      <w:r>
        <w:rPr>
          <w:rFonts w:ascii="Palatino Linotype" w:eastAsia="Palatino Linotype" w:hAnsi="Palatino Linotype" w:cs="Palatino Linotype"/>
          <w:color w:val="000000"/>
        </w:rPr>
        <w:t>tiuno, emitido por el Director de Administración, y cuyo contenido elemental se transcribe a continuación:</w:t>
      </w:r>
    </w:p>
    <w:p w14:paraId="246D3BE1"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D9EDB44"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“Al respecto me permito informar a usted que la Subdirección de Recursos Humanos perteneciente a esta Dirección se encuentra trabajando en la elaboración del catálogo de puestos.”</w:t>
      </w:r>
      <w:r>
        <w:rPr>
          <w:rFonts w:ascii="Palatino Linotype" w:eastAsia="Palatino Linotype" w:hAnsi="Palatino Linotype" w:cs="Palatino Linotype"/>
          <w:color w:val="000000"/>
          <w:sz w:val="22"/>
          <w:szCs w:val="22"/>
        </w:rPr>
        <w:t xml:space="preserve"> (Sic)</w:t>
      </w:r>
    </w:p>
    <w:p w14:paraId="224E7FD8"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88B4787"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tal manera que la Dirección de Administración reconoció al catálogo de Puestos como una de las atribuciones conferidas a la Subdirección de Recursos Humanos; asimismo, indicó que el documento de mérito se encontraba en elaboración.</w:t>
      </w:r>
    </w:p>
    <w:p w14:paraId="5243D983"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FFC5DC5"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tod</w:t>
      </w:r>
      <w:r>
        <w:rPr>
          <w:rFonts w:ascii="Palatino Linotype" w:eastAsia="Palatino Linotype" w:hAnsi="Palatino Linotype" w:cs="Palatino Linotype"/>
          <w:color w:val="000000"/>
        </w:rPr>
        <w:t xml:space="preserve">a vez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pronunció respecto de la información solicitada, resultaría conveniente obviar el análisis de competencia del Ayuntamiento de Tenancingo para generar, administrar o poseer la misma, dado que éste asumió la competencia median</w:t>
      </w:r>
      <w:r>
        <w:rPr>
          <w:rFonts w:ascii="Palatino Linotype" w:eastAsia="Palatino Linotype" w:hAnsi="Palatino Linotype" w:cs="Palatino Linotype"/>
          <w:color w:val="000000"/>
        </w:rPr>
        <w:t>te su respuesta a la solicitud de información.</w:t>
      </w:r>
    </w:p>
    <w:p w14:paraId="5FA6069C"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F5889C7"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Lo anterior encuentra lógica toda vez que el estudio de la naturaleza jurídica de la información pública solicitada tiene por objeto determinar si ésta la genera, posee o administra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empero</w:t>
      </w:r>
      <w:r>
        <w:rPr>
          <w:rFonts w:ascii="Palatino Linotype" w:eastAsia="Palatino Linotype" w:hAnsi="Palatino Linotype" w:cs="Palatino Linotype"/>
          <w:color w:val="000000"/>
        </w:rPr>
        <w:t xml:space="preserve">, en aquellos casos en que éste la asume, implica </w:t>
      </w:r>
      <w:r>
        <w:rPr>
          <w:rFonts w:ascii="Palatino Linotype" w:eastAsia="Palatino Linotype" w:hAnsi="Palatino Linotype" w:cs="Palatino Linotype"/>
          <w:i/>
          <w:color w:val="000000"/>
        </w:rPr>
        <w:t>de facto</w:t>
      </w:r>
      <w:r>
        <w:rPr>
          <w:rFonts w:ascii="Palatino Linotype" w:eastAsia="Palatino Linotype" w:hAnsi="Palatino Linotype" w:cs="Palatino Linotype"/>
          <w:color w:val="000000"/>
        </w:rPr>
        <w:t xml:space="preserve"> que la genera, posee o administra. Por consiguiente, a nada práctico nos conduciría su estudio, ya que, se insiste, la información pública solicitada, consistente en el catálogo de Puestos, ha sido</w:t>
      </w:r>
      <w:r>
        <w:rPr>
          <w:rFonts w:ascii="Palatino Linotype" w:eastAsia="Palatino Linotype" w:hAnsi="Palatino Linotype" w:cs="Palatino Linotype"/>
          <w:color w:val="000000"/>
        </w:rPr>
        <w:t xml:space="preserve"> asumida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14:paraId="02AA81D8"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243FA55"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particular impugnó la respuesta otorgada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mediante el recurso de revisión con número indicado al rubro, en el que señaló por agravios, lo siguiente:</w:t>
      </w:r>
    </w:p>
    <w:p w14:paraId="64E777EE" w14:textId="77777777" w:rsidR="003A77CE" w:rsidRDefault="00D706BB">
      <w:pPr>
        <w:numPr>
          <w:ilvl w:val="1"/>
          <w:numId w:val="4"/>
        </w:numPr>
        <w:pBdr>
          <w:top w:val="nil"/>
          <w:left w:val="nil"/>
          <w:bottom w:val="nil"/>
          <w:right w:val="nil"/>
          <w:between w:val="nil"/>
        </w:pBdr>
        <w:tabs>
          <w:tab w:val="left" w:pos="426"/>
        </w:tabs>
        <w:spacing w:line="360" w:lineRule="auto"/>
        <w:ind w:left="993"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adjuntó la información solicitada.</w:t>
      </w:r>
    </w:p>
    <w:p w14:paraId="1EF0C945"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6660D72"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una vez admitido el recurso del que se trata, en vía de informe justific</w:t>
      </w:r>
      <w:r>
        <w:rPr>
          <w:rFonts w:ascii="Palatino Linotype" w:eastAsia="Palatino Linotype" w:hAnsi="Palatino Linotype" w:cs="Palatino Linotype"/>
          <w:color w:val="000000"/>
        </w:rPr>
        <w:t xml:space="preserve">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presentó el oficio número MTM088/DA/RH/0818/2021, de seis (06) de octubre de dos mil veintiuno, signado por el Director de Administración, por medio del cual, reiteró su respuesta inicial y manifestó, nuevamente, que la Subdirección</w:t>
      </w:r>
      <w:r>
        <w:rPr>
          <w:rFonts w:ascii="Palatino Linotype" w:eastAsia="Palatino Linotype" w:hAnsi="Palatino Linotype" w:cs="Palatino Linotype"/>
          <w:color w:val="000000"/>
        </w:rPr>
        <w:t xml:space="preserve"> de Recursos Humanos estaba trabajando en la elaboración del catálogo de Puestos.</w:t>
      </w:r>
    </w:p>
    <w:p w14:paraId="641E9CCA"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571CB13"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Derivado de lo anterior, se procede a analizar la naturaleza jurídica que engloba al catálogo de Puestos solicitado, a fin de establecer su objeto, función y, más importante</w:t>
      </w:r>
      <w:r>
        <w:rPr>
          <w:rFonts w:ascii="Palatino Linotype" w:eastAsia="Palatino Linotype" w:hAnsi="Palatino Linotype" w:cs="Palatino Linotype"/>
          <w:color w:val="000000"/>
        </w:rPr>
        <w:t xml:space="preserve"> aún, la fecha de su publicación.</w:t>
      </w:r>
    </w:p>
    <w:p w14:paraId="79885BA2"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F305DD8" w14:textId="77777777" w:rsidR="003A77CE" w:rsidRDefault="00D706B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bookmarkStart w:id="10" w:name="_heading=h.17dp8vu" w:colFirst="0" w:colLast="0"/>
      <w:bookmarkEnd w:id="10"/>
      <w:r>
        <w:rPr>
          <w:rFonts w:ascii="Palatino Linotype" w:eastAsia="Palatino Linotype" w:hAnsi="Palatino Linotype" w:cs="Palatino Linotype"/>
          <w:b/>
          <w:color w:val="000000"/>
        </w:rPr>
        <w:lastRenderedPageBreak/>
        <w:t>IV. Del catálogo de Puestos.</w:t>
      </w:r>
    </w:p>
    <w:p w14:paraId="7D8D1B61"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9605871"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Ley del Trabajo de los Servidores Públicos del Estado y Municipios, en su artículo 1, señala que es de orden público e interés social y tiene por objeto regular las relaciones de trabajo, comprendidas entre los poderes públicos del Estado y los Municipi</w:t>
      </w:r>
      <w:r>
        <w:rPr>
          <w:rFonts w:ascii="Palatino Linotype" w:eastAsia="Palatino Linotype" w:hAnsi="Palatino Linotype" w:cs="Palatino Linotype"/>
          <w:color w:val="000000"/>
        </w:rPr>
        <w:t xml:space="preserve">os y sus respectivos servidores públicos; por ende, serán sujetos de la Ley, los </w:t>
      </w:r>
      <w:proofErr w:type="gramStart"/>
      <w:r>
        <w:rPr>
          <w:rFonts w:ascii="Palatino Linotype" w:eastAsia="Palatino Linotype" w:hAnsi="Palatino Linotype" w:cs="Palatino Linotype"/>
          <w:color w:val="000000"/>
        </w:rPr>
        <w:t>servidores públicos y las instituciones públicas</w:t>
      </w:r>
      <w:proofErr w:type="gramEnd"/>
      <w:r>
        <w:rPr>
          <w:rFonts w:ascii="Palatino Linotype" w:eastAsia="Palatino Linotype" w:hAnsi="Palatino Linotype" w:cs="Palatino Linotype"/>
          <w:color w:val="000000"/>
        </w:rPr>
        <w:t xml:space="preserve"> del Estado de México</w:t>
      </w:r>
      <w:r>
        <w:rPr>
          <w:rFonts w:ascii="Palatino Linotype" w:eastAsia="Palatino Linotype" w:hAnsi="Palatino Linotype" w:cs="Palatino Linotype"/>
          <w:color w:val="000000"/>
          <w:vertAlign w:val="superscript"/>
        </w:rPr>
        <w:footnoteReference w:id="8"/>
      </w:r>
      <w:r>
        <w:rPr>
          <w:rFonts w:ascii="Palatino Linotype" w:eastAsia="Palatino Linotype" w:hAnsi="Palatino Linotype" w:cs="Palatino Linotype"/>
          <w:color w:val="000000"/>
        </w:rPr>
        <w:t>.</w:t>
      </w:r>
    </w:p>
    <w:p w14:paraId="702DB8CC"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5174A78"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Siendo de especial interés lo dispuesto por el Título Cuarto de la Ley en comento, pues en su artículo 98 establece las obligaciones de las instituciones públicas, entre las que destaca:</w:t>
      </w:r>
    </w:p>
    <w:p w14:paraId="0990A7DA"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D8409E6"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98.</w:t>
      </w:r>
      <w:r>
        <w:rPr>
          <w:rFonts w:ascii="Palatino Linotype" w:eastAsia="Palatino Linotype" w:hAnsi="Palatino Linotype" w:cs="Palatino Linotype"/>
          <w:i/>
          <w:color w:val="000000"/>
          <w:sz w:val="22"/>
          <w:szCs w:val="22"/>
        </w:rPr>
        <w:t xml:space="preserve"> Son obligaciones de las instituciones públicas:</w:t>
      </w:r>
    </w:p>
    <w:p w14:paraId="1D7C7CC5"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BCB5E98"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XV.</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Elaborar un catálogo general de puestos</w:t>
      </w:r>
      <w:r>
        <w:rPr>
          <w:rFonts w:ascii="Palatino Linotype" w:eastAsia="Palatino Linotype" w:hAnsi="Palatino Linotype" w:cs="Palatino Linotype"/>
          <w:i/>
          <w:color w:val="000000"/>
          <w:sz w:val="22"/>
          <w:szCs w:val="22"/>
        </w:rPr>
        <w:t xml:space="preserve"> y un tabulador anual de remuneraciones, tomando en consideración los objetivos de las instituciones públicas, las funciones, actividades y tareas de los servidores públicos, así como la cantidad, calidad y respon</w:t>
      </w:r>
      <w:r>
        <w:rPr>
          <w:rFonts w:ascii="Palatino Linotype" w:eastAsia="Palatino Linotype" w:hAnsi="Palatino Linotype" w:cs="Palatino Linotype"/>
          <w:i/>
          <w:color w:val="000000"/>
          <w:sz w:val="22"/>
          <w:szCs w:val="22"/>
        </w:rPr>
        <w:t>sabilidad del trabajo; el tabulador deberá respetar las medidas de protección al salario establecidas en la presente ley;</w:t>
      </w:r>
    </w:p>
    <w:p w14:paraId="53F8BC91"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0866EE3B"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6FCE01F5"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D2DFA81"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Más adelante, la Ley del Trabajo de los Servidores Públicos del Estado y Municipios refiere que las instituciones públicas deberán establecer un sistema de profesionalización que permita el ingreso al servicio a los aspirantes más calificados, y garantice </w:t>
      </w:r>
      <w:r>
        <w:rPr>
          <w:rFonts w:ascii="Palatino Linotype" w:eastAsia="Palatino Linotype" w:hAnsi="Palatino Linotype" w:cs="Palatino Linotype"/>
          <w:color w:val="000000"/>
        </w:rPr>
        <w:t xml:space="preserve">la estabilidad y movilidad laborales de los servidores públicos conforme </w:t>
      </w:r>
      <w:r>
        <w:rPr>
          <w:rFonts w:ascii="Palatino Linotype" w:eastAsia="Palatino Linotype" w:hAnsi="Palatino Linotype" w:cs="Palatino Linotype"/>
          <w:color w:val="000000"/>
        </w:rPr>
        <w:lastRenderedPageBreak/>
        <w:t>a su desarrollo profesional y a sus méritos en el servicio</w:t>
      </w:r>
      <w:r>
        <w:rPr>
          <w:rFonts w:ascii="Palatino Linotype" w:eastAsia="Palatino Linotype" w:hAnsi="Palatino Linotype" w:cs="Palatino Linotype"/>
          <w:color w:val="000000"/>
          <w:vertAlign w:val="superscript"/>
        </w:rPr>
        <w:footnoteReference w:id="9"/>
      </w:r>
      <w:r>
        <w:rPr>
          <w:rFonts w:ascii="Palatino Linotype" w:eastAsia="Palatino Linotype" w:hAnsi="Palatino Linotype" w:cs="Palatino Linotype"/>
          <w:color w:val="000000"/>
        </w:rPr>
        <w:t>. Respecto de los sistemas de profesionalización que establezcan las instituciones públicas deberán conformarse, entre otro</w:t>
      </w:r>
      <w:r>
        <w:rPr>
          <w:rFonts w:ascii="Palatino Linotype" w:eastAsia="Palatino Linotype" w:hAnsi="Palatino Linotype" w:cs="Palatino Linotype"/>
          <w:color w:val="000000"/>
        </w:rPr>
        <w:t>s, de lo siguiente</w:t>
      </w:r>
      <w:r>
        <w:rPr>
          <w:rFonts w:ascii="Palatino Linotype" w:eastAsia="Palatino Linotype" w:hAnsi="Palatino Linotype" w:cs="Palatino Linotype"/>
          <w:color w:val="000000"/>
          <w:vertAlign w:val="superscript"/>
        </w:rPr>
        <w:footnoteReference w:id="10"/>
      </w:r>
      <w:r>
        <w:rPr>
          <w:rFonts w:ascii="Palatino Linotype" w:eastAsia="Palatino Linotype" w:hAnsi="Palatino Linotype" w:cs="Palatino Linotype"/>
          <w:color w:val="000000"/>
        </w:rPr>
        <w:t>:</w:t>
      </w:r>
    </w:p>
    <w:p w14:paraId="77F01348" w14:textId="77777777" w:rsidR="003A77CE" w:rsidRDefault="00D706BB">
      <w:pPr>
        <w:numPr>
          <w:ilvl w:val="1"/>
          <w:numId w:val="4"/>
        </w:numPr>
        <w:pBdr>
          <w:top w:val="nil"/>
          <w:left w:val="nil"/>
          <w:bottom w:val="nil"/>
          <w:right w:val="nil"/>
          <w:between w:val="nil"/>
        </w:pBdr>
        <w:tabs>
          <w:tab w:val="left" w:pos="426"/>
        </w:tabs>
        <w:spacing w:line="360" w:lineRule="auto"/>
        <w:ind w:left="993"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Definición de un </w:t>
      </w:r>
      <w:r>
        <w:rPr>
          <w:rFonts w:ascii="Palatino Linotype" w:eastAsia="Palatino Linotype" w:hAnsi="Palatino Linotype" w:cs="Palatino Linotype"/>
          <w:b/>
          <w:color w:val="000000"/>
        </w:rPr>
        <w:t>catálogo de puestos</w:t>
      </w:r>
      <w:r>
        <w:rPr>
          <w:rFonts w:ascii="Palatino Linotype" w:eastAsia="Palatino Linotype" w:hAnsi="Palatino Linotype" w:cs="Palatino Linotype"/>
          <w:color w:val="000000"/>
        </w:rPr>
        <w:t xml:space="preserve"> por institución pública o dependencia que deberá contener el perfil de cada uno de los existentes, los requisitos necesarios para desempeñarlos y el nivel salarial y escalafonario que les corresponde.</w:t>
      </w:r>
    </w:p>
    <w:p w14:paraId="5020AAFD"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04C933D"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guisa, podemos definir al </w:t>
      </w:r>
      <w:r>
        <w:rPr>
          <w:rFonts w:ascii="Palatino Linotype" w:eastAsia="Palatino Linotype" w:hAnsi="Palatino Linotype" w:cs="Palatino Linotype"/>
          <w:b/>
          <w:color w:val="000000"/>
        </w:rPr>
        <w:t>catálogo de puestos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como el instrumento de control eficaz que permite enlistar e identificar todos y cada uno de los puestos de trabajo que existen en la administración pública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el cual debe mostrar el perfil de cada uno, los requisitos para desempeñarlos,</w:t>
      </w:r>
      <w:r>
        <w:rPr>
          <w:rFonts w:ascii="Palatino Linotype" w:eastAsia="Palatino Linotype" w:hAnsi="Palatino Linotype" w:cs="Palatino Linotype"/>
          <w:color w:val="000000"/>
        </w:rPr>
        <w:t xml:space="preserve"> así como las funciones y actividades encomendadas.</w:t>
      </w:r>
    </w:p>
    <w:p w14:paraId="64B95124"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46AC4F2"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es ocioso recordar que el Director de Administración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respuesta y posterior informe justificado, manifestó que el </w:t>
      </w:r>
      <w:r>
        <w:rPr>
          <w:rFonts w:ascii="Palatino Linotype" w:eastAsia="Palatino Linotype" w:hAnsi="Palatino Linotype" w:cs="Palatino Linotype"/>
          <w:b/>
          <w:color w:val="000000"/>
        </w:rPr>
        <w:t>catálogo de puestos</w:t>
      </w:r>
      <w:r>
        <w:rPr>
          <w:rFonts w:ascii="Palatino Linotype" w:eastAsia="Palatino Linotype" w:hAnsi="Palatino Linotype" w:cs="Palatino Linotype"/>
          <w:color w:val="000000"/>
        </w:rPr>
        <w:t xml:space="preserve"> se encontraba siendo elaborado por la Subdi</w:t>
      </w:r>
      <w:r>
        <w:rPr>
          <w:rFonts w:ascii="Palatino Linotype" w:eastAsia="Palatino Linotype" w:hAnsi="Palatino Linotype" w:cs="Palatino Linotype"/>
          <w:color w:val="000000"/>
        </w:rPr>
        <w:t xml:space="preserve">rección de Recursos Humanos; la cual debe señalarse que de conformidad con lo dispuesto por el artículo 3.47 del Código Reglamentario para el Municipio de Tenancingo, la Coordinación (o Subdirección) de Recursos Humanos, tendrá entre sus atribuciones, las </w:t>
      </w:r>
      <w:r>
        <w:rPr>
          <w:rFonts w:ascii="Palatino Linotype" w:eastAsia="Palatino Linotype" w:hAnsi="Palatino Linotype" w:cs="Palatino Linotype"/>
          <w:color w:val="000000"/>
        </w:rPr>
        <w:t>siguientes:</w:t>
      </w:r>
    </w:p>
    <w:p w14:paraId="7F123CD8"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9B52EDD"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3.47.-</w:t>
      </w:r>
      <w:r>
        <w:rPr>
          <w:rFonts w:ascii="Palatino Linotype" w:eastAsia="Palatino Linotype" w:hAnsi="Palatino Linotype" w:cs="Palatino Linotype"/>
          <w:i/>
          <w:color w:val="000000"/>
          <w:sz w:val="22"/>
          <w:szCs w:val="22"/>
        </w:rPr>
        <w:t xml:space="preserve"> El titular de Recursos Humanos cuenta con las siguientes atribuciones: </w:t>
      </w:r>
    </w:p>
    <w:p w14:paraId="36D3D2FD"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 Elaborar mecanismos de control para la selección, contratación, inducción, rotación y promoción del personal</w:t>
      </w:r>
      <w:r>
        <w:rPr>
          <w:rFonts w:ascii="Palatino Linotype" w:eastAsia="Palatino Linotype" w:hAnsi="Palatino Linotype" w:cs="Palatino Linotype"/>
          <w:i/>
          <w:color w:val="000000"/>
          <w:sz w:val="22"/>
          <w:szCs w:val="22"/>
        </w:rPr>
        <w:t xml:space="preserve"> al servicio del Ayuntamiento;</w:t>
      </w:r>
    </w:p>
    <w:p w14:paraId="775213BE"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 Analizar y vigilar que se cumplan las disposiciones en materia de trabajo</w:t>
      </w:r>
      <w:r>
        <w:rPr>
          <w:rFonts w:ascii="Palatino Linotype" w:eastAsia="Palatino Linotype" w:hAnsi="Palatino Linotype" w:cs="Palatino Linotype"/>
          <w:i/>
          <w:color w:val="000000"/>
          <w:sz w:val="22"/>
          <w:szCs w:val="22"/>
        </w:rPr>
        <w:t>, seguridad e higiene, así como las d</w:t>
      </w:r>
      <w:r>
        <w:rPr>
          <w:rFonts w:ascii="Palatino Linotype" w:eastAsia="Palatino Linotype" w:hAnsi="Palatino Linotype" w:cs="Palatino Linotype"/>
          <w:i/>
          <w:color w:val="000000"/>
          <w:sz w:val="22"/>
          <w:szCs w:val="22"/>
        </w:rPr>
        <w:t xml:space="preserve">emás normas vigentes en la institución, respecto de los derechos y obligaciones del personal; </w:t>
      </w:r>
    </w:p>
    <w:p w14:paraId="22CC4614"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III. Aplicar las disposiciones legales laborales</w:t>
      </w:r>
      <w:r>
        <w:rPr>
          <w:rFonts w:ascii="Palatino Linotype" w:eastAsia="Palatino Linotype" w:hAnsi="Palatino Linotype" w:cs="Palatino Linotype"/>
          <w:i/>
          <w:color w:val="000000"/>
          <w:sz w:val="22"/>
          <w:szCs w:val="22"/>
        </w:rPr>
        <w:t xml:space="preserve"> que rigen al personal del Ayuntamiento;</w:t>
      </w:r>
    </w:p>
    <w:p w14:paraId="11A93008"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22A45051"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14A9E9C0"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57938AD"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este Órgano Garante advierte que,</w:t>
      </w:r>
      <w:r>
        <w:rPr>
          <w:rFonts w:ascii="Palatino Linotype" w:eastAsia="Palatino Linotype" w:hAnsi="Palatino Linotype" w:cs="Palatino Linotype"/>
          <w:color w:val="000000"/>
        </w:rPr>
        <w:t xml:space="preserve"> efectivamente, es una responsabilidad directa de la Coordinación (o Subdirección) de Recursos Humanos el elaborar mecanismos de control del personal adscrito al Ayuntamiento de Tenancingo, tales como el </w:t>
      </w:r>
      <w:r>
        <w:rPr>
          <w:rFonts w:ascii="Palatino Linotype" w:eastAsia="Palatino Linotype" w:hAnsi="Palatino Linotype" w:cs="Palatino Linotype"/>
          <w:b/>
          <w:color w:val="000000"/>
        </w:rPr>
        <w:t>catálogo de puestos</w:t>
      </w:r>
      <w:r>
        <w:rPr>
          <w:rFonts w:ascii="Palatino Linotype" w:eastAsia="Palatino Linotype" w:hAnsi="Palatino Linotype" w:cs="Palatino Linotype"/>
          <w:color w:val="000000"/>
        </w:rPr>
        <w:t>, así como dar cumplimiento a las disposiciones legales establecidas en materia laboral, como lo es la elaboración del instrumento en comento.</w:t>
      </w:r>
    </w:p>
    <w:p w14:paraId="26801B18"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B9C1DD2"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Dicho lo anterior, a modo meramente orientativo, conviene señalar que el Manual de Normas y Procedimientos de Desarrollo y Administración de Personal, el cual regula a las dependencias que conforman la administración pública estatal, establece que </w:t>
      </w:r>
      <w:r>
        <w:rPr>
          <w:rFonts w:ascii="Palatino Linotype" w:eastAsia="Palatino Linotype" w:hAnsi="Palatino Linotype" w:cs="Palatino Linotype"/>
          <w:b/>
          <w:color w:val="000000"/>
        </w:rPr>
        <w:t>el catál</w:t>
      </w:r>
      <w:r>
        <w:rPr>
          <w:rFonts w:ascii="Palatino Linotype" w:eastAsia="Palatino Linotype" w:hAnsi="Palatino Linotype" w:cs="Palatino Linotype"/>
          <w:b/>
          <w:color w:val="000000"/>
        </w:rPr>
        <w:t>ogo de puestos es un elemento dinámico, que debe acompañar los cambios producidos por nuevas tecnologías o responsabilidades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Algunos puestos pueden desaparecer, otros modificarse en su descripción o valuación, algunos más crearse porque así lo exigen nuev</w:t>
      </w:r>
      <w:r>
        <w:rPr>
          <w:rFonts w:ascii="Palatino Linotype" w:eastAsia="Palatino Linotype" w:hAnsi="Palatino Linotype" w:cs="Palatino Linotype"/>
          <w:color w:val="000000"/>
        </w:rPr>
        <w:t>as condiciones</w:t>
      </w:r>
      <w:r>
        <w:rPr>
          <w:rFonts w:ascii="Palatino Linotype" w:eastAsia="Palatino Linotype" w:hAnsi="Palatino Linotype" w:cs="Palatino Linotype"/>
          <w:color w:val="000000"/>
          <w:vertAlign w:val="superscript"/>
        </w:rPr>
        <w:footnoteReference w:id="11"/>
      </w:r>
      <w:r>
        <w:rPr>
          <w:rFonts w:ascii="Palatino Linotype" w:eastAsia="Palatino Linotype" w:hAnsi="Palatino Linotype" w:cs="Palatino Linotype"/>
          <w:color w:val="000000"/>
        </w:rPr>
        <w:t>.</w:t>
      </w:r>
    </w:p>
    <w:p w14:paraId="4F30BA4F"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B684B4F"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Amén de lo anterior, </w:t>
      </w:r>
      <w:r>
        <w:rPr>
          <w:rFonts w:ascii="Palatino Linotype" w:eastAsia="Palatino Linotype" w:hAnsi="Palatino Linotype" w:cs="Palatino Linotype"/>
          <w:b/>
          <w:color w:val="000000"/>
        </w:rPr>
        <w:t>no ha lugar a considerar que el Ayuntamiento de Tenancingo no cuente con un catálogo de puestos</w:t>
      </w:r>
      <w:r>
        <w:rPr>
          <w:rFonts w:ascii="Palatino Linotype" w:eastAsia="Palatino Linotype" w:hAnsi="Palatino Linotype" w:cs="Palatino Linotype"/>
          <w:color w:val="000000"/>
        </w:rPr>
        <w:t xml:space="preserve"> previo al ejercicio de elaboración que, a dicho del Director de Administración, se encuentra realizando la Subdirección </w:t>
      </w:r>
      <w:r>
        <w:rPr>
          <w:rFonts w:ascii="Palatino Linotype" w:eastAsia="Palatino Linotype" w:hAnsi="Palatino Linotype" w:cs="Palatino Linotype"/>
          <w:color w:val="000000"/>
        </w:rPr>
        <w:t xml:space="preserve">de Recursos Humanos; ya que, en dado caso, debería encontrarse </w:t>
      </w:r>
      <w:r>
        <w:rPr>
          <w:rFonts w:ascii="Palatino Linotype" w:eastAsia="Palatino Linotype" w:hAnsi="Palatino Linotype" w:cs="Palatino Linotype"/>
          <w:b/>
          <w:color w:val="000000"/>
        </w:rPr>
        <w:t>actualizando</w:t>
      </w:r>
      <w:r>
        <w:rPr>
          <w:rFonts w:ascii="Palatino Linotype" w:eastAsia="Palatino Linotype" w:hAnsi="Palatino Linotype" w:cs="Palatino Linotype"/>
          <w:color w:val="000000"/>
        </w:rPr>
        <w:t xml:space="preserve"> los puestos, descripción, funciones y actividades de cada uno de los cargos, empleos y/o comisiones considerados dentro de la administración pública municipal.</w:t>
      </w:r>
    </w:p>
    <w:p w14:paraId="0B1DCAAD"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0F51270"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es i</w:t>
      </w:r>
      <w:r>
        <w:rPr>
          <w:rFonts w:ascii="Palatino Linotype" w:eastAsia="Palatino Linotype" w:hAnsi="Palatino Linotype" w:cs="Palatino Linotype"/>
          <w:color w:val="000000"/>
        </w:rPr>
        <w:t xml:space="preserve">mperativo señalar que la información solicitada se relaciona con una de las obligaciones de transparencia común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está constreñido a publicar y difundir, de manera permanente y actualizada, a la ciudadanía; ello de acuerdo con lo estab</w:t>
      </w:r>
      <w:r>
        <w:rPr>
          <w:rFonts w:ascii="Palatino Linotype" w:eastAsia="Palatino Linotype" w:hAnsi="Palatino Linotype" w:cs="Palatino Linotype"/>
          <w:color w:val="000000"/>
        </w:rPr>
        <w:t>lecido por la fracción XII del numeral 92 de la Ley de Transparencia y Acceso a la Información Pública del Estado de México y Municipios, y que se transcribe a continuación:</w:t>
      </w:r>
    </w:p>
    <w:p w14:paraId="24D10005"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0FA958A"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92.</w:t>
      </w:r>
      <w:r>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w:t>
      </w:r>
      <w:r>
        <w:rPr>
          <w:rFonts w:ascii="Palatino Linotype" w:eastAsia="Palatino Linotype" w:hAnsi="Palatino Linotype" w:cs="Palatino Linotype"/>
          <w:i/>
          <w:color w:val="000000"/>
          <w:sz w:val="22"/>
          <w:szCs w:val="22"/>
        </w:rPr>
        <w:t xml:space="preserve"> corresponda, la información, por lo menos, de los temas, documentos y políticas que a continuación se señalan:</w:t>
      </w:r>
    </w:p>
    <w:p w14:paraId="28477AD1"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93F79CB"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XII.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perfil de los puestos de los servidores públicos</w:t>
      </w:r>
      <w:r>
        <w:rPr>
          <w:rFonts w:ascii="Palatino Linotype" w:eastAsia="Palatino Linotype" w:hAnsi="Palatino Linotype" w:cs="Palatino Linotype"/>
          <w:i/>
          <w:color w:val="000000"/>
          <w:sz w:val="22"/>
          <w:szCs w:val="22"/>
        </w:rPr>
        <w:t xml:space="preserve"> a su servicio en los casos que aplique;</w:t>
      </w:r>
    </w:p>
    <w:p w14:paraId="73304C3A"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1EE94FBF"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77A523D5"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55C8D3B"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anterior, es</w:t>
      </w:r>
      <w:r>
        <w:rPr>
          <w:rFonts w:ascii="Palatino Linotype" w:eastAsia="Palatino Linotype" w:hAnsi="Palatino Linotype" w:cs="Palatino Linotype"/>
          <w:color w:val="000000"/>
        </w:rPr>
        <w:t>ta Ponencia Resolutora realizó un ejercicio de investigación en el portal de Información Pública de Oficio Mexiquense (IPOMEX) del Ayuntamiento de Tenancingo</w:t>
      </w:r>
      <w:r>
        <w:rPr>
          <w:rFonts w:ascii="Palatino Linotype" w:eastAsia="Palatino Linotype" w:hAnsi="Palatino Linotype" w:cs="Palatino Linotype"/>
          <w:color w:val="000000"/>
          <w:vertAlign w:val="superscript"/>
        </w:rPr>
        <w:footnoteReference w:id="12"/>
      </w:r>
      <w:r>
        <w:rPr>
          <w:rFonts w:ascii="Palatino Linotype" w:eastAsia="Palatino Linotype" w:hAnsi="Palatino Linotype" w:cs="Palatino Linotype"/>
          <w:color w:val="000000"/>
        </w:rPr>
        <w:t xml:space="preserve">, a efecto de identificar la información publicada relacionada con el </w:t>
      </w:r>
      <w:r>
        <w:rPr>
          <w:rFonts w:ascii="Palatino Linotype" w:eastAsia="Palatino Linotype" w:hAnsi="Palatino Linotype" w:cs="Palatino Linotype"/>
          <w:i/>
          <w:color w:val="000000"/>
        </w:rPr>
        <w:t>Perfil de los puestos de los servidores públicos</w:t>
      </w:r>
      <w:r>
        <w:rPr>
          <w:rFonts w:ascii="Palatino Linotype" w:eastAsia="Palatino Linotype" w:hAnsi="Palatino Linotype" w:cs="Palatino Linotype"/>
          <w:i/>
          <w:color w:val="000000"/>
          <w:vertAlign w:val="superscript"/>
        </w:rPr>
        <w:footnoteReference w:id="13"/>
      </w:r>
      <w:r>
        <w:rPr>
          <w:rFonts w:ascii="Palatino Linotype" w:eastAsia="Palatino Linotype" w:hAnsi="Palatino Linotype" w:cs="Palatino Linotype"/>
          <w:color w:val="000000"/>
        </w:rPr>
        <w:t xml:space="preserve">, donde se encontró que, para los registros publicados en los ejercicios </w:t>
      </w:r>
      <w:r>
        <w:rPr>
          <w:rFonts w:ascii="Palatino Linotype" w:eastAsia="Palatino Linotype" w:hAnsi="Palatino Linotype" w:cs="Palatino Linotype"/>
          <w:b/>
          <w:color w:val="000000"/>
        </w:rPr>
        <w:t>dos mil veinte</w:t>
      </w:r>
      <w:r>
        <w:rPr>
          <w:rFonts w:ascii="Palatino Linotype" w:eastAsia="Palatino Linotype" w:hAnsi="Palatino Linotype" w:cs="Palatino Linotype"/>
          <w:b/>
          <w:color w:val="000000"/>
          <w:vertAlign w:val="superscript"/>
        </w:rPr>
        <w:footnoteReference w:id="14"/>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dos mil veintiuno</w:t>
      </w:r>
      <w:r>
        <w:rPr>
          <w:rFonts w:ascii="Palatino Linotype" w:eastAsia="Palatino Linotype" w:hAnsi="Palatino Linotype" w:cs="Palatino Linotype"/>
          <w:b/>
          <w:color w:val="000000"/>
          <w:vertAlign w:val="superscript"/>
        </w:rPr>
        <w:footnoteReference w:id="15"/>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difundió ninguna información relacionada con la obligación de transparencia de mérito, pues utiliza los registros para ún</w:t>
      </w:r>
      <w:r>
        <w:rPr>
          <w:rFonts w:ascii="Palatino Linotype" w:eastAsia="Palatino Linotype" w:hAnsi="Palatino Linotype" w:cs="Palatino Linotype"/>
          <w:color w:val="000000"/>
        </w:rPr>
        <w:t>icamente anexar hipervínculos que conducen a la consulta de la Ley Orgánica Municipal del Estado de México. Se adjuntan capturas de imagen que muestran lo anterior para efectos referenciativos:</w:t>
      </w:r>
    </w:p>
    <w:p w14:paraId="1AA2C4D0" w14:textId="77777777" w:rsidR="003A77CE" w:rsidRDefault="00D706B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noProof/>
        </w:rPr>
        <mc:AlternateContent>
          <mc:Choice Requires="wpg">
            <w:drawing>
              <wp:anchor distT="0" distB="0" distL="114300" distR="114300" simplePos="0" relativeHeight="251658240" behindDoc="0" locked="0" layoutInCell="1" hidden="0" allowOverlap="1" wp14:anchorId="03AE2FC2" wp14:editId="4C6AC4F2">
                <wp:simplePos x="0" y="0"/>
                <wp:positionH relativeFrom="column">
                  <wp:posOffset>101601</wp:posOffset>
                </wp:positionH>
                <wp:positionV relativeFrom="paragraph">
                  <wp:posOffset>38100</wp:posOffset>
                </wp:positionV>
                <wp:extent cx="5526396" cy="2523500"/>
                <wp:effectExtent l="0" t="0" r="0" b="0"/>
                <wp:wrapNone/>
                <wp:docPr id="4" name=""/>
                <wp:cNvGraphicFramePr/>
                <a:graphic xmlns:a="http://schemas.openxmlformats.org/drawingml/2006/main">
                  <a:graphicData uri="http://schemas.microsoft.com/office/word/2010/wordprocessingShape">
                    <wps:wsp>
                      <wps:cNvCnPr/>
                      <wps:spPr>
                        <a:xfrm rot="10800000" flipH="1">
                          <a:off x="2589152" y="2524600"/>
                          <a:ext cx="5513696" cy="251080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38100</wp:posOffset>
                </wp:positionV>
                <wp:extent cx="5526396" cy="2523500"/>
                <wp:effectExtent b="0" l="0" r="0" t="0"/>
                <wp:wrapNone/>
                <wp:docPr id="4"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5526396" cy="2523500"/>
                        </a:xfrm>
                        <a:prstGeom prst="rect"/>
                        <a:ln/>
                      </pic:spPr>
                    </pic:pic>
                  </a:graphicData>
                </a:graphic>
              </wp:anchor>
            </w:drawing>
          </mc:Fallback>
        </mc:AlternateContent>
      </w:r>
    </w:p>
    <w:p w14:paraId="716511C3" w14:textId="77777777" w:rsidR="003A77CE" w:rsidRDefault="00D706BB">
      <w:pPr>
        <w:pBdr>
          <w:top w:val="nil"/>
          <w:left w:val="nil"/>
          <w:bottom w:val="nil"/>
          <w:right w:val="nil"/>
          <w:between w:val="nil"/>
        </w:pBdr>
        <w:tabs>
          <w:tab w:val="left" w:pos="426"/>
        </w:tabs>
        <w:spacing w:line="360" w:lineRule="auto"/>
        <w:ind w:right="51"/>
        <w:jc w:val="center"/>
        <w:rPr>
          <w:color w:val="000000"/>
        </w:rPr>
      </w:pPr>
      <w:r>
        <w:rPr>
          <w:color w:val="000000"/>
        </w:rPr>
        <w:object w:dxaOrig="7620" w:dyaOrig="7815" w14:anchorId="37125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3pt;height:390.7pt" o:ole="" o:bordertopcolor="this" o:borderleftcolor="this" o:borderbottomcolor="this" o:borderrightcolor="this">
            <v:imagedata r:id="rId17" o:title=""/>
            <w10:bordertop type="single" width="12"/>
            <w10:borderleft type="single" width="12"/>
            <w10:borderbottom type="single" width="12"/>
            <w10:borderright type="single" width="12"/>
          </v:shape>
          <o:OLEObject Type="Embed" ProgID="Paint.Picture" ShapeID="_x0000_i1025" DrawAspect="Content" ObjectID="_1703079253" r:id="rId18"/>
        </w:object>
      </w:r>
      <w:r>
        <w:rPr>
          <w:noProof/>
        </w:rPr>
        <mc:AlternateContent>
          <mc:Choice Requires="wpg">
            <w:drawing>
              <wp:anchor distT="0" distB="0" distL="114300" distR="114300" simplePos="0" relativeHeight="251659264" behindDoc="0" locked="0" layoutInCell="1" hidden="0" allowOverlap="1" wp14:anchorId="568097A5" wp14:editId="1E46723B">
                <wp:simplePos x="0" y="0"/>
                <wp:positionH relativeFrom="column">
                  <wp:posOffset>101601</wp:posOffset>
                </wp:positionH>
                <wp:positionV relativeFrom="paragraph">
                  <wp:posOffset>5130800</wp:posOffset>
                </wp:positionV>
                <wp:extent cx="5526396" cy="2360077"/>
                <wp:effectExtent l="0" t="0" r="0" b="0"/>
                <wp:wrapNone/>
                <wp:docPr id="5" name=""/>
                <wp:cNvGraphicFramePr/>
                <a:graphic xmlns:a="http://schemas.openxmlformats.org/drawingml/2006/main">
                  <a:graphicData uri="http://schemas.microsoft.com/office/word/2010/wordprocessingShape">
                    <wps:wsp>
                      <wps:cNvCnPr/>
                      <wps:spPr>
                        <a:xfrm rot="10800000" flipH="1">
                          <a:off x="2589152" y="2606312"/>
                          <a:ext cx="5513696" cy="2347377"/>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5130800</wp:posOffset>
                </wp:positionV>
                <wp:extent cx="5526396" cy="2360077"/>
                <wp:effectExtent b="0" l="0" r="0" t="0"/>
                <wp:wrapNone/>
                <wp:docPr id="5"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5526396" cy="2360077"/>
                        </a:xfrm>
                        <a:prstGeom prst="rect"/>
                        <a:ln/>
                      </pic:spPr>
                    </pic:pic>
                  </a:graphicData>
                </a:graphic>
              </wp:anchor>
            </w:drawing>
          </mc:Fallback>
        </mc:AlternateContent>
      </w:r>
    </w:p>
    <w:p w14:paraId="4D675A81" w14:textId="77777777" w:rsidR="003A77CE" w:rsidRDefault="00D706BB">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Pr>
          <w:color w:val="000000"/>
        </w:rPr>
        <w:object w:dxaOrig="7590" w:dyaOrig="4455" w14:anchorId="0F98FA62">
          <v:shape id="_x0000_i1026" type="#_x0000_t75" style="width:379.4pt;height:222.9pt" o:ole="" o:bordertopcolor="this" o:borderleftcolor="this" o:borderbottomcolor="this" o:borderrightcolor="this">
            <v:imagedata r:id="rId20" o:title=""/>
            <w10:bordertop type="single" width="12"/>
            <w10:borderleft type="single" width="12"/>
            <w10:borderbottom type="single" width="12"/>
            <w10:borderright type="single" width="12"/>
          </v:shape>
          <o:OLEObject Type="Embed" ProgID="Paint.Picture" ShapeID="_x0000_i1026" DrawAspect="Content" ObjectID="_1703079254" r:id="rId21"/>
        </w:object>
      </w:r>
    </w:p>
    <w:p w14:paraId="1107D9AA"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535F737"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en lo que corresponde a los registros publicados en los ejercicios </w:t>
      </w:r>
      <w:r>
        <w:rPr>
          <w:rFonts w:ascii="Palatino Linotype" w:eastAsia="Palatino Linotype" w:hAnsi="Palatino Linotype" w:cs="Palatino Linotype"/>
          <w:b/>
          <w:color w:val="000000"/>
        </w:rPr>
        <w:t>dos mil dieciocho</w:t>
      </w:r>
      <w:r>
        <w:rPr>
          <w:rFonts w:ascii="Palatino Linotype" w:eastAsia="Palatino Linotype" w:hAnsi="Palatino Linotype" w:cs="Palatino Linotype"/>
          <w:b/>
          <w:color w:val="000000"/>
          <w:vertAlign w:val="superscript"/>
        </w:rPr>
        <w:footnoteReference w:id="16"/>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dos mil diecinueve</w:t>
      </w:r>
      <w:r>
        <w:rPr>
          <w:rFonts w:ascii="Palatino Linotype" w:eastAsia="Palatino Linotype" w:hAnsi="Palatino Linotype" w:cs="Palatino Linotype"/>
          <w:b/>
          <w:color w:val="000000"/>
          <w:vertAlign w:val="superscript"/>
        </w:rPr>
        <w:footnoteReference w:id="17"/>
      </w:r>
      <w:r>
        <w:rPr>
          <w:rFonts w:ascii="Palatino Linotype" w:eastAsia="Palatino Linotype" w:hAnsi="Palatino Linotype" w:cs="Palatino Linotype"/>
          <w:color w:val="000000"/>
        </w:rPr>
        <w:t xml:space="preserve">,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sí divulgó información relativa a la información de transparencia común reconocida en la fracción XII del artículo 92 de la Ley de la materia, pues los registros contemplan un hipervínculo que dirige a la consulta de un documento titulado </w:t>
      </w:r>
      <w:r>
        <w:rPr>
          <w:rFonts w:ascii="Palatino Linotype" w:eastAsia="Palatino Linotype" w:hAnsi="Palatino Linotype" w:cs="Palatino Linotype"/>
          <w:b/>
          <w:color w:val="000000"/>
        </w:rPr>
        <w:t>Catálogo de Pues</w:t>
      </w:r>
      <w:r>
        <w:rPr>
          <w:rFonts w:ascii="Palatino Linotype" w:eastAsia="Palatino Linotype" w:hAnsi="Palatino Linotype" w:cs="Palatino Linotype"/>
          <w:b/>
          <w:color w:val="000000"/>
        </w:rPr>
        <w:t>tos de la Administración Pública Municipal de Tenancingo</w:t>
      </w:r>
      <w:r>
        <w:rPr>
          <w:rFonts w:ascii="Palatino Linotype" w:eastAsia="Palatino Linotype" w:hAnsi="Palatino Linotype" w:cs="Palatino Linotype"/>
          <w:color w:val="000000"/>
        </w:rPr>
        <w:t>, dentro del que destaca un padrón de puestos, así como un modelo de capacidades requeridas que tipifica las competencias y/o capacidades comunes de cada nivel y puesto. Se adjuntan capturas de imagen</w:t>
      </w:r>
      <w:r>
        <w:rPr>
          <w:rFonts w:ascii="Palatino Linotype" w:eastAsia="Palatino Linotype" w:hAnsi="Palatino Linotype" w:cs="Palatino Linotype"/>
          <w:color w:val="000000"/>
        </w:rPr>
        <w:t xml:space="preserve"> que demuestran lo anterior descrito:</w:t>
      </w:r>
    </w:p>
    <w:p w14:paraId="3259FC7B"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137CC22" w14:textId="77777777" w:rsidR="003A77CE" w:rsidRDefault="00D706BB">
      <w:pPr>
        <w:pBdr>
          <w:top w:val="nil"/>
          <w:left w:val="nil"/>
          <w:bottom w:val="nil"/>
          <w:right w:val="nil"/>
          <w:between w:val="nil"/>
        </w:pBdr>
        <w:tabs>
          <w:tab w:val="left" w:pos="426"/>
        </w:tabs>
        <w:spacing w:line="360" w:lineRule="auto"/>
        <w:ind w:right="51"/>
        <w:jc w:val="center"/>
        <w:rPr>
          <w:color w:val="000000"/>
        </w:rPr>
      </w:pPr>
      <w:r>
        <w:rPr>
          <w:color w:val="000000"/>
        </w:rPr>
        <w:object w:dxaOrig="7650" w:dyaOrig="5295" w14:anchorId="7ACA36DF">
          <v:shape id="_x0000_i1027" type="#_x0000_t75" style="width:382.55pt;height:264.85pt" o:ole="" o:bordertopcolor="this" o:borderleftcolor="this" o:borderbottomcolor="this" o:borderrightcolor="this">
            <v:imagedata r:id="rId22" o:title=""/>
            <w10:bordertop type="single" width="12"/>
            <w10:borderleft type="single" width="12"/>
            <w10:borderbottom type="single" width="12"/>
            <w10:borderright type="single" width="12"/>
          </v:shape>
          <o:OLEObject Type="Embed" ProgID="Paint.Picture" ShapeID="_x0000_i1027" DrawAspect="Content" ObjectID="_1703079255" r:id="rId23"/>
        </w:object>
      </w:r>
    </w:p>
    <w:p w14:paraId="149EF8D7" w14:textId="77777777" w:rsidR="003A77CE" w:rsidRDefault="003A77CE">
      <w:pPr>
        <w:pBdr>
          <w:top w:val="nil"/>
          <w:left w:val="nil"/>
          <w:bottom w:val="nil"/>
          <w:right w:val="nil"/>
          <w:between w:val="nil"/>
        </w:pBdr>
        <w:tabs>
          <w:tab w:val="left" w:pos="426"/>
        </w:tabs>
        <w:spacing w:line="360" w:lineRule="auto"/>
        <w:ind w:right="51"/>
        <w:jc w:val="center"/>
        <w:rPr>
          <w:color w:val="000000"/>
        </w:rPr>
      </w:pPr>
    </w:p>
    <w:p w14:paraId="31BD0455" w14:textId="77777777" w:rsidR="003A77CE" w:rsidRDefault="00D706BB">
      <w:pPr>
        <w:pBdr>
          <w:top w:val="nil"/>
          <w:left w:val="nil"/>
          <w:bottom w:val="nil"/>
          <w:right w:val="nil"/>
          <w:between w:val="nil"/>
        </w:pBdr>
        <w:tabs>
          <w:tab w:val="left" w:pos="426"/>
        </w:tabs>
        <w:spacing w:line="360" w:lineRule="auto"/>
        <w:ind w:right="51"/>
        <w:jc w:val="center"/>
        <w:rPr>
          <w:color w:val="000000"/>
        </w:rPr>
      </w:pPr>
      <w:r>
        <w:rPr>
          <w:color w:val="000000"/>
        </w:rPr>
        <w:object w:dxaOrig="7695" w:dyaOrig="4710" w14:anchorId="3AA80ED6">
          <v:shape id="_x0000_i1028" type="#_x0000_t75" style="width:385.05pt;height:235.4pt" o:ole="" o:bordertopcolor="this" o:borderleftcolor="this" o:borderbottomcolor="this" o:borderrightcolor="this">
            <v:imagedata r:id="rId24" o:title=""/>
            <w10:bordertop type="single" width="12"/>
            <w10:borderleft type="single" width="12"/>
            <w10:borderbottom type="single" width="12"/>
            <w10:borderright type="single" width="12"/>
          </v:shape>
          <o:OLEObject Type="Embed" ProgID="Paint.Picture" ShapeID="_x0000_i1028" DrawAspect="Content" ObjectID="_1703079256" r:id="rId25"/>
        </w:object>
      </w:r>
    </w:p>
    <w:p w14:paraId="3B5BFB82" w14:textId="77777777" w:rsidR="003A77CE" w:rsidRDefault="003A77CE">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p>
    <w:p w14:paraId="52CC80C5"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A74D78B"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consecuencia de lo anterior,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entregar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los </w:t>
      </w:r>
      <w:r>
        <w:rPr>
          <w:rFonts w:ascii="Palatino Linotype" w:eastAsia="Palatino Linotype" w:hAnsi="Palatino Linotype" w:cs="Palatino Linotype"/>
          <w:b/>
          <w:color w:val="000000"/>
        </w:rPr>
        <w:t>catálogos de puestos</w:t>
      </w:r>
      <w:r>
        <w:rPr>
          <w:rFonts w:ascii="Palatino Linotype" w:eastAsia="Palatino Linotype" w:hAnsi="Palatino Linotype" w:cs="Palatino Linotype"/>
          <w:color w:val="000000"/>
        </w:rPr>
        <w:t xml:space="preserve"> que se han generado desde el inicio de la presente administración, esto es, del uno (01) de enero de dos mil diecinueve al treinta (30) de agosto de dos mil veintiuno, fecha en que se presentó la solicitud de información </w:t>
      </w:r>
      <w:r>
        <w:rPr>
          <w:rFonts w:ascii="Palatino Linotype" w:eastAsia="Palatino Linotype" w:hAnsi="Palatino Linotype" w:cs="Palatino Linotype"/>
          <w:b/>
          <w:color w:val="000000"/>
        </w:rPr>
        <w:t>00279/TENANCIN/IP/2021</w:t>
      </w:r>
      <w:r>
        <w:rPr>
          <w:rFonts w:ascii="Palatino Linotype" w:eastAsia="Palatino Linotype" w:hAnsi="Palatino Linotype" w:cs="Palatino Linotype"/>
          <w:color w:val="000000"/>
        </w:rPr>
        <w:t>.</w:t>
      </w:r>
    </w:p>
    <w:p w14:paraId="3F7D9808"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03E4F03"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w:t>
      </w:r>
      <w:r>
        <w:rPr>
          <w:rFonts w:ascii="Palatino Linotype" w:eastAsia="Palatino Linotype" w:hAnsi="Palatino Linotype" w:cs="Palatino Linotype"/>
          <w:color w:val="000000"/>
        </w:rPr>
        <w:t>e, no debe ignorarse que el área administrativa encargada de poseer, generar y administrar la información solicitada, la Dirección de Administración, en su respuesta y posterior informe justificado, manifestó que la información solicitada se encontraba sie</w:t>
      </w:r>
      <w:r>
        <w:rPr>
          <w:rFonts w:ascii="Palatino Linotype" w:eastAsia="Palatino Linotype" w:hAnsi="Palatino Linotype" w:cs="Palatino Linotype"/>
          <w:color w:val="000000"/>
        </w:rPr>
        <w:t xml:space="preserve">ndo elaborada por una de sus Subdirecciones; por ello, de ser el caso de que el Ayuntamiento persista en su pronunciamiento, a pesar de haberse encontrado registros del </w:t>
      </w:r>
      <w:r>
        <w:rPr>
          <w:rFonts w:ascii="Palatino Linotype" w:eastAsia="Palatino Linotype" w:hAnsi="Palatino Linotype" w:cs="Palatino Linotype"/>
          <w:b/>
          <w:color w:val="000000"/>
        </w:rPr>
        <w:t>catálogo de puestos</w:t>
      </w:r>
      <w:r>
        <w:rPr>
          <w:rFonts w:ascii="Palatino Linotype" w:eastAsia="Palatino Linotype" w:hAnsi="Palatino Linotype" w:cs="Palatino Linotype"/>
          <w:color w:val="000000"/>
        </w:rPr>
        <w:t xml:space="preserve"> en el IPOMEX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entregar al particular el </w:t>
      </w:r>
      <w:r>
        <w:rPr>
          <w:rFonts w:ascii="Palatino Linotype" w:eastAsia="Palatino Linotype" w:hAnsi="Palatino Linotype" w:cs="Palatino Linotype"/>
          <w:color w:val="000000"/>
        </w:rPr>
        <w:t>Acuerdo de Inexistencia respectivo, emitido por su Comité de Transparencia.</w:t>
      </w:r>
    </w:p>
    <w:p w14:paraId="0169F358"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8A934DC" w14:textId="77777777" w:rsidR="003A77CE" w:rsidRDefault="00D706BB">
      <w:pPr>
        <w:numPr>
          <w:ilvl w:val="0"/>
          <w:numId w:val="4"/>
        </w:num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es imperativo recordar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los artículos 19 y 20 de la Ley de Transparencia y Acceso a la Información Pública del Estado de México y Municipios,</w:t>
      </w:r>
      <w:r>
        <w:rPr>
          <w:rFonts w:ascii="Palatino Linotype" w:eastAsia="Palatino Linotype" w:hAnsi="Palatino Linotype" w:cs="Palatino Linotype"/>
          <w:color w:val="000000"/>
        </w:rPr>
        <w:t xml:space="preserve"> refieren que </w:t>
      </w:r>
      <w:r>
        <w:rPr>
          <w:rFonts w:ascii="Palatino Linotype" w:eastAsia="Palatino Linotype" w:hAnsi="Palatino Linotype" w:cs="Palatino Linotype"/>
          <w:b/>
          <w:color w:val="000000"/>
        </w:rPr>
        <w:t>de no existir la documentación que debió, por mandato de Ley, generarse, es obligación de la autoridad emitir una declaratoria formal que reúna los requisitos señalados en la propia norma jurídica</w:t>
      </w:r>
      <w:r>
        <w:rPr>
          <w:rFonts w:ascii="Palatino Linotype" w:eastAsia="Palatino Linotype" w:hAnsi="Palatino Linotype" w:cs="Palatino Linotype"/>
          <w:color w:val="000000"/>
        </w:rPr>
        <w:t>,</w:t>
      </w:r>
      <w:r>
        <w:rPr>
          <w:rFonts w:ascii="Palatino Linotype" w:eastAsia="Palatino Linotype" w:hAnsi="Palatino Linotype" w:cs="Palatino Linotype"/>
          <w:color w:val="000000"/>
          <w:vertAlign w:val="superscript"/>
        </w:rPr>
        <w:t xml:space="preserve"> </w:t>
      </w:r>
      <w:r>
        <w:rPr>
          <w:rFonts w:ascii="Palatino Linotype" w:eastAsia="Palatino Linotype" w:hAnsi="Palatino Linotype" w:cs="Palatino Linotype"/>
          <w:color w:val="000000"/>
          <w:vertAlign w:val="superscript"/>
        </w:rPr>
        <w:footnoteReference w:id="18"/>
      </w:r>
      <w:r>
        <w:rPr>
          <w:rFonts w:ascii="Palatino Linotype" w:eastAsia="Palatino Linotype" w:hAnsi="Palatino Linotype" w:cs="Palatino Linotype"/>
          <w:color w:val="000000"/>
        </w:rPr>
        <w:t xml:space="preserve"> según puede apreciarse a continuación:</w:t>
      </w:r>
    </w:p>
    <w:p w14:paraId="6E5DB71C" w14:textId="77777777" w:rsidR="003A77CE" w:rsidRDefault="00D706BB">
      <w:pPr>
        <w:pBdr>
          <w:top w:val="nil"/>
          <w:left w:val="nil"/>
          <w:bottom w:val="nil"/>
          <w:right w:val="nil"/>
          <w:between w:val="nil"/>
        </w:pBdr>
        <w:shd w:val="clear" w:color="auto" w:fill="FFFFFF"/>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“Artículo 19.</w:t>
      </w:r>
      <w:r>
        <w:rPr>
          <w:rFonts w:ascii="Palatino Linotype" w:eastAsia="Palatino Linotype" w:hAnsi="Palatino Linotype" w:cs="Palatino Linotype"/>
          <w:i/>
          <w:color w:val="000000"/>
          <w:sz w:val="22"/>
          <w:szCs w:val="22"/>
        </w:rPr>
        <w:t xml:space="preserve"> Se presume que la información debe existir si se refiere a las facultades, competencias y funciones que los ordenamientos jurídicos aplicables otorgan a los sujetos obligados.</w:t>
      </w:r>
    </w:p>
    <w:p w14:paraId="1C4694A6"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AC1784C" w14:textId="77777777" w:rsidR="003A77CE" w:rsidRDefault="00D706BB">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Si el sujeto obligado, en el ejercicio de sus atribuciones, debía generar, poseer o administrar la información, pero ésta no se encuentra, el Comité de transparencia deberá emitir un </w:t>
      </w:r>
      <w:r>
        <w:rPr>
          <w:rFonts w:ascii="Palatino Linotype" w:eastAsia="Palatino Linotype" w:hAnsi="Palatino Linotype" w:cs="Palatino Linotype"/>
          <w:b/>
          <w:i/>
          <w:sz w:val="22"/>
          <w:szCs w:val="22"/>
          <w:u w:val="single"/>
        </w:rPr>
        <w:t>acuerdo de inexistencia,</w:t>
      </w:r>
      <w:r>
        <w:rPr>
          <w:rFonts w:ascii="Palatino Linotype" w:eastAsia="Palatino Linotype" w:hAnsi="Palatino Linotype" w:cs="Palatino Linotype"/>
          <w:b/>
          <w:i/>
          <w:sz w:val="22"/>
          <w:szCs w:val="22"/>
        </w:rPr>
        <w:t xml:space="preserve"> debidamente fundado y motivado, en el que detall</w:t>
      </w:r>
      <w:r>
        <w:rPr>
          <w:rFonts w:ascii="Palatino Linotype" w:eastAsia="Palatino Linotype" w:hAnsi="Palatino Linotype" w:cs="Palatino Linotype"/>
          <w:b/>
          <w:i/>
          <w:sz w:val="22"/>
          <w:szCs w:val="22"/>
        </w:rPr>
        <w:t>e las razones del por qué no obra en sus archivos.</w:t>
      </w:r>
    </w:p>
    <w:p w14:paraId="4B30ED33" w14:textId="77777777" w:rsidR="003A77CE" w:rsidRDefault="003A77CE">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color w:val="000000"/>
          <w:sz w:val="22"/>
          <w:szCs w:val="22"/>
        </w:rPr>
      </w:pPr>
    </w:p>
    <w:p w14:paraId="2F08A574"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20.</w:t>
      </w:r>
      <w:r>
        <w:rPr>
          <w:rFonts w:ascii="Palatino Linotype" w:eastAsia="Palatino Linotype" w:hAnsi="Palatino Linotype" w:cs="Palatino Linotype"/>
          <w:i/>
          <w:color w:val="000000"/>
          <w:sz w:val="22"/>
          <w:szCs w:val="22"/>
        </w:rPr>
        <w:t xml:space="preserve"> Ante la negativa del acceso a la información o su inexistencia, el sujeto obligado deberá demostrar que la información solicitada está prevista en alguna de las excepciones contenidas en esta</w:t>
      </w:r>
      <w:r>
        <w:rPr>
          <w:rFonts w:ascii="Palatino Linotype" w:eastAsia="Palatino Linotype" w:hAnsi="Palatino Linotype" w:cs="Palatino Linotype"/>
          <w:i/>
          <w:color w:val="000000"/>
          <w:sz w:val="22"/>
          <w:szCs w:val="22"/>
        </w:rPr>
        <w:t xml:space="preserve"> Ley o, en su caso, demostrar que la información no se refiere a alguna de sus facultades, competencias o funciones.”</w:t>
      </w:r>
    </w:p>
    <w:p w14:paraId="79C02A81"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5C2B8F1F"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E1E86A2" w14:textId="77777777" w:rsidR="003A77CE" w:rsidRDefault="00D706BB">
      <w:pPr>
        <w:numPr>
          <w:ilvl w:val="0"/>
          <w:numId w:val="4"/>
        </w:num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entonces, de ser el caso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deba emitir un Acuerdo de Inexistencia, deberá apegarse a lo dispuesto en los Lineamientos para la Recepción, Trámite y Resolución de las Solicitudes de Acceso a la Información Pública, Acceso, Modificación, Sustitución, Rectificación o Supresión Parcial </w:t>
      </w:r>
      <w:r>
        <w:rPr>
          <w:rFonts w:ascii="Palatino Linotype" w:eastAsia="Palatino Linotype" w:hAnsi="Palatino Linotype" w:cs="Palatino Linotype"/>
          <w:color w:val="000000"/>
        </w:rPr>
        <w:t>o Total de Datos Personales, así como de los Recursos de Revisión que Deberán Observar los Sujetos Obligados por la Ley de Transparencia y Acceso a la Información Pública del Estado de México y Municipios, en su Lineamiento Cuarenta y Cuatro y Cuarenta y C</w:t>
      </w:r>
      <w:r>
        <w:rPr>
          <w:rFonts w:ascii="Palatino Linotype" w:eastAsia="Palatino Linotype" w:hAnsi="Palatino Linotype" w:cs="Palatino Linotype"/>
          <w:color w:val="000000"/>
        </w:rPr>
        <w:t>inco; y, los Criterios 0003-11 y 0004-11 aprobados por el Pleno de este Órgano Garante, en la sesión ordinaria de veinticinco (25) de agosto de dos mil once, que señalan el concepto de inexistencia y, en qué circunstancias debe emitirse la declaratoria res</w:t>
      </w:r>
      <w:r>
        <w:rPr>
          <w:rFonts w:ascii="Palatino Linotype" w:eastAsia="Palatino Linotype" w:hAnsi="Palatino Linotype" w:cs="Palatino Linotype"/>
          <w:color w:val="000000"/>
        </w:rPr>
        <w:t>pectiva:</w:t>
      </w:r>
    </w:p>
    <w:p w14:paraId="441FBDAF"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INEXISTENCIA, CONCEPTO DE, EN MATERIA DE TRANSPARENCIA</w:t>
      </w:r>
      <w:r>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w:t>
      </w:r>
      <w:r>
        <w:rPr>
          <w:rFonts w:ascii="Palatino Linotype" w:eastAsia="Palatino Linotype" w:hAnsi="Palatino Linotype" w:cs="Palatino Linotype"/>
          <w:i/>
          <w:sz w:val="22"/>
          <w:szCs w:val="22"/>
        </w:rPr>
        <w:lastRenderedPageBreak/>
        <w:t>permite concluir que la</w:t>
      </w:r>
      <w:r>
        <w:rPr>
          <w:rFonts w:ascii="Palatino Linotype" w:eastAsia="Palatino Linotype" w:hAnsi="Palatino Linotype" w:cs="Palatino Linotype"/>
          <w:i/>
          <w:sz w:val="22"/>
          <w:szCs w:val="22"/>
        </w:rPr>
        <w:t xml:space="preserve"> inexistencia de la información en el derecho de acceso a la información pública conlleva necesariamente a los siguientes supuestos:</w:t>
      </w:r>
    </w:p>
    <w:p w14:paraId="10BCAB55"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La existencia previa de la documentación y la falta posterior de la misma en los archivos del Sujeto Obligado, esto es, </w:t>
      </w:r>
      <w:r>
        <w:rPr>
          <w:rFonts w:ascii="Palatino Linotype" w:eastAsia="Palatino Linotype" w:hAnsi="Palatino Linotype" w:cs="Palatino Linotype"/>
          <w:i/>
          <w:sz w:val="22"/>
          <w:szCs w:val="22"/>
        </w:rPr>
        <w:t>la información se generó, poseyó o administró –cuestión de hecho– en el marco de las atribuciones conferidas al Sujeto Obligado, pero no la conserva por diversas razones (destrucción física, desaparición física¸ sustracción ilícita, baja documental, etcéte</w:t>
      </w:r>
      <w:r>
        <w:rPr>
          <w:rFonts w:ascii="Palatino Linotype" w:eastAsia="Palatino Linotype" w:hAnsi="Palatino Linotype" w:cs="Palatino Linotype"/>
          <w:i/>
          <w:sz w:val="22"/>
          <w:szCs w:val="22"/>
        </w:rPr>
        <w:t>ra).</w:t>
      </w:r>
    </w:p>
    <w:p w14:paraId="31059DAB"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En los casos en que por las atribuciones conferidas al Sujeto Obligado éste debió generar, administrar o poseer la información, pero en incumplimiento a la normatividad respectiva no llevó a cabo ninguna de esas acciones.</w:t>
      </w:r>
    </w:p>
    <w:p w14:paraId="3F7E6F08" w14:textId="77777777" w:rsidR="003A77CE" w:rsidRDefault="00D706BB">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En ambos casos, </w:t>
      </w:r>
      <w:r>
        <w:rPr>
          <w:rFonts w:ascii="Palatino Linotype" w:eastAsia="Palatino Linotype" w:hAnsi="Palatino Linotype" w:cs="Palatino Linotype"/>
          <w:b/>
          <w:i/>
          <w:sz w:val="22"/>
          <w:szCs w:val="22"/>
        </w:rPr>
        <w:t xml:space="preserve">el Sujeto </w:t>
      </w:r>
      <w:r>
        <w:rPr>
          <w:rFonts w:ascii="Palatino Linotype" w:eastAsia="Palatino Linotype" w:hAnsi="Palatino Linotype" w:cs="Palatino Linotype"/>
          <w:b/>
          <w:i/>
          <w:sz w:val="22"/>
          <w:szCs w:val="22"/>
        </w:rPr>
        <w:t>Obligado deberá hacer del conocimiento del solicitante las razones que explican la inexistencia, mediante el dictamen debidamente fundado y motivado emitido por el Comité de Información y con las formalidades legales exigidas por la Ley de Transparencia</w:t>
      </w:r>
      <w:r>
        <w:rPr>
          <w:rFonts w:ascii="Palatino Linotype" w:eastAsia="Palatino Linotype" w:hAnsi="Palatino Linotype" w:cs="Palatino Linotype"/>
          <w:i/>
          <w:sz w:val="22"/>
          <w:szCs w:val="22"/>
        </w:rPr>
        <w:t>.”</w:t>
      </w:r>
    </w:p>
    <w:p w14:paraId="70764B70" w14:textId="77777777" w:rsidR="003A77CE" w:rsidRDefault="00D706BB">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538F71C" w14:textId="77777777" w:rsidR="003A77CE" w:rsidRDefault="003A77CE">
      <w:pPr>
        <w:spacing w:line="276" w:lineRule="auto"/>
        <w:ind w:left="567" w:right="567"/>
        <w:jc w:val="both"/>
        <w:rPr>
          <w:rFonts w:ascii="Palatino Linotype" w:eastAsia="Palatino Linotype" w:hAnsi="Palatino Linotype" w:cs="Palatino Linotype"/>
          <w:b/>
          <w:i/>
          <w:sz w:val="22"/>
          <w:szCs w:val="22"/>
        </w:rPr>
      </w:pPr>
    </w:p>
    <w:p w14:paraId="756CA48A" w14:textId="77777777" w:rsidR="003A77CE" w:rsidRDefault="00D706BB">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0004-11</w:t>
      </w:r>
    </w:p>
    <w:p w14:paraId="63F14B40"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INEXISTENCIA. DECLARATORIA DE LA. ALCANCES Y PROCEDIMIENTOS</w:t>
      </w:r>
      <w:r>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w:t>
      </w:r>
      <w:r>
        <w:rPr>
          <w:rFonts w:ascii="Palatino Linotype" w:eastAsia="Palatino Linotype" w:hAnsi="Palatino Linotype" w:cs="Palatino Linotype"/>
          <w:i/>
          <w:sz w:val="22"/>
          <w:szCs w:val="22"/>
        </w:rPr>
        <w:t>se concluye que cuando el Titular de la Unidad de Información no localice la documentación solicitada, a pesar de haber sido generada, poseída o administrada por el Sujeto Obligado, turnará la solicitud al Comité de Información el cual es el único competen</w:t>
      </w:r>
      <w:r>
        <w:rPr>
          <w:rFonts w:ascii="Palatino Linotype" w:eastAsia="Palatino Linotype" w:hAnsi="Palatino Linotype" w:cs="Palatino Linotype"/>
          <w:i/>
          <w:sz w:val="22"/>
          <w:szCs w:val="22"/>
        </w:rPr>
        <w:t>te para conocer y deliberar mediante resolución el dictamen de declaratoria de inexistencia, la cual tiene como propósito que el particular tenga la certeza jurídica de que el Sujeto Obligado realizó una búsqueda exhaustiva y minuciosa de la información en</w:t>
      </w:r>
      <w:r>
        <w:rPr>
          <w:rFonts w:ascii="Palatino Linotype" w:eastAsia="Palatino Linotype" w:hAnsi="Palatino Linotype" w:cs="Palatino Linotype"/>
          <w:i/>
          <w:sz w:val="22"/>
          <w:szCs w:val="22"/>
        </w:rPr>
        <w:t xml:space="preserve"> los archivos a cargo. En consecuencia, </w:t>
      </w:r>
      <w:r>
        <w:rPr>
          <w:rFonts w:ascii="Palatino Linotype" w:eastAsia="Palatino Linotype" w:hAnsi="Palatino Linotype" w:cs="Palatino Linotype"/>
          <w:b/>
          <w:i/>
          <w:sz w:val="22"/>
          <w:szCs w:val="22"/>
          <w:u w:val="single"/>
        </w:rPr>
        <w:t>es deber del Comité de Información instruir una búsqueda exhaustiva a todas y cada una de las áreas que integran orgánica o funcionalmente al Sujeto Obligado, para localizar los documentos que contengan la informació</w:t>
      </w:r>
      <w:r>
        <w:rPr>
          <w:rFonts w:ascii="Palatino Linotype" w:eastAsia="Palatino Linotype" w:hAnsi="Palatino Linotype" w:cs="Palatino Linotype"/>
          <w:b/>
          <w:i/>
          <w:sz w:val="22"/>
          <w:szCs w:val="22"/>
          <w:u w:val="single"/>
        </w:rPr>
        <w:t>n materia de una solicitud</w:t>
      </w:r>
      <w:r>
        <w:rPr>
          <w:rFonts w:ascii="Palatino Linotype" w:eastAsia="Palatino Linotype" w:hAnsi="Palatino Linotype" w:cs="Palatino Linotype"/>
          <w:b/>
          <w:i/>
          <w:sz w:val="22"/>
          <w:szCs w:val="22"/>
        </w:rPr>
        <w:t>, así como la de supervisar que esa búsqueda se lleve a cabo en todas y cada una de las áreas mencionadas. Dicha búsqueda exhaustiva implicará que el Comité acuerde las medidas pertinentes para la debida localización de la información requerida dentro de l</w:t>
      </w:r>
      <w:r>
        <w:rPr>
          <w:rFonts w:ascii="Palatino Linotype" w:eastAsia="Palatino Linotype" w:hAnsi="Palatino Linotype" w:cs="Palatino Linotype"/>
          <w:b/>
          <w:i/>
          <w:sz w:val="22"/>
          <w:szCs w:val="22"/>
        </w:rPr>
        <w:t xml:space="preserve">a estructura del Sujeto Obligado y, en general, el de adoptar cualquier </w:t>
      </w:r>
      <w:r>
        <w:rPr>
          <w:rFonts w:ascii="Palatino Linotype" w:eastAsia="Palatino Linotype" w:hAnsi="Palatino Linotype" w:cs="Palatino Linotype"/>
          <w:b/>
          <w:i/>
          <w:sz w:val="22"/>
          <w:szCs w:val="22"/>
        </w:rPr>
        <w:lastRenderedPageBreak/>
        <w:t>otra previsión que considere conducente para tales efectos y velar por la certeza en el derecho de acceso a la información</w:t>
      </w:r>
      <w:r>
        <w:rPr>
          <w:rFonts w:ascii="Palatino Linotype" w:eastAsia="Palatino Linotype" w:hAnsi="Palatino Linotype" w:cs="Palatino Linotype"/>
          <w:i/>
          <w:sz w:val="22"/>
          <w:szCs w:val="22"/>
        </w:rPr>
        <w:t>.</w:t>
      </w:r>
    </w:p>
    <w:p w14:paraId="3AE0BFAD"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Bajo el entendido de que dicha búsqueda exhaustiva permitirá</w:t>
      </w:r>
      <w:r>
        <w:rPr>
          <w:rFonts w:ascii="Palatino Linotype" w:eastAsia="Palatino Linotype" w:hAnsi="Palatino Linotype" w:cs="Palatino Linotype"/>
          <w:i/>
          <w:sz w:val="22"/>
          <w:szCs w:val="22"/>
        </w:rPr>
        <w:t xml:space="preserve"> dos determinaciones:</w:t>
      </w:r>
    </w:p>
    <w:p w14:paraId="5B261920"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5F9ED330" w14:textId="77777777" w:rsidR="003A77CE" w:rsidRDefault="00D706BB">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2ª) Que no se haya encontrado documento alguno que c</w:t>
      </w:r>
      <w:r>
        <w:rPr>
          <w:rFonts w:ascii="Palatino Linotype" w:eastAsia="Palatino Linotype" w:hAnsi="Palatino Linotype" w:cs="Palatino Linotype"/>
          <w:i/>
          <w:sz w:val="22"/>
          <w:szCs w:val="22"/>
        </w:rPr>
        <w:t>ontenga la información requerida, por lo que agotadas las medidas necesarias de búsqueda de la información y de no encontrarla, el Comité de Información deba emitir el dictamen de declaratoria de inexistencia y notificarlo al interesado.</w:t>
      </w:r>
    </w:p>
    <w:p w14:paraId="6B18CE39" w14:textId="77777777" w:rsidR="003A77CE" w:rsidRDefault="00D706BB">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Aunado a lo anterior, </w:t>
      </w:r>
      <w:r>
        <w:rPr>
          <w:rFonts w:ascii="Palatino Linotype" w:eastAsia="Palatino Linotype" w:hAnsi="Palatino Linotype" w:cs="Palatino Linotype"/>
          <w:b/>
          <w:i/>
          <w:sz w:val="22"/>
          <w:szCs w:val="22"/>
        </w:rPr>
        <w:t>en el dictamen de declaratoria de inexistencia el Comité de Información deberá motivar o precisar las razones por las que se buscó la información, las áreas en las que se instruyó la búsqueda, las respuestas otorgadas por los Servidor</w:t>
      </w:r>
      <w:r>
        <w:rPr>
          <w:rFonts w:ascii="Palatino Linotype" w:eastAsia="Palatino Linotype" w:hAnsi="Palatino Linotype" w:cs="Palatino Linotype"/>
          <w:b/>
          <w:i/>
          <w:sz w:val="22"/>
          <w:szCs w:val="22"/>
        </w:rPr>
        <w:t xml:space="preserve">es Públicos Habilitados y en general, todas </w:t>
      </w:r>
      <w:proofErr w:type="gramStart"/>
      <w:r>
        <w:rPr>
          <w:rFonts w:ascii="Palatino Linotype" w:eastAsia="Palatino Linotype" w:hAnsi="Palatino Linotype" w:cs="Palatino Linotype"/>
          <w:b/>
          <w:i/>
          <w:sz w:val="22"/>
          <w:szCs w:val="22"/>
        </w:rPr>
        <w:t>aquéllas</w:t>
      </w:r>
      <w:proofErr w:type="gramEnd"/>
      <w:r>
        <w:rPr>
          <w:rFonts w:ascii="Palatino Linotype" w:eastAsia="Palatino Linotype" w:hAnsi="Palatino Linotype" w:cs="Palatino Linotype"/>
          <w:b/>
          <w:i/>
          <w:sz w:val="22"/>
          <w:szCs w:val="22"/>
        </w:rPr>
        <w:t xml:space="preserve"> circunstancias que se tomaron en cuenta para llegar a determinar que la información requerida no obra en los archivos a cargo</w:t>
      </w:r>
      <w:r>
        <w:rPr>
          <w:rFonts w:ascii="Palatino Linotype" w:eastAsia="Palatino Linotype" w:hAnsi="Palatino Linotype" w:cs="Palatino Linotype"/>
          <w:i/>
          <w:sz w:val="22"/>
          <w:szCs w:val="22"/>
        </w:rPr>
        <w:t>.”</w:t>
      </w:r>
    </w:p>
    <w:p w14:paraId="31AC4F3A" w14:textId="77777777" w:rsidR="003A77CE" w:rsidRDefault="00D706BB">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y subrayado añadido)</w:t>
      </w:r>
    </w:p>
    <w:p w14:paraId="3A683AEA" w14:textId="77777777" w:rsidR="003A77CE" w:rsidRDefault="003A77CE">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4BA8EA7D" w14:textId="58BD14A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Bajo este tenor se debe destacar que para qu</w:t>
      </w:r>
      <w:r>
        <w:rPr>
          <w:rFonts w:ascii="Palatino Linotype" w:eastAsia="Palatino Linotype" w:hAnsi="Palatino Linotype" w:cs="Palatino Linotype"/>
          <w:color w:val="000000"/>
        </w:rPr>
        <w:t xml:space="preserve">e se declare la inexistencia de la información, </w:t>
      </w:r>
      <w:r>
        <w:rPr>
          <w:rFonts w:ascii="Palatino Linotype" w:eastAsia="Palatino Linotype" w:hAnsi="Palatino Linotype" w:cs="Palatino Linotype"/>
          <w:b/>
          <w:color w:val="000000"/>
        </w:rPr>
        <w:t>debió haber existencia previa de la documentación y la falta posterior de la misma en los archivos del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esto es que la información se generó, poseyó o administró en el marco de las atribucione</w:t>
      </w:r>
      <w:r>
        <w:rPr>
          <w:rFonts w:ascii="Palatino Linotype" w:eastAsia="Palatino Linotype" w:hAnsi="Palatino Linotype" w:cs="Palatino Linotype"/>
          <w:color w:val="000000"/>
        </w:rPr>
        <w:t>s conferidas al</w:t>
      </w:r>
      <w:r>
        <w:rPr>
          <w:rFonts w:ascii="Palatino Linotype" w:eastAsia="Palatino Linotype" w:hAnsi="Palatino Linotype" w:cs="Palatino Linotype"/>
          <w:b/>
          <w:color w:val="000000"/>
        </w:rPr>
        <w:t xml:space="preserve"> SUJETO OBLIGADO </w:t>
      </w:r>
      <w:r>
        <w:rPr>
          <w:rFonts w:ascii="Palatino Linotype" w:eastAsia="Palatino Linotype" w:hAnsi="Palatino Linotype" w:cs="Palatino Linotype"/>
          <w:color w:val="000000"/>
        </w:rPr>
        <w:t>pero no la conserva por diversas razones (</w:t>
      </w:r>
      <w:r>
        <w:rPr>
          <w:rFonts w:ascii="Palatino Linotype" w:eastAsia="Palatino Linotype" w:hAnsi="Palatino Linotype" w:cs="Palatino Linotype"/>
          <w:b/>
          <w:color w:val="000000"/>
        </w:rPr>
        <w:t>destrucción física, desaparición física, sustracción ilícita</w:t>
      </w:r>
      <w:r>
        <w:rPr>
          <w:rFonts w:ascii="Palatino Linotype" w:eastAsia="Palatino Linotype" w:hAnsi="Palatino Linotype" w:cs="Palatino Linotype"/>
          <w:color w:val="000000"/>
        </w:rPr>
        <w:t>, baja documental, etcétera).</w:t>
      </w:r>
    </w:p>
    <w:p w14:paraId="2A38A231"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9B2F10A" w14:textId="68CE29D3"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el</w:t>
      </w:r>
      <w:r>
        <w:rPr>
          <w:rFonts w:ascii="Palatino Linotype" w:eastAsia="Palatino Linotype" w:hAnsi="Palatino Linotype" w:cs="Palatino Linotype"/>
          <w:b/>
          <w:color w:val="000000"/>
        </w:rPr>
        <w:t xml:space="preserve"> SUJETO OBLIGADO </w:t>
      </w:r>
      <w:r>
        <w:rPr>
          <w:rFonts w:ascii="Palatino Linotype" w:eastAsia="Palatino Linotype" w:hAnsi="Palatino Linotype" w:cs="Palatino Linotype"/>
          <w:color w:val="000000"/>
        </w:rPr>
        <w:t>en todo tiempo deberá cumplir con las formalidades exi</w:t>
      </w:r>
      <w:r>
        <w:rPr>
          <w:rFonts w:ascii="Palatino Linotype" w:eastAsia="Palatino Linotype" w:hAnsi="Palatino Linotype" w:cs="Palatino Linotype"/>
          <w:color w:val="000000"/>
        </w:rPr>
        <w:t xml:space="preserve">gidas por el marco jurídico y, al dar cumplimiento a la </w:t>
      </w:r>
      <w:r>
        <w:rPr>
          <w:rFonts w:ascii="Palatino Linotype" w:eastAsia="Palatino Linotype" w:hAnsi="Palatino Linotype" w:cs="Palatino Linotype"/>
          <w:color w:val="000000"/>
        </w:rPr>
        <w:t xml:space="preserve">resolución, deberá acreditar la búsqueda exhaustiva y de ser el caso que no se </w:t>
      </w:r>
      <w:r>
        <w:rPr>
          <w:rFonts w:ascii="Palatino Linotype" w:eastAsia="Palatino Linotype" w:hAnsi="Palatino Linotype" w:cs="Palatino Linotype"/>
          <w:color w:val="000000"/>
        </w:rPr>
        <w:lastRenderedPageBreak/>
        <w:t xml:space="preserve">localice la información, tendrá que emitir el Acuerdo del Comité de Transparencia, que se hará del conocimiento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en los siguientes términos:</w:t>
      </w:r>
    </w:p>
    <w:p w14:paraId="40D5F229" w14:textId="77777777" w:rsidR="003A77CE" w:rsidRDefault="00D706BB">
      <w:pPr>
        <w:numPr>
          <w:ilvl w:val="1"/>
          <w:numId w:val="2"/>
        </w:numPr>
        <w:pBdr>
          <w:top w:val="nil"/>
          <w:left w:val="nil"/>
          <w:bottom w:val="nil"/>
          <w:right w:val="nil"/>
          <w:between w:val="nil"/>
        </w:pBdr>
        <w:tabs>
          <w:tab w:val="left" w:pos="426"/>
        </w:tabs>
        <w:spacing w:line="360" w:lineRule="auto"/>
        <w:ind w:left="993"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Deberá emitir el Acuerdo de Inexistencia respectivo, en el entendido que el acto de autoridad debe estar debidamente fundado y razonado.</w:t>
      </w:r>
    </w:p>
    <w:p w14:paraId="6AB7ED74" w14:textId="77777777" w:rsidR="003A77CE" w:rsidRDefault="00D706BB">
      <w:pPr>
        <w:numPr>
          <w:ilvl w:val="1"/>
          <w:numId w:val="2"/>
        </w:numPr>
        <w:pBdr>
          <w:top w:val="nil"/>
          <w:left w:val="nil"/>
          <w:bottom w:val="nil"/>
          <w:right w:val="nil"/>
          <w:between w:val="nil"/>
        </w:pBdr>
        <w:tabs>
          <w:tab w:val="left" w:pos="426"/>
        </w:tabs>
        <w:spacing w:line="360" w:lineRule="auto"/>
        <w:ind w:left="993"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se señalará el lugar y fecha de la resolución, el nombre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la información solicitada, el fundam</w:t>
      </w:r>
      <w:r>
        <w:rPr>
          <w:rFonts w:ascii="Palatino Linotype" w:eastAsia="Palatino Linotype" w:hAnsi="Palatino Linotype" w:cs="Palatino Linotype"/>
          <w:color w:val="000000"/>
        </w:rPr>
        <w:t>ento y motivo por el cual se determina que la información solicitada no obra en sus archivos, los nombres y firmas autógrafas de los integrantes del Comité de Información.</w:t>
      </w:r>
    </w:p>
    <w:p w14:paraId="2D1D5DD3"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AA52398"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toda vez que </w:t>
      </w:r>
      <w:r>
        <w:rPr>
          <w:rFonts w:ascii="Palatino Linotype" w:eastAsia="Palatino Linotype" w:hAnsi="Palatino Linotype" w:cs="Palatino Linotype"/>
          <w:b/>
          <w:color w:val="000000"/>
          <w:u w:val="single"/>
        </w:rPr>
        <w:t>es necesaria</w:t>
      </w:r>
      <w:r>
        <w:rPr>
          <w:rFonts w:ascii="Palatino Linotype" w:eastAsia="Palatino Linotype" w:hAnsi="Palatino Linotype" w:cs="Palatino Linotype"/>
          <w:color w:val="000000"/>
        </w:rPr>
        <w:t xml:space="preserve"> la emisión del Acuerdo de Inexistenci</w:t>
      </w:r>
      <w:r>
        <w:rPr>
          <w:rFonts w:ascii="Palatino Linotype" w:eastAsia="Palatino Linotype" w:hAnsi="Palatino Linotype" w:cs="Palatino Linotype"/>
          <w:color w:val="000000"/>
        </w:rPr>
        <w:t xml:space="preserve">a en aquellos casos en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b/>
          <w:color w:val="000000"/>
          <w:u w:val="single"/>
        </w:rPr>
        <w:t>generó</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la información solicitada empero previa búsqueda exhaustiva y minuciosa de la misma, no localiza la información requerida.</w:t>
      </w:r>
    </w:p>
    <w:p w14:paraId="0C53640D"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631F46D"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caso su Comité de Transparencia tiene el deber de emitir un Acuerdo de I</w:t>
      </w:r>
      <w:r>
        <w:rPr>
          <w:rFonts w:ascii="Palatino Linotype" w:eastAsia="Palatino Linotype" w:hAnsi="Palatino Linotype" w:cs="Palatino Linotype"/>
          <w:color w:val="000000"/>
        </w:rPr>
        <w:t xml:space="preserve">nexistencia, el cual -se insiste-, se dicta en aquellos supuestos en los que si bien la información solicitada la genera, posee o administra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el marco de las funciones de derecho público; sin embargo, éste no lo posee por la razones qu</w:t>
      </w:r>
      <w:r>
        <w:rPr>
          <w:rFonts w:ascii="Palatino Linotype" w:eastAsia="Palatino Linotype" w:hAnsi="Palatino Linotype" w:cs="Palatino Linotype"/>
          <w:color w:val="000000"/>
        </w:rPr>
        <w:t>e se deben expresar a través de un acuerdo debidamente fundado y motivado esto en estricto apego a lo establecido en los artículos 169 y 170 de la Ley de Transparencia y Acceso a la Información Pública del Estado de México y Municipios, los cuales establec</w:t>
      </w:r>
      <w:r>
        <w:rPr>
          <w:rFonts w:ascii="Palatino Linotype" w:eastAsia="Palatino Linotype" w:hAnsi="Palatino Linotype" w:cs="Palatino Linotype"/>
          <w:color w:val="000000"/>
        </w:rPr>
        <w:t>en lo siguiente:</w:t>
      </w:r>
    </w:p>
    <w:p w14:paraId="757AF228"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8A8CC6A"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169.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Cuando la información no se encuentre en los archivos</w:t>
      </w:r>
      <w:r>
        <w:rPr>
          <w:rFonts w:ascii="Palatino Linotype" w:eastAsia="Palatino Linotype" w:hAnsi="Palatino Linotype" w:cs="Palatino Linotype"/>
          <w:i/>
          <w:color w:val="000000"/>
          <w:sz w:val="22"/>
          <w:szCs w:val="22"/>
        </w:rPr>
        <w:t xml:space="preserve"> del sujeto obligado, el Comité de Transparencia: </w:t>
      </w:r>
    </w:p>
    <w:p w14:paraId="4EB6B6EE"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Analizará el caso y </w:t>
      </w:r>
      <w:r>
        <w:rPr>
          <w:rFonts w:ascii="Palatino Linotype" w:eastAsia="Palatino Linotype" w:hAnsi="Palatino Linotype" w:cs="Palatino Linotype"/>
          <w:b/>
          <w:i/>
          <w:color w:val="000000"/>
          <w:sz w:val="22"/>
          <w:szCs w:val="22"/>
        </w:rPr>
        <w:t>tomará las medidas necesarias para localizar la información</w:t>
      </w:r>
      <w:r>
        <w:rPr>
          <w:rFonts w:ascii="Palatino Linotype" w:eastAsia="Palatino Linotype" w:hAnsi="Palatino Linotype" w:cs="Palatino Linotype"/>
          <w:i/>
          <w:color w:val="000000"/>
          <w:sz w:val="22"/>
          <w:szCs w:val="22"/>
        </w:rPr>
        <w:t xml:space="preserve">; </w:t>
      </w:r>
    </w:p>
    <w:p w14:paraId="529499AF"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Expedirá una </w:t>
      </w:r>
      <w:r>
        <w:rPr>
          <w:rFonts w:ascii="Palatino Linotype" w:eastAsia="Palatino Linotype" w:hAnsi="Palatino Linotype" w:cs="Palatino Linotype"/>
          <w:b/>
          <w:i/>
          <w:color w:val="000000"/>
          <w:sz w:val="22"/>
          <w:szCs w:val="22"/>
        </w:rPr>
        <w:t>resolución que confirme la inexistencia</w:t>
      </w:r>
      <w:r>
        <w:rPr>
          <w:rFonts w:ascii="Palatino Linotype" w:eastAsia="Palatino Linotype" w:hAnsi="Palatino Linotype" w:cs="Palatino Linotype"/>
          <w:i/>
          <w:color w:val="000000"/>
          <w:sz w:val="22"/>
          <w:szCs w:val="22"/>
        </w:rPr>
        <w:t xml:space="preserve"> del documento; </w:t>
      </w:r>
    </w:p>
    <w:p w14:paraId="29D8A485"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Ordenará</w:t>
      </w:r>
      <w:r>
        <w:rPr>
          <w:rFonts w:ascii="Palatino Linotype" w:eastAsia="Palatino Linotype" w:hAnsi="Palatino Linotype" w:cs="Palatino Linotype"/>
          <w:i/>
          <w:color w:val="000000"/>
          <w:sz w:val="22"/>
          <w:szCs w:val="22"/>
        </w:rPr>
        <w:t xml:space="preserve">, siempre que sea materialmente posible, </w:t>
      </w:r>
      <w:r>
        <w:rPr>
          <w:rFonts w:ascii="Palatino Linotype" w:eastAsia="Palatino Linotype" w:hAnsi="Palatino Linotype" w:cs="Palatino Linotype"/>
          <w:b/>
          <w:i/>
          <w:color w:val="000000"/>
          <w:sz w:val="22"/>
          <w:szCs w:val="22"/>
        </w:rPr>
        <w:t>que se genere o se reponga la información</w:t>
      </w:r>
      <w:r>
        <w:rPr>
          <w:rFonts w:ascii="Palatino Linotype" w:eastAsia="Palatino Linotype" w:hAnsi="Palatino Linotype" w:cs="Palatino Linotype"/>
          <w:i/>
          <w:color w:val="000000"/>
          <w:sz w:val="22"/>
          <w:szCs w:val="22"/>
        </w:rPr>
        <w:t xml:space="preserve"> en caso de que ésta tuvie</w:t>
      </w:r>
      <w:r>
        <w:rPr>
          <w:rFonts w:ascii="Palatino Linotype" w:eastAsia="Palatino Linotype" w:hAnsi="Palatino Linotype" w:cs="Palatino Linotype"/>
          <w:i/>
          <w:color w:val="000000"/>
          <w:sz w:val="22"/>
          <w:szCs w:val="22"/>
        </w:rPr>
        <w:t>ra que existir en la medida que deriva del ejercicio de sus facultades, competencias o funciones, o que previa acreditación de la imposibilidad de su generación, exponga de forma fundada y motivada, las razones por las cuales en el caso particular no ejerc</w:t>
      </w:r>
      <w:r>
        <w:rPr>
          <w:rFonts w:ascii="Palatino Linotype" w:eastAsia="Palatino Linotype" w:hAnsi="Palatino Linotype" w:cs="Palatino Linotype"/>
          <w:i/>
          <w:color w:val="000000"/>
          <w:sz w:val="22"/>
          <w:szCs w:val="22"/>
        </w:rPr>
        <w:t xml:space="preserve">ió dichas facultades, competencias o funciones, lo cual notificará al solicitante a través de la Unidad de Transparencia; y </w:t>
      </w:r>
    </w:p>
    <w:p w14:paraId="772C42E7"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IV.</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Notificará al órgano interno de control o equivalente del sujeto obligado quien, en su caso, deberá iniciar el procedimiento de</w:t>
      </w:r>
      <w:r>
        <w:rPr>
          <w:rFonts w:ascii="Palatino Linotype" w:eastAsia="Palatino Linotype" w:hAnsi="Palatino Linotype" w:cs="Palatino Linotype"/>
          <w:b/>
          <w:i/>
          <w:color w:val="000000"/>
          <w:sz w:val="22"/>
          <w:szCs w:val="22"/>
          <w:u w:val="single"/>
        </w:rPr>
        <w:t xml:space="preserve"> responsabilidad administrativa que corresponda</w:t>
      </w:r>
      <w:r>
        <w:rPr>
          <w:rFonts w:ascii="Palatino Linotype" w:eastAsia="Palatino Linotype" w:hAnsi="Palatino Linotype" w:cs="Palatino Linotype"/>
          <w:i/>
          <w:color w:val="000000"/>
          <w:sz w:val="22"/>
          <w:szCs w:val="22"/>
        </w:rPr>
        <w:t xml:space="preserve">. </w:t>
      </w:r>
    </w:p>
    <w:p w14:paraId="780F87C8"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Unidad de Transparencia deberá notificarlo al solicitante por escrito, en un plazo que no exceda de quince días hábiles contados a partir del día siguiente a la presentación de la solicitud. </w:t>
      </w:r>
    </w:p>
    <w:p w14:paraId="06D90B35"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Este plazo </w:t>
      </w:r>
      <w:r>
        <w:rPr>
          <w:rFonts w:ascii="Palatino Linotype" w:eastAsia="Palatino Linotype" w:hAnsi="Palatino Linotype" w:cs="Palatino Linotype"/>
          <w:i/>
          <w:color w:val="000000"/>
          <w:sz w:val="22"/>
          <w:szCs w:val="22"/>
        </w:rPr>
        <w:t>podrá ampliarse hasta por otros siete días hábiles, siempre que existan razones para ello, debiendo notificarse por escrito al solicitante.”</w:t>
      </w:r>
    </w:p>
    <w:p w14:paraId="4F8F93FE"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522D69C3" w14:textId="77777777" w:rsidR="003A77CE" w:rsidRDefault="003A77CE">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14:paraId="333F4CA9" w14:textId="77777777" w:rsidR="003A77CE" w:rsidRDefault="00D706BB">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170.</w:t>
      </w:r>
      <w:r>
        <w:rPr>
          <w:rFonts w:ascii="Palatino Linotype" w:eastAsia="Palatino Linotype" w:hAnsi="Palatino Linotype" w:cs="Palatino Linotype"/>
          <w:i/>
          <w:color w:val="000000"/>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w:t>
      </w:r>
      <w:r>
        <w:rPr>
          <w:rFonts w:ascii="Palatino Linotype" w:eastAsia="Palatino Linotype" w:hAnsi="Palatino Linotype" w:cs="Palatino Linotype"/>
          <w:i/>
          <w:color w:val="000000"/>
          <w:sz w:val="22"/>
          <w:szCs w:val="22"/>
        </w:rPr>
        <w:t>rcunstancias de tiempo, modo y lugar que generaron la existencia en cuestión y señalará al servidor público responsable de contar con la misma.”</w:t>
      </w:r>
    </w:p>
    <w:p w14:paraId="1E6CBBAD"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C688BE0"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entonces, resulta notorio que </w:t>
      </w:r>
      <w:r>
        <w:rPr>
          <w:rFonts w:ascii="Palatino Linotype" w:eastAsia="Palatino Linotype" w:hAnsi="Palatino Linotype" w:cs="Palatino Linotype"/>
          <w:b/>
          <w:color w:val="000000"/>
        </w:rPr>
        <w:t>la manifestación de inexistencia</w:t>
      </w:r>
      <w:r>
        <w:rPr>
          <w:rFonts w:ascii="Palatino Linotype" w:eastAsia="Palatino Linotype" w:hAnsi="Palatino Linotype" w:cs="Palatino Linotype"/>
          <w:color w:val="000000"/>
        </w:rPr>
        <w:t xml:space="preserve"> de información no consiste meramente en ratificar que ciertos documentos no se encuentran en un área administrativa determinada, sino que </w:t>
      </w:r>
      <w:r>
        <w:rPr>
          <w:rFonts w:ascii="Palatino Linotype" w:eastAsia="Palatino Linotype" w:hAnsi="Palatino Linotype" w:cs="Palatino Linotype"/>
          <w:b/>
          <w:color w:val="000000"/>
        </w:rPr>
        <w:t>implica la alta responsabilidad del Comité de Transparencia de realizar todas las diligencias internas necesarias a e</w:t>
      </w:r>
      <w:r>
        <w:rPr>
          <w:rFonts w:ascii="Palatino Linotype" w:eastAsia="Palatino Linotype" w:hAnsi="Palatino Linotype" w:cs="Palatino Linotype"/>
          <w:b/>
          <w:color w:val="000000"/>
        </w:rPr>
        <w:t xml:space="preserve">fecto de asegurar de que se busque la información en todas </w:t>
      </w:r>
      <w:r>
        <w:rPr>
          <w:rFonts w:ascii="Palatino Linotype" w:eastAsia="Palatino Linotype" w:hAnsi="Palatino Linotype" w:cs="Palatino Linotype"/>
          <w:b/>
          <w:color w:val="000000"/>
        </w:rPr>
        <w:lastRenderedPageBreak/>
        <w:t>las áreas y unidades administrativas del SUJETO OBLIGADO a fin de constatar que realmente la información no obra más en los archivos del ayuntamiento; y, en dado caso</w:t>
      </w:r>
      <w:r>
        <w:rPr>
          <w:rFonts w:ascii="Palatino Linotype" w:eastAsia="Palatino Linotype" w:hAnsi="Palatino Linotype" w:cs="Palatino Linotype"/>
          <w:color w:val="000000"/>
        </w:rPr>
        <w:t>, cuando exista la posibilidad,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ordenará su regeneración o reposición</w:t>
      </w:r>
      <w:r>
        <w:rPr>
          <w:rFonts w:ascii="Palatino Linotype" w:eastAsia="Palatino Linotype" w:hAnsi="Palatino Linotype" w:cs="Palatino Linotype"/>
          <w:color w:val="000000"/>
        </w:rPr>
        <w:t xml:space="preserve"> inmediata; y, más importante aún, </w:t>
      </w:r>
      <w:r>
        <w:rPr>
          <w:rFonts w:ascii="Palatino Linotype" w:eastAsia="Palatino Linotype" w:hAnsi="Palatino Linotype" w:cs="Palatino Linotype"/>
          <w:b/>
          <w:color w:val="000000"/>
        </w:rPr>
        <w:t>notificará al órgano de control interno para que se inicie el procedimiento de responsabilidad administrativa respectivo</w:t>
      </w:r>
      <w:r>
        <w:rPr>
          <w:rFonts w:ascii="Palatino Linotype" w:eastAsia="Palatino Linotype" w:hAnsi="Palatino Linotype" w:cs="Palatino Linotype"/>
          <w:color w:val="000000"/>
        </w:rPr>
        <w:t>.</w:t>
      </w:r>
    </w:p>
    <w:p w14:paraId="61CAFAC5"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3035512"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otras palabras, </w:t>
      </w:r>
      <w:r>
        <w:rPr>
          <w:rFonts w:ascii="Palatino Linotype" w:eastAsia="Palatino Linotype" w:hAnsi="Palatino Linotype" w:cs="Palatino Linotype"/>
          <w:b/>
          <w:color w:val="000000"/>
        </w:rPr>
        <w:t>hablar de información inexistente implica</w:t>
      </w:r>
      <w:r>
        <w:rPr>
          <w:rFonts w:ascii="Palatino Linotype" w:eastAsia="Palatino Linotype" w:hAnsi="Palatino Linotype" w:cs="Palatino Linotype"/>
          <w:b/>
          <w:color w:val="000000"/>
        </w:rPr>
        <w:t xml:space="preserve"> la alta responsabilidad de explicar a la ciudadanía por qué un ente público que tiene la facultad y el deber de generar, poseer o administrar su información pública no la tiene</w:t>
      </w:r>
      <w:r>
        <w:rPr>
          <w:rFonts w:ascii="Palatino Linotype" w:eastAsia="Palatino Linotype" w:hAnsi="Palatino Linotype" w:cs="Palatino Linotype"/>
          <w:color w:val="000000"/>
        </w:rPr>
        <w:t>.</w:t>
      </w:r>
    </w:p>
    <w:p w14:paraId="71E376E4"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E55037C" w14:textId="77777777" w:rsidR="003A77CE" w:rsidRDefault="00D706B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bookmarkStart w:id="11" w:name="_heading=h.3rdcrjn" w:colFirst="0" w:colLast="0"/>
      <w:bookmarkEnd w:id="11"/>
      <w:r>
        <w:rPr>
          <w:rFonts w:ascii="Palatino Linotype" w:eastAsia="Palatino Linotype" w:hAnsi="Palatino Linotype" w:cs="Palatino Linotype"/>
          <w:b/>
          <w:color w:val="000000"/>
        </w:rPr>
        <w:t>QUINTO. Decisión</w:t>
      </w:r>
    </w:p>
    <w:p w14:paraId="5E739339"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2E3D01F"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analizada la naturaleza de la información, se estableció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tenía ningún impedimento para entregar la información relacionada con el catálogo de puestos de la administración municipal de Tenancingo, a pesar de que éste estuvi</w:t>
      </w:r>
      <w:r>
        <w:rPr>
          <w:rFonts w:ascii="Palatino Linotype" w:eastAsia="Palatino Linotype" w:hAnsi="Palatino Linotype" w:cs="Palatino Linotype"/>
          <w:color w:val="000000"/>
        </w:rPr>
        <w:t>era siendo elaborado por la Subdirección de Recursos Humanos, por lo que se ordenó la entrega de todos los catálogos generados desde el inicio de la actual administración a la fecha de la presentación de la solicitud de información.</w:t>
      </w:r>
    </w:p>
    <w:p w14:paraId="48B3E3A4"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830F521" w14:textId="77777777" w:rsidR="003A77CE" w:rsidRDefault="00D706BB">
      <w:pPr>
        <w:numPr>
          <w:ilvl w:val="0"/>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tanto, en conse</w:t>
      </w:r>
      <w:r>
        <w:rPr>
          <w:rFonts w:ascii="Palatino Linotype" w:eastAsia="Palatino Linotype" w:hAnsi="Palatino Linotype" w:cs="Palatino Linotype"/>
          <w:color w:val="000000"/>
        </w:rPr>
        <w:t xml:space="preserve">cuencia y en mérito de lo expuesto en líneas anteriores, resultan fundadas las razones o motivos de inconformidad hechos valer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dentro del recurso de revisión </w:t>
      </w:r>
      <w:r>
        <w:rPr>
          <w:rFonts w:ascii="Palatino Linotype" w:eastAsia="Palatino Linotype" w:hAnsi="Palatino Linotype" w:cs="Palatino Linotype"/>
          <w:b/>
          <w:color w:val="000000"/>
        </w:rPr>
        <w:t>04768/INFOEM/IP/RR/2021</w:t>
      </w:r>
      <w:r>
        <w:rPr>
          <w:rFonts w:ascii="Palatino Linotype" w:eastAsia="Palatino Linotype" w:hAnsi="Palatino Linotype" w:cs="Palatino Linotype"/>
          <w:color w:val="000000"/>
        </w:rPr>
        <w:t xml:space="preserve">; por </w:t>
      </w:r>
      <w:r>
        <w:rPr>
          <w:rFonts w:ascii="Palatino Linotype" w:eastAsia="Palatino Linotype" w:hAnsi="Palatino Linotype" w:cs="Palatino Linotype"/>
          <w:color w:val="000000"/>
        </w:rPr>
        <w:lastRenderedPageBreak/>
        <w:t>ello, y con fundamento en la fracción III del numer</w:t>
      </w:r>
      <w:r>
        <w:rPr>
          <w:rFonts w:ascii="Palatino Linotype" w:eastAsia="Palatino Linotype" w:hAnsi="Palatino Linotype" w:cs="Palatino Linotype"/>
          <w:color w:val="000000"/>
        </w:rPr>
        <w:t xml:space="preserve">al 186 de la Ley de Transparencia y Acceso a la Información Pública del Estado de México y Municipios, se </w:t>
      </w:r>
      <w:r>
        <w:rPr>
          <w:rFonts w:ascii="Palatino Linotype" w:eastAsia="Palatino Linotype" w:hAnsi="Palatino Linotype" w:cs="Palatino Linotype"/>
          <w:b/>
          <w:color w:val="000000"/>
        </w:rPr>
        <w:t>REVOCA</w:t>
      </w:r>
      <w:r>
        <w:rPr>
          <w:rFonts w:ascii="Palatino Linotype" w:eastAsia="Palatino Linotype" w:hAnsi="Palatino Linotype" w:cs="Palatino Linotype"/>
          <w:color w:val="000000"/>
        </w:rPr>
        <w:t xml:space="preserve"> la respuesta a la solicitud de información número </w:t>
      </w:r>
      <w:r>
        <w:rPr>
          <w:rFonts w:ascii="Palatino Linotype" w:eastAsia="Palatino Linotype" w:hAnsi="Palatino Linotype" w:cs="Palatino Linotype"/>
          <w:b/>
          <w:color w:val="000000"/>
        </w:rPr>
        <w:t>00279/TENANCIN/IP/2021</w:t>
      </w:r>
      <w:r>
        <w:rPr>
          <w:rFonts w:ascii="Palatino Linotype" w:eastAsia="Palatino Linotype" w:hAnsi="Palatino Linotype" w:cs="Palatino Linotype"/>
          <w:color w:val="000000"/>
        </w:rPr>
        <w:t>.</w:t>
      </w:r>
    </w:p>
    <w:p w14:paraId="4938B1B4" w14:textId="77777777" w:rsidR="003A77CE" w:rsidRDefault="003A77C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F062181" w14:textId="77777777" w:rsidR="003A77CE" w:rsidRDefault="00D706BB">
      <w:pPr>
        <w:numPr>
          <w:ilvl w:val="0"/>
          <w:numId w:val="4"/>
        </w:num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 -----------------------------------------------------------------------------------------------------------------------------------------------------------------------------</w:t>
      </w:r>
      <w:r>
        <w:rPr>
          <w:rFonts w:ascii="Palatino Linotype" w:eastAsia="Palatino Linotype" w:hAnsi="Palatino Linotype" w:cs="Palatino Linotype"/>
          <w:color w:val="000000"/>
        </w:rPr>
        <w:t>-------------------------------</w:t>
      </w:r>
    </w:p>
    <w:p w14:paraId="494026E8" w14:textId="77777777" w:rsidR="003A77CE" w:rsidRDefault="00D706BB">
      <w:pPr>
        <w:rPr>
          <w:rFonts w:ascii="Palatino Linotype" w:eastAsia="Palatino Linotype" w:hAnsi="Palatino Linotype" w:cs="Palatino Linotype"/>
          <w:color w:val="000000"/>
        </w:rPr>
      </w:pPr>
      <w:r>
        <w:br w:type="page"/>
      </w:r>
    </w:p>
    <w:p w14:paraId="3D217257" w14:textId="77777777" w:rsidR="003A77CE" w:rsidRDefault="00D706BB">
      <w:pPr>
        <w:pStyle w:val="Ttulo1"/>
        <w:spacing w:after="240" w:line="360" w:lineRule="auto"/>
        <w:jc w:val="center"/>
        <w:rPr>
          <w:b/>
          <w:color w:val="000000"/>
        </w:rPr>
      </w:pPr>
      <w:bookmarkStart w:id="12" w:name="_heading=h.26in1rg" w:colFirst="0" w:colLast="0"/>
      <w:bookmarkEnd w:id="12"/>
      <w:r>
        <w:rPr>
          <w:b/>
          <w:color w:val="000000"/>
        </w:rPr>
        <w:lastRenderedPageBreak/>
        <w:t>R E S O L U T I V O S</w:t>
      </w:r>
    </w:p>
    <w:p w14:paraId="472C4833" w14:textId="77777777" w:rsidR="003A77CE" w:rsidRDefault="00D706B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w:t>
      </w:r>
      <w:r>
        <w:rPr>
          <w:rFonts w:ascii="Palatino Linotype" w:eastAsia="Palatino Linotype" w:hAnsi="Palatino Linotype" w:cs="Palatino Linotype"/>
        </w:rPr>
        <w:t>Resultan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04768/INFOEM/IP/RR/2021 </w:t>
      </w:r>
      <w:r>
        <w:rPr>
          <w:rFonts w:ascii="Palatino Linotype" w:eastAsia="Palatino Linotype" w:hAnsi="Palatino Linotype" w:cs="Palatino Linotype"/>
        </w:rPr>
        <w:t>en términos del</w:t>
      </w:r>
      <w:r>
        <w:rPr>
          <w:rFonts w:ascii="Palatino Linotype" w:eastAsia="Palatino Linotype" w:hAnsi="Palatino Linotype" w:cs="Palatino Linotype"/>
          <w:b/>
        </w:rPr>
        <w:t xml:space="preserve"> 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la presente resolución.</w:t>
      </w:r>
    </w:p>
    <w:p w14:paraId="08DAA924" w14:textId="77777777" w:rsidR="003A77CE" w:rsidRDefault="003A77CE">
      <w:pPr>
        <w:spacing w:line="360" w:lineRule="auto"/>
        <w:jc w:val="both"/>
        <w:rPr>
          <w:rFonts w:ascii="Palatino Linotype" w:eastAsia="Palatino Linotype" w:hAnsi="Palatino Linotype" w:cs="Palatino Linotype"/>
          <w:b/>
        </w:rPr>
      </w:pPr>
    </w:p>
    <w:p w14:paraId="47979109" w14:textId="77777777" w:rsidR="003A77CE" w:rsidRDefault="00D706BB">
      <w:pPr>
        <w:spacing w:line="360" w:lineRule="auto"/>
        <w:jc w:val="both"/>
        <w:rPr>
          <w:rFonts w:ascii="Palatino Linotype" w:eastAsia="Palatino Linotype" w:hAnsi="Palatino Linotype" w:cs="Palatino Linotype"/>
          <w:color w:val="000000"/>
        </w:rPr>
      </w:pPr>
      <w:bookmarkStart w:id="13" w:name="_heading=h.lnxbz9" w:colFirst="0" w:colLast="0"/>
      <w:bookmarkEnd w:id="13"/>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Ayuntamiento de Tenancingo</w:t>
      </w:r>
      <w:r>
        <w:rPr>
          <w:rFonts w:ascii="Palatino Linotype" w:eastAsia="Palatino Linotype" w:hAnsi="Palatino Linotype" w:cs="Palatino Linotype"/>
        </w:rPr>
        <w:t xml:space="preserve"> a la solicitud </w:t>
      </w:r>
      <w:r>
        <w:rPr>
          <w:rFonts w:ascii="Palatino Linotype" w:eastAsia="Palatino Linotype" w:hAnsi="Palatino Linotype" w:cs="Palatino Linotype"/>
          <w:b/>
        </w:rPr>
        <w:t xml:space="preserve">00279/TENANCIN/IP/2021 </w:t>
      </w:r>
      <w:r>
        <w:rPr>
          <w:rFonts w:ascii="Palatino Linotype" w:eastAsia="Palatino Linotype" w:hAnsi="Palatino Linotype" w:cs="Palatino Linotype"/>
        </w:rPr>
        <w:t xml:space="preserve">y 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entregar, vía Sistema de Acceso a la Información Pública Mexiquense (SAIMEX)</w:t>
      </w:r>
      <w:r>
        <w:rPr>
          <w:rFonts w:ascii="Palatino Linotype" w:eastAsia="Palatino Linotype" w:hAnsi="Palatino Linotype" w:cs="Palatino Linotype"/>
          <w:color w:val="000000"/>
        </w:rPr>
        <w:t xml:space="preserve">, la siguiente información: </w:t>
      </w:r>
    </w:p>
    <w:p w14:paraId="1CA3E0A3" w14:textId="77777777" w:rsidR="003A77CE" w:rsidRDefault="003A77CE">
      <w:pPr>
        <w:spacing w:line="360" w:lineRule="auto"/>
        <w:ind w:right="616"/>
        <w:jc w:val="both"/>
        <w:rPr>
          <w:rFonts w:ascii="Palatino Linotype" w:eastAsia="Palatino Linotype" w:hAnsi="Palatino Linotype" w:cs="Palatino Linotype"/>
          <w:b/>
        </w:rPr>
      </w:pPr>
      <w:bookmarkStart w:id="14" w:name="_heading=h.35nkun2" w:colFirst="0" w:colLast="0"/>
      <w:bookmarkEnd w:id="14"/>
    </w:p>
    <w:p w14:paraId="55ED82F0" w14:textId="77777777" w:rsidR="003A77CE" w:rsidRDefault="00D706BB">
      <w:pPr>
        <w:numPr>
          <w:ilvl w:val="0"/>
          <w:numId w:val="3"/>
        </w:numPr>
        <w:pBdr>
          <w:top w:val="nil"/>
          <w:left w:val="nil"/>
          <w:bottom w:val="nil"/>
          <w:right w:val="nil"/>
          <w:between w:val="nil"/>
        </w:pBdr>
        <w:spacing w:after="240" w:line="360" w:lineRule="auto"/>
        <w:ind w:left="851" w:right="567" w:hanging="284"/>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rPr>
        <w:t>Todos los catálogos de puestos que conforman la administración pública municipal de Tenancingo, generados desde el uno (01) de enero de dos mil diecinueve al treinta (30) de agosto de dos mil veintiuno.</w:t>
      </w:r>
    </w:p>
    <w:p w14:paraId="13C51419" w14:textId="77777777" w:rsidR="003A77CE" w:rsidRDefault="003A77CE">
      <w:pPr>
        <w:tabs>
          <w:tab w:val="left" w:pos="993"/>
        </w:tabs>
        <w:spacing w:line="360" w:lineRule="auto"/>
        <w:ind w:right="567"/>
        <w:jc w:val="both"/>
        <w:rPr>
          <w:rFonts w:ascii="Palatino Linotype" w:eastAsia="Palatino Linotype" w:hAnsi="Palatino Linotype" w:cs="Palatino Linotype"/>
        </w:rPr>
      </w:pPr>
    </w:p>
    <w:p w14:paraId="0AA0AD92" w14:textId="77777777" w:rsidR="003A77CE" w:rsidRDefault="00D706B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TERCERO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Notifíquese a la Titular de la Unidad de Transparencia del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vía Sistema de Acceso a la Información Mexiquense (SAIMEX), para que conforme a los artículos 186 último párrafo, 189 párrafo segundo y 199 de la Ley de Transparencia y Acceso a l</w:t>
      </w:r>
      <w:r>
        <w:rPr>
          <w:rFonts w:ascii="Palatino Linotype" w:eastAsia="Palatino Linotype" w:hAnsi="Palatino Linotype" w:cs="Palatino Linotype"/>
          <w:color w:val="000000"/>
        </w:rPr>
        <w:t>a Información Pública del Estado de México y Municipios, vigente, dé cumplimiento a lo ordenado dentro del plazo de diez días hábiles, debiendo rendir a este Instituto el informe de cumplimiento de la resolución en un plazo de tres días hábiles posteriores</w:t>
      </w:r>
      <w:r>
        <w:rPr>
          <w:rFonts w:ascii="Palatino Linotype" w:eastAsia="Palatino Linotype" w:hAnsi="Palatino Linotype" w:cs="Palatino Linotype"/>
          <w:color w:val="000000"/>
        </w:rPr>
        <w:t>.</w:t>
      </w:r>
    </w:p>
    <w:p w14:paraId="512F6D24" w14:textId="77777777" w:rsidR="003A77CE" w:rsidRDefault="003A77CE">
      <w:pPr>
        <w:spacing w:line="360" w:lineRule="auto"/>
        <w:jc w:val="both"/>
        <w:rPr>
          <w:rFonts w:ascii="Palatino Linotype" w:eastAsia="Palatino Linotype" w:hAnsi="Palatino Linotype" w:cs="Palatino Linotype"/>
          <w:color w:val="000000"/>
        </w:rPr>
      </w:pPr>
    </w:p>
    <w:p w14:paraId="237AD346" w14:textId="77777777" w:rsidR="003A77CE" w:rsidRDefault="00D706B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lastRenderedPageBreak/>
        <w:t>CUARTO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manera fundada y motivada, podrá solicitar una ampliación de plazo para e</w:t>
      </w:r>
      <w:r>
        <w:rPr>
          <w:rFonts w:ascii="Palatino Linotype" w:eastAsia="Palatino Linotype" w:hAnsi="Palatino Linotype" w:cs="Palatino Linotype"/>
          <w:color w:val="000000"/>
        </w:rPr>
        <w:t>l cumplimiento de la presente resolución.</w:t>
      </w:r>
    </w:p>
    <w:p w14:paraId="3A07EC10" w14:textId="77777777" w:rsidR="003A77CE" w:rsidRDefault="003A77CE">
      <w:pPr>
        <w:spacing w:line="360" w:lineRule="auto"/>
        <w:jc w:val="both"/>
        <w:rPr>
          <w:rFonts w:ascii="Palatino Linotype" w:eastAsia="Palatino Linotype" w:hAnsi="Palatino Linotype" w:cs="Palatino Linotype"/>
          <w:color w:val="000000"/>
        </w:rPr>
      </w:pPr>
    </w:p>
    <w:p w14:paraId="5CF7EE2A" w14:textId="77777777" w:rsidR="003A77CE" w:rsidRDefault="00D706B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QUINTO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Notifíquese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resolución, vía Sistema de Acceso a la Información Mexiquense (SAIMEX).</w:t>
      </w:r>
    </w:p>
    <w:p w14:paraId="2E789E9F" w14:textId="77777777" w:rsidR="003A77CE" w:rsidRDefault="003A77CE">
      <w:pPr>
        <w:spacing w:line="360" w:lineRule="auto"/>
        <w:jc w:val="both"/>
        <w:rPr>
          <w:rFonts w:ascii="Palatino Linotype" w:eastAsia="Palatino Linotype" w:hAnsi="Palatino Linotype" w:cs="Palatino Linotype"/>
          <w:b/>
        </w:rPr>
      </w:pPr>
    </w:p>
    <w:p w14:paraId="6469F9AC" w14:textId="77777777" w:rsidR="003A77CE" w:rsidRDefault="00D706B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SEXTO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 hace del conocimiento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color w:val="000000"/>
        </w:rPr>
        <w:t>que, de conformidad con lo establecido en el ar</w:t>
      </w:r>
      <w:r>
        <w:rPr>
          <w:rFonts w:ascii="Palatino Linotype" w:eastAsia="Palatino Linotype" w:hAnsi="Palatino Linotype" w:cs="Palatino Linotype"/>
          <w:color w:val="000000"/>
        </w:rPr>
        <w:t>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09C395D" w14:textId="77777777" w:rsidR="003A77CE" w:rsidRDefault="003A77CE">
      <w:pPr>
        <w:spacing w:line="360" w:lineRule="auto"/>
        <w:jc w:val="both"/>
        <w:rPr>
          <w:rFonts w:ascii="Palatino Linotype" w:eastAsia="Palatino Linotype" w:hAnsi="Palatino Linotype" w:cs="Palatino Linotype"/>
          <w:color w:val="000000"/>
        </w:rPr>
      </w:pPr>
    </w:p>
    <w:p w14:paraId="1451849F" w14:textId="77777777" w:rsidR="003A77CE" w:rsidRDefault="00D706BB">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15" w:name="_heading=h.1ksv4uv" w:colFirst="0" w:colLast="0"/>
      <w:bookmarkEnd w:id="15"/>
      <w:r>
        <w:rPr>
          <w:rFonts w:ascii="Palatino Linotype" w:eastAsia="Palatino Linotype" w:hAnsi="Palatino Linotype" w:cs="Palatino Linotype"/>
          <w:color w:val="000000"/>
        </w:rPr>
        <w:t>A</w:t>
      </w:r>
      <w:r>
        <w:rPr>
          <w:rFonts w:ascii="Palatino Linotype" w:eastAsia="Palatino Linotype" w:hAnsi="Palatino Linotype" w:cs="Palatino Linotype"/>
          <w:color w:val="000000"/>
        </w:rPr>
        <w:t>SÍ LO RESUELVE, POR UNANIMIDAD DE VOTOS, EL PLENO DEL INSTITUTO DE TRANSPARENCIA, ACCESO A LA INFORMACIÓN PÚBLICA Y PROTECCIÓN DE DATOS PERSONALES DEL ESTADO DE MÉXICO Y MUNICIPIOS, CONFORMADO POR LOS COMISIONADOS JOSÉ MARTÍNEZ VILCHIS, MARÍA DEL ROSARIO M</w:t>
      </w:r>
      <w:r>
        <w:rPr>
          <w:rFonts w:ascii="Palatino Linotype" w:eastAsia="Palatino Linotype" w:hAnsi="Palatino Linotype" w:cs="Palatino Linotype"/>
          <w:color w:val="000000"/>
        </w:rPr>
        <w:t>EJÍA AYALA, SHARON CRISTINA MORALES MARTÍNEZ, LUIS GUSTAVO PARRA NORIEGA Y GUADALUPE RAMÍREZ PEÑA; EN LA CUADRAGÉSIMA TERCERA SESIÓN ORDINARIA CELEBRADA EL UNO (01) DE DICIEMBRE DE DOS MIL VEINTIUNO, ANTE EL SECRETARIO TÉCNICO DEL PLENO ALEXIS TAPIA RAMÍRE</w:t>
      </w:r>
      <w:r>
        <w:rPr>
          <w:rFonts w:ascii="Palatino Linotype" w:eastAsia="Palatino Linotype" w:hAnsi="Palatino Linotype" w:cs="Palatino Linotype"/>
          <w:color w:val="000000"/>
        </w:rPr>
        <w:t xml:space="preserve">Z. </w:t>
      </w:r>
    </w:p>
    <w:p w14:paraId="16598774" w14:textId="77777777" w:rsidR="003A77CE" w:rsidRDefault="00D706BB">
      <w:pPr>
        <w:rPr>
          <w:rFonts w:ascii="Palatino Linotype" w:eastAsia="Palatino Linotype" w:hAnsi="Palatino Linotype" w:cs="Palatino Linotype"/>
          <w:color w:val="000000"/>
        </w:rPr>
      </w:pPr>
      <w:r>
        <w:br w:type="page"/>
      </w:r>
    </w:p>
    <w:sectPr w:rsidR="003A77CE">
      <w:headerReference w:type="default" r:id="rId26"/>
      <w:footerReference w:type="default" r:id="rId27"/>
      <w:headerReference w:type="first" r:id="rId28"/>
      <w:footerReference w:type="first" r:id="rId2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A29A6" w14:textId="77777777" w:rsidR="00000000" w:rsidRDefault="00D706BB">
      <w:r>
        <w:separator/>
      </w:r>
    </w:p>
  </w:endnote>
  <w:endnote w:type="continuationSeparator" w:id="0">
    <w:p w14:paraId="62D21CF5" w14:textId="77777777" w:rsidR="00000000" w:rsidRDefault="00D70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BDE51" w14:textId="77777777" w:rsidR="003A77CE" w:rsidRDefault="00D706B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31537E">
      <w:rPr>
        <w:rFonts w:ascii="Palatino Linotype" w:eastAsia="Palatino Linotype" w:hAnsi="Palatino Linotype" w:cs="Palatino Linotype"/>
        <w:b/>
        <w:noProof/>
        <w:color w:val="000000"/>
        <w:sz w:val="22"/>
        <w:szCs w:val="22"/>
      </w:rPr>
      <w:t>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31537E">
      <w:rPr>
        <w:rFonts w:ascii="Palatino Linotype" w:eastAsia="Palatino Linotype" w:hAnsi="Palatino Linotype" w:cs="Palatino Linotype"/>
        <w:b/>
        <w:noProof/>
        <w:color w:val="000000"/>
        <w:sz w:val="22"/>
        <w:szCs w:val="22"/>
      </w:rPr>
      <w:t>2</w:t>
    </w:r>
    <w:r>
      <w:rPr>
        <w:rFonts w:ascii="Palatino Linotype" w:eastAsia="Palatino Linotype" w:hAnsi="Palatino Linotype" w:cs="Palatino Linotype"/>
        <w:b/>
        <w:color w:val="000000"/>
        <w:sz w:val="22"/>
        <w:szCs w:val="22"/>
      </w:rPr>
      <w:fldChar w:fldCharType="end"/>
    </w:r>
  </w:p>
  <w:p w14:paraId="5F7CB6BF" w14:textId="77777777" w:rsidR="003A77CE" w:rsidRDefault="003A77CE">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A37F" w14:textId="77777777" w:rsidR="003A77CE" w:rsidRDefault="00D706B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1537E">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1537E">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p>
  <w:p w14:paraId="0F501A54" w14:textId="77777777" w:rsidR="003A77CE" w:rsidRDefault="003A77CE">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DEB1A" w14:textId="77777777" w:rsidR="00000000" w:rsidRDefault="00D706BB">
      <w:r>
        <w:separator/>
      </w:r>
    </w:p>
  </w:footnote>
  <w:footnote w:type="continuationSeparator" w:id="0">
    <w:p w14:paraId="42E5B4AA" w14:textId="77777777" w:rsidR="00000000" w:rsidRDefault="00D706BB">
      <w:r>
        <w:continuationSeparator/>
      </w:r>
    </w:p>
  </w:footnote>
  <w:footnote w:id="1">
    <w:p w14:paraId="18481B71" w14:textId="77777777" w:rsidR="003A77CE" w:rsidRDefault="00D706B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Convención Americana sobre Derechos Humanos. Artículo 13.</w:t>
      </w:r>
    </w:p>
  </w:footnote>
  <w:footnote w:id="2">
    <w:p w14:paraId="21518888" w14:textId="77777777" w:rsidR="003A77CE" w:rsidRDefault="00D706B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Constitución Política de los Estados Unidos Mexicanos. Artículo sexto, sección A, fracción I.</w:t>
      </w:r>
    </w:p>
  </w:footnote>
  <w:footnote w:id="3">
    <w:p w14:paraId="4FEF9203" w14:textId="77777777" w:rsidR="003A77CE" w:rsidRDefault="00D706B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w:t>
      </w:r>
      <w:r>
        <w:rPr>
          <w:rFonts w:ascii="Palatino Linotype" w:eastAsia="Palatino Linotype" w:hAnsi="Palatino Linotype" w:cs="Palatino Linotype"/>
          <w:color w:val="000000"/>
          <w:sz w:val="18"/>
          <w:szCs w:val="18"/>
        </w:rPr>
        <w:t>eptiembre de 2006. Serie C. No. 151. Párr. 86.</w:t>
      </w:r>
    </w:p>
  </w:footnote>
  <w:footnote w:id="4">
    <w:p w14:paraId="34C1574E" w14:textId="77777777" w:rsidR="003A77CE" w:rsidRDefault="00D706BB">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Ibídem. Parr. 87.</w:t>
      </w:r>
    </w:p>
  </w:footnote>
  <w:footnote w:id="5">
    <w:p w14:paraId="783F197C"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6">
    <w:p w14:paraId="27C19532"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w:t>
      </w:r>
      <w:r>
        <w:rPr>
          <w:color w:val="000000"/>
          <w:sz w:val="20"/>
          <w:szCs w:val="20"/>
        </w:rPr>
        <w:t>l Estado de México y Municipios.</w:t>
      </w:r>
    </w:p>
  </w:footnote>
  <w:footnote w:id="7">
    <w:p w14:paraId="48856F69" w14:textId="77777777" w:rsidR="003A77CE" w:rsidRDefault="00D706B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20FFD97" w14:textId="77777777" w:rsidR="003A77CE" w:rsidRDefault="00D706BB">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7A8059A7" w14:textId="77777777" w:rsidR="003A77CE" w:rsidRDefault="00D706BB">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28FC46AB" w14:textId="77777777" w:rsidR="003A77CE" w:rsidRDefault="00D706BB">
      <w:pPr>
        <w:pBdr>
          <w:top w:val="nil"/>
          <w:left w:val="nil"/>
          <w:bottom w:val="nil"/>
          <w:right w:val="nil"/>
          <w:between w:val="nil"/>
        </w:pBdr>
        <w:rPr>
          <w:color w:val="000000"/>
          <w:sz w:val="20"/>
          <w:szCs w:val="20"/>
        </w:rPr>
      </w:pPr>
      <w:r>
        <w:rPr>
          <w:color w:val="000000"/>
          <w:sz w:val="20"/>
          <w:szCs w:val="20"/>
        </w:rPr>
        <w:t>(…)”</w:t>
      </w:r>
    </w:p>
  </w:footnote>
  <w:footnote w:id="8">
    <w:p w14:paraId="712FD048"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2, Ley del Trabajo de los Servidores Públicos del Estado y Municipios.</w:t>
      </w:r>
    </w:p>
  </w:footnote>
  <w:footnote w:id="9">
    <w:p w14:paraId="525642E8"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99, Ley del Trabajo de los Servidores Públicos</w:t>
      </w:r>
      <w:r>
        <w:rPr>
          <w:color w:val="000000"/>
          <w:sz w:val="20"/>
          <w:szCs w:val="20"/>
        </w:rPr>
        <w:t xml:space="preserve"> del Estado y Municipios.</w:t>
      </w:r>
    </w:p>
  </w:footnote>
  <w:footnote w:id="10">
    <w:p w14:paraId="525195B9"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100, Ídem.</w:t>
      </w:r>
    </w:p>
  </w:footnote>
  <w:footnote w:id="11">
    <w:p w14:paraId="1EE9B313"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https://finanzas.edomex.gob.mx/sites/finanzas.edomex.gob.mx/files/files/Servidores%20Publicos/MANUAL/2_2%20CATALOGO%20DE%20PUESTOS.pdf</w:t>
      </w:r>
    </w:p>
  </w:footnote>
  <w:footnote w:id="12">
    <w:p w14:paraId="0687A3B7"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https://www.ipomex.org.mx/ipo3/lgt/indi</w:t>
      </w:r>
      <w:r>
        <w:rPr>
          <w:color w:val="000000"/>
          <w:sz w:val="20"/>
          <w:szCs w:val="20"/>
        </w:rPr>
        <w:t>ce/TENANCINGO.web</w:t>
      </w:r>
    </w:p>
  </w:footnote>
  <w:footnote w:id="13">
    <w:p w14:paraId="1CA065B8"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https://www.ipomex.org.mx/ipo3/lgt/indice/TENANCINGO/art_92_xii.web</w:t>
      </w:r>
    </w:p>
  </w:footnote>
  <w:footnote w:id="14">
    <w:p w14:paraId="506B0D33"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https://www.ipomex.org.mx/ipo3/lgt/indice/TENANCINGO/art_92_xii/2.web</w:t>
      </w:r>
    </w:p>
  </w:footnote>
  <w:footnote w:id="15">
    <w:p w14:paraId="35E630B3"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https://www.ipomex.org.mx/ipo3/lgt/indice/TENANCI</w:t>
      </w:r>
      <w:r>
        <w:rPr>
          <w:color w:val="000000"/>
          <w:sz w:val="20"/>
          <w:szCs w:val="20"/>
        </w:rPr>
        <w:t>NGO/art_92_xii/3.web</w:t>
      </w:r>
    </w:p>
  </w:footnote>
  <w:footnote w:id="16">
    <w:p w14:paraId="5AE70E54"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https://www.ipomex.org.mx/ipo3/lgt/indice/TENANCINGO/art_92_xii/0.web</w:t>
      </w:r>
    </w:p>
  </w:footnote>
  <w:footnote w:id="17">
    <w:p w14:paraId="6D1D9B68"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https://www.ipomex.org.mx/ipo3/lgt/indice/TENANCINGO/art_92_xii/1.web</w:t>
      </w:r>
    </w:p>
  </w:footnote>
  <w:footnote w:id="18">
    <w:p w14:paraId="23DFDE64" w14:textId="77777777" w:rsidR="003A77CE" w:rsidRDefault="00D706B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Lo anterior es incluso un requerimiento del Sistema Interamericano de Protección a los Derechos Humanos.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ADF6" w14:textId="77777777" w:rsidR="003A77CE" w:rsidRDefault="00D706BB">
    <w:pPr>
      <w:pBdr>
        <w:top w:val="nil"/>
        <w:left w:val="nil"/>
        <w:bottom w:val="nil"/>
        <w:right w:val="nil"/>
        <w:between w:val="nil"/>
      </w:pBdr>
      <w:tabs>
        <w:tab w:val="center" w:pos="4252"/>
        <w:tab w:val="right" w:pos="8504"/>
        <w:tab w:val="left" w:pos="8460"/>
      </w:tabs>
      <w:rPr>
        <w:color w:val="000000"/>
      </w:rPr>
    </w:pPr>
    <w:r>
      <w:rPr>
        <w:noProof/>
        <w:color w:val="000000"/>
      </w:rPr>
      <w:drawing>
        <wp:anchor distT="0" distB="0" distL="0" distR="0" simplePos="0" relativeHeight="251657216" behindDoc="1" locked="0" layoutInCell="1" hidden="0" allowOverlap="1" wp14:anchorId="3FACAC22" wp14:editId="5E546D71">
          <wp:simplePos x="0" y="0"/>
          <wp:positionH relativeFrom="margin">
            <wp:posOffset>-1043748</wp:posOffset>
          </wp:positionH>
          <wp:positionV relativeFrom="page">
            <wp:posOffset>38100</wp:posOffset>
          </wp:positionV>
          <wp:extent cx="7695210" cy="10020839"/>
          <wp:effectExtent l="0" t="0" r="0" b="0"/>
          <wp:wrapNone/>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95210" cy="10020839"/>
                  </a:xfrm>
                  <a:prstGeom prst="rect">
                    <a:avLst/>
                  </a:prstGeom>
                  <a:ln/>
                </pic:spPr>
              </pic:pic>
            </a:graphicData>
          </a:graphic>
        </wp:anchor>
      </w:drawing>
    </w:r>
    <w:r>
      <w:rPr>
        <w:color w:val="000000"/>
      </w:rPr>
      <w:tab/>
    </w:r>
  </w:p>
  <w:p w14:paraId="33F99AFF" w14:textId="77777777" w:rsidR="003A77CE" w:rsidRDefault="003A77CE">
    <w:pPr>
      <w:pBdr>
        <w:top w:val="nil"/>
        <w:left w:val="nil"/>
        <w:bottom w:val="nil"/>
        <w:right w:val="nil"/>
        <w:between w:val="nil"/>
      </w:pBdr>
      <w:tabs>
        <w:tab w:val="center" w:pos="4252"/>
        <w:tab w:val="right" w:pos="8504"/>
      </w:tabs>
      <w:rPr>
        <w:color w:val="000000"/>
      </w:rPr>
    </w:pPr>
  </w:p>
  <w:tbl>
    <w:tblPr>
      <w:tblStyle w:val="a1"/>
      <w:tblW w:w="6950"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0"/>
      <w:gridCol w:w="3690"/>
    </w:tblGrid>
    <w:tr w:rsidR="003A77CE" w14:paraId="7398FBB9" w14:textId="77777777">
      <w:trPr>
        <w:trHeight w:val="138"/>
        <w:jc w:val="right"/>
      </w:trPr>
      <w:tc>
        <w:tcPr>
          <w:tcW w:w="3260" w:type="dxa"/>
          <w:vAlign w:val="center"/>
        </w:tcPr>
        <w:p w14:paraId="09BC0062" w14:textId="77777777" w:rsidR="003A77CE" w:rsidRDefault="00D706BB">
          <w:pPr>
            <w:ind w:right="3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90" w:type="dxa"/>
          <w:vAlign w:val="center"/>
        </w:tcPr>
        <w:p w14:paraId="0C67579E" w14:textId="77777777" w:rsidR="003A77CE" w:rsidRDefault="00D706BB">
          <w:pPr>
            <w:pBdr>
              <w:top w:val="nil"/>
              <w:left w:val="nil"/>
              <w:bottom w:val="nil"/>
              <w:right w:val="nil"/>
              <w:between w:val="nil"/>
            </w:pBdr>
            <w:tabs>
              <w:tab w:val="center" w:pos="4252"/>
              <w:tab w:val="right" w:pos="8504"/>
            </w:tabs>
            <w:jc w:val="both"/>
            <w:rPr>
              <w:rFonts w:ascii="Palatino Linotype" w:eastAsia="Palatino Linotype" w:hAnsi="Palatino Linotype" w:cs="Palatino Linotype"/>
              <w:b/>
            </w:rPr>
          </w:pPr>
          <w:r>
            <w:rPr>
              <w:rFonts w:ascii="Palatino Linotype" w:eastAsia="Palatino Linotype" w:hAnsi="Palatino Linotype" w:cs="Palatino Linotype"/>
              <w:b/>
            </w:rPr>
            <w:t>04768/INFOEM/IP/RR/2021</w:t>
          </w:r>
        </w:p>
      </w:tc>
    </w:tr>
    <w:tr w:rsidR="003A77CE" w14:paraId="2FF88692" w14:textId="77777777">
      <w:trPr>
        <w:trHeight w:val="233"/>
        <w:jc w:val="right"/>
      </w:trPr>
      <w:tc>
        <w:tcPr>
          <w:tcW w:w="3260" w:type="dxa"/>
          <w:vAlign w:val="center"/>
        </w:tcPr>
        <w:p w14:paraId="4EFDD24E" w14:textId="77777777" w:rsidR="003A77CE" w:rsidRDefault="00D706BB">
          <w:pPr>
            <w:ind w:right="3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90" w:type="dxa"/>
          <w:vAlign w:val="center"/>
        </w:tcPr>
        <w:p w14:paraId="7A79DBF7" w14:textId="77777777" w:rsidR="003A77CE" w:rsidRDefault="00D706BB">
          <w:pPr>
            <w:pBdr>
              <w:top w:val="nil"/>
              <w:left w:val="nil"/>
              <w:bottom w:val="nil"/>
              <w:right w:val="nil"/>
              <w:between w:val="nil"/>
            </w:pBdr>
            <w:tabs>
              <w:tab w:val="center" w:pos="4252"/>
              <w:tab w:val="right" w:pos="8504"/>
            </w:tabs>
            <w:rPr>
              <w:rFonts w:ascii="Palatino Linotype" w:eastAsia="Palatino Linotype" w:hAnsi="Palatino Linotype" w:cs="Palatino Linotype"/>
              <w:b/>
            </w:rPr>
          </w:pPr>
          <w:r>
            <w:rPr>
              <w:rFonts w:ascii="Palatino Linotype" w:eastAsia="Palatino Linotype" w:hAnsi="Palatino Linotype" w:cs="Palatino Linotype"/>
              <w:b/>
            </w:rPr>
            <w:t>Ayuntamiento de Tenancingo</w:t>
          </w:r>
        </w:p>
      </w:tc>
    </w:tr>
    <w:tr w:rsidR="003A77CE" w14:paraId="042CF4BF" w14:textId="77777777">
      <w:trPr>
        <w:trHeight w:val="321"/>
        <w:jc w:val="right"/>
      </w:trPr>
      <w:tc>
        <w:tcPr>
          <w:tcW w:w="3260" w:type="dxa"/>
          <w:vAlign w:val="center"/>
        </w:tcPr>
        <w:p w14:paraId="6C4F61FB" w14:textId="77777777" w:rsidR="003A77CE" w:rsidRDefault="00D706BB">
          <w:pPr>
            <w:ind w:right="3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90" w:type="dxa"/>
          <w:vAlign w:val="center"/>
        </w:tcPr>
        <w:p w14:paraId="3C6EDD4F" w14:textId="77777777" w:rsidR="003A77CE" w:rsidRDefault="00D706BB">
          <w:pPr>
            <w:pBdr>
              <w:top w:val="nil"/>
              <w:left w:val="nil"/>
              <w:bottom w:val="nil"/>
              <w:right w:val="nil"/>
              <w:between w:val="nil"/>
            </w:pBdr>
            <w:tabs>
              <w:tab w:val="center" w:pos="4252"/>
              <w:tab w:val="right" w:pos="8504"/>
            </w:tabs>
            <w:rPr>
              <w:rFonts w:ascii="Palatino Linotype" w:eastAsia="Palatino Linotype" w:hAnsi="Palatino Linotype" w:cs="Palatino Linotype"/>
              <w:b/>
            </w:rPr>
          </w:pPr>
          <w:r>
            <w:rPr>
              <w:rFonts w:ascii="Palatino Linotype" w:eastAsia="Palatino Linotype" w:hAnsi="Palatino Linotype" w:cs="Palatino Linotype"/>
              <w:b/>
            </w:rPr>
            <w:t>María del Rosario Mejía Ayala</w:t>
          </w:r>
        </w:p>
      </w:tc>
    </w:tr>
  </w:tbl>
  <w:p w14:paraId="4BB5FD15" w14:textId="77777777" w:rsidR="003A77CE" w:rsidRDefault="003A77CE">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7CD5" w14:textId="77777777" w:rsidR="003A77CE" w:rsidRDefault="00D706BB">
    <w:pPr>
      <w:pBdr>
        <w:top w:val="nil"/>
        <w:left w:val="nil"/>
        <w:bottom w:val="nil"/>
        <w:right w:val="nil"/>
        <w:between w:val="nil"/>
      </w:pBdr>
      <w:tabs>
        <w:tab w:val="center" w:pos="4252"/>
        <w:tab w:val="right" w:pos="8504"/>
        <w:tab w:val="left" w:pos="3103"/>
      </w:tabs>
      <w:rPr>
        <w:color w:val="000000"/>
      </w:rPr>
    </w:pPr>
    <w:r>
      <w:rPr>
        <w:color w:val="000000"/>
      </w:rPr>
      <w:pict w14:anchorId="67F76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118.65pt;margin-top:-128.35pt;width:663.5pt;height:12in;z-index:-251658240;mso-position-horizontal:absolute;mso-position-horizontal-relative:margin;mso-position-vertical:absolute;mso-position-vertical-relative:margin">
          <v:imagedata r:id="rId1" o:title="image5"/>
          <w10:wrap anchorx="margin" anchory="margin"/>
        </v:shape>
      </w:pict>
    </w:r>
    <w:r>
      <w:rPr>
        <w:color w:val="000000"/>
      </w:rPr>
      <w:tab/>
    </w:r>
  </w:p>
  <w:p w14:paraId="2DB700A6" w14:textId="77777777" w:rsidR="003A77CE" w:rsidRDefault="003A77CE">
    <w:pPr>
      <w:pBdr>
        <w:top w:val="nil"/>
        <w:left w:val="nil"/>
        <w:bottom w:val="nil"/>
        <w:right w:val="nil"/>
        <w:between w:val="nil"/>
      </w:pBdr>
      <w:tabs>
        <w:tab w:val="center" w:pos="4252"/>
        <w:tab w:val="right" w:pos="8504"/>
        <w:tab w:val="left" w:pos="3103"/>
      </w:tabs>
    </w:pPr>
  </w:p>
  <w:tbl>
    <w:tblPr>
      <w:tblStyle w:val="a0"/>
      <w:tblW w:w="7372"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1"/>
      <w:gridCol w:w="4111"/>
    </w:tblGrid>
    <w:tr w:rsidR="003A77CE" w14:paraId="470D620C" w14:textId="77777777">
      <w:trPr>
        <w:trHeight w:val="138"/>
        <w:jc w:val="right"/>
      </w:trPr>
      <w:tc>
        <w:tcPr>
          <w:tcW w:w="3261" w:type="dxa"/>
          <w:vAlign w:val="center"/>
        </w:tcPr>
        <w:p w14:paraId="60A0B127" w14:textId="77777777" w:rsidR="003A77CE" w:rsidRDefault="00D706BB">
          <w:pPr>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111" w:type="dxa"/>
          <w:vAlign w:val="center"/>
        </w:tcPr>
        <w:p w14:paraId="0FB8FEA3" w14:textId="77777777" w:rsidR="003A77CE" w:rsidRDefault="00D706BB">
          <w:pPr>
            <w:pBdr>
              <w:top w:val="nil"/>
              <w:left w:val="nil"/>
              <w:bottom w:val="nil"/>
              <w:right w:val="nil"/>
              <w:between w:val="nil"/>
            </w:pBdr>
            <w:tabs>
              <w:tab w:val="center" w:pos="4252"/>
              <w:tab w:val="right" w:pos="8504"/>
            </w:tabs>
            <w:rPr>
              <w:rFonts w:ascii="Palatino Linotype" w:eastAsia="Palatino Linotype" w:hAnsi="Palatino Linotype" w:cs="Palatino Linotype"/>
              <w:b/>
            </w:rPr>
          </w:pPr>
          <w:r>
            <w:rPr>
              <w:rFonts w:ascii="Palatino Linotype" w:eastAsia="Palatino Linotype" w:hAnsi="Palatino Linotype" w:cs="Palatino Linotype"/>
              <w:b/>
            </w:rPr>
            <w:t>04768/INFOEM/IP/RR/2021</w:t>
          </w:r>
        </w:p>
      </w:tc>
    </w:tr>
    <w:tr w:rsidR="003A77CE" w14:paraId="5512187C" w14:textId="77777777">
      <w:trPr>
        <w:trHeight w:val="233"/>
        <w:jc w:val="right"/>
      </w:trPr>
      <w:tc>
        <w:tcPr>
          <w:tcW w:w="3261" w:type="dxa"/>
          <w:vAlign w:val="center"/>
        </w:tcPr>
        <w:p w14:paraId="67772DFD" w14:textId="77777777" w:rsidR="003A77CE" w:rsidRDefault="00D706BB">
          <w:pPr>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111" w:type="dxa"/>
        </w:tcPr>
        <w:p w14:paraId="622C35A0" w14:textId="7E565CF8" w:rsidR="003A77CE" w:rsidRDefault="00D13A3A">
          <w:pPr>
            <w:pBdr>
              <w:top w:val="nil"/>
              <w:left w:val="nil"/>
              <w:bottom w:val="nil"/>
              <w:right w:val="nil"/>
              <w:between w:val="nil"/>
            </w:pBdr>
            <w:tabs>
              <w:tab w:val="center" w:pos="4252"/>
              <w:tab w:val="right" w:pos="8504"/>
            </w:tabs>
            <w:rPr>
              <w:rFonts w:ascii="Palatino Linotype" w:eastAsia="Palatino Linotype" w:hAnsi="Palatino Linotype" w:cs="Palatino Linotype"/>
              <w:b/>
            </w:rPr>
          </w:pPr>
          <w:r>
            <w:rPr>
              <w:rFonts w:ascii="Palatino Linotype" w:eastAsia="Palatino Linotype" w:hAnsi="Palatino Linotype" w:cs="Palatino Linotype"/>
              <w:b/>
            </w:rPr>
            <w:t>XXXXXXXXXXXX XXXXXXXXXX XX XXXXXXXXX</w:t>
          </w:r>
        </w:p>
      </w:tc>
    </w:tr>
    <w:tr w:rsidR="003A77CE" w14:paraId="168055F5" w14:textId="77777777">
      <w:trPr>
        <w:trHeight w:val="321"/>
        <w:jc w:val="right"/>
      </w:trPr>
      <w:tc>
        <w:tcPr>
          <w:tcW w:w="3261" w:type="dxa"/>
          <w:vAlign w:val="center"/>
        </w:tcPr>
        <w:p w14:paraId="32423353" w14:textId="77777777" w:rsidR="003A77CE" w:rsidRDefault="00D706BB">
          <w:pPr>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111" w:type="dxa"/>
          <w:vAlign w:val="center"/>
        </w:tcPr>
        <w:p w14:paraId="30B7CEAB" w14:textId="77777777" w:rsidR="003A77CE" w:rsidRDefault="00D706BB">
          <w:pPr>
            <w:pBdr>
              <w:top w:val="nil"/>
              <w:left w:val="nil"/>
              <w:bottom w:val="nil"/>
              <w:right w:val="nil"/>
              <w:between w:val="nil"/>
            </w:pBdr>
            <w:tabs>
              <w:tab w:val="center" w:pos="4252"/>
              <w:tab w:val="right" w:pos="8504"/>
            </w:tabs>
            <w:rPr>
              <w:rFonts w:ascii="Palatino Linotype" w:eastAsia="Palatino Linotype" w:hAnsi="Palatino Linotype" w:cs="Palatino Linotype"/>
              <w:b/>
            </w:rPr>
          </w:pPr>
          <w:r>
            <w:rPr>
              <w:rFonts w:ascii="Palatino Linotype" w:eastAsia="Palatino Linotype" w:hAnsi="Palatino Linotype" w:cs="Palatino Linotype"/>
              <w:b/>
            </w:rPr>
            <w:t>Ayuntamiento de Tenancingo</w:t>
          </w:r>
        </w:p>
      </w:tc>
    </w:tr>
    <w:tr w:rsidR="003A77CE" w14:paraId="7CC20B9F" w14:textId="77777777">
      <w:trPr>
        <w:trHeight w:val="321"/>
        <w:jc w:val="right"/>
      </w:trPr>
      <w:tc>
        <w:tcPr>
          <w:tcW w:w="3261" w:type="dxa"/>
          <w:vAlign w:val="center"/>
        </w:tcPr>
        <w:p w14:paraId="546E57B1" w14:textId="77777777" w:rsidR="003A77CE" w:rsidRDefault="00D706BB">
          <w:pPr>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111" w:type="dxa"/>
          <w:vAlign w:val="center"/>
        </w:tcPr>
        <w:p w14:paraId="28270A47" w14:textId="77777777" w:rsidR="003A77CE" w:rsidRDefault="00D706BB">
          <w:pPr>
            <w:pBdr>
              <w:top w:val="nil"/>
              <w:left w:val="nil"/>
              <w:bottom w:val="nil"/>
              <w:right w:val="nil"/>
              <w:between w:val="nil"/>
            </w:pBdr>
            <w:tabs>
              <w:tab w:val="center" w:pos="4252"/>
              <w:tab w:val="right" w:pos="8504"/>
            </w:tabs>
            <w:ind w:left="33"/>
            <w:rPr>
              <w:rFonts w:ascii="Palatino Linotype" w:eastAsia="Palatino Linotype" w:hAnsi="Palatino Linotype" w:cs="Palatino Linotype"/>
              <w:b/>
            </w:rPr>
          </w:pPr>
          <w:r>
            <w:rPr>
              <w:rFonts w:ascii="Palatino Linotype" w:eastAsia="Palatino Linotype" w:hAnsi="Palatino Linotype" w:cs="Palatino Linotype"/>
              <w:b/>
            </w:rPr>
            <w:t>María del Rosario Mejía Ayala</w:t>
          </w:r>
        </w:p>
      </w:tc>
    </w:tr>
  </w:tbl>
  <w:p w14:paraId="3B44DE0E" w14:textId="77777777" w:rsidR="003A77CE" w:rsidRDefault="003A77CE">
    <w:pPr>
      <w:pBdr>
        <w:top w:val="nil"/>
        <w:left w:val="nil"/>
        <w:bottom w:val="nil"/>
        <w:right w:val="nil"/>
        <w:between w:val="nil"/>
      </w:pBdr>
      <w:tabs>
        <w:tab w:val="center" w:pos="4252"/>
        <w:tab w:val="right" w:pos="8504"/>
        <w:tab w:val="left" w:pos="3103"/>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63797"/>
    <w:multiLevelType w:val="multilevel"/>
    <w:tmpl w:val="AA48330E"/>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4F2090"/>
    <w:multiLevelType w:val="multilevel"/>
    <w:tmpl w:val="E9EEE25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359E36B7"/>
    <w:multiLevelType w:val="multilevel"/>
    <w:tmpl w:val="AFB4105E"/>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CB562B"/>
    <w:multiLevelType w:val="multilevel"/>
    <w:tmpl w:val="E8B8862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D97C3F"/>
    <w:multiLevelType w:val="multilevel"/>
    <w:tmpl w:val="9DE8749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E2402F2"/>
    <w:multiLevelType w:val="multilevel"/>
    <w:tmpl w:val="48D44F60"/>
    <w:lvl w:ilvl="0">
      <w:start w:val="1"/>
      <w:numFmt w:val="upperRoman"/>
      <w:lvlText w:val="%1."/>
      <w:lvlJc w:val="right"/>
      <w:pPr>
        <w:ind w:left="1287" w:hanging="360"/>
      </w:pPr>
      <w:rPr>
        <w:b/>
        <w:i w:val="0"/>
        <w:sz w:val="22"/>
        <w:szCs w:val="22"/>
      </w:rPr>
    </w:lvl>
    <w:lvl w:ilvl="1">
      <w:start w:val="1"/>
      <w:numFmt w:val="lowerLetter"/>
      <w:lvlText w:val="%2)"/>
      <w:lvlJc w:val="left"/>
      <w:pPr>
        <w:ind w:left="2007" w:hanging="360"/>
      </w:pPr>
      <w:rPr>
        <w:b/>
        <w:i w:val="0"/>
        <w:sz w:val="22"/>
        <w:szCs w:val="22"/>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7CE"/>
    <w:rsid w:val="0031537E"/>
    <w:rsid w:val="003A77CE"/>
    <w:rsid w:val="00D13A3A"/>
    <w:rsid w:val="00D706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306C92"/>
  <w15:docId w15:val="{6909A0BB-FBC7-4FB1-9A3B-7EC33C3E1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6"/>
      </w:numPr>
      <w:contextualSpacing/>
    </w:pPr>
    <w:rPr>
      <w:rFonts w:ascii="Times New Roman" w:eastAsia="Times New Roman" w:hAnsi="Times New Roman" w:cs="Times New Roman"/>
      <w:sz w:val="20"/>
      <w:szCs w:val="20"/>
    </w:rPr>
  </w:style>
  <w:style w:type="paragraph" w:customStyle="1" w:styleId="m483811427706604298gmail-msolistparagraph">
    <w:name w:val="m_483811427706604298gmail-msolistparagraph"/>
    <w:basedOn w:val="Normal"/>
    <w:rsid w:val="004A05B3"/>
    <w:pPr>
      <w:spacing w:before="100" w:beforeAutospacing="1" w:after="100" w:afterAutospacing="1"/>
    </w:pPr>
    <w:rPr>
      <w:rFonts w:ascii="Times New Roman" w:eastAsia="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rPr>
      <w:color w:val="000000"/>
      <w:sz w:val="22"/>
      <w:szCs w:val="22"/>
    </w:rPr>
    <w:tblPr>
      <w:tblStyleRowBandSize w:val="1"/>
      <w:tblStyleColBandSize w:val="1"/>
      <w:tblCellMar>
        <w:top w:w="0" w:type="dxa"/>
        <w:left w:w="108" w:type="dxa"/>
        <w:bottom w:w="0" w:type="dxa"/>
        <w:right w:w="108" w:type="dxa"/>
      </w:tblCellMar>
    </w:tblPr>
  </w:style>
  <w:style w:type="table" w:customStyle="1" w:styleId="a1">
    <w:basedOn w:val="TableNormal"/>
    <w:rPr>
      <w:color w:val="000000"/>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4.png"/><Relationship Id="rId5" Type="http://schemas.openxmlformats.org/officeDocument/2006/relationships/webSettings" Target="webSettings.xml"/><Relationship Id="rId23" Type="http://schemas.openxmlformats.org/officeDocument/2006/relationships/oleObject" Target="embeddings/oleObject3.bin"/><Relationship Id="rId28"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NhQyIgIkDt8l4P82ApokkwjoIw==">AMUW2mWAbPJz0Eo8canyicX3aR0neJzHi25BHsh4yWG3yveLNpcHi8JnNODTh1HZj+qNNv0tFhgu9+cxBpPJa/zf4tSVBMv90Rdssdp+5KIJHAswpHL5hR5Glf7cFytP9+PBfwwuvT4EBxvflOu7ECdyrbVGM1qMkvKXpGuF9laODFpotdrwdhmfFakFc/sTaSZygSIRdiroZ3wPrDFy/L2Rcx6Ccxc6g/a00kARx6pDjV08kBNLxDu3OdgZEWW1QKqykVYs4flow8XnlBPMCehNiPIUJyZBdNLfob1likLoI67uYnHjBfOhH+jIzktwha6xC3zCq2bakEJT1ERUfbdDU6GNAiVE8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37</Pages>
  <Words>7796</Words>
  <Characters>42879</Characters>
  <Application>Microsoft Office Word</Application>
  <DocSecurity>0</DocSecurity>
  <Lines>357</Lines>
  <Paragraphs>101</Paragraphs>
  <ScaleCrop>false</ScaleCrop>
  <Company/>
  <LinksUpToDate>false</LinksUpToDate>
  <CharactersWithSpaces>50574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Jose Antonio Alarcón Valerio</cp:lastModifiedBy>
  <cp:revision>4</cp:revision>
  <dcterms:created xsi:type="dcterms:W3CDTF">2022-01-07T22:20:00Z</dcterms:created>
  <dcterms:modified xsi:type="dcterms:W3CDTF">2022-01-07T22:48:00Z</dcterms:modified>
</cp:coreProperties>
</file>