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3D592508" w:rsidR="00F22825" w:rsidRDefault="00F22825" w:rsidP="00E4235F">
      <w:pPr>
        <w:spacing w:after="0" w:line="360" w:lineRule="auto"/>
        <w:jc w:val="both"/>
        <w:rPr>
          <w:rFonts w:ascii="Palatino Linotype" w:eastAsiaTheme="minorEastAsia" w:hAnsi="Palatino Linotype"/>
          <w:sz w:val="24"/>
          <w:szCs w:val="24"/>
          <w:lang w:val="es-ES_tradnl" w:eastAsia="es-ES"/>
        </w:rPr>
      </w:pPr>
      <w:bookmarkStart w:id="0" w:name="_GoBack"/>
      <w:bookmarkEnd w:id="0"/>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BB1CB4">
        <w:rPr>
          <w:rFonts w:ascii="Palatino Linotype" w:eastAsiaTheme="minorEastAsia" w:hAnsi="Palatino Linotype"/>
          <w:sz w:val="24"/>
          <w:szCs w:val="24"/>
          <w:lang w:val="es-ES_tradnl" w:eastAsia="es-ES"/>
        </w:rPr>
        <w:t>ocho (08) de diciembre</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5D0A4433"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BB1CB4">
        <w:rPr>
          <w:rFonts w:ascii="Palatino Linotype" w:eastAsiaTheme="minorEastAsia" w:hAnsi="Palatino Linotype"/>
          <w:b/>
          <w:bCs/>
          <w:sz w:val="24"/>
          <w:szCs w:val="24"/>
          <w:lang w:val="es-ES_tradnl" w:eastAsia="es-ES"/>
        </w:rPr>
        <w:t>05198/INFOEM/IP/RR/2021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r w:rsidR="00BB1CB4">
        <w:rPr>
          <w:rFonts w:ascii="Palatino Linotype" w:eastAsiaTheme="minorEastAsia" w:hAnsi="Palatino Linotype"/>
          <w:bCs/>
          <w:sz w:val="24"/>
          <w:szCs w:val="24"/>
          <w:lang w:val="es-ES_tradnl" w:eastAsia="es-ES"/>
        </w:rPr>
        <w:t>un usuario del Sistema de Acceso a la Información Pública Mexiquense (SAIMEX) quien no proporcionó ningún nombre, seudónimo o carácter para ser identificado, por lo que de ahora en adelante se le denominará como el</w:t>
      </w:r>
      <w:r w:rsidRPr="00F22825">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xml:space="preserve">, en contra de la falta de respuesta del </w:t>
      </w:r>
      <w:r w:rsidR="00BB1CB4">
        <w:rPr>
          <w:rFonts w:ascii="Palatino Linotype" w:eastAsiaTheme="minorEastAsia" w:hAnsi="Palatino Linotype"/>
          <w:b/>
          <w:sz w:val="24"/>
          <w:szCs w:val="24"/>
          <w:lang w:val="es-ES_tradnl" w:eastAsia="es-ES"/>
        </w:rPr>
        <w:t>Ayuntamiento de Tepetlixpa</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w:t>
      </w:r>
      <w:r w:rsidRPr="00BB1CB4">
        <w:rPr>
          <w:rFonts w:ascii="Palatino Linotype" w:eastAsiaTheme="minorEastAsia" w:hAnsi="Palatino Linotype"/>
          <w:bCs/>
          <w:sz w:val="24"/>
          <w:szCs w:val="24"/>
          <w:lang w:val="es-ES_tradnl" w:eastAsia="es-ES"/>
        </w:rPr>
        <w:t xml:space="preserve">,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86342690"/>
      <w:r w:rsidRPr="00486BDF">
        <w:rPr>
          <w:rFonts w:ascii="Palatino Linotype" w:eastAsiaTheme="majorEastAsia" w:hAnsi="Palatino Linotype" w:cstheme="majorBidi"/>
          <w:b/>
          <w:sz w:val="24"/>
          <w:szCs w:val="24"/>
        </w:rPr>
        <w:t>ANTECEDENTES</w:t>
      </w:r>
      <w:bookmarkEnd w:id="1"/>
      <w:bookmarkEnd w:id="2"/>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4D12692C"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393012">
        <w:rPr>
          <w:rFonts w:ascii="Palatino Linotype" w:eastAsia="Calibri" w:hAnsi="Palatino Linotype" w:cs="Arial"/>
          <w:sz w:val="24"/>
          <w:szCs w:val="24"/>
          <w:lang w:val="es-ES" w:eastAsia="es-ES"/>
        </w:rPr>
        <w:t>veintisiete (27</w:t>
      </w:r>
      <w:r w:rsidR="00774C69">
        <w:rPr>
          <w:rFonts w:ascii="Palatino Linotype" w:eastAsia="Calibri" w:hAnsi="Palatino Linotype" w:cs="Arial"/>
          <w:sz w:val="24"/>
          <w:szCs w:val="24"/>
          <w:lang w:val="es-ES" w:eastAsia="es-ES"/>
        </w:rPr>
        <w:t>) de septiembre</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6B0D42">
        <w:rPr>
          <w:rFonts w:ascii="Palatino Linotype" w:eastAsia="Calibri" w:hAnsi="Palatino Linotype" w:cs="Arial"/>
          <w:sz w:val="24"/>
          <w:szCs w:val="24"/>
          <w:lang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6B0D42">
        <w:rPr>
          <w:rFonts w:ascii="Palatino Linotype" w:eastAsia="Calibri" w:hAnsi="Palatino Linotype" w:cs="Arial"/>
          <w:b/>
          <w:sz w:val="24"/>
          <w:szCs w:val="24"/>
          <w:lang w:val="es-ES" w:eastAsia="es-ES"/>
        </w:rPr>
        <w:t>00246/TEPETLIX/IP/2021</w:t>
      </w:r>
      <w:r w:rsidR="00A25D47">
        <w:rPr>
          <w:rFonts w:ascii="Palatino Linotype" w:eastAsia="Calibri" w:hAnsi="Palatino Linotype" w:cs="Arial"/>
          <w:b/>
          <w:sz w:val="24"/>
          <w:szCs w:val="24"/>
          <w:lang w:val="es-ES"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3AE4A46B"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6B0D42" w:rsidRPr="006B0D42">
        <w:rPr>
          <w:rFonts w:ascii="Palatino Linotype" w:hAnsi="Palatino Linotype"/>
          <w:i/>
          <w:color w:val="000000" w:themeColor="text1"/>
          <w:sz w:val="22"/>
          <w:szCs w:val="22"/>
          <w:lang w:val="es-MX"/>
        </w:rPr>
        <w:t>MOTIVO POR EL CUAL NO ESTA EN USO O SERVICIO EL NUEVO PANTEON MUNICIPAL UBICADO EN CALLE PLAN DE SAN LUIS</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76F81E20"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6B0D42">
        <w:rPr>
          <w:rFonts w:ascii="Palatino Linotype" w:eastAsiaTheme="minorEastAsia" w:hAnsi="Palatino Linotype" w:cs="Arial"/>
          <w:b/>
          <w:bCs/>
          <w:i/>
          <w:iCs/>
          <w:sz w:val="24"/>
          <w:szCs w:val="24"/>
          <w:lang w:val="es-ES_tradnl" w:eastAsia="es-ES"/>
        </w:rPr>
        <w:t>A</w:t>
      </w:r>
      <w:r w:rsidRPr="006B0D42">
        <w:rPr>
          <w:rFonts w:ascii="Palatino Linotype" w:eastAsiaTheme="minorEastAsia" w:hAnsi="Palatino Linotype" w:cs="Arial"/>
          <w:b/>
          <w:bCs/>
          <w:i/>
          <w:iCs/>
          <w:sz w:val="24"/>
          <w:szCs w:val="24"/>
          <w:lang w:val="es-ES_tradnl" w:eastAsia="es-ES"/>
        </w:rPr>
        <w:t xml:space="preserve"> través del</w:t>
      </w:r>
      <w:r w:rsidR="006B0D42">
        <w:rPr>
          <w:rFonts w:ascii="Palatino Linotype" w:eastAsiaTheme="minorEastAsia" w:hAnsi="Palatino Linotype" w:cs="Arial"/>
          <w:b/>
          <w:bCs/>
          <w:i/>
          <w:iCs/>
          <w:sz w:val="24"/>
          <w:szCs w:val="24"/>
          <w:lang w:val="es-ES_tradnl" w:eastAsia="es-ES"/>
        </w:rPr>
        <w:t xml:space="preserve">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6B0D42" w:rsidRDefault="00393012" w:rsidP="00393012">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7760B677"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3" w:name="_Toc462307683"/>
      <w:bookmarkStart w:id="4" w:name="_Toc472427085"/>
      <w:bookmarkStart w:id="5"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6B0D42">
        <w:rPr>
          <w:rFonts w:ascii="Palatino Linotype" w:eastAsia="Times New Roman" w:hAnsi="Palatino Linotype" w:cs="Arial"/>
          <w:sz w:val="24"/>
          <w:szCs w:val="24"/>
          <w:lang w:val="es-ES" w:eastAsia="es-ES"/>
        </w:rPr>
        <w:t>veinte (20</w:t>
      </w:r>
      <w:r w:rsidR="00774C69">
        <w:rPr>
          <w:rFonts w:ascii="Palatino Linotype" w:eastAsia="Times New Roman" w:hAnsi="Palatino Linotype" w:cs="Arial"/>
          <w:sz w:val="24"/>
          <w:szCs w:val="24"/>
          <w:lang w:val="es-ES" w:eastAsia="es-ES"/>
        </w:rPr>
        <w:t>) de octubre</w:t>
      </w:r>
      <w:r w:rsidR="00EC3E55">
        <w:rPr>
          <w:rFonts w:ascii="Palatino Linotype" w:eastAsia="Times New Roman" w:hAnsi="Palatino Linotype" w:cs="Arial"/>
          <w:sz w:val="24"/>
          <w:szCs w:val="24"/>
          <w:lang w:val="es-ES" w:eastAsia="es-ES"/>
        </w:rPr>
        <w:t xml:space="preserve">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BB1CB4">
        <w:rPr>
          <w:rFonts w:ascii="Palatino Linotype" w:eastAsia="Calibri" w:hAnsi="Palatino Linotype" w:cs="Arial"/>
          <w:b/>
          <w:sz w:val="24"/>
          <w:szCs w:val="24"/>
          <w:lang w:val="es-ES" w:eastAsia="es-ES"/>
        </w:rPr>
        <w:t>05198/INFOEM/IP/RR/2021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3"/>
      <w:bookmarkEnd w:id="4"/>
      <w:bookmarkEnd w:id="5"/>
      <w:r w:rsidRPr="00486BD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12D6AE6" w14:textId="3A7C1FA5"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6B0D42" w:rsidRPr="006B0D42">
        <w:rPr>
          <w:rFonts w:ascii="Palatino Linotype" w:hAnsi="Palatino Linotype"/>
          <w:i/>
          <w:color w:val="000000"/>
        </w:rPr>
        <w:t>no entregar INFORMSCION EN TIEMPO Y FORMA</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22825">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2825">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98170F" w14:textId="3B2EDFA2"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6B0D42" w:rsidRPr="006B0D42">
        <w:rPr>
          <w:rFonts w:ascii="Palatino Linotype" w:hAnsi="Palatino Linotype"/>
          <w:i/>
          <w:color w:val="000000"/>
        </w:rPr>
        <w:t>no entregar INFORMSCION EN TIEMPO Y FORMA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6B0D42">
        <w:rPr>
          <w:rFonts w:ascii="Palatino Linotype" w:eastAsiaTheme="minorEastAsia" w:hAnsi="Palatino Linotype"/>
          <w:bCs/>
          <w:iCs/>
          <w:color w:val="000000"/>
          <w:sz w:val="24"/>
          <w:szCs w:val="24"/>
          <w:lang w:val="es-ES_tradnl" w:eastAsia="es-ES"/>
        </w:rPr>
        <w:t xml:space="preserve">con fundamento en lo dispuesto por el </w:t>
      </w:r>
      <w:r w:rsidRPr="006B0D42">
        <w:rPr>
          <w:rFonts w:ascii="Palatino Linotype" w:eastAsiaTheme="minorEastAsia" w:hAnsi="Palatino Linotype"/>
          <w:bCs/>
          <w:iCs/>
          <w:color w:val="000000"/>
          <w:sz w:val="24"/>
          <w:szCs w:val="24"/>
          <w:lang w:val="es-ES" w:eastAsia="es-ES"/>
        </w:rPr>
        <w:t>artículo 185 fracción I de la Ley de Transparencia y Acceso a la Información Pública del Estado de México y Municipios se turnó</w:t>
      </w:r>
      <w:r w:rsidRPr="00EC3E55">
        <w:rPr>
          <w:rFonts w:ascii="Palatino Linotype" w:eastAsiaTheme="minorEastAsia" w:hAnsi="Palatino Linotype"/>
          <w:iCs/>
          <w:color w:val="000000"/>
          <w:sz w:val="24"/>
          <w:szCs w:val="24"/>
          <w:lang w:val="es-ES" w:eastAsia="es-ES"/>
        </w:rPr>
        <w:t xml:space="preserve"> a</w:t>
      </w:r>
      <w:r w:rsidR="00774C69">
        <w:rPr>
          <w:rFonts w:ascii="Palatino Linotype" w:eastAsiaTheme="minorEastAsia" w:hAnsi="Palatino Linotype"/>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7A0121F7"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6B0D42">
        <w:rPr>
          <w:rFonts w:ascii="Palatino Linotype" w:eastAsiaTheme="minorEastAsia" w:hAnsi="Palatino Linotype"/>
          <w:iCs/>
          <w:color w:val="000000"/>
          <w:sz w:val="24"/>
          <w:szCs w:val="24"/>
          <w:lang w:val="es-ES" w:eastAsia="es-ES"/>
        </w:rPr>
        <w:t>veinticinco (25) de octubre</w:t>
      </w:r>
      <w:r w:rsidR="00EC3E55">
        <w:rPr>
          <w:rFonts w:ascii="Palatino Linotype" w:eastAsiaTheme="minorEastAsia" w:hAnsi="Palatino Linotype"/>
          <w:iCs/>
          <w:color w:val="000000"/>
          <w:sz w:val="24"/>
          <w:szCs w:val="24"/>
          <w:lang w:val="es-ES" w:eastAsia="es-ES"/>
        </w:rPr>
        <w:t xml:space="preserve"> 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EC3E55" w:rsidRPr="00EC3E55">
        <w:rPr>
          <w:rFonts w:ascii="Palatino Linotype" w:eastAsiaTheme="minorEastAsia" w:hAnsi="Palatino Linotype"/>
          <w:iCs/>
          <w:color w:val="000000"/>
          <w:sz w:val="24"/>
          <w:szCs w:val="24"/>
          <w:lang w:val="es-ES" w:eastAsia="es-ES"/>
        </w:rPr>
        <w:t xml:space="preserve">Sistema de Acceso a la Información </w:t>
      </w:r>
      <w:r w:rsidR="00EC3E55" w:rsidRPr="006B0D42">
        <w:rPr>
          <w:rFonts w:ascii="Palatino Linotype" w:eastAsiaTheme="minorEastAsia" w:hAnsi="Palatino Linotype"/>
          <w:iCs/>
          <w:color w:val="000000"/>
          <w:sz w:val="24"/>
          <w:szCs w:val="24"/>
          <w:lang w:val="es-ES" w:eastAsia="es-ES"/>
        </w:rPr>
        <w:t>Mexiquense (SAIMEX)</w:t>
      </w:r>
      <w:r w:rsidR="006B0D42">
        <w:rPr>
          <w:rFonts w:ascii="Palatino Linotype" w:eastAsiaTheme="minorEastAsia" w:hAnsi="Palatino Linotype"/>
          <w:iCs/>
          <w:color w:val="000000"/>
          <w:sz w:val="24"/>
          <w:szCs w:val="24"/>
          <w:lang w:val="es-ES" w:eastAsia="es-ES"/>
        </w:rPr>
        <w:t>,</w:t>
      </w:r>
      <w:r w:rsidR="00EC3E55" w:rsidRPr="006B0D42">
        <w:rPr>
          <w:rFonts w:ascii="Palatino Linotype" w:eastAsiaTheme="minorEastAsia" w:hAnsi="Palatino Linotype"/>
          <w:iCs/>
          <w:color w:val="000000"/>
          <w:sz w:val="24"/>
          <w:szCs w:val="24"/>
          <w:lang w:val="es-ES" w:eastAsia="es-ES"/>
        </w:rPr>
        <w:t xml:space="preserve"> a</w:t>
      </w:r>
      <w:r w:rsidR="00EC3E55" w:rsidRPr="00EC3E55">
        <w:rPr>
          <w:rFonts w:ascii="Palatino Linotype" w:eastAsiaTheme="minorEastAsia" w:hAnsi="Palatino Linotype"/>
          <w:iCs/>
          <w:color w:val="000000"/>
          <w:sz w:val="24"/>
          <w:szCs w:val="24"/>
          <w:lang w:val="es-ES" w:eastAsia="es-ES"/>
        </w:rPr>
        <w:t xml:space="preserve"> efecto de que en un plazo máximo de siete días manifestaran lo que a derecho convinieran, 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BD03B4A"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77CA1814" w14:textId="744D059A" w:rsidR="0014704C" w:rsidRPr="0014704C" w:rsidRDefault="006B0D42"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object w:dxaOrig="13050" w:dyaOrig="3195" w14:anchorId="30BF0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96.7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3340476" r:id="rId9"/>
        </w:object>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5E425A96"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6B0D42">
        <w:rPr>
          <w:rFonts w:ascii="Palatino Linotype" w:eastAsiaTheme="minorEastAsia" w:hAnsi="Palatino Linotype"/>
          <w:sz w:val="24"/>
          <w:szCs w:val="24"/>
          <w:lang w:val="es-ES_tradnl" w:eastAsia="es-ES"/>
        </w:rPr>
        <w:t>dos (02) de diciembre</w:t>
      </w:r>
      <w:r w:rsidR="008E52FD">
        <w:rPr>
          <w:rFonts w:ascii="Palatino Linotype" w:eastAsiaTheme="minorEastAsia" w:hAnsi="Palatino Linotype"/>
          <w:sz w:val="24"/>
          <w:szCs w:val="24"/>
          <w:lang w:val="es-ES_tradnl" w:eastAsia="es-ES"/>
        </w:rPr>
        <w:t xml:space="preserve"> de dos mil veintiuno</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r w:rsidR="00774C69">
        <w:rPr>
          <w:rFonts w:ascii="Palatino Linotype" w:eastAsiaTheme="minorEastAsia" w:hAnsi="Palatino Linotype"/>
          <w:sz w:val="24"/>
          <w:szCs w:val="24"/>
          <w:lang w:val="es-ES_tradnl" w:eastAsia="es-ES"/>
        </w:rPr>
        <w:t>-----</w:t>
      </w:r>
    </w:p>
    <w:p w14:paraId="2E1FFA4D" w14:textId="77777777" w:rsidR="00C53F46" w:rsidRPr="00486BDF"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7" w:name="_Toc86342691"/>
      <w:r w:rsidRPr="00486BDF">
        <w:rPr>
          <w:rFonts w:ascii="Palatino Linotype" w:eastAsiaTheme="majorEastAsia" w:hAnsi="Palatino Linotype" w:cstheme="majorBidi"/>
          <w:b/>
          <w:sz w:val="24"/>
          <w:szCs w:val="24"/>
        </w:rPr>
        <w:t>CONSIDERANDO</w:t>
      </w:r>
      <w:bookmarkEnd w:id="67"/>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2"/>
      <w:r w:rsidRPr="00486BDF">
        <w:rPr>
          <w:rFonts w:ascii="Palatino Linotype" w:eastAsiaTheme="majorEastAsia" w:hAnsi="Palatino Linotype" w:cstheme="majorBidi"/>
          <w:b/>
          <w:sz w:val="24"/>
          <w:szCs w:val="24"/>
        </w:rPr>
        <w:t>PRIMERO. De la competencia.</w:t>
      </w:r>
      <w:bookmarkEnd w:id="68"/>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w:t>
      </w:r>
      <w:r w:rsidRPr="00486BDF">
        <w:rPr>
          <w:rFonts w:ascii="Palatino Linotype" w:eastAsia="Calibri" w:hAnsi="Palatino Linotype" w:cs="Times New Roman"/>
          <w:sz w:val="24"/>
          <w:szCs w:val="24"/>
          <w:lang w:val="es-ES" w:eastAsia="es-ES"/>
        </w:rPr>
        <w:lastRenderedPageBreak/>
        <w:t xml:space="preserve">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9" w:name="_Toc86342693"/>
      <w:r w:rsidRPr="00486BDF">
        <w:rPr>
          <w:rFonts w:ascii="Palatino Linotype" w:eastAsiaTheme="majorEastAsia" w:hAnsi="Palatino Linotype" w:cstheme="majorBidi"/>
          <w:b/>
          <w:sz w:val="24"/>
          <w:szCs w:val="24"/>
        </w:rPr>
        <w:t>SEGUNDO. De la oportunidad y procedencia.</w:t>
      </w:r>
      <w:bookmarkEnd w:id="69"/>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w:t>
      </w:r>
      <w:r w:rsidRPr="00486BDF">
        <w:rPr>
          <w:rFonts w:ascii="Palatino Linotype" w:eastAsia="Calibri" w:hAnsi="Palatino Linotype" w:cs="Times New Roman"/>
          <w:color w:val="000000"/>
          <w:sz w:val="24"/>
          <w:szCs w:val="24"/>
          <w:shd w:val="clear" w:color="auto" w:fill="FFFFFF"/>
        </w:rPr>
        <w:lastRenderedPageBreak/>
        <w:t xml:space="preserve">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486BDF">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078E9FB1" w:rsid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0590F5E3" w14:textId="77777777" w:rsidR="00DC5C2C" w:rsidRDefault="00DC5C2C" w:rsidP="00DC5C2C">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79496522" w14:textId="0EE72259" w:rsidR="00DC5C2C" w:rsidRPr="0065705F" w:rsidRDefault="00DC5C2C" w:rsidP="00DC5C2C">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eastAsia="Times New Roman" w:hAnsi="Palatino Linotype" w:cs="Arial"/>
          <w:color w:val="000000" w:themeColor="text1"/>
          <w:lang w:val="es-ES" w:eastAsia="es-MX"/>
        </w:rPr>
        <w:t xml:space="preserve">Por </w:t>
      </w:r>
      <w:r w:rsidRPr="009C3AB1">
        <w:rPr>
          <w:rFonts w:ascii="Palatino Linotype" w:hAnsi="Palatino Linotype"/>
          <w:color w:val="000000" w:themeColor="text1"/>
          <w:lang w:val="es-ES"/>
        </w:rPr>
        <w:t xml:space="preserve">otro lado, de </w:t>
      </w:r>
      <w:r>
        <w:rPr>
          <w:rFonts w:ascii="Palatino Linotype" w:hAnsi="Palatino Linotype"/>
          <w:color w:val="000000" w:themeColor="text1"/>
          <w:lang w:val="es-ES"/>
        </w:rPr>
        <w:t>las constancias que obran en el expediente digital formado en el SAIMEX</w:t>
      </w:r>
      <w:r w:rsidRPr="009C3AB1">
        <w:rPr>
          <w:rFonts w:ascii="Palatino Linotype" w:hAnsi="Palatino Linotype"/>
          <w:b/>
          <w:color w:val="000000" w:themeColor="text1"/>
          <w:lang w:val="es-ES"/>
        </w:rPr>
        <w:t>,</w:t>
      </w:r>
      <w:r w:rsidRPr="009C3AB1">
        <w:rPr>
          <w:rFonts w:ascii="Palatino Linotype" w:hAnsi="Palatino Linotype"/>
          <w:color w:val="000000" w:themeColor="text1"/>
          <w:lang w:val="es-ES"/>
        </w:rPr>
        <w:t xml:space="preserve"> se desprende que la parte solicitante, tanto en la solicitud de información como en el</w:t>
      </w:r>
      <w:r>
        <w:rPr>
          <w:rFonts w:ascii="Palatino Linotype" w:hAnsi="Palatino Linotype"/>
          <w:color w:val="000000" w:themeColor="text1"/>
          <w:lang w:val="es-ES"/>
        </w:rPr>
        <w:t xml:space="preserve"> posterior</w:t>
      </w:r>
      <w:r w:rsidRPr="009C3AB1">
        <w:rPr>
          <w:rFonts w:ascii="Palatino Linotype" w:hAnsi="Palatino Linotype"/>
          <w:color w:val="000000" w:themeColor="text1"/>
          <w:lang w:val="es-ES"/>
        </w:rPr>
        <w:t xml:space="preserve"> recurso de revisión, </w:t>
      </w:r>
      <w:r w:rsidRPr="009C3AB1">
        <w:rPr>
          <w:rFonts w:ascii="Palatino Linotype" w:hAnsi="Palatino Linotype"/>
          <w:b/>
          <w:color w:val="000000" w:themeColor="text1"/>
          <w:lang w:val="es-ES"/>
        </w:rPr>
        <w:t xml:space="preserve">no señaló </w:t>
      </w:r>
      <w:r>
        <w:rPr>
          <w:rFonts w:ascii="Palatino Linotype" w:hAnsi="Palatino Linotype"/>
          <w:b/>
          <w:color w:val="000000" w:themeColor="text1"/>
          <w:lang w:val="es-ES"/>
        </w:rPr>
        <w:t>ningún nombre, seudónimo o carácter para identificarse, ni se tiene certeza sobre su identidad.</w:t>
      </w:r>
      <w:r w:rsidRPr="009C3AB1">
        <w:rPr>
          <w:rFonts w:ascii="Palatino Linotype" w:hAnsi="Palatino Linotype"/>
          <w:color w:val="000000" w:themeColor="text1"/>
          <w:lang w:val="es-ES"/>
        </w:rPr>
        <w:t xml:space="preserve"> </w:t>
      </w:r>
      <w:r>
        <w:rPr>
          <w:rFonts w:ascii="Palatino Linotype" w:hAnsi="Palatino Linotype"/>
          <w:color w:val="000000" w:themeColor="text1"/>
          <w:lang w:val="es-ES"/>
        </w:rPr>
        <w:t>S</w:t>
      </w:r>
      <w:r w:rsidRPr="009C3AB1">
        <w:rPr>
          <w:rFonts w:ascii="Palatino Linotype" w:hAnsi="Palatino Linotype"/>
          <w:color w:val="000000" w:themeColor="text1"/>
          <w:lang w:val="es-ES"/>
        </w:rPr>
        <w:t xml:space="preserve">in embargo, es importante señalar que </w:t>
      </w:r>
      <w:r w:rsidRPr="009C3AB1">
        <w:rPr>
          <w:rFonts w:ascii="Palatino Linotype" w:hAnsi="Palatino Linotype"/>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FB9AFC8" w14:textId="77777777" w:rsidR="00DC5C2C" w:rsidRPr="0065705F" w:rsidRDefault="00DC5C2C" w:rsidP="00DC5C2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1994AD2" w14:textId="77777777" w:rsidR="00DC5C2C" w:rsidRPr="0065705F" w:rsidRDefault="00DC5C2C" w:rsidP="00DC5C2C">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w:t>
      </w:r>
      <w:r w:rsidRPr="005F1BAD">
        <w:rPr>
          <w:rFonts w:ascii="Palatino Linotype" w:hAnsi="Palatino Linotype" w:cs="Arial"/>
          <w:color w:val="000000" w:themeColor="text1"/>
          <w:lang w:val="es-ES"/>
        </w:rPr>
        <w:lastRenderedPageBreak/>
        <w:t>información y procedimientos de revisión expeditos que se sustanciarán ante los organismos autónomos especializados e imparciales que establece la Constitución Federal y Local.</w:t>
      </w:r>
    </w:p>
    <w:p w14:paraId="50D838D9" w14:textId="77777777" w:rsidR="00DC5C2C" w:rsidRPr="0065705F" w:rsidRDefault="00DC5C2C" w:rsidP="00DC5C2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09BF84" w14:textId="77777777" w:rsidR="00DC5C2C" w:rsidRPr="0065705F" w:rsidRDefault="00DC5C2C" w:rsidP="00DC5C2C">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04E6E6" w14:textId="77777777" w:rsidR="00DC5C2C" w:rsidRPr="0065705F" w:rsidRDefault="00DC5C2C" w:rsidP="00DC5C2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1AC505" w14:textId="77777777" w:rsidR="00DC5C2C" w:rsidRPr="0065705F" w:rsidRDefault="00DC5C2C" w:rsidP="00DC5C2C">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C0524E2" w14:textId="77777777" w:rsidR="00DC5C2C" w:rsidRPr="0065705F" w:rsidRDefault="00DC5C2C" w:rsidP="00DC5C2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64EAAA" w14:textId="77777777" w:rsidR="00DC5C2C" w:rsidRPr="0065705F" w:rsidRDefault="00DC5C2C" w:rsidP="00DC5C2C">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8B3946" w14:textId="77777777" w:rsidR="00DC5C2C" w:rsidRPr="0065705F" w:rsidRDefault="00DC5C2C" w:rsidP="00DC5C2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E97EC1" w14:textId="06211125" w:rsidR="00DC5C2C" w:rsidRDefault="00DC5C2C" w:rsidP="00DC5C2C">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w:t>
      </w:r>
      <w:r>
        <w:rPr>
          <w:rFonts w:ascii="Palatino Linotype" w:eastAsia="Times New Roman" w:hAnsi="Palatino Linotype" w:cs="Arial"/>
          <w:color w:val="000000" w:themeColor="text1"/>
          <w:lang w:val="es-ES" w:eastAsia="es-MX"/>
        </w:rPr>
        <w:t>del</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 xml:space="preserve">un requisito indispensable de procedencia del recurso de revisión </w:t>
      </w:r>
      <w:r w:rsidRPr="00F43C60">
        <w:rPr>
          <w:rFonts w:ascii="Palatino Linotype" w:eastAsia="Times New Roman" w:hAnsi="Palatino Linotype" w:cs="Arial"/>
          <w:color w:val="000000" w:themeColor="text1"/>
          <w:lang w:val="es-ES" w:eastAsia="es-MX"/>
        </w:rPr>
        <w:lastRenderedPageBreak/>
        <w:t>que nos ocupa, ya que el acceso a la información no está condicionado a acreditar algún interés ya sea jurídico o legítimo, máxime que es un elemento subsanable por este Órgano Resolutor.</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59425FE6"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00994906">
        <w:rPr>
          <w:rFonts w:ascii="Palatino Linotype" w:eastAsia="Calibri" w:hAnsi="Palatino Linotype" w:cs="Arial"/>
          <w:sz w:val="24"/>
          <w:szCs w:val="24"/>
          <w:lang w:val="es-ES_tradnl" w:eastAsia="es-ES"/>
        </w:rPr>
        <w:t>este Órgano Garante</w:t>
      </w:r>
      <w:r w:rsidRPr="00827222">
        <w:rPr>
          <w:rFonts w:ascii="Palatino Linotype" w:eastAsia="Calibri" w:hAnsi="Palatino Linotype" w:cs="Arial"/>
          <w:sz w:val="24"/>
          <w:szCs w:val="24"/>
          <w:lang w:val="es-ES_tradnl" w:eastAsia="es-E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7" w:name="_Toc86342694"/>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7"/>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bookmarkEnd w:id="70"/>
      <w:bookmarkEnd w:id="71"/>
      <w:bookmarkEnd w:id="72"/>
      <w:bookmarkEnd w:id="73"/>
      <w:bookmarkEnd w:id="74"/>
      <w:bookmarkEnd w:id="75"/>
      <w:bookmarkEnd w:id="76"/>
    </w:p>
    <w:p w14:paraId="44C8055E" w14:textId="70F64A7F" w:rsidR="0038172B" w:rsidRPr="0038172B"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Se requirió conocer el </w:t>
      </w:r>
      <w:r w:rsidR="00DC5C2C">
        <w:rPr>
          <w:rFonts w:ascii="Palatino Linotype" w:eastAsiaTheme="minorEastAsia" w:hAnsi="Palatino Linotype" w:cs="Arial"/>
          <w:sz w:val="24"/>
          <w:szCs w:val="24"/>
          <w:lang w:val="es-ES_tradnl" w:eastAsia="es-ES"/>
        </w:rPr>
        <w:t>motivo por el cual no está en uso o servicio el nuevo Panteón Municipal, ubicado en la Calle Plan de San Luis</w:t>
      </w:r>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sidR="0038172B">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sidR="0038172B">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ahora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o, en el que señaló por agravios</w:t>
      </w:r>
      <w:r>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 solicitud</w:t>
      </w:r>
      <w:r w:rsidR="0038172B">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15A7DE4E"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994906">
        <w:rPr>
          <w:rFonts w:ascii="Palatino Linotype" w:eastAsiaTheme="minorEastAsia" w:hAnsi="Palatino Linotype" w:cs="Arial"/>
          <w:sz w:val="24"/>
          <w:szCs w:val="24"/>
          <w:lang w:val="es-ES_tradnl" w:eastAsia="es-ES"/>
        </w:rPr>
        <w:t>este Órgano Garante advierte</w:t>
      </w:r>
      <w:r w:rsidR="00EF1F84">
        <w:rPr>
          <w:rFonts w:ascii="Palatino Linotype" w:eastAsiaTheme="minorEastAsia" w:hAnsi="Palatino Linotype" w:cs="Arial"/>
          <w:sz w:val="24"/>
          <w:szCs w:val="24"/>
          <w:lang w:val="es-ES_tradnl" w:eastAsia="es-ES"/>
        </w:rPr>
        <w:t xml:space="preserv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Pr="0038172B">
        <w:rPr>
          <w:rFonts w:ascii="Palatino Linotype" w:eastAsiaTheme="minorEastAsia" w:hAnsi="Palatino Linotype" w:cs="Arial"/>
          <w:sz w:val="24"/>
          <w:szCs w:val="24"/>
          <w:lang w:val="es-ES_tradnl" w:eastAsia="es-ES"/>
        </w:rPr>
        <w:t xml:space="preserve"> recurso de revisión </w:t>
      </w:r>
      <w:r w:rsidR="00BB1CB4">
        <w:rPr>
          <w:rFonts w:ascii="Palatino Linotype" w:eastAsiaTheme="minorEastAsia" w:hAnsi="Palatino Linotype" w:cs="Arial"/>
          <w:b/>
          <w:bCs/>
          <w:sz w:val="24"/>
          <w:szCs w:val="24"/>
          <w:lang w:val="es-ES_tradnl" w:eastAsia="es-ES"/>
        </w:rPr>
        <w:t>05198/INFOEM/IP/RR/2021</w:t>
      </w:r>
      <w:r w:rsidRPr="0038172B">
        <w:rPr>
          <w:rFonts w:ascii="Palatino Linotype" w:eastAsiaTheme="minorEastAsia" w:hAnsi="Palatino Linotype" w:cs="Arial"/>
          <w:sz w:val="24"/>
          <w:szCs w:val="24"/>
          <w:lang w:val="es-ES_tradnl" w:eastAsia="es-ES"/>
        </w:rPr>
        <w:t xml:space="preserve"> 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w:t>
      </w:r>
      <w:r w:rsidRPr="0038172B">
        <w:rPr>
          <w:rFonts w:ascii="Palatino Linotype" w:eastAsiaTheme="minorEastAsia" w:hAnsi="Palatino Linotype" w:cs="Arial"/>
          <w:sz w:val="24"/>
          <w:szCs w:val="24"/>
          <w:lang w:val="es-ES_tradnl" w:eastAsia="es-ES"/>
        </w:rPr>
        <w:lastRenderedPageBreak/>
        <w:t xml:space="preserve">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4" w:name="_Toc86342695"/>
      <w:bookmarkStart w:id="85" w:name="_Toc499659080"/>
      <w:r>
        <w:rPr>
          <w:rFonts w:ascii="Palatino Linotype" w:eastAsia="MS Gothic" w:hAnsi="Palatino Linotype" w:cstheme="majorBidi"/>
          <w:b/>
          <w:sz w:val="24"/>
          <w:szCs w:val="32"/>
        </w:rPr>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4"/>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8634269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w:t>
      </w:r>
      <w:r w:rsidRPr="00486BDF">
        <w:rPr>
          <w:rFonts w:ascii="Palatino Linotype" w:eastAsia="Times New Roman" w:hAnsi="Palatino Linotype" w:cs="Arial"/>
          <w:color w:val="000000"/>
          <w:sz w:val="24"/>
          <w:szCs w:val="24"/>
          <w:lang w:val="es-ES_tradnl" w:eastAsia="es-ES"/>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lastRenderedPageBreak/>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657774DA"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sidR="00BB1CB4">
        <w:rPr>
          <w:rFonts w:ascii="Palatino Linotype" w:eastAsia="Times New Roman" w:hAnsi="Palatino Linotype"/>
          <w:b/>
          <w:sz w:val="24"/>
          <w:szCs w:val="24"/>
          <w:lang w:val="es-ES_tradnl" w:eastAsia="es-ES"/>
        </w:rPr>
        <w:t>Ayuntamiento de Tepetlixpa</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lastRenderedPageBreak/>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0D3023EB"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negando así el acceso a cualquier tipo de información sin ofrecer mayores explicaciones</w:t>
      </w:r>
      <w:r w:rsidR="00397CAA">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6950F7C"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BB1CB4">
        <w:rPr>
          <w:rFonts w:ascii="Palatino Linotype" w:eastAsia="Calibri" w:hAnsi="Palatino Linotype" w:cs="Times New Roman"/>
          <w:b/>
          <w:sz w:val="24"/>
          <w:szCs w:val="24"/>
          <w:lang w:val="es-ES_tradnl" w:eastAsia="es-ES"/>
        </w:rPr>
        <w:t>Ayuntamiento de Tepetlixpa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lastRenderedPageBreak/>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226F33AC"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BB1CB4">
        <w:rPr>
          <w:rFonts w:ascii="Palatino Linotype" w:eastAsia="Calibri" w:hAnsi="Palatino Linotype" w:cs="Times New Roman"/>
          <w:b/>
          <w:sz w:val="24"/>
          <w:szCs w:val="24"/>
          <w:lang w:val="es-ES_tradnl" w:eastAsia="es-ES"/>
        </w:rPr>
        <w:t>Ayuntamiento de Tepetlixpa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xml:space="preserve">, la ley determinará los </w:t>
      </w:r>
      <w:r w:rsidRPr="00486BDF">
        <w:rPr>
          <w:rFonts w:ascii="Palatino Linotype" w:eastAsiaTheme="minorEastAsia" w:hAnsi="Palatino Linotype" w:cs="Arial"/>
          <w:bCs/>
          <w:i/>
          <w:lang w:val="es-ES_tradnl" w:eastAsia="es-ES"/>
        </w:rPr>
        <w:lastRenderedPageBreak/>
        <w:t>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486BD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14A9C097" w14:textId="32765543" w:rsidR="00D629E9" w:rsidRDefault="00D629E9" w:rsidP="00486BDF">
      <w:pPr>
        <w:spacing w:before="240" w:after="240" w:line="360" w:lineRule="auto"/>
        <w:contextualSpacing/>
        <w:jc w:val="center"/>
        <w:rPr>
          <w:noProof/>
          <w:lang w:eastAsia="es-MX"/>
        </w:rPr>
      </w:pPr>
    </w:p>
    <w:p w14:paraId="7D764E01" w14:textId="3D38614A" w:rsidR="00486BDF" w:rsidRDefault="00397CAA" w:rsidP="00486BDF">
      <w:pPr>
        <w:spacing w:before="240" w:after="240" w:line="360" w:lineRule="auto"/>
        <w:contextualSpacing/>
        <w:jc w:val="center"/>
      </w:pPr>
      <w:r>
        <w:object w:dxaOrig="12855" w:dyaOrig="5010" w14:anchorId="52F50B56">
          <v:shape id="_x0000_i1026" type="#_x0000_t75" style="width:382.5pt;height:149.2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3340477" r:id="rId11"/>
        </w:object>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F3AB189" w14:textId="74B2A4E9" w:rsidR="003B5689" w:rsidRDefault="003A26DD" w:rsidP="00397CA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003D046C" w:rsidRPr="003A26DD">
        <w:rPr>
          <w:rFonts w:ascii="Palatino Linotype" w:eastAsia="Times New Roman" w:hAnsi="Palatino Linotype" w:cs="Arial"/>
          <w:color w:val="000000"/>
          <w:sz w:val="24"/>
          <w:szCs w:val="24"/>
          <w:lang w:eastAsia="es-ES"/>
        </w:rPr>
        <w:t xml:space="preserve">fuera señalado en el apartado de </w:t>
      </w:r>
      <w:r w:rsidR="003D046C" w:rsidRPr="003A26DD">
        <w:rPr>
          <w:rFonts w:ascii="Palatino Linotype" w:eastAsia="Times New Roman" w:hAnsi="Palatino Linotype" w:cs="Arial"/>
          <w:i/>
          <w:color w:val="000000"/>
          <w:sz w:val="24"/>
          <w:szCs w:val="24"/>
          <w:lang w:eastAsia="es-ES"/>
        </w:rPr>
        <w:t>Antecedentes</w:t>
      </w:r>
      <w:r w:rsidR="003D046C" w:rsidRPr="003A26DD">
        <w:rPr>
          <w:rFonts w:ascii="Palatino Linotype" w:eastAsia="Times New Roman" w:hAnsi="Palatino Linotype" w:cs="Arial"/>
          <w:color w:val="000000"/>
          <w:sz w:val="24"/>
          <w:szCs w:val="24"/>
          <w:lang w:eastAsia="es-ES"/>
        </w:rPr>
        <w:t xml:space="preserve">, el </w:t>
      </w:r>
      <w:r w:rsidR="003D046C">
        <w:rPr>
          <w:rFonts w:ascii="Palatino Linotype" w:eastAsia="Times New Roman" w:hAnsi="Palatino Linotype" w:cs="Arial"/>
          <w:color w:val="000000"/>
          <w:sz w:val="24"/>
          <w:szCs w:val="24"/>
          <w:lang w:eastAsia="es-ES"/>
        </w:rPr>
        <w:t>veintisiete (27) de septiembre de dos mil veintiuno</w:t>
      </w:r>
      <w:r w:rsidR="003D046C" w:rsidRPr="003A26DD">
        <w:rPr>
          <w:rFonts w:ascii="Palatino Linotype" w:eastAsia="Times New Roman" w:hAnsi="Palatino Linotype" w:cs="Arial"/>
          <w:color w:val="000000"/>
          <w:sz w:val="24"/>
          <w:szCs w:val="24"/>
          <w:lang w:eastAsia="es-ES"/>
        </w:rPr>
        <w:t xml:space="preserve">, </w:t>
      </w:r>
      <w:r w:rsidR="003D046C">
        <w:rPr>
          <w:rFonts w:ascii="Palatino Linotype" w:eastAsia="Times New Roman" w:hAnsi="Palatino Linotype" w:cs="Arial"/>
          <w:color w:val="000000"/>
          <w:sz w:val="24"/>
          <w:szCs w:val="24"/>
          <w:lang w:eastAsia="es-ES"/>
        </w:rPr>
        <w:t>el</w:t>
      </w:r>
      <w:r w:rsidR="003D046C" w:rsidRPr="003A26DD">
        <w:rPr>
          <w:rFonts w:ascii="Palatino Linotype" w:eastAsia="Times New Roman" w:hAnsi="Palatino Linotype" w:cs="Arial"/>
          <w:color w:val="000000"/>
          <w:sz w:val="24"/>
          <w:szCs w:val="24"/>
          <w:lang w:eastAsia="es-ES"/>
        </w:rPr>
        <w:t xml:space="preserve"> particular promovió</w:t>
      </w:r>
      <w:r w:rsidR="003D046C">
        <w:rPr>
          <w:rFonts w:ascii="Palatino Linotype" w:eastAsia="Times New Roman" w:hAnsi="Palatino Linotype" w:cs="Arial"/>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vía </w:t>
      </w:r>
      <w:r w:rsidR="003D046C" w:rsidRPr="003A26DD">
        <w:rPr>
          <w:rFonts w:ascii="Palatino Linotype" w:eastAsia="Times New Roman" w:hAnsi="Palatino Linotype" w:cs="Arial"/>
          <w:b/>
          <w:i/>
          <w:color w:val="000000"/>
          <w:sz w:val="24"/>
          <w:szCs w:val="24"/>
          <w:lang w:eastAsia="es-ES"/>
        </w:rPr>
        <w:t>SAIMEX</w:t>
      </w:r>
      <w:r w:rsidR="003D046C">
        <w:rPr>
          <w:rFonts w:ascii="Palatino Linotype" w:eastAsia="Times New Roman" w:hAnsi="Palatino Linotype" w:cs="Arial"/>
          <w:b/>
          <w:i/>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ante el </w:t>
      </w:r>
      <w:r w:rsidR="003D046C" w:rsidRPr="003A26DD">
        <w:rPr>
          <w:rFonts w:ascii="Palatino Linotype" w:eastAsia="Times New Roman" w:hAnsi="Palatino Linotype" w:cs="Arial"/>
          <w:b/>
          <w:color w:val="000000"/>
          <w:sz w:val="24"/>
          <w:szCs w:val="24"/>
          <w:lang w:eastAsia="es-ES"/>
        </w:rPr>
        <w:t>SUJETO OBLIGADO</w:t>
      </w:r>
      <w:r w:rsidR="003D046C">
        <w:rPr>
          <w:rFonts w:ascii="Palatino Linotype" w:eastAsia="Times New Roman" w:hAnsi="Palatino Linotype" w:cs="Arial"/>
          <w:b/>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la solicitud de información </w:t>
      </w:r>
      <w:r w:rsidR="003D046C">
        <w:rPr>
          <w:rFonts w:ascii="Palatino Linotype" w:eastAsia="Times New Roman" w:hAnsi="Palatino Linotype" w:cs="Arial"/>
          <w:b/>
          <w:color w:val="000000"/>
          <w:sz w:val="24"/>
          <w:szCs w:val="24"/>
          <w:lang w:eastAsia="es-ES"/>
        </w:rPr>
        <w:t>00246/TEPETLIX/IP/2021</w:t>
      </w:r>
      <w:r w:rsidR="003D046C">
        <w:rPr>
          <w:rFonts w:ascii="Palatino Linotype" w:eastAsia="Times New Roman" w:hAnsi="Palatino Linotype" w:cs="Arial"/>
          <w:bCs/>
          <w:color w:val="000000"/>
          <w:sz w:val="24"/>
          <w:szCs w:val="24"/>
          <w:lang w:eastAsia="es-ES"/>
        </w:rPr>
        <w:t>,</w:t>
      </w:r>
      <w:r w:rsidR="003D046C">
        <w:rPr>
          <w:rFonts w:ascii="Palatino Linotype" w:eastAsia="Times New Roman" w:hAnsi="Palatino Linotype" w:cs="Arial"/>
          <w:color w:val="000000"/>
          <w:sz w:val="24"/>
          <w:szCs w:val="24"/>
          <w:lang w:eastAsia="es-ES"/>
        </w:rPr>
        <w:t xml:space="preserve"> </w:t>
      </w:r>
      <w:r w:rsidR="003D046C" w:rsidRPr="003A26DD">
        <w:rPr>
          <w:rFonts w:ascii="Palatino Linotype" w:eastAsia="Times New Roman" w:hAnsi="Palatino Linotype" w:cs="Arial"/>
          <w:color w:val="000000"/>
          <w:sz w:val="24"/>
          <w:szCs w:val="24"/>
          <w:lang w:eastAsia="es-ES"/>
        </w:rPr>
        <w:t xml:space="preserve">mediante </w:t>
      </w:r>
      <w:r w:rsidR="003D046C">
        <w:rPr>
          <w:rFonts w:ascii="Palatino Linotype" w:eastAsia="Times New Roman" w:hAnsi="Palatino Linotype" w:cs="Arial"/>
          <w:color w:val="000000"/>
          <w:sz w:val="24"/>
          <w:szCs w:val="24"/>
          <w:lang w:eastAsia="es-ES"/>
        </w:rPr>
        <w:t>la que requirió conocer el motivo por el que no está en uso o servicio el nuevo Panteón Municipal, ubicado en la Calle Plan de San Luis.</w:t>
      </w:r>
    </w:p>
    <w:p w14:paraId="590C3A9C" w14:textId="77777777" w:rsidR="003B5689" w:rsidRDefault="003B5689" w:rsidP="003B568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7654CBDF" w:rsidR="003A26DD" w:rsidRPr="003A26DD" w:rsidRDefault="003D046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su parte</w:t>
      </w:r>
      <w:r w:rsidR="00484317">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y</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D629E9">
        <w:rPr>
          <w:rFonts w:ascii="Palatino Linotype" w:eastAsia="Times New Roman" w:hAnsi="Palatino Linotype" w:cs="Arial"/>
          <w:color w:val="000000"/>
          <w:sz w:val="24"/>
          <w:szCs w:val="24"/>
          <w:u w:val="single"/>
          <w:lang w:eastAsia="es-ES"/>
        </w:rPr>
        <w:t xml:space="preserve">no </w:t>
      </w:r>
      <w:r w:rsidR="004C0A0C" w:rsidRPr="00D629E9">
        <w:rPr>
          <w:rFonts w:ascii="Palatino Linotype" w:eastAsia="Times New Roman" w:hAnsi="Palatino Linotype" w:cs="Arial"/>
          <w:color w:val="000000"/>
          <w:sz w:val="24"/>
          <w:szCs w:val="24"/>
          <w:u w:val="single"/>
          <w:lang w:eastAsia="es-ES"/>
        </w:rPr>
        <w:t xml:space="preserve">atendió </w:t>
      </w:r>
      <w:r w:rsidR="00EA0691">
        <w:rPr>
          <w:rFonts w:ascii="Palatino Linotype" w:eastAsia="Times New Roman" w:hAnsi="Palatino Linotype" w:cs="Arial"/>
          <w:color w:val="000000"/>
          <w:sz w:val="24"/>
          <w:szCs w:val="24"/>
          <w:u w:val="single"/>
          <w:lang w:eastAsia="es-ES"/>
        </w:rPr>
        <w:t>los</w:t>
      </w:r>
      <w:r w:rsidR="00D629E9" w:rsidRPr="00D629E9">
        <w:rPr>
          <w:rFonts w:ascii="Palatino Linotype" w:eastAsia="Times New Roman" w:hAnsi="Palatino Linotype" w:cs="Arial"/>
          <w:color w:val="000000"/>
          <w:sz w:val="24"/>
          <w:szCs w:val="24"/>
          <w:u w:val="single"/>
          <w:lang w:eastAsia="es-ES"/>
        </w:rPr>
        <w:t xml:space="preserve"> requerimiento</w:t>
      </w:r>
      <w:r w:rsidR="00EA0691">
        <w:rPr>
          <w:rFonts w:ascii="Palatino Linotype" w:eastAsia="Times New Roman" w:hAnsi="Palatino Linotype" w:cs="Arial"/>
          <w:color w:val="000000"/>
          <w:sz w:val="24"/>
          <w:szCs w:val="24"/>
          <w:u w:val="single"/>
          <w:lang w:eastAsia="es-ES"/>
        </w:rPr>
        <w:t>s</w:t>
      </w:r>
      <w:r w:rsidR="00D629E9" w:rsidRPr="00D629E9">
        <w:rPr>
          <w:rFonts w:ascii="Palatino Linotype" w:eastAsia="Times New Roman" w:hAnsi="Palatino Linotype" w:cs="Arial"/>
          <w:color w:val="000000"/>
          <w:sz w:val="24"/>
          <w:szCs w:val="24"/>
          <w:u w:val="single"/>
          <w:lang w:eastAsia="es-ES"/>
        </w:rPr>
        <w:t xml:space="preserve"> vertido</w:t>
      </w:r>
      <w:r w:rsidR="00EA0691">
        <w:rPr>
          <w:rFonts w:ascii="Palatino Linotype" w:eastAsia="Times New Roman" w:hAnsi="Palatino Linotype" w:cs="Arial"/>
          <w:color w:val="000000"/>
          <w:sz w:val="24"/>
          <w:szCs w:val="24"/>
          <w:u w:val="single"/>
          <w:lang w:eastAsia="es-ES"/>
        </w:rPr>
        <w:t>s</w:t>
      </w:r>
      <w:r w:rsidR="004C0A0C" w:rsidRPr="00D629E9">
        <w:rPr>
          <w:rFonts w:ascii="Palatino Linotype" w:eastAsia="Times New Roman" w:hAnsi="Palatino Linotype" w:cs="Arial"/>
          <w:color w:val="000000"/>
          <w:sz w:val="24"/>
          <w:szCs w:val="24"/>
          <w:u w:val="single"/>
          <w:lang w:eastAsia="es-ES"/>
        </w:rPr>
        <w:t xml:space="preserve"> en la solicitud de información </w:t>
      </w:r>
      <w:r w:rsidR="00EA0691">
        <w:rPr>
          <w:rFonts w:ascii="Palatino Linotype" w:eastAsia="Times New Roman" w:hAnsi="Palatino Linotype" w:cs="Arial"/>
          <w:b/>
          <w:color w:val="000000"/>
          <w:sz w:val="24"/>
          <w:szCs w:val="24"/>
          <w:u w:val="single"/>
          <w:lang w:eastAsia="es-ES"/>
        </w:rPr>
        <w:t>0</w:t>
      </w:r>
      <w:r w:rsidR="006B0D42">
        <w:rPr>
          <w:rFonts w:ascii="Palatino Linotype" w:eastAsia="Times New Roman" w:hAnsi="Palatino Linotype" w:cs="Arial"/>
          <w:b/>
          <w:color w:val="000000"/>
          <w:sz w:val="24"/>
          <w:szCs w:val="24"/>
          <w:u w:val="single"/>
          <w:lang w:eastAsia="es-ES"/>
        </w:rPr>
        <w:t>0246/TEPETLIX/IP/2021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00486BDF" w:rsidRPr="00486BDF">
        <w:rPr>
          <w:rFonts w:ascii="Palatino Linotype" w:eastAsia="Times New Roman" w:hAnsi="Palatino Linotype" w:cs="Arial"/>
          <w:color w:val="000000"/>
          <w:sz w:val="24"/>
          <w:szCs w:val="24"/>
          <w:lang w:val="es-ES_tradnl" w:eastAsia="es-ES"/>
        </w:rPr>
        <w:lastRenderedPageBreak/>
        <w:t>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w:t>
      </w:r>
      <w:r w:rsidRPr="00486BDF">
        <w:rPr>
          <w:rFonts w:ascii="Palatino Linotype" w:eastAsia="Calibri" w:hAnsi="Palatino Linotype" w:cs="Times New Roman"/>
          <w:sz w:val="24"/>
          <w:szCs w:val="24"/>
          <w:lang w:val="es-ES" w:eastAsia="es-ES"/>
        </w:rPr>
        <w:lastRenderedPageBreak/>
        <w:t xml:space="preserve">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5388F148"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cumple con su alto deber de repararlo ordenando</w:t>
      </w:r>
      <w:r w:rsidR="003D046C">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8634269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w:t>
      </w:r>
      <w:r w:rsidRPr="00486BDF">
        <w:rPr>
          <w:rFonts w:ascii="Palatino Linotype" w:eastAsiaTheme="minorEastAsia" w:hAnsi="Palatino Linotype" w:cs="Arial"/>
          <w:sz w:val="24"/>
          <w:szCs w:val="24"/>
          <w:lang w:val="es-ES_tradnl" w:eastAsia="es-ES"/>
        </w:rPr>
        <w:lastRenderedPageBreak/>
        <w:t xml:space="preserve">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486BDF">
        <w:rPr>
          <w:rFonts w:ascii="Palatino Linotype" w:eastAsiaTheme="minorEastAsia" w:hAnsi="Palatino Linotype" w:cs="Arial"/>
          <w:sz w:val="24"/>
          <w:szCs w:val="24"/>
          <w:lang w:val="es-ES" w:eastAsia="es-ES"/>
        </w:rPr>
        <w:lastRenderedPageBreak/>
        <w:t>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xml:space="preserve">, es posible que </w:t>
      </w:r>
      <w:r w:rsidR="003D046C">
        <w:rPr>
          <w:rFonts w:ascii="Palatino Linotype" w:eastAsiaTheme="minorEastAsia" w:hAnsi="Palatino Linotype" w:cs="Arial"/>
          <w:sz w:val="24"/>
          <w:szCs w:val="24"/>
          <w:lang w:val="es-ES" w:eastAsia="es-ES"/>
        </w:rPr>
        <w:t>ésta</w:t>
      </w:r>
      <w:r w:rsidRPr="00486BDF">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Si el sujeto obligado, en el ejercicio de sus atribuciones, debía generar, poseer o administrar la información, pero ésta no se encuentra, el Comité de transparencia deberá </w:t>
      </w:r>
      <w:r w:rsidRPr="00F92706">
        <w:rPr>
          <w:rFonts w:ascii="Palatino Linotype" w:eastAsiaTheme="minorEastAsia" w:hAnsi="Palatino Linotype" w:cs="Arial"/>
          <w:i/>
          <w:lang w:val="es-ES_tradnl" w:eastAsia="es-ES"/>
        </w:rPr>
        <w:lastRenderedPageBreak/>
        <w:t>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lastRenderedPageBreak/>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90" w:name="_Toc524344194"/>
      <w:bookmarkStart w:id="91" w:name="_Toc526271199"/>
      <w:bookmarkStart w:id="92" w:name="_Toc536105846"/>
      <w:bookmarkStart w:id="93" w:name="_Toc536106973"/>
      <w:bookmarkStart w:id="94" w:name="_Toc8634269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90"/>
      <w:bookmarkEnd w:id="91"/>
      <w:bookmarkEnd w:id="92"/>
      <w:bookmarkEnd w:id="93"/>
      <w:bookmarkEnd w:id="94"/>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486BDF">
        <w:rPr>
          <w:rFonts w:ascii="Palatino Linotype" w:eastAsiaTheme="minorEastAsia" w:hAnsi="Palatino Linotype" w:cs="Arial"/>
          <w:sz w:val="24"/>
          <w:szCs w:val="24"/>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lastRenderedPageBreak/>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los </w:t>
      </w:r>
      <w:r w:rsidRPr="00486BDF">
        <w:rPr>
          <w:rFonts w:ascii="Palatino Linotype" w:eastAsiaTheme="minorEastAsia" w:hAnsi="Palatino Linotype" w:cs="Arial"/>
          <w:sz w:val="24"/>
          <w:szCs w:val="24"/>
          <w:lang w:val="es-ES" w:eastAsia="es-ES"/>
        </w:rPr>
        <w:lastRenderedPageBreak/>
        <w:t>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w:t>
      </w:r>
      <w:r w:rsidRPr="00486BDF">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86342699"/>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5"/>
      <w:bookmarkEnd w:id="96"/>
      <w:r w:rsidR="00486BDF" w:rsidRPr="00486BDF">
        <w:rPr>
          <w:rFonts w:ascii="Palatino Linotype" w:eastAsia="Times New Roman" w:hAnsi="Palatino Linotype" w:cstheme="majorBidi"/>
          <w:b/>
          <w:sz w:val="24"/>
          <w:szCs w:val="24"/>
        </w:rPr>
        <w:t>.</w:t>
      </w:r>
      <w:bookmarkEnd w:id="97"/>
      <w:bookmarkEnd w:id="98"/>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lastRenderedPageBreak/>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6933332F"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6C3F8C5B" w14:textId="77777777" w:rsidR="002218D9" w:rsidRDefault="002218D9"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86342700"/>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9"/>
      <w:r w:rsidR="00486BDF" w:rsidRPr="00486BDF">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w:t>
      </w:r>
      <w:r w:rsidRPr="000B7060">
        <w:rPr>
          <w:rFonts w:ascii="Palatino Linotype" w:eastAsiaTheme="minorEastAsia" w:hAnsi="Palatino Linotype" w:cs="Arial"/>
          <w:color w:val="000000" w:themeColor="text1"/>
          <w:sz w:val="24"/>
          <w:szCs w:val="24"/>
          <w:lang w:val="es-ES_tradnl" w:eastAsia="es-ES"/>
        </w:rPr>
        <w:lastRenderedPageBreak/>
        <w:t>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lastRenderedPageBreak/>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572D376E"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w:t>
      </w:r>
      <w:r w:rsidR="002218D9" w:rsidRPr="000B7060">
        <w:rPr>
          <w:rFonts w:ascii="Palatino Linotype" w:eastAsiaTheme="minorEastAsia" w:hAnsi="Palatino Linotype" w:cs="Arial"/>
          <w:color w:val="000000" w:themeColor="text1"/>
          <w:sz w:val="24"/>
          <w:szCs w:val="24"/>
          <w:lang w:val="es-ES_tradnl" w:eastAsia="es-ES"/>
        </w:rPr>
        <w:t xml:space="preserve">de constancias de autos que obran en </w:t>
      </w:r>
      <w:r w:rsidR="002218D9">
        <w:rPr>
          <w:rFonts w:ascii="Palatino Linotype" w:eastAsiaTheme="minorEastAsia" w:hAnsi="Palatino Linotype" w:cs="Arial"/>
          <w:color w:val="000000" w:themeColor="text1"/>
          <w:sz w:val="24"/>
          <w:szCs w:val="24"/>
          <w:lang w:val="es-ES_tradnl" w:eastAsia="es-ES"/>
        </w:rPr>
        <w:t>el</w:t>
      </w:r>
      <w:r w:rsidR="002218D9" w:rsidRPr="000B7060">
        <w:rPr>
          <w:rFonts w:ascii="Palatino Linotype" w:eastAsiaTheme="minorEastAsia" w:hAnsi="Palatino Linotype" w:cs="Arial"/>
          <w:color w:val="000000" w:themeColor="text1"/>
          <w:sz w:val="24"/>
          <w:szCs w:val="24"/>
          <w:lang w:val="es-ES_tradnl" w:eastAsia="es-ES"/>
        </w:rPr>
        <w:t xml:space="preserve"> expediente digital del </w:t>
      </w:r>
      <w:r w:rsidR="002218D9" w:rsidRPr="000B7060">
        <w:rPr>
          <w:rFonts w:ascii="Palatino Linotype" w:eastAsiaTheme="minorEastAsia" w:hAnsi="Palatino Linotype" w:cs="Arial"/>
          <w:b/>
          <w:bCs/>
          <w:color w:val="000000" w:themeColor="text1"/>
          <w:sz w:val="24"/>
          <w:szCs w:val="24"/>
          <w:lang w:val="es-ES_tradnl" w:eastAsia="es-ES"/>
        </w:rPr>
        <w:t>SAIMEX</w:t>
      </w:r>
      <w:r w:rsidR="002218D9" w:rsidRPr="000B7060">
        <w:rPr>
          <w:rFonts w:ascii="Palatino Linotype" w:eastAsiaTheme="minorEastAsia" w:hAnsi="Palatino Linotype" w:cs="Arial"/>
          <w:color w:val="000000" w:themeColor="text1"/>
          <w:sz w:val="24"/>
          <w:szCs w:val="24"/>
          <w:lang w:val="es-ES_tradnl" w:eastAsia="es-ES"/>
        </w:rPr>
        <w:t xml:space="preserve">, dentro del apartado de </w:t>
      </w:r>
      <w:r w:rsidR="002218D9" w:rsidRPr="000B7060">
        <w:rPr>
          <w:rFonts w:ascii="Palatino Linotype" w:eastAsiaTheme="minorEastAsia" w:hAnsi="Palatino Linotype" w:cs="Arial"/>
          <w:i/>
          <w:iCs/>
          <w:color w:val="000000" w:themeColor="text1"/>
          <w:sz w:val="24"/>
          <w:szCs w:val="24"/>
          <w:lang w:val="es-ES_tradnl" w:eastAsia="es-ES"/>
        </w:rPr>
        <w:t>Requerimientos</w:t>
      </w:r>
      <w:r w:rsidR="002218D9" w:rsidRPr="000B7060">
        <w:rPr>
          <w:rFonts w:ascii="Palatino Linotype" w:eastAsiaTheme="minorEastAsia" w:hAnsi="Palatino Linotype" w:cs="Arial"/>
          <w:color w:val="000000" w:themeColor="text1"/>
          <w:sz w:val="24"/>
          <w:szCs w:val="24"/>
          <w:lang w:val="es-ES_tradnl" w:eastAsia="es-ES"/>
        </w:rPr>
        <w:t xml:space="preserve">, </w:t>
      </w:r>
      <w:bookmarkStart w:id="104" w:name="_Hlk68613656"/>
      <w:r w:rsidR="002218D9" w:rsidRPr="000B7060">
        <w:rPr>
          <w:rFonts w:ascii="Palatino Linotype" w:eastAsiaTheme="minorEastAsia" w:hAnsi="Palatino Linotype" w:cs="Arial"/>
          <w:color w:val="000000" w:themeColor="text1"/>
          <w:sz w:val="24"/>
          <w:szCs w:val="24"/>
          <w:lang w:val="es-ES_tradnl" w:eastAsia="es-ES"/>
        </w:rPr>
        <w:t>se aprecia que la Unidad de Transparencia turnó la solicitud de información a</w:t>
      </w:r>
      <w:r w:rsidR="002218D9">
        <w:rPr>
          <w:rFonts w:ascii="Palatino Linotype" w:eastAsiaTheme="minorEastAsia" w:hAnsi="Palatino Linotype" w:cs="Arial"/>
          <w:color w:val="000000" w:themeColor="text1"/>
          <w:sz w:val="24"/>
          <w:szCs w:val="24"/>
          <w:lang w:val="es-ES_tradnl" w:eastAsia="es-ES"/>
        </w:rPr>
        <w:t>l</w:t>
      </w:r>
      <w:r w:rsidR="002218D9" w:rsidRPr="000B7060">
        <w:rPr>
          <w:rFonts w:ascii="Palatino Linotype" w:eastAsiaTheme="minorEastAsia" w:hAnsi="Palatino Linotype" w:cs="Arial"/>
          <w:color w:val="000000" w:themeColor="text1"/>
          <w:sz w:val="24"/>
          <w:szCs w:val="24"/>
          <w:lang w:val="es-ES_tradnl" w:eastAsia="es-ES"/>
        </w:rPr>
        <w:t xml:space="preserve"> servidor público habilitado</w:t>
      </w:r>
      <w:r w:rsidR="002218D9">
        <w:rPr>
          <w:rFonts w:ascii="Palatino Linotype" w:eastAsiaTheme="minorEastAsia" w:hAnsi="Palatino Linotype" w:cs="Arial"/>
          <w:color w:val="000000" w:themeColor="text1"/>
          <w:sz w:val="24"/>
          <w:szCs w:val="24"/>
          <w:lang w:val="es-ES_tradnl" w:eastAsia="es-ES"/>
        </w:rPr>
        <w:t xml:space="preserve"> </w:t>
      </w:r>
      <w:r w:rsidR="002218D9">
        <w:rPr>
          <w:rFonts w:ascii="Palatino Linotype" w:eastAsiaTheme="minorEastAsia" w:hAnsi="Palatino Linotype" w:cs="Arial"/>
          <w:i/>
          <w:iCs/>
          <w:color w:val="000000" w:themeColor="text1"/>
          <w:sz w:val="24"/>
          <w:szCs w:val="24"/>
          <w:lang w:val="es-ES_tradnl" w:eastAsia="es-ES"/>
        </w:rPr>
        <w:t>Lic. José Armando Arenas Camarillo</w:t>
      </w:r>
      <w:r w:rsidR="002218D9" w:rsidRPr="000B7060">
        <w:rPr>
          <w:rFonts w:ascii="Palatino Linotype" w:eastAsiaTheme="minorEastAsia" w:hAnsi="Palatino Linotype" w:cs="Arial"/>
          <w:color w:val="000000" w:themeColor="text1"/>
          <w:sz w:val="24"/>
          <w:szCs w:val="24"/>
          <w:lang w:val="es-ES_tradnl" w:eastAsia="es-ES"/>
        </w:rPr>
        <w:t>, como se aprecia en las imágenes que se comparten a continuación:</w:t>
      </w:r>
      <w:bookmarkEnd w:id="104"/>
    </w:p>
    <w:p w14:paraId="25C20832" w14:textId="73EA8418"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26195624" w14:textId="506DC5B0" w:rsidR="00542149" w:rsidRDefault="004850C2" w:rsidP="000B7060">
      <w:pPr>
        <w:spacing w:after="120" w:line="360" w:lineRule="auto"/>
        <w:ind w:right="49"/>
        <w:contextualSpacing/>
        <w:jc w:val="center"/>
      </w:pPr>
      <w:r>
        <w:object w:dxaOrig="12870" w:dyaOrig="4995" w14:anchorId="4AF3A89A">
          <v:shape id="_x0000_i1027" type="#_x0000_t75" style="width:382.5pt;height:148.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7" DrawAspect="Content" ObjectID="_1703340478" r:id="rId13"/>
        </w:object>
      </w:r>
    </w:p>
    <w:p w14:paraId="1B45E204" w14:textId="797DA390" w:rsidR="002218D9" w:rsidRPr="00354682" w:rsidRDefault="004850C2"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object w:dxaOrig="16485" w:dyaOrig="2280" w14:anchorId="57F63655">
          <v:shape id="_x0000_i1028" type="#_x0000_t75" style="width:383.25pt;height:54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aint.Picture" ShapeID="_x0000_i1028" DrawAspect="Content" ObjectID="_1703340479" r:id="rId15"/>
        </w:object>
      </w:r>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5745FF7F" w14:textId="5B0F5CD4" w:rsidR="004850C2" w:rsidRDefault="004850C2"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las imágenes insertas </w:t>
      </w:r>
      <w:r>
        <w:rPr>
          <w:rFonts w:ascii="Palatino Linotype" w:eastAsiaTheme="minorEastAsia" w:hAnsi="Palatino Linotype" w:cs="Arial"/>
          <w:i/>
          <w:iCs/>
          <w:color w:val="000000" w:themeColor="text1"/>
          <w:sz w:val="24"/>
          <w:szCs w:val="24"/>
          <w:lang w:val="es-ES_tradnl" w:eastAsia="es-ES"/>
        </w:rPr>
        <w:t>supra</w:t>
      </w:r>
      <w:r>
        <w:rPr>
          <w:rFonts w:ascii="Palatino Linotype" w:eastAsiaTheme="minorEastAsia" w:hAnsi="Palatino Linotype" w:cs="Arial"/>
          <w:color w:val="000000" w:themeColor="text1"/>
          <w:sz w:val="24"/>
          <w:szCs w:val="24"/>
          <w:lang w:val="es-ES_tradnl" w:eastAsia="es-ES"/>
        </w:rPr>
        <w:t xml:space="preserve">, </w:t>
      </w:r>
      <w:r w:rsidR="009C5298">
        <w:rPr>
          <w:rFonts w:ascii="Palatino Linotype" w:eastAsiaTheme="minorEastAsia" w:hAnsi="Palatino Linotype" w:cs="Arial"/>
          <w:color w:val="000000" w:themeColor="text1"/>
          <w:sz w:val="24"/>
          <w:szCs w:val="24"/>
          <w:lang w:val="es-ES_tradnl" w:eastAsia="es-ES"/>
        </w:rPr>
        <w:t>puede concluirse</w:t>
      </w:r>
      <w:r>
        <w:rPr>
          <w:rFonts w:ascii="Palatino Linotype" w:eastAsiaTheme="minorEastAsia" w:hAnsi="Palatino Linotype" w:cs="Arial"/>
          <w:color w:val="000000" w:themeColor="text1"/>
          <w:sz w:val="24"/>
          <w:szCs w:val="24"/>
          <w:lang w:val="es-ES_tradnl" w:eastAsia="es-ES"/>
        </w:rPr>
        <w:t xml:space="preserve"> que</w:t>
      </w:r>
      <w:r w:rsidR="009C5298">
        <w:rPr>
          <w:rFonts w:ascii="Palatino Linotype" w:eastAsiaTheme="minorEastAsia" w:hAnsi="Palatino Linotype" w:cs="Arial"/>
          <w:color w:val="000000" w:themeColor="text1"/>
          <w:sz w:val="24"/>
          <w:szCs w:val="24"/>
          <w:lang w:val="es-ES_tradnl" w:eastAsia="es-ES"/>
        </w:rPr>
        <w:t xml:space="preserve"> </w:t>
      </w:r>
      <w:r>
        <w:rPr>
          <w:rFonts w:ascii="Palatino Linotype" w:eastAsiaTheme="minorEastAsia" w:hAnsi="Palatino Linotype" w:cs="Arial"/>
          <w:color w:val="000000" w:themeColor="text1"/>
          <w:sz w:val="24"/>
          <w:szCs w:val="24"/>
          <w:lang w:val="es-ES_tradnl" w:eastAsia="es-ES"/>
        </w:rPr>
        <w:t xml:space="preserve">el turno que realizó la Unidad de Transparencia a alguna de las áreas administrativas del </w:t>
      </w:r>
      <w:r>
        <w:rPr>
          <w:rFonts w:ascii="Palatino Linotype" w:eastAsiaTheme="minorEastAsia" w:hAnsi="Palatino Linotype" w:cs="Arial"/>
          <w:b/>
          <w:bCs/>
          <w:color w:val="000000" w:themeColor="text1"/>
          <w:sz w:val="24"/>
          <w:szCs w:val="24"/>
          <w:lang w:val="es-ES_tradnl" w:eastAsia="es-ES"/>
        </w:rPr>
        <w:t>SUJETO OBLIGADO</w:t>
      </w:r>
      <w:r>
        <w:rPr>
          <w:rFonts w:ascii="Palatino Linotype" w:eastAsiaTheme="minorEastAsia" w:hAnsi="Palatino Linotype" w:cs="Arial"/>
          <w:color w:val="000000" w:themeColor="text1"/>
          <w:sz w:val="24"/>
          <w:szCs w:val="24"/>
          <w:lang w:val="es-ES_tradnl" w:eastAsia="es-ES"/>
        </w:rPr>
        <w:t xml:space="preserve"> para atender la </w:t>
      </w:r>
      <w:r w:rsidRPr="008E22AA">
        <w:rPr>
          <w:rFonts w:ascii="Palatino Linotype" w:eastAsiaTheme="minorEastAsia" w:hAnsi="Palatino Linotype" w:cs="Arial"/>
          <w:color w:val="000000" w:themeColor="text1"/>
          <w:sz w:val="24"/>
          <w:szCs w:val="24"/>
          <w:lang w:val="es-ES_tradnl" w:eastAsia="es-ES"/>
        </w:rPr>
        <w:t xml:space="preserve">solicitud de información </w:t>
      </w:r>
      <w:r>
        <w:rPr>
          <w:rFonts w:ascii="Palatino Linotype" w:eastAsiaTheme="minorEastAsia" w:hAnsi="Palatino Linotype" w:cs="Arial"/>
          <w:b/>
          <w:bCs/>
          <w:color w:val="000000" w:themeColor="text1"/>
          <w:sz w:val="24"/>
          <w:szCs w:val="24"/>
          <w:lang w:val="es-ES_tradnl" w:eastAsia="es-ES"/>
        </w:rPr>
        <w:t>00246/TEPETLIX/IP/2021</w:t>
      </w:r>
      <w:r w:rsidR="009C5298">
        <w:rPr>
          <w:rFonts w:ascii="Palatino Linotype" w:eastAsiaTheme="minorEastAsia" w:hAnsi="Palatino Linotype" w:cs="Arial"/>
          <w:color w:val="000000" w:themeColor="text1"/>
          <w:sz w:val="24"/>
          <w:szCs w:val="24"/>
          <w:lang w:val="es-ES_tradnl" w:eastAsia="es-ES"/>
        </w:rPr>
        <w:t xml:space="preserve"> </w:t>
      </w:r>
      <w:r>
        <w:rPr>
          <w:rFonts w:ascii="Palatino Linotype" w:eastAsiaTheme="minorEastAsia" w:hAnsi="Palatino Linotype" w:cs="Arial"/>
          <w:color w:val="000000" w:themeColor="text1"/>
          <w:sz w:val="24"/>
          <w:szCs w:val="24"/>
          <w:lang w:val="es-ES_tradnl" w:eastAsia="es-ES"/>
        </w:rPr>
        <w:t>no fue atendido por el área receptora</w:t>
      </w:r>
      <w:r w:rsidR="009C5298">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 xml:space="preserve"> tan es así que el requerimiento aún muestra el estatus </w:t>
      </w:r>
      <w:r>
        <w:rPr>
          <w:rFonts w:ascii="Palatino Linotype" w:eastAsiaTheme="minorEastAsia" w:hAnsi="Palatino Linotype" w:cs="Arial"/>
          <w:i/>
          <w:iCs/>
          <w:color w:val="000000" w:themeColor="text1"/>
          <w:sz w:val="24"/>
          <w:szCs w:val="24"/>
          <w:lang w:val="es-ES_tradnl" w:eastAsia="es-ES"/>
        </w:rPr>
        <w:t>“Pendiente de Respuesta”</w:t>
      </w:r>
      <w:r w:rsidRPr="008E22AA">
        <w:rPr>
          <w:rFonts w:ascii="Palatino Linotype" w:eastAsiaTheme="minorEastAsia" w:hAnsi="Palatino Linotype" w:cs="Arial"/>
          <w:color w:val="000000" w:themeColor="text1"/>
          <w:sz w:val="24"/>
          <w:szCs w:val="24"/>
          <w:lang w:val="es-ES_tradnl" w:eastAsia="es-ES"/>
        </w:rPr>
        <w:t>.</w:t>
      </w:r>
    </w:p>
    <w:p w14:paraId="0C233CB6" w14:textId="77777777" w:rsidR="004850C2" w:rsidRDefault="004850C2" w:rsidP="004850C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63F8B509"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lastRenderedPageBreak/>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BB1CB4">
        <w:rPr>
          <w:rFonts w:ascii="Palatino Linotype" w:eastAsiaTheme="minorEastAsia" w:hAnsi="Palatino Linotype" w:cs="Arial"/>
          <w:color w:val="000000" w:themeColor="text1"/>
          <w:sz w:val="24"/>
          <w:szCs w:val="24"/>
          <w:lang w:val="es-ES_tradnl" w:eastAsia="es-ES"/>
        </w:rPr>
        <w:t>Ayuntamiento de Tepetlixpa</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5" w:name="_Toc8634270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571B75C7"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 obrar datos personales susceptibles de protegerse,</w:t>
      </w:r>
      <w:r w:rsidR="00354682">
        <w:rPr>
          <w:rFonts w:ascii="Palatino Linotype" w:eastAsiaTheme="minorEastAsia" w:hAnsi="Palatino Linotype" w:cs="Arial"/>
          <w:color w:val="000000" w:themeColor="text1"/>
          <w:sz w:val="24"/>
          <w:szCs w:val="24"/>
          <w:lang w:val="es-ES_tradnl" w:eastAsia="es-ES"/>
        </w:rPr>
        <w:t xml:space="preserve"> como por ejemplo, el </w:t>
      </w:r>
      <w:r w:rsidR="008531D3">
        <w:rPr>
          <w:rFonts w:ascii="Palatino Linotype" w:eastAsiaTheme="minorEastAsia" w:hAnsi="Palatino Linotype" w:cs="Arial"/>
          <w:color w:val="000000" w:themeColor="text1"/>
          <w:sz w:val="24"/>
          <w:szCs w:val="24"/>
          <w:lang w:val="es-ES_tradnl" w:eastAsia="es-ES"/>
        </w:rPr>
        <w:t>nombre de particulares asistentes a alguna de las Comisiones referidas en la solicitud de información;</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lastRenderedPageBreak/>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486BDF">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w:t>
      </w:r>
      <w:r w:rsidR="004850C2">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486BDF">
        <w:rPr>
          <w:rFonts w:ascii="Palatino Linotype" w:eastAsiaTheme="minorEastAsia" w:hAnsi="Palatino Linotype"/>
          <w:color w:val="000000" w:themeColor="text1"/>
          <w:sz w:val="24"/>
          <w:szCs w:val="24"/>
          <w:lang w:val="es-ES_tradnl" w:eastAsia="es-ES"/>
        </w:rPr>
        <w:t xml:space="preserve"> tanto por la complejidad del procedimiento</w:t>
      </w:r>
      <w:r w:rsidR="004850C2">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lastRenderedPageBreak/>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0F204F">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486BDF">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486BDF">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BE13A0">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486BDF">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w:t>
      </w:r>
      <w:r w:rsidRPr="00486BDF">
        <w:rPr>
          <w:rFonts w:ascii="Palatino Linotype" w:hAnsi="Palatino Linotype" w:cs="Times New Roman"/>
          <w:color w:val="000000" w:themeColor="text1"/>
          <w:sz w:val="24"/>
          <w:szCs w:val="24"/>
          <w:lang w:val="es-ES_tradnl" w:eastAsia="es-ES_tradnl"/>
        </w:rPr>
        <w:lastRenderedPageBreak/>
        <w:t>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6"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Y, por último,  que la limitación es acorde con el principio de proporcionalidad, para ello, se sugiere emplear los tres juicios propuestos por la Corte Constitucional </w:t>
      </w:r>
      <w:r w:rsidRPr="00486BDF">
        <w:rPr>
          <w:rFonts w:ascii="Palatino Linotype" w:eastAsiaTheme="minorEastAsia" w:hAnsi="Palatino Linotype"/>
          <w:color w:val="000000" w:themeColor="text1"/>
          <w:sz w:val="24"/>
          <w:szCs w:val="24"/>
          <w:lang w:val="es-ES_tradnl" w:eastAsia="es-ES"/>
        </w:rPr>
        <w:lastRenderedPageBreak/>
        <w:t>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petrificarse su </w:t>
      </w:r>
      <w:r w:rsidRPr="00486BDF">
        <w:rPr>
          <w:rFonts w:ascii="Palatino Linotype" w:eastAsiaTheme="minorEastAsia" w:hAnsi="Palatino Linotype"/>
          <w:color w:val="000000" w:themeColor="text1"/>
          <w:sz w:val="24"/>
          <w:szCs w:val="24"/>
          <w:lang w:val="es-ES_tradnl" w:eastAsia="es-ES"/>
        </w:rPr>
        <w:lastRenderedPageBreak/>
        <w:t>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w:t>
      </w:r>
      <w:r w:rsidRPr="00486BDF">
        <w:rPr>
          <w:rFonts w:ascii="Palatino Linotype" w:eastAsiaTheme="minorEastAsia" w:hAnsi="Palatino Linotype"/>
          <w:color w:val="000000" w:themeColor="text1"/>
          <w:sz w:val="24"/>
          <w:szCs w:val="24"/>
          <w:lang w:val="es-ES_tradnl" w:eastAsia="es-ES"/>
        </w:rPr>
        <w:lastRenderedPageBreak/>
        <w:t xml:space="preserve">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486BDF">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w:t>
            </w:r>
            <w:r w:rsidRPr="00A0547A">
              <w:rPr>
                <w:rFonts w:ascii="Palatino Linotype" w:hAnsi="Palatino Linotype"/>
                <w:color w:val="000000" w:themeColor="text1"/>
                <w:sz w:val="20"/>
                <w:szCs w:val="20"/>
              </w:rPr>
              <w:lastRenderedPageBreak/>
              <w:t xml:space="preserve">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No puede clasificarse como información </w:t>
            </w:r>
            <w:r w:rsidRPr="00A0547A">
              <w:rPr>
                <w:rFonts w:ascii="Palatino Linotype" w:hAnsi="Palatino Linotype"/>
                <w:color w:val="000000" w:themeColor="text1"/>
                <w:sz w:val="20"/>
                <w:szCs w:val="20"/>
              </w:rPr>
              <w:lastRenderedPageBreak/>
              <w:t>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Delitos de lessa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que no se encuentre en los supuestos del </w:t>
            </w:r>
            <w:r w:rsidRPr="00A0547A">
              <w:rPr>
                <w:rFonts w:ascii="Palatino Linotype" w:hAnsi="Palatino Linotype"/>
                <w:color w:val="000000" w:themeColor="text1"/>
                <w:sz w:val="20"/>
                <w:szCs w:val="20"/>
              </w:rPr>
              <w:lastRenderedPageBreak/>
              <w:t xml:space="preserve">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Si se encuentra en los supuestos de dicho 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486BDF">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1FE856C6"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BB1CB4">
        <w:rPr>
          <w:rFonts w:ascii="Palatino Linotype" w:eastAsia="Times New Roman" w:hAnsi="Palatino Linotype" w:cs="Arial"/>
          <w:b/>
          <w:bCs/>
          <w:sz w:val="24"/>
          <w:szCs w:val="24"/>
          <w:lang w:val="es-ES_tradnl" w:eastAsia="es-ES"/>
        </w:rPr>
        <w:t>05198/INFOEM/IP/RR/2021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4AFB78FD"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BB1CB4">
        <w:rPr>
          <w:rFonts w:ascii="Palatino Linotype" w:eastAsia="Calibri" w:hAnsi="Palatino Linotype" w:cs="Arial"/>
          <w:b/>
          <w:bCs/>
          <w:sz w:val="24"/>
          <w:szCs w:val="24"/>
          <w:lang w:val="es-ES_tradnl" w:eastAsia="es-ES"/>
        </w:rPr>
        <w:t>Ayuntamiento de Tepetlixpa</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8531D3">
        <w:rPr>
          <w:rFonts w:ascii="Palatino Linotype" w:eastAsia="Calibri" w:hAnsi="Palatino Linotype" w:cs="Arial"/>
          <w:b/>
          <w:sz w:val="24"/>
          <w:szCs w:val="24"/>
          <w:lang w:val="es-ES" w:eastAsia="es-ES"/>
        </w:rPr>
        <w:t>0</w:t>
      </w:r>
      <w:r w:rsidR="006B0D42">
        <w:rPr>
          <w:rFonts w:ascii="Palatino Linotype" w:eastAsia="Calibri" w:hAnsi="Palatino Linotype" w:cs="Arial"/>
          <w:b/>
          <w:sz w:val="24"/>
          <w:szCs w:val="24"/>
          <w:lang w:val="es-ES" w:eastAsia="es-ES"/>
        </w:rPr>
        <w:t>0246/TEPETLIX/IP/2021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51FA038"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a</w:t>
      </w:r>
      <w:r w:rsidR="00B333E1">
        <w:rPr>
          <w:rFonts w:ascii="Palatino Linotype" w:eastAsia="Palatino Linotype" w:hAnsi="Palatino Linotype" w:cs="Palatino Linotype"/>
          <w:sz w:val="24"/>
          <w:szCs w:val="24"/>
          <w:lang w:val="es-ES_tradnl" w:eastAsia="es-ES"/>
        </w:rPr>
        <w:t xml:space="preserve"> </w:t>
      </w:r>
      <w:r w:rsidRPr="00486BDF">
        <w:rPr>
          <w:rFonts w:ascii="Palatino Linotype" w:eastAsia="Palatino Linotype" w:hAnsi="Palatino Linotype" w:cs="Palatino Linotype"/>
          <w:sz w:val="24"/>
          <w:szCs w:val="24"/>
          <w:lang w:val="es-ES_tradnl" w:eastAsia="es-ES"/>
        </w:rPr>
        <w:t>l</w:t>
      </w:r>
      <w:r w:rsidR="00B333E1">
        <w:rPr>
          <w:rFonts w:ascii="Palatino Linotype" w:eastAsia="Palatino Linotype" w:hAnsi="Palatino Linotype" w:cs="Palatino Linotype"/>
          <w:sz w:val="24"/>
          <w:szCs w:val="24"/>
          <w:lang w:val="es-ES_tradnl" w:eastAsia="es-ES"/>
        </w:rPr>
        <w:t>a</w:t>
      </w:r>
      <w:r w:rsidRPr="00486BDF">
        <w:rPr>
          <w:rFonts w:ascii="Palatino Linotype" w:eastAsia="Palatino Linotype" w:hAnsi="Palatino Linotype" w:cs="Palatino Linotype"/>
          <w:sz w:val="24"/>
          <w:szCs w:val="24"/>
          <w:lang w:val="es-ES_tradnl" w:eastAsia="es-ES"/>
        </w:rPr>
        <w:t xml:space="preserve">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86BDF">
        <w:rPr>
          <w:rFonts w:ascii="Palatino Linotype" w:eastAsia="MS Mincho" w:hAnsi="Palatino Linotype" w:cs="Times New Roman"/>
          <w:sz w:val="24"/>
          <w:szCs w:val="24"/>
          <w:lang w:val="es-ES" w:eastAsia="es-ES"/>
        </w:rPr>
        <w:lastRenderedPageBreak/>
        <w:t>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5D3E753B" w14:textId="35A90438" w:rsidR="006B40C2" w:rsidRDefault="006B40C2" w:rsidP="006B40C2">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w:t>
      </w:r>
      <w:r w:rsidRPr="00DB51AE">
        <w:rPr>
          <w:rFonts w:ascii="Palatino Linotype" w:hAnsi="Palatino Linotype"/>
          <w:color w:val="000000" w:themeColor="text1"/>
        </w:rPr>
        <w:lastRenderedPageBreak/>
        <w:t xml:space="preserve">MUNICIPIOS, CONFORMADO POR LOS COMISIONADOS JOSÉ MARTÍNEZ VILCHIS, MARÍA DEL ROSARIO MEJÍA AYALA, SHARON </w:t>
      </w:r>
      <w:r w:rsidR="00763E52">
        <w:rPr>
          <w:rFonts w:ascii="Palatino Linotype" w:hAnsi="Palatino Linotype"/>
          <w:color w:val="000000" w:themeColor="text1"/>
        </w:rPr>
        <w:t xml:space="preserve">CRISTINA </w:t>
      </w:r>
      <w:r w:rsidRPr="00DB51AE">
        <w:rPr>
          <w:rFonts w:ascii="Palatino Linotype" w:hAnsi="Palatino Linotype"/>
          <w:color w:val="000000" w:themeColor="text1"/>
        </w:rPr>
        <w:t xml:space="preserve">MORALES MARTÍNEZ, LUIS GUSTAVO PARRA NORIEGA Y GUADALUPE RAMÍREZ PEÑA; EN LA </w:t>
      </w:r>
      <w:r w:rsidR="008531D3">
        <w:rPr>
          <w:rFonts w:ascii="Palatino Linotype" w:hAnsi="Palatino Linotype"/>
          <w:color w:val="000000" w:themeColor="text1"/>
        </w:rPr>
        <w:t>CUADRAGÉSIM</w:t>
      </w:r>
      <w:r w:rsidR="00B333E1">
        <w:rPr>
          <w:rFonts w:ascii="Palatino Linotype" w:hAnsi="Palatino Linotype"/>
          <w:color w:val="000000" w:themeColor="text1"/>
        </w:rPr>
        <w:t xml:space="preserve">A CUARTA </w:t>
      </w:r>
      <w:r w:rsidRPr="00DB51AE">
        <w:rPr>
          <w:rFonts w:ascii="Palatino Linotype" w:hAnsi="Palatino Linotype"/>
          <w:color w:val="000000" w:themeColor="text1"/>
        </w:rPr>
        <w:t xml:space="preserve">SESIÓN ORDINARIA CELEBRADA EL </w:t>
      </w:r>
      <w:r w:rsidR="00B333E1">
        <w:rPr>
          <w:rFonts w:ascii="Palatino Linotype" w:hAnsi="Palatino Linotype"/>
          <w:color w:val="000000" w:themeColor="text1"/>
        </w:rPr>
        <w:t>OCHO (08) DE DICIEMBRE</w:t>
      </w:r>
      <w:r w:rsidRPr="00DB51AE">
        <w:rPr>
          <w:rFonts w:ascii="Palatino Linotype" w:hAnsi="Palatino Linotype"/>
          <w:color w:val="000000" w:themeColor="text1"/>
        </w:rPr>
        <w:t xml:space="preserve"> DE DOS MIL VEINTIUNO, ANTE EL SECRETARIO TÉCNICO DEL PLENO ALEXIS TAPIA RAMÍREZ.</w:t>
      </w:r>
      <w:r w:rsidRPr="002D6F4B">
        <w:rPr>
          <w:rFonts w:ascii="Palatino Linotype" w:hAnsi="Palatino Linotype" w:cs="Arial"/>
          <w:color w:val="000000" w:themeColor="text1"/>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p>
    <w:bookmarkEnd w:id="78"/>
    <w:bookmarkEnd w:id="79"/>
    <w:bookmarkEnd w:id="80"/>
    <w:bookmarkEnd w:id="81"/>
    <w:bookmarkEnd w:id="82"/>
    <w:bookmarkEnd w:id="83"/>
    <w:bookmarkEnd w:id="85"/>
    <w:sectPr w:rsidR="0091719C" w:rsidSect="00F22825">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857E0" w14:textId="77777777" w:rsidR="00774C69" w:rsidRDefault="00774C69" w:rsidP="00486BDF">
      <w:pPr>
        <w:spacing w:after="0" w:line="240" w:lineRule="auto"/>
      </w:pPr>
      <w:r>
        <w:separator/>
      </w:r>
    </w:p>
  </w:endnote>
  <w:endnote w:type="continuationSeparator" w:id="0">
    <w:p w14:paraId="18D07077" w14:textId="77777777" w:rsidR="00774C69" w:rsidRDefault="00774C69"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774C69" w:rsidRPr="00883450" w:rsidRDefault="00774C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58A6">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58A6">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774C69" w:rsidRDefault="00774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774C69" w:rsidRPr="00883450" w:rsidRDefault="00774C69"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58A6" w:rsidRPr="00B658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58A6" w:rsidRPr="00B658A6">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55AA0" w14:textId="77777777" w:rsidR="00774C69" w:rsidRDefault="00774C69" w:rsidP="00486BDF">
      <w:pPr>
        <w:spacing w:after="0" w:line="240" w:lineRule="auto"/>
      </w:pPr>
      <w:r>
        <w:separator/>
      </w:r>
    </w:p>
  </w:footnote>
  <w:footnote w:type="continuationSeparator" w:id="0">
    <w:p w14:paraId="2F9FF6B3" w14:textId="77777777" w:rsidR="00774C69" w:rsidRDefault="00774C69" w:rsidP="00486BDF">
      <w:pPr>
        <w:spacing w:after="0" w:line="240" w:lineRule="auto"/>
      </w:pPr>
      <w:r>
        <w:continuationSeparator/>
      </w:r>
    </w:p>
  </w:footnote>
  <w:footnote w:id="1">
    <w:p w14:paraId="19D69F45" w14:textId="77777777" w:rsidR="00774C69" w:rsidRDefault="00774C69" w:rsidP="00486BDF">
      <w:pPr>
        <w:pStyle w:val="Textonotapie"/>
      </w:pPr>
      <w:r>
        <w:rPr>
          <w:rStyle w:val="Refdenotaalpie"/>
        </w:rPr>
        <w:footnoteRef/>
      </w:r>
      <w:r>
        <w:t xml:space="preserve"> Convención Americana sobre Derechos Humanos. Artículo 13.</w:t>
      </w:r>
    </w:p>
  </w:footnote>
  <w:footnote w:id="2">
    <w:p w14:paraId="59A8D57C" w14:textId="77777777" w:rsidR="00774C69" w:rsidRDefault="00774C69"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774C69" w:rsidRDefault="00774C69"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774C69" w:rsidRDefault="00774C69" w:rsidP="00486BDF">
      <w:pPr>
        <w:pStyle w:val="Textonotapie"/>
      </w:pPr>
      <w:r>
        <w:rPr>
          <w:rStyle w:val="Refdenotaalpie"/>
        </w:rPr>
        <w:footnoteRef/>
      </w:r>
      <w:r>
        <w:t xml:space="preserve"> Ibídem. Parr. 87.</w:t>
      </w:r>
    </w:p>
  </w:footnote>
  <w:footnote w:id="5">
    <w:p w14:paraId="42380CCF" w14:textId="77777777" w:rsidR="00774C69" w:rsidRDefault="00774C69"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774C69" w:rsidRPr="00985DD4" w:rsidRDefault="00774C69"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774C69" w:rsidRPr="00985DD4" w:rsidRDefault="00774C69"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774C69" w:rsidRPr="00BE13A0" w:rsidRDefault="00774C69"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774C69" w:rsidRPr="00985DD4" w:rsidRDefault="00774C69"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774C69" w:rsidRDefault="00774C69"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774C69" w:rsidRPr="00266430" w:rsidRDefault="00774C69"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774C69" w:rsidRPr="00A870EF" w:rsidRDefault="00774C69"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774C69" w:rsidRDefault="00774C69"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774C69" w:rsidRDefault="00774C69"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774C69" w:rsidRPr="001E1F95" w:rsidRDefault="00774C69"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774C69" w:rsidRPr="007F43A5" w:rsidRDefault="00774C69"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774C69" w:rsidRPr="0037004E" w:rsidRDefault="00774C69"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774C69" w:rsidRDefault="00774C69" w:rsidP="00A0547A">
      <w:pPr>
        <w:pStyle w:val="Textonotapie"/>
      </w:pPr>
    </w:p>
  </w:footnote>
  <w:footnote w:id="13">
    <w:p w14:paraId="623E072A" w14:textId="77777777" w:rsidR="00774C69" w:rsidRDefault="00774C69" w:rsidP="00486BDF">
      <w:pPr>
        <w:pStyle w:val="Textonotapie"/>
        <w:jc w:val="both"/>
      </w:pPr>
      <w:r>
        <w:rPr>
          <w:rStyle w:val="Refdenotaalpie"/>
        </w:rPr>
        <w:footnoteRef/>
      </w:r>
      <w:r>
        <w:t xml:space="preserve"> Artículo 3. Para los efectos de la presente Ley se entenderá por:</w:t>
      </w:r>
    </w:p>
    <w:p w14:paraId="00A5B5F2" w14:textId="77777777" w:rsidR="00774C69" w:rsidRDefault="00774C69" w:rsidP="00486BDF">
      <w:pPr>
        <w:pStyle w:val="Textonotapie"/>
        <w:jc w:val="both"/>
      </w:pPr>
      <w:r>
        <w:t xml:space="preserve"> (…)</w:t>
      </w:r>
    </w:p>
    <w:p w14:paraId="7041B6AA" w14:textId="77777777" w:rsidR="00774C69" w:rsidRDefault="00774C69"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774C69" w:rsidRPr="00ED2A04" w:rsidRDefault="00774C69"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774C69" w:rsidRPr="00ED2A04" w:rsidRDefault="00774C69"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774C69" w:rsidRPr="000406A4" w:rsidRDefault="00774C69"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774C69" w:rsidRPr="000406A4" w:rsidRDefault="00774C69"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774C69" w:rsidRPr="000406A4" w:rsidRDefault="00774C69"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774C69" w:rsidRPr="000406A4" w:rsidRDefault="00774C69"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774C69" w:rsidRPr="000406A4" w:rsidRDefault="00774C69"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774C69" w:rsidRPr="00042E67" w:rsidRDefault="00774C69"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774C69" w:rsidRPr="00A4142C" w:rsidRDefault="00774C69"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774C69" w:rsidRDefault="00B658A6">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774C69" w:rsidRDefault="00774C6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74C69" w:rsidRPr="00EF13C1" w14:paraId="5B2A66CD" w14:textId="77777777" w:rsidTr="00F22825">
      <w:trPr>
        <w:trHeight w:val="138"/>
      </w:trPr>
      <w:tc>
        <w:tcPr>
          <w:tcW w:w="2551" w:type="dxa"/>
          <w:vAlign w:val="center"/>
        </w:tcPr>
        <w:p w14:paraId="4CA8291A" w14:textId="13A1BD0C" w:rsidR="00774C69" w:rsidRPr="00EF13C1" w:rsidRDefault="00774C69"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7016B49C" w:rsidR="00774C69" w:rsidRPr="00EF13C1" w:rsidRDefault="00BB1CB4" w:rsidP="002817CC">
          <w:pPr>
            <w:pStyle w:val="Encabezado"/>
            <w:rPr>
              <w:rFonts w:ascii="Palatino Linotype" w:hAnsi="Palatino Linotype"/>
              <w:b/>
              <w:sz w:val="22"/>
              <w:szCs w:val="22"/>
            </w:rPr>
          </w:pPr>
          <w:r>
            <w:rPr>
              <w:rFonts w:ascii="Palatino Linotype" w:hAnsi="Palatino Linotype" w:cs="Arial"/>
              <w:b/>
              <w:bCs/>
              <w:lang w:eastAsia="es-MX"/>
            </w:rPr>
            <w:t>05198</w:t>
          </w:r>
          <w:r w:rsidR="00774C69" w:rsidRPr="00584F01">
            <w:rPr>
              <w:rFonts w:ascii="Palatino Linotype" w:hAnsi="Palatino Linotype" w:cs="Arial"/>
              <w:b/>
              <w:bCs/>
              <w:lang w:eastAsia="es-MX"/>
            </w:rPr>
            <w:t>/INFOEM/IP/RR/</w:t>
          </w:r>
          <w:r w:rsidR="00774C69">
            <w:rPr>
              <w:rFonts w:ascii="Palatino Linotype" w:hAnsi="Palatino Linotype" w:cs="Arial"/>
              <w:b/>
              <w:bCs/>
              <w:lang w:eastAsia="es-MX"/>
            </w:rPr>
            <w:t>2021</w:t>
          </w:r>
        </w:p>
      </w:tc>
    </w:tr>
    <w:tr w:rsidR="00774C69" w:rsidRPr="00EF13C1" w14:paraId="4424EA35" w14:textId="77777777" w:rsidTr="00F22825">
      <w:trPr>
        <w:gridAfter w:val="1"/>
        <w:wAfter w:w="284" w:type="dxa"/>
        <w:trHeight w:val="321"/>
      </w:trPr>
      <w:tc>
        <w:tcPr>
          <w:tcW w:w="2551" w:type="dxa"/>
          <w:vAlign w:val="center"/>
        </w:tcPr>
        <w:p w14:paraId="04B6A82F" w14:textId="4854CB08" w:rsidR="00774C69" w:rsidRPr="00EF13C1" w:rsidRDefault="00774C69"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2B4220BD" w:rsidR="00774C69" w:rsidRPr="00EF13C1" w:rsidRDefault="00774C69"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BB1CB4">
            <w:rPr>
              <w:rFonts w:ascii="Palatino Linotype" w:hAnsi="Palatino Linotype"/>
              <w:b/>
              <w:sz w:val="22"/>
              <w:szCs w:val="22"/>
            </w:rPr>
            <w:t>Tepetlixpa</w:t>
          </w:r>
        </w:p>
      </w:tc>
    </w:tr>
    <w:tr w:rsidR="00774C69" w:rsidRPr="00EF13C1" w14:paraId="2D076407" w14:textId="77777777" w:rsidTr="00F22825">
      <w:trPr>
        <w:trHeight w:val="321"/>
      </w:trPr>
      <w:tc>
        <w:tcPr>
          <w:tcW w:w="2551" w:type="dxa"/>
          <w:vAlign w:val="center"/>
        </w:tcPr>
        <w:p w14:paraId="5739C29A" w14:textId="4B5679B6" w:rsidR="00774C69" w:rsidRPr="00EF13C1" w:rsidRDefault="00774C69"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774C69" w:rsidRPr="00EF13C1" w:rsidRDefault="00774C6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774C69" w:rsidRDefault="00774C69"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774C69" w:rsidRDefault="00B658A6"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774C69">
      <w:tab/>
    </w:r>
    <w:r w:rsidR="00774C69">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774C69" w:rsidRPr="00182113" w14:paraId="3064FEA5" w14:textId="77777777" w:rsidTr="00774C69">
      <w:trPr>
        <w:trHeight w:val="138"/>
      </w:trPr>
      <w:tc>
        <w:tcPr>
          <w:tcW w:w="2552" w:type="dxa"/>
          <w:vAlign w:val="center"/>
        </w:tcPr>
        <w:p w14:paraId="633850BA" w14:textId="3C8C53EA" w:rsidR="00774C69" w:rsidRPr="00182113" w:rsidRDefault="00774C69"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69C5B56D" w:rsidR="00774C69" w:rsidRPr="005143E6" w:rsidRDefault="00BB1CB4" w:rsidP="00F22825">
          <w:pPr>
            <w:pStyle w:val="Encabezado"/>
            <w:rPr>
              <w:rFonts w:ascii="Palatino Linotype" w:hAnsi="Palatino Linotype" w:cs="Arial"/>
              <w:b/>
              <w:bCs/>
              <w:lang w:eastAsia="es-MX"/>
            </w:rPr>
          </w:pPr>
          <w:r>
            <w:rPr>
              <w:rFonts w:ascii="Palatino Linotype" w:hAnsi="Palatino Linotype" w:cs="Arial"/>
              <w:b/>
              <w:bCs/>
              <w:lang w:eastAsia="es-MX"/>
            </w:rPr>
            <w:t>05198</w:t>
          </w:r>
          <w:r w:rsidR="00774C69" w:rsidRPr="00584F01">
            <w:rPr>
              <w:rFonts w:ascii="Palatino Linotype" w:hAnsi="Palatino Linotype" w:cs="Arial"/>
              <w:b/>
              <w:bCs/>
              <w:lang w:eastAsia="es-MX"/>
            </w:rPr>
            <w:t>/INFOEM/IP/RR/</w:t>
          </w:r>
          <w:r w:rsidR="00774C69">
            <w:rPr>
              <w:rFonts w:ascii="Palatino Linotype" w:hAnsi="Palatino Linotype" w:cs="Arial"/>
              <w:b/>
              <w:bCs/>
              <w:lang w:eastAsia="es-MX"/>
            </w:rPr>
            <w:t>2021</w:t>
          </w:r>
        </w:p>
      </w:tc>
    </w:tr>
    <w:tr w:rsidR="00774C69" w:rsidRPr="00182113" w14:paraId="0C24B249" w14:textId="77777777" w:rsidTr="00774C69">
      <w:trPr>
        <w:trHeight w:val="227"/>
      </w:trPr>
      <w:tc>
        <w:tcPr>
          <w:tcW w:w="2552" w:type="dxa"/>
          <w:vAlign w:val="center"/>
        </w:tcPr>
        <w:p w14:paraId="2D89BC43" w14:textId="77777777" w:rsidR="00774C69" w:rsidRPr="00182113" w:rsidRDefault="00774C69"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57739A03" w:rsidR="00774C69" w:rsidRPr="00182113" w:rsidRDefault="00BB1CB4"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774C69" w:rsidRPr="00182113" w14:paraId="1558C04F" w14:textId="77777777" w:rsidTr="00774C69">
      <w:trPr>
        <w:trHeight w:val="232"/>
      </w:trPr>
      <w:tc>
        <w:tcPr>
          <w:tcW w:w="2552" w:type="dxa"/>
          <w:vAlign w:val="center"/>
        </w:tcPr>
        <w:p w14:paraId="76D8490C" w14:textId="70C15BD4" w:rsidR="00774C69" w:rsidRPr="00182113" w:rsidRDefault="00774C69"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207BA2CE" w:rsidR="00774C69" w:rsidRPr="00182113" w:rsidRDefault="00774C69" w:rsidP="00774C69">
          <w:pPr>
            <w:pStyle w:val="Encabezado"/>
            <w:rPr>
              <w:rFonts w:ascii="Palatino Linotype" w:hAnsi="Palatino Linotype"/>
              <w:b/>
              <w:sz w:val="22"/>
              <w:szCs w:val="22"/>
            </w:rPr>
          </w:pPr>
          <w:r>
            <w:rPr>
              <w:rFonts w:ascii="Palatino Linotype" w:hAnsi="Palatino Linotype"/>
              <w:b/>
              <w:sz w:val="22"/>
              <w:szCs w:val="22"/>
            </w:rPr>
            <w:t xml:space="preserve">Ayuntamiento de </w:t>
          </w:r>
          <w:r w:rsidR="00BB1CB4">
            <w:rPr>
              <w:rFonts w:ascii="Palatino Linotype" w:hAnsi="Palatino Linotype"/>
              <w:b/>
              <w:sz w:val="22"/>
              <w:szCs w:val="22"/>
            </w:rPr>
            <w:t>Tepetlixpa</w:t>
          </w:r>
          <w:r>
            <w:rPr>
              <w:rFonts w:ascii="Palatino Linotype" w:hAnsi="Palatino Linotype"/>
              <w:b/>
              <w:sz w:val="22"/>
              <w:szCs w:val="22"/>
            </w:rPr>
            <w:t xml:space="preserve"> </w:t>
          </w:r>
        </w:p>
      </w:tc>
    </w:tr>
    <w:tr w:rsidR="00774C69" w:rsidRPr="00182113" w14:paraId="54D82E41" w14:textId="77777777" w:rsidTr="00774C69">
      <w:trPr>
        <w:trHeight w:val="320"/>
      </w:trPr>
      <w:tc>
        <w:tcPr>
          <w:tcW w:w="2552" w:type="dxa"/>
          <w:vAlign w:val="center"/>
        </w:tcPr>
        <w:p w14:paraId="08D64C34" w14:textId="4E51C6A0" w:rsidR="00774C69" w:rsidRPr="00182113" w:rsidRDefault="00774C69"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774C69" w:rsidRPr="00182113" w:rsidRDefault="00774C6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774C69" w:rsidRDefault="00774C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2"/>
  </w:num>
  <w:num w:numId="11">
    <w:abstractNumId w:val="11"/>
  </w:num>
  <w:num w:numId="12">
    <w:abstractNumId w:val="33"/>
  </w:num>
  <w:num w:numId="13">
    <w:abstractNumId w:val="16"/>
  </w:num>
  <w:num w:numId="14">
    <w:abstractNumId w:val="12"/>
  </w:num>
  <w:num w:numId="15">
    <w:abstractNumId w:val="0"/>
  </w:num>
  <w:num w:numId="16">
    <w:abstractNumId w:val="31"/>
  </w:num>
  <w:num w:numId="17">
    <w:abstractNumId w:val="32"/>
  </w:num>
  <w:num w:numId="18">
    <w:abstractNumId w:val="20"/>
  </w:num>
  <w:num w:numId="19">
    <w:abstractNumId w:val="14"/>
  </w:num>
  <w:num w:numId="20">
    <w:abstractNumId w:val="13"/>
  </w:num>
  <w:num w:numId="21">
    <w:abstractNumId w:val="18"/>
  </w:num>
  <w:num w:numId="22">
    <w:abstractNumId w:val="21"/>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23462"/>
    <w:rsid w:val="0004695F"/>
    <w:rsid w:val="0007641D"/>
    <w:rsid w:val="00083284"/>
    <w:rsid w:val="000A56EF"/>
    <w:rsid w:val="000B7060"/>
    <w:rsid w:val="000D7EB8"/>
    <w:rsid w:val="000F204F"/>
    <w:rsid w:val="00117887"/>
    <w:rsid w:val="00125BDA"/>
    <w:rsid w:val="0014704C"/>
    <w:rsid w:val="00155679"/>
    <w:rsid w:val="00162F82"/>
    <w:rsid w:val="001E097F"/>
    <w:rsid w:val="00211F98"/>
    <w:rsid w:val="002218D9"/>
    <w:rsid w:val="0023468B"/>
    <w:rsid w:val="00241A0A"/>
    <w:rsid w:val="002817CC"/>
    <w:rsid w:val="002971E0"/>
    <w:rsid w:val="002A4288"/>
    <w:rsid w:val="00301682"/>
    <w:rsid w:val="00302EAE"/>
    <w:rsid w:val="00303035"/>
    <w:rsid w:val="003344C1"/>
    <w:rsid w:val="00341569"/>
    <w:rsid w:val="003474C8"/>
    <w:rsid w:val="00354682"/>
    <w:rsid w:val="003708F3"/>
    <w:rsid w:val="003716DC"/>
    <w:rsid w:val="0038172B"/>
    <w:rsid w:val="00393012"/>
    <w:rsid w:val="00397CAA"/>
    <w:rsid w:val="003A26DD"/>
    <w:rsid w:val="003B5689"/>
    <w:rsid w:val="003D046C"/>
    <w:rsid w:val="003E3236"/>
    <w:rsid w:val="004172A9"/>
    <w:rsid w:val="00444BFE"/>
    <w:rsid w:val="0044737D"/>
    <w:rsid w:val="00484317"/>
    <w:rsid w:val="004850C2"/>
    <w:rsid w:val="00486BDF"/>
    <w:rsid w:val="004C0A0C"/>
    <w:rsid w:val="00517380"/>
    <w:rsid w:val="005250D4"/>
    <w:rsid w:val="00542149"/>
    <w:rsid w:val="006337C7"/>
    <w:rsid w:val="0064144C"/>
    <w:rsid w:val="006B0D42"/>
    <w:rsid w:val="006B40C2"/>
    <w:rsid w:val="00711549"/>
    <w:rsid w:val="00763E52"/>
    <w:rsid w:val="00774C69"/>
    <w:rsid w:val="007B5D7D"/>
    <w:rsid w:val="00827222"/>
    <w:rsid w:val="00833A39"/>
    <w:rsid w:val="008531D3"/>
    <w:rsid w:val="00872095"/>
    <w:rsid w:val="008B07F1"/>
    <w:rsid w:val="008B41FD"/>
    <w:rsid w:val="008E22AA"/>
    <w:rsid w:val="008E52FD"/>
    <w:rsid w:val="0091719C"/>
    <w:rsid w:val="00957FFA"/>
    <w:rsid w:val="00994906"/>
    <w:rsid w:val="009A1133"/>
    <w:rsid w:val="009B75E0"/>
    <w:rsid w:val="009C5298"/>
    <w:rsid w:val="00A0547A"/>
    <w:rsid w:val="00A06942"/>
    <w:rsid w:val="00A25D47"/>
    <w:rsid w:val="00A66489"/>
    <w:rsid w:val="00AA0CCF"/>
    <w:rsid w:val="00B333E1"/>
    <w:rsid w:val="00B375ED"/>
    <w:rsid w:val="00B658A6"/>
    <w:rsid w:val="00B80B04"/>
    <w:rsid w:val="00B95853"/>
    <w:rsid w:val="00BA6FF7"/>
    <w:rsid w:val="00BB1CB4"/>
    <w:rsid w:val="00BE0E88"/>
    <w:rsid w:val="00BE13A0"/>
    <w:rsid w:val="00C2378A"/>
    <w:rsid w:val="00C53F46"/>
    <w:rsid w:val="00C854E4"/>
    <w:rsid w:val="00CB04BC"/>
    <w:rsid w:val="00CF400D"/>
    <w:rsid w:val="00D168B8"/>
    <w:rsid w:val="00D24206"/>
    <w:rsid w:val="00D329B2"/>
    <w:rsid w:val="00D526AA"/>
    <w:rsid w:val="00D629E9"/>
    <w:rsid w:val="00D639D6"/>
    <w:rsid w:val="00D679F5"/>
    <w:rsid w:val="00D736C5"/>
    <w:rsid w:val="00DA5C03"/>
    <w:rsid w:val="00DB3790"/>
    <w:rsid w:val="00DC5C2C"/>
    <w:rsid w:val="00DD06D8"/>
    <w:rsid w:val="00E00C8B"/>
    <w:rsid w:val="00E1488A"/>
    <w:rsid w:val="00E4235F"/>
    <w:rsid w:val="00E548D7"/>
    <w:rsid w:val="00EA0691"/>
    <w:rsid w:val="00EC3E55"/>
    <w:rsid w:val="00ED6CBD"/>
    <w:rsid w:val="00EF1F84"/>
    <w:rsid w:val="00F22825"/>
    <w:rsid w:val="00F271E0"/>
    <w:rsid w:val="00F3730A"/>
    <w:rsid w:val="00F553FA"/>
    <w:rsid w:val="00F625BD"/>
    <w:rsid w:val="00F627EC"/>
    <w:rsid w:val="00F62A24"/>
    <w:rsid w:val="00F915D9"/>
    <w:rsid w:val="00F92706"/>
    <w:rsid w:val="00FB33FF"/>
    <w:rsid w:val="00FB39DB"/>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le.rae.es/?id=FdI00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FADB-9BA3-43C2-A58F-E0C309C1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13074</Words>
  <Characters>71907</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cp:revision>
  <cp:lastPrinted>2020-03-12T23:21:00Z</cp:lastPrinted>
  <dcterms:created xsi:type="dcterms:W3CDTF">2022-01-10T23:21:00Z</dcterms:created>
  <dcterms:modified xsi:type="dcterms:W3CDTF">2022-01-10T23:21:00Z</dcterms:modified>
</cp:coreProperties>
</file>