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165948" w14:textId="2E79EFE5" w:rsidR="006168E4" w:rsidRDefault="006168E4" w:rsidP="00844569">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C95EC0">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003C10C4" w:rsidRPr="00C95EC0">
        <w:rPr>
          <w:rFonts w:ascii="Palatino Linotype" w:eastAsia="Times New Roman" w:hAnsi="Palatino Linotype" w:cs="Arial"/>
          <w:color w:val="000000"/>
          <w:sz w:val="24"/>
          <w:szCs w:val="24"/>
          <w:lang w:eastAsia="es-MX"/>
        </w:rPr>
        <w:t xml:space="preserve">a </w:t>
      </w:r>
      <w:r w:rsidR="00125AEA">
        <w:rPr>
          <w:rFonts w:ascii="Palatino Linotype" w:eastAsia="Times New Roman" w:hAnsi="Palatino Linotype" w:cs="Arial"/>
          <w:color w:val="000000"/>
          <w:sz w:val="24"/>
          <w:szCs w:val="24"/>
          <w:lang w:eastAsia="es-MX"/>
        </w:rPr>
        <w:t xml:space="preserve">seis de mayo de dos mil veintiuno. </w:t>
      </w:r>
      <w:r w:rsidR="006D2889">
        <w:rPr>
          <w:rFonts w:ascii="Palatino Linotype" w:eastAsia="Times New Roman" w:hAnsi="Palatino Linotype" w:cs="Arial"/>
          <w:color w:val="000000"/>
          <w:sz w:val="24"/>
          <w:szCs w:val="24"/>
          <w:lang w:eastAsia="es-MX"/>
        </w:rPr>
        <w:t xml:space="preserve"> </w:t>
      </w:r>
      <w:r w:rsidR="006D2AFA">
        <w:rPr>
          <w:rFonts w:ascii="Palatino Linotype" w:eastAsia="Times New Roman" w:hAnsi="Palatino Linotype" w:cs="Arial"/>
          <w:color w:val="000000"/>
          <w:sz w:val="24"/>
          <w:szCs w:val="24"/>
          <w:lang w:eastAsia="es-MX"/>
        </w:rPr>
        <w:t xml:space="preserve"> </w:t>
      </w:r>
      <w:r w:rsidR="003C10C4">
        <w:rPr>
          <w:rFonts w:ascii="Palatino Linotype" w:eastAsia="Times New Roman" w:hAnsi="Palatino Linotype" w:cs="Arial"/>
          <w:color w:val="000000"/>
          <w:sz w:val="24"/>
          <w:szCs w:val="24"/>
          <w:lang w:eastAsia="es-MX"/>
        </w:rPr>
        <w:t xml:space="preserve"> </w:t>
      </w:r>
      <w:r w:rsidR="000A5C16">
        <w:rPr>
          <w:rFonts w:ascii="Palatino Linotype" w:eastAsia="Times New Roman" w:hAnsi="Palatino Linotype" w:cs="Arial"/>
          <w:color w:val="000000"/>
          <w:sz w:val="24"/>
          <w:szCs w:val="24"/>
          <w:lang w:eastAsia="es-MX"/>
        </w:rPr>
        <w:t xml:space="preserve"> </w:t>
      </w:r>
    </w:p>
    <w:p w14:paraId="1BBC73D9" w14:textId="48D1E9E2" w:rsidR="006D2889" w:rsidRPr="006D2889" w:rsidRDefault="006168E4" w:rsidP="000A5C16">
      <w:pPr>
        <w:tabs>
          <w:tab w:val="left" w:pos="1701"/>
        </w:tabs>
        <w:spacing w:before="240" w:line="360" w:lineRule="auto"/>
        <w:jc w:val="both"/>
        <w:rPr>
          <w:rFonts w:ascii="Palatino Linotype" w:hAnsi="Palatino Linotype" w:cs="Arial"/>
          <w:sz w:val="24"/>
          <w:szCs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 </w:t>
      </w:r>
      <w:r w:rsidR="00CE2ADF" w:rsidRPr="00F403EA">
        <w:rPr>
          <w:rFonts w:ascii="Palatino Linotype" w:hAnsi="Palatino Linotype" w:cs="Arial"/>
          <w:b/>
          <w:bCs/>
          <w:sz w:val="24"/>
          <w:lang w:eastAsia="es-MX"/>
        </w:rPr>
        <w:t>0</w:t>
      </w:r>
      <w:r w:rsidR="006D2889">
        <w:rPr>
          <w:rFonts w:ascii="Palatino Linotype" w:hAnsi="Palatino Linotype" w:cs="Arial"/>
          <w:b/>
          <w:bCs/>
          <w:sz w:val="24"/>
          <w:lang w:eastAsia="es-MX"/>
        </w:rPr>
        <w:t>0480</w:t>
      </w:r>
      <w:r w:rsidR="00F403EA">
        <w:rPr>
          <w:rFonts w:ascii="Palatino Linotype" w:hAnsi="Palatino Linotype" w:cs="Arial"/>
          <w:b/>
          <w:bCs/>
          <w:sz w:val="24"/>
          <w:lang w:eastAsia="es-MX"/>
        </w:rPr>
        <w:t>/</w:t>
      </w:r>
      <w:r w:rsidR="006D2AFA">
        <w:rPr>
          <w:rFonts w:ascii="Palatino Linotype" w:hAnsi="Palatino Linotype" w:cs="Arial"/>
          <w:b/>
          <w:bCs/>
          <w:sz w:val="24"/>
          <w:lang w:eastAsia="es-MX"/>
        </w:rPr>
        <w:t>INFOEM/IP/RR/2021</w:t>
      </w:r>
      <w:r w:rsidRPr="00F403EA">
        <w:rPr>
          <w:rFonts w:ascii="Palatino Linotype" w:hAnsi="Palatino Linotype" w:cs="Arial"/>
          <w:sz w:val="24"/>
        </w:rPr>
        <w:t xml:space="preserve">, </w:t>
      </w:r>
      <w:r w:rsidRPr="00F403EA">
        <w:rPr>
          <w:rFonts w:ascii="Palatino Linotype" w:hAnsi="Palatino Linotype" w:cs="Arial"/>
          <w:sz w:val="24"/>
          <w:szCs w:val="24"/>
        </w:rPr>
        <w:t xml:space="preserve">interpuesto por </w:t>
      </w:r>
      <w:r w:rsidR="006D2889">
        <w:rPr>
          <w:rFonts w:ascii="Palatino Linotype" w:hAnsi="Palatino Linotype" w:cs="Arial"/>
          <w:sz w:val="24"/>
          <w:szCs w:val="24"/>
        </w:rPr>
        <w:t xml:space="preserve">la </w:t>
      </w:r>
      <w:r w:rsidR="006D2889">
        <w:rPr>
          <w:rFonts w:ascii="Palatino Linotype" w:hAnsi="Palatino Linotype" w:cs="Arial"/>
          <w:b/>
          <w:sz w:val="24"/>
          <w:szCs w:val="24"/>
        </w:rPr>
        <w:t xml:space="preserve">C. </w:t>
      </w:r>
      <w:r w:rsidR="00AC1CCD">
        <w:rPr>
          <w:rFonts w:ascii="Palatino Linotype" w:hAnsi="Palatino Linotype" w:cs="Arial"/>
          <w:b/>
          <w:sz w:val="24"/>
          <w:szCs w:val="24"/>
        </w:rPr>
        <w:t>xxxxxxxxxxxxxxxxxxxxxxx</w:t>
      </w:r>
      <w:r w:rsidR="006D2889">
        <w:rPr>
          <w:rFonts w:ascii="Palatino Linotype" w:hAnsi="Palatino Linotype" w:cs="Arial"/>
          <w:b/>
          <w:sz w:val="24"/>
          <w:szCs w:val="24"/>
        </w:rPr>
        <w:t xml:space="preserve"> </w:t>
      </w:r>
      <w:r w:rsidR="00AC1CCD">
        <w:rPr>
          <w:rFonts w:ascii="Palatino Linotype" w:hAnsi="Palatino Linotype" w:cs="Arial"/>
          <w:b/>
          <w:sz w:val="24"/>
          <w:szCs w:val="24"/>
        </w:rPr>
        <w:t>xxxxxxxxxxxxxxxxxxxxxxxxxxxxxx</w:t>
      </w:r>
      <w:r w:rsidR="006D2889">
        <w:rPr>
          <w:rFonts w:ascii="Palatino Linotype" w:hAnsi="Palatino Linotype" w:cs="Arial"/>
          <w:b/>
          <w:sz w:val="24"/>
          <w:szCs w:val="24"/>
        </w:rPr>
        <w:t xml:space="preserve">, </w:t>
      </w:r>
      <w:r w:rsidR="006D2889">
        <w:rPr>
          <w:rFonts w:ascii="Palatino Linotype" w:hAnsi="Palatino Linotype" w:cs="Arial"/>
          <w:sz w:val="24"/>
          <w:szCs w:val="24"/>
        </w:rPr>
        <w:t xml:space="preserve">en contra de la respuesta del </w:t>
      </w:r>
      <w:r w:rsidR="006D2889">
        <w:rPr>
          <w:rFonts w:ascii="Palatino Linotype" w:hAnsi="Palatino Linotype" w:cs="Arial"/>
          <w:b/>
          <w:sz w:val="24"/>
          <w:szCs w:val="24"/>
        </w:rPr>
        <w:t xml:space="preserve">Poder Legislativo, </w:t>
      </w:r>
      <w:r w:rsidR="006D2889">
        <w:rPr>
          <w:rFonts w:ascii="Palatino Linotype" w:hAnsi="Palatino Linotype" w:cs="Arial"/>
          <w:sz w:val="24"/>
          <w:szCs w:val="24"/>
        </w:rPr>
        <w:t xml:space="preserve">en lo subsecuente </w:t>
      </w:r>
      <w:r w:rsidR="006D2889">
        <w:rPr>
          <w:rFonts w:ascii="Palatino Linotype" w:hAnsi="Palatino Linotype" w:cs="Arial"/>
          <w:b/>
          <w:sz w:val="24"/>
          <w:szCs w:val="24"/>
        </w:rPr>
        <w:t xml:space="preserve">El Sujeto Obligado, </w:t>
      </w:r>
      <w:r w:rsidR="006D2889">
        <w:rPr>
          <w:rFonts w:ascii="Palatino Linotype" w:hAnsi="Palatino Linotype" w:cs="Arial"/>
          <w:sz w:val="24"/>
          <w:szCs w:val="24"/>
        </w:rPr>
        <w:t xml:space="preserve">se procede a dictar la presente resolución. </w:t>
      </w:r>
    </w:p>
    <w:p w14:paraId="3B4D3764" w14:textId="77777777" w:rsidR="006D2AFA" w:rsidRDefault="006D2AFA" w:rsidP="000A5C16">
      <w:pPr>
        <w:tabs>
          <w:tab w:val="left" w:pos="1701"/>
        </w:tabs>
        <w:spacing w:before="240" w:line="360" w:lineRule="auto"/>
        <w:jc w:val="both"/>
        <w:rPr>
          <w:rFonts w:ascii="Palatino Linotype" w:hAnsi="Palatino Linotype" w:cs="Arial"/>
          <w:sz w:val="24"/>
          <w:szCs w:val="24"/>
        </w:rPr>
      </w:pPr>
    </w:p>
    <w:p w14:paraId="6479BB34" w14:textId="77777777" w:rsidR="006168E4" w:rsidRPr="00F205B9" w:rsidRDefault="006168E4" w:rsidP="0084456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2D0F9E4C" w14:textId="77777777" w:rsidR="006168E4" w:rsidRDefault="006168E4" w:rsidP="0084456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46F2DD45" w14:textId="3E34751F" w:rsidR="006D2889" w:rsidRPr="006D2889" w:rsidRDefault="006168E4" w:rsidP="00334417">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6D2889">
        <w:rPr>
          <w:rFonts w:ascii="Palatino Linotype" w:hAnsi="Palatino Linotype" w:cs="Arial"/>
          <w:sz w:val="24"/>
        </w:rPr>
        <w:t xml:space="preserve">dieciséis de febrero de dos mil veintiuno, </w:t>
      </w:r>
      <w:r w:rsidR="006D2889">
        <w:rPr>
          <w:rFonts w:ascii="Palatino Linotype" w:hAnsi="Palatino Linotype" w:cs="Arial"/>
          <w:b/>
          <w:sz w:val="24"/>
        </w:rPr>
        <w:t xml:space="preserve">La Recurrente </w:t>
      </w:r>
      <w:r w:rsidR="006D2889">
        <w:rPr>
          <w:rFonts w:ascii="Palatino Linotype" w:hAnsi="Palatino Linotype" w:cs="Arial"/>
          <w:sz w:val="24"/>
        </w:rPr>
        <w:t>presentó a través del Sistema de Acceso a la Información Mexiquense (</w:t>
      </w:r>
      <w:r w:rsidR="006D2889">
        <w:rPr>
          <w:rFonts w:ascii="Palatino Linotype" w:hAnsi="Palatino Linotype" w:cs="Arial"/>
          <w:b/>
          <w:sz w:val="24"/>
        </w:rPr>
        <w:t>SAIMEX)</w:t>
      </w:r>
      <w:r w:rsidR="006D2889">
        <w:rPr>
          <w:rFonts w:ascii="Palatino Linotype" w:hAnsi="Palatino Linotype" w:cs="Arial"/>
          <w:sz w:val="24"/>
        </w:rPr>
        <w:t xml:space="preserve"> ante </w:t>
      </w:r>
      <w:r w:rsidR="006D2889">
        <w:rPr>
          <w:rFonts w:ascii="Palatino Linotype" w:hAnsi="Palatino Linotype" w:cs="Arial"/>
          <w:b/>
          <w:sz w:val="24"/>
        </w:rPr>
        <w:t>El Sujeto Obligado</w:t>
      </w:r>
      <w:r w:rsidR="006D2889">
        <w:rPr>
          <w:rFonts w:ascii="Palatino Linotype" w:hAnsi="Palatino Linotype" w:cs="Arial"/>
          <w:sz w:val="24"/>
        </w:rPr>
        <w:t xml:space="preserve">, solicitud de acceso a la información pública, registrada bajo el número de expediente </w:t>
      </w:r>
      <w:r w:rsidR="006D2889">
        <w:rPr>
          <w:rFonts w:ascii="Palatino Linotype" w:hAnsi="Palatino Linotype" w:cs="Arial"/>
          <w:b/>
          <w:sz w:val="24"/>
        </w:rPr>
        <w:t xml:space="preserve">00070/PLEGISLA/IP/2021, </w:t>
      </w:r>
      <w:r w:rsidR="006D2889">
        <w:rPr>
          <w:rFonts w:ascii="Palatino Linotype" w:hAnsi="Palatino Linotype" w:cs="Arial"/>
          <w:sz w:val="24"/>
        </w:rPr>
        <w:t xml:space="preserve">mediante la cual solicitó información en el tenor siguiente: </w:t>
      </w:r>
    </w:p>
    <w:p w14:paraId="4A8014D7" w14:textId="3FE7DF5F" w:rsidR="006D2889" w:rsidRPr="006D2889" w:rsidRDefault="006D2889" w:rsidP="006D2889">
      <w:pPr>
        <w:pStyle w:val="INFOEM"/>
        <w:rPr>
          <w:b/>
          <w:sz w:val="24"/>
        </w:rPr>
      </w:pPr>
      <w:r>
        <w:t xml:space="preserve">“Que el señor Luna maestro señale si conoce que los derechos humanos son Progresivos, Universales, Interconectados e Indivisibles. Si puede, claro, que explique cada uno. Sustente sus afirmaciones en el sentido de que el principio de legalidad está por encima de los anteriores principios, como señaló en sesión reciente. ¿Qué entiende cuando la Constitución mandata que el derecho humano de acceder a </w:t>
      </w:r>
      <w:r>
        <w:lastRenderedPageBreak/>
        <w:t xml:space="preserve">la información pública es para las personas y debe interpretarse en favor de ellas? Porque todo su pleno y él mismo, señalan que resuelven a favor o en colusión con las instituciones del Edomex. ¿Por qué hace invocaciones a su dios (agente imaginario) en un acto público de Estado como una sesión de Pleno del Organismo Garante en el Estado de México? ¿Viola eso el Estado laico que es México? Documente alguna intervención que al respecto haya tenido gobernación. Documente el parangón que hace entre el derecho penal y el artículo sexto Constitucional ¿sabe que el derecho penal tiene aplicación a la letra por los tipos penales que involucran la limitación de la libertad, y toda persona es inocente hasta que se demuestre lo contrario? De ahí que la aplicación de la norma deba ser literal y aún así existe la obligación de suplir la queja en favor del imputado en ciertas condiciones. Documente en qué sección de las resoluciones del Inai señala que la admisión se hizo con fundamento en una sentencia del Poder Judial, porque yo las he leído y solo traen a cuenta que ese poder ha coincidido con el Inai, pero él es un gran erudito, que nos documente sus dichos. Precise dónde se señala que es el Inai el que debe llamar a los terceros interesados en un amparo, cuando dicha Ley precisa que sí, se deben señalar, pero si señalados faltan y el Juez no lo nota ¿por qué ello es responsabilidad del Inai como autoridad responsable? Pasen toda la documentación que acredite los grados del señor Luna, incluyendo aquellos que le permiten mandar a cursos a otras personas. Gastos del comisionado Luna en gel y corbatas a cargo del Infoem, se nota que es oneroso ese gasto por todo lo que se echa para salir a cuadro. Su micrófono es del siglo pasado y no se oye bien. Documenten las acciones de la sección de informática para cambiarlo y cuánto costó el que usa. Documente las entrevistas o reuniones que ha tenido con legisladores del Edomex por su falta total de Institucionalidad para con el Inai. ¿Dónde se le autoriza al señor Luna a protestar cuando vota una resolución que el Inai le corrige? Entendiendo que las autoridades, hasta donde yo sé, solo pueden </w:t>
      </w:r>
      <w:r>
        <w:lastRenderedPageBreak/>
        <w:t xml:space="preserve">hacer lo que les autoriza la ley. Ya que lo hizo público, documente su filiación religiosa, es decir, qué credo profesa y dónde. Nombre de su padre religioso y fe de bautismo y confirmación si la tiene. Relación de viáticos para este y dos años atrás. Reportes de ISR reportados a hacienda por el pago del salario al señor Luna. ¿Dios ha escuchado su suplica para que la Comisionada Josefina no sea Juez Penal nunca? Documente los cursos que Luna ha tomado en materia de derechos humanos, argumentación jurídica y criterios emitidos por la CIDH y la Corte en la misma materia ¿Cuántos criterios conoce al respecto y cuáles ha aplicado en sus resoluciones? Bueno, agradezco las atenciones que den al presente y ojalá no apliquen el principio de legalidad y aplicación a la letra de la Ley como les enseñaron en su escuelita de derecho hace 40 años y sigan los principios de la Corte Interamericana de Derechos Humanos y otras autoridades afines.” </w:t>
      </w:r>
      <w:r>
        <w:rPr>
          <w:b/>
        </w:rPr>
        <w:t>[Sic]</w:t>
      </w:r>
    </w:p>
    <w:p w14:paraId="3D7113CE" w14:textId="754B2E3F" w:rsidR="006D2889" w:rsidRDefault="006168E4" w:rsidP="00832AA2">
      <w:pPr>
        <w:tabs>
          <w:tab w:val="left" w:pos="7333"/>
        </w:tabs>
        <w:spacing w:before="240" w:line="360" w:lineRule="auto"/>
        <w:ind w:right="850"/>
        <w:jc w:val="both"/>
        <w:rPr>
          <w:rFonts w:ascii="Palatino Linotype" w:eastAsia="Times New Roman" w:hAnsi="Palatino Linotype" w:cs="Times New Roman"/>
          <w:sz w:val="24"/>
          <w:szCs w:val="24"/>
          <w:lang w:val="es-ES_tradnl" w:eastAsia="es-ES"/>
        </w:rPr>
      </w:pPr>
      <w:r w:rsidRPr="00667BFB">
        <w:rPr>
          <w:rFonts w:ascii="Palatino Linotype" w:eastAsia="Times New Roman" w:hAnsi="Palatino Linotype" w:cs="Times New Roman"/>
          <w:b/>
          <w:sz w:val="24"/>
          <w:szCs w:val="24"/>
          <w:lang w:val="es-ES_tradnl" w:eastAsia="es-ES"/>
        </w:rPr>
        <w:t>Modalidad de entrega:</w:t>
      </w:r>
      <w:r w:rsidRPr="00CA1161">
        <w:rPr>
          <w:rFonts w:ascii="Palatino Linotype" w:eastAsia="Times New Roman" w:hAnsi="Palatino Linotype" w:cs="Times New Roman"/>
          <w:sz w:val="24"/>
          <w:szCs w:val="24"/>
          <w:lang w:val="es-ES_tradnl" w:eastAsia="es-ES"/>
        </w:rPr>
        <w:t xml:space="preserve"> </w:t>
      </w:r>
      <w:r w:rsidR="006D2889">
        <w:rPr>
          <w:rFonts w:ascii="Palatino Linotype" w:eastAsia="Times New Roman" w:hAnsi="Palatino Linotype" w:cs="Times New Roman"/>
          <w:sz w:val="24"/>
          <w:szCs w:val="24"/>
          <w:lang w:val="es-ES_tradnl" w:eastAsia="es-ES"/>
        </w:rPr>
        <w:t xml:space="preserve">A través del SAIMEX y por correo electrónico. </w:t>
      </w:r>
    </w:p>
    <w:p w14:paraId="5F244AA1" w14:textId="77777777" w:rsidR="006D2889" w:rsidRDefault="006D2889" w:rsidP="00832AA2">
      <w:pPr>
        <w:tabs>
          <w:tab w:val="left" w:pos="7333"/>
        </w:tabs>
        <w:spacing w:before="240" w:line="360" w:lineRule="auto"/>
        <w:ind w:right="850"/>
        <w:jc w:val="both"/>
        <w:rPr>
          <w:rFonts w:ascii="Palatino Linotype" w:eastAsia="Times New Roman" w:hAnsi="Palatino Linotype" w:cs="Times New Roman"/>
          <w:sz w:val="24"/>
          <w:szCs w:val="24"/>
          <w:lang w:val="es-ES_tradnl" w:eastAsia="es-ES"/>
        </w:rPr>
      </w:pPr>
    </w:p>
    <w:p w14:paraId="49B1E6EF" w14:textId="2B0218DC" w:rsidR="006168E4" w:rsidRDefault="006D2889" w:rsidP="00844569">
      <w:pPr>
        <w:spacing w:before="240" w:line="360" w:lineRule="auto"/>
        <w:jc w:val="both"/>
        <w:rPr>
          <w:rFonts w:ascii="Palatino Linotype" w:hAnsi="Palatino Linotype" w:cs="Arial"/>
          <w:b/>
          <w:sz w:val="28"/>
        </w:rPr>
      </w:pPr>
      <w:r>
        <w:rPr>
          <w:rFonts w:ascii="Palatino Linotype" w:hAnsi="Palatino Linotype" w:cs="Arial"/>
          <w:b/>
          <w:sz w:val="28"/>
        </w:rPr>
        <w:t>SEGUNDO</w:t>
      </w:r>
      <w:r w:rsidR="006168E4">
        <w:rPr>
          <w:rFonts w:ascii="Palatino Linotype" w:hAnsi="Palatino Linotype" w:cs="Arial"/>
          <w:b/>
          <w:sz w:val="28"/>
        </w:rPr>
        <w:t xml:space="preserve">. </w:t>
      </w:r>
      <w:r w:rsidR="006168E4" w:rsidRPr="00165D6E">
        <w:rPr>
          <w:rFonts w:ascii="Palatino Linotype" w:hAnsi="Palatino Linotype" w:cs="Arial"/>
          <w:b/>
          <w:sz w:val="28"/>
          <w:szCs w:val="20"/>
        </w:rPr>
        <w:t xml:space="preserve">De la respuesta </w:t>
      </w:r>
      <w:r w:rsidR="006168E4">
        <w:rPr>
          <w:rFonts w:ascii="Palatino Linotype" w:hAnsi="Palatino Linotype" w:cs="Arial"/>
          <w:b/>
          <w:sz w:val="28"/>
          <w:szCs w:val="20"/>
        </w:rPr>
        <w:t>del Sujeto Obligado</w:t>
      </w:r>
      <w:r w:rsidR="006168E4" w:rsidRPr="00165D6E">
        <w:rPr>
          <w:rFonts w:ascii="Palatino Linotype" w:hAnsi="Palatino Linotype" w:cs="Arial"/>
          <w:b/>
          <w:sz w:val="28"/>
          <w:szCs w:val="20"/>
        </w:rPr>
        <w:t>.</w:t>
      </w:r>
    </w:p>
    <w:p w14:paraId="0A807456" w14:textId="3F4ACD8A" w:rsidR="006D2889" w:rsidRDefault="000A5C16" w:rsidP="000A5C16">
      <w:pPr>
        <w:spacing w:before="240" w:line="360" w:lineRule="auto"/>
        <w:jc w:val="both"/>
        <w:rPr>
          <w:rFonts w:ascii="Palatino Linotype" w:hAnsi="Palatino Linotype" w:cs="Arial"/>
          <w:sz w:val="24"/>
          <w:szCs w:val="24"/>
        </w:rPr>
      </w:pPr>
      <w:r w:rsidRPr="001B05B9">
        <w:rPr>
          <w:rFonts w:ascii="Palatino Linotype" w:hAnsi="Palatino Linotype" w:cs="Arial"/>
          <w:sz w:val="24"/>
          <w:szCs w:val="24"/>
        </w:rPr>
        <w:t xml:space="preserve">En el expediente electrónico </w:t>
      </w:r>
      <w:r w:rsidRPr="001B05B9">
        <w:rPr>
          <w:rFonts w:ascii="Palatino Linotype" w:hAnsi="Palatino Linotype" w:cs="Arial"/>
          <w:b/>
          <w:sz w:val="24"/>
          <w:szCs w:val="24"/>
        </w:rPr>
        <w:t>SAIMEX</w:t>
      </w:r>
      <w:r w:rsidRPr="001B05B9">
        <w:rPr>
          <w:rFonts w:ascii="Palatino Linotype" w:hAnsi="Palatino Linotype" w:cs="Arial"/>
          <w:sz w:val="24"/>
          <w:szCs w:val="24"/>
        </w:rPr>
        <w:t xml:space="preserve">, se aprecia que el </w:t>
      </w:r>
      <w:r w:rsidR="006D2889">
        <w:rPr>
          <w:rFonts w:ascii="Palatino Linotype" w:hAnsi="Palatino Linotype" w:cs="Arial"/>
          <w:sz w:val="24"/>
          <w:szCs w:val="24"/>
        </w:rPr>
        <w:t xml:space="preserve">dieciocho de febrero del presente, </w:t>
      </w:r>
      <w:r w:rsidR="006D2889">
        <w:rPr>
          <w:rFonts w:ascii="Palatino Linotype" w:hAnsi="Palatino Linotype" w:cs="Arial"/>
          <w:b/>
          <w:sz w:val="24"/>
          <w:szCs w:val="24"/>
        </w:rPr>
        <w:t xml:space="preserve">El Sujeto Obligado </w:t>
      </w:r>
      <w:r w:rsidR="006D2889">
        <w:rPr>
          <w:rFonts w:ascii="Palatino Linotype" w:hAnsi="Palatino Linotype" w:cs="Arial"/>
          <w:sz w:val="24"/>
          <w:szCs w:val="24"/>
        </w:rPr>
        <w:t xml:space="preserve">dio respuesta a la solicitud de información </w:t>
      </w:r>
      <w:r w:rsidR="006D2889">
        <w:rPr>
          <w:rFonts w:ascii="Palatino Linotype" w:hAnsi="Palatino Linotype" w:cs="Arial"/>
          <w:b/>
          <w:sz w:val="24"/>
          <w:szCs w:val="24"/>
        </w:rPr>
        <w:t xml:space="preserve">00070/PLEGISLA/IP/2021, </w:t>
      </w:r>
      <w:r w:rsidR="006D2889">
        <w:rPr>
          <w:rFonts w:ascii="Palatino Linotype" w:hAnsi="Palatino Linotype" w:cs="Arial"/>
          <w:sz w:val="24"/>
          <w:szCs w:val="24"/>
        </w:rPr>
        <w:t xml:space="preserve">resulta de nuestro interés lo siguiente: </w:t>
      </w:r>
    </w:p>
    <w:p w14:paraId="33BBFF8D" w14:textId="04E735AA" w:rsidR="006D2889" w:rsidRPr="006D2889" w:rsidRDefault="006D2889" w:rsidP="006D2889">
      <w:pPr>
        <w:pStyle w:val="INFOEM"/>
        <w:rPr>
          <w:b/>
          <w:sz w:val="24"/>
          <w:szCs w:val="24"/>
        </w:rPr>
      </w:pPr>
      <w:r>
        <w:t xml:space="preserve">“SE ADJUNTA DOCUMENTO.” </w:t>
      </w:r>
      <w:r>
        <w:rPr>
          <w:b/>
        </w:rPr>
        <w:t>[Sic]</w:t>
      </w:r>
    </w:p>
    <w:p w14:paraId="5F486140" w14:textId="77777777" w:rsidR="006D2889" w:rsidRDefault="006D2889" w:rsidP="000A5C16">
      <w:pPr>
        <w:spacing w:before="240" w:line="360" w:lineRule="auto"/>
        <w:jc w:val="both"/>
        <w:rPr>
          <w:rFonts w:ascii="Palatino Linotype" w:hAnsi="Palatino Linotype" w:cs="Arial"/>
          <w:sz w:val="24"/>
          <w:szCs w:val="24"/>
        </w:rPr>
      </w:pPr>
    </w:p>
    <w:p w14:paraId="76C7AA7D" w14:textId="62C698FC" w:rsidR="006D2889" w:rsidRPr="006D2889" w:rsidRDefault="006D2889" w:rsidP="000A5C16">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A mayor abundamiento, se advierte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adjuntó el documento electrónico </w:t>
      </w:r>
      <w:r>
        <w:rPr>
          <w:rFonts w:ascii="Palatino Linotype" w:hAnsi="Palatino Linotype" w:cs="Arial"/>
          <w:b/>
          <w:sz w:val="24"/>
          <w:szCs w:val="24"/>
        </w:rPr>
        <w:t xml:space="preserve">“70 RESPUESTA OSO.pdf”, </w:t>
      </w:r>
      <w:r>
        <w:rPr>
          <w:rFonts w:ascii="Palatino Linotype" w:hAnsi="Palatino Linotype" w:cs="Arial"/>
          <w:sz w:val="24"/>
          <w:szCs w:val="24"/>
        </w:rPr>
        <w:t xml:space="preserve">mismo que se tiene por reproducido en virtud de que será materia de análisis en el considerando respectivo. </w:t>
      </w:r>
    </w:p>
    <w:p w14:paraId="06BDD2E9" w14:textId="77777777" w:rsidR="006C5027" w:rsidRDefault="006C5027" w:rsidP="000A5C16">
      <w:pPr>
        <w:spacing w:before="240" w:line="360" w:lineRule="auto"/>
        <w:jc w:val="both"/>
        <w:rPr>
          <w:rFonts w:ascii="Palatino Linotype" w:hAnsi="Palatino Linotype" w:cs="Arial"/>
          <w:sz w:val="24"/>
          <w:szCs w:val="24"/>
        </w:rPr>
      </w:pPr>
    </w:p>
    <w:p w14:paraId="1C918068" w14:textId="2E47C6FC" w:rsidR="006168E4" w:rsidRDefault="006D2889" w:rsidP="00844569">
      <w:pPr>
        <w:spacing w:before="240" w:line="360" w:lineRule="auto"/>
        <w:jc w:val="both"/>
        <w:rPr>
          <w:rFonts w:ascii="Palatino Linotype" w:hAnsi="Palatino Linotype" w:cs="Arial"/>
          <w:b/>
          <w:sz w:val="28"/>
        </w:rPr>
      </w:pPr>
      <w:r>
        <w:rPr>
          <w:rFonts w:ascii="Palatino Linotype" w:hAnsi="Palatino Linotype" w:cs="Arial"/>
          <w:b/>
          <w:sz w:val="28"/>
        </w:rPr>
        <w:t>TERCERO</w:t>
      </w:r>
      <w:r w:rsidR="006168E4">
        <w:rPr>
          <w:rFonts w:ascii="Palatino Linotype" w:hAnsi="Palatino Linotype" w:cs="Arial"/>
          <w:b/>
          <w:sz w:val="28"/>
        </w:rPr>
        <w:t xml:space="preserve">. </w:t>
      </w:r>
      <w:r w:rsidR="006168E4">
        <w:rPr>
          <w:rFonts w:ascii="Palatino Linotype" w:hAnsi="Palatino Linotype"/>
          <w:b/>
          <w:sz w:val="28"/>
        </w:rPr>
        <w:t>Del recurso de revisión.</w:t>
      </w:r>
    </w:p>
    <w:p w14:paraId="76C254BA" w14:textId="7D272C27" w:rsidR="006D2889" w:rsidRPr="006D2889" w:rsidRDefault="00044019" w:rsidP="00044019">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 xml:space="preserve">Inconforme con la respuesta notificada por </w:t>
      </w:r>
      <w:r w:rsidRPr="008B42B1">
        <w:rPr>
          <w:rFonts w:ascii="Palatino Linotype" w:hAnsi="Palatino Linotype" w:cs="Arial"/>
          <w:b/>
          <w:sz w:val="24"/>
          <w:szCs w:val="24"/>
        </w:rPr>
        <w:t xml:space="preserve">El Sujeto Obligado, </w:t>
      </w:r>
      <w:r w:rsidR="006D2889">
        <w:rPr>
          <w:rFonts w:ascii="Palatino Linotype" w:hAnsi="Palatino Linotype" w:cs="Arial"/>
          <w:b/>
          <w:sz w:val="24"/>
          <w:szCs w:val="24"/>
        </w:rPr>
        <w:t>La</w:t>
      </w:r>
      <w:r w:rsidRPr="008B42B1">
        <w:rPr>
          <w:rFonts w:ascii="Palatino Linotype" w:hAnsi="Palatino Linotype" w:cs="Arial"/>
          <w:b/>
          <w:sz w:val="24"/>
          <w:szCs w:val="24"/>
        </w:rPr>
        <w:t xml:space="preserve"> Recurrente</w:t>
      </w:r>
      <w:r w:rsidRPr="0096643B">
        <w:rPr>
          <w:rFonts w:ascii="Palatino Linotype" w:hAnsi="Palatino Linotype" w:cs="Arial"/>
          <w:b/>
          <w:sz w:val="24"/>
          <w:szCs w:val="24"/>
        </w:rPr>
        <w:t xml:space="preserve"> </w:t>
      </w:r>
      <w:r w:rsidRPr="0096643B">
        <w:rPr>
          <w:rFonts w:ascii="Palatino Linotype" w:hAnsi="Palatino Linotype" w:cs="Arial"/>
          <w:sz w:val="24"/>
          <w:szCs w:val="24"/>
        </w:rPr>
        <w:t>interpuso el recurso de revisión, en fecha</w:t>
      </w:r>
      <w:r>
        <w:rPr>
          <w:rFonts w:ascii="Palatino Linotype" w:hAnsi="Palatino Linotype" w:cs="Arial"/>
          <w:sz w:val="24"/>
          <w:szCs w:val="24"/>
        </w:rPr>
        <w:t xml:space="preserve"> </w:t>
      </w:r>
      <w:r w:rsidR="006D2889">
        <w:rPr>
          <w:rFonts w:ascii="Palatino Linotype" w:hAnsi="Palatino Linotype" w:cs="Arial"/>
          <w:sz w:val="24"/>
          <w:szCs w:val="24"/>
        </w:rPr>
        <w:t xml:space="preserve">dieciocho de febrero de dos mil veintiuno, el cual fue registrado en el sistema electrónico con el expediente número </w:t>
      </w:r>
      <w:r w:rsidR="006D2889">
        <w:rPr>
          <w:rFonts w:ascii="Palatino Linotype" w:hAnsi="Palatino Linotype" w:cs="Arial"/>
          <w:b/>
          <w:sz w:val="24"/>
          <w:szCs w:val="24"/>
        </w:rPr>
        <w:t xml:space="preserve">00480/INFOEM/IP/RR/2021, </w:t>
      </w:r>
      <w:r w:rsidR="006D2889">
        <w:rPr>
          <w:rFonts w:ascii="Palatino Linotype" w:hAnsi="Palatino Linotype" w:cs="Arial"/>
          <w:sz w:val="24"/>
          <w:szCs w:val="24"/>
        </w:rPr>
        <w:t xml:space="preserve">en el cual arguye, las siguientes manifestaciones: </w:t>
      </w:r>
    </w:p>
    <w:p w14:paraId="7E4A3081" w14:textId="77777777" w:rsidR="006D2889" w:rsidRDefault="006D2889" w:rsidP="00044019">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62D5D053" w14:textId="6CC41804" w:rsidR="006D2889" w:rsidRPr="006D2889" w:rsidRDefault="006D2889" w:rsidP="006D2889">
      <w:pPr>
        <w:pStyle w:val="INFOEM"/>
        <w:rPr>
          <w:b/>
          <w:sz w:val="24"/>
        </w:rPr>
      </w:pPr>
      <w:r>
        <w:t>“Que responda la parte de la soli que le toca. Ojalá le confirmen para ir al Inai. :)</w:t>
      </w:r>
      <w:r>
        <w:rPr>
          <w:b/>
          <w:sz w:val="24"/>
        </w:rPr>
        <w:t xml:space="preserve">” [Sic] </w:t>
      </w:r>
    </w:p>
    <w:p w14:paraId="046BD290" w14:textId="3FA5D93E" w:rsidR="00044019" w:rsidRDefault="00274633" w:rsidP="00044019">
      <w:pPr>
        <w:spacing w:before="240" w:line="360" w:lineRule="auto"/>
        <w:jc w:val="both"/>
        <w:rPr>
          <w:rFonts w:ascii="Palatino Linotype" w:hAnsi="Palatino Linotype" w:cs="Arial"/>
          <w:b/>
          <w:sz w:val="24"/>
        </w:rPr>
      </w:pPr>
      <w:r>
        <w:rPr>
          <w:rFonts w:ascii="Palatino Linotype" w:hAnsi="Palatino Linotype" w:cs="Arial"/>
          <w:b/>
          <w:sz w:val="24"/>
        </w:rPr>
        <w:t xml:space="preserve">Razones o Motivos de Inconformidad: </w:t>
      </w:r>
    </w:p>
    <w:p w14:paraId="377985CD" w14:textId="44D2F2F5" w:rsidR="00044019" w:rsidRPr="007C7E1F" w:rsidRDefault="006D2889" w:rsidP="00274633">
      <w:pPr>
        <w:pStyle w:val="INFOEM"/>
      </w:pPr>
      <w:r w:rsidRPr="006D2889">
        <w:t>“Que responda la parte de la soli que le toca. Ojalá le confirmen para ir al Inai. :)</w:t>
      </w:r>
      <w:r w:rsidR="00044019" w:rsidRPr="006D2889">
        <w:t>” [</w:t>
      </w:r>
      <w:r w:rsidR="00044019" w:rsidRPr="007C7E1F">
        <w:rPr>
          <w:b/>
        </w:rPr>
        <w:t>Sic]</w:t>
      </w:r>
    </w:p>
    <w:p w14:paraId="4C0ED8BF" w14:textId="77777777" w:rsidR="00044019" w:rsidRPr="00295668" w:rsidRDefault="00044019" w:rsidP="00044019">
      <w:pPr>
        <w:spacing w:line="360" w:lineRule="auto"/>
        <w:ind w:left="851" w:right="851"/>
        <w:jc w:val="both"/>
        <w:rPr>
          <w:rFonts w:ascii="Palatino Linotype" w:hAnsi="Palatino Linotype" w:cs="Arial"/>
          <w:i/>
        </w:rPr>
      </w:pPr>
    </w:p>
    <w:p w14:paraId="26232C22" w14:textId="6706043E" w:rsidR="006168E4" w:rsidRDefault="006D2889" w:rsidP="00844569">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6168E4" w:rsidRPr="008551ED">
        <w:rPr>
          <w:rFonts w:ascii="Palatino Linotype" w:hAnsi="Palatino Linotype" w:cs="Arial"/>
          <w:b/>
          <w:sz w:val="24"/>
          <w:szCs w:val="24"/>
        </w:rPr>
        <w:t xml:space="preserve">. </w:t>
      </w:r>
      <w:r w:rsidR="006168E4" w:rsidRPr="0087163A">
        <w:rPr>
          <w:rFonts w:ascii="Palatino Linotype" w:hAnsi="Palatino Linotype" w:cs="Arial"/>
          <w:b/>
          <w:sz w:val="28"/>
          <w:szCs w:val="28"/>
        </w:rPr>
        <w:t>Del turno del recurso de revisión.</w:t>
      </w:r>
    </w:p>
    <w:p w14:paraId="2E60CF2C" w14:textId="7FA5CB2A" w:rsidR="007C7E1F" w:rsidRDefault="006168E4" w:rsidP="007C7E1F">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xml:space="preserve">, por medio del sistema electrónico en términos del arábigo 185 fracción I de </w:t>
      </w:r>
      <w:r>
        <w:rPr>
          <w:rFonts w:ascii="Palatino Linotype" w:hAnsi="Palatino Linotype" w:cs="Arial"/>
          <w:sz w:val="24"/>
          <w:szCs w:val="24"/>
        </w:rPr>
        <w:lastRenderedPageBreak/>
        <w:t xml:space="preserve">la Ley de Transparencia y Acceso a la información Pública del Estado de México y Municipios, del cual recayó acuerdo de admisión en fecha </w:t>
      </w:r>
      <w:r w:rsidR="00067A1B">
        <w:rPr>
          <w:rFonts w:ascii="Palatino Linotype" w:hAnsi="Palatino Linotype" w:cs="Arial"/>
          <w:sz w:val="24"/>
          <w:szCs w:val="24"/>
        </w:rPr>
        <w:t>veinticuatro</w:t>
      </w:r>
      <w:r w:rsidR="00274633">
        <w:rPr>
          <w:rFonts w:ascii="Palatino Linotype" w:hAnsi="Palatino Linotype" w:cs="Arial"/>
          <w:sz w:val="24"/>
          <w:szCs w:val="24"/>
        </w:rPr>
        <w:t xml:space="preserve"> de febrero de dos mil veintiuno, </w:t>
      </w:r>
      <w:r w:rsidR="007C7E1F">
        <w:rPr>
          <w:rFonts w:ascii="Palatino Linotype" w:hAnsi="Palatino Linotype" w:cs="Arial"/>
          <w:sz w:val="24"/>
          <w:szCs w:val="24"/>
        </w:rPr>
        <w:t>determinándose en él, un plazo de siete días para que las partes manifestaran lo que a su derecho corresponda en términos del numeral ya citado.</w:t>
      </w:r>
    </w:p>
    <w:p w14:paraId="52F89503" w14:textId="77777777" w:rsidR="007C7E1F" w:rsidRDefault="007C7E1F" w:rsidP="00844569">
      <w:pPr>
        <w:spacing w:before="240" w:line="360" w:lineRule="auto"/>
        <w:jc w:val="both"/>
        <w:rPr>
          <w:rFonts w:ascii="Palatino Linotype" w:hAnsi="Palatino Linotype" w:cs="Arial"/>
          <w:sz w:val="24"/>
          <w:szCs w:val="24"/>
        </w:rPr>
      </w:pPr>
    </w:p>
    <w:p w14:paraId="25797F9D" w14:textId="08C46DA4" w:rsidR="006168E4" w:rsidRDefault="00067A1B" w:rsidP="00844569">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6168E4" w:rsidRPr="008551ED">
        <w:rPr>
          <w:rFonts w:ascii="Palatino Linotype" w:hAnsi="Palatino Linotype" w:cs="Arial"/>
          <w:b/>
          <w:sz w:val="24"/>
          <w:szCs w:val="24"/>
        </w:rPr>
        <w:t>.</w:t>
      </w:r>
      <w:r w:rsidR="006168E4">
        <w:rPr>
          <w:rFonts w:ascii="Palatino Linotype" w:hAnsi="Palatino Linotype" w:cs="Arial"/>
          <w:b/>
          <w:sz w:val="24"/>
          <w:szCs w:val="24"/>
        </w:rPr>
        <w:t xml:space="preserve"> </w:t>
      </w:r>
      <w:r w:rsidR="006168E4" w:rsidRPr="0087163A">
        <w:rPr>
          <w:rFonts w:ascii="Palatino Linotype" w:hAnsi="Palatino Linotype" w:cs="Arial"/>
          <w:b/>
          <w:sz w:val="28"/>
          <w:szCs w:val="28"/>
        </w:rPr>
        <w:t>De la etapa de instrucción.</w:t>
      </w:r>
    </w:p>
    <w:p w14:paraId="1936F26F" w14:textId="7A9835B5" w:rsidR="00067A1B" w:rsidRPr="00067A1B" w:rsidRDefault="00067A1B" w:rsidP="00067A1B">
      <w:pPr>
        <w:spacing w:before="240" w:line="360" w:lineRule="auto"/>
        <w:jc w:val="both"/>
        <w:rPr>
          <w:rFonts w:ascii="Palatino Linotype" w:hAnsi="Palatino Linotype" w:cs="Arial"/>
          <w:sz w:val="24"/>
          <w:szCs w:val="24"/>
        </w:rPr>
      </w:pPr>
      <w:r w:rsidRPr="00523CF0">
        <w:rPr>
          <w:rFonts w:ascii="Palatino Linotype" w:hAnsi="Palatino Linotype" w:cs="Arial"/>
          <w:sz w:val="24"/>
          <w:szCs w:val="24"/>
        </w:rPr>
        <w:t xml:space="preserve">Así, en la etapa de instrucción, </w:t>
      </w:r>
      <w:r>
        <w:rPr>
          <w:rFonts w:ascii="Palatino Linotype" w:hAnsi="Palatino Linotype" w:cs="Arial"/>
          <w:sz w:val="24"/>
          <w:szCs w:val="24"/>
        </w:rPr>
        <w:t xml:space="preserve">de las constancias que obran en el expediente electrónico se advierte que en el expediente electrónico del recurso de revisión, </w:t>
      </w:r>
      <w:r>
        <w:rPr>
          <w:rFonts w:ascii="Palatino Linotype" w:hAnsi="Palatino Linotype" w:cs="Arial"/>
          <w:b/>
          <w:sz w:val="24"/>
          <w:szCs w:val="24"/>
        </w:rPr>
        <w:t xml:space="preserve">El Sujeto Obligado </w:t>
      </w:r>
      <w:r>
        <w:rPr>
          <w:rFonts w:ascii="Palatino Linotype" w:hAnsi="Palatino Linotype" w:cs="Arial"/>
          <w:sz w:val="24"/>
          <w:szCs w:val="24"/>
        </w:rPr>
        <w:t xml:space="preserve">rindió su informe justificado en fecha ocho de marzo, mismo que fue puesto a la vista del </w:t>
      </w:r>
      <w:r>
        <w:rPr>
          <w:rFonts w:ascii="Palatino Linotype" w:hAnsi="Palatino Linotype" w:cs="Arial"/>
          <w:b/>
          <w:sz w:val="24"/>
          <w:szCs w:val="24"/>
        </w:rPr>
        <w:t xml:space="preserve">Recurrente, </w:t>
      </w:r>
      <w:r>
        <w:rPr>
          <w:rFonts w:ascii="Palatino Linotype" w:hAnsi="Palatino Linotype" w:cs="Arial"/>
          <w:sz w:val="24"/>
          <w:szCs w:val="24"/>
        </w:rPr>
        <w:t xml:space="preserve">el once de marzo de dos mil veintiuno. </w:t>
      </w:r>
    </w:p>
    <w:p w14:paraId="526F770C" w14:textId="62A91D6E" w:rsidR="00067A1B" w:rsidRDefault="00067A1B" w:rsidP="00067A1B">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lo que una vez </w:t>
      </w:r>
      <w:r w:rsidRPr="00F12BAF">
        <w:rPr>
          <w:rFonts w:ascii="Palatino Linotype" w:hAnsi="Palatino Linotype" w:cs="Arial"/>
          <w:sz w:val="24"/>
          <w:szCs w:val="24"/>
        </w:rPr>
        <w:t xml:space="preserve">transcurrido el plazo establecido para que las partes manifestaran lo que a su derecho conviniera, en </w:t>
      </w:r>
      <w:r w:rsidRPr="00987C03">
        <w:rPr>
          <w:rFonts w:ascii="Palatino Linotype" w:hAnsi="Palatino Linotype" w:cs="Arial"/>
          <w:sz w:val="24"/>
          <w:szCs w:val="24"/>
        </w:rPr>
        <w:t>fecha</w:t>
      </w:r>
      <w:r>
        <w:rPr>
          <w:rFonts w:ascii="Palatino Linotype" w:hAnsi="Palatino Linotype" w:cs="Arial"/>
          <w:sz w:val="24"/>
          <w:szCs w:val="24"/>
        </w:rPr>
        <w:t xml:space="preserve"> diecinueve de marzo de dos mil veintiuno, se decretó el cierre de instrucción en términos del artículo 185 fracción VI de la Ley de Transparencia y Acceso a la Información Pública del Estado de México y Municipios, iniciando el término legal para dictar resolución definitiva del asunto.</w:t>
      </w:r>
    </w:p>
    <w:p w14:paraId="73288A0F" w14:textId="63937405" w:rsidR="006618FA" w:rsidRPr="006618FA" w:rsidRDefault="006618FA" w:rsidP="00067A1B">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Que el veintidós de abril de dos mil veintiuno, </w:t>
      </w:r>
      <w:r>
        <w:rPr>
          <w:rFonts w:ascii="Palatino Linotype" w:hAnsi="Palatino Linotype" w:cs="Arial"/>
          <w:b/>
          <w:sz w:val="24"/>
          <w:szCs w:val="24"/>
        </w:rPr>
        <w:t xml:space="preserve">El Sujeto Obligado </w:t>
      </w:r>
      <w:r>
        <w:rPr>
          <w:rFonts w:ascii="Palatino Linotype" w:hAnsi="Palatino Linotype" w:cs="Arial"/>
          <w:sz w:val="24"/>
          <w:szCs w:val="24"/>
        </w:rPr>
        <w:t xml:space="preserve">remitió diversos archivos electrónicos como alcance al informe justificado. </w:t>
      </w:r>
    </w:p>
    <w:p w14:paraId="245CE40C" w14:textId="0E16E166" w:rsidR="006618FA" w:rsidRDefault="006618FA" w:rsidP="006618FA">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fecha veintinueve de abril de dos mil veintiuno, el alcance al informe justificado se puso a la vista de </w:t>
      </w:r>
      <w:r>
        <w:rPr>
          <w:rFonts w:ascii="Palatino Linotype" w:hAnsi="Palatino Linotype" w:cs="Arial"/>
          <w:b/>
          <w:sz w:val="24"/>
          <w:szCs w:val="24"/>
        </w:rPr>
        <w:t xml:space="preserve">La Recurrente. </w:t>
      </w:r>
      <w:r>
        <w:rPr>
          <w:rFonts w:ascii="Palatino Linotype" w:hAnsi="Palatino Linotype" w:cs="Arial"/>
          <w:sz w:val="24"/>
          <w:szCs w:val="24"/>
        </w:rPr>
        <w:t xml:space="preserve">Asimismo, se dejó sin efectos el acuerdo de fecha diecinueve de marzo de dos mil veintiuno. Lo anterior en estricta observancia al artículo 195 de la Ley de Transparencia, Acceso a la Información Pública del Estado de </w:t>
      </w:r>
      <w:r>
        <w:rPr>
          <w:rFonts w:ascii="Palatino Linotype" w:hAnsi="Palatino Linotype" w:cs="Arial"/>
          <w:sz w:val="24"/>
          <w:szCs w:val="24"/>
        </w:rPr>
        <w:lastRenderedPageBreak/>
        <w:t xml:space="preserve">México y Municipios y el numeral 15 del Código de Procedimientos Administrativos del Estado de México. </w:t>
      </w:r>
    </w:p>
    <w:p w14:paraId="1AA5642C" w14:textId="58661A0B" w:rsidR="006618FA" w:rsidRDefault="006618FA" w:rsidP="006618FA">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De igual manera, se hace constar que </w:t>
      </w:r>
      <w:r>
        <w:rPr>
          <w:rFonts w:ascii="Palatino Linotype" w:hAnsi="Palatino Linotype" w:cs="Arial"/>
          <w:b/>
          <w:sz w:val="24"/>
          <w:szCs w:val="24"/>
        </w:rPr>
        <w:t xml:space="preserve">La Recurrente </w:t>
      </w:r>
      <w:r>
        <w:rPr>
          <w:rFonts w:ascii="Palatino Linotype" w:hAnsi="Palatino Linotype" w:cs="Arial"/>
          <w:sz w:val="24"/>
          <w:szCs w:val="24"/>
        </w:rPr>
        <w:t xml:space="preserve">fue omisa en rendir manifestación alguna, lo anterior en términos del artículo 185, fracción IV de la Ley de Transparencia y Acceso a la Información Pública del Estado de México y Municipios. </w:t>
      </w:r>
    </w:p>
    <w:p w14:paraId="5600AE38" w14:textId="763AB8A0" w:rsidR="006618FA" w:rsidRPr="006C432D" w:rsidRDefault="006618FA" w:rsidP="006618FA">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Así, a través de acuerdo de fecha seis de mayo de dos mil veintiuno, se decretó el cierre de instrucción en términos del artículo 185, fracción VI de la Ley de Transparencia y Acceso a la Información Pública del Estado de México y Municipios. </w:t>
      </w:r>
    </w:p>
    <w:p w14:paraId="644041DC" w14:textId="77777777" w:rsidR="006618FA" w:rsidRDefault="006618FA" w:rsidP="00844569">
      <w:pPr>
        <w:spacing w:before="240" w:line="360" w:lineRule="auto"/>
        <w:jc w:val="both"/>
        <w:rPr>
          <w:rFonts w:ascii="Palatino Linotype" w:hAnsi="Palatino Linotype" w:cs="Arial"/>
          <w:sz w:val="24"/>
          <w:szCs w:val="24"/>
        </w:rPr>
      </w:pPr>
    </w:p>
    <w:p w14:paraId="34B85B16" w14:textId="77777777" w:rsidR="007C7E1F" w:rsidRDefault="007C7E1F" w:rsidP="007C7E1F">
      <w:pPr>
        <w:spacing w:before="240" w:line="360" w:lineRule="auto"/>
        <w:jc w:val="center"/>
        <w:rPr>
          <w:rFonts w:ascii="Palatino Linotype" w:hAnsi="Palatino Linotype" w:cs="Arial"/>
          <w:b/>
          <w:sz w:val="24"/>
        </w:rPr>
      </w:pPr>
      <w:r>
        <w:rPr>
          <w:rFonts w:ascii="Palatino Linotype" w:hAnsi="Palatino Linotype" w:cs="Arial"/>
          <w:b/>
          <w:sz w:val="24"/>
        </w:rPr>
        <w:t>C</w:t>
      </w:r>
      <w:r w:rsidRPr="001B1519">
        <w:rPr>
          <w:rFonts w:ascii="Palatino Linotype" w:hAnsi="Palatino Linotype" w:cs="Arial"/>
          <w:b/>
          <w:sz w:val="24"/>
        </w:rPr>
        <w:t xml:space="preserve"> O N S I D E R A N D O</w:t>
      </w:r>
      <w:r w:rsidRPr="00311A15">
        <w:rPr>
          <w:rFonts w:ascii="Palatino Linotype" w:hAnsi="Palatino Linotype" w:cs="Arial"/>
          <w:b/>
          <w:sz w:val="24"/>
        </w:rPr>
        <w:t xml:space="preserve"> </w:t>
      </w:r>
    </w:p>
    <w:p w14:paraId="1F8B3043" w14:textId="77777777" w:rsidR="007C7E1F" w:rsidRDefault="007C7E1F" w:rsidP="007C7E1F">
      <w:pPr>
        <w:spacing w:before="240" w:line="360" w:lineRule="auto"/>
        <w:jc w:val="both"/>
        <w:rPr>
          <w:rFonts w:ascii="Palatino Linotype" w:hAnsi="Palatino Linotype" w:cs="Arial"/>
          <w:sz w:val="24"/>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14:paraId="39C748F1" w14:textId="10C4DBCE" w:rsidR="007C7E1F" w:rsidRDefault="007C7E1F" w:rsidP="007C7E1F">
      <w:pPr>
        <w:spacing w:before="240" w:line="360" w:lineRule="auto"/>
        <w:jc w:val="both"/>
        <w:rPr>
          <w:rFonts w:ascii="Palatino Linotype" w:hAnsi="Palatino Linotype" w:cs="Arial"/>
          <w:sz w:val="24"/>
          <w:szCs w:val="24"/>
        </w:rPr>
      </w:pPr>
      <w:r w:rsidRPr="008F797B">
        <w:rPr>
          <w:rFonts w:ascii="Palatino Linotype" w:hAnsi="Palatino Linotype" w:cs="Arial"/>
          <w:sz w:val="24"/>
          <w:szCs w:val="24"/>
        </w:rPr>
        <w:t xml:space="preserve">Este Instituto de Transparencia, Acceso a la Información Pública y Protección de Datos Personales del Estado de México, es competente para conocer y resolver </w:t>
      </w:r>
      <w:r>
        <w:rPr>
          <w:rFonts w:ascii="Palatino Linotype" w:hAnsi="Palatino Linotype" w:cs="Arial"/>
          <w:sz w:val="24"/>
          <w:szCs w:val="24"/>
        </w:rPr>
        <w:t>el presente recurso de revisión interpuesto</w:t>
      </w:r>
      <w:r w:rsidRPr="008F797B">
        <w:rPr>
          <w:rFonts w:ascii="Palatino Linotype" w:hAnsi="Palatino Linotype" w:cs="Arial"/>
          <w:sz w:val="24"/>
          <w:szCs w:val="24"/>
        </w:rPr>
        <w:t xml:space="preserve"> por </w:t>
      </w:r>
      <w:r w:rsidR="00067A1B">
        <w:rPr>
          <w:rFonts w:ascii="Palatino Linotype" w:hAnsi="Palatino Linotype" w:cs="Arial"/>
          <w:b/>
          <w:sz w:val="24"/>
          <w:szCs w:val="24"/>
        </w:rPr>
        <w:t>La</w:t>
      </w:r>
      <w:r w:rsidRPr="008F797B">
        <w:rPr>
          <w:rFonts w:ascii="Palatino Linotype" w:hAnsi="Palatino Linotype" w:cs="Arial"/>
          <w:b/>
          <w:sz w:val="24"/>
          <w:szCs w:val="24"/>
        </w:rPr>
        <w:t xml:space="preserve"> Recurrente </w:t>
      </w:r>
      <w:r w:rsidRPr="008F797B">
        <w:rPr>
          <w:rFonts w:ascii="Palatino Linotype" w:hAnsi="Palatino Linotype" w:cs="Arial"/>
          <w:sz w:val="24"/>
          <w:szCs w:val="24"/>
        </w:rPr>
        <w:t xml:space="preserve">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w:t>
      </w:r>
      <w:r w:rsidRPr="008F797B">
        <w:rPr>
          <w:rFonts w:ascii="Palatino Linotype" w:hAnsi="Palatino Linotype" w:cs="Arial"/>
          <w:sz w:val="24"/>
          <w:szCs w:val="24"/>
        </w:rPr>
        <w:lastRenderedPageBreak/>
        <w:t>Instituto de Transparencia, Acceso a la Información Pública y Protección de Datos Personales del Estado de México.</w:t>
      </w:r>
    </w:p>
    <w:p w14:paraId="76CA3FC6" w14:textId="77777777" w:rsidR="00274633" w:rsidRDefault="00274633" w:rsidP="00274633">
      <w:pPr>
        <w:spacing w:after="0" w:line="360" w:lineRule="auto"/>
        <w:jc w:val="both"/>
        <w:rPr>
          <w:rFonts w:ascii="Palatino Linotype" w:hAnsi="Palatino Linotype" w:cs="Arial"/>
          <w:sz w:val="24"/>
          <w:szCs w:val="24"/>
        </w:rPr>
      </w:pPr>
      <w:r w:rsidRPr="00D67E30">
        <w:rPr>
          <w:rFonts w:ascii="Palatino Linotype" w:hAnsi="Palatino Linotype" w:cs="Arial"/>
          <w:sz w:val="24"/>
          <w:szCs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2D460DC8" w14:textId="77777777" w:rsidR="007C7E1F" w:rsidRPr="008F797B" w:rsidRDefault="007C7E1F" w:rsidP="007C7E1F">
      <w:pPr>
        <w:spacing w:before="240" w:line="360" w:lineRule="auto"/>
        <w:jc w:val="both"/>
        <w:rPr>
          <w:rFonts w:ascii="Palatino Linotype" w:hAnsi="Palatino Linotype" w:cs="Arial"/>
          <w:sz w:val="24"/>
          <w:szCs w:val="24"/>
        </w:rPr>
      </w:pPr>
    </w:p>
    <w:p w14:paraId="738B8F64" w14:textId="77777777" w:rsidR="007C7E1F" w:rsidRDefault="007C7E1F" w:rsidP="007C7E1F">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 xml:space="preserve"> </w:t>
      </w: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4C08D215" w14:textId="77777777" w:rsidR="007C7E1F" w:rsidRDefault="007C7E1F" w:rsidP="007C7E1F">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los expedientes electrónicos,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0970590F" w14:textId="77777777" w:rsidR="007C7E1F" w:rsidRDefault="007C7E1F" w:rsidP="007C7E1F">
      <w:pPr>
        <w:pStyle w:val="Prrafodelista"/>
        <w:autoSpaceDE w:val="0"/>
        <w:autoSpaceDN w:val="0"/>
        <w:adjustRightInd w:val="0"/>
        <w:spacing w:before="240" w:after="160" w:line="360" w:lineRule="auto"/>
        <w:ind w:left="0"/>
        <w:jc w:val="both"/>
        <w:rPr>
          <w:rFonts w:ascii="Palatino Linotype" w:hAnsi="Palatino Linotype" w:cs="Arial"/>
        </w:rPr>
      </w:pPr>
    </w:p>
    <w:p w14:paraId="3615375E" w14:textId="77777777" w:rsidR="007C7E1F" w:rsidRDefault="007C7E1F" w:rsidP="007C7E1F">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b/>
          <w:sz w:val="28"/>
          <w:szCs w:val="28"/>
        </w:rPr>
        <w:lastRenderedPageBreak/>
        <w:t xml:space="preserve">TERCERO. </w:t>
      </w:r>
      <w:r w:rsidRPr="0087163A">
        <w:rPr>
          <w:rFonts w:ascii="Palatino Linotype" w:hAnsi="Palatino Linotype" w:cs="Arial"/>
          <w:b/>
          <w:sz w:val="28"/>
          <w:szCs w:val="28"/>
        </w:rPr>
        <w:t>De las causas de improcedencia.</w:t>
      </w:r>
    </w:p>
    <w:p w14:paraId="7A22507E" w14:textId="77777777" w:rsidR="00274633" w:rsidRDefault="00274633" w:rsidP="00274633">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fondo del asunto ya que el estudio de los 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 Resultando aplicable la tesis aislada con número de registro </w:t>
      </w:r>
      <w:r>
        <w:rPr>
          <w:rFonts w:ascii="Palatino Linotype" w:hAnsi="Palatino Linotype" w:cs="Arial"/>
          <w:b/>
          <w:sz w:val="24"/>
          <w:szCs w:val="24"/>
        </w:rPr>
        <w:t xml:space="preserve">2000365, </w:t>
      </w:r>
      <w:r>
        <w:rPr>
          <w:rFonts w:ascii="Palatino Linotype" w:hAnsi="Palatino Linotype" w:cs="Arial"/>
          <w:sz w:val="24"/>
          <w:szCs w:val="24"/>
        </w:rPr>
        <w:t xml:space="preserve">la cual dispone a la literalidad: </w:t>
      </w:r>
    </w:p>
    <w:p w14:paraId="1D026090" w14:textId="77777777" w:rsidR="00274633" w:rsidRDefault="00274633" w:rsidP="00274633">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“Época: Décima</w:t>
      </w:r>
    </w:p>
    <w:p w14:paraId="7F3F4814" w14:textId="77777777" w:rsidR="00274633" w:rsidRDefault="00274633" w:rsidP="00274633">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Registro: 2000365</w:t>
      </w:r>
    </w:p>
    <w:p w14:paraId="39BD2A51" w14:textId="77777777" w:rsidR="00274633" w:rsidRDefault="00274633" w:rsidP="00274633">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Tipo de tesis: Tesis Aislada</w:t>
      </w:r>
    </w:p>
    <w:p w14:paraId="290D336E" w14:textId="77777777" w:rsidR="00274633" w:rsidRDefault="00274633" w:rsidP="00274633">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Fuente: Semanario Judicial de la Federación y su Gaceta</w:t>
      </w:r>
    </w:p>
    <w:p w14:paraId="7A7AB9CE" w14:textId="77777777" w:rsidR="00274633" w:rsidRDefault="00274633" w:rsidP="00274633">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Libro VI, Marzo de 2012, Tomo 2</w:t>
      </w:r>
    </w:p>
    <w:p w14:paraId="5137128A" w14:textId="77777777" w:rsidR="00274633" w:rsidRDefault="00274633" w:rsidP="00274633">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Materia (s): Constitucional</w:t>
      </w:r>
    </w:p>
    <w:p w14:paraId="48CF17F7" w14:textId="77777777" w:rsidR="00274633" w:rsidRDefault="00274633" w:rsidP="00274633">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Tesis: XVI. 1o.A.T. 2 K</w:t>
      </w:r>
    </w:p>
    <w:p w14:paraId="4BD744C8" w14:textId="77777777" w:rsidR="00274633" w:rsidRDefault="00274633" w:rsidP="00274633">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Página: 1167</w:t>
      </w:r>
    </w:p>
    <w:p w14:paraId="1C7695A2" w14:textId="77777777" w:rsidR="00274633" w:rsidRDefault="00274633" w:rsidP="00274633">
      <w:pPr>
        <w:spacing w:before="240" w:line="360" w:lineRule="auto"/>
        <w:ind w:left="851" w:right="851"/>
        <w:jc w:val="both"/>
        <w:rPr>
          <w:rFonts w:ascii="Palatino Linotype" w:hAnsi="Palatino Linotype"/>
          <w:b/>
          <w:bCs/>
          <w:i/>
          <w:lang w:eastAsia="es-MX"/>
        </w:rPr>
      </w:pPr>
      <w:r>
        <w:rPr>
          <w:rFonts w:ascii="Palatino Linotype" w:hAnsi="Palatino Linotype"/>
          <w:b/>
          <w:bCs/>
          <w:i/>
        </w:rPr>
        <w:lastRenderedPageBreak/>
        <w:t>IMPROCEDENCIA Y SOBRESEIMIENTO EN EL JUICIO DE AMPARO. LAS CAUSAS PREVISTAS EN LOS ARTÍCULOS 73 Y 74 DE LA LEY DE LA MATERIA, RESPECTIVAMENTE, NO SON INCOMPATIBLES CON EL ARTÍCULO 25.1 DE LA CONVENCIÓN AMERICANA SOBRE DERECHOS HUMANOS.</w:t>
      </w:r>
    </w:p>
    <w:p w14:paraId="0C572DB0" w14:textId="77777777" w:rsidR="00274633" w:rsidRDefault="00274633" w:rsidP="00274633">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Del examen de compatibilidad de los artículos</w:t>
      </w:r>
      <w:r>
        <w:rPr>
          <w:rStyle w:val="apple-converted-space"/>
          <w:rFonts w:ascii="Palatino Linotype" w:hAnsi="Palatino Linotype"/>
          <w:i/>
          <w:sz w:val="22"/>
          <w:szCs w:val="22"/>
        </w:rPr>
        <w:t> </w:t>
      </w:r>
      <w:hyperlink r:id="rId8" w:history="1">
        <w:r>
          <w:rPr>
            <w:rStyle w:val="Hipervnculo"/>
            <w:rFonts w:ascii="Palatino Linotype" w:eastAsia="Calibri" w:hAnsi="Palatino Linotype"/>
            <w:i/>
            <w:sz w:val="22"/>
            <w:szCs w:val="22"/>
          </w:rPr>
          <w:t>73 y 74 de la Ley de Amparo</w:t>
        </w:r>
      </w:hyperlink>
      <w:r>
        <w:rPr>
          <w:rStyle w:val="apple-converted-space"/>
          <w:rFonts w:ascii="Palatino Linotype" w:hAnsi="Palatino Linotype"/>
          <w:i/>
          <w:sz w:val="22"/>
          <w:szCs w:val="22"/>
        </w:rPr>
        <w:t> </w:t>
      </w:r>
      <w:r>
        <w:rPr>
          <w:rFonts w:ascii="Palatino Linotype" w:hAnsi="Palatino Linotype"/>
          <w:i/>
          <w:sz w:val="22"/>
          <w:szCs w:val="22"/>
        </w:rPr>
        <w:t>con el artículo</w:t>
      </w:r>
      <w:r>
        <w:rPr>
          <w:rStyle w:val="apple-converted-space"/>
          <w:rFonts w:ascii="Palatino Linotype" w:hAnsi="Palatino Linotype"/>
          <w:i/>
          <w:sz w:val="22"/>
          <w:szCs w:val="22"/>
        </w:rPr>
        <w:t> </w:t>
      </w:r>
      <w:hyperlink r:id="rId9" w:history="1">
        <w:r>
          <w:rPr>
            <w:rStyle w:val="Hipervnculo"/>
            <w:rFonts w:ascii="Palatino Linotype" w:eastAsia="Calibri" w:hAnsi="Palatino Linotype"/>
            <w:i/>
            <w:sz w:val="22"/>
            <w:szCs w:val="22"/>
          </w:rPr>
          <w:t>25.1 de la Convención Americana sobre Derechos Humanos</w:t>
        </w:r>
      </w:hyperlink>
      <w:r>
        <w:rPr>
          <w:rStyle w:val="apple-converted-space"/>
          <w:rFonts w:ascii="Palatino Linotype" w:hAnsi="Palatino Linotype"/>
          <w:i/>
          <w:sz w:val="22"/>
          <w:szCs w:val="22"/>
        </w:rPr>
        <w:t> </w:t>
      </w:r>
      <w:r>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07807782" w14:textId="77777777" w:rsidR="00274633" w:rsidRDefault="00274633" w:rsidP="00274633">
      <w:pPr>
        <w:spacing w:before="240" w:line="360" w:lineRule="auto"/>
        <w:ind w:left="851" w:right="851"/>
        <w:jc w:val="both"/>
        <w:rPr>
          <w:rFonts w:ascii="Palatino Linotype" w:eastAsia="Times New Roman" w:hAnsi="Palatino Linotype" w:cs="Times New Roman"/>
          <w:i/>
          <w:color w:val="000000"/>
          <w:lang w:eastAsia="es-MX"/>
        </w:rPr>
      </w:pPr>
      <w:r>
        <w:rPr>
          <w:rFonts w:ascii="Palatino Linotype" w:eastAsia="Times New Roman" w:hAnsi="Palatino Linotype" w:cs="Times New Roman"/>
          <w:i/>
          <w:color w:val="000000"/>
          <w:lang w:eastAsia="es-MX"/>
        </w:rPr>
        <w:lastRenderedPageBreak/>
        <w:t>PRIMER TRIBUNAL COLEGIADO EN MATERIAS ADMINISTRATIVA Y DE TRABAJO DEL DÉCIMO SEXTO CIRCUITO.</w:t>
      </w:r>
    </w:p>
    <w:p w14:paraId="66755D0A" w14:textId="77777777" w:rsidR="00274633" w:rsidRDefault="00274633" w:rsidP="00274633">
      <w:pPr>
        <w:spacing w:before="240" w:line="360" w:lineRule="auto"/>
        <w:ind w:left="851" w:right="851"/>
        <w:jc w:val="both"/>
        <w:rPr>
          <w:rFonts w:ascii="Palatino Linotype" w:eastAsia="Times New Roman" w:hAnsi="Palatino Linotype" w:cs="Times New Roman"/>
          <w:i/>
          <w:color w:val="444444"/>
          <w:lang w:eastAsia="es-MX"/>
        </w:rPr>
      </w:pPr>
      <w:r>
        <w:rPr>
          <w:rFonts w:ascii="Palatino Linotype" w:eastAsia="Times New Roman" w:hAnsi="Palatino Linotype" w:cs="Times New Roman"/>
          <w:i/>
          <w:color w:val="444444"/>
          <w:lang w:eastAsia="es-MX"/>
        </w:rPr>
        <w:t>Amparo en revisión 443/2011. Marcos Adán Uribe Bañales. 28 de octubre de 2011. Unanimidad de votos. Ponente: Jesús de Ávila Huerta. Secretario: Rogelio Zamora Menchaca.</w:t>
      </w:r>
    </w:p>
    <w:p w14:paraId="3F7F25EB" w14:textId="77777777" w:rsidR="00274633" w:rsidRPr="00044D01" w:rsidRDefault="00274633" w:rsidP="00274633">
      <w:pPr>
        <w:spacing w:before="240" w:line="360" w:lineRule="auto"/>
        <w:ind w:left="851" w:right="851"/>
        <w:jc w:val="both"/>
        <w:rPr>
          <w:rFonts w:ascii="Palatino Linotype" w:eastAsia="Times New Roman" w:hAnsi="Palatino Linotype" w:cs="Times New Roman"/>
          <w:b/>
          <w:bCs/>
          <w:i/>
          <w:color w:val="444444"/>
          <w:lang w:eastAsia="es-MX"/>
        </w:rPr>
      </w:pPr>
      <w:r>
        <w:rPr>
          <w:rFonts w:ascii="Palatino Linotype" w:eastAsia="Times New Roman" w:hAnsi="Palatino Linotype" w:cs="Times New Roman"/>
          <w:i/>
          <w:color w:val="444444"/>
          <w:lang w:eastAsia="es-MX"/>
        </w:rPr>
        <w:t xml:space="preserve">Amparo en revisión 526/2011. Juan Valencia Fernández. 4 de noviembre de 2011. Unanimidad de votos. Ponente: Ariel Alberto Rojas Caballero. Secretaria: Silvia Vidal Vidal.” </w:t>
      </w:r>
      <w:r>
        <w:rPr>
          <w:rFonts w:ascii="Palatino Linotype" w:eastAsia="Times New Roman" w:hAnsi="Palatino Linotype" w:cs="Times New Roman"/>
          <w:b/>
          <w:bCs/>
          <w:i/>
          <w:color w:val="444444"/>
          <w:lang w:eastAsia="es-MX"/>
        </w:rPr>
        <w:t>[Sic]</w:t>
      </w:r>
    </w:p>
    <w:p w14:paraId="0BDE87AF" w14:textId="77777777" w:rsidR="00274633" w:rsidRDefault="00274633" w:rsidP="00274633">
      <w:pPr>
        <w:pStyle w:val="Prrafodelista"/>
        <w:autoSpaceDE w:val="0"/>
        <w:autoSpaceDN w:val="0"/>
        <w:adjustRightInd w:val="0"/>
        <w:spacing w:before="240" w:after="160" w:line="360" w:lineRule="auto"/>
        <w:ind w:left="851" w:right="851"/>
        <w:jc w:val="both"/>
        <w:rPr>
          <w:rFonts w:ascii="Palatino Linotype" w:hAnsi="Palatino Linotype"/>
          <w:b/>
          <w:i/>
          <w:sz w:val="22"/>
          <w:szCs w:val="22"/>
          <w:highlight w:val="yellow"/>
        </w:rPr>
      </w:pPr>
    </w:p>
    <w:p w14:paraId="7307F9D8" w14:textId="77777777" w:rsidR="00274633" w:rsidRDefault="00274633" w:rsidP="00274633">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Por lo que una vez que se analizó el expediente en estudio se cae en la cuenta de que no se actualiza ninguna de las causales contempladas en el numeral 191 de la Ley de Transparencia y Acceso a la Información Pública del Estado de México y Municipios, dispositivo normativo que señala a la literalidad:</w:t>
      </w:r>
    </w:p>
    <w:p w14:paraId="1408D94B" w14:textId="77777777" w:rsidR="00274633" w:rsidRDefault="00274633" w:rsidP="00274633">
      <w:pPr>
        <w:pStyle w:val="Prrafodelista"/>
        <w:autoSpaceDE w:val="0"/>
        <w:autoSpaceDN w:val="0"/>
        <w:adjustRightInd w:val="0"/>
        <w:spacing w:before="240" w:after="160" w:line="360" w:lineRule="auto"/>
        <w:ind w:left="851" w:right="851"/>
        <w:jc w:val="both"/>
        <w:rPr>
          <w:rFonts w:ascii="Palatino Linotype" w:hAnsi="Palatino Linotype" w:cs="Arial"/>
          <w:i/>
        </w:rPr>
      </w:pPr>
      <w:r>
        <w:rPr>
          <w:rFonts w:ascii="Palatino Linotype" w:hAnsi="Palatino Linotype" w:cs="Arial"/>
          <w:i/>
        </w:rPr>
        <w:t xml:space="preserve">“Artículo 191. El recurso será desechado por improcedente cuando:  </w:t>
      </w:r>
    </w:p>
    <w:p w14:paraId="3284D59C" w14:textId="77777777" w:rsidR="00274633" w:rsidRDefault="00274633" w:rsidP="00274633">
      <w:pPr>
        <w:pStyle w:val="Prrafodelista"/>
        <w:autoSpaceDE w:val="0"/>
        <w:autoSpaceDN w:val="0"/>
        <w:adjustRightInd w:val="0"/>
        <w:spacing w:before="240" w:after="160" w:line="360" w:lineRule="auto"/>
        <w:ind w:left="851" w:right="851"/>
        <w:jc w:val="both"/>
        <w:rPr>
          <w:rFonts w:ascii="Palatino Linotype" w:hAnsi="Palatino Linotype" w:cs="Arial"/>
          <w:i/>
        </w:rPr>
      </w:pPr>
      <w:r>
        <w:rPr>
          <w:rFonts w:ascii="Palatino Linotype" w:hAnsi="Palatino Linotype" w:cs="Arial"/>
          <w:i/>
        </w:rPr>
        <w:t xml:space="preserve">I. Sea extemporáneo por haber transcurrido el plazo establecido en la presente Ley, a partir de la respuesta;  </w:t>
      </w:r>
    </w:p>
    <w:p w14:paraId="2D038077" w14:textId="77777777" w:rsidR="00274633" w:rsidRDefault="00274633" w:rsidP="00274633">
      <w:pPr>
        <w:pStyle w:val="Prrafodelista"/>
        <w:autoSpaceDE w:val="0"/>
        <w:autoSpaceDN w:val="0"/>
        <w:adjustRightInd w:val="0"/>
        <w:spacing w:before="240" w:after="160" w:line="360" w:lineRule="auto"/>
        <w:ind w:left="851" w:right="851"/>
        <w:jc w:val="both"/>
        <w:rPr>
          <w:rFonts w:ascii="Palatino Linotype" w:hAnsi="Palatino Linotype" w:cs="Arial"/>
          <w:i/>
        </w:rPr>
      </w:pPr>
      <w:r>
        <w:rPr>
          <w:rFonts w:ascii="Palatino Linotype" w:hAnsi="Palatino Linotype" w:cs="Arial"/>
          <w:i/>
        </w:rPr>
        <w:t xml:space="preserve">II. Se esté tramitando ante el Poder Judicial de la Federación algún recurso o medio de defensa interpuesto por el recurrente;  </w:t>
      </w:r>
    </w:p>
    <w:p w14:paraId="7A6410F2" w14:textId="77777777" w:rsidR="00274633" w:rsidRDefault="00274633" w:rsidP="00274633">
      <w:pPr>
        <w:pStyle w:val="Prrafodelista"/>
        <w:autoSpaceDE w:val="0"/>
        <w:autoSpaceDN w:val="0"/>
        <w:adjustRightInd w:val="0"/>
        <w:spacing w:before="240" w:after="160" w:line="360" w:lineRule="auto"/>
        <w:ind w:left="851" w:right="851"/>
        <w:jc w:val="both"/>
        <w:rPr>
          <w:rFonts w:ascii="Palatino Linotype" w:hAnsi="Palatino Linotype" w:cs="Arial"/>
          <w:i/>
        </w:rPr>
      </w:pPr>
      <w:r>
        <w:rPr>
          <w:rFonts w:ascii="Palatino Linotype" w:hAnsi="Palatino Linotype" w:cs="Arial"/>
          <w:i/>
        </w:rPr>
        <w:t xml:space="preserve">III. No actualice alguno de los supuestos previstos en la presente Ley;  </w:t>
      </w:r>
    </w:p>
    <w:p w14:paraId="6BEB0B33" w14:textId="77777777" w:rsidR="00274633" w:rsidRDefault="00274633" w:rsidP="00274633">
      <w:pPr>
        <w:pStyle w:val="Prrafodelista"/>
        <w:autoSpaceDE w:val="0"/>
        <w:autoSpaceDN w:val="0"/>
        <w:adjustRightInd w:val="0"/>
        <w:spacing w:before="240" w:after="160" w:line="360" w:lineRule="auto"/>
        <w:ind w:left="851" w:right="851"/>
        <w:jc w:val="both"/>
        <w:rPr>
          <w:rFonts w:ascii="Palatino Linotype" w:hAnsi="Palatino Linotype" w:cs="Arial"/>
          <w:i/>
        </w:rPr>
      </w:pPr>
      <w:r>
        <w:rPr>
          <w:rFonts w:ascii="Palatino Linotype" w:hAnsi="Palatino Linotype" w:cs="Arial"/>
          <w:i/>
        </w:rPr>
        <w:t xml:space="preserve">IV. No se haya desahogado la prevención en los términos establecidos en la presente Ley;  </w:t>
      </w:r>
    </w:p>
    <w:p w14:paraId="331983F6" w14:textId="77777777" w:rsidR="00274633" w:rsidRDefault="00274633" w:rsidP="00274633">
      <w:pPr>
        <w:pStyle w:val="Prrafodelista"/>
        <w:autoSpaceDE w:val="0"/>
        <w:autoSpaceDN w:val="0"/>
        <w:adjustRightInd w:val="0"/>
        <w:spacing w:before="240" w:after="160" w:line="360" w:lineRule="auto"/>
        <w:ind w:left="851" w:right="851"/>
        <w:jc w:val="both"/>
        <w:rPr>
          <w:rFonts w:ascii="Palatino Linotype" w:hAnsi="Palatino Linotype" w:cs="Arial"/>
          <w:i/>
        </w:rPr>
      </w:pPr>
      <w:r>
        <w:rPr>
          <w:rFonts w:ascii="Palatino Linotype" w:hAnsi="Palatino Linotype" w:cs="Arial"/>
          <w:i/>
        </w:rPr>
        <w:lastRenderedPageBreak/>
        <w:t xml:space="preserve">V. Se impugne la veracidad de la información proporcionada;  </w:t>
      </w:r>
    </w:p>
    <w:p w14:paraId="74E84583" w14:textId="77777777" w:rsidR="00274633" w:rsidRDefault="00274633" w:rsidP="00274633">
      <w:pPr>
        <w:pStyle w:val="Prrafodelista"/>
        <w:autoSpaceDE w:val="0"/>
        <w:autoSpaceDN w:val="0"/>
        <w:adjustRightInd w:val="0"/>
        <w:spacing w:before="240" w:after="160" w:line="360" w:lineRule="auto"/>
        <w:ind w:left="851" w:right="851"/>
        <w:jc w:val="both"/>
        <w:rPr>
          <w:rFonts w:ascii="Palatino Linotype" w:hAnsi="Palatino Linotype" w:cs="Arial"/>
          <w:i/>
        </w:rPr>
      </w:pPr>
      <w:r>
        <w:rPr>
          <w:rFonts w:ascii="Palatino Linotype" w:hAnsi="Palatino Linotype" w:cs="Arial"/>
          <w:i/>
        </w:rPr>
        <w:t xml:space="preserve">VI. Se trate de una consulta, o trámite en específico; y  </w:t>
      </w:r>
    </w:p>
    <w:p w14:paraId="0DBFA7EE" w14:textId="77777777" w:rsidR="00274633" w:rsidRDefault="00274633" w:rsidP="00274633">
      <w:pPr>
        <w:pStyle w:val="Prrafodelista"/>
        <w:autoSpaceDE w:val="0"/>
        <w:autoSpaceDN w:val="0"/>
        <w:adjustRightInd w:val="0"/>
        <w:spacing w:before="240" w:after="160" w:line="360" w:lineRule="auto"/>
        <w:ind w:left="851" w:right="851"/>
        <w:jc w:val="both"/>
        <w:rPr>
          <w:rFonts w:ascii="Palatino Linotype" w:hAnsi="Palatino Linotype" w:cs="Arial"/>
          <w:b/>
          <w:i/>
        </w:rPr>
      </w:pPr>
      <w:r>
        <w:rPr>
          <w:rFonts w:ascii="Palatino Linotype" w:hAnsi="Palatino Linotype" w:cs="Arial"/>
          <w:i/>
        </w:rPr>
        <w:t xml:space="preserve">VII. El recurrente amplíe su solicitud en el recurso de revisión, únicamente respecto de los nuevos contenidos.” </w:t>
      </w:r>
      <w:r>
        <w:rPr>
          <w:rFonts w:ascii="Palatino Linotype" w:hAnsi="Palatino Linotype" w:cs="Arial"/>
          <w:b/>
          <w:i/>
        </w:rPr>
        <w:t>[Sic]</w:t>
      </w:r>
    </w:p>
    <w:p w14:paraId="0C9A1A53" w14:textId="77777777" w:rsidR="00274633" w:rsidRDefault="00274633" w:rsidP="00274633">
      <w:pPr>
        <w:autoSpaceDE w:val="0"/>
        <w:autoSpaceDN w:val="0"/>
        <w:adjustRightInd w:val="0"/>
        <w:spacing w:after="0" w:line="360" w:lineRule="auto"/>
        <w:jc w:val="both"/>
        <w:rPr>
          <w:rFonts w:ascii="Palatino Linotype" w:hAnsi="Palatino Linotype" w:cs="Arial"/>
          <w:sz w:val="24"/>
          <w:szCs w:val="24"/>
        </w:rPr>
      </w:pPr>
    </w:p>
    <w:p w14:paraId="0EF092DC" w14:textId="77777777" w:rsidR="00274633" w:rsidRDefault="00274633" w:rsidP="00274633">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w:t>
      </w:r>
    </w:p>
    <w:p w14:paraId="3E3EB7F2" w14:textId="77777777" w:rsidR="00274633" w:rsidRDefault="00274633" w:rsidP="00274633">
      <w:pPr>
        <w:autoSpaceDE w:val="0"/>
        <w:autoSpaceDN w:val="0"/>
        <w:adjustRightInd w:val="0"/>
        <w:spacing w:after="0" w:line="360" w:lineRule="auto"/>
        <w:jc w:val="both"/>
        <w:rPr>
          <w:rFonts w:ascii="Palatino Linotype" w:hAnsi="Palatino Linotype" w:cs="Arial"/>
          <w:sz w:val="24"/>
          <w:szCs w:val="24"/>
          <w:highlight w:val="yellow"/>
        </w:rPr>
      </w:pPr>
    </w:p>
    <w:p w14:paraId="07239755" w14:textId="77777777" w:rsidR="00274633" w:rsidRDefault="00274633" w:rsidP="00274633">
      <w:pPr>
        <w:pStyle w:val="Prrafodelista"/>
        <w:numPr>
          <w:ilvl w:val="0"/>
          <w:numId w:val="13"/>
        </w:numPr>
        <w:autoSpaceDE w:val="0"/>
        <w:autoSpaceDN w:val="0"/>
        <w:adjustRightInd w:val="0"/>
        <w:spacing w:line="360" w:lineRule="auto"/>
        <w:jc w:val="both"/>
        <w:rPr>
          <w:rFonts w:ascii="Palatino Linotype" w:hAnsi="Palatino Linotype" w:cs="Arial"/>
          <w:b/>
          <w:i/>
        </w:rPr>
      </w:pPr>
      <w:r>
        <w:rPr>
          <w:rFonts w:ascii="Palatino Linotype" w:hAnsi="Palatino Linotype" w:cs="Arial"/>
          <w:b/>
          <w:i/>
        </w:rPr>
        <w:t>Cuestiones de previo y especial pronunciamiento.</w:t>
      </w:r>
    </w:p>
    <w:p w14:paraId="7B71583D" w14:textId="77777777" w:rsidR="00274633" w:rsidRDefault="00274633" w:rsidP="00274633">
      <w:pPr>
        <w:pStyle w:val="Prrafodelista"/>
        <w:autoSpaceDE w:val="0"/>
        <w:autoSpaceDN w:val="0"/>
        <w:adjustRightInd w:val="0"/>
        <w:spacing w:line="360" w:lineRule="auto"/>
        <w:ind w:left="1080"/>
        <w:jc w:val="both"/>
        <w:rPr>
          <w:rFonts w:ascii="Palatino Linotype" w:hAnsi="Palatino Linotype" w:cs="Arial"/>
          <w:b/>
          <w:i/>
          <w:sz w:val="16"/>
          <w:highlight w:val="yellow"/>
        </w:rPr>
      </w:pPr>
    </w:p>
    <w:p w14:paraId="46531D7D" w14:textId="44D79B8E" w:rsidR="00274633" w:rsidRDefault="00274633" w:rsidP="00274633">
      <w:pPr>
        <w:spacing w:after="0" w:line="360" w:lineRule="auto"/>
        <w:jc w:val="both"/>
        <w:rPr>
          <w:rFonts w:ascii="Palatino Linotype" w:hAnsi="Palatino Linotype"/>
          <w:sz w:val="24"/>
          <w:szCs w:val="24"/>
        </w:rPr>
      </w:pPr>
      <w:r>
        <w:rPr>
          <w:rFonts w:ascii="Palatino Linotype" w:hAnsi="Palatino Linotype"/>
          <w:sz w:val="24"/>
          <w:szCs w:val="24"/>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w:t>
      </w:r>
      <w:r w:rsidR="00067A1B">
        <w:rPr>
          <w:rFonts w:ascii="Palatino Linotype" w:hAnsi="Palatino Linotype"/>
          <w:sz w:val="24"/>
          <w:szCs w:val="24"/>
        </w:rPr>
        <w:t xml:space="preserve">no se hace mención al nombre de </w:t>
      </w:r>
      <w:r w:rsidR="00067A1B">
        <w:rPr>
          <w:rFonts w:ascii="Palatino Linotype" w:hAnsi="Palatino Linotype"/>
          <w:b/>
          <w:sz w:val="24"/>
          <w:szCs w:val="24"/>
        </w:rPr>
        <w:t>La</w:t>
      </w:r>
      <w:r>
        <w:rPr>
          <w:rFonts w:ascii="Palatino Linotype" w:hAnsi="Palatino Linotype"/>
          <w:sz w:val="24"/>
          <w:szCs w:val="24"/>
        </w:rPr>
        <w:t xml:space="preserve"> </w:t>
      </w:r>
      <w:r>
        <w:rPr>
          <w:rFonts w:ascii="Palatino Linotype" w:hAnsi="Palatino Linotype"/>
          <w:b/>
          <w:sz w:val="24"/>
          <w:szCs w:val="24"/>
        </w:rPr>
        <w:t>Recurrente,</w:t>
      </w:r>
      <w:r>
        <w:rPr>
          <w:rFonts w:ascii="Palatino Linotype" w:hAnsi="Palatino Linotype"/>
          <w:sz w:val="24"/>
          <w:szCs w:val="24"/>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 sino </w:t>
      </w:r>
      <w:r w:rsidR="00AC1CCD">
        <w:rPr>
          <w:rFonts w:ascii="Palatino Linotype" w:hAnsi="Palatino Linotype"/>
          <w:b/>
          <w:color w:val="000000"/>
          <w:sz w:val="24"/>
          <w:szCs w:val="24"/>
        </w:rPr>
        <w:t>xxxxxxxxxx</w:t>
      </w:r>
      <w:r w:rsidR="00067A1B">
        <w:rPr>
          <w:rFonts w:ascii="Palatino Linotype" w:hAnsi="Palatino Linotype"/>
          <w:b/>
          <w:color w:val="000000"/>
          <w:sz w:val="24"/>
          <w:szCs w:val="24"/>
        </w:rPr>
        <w:t xml:space="preserve"> </w:t>
      </w:r>
      <w:r w:rsidR="00AC1CCD">
        <w:rPr>
          <w:rFonts w:ascii="Palatino Linotype" w:hAnsi="Palatino Linotype"/>
          <w:b/>
          <w:color w:val="000000"/>
          <w:sz w:val="24"/>
          <w:szCs w:val="24"/>
        </w:rPr>
        <w:t>xxxxxxxxxxxxxxxxxxxxxxxxxxxxxxxxxxxxxxxxx</w:t>
      </w:r>
      <w:r>
        <w:rPr>
          <w:rFonts w:ascii="Palatino Linotype" w:hAnsi="Palatino Linotype" w:cs="Arial"/>
          <w:sz w:val="24"/>
        </w:rPr>
        <w:t>, del cual no se colige que corresponda al nombre de una persona.</w:t>
      </w:r>
    </w:p>
    <w:p w14:paraId="7D9F0BAA" w14:textId="77777777" w:rsidR="00274633" w:rsidRDefault="00274633" w:rsidP="00274633">
      <w:pPr>
        <w:autoSpaceDE w:val="0"/>
        <w:autoSpaceDN w:val="0"/>
        <w:adjustRightInd w:val="0"/>
        <w:spacing w:after="0" w:line="360" w:lineRule="auto"/>
        <w:jc w:val="both"/>
        <w:rPr>
          <w:rFonts w:ascii="Palatino Linotype" w:hAnsi="Palatino Linotype" w:cs="Arial"/>
          <w:sz w:val="24"/>
          <w:szCs w:val="24"/>
        </w:rPr>
      </w:pPr>
    </w:p>
    <w:p w14:paraId="598F6EFE" w14:textId="77777777" w:rsidR="00274633" w:rsidRDefault="00274633" w:rsidP="00274633">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cs="Arial"/>
        </w:rPr>
        <w:lastRenderedPageBreak/>
        <w:t xml:space="preserve">Esta Ponencia considera importante abordar el análisis de los requisitos de procedibilidad de los recursos de revisión, así el artículo 180 de la </w:t>
      </w:r>
      <w:r>
        <w:rPr>
          <w:rFonts w:ascii="Palatino Linotype" w:hAnsi="Palatino Linotype" w:cs="Arial"/>
          <w:lang w:eastAsia="es-MX"/>
        </w:rPr>
        <w:t xml:space="preserve">Ley de Transparencia y Acceso a la Información Pública del Estado de México y Municipios, que </w:t>
      </w:r>
      <w:r>
        <w:rPr>
          <w:rFonts w:ascii="Palatino Linotype" w:hAnsi="Palatino Linotype" w:cs="Arial"/>
        </w:rPr>
        <w:t>establece lo siguiente:</w:t>
      </w:r>
    </w:p>
    <w:p w14:paraId="6EA1F863" w14:textId="77777777" w:rsidR="00274633" w:rsidRDefault="00274633" w:rsidP="00274633">
      <w:pPr>
        <w:spacing w:before="240" w:line="360" w:lineRule="auto"/>
        <w:ind w:left="851" w:right="851"/>
        <w:jc w:val="both"/>
        <w:rPr>
          <w:rFonts w:ascii="Palatino Linotype" w:hAnsi="Palatino Linotype"/>
          <w:b/>
          <w:i/>
        </w:rPr>
      </w:pPr>
      <w:r>
        <w:rPr>
          <w:rFonts w:ascii="Palatino Linotype" w:hAnsi="Palatino Linotype"/>
          <w:i/>
        </w:rPr>
        <w:t>“</w:t>
      </w:r>
      <w:r>
        <w:rPr>
          <w:rFonts w:ascii="Palatino Linotype" w:hAnsi="Palatino Linotype"/>
          <w:b/>
          <w:i/>
        </w:rPr>
        <w:t xml:space="preserve">Artículo 180. </w:t>
      </w:r>
      <w:r>
        <w:rPr>
          <w:rFonts w:ascii="Palatino Linotype" w:hAnsi="Palatino Linotype"/>
          <w:i/>
        </w:rPr>
        <w:t xml:space="preserve">El </w:t>
      </w:r>
      <w:r>
        <w:rPr>
          <w:rFonts w:ascii="Palatino Linotype" w:hAnsi="Palatino Linotype" w:cs="Arial"/>
          <w:i/>
        </w:rPr>
        <w:t>recurso</w:t>
      </w:r>
      <w:r>
        <w:rPr>
          <w:rFonts w:ascii="Palatino Linotype" w:hAnsi="Palatino Linotype"/>
          <w:i/>
        </w:rPr>
        <w:t xml:space="preserve"> </w:t>
      </w:r>
      <w:r>
        <w:rPr>
          <w:rFonts w:ascii="Palatino Linotype" w:hAnsi="Palatino Linotype" w:cs="Arial"/>
          <w:i/>
          <w:lang w:eastAsia="es-MX"/>
        </w:rPr>
        <w:t>de</w:t>
      </w:r>
      <w:r>
        <w:rPr>
          <w:rFonts w:ascii="Palatino Linotype" w:hAnsi="Palatino Linotype"/>
          <w:i/>
        </w:rPr>
        <w:t xml:space="preserve"> revisión contendrá:</w:t>
      </w:r>
      <w:r>
        <w:rPr>
          <w:rFonts w:ascii="Palatino Linotype" w:hAnsi="Palatino Linotype"/>
          <w:b/>
          <w:i/>
        </w:rPr>
        <w:t xml:space="preserve"> </w:t>
      </w:r>
    </w:p>
    <w:p w14:paraId="56C2E04E" w14:textId="77777777" w:rsidR="00274633" w:rsidRDefault="00274633" w:rsidP="00274633">
      <w:pPr>
        <w:spacing w:before="240" w:line="360" w:lineRule="auto"/>
        <w:ind w:left="851" w:right="851"/>
        <w:jc w:val="both"/>
        <w:rPr>
          <w:rFonts w:ascii="Palatino Linotype" w:hAnsi="Palatino Linotype"/>
          <w:b/>
          <w:i/>
        </w:rPr>
      </w:pPr>
      <w:r>
        <w:rPr>
          <w:rFonts w:ascii="Palatino Linotype" w:hAnsi="Palatino Linotype"/>
          <w:b/>
          <w:i/>
        </w:rPr>
        <w:t xml:space="preserve">I. </w:t>
      </w:r>
      <w:r>
        <w:rPr>
          <w:rFonts w:ascii="Palatino Linotype" w:hAnsi="Palatino Linotype"/>
          <w:i/>
        </w:rPr>
        <w:t xml:space="preserve">El sujeto obligado ante </w:t>
      </w:r>
      <w:r>
        <w:rPr>
          <w:rFonts w:ascii="Palatino Linotype" w:hAnsi="Palatino Linotype" w:cs="Arial"/>
          <w:i/>
        </w:rPr>
        <w:t>la</w:t>
      </w:r>
      <w:r>
        <w:rPr>
          <w:rFonts w:ascii="Palatino Linotype" w:hAnsi="Palatino Linotype"/>
          <w:i/>
        </w:rPr>
        <w:t xml:space="preserve"> cual </w:t>
      </w:r>
      <w:r>
        <w:rPr>
          <w:rFonts w:ascii="Palatino Linotype" w:hAnsi="Palatino Linotype" w:cs="Arial"/>
          <w:i/>
          <w:lang w:eastAsia="es-MX"/>
        </w:rPr>
        <w:t>se</w:t>
      </w:r>
      <w:r>
        <w:rPr>
          <w:rFonts w:ascii="Palatino Linotype" w:hAnsi="Palatino Linotype"/>
          <w:i/>
        </w:rPr>
        <w:t xml:space="preserve"> presentó la solicitud;</w:t>
      </w:r>
      <w:r>
        <w:rPr>
          <w:rFonts w:ascii="Palatino Linotype" w:hAnsi="Palatino Linotype"/>
          <w:b/>
          <w:i/>
        </w:rPr>
        <w:t xml:space="preserve"> </w:t>
      </w:r>
    </w:p>
    <w:p w14:paraId="0D23F15F" w14:textId="77777777" w:rsidR="00274633" w:rsidRDefault="00274633" w:rsidP="00274633">
      <w:pPr>
        <w:spacing w:before="240" w:line="360" w:lineRule="auto"/>
        <w:ind w:left="851" w:right="851"/>
        <w:jc w:val="both"/>
        <w:rPr>
          <w:rFonts w:ascii="Palatino Linotype" w:hAnsi="Palatino Linotype"/>
          <w:b/>
          <w:i/>
        </w:rPr>
      </w:pPr>
      <w:r>
        <w:rPr>
          <w:rFonts w:ascii="Palatino Linotype" w:hAnsi="Palatino Linotype"/>
          <w:b/>
          <w:i/>
        </w:rPr>
        <w:t xml:space="preserve">II. </w:t>
      </w:r>
      <w:r>
        <w:rPr>
          <w:rFonts w:ascii="Palatino Linotype" w:hAnsi="Palatino Linotype"/>
          <w:b/>
          <w:i/>
          <w:u w:val="single"/>
        </w:rPr>
        <w:t xml:space="preserve">El nombre del solicitante </w:t>
      </w:r>
      <w:r>
        <w:rPr>
          <w:rFonts w:ascii="Palatino Linotype" w:hAnsi="Palatino Linotype" w:cs="Arial"/>
          <w:b/>
          <w:i/>
          <w:u w:val="single"/>
          <w:lang w:eastAsia="es-MX"/>
        </w:rPr>
        <w:t>que</w:t>
      </w:r>
      <w:r>
        <w:rPr>
          <w:rFonts w:ascii="Palatino Linotype" w:hAnsi="Palatino Linotype"/>
          <w:b/>
          <w:i/>
          <w:u w:val="single"/>
        </w:rPr>
        <w:t xml:space="preserve"> recurre</w:t>
      </w:r>
      <w:r>
        <w:rPr>
          <w:rFonts w:ascii="Palatino Linotype" w:hAnsi="Palatino Linotype"/>
          <w:b/>
          <w:i/>
        </w:rPr>
        <w:t xml:space="preserve"> </w:t>
      </w:r>
      <w:r>
        <w:rPr>
          <w:rFonts w:ascii="Palatino Linotype" w:hAnsi="Palatino Linotype"/>
          <w:i/>
        </w:rPr>
        <w:t>o de su representante y, en su caso, del tercero interesado, así como la dirección o medio que señale para recibir notificaciones;</w:t>
      </w:r>
      <w:r>
        <w:rPr>
          <w:rFonts w:ascii="Palatino Linotype" w:hAnsi="Palatino Linotype"/>
          <w:b/>
          <w:i/>
        </w:rPr>
        <w:t xml:space="preserve"> </w:t>
      </w:r>
    </w:p>
    <w:p w14:paraId="36EF859B" w14:textId="77777777" w:rsidR="00274633" w:rsidRDefault="00274633" w:rsidP="00274633">
      <w:pPr>
        <w:spacing w:before="240" w:line="360" w:lineRule="auto"/>
        <w:ind w:left="851" w:right="851"/>
        <w:rPr>
          <w:rFonts w:ascii="Palatino Linotype" w:hAnsi="Palatino Linotype"/>
          <w:i/>
        </w:rPr>
      </w:pPr>
      <w:r>
        <w:rPr>
          <w:rFonts w:ascii="Palatino Linotype" w:hAnsi="Palatino Linotype"/>
          <w:b/>
          <w:i/>
        </w:rPr>
        <w:t>(…)” [Sic]</w:t>
      </w:r>
    </w:p>
    <w:p w14:paraId="1DE558B6" w14:textId="77777777" w:rsidR="00274633" w:rsidRDefault="00274633" w:rsidP="00274633">
      <w:pPr>
        <w:pStyle w:val="Prrafodelista"/>
        <w:widowControl w:val="0"/>
        <w:autoSpaceDE w:val="0"/>
        <w:autoSpaceDN w:val="0"/>
        <w:adjustRightInd w:val="0"/>
        <w:ind w:left="0"/>
        <w:jc w:val="both"/>
        <w:rPr>
          <w:rFonts w:ascii="Palatino Linotype" w:hAnsi="Palatino Linotype"/>
          <w:highlight w:val="yellow"/>
        </w:rPr>
      </w:pPr>
    </w:p>
    <w:p w14:paraId="028909F3" w14:textId="45487951" w:rsidR="00274633" w:rsidRDefault="00274633" w:rsidP="00274633">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En principio, de una interpretación del artículo transcrito se observan los requisitos que </w:t>
      </w:r>
      <w:r>
        <w:rPr>
          <w:rFonts w:ascii="Palatino Linotype" w:hAnsi="Palatino Linotype" w:cs="Arial"/>
        </w:rPr>
        <w:t>deberán</w:t>
      </w:r>
      <w:r>
        <w:rPr>
          <w:rFonts w:ascii="Palatino Linotype" w:hAnsi="Palatino Linotype"/>
        </w:rPr>
        <w:t xml:space="preserve"> contener los recursos de revisión; sobre el particular, de la revisión del expediente electrónico del </w:t>
      </w:r>
      <w:r>
        <w:rPr>
          <w:rFonts w:ascii="Palatino Linotype" w:hAnsi="Palatino Linotype"/>
          <w:b/>
        </w:rPr>
        <w:t>SAIMEX</w:t>
      </w:r>
      <w:r>
        <w:rPr>
          <w:rFonts w:ascii="Palatino Linotype" w:hAnsi="Palatino Linotype"/>
        </w:rPr>
        <w:t xml:space="preserve"> se desprende que el solicitante y ahora Recurrente, en ejercicio de su derecho de acceso a la información pública, no proporcionó un nombre para que </w:t>
      </w:r>
      <w:r>
        <w:rPr>
          <w:rFonts w:ascii="Palatino Linotype" w:hAnsi="Palatino Linotype" w:cs="Arial"/>
        </w:rPr>
        <w:t>sea</w:t>
      </w:r>
      <w:r>
        <w:rPr>
          <w:rFonts w:ascii="Palatino Linotype" w:hAnsi="Palatino Linotype"/>
        </w:rPr>
        <w:t xml:space="preserve"> identificado, ya que indicó en el apartado de </w:t>
      </w:r>
      <w:r>
        <w:rPr>
          <w:rFonts w:ascii="Palatino Linotype" w:hAnsi="Palatino Linotype"/>
          <w:b/>
        </w:rPr>
        <w:t>“DATOS DEL SOLICITANTE”,</w:t>
      </w:r>
      <w:r>
        <w:rPr>
          <w:rFonts w:ascii="Palatino Linotype" w:hAnsi="Palatino Linotype"/>
        </w:rPr>
        <w:t xml:space="preserve"> el nombre de </w:t>
      </w:r>
      <w:r w:rsidR="00AC1CCD">
        <w:rPr>
          <w:rFonts w:ascii="Palatino Linotype" w:hAnsi="Palatino Linotype"/>
          <w:b/>
          <w:color w:val="000000"/>
        </w:rPr>
        <w:t>xxxxxxxxxxxxxxxxxxxxxxxxxxxxxxxxx</w:t>
      </w:r>
      <w:r w:rsidR="00067A1B">
        <w:rPr>
          <w:rFonts w:ascii="Palatino Linotype" w:hAnsi="Palatino Linotype"/>
          <w:b/>
          <w:color w:val="000000"/>
        </w:rPr>
        <w:t xml:space="preserve"> </w:t>
      </w:r>
      <w:r w:rsidR="00AC1CCD">
        <w:rPr>
          <w:rFonts w:ascii="Palatino Linotype" w:hAnsi="Palatino Linotype"/>
          <w:b/>
          <w:color w:val="000000"/>
        </w:rPr>
        <w:t>xxxxxxxxxxxxxxx</w:t>
      </w:r>
      <w:r>
        <w:rPr>
          <w:rFonts w:ascii="Palatino Linotype" w:hAnsi="Palatino Linotype"/>
          <w:b/>
        </w:rPr>
        <w:t>;</w:t>
      </w:r>
      <w:r>
        <w:rPr>
          <w:rFonts w:ascii="Palatino Linotype" w:hAnsi="Palatino Linotype"/>
        </w:rPr>
        <w:t xml:space="preserve"> por lo que no tiene certeza sobre su identidad, lo que en estricto sentido, no se colmarían los requisitos establecidos en</w:t>
      </w:r>
      <w:bookmarkStart w:id="0" w:name="_GoBack"/>
      <w:bookmarkEnd w:id="0"/>
      <w:r>
        <w:rPr>
          <w:rFonts w:ascii="Palatino Linotype" w:hAnsi="Palatino Linotype"/>
        </w:rPr>
        <w:t xml:space="preserve"> el citado artículo 180 de la Ley de Transparencia.</w:t>
      </w:r>
    </w:p>
    <w:p w14:paraId="5E4F5BDC" w14:textId="77777777" w:rsidR="00274633" w:rsidRDefault="00274633" w:rsidP="00274633">
      <w:pPr>
        <w:pStyle w:val="Prrafodelista"/>
        <w:widowControl w:val="0"/>
        <w:autoSpaceDE w:val="0"/>
        <w:autoSpaceDN w:val="0"/>
        <w:adjustRightInd w:val="0"/>
        <w:spacing w:line="360" w:lineRule="auto"/>
        <w:ind w:left="0"/>
        <w:jc w:val="both"/>
        <w:rPr>
          <w:rFonts w:ascii="Palatino Linotype" w:hAnsi="Palatino Linotype"/>
        </w:rPr>
      </w:pPr>
    </w:p>
    <w:p w14:paraId="2583E3B0" w14:textId="77777777" w:rsidR="00274633" w:rsidRDefault="00274633" w:rsidP="00274633">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rPr>
        <w:t xml:space="preserve">No obstante lo anterior, debe destacarse que el artículo 15 de </w:t>
      </w:r>
      <w:r>
        <w:rPr>
          <w:rFonts w:ascii="Palatino Linotype" w:hAnsi="Palatino Linotype" w:cs="Arial"/>
          <w:lang w:eastAsia="es-MX"/>
        </w:rPr>
        <w:t xml:space="preserve">Ley de Transparencia y Acceso a la </w:t>
      </w:r>
      <w:r>
        <w:rPr>
          <w:rFonts w:ascii="Palatino Linotype" w:hAnsi="Palatino Linotype" w:cs="Arial"/>
        </w:rPr>
        <w:t>Información</w:t>
      </w:r>
      <w:r>
        <w:rPr>
          <w:rFonts w:ascii="Palatino Linotype" w:hAnsi="Palatino Linotype" w:cs="Arial"/>
          <w:lang w:eastAsia="es-MX"/>
        </w:rPr>
        <w:t xml:space="preserve"> Pública del Estado de México y Municipios </w:t>
      </w:r>
      <w:r>
        <w:rPr>
          <w:rFonts w:ascii="Palatino Linotype" w:hAnsi="Palatino Linotype" w:cs="Arial"/>
          <w:iCs/>
        </w:rPr>
        <w:t xml:space="preserve">prevé que, </w:t>
      </w:r>
      <w:r>
        <w:rPr>
          <w:rFonts w:ascii="Palatino Linotype" w:hAnsi="Palatino Linotype"/>
        </w:rPr>
        <w:t xml:space="preserve">toda </w:t>
      </w:r>
      <w:r>
        <w:rPr>
          <w:rFonts w:ascii="Palatino Linotype" w:hAnsi="Palatino Linotype"/>
        </w:rPr>
        <w:lastRenderedPageBreak/>
        <w:t xml:space="preserve">persona tendrá acceso a la información </w:t>
      </w:r>
      <w:r>
        <w:rPr>
          <w:rFonts w:ascii="Palatino Linotype" w:hAnsi="Palatino Linotype" w:cs="Arial"/>
        </w:rPr>
        <w:t xml:space="preserve">sin necesidad de acreditar interés alguno o justificar su utilización, de lo que se infiere que para el </w:t>
      </w:r>
      <w:r>
        <w:rPr>
          <w:rFonts w:ascii="Palatino Linotype" w:hAnsi="Palatino Linotype"/>
        </w:rPr>
        <w:t>ejercicio</w:t>
      </w:r>
      <w:r>
        <w:rPr>
          <w:rFonts w:ascii="Palatino Linotype" w:hAnsi="Palatino Linotype" w:cs="Arial"/>
        </w:rPr>
        <w:t xml:space="preserve"> del derecho de acceso a la información pública, el nombre no es un requisito </w:t>
      </w:r>
      <w:r>
        <w:rPr>
          <w:rFonts w:ascii="Palatino Linotype" w:hAnsi="Palatino Linotype" w:cs="Arial"/>
          <w:i/>
        </w:rPr>
        <w:t>sine qua non</w:t>
      </w:r>
      <w:r>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4FC29C78" w14:textId="77777777" w:rsidR="00274633" w:rsidRDefault="00274633" w:rsidP="00274633">
      <w:pPr>
        <w:pStyle w:val="Prrafodelista"/>
        <w:widowControl w:val="0"/>
        <w:autoSpaceDE w:val="0"/>
        <w:autoSpaceDN w:val="0"/>
        <w:adjustRightInd w:val="0"/>
        <w:ind w:left="0"/>
        <w:jc w:val="both"/>
        <w:rPr>
          <w:rFonts w:ascii="Palatino Linotype" w:hAnsi="Palatino Linotype"/>
          <w:highlight w:val="yellow"/>
        </w:rPr>
      </w:pPr>
    </w:p>
    <w:p w14:paraId="77F99702" w14:textId="77777777" w:rsidR="00274633" w:rsidRDefault="00274633" w:rsidP="00274633">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Pr>
          <w:rFonts w:ascii="Palatino Linotype" w:hAnsi="Palatino Linotype" w:cs="Arial"/>
        </w:rPr>
        <w:t>derecho</w:t>
      </w:r>
      <w:r>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D232BC0" w14:textId="77777777" w:rsidR="00274633" w:rsidRDefault="00274633" w:rsidP="00274633">
      <w:pPr>
        <w:pStyle w:val="Prrafodelista"/>
        <w:widowControl w:val="0"/>
        <w:autoSpaceDE w:val="0"/>
        <w:autoSpaceDN w:val="0"/>
        <w:adjustRightInd w:val="0"/>
        <w:spacing w:line="360" w:lineRule="auto"/>
        <w:ind w:left="0"/>
        <w:jc w:val="both"/>
        <w:rPr>
          <w:rFonts w:ascii="Palatino Linotype" w:hAnsi="Palatino Linotype"/>
        </w:rPr>
      </w:pPr>
    </w:p>
    <w:p w14:paraId="095240B1" w14:textId="77777777" w:rsidR="00274633" w:rsidRDefault="00274633" w:rsidP="00274633">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En este sentido, al no existir causas de improcedencia invocadas por las partes ni advertidas de oficio, este Órgano Garante de la Transparencia se avoca al análisis del fondo del asunto que nos ocupa.</w:t>
      </w:r>
    </w:p>
    <w:p w14:paraId="1826BE9C" w14:textId="77777777" w:rsidR="00274633" w:rsidRDefault="00274633" w:rsidP="007C7E1F">
      <w:pPr>
        <w:tabs>
          <w:tab w:val="left" w:pos="709"/>
        </w:tabs>
        <w:spacing w:before="240" w:line="360" w:lineRule="auto"/>
        <w:ind w:right="51"/>
        <w:jc w:val="both"/>
        <w:rPr>
          <w:rFonts w:ascii="Palatino Linotype" w:hAnsi="Palatino Linotype"/>
          <w:b/>
          <w:sz w:val="28"/>
          <w:szCs w:val="28"/>
        </w:rPr>
      </w:pPr>
    </w:p>
    <w:p w14:paraId="6ADB906D" w14:textId="77777777" w:rsidR="00D67CEA" w:rsidRDefault="00D67CEA" w:rsidP="00D67CEA">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CUARTO</w:t>
      </w:r>
      <w:r w:rsidRPr="009510B5">
        <w:rPr>
          <w:rFonts w:ascii="Palatino Linotype" w:hAnsi="Palatino Linotype" w:cs="Arial"/>
          <w:b/>
        </w:rPr>
        <w:t xml:space="preserve">. </w:t>
      </w:r>
      <w:r w:rsidRPr="009510B5">
        <w:rPr>
          <w:rFonts w:ascii="Palatino Linotype" w:hAnsi="Palatino Linotype" w:cs="Arial"/>
          <w:b/>
          <w:sz w:val="28"/>
          <w:szCs w:val="28"/>
        </w:rPr>
        <w:t>Del estudio de las causas de improcedencia y sobreseimiento</w:t>
      </w:r>
    </w:p>
    <w:p w14:paraId="0440A4C1" w14:textId="77777777" w:rsidR="00D67CEA" w:rsidRDefault="00D67CEA" w:rsidP="00D67CEA">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Es menester resaltar que en el procedimiento de acceso a la información pública y de los medios de impugnación de la materia, se advierten diversos supuestos de procedibilidad que deben estudiarse con la finalidad de dar cumplimiento a los </w:t>
      </w:r>
      <w:r>
        <w:rPr>
          <w:rFonts w:ascii="Palatino Linotype" w:hAnsi="Palatino Linotype" w:cs="Arial"/>
        </w:rPr>
        <w:lastRenderedPageBreak/>
        <w:t xml:space="preserve">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3EFD3D08" w14:textId="77777777" w:rsidR="00D67CEA" w:rsidRDefault="00D67CEA" w:rsidP="00D67CEA">
      <w:pPr>
        <w:pStyle w:val="Prrafodelista"/>
        <w:autoSpaceDE w:val="0"/>
        <w:autoSpaceDN w:val="0"/>
        <w:adjustRightInd w:val="0"/>
        <w:spacing w:line="360" w:lineRule="auto"/>
        <w:ind w:left="0"/>
        <w:jc w:val="both"/>
        <w:rPr>
          <w:rFonts w:ascii="Palatino Linotype" w:hAnsi="Palatino Linotype" w:cs="Arial"/>
        </w:rPr>
      </w:pPr>
    </w:p>
    <w:p w14:paraId="141B293C" w14:textId="77777777" w:rsidR="00D67CEA" w:rsidRDefault="00D67CEA" w:rsidP="00D67CEA">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Siendo una facultad legal entrar al estudio de las causas de improcedencia que hagan valer las partes o que se adviertan de oficio por este Resolutor; presupuestos procesales de inicio o trámite de un proceso que dotan de seguridad jurídica la resolución emitida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w:t>
      </w:r>
      <w:r w:rsidRPr="00FC0BF5">
        <w:rPr>
          <w:rFonts w:ascii="Palatino Linotype" w:hAnsi="Palatino Linotype" w:cs="Arial"/>
        </w:rPr>
        <w:t>Estudio de causales de</w:t>
      </w:r>
      <w:r>
        <w:rPr>
          <w:rFonts w:ascii="Palatino Linotype" w:hAnsi="Palatino Linotype" w:cs="Arial"/>
        </w:rPr>
        <w:t xml:space="preserve"> improcedencia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7109A7A7" w14:textId="77777777" w:rsidR="00D67CEA" w:rsidRDefault="00D67CEA" w:rsidP="00D67CEA">
      <w:pPr>
        <w:pStyle w:val="Prrafodelista"/>
        <w:autoSpaceDE w:val="0"/>
        <w:autoSpaceDN w:val="0"/>
        <w:adjustRightInd w:val="0"/>
        <w:spacing w:line="360" w:lineRule="auto"/>
        <w:ind w:left="0"/>
        <w:jc w:val="both"/>
        <w:rPr>
          <w:rFonts w:ascii="Palatino Linotype" w:hAnsi="Palatino Linotype" w:cs="Arial"/>
        </w:rPr>
      </w:pPr>
    </w:p>
    <w:p w14:paraId="1A71AF1A" w14:textId="1A7339C2" w:rsidR="00D67CEA" w:rsidRDefault="00D67CEA" w:rsidP="00D67CEA">
      <w:pPr>
        <w:autoSpaceDE w:val="0"/>
        <w:autoSpaceDN w:val="0"/>
        <w:adjustRightInd w:val="0"/>
        <w:spacing w:line="360" w:lineRule="auto"/>
        <w:jc w:val="both"/>
        <w:rPr>
          <w:rFonts w:ascii="Palatino Linotype" w:hAnsi="Palatino Linotype" w:cs="Arial"/>
          <w:sz w:val="24"/>
          <w:szCs w:val="24"/>
        </w:rPr>
      </w:pPr>
      <w:r w:rsidRPr="00552846">
        <w:rPr>
          <w:rFonts w:ascii="Palatino Linotype" w:hAnsi="Palatino Linotype" w:cs="Arial"/>
          <w:sz w:val="24"/>
          <w:szCs w:val="24"/>
        </w:rPr>
        <w:lastRenderedPageBreak/>
        <w:t xml:space="preserve">En primer término es necesario hacer alusión </w:t>
      </w:r>
      <w:r w:rsidR="00D13F19">
        <w:rPr>
          <w:rFonts w:ascii="Palatino Linotype" w:hAnsi="Palatino Linotype" w:cs="Arial"/>
          <w:sz w:val="24"/>
          <w:szCs w:val="24"/>
        </w:rPr>
        <w:t xml:space="preserve">a la </w:t>
      </w:r>
      <w:r w:rsidR="005335F0">
        <w:rPr>
          <w:rFonts w:ascii="Palatino Linotype" w:hAnsi="Palatino Linotype" w:cs="Arial"/>
          <w:sz w:val="24"/>
          <w:szCs w:val="24"/>
        </w:rPr>
        <w:t>solicitud</w:t>
      </w:r>
      <w:r w:rsidRPr="00552846">
        <w:rPr>
          <w:rFonts w:ascii="Palatino Linotype" w:hAnsi="Palatino Linotype" w:cs="Arial"/>
          <w:sz w:val="24"/>
          <w:szCs w:val="24"/>
        </w:rPr>
        <w:t xml:space="preserve"> de información ya q</w:t>
      </w:r>
      <w:r>
        <w:rPr>
          <w:rFonts w:ascii="Palatino Linotype" w:hAnsi="Palatino Linotype" w:cs="Arial"/>
          <w:sz w:val="24"/>
          <w:szCs w:val="24"/>
        </w:rPr>
        <w:t>ue de ella deriva por un lado e</w:t>
      </w:r>
      <w:r w:rsidRPr="00552846">
        <w:rPr>
          <w:rFonts w:ascii="Palatino Linotype" w:hAnsi="Palatino Linotype" w:cs="Arial"/>
          <w:sz w:val="24"/>
          <w:szCs w:val="24"/>
        </w:rPr>
        <w:t xml:space="preserve">l procedimiento de acceso a la información ante </w:t>
      </w:r>
      <w:r w:rsidRPr="00FE69D7">
        <w:rPr>
          <w:rFonts w:ascii="Palatino Linotype" w:hAnsi="Palatino Linotype" w:cs="Arial"/>
          <w:b/>
          <w:sz w:val="24"/>
          <w:szCs w:val="24"/>
        </w:rPr>
        <w:t>El Sujeto Obligado</w:t>
      </w:r>
      <w:r w:rsidRPr="00552846">
        <w:rPr>
          <w:rFonts w:ascii="Palatino Linotype" w:hAnsi="Palatino Linotype" w:cs="Arial"/>
          <w:sz w:val="24"/>
          <w:szCs w:val="24"/>
        </w:rPr>
        <w:t>, y por otro lado la materia sobre la que versara el recurso de</w:t>
      </w:r>
      <w:r>
        <w:rPr>
          <w:rFonts w:ascii="Palatino Linotype" w:hAnsi="Palatino Linotype" w:cs="Arial"/>
          <w:sz w:val="24"/>
          <w:szCs w:val="24"/>
        </w:rPr>
        <w:t xml:space="preserve"> </w:t>
      </w:r>
      <w:r w:rsidRPr="00552846">
        <w:rPr>
          <w:rFonts w:ascii="Palatino Linotype" w:hAnsi="Palatino Linotype" w:cs="Arial"/>
          <w:sz w:val="24"/>
          <w:szCs w:val="24"/>
        </w:rPr>
        <w:t>revisión ante este Órgano Garante; se resalta la innegable necesidad de</w:t>
      </w:r>
      <w:r>
        <w:rPr>
          <w:rFonts w:ascii="Palatino Linotype" w:hAnsi="Palatino Linotype" w:cs="Arial"/>
          <w:sz w:val="24"/>
          <w:szCs w:val="24"/>
        </w:rPr>
        <w:t xml:space="preserve"> </w:t>
      </w:r>
      <w:r w:rsidRPr="00552846">
        <w:rPr>
          <w:rFonts w:ascii="Palatino Linotype" w:hAnsi="Palatino Linotype" w:cs="Arial"/>
          <w:sz w:val="24"/>
          <w:szCs w:val="24"/>
        </w:rPr>
        <w:t>interpretar el texto de las solicitud, porque no se podría entender el derecho de</w:t>
      </w:r>
      <w:r>
        <w:rPr>
          <w:rFonts w:ascii="Palatino Linotype" w:hAnsi="Palatino Linotype" w:cs="Arial"/>
          <w:sz w:val="24"/>
          <w:szCs w:val="24"/>
        </w:rPr>
        <w:t xml:space="preserve"> </w:t>
      </w:r>
      <w:r w:rsidRPr="00552846">
        <w:rPr>
          <w:rFonts w:ascii="Palatino Linotype" w:hAnsi="Palatino Linotype" w:cs="Arial"/>
          <w:sz w:val="24"/>
          <w:szCs w:val="24"/>
        </w:rPr>
        <w:t>acceso a la información sin la existencia de solicitudes de información a la luz de</w:t>
      </w:r>
      <w:r>
        <w:rPr>
          <w:rFonts w:ascii="Palatino Linotype" w:hAnsi="Palatino Linotype" w:cs="Arial"/>
          <w:sz w:val="24"/>
          <w:szCs w:val="24"/>
        </w:rPr>
        <w:t xml:space="preserve"> </w:t>
      </w:r>
      <w:r w:rsidRPr="00552846">
        <w:rPr>
          <w:rFonts w:ascii="Palatino Linotype" w:hAnsi="Palatino Linotype" w:cs="Arial"/>
          <w:sz w:val="24"/>
          <w:szCs w:val="24"/>
        </w:rPr>
        <w:t>su interpretación ya que ésta es la fuente de la materia objeto de la transparencia</w:t>
      </w:r>
      <w:r>
        <w:rPr>
          <w:rFonts w:ascii="Palatino Linotype" w:hAnsi="Palatino Linotype" w:cs="Arial"/>
          <w:sz w:val="24"/>
          <w:szCs w:val="24"/>
        </w:rPr>
        <w:t xml:space="preserve"> </w:t>
      </w:r>
      <w:r w:rsidRPr="00552846">
        <w:rPr>
          <w:rFonts w:ascii="Palatino Linotype" w:hAnsi="Palatino Linotype" w:cs="Arial"/>
          <w:sz w:val="24"/>
          <w:szCs w:val="24"/>
        </w:rPr>
        <w:t>específica en cada recurso de revisión; es decir, no podemos establecer una</w:t>
      </w:r>
      <w:r>
        <w:rPr>
          <w:rFonts w:ascii="Palatino Linotype" w:hAnsi="Palatino Linotype" w:cs="Arial"/>
          <w:sz w:val="24"/>
          <w:szCs w:val="24"/>
        </w:rPr>
        <w:t xml:space="preserve"> </w:t>
      </w:r>
      <w:r w:rsidRPr="00552846">
        <w:rPr>
          <w:rFonts w:ascii="Palatino Linotype" w:hAnsi="Palatino Linotype" w:cs="Arial"/>
          <w:sz w:val="24"/>
          <w:szCs w:val="24"/>
        </w:rPr>
        <w:t>materia o un tema como objeto de derecho de acceso a la información, si de la</w:t>
      </w:r>
      <w:r>
        <w:rPr>
          <w:rFonts w:ascii="Palatino Linotype" w:hAnsi="Palatino Linotype" w:cs="Arial"/>
          <w:sz w:val="24"/>
          <w:szCs w:val="24"/>
        </w:rPr>
        <w:t xml:space="preserve"> </w:t>
      </w:r>
      <w:r w:rsidRPr="00552846">
        <w:rPr>
          <w:rFonts w:ascii="Palatino Linotype" w:hAnsi="Palatino Linotype" w:cs="Arial"/>
          <w:sz w:val="24"/>
          <w:szCs w:val="24"/>
        </w:rPr>
        <w:t>solicitud no se entiende o no se precisan temas o materias objetivas; por ello es</w:t>
      </w:r>
      <w:r>
        <w:rPr>
          <w:rFonts w:ascii="Palatino Linotype" w:hAnsi="Palatino Linotype" w:cs="Arial"/>
          <w:sz w:val="24"/>
          <w:szCs w:val="24"/>
        </w:rPr>
        <w:t xml:space="preserve"> </w:t>
      </w:r>
      <w:r w:rsidRPr="00552846">
        <w:rPr>
          <w:rFonts w:ascii="Palatino Linotype" w:hAnsi="Palatino Linotype" w:cs="Arial"/>
          <w:sz w:val="24"/>
          <w:szCs w:val="24"/>
        </w:rPr>
        <w:t>de notoria importancia el trabajo de interpretación que se le dé a las solicitudes de</w:t>
      </w:r>
      <w:r>
        <w:rPr>
          <w:rFonts w:ascii="Palatino Linotype" w:hAnsi="Palatino Linotype" w:cs="Arial"/>
          <w:sz w:val="24"/>
          <w:szCs w:val="24"/>
        </w:rPr>
        <w:t xml:space="preserve"> </w:t>
      </w:r>
      <w:r w:rsidRPr="00552846">
        <w:rPr>
          <w:rFonts w:ascii="Palatino Linotype" w:hAnsi="Palatino Linotype" w:cs="Arial"/>
          <w:sz w:val="24"/>
          <w:szCs w:val="24"/>
        </w:rPr>
        <w:t>información, ya que el sujeto obligado puede considerar una circunstancia en</w:t>
      </w:r>
      <w:r>
        <w:rPr>
          <w:rFonts w:ascii="Palatino Linotype" w:hAnsi="Palatino Linotype" w:cs="Arial"/>
          <w:sz w:val="24"/>
          <w:szCs w:val="24"/>
        </w:rPr>
        <w:t xml:space="preserve"> </w:t>
      </w:r>
      <w:r w:rsidRPr="00552846">
        <w:rPr>
          <w:rFonts w:ascii="Palatino Linotype" w:hAnsi="Palatino Linotype" w:cs="Arial"/>
          <w:sz w:val="24"/>
          <w:szCs w:val="24"/>
        </w:rPr>
        <w:t>particular diversa a la que el particular objetivamente requiere.</w:t>
      </w:r>
    </w:p>
    <w:p w14:paraId="16572E9F" w14:textId="17608002" w:rsidR="00D67CEA" w:rsidRDefault="00D67CEA" w:rsidP="00D67CEA">
      <w:pPr>
        <w:autoSpaceDE w:val="0"/>
        <w:autoSpaceDN w:val="0"/>
        <w:adjustRightInd w:val="0"/>
        <w:spacing w:line="360" w:lineRule="auto"/>
        <w:jc w:val="both"/>
        <w:rPr>
          <w:rFonts w:ascii="Palatino Linotype" w:hAnsi="Palatino Linotype" w:cs="Arial"/>
          <w:sz w:val="24"/>
          <w:szCs w:val="24"/>
        </w:rPr>
      </w:pPr>
      <w:r w:rsidRPr="004B3753">
        <w:rPr>
          <w:rFonts w:ascii="Palatino Linotype" w:hAnsi="Palatino Linotype" w:cs="Arial"/>
          <w:sz w:val="24"/>
          <w:szCs w:val="24"/>
        </w:rPr>
        <w:t>Ya que el planteamiento del problema es de toral importancia, a efecto de determinar la intención o voluntad de</w:t>
      </w:r>
      <w:r w:rsidR="005335F0">
        <w:rPr>
          <w:rFonts w:ascii="Palatino Linotype" w:hAnsi="Palatino Linotype" w:cs="Arial"/>
          <w:sz w:val="24"/>
          <w:szCs w:val="24"/>
        </w:rPr>
        <w:t xml:space="preserve"> </w:t>
      </w:r>
      <w:r w:rsidR="005335F0">
        <w:rPr>
          <w:rFonts w:ascii="Palatino Linotype" w:hAnsi="Palatino Linotype" w:cs="Arial"/>
          <w:b/>
          <w:sz w:val="24"/>
          <w:szCs w:val="24"/>
        </w:rPr>
        <w:t>La</w:t>
      </w:r>
      <w:r>
        <w:rPr>
          <w:rFonts w:ascii="Palatino Linotype" w:hAnsi="Palatino Linotype" w:cs="Arial"/>
          <w:b/>
          <w:sz w:val="24"/>
          <w:szCs w:val="24"/>
        </w:rPr>
        <w:t xml:space="preserve"> </w:t>
      </w:r>
      <w:r w:rsidRPr="004B3753">
        <w:rPr>
          <w:rFonts w:ascii="Palatino Linotype" w:hAnsi="Palatino Linotype" w:cs="Arial"/>
          <w:b/>
          <w:sz w:val="24"/>
          <w:szCs w:val="24"/>
        </w:rPr>
        <w:t>Recurrente</w:t>
      </w:r>
      <w:r w:rsidRPr="004B3753">
        <w:rPr>
          <w:rFonts w:ascii="Palatino Linotype" w:hAnsi="Palatino Linotype" w:cs="Arial"/>
          <w:sz w:val="24"/>
          <w:szCs w:val="24"/>
        </w:rPr>
        <w:t xml:space="preserve"> a la</w:t>
      </w:r>
      <w:r>
        <w:rPr>
          <w:rFonts w:ascii="Palatino Linotype" w:hAnsi="Palatino Linotype" w:cs="Arial"/>
          <w:sz w:val="24"/>
          <w:szCs w:val="24"/>
        </w:rPr>
        <w:t xml:space="preserve"> luz de la interpretación de la solicitud</w:t>
      </w:r>
      <w:r w:rsidRPr="004B3753">
        <w:rPr>
          <w:rFonts w:ascii="Palatino Linotype" w:hAnsi="Palatino Linotype" w:cs="Arial"/>
          <w:sz w:val="24"/>
          <w:szCs w:val="24"/>
        </w:rPr>
        <w:t xml:space="preserve"> de información, y que puede genera</w:t>
      </w:r>
      <w:r>
        <w:rPr>
          <w:rFonts w:ascii="Palatino Linotype" w:hAnsi="Palatino Linotype" w:cs="Arial"/>
          <w:sz w:val="24"/>
          <w:szCs w:val="24"/>
        </w:rPr>
        <w:t xml:space="preserve">r de forma objetiva y material </w:t>
      </w:r>
      <w:r w:rsidRPr="009A18AC">
        <w:rPr>
          <w:rFonts w:ascii="Palatino Linotype" w:hAnsi="Palatino Linotype" w:cs="Arial"/>
          <w:b/>
          <w:sz w:val="24"/>
          <w:szCs w:val="24"/>
        </w:rPr>
        <w:t>El Sujeto Obligado</w:t>
      </w:r>
      <w:r w:rsidRPr="004B3753">
        <w:rPr>
          <w:rFonts w:ascii="Palatino Linotype" w:hAnsi="Palatino Linotype" w:cs="Arial"/>
          <w:sz w:val="24"/>
          <w:szCs w:val="24"/>
        </w:rPr>
        <w:t xml:space="preserve"> que se relacione con esa intención, respecto del presente asunto se realiza a continuación.</w:t>
      </w:r>
    </w:p>
    <w:p w14:paraId="502E38D8" w14:textId="74B8F581" w:rsidR="000A0438" w:rsidRDefault="007C7E1F" w:rsidP="001B4774">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Ahora bien, es una aproximación inicial, es procedente mencionar que </w:t>
      </w:r>
      <w:r w:rsidR="00274633">
        <w:rPr>
          <w:rFonts w:ascii="Palatino Linotype" w:hAnsi="Palatino Linotype"/>
          <w:sz w:val="24"/>
          <w:szCs w:val="24"/>
        </w:rPr>
        <w:t xml:space="preserve">la solicitud de información </w:t>
      </w:r>
      <w:r w:rsidR="001B4774">
        <w:rPr>
          <w:rFonts w:ascii="Palatino Linotype" w:hAnsi="Palatino Linotype"/>
          <w:b/>
          <w:sz w:val="24"/>
          <w:szCs w:val="24"/>
        </w:rPr>
        <w:t xml:space="preserve">00070/PLEGISLA/IP/2021 </w:t>
      </w:r>
      <w:r w:rsidR="001B4774">
        <w:rPr>
          <w:rFonts w:ascii="Palatino Linotype" w:hAnsi="Palatino Linotype"/>
          <w:sz w:val="24"/>
          <w:szCs w:val="24"/>
        </w:rPr>
        <w:t>se nutre de 20 –veinte- requerim</w:t>
      </w:r>
      <w:r w:rsidR="00A631E4">
        <w:rPr>
          <w:rFonts w:ascii="Palatino Linotype" w:hAnsi="Palatino Linotype"/>
          <w:sz w:val="24"/>
          <w:szCs w:val="24"/>
        </w:rPr>
        <w:t xml:space="preserve">ientos. Ahora bien, respecto del requerimiento identificado con el numeral </w:t>
      </w:r>
      <w:r w:rsidR="00A631E4" w:rsidRPr="00C52B5F">
        <w:rPr>
          <w:rFonts w:ascii="Palatino Linotype" w:hAnsi="Palatino Linotype"/>
          <w:b/>
          <w:sz w:val="24"/>
          <w:szCs w:val="24"/>
          <w:u w:val="single"/>
        </w:rPr>
        <w:t>9 –nueve-</w:t>
      </w:r>
      <w:r w:rsidR="00A631E4">
        <w:rPr>
          <w:rFonts w:ascii="Palatino Linotype" w:hAnsi="Palatino Linotype"/>
          <w:sz w:val="24"/>
          <w:szCs w:val="24"/>
        </w:rPr>
        <w:t xml:space="preserve"> es menester señalar que el particular fue omiso en fijar temporalidad, luego entonces, ésta debe de ser delimitada a la fecha de la solicitud, es decir, al dieciséis de febrero de dos mil veintiuno.  </w:t>
      </w:r>
    </w:p>
    <w:p w14:paraId="4AA3B609" w14:textId="3FC6FA78" w:rsidR="00A631E4" w:rsidRDefault="00A631E4" w:rsidP="001B4774">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lastRenderedPageBreak/>
        <w:t xml:space="preserve">En contraste, con relación a los requerimientos </w:t>
      </w:r>
      <w:r>
        <w:rPr>
          <w:rFonts w:ascii="Palatino Linotype" w:hAnsi="Palatino Linotype"/>
          <w:b/>
          <w:sz w:val="24"/>
          <w:szCs w:val="24"/>
        </w:rPr>
        <w:t xml:space="preserve">13 –trece- </w:t>
      </w:r>
      <w:r>
        <w:rPr>
          <w:rFonts w:ascii="Palatino Linotype" w:hAnsi="Palatino Linotype"/>
          <w:sz w:val="24"/>
          <w:szCs w:val="24"/>
        </w:rPr>
        <w:t xml:space="preserve">y </w:t>
      </w:r>
      <w:r>
        <w:rPr>
          <w:rFonts w:ascii="Palatino Linotype" w:hAnsi="Palatino Linotype"/>
          <w:b/>
          <w:sz w:val="24"/>
          <w:szCs w:val="24"/>
        </w:rPr>
        <w:t xml:space="preserve">17 –diecisiete- </w:t>
      </w:r>
      <w:r>
        <w:rPr>
          <w:rFonts w:ascii="Palatino Linotype" w:hAnsi="Palatino Linotype"/>
          <w:sz w:val="24"/>
          <w:szCs w:val="24"/>
        </w:rPr>
        <w:t xml:space="preserve">resulta aplicable el criterio </w:t>
      </w:r>
      <w:r w:rsidR="00761E3F">
        <w:rPr>
          <w:rFonts w:ascii="Palatino Linotype" w:hAnsi="Palatino Linotype"/>
          <w:b/>
          <w:sz w:val="24"/>
          <w:szCs w:val="24"/>
        </w:rPr>
        <w:t xml:space="preserve">03/19 </w:t>
      </w:r>
      <w:r w:rsidR="00761E3F">
        <w:rPr>
          <w:rFonts w:ascii="Palatino Linotype" w:hAnsi="Palatino Linotype"/>
          <w:sz w:val="24"/>
          <w:szCs w:val="24"/>
        </w:rPr>
        <w:t xml:space="preserve">emitido por el Instituto Nacional de Transparencia, Acceso a la Información Pública y Protección de Datos Personales, cuyo rubro y texto disponen a la literalidad lo siguiente: </w:t>
      </w:r>
    </w:p>
    <w:p w14:paraId="695F8D71" w14:textId="1CB3CC5E" w:rsidR="00B82685" w:rsidRDefault="00B82685" w:rsidP="00B82685">
      <w:pPr>
        <w:pStyle w:val="INFOEM"/>
        <w:jc w:val="center"/>
        <w:rPr>
          <w:b/>
        </w:rPr>
      </w:pPr>
      <w:r>
        <w:rPr>
          <w:b/>
        </w:rPr>
        <w:t>“</w:t>
      </w:r>
      <w:r w:rsidRPr="007603E6">
        <w:rPr>
          <w:b/>
        </w:rPr>
        <w:t>PERIODO DE BÚSQUEDA DE LA INFORMACIÓN.</w:t>
      </w:r>
    </w:p>
    <w:p w14:paraId="341F9452" w14:textId="11C20C02" w:rsidR="00761E3F" w:rsidRDefault="00761E3F" w:rsidP="00761E3F">
      <w:pPr>
        <w:pStyle w:val="INFOEM"/>
      </w:pPr>
      <w:r w:rsidRPr="007603E6">
        <w:t xml:space="preserve">En el supuesto de que el particular no haya señalado el periodo </w:t>
      </w:r>
      <w:r w:rsidRPr="00F8264F">
        <w:t xml:space="preserve">respecto del cual </w:t>
      </w:r>
      <w:r w:rsidRPr="007603E6">
        <w:t>requiere la información, o bien, de la solicitud presentada no se adviertan elementos que permitan identificarlo, deberá considerarse</w:t>
      </w:r>
      <w:r>
        <w:t>,</w:t>
      </w:r>
      <w:r w:rsidRPr="007603E6">
        <w:t xml:space="preserve"> para efectos de la búsqueda de la información, que el requerimiento se refiere al año inmediato anterior, contado a partir de la fecha en que se presentó la solicitud.</w:t>
      </w:r>
    </w:p>
    <w:p w14:paraId="39BB75D8" w14:textId="77777777" w:rsidR="00761E3F" w:rsidRPr="00A15759" w:rsidRDefault="00761E3F" w:rsidP="00761E3F">
      <w:pPr>
        <w:pStyle w:val="INFOEM"/>
      </w:pPr>
      <w:r w:rsidRPr="00A15759">
        <w:rPr>
          <w:b/>
          <w:spacing w:val="-1"/>
        </w:rPr>
        <w:t>R</w:t>
      </w:r>
      <w:r w:rsidRPr="00A15759">
        <w:rPr>
          <w:b/>
        </w:rPr>
        <w:t>e</w:t>
      </w:r>
      <w:r w:rsidRPr="00A15759">
        <w:rPr>
          <w:b/>
          <w:spacing w:val="-1"/>
        </w:rPr>
        <w:t>s</w:t>
      </w:r>
      <w:r w:rsidRPr="00A15759">
        <w:rPr>
          <w:b/>
        </w:rPr>
        <w:t>olucion</w:t>
      </w:r>
      <w:r w:rsidRPr="00A15759">
        <w:rPr>
          <w:b/>
          <w:spacing w:val="-1"/>
        </w:rPr>
        <w:t>e</w:t>
      </w:r>
      <w:r>
        <w:rPr>
          <w:b/>
          <w:spacing w:val="-1"/>
        </w:rPr>
        <w:t>s</w:t>
      </w:r>
    </w:p>
    <w:p w14:paraId="6E40823B" w14:textId="77777777" w:rsidR="001B422A" w:rsidRDefault="00761E3F" w:rsidP="00DA279C">
      <w:pPr>
        <w:pStyle w:val="INFOEM"/>
        <w:numPr>
          <w:ilvl w:val="0"/>
          <w:numId w:val="24"/>
        </w:numPr>
      </w:pPr>
      <w:r w:rsidRPr="001B422A">
        <w:rPr>
          <w:b/>
          <w:spacing w:val="-1"/>
        </w:rPr>
        <w:t>R</w:t>
      </w:r>
      <w:r w:rsidRPr="001B422A">
        <w:rPr>
          <w:b/>
          <w:spacing w:val="3"/>
        </w:rPr>
        <w:t>R</w:t>
      </w:r>
      <w:r w:rsidRPr="001B422A">
        <w:rPr>
          <w:b/>
        </w:rPr>
        <w:t>A</w:t>
      </w:r>
      <w:r w:rsidRPr="001B422A">
        <w:rPr>
          <w:b/>
          <w:spacing w:val="5"/>
        </w:rPr>
        <w:t xml:space="preserve"> 0022</w:t>
      </w:r>
      <w:r w:rsidRPr="001B422A">
        <w:rPr>
          <w:b/>
          <w:spacing w:val="-1"/>
        </w:rPr>
        <w:t>/17</w:t>
      </w:r>
      <w:r w:rsidRPr="001B422A">
        <w:rPr>
          <w:b/>
        </w:rPr>
        <w:t>.</w:t>
      </w:r>
      <w:r w:rsidRPr="001B422A">
        <w:rPr>
          <w:b/>
          <w:spacing w:val="15"/>
        </w:rPr>
        <w:t xml:space="preserve"> </w:t>
      </w:r>
      <w:r w:rsidRPr="001B422A">
        <w:rPr>
          <w:spacing w:val="-1"/>
        </w:rPr>
        <w:t>Instituto Mexicano de la Propiedad Industrial</w:t>
      </w:r>
      <w:r w:rsidRPr="00A15759">
        <w:t>.</w:t>
      </w:r>
      <w:r w:rsidRPr="001B422A">
        <w:rPr>
          <w:spacing w:val="4"/>
        </w:rPr>
        <w:t xml:space="preserve"> 16 de febrero de 2017. Por unanimidad. </w:t>
      </w:r>
      <w:r w:rsidRPr="001B422A">
        <w:rPr>
          <w:spacing w:val="-1"/>
        </w:rPr>
        <w:t>C</w:t>
      </w:r>
      <w:r w:rsidRPr="00A15759">
        <w:t>omis</w:t>
      </w:r>
      <w:r w:rsidRPr="001B422A">
        <w:rPr>
          <w:spacing w:val="-2"/>
        </w:rPr>
        <w:t>i</w:t>
      </w:r>
      <w:r w:rsidRPr="00A15759">
        <w:t>o</w:t>
      </w:r>
      <w:r w:rsidRPr="001B422A">
        <w:rPr>
          <w:spacing w:val="1"/>
        </w:rPr>
        <w:t>n</w:t>
      </w:r>
      <w:r w:rsidRPr="00A15759">
        <w:t>a</w:t>
      </w:r>
      <w:r w:rsidRPr="001B422A">
        <w:rPr>
          <w:spacing w:val="-1"/>
        </w:rPr>
        <w:t>d</w:t>
      </w:r>
      <w:r w:rsidRPr="00A15759">
        <w:t>o</w:t>
      </w:r>
      <w:r w:rsidRPr="001B422A">
        <w:rPr>
          <w:spacing w:val="3"/>
        </w:rPr>
        <w:t xml:space="preserve"> </w:t>
      </w:r>
      <w:r w:rsidRPr="001B422A">
        <w:rPr>
          <w:spacing w:val="-1"/>
        </w:rPr>
        <w:t>P</w:t>
      </w:r>
      <w:r w:rsidRPr="00A15759">
        <w:t>o</w:t>
      </w:r>
      <w:r w:rsidRPr="001B422A">
        <w:rPr>
          <w:spacing w:val="-1"/>
        </w:rPr>
        <w:t>n</w:t>
      </w:r>
      <w:r w:rsidRPr="00A15759">
        <w:t>e</w:t>
      </w:r>
      <w:r w:rsidRPr="001B422A">
        <w:rPr>
          <w:spacing w:val="-1"/>
        </w:rPr>
        <w:t>n</w:t>
      </w:r>
      <w:r w:rsidRPr="001B422A">
        <w:rPr>
          <w:spacing w:val="1"/>
        </w:rPr>
        <w:t>t</w:t>
      </w:r>
      <w:r w:rsidRPr="00A15759">
        <w:t>e Francisco Javier Acuña Llamas.</w:t>
      </w:r>
    </w:p>
    <w:p w14:paraId="3609B600" w14:textId="577BE59D" w:rsidR="00761E3F" w:rsidRPr="00B82685" w:rsidRDefault="00C06DDC" w:rsidP="001B422A">
      <w:pPr>
        <w:pStyle w:val="INFOEM"/>
        <w:ind w:left="1571"/>
      </w:pPr>
      <w:hyperlink r:id="rId10" w:history="1">
        <w:r w:rsidR="00761E3F" w:rsidRPr="001B422A">
          <w:rPr>
            <w:rStyle w:val="Hipervnculo"/>
            <w:color w:val="auto"/>
            <w:u w:val="none"/>
          </w:rPr>
          <w:t>http://consultas.ifai.org.mx/descargar.php?r=./pdf/resoluciones/2017/&amp;a=RRA%2022.pdf</w:t>
        </w:r>
      </w:hyperlink>
      <w:r w:rsidR="001B422A">
        <w:rPr>
          <w:rStyle w:val="Hipervnculo"/>
          <w:color w:val="auto"/>
          <w:u w:val="none"/>
        </w:rPr>
        <w:t xml:space="preserve"> </w:t>
      </w:r>
    </w:p>
    <w:p w14:paraId="2D97F2AC" w14:textId="77777777" w:rsidR="00761E3F" w:rsidRPr="005177EB" w:rsidRDefault="00761E3F" w:rsidP="00B82685">
      <w:pPr>
        <w:pStyle w:val="INFOEM"/>
        <w:numPr>
          <w:ilvl w:val="0"/>
          <w:numId w:val="24"/>
        </w:numPr>
        <w:rPr>
          <w:b/>
          <w:spacing w:val="-1"/>
        </w:rPr>
      </w:pPr>
      <w:r w:rsidRPr="00A15759">
        <w:rPr>
          <w:b/>
          <w:spacing w:val="-1"/>
        </w:rPr>
        <w:t>R</w:t>
      </w:r>
      <w:r w:rsidRPr="00A15759">
        <w:rPr>
          <w:b/>
          <w:spacing w:val="3"/>
        </w:rPr>
        <w:t>R</w:t>
      </w:r>
      <w:r w:rsidRPr="00A15759">
        <w:rPr>
          <w:b/>
        </w:rPr>
        <w:t>A</w:t>
      </w:r>
      <w:r w:rsidRPr="00A15759">
        <w:rPr>
          <w:b/>
          <w:spacing w:val="43"/>
        </w:rPr>
        <w:t xml:space="preserve"> </w:t>
      </w:r>
      <w:r w:rsidRPr="007E1426">
        <w:rPr>
          <w:b/>
          <w:spacing w:val="5"/>
        </w:rPr>
        <w:t>2536</w:t>
      </w:r>
      <w:r w:rsidRPr="00A15759">
        <w:rPr>
          <w:b/>
          <w:spacing w:val="1"/>
        </w:rPr>
        <w:t>/</w:t>
      </w:r>
      <w:r w:rsidRPr="00A15759">
        <w:rPr>
          <w:b/>
        </w:rPr>
        <w:t>1</w:t>
      </w:r>
      <w:r>
        <w:rPr>
          <w:b/>
        </w:rPr>
        <w:t>7</w:t>
      </w:r>
      <w:r w:rsidRPr="00A15759">
        <w:rPr>
          <w:b/>
        </w:rPr>
        <w:t xml:space="preserve">. </w:t>
      </w:r>
      <w:r>
        <w:rPr>
          <w:spacing w:val="-1"/>
        </w:rPr>
        <w:t>Secretaría de Gobernación</w:t>
      </w:r>
      <w:r w:rsidRPr="00A15759">
        <w:t>.</w:t>
      </w:r>
      <w:r>
        <w:t xml:space="preserve"> 07 de junio de 2017. Por unanimidad. Comisionada Ponente Areli Cano Guadiana.</w:t>
      </w:r>
      <w:r w:rsidRPr="00A15759">
        <w:rPr>
          <w:spacing w:val="-1"/>
          <w:position w:val="5"/>
        </w:rPr>
        <w:t xml:space="preserve"> </w:t>
      </w:r>
    </w:p>
    <w:p w14:paraId="39456DB4" w14:textId="632AB6F5" w:rsidR="00761E3F" w:rsidRPr="001B422A" w:rsidRDefault="00761E3F" w:rsidP="001B422A">
      <w:pPr>
        <w:pStyle w:val="INFOEM"/>
        <w:ind w:left="1571"/>
        <w:rPr>
          <w:spacing w:val="-1"/>
        </w:rPr>
      </w:pPr>
      <w:r w:rsidRPr="001B422A">
        <w:rPr>
          <w:rStyle w:val="Hipervnculo"/>
          <w:rFonts w:eastAsia="Arial"/>
          <w:spacing w:val="-1"/>
        </w:rPr>
        <w:t>http://consultas.ifai.org.mx/descargar.php?r=./pdf/resoluciones/2017/&amp;a=RRA%202536.pdf</w:t>
      </w:r>
      <w:r w:rsidRPr="001B422A">
        <w:rPr>
          <w:spacing w:val="-1"/>
        </w:rPr>
        <w:t xml:space="preserve"> </w:t>
      </w:r>
    </w:p>
    <w:p w14:paraId="072B6429" w14:textId="77777777" w:rsidR="001B422A" w:rsidRPr="001B422A" w:rsidRDefault="00761E3F" w:rsidP="00DA279C">
      <w:pPr>
        <w:pStyle w:val="INFOEM"/>
        <w:numPr>
          <w:ilvl w:val="0"/>
          <w:numId w:val="24"/>
        </w:numPr>
      </w:pPr>
      <w:r w:rsidRPr="001B422A">
        <w:rPr>
          <w:b/>
          <w:spacing w:val="-1"/>
          <w:position w:val="-1"/>
        </w:rPr>
        <w:t>R</w:t>
      </w:r>
      <w:r w:rsidRPr="001B422A">
        <w:rPr>
          <w:b/>
          <w:spacing w:val="3"/>
          <w:position w:val="-1"/>
        </w:rPr>
        <w:t>R</w:t>
      </w:r>
      <w:r w:rsidRPr="001B422A">
        <w:rPr>
          <w:b/>
          <w:position w:val="-1"/>
        </w:rPr>
        <w:t xml:space="preserve">A </w:t>
      </w:r>
      <w:r w:rsidRPr="001B422A">
        <w:rPr>
          <w:b/>
          <w:spacing w:val="-1"/>
          <w:position w:val="-1"/>
        </w:rPr>
        <w:t>3482/17</w:t>
      </w:r>
      <w:r w:rsidRPr="001B422A">
        <w:rPr>
          <w:b/>
          <w:position w:val="-1"/>
        </w:rPr>
        <w:t xml:space="preserve">. </w:t>
      </w:r>
      <w:r w:rsidRPr="001B422A">
        <w:rPr>
          <w:spacing w:val="-1"/>
          <w:position w:val="-1"/>
        </w:rPr>
        <w:t>Secretaría de Comunicaciones y Transportes</w:t>
      </w:r>
      <w:r w:rsidRPr="001B422A">
        <w:rPr>
          <w:position w:val="-1"/>
        </w:rPr>
        <w:t>. 02 de agosto de 2017. Por unanimidad. Comisionado Ponente Oscar Mauricio Guerra Ford</w:t>
      </w:r>
      <w:r w:rsidRPr="001B422A">
        <w:rPr>
          <w:bCs/>
        </w:rPr>
        <w:t>.</w:t>
      </w:r>
    </w:p>
    <w:p w14:paraId="5CDAD8A6" w14:textId="074FDC51" w:rsidR="00B82685" w:rsidRPr="001B422A" w:rsidRDefault="00B82685" w:rsidP="001B422A">
      <w:pPr>
        <w:pStyle w:val="INFOEM"/>
        <w:ind w:left="1571"/>
      </w:pPr>
      <w:r w:rsidRPr="001B422A">
        <w:rPr>
          <w:rStyle w:val="Hipervnculo"/>
          <w:bCs/>
        </w:rPr>
        <w:lastRenderedPageBreak/>
        <w:t>http://consultas.ifai.org.mx/descargar.php?r=./pdf/resoluciones/2017/&amp;a=RRA%203482.pdf</w:t>
      </w:r>
      <w:r w:rsidRPr="001B422A">
        <w:t xml:space="preserve"> </w:t>
      </w:r>
    </w:p>
    <w:p w14:paraId="3D6FC8E1" w14:textId="77777777" w:rsidR="00B82685" w:rsidRDefault="00B82685" w:rsidP="00840EE6">
      <w:pPr>
        <w:pStyle w:val="INFOEM"/>
        <w:ind w:left="1571"/>
        <w:rPr>
          <w:bCs/>
        </w:rPr>
      </w:pPr>
    </w:p>
    <w:p w14:paraId="3049D82B" w14:textId="1F8CB236" w:rsidR="00840EE6" w:rsidRDefault="00840EE6" w:rsidP="00840EE6">
      <w:pPr>
        <w:pStyle w:val="Prrafodelista"/>
        <w:autoSpaceDE w:val="0"/>
        <w:autoSpaceDN w:val="0"/>
        <w:adjustRightInd w:val="0"/>
        <w:spacing w:before="240" w:after="160" w:line="360" w:lineRule="auto"/>
        <w:ind w:left="0"/>
        <w:jc w:val="both"/>
        <w:rPr>
          <w:rFonts w:ascii="Palatino Linotype" w:hAnsi="Palatino Linotype"/>
        </w:rPr>
      </w:pPr>
      <w:r>
        <w:rPr>
          <w:rFonts w:ascii="Palatino Linotype" w:hAnsi="Palatino Linotype"/>
        </w:rPr>
        <w:t xml:space="preserve">Bajo estas líneas argumentativas, al retomar y delimitar los requerimientos del ahora </w:t>
      </w:r>
      <w:r>
        <w:rPr>
          <w:rFonts w:ascii="Palatino Linotype" w:hAnsi="Palatino Linotype"/>
          <w:b/>
        </w:rPr>
        <w:t xml:space="preserve">Recurrente, </w:t>
      </w:r>
      <w:r>
        <w:rPr>
          <w:rFonts w:ascii="Palatino Linotype" w:hAnsi="Palatino Linotype"/>
        </w:rPr>
        <w:t xml:space="preserve">de manera objetiva se precisa que versa en conocer la siguiente información: </w:t>
      </w:r>
    </w:p>
    <w:p w14:paraId="4F9ABEDF" w14:textId="5DE9DEDF" w:rsidR="007514B3" w:rsidRPr="007514B3" w:rsidRDefault="00B4547B" w:rsidP="00661753">
      <w:pPr>
        <w:tabs>
          <w:tab w:val="left" w:pos="709"/>
        </w:tabs>
        <w:spacing w:before="240" w:line="360" w:lineRule="auto"/>
        <w:ind w:right="51"/>
        <w:jc w:val="both"/>
        <w:rPr>
          <w:rFonts w:ascii="Palatino Linotype" w:hAnsi="Palatino Linotype"/>
          <w:b/>
          <w:sz w:val="24"/>
          <w:szCs w:val="24"/>
        </w:rPr>
      </w:pPr>
      <w:r>
        <w:rPr>
          <w:rFonts w:ascii="Palatino Linotype" w:hAnsi="Palatino Linotype"/>
          <w:b/>
          <w:sz w:val="24"/>
          <w:szCs w:val="24"/>
        </w:rPr>
        <w:t>Del C</w:t>
      </w:r>
      <w:r w:rsidR="00AD0735">
        <w:rPr>
          <w:rFonts w:ascii="Palatino Linotype" w:hAnsi="Palatino Linotype"/>
          <w:b/>
          <w:sz w:val="24"/>
          <w:szCs w:val="24"/>
        </w:rPr>
        <w:t>.</w:t>
      </w:r>
      <w:r>
        <w:rPr>
          <w:rFonts w:ascii="Palatino Linotype" w:hAnsi="Palatino Linotype"/>
          <w:b/>
          <w:sz w:val="24"/>
          <w:szCs w:val="24"/>
        </w:rPr>
        <w:t xml:space="preserve"> José Guadalupe Luna Hernández</w:t>
      </w:r>
      <w:r w:rsidR="00AD0735">
        <w:rPr>
          <w:rFonts w:ascii="Palatino Linotype" w:hAnsi="Palatino Linotype"/>
          <w:b/>
          <w:sz w:val="24"/>
          <w:szCs w:val="24"/>
        </w:rPr>
        <w:t>, Comisionado del Órgano Garante Local</w:t>
      </w:r>
    </w:p>
    <w:p w14:paraId="4DFA7F54" w14:textId="77777777" w:rsidR="00B4547B" w:rsidRDefault="00B4547B" w:rsidP="00B4547B">
      <w:pPr>
        <w:pStyle w:val="Prrafodelista"/>
        <w:numPr>
          <w:ilvl w:val="0"/>
          <w:numId w:val="21"/>
        </w:numPr>
        <w:tabs>
          <w:tab w:val="left" w:pos="709"/>
        </w:tabs>
        <w:spacing w:before="240" w:line="360" w:lineRule="auto"/>
        <w:ind w:right="51"/>
        <w:jc w:val="both"/>
        <w:rPr>
          <w:rFonts w:ascii="Palatino Linotype" w:hAnsi="Palatino Linotype"/>
        </w:rPr>
      </w:pPr>
      <w:r w:rsidRPr="00B4547B">
        <w:rPr>
          <w:rFonts w:ascii="Palatino Linotype" w:hAnsi="Palatino Linotype"/>
        </w:rPr>
        <w:t xml:space="preserve">Que el señor Luna maestro señale si conoce que los derechos humanos son Progresivos, Universales, Interconectados e Indivisibles. Si puede, claro, que explique cada uno. </w:t>
      </w:r>
    </w:p>
    <w:p w14:paraId="2271D25D" w14:textId="77777777" w:rsidR="00B4547B" w:rsidRDefault="00B4547B" w:rsidP="00B4547B">
      <w:pPr>
        <w:pStyle w:val="Prrafodelista"/>
        <w:numPr>
          <w:ilvl w:val="0"/>
          <w:numId w:val="21"/>
        </w:numPr>
        <w:tabs>
          <w:tab w:val="left" w:pos="709"/>
        </w:tabs>
        <w:spacing w:before="240" w:line="360" w:lineRule="auto"/>
        <w:ind w:right="51"/>
        <w:jc w:val="both"/>
        <w:rPr>
          <w:rFonts w:ascii="Palatino Linotype" w:hAnsi="Palatino Linotype"/>
        </w:rPr>
      </w:pPr>
      <w:r w:rsidRPr="00B4547B">
        <w:rPr>
          <w:rFonts w:ascii="Palatino Linotype" w:hAnsi="Palatino Linotype"/>
        </w:rPr>
        <w:t xml:space="preserve">Sustente sus afirmaciones en el sentido de que el principio de legalidad está por encima de los anteriores principios, como señaló en sesión reciente. </w:t>
      </w:r>
    </w:p>
    <w:p w14:paraId="2DE460E5" w14:textId="77777777" w:rsidR="00B4547B" w:rsidRDefault="00B4547B" w:rsidP="00B4547B">
      <w:pPr>
        <w:pStyle w:val="Prrafodelista"/>
        <w:numPr>
          <w:ilvl w:val="0"/>
          <w:numId w:val="21"/>
        </w:numPr>
        <w:tabs>
          <w:tab w:val="left" w:pos="709"/>
        </w:tabs>
        <w:spacing w:before="240" w:line="360" w:lineRule="auto"/>
        <w:ind w:right="51"/>
        <w:jc w:val="both"/>
        <w:rPr>
          <w:rFonts w:ascii="Palatino Linotype" w:hAnsi="Palatino Linotype"/>
        </w:rPr>
      </w:pPr>
      <w:r w:rsidRPr="00B4547B">
        <w:rPr>
          <w:rFonts w:ascii="Palatino Linotype" w:hAnsi="Palatino Linotype"/>
        </w:rPr>
        <w:t xml:space="preserve">¿Qué entiende cuando la Constitución mandata que el derecho humano de acceder a la información pública es para las personas y debe interpretarse en favor de ellas? Porque todo su pleno y él mismo, señalan que resuelven a favor o en colusión con las instituciones del Edomex. </w:t>
      </w:r>
    </w:p>
    <w:p w14:paraId="3D0477A0" w14:textId="77777777" w:rsidR="00B4547B" w:rsidRDefault="00B4547B" w:rsidP="00B4547B">
      <w:pPr>
        <w:pStyle w:val="Prrafodelista"/>
        <w:numPr>
          <w:ilvl w:val="0"/>
          <w:numId w:val="21"/>
        </w:numPr>
        <w:tabs>
          <w:tab w:val="left" w:pos="709"/>
        </w:tabs>
        <w:spacing w:before="240" w:line="360" w:lineRule="auto"/>
        <w:ind w:right="51"/>
        <w:jc w:val="both"/>
        <w:rPr>
          <w:rFonts w:ascii="Palatino Linotype" w:hAnsi="Palatino Linotype"/>
        </w:rPr>
      </w:pPr>
      <w:r w:rsidRPr="00B4547B">
        <w:rPr>
          <w:rFonts w:ascii="Palatino Linotype" w:hAnsi="Palatino Linotype"/>
        </w:rPr>
        <w:t xml:space="preserve">¿Por qué hace invocaciones a su dios (agente imaginario) en un acto público de Estado como una sesión de Pleno del Organismo Garante en el Estado de México? ¿Viola eso el Estado laico que es México? </w:t>
      </w:r>
    </w:p>
    <w:p w14:paraId="6A2D2353" w14:textId="77777777" w:rsidR="00B4547B" w:rsidRDefault="00B4547B" w:rsidP="00B4547B">
      <w:pPr>
        <w:pStyle w:val="Prrafodelista"/>
        <w:numPr>
          <w:ilvl w:val="0"/>
          <w:numId w:val="21"/>
        </w:numPr>
        <w:tabs>
          <w:tab w:val="left" w:pos="709"/>
        </w:tabs>
        <w:spacing w:before="240" w:line="360" w:lineRule="auto"/>
        <w:ind w:right="51"/>
        <w:jc w:val="both"/>
        <w:rPr>
          <w:rFonts w:ascii="Palatino Linotype" w:hAnsi="Palatino Linotype"/>
        </w:rPr>
      </w:pPr>
      <w:r w:rsidRPr="00B4547B">
        <w:rPr>
          <w:rFonts w:ascii="Palatino Linotype" w:hAnsi="Palatino Linotype"/>
        </w:rPr>
        <w:t xml:space="preserve">Documente alguna intervención que al respecto haya tenido gobernación. </w:t>
      </w:r>
    </w:p>
    <w:p w14:paraId="067668C9" w14:textId="77777777" w:rsidR="00B4547B" w:rsidRDefault="00B4547B" w:rsidP="00B4547B">
      <w:pPr>
        <w:pStyle w:val="Prrafodelista"/>
        <w:numPr>
          <w:ilvl w:val="0"/>
          <w:numId w:val="21"/>
        </w:numPr>
        <w:tabs>
          <w:tab w:val="left" w:pos="709"/>
        </w:tabs>
        <w:spacing w:before="240" w:line="360" w:lineRule="auto"/>
        <w:ind w:right="51"/>
        <w:jc w:val="both"/>
        <w:rPr>
          <w:rFonts w:ascii="Palatino Linotype" w:hAnsi="Palatino Linotype"/>
        </w:rPr>
      </w:pPr>
      <w:r w:rsidRPr="00B4547B">
        <w:rPr>
          <w:rFonts w:ascii="Palatino Linotype" w:hAnsi="Palatino Linotype"/>
        </w:rPr>
        <w:lastRenderedPageBreak/>
        <w:t xml:space="preserve">Documente el parangón que hace entre el derecho penal y el artículo sexto Constitucional ¿sabe que el derecho penal tiene aplicación a la letra por los tipos penales que involucran la limitación de la libertad, y toda persona es inocente hasta que se demuestre lo contrario? De ahí que la aplicación de la norma deba ser literal y aún así existe la obligación de suplir la queja en favor del imputado en ciertas condiciones. </w:t>
      </w:r>
    </w:p>
    <w:p w14:paraId="6D852A2E" w14:textId="235B20B4" w:rsidR="00B4547B" w:rsidRDefault="00B4547B" w:rsidP="00B4547B">
      <w:pPr>
        <w:pStyle w:val="Prrafodelista"/>
        <w:numPr>
          <w:ilvl w:val="0"/>
          <w:numId w:val="21"/>
        </w:numPr>
        <w:tabs>
          <w:tab w:val="left" w:pos="709"/>
        </w:tabs>
        <w:spacing w:before="240" w:line="360" w:lineRule="auto"/>
        <w:ind w:right="51"/>
        <w:jc w:val="both"/>
        <w:rPr>
          <w:rFonts w:ascii="Palatino Linotype" w:hAnsi="Palatino Linotype"/>
        </w:rPr>
      </w:pPr>
      <w:r w:rsidRPr="00B4547B">
        <w:rPr>
          <w:rFonts w:ascii="Palatino Linotype" w:hAnsi="Palatino Linotype"/>
        </w:rPr>
        <w:t xml:space="preserve">Documente en qué sección de las resoluciones del </w:t>
      </w:r>
      <w:r w:rsidR="001B4774" w:rsidRPr="00B4547B">
        <w:rPr>
          <w:rFonts w:ascii="Palatino Linotype" w:hAnsi="Palatino Linotype"/>
        </w:rPr>
        <w:t xml:space="preserve">INAI </w:t>
      </w:r>
      <w:r w:rsidRPr="00B4547B">
        <w:rPr>
          <w:rFonts w:ascii="Palatino Linotype" w:hAnsi="Palatino Linotype"/>
        </w:rPr>
        <w:t>señala que la admisión se hizo con fundamento en una sentencia del Poder Judi</w:t>
      </w:r>
      <w:r w:rsidR="001B4774">
        <w:rPr>
          <w:rFonts w:ascii="Palatino Linotype" w:hAnsi="Palatino Linotype"/>
        </w:rPr>
        <w:t>ci</w:t>
      </w:r>
      <w:r w:rsidRPr="00B4547B">
        <w:rPr>
          <w:rFonts w:ascii="Palatino Linotype" w:hAnsi="Palatino Linotype"/>
        </w:rPr>
        <w:t xml:space="preserve">al, porque yo las he leído y solo traen a cuenta que ese poder ha coincidido con el </w:t>
      </w:r>
      <w:r w:rsidR="001B4774" w:rsidRPr="00B4547B">
        <w:rPr>
          <w:rFonts w:ascii="Palatino Linotype" w:hAnsi="Palatino Linotype"/>
        </w:rPr>
        <w:t>INAI</w:t>
      </w:r>
      <w:r w:rsidRPr="00B4547B">
        <w:rPr>
          <w:rFonts w:ascii="Palatino Linotype" w:hAnsi="Palatino Linotype"/>
        </w:rPr>
        <w:t xml:space="preserve">, pero él es un gran erudito, que nos documente sus dichos. </w:t>
      </w:r>
    </w:p>
    <w:p w14:paraId="0927ECE1" w14:textId="603CC4D2" w:rsidR="00B4547B" w:rsidRDefault="00B4547B" w:rsidP="00B4547B">
      <w:pPr>
        <w:pStyle w:val="Prrafodelista"/>
        <w:numPr>
          <w:ilvl w:val="0"/>
          <w:numId w:val="21"/>
        </w:numPr>
        <w:tabs>
          <w:tab w:val="left" w:pos="709"/>
        </w:tabs>
        <w:spacing w:before="240" w:line="360" w:lineRule="auto"/>
        <w:ind w:right="51"/>
        <w:jc w:val="both"/>
        <w:rPr>
          <w:rFonts w:ascii="Palatino Linotype" w:hAnsi="Palatino Linotype"/>
        </w:rPr>
      </w:pPr>
      <w:r w:rsidRPr="00B4547B">
        <w:rPr>
          <w:rFonts w:ascii="Palatino Linotype" w:hAnsi="Palatino Linotype"/>
        </w:rPr>
        <w:t xml:space="preserve">Precise dónde se señala que es el </w:t>
      </w:r>
      <w:r w:rsidR="001B4774" w:rsidRPr="00B4547B">
        <w:rPr>
          <w:rFonts w:ascii="Palatino Linotype" w:hAnsi="Palatino Linotype"/>
        </w:rPr>
        <w:t xml:space="preserve">INAI </w:t>
      </w:r>
      <w:r w:rsidRPr="00B4547B">
        <w:rPr>
          <w:rFonts w:ascii="Palatino Linotype" w:hAnsi="Palatino Linotype"/>
        </w:rPr>
        <w:t xml:space="preserve">el que debe llamar a los terceros interesados en un amparo, cuando dicha Ley precisa que sí, se deben señalar, pero si señalados faltan y el Juez no lo nota ¿por qué ello es responsabilidad del </w:t>
      </w:r>
      <w:r w:rsidR="001B4774" w:rsidRPr="00B4547B">
        <w:rPr>
          <w:rFonts w:ascii="Palatino Linotype" w:hAnsi="Palatino Linotype"/>
        </w:rPr>
        <w:t xml:space="preserve">INAI </w:t>
      </w:r>
      <w:r w:rsidRPr="00B4547B">
        <w:rPr>
          <w:rFonts w:ascii="Palatino Linotype" w:hAnsi="Palatino Linotype"/>
        </w:rPr>
        <w:t xml:space="preserve">como autoridad responsable? </w:t>
      </w:r>
    </w:p>
    <w:p w14:paraId="1C1A9E26" w14:textId="00FB7AD4" w:rsidR="00B4547B" w:rsidRPr="00EC7A5E" w:rsidRDefault="00B4547B" w:rsidP="00B4547B">
      <w:pPr>
        <w:pStyle w:val="Prrafodelista"/>
        <w:numPr>
          <w:ilvl w:val="0"/>
          <w:numId w:val="21"/>
        </w:numPr>
        <w:tabs>
          <w:tab w:val="left" w:pos="709"/>
        </w:tabs>
        <w:spacing w:before="240" w:line="360" w:lineRule="auto"/>
        <w:ind w:right="51"/>
        <w:jc w:val="both"/>
        <w:rPr>
          <w:rFonts w:ascii="Palatino Linotype" w:hAnsi="Palatino Linotype"/>
        </w:rPr>
      </w:pPr>
      <w:r w:rsidRPr="00EC7A5E">
        <w:rPr>
          <w:rFonts w:ascii="Palatino Linotype" w:hAnsi="Palatino Linotype"/>
        </w:rPr>
        <w:t>Pasen toda la documentación que acredite los grados del señor Luna, incluyendo aquellos que le permiten ma</w:t>
      </w:r>
      <w:r w:rsidR="00A631E4" w:rsidRPr="00EC7A5E">
        <w:rPr>
          <w:rFonts w:ascii="Palatino Linotype" w:hAnsi="Palatino Linotype"/>
        </w:rPr>
        <w:t xml:space="preserve">ndar a cursos a otras personas, al dieciséis de febrero de dos mil veintiuno. </w:t>
      </w:r>
    </w:p>
    <w:p w14:paraId="44AC8233" w14:textId="77777777" w:rsidR="00B4547B" w:rsidRDefault="00B4547B" w:rsidP="00B4547B">
      <w:pPr>
        <w:pStyle w:val="Prrafodelista"/>
        <w:numPr>
          <w:ilvl w:val="0"/>
          <w:numId w:val="21"/>
        </w:numPr>
        <w:tabs>
          <w:tab w:val="left" w:pos="709"/>
        </w:tabs>
        <w:spacing w:before="240" w:line="360" w:lineRule="auto"/>
        <w:ind w:right="51"/>
        <w:jc w:val="both"/>
        <w:rPr>
          <w:rFonts w:ascii="Palatino Linotype" w:hAnsi="Palatino Linotype"/>
        </w:rPr>
      </w:pPr>
      <w:r w:rsidRPr="00B4547B">
        <w:rPr>
          <w:rFonts w:ascii="Palatino Linotype" w:hAnsi="Palatino Linotype"/>
        </w:rPr>
        <w:t xml:space="preserve">Gastos del comisionado Luna en gel y corbatas a cargo del Infoem, se nota que es oneroso ese gasto por todo lo que se echa para salir a cuadro. </w:t>
      </w:r>
    </w:p>
    <w:p w14:paraId="42509873" w14:textId="77777777" w:rsidR="00B4547B" w:rsidRDefault="00B4547B" w:rsidP="00B4547B">
      <w:pPr>
        <w:pStyle w:val="Prrafodelista"/>
        <w:numPr>
          <w:ilvl w:val="0"/>
          <w:numId w:val="21"/>
        </w:numPr>
        <w:tabs>
          <w:tab w:val="left" w:pos="709"/>
        </w:tabs>
        <w:spacing w:before="240" w:line="360" w:lineRule="auto"/>
        <w:ind w:right="51"/>
        <w:jc w:val="both"/>
        <w:rPr>
          <w:rFonts w:ascii="Palatino Linotype" w:hAnsi="Palatino Linotype"/>
        </w:rPr>
      </w:pPr>
      <w:r w:rsidRPr="00B4547B">
        <w:rPr>
          <w:rFonts w:ascii="Palatino Linotype" w:hAnsi="Palatino Linotype"/>
        </w:rPr>
        <w:t xml:space="preserve">Su micrófono es del siglo pasado y no se oye bien. </w:t>
      </w:r>
    </w:p>
    <w:p w14:paraId="64E920FE" w14:textId="77777777" w:rsidR="00B4547B" w:rsidRDefault="00B4547B" w:rsidP="00B4547B">
      <w:pPr>
        <w:pStyle w:val="Prrafodelista"/>
        <w:numPr>
          <w:ilvl w:val="0"/>
          <w:numId w:val="21"/>
        </w:numPr>
        <w:tabs>
          <w:tab w:val="left" w:pos="709"/>
        </w:tabs>
        <w:spacing w:before="240" w:line="360" w:lineRule="auto"/>
        <w:ind w:right="51"/>
        <w:jc w:val="both"/>
        <w:rPr>
          <w:rFonts w:ascii="Palatino Linotype" w:hAnsi="Palatino Linotype"/>
        </w:rPr>
      </w:pPr>
      <w:r w:rsidRPr="00B4547B">
        <w:rPr>
          <w:rFonts w:ascii="Palatino Linotype" w:hAnsi="Palatino Linotype"/>
        </w:rPr>
        <w:lastRenderedPageBreak/>
        <w:t xml:space="preserve">Documenten las acciones de la sección de informática para cambiarlo y cuánto costó el que usa. </w:t>
      </w:r>
    </w:p>
    <w:p w14:paraId="454391B2" w14:textId="54721C35" w:rsidR="00B4547B" w:rsidRPr="001B422A" w:rsidRDefault="00B4547B" w:rsidP="00B4547B">
      <w:pPr>
        <w:pStyle w:val="Prrafodelista"/>
        <w:numPr>
          <w:ilvl w:val="0"/>
          <w:numId w:val="21"/>
        </w:numPr>
        <w:tabs>
          <w:tab w:val="left" w:pos="709"/>
        </w:tabs>
        <w:spacing w:before="240" w:line="360" w:lineRule="auto"/>
        <w:ind w:right="51"/>
        <w:jc w:val="both"/>
        <w:rPr>
          <w:rFonts w:ascii="Palatino Linotype" w:hAnsi="Palatino Linotype"/>
        </w:rPr>
      </w:pPr>
      <w:r w:rsidRPr="001B422A">
        <w:rPr>
          <w:rFonts w:ascii="Palatino Linotype" w:hAnsi="Palatino Linotype"/>
        </w:rPr>
        <w:t>Documente las entrevistas o reuniones que ha tenido con legisladores del Edomex por su falta total de Inst</w:t>
      </w:r>
      <w:r w:rsidR="006422F1" w:rsidRPr="001B422A">
        <w:rPr>
          <w:rFonts w:ascii="Palatino Linotype" w:hAnsi="Palatino Linotype"/>
        </w:rPr>
        <w:t xml:space="preserve">itucionalidad para con el Inai, del periodo comprendido del dieciséis de febrero de dos mil veinte al dieciséis de febrero de dos mil veintiuno. </w:t>
      </w:r>
    </w:p>
    <w:p w14:paraId="63D3D66F" w14:textId="77777777" w:rsidR="001B4774" w:rsidRDefault="00B4547B" w:rsidP="00B4547B">
      <w:pPr>
        <w:pStyle w:val="Prrafodelista"/>
        <w:numPr>
          <w:ilvl w:val="0"/>
          <w:numId w:val="21"/>
        </w:numPr>
        <w:tabs>
          <w:tab w:val="left" w:pos="709"/>
        </w:tabs>
        <w:spacing w:before="240" w:line="360" w:lineRule="auto"/>
        <w:ind w:right="51"/>
        <w:jc w:val="both"/>
        <w:rPr>
          <w:rFonts w:ascii="Palatino Linotype" w:hAnsi="Palatino Linotype"/>
        </w:rPr>
      </w:pPr>
      <w:r w:rsidRPr="00B4547B">
        <w:rPr>
          <w:rFonts w:ascii="Palatino Linotype" w:hAnsi="Palatino Linotype"/>
        </w:rPr>
        <w:t xml:space="preserve">¿Dónde se le autoriza al señor Luna a protestar cuando vota una resolución que el Inai le corrige? </w:t>
      </w:r>
    </w:p>
    <w:p w14:paraId="45798F51" w14:textId="77777777" w:rsidR="001B4774" w:rsidRDefault="00B4547B" w:rsidP="00B4547B">
      <w:pPr>
        <w:pStyle w:val="Prrafodelista"/>
        <w:numPr>
          <w:ilvl w:val="0"/>
          <w:numId w:val="21"/>
        </w:numPr>
        <w:tabs>
          <w:tab w:val="left" w:pos="709"/>
        </w:tabs>
        <w:spacing w:before="240" w:line="360" w:lineRule="auto"/>
        <w:ind w:right="51"/>
        <w:jc w:val="both"/>
        <w:rPr>
          <w:rFonts w:ascii="Palatino Linotype" w:hAnsi="Palatino Linotype"/>
        </w:rPr>
      </w:pPr>
      <w:r w:rsidRPr="00B4547B">
        <w:rPr>
          <w:rFonts w:ascii="Palatino Linotype" w:hAnsi="Palatino Linotype"/>
        </w:rPr>
        <w:t xml:space="preserve">Entendiendo que las autoridades, hasta donde yo sé, solo pueden hacer lo que les autoriza la ley. Ya que lo hizo público, documente su filiación religiosa, es decir, qué credo profesa y dónde. Nombre de su padre religioso y fe de bautismo y confirmación si la tiene. </w:t>
      </w:r>
    </w:p>
    <w:p w14:paraId="26863DD0" w14:textId="77777777" w:rsidR="001B4774" w:rsidRPr="00EC7A5E" w:rsidRDefault="00B4547B" w:rsidP="00B4547B">
      <w:pPr>
        <w:pStyle w:val="Prrafodelista"/>
        <w:numPr>
          <w:ilvl w:val="0"/>
          <w:numId w:val="21"/>
        </w:numPr>
        <w:tabs>
          <w:tab w:val="left" w:pos="709"/>
        </w:tabs>
        <w:spacing w:before="240" w:line="360" w:lineRule="auto"/>
        <w:ind w:right="51"/>
        <w:jc w:val="both"/>
        <w:rPr>
          <w:rFonts w:ascii="Palatino Linotype" w:hAnsi="Palatino Linotype"/>
        </w:rPr>
      </w:pPr>
      <w:r w:rsidRPr="00EC7A5E">
        <w:rPr>
          <w:rFonts w:ascii="Palatino Linotype" w:hAnsi="Palatino Linotype"/>
        </w:rPr>
        <w:t xml:space="preserve">Relación de viáticos para este y dos años atrás. </w:t>
      </w:r>
    </w:p>
    <w:p w14:paraId="5FBFDD2B" w14:textId="28E9774E" w:rsidR="001B4774" w:rsidRPr="00EC7A5E" w:rsidRDefault="00B4547B" w:rsidP="00B4547B">
      <w:pPr>
        <w:pStyle w:val="Prrafodelista"/>
        <w:numPr>
          <w:ilvl w:val="0"/>
          <w:numId w:val="21"/>
        </w:numPr>
        <w:tabs>
          <w:tab w:val="left" w:pos="709"/>
        </w:tabs>
        <w:spacing w:before="240" w:line="360" w:lineRule="auto"/>
        <w:ind w:right="51"/>
        <w:jc w:val="both"/>
        <w:rPr>
          <w:rFonts w:ascii="Palatino Linotype" w:hAnsi="Palatino Linotype"/>
        </w:rPr>
      </w:pPr>
      <w:r w:rsidRPr="00EC7A5E">
        <w:rPr>
          <w:rFonts w:ascii="Palatino Linotype" w:hAnsi="Palatino Linotype"/>
        </w:rPr>
        <w:t xml:space="preserve">Reportes de ISR reportados a hacienda por el </w:t>
      </w:r>
      <w:r w:rsidR="006422F1" w:rsidRPr="00EC7A5E">
        <w:rPr>
          <w:rFonts w:ascii="Palatino Linotype" w:hAnsi="Palatino Linotype"/>
        </w:rPr>
        <w:t xml:space="preserve">pago del salario al señor Luna, del periodo comprendido del dieciséis de febrero de dos mil veinte al dieciséis de febrero de dos mil veintiuno. </w:t>
      </w:r>
    </w:p>
    <w:p w14:paraId="0546E216" w14:textId="77777777" w:rsidR="001B4774" w:rsidRDefault="00B4547B" w:rsidP="00B4547B">
      <w:pPr>
        <w:pStyle w:val="Prrafodelista"/>
        <w:numPr>
          <w:ilvl w:val="0"/>
          <w:numId w:val="21"/>
        </w:numPr>
        <w:tabs>
          <w:tab w:val="left" w:pos="709"/>
        </w:tabs>
        <w:spacing w:before="240" w:line="360" w:lineRule="auto"/>
        <w:ind w:right="51"/>
        <w:jc w:val="both"/>
        <w:rPr>
          <w:rFonts w:ascii="Palatino Linotype" w:hAnsi="Palatino Linotype"/>
        </w:rPr>
      </w:pPr>
      <w:r w:rsidRPr="00B4547B">
        <w:rPr>
          <w:rFonts w:ascii="Palatino Linotype" w:hAnsi="Palatino Linotype"/>
        </w:rPr>
        <w:t xml:space="preserve">¿Dios ha escuchado su suplica para que la Comisionada Josefina no sea Juez Penal nunca? </w:t>
      </w:r>
    </w:p>
    <w:p w14:paraId="66FC45C1" w14:textId="77777777" w:rsidR="001B4774" w:rsidRDefault="00B4547B" w:rsidP="00B4547B">
      <w:pPr>
        <w:pStyle w:val="Prrafodelista"/>
        <w:numPr>
          <w:ilvl w:val="0"/>
          <w:numId w:val="21"/>
        </w:numPr>
        <w:tabs>
          <w:tab w:val="left" w:pos="709"/>
        </w:tabs>
        <w:spacing w:before="240" w:line="360" w:lineRule="auto"/>
        <w:ind w:right="51"/>
        <w:jc w:val="both"/>
        <w:rPr>
          <w:rFonts w:ascii="Palatino Linotype" w:hAnsi="Palatino Linotype"/>
        </w:rPr>
      </w:pPr>
      <w:r w:rsidRPr="00B4547B">
        <w:rPr>
          <w:rFonts w:ascii="Palatino Linotype" w:hAnsi="Palatino Linotype"/>
        </w:rPr>
        <w:t xml:space="preserve">Documente los cursos que Luna ha tomado en materia de derechos humanos, argumentación jurídica y criterios emitidos por la CIDH y la Corte en la misma materia </w:t>
      </w:r>
    </w:p>
    <w:p w14:paraId="0BA901B0" w14:textId="770CF90B" w:rsidR="000A0438" w:rsidRDefault="00B4547B" w:rsidP="00B4547B">
      <w:pPr>
        <w:pStyle w:val="Prrafodelista"/>
        <w:numPr>
          <w:ilvl w:val="0"/>
          <w:numId w:val="21"/>
        </w:numPr>
        <w:tabs>
          <w:tab w:val="left" w:pos="709"/>
        </w:tabs>
        <w:spacing w:before="240" w:line="360" w:lineRule="auto"/>
        <w:ind w:right="51"/>
        <w:jc w:val="both"/>
        <w:rPr>
          <w:rFonts w:ascii="Palatino Linotype" w:hAnsi="Palatino Linotype"/>
        </w:rPr>
      </w:pPr>
      <w:r w:rsidRPr="00B4547B">
        <w:rPr>
          <w:rFonts w:ascii="Palatino Linotype" w:hAnsi="Palatino Linotype"/>
        </w:rPr>
        <w:lastRenderedPageBreak/>
        <w:t>¿Cuántos criterios conoce al respecto y cuáles ha aplicado en sus resoluciones? Bueno, agradezco las atenciones que den al presente y ojalá no apliquen el principio de legalidad y aplicación a la letra de la Ley como les enseñaron en su escuelita de derecho hace 40 años y sigan los principios de la Corte Interamericana de Derechos Humanos y otras autoridades afines.</w:t>
      </w:r>
    </w:p>
    <w:p w14:paraId="5675611B" w14:textId="77777777" w:rsidR="00B4547B" w:rsidRDefault="00B4547B" w:rsidP="00B4547B">
      <w:pPr>
        <w:tabs>
          <w:tab w:val="left" w:pos="709"/>
        </w:tabs>
        <w:spacing w:before="240" w:line="360" w:lineRule="auto"/>
        <w:ind w:right="51"/>
        <w:jc w:val="both"/>
        <w:rPr>
          <w:rFonts w:ascii="Palatino Linotype" w:hAnsi="Palatino Linotype"/>
        </w:rPr>
      </w:pPr>
    </w:p>
    <w:p w14:paraId="098B7196" w14:textId="77777777" w:rsidR="00BC0343" w:rsidRPr="00003567" w:rsidRDefault="00BC0343" w:rsidP="00BC0343">
      <w:pPr>
        <w:spacing w:before="240" w:after="240" w:line="360" w:lineRule="auto"/>
        <w:jc w:val="both"/>
        <w:rPr>
          <w:rFonts w:ascii="Palatino Linotype" w:hAnsi="Palatino Linotype" w:cs="Arial"/>
          <w:sz w:val="24"/>
          <w:szCs w:val="24"/>
        </w:rPr>
      </w:pPr>
      <w:r w:rsidRPr="00003567">
        <w:rPr>
          <w:rFonts w:ascii="Palatino Linotype" w:hAnsi="Palatino Linotype" w:cs="Arial"/>
          <w:sz w:val="24"/>
          <w:szCs w:val="24"/>
        </w:rPr>
        <w:t>En esta tesitura,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45912AB5" w14:textId="77777777" w:rsidR="00BC0343" w:rsidRDefault="00BC0343" w:rsidP="00BC0343">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Bajo estas líneas argumentativas, como se mencionó en el antecedente segundo, </w:t>
      </w:r>
      <w:r>
        <w:rPr>
          <w:rFonts w:ascii="Palatino Linotype" w:hAnsi="Palatino Linotype"/>
          <w:b/>
          <w:sz w:val="24"/>
          <w:szCs w:val="24"/>
        </w:rPr>
        <w:t xml:space="preserve">El Sujeto Obligado </w:t>
      </w:r>
      <w:r>
        <w:rPr>
          <w:rFonts w:ascii="Palatino Linotype" w:hAnsi="Palatino Linotype"/>
          <w:sz w:val="24"/>
          <w:szCs w:val="24"/>
        </w:rPr>
        <w:t xml:space="preserve">rindió su respuesta a la solicitud de información formulada por </w:t>
      </w:r>
      <w:r>
        <w:rPr>
          <w:rFonts w:ascii="Palatino Linotype" w:hAnsi="Palatino Linotype"/>
          <w:b/>
          <w:sz w:val="24"/>
          <w:szCs w:val="24"/>
        </w:rPr>
        <w:t xml:space="preserve">El Recurrente, </w:t>
      </w:r>
      <w:r>
        <w:rPr>
          <w:rFonts w:ascii="Palatino Linotype" w:hAnsi="Palatino Linotype"/>
          <w:sz w:val="24"/>
          <w:szCs w:val="24"/>
        </w:rPr>
        <w:t xml:space="preserve">adicionalmente adjuntó la siguiente documentación: </w:t>
      </w:r>
    </w:p>
    <w:p w14:paraId="2ED8F005" w14:textId="50E3D9A1" w:rsidR="00BC0343" w:rsidRPr="00BC0343" w:rsidRDefault="00BC0343" w:rsidP="00BC0343">
      <w:pPr>
        <w:pStyle w:val="Prrafodelista"/>
        <w:numPr>
          <w:ilvl w:val="0"/>
          <w:numId w:val="25"/>
        </w:numPr>
        <w:tabs>
          <w:tab w:val="left" w:pos="709"/>
        </w:tabs>
        <w:spacing w:before="240" w:line="360" w:lineRule="auto"/>
        <w:ind w:right="51"/>
        <w:jc w:val="both"/>
        <w:rPr>
          <w:rFonts w:ascii="Palatino Linotype" w:hAnsi="Palatino Linotype"/>
          <w:b/>
        </w:rPr>
      </w:pPr>
      <w:r>
        <w:rPr>
          <w:rFonts w:ascii="Palatino Linotype" w:hAnsi="Palatino Linotype"/>
          <w:b/>
        </w:rPr>
        <w:t xml:space="preserve">“70 RESPUESTA OSO.pdf”: </w:t>
      </w:r>
      <w:r>
        <w:rPr>
          <w:rFonts w:ascii="Palatino Linotype" w:hAnsi="Palatino Linotype"/>
        </w:rPr>
        <w:t xml:space="preserve">Oficio </w:t>
      </w:r>
      <w:r>
        <w:rPr>
          <w:rFonts w:ascii="Palatino Linotype" w:hAnsi="Palatino Linotype"/>
          <w:b/>
        </w:rPr>
        <w:t xml:space="preserve">UIPL/0198/2021 </w:t>
      </w:r>
      <w:r>
        <w:rPr>
          <w:rFonts w:ascii="Palatino Linotype" w:hAnsi="Palatino Linotype"/>
        </w:rPr>
        <w:t xml:space="preserve">signado por el Titular de la Unidad de Transparencia y dirigido al particular, en lo medular declina competencia a favor del Instituto de Transparencia, Acceso a la Información Pública y Protección de Datos Personales del Estado de México y Municipios, al estimar que la información requerida se encuentra en posesión del Órgano </w:t>
      </w:r>
      <w:r>
        <w:rPr>
          <w:rFonts w:ascii="Palatino Linotype" w:hAnsi="Palatino Linotype"/>
        </w:rPr>
        <w:lastRenderedPageBreak/>
        <w:t>Garante local</w:t>
      </w:r>
      <w:r w:rsidR="00237625">
        <w:rPr>
          <w:rFonts w:ascii="Palatino Linotype" w:hAnsi="Palatino Linotype"/>
        </w:rPr>
        <w:t>, asimismo en términos del numeral 12 de la Ley de Transparencia local puntualiza que los sujetos obligados no se encuentran constreñidos a procesar, generar o calcular información o practicar investigaciones;</w:t>
      </w:r>
      <w:r>
        <w:rPr>
          <w:rFonts w:ascii="Palatino Linotype" w:hAnsi="Palatino Linotype"/>
        </w:rPr>
        <w:t xml:space="preserve"> de fecha dieciocho de febrero de dos mil veintiuno. </w:t>
      </w:r>
    </w:p>
    <w:p w14:paraId="40EDF85D" w14:textId="77777777" w:rsidR="00BC0343" w:rsidRDefault="00BC0343" w:rsidP="00BC0343">
      <w:pPr>
        <w:tabs>
          <w:tab w:val="left" w:pos="709"/>
        </w:tabs>
        <w:spacing w:before="240" w:line="360" w:lineRule="auto"/>
        <w:ind w:right="51"/>
        <w:jc w:val="both"/>
        <w:rPr>
          <w:rFonts w:ascii="Palatino Linotype" w:hAnsi="Palatino Linotype"/>
        </w:rPr>
      </w:pPr>
    </w:p>
    <w:p w14:paraId="523ED94C" w14:textId="28B837C8" w:rsidR="00BC0343" w:rsidRDefault="00BC0343" w:rsidP="00BC0343">
      <w:pPr>
        <w:tabs>
          <w:tab w:val="left" w:pos="709"/>
        </w:tabs>
        <w:spacing w:before="240" w:line="360" w:lineRule="auto"/>
        <w:ind w:right="51"/>
        <w:jc w:val="both"/>
        <w:rPr>
          <w:rFonts w:ascii="Palatino Linotype" w:hAnsi="Palatino Linotype"/>
          <w:sz w:val="24"/>
          <w:szCs w:val="24"/>
        </w:rPr>
      </w:pPr>
      <w:r w:rsidRPr="00BC0343">
        <w:rPr>
          <w:rFonts w:ascii="Palatino Linotype" w:hAnsi="Palatino Linotype"/>
          <w:sz w:val="24"/>
          <w:szCs w:val="24"/>
        </w:rPr>
        <w:t xml:space="preserve">Inconforme con la respuesta del  </w:t>
      </w:r>
      <w:r>
        <w:rPr>
          <w:rFonts w:ascii="Palatino Linotype" w:hAnsi="Palatino Linotype"/>
          <w:b/>
          <w:sz w:val="24"/>
          <w:szCs w:val="24"/>
        </w:rPr>
        <w:t xml:space="preserve">Sujeto Obligado, El Recurrente </w:t>
      </w:r>
      <w:r>
        <w:rPr>
          <w:rFonts w:ascii="Palatino Linotype" w:hAnsi="Palatino Linotype"/>
          <w:sz w:val="24"/>
          <w:szCs w:val="24"/>
        </w:rPr>
        <w:t xml:space="preserve">interpuso recurso de revisión en fecha dieciocho de febrero, admitiéndose el veinticuatro de febrero, ambos de dos mil veintiuno, señalando como razones o motivos de inconformidad: </w:t>
      </w:r>
    </w:p>
    <w:p w14:paraId="2A2C05B6" w14:textId="77777777" w:rsidR="00BC0343" w:rsidRDefault="00BC0343" w:rsidP="00BC0343">
      <w:pPr>
        <w:pStyle w:val="INFOEM"/>
        <w:rPr>
          <w:b/>
        </w:rPr>
      </w:pPr>
      <w:r w:rsidRPr="006D2889">
        <w:t>“Que responda la parte de la soli que le toca. Ojalá le confirmen para ir al Inai. :)” [</w:t>
      </w:r>
      <w:r w:rsidRPr="007C7E1F">
        <w:rPr>
          <w:b/>
        </w:rPr>
        <w:t>Sic]</w:t>
      </w:r>
    </w:p>
    <w:p w14:paraId="6C1B9C13" w14:textId="77777777" w:rsidR="005335F0" w:rsidRPr="007C7E1F" w:rsidRDefault="005335F0" w:rsidP="00BC0343">
      <w:pPr>
        <w:pStyle w:val="INFOEM"/>
      </w:pPr>
    </w:p>
    <w:p w14:paraId="75E3DEBF" w14:textId="783951BE" w:rsidR="00BC0343" w:rsidRDefault="00BC0343" w:rsidP="00BC0343">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Por otra parte, mediante el informe justificado rendido por </w:t>
      </w:r>
      <w:r>
        <w:rPr>
          <w:rFonts w:ascii="Palatino Linotype" w:hAnsi="Palatino Linotype"/>
          <w:b/>
          <w:sz w:val="24"/>
          <w:szCs w:val="24"/>
        </w:rPr>
        <w:t xml:space="preserve">El Sujeto Obligado, </w:t>
      </w:r>
      <w:r>
        <w:rPr>
          <w:rFonts w:ascii="Palatino Linotype" w:hAnsi="Palatino Linotype"/>
          <w:sz w:val="24"/>
          <w:szCs w:val="24"/>
        </w:rPr>
        <w:t>esta ponencia resolutora se allegó de la siguiente información:</w:t>
      </w:r>
    </w:p>
    <w:p w14:paraId="4A01DDE9" w14:textId="60A8EAAB" w:rsidR="00BC0343" w:rsidRPr="00BC0343" w:rsidRDefault="00BC0343" w:rsidP="00BC0343">
      <w:pPr>
        <w:pStyle w:val="Prrafodelista"/>
        <w:numPr>
          <w:ilvl w:val="0"/>
          <w:numId w:val="26"/>
        </w:numPr>
        <w:tabs>
          <w:tab w:val="left" w:pos="709"/>
        </w:tabs>
        <w:spacing w:before="240" w:line="360" w:lineRule="auto"/>
        <w:ind w:right="51"/>
        <w:jc w:val="both"/>
        <w:rPr>
          <w:rFonts w:ascii="Palatino Linotype" w:hAnsi="Palatino Linotype"/>
          <w:b/>
        </w:rPr>
      </w:pPr>
      <w:r>
        <w:rPr>
          <w:rFonts w:ascii="Palatino Linotype" w:hAnsi="Palatino Linotype"/>
          <w:b/>
        </w:rPr>
        <w:t>“</w:t>
      </w:r>
      <w:r w:rsidR="000526CD">
        <w:rPr>
          <w:rFonts w:ascii="Palatino Linotype" w:hAnsi="Palatino Linotype"/>
          <w:b/>
        </w:rPr>
        <w:t xml:space="preserve">RR. 00480-2021 Informe justificado.pdf”: </w:t>
      </w:r>
      <w:r w:rsidR="000526CD">
        <w:rPr>
          <w:rFonts w:ascii="Palatino Linotype" w:hAnsi="Palatino Linotype"/>
        </w:rPr>
        <w:t xml:space="preserve">Oficio </w:t>
      </w:r>
      <w:r w:rsidR="000526CD">
        <w:rPr>
          <w:rFonts w:ascii="Palatino Linotype" w:hAnsi="Palatino Linotype"/>
          <w:b/>
        </w:rPr>
        <w:t xml:space="preserve">UIPL/0320/2021 </w:t>
      </w:r>
      <w:r w:rsidR="000526CD">
        <w:rPr>
          <w:rFonts w:ascii="Palatino Linotype" w:hAnsi="Palatino Linotype"/>
        </w:rPr>
        <w:t xml:space="preserve">signado por el Titular de la Unidad de Información y dirigido a la Comisionada Ponente, de una interpretación gramatical a la solicitud de información </w:t>
      </w:r>
      <w:r w:rsidR="000526CD">
        <w:rPr>
          <w:rFonts w:ascii="Palatino Linotype" w:hAnsi="Palatino Linotype"/>
          <w:b/>
        </w:rPr>
        <w:t xml:space="preserve">00070/PLEGISLA/IP/2021 </w:t>
      </w:r>
      <w:r w:rsidR="000526CD">
        <w:rPr>
          <w:rFonts w:ascii="Palatino Linotype" w:hAnsi="Palatino Linotype"/>
        </w:rPr>
        <w:t xml:space="preserve">arriba a la conclusión de que se nutre de interrogantes o suposiciones dirigidas al servidor público </w:t>
      </w:r>
      <w:r w:rsidR="000526CD">
        <w:rPr>
          <w:rFonts w:ascii="Palatino Linotype" w:hAnsi="Palatino Linotype"/>
          <w:b/>
        </w:rPr>
        <w:t xml:space="preserve">C. José Guadalupe Luna Hernández, actual comisionado del Órgano Garante local, </w:t>
      </w:r>
      <w:r w:rsidR="000526CD">
        <w:rPr>
          <w:rFonts w:ascii="Palatino Linotype" w:hAnsi="Palatino Linotype"/>
        </w:rPr>
        <w:t xml:space="preserve">luego entonces ratifica la respuesta primigenia; de fecha ocho de marzo de dos mil veintiuno.  </w:t>
      </w:r>
    </w:p>
    <w:p w14:paraId="5B9786EF" w14:textId="596F7A40" w:rsidR="007E34C9" w:rsidRDefault="000526CD" w:rsidP="00237625">
      <w:pPr>
        <w:tabs>
          <w:tab w:val="left" w:pos="709"/>
        </w:tabs>
        <w:spacing w:before="240" w:line="360" w:lineRule="auto"/>
        <w:ind w:right="51"/>
        <w:jc w:val="both"/>
        <w:rPr>
          <w:rFonts w:ascii="Palatino Linotype" w:hAnsi="Palatino Linotype" w:cs="Arial"/>
          <w:sz w:val="24"/>
          <w:szCs w:val="24"/>
        </w:rPr>
      </w:pPr>
      <w:r>
        <w:rPr>
          <w:rFonts w:ascii="Palatino Linotype" w:hAnsi="Palatino Linotype"/>
          <w:sz w:val="24"/>
          <w:szCs w:val="24"/>
        </w:rPr>
        <w:lastRenderedPageBreak/>
        <w:t xml:space="preserve">Una vez sentado lo anterior, </w:t>
      </w:r>
      <w:r w:rsidR="008837A3">
        <w:rPr>
          <w:rFonts w:ascii="Palatino Linotype" w:hAnsi="Palatino Linotype"/>
          <w:sz w:val="24"/>
          <w:szCs w:val="24"/>
        </w:rPr>
        <w:t xml:space="preserve">en alusión a los requerimientos identificados con los numerales </w:t>
      </w:r>
      <w:r w:rsidR="00E96117" w:rsidRPr="00E96117">
        <w:rPr>
          <w:rFonts w:ascii="Palatino Linotype" w:hAnsi="Palatino Linotype"/>
          <w:b/>
          <w:sz w:val="24"/>
          <w:szCs w:val="24"/>
        </w:rPr>
        <w:t>1</w:t>
      </w:r>
      <w:r w:rsidR="00E96117">
        <w:rPr>
          <w:rFonts w:ascii="Palatino Linotype" w:hAnsi="Palatino Linotype"/>
          <w:b/>
          <w:sz w:val="24"/>
          <w:szCs w:val="24"/>
        </w:rPr>
        <w:t>,</w:t>
      </w:r>
      <w:r w:rsidR="00E96117" w:rsidRPr="00E96117">
        <w:rPr>
          <w:rFonts w:ascii="Palatino Linotype" w:hAnsi="Palatino Linotype"/>
          <w:b/>
          <w:sz w:val="24"/>
          <w:szCs w:val="24"/>
        </w:rPr>
        <w:t xml:space="preserve"> 2</w:t>
      </w:r>
      <w:r w:rsidR="00E96117">
        <w:rPr>
          <w:rFonts w:ascii="Palatino Linotype" w:hAnsi="Palatino Linotype"/>
          <w:b/>
          <w:sz w:val="24"/>
          <w:szCs w:val="24"/>
        </w:rPr>
        <w:t>,</w:t>
      </w:r>
      <w:r w:rsidR="00E96117" w:rsidRPr="00E96117">
        <w:rPr>
          <w:rFonts w:ascii="Palatino Linotype" w:hAnsi="Palatino Linotype"/>
          <w:b/>
          <w:sz w:val="24"/>
          <w:szCs w:val="24"/>
        </w:rPr>
        <w:t xml:space="preserve"> 3</w:t>
      </w:r>
      <w:r w:rsidR="00E96117">
        <w:rPr>
          <w:rFonts w:ascii="Palatino Linotype" w:hAnsi="Palatino Linotype"/>
          <w:b/>
          <w:sz w:val="24"/>
          <w:szCs w:val="24"/>
        </w:rPr>
        <w:t>,</w:t>
      </w:r>
      <w:r w:rsidR="00E96117" w:rsidRPr="00E96117">
        <w:rPr>
          <w:rFonts w:ascii="Palatino Linotype" w:hAnsi="Palatino Linotype"/>
          <w:b/>
          <w:sz w:val="24"/>
          <w:szCs w:val="24"/>
        </w:rPr>
        <w:t xml:space="preserve"> 4</w:t>
      </w:r>
      <w:r w:rsidR="00E96117">
        <w:rPr>
          <w:rFonts w:ascii="Palatino Linotype" w:hAnsi="Palatino Linotype"/>
          <w:b/>
          <w:sz w:val="24"/>
          <w:szCs w:val="24"/>
        </w:rPr>
        <w:t>,</w:t>
      </w:r>
      <w:r w:rsidR="00E96117" w:rsidRPr="00E96117">
        <w:rPr>
          <w:rFonts w:ascii="Palatino Linotype" w:hAnsi="Palatino Linotype"/>
          <w:b/>
          <w:sz w:val="24"/>
          <w:szCs w:val="24"/>
        </w:rPr>
        <w:t xml:space="preserve"> 5</w:t>
      </w:r>
      <w:r w:rsidR="00E96117">
        <w:rPr>
          <w:rFonts w:ascii="Palatino Linotype" w:hAnsi="Palatino Linotype"/>
          <w:b/>
          <w:sz w:val="24"/>
          <w:szCs w:val="24"/>
        </w:rPr>
        <w:t>,</w:t>
      </w:r>
      <w:r w:rsidR="00E96117" w:rsidRPr="00E96117">
        <w:rPr>
          <w:rFonts w:ascii="Palatino Linotype" w:hAnsi="Palatino Linotype"/>
          <w:b/>
          <w:sz w:val="24"/>
          <w:szCs w:val="24"/>
        </w:rPr>
        <w:t xml:space="preserve"> 6</w:t>
      </w:r>
      <w:r w:rsidR="00E96117">
        <w:rPr>
          <w:rFonts w:ascii="Palatino Linotype" w:hAnsi="Palatino Linotype"/>
          <w:b/>
          <w:sz w:val="24"/>
          <w:szCs w:val="24"/>
        </w:rPr>
        <w:t>,</w:t>
      </w:r>
      <w:r w:rsidR="00E96117" w:rsidRPr="00E96117">
        <w:rPr>
          <w:rFonts w:ascii="Palatino Linotype" w:hAnsi="Palatino Linotype"/>
          <w:b/>
          <w:sz w:val="24"/>
          <w:szCs w:val="24"/>
        </w:rPr>
        <w:t xml:space="preserve"> 8</w:t>
      </w:r>
      <w:r w:rsidR="00E96117">
        <w:rPr>
          <w:rFonts w:ascii="Palatino Linotype" w:hAnsi="Palatino Linotype"/>
          <w:b/>
          <w:sz w:val="24"/>
          <w:szCs w:val="24"/>
        </w:rPr>
        <w:t>,</w:t>
      </w:r>
      <w:r w:rsidR="00E96117" w:rsidRPr="00E96117">
        <w:rPr>
          <w:rFonts w:ascii="Palatino Linotype" w:hAnsi="Palatino Linotype"/>
          <w:b/>
          <w:sz w:val="24"/>
          <w:szCs w:val="24"/>
        </w:rPr>
        <w:t xml:space="preserve"> 11</w:t>
      </w:r>
      <w:r w:rsidR="00E96117">
        <w:rPr>
          <w:rFonts w:ascii="Palatino Linotype" w:hAnsi="Palatino Linotype"/>
          <w:b/>
          <w:sz w:val="24"/>
          <w:szCs w:val="24"/>
        </w:rPr>
        <w:t>,</w:t>
      </w:r>
      <w:r w:rsidR="00E96117" w:rsidRPr="00E96117">
        <w:rPr>
          <w:rFonts w:ascii="Palatino Linotype" w:hAnsi="Palatino Linotype"/>
          <w:b/>
          <w:sz w:val="24"/>
          <w:szCs w:val="24"/>
        </w:rPr>
        <w:t xml:space="preserve"> 15</w:t>
      </w:r>
      <w:r w:rsidR="00E96117">
        <w:rPr>
          <w:rFonts w:ascii="Palatino Linotype" w:hAnsi="Palatino Linotype"/>
          <w:b/>
          <w:sz w:val="24"/>
          <w:szCs w:val="24"/>
        </w:rPr>
        <w:t>,</w:t>
      </w:r>
      <w:r w:rsidR="00E96117" w:rsidRPr="00E96117">
        <w:rPr>
          <w:rFonts w:ascii="Palatino Linotype" w:hAnsi="Palatino Linotype"/>
          <w:b/>
          <w:sz w:val="24"/>
          <w:szCs w:val="24"/>
        </w:rPr>
        <w:t xml:space="preserve"> 18</w:t>
      </w:r>
      <w:r w:rsidR="00E96117">
        <w:rPr>
          <w:rFonts w:ascii="Palatino Linotype" w:hAnsi="Palatino Linotype"/>
          <w:b/>
          <w:sz w:val="24"/>
          <w:szCs w:val="24"/>
        </w:rPr>
        <w:t xml:space="preserve"> </w:t>
      </w:r>
      <w:r w:rsidR="00A631E4">
        <w:rPr>
          <w:rFonts w:ascii="Palatino Linotype" w:hAnsi="Palatino Linotype"/>
          <w:sz w:val="24"/>
          <w:szCs w:val="24"/>
        </w:rPr>
        <w:t xml:space="preserve">es preciso señalar que </w:t>
      </w:r>
      <w:r w:rsidR="007E34C9" w:rsidRPr="002B0E1B">
        <w:rPr>
          <w:rFonts w:ascii="Palatino Linotype" w:hAnsi="Palatino Linotype" w:cs="Arial"/>
          <w:sz w:val="24"/>
          <w:szCs w:val="24"/>
        </w:rPr>
        <w:t xml:space="preserve">no constituyen un derecho de acceso a la información pública. En sentido contrario, dichos requerimientos se encuentran vinculados directamente con el derecho de petición. </w:t>
      </w:r>
    </w:p>
    <w:p w14:paraId="5F206CAB" w14:textId="77777777" w:rsidR="007E34C9" w:rsidRPr="002B0E1B" w:rsidRDefault="007E34C9" w:rsidP="007E34C9">
      <w:pPr>
        <w:autoSpaceDE w:val="0"/>
        <w:autoSpaceDN w:val="0"/>
        <w:adjustRightInd w:val="0"/>
        <w:spacing w:line="360" w:lineRule="auto"/>
        <w:jc w:val="both"/>
        <w:rPr>
          <w:rFonts w:ascii="Palatino Linotype" w:hAnsi="Palatino Linotype" w:cs="Arial"/>
          <w:sz w:val="24"/>
          <w:szCs w:val="24"/>
        </w:rPr>
      </w:pPr>
      <w:r w:rsidRPr="002B0E1B">
        <w:rPr>
          <w:rFonts w:ascii="Palatino Linotype" w:hAnsi="Palatino Linotype" w:cs="Arial"/>
          <w:sz w:val="24"/>
          <w:szCs w:val="24"/>
        </w:rPr>
        <w:t xml:space="preserve">A mayor abundamiento, con el objetivo de trazar y delimitar las fronteras conceptuales entre ambos derechos se trae a colación el artículo 4 de la Ley de Transparencia y Acceso a la Información Pública del Estado de México y Municipios, porción normativa que dispone a la literalidad lo siguiente: </w:t>
      </w:r>
    </w:p>
    <w:p w14:paraId="79F5C0E5" w14:textId="77777777" w:rsidR="007E34C9" w:rsidRPr="001A2385" w:rsidRDefault="007E34C9" w:rsidP="007E34C9">
      <w:pPr>
        <w:autoSpaceDE w:val="0"/>
        <w:autoSpaceDN w:val="0"/>
        <w:adjustRightInd w:val="0"/>
        <w:spacing w:before="240" w:line="360" w:lineRule="auto"/>
        <w:ind w:left="851" w:right="851"/>
        <w:jc w:val="both"/>
        <w:rPr>
          <w:rFonts w:ascii="Palatino Linotype" w:hAnsi="Palatino Linotype"/>
          <w:i/>
        </w:rPr>
      </w:pPr>
      <w:r w:rsidRPr="001A2385">
        <w:rPr>
          <w:rFonts w:ascii="Palatino Linotype" w:hAnsi="Palatino Linotype"/>
          <w:i/>
        </w:rPr>
        <w:t xml:space="preserve">“Artículo 4. El derecho humano de acceso a la información pública es la prerrogativa de las personas para buscar, difundir, investigar, recabar, recibir y solicitar información pública, sin necesidad de acreditar personalidad ni interés jurídico. </w:t>
      </w:r>
    </w:p>
    <w:p w14:paraId="63F61D28" w14:textId="77777777" w:rsidR="007E34C9" w:rsidRPr="001A2385" w:rsidRDefault="007E34C9" w:rsidP="007E34C9">
      <w:pPr>
        <w:autoSpaceDE w:val="0"/>
        <w:autoSpaceDN w:val="0"/>
        <w:adjustRightInd w:val="0"/>
        <w:spacing w:before="240" w:line="360" w:lineRule="auto"/>
        <w:ind w:left="851" w:right="851"/>
        <w:jc w:val="both"/>
        <w:rPr>
          <w:rFonts w:ascii="Palatino Linotype" w:hAnsi="Palatino Linotype"/>
          <w:i/>
        </w:rPr>
      </w:pPr>
      <w:r w:rsidRPr="001A2385">
        <w:rPr>
          <w:rFonts w:ascii="Palatino Linotype" w:hAnsi="Palatino Linotype"/>
          <w:i/>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73C96D0E" w14:textId="77777777" w:rsidR="007E34C9" w:rsidRPr="001A2385" w:rsidRDefault="007E34C9" w:rsidP="007E34C9">
      <w:pPr>
        <w:autoSpaceDE w:val="0"/>
        <w:autoSpaceDN w:val="0"/>
        <w:adjustRightInd w:val="0"/>
        <w:spacing w:before="240" w:line="360" w:lineRule="auto"/>
        <w:ind w:left="851" w:right="851"/>
        <w:jc w:val="both"/>
        <w:rPr>
          <w:rFonts w:ascii="Palatino Linotype" w:hAnsi="Palatino Linotype" w:cs="Arial"/>
          <w:b/>
          <w:i/>
        </w:rPr>
      </w:pPr>
      <w:r w:rsidRPr="001A2385">
        <w:rPr>
          <w:rFonts w:ascii="Palatino Linotype" w:hAnsi="Palatino Linotype"/>
          <w:i/>
        </w:rPr>
        <w:t xml:space="preserve">Los sujetos obligados deben poner en práctica, políticas y programas de acceso a la información que se apeguen a criterios de publicidad, veracidad, oportunidad, precisión y suficiencia en beneficio de los solicitantes.” </w:t>
      </w:r>
      <w:r w:rsidRPr="001A2385">
        <w:rPr>
          <w:rFonts w:ascii="Palatino Linotype" w:hAnsi="Palatino Linotype"/>
          <w:b/>
          <w:i/>
        </w:rPr>
        <w:t>[Sic]</w:t>
      </w:r>
    </w:p>
    <w:p w14:paraId="1169B703" w14:textId="77777777" w:rsidR="007E34C9" w:rsidRDefault="007E34C9" w:rsidP="007E34C9">
      <w:pPr>
        <w:pStyle w:val="Prrafodelista"/>
        <w:widowControl w:val="0"/>
        <w:autoSpaceDE w:val="0"/>
        <w:autoSpaceDN w:val="0"/>
        <w:adjustRightInd w:val="0"/>
        <w:spacing w:before="240" w:after="160" w:line="360" w:lineRule="auto"/>
        <w:ind w:left="0" w:right="51"/>
        <w:jc w:val="both"/>
        <w:rPr>
          <w:rFonts w:ascii="Palatino Linotype" w:hAnsi="Palatino Linotype" w:cs="Arial"/>
        </w:rPr>
      </w:pPr>
    </w:p>
    <w:p w14:paraId="1F9EAA8F" w14:textId="77777777" w:rsidR="007E34C9" w:rsidRDefault="007E34C9" w:rsidP="007E34C9">
      <w:pPr>
        <w:pStyle w:val="Prrafodelista"/>
        <w:widowControl w:val="0"/>
        <w:autoSpaceDE w:val="0"/>
        <w:autoSpaceDN w:val="0"/>
        <w:adjustRightInd w:val="0"/>
        <w:spacing w:before="240" w:after="160" w:line="360" w:lineRule="auto"/>
        <w:ind w:left="0" w:right="51"/>
        <w:jc w:val="both"/>
        <w:rPr>
          <w:rFonts w:ascii="Palatino Linotype" w:hAnsi="Palatino Linotype" w:cs="Arial"/>
        </w:rPr>
      </w:pPr>
      <w:r>
        <w:rPr>
          <w:rFonts w:ascii="Palatino Linotype" w:hAnsi="Palatino Linotype" w:cs="Arial"/>
        </w:rPr>
        <w:lastRenderedPageBreak/>
        <w:t xml:space="preserve">En este orden de ideas, el derecho de acceso a la información pública se ejerce cuando la ciudadanía desea acceder a información generada, poseída o administrada por los sujetos obligados; causal de procedencia que en el caso en particular no se actualiza, en virtud de que la petición del particular pretende obligar a la autoridad responsable a que actúe o bien conteste lo solicitado. </w:t>
      </w:r>
    </w:p>
    <w:p w14:paraId="1E1D4E4E" w14:textId="035489EA" w:rsidR="00C54258" w:rsidRPr="00C54258" w:rsidRDefault="00237625" w:rsidP="007E34C9">
      <w:pPr>
        <w:pStyle w:val="Prrafodelista"/>
        <w:widowControl w:val="0"/>
        <w:autoSpaceDE w:val="0"/>
        <w:autoSpaceDN w:val="0"/>
        <w:adjustRightInd w:val="0"/>
        <w:spacing w:before="240" w:after="160" w:line="360" w:lineRule="auto"/>
        <w:ind w:left="0" w:right="51"/>
        <w:jc w:val="both"/>
        <w:rPr>
          <w:rFonts w:ascii="Palatino Linotype" w:hAnsi="Palatino Linotype" w:cs="Arial"/>
        </w:rPr>
      </w:pPr>
      <w:r>
        <w:rPr>
          <w:rFonts w:ascii="Palatino Linotype" w:hAnsi="Palatino Linotype"/>
        </w:rPr>
        <w:t>Por ello</w:t>
      </w:r>
      <w:r w:rsidR="007E34C9">
        <w:rPr>
          <w:rFonts w:ascii="Palatino Linotype" w:hAnsi="Palatino Linotype"/>
        </w:rPr>
        <w:t xml:space="preserve">, este Órgano Garante insiste en que los requerimientos identificados con los numerales </w:t>
      </w:r>
      <w:r w:rsidR="00E96117" w:rsidRPr="00E96117">
        <w:rPr>
          <w:rFonts w:ascii="Palatino Linotype" w:hAnsi="Palatino Linotype"/>
          <w:b/>
        </w:rPr>
        <w:t>1</w:t>
      </w:r>
      <w:r w:rsidR="00E96117">
        <w:rPr>
          <w:rFonts w:ascii="Palatino Linotype" w:hAnsi="Palatino Linotype"/>
          <w:b/>
        </w:rPr>
        <w:t>,</w:t>
      </w:r>
      <w:r w:rsidR="00E96117" w:rsidRPr="00E96117">
        <w:rPr>
          <w:rFonts w:ascii="Palatino Linotype" w:hAnsi="Palatino Linotype"/>
          <w:b/>
        </w:rPr>
        <w:t xml:space="preserve"> 2</w:t>
      </w:r>
      <w:r w:rsidR="00E96117">
        <w:rPr>
          <w:rFonts w:ascii="Palatino Linotype" w:hAnsi="Palatino Linotype"/>
          <w:b/>
        </w:rPr>
        <w:t>,</w:t>
      </w:r>
      <w:r w:rsidR="00E96117" w:rsidRPr="00E96117">
        <w:rPr>
          <w:rFonts w:ascii="Palatino Linotype" w:hAnsi="Palatino Linotype"/>
          <w:b/>
        </w:rPr>
        <w:t xml:space="preserve"> 3</w:t>
      </w:r>
      <w:r w:rsidR="00E96117">
        <w:rPr>
          <w:rFonts w:ascii="Palatino Linotype" w:hAnsi="Palatino Linotype"/>
          <w:b/>
        </w:rPr>
        <w:t>,</w:t>
      </w:r>
      <w:r w:rsidR="00E96117" w:rsidRPr="00E96117">
        <w:rPr>
          <w:rFonts w:ascii="Palatino Linotype" w:hAnsi="Palatino Linotype"/>
          <w:b/>
        </w:rPr>
        <w:t xml:space="preserve"> 4</w:t>
      </w:r>
      <w:r w:rsidR="00E96117">
        <w:rPr>
          <w:rFonts w:ascii="Palatino Linotype" w:hAnsi="Palatino Linotype"/>
          <w:b/>
        </w:rPr>
        <w:t>,</w:t>
      </w:r>
      <w:r w:rsidR="00E96117" w:rsidRPr="00E96117">
        <w:rPr>
          <w:rFonts w:ascii="Palatino Linotype" w:hAnsi="Palatino Linotype"/>
          <w:b/>
        </w:rPr>
        <w:t xml:space="preserve"> 5</w:t>
      </w:r>
      <w:r w:rsidR="00E96117">
        <w:rPr>
          <w:rFonts w:ascii="Palatino Linotype" w:hAnsi="Palatino Linotype"/>
          <w:b/>
        </w:rPr>
        <w:t>,</w:t>
      </w:r>
      <w:r w:rsidR="00E96117" w:rsidRPr="00E96117">
        <w:rPr>
          <w:rFonts w:ascii="Palatino Linotype" w:hAnsi="Palatino Linotype"/>
          <w:b/>
        </w:rPr>
        <w:t xml:space="preserve"> 6</w:t>
      </w:r>
      <w:r w:rsidR="00E96117">
        <w:rPr>
          <w:rFonts w:ascii="Palatino Linotype" w:hAnsi="Palatino Linotype"/>
          <w:b/>
        </w:rPr>
        <w:t>,</w:t>
      </w:r>
      <w:r w:rsidR="00E96117" w:rsidRPr="00E96117">
        <w:rPr>
          <w:rFonts w:ascii="Palatino Linotype" w:hAnsi="Palatino Linotype"/>
          <w:b/>
        </w:rPr>
        <w:t xml:space="preserve"> 8</w:t>
      </w:r>
      <w:r w:rsidR="00E96117">
        <w:rPr>
          <w:rFonts w:ascii="Palatino Linotype" w:hAnsi="Palatino Linotype"/>
          <w:b/>
        </w:rPr>
        <w:t>,</w:t>
      </w:r>
      <w:r w:rsidR="00E96117" w:rsidRPr="00E96117">
        <w:rPr>
          <w:rFonts w:ascii="Palatino Linotype" w:hAnsi="Palatino Linotype"/>
          <w:b/>
        </w:rPr>
        <w:t xml:space="preserve"> 11</w:t>
      </w:r>
      <w:r w:rsidR="00E96117">
        <w:rPr>
          <w:rFonts w:ascii="Palatino Linotype" w:hAnsi="Palatino Linotype"/>
          <w:b/>
        </w:rPr>
        <w:t>,</w:t>
      </w:r>
      <w:r w:rsidR="00E96117" w:rsidRPr="00E96117">
        <w:rPr>
          <w:rFonts w:ascii="Palatino Linotype" w:hAnsi="Palatino Linotype"/>
          <w:b/>
        </w:rPr>
        <w:t xml:space="preserve"> 15</w:t>
      </w:r>
      <w:r w:rsidR="00E96117">
        <w:rPr>
          <w:rFonts w:ascii="Palatino Linotype" w:hAnsi="Palatino Linotype"/>
          <w:b/>
        </w:rPr>
        <w:t>,</w:t>
      </w:r>
      <w:r w:rsidR="00E96117" w:rsidRPr="00E96117">
        <w:rPr>
          <w:rFonts w:ascii="Palatino Linotype" w:hAnsi="Palatino Linotype"/>
          <w:b/>
        </w:rPr>
        <w:t xml:space="preserve"> 18</w:t>
      </w:r>
      <w:r w:rsidR="007E34C9">
        <w:rPr>
          <w:rFonts w:ascii="Palatino Linotype" w:hAnsi="Palatino Linotype"/>
          <w:b/>
        </w:rPr>
        <w:t xml:space="preserve">, </w:t>
      </w:r>
      <w:r w:rsidR="007E34C9">
        <w:rPr>
          <w:rFonts w:ascii="Palatino Linotype" w:hAnsi="Palatino Linotype"/>
        </w:rPr>
        <w:t xml:space="preserve">no constituyen un derecho de acceso a la información pública, </w:t>
      </w:r>
      <w:r w:rsidR="007E34C9">
        <w:rPr>
          <w:rFonts w:ascii="Palatino Linotype" w:hAnsi="Palatino Linotype" w:cs="Arial"/>
        </w:rPr>
        <w:t>por el contrario, su naturaleza encuadra dentro de las hipótesis normativas que constituyen un derecho de petición</w:t>
      </w:r>
      <w:r w:rsidR="00C54258">
        <w:rPr>
          <w:rFonts w:ascii="Palatino Linotype" w:hAnsi="Palatino Linotype" w:cs="Arial"/>
        </w:rPr>
        <w:t xml:space="preserve">. Asimismo, en alusión a los requerimientos identificados con los numerales </w:t>
      </w:r>
      <w:r w:rsidR="00E96117" w:rsidRPr="00E96117">
        <w:rPr>
          <w:rFonts w:ascii="Palatino Linotype" w:hAnsi="Palatino Linotype" w:cs="Arial"/>
          <w:b/>
        </w:rPr>
        <w:t>7,</w:t>
      </w:r>
      <w:r w:rsidR="00E96117">
        <w:rPr>
          <w:rFonts w:ascii="Palatino Linotype" w:hAnsi="Palatino Linotype" w:cs="Arial"/>
        </w:rPr>
        <w:t xml:space="preserve"> </w:t>
      </w:r>
      <w:r w:rsidR="00C54258">
        <w:rPr>
          <w:rFonts w:ascii="Palatino Linotype" w:hAnsi="Palatino Linotype" w:cs="Arial"/>
          <w:b/>
        </w:rPr>
        <w:t>1</w:t>
      </w:r>
      <w:r w:rsidR="00E96117">
        <w:rPr>
          <w:rFonts w:ascii="Palatino Linotype" w:hAnsi="Palatino Linotype" w:cs="Arial"/>
          <w:b/>
        </w:rPr>
        <w:t>0, 12, 14, 16, 17, 19 y 20</w:t>
      </w:r>
      <w:r w:rsidR="00C54258">
        <w:rPr>
          <w:rFonts w:ascii="Palatino Linotype" w:hAnsi="Palatino Linotype" w:cs="Arial"/>
          <w:b/>
        </w:rPr>
        <w:t xml:space="preserve"> </w:t>
      </w:r>
      <w:r w:rsidR="00C54258">
        <w:rPr>
          <w:rFonts w:ascii="Palatino Linotype" w:hAnsi="Palatino Linotype" w:cs="Arial"/>
        </w:rPr>
        <w:t xml:space="preserve">esta Ponencia Resolutora concuerda con </w:t>
      </w:r>
      <w:r w:rsidR="00C54258">
        <w:rPr>
          <w:rFonts w:ascii="Palatino Linotype" w:hAnsi="Palatino Linotype" w:cs="Arial"/>
          <w:b/>
        </w:rPr>
        <w:t xml:space="preserve">El Sujeto Obligado, </w:t>
      </w:r>
      <w:r w:rsidR="00C54258">
        <w:rPr>
          <w:rFonts w:ascii="Palatino Linotype" w:hAnsi="Palatino Linotype" w:cs="Arial"/>
        </w:rPr>
        <w:t xml:space="preserve">al tratarse de una notoria incompetencia. </w:t>
      </w:r>
    </w:p>
    <w:p w14:paraId="4140D9A5" w14:textId="50F7A2DE" w:rsidR="007E34C9" w:rsidRPr="00C54258" w:rsidRDefault="00C54258" w:rsidP="007E34C9">
      <w:pPr>
        <w:pStyle w:val="Prrafodelista"/>
        <w:widowControl w:val="0"/>
        <w:autoSpaceDE w:val="0"/>
        <w:autoSpaceDN w:val="0"/>
        <w:adjustRightInd w:val="0"/>
        <w:spacing w:before="240" w:after="160" w:line="360" w:lineRule="auto"/>
        <w:ind w:left="0" w:right="51"/>
        <w:jc w:val="both"/>
        <w:rPr>
          <w:rFonts w:ascii="Palatino Linotype" w:hAnsi="Palatino Linotype" w:cs="Arial"/>
          <w:b/>
        </w:rPr>
      </w:pPr>
      <w:r>
        <w:rPr>
          <w:rFonts w:ascii="Palatino Linotype" w:hAnsi="Palatino Linotype" w:cs="Arial"/>
        </w:rPr>
        <w:t>L</w:t>
      </w:r>
      <w:r w:rsidR="00237625">
        <w:rPr>
          <w:rFonts w:ascii="Palatino Linotype" w:hAnsi="Palatino Linotype" w:cs="Arial"/>
        </w:rPr>
        <w:t xml:space="preserve">uego entonces la respuesta e informe justificado rendidos por el particular contienen los elementos necesarios para </w:t>
      </w:r>
      <w:r>
        <w:rPr>
          <w:rFonts w:ascii="Palatino Linotype" w:hAnsi="Palatino Linotype" w:cs="Arial"/>
        </w:rPr>
        <w:t xml:space="preserve">colmar los requerimientos identificados con los numerales </w:t>
      </w:r>
      <w:r>
        <w:rPr>
          <w:rFonts w:ascii="Palatino Linotype" w:hAnsi="Palatino Linotype" w:cs="Arial"/>
          <w:b/>
        </w:rPr>
        <w:t xml:space="preserve">1 al 8, </w:t>
      </w:r>
      <w:r w:rsidR="00E96117">
        <w:rPr>
          <w:rFonts w:ascii="Palatino Linotype" w:hAnsi="Palatino Linotype" w:cs="Arial"/>
          <w:b/>
        </w:rPr>
        <w:t xml:space="preserve">10, 11, 12 y 14 al 20. </w:t>
      </w:r>
      <w:r>
        <w:rPr>
          <w:rFonts w:ascii="Palatino Linotype" w:hAnsi="Palatino Linotype" w:cs="Arial"/>
          <w:b/>
        </w:rPr>
        <w:t xml:space="preserve"> </w:t>
      </w:r>
    </w:p>
    <w:p w14:paraId="530CB2AB" w14:textId="6DB42ECA" w:rsidR="00237625" w:rsidRDefault="007E34C9" w:rsidP="000C06AD">
      <w:pPr>
        <w:spacing w:after="0" w:line="360" w:lineRule="auto"/>
        <w:jc w:val="both"/>
        <w:rPr>
          <w:rFonts w:ascii="Palatino Linotype" w:hAnsi="Palatino Linotype"/>
          <w:sz w:val="24"/>
          <w:szCs w:val="24"/>
        </w:rPr>
      </w:pPr>
      <w:r>
        <w:rPr>
          <w:rFonts w:ascii="Palatino Linotype" w:hAnsi="Palatino Linotype"/>
          <w:sz w:val="24"/>
          <w:szCs w:val="24"/>
        </w:rPr>
        <w:t xml:space="preserve">Ahora bien, en alusión al requerimiento identificado con el numeral </w:t>
      </w:r>
      <w:r w:rsidR="003B4E8A">
        <w:rPr>
          <w:rFonts w:ascii="Palatino Linotype" w:hAnsi="Palatino Linotype"/>
          <w:b/>
          <w:sz w:val="24"/>
          <w:szCs w:val="24"/>
        </w:rPr>
        <w:t xml:space="preserve">9 </w:t>
      </w:r>
      <w:r w:rsidR="003B4E8A">
        <w:rPr>
          <w:rFonts w:ascii="Palatino Linotype" w:hAnsi="Palatino Linotype"/>
          <w:sz w:val="24"/>
          <w:szCs w:val="24"/>
        </w:rPr>
        <w:t>–nueve- (grados académicos)</w:t>
      </w:r>
      <w:r w:rsidR="00237625">
        <w:rPr>
          <w:rFonts w:ascii="Palatino Linotype" w:hAnsi="Palatino Linotype"/>
          <w:sz w:val="24"/>
          <w:szCs w:val="24"/>
        </w:rPr>
        <w:t xml:space="preserve">, resultan de nuestro interés los artículos 30 y 31 de la Ley de Transparencia y Acceso a la Información Pública del Estado de México y Municipios, porciones normativas que disponen a la literalidad: </w:t>
      </w:r>
    </w:p>
    <w:p w14:paraId="2796683C" w14:textId="77777777" w:rsidR="00237625" w:rsidRPr="00237625" w:rsidRDefault="00237625" w:rsidP="00237625">
      <w:pPr>
        <w:pStyle w:val="INFOEM"/>
        <w:rPr>
          <w:b/>
          <w:u w:val="single"/>
        </w:rPr>
      </w:pPr>
      <w:r w:rsidRPr="00237625">
        <w:rPr>
          <w:b/>
          <w:u w:val="single"/>
        </w:rPr>
        <w:t xml:space="preserve">“Artículo 30. El Instituto se integra por cinco Comisionados. Para su nombramiento, la Legislatura, previa realización de una consulta a la sociedad, a propuesta de los grupos parlamentarios, con el voto de las dos </w:t>
      </w:r>
      <w:r w:rsidRPr="00237625">
        <w:rPr>
          <w:b/>
          <w:u w:val="single"/>
        </w:rPr>
        <w:lastRenderedPageBreak/>
        <w:t xml:space="preserve">terceras partes de los miembros presentes, nombrará a la Comisionada o Comisionado que deba cubrir la vacante. </w:t>
      </w:r>
    </w:p>
    <w:p w14:paraId="631E1897" w14:textId="77777777" w:rsidR="00237625" w:rsidRPr="00237625" w:rsidRDefault="00237625" w:rsidP="00237625">
      <w:pPr>
        <w:pStyle w:val="INFOEM"/>
        <w:rPr>
          <w:b/>
          <w:u w:val="single"/>
        </w:rPr>
      </w:pPr>
      <w:r w:rsidRPr="00237625">
        <w:rPr>
          <w:b/>
          <w:u w:val="single"/>
        </w:rPr>
        <w:t xml:space="preserve">La Legislatura procurará en su conformación privilegiar la experiencia en materia de acceso a la información pública y protección de datos personales, así como la equidad de género. La duración del cargo será de siete años y se realizará de manera escalonada para garantizar el principio de autonomía. </w:t>
      </w:r>
    </w:p>
    <w:p w14:paraId="2FF52C04" w14:textId="77777777" w:rsidR="00237625" w:rsidRDefault="00237625" w:rsidP="00237625">
      <w:pPr>
        <w:pStyle w:val="INFOEM"/>
      </w:pPr>
      <w:r>
        <w:t xml:space="preserve">El nombramiento podrá ser objetado por el Gobernador en un plazo de diez días hábiles. Si el Gobernador no objetara el nombramiento dentro de este plazo, ocupará el cargo la persona nombrada por la Legislatura. </w:t>
      </w:r>
    </w:p>
    <w:p w14:paraId="1DF966B5" w14:textId="6BA65AAF" w:rsidR="00237625" w:rsidRDefault="00237625" w:rsidP="00237625">
      <w:pPr>
        <w:pStyle w:val="INFOEM"/>
      </w:pPr>
      <w:r>
        <w:t xml:space="preserve">En caso de que el Gobernador objetara el nombramiento, la Legislatura hará un nuevo nombramiento, en los términos del párrafo anterior, pero con una votación de las tres quintas partes de los miembros presentes. Si este segundo nombramiento fuera objetado, la Legislatura, en los términos del párrafo anterior, con la votación de las tres quintas partes de los miembros presentes, designará a la Comisionada o Comisionado que ocupará la vacante. </w:t>
      </w:r>
    </w:p>
    <w:p w14:paraId="67F1E57B" w14:textId="77777777" w:rsidR="00237625" w:rsidRDefault="00237625" w:rsidP="00237625">
      <w:pPr>
        <w:pStyle w:val="INFOEM"/>
      </w:pPr>
      <w:r>
        <w:t xml:space="preserve">Artículo 31. Para ser Comisionado se requiere: </w:t>
      </w:r>
    </w:p>
    <w:p w14:paraId="2B39B82D" w14:textId="77777777" w:rsidR="00237625" w:rsidRDefault="00237625" w:rsidP="00237625">
      <w:pPr>
        <w:pStyle w:val="INFOEM"/>
      </w:pPr>
      <w:r>
        <w:t xml:space="preserve">I. Ser ciudadano del Estado, mexicano por nacimiento, en pleno ejercicio de sus derechos civiles y políticos y con vecindad efectiva de tres años; </w:t>
      </w:r>
    </w:p>
    <w:p w14:paraId="3EFDB6CF" w14:textId="77777777" w:rsidR="00237625" w:rsidRDefault="00237625" w:rsidP="00237625">
      <w:pPr>
        <w:pStyle w:val="INFOEM"/>
      </w:pPr>
      <w:r>
        <w:t xml:space="preserve">II. Tener más de 35 años de edad; </w:t>
      </w:r>
    </w:p>
    <w:p w14:paraId="0CD24CFD" w14:textId="77777777" w:rsidR="00237625" w:rsidRDefault="00237625" w:rsidP="00237625">
      <w:pPr>
        <w:pStyle w:val="INFOEM"/>
      </w:pPr>
      <w:r>
        <w:t xml:space="preserve">III. Gozar de buena reputación y no haber sido condenado por delito que amerite pena corporal de más de un año de prisión; pero si se tratara de robo, fraude, falsificación, abuso de confianza u otro que lastime seriamente la buena fama en el concepto público inhabilitará para el cargo, cualquiera que haya sido la pena; y </w:t>
      </w:r>
    </w:p>
    <w:p w14:paraId="498AD257" w14:textId="10662401" w:rsidR="00237625" w:rsidRDefault="00237625" w:rsidP="00237625">
      <w:pPr>
        <w:pStyle w:val="INFOEM"/>
        <w:rPr>
          <w:b/>
        </w:rPr>
      </w:pPr>
      <w:r>
        <w:lastRenderedPageBreak/>
        <w:t xml:space="preserve">IV. No ser Secretario del despacho, Procurador General de Justicia del Estado, Senador, Diputado federal o local, o Presidente Municipal, a menos que se separe de su puesto un año antes del día de su designación. Si no se hubieren aprobado las designaciones de quienes habrán de desempeñar el cargo de Comisionados, seguirán en vigor los nombramientos anteriores hasta en tanto la Legislatura del Estado apruebe la designación de los nuevos. En ningún caso se entenderá esto como ratificación del encargo.” </w:t>
      </w:r>
      <w:r>
        <w:rPr>
          <w:b/>
        </w:rPr>
        <w:t>[Sic]</w:t>
      </w:r>
    </w:p>
    <w:p w14:paraId="6101276B" w14:textId="77777777" w:rsidR="00237625" w:rsidRDefault="00237625" w:rsidP="00237625">
      <w:pPr>
        <w:pStyle w:val="INFOEM"/>
        <w:ind w:left="0"/>
        <w:rPr>
          <w:b/>
          <w:sz w:val="24"/>
          <w:szCs w:val="24"/>
        </w:rPr>
      </w:pPr>
    </w:p>
    <w:p w14:paraId="191E9492" w14:textId="707ED297" w:rsidR="00C54258" w:rsidRPr="00E96117" w:rsidRDefault="00C54258" w:rsidP="00C54258">
      <w:pPr>
        <w:pStyle w:val="INFOEM"/>
        <w:ind w:left="0" w:right="0"/>
        <w:rPr>
          <w:b/>
          <w:i w:val="0"/>
          <w:sz w:val="24"/>
          <w:szCs w:val="24"/>
          <w:u w:val="single"/>
        </w:rPr>
      </w:pPr>
      <w:r>
        <w:rPr>
          <w:i w:val="0"/>
          <w:sz w:val="24"/>
          <w:szCs w:val="24"/>
        </w:rPr>
        <w:t xml:space="preserve">De ahí que deba arribarse a la premisa de que el nombramiento de los Comisionados del Órgano Garante Local es una facultad reservada al </w:t>
      </w:r>
      <w:r>
        <w:rPr>
          <w:b/>
          <w:i w:val="0"/>
          <w:sz w:val="24"/>
          <w:szCs w:val="24"/>
        </w:rPr>
        <w:t xml:space="preserve">Sujeto Obligado. </w:t>
      </w:r>
      <w:r>
        <w:rPr>
          <w:i w:val="0"/>
          <w:sz w:val="24"/>
          <w:szCs w:val="24"/>
        </w:rPr>
        <w:t xml:space="preserve">A mayor abundamiento, para cubrir vacantes en el Órgano Garante local, </w:t>
      </w:r>
      <w:r>
        <w:rPr>
          <w:b/>
          <w:i w:val="0"/>
          <w:sz w:val="24"/>
          <w:szCs w:val="24"/>
        </w:rPr>
        <w:t xml:space="preserve">El Sujeto Obligado </w:t>
      </w:r>
      <w:r>
        <w:rPr>
          <w:i w:val="0"/>
          <w:sz w:val="24"/>
          <w:szCs w:val="24"/>
        </w:rPr>
        <w:t xml:space="preserve">deberá de privilegiar la experiencia en el derecho de acceso a la información pública, así como la protección de datos personales, luego entonces, los soportes documentales vinculados con el grado académico del servidor público referido en la solicitud de información, son susceptibles de obrar en los archivos del </w:t>
      </w:r>
      <w:r w:rsidR="00E96117">
        <w:rPr>
          <w:b/>
          <w:i w:val="0"/>
          <w:sz w:val="24"/>
          <w:szCs w:val="24"/>
        </w:rPr>
        <w:t xml:space="preserve">Sujeto Obligado, </w:t>
      </w:r>
      <w:r w:rsidR="00E96117" w:rsidRPr="00E96117">
        <w:rPr>
          <w:b/>
          <w:i w:val="0"/>
          <w:sz w:val="24"/>
          <w:szCs w:val="24"/>
          <w:u w:val="single"/>
        </w:rPr>
        <w:t xml:space="preserve">al haber sido sujetado a escrutinio público su perfil académico y laboral. </w:t>
      </w:r>
    </w:p>
    <w:p w14:paraId="045210B6" w14:textId="669447FB" w:rsidR="00237625" w:rsidRPr="00C54258" w:rsidRDefault="00C54258" w:rsidP="00C54258">
      <w:pPr>
        <w:pStyle w:val="INFOEM"/>
        <w:ind w:left="0" w:right="0"/>
        <w:rPr>
          <w:i w:val="0"/>
          <w:sz w:val="24"/>
          <w:szCs w:val="24"/>
        </w:rPr>
      </w:pPr>
      <w:r>
        <w:rPr>
          <w:i w:val="0"/>
          <w:sz w:val="24"/>
          <w:szCs w:val="24"/>
        </w:rPr>
        <w:t>Bajo este contexto, resulta procedente ordenar la entrega, en versión pública de ser procedente, del o los documentos en donde conste</w:t>
      </w:r>
      <w:r w:rsidR="00753FC3">
        <w:rPr>
          <w:i w:val="0"/>
          <w:sz w:val="24"/>
          <w:szCs w:val="24"/>
        </w:rPr>
        <w:t>n</w:t>
      </w:r>
      <w:r>
        <w:rPr>
          <w:i w:val="0"/>
          <w:sz w:val="24"/>
          <w:szCs w:val="24"/>
        </w:rPr>
        <w:t xml:space="preserve"> el o los grados académicos del servidor público referido en la solicitud de información, al dieciséis de febrero de dos mil veintiuno. </w:t>
      </w:r>
    </w:p>
    <w:p w14:paraId="0B38E347" w14:textId="37FE7231" w:rsidR="00E741AB" w:rsidRPr="00753FC3" w:rsidRDefault="00753FC3" w:rsidP="00753FC3">
      <w:pPr>
        <w:pStyle w:val="INFOEM"/>
        <w:ind w:left="0" w:right="0"/>
        <w:rPr>
          <w:i w:val="0"/>
          <w:sz w:val="24"/>
          <w:szCs w:val="24"/>
        </w:rPr>
      </w:pPr>
      <w:r w:rsidRPr="00753FC3">
        <w:rPr>
          <w:i w:val="0"/>
          <w:sz w:val="24"/>
          <w:szCs w:val="24"/>
        </w:rPr>
        <w:t xml:space="preserve">Ahora bien, por cuanto hace al requerimiento identificado con el numeral </w:t>
      </w:r>
      <w:r w:rsidR="003B4E8A" w:rsidRPr="00753FC3">
        <w:rPr>
          <w:b/>
          <w:i w:val="0"/>
          <w:sz w:val="24"/>
          <w:szCs w:val="24"/>
        </w:rPr>
        <w:t xml:space="preserve">13 –trece- </w:t>
      </w:r>
      <w:r w:rsidR="003B4E8A" w:rsidRPr="00753FC3">
        <w:rPr>
          <w:i w:val="0"/>
          <w:sz w:val="24"/>
          <w:szCs w:val="24"/>
        </w:rPr>
        <w:t>(reuniones con legisladores del Estado de México)</w:t>
      </w:r>
      <w:r w:rsidR="00E741AB" w:rsidRPr="00753FC3">
        <w:rPr>
          <w:i w:val="0"/>
          <w:sz w:val="24"/>
          <w:szCs w:val="24"/>
        </w:rPr>
        <w:t xml:space="preserve">, resulta oportuno traer a colación el </w:t>
      </w:r>
      <w:r w:rsidR="00E741AB" w:rsidRPr="00753FC3">
        <w:rPr>
          <w:i w:val="0"/>
          <w:sz w:val="24"/>
          <w:szCs w:val="24"/>
        </w:rPr>
        <w:lastRenderedPageBreak/>
        <w:t xml:space="preserve">organigrama del </w:t>
      </w:r>
      <w:r w:rsidR="00E741AB" w:rsidRPr="00753FC3">
        <w:rPr>
          <w:b/>
          <w:i w:val="0"/>
          <w:sz w:val="24"/>
          <w:szCs w:val="24"/>
        </w:rPr>
        <w:t xml:space="preserve">Sujeto Obligado, </w:t>
      </w:r>
      <w:r w:rsidR="00E741AB" w:rsidRPr="00753FC3">
        <w:rPr>
          <w:i w:val="0"/>
          <w:sz w:val="24"/>
          <w:szCs w:val="24"/>
        </w:rPr>
        <w:t xml:space="preserve">susceptible de ser consultado en la siguiente liga electrónica: </w:t>
      </w:r>
    </w:p>
    <w:p w14:paraId="5BBA79CD" w14:textId="6BD90967" w:rsidR="001404C7" w:rsidRPr="003B4E8A" w:rsidRDefault="00C06DDC" w:rsidP="000C06AD">
      <w:pPr>
        <w:spacing w:after="0" w:line="360" w:lineRule="auto"/>
        <w:jc w:val="both"/>
        <w:rPr>
          <w:rFonts w:ascii="Palatino Linotype" w:hAnsi="Palatino Linotype"/>
          <w:b/>
          <w:sz w:val="24"/>
          <w:szCs w:val="24"/>
        </w:rPr>
      </w:pPr>
      <w:hyperlink r:id="rId11" w:history="1">
        <w:r w:rsidR="00E741AB" w:rsidRPr="00857B03">
          <w:rPr>
            <w:rStyle w:val="Hipervnculo"/>
            <w:rFonts w:ascii="Palatino Linotype" w:hAnsi="Palatino Linotype"/>
            <w:sz w:val="24"/>
            <w:szCs w:val="24"/>
          </w:rPr>
          <w:t>https://www.ipomex.org.mx/ipo3/lgt/indice/CDDIPUTADOS/art_92_ii_b.web</w:t>
        </w:r>
      </w:hyperlink>
      <w:r w:rsidR="00E741AB">
        <w:rPr>
          <w:rFonts w:ascii="Palatino Linotype" w:hAnsi="Palatino Linotype"/>
          <w:sz w:val="24"/>
          <w:szCs w:val="24"/>
        </w:rPr>
        <w:t xml:space="preserve">  </w:t>
      </w:r>
      <w:r w:rsidR="003B4E8A">
        <w:rPr>
          <w:rFonts w:ascii="Palatino Linotype" w:hAnsi="Palatino Linotype"/>
          <w:b/>
          <w:sz w:val="24"/>
          <w:szCs w:val="24"/>
        </w:rPr>
        <w:t xml:space="preserve"> </w:t>
      </w:r>
    </w:p>
    <w:p w14:paraId="51702374" w14:textId="1AB4106A" w:rsidR="00753FC3" w:rsidRDefault="00753FC3" w:rsidP="000C06AD">
      <w:pPr>
        <w:spacing w:after="0" w:line="360" w:lineRule="auto"/>
        <w:jc w:val="both"/>
        <w:rPr>
          <w:rFonts w:ascii="Palatino Linotype" w:hAnsi="Palatino Linotype"/>
          <w:sz w:val="24"/>
          <w:szCs w:val="24"/>
        </w:rPr>
      </w:pPr>
    </w:p>
    <w:p w14:paraId="7CBC6526" w14:textId="38BF2A57" w:rsidR="007E34C9" w:rsidRDefault="00097EA3" w:rsidP="000C06AD">
      <w:pPr>
        <w:spacing w:after="0" w:line="360" w:lineRule="auto"/>
        <w:jc w:val="both"/>
        <w:rPr>
          <w:rFonts w:ascii="Palatino Linotype" w:hAnsi="Palatino Linotype"/>
          <w:sz w:val="24"/>
          <w:szCs w:val="24"/>
        </w:rPr>
      </w:pPr>
      <w:r>
        <w:rPr>
          <w:rFonts w:ascii="Palatino Linotype" w:hAnsi="Palatino Linotype"/>
          <w:noProof/>
          <w:sz w:val="24"/>
          <w:szCs w:val="24"/>
          <w:lang w:eastAsia="es-MX"/>
        </w:rPr>
        <w:drawing>
          <wp:anchor distT="0" distB="0" distL="114300" distR="114300" simplePos="0" relativeHeight="251683839" behindDoc="0" locked="0" layoutInCell="1" allowOverlap="1" wp14:anchorId="57872E2A" wp14:editId="27F94D25">
            <wp:simplePos x="0" y="0"/>
            <wp:positionH relativeFrom="column">
              <wp:posOffset>118745</wp:posOffset>
            </wp:positionH>
            <wp:positionV relativeFrom="paragraph">
              <wp:posOffset>482651</wp:posOffset>
            </wp:positionV>
            <wp:extent cx="5760720" cy="3300095"/>
            <wp:effectExtent l="19050" t="19050" r="11430" b="14605"/>
            <wp:wrapThrough wrapText="bothSides">
              <wp:wrapPolygon edited="0">
                <wp:start x="-71" y="-125"/>
                <wp:lineTo x="-71" y="21571"/>
                <wp:lineTo x="21571" y="21571"/>
                <wp:lineTo x="21571" y="-125"/>
                <wp:lineTo x="-71" y="-125"/>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3000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741AB">
        <w:rPr>
          <w:rFonts w:ascii="Palatino Linotype" w:hAnsi="Palatino Linotype"/>
          <w:sz w:val="24"/>
          <w:szCs w:val="24"/>
        </w:rPr>
        <w:t>Sirven de sustento las siguientes imágenes ilustrativas:</w:t>
      </w:r>
    </w:p>
    <w:p w14:paraId="6E7294EF" w14:textId="2DB94CAC" w:rsidR="00E741AB" w:rsidRDefault="00E741AB" w:rsidP="000C06AD">
      <w:pPr>
        <w:spacing w:after="0" w:line="360" w:lineRule="auto"/>
        <w:jc w:val="both"/>
        <w:rPr>
          <w:rFonts w:ascii="Palatino Linotype" w:hAnsi="Palatino Linotype"/>
          <w:sz w:val="24"/>
          <w:szCs w:val="24"/>
        </w:rPr>
      </w:pPr>
    </w:p>
    <w:p w14:paraId="3CC877E1" w14:textId="75470139" w:rsidR="00E741AB" w:rsidRDefault="00E741AB" w:rsidP="000C06AD">
      <w:pPr>
        <w:spacing w:after="0" w:line="360" w:lineRule="auto"/>
        <w:jc w:val="both"/>
        <w:rPr>
          <w:rFonts w:ascii="Palatino Linotype" w:hAnsi="Palatino Linotype"/>
          <w:sz w:val="24"/>
          <w:szCs w:val="24"/>
        </w:rPr>
      </w:pPr>
    </w:p>
    <w:p w14:paraId="71ABD1AB" w14:textId="18D35607" w:rsidR="00E741AB" w:rsidRDefault="00E741AB" w:rsidP="000C06AD">
      <w:pPr>
        <w:spacing w:after="0" w:line="360" w:lineRule="auto"/>
        <w:jc w:val="both"/>
        <w:rPr>
          <w:rFonts w:ascii="Palatino Linotype" w:hAnsi="Palatino Linotype"/>
          <w:sz w:val="24"/>
          <w:szCs w:val="24"/>
        </w:rPr>
      </w:pPr>
    </w:p>
    <w:p w14:paraId="679792A4" w14:textId="1CD963DD" w:rsidR="00E741AB" w:rsidRDefault="00E741AB" w:rsidP="000C06AD">
      <w:pPr>
        <w:spacing w:after="0" w:line="360" w:lineRule="auto"/>
        <w:jc w:val="both"/>
        <w:rPr>
          <w:rFonts w:ascii="Palatino Linotype" w:hAnsi="Palatino Linotype"/>
          <w:sz w:val="24"/>
          <w:szCs w:val="24"/>
        </w:rPr>
      </w:pPr>
    </w:p>
    <w:p w14:paraId="3CE191CB" w14:textId="0AA6B674" w:rsidR="00E741AB" w:rsidRDefault="00097EA3" w:rsidP="000C06AD">
      <w:pPr>
        <w:spacing w:after="0" w:line="360" w:lineRule="auto"/>
        <w:jc w:val="both"/>
        <w:rPr>
          <w:rFonts w:ascii="Palatino Linotype" w:hAnsi="Palatino Linotype"/>
          <w:sz w:val="24"/>
          <w:szCs w:val="24"/>
        </w:rPr>
      </w:pPr>
      <w:r>
        <w:rPr>
          <w:rFonts w:ascii="Palatino Linotype" w:hAnsi="Palatino Linotype"/>
          <w:noProof/>
          <w:sz w:val="24"/>
          <w:szCs w:val="24"/>
          <w:lang w:eastAsia="es-MX"/>
        </w:rPr>
        <w:drawing>
          <wp:anchor distT="0" distB="0" distL="114300" distR="114300" simplePos="0" relativeHeight="251700224" behindDoc="0" locked="0" layoutInCell="1" allowOverlap="1" wp14:anchorId="0F950DD6" wp14:editId="2E1E7487">
            <wp:simplePos x="0" y="0"/>
            <wp:positionH relativeFrom="column">
              <wp:posOffset>1868297</wp:posOffset>
            </wp:positionH>
            <wp:positionV relativeFrom="paragraph">
              <wp:posOffset>-1095552</wp:posOffset>
            </wp:positionV>
            <wp:extent cx="2117090" cy="2217420"/>
            <wp:effectExtent l="19050" t="19050" r="16510" b="11430"/>
            <wp:wrapThrough wrapText="bothSides">
              <wp:wrapPolygon edited="0">
                <wp:start x="-194" y="-186"/>
                <wp:lineTo x="-194" y="21526"/>
                <wp:lineTo x="21574" y="21526"/>
                <wp:lineTo x="21574" y="-186"/>
                <wp:lineTo x="-194" y="-186"/>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7090" cy="22174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4A2E805" w14:textId="21AD2665" w:rsidR="00E741AB" w:rsidRDefault="00E741AB" w:rsidP="000C06AD">
      <w:pPr>
        <w:spacing w:after="0" w:line="360" w:lineRule="auto"/>
        <w:jc w:val="both"/>
        <w:rPr>
          <w:rFonts w:ascii="Palatino Linotype" w:hAnsi="Palatino Linotype"/>
          <w:sz w:val="24"/>
          <w:szCs w:val="24"/>
        </w:rPr>
      </w:pPr>
    </w:p>
    <w:p w14:paraId="68ABE866" w14:textId="0891E6A6" w:rsidR="00E741AB" w:rsidRDefault="00E741AB" w:rsidP="000C06AD">
      <w:pPr>
        <w:spacing w:after="0" w:line="360" w:lineRule="auto"/>
        <w:jc w:val="both"/>
        <w:rPr>
          <w:rFonts w:ascii="Palatino Linotype" w:hAnsi="Palatino Linotype"/>
          <w:sz w:val="24"/>
          <w:szCs w:val="24"/>
        </w:rPr>
      </w:pPr>
    </w:p>
    <w:p w14:paraId="31874FDA" w14:textId="77777777" w:rsidR="009A31ED" w:rsidRDefault="009A31ED" w:rsidP="000C06AD">
      <w:pPr>
        <w:spacing w:after="0" w:line="360" w:lineRule="auto"/>
        <w:jc w:val="both"/>
      </w:pPr>
    </w:p>
    <w:p w14:paraId="30FA630E" w14:textId="283066ED" w:rsidR="009A31ED" w:rsidRPr="009A31ED" w:rsidRDefault="009A31ED" w:rsidP="000C06AD">
      <w:pPr>
        <w:spacing w:after="0" w:line="360" w:lineRule="auto"/>
        <w:jc w:val="both"/>
        <w:rPr>
          <w:rFonts w:ascii="Palatino Linotype" w:hAnsi="Palatino Linotype"/>
          <w:sz w:val="24"/>
          <w:szCs w:val="24"/>
        </w:rPr>
      </w:pPr>
      <w:r>
        <w:rPr>
          <w:rFonts w:ascii="Palatino Linotype" w:hAnsi="Palatino Linotype"/>
          <w:sz w:val="24"/>
          <w:szCs w:val="24"/>
        </w:rPr>
        <w:lastRenderedPageBreak/>
        <w:t xml:space="preserve">De lo expuesto con anterioridad se desprende que </w:t>
      </w:r>
      <w:r w:rsidR="00840EE6">
        <w:rPr>
          <w:rFonts w:ascii="Palatino Linotype" w:hAnsi="Palatino Linotype"/>
          <w:b/>
          <w:sz w:val="24"/>
          <w:szCs w:val="24"/>
        </w:rPr>
        <w:t>El</w:t>
      </w:r>
      <w:r>
        <w:rPr>
          <w:rFonts w:ascii="Palatino Linotype" w:hAnsi="Palatino Linotype"/>
          <w:b/>
          <w:sz w:val="24"/>
          <w:szCs w:val="24"/>
        </w:rPr>
        <w:t xml:space="preserve"> Sujeto Obligado </w:t>
      </w:r>
      <w:r>
        <w:rPr>
          <w:rFonts w:ascii="Palatino Linotype" w:hAnsi="Palatino Linotype"/>
          <w:sz w:val="24"/>
          <w:szCs w:val="24"/>
        </w:rPr>
        <w:t xml:space="preserve">se auxilia de diversas Dependencias Administrativas, Unidades Administrativas y Unidades Administrativas Desconcentradas para cumplir con sus fines y objetivos, resultando de nuestro interés la Junta de Coordinación </w:t>
      </w:r>
      <w:r w:rsidR="00753FC3">
        <w:rPr>
          <w:rFonts w:ascii="Palatino Linotype" w:hAnsi="Palatino Linotype"/>
          <w:sz w:val="24"/>
          <w:szCs w:val="24"/>
        </w:rPr>
        <w:t xml:space="preserve">Política. </w:t>
      </w:r>
      <w:r>
        <w:rPr>
          <w:rFonts w:ascii="Palatino Linotype" w:hAnsi="Palatino Linotype"/>
          <w:sz w:val="24"/>
          <w:szCs w:val="24"/>
        </w:rPr>
        <w:t xml:space="preserve"> </w:t>
      </w:r>
      <w:r w:rsidR="00753FC3">
        <w:rPr>
          <w:rFonts w:ascii="Palatino Linotype" w:hAnsi="Palatino Linotype"/>
          <w:sz w:val="24"/>
          <w:szCs w:val="24"/>
        </w:rPr>
        <w:t xml:space="preserve">En este sentido, </w:t>
      </w:r>
      <w:r w:rsidR="00840EE6">
        <w:rPr>
          <w:rFonts w:ascii="Palatino Linotype" w:hAnsi="Palatino Linotype"/>
          <w:sz w:val="24"/>
          <w:szCs w:val="24"/>
        </w:rPr>
        <w:t xml:space="preserve">resulta oportuno traer a colación los artículos </w:t>
      </w:r>
      <w:r>
        <w:rPr>
          <w:rFonts w:ascii="Palatino Linotype" w:hAnsi="Palatino Linotype"/>
          <w:sz w:val="24"/>
          <w:szCs w:val="24"/>
        </w:rPr>
        <w:t>13A, fracción XXXIV, 17 y 142 del Reglamento del Poder Legislativo del Estado Libre y Soberano de México</w:t>
      </w:r>
      <w:r w:rsidR="00840EE6">
        <w:rPr>
          <w:rFonts w:ascii="Palatino Linotype" w:hAnsi="Palatino Linotype"/>
          <w:sz w:val="24"/>
          <w:szCs w:val="24"/>
        </w:rPr>
        <w:t xml:space="preserve">, porciones normativas que disponen a la literalidad lo siguiente: </w:t>
      </w:r>
    </w:p>
    <w:p w14:paraId="25FF7011" w14:textId="230EC1F3" w:rsidR="00E741AB" w:rsidRDefault="006C1270" w:rsidP="009A31ED">
      <w:pPr>
        <w:pStyle w:val="INFOEM"/>
      </w:pPr>
      <w:r>
        <w:t>Artículo 13 A.- Las facultades de las Comisiones Legislativas de manera enunciativa y no limitativa, son las siguientes:</w:t>
      </w:r>
    </w:p>
    <w:p w14:paraId="08333C68" w14:textId="121E6A8D" w:rsidR="006C1270" w:rsidRDefault="006C1270" w:rsidP="009A31ED">
      <w:pPr>
        <w:pStyle w:val="INFOEM"/>
      </w:pPr>
      <w:r>
        <w:t>(…)</w:t>
      </w:r>
    </w:p>
    <w:p w14:paraId="33EA4F82" w14:textId="4B89AE79" w:rsidR="006C1270" w:rsidRPr="00840EE6" w:rsidRDefault="006C1270" w:rsidP="009A31ED">
      <w:pPr>
        <w:pStyle w:val="INFOEM"/>
        <w:rPr>
          <w:b/>
          <w:u w:val="single"/>
        </w:rPr>
      </w:pPr>
      <w:r w:rsidRPr="00840EE6">
        <w:rPr>
          <w:b/>
          <w:u w:val="single"/>
        </w:rPr>
        <w:t>XXXIV. La Comisión de Transparencia, Acceso a la Información Pública, Protección de Datos Personales y de Combate a la Corrupción, conocerá de los temas e iniciativas siguientes:</w:t>
      </w:r>
    </w:p>
    <w:p w14:paraId="7BF72667" w14:textId="584FC57D" w:rsidR="006C1270" w:rsidRDefault="006C1270" w:rsidP="009A31ED">
      <w:pPr>
        <w:pStyle w:val="INFOEM"/>
      </w:pPr>
      <w:r>
        <w:t>(…)</w:t>
      </w:r>
    </w:p>
    <w:p w14:paraId="1CD40CDF" w14:textId="77777777" w:rsidR="00840EE6" w:rsidRDefault="006C1270" w:rsidP="009A31ED">
      <w:pPr>
        <w:pStyle w:val="INFOEM"/>
      </w:pPr>
      <w:r>
        <w:t xml:space="preserve">a) De las iniciativas de ley, decreto o acuerdo relacionadas con la transparencia. </w:t>
      </w:r>
    </w:p>
    <w:p w14:paraId="77013B54" w14:textId="77777777" w:rsidR="00840EE6" w:rsidRDefault="006C1270" w:rsidP="009A31ED">
      <w:pPr>
        <w:pStyle w:val="INFOEM"/>
      </w:pPr>
      <w:r>
        <w:t xml:space="preserve">b) De las iniciativas de ley, decreto o acuerdo relacionadas con el acceso a la información pública. </w:t>
      </w:r>
    </w:p>
    <w:p w14:paraId="1C835E13" w14:textId="77777777" w:rsidR="00840EE6" w:rsidRDefault="006C1270" w:rsidP="009A31ED">
      <w:pPr>
        <w:pStyle w:val="INFOEM"/>
      </w:pPr>
      <w:r>
        <w:t xml:space="preserve">c) De las iniciativas de ley, decreto o acuerdo relacionadas con la protección de datos personales. </w:t>
      </w:r>
    </w:p>
    <w:p w14:paraId="41FF8ECC" w14:textId="77777777" w:rsidR="00840EE6" w:rsidRDefault="006C1270" w:rsidP="009A31ED">
      <w:pPr>
        <w:pStyle w:val="INFOEM"/>
      </w:pPr>
      <w:r>
        <w:t>d) Con los asuntos legislativos vinculados a la transparencia, el acceso a la información pública y protección de datos personales;</w:t>
      </w:r>
    </w:p>
    <w:p w14:paraId="5927F20A" w14:textId="77777777" w:rsidR="00840EE6" w:rsidRDefault="006C1270" w:rsidP="009A31ED">
      <w:pPr>
        <w:pStyle w:val="INFOEM"/>
      </w:pPr>
      <w:r>
        <w:lastRenderedPageBreak/>
        <w:t xml:space="preserve"> e) De las iniciativas de ley, decreto o acuerdo relacionadas con el Combate a la Corrupción; </w:t>
      </w:r>
    </w:p>
    <w:p w14:paraId="1B955603" w14:textId="77777777" w:rsidR="00840EE6" w:rsidRDefault="006C1270" w:rsidP="009A31ED">
      <w:pPr>
        <w:pStyle w:val="INFOEM"/>
      </w:pPr>
      <w:r>
        <w:t xml:space="preserve">f) De las iniciativas de ley, decreto o acuerdo relacionadas con la rendición de cuentas; </w:t>
      </w:r>
    </w:p>
    <w:p w14:paraId="07583C6F" w14:textId="4B1175A6" w:rsidR="006C1270" w:rsidRDefault="006C1270" w:rsidP="009A31ED">
      <w:pPr>
        <w:pStyle w:val="INFOEM"/>
        <w:rPr>
          <w:sz w:val="24"/>
          <w:szCs w:val="24"/>
        </w:rPr>
      </w:pPr>
      <w:r>
        <w:t>g) Los asuntos que se le asignen en la Legislatura, en la Diputación Permanente o en la Junta de Coordinación Política.</w:t>
      </w:r>
    </w:p>
    <w:p w14:paraId="537AFBF0" w14:textId="12FB1F54" w:rsidR="00E741AB" w:rsidRDefault="006C1270" w:rsidP="009A31ED">
      <w:pPr>
        <w:pStyle w:val="INFOEM"/>
        <w:rPr>
          <w:sz w:val="24"/>
          <w:szCs w:val="24"/>
        </w:rPr>
      </w:pPr>
      <w:r>
        <w:rPr>
          <w:sz w:val="24"/>
          <w:szCs w:val="24"/>
        </w:rPr>
        <w:t>(…)</w:t>
      </w:r>
    </w:p>
    <w:p w14:paraId="77DB42DC" w14:textId="77777777" w:rsidR="00840EE6" w:rsidRPr="004B2F46" w:rsidRDefault="006C1270" w:rsidP="009A31ED">
      <w:pPr>
        <w:pStyle w:val="INFOEM"/>
        <w:rPr>
          <w:b/>
          <w:u w:val="single"/>
        </w:rPr>
      </w:pPr>
      <w:r w:rsidRPr="004B2F46">
        <w:rPr>
          <w:b/>
          <w:u w:val="single"/>
        </w:rPr>
        <w:t xml:space="preserve">Artículo 17.- Para el mejor desempeño de sus trabajos, las comisiones podrán invitar por conducto del Presidente de la Junta de Coordinación Política, a servidores públicos del Estado y de los municipios cuyos conocimientos o información favorezcan el estudio del asunto a dictaminar. </w:t>
      </w:r>
    </w:p>
    <w:p w14:paraId="038FE8BE" w14:textId="77777777" w:rsidR="00840EE6" w:rsidRPr="00C52B5F" w:rsidRDefault="006C1270" w:rsidP="009A31ED">
      <w:pPr>
        <w:pStyle w:val="INFOEM"/>
        <w:rPr>
          <w:b/>
          <w:u w:val="single"/>
        </w:rPr>
      </w:pPr>
      <w:r w:rsidRPr="00C52B5F">
        <w:rPr>
          <w:b/>
          <w:u w:val="single"/>
        </w:rPr>
        <w:t xml:space="preserve">Asimismo, podrán solicitar a la Junta de Coordinación Política que se invite a personas y a los representantes de instituciones públicas o privadas para proveerse de elementos de juicio para dictaminar. </w:t>
      </w:r>
    </w:p>
    <w:p w14:paraId="46ED95E8" w14:textId="42E07014" w:rsidR="006C1270" w:rsidRDefault="006C1270" w:rsidP="009A31ED">
      <w:pPr>
        <w:pStyle w:val="INFOEM"/>
        <w:rPr>
          <w:sz w:val="24"/>
          <w:szCs w:val="24"/>
        </w:rPr>
      </w:pPr>
      <w:r>
        <w:t>Los presidentes de las comisiones recibirán de la Junta de Coordinación Política la solicitud que hicieren llegar el Gobernador del Estado y las autoridades a quienes la Constitución otorga el derecho de iniciativa, en los términos de la fracción XIV del artículo 62 de la ley, a efecto de tomar las providencias necesarias para que los solicitantes, o los representantes que hubieren designado para tal fin, puedan participar en el análisis y estudio de las iniciativas correspondientes</w:t>
      </w:r>
    </w:p>
    <w:p w14:paraId="30201622" w14:textId="77D6BDDD" w:rsidR="00E741AB" w:rsidRPr="00753FC3" w:rsidRDefault="006C1270" w:rsidP="009A31ED">
      <w:pPr>
        <w:pStyle w:val="INFOEM"/>
        <w:rPr>
          <w:sz w:val="24"/>
          <w:szCs w:val="24"/>
          <w:u w:val="single"/>
        </w:rPr>
      </w:pPr>
      <w:r w:rsidRPr="00840EE6">
        <w:rPr>
          <w:b/>
          <w:u w:val="single"/>
        </w:rPr>
        <w:t>Artículo 142.- Lo acontecido en las sesiones y reuniones de trabajo de los órganos de la Legislatura, será registrado fielmente.</w:t>
      </w:r>
      <w:r w:rsidR="00840EE6">
        <w:rPr>
          <w:b/>
          <w:u w:val="single"/>
        </w:rPr>
        <w:t>”</w:t>
      </w:r>
      <w:r w:rsidR="00753FC3">
        <w:rPr>
          <w:b/>
          <w:u w:val="single"/>
        </w:rPr>
        <w:t xml:space="preserve"> </w:t>
      </w:r>
      <w:r w:rsidR="00753FC3">
        <w:rPr>
          <w:u w:val="single"/>
        </w:rPr>
        <w:t>[Sic]</w:t>
      </w:r>
    </w:p>
    <w:p w14:paraId="7A56C31D" w14:textId="551019E3" w:rsidR="00E741AB" w:rsidRDefault="00840EE6" w:rsidP="000C06AD">
      <w:pPr>
        <w:spacing w:after="0" w:line="360" w:lineRule="auto"/>
        <w:jc w:val="both"/>
        <w:rPr>
          <w:rFonts w:ascii="Palatino Linotype" w:hAnsi="Palatino Linotype"/>
          <w:sz w:val="24"/>
          <w:szCs w:val="24"/>
        </w:rPr>
      </w:pPr>
      <w:r>
        <w:rPr>
          <w:rFonts w:ascii="Palatino Linotype" w:hAnsi="Palatino Linotype"/>
          <w:sz w:val="24"/>
          <w:szCs w:val="24"/>
        </w:rPr>
        <w:lastRenderedPageBreak/>
        <w:t xml:space="preserve">En este tenor, la información requerida mediante el numeral en cita es susceptible de ser generada, poseída y administrada por </w:t>
      </w:r>
      <w:r>
        <w:rPr>
          <w:rFonts w:ascii="Palatino Linotype" w:hAnsi="Palatino Linotype"/>
          <w:b/>
          <w:sz w:val="24"/>
          <w:szCs w:val="24"/>
        </w:rPr>
        <w:t xml:space="preserve">El Sujeto Obligado. </w:t>
      </w:r>
      <w:r>
        <w:rPr>
          <w:rFonts w:ascii="Palatino Linotype" w:hAnsi="Palatino Linotype"/>
          <w:sz w:val="24"/>
          <w:szCs w:val="24"/>
        </w:rPr>
        <w:t xml:space="preserve">Asimismo, la información requerida encuadra dentro de las fronteras conceptuales del interés general y el alcance público, robustece lo anterior los artículos 24, fracción XII y 92, fracción </w:t>
      </w:r>
      <w:r w:rsidR="00BC0343">
        <w:rPr>
          <w:rFonts w:ascii="Palatino Linotype" w:hAnsi="Palatino Linotype"/>
          <w:sz w:val="24"/>
          <w:szCs w:val="24"/>
        </w:rPr>
        <w:t xml:space="preserve">XV de la Ley de Transparencia y Acceso a la Información Pública del Estado de México y Municipios, porciones normativas que disponen a la literalidad lo siguiente: </w:t>
      </w:r>
    </w:p>
    <w:p w14:paraId="04A1709E" w14:textId="4BA74A90" w:rsidR="00BC0343" w:rsidRDefault="00753FC3" w:rsidP="00753FC3">
      <w:pPr>
        <w:pStyle w:val="INFOEM"/>
      </w:pPr>
      <w:r>
        <w:t>“</w:t>
      </w:r>
      <w:r w:rsidR="00BC0343">
        <w:t>Artículo 24. Para el cumplimiento de los objetivos de esta Ley, los sujetos obligados deberán cumplir con las siguientes obligaciones, según corresponda, de acuerdo a su naturaleza:</w:t>
      </w:r>
    </w:p>
    <w:p w14:paraId="4B4E7098" w14:textId="7EB21782" w:rsidR="00BC0343" w:rsidRDefault="00BC0343" w:rsidP="00753FC3">
      <w:pPr>
        <w:pStyle w:val="INFOEM"/>
      </w:pPr>
      <w:r>
        <w:t>(…)</w:t>
      </w:r>
    </w:p>
    <w:p w14:paraId="113CD529" w14:textId="5938BB32" w:rsidR="00BC0343" w:rsidRDefault="00BC0343" w:rsidP="00753FC3">
      <w:pPr>
        <w:pStyle w:val="INFOEM"/>
      </w:pPr>
      <w:r>
        <w:t>XII. Publicar y mantener actualizada la información relativa a las obligaciones generales de transparencia previstas en la presente Ley o determinadas así por el Instituto, y en general aquella que sea de interés público;</w:t>
      </w:r>
    </w:p>
    <w:p w14:paraId="707246A0" w14:textId="6E8DD87D" w:rsidR="00BC0343" w:rsidRDefault="00BC0343" w:rsidP="00753FC3">
      <w:pPr>
        <w:pStyle w:val="INFOEM"/>
        <w:rPr>
          <w:sz w:val="24"/>
          <w:szCs w:val="24"/>
        </w:rPr>
      </w:pPr>
      <w:r>
        <w:t>(…)</w:t>
      </w:r>
    </w:p>
    <w:p w14:paraId="35D55AFB" w14:textId="303F3A04" w:rsidR="00BC0343" w:rsidRPr="00840EE6" w:rsidRDefault="00BC0343" w:rsidP="00753FC3">
      <w:pPr>
        <w:pStyle w:val="INFOEM"/>
        <w:rPr>
          <w:sz w:val="24"/>
          <w:szCs w:val="24"/>
        </w:rPr>
      </w:pPr>
      <w: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2817044" w14:textId="157A4AA2" w:rsidR="007E34C9" w:rsidRDefault="00BC0343" w:rsidP="00753FC3">
      <w:pPr>
        <w:pStyle w:val="INFOEM"/>
      </w:pPr>
      <w:r>
        <w:t>XV. Agenda de reuniones públicas a las que convoquen los titulares de los sujetos obligados;</w:t>
      </w:r>
    </w:p>
    <w:p w14:paraId="6BE44728" w14:textId="5A6BED8C" w:rsidR="00753FC3" w:rsidRPr="00753FC3" w:rsidRDefault="00753FC3" w:rsidP="00753FC3">
      <w:pPr>
        <w:pStyle w:val="INFOEM"/>
        <w:rPr>
          <w:b/>
        </w:rPr>
      </w:pPr>
      <w:r>
        <w:lastRenderedPageBreak/>
        <w:t xml:space="preserve">(…)” </w:t>
      </w:r>
      <w:r>
        <w:rPr>
          <w:b/>
        </w:rPr>
        <w:t xml:space="preserve">[Sic] </w:t>
      </w:r>
    </w:p>
    <w:p w14:paraId="52B72E24" w14:textId="77777777" w:rsidR="00BC0343" w:rsidRDefault="00BC0343" w:rsidP="000C06AD">
      <w:pPr>
        <w:spacing w:after="0" w:line="360" w:lineRule="auto"/>
        <w:jc w:val="both"/>
      </w:pPr>
    </w:p>
    <w:p w14:paraId="5872094C" w14:textId="77777777" w:rsidR="00BC0343" w:rsidRDefault="00BC0343" w:rsidP="000C06AD">
      <w:pPr>
        <w:spacing w:after="0" w:line="360" w:lineRule="auto"/>
        <w:jc w:val="both"/>
      </w:pPr>
    </w:p>
    <w:p w14:paraId="0DD756EE" w14:textId="77777777" w:rsidR="007A63C4" w:rsidRDefault="00BC0343" w:rsidP="000C06AD">
      <w:pPr>
        <w:spacing w:after="0" w:line="360" w:lineRule="auto"/>
        <w:jc w:val="both"/>
        <w:rPr>
          <w:rFonts w:ascii="Palatino Linotype" w:hAnsi="Palatino Linotype"/>
          <w:sz w:val="24"/>
          <w:szCs w:val="24"/>
        </w:rPr>
      </w:pPr>
      <w:r w:rsidRPr="00753FC3">
        <w:rPr>
          <w:rFonts w:ascii="Palatino Linotype" w:hAnsi="Palatino Linotype"/>
          <w:sz w:val="24"/>
          <w:szCs w:val="24"/>
        </w:rPr>
        <w:t xml:space="preserve">En virtud de lo anterior, </w:t>
      </w:r>
      <w:r w:rsidR="00D67CEA">
        <w:rPr>
          <w:rFonts w:ascii="Palatino Linotype" w:hAnsi="Palatino Linotype"/>
          <w:sz w:val="24"/>
          <w:szCs w:val="24"/>
        </w:rPr>
        <w:t xml:space="preserve">esta Ponencia Resolutora insiste en que los requerimientos identificados con los numerales </w:t>
      </w:r>
      <w:r w:rsidR="00D67CEA">
        <w:rPr>
          <w:rFonts w:ascii="Palatino Linotype" w:hAnsi="Palatino Linotype"/>
          <w:b/>
          <w:sz w:val="24"/>
          <w:szCs w:val="24"/>
        </w:rPr>
        <w:t>9 –nueve- (grados académicos) y 13 –trece- (reuniones con legisladores del Estado de México</w:t>
      </w:r>
      <w:r w:rsidR="007A63C4">
        <w:rPr>
          <w:rFonts w:ascii="Palatino Linotype" w:hAnsi="Palatino Linotype"/>
          <w:b/>
          <w:sz w:val="24"/>
          <w:szCs w:val="24"/>
        </w:rPr>
        <w:t>)</w:t>
      </w:r>
      <w:r w:rsidR="00D67CEA">
        <w:rPr>
          <w:rFonts w:ascii="Palatino Linotype" w:hAnsi="Palatino Linotype"/>
          <w:b/>
          <w:sz w:val="24"/>
          <w:szCs w:val="24"/>
        </w:rPr>
        <w:t xml:space="preserve">, </w:t>
      </w:r>
      <w:r w:rsidR="00D67CEA">
        <w:rPr>
          <w:rFonts w:ascii="Palatino Linotype" w:hAnsi="Palatino Linotype"/>
          <w:sz w:val="24"/>
          <w:szCs w:val="24"/>
        </w:rPr>
        <w:t xml:space="preserve">estriban en soportes documentales susceptibles de ser generados, poseídos y administrados por </w:t>
      </w:r>
      <w:r w:rsidR="00D67CEA">
        <w:rPr>
          <w:rFonts w:ascii="Palatino Linotype" w:hAnsi="Palatino Linotype"/>
          <w:b/>
          <w:sz w:val="24"/>
          <w:szCs w:val="24"/>
        </w:rPr>
        <w:t xml:space="preserve">El Sujeto Obligado, </w:t>
      </w:r>
      <w:r w:rsidR="007A63C4">
        <w:rPr>
          <w:rFonts w:ascii="Palatino Linotype" w:hAnsi="Palatino Linotype"/>
          <w:sz w:val="24"/>
          <w:szCs w:val="24"/>
        </w:rPr>
        <w:t xml:space="preserve">no obstante lo anterior, las actuaciones emitidas por </w:t>
      </w:r>
      <w:r w:rsidR="007A63C4">
        <w:rPr>
          <w:rFonts w:ascii="Palatino Linotype" w:hAnsi="Palatino Linotype"/>
          <w:b/>
          <w:sz w:val="24"/>
          <w:szCs w:val="24"/>
        </w:rPr>
        <w:t xml:space="preserve">El Sujeto Obligado </w:t>
      </w:r>
      <w:r w:rsidR="007A63C4">
        <w:rPr>
          <w:rFonts w:ascii="Palatino Linotype" w:hAnsi="Palatino Linotype"/>
          <w:sz w:val="24"/>
          <w:szCs w:val="24"/>
        </w:rPr>
        <w:t xml:space="preserve">no colmaron el derecho de acceso a la información pública. </w:t>
      </w:r>
    </w:p>
    <w:p w14:paraId="1ED7E8B5" w14:textId="77777777" w:rsidR="007A63C4" w:rsidRDefault="007A63C4" w:rsidP="000C06AD">
      <w:pPr>
        <w:spacing w:after="0" w:line="360" w:lineRule="auto"/>
        <w:jc w:val="both"/>
        <w:rPr>
          <w:rFonts w:ascii="Palatino Linotype" w:hAnsi="Palatino Linotype"/>
          <w:sz w:val="24"/>
          <w:szCs w:val="24"/>
        </w:rPr>
      </w:pPr>
      <w:r>
        <w:rPr>
          <w:rFonts w:ascii="Palatino Linotype" w:hAnsi="Palatino Linotype"/>
          <w:sz w:val="24"/>
          <w:szCs w:val="24"/>
        </w:rPr>
        <w:t xml:space="preserve">Ahora bien, cabe señalar que en fecha </w:t>
      </w:r>
      <w:r w:rsidR="00D67CEA">
        <w:rPr>
          <w:rFonts w:ascii="Palatino Linotype" w:hAnsi="Palatino Linotype"/>
          <w:sz w:val="24"/>
          <w:szCs w:val="24"/>
        </w:rPr>
        <w:t xml:space="preserve"> </w:t>
      </w:r>
      <w:r>
        <w:rPr>
          <w:rFonts w:ascii="Palatino Linotype" w:hAnsi="Palatino Linotype"/>
          <w:sz w:val="24"/>
          <w:szCs w:val="24"/>
        </w:rPr>
        <w:t xml:space="preserve">veintidós de abril del presente, </w:t>
      </w:r>
      <w:r>
        <w:rPr>
          <w:rFonts w:ascii="Palatino Linotype" w:hAnsi="Palatino Linotype"/>
          <w:b/>
          <w:sz w:val="24"/>
          <w:szCs w:val="24"/>
        </w:rPr>
        <w:t xml:space="preserve">El Sujeto Obligado, </w:t>
      </w:r>
      <w:r>
        <w:rPr>
          <w:rFonts w:ascii="Palatino Linotype" w:hAnsi="Palatino Linotype"/>
          <w:sz w:val="24"/>
          <w:szCs w:val="24"/>
        </w:rPr>
        <w:t xml:space="preserve">remitió alcance al informe justificado vía correo electrónico, sirven de sustento las siguientes imágenes ilustrativas, así como la siguiente descripción: </w:t>
      </w:r>
    </w:p>
    <w:p w14:paraId="2CF80906" w14:textId="08C46509" w:rsidR="002E5285" w:rsidRDefault="002E5285" w:rsidP="000C06AD">
      <w:pPr>
        <w:spacing w:after="0" w:line="360" w:lineRule="auto"/>
        <w:jc w:val="both"/>
        <w:rPr>
          <w:rFonts w:ascii="Palatino Linotype" w:hAnsi="Palatino Linotype"/>
          <w:sz w:val="24"/>
          <w:szCs w:val="24"/>
        </w:rPr>
      </w:pPr>
      <w:r>
        <w:rPr>
          <w:rFonts w:ascii="Palatino Linotype" w:hAnsi="Palatino Linotype"/>
          <w:noProof/>
          <w:sz w:val="24"/>
          <w:szCs w:val="24"/>
          <w:lang w:eastAsia="es-MX"/>
        </w:rPr>
        <w:drawing>
          <wp:anchor distT="0" distB="0" distL="114300" distR="114300" simplePos="0" relativeHeight="251681789" behindDoc="0" locked="0" layoutInCell="1" allowOverlap="1" wp14:anchorId="4F96AD60" wp14:editId="7EEF7FB6">
            <wp:simplePos x="0" y="0"/>
            <wp:positionH relativeFrom="column">
              <wp:posOffset>635</wp:posOffset>
            </wp:positionH>
            <wp:positionV relativeFrom="paragraph">
              <wp:posOffset>267556</wp:posOffset>
            </wp:positionV>
            <wp:extent cx="5760720" cy="3300095"/>
            <wp:effectExtent l="19050" t="19050" r="11430" b="14605"/>
            <wp:wrapThrough wrapText="bothSides">
              <wp:wrapPolygon edited="0">
                <wp:start x="-71" y="-125"/>
                <wp:lineTo x="-71" y="21571"/>
                <wp:lineTo x="21571" y="21571"/>
                <wp:lineTo x="21571" y="-125"/>
                <wp:lineTo x="-71" y="-125"/>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3000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27F047F" w14:textId="014A5C0C" w:rsidR="002E5285" w:rsidRDefault="002E5285" w:rsidP="000C06AD">
      <w:pPr>
        <w:spacing w:after="0" w:line="360" w:lineRule="auto"/>
        <w:jc w:val="both"/>
        <w:rPr>
          <w:rFonts w:ascii="Palatino Linotype" w:hAnsi="Palatino Linotype"/>
          <w:sz w:val="24"/>
          <w:szCs w:val="24"/>
        </w:rPr>
      </w:pPr>
    </w:p>
    <w:p w14:paraId="1DDC4365" w14:textId="41E4795C" w:rsidR="002E5285" w:rsidRDefault="002E5285" w:rsidP="000C06AD">
      <w:pPr>
        <w:spacing w:after="0" w:line="360" w:lineRule="auto"/>
        <w:jc w:val="both"/>
        <w:rPr>
          <w:rFonts w:ascii="Palatino Linotype" w:hAnsi="Palatino Linotype"/>
          <w:sz w:val="24"/>
          <w:szCs w:val="24"/>
        </w:rPr>
      </w:pPr>
      <w:r>
        <w:rPr>
          <w:rFonts w:ascii="Palatino Linotype" w:hAnsi="Palatino Linotype"/>
          <w:noProof/>
          <w:sz w:val="24"/>
          <w:szCs w:val="24"/>
          <w:lang w:eastAsia="es-MX"/>
        </w:rPr>
        <w:lastRenderedPageBreak/>
        <w:drawing>
          <wp:anchor distT="0" distB="0" distL="114300" distR="114300" simplePos="0" relativeHeight="251702272" behindDoc="0" locked="0" layoutInCell="1" allowOverlap="1" wp14:anchorId="738C9FE6" wp14:editId="4D7A171D">
            <wp:simplePos x="0" y="0"/>
            <wp:positionH relativeFrom="column">
              <wp:posOffset>-54610</wp:posOffset>
            </wp:positionH>
            <wp:positionV relativeFrom="paragraph">
              <wp:posOffset>3708455</wp:posOffset>
            </wp:positionV>
            <wp:extent cx="5748655" cy="3300095"/>
            <wp:effectExtent l="19050" t="19050" r="23495" b="14605"/>
            <wp:wrapThrough wrapText="bothSides">
              <wp:wrapPolygon edited="0">
                <wp:start x="-72" y="-125"/>
                <wp:lineTo x="-72" y="21571"/>
                <wp:lineTo x="21617" y="21571"/>
                <wp:lineTo x="21617" y="-125"/>
                <wp:lineTo x="-72" y="-125"/>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48655" cy="33000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noProof/>
          <w:sz w:val="24"/>
          <w:szCs w:val="24"/>
          <w:lang w:eastAsia="es-MX"/>
        </w:rPr>
        <w:drawing>
          <wp:anchor distT="0" distB="0" distL="114300" distR="114300" simplePos="0" relativeHeight="251679739" behindDoc="0" locked="0" layoutInCell="1" allowOverlap="1" wp14:anchorId="585A0CD3" wp14:editId="1A47A92C">
            <wp:simplePos x="0" y="0"/>
            <wp:positionH relativeFrom="column">
              <wp:posOffset>-70899</wp:posOffset>
            </wp:positionH>
            <wp:positionV relativeFrom="paragraph">
              <wp:posOffset>19437</wp:posOffset>
            </wp:positionV>
            <wp:extent cx="5764530" cy="3300095"/>
            <wp:effectExtent l="19050" t="19050" r="26670" b="14605"/>
            <wp:wrapThrough wrapText="bothSides">
              <wp:wrapPolygon edited="0">
                <wp:start x="-71" y="-125"/>
                <wp:lineTo x="-71" y="21571"/>
                <wp:lineTo x="21629" y="21571"/>
                <wp:lineTo x="21629" y="-125"/>
                <wp:lineTo x="-71" y="-125"/>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4530" cy="33000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B8E8E37" w14:textId="641E5E32" w:rsidR="00DD1D36" w:rsidRPr="00DD1D36" w:rsidRDefault="002E5285" w:rsidP="00DD1D36">
      <w:pPr>
        <w:pStyle w:val="Prrafodelista"/>
        <w:numPr>
          <w:ilvl w:val="0"/>
          <w:numId w:val="31"/>
        </w:numPr>
        <w:spacing w:line="360" w:lineRule="auto"/>
        <w:jc w:val="both"/>
        <w:rPr>
          <w:rFonts w:ascii="Palatino Linotype" w:hAnsi="Palatino Linotype"/>
          <w:b/>
          <w:i/>
        </w:rPr>
      </w:pPr>
      <w:r>
        <w:rPr>
          <w:rFonts w:ascii="Palatino Linotype" w:hAnsi="Palatino Linotype"/>
          <w:b/>
        </w:rPr>
        <w:lastRenderedPageBreak/>
        <w:t xml:space="preserve">“RR. 00480 Alcance a informe justificado.pdf”: </w:t>
      </w:r>
      <w:r>
        <w:rPr>
          <w:rFonts w:ascii="Palatino Linotype" w:hAnsi="Palatino Linotype"/>
        </w:rPr>
        <w:t xml:space="preserve">Oficio </w:t>
      </w:r>
      <w:r>
        <w:rPr>
          <w:rFonts w:ascii="Palatino Linotype" w:hAnsi="Palatino Linotype"/>
          <w:b/>
        </w:rPr>
        <w:t xml:space="preserve">UIPL/0596/2021 </w:t>
      </w:r>
      <w:r>
        <w:rPr>
          <w:rFonts w:ascii="Palatino Linotype" w:hAnsi="Palatino Linotype"/>
        </w:rPr>
        <w:t xml:space="preserve">signado por el Titular de la Unidad de Información y dirigido al Comisionado Ponente, </w:t>
      </w:r>
      <w:r w:rsidR="00DD1D36">
        <w:rPr>
          <w:rFonts w:ascii="Palatino Linotype" w:hAnsi="Palatino Linotype"/>
        </w:rPr>
        <w:t xml:space="preserve">en términos generales manifiesta adjuntar diversos soportes documentales en versión pública </w:t>
      </w:r>
      <w:r w:rsidR="00256DAB">
        <w:rPr>
          <w:rFonts w:ascii="Palatino Linotype" w:hAnsi="Palatino Linotype"/>
        </w:rPr>
        <w:t>vinculados con el</w:t>
      </w:r>
      <w:r w:rsidR="00DD1D36">
        <w:rPr>
          <w:rFonts w:ascii="Palatino Linotype" w:hAnsi="Palatino Linotype"/>
        </w:rPr>
        <w:t xml:space="preserve"> requerimiento identificado con el numeral </w:t>
      </w:r>
      <w:r w:rsidR="00DD1D36">
        <w:rPr>
          <w:rFonts w:ascii="Palatino Linotype" w:hAnsi="Palatino Linotype"/>
          <w:b/>
        </w:rPr>
        <w:t>9 –nueve- (grados académicos)</w:t>
      </w:r>
      <w:r w:rsidR="00256DAB">
        <w:rPr>
          <w:rFonts w:ascii="Palatino Linotype" w:hAnsi="Palatino Linotype"/>
          <w:b/>
        </w:rPr>
        <w:t xml:space="preserve">. </w:t>
      </w:r>
      <w:r w:rsidR="00256DAB">
        <w:rPr>
          <w:rFonts w:ascii="Palatino Linotype" w:hAnsi="Palatino Linotype"/>
        </w:rPr>
        <w:t>De forma complementaria, e</w:t>
      </w:r>
      <w:r w:rsidR="00DD1D36">
        <w:rPr>
          <w:rFonts w:ascii="Palatino Linotype" w:hAnsi="Palatino Linotype"/>
        </w:rPr>
        <w:t xml:space="preserve">n referencia al requerimiento </w:t>
      </w:r>
      <w:r w:rsidR="00256DAB">
        <w:rPr>
          <w:rFonts w:ascii="Palatino Linotype" w:hAnsi="Palatino Linotype"/>
        </w:rPr>
        <w:t xml:space="preserve">identificado con el numeral </w:t>
      </w:r>
      <w:r w:rsidR="00DD1D36">
        <w:rPr>
          <w:rFonts w:ascii="Palatino Linotype" w:hAnsi="Palatino Linotype"/>
          <w:b/>
        </w:rPr>
        <w:t xml:space="preserve">13 –trece- (reuniones con legisladores del Estado de México), </w:t>
      </w:r>
      <w:r w:rsidR="00DD1D36">
        <w:rPr>
          <w:rFonts w:ascii="Palatino Linotype" w:hAnsi="Palatino Linotype"/>
        </w:rPr>
        <w:t xml:space="preserve">alude haber realizado la búsqueda de la información, fijando </w:t>
      </w:r>
      <w:r w:rsidR="00256DAB">
        <w:rPr>
          <w:rFonts w:ascii="Palatino Linotype" w:hAnsi="Palatino Linotype"/>
        </w:rPr>
        <w:t xml:space="preserve">en suplencia de la queja el elemento temporal, </w:t>
      </w:r>
      <w:r w:rsidR="00DD1D36">
        <w:rPr>
          <w:rFonts w:ascii="Palatino Linotype" w:hAnsi="Palatino Linotype"/>
        </w:rPr>
        <w:t xml:space="preserve">del dieciséis de febrero de dos mil veinte al dieciséis de febrero de dos mil veintiuno, no obstante lo anterior, </w:t>
      </w:r>
      <w:r w:rsidR="00256DAB">
        <w:rPr>
          <w:rFonts w:ascii="Palatino Linotype" w:hAnsi="Palatino Linotype"/>
        </w:rPr>
        <w:t xml:space="preserve">en sus archivos </w:t>
      </w:r>
      <w:r w:rsidR="00DD1D36">
        <w:rPr>
          <w:rFonts w:ascii="Palatino Linotype" w:hAnsi="Palatino Linotype"/>
        </w:rPr>
        <w:t>no fue localizada la informaci</w:t>
      </w:r>
      <w:r w:rsidR="00256DAB">
        <w:rPr>
          <w:rFonts w:ascii="Palatino Linotype" w:hAnsi="Palatino Linotype"/>
        </w:rPr>
        <w:t xml:space="preserve">ón requerida; de fecha veintidós de abril de dos mil veintiuno. </w:t>
      </w:r>
    </w:p>
    <w:p w14:paraId="7739BEC5" w14:textId="6E4AC240" w:rsidR="002E5285" w:rsidRPr="009F5F36" w:rsidRDefault="002E5285" w:rsidP="002E5285">
      <w:pPr>
        <w:pStyle w:val="Prrafodelista"/>
        <w:numPr>
          <w:ilvl w:val="0"/>
          <w:numId w:val="31"/>
        </w:numPr>
        <w:spacing w:line="360" w:lineRule="auto"/>
        <w:jc w:val="both"/>
        <w:rPr>
          <w:rFonts w:ascii="Palatino Linotype" w:hAnsi="Palatino Linotype"/>
          <w:b/>
        </w:rPr>
      </w:pPr>
      <w:r>
        <w:rPr>
          <w:rFonts w:ascii="Palatino Linotype" w:hAnsi="Palatino Linotype"/>
          <w:b/>
        </w:rPr>
        <w:t>“Acta de la 8a. Sesión extraordinaria del CT 2021.pdf”:</w:t>
      </w:r>
      <w:r w:rsidR="00256DAB">
        <w:rPr>
          <w:rFonts w:ascii="Palatino Linotype" w:hAnsi="Palatino Linotype"/>
          <w:b/>
        </w:rPr>
        <w:t xml:space="preserve"> </w:t>
      </w:r>
      <w:r w:rsidR="00256DAB">
        <w:rPr>
          <w:rFonts w:ascii="Palatino Linotype" w:hAnsi="Palatino Linotype"/>
        </w:rPr>
        <w:t xml:space="preserve">Acta de la Octava Sesión Extraordinaria del Comité de Transparencia del Poder Legislativo del Estado Libre y Soberano de México, celebrada el quince de abril de dos mil veintiuno, </w:t>
      </w:r>
      <w:r w:rsidR="009F5F36">
        <w:rPr>
          <w:rFonts w:ascii="Palatino Linotype" w:hAnsi="Palatino Linotype"/>
        </w:rPr>
        <w:t>resulta de nuestro interés el siguiente extracto:</w:t>
      </w:r>
    </w:p>
    <w:p w14:paraId="450B0D2E" w14:textId="02B9A334" w:rsidR="009F5F36" w:rsidRDefault="009F5F36" w:rsidP="009F5F36">
      <w:pPr>
        <w:pStyle w:val="Prrafodelista"/>
        <w:spacing w:line="360" w:lineRule="auto"/>
        <w:ind w:left="720"/>
        <w:jc w:val="both"/>
        <w:rPr>
          <w:rFonts w:ascii="Palatino Linotype" w:hAnsi="Palatino Linotype"/>
          <w:i/>
        </w:rPr>
      </w:pPr>
      <w:r>
        <w:rPr>
          <w:rFonts w:ascii="Palatino Linotype" w:hAnsi="Palatino Linotype"/>
          <w:i/>
        </w:rPr>
        <w:t>“(…)</w:t>
      </w:r>
    </w:p>
    <w:p w14:paraId="26B6B5E5" w14:textId="35880CE3" w:rsidR="009F5F36" w:rsidRDefault="009F5F36" w:rsidP="009F5F36">
      <w:pPr>
        <w:pStyle w:val="Prrafodelista"/>
        <w:spacing w:line="360" w:lineRule="auto"/>
        <w:ind w:left="720"/>
        <w:jc w:val="both"/>
        <w:rPr>
          <w:rFonts w:ascii="Palatino Linotype" w:hAnsi="Palatino Linotype"/>
          <w:i/>
        </w:rPr>
      </w:pPr>
      <w:r>
        <w:rPr>
          <w:rFonts w:ascii="Palatino Linotype" w:hAnsi="Palatino Linotype"/>
          <w:i/>
        </w:rPr>
        <w:t xml:space="preserve">Con fundamento en los artículos 3 fracción XXXIX, 59 fracciones V y VI, </w:t>
      </w:r>
      <w:r w:rsidR="00676562">
        <w:rPr>
          <w:rFonts w:ascii="Palatino Linotype" w:hAnsi="Palatino Linotype"/>
          <w:i/>
        </w:rPr>
        <w:t xml:space="preserve">122, 132 fracción I de la Ley de Transparencia y Acceso a la Información Pública del Estado de México y Municipios, me permito solicitarle de manera atenta ser el conducto para </w:t>
      </w:r>
      <w:r w:rsidR="00091131">
        <w:rPr>
          <w:rFonts w:ascii="Palatino Linotype" w:hAnsi="Palatino Linotype"/>
          <w:i/>
        </w:rPr>
        <w:t xml:space="preserve">someter a la consideración del Comité de Transparencia, la propuesta de versión pública del currículum vitae presentado en su momento por el licenciado José Guadalupe Luna Hernández en su carácter de aspirante al cargo de Comisionado del Instituto de Transparencia y Acceso a la Información Pública del estado de México y Municipios y que forma parte del expediente del decreto número 458 aprobado por la “LVIII” </w:t>
      </w:r>
      <w:r w:rsidR="00091131">
        <w:rPr>
          <w:rFonts w:ascii="Palatino Linotype" w:hAnsi="Palatino Linotype"/>
          <w:i/>
        </w:rPr>
        <w:lastRenderedPageBreak/>
        <w:t xml:space="preserve">Legislatura el 2 de julio de 2015; el dato personal que será testado es el correspondiente a su promedio final en los estudios de maestría por ser información confidencial que constituye un dato que permite identificar la trayectoria académica y formación profesional del titular. </w:t>
      </w:r>
    </w:p>
    <w:p w14:paraId="47698109" w14:textId="61CB6736" w:rsidR="00091131" w:rsidRPr="00091131" w:rsidRDefault="00091131" w:rsidP="009F5F36">
      <w:pPr>
        <w:pStyle w:val="Prrafodelista"/>
        <w:spacing w:line="360" w:lineRule="auto"/>
        <w:ind w:left="720"/>
        <w:jc w:val="both"/>
        <w:rPr>
          <w:rFonts w:ascii="Palatino Linotype" w:hAnsi="Palatino Linotype"/>
          <w:b/>
          <w:i/>
          <w:u w:val="single"/>
        </w:rPr>
      </w:pPr>
      <w:r w:rsidRPr="00091131">
        <w:rPr>
          <w:rFonts w:ascii="Palatino Linotype" w:hAnsi="Palatino Linotype"/>
          <w:b/>
          <w:i/>
          <w:u w:val="single"/>
        </w:rPr>
        <w:t>Por otra parte, es importante señalar que en la parte final de la página 3 del Curriculum vitae, existe una sección cuyo título es “INFORMACIÓN PERSONAL” que contiene datos como edad, lugar de origen, y lugar y tiempo de vecindad en el Estado, los cuales, a pesar del título, deberán permanecer a la vista toda vez que con estos se acredita que es mayor de treinta años y su calidad de mexiquense, requisitos señalados en el artículo 66, fracciones I y II, de la Ley de Transparencia y Acceso a la Información Pública del estado de México y Municipios, vigente el en momento de la aprobación del nombramiento del hoy Comisionado en funciones, José Guadalupe Luna Hernández, dicho artículo señalaba:</w:t>
      </w:r>
    </w:p>
    <w:p w14:paraId="5E3298A7" w14:textId="00E81927" w:rsidR="00091131" w:rsidRDefault="00091131" w:rsidP="009F5F36">
      <w:pPr>
        <w:pStyle w:val="Prrafodelista"/>
        <w:spacing w:line="360" w:lineRule="auto"/>
        <w:ind w:left="720"/>
        <w:jc w:val="both"/>
        <w:rPr>
          <w:rFonts w:ascii="Palatino Linotype" w:hAnsi="Palatino Linotype"/>
          <w:i/>
        </w:rPr>
      </w:pPr>
      <w:r>
        <w:rPr>
          <w:rFonts w:ascii="Palatino Linotype" w:hAnsi="Palatino Linotype"/>
          <w:i/>
        </w:rPr>
        <w:t>Artículo 66.- Para ser Comisionado se requiere:</w:t>
      </w:r>
    </w:p>
    <w:p w14:paraId="6319A822" w14:textId="6E395ABA" w:rsidR="00091131" w:rsidRDefault="00091131" w:rsidP="009F5F36">
      <w:pPr>
        <w:pStyle w:val="Prrafodelista"/>
        <w:spacing w:line="360" w:lineRule="auto"/>
        <w:ind w:left="720"/>
        <w:jc w:val="both"/>
        <w:rPr>
          <w:rFonts w:ascii="Palatino Linotype" w:hAnsi="Palatino Linotype"/>
          <w:i/>
        </w:rPr>
      </w:pPr>
      <w:r>
        <w:rPr>
          <w:rFonts w:ascii="Palatino Linotype" w:hAnsi="Palatino Linotype"/>
          <w:i/>
        </w:rPr>
        <w:t>I. Cumplir con cualquiera de las calidades señaladas en el artículo 23 de la Constitución Política del Estado Libre y Soberano de México, o tener, cuando menos, un año de residencia fija en determinado lugar del territorio de la entidad;</w:t>
      </w:r>
    </w:p>
    <w:p w14:paraId="295A7FDE" w14:textId="679ABFAA" w:rsidR="00091131" w:rsidRPr="00BC135D" w:rsidRDefault="00091131" w:rsidP="009F5F36">
      <w:pPr>
        <w:pStyle w:val="Prrafodelista"/>
        <w:spacing w:line="360" w:lineRule="auto"/>
        <w:ind w:left="720"/>
        <w:jc w:val="both"/>
        <w:rPr>
          <w:rFonts w:ascii="Palatino Linotype" w:hAnsi="Palatino Linotype"/>
          <w:b/>
          <w:i/>
          <w:u w:val="single"/>
        </w:rPr>
      </w:pPr>
      <w:r w:rsidRPr="00BC135D">
        <w:rPr>
          <w:rFonts w:ascii="Palatino Linotype" w:hAnsi="Palatino Linotype"/>
          <w:b/>
          <w:i/>
          <w:u w:val="single"/>
        </w:rPr>
        <w:t>II. Tener más de treinta años de edad a la fecha de su nombramiento;</w:t>
      </w:r>
    </w:p>
    <w:p w14:paraId="36B7CC2D" w14:textId="05235D70" w:rsidR="00091131" w:rsidRDefault="00091131" w:rsidP="009F5F36">
      <w:pPr>
        <w:pStyle w:val="Prrafodelista"/>
        <w:spacing w:line="360" w:lineRule="auto"/>
        <w:ind w:left="720"/>
        <w:jc w:val="both"/>
        <w:rPr>
          <w:rFonts w:ascii="Palatino Linotype" w:hAnsi="Palatino Linotype"/>
          <w:i/>
        </w:rPr>
      </w:pPr>
      <w:r>
        <w:rPr>
          <w:rFonts w:ascii="Palatino Linotype" w:hAnsi="Palatino Linotype"/>
          <w:i/>
        </w:rPr>
        <w:t>III. a la IX…</w:t>
      </w:r>
    </w:p>
    <w:p w14:paraId="38C432BB" w14:textId="5011435A" w:rsidR="00091131" w:rsidRDefault="00091131" w:rsidP="009F5F36">
      <w:pPr>
        <w:pStyle w:val="Prrafodelista"/>
        <w:spacing w:line="360" w:lineRule="auto"/>
        <w:ind w:left="720"/>
        <w:jc w:val="both"/>
        <w:rPr>
          <w:rFonts w:ascii="Palatino Linotype" w:hAnsi="Palatino Linotype"/>
          <w:i/>
        </w:rPr>
      </w:pPr>
      <w:r>
        <w:rPr>
          <w:rFonts w:ascii="Palatino Linotype" w:hAnsi="Palatino Linotype"/>
          <w:i/>
        </w:rPr>
        <w:t>(énfasis añadido)</w:t>
      </w:r>
    </w:p>
    <w:p w14:paraId="4151A4C5" w14:textId="01789235" w:rsidR="00091131" w:rsidRDefault="00091131" w:rsidP="009F5F36">
      <w:pPr>
        <w:pStyle w:val="Prrafodelista"/>
        <w:spacing w:line="360" w:lineRule="auto"/>
        <w:ind w:left="720"/>
        <w:jc w:val="both"/>
        <w:rPr>
          <w:rFonts w:ascii="Palatino Linotype" w:hAnsi="Palatino Linotype"/>
          <w:i/>
        </w:rPr>
      </w:pPr>
      <w:r>
        <w:rPr>
          <w:rFonts w:ascii="Palatino Linotype" w:hAnsi="Palatino Linotype"/>
          <w:i/>
        </w:rPr>
        <w:t>Por su parte, resulta aplicable el artículo 23 de la Constitución Política del estado Libre y Soberano se México señala:</w:t>
      </w:r>
    </w:p>
    <w:p w14:paraId="1D3E190C" w14:textId="78FB34F5" w:rsidR="00091131" w:rsidRDefault="00091131" w:rsidP="009F5F36">
      <w:pPr>
        <w:pStyle w:val="Prrafodelista"/>
        <w:spacing w:line="360" w:lineRule="auto"/>
        <w:ind w:left="720"/>
        <w:jc w:val="both"/>
        <w:rPr>
          <w:rFonts w:ascii="Palatino Linotype" w:hAnsi="Palatino Linotype"/>
          <w:i/>
        </w:rPr>
      </w:pPr>
      <w:r>
        <w:rPr>
          <w:rFonts w:ascii="Palatino Linotype" w:hAnsi="Palatino Linotype"/>
          <w:i/>
        </w:rPr>
        <w:t>Artículo 23.- Son mexiquenses:</w:t>
      </w:r>
    </w:p>
    <w:p w14:paraId="582BA4A5" w14:textId="1FAD48F7" w:rsidR="00091131" w:rsidRDefault="00091131" w:rsidP="009F5F36">
      <w:pPr>
        <w:pStyle w:val="Prrafodelista"/>
        <w:spacing w:line="360" w:lineRule="auto"/>
        <w:ind w:left="720"/>
        <w:jc w:val="both"/>
        <w:rPr>
          <w:rFonts w:ascii="Palatino Linotype" w:hAnsi="Palatino Linotype"/>
          <w:i/>
        </w:rPr>
      </w:pPr>
      <w:r>
        <w:rPr>
          <w:rFonts w:ascii="Palatino Linotype" w:hAnsi="Palatino Linotype"/>
          <w:i/>
        </w:rPr>
        <w:lastRenderedPageBreak/>
        <w:t>I. Los nacidos dentro de su territorio, sea cual fuere la nacionalidad de sus padres;</w:t>
      </w:r>
    </w:p>
    <w:p w14:paraId="55D4EEDD" w14:textId="026AFFB7" w:rsidR="00091131" w:rsidRDefault="00091131" w:rsidP="009F5F36">
      <w:pPr>
        <w:pStyle w:val="Prrafodelista"/>
        <w:spacing w:line="360" w:lineRule="auto"/>
        <w:ind w:left="720"/>
        <w:jc w:val="both"/>
        <w:rPr>
          <w:rFonts w:ascii="Palatino Linotype" w:hAnsi="Palatino Linotype"/>
          <w:i/>
        </w:rPr>
      </w:pPr>
      <w:r>
        <w:rPr>
          <w:rFonts w:ascii="Palatino Linotype" w:hAnsi="Palatino Linotype"/>
          <w:i/>
        </w:rPr>
        <w:t xml:space="preserve">II. Los nacidos fuera del Estado, hijo de padre o madre nacidos dentro del territorio del Estado; y </w:t>
      </w:r>
    </w:p>
    <w:p w14:paraId="00922A3C" w14:textId="43B77C9A" w:rsidR="00091131" w:rsidRPr="00091131" w:rsidRDefault="00091131" w:rsidP="009F5F36">
      <w:pPr>
        <w:pStyle w:val="Prrafodelista"/>
        <w:spacing w:line="360" w:lineRule="auto"/>
        <w:ind w:left="720"/>
        <w:jc w:val="both"/>
        <w:rPr>
          <w:rFonts w:ascii="Palatino Linotype" w:hAnsi="Palatino Linotype"/>
          <w:b/>
          <w:i/>
          <w:u w:val="single"/>
        </w:rPr>
      </w:pPr>
      <w:r w:rsidRPr="00091131">
        <w:rPr>
          <w:rFonts w:ascii="Palatino Linotype" w:hAnsi="Palatino Linotype"/>
          <w:i/>
          <w:u w:val="single"/>
        </w:rPr>
        <w:t xml:space="preserve">III. </w:t>
      </w:r>
      <w:r w:rsidRPr="00091131">
        <w:rPr>
          <w:rFonts w:ascii="Palatino Linotype" w:hAnsi="Palatino Linotype"/>
          <w:b/>
          <w:i/>
          <w:u w:val="single"/>
        </w:rPr>
        <w:t xml:space="preserve">Los vecinos, de nacionalidad mexicana, con 5 años de residencia efectiva e ininterrumpida en el territorio del Estado. </w:t>
      </w:r>
    </w:p>
    <w:p w14:paraId="015F6522" w14:textId="2579DC69" w:rsidR="00091131" w:rsidRPr="00091131" w:rsidRDefault="00091131" w:rsidP="009F5F36">
      <w:pPr>
        <w:pStyle w:val="Prrafodelista"/>
        <w:spacing w:line="360" w:lineRule="auto"/>
        <w:ind w:left="720"/>
        <w:jc w:val="both"/>
        <w:rPr>
          <w:rFonts w:ascii="Palatino Linotype" w:hAnsi="Palatino Linotype"/>
          <w:b/>
          <w:i/>
        </w:rPr>
      </w:pPr>
      <w:r>
        <w:rPr>
          <w:rFonts w:ascii="Palatino Linotype" w:hAnsi="Palatino Linotype"/>
          <w:i/>
        </w:rPr>
        <w:t xml:space="preserve">Se entenderá por residencia efectiva, el hecho de tener domicilio fijo en donde se habite permanentemente” </w:t>
      </w:r>
      <w:r>
        <w:rPr>
          <w:rFonts w:ascii="Palatino Linotype" w:hAnsi="Palatino Linotype"/>
          <w:b/>
          <w:i/>
        </w:rPr>
        <w:t>[Sic]</w:t>
      </w:r>
    </w:p>
    <w:p w14:paraId="098DBAA6" w14:textId="77777777" w:rsidR="00091131" w:rsidRDefault="00091131" w:rsidP="009F5F36">
      <w:pPr>
        <w:pStyle w:val="Prrafodelista"/>
        <w:spacing w:line="360" w:lineRule="auto"/>
        <w:ind w:left="720"/>
        <w:jc w:val="both"/>
        <w:rPr>
          <w:rFonts w:ascii="Palatino Linotype" w:hAnsi="Palatino Linotype"/>
          <w:i/>
        </w:rPr>
      </w:pPr>
    </w:p>
    <w:p w14:paraId="1A3031D7" w14:textId="650999A7" w:rsidR="002E5285" w:rsidRPr="00BC135D" w:rsidRDefault="002E5285" w:rsidP="002E5285">
      <w:pPr>
        <w:pStyle w:val="Prrafodelista"/>
        <w:numPr>
          <w:ilvl w:val="0"/>
          <w:numId w:val="31"/>
        </w:numPr>
        <w:spacing w:line="360" w:lineRule="auto"/>
        <w:jc w:val="both"/>
        <w:rPr>
          <w:rFonts w:ascii="Palatino Linotype" w:hAnsi="Palatino Linotype"/>
          <w:b/>
        </w:rPr>
      </w:pPr>
      <w:r>
        <w:rPr>
          <w:rFonts w:ascii="Palatino Linotype" w:hAnsi="Palatino Linotype"/>
          <w:b/>
        </w:rPr>
        <w:t xml:space="preserve">“70 RESPUESTA (DOCUMENTOS) DEF.pdf”:  </w:t>
      </w:r>
      <w:r w:rsidR="00BC135D">
        <w:rPr>
          <w:rFonts w:ascii="Palatino Linotype" w:hAnsi="Palatino Linotype"/>
        </w:rPr>
        <w:t>Compila lo siguiente:</w:t>
      </w:r>
    </w:p>
    <w:p w14:paraId="3C587F79" w14:textId="36F32068" w:rsidR="00BC135D" w:rsidRDefault="00BC135D" w:rsidP="00BC135D">
      <w:pPr>
        <w:pStyle w:val="Prrafodelista"/>
        <w:numPr>
          <w:ilvl w:val="0"/>
          <w:numId w:val="32"/>
        </w:numPr>
        <w:spacing w:line="360" w:lineRule="auto"/>
        <w:jc w:val="both"/>
        <w:rPr>
          <w:rFonts w:ascii="Palatino Linotype" w:hAnsi="Palatino Linotype"/>
        </w:rPr>
      </w:pPr>
      <w:r w:rsidRPr="00BC135D">
        <w:rPr>
          <w:rFonts w:ascii="Palatino Linotype" w:hAnsi="Palatino Linotype"/>
        </w:rPr>
        <w:t>Publicación e</w:t>
      </w:r>
      <w:r>
        <w:rPr>
          <w:rFonts w:ascii="Palatino Linotype" w:hAnsi="Palatino Linotype"/>
        </w:rPr>
        <w:t xml:space="preserve">n el </w:t>
      </w:r>
      <w:r w:rsidR="0097387E">
        <w:rPr>
          <w:rFonts w:ascii="Palatino Linotype" w:hAnsi="Palatino Linotype"/>
        </w:rPr>
        <w:t xml:space="preserve">Periódico Oficial “Gaceta del Gobierno” del decreto por el que se aprueba el nombramiento del Licenciado José Guadalupe Luna Hernández como Comisionado del Instituto de Transparencia, Acceso a la Información Pública y Protección de Datos Personales del Estado de México y Municipios, para concluir el período para el que fue designada la Licenciada Arlen Siu Jaime Merlos; de fecha seis de julio de dos mil quince. </w:t>
      </w:r>
    </w:p>
    <w:p w14:paraId="47482CFF" w14:textId="69722F3C" w:rsidR="0097387E" w:rsidRDefault="0097387E" w:rsidP="00BC135D">
      <w:pPr>
        <w:pStyle w:val="Prrafodelista"/>
        <w:numPr>
          <w:ilvl w:val="0"/>
          <w:numId w:val="32"/>
        </w:numPr>
        <w:spacing w:line="360" w:lineRule="auto"/>
        <w:jc w:val="both"/>
        <w:rPr>
          <w:rFonts w:ascii="Palatino Linotype" w:hAnsi="Palatino Linotype"/>
        </w:rPr>
      </w:pPr>
      <w:r>
        <w:rPr>
          <w:rFonts w:ascii="Palatino Linotype" w:hAnsi="Palatino Linotype"/>
        </w:rPr>
        <w:t xml:space="preserve">Curriculum vitae en versión pública, refleja perfil, experiencia profesional, formación, publicaciones, </w:t>
      </w:r>
      <w:r w:rsidR="00FE080F">
        <w:rPr>
          <w:rFonts w:ascii="Palatino Linotype" w:hAnsi="Palatino Linotype"/>
        </w:rPr>
        <w:t xml:space="preserve">trayectoria social y cívica; consistente en tres fojas. </w:t>
      </w:r>
    </w:p>
    <w:p w14:paraId="7C6FAC06" w14:textId="2B995E33" w:rsidR="0097387E" w:rsidRDefault="00FE080F" w:rsidP="00BC135D">
      <w:pPr>
        <w:pStyle w:val="Prrafodelista"/>
        <w:numPr>
          <w:ilvl w:val="0"/>
          <w:numId w:val="32"/>
        </w:numPr>
        <w:spacing w:line="360" w:lineRule="auto"/>
        <w:jc w:val="both"/>
        <w:rPr>
          <w:rFonts w:ascii="Palatino Linotype" w:hAnsi="Palatino Linotype"/>
        </w:rPr>
      </w:pPr>
      <w:r>
        <w:rPr>
          <w:rFonts w:ascii="Palatino Linotype" w:hAnsi="Palatino Linotype"/>
        </w:rPr>
        <w:t xml:space="preserve">Documento de presentación ante la Junta de Coordinación Política de la LVIII Legislatura del Estado de México, consistente en 11 –once- fojas. </w:t>
      </w:r>
    </w:p>
    <w:p w14:paraId="3CC9FA70" w14:textId="77777777" w:rsidR="00FE080F" w:rsidRDefault="00FE080F" w:rsidP="00FE080F">
      <w:pPr>
        <w:spacing w:line="360" w:lineRule="auto"/>
        <w:jc w:val="both"/>
        <w:rPr>
          <w:rFonts w:ascii="Palatino Linotype" w:hAnsi="Palatino Linotype"/>
        </w:rPr>
      </w:pPr>
    </w:p>
    <w:p w14:paraId="463B5D3C" w14:textId="26B50428" w:rsidR="000B5C57" w:rsidRPr="00395EDB" w:rsidRDefault="00DB6202" w:rsidP="000B5C57">
      <w:pPr>
        <w:tabs>
          <w:tab w:val="left" w:pos="709"/>
        </w:tabs>
        <w:spacing w:before="240" w:line="360" w:lineRule="auto"/>
        <w:ind w:right="51"/>
        <w:jc w:val="both"/>
        <w:rPr>
          <w:rFonts w:ascii="Arial" w:hAnsi="Arial" w:cs="Arial"/>
          <w:color w:val="222222"/>
          <w:lang w:eastAsia="es-MX"/>
        </w:rPr>
      </w:pPr>
      <w:r>
        <w:rPr>
          <w:rFonts w:ascii="Palatino Linotype" w:hAnsi="Palatino Linotype"/>
          <w:sz w:val="24"/>
          <w:szCs w:val="24"/>
        </w:rPr>
        <w:t xml:space="preserve">Luego entonces, </w:t>
      </w:r>
      <w:r>
        <w:rPr>
          <w:rFonts w:ascii="Palatino Linotype" w:hAnsi="Palatino Linotype"/>
          <w:b/>
          <w:sz w:val="24"/>
          <w:szCs w:val="24"/>
        </w:rPr>
        <w:t>en alusión al requerimiento identificado</w:t>
      </w:r>
      <w:r w:rsidR="000B5C57">
        <w:rPr>
          <w:rFonts w:ascii="Palatino Linotype" w:hAnsi="Palatino Linotype"/>
          <w:b/>
          <w:sz w:val="24"/>
          <w:szCs w:val="24"/>
        </w:rPr>
        <w:t xml:space="preserve"> con el numeral</w:t>
      </w:r>
      <w:r>
        <w:rPr>
          <w:rFonts w:ascii="Palatino Linotype" w:hAnsi="Palatino Linotype"/>
          <w:b/>
          <w:sz w:val="24"/>
          <w:szCs w:val="24"/>
        </w:rPr>
        <w:t xml:space="preserve"> 13 –trece- (reuniones con legisladores del Estado de México)</w:t>
      </w:r>
      <w:r w:rsidR="000B5C57">
        <w:rPr>
          <w:rFonts w:ascii="Palatino Linotype" w:hAnsi="Palatino Linotype"/>
          <w:b/>
          <w:sz w:val="24"/>
          <w:szCs w:val="24"/>
        </w:rPr>
        <w:t xml:space="preserve"> </w:t>
      </w:r>
      <w:r>
        <w:rPr>
          <w:rFonts w:ascii="Palatino Linotype" w:hAnsi="Palatino Linotype"/>
          <w:sz w:val="24"/>
          <w:szCs w:val="24"/>
        </w:rPr>
        <w:t xml:space="preserve">conforme a lo expuesto en alcance al informe justificado, </w:t>
      </w:r>
      <w:r w:rsidR="000B5C57">
        <w:rPr>
          <w:rFonts w:ascii="Palatino Linotype" w:hAnsi="Palatino Linotype"/>
          <w:b/>
          <w:sz w:val="24"/>
          <w:szCs w:val="24"/>
        </w:rPr>
        <w:t xml:space="preserve">El Sujeto Obligado </w:t>
      </w:r>
      <w:r w:rsidR="00735A76">
        <w:rPr>
          <w:rFonts w:ascii="Palatino Linotype" w:hAnsi="Palatino Linotype"/>
          <w:sz w:val="24"/>
          <w:szCs w:val="24"/>
        </w:rPr>
        <w:t xml:space="preserve">hizo del conocimiento de </w:t>
      </w:r>
      <w:r w:rsidR="00735A76">
        <w:rPr>
          <w:rFonts w:ascii="Palatino Linotype" w:hAnsi="Palatino Linotype"/>
          <w:b/>
          <w:sz w:val="24"/>
          <w:szCs w:val="24"/>
        </w:rPr>
        <w:t>La</w:t>
      </w:r>
      <w:r w:rsidR="000B5C57">
        <w:rPr>
          <w:rFonts w:ascii="Palatino Linotype" w:hAnsi="Palatino Linotype"/>
          <w:b/>
          <w:sz w:val="24"/>
          <w:szCs w:val="24"/>
        </w:rPr>
        <w:t xml:space="preserve"> Recurrente </w:t>
      </w:r>
      <w:r w:rsidR="000B5C57">
        <w:rPr>
          <w:rFonts w:ascii="Palatino Linotype" w:hAnsi="Palatino Linotype"/>
          <w:sz w:val="24"/>
          <w:szCs w:val="24"/>
        </w:rPr>
        <w:t xml:space="preserve">que no cuenta con la información que resulta de su interés; destacando </w:t>
      </w:r>
      <w:r w:rsidR="000B5C57" w:rsidRPr="00A507EB">
        <w:rPr>
          <w:rFonts w:ascii="Palatino Linotype" w:hAnsi="Palatino Linotype" w:cs="Arial"/>
          <w:sz w:val="24"/>
          <w:szCs w:val="24"/>
        </w:rPr>
        <w:t xml:space="preserve">entonces que </w:t>
      </w:r>
      <w:r w:rsidR="000B5C57" w:rsidRPr="00A507EB">
        <w:rPr>
          <w:rFonts w:ascii="Palatino Linotype" w:hAnsi="Palatino Linotype" w:cs="Arial"/>
          <w:sz w:val="24"/>
          <w:szCs w:val="24"/>
        </w:rPr>
        <w:lastRenderedPageBreak/>
        <w:t>el Pleno de este Organismo Garante, ha sostenido que ante la presencia de un hecho negativo, resultaría innecesaria una declaratoria de inexistencia en términos de 19, 169 y 170 de la Ley de Transparencia y Acceso a la Información Pública del Estado de México y Municipios, y</w:t>
      </w:r>
      <w:r w:rsidR="000B5C57">
        <w:rPr>
          <w:rFonts w:ascii="Palatino Linotype" w:hAnsi="Palatino Linotype" w:cs="Arial"/>
          <w:sz w:val="24"/>
          <w:szCs w:val="24"/>
        </w:rPr>
        <w:t xml:space="preserve"> ante un hecho negativo resulta aplicable</w:t>
      </w:r>
      <w:r w:rsidR="000B5C57" w:rsidRPr="00A507EB">
        <w:rPr>
          <w:rFonts w:ascii="Palatino Linotype" w:hAnsi="Palatino Linotype" w:cs="Arial"/>
          <w:sz w:val="24"/>
          <w:szCs w:val="24"/>
        </w:rPr>
        <w:t xml:space="preserve"> la siguiente tesis</w:t>
      </w:r>
      <w:r w:rsidR="000B5C57" w:rsidRPr="00A507EB">
        <w:rPr>
          <w:rFonts w:ascii="Palatino Linotype" w:hAnsi="Palatino Linotype" w:cs="Arial"/>
          <w:color w:val="222222"/>
          <w:sz w:val="24"/>
          <w:szCs w:val="24"/>
        </w:rPr>
        <w:t>:</w:t>
      </w:r>
    </w:p>
    <w:p w14:paraId="6E74A667" w14:textId="77777777" w:rsidR="000B5C57" w:rsidRPr="00395EDB" w:rsidRDefault="000B5C57" w:rsidP="000B5C57">
      <w:pPr>
        <w:shd w:val="clear" w:color="auto" w:fill="FFFFFF"/>
        <w:spacing w:before="240" w:line="360" w:lineRule="auto"/>
        <w:ind w:left="851" w:right="851"/>
        <w:jc w:val="both"/>
        <w:rPr>
          <w:rFonts w:ascii="Arial" w:hAnsi="Arial" w:cs="Arial"/>
          <w:color w:val="222222"/>
          <w:sz w:val="19"/>
          <w:szCs w:val="19"/>
        </w:rPr>
      </w:pPr>
      <w:r w:rsidRPr="00395EDB">
        <w:rPr>
          <w:rFonts w:ascii="Palatino Linotype" w:hAnsi="Palatino Linotype" w:cs="Arial"/>
          <w:color w:val="222222"/>
          <w:sz w:val="19"/>
          <w:szCs w:val="19"/>
        </w:rPr>
        <w:t> </w:t>
      </w:r>
      <w:r w:rsidRPr="00395EDB">
        <w:rPr>
          <w:rFonts w:ascii="Palatino Linotype" w:hAnsi="Palatino Linotype" w:cs="Arial"/>
          <w:b/>
          <w:bCs/>
          <w:i/>
          <w:iCs/>
          <w:color w:val="222222"/>
        </w:rPr>
        <w:t>“HECHOS NEGATIVOS, NO SON SUSCEPTIBLES DE DEMOSTRACION.</w:t>
      </w:r>
    </w:p>
    <w:p w14:paraId="0C20B4EF" w14:textId="77777777" w:rsidR="000B5C57" w:rsidRPr="00D71F22" w:rsidRDefault="000B5C57" w:rsidP="000B5C57">
      <w:pPr>
        <w:shd w:val="clear" w:color="auto" w:fill="FFFFFF"/>
        <w:spacing w:before="240" w:line="360" w:lineRule="auto"/>
        <w:ind w:left="851" w:right="851"/>
        <w:jc w:val="both"/>
        <w:rPr>
          <w:rFonts w:ascii="Arial" w:hAnsi="Arial" w:cs="Arial"/>
          <w:b/>
          <w:color w:val="222222"/>
          <w:sz w:val="19"/>
          <w:szCs w:val="19"/>
        </w:rPr>
      </w:pPr>
      <w:r w:rsidRPr="00395EDB">
        <w:rPr>
          <w:rFonts w:ascii="Palatino Linotype" w:hAnsi="Palatino Linotype" w:cs="Arial"/>
          <w:i/>
          <w:iCs/>
          <w:color w:val="222222"/>
        </w:rPr>
        <w:t>Tratándose de un hecho negativo, el Juez no tiene por qué invocar prueba alguna de la que se desprenda, ya que es bien sabido que esta clase de hechos no son susceptibles de demostración.</w:t>
      </w:r>
      <w:r>
        <w:rPr>
          <w:rFonts w:ascii="Palatino Linotype" w:hAnsi="Palatino Linotype" w:cs="Arial"/>
          <w:i/>
          <w:iCs/>
          <w:color w:val="222222"/>
        </w:rPr>
        <w:t xml:space="preserve">” </w:t>
      </w:r>
      <w:r>
        <w:rPr>
          <w:rFonts w:ascii="Palatino Linotype" w:hAnsi="Palatino Linotype" w:cs="Arial"/>
          <w:b/>
          <w:i/>
          <w:iCs/>
          <w:color w:val="222222"/>
        </w:rPr>
        <w:t>[Sic]</w:t>
      </w:r>
    </w:p>
    <w:p w14:paraId="52605E50" w14:textId="422FFE4B" w:rsidR="00DB6202" w:rsidRDefault="00DB6202" w:rsidP="00FE080F">
      <w:pPr>
        <w:spacing w:line="360" w:lineRule="auto"/>
        <w:jc w:val="both"/>
        <w:rPr>
          <w:rFonts w:ascii="Palatino Linotype" w:hAnsi="Palatino Linotype"/>
          <w:sz w:val="24"/>
          <w:szCs w:val="24"/>
        </w:rPr>
      </w:pPr>
    </w:p>
    <w:p w14:paraId="7D9C5D9F" w14:textId="77777777" w:rsidR="000B5C57" w:rsidRDefault="000B5C57" w:rsidP="000B5C57">
      <w:pPr>
        <w:pStyle w:val="Sinespaciado"/>
        <w:spacing w:before="240" w:after="160" w:line="360" w:lineRule="auto"/>
        <w:jc w:val="both"/>
        <w:rPr>
          <w:rFonts w:ascii="Palatino Linotype" w:hAnsi="Palatino Linotype" w:cs="Arial"/>
        </w:rPr>
      </w:pPr>
      <w:r>
        <w:rPr>
          <w:rFonts w:ascii="Palatino Linotype" w:hAnsi="Palatino Linotype"/>
        </w:rPr>
        <w:t xml:space="preserve">De forma complementaria, remitió diversos soportes documentales en versión pública, encauzados a colmar el requerimiento identificado con el numeral </w:t>
      </w:r>
      <w:r>
        <w:rPr>
          <w:rFonts w:ascii="Palatino Linotype" w:hAnsi="Palatino Linotype"/>
          <w:b/>
        </w:rPr>
        <w:t xml:space="preserve">9 –nueve- (grados académicos). </w:t>
      </w:r>
      <w:r>
        <w:rPr>
          <w:rFonts w:ascii="Palatino Linotype" w:hAnsi="Palatino Linotype" w:cs="Arial"/>
          <w:color w:val="000000"/>
        </w:rPr>
        <w:t xml:space="preserve">En virtud de lo anterior, a toda luz se desprende que las actuaciones rendidas por </w:t>
      </w:r>
      <w:r>
        <w:rPr>
          <w:rFonts w:ascii="Palatino Linotype" w:hAnsi="Palatino Linotype" w:cs="Arial"/>
          <w:b/>
          <w:color w:val="000000"/>
        </w:rPr>
        <w:t xml:space="preserve">El Sujeto Obligado </w:t>
      </w:r>
      <w:r>
        <w:rPr>
          <w:rFonts w:ascii="Palatino Linotype" w:hAnsi="Palatino Linotype" w:cs="Arial"/>
          <w:color w:val="000000"/>
        </w:rPr>
        <w:t xml:space="preserve">se encuentran dotadas de los principios de congruencia y exhaustividad, al haber garantizado plenamente el derecho de acceso a la información pública. </w:t>
      </w:r>
      <w:r>
        <w:rPr>
          <w:rFonts w:ascii="Palatino Linotype" w:hAnsi="Palatino Linotype" w:cs="Arial"/>
        </w:rPr>
        <w:t xml:space="preserve">Robustece lo anterior el criterio </w:t>
      </w:r>
      <w:r>
        <w:rPr>
          <w:rFonts w:ascii="Palatino Linotype" w:hAnsi="Palatino Linotype" w:cs="Arial"/>
          <w:b/>
        </w:rPr>
        <w:t xml:space="preserve">02/17 </w:t>
      </w:r>
      <w:r>
        <w:rPr>
          <w:rFonts w:ascii="Palatino Linotype" w:hAnsi="Palatino Linotype" w:cs="Arial"/>
        </w:rPr>
        <w:t xml:space="preserve">del Instituto Nacional de Transparencia, Acceso a la Información y Protección de Datos Personales que dispone a la literalidad lo siguiente: </w:t>
      </w:r>
    </w:p>
    <w:p w14:paraId="72C086DB" w14:textId="77777777" w:rsidR="000B5C57" w:rsidRDefault="000B5C57" w:rsidP="000B5C57">
      <w:pPr>
        <w:spacing w:before="240" w:line="360" w:lineRule="auto"/>
        <w:ind w:left="851" w:right="851"/>
        <w:jc w:val="both"/>
        <w:rPr>
          <w:rFonts w:ascii="Palatino Linotype" w:hAnsi="Palatino Linotype" w:cs="Arial"/>
          <w:b/>
          <w:i/>
        </w:rPr>
      </w:pPr>
      <w:r>
        <w:rPr>
          <w:rFonts w:ascii="Palatino Linotype" w:hAnsi="Palatino Linotype" w:cs="Arial"/>
          <w:b/>
          <w:i/>
        </w:rPr>
        <w:t>“</w:t>
      </w:r>
      <w:r w:rsidRPr="004C5D8A">
        <w:rPr>
          <w:rFonts w:ascii="Palatino Linotype" w:hAnsi="Palatino Linotype" w:cs="Arial"/>
          <w:b/>
          <w:i/>
        </w:rPr>
        <w:t xml:space="preserve">CONGRUENCIA Y EXHAUSTIVIDAD. SUS ALCANCES PARA GARANTIZAR EL DERECHO DE ACCESO A LA INFORMACIÓN. </w:t>
      </w:r>
    </w:p>
    <w:p w14:paraId="5F02878D" w14:textId="77777777" w:rsidR="000B5C57" w:rsidRDefault="000B5C57" w:rsidP="000B5C57">
      <w:pPr>
        <w:spacing w:before="240" w:line="360" w:lineRule="auto"/>
        <w:ind w:left="851" w:right="851"/>
        <w:jc w:val="both"/>
        <w:rPr>
          <w:rFonts w:ascii="Palatino Linotype" w:hAnsi="Palatino Linotype" w:cs="Arial"/>
          <w:i/>
        </w:rPr>
      </w:pPr>
      <w:r w:rsidRPr="004C5D8A">
        <w:rPr>
          <w:rFonts w:ascii="Palatino Linotype" w:hAnsi="Palatino Linotype" w:cs="Arial"/>
          <w:i/>
        </w:rPr>
        <w:t xml:space="preserve">De conformidad con el artículo </w:t>
      </w:r>
      <w:r w:rsidRPr="004C5D8A">
        <w:rPr>
          <w:rFonts w:ascii="Palatino Linotype" w:hAnsi="Palatino Linotype"/>
          <w:i/>
          <w:lang w:val="es-ES_tradnl"/>
        </w:rPr>
        <w:t>3 de la Ley Federal de Procedimiento Administrativo</w:t>
      </w:r>
      <w:r w:rsidRPr="004C5D8A">
        <w:rPr>
          <w:rFonts w:ascii="Palatino Linotype" w:hAnsi="Palatino Linotype" w:cs="Arial"/>
          <w:i/>
        </w:rPr>
        <w:t>, de aplicación supletoria a la Ley Federal de Transparencia y Acceso a la Información Pública, en términos de su artículo 7</w:t>
      </w:r>
      <w:r w:rsidRPr="0012591D">
        <w:rPr>
          <w:rFonts w:ascii="Palatino Linotype" w:hAnsi="Palatino Linotype" w:cs="Arial"/>
          <w:b/>
          <w:i/>
          <w:u w:val="single"/>
        </w:rPr>
        <w:t xml:space="preserve">; todo acto administrativo debe cumplir </w:t>
      </w:r>
      <w:r w:rsidRPr="0012591D">
        <w:rPr>
          <w:rFonts w:ascii="Palatino Linotype" w:hAnsi="Palatino Linotype" w:cs="Arial"/>
          <w:b/>
          <w:i/>
          <w:u w:val="single"/>
        </w:rPr>
        <w:lastRenderedPageBreak/>
        <w:t>con los principios de congruencia y exhaustividad.</w:t>
      </w:r>
      <w:r w:rsidRPr="004C5D8A">
        <w:rPr>
          <w:rFonts w:ascii="Palatino Linotype" w:hAnsi="Palatino Linotype" w:cs="Arial"/>
          <w:i/>
        </w:rPr>
        <w:t xml:space="preserve">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7F172022" w14:textId="77777777" w:rsidR="000B5C57" w:rsidRDefault="000B5C57" w:rsidP="000B5C57">
      <w:pPr>
        <w:spacing w:before="240" w:line="360" w:lineRule="auto"/>
        <w:ind w:left="851" w:right="851"/>
        <w:jc w:val="both"/>
        <w:rPr>
          <w:rFonts w:ascii="Palatino Linotype" w:hAnsi="Palatino Linotype" w:cs="Arial"/>
          <w:i/>
        </w:rPr>
      </w:pPr>
      <w:r>
        <w:rPr>
          <w:rFonts w:ascii="Palatino Linotype" w:hAnsi="Palatino Linotype" w:cs="Arial"/>
          <w:i/>
        </w:rPr>
        <w:t xml:space="preserve">Expedientes: RRA 0003/16 Comisión Nacional de las Zonas Áridas. 29 de junio de 2016. Por unanimidad. Comisionado Ponente Oscar Mauricio Guerra Ford. </w:t>
      </w:r>
    </w:p>
    <w:p w14:paraId="3538B87B" w14:textId="77777777" w:rsidR="000B5C57" w:rsidRDefault="000B5C57" w:rsidP="000B5C57">
      <w:pPr>
        <w:spacing w:before="240" w:line="360" w:lineRule="auto"/>
        <w:ind w:left="851" w:right="851"/>
        <w:jc w:val="both"/>
        <w:rPr>
          <w:rFonts w:ascii="Palatino Linotype" w:hAnsi="Palatino Linotype" w:cs="Arial"/>
          <w:i/>
        </w:rPr>
      </w:pPr>
      <w:r>
        <w:rPr>
          <w:rFonts w:ascii="Palatino Linotype" w:hAnsi="Palatino Linotype" w:cs="Arial"/>
          <w:i/>
        </w:rPr>
        <w:t xml:space="preserve">RRA 0100/16. Sindicato Nacional de Trabajadores de la Educación. 13 de julio de 2016. Por unanimidad. Comisionada Ponente Areli Cano Guadiana. </w:t>
      </w:r>
    </w:p>
    <w:p w14:paraId="5C0A1189" w14:textId="77777777" w:rsidR="000B5C57" w:rsidRDefault="000B5C57" w:rsidP="000B5C57">
      <w:pPr>
        <w:spacing w:before="240" w:line="360" w:lineRule="auto"/>
        <w:ind w:left="851" w:right="851"/>
        <w:jc w:val="both"/>
        <w:rPr>
          <w:rFonts w:ascii="Palatino Linotype" w:eastAsia="Times New Roman" w:hAnsi="Palatino Linotype" w:cs="Times New Roman"/>
          <w:b/>
          <w:sz w:val="24"/>
          <w:szCs w:val="24"/>
          <w:lang w:val="es-ES_tradnl" w:eastAsia="es-ES"/>
        </w:rPr>
      </w:pPr>
      <w:r>
        <w:rPr>
          <w:rFonts w:ascii="Palatino Linotype" w:hAnsi="Palatino Linotype" w:cs="Arial"/>
          <w:i/>
        </w:rPr>
        <w:t xml:space="preserve">RRA 1419/16 Secretaría de Educación Pública. 14 de septiembre de 2016. Por unanimidad. Comisionado Ponente Rosendoevgueni Monterrey Chepov.” </w:t>
      </w:r>
      <w:r w:rsidRPr="002D7F26">
        <w:rPr>
          <w:rFonts w:ascii="Palatino Linotype" w:eastAsia="Times New Roman" w:hAnsi="Palatino Linotype" w:cs="Times New Roman"/>
          <w:b/>
          <w:i/>
          <w:sz w:val="24"/>
          <w:szCs w:val="24"/>
          <w:lang w:val="es-ES_tradnl" w:eastAsia="es-ES"/>
        </w:rPr>
        <w:t>[Sic]</w:t>
      </w:r>
    </w:p>
    <w:p w14:paraId="74786B66" w14:textId="2A4D96BB" w:rsidR="00FE080F" w:rsidRDefault="00FE080F" w:rsidP="00FE080F">
      <w:pPr>
        <w:spacing w:line="360" w:lineRule="auto"/>
        <w:jc w:val="both"/>
        <w:rPr>
          <w:rFonts w:ascii="Palatino Linotype" w:hAnsi="Palatino Linotype"/>
          <w:sz w:val="24"/>
          <w:szCs w:val="24"/>
        </w:rPr>
      </w:pPr>
    </w:p>
    <w:p w14:paraId="4EB79474" w14:textId="77777777" w:rsidR="00FE080F" w:rsidRPr="00E5738E" w:rsidRDefault="00FE080F" w:rsidP="00FE080F">
      <w:pPr>
        <w:spacing w:line="360" w:lineRule="auto"/>
        <w:jc w:val="both"/>
        <w:rPr>
          <w:rFonts w:ascii="Palatino Linotype" w:hAnsi="Palatino Linotype" w:cs="Arial"/>
          <w:sz w:val="24"/>
          <w:szCs w:val="24"/>
        </w:rPr>
      </w:pPr>
      <w:r w:rsidRPr="00E5738E">
        <w:rPr>
          <w:rFonts w:ascii="Palatino Linotype" w:hAnsi="Palatino Linotype" w:cs="Arial"/>
          <w:sz w:val="24"/>
          <w:szCs w:val="24"/>
        </w:rPr>
        <w:t>Por lo que hace a las causas de sobreseimiento contenidas en el artículo 192 de la Ley de Transparencia y Acceso a la Información Pública del Estado de México y Municipios, es oportuno señalar que estos requisitos privilegian la existencia de elementos de fondo, tales como el d</w:t>
      </w:r>
      <w:r>
        <w:rPr>
          <w:rFonts w:ascii="Palatino Linotype" w:hAnsi="Palatino Linotype" w:cs="Arial"/>
          <w:sz w:val="24"/>
          <w:szCs w:val="24"/>
        </w:rPr>
        <w:t>esistimiento o fallecimiento del</w:t>
      </w:r>
      <w:r w:rsidRPr="00E5738E">
        <w:rPr>
          <w:rFonts w:ascii="Palatino Linotype" w:hAnsi="Palatino Linotype" w:cs="Arial"/>
          <w:b/>
          <w:sz w:val="24"/>
          <w:szCs w:val="24"/>
        </w:rPr>
        <w:t xml:space="preserve"> Recurrente </w:t>
      </w:r>
      <w:r w:rsidRPr="00E5738E">
        <w:rPr>
          <w:rFonts w:ascii="Palatino Linotype" w:hAnsi="Palatino Linotype" w:cs="Arial"/>
          <w:sz w:val="24"/>
          <w:szCs w:val="24"/>
        </w:rPr>
        <w:t xml:space="preserve">o que el </w:t>
      </w:r>
      <w:r w:rsidRPr="00E5738E">
        <w:rPr>
          <w:rFonts w:ascii="Palatino Linotype" w:hAnsi="Palatino Linotype" w:cs="Arial"/>
          <w:b/>
          <w:sz w:val="24"/>
          <w:szCs w:val="24"/>
        </w:rPr>
        <w:t xml:space="preserve">Sujeto Obligado </w:t>
      </w:r>
      <w:r w:rsidRPr="00E5738E">
        <w:rPr>
          <w:rFonts w:ascii="Palatino Linotype" w:hAnsi="Palatino Linotype" w:cs="Arial"/>
          <w:b/>
          <w:sz w:val="24"/>
          <w:szCs w:val="24"/>
          <w:u w:val="single"/>
        </w:rPr>
        <w:t xml:space="preserve">modifique el acto; </w:t>
      </w:r>
      <w:r w:rsidRPr="00E5738E">
        <w:rPr>
          <w:rFonts w:ascii="Palatino Linotype" w:hAnsi="Palatino Linotype" w:cs="Arial"/>
          <w:sz w:val="24"/>
          <w:szCs w:val="24"/>
        </w:rPr>
        <w:t xml:space="preserve">de ahí que la actualización de alguno de éstos trae como consecuencia que el medio de impugnación se concluya sin que se analice el objeto de estudio planteado, es decir se sobresea. </w:t>
      </w:r>
    </w:p>
    <w:p w14:paraId="73C6FC3B" w14:textId="77777777" w:rsidR="00FE080F" w:rsidRPr="00E5738E" w:rsidRDefault="00FE080F" w:rsidP="00FE080F">
      <w:pPr>
        <w:spacing w:line="360" w:lineRule="auto"/>
        <w:jc w:val="both"/>
        <w:rPr>
          <w:rFonts w:ascii="Palatino Linotype" w:hAnsi="Palatino Linotype" w:cs="Arial"/>
          <w:sz w:val="24"/>
          <w:szCs w:val="24"/>
        </w:rPr>
      </w:pPr>
      <w:r w:rsidRPr="00E5738E">
        <w:rPr>
          <w:rFonts w:ascii="Palatino Linotype" w:hAnsi="Palatino Linotype" w:cs="Arial"/>
          <w:sz w:val="24"/>
          <w:szCs w:val="24"/>
        </w:rPr>
        <w:lastRenderedPageBreak/>
        <w:t>Por otra parte, la doctrina del sobreseimiento provoca que un procedimiento se suspenda o se resuelva en definitiva sin que se entre al estudio de los agravios o motivos de inconformidad. Este mismo criterio es compartido por el más alto tribunal del país en múltiples jurisprudencias, por lo que a continuación se agrega una de ellas que sirve como orientador en esta resolución:</w:t>
      </w:r>
    </w:p>
    <w:p w14:paraId="33C75853" w14:textId="77777777" w:rsidR="00FE080F" w:rsidRPr="0004467E" w:rsidRDefault="00FE080F" w:rsidP="00FE080F">
      <w:pPr>
        <w:spacing w:line="360" w:lineRule="auto"/>
        <w:ind w:left="851" w:right="851"/>
        <w:jc w:val="both"/>
        <w:rPr>
          <w:rFonts w:ascii="Palatino Linotype" w:hAnsi="Palatino Linotype" w:cs="Arial"/>
          <w:b/>
          <w:i/>
        </w:rPr>
      </w:pPr>
      <w:r w:rsidRPr="0004467E">
        <w:rPr>
          <w:rFonts w:ascii="Palatino Linotype" w:hAnsi="Palatino Linotype" w:cs="Arial"/>
          <w:b/>
          <w:i/>
        </w:rPr>
        <w:t>“SOBRESEIMIENTO EN EL JUICIO DE AMPARO DIRECTO. IMPIDE EL ESTUDIO DE LAS VIOLACIONES PROCESALES PLANTEADAS EN LOS CONCEPTOS DE VIOLACIÓN.</w:t>
      </w:r>
    </w:p>
    <w:p w14:paraId="0194296B" w14:textId="77777777" w:rsidR="00FE080F" w:rsidRPr="0004467E" w:rsidRDefault="00FE080F" w:rsidP="00FE080F">
      <w:pPr>
        <w:spacing w:line="360" w:lineRule="auto"/>
        <w:ind w:left="851" w:right="851"/>
        <w:jc w:val="both"/>
        <w:rPr>
          <w:rFonts w:ascii="Palatino Linotype" w:hAnsi="Palatino Linotype"/>
          <w:i/>
          <w:color w:val="000000"/>
        </w:rPr>
      </w:pPr>
      <w:r w:rsidRPr="00BE0E81">
        <w:rPr>
          <w:rFonts w:ascii="Palatino Linotype" w:hAnsi="Palatino Linotype" w:cs="Arial"/>
          <w:b/>
          <w:i/>
          <w:u w:val="single"/>
        </w:rPr>
        <w:t>El sobreseimiento</w:t>
      </w:r>
      <w:r w:rsidRPr="0004467E">
        <w:rPr>
          <w:rFonts w:ascii="Palatino Linotype" w:hAnsi="Palatino Linotype" w:cs="Arial"/>
          <w:b/>
          <w:i/>
        </w:rPr>
        <w:t xml:space="preserve"> </w:t>
      </w:r>
      <w:r w:rsidRPr="0004467E">
        <w:rPr>
          <w:rFonts w:ascii="Palatino Linotype" w:hAnsi="Palatino Linotype" w:cs="Arial"/>
          <w:i/>
        </w:rPr>
        <w:t xml:space="preserve">en el juicio de amparo directo </w:t>
      </w:r>
      <w:r w:rsidRPr="00BE0E81">
        <w:rPr>
          <w:rFonts w:ascii="Palatino Linotype" w:hAnsi="Palatino Linotype" w:cs="Arial"/>
          <w:b/>
          <w:i/>
          <w:u w:val="single"/>
        </w:rPr>
        <w:t>provoca la terminación de la controversia planteada</w:t>
      </w:r>
      <w:r w:rsidRPr="0004467E">
        <w:rPr>
          <w:rFonts w:ascii="Palatino Linotype" w:hAnsi="Palatino Linotype" w:cs="Arial"/>
          <w:b/>
          <w:i/>
        </w:rPr>
        <w:t xml:space="preserve"> </w:t>
      </w:r>
      <w:r w:rsidRPr="0004467E">
        <w:rPr>
          <w:rFonts w:ascii="Palatino Linotype" w:hAnsi="Palatino Linotype" w:cs="Arial"/>
          <w:i/>
        </w:rPr>
        <w:t>por el quejoso en la demanda de amparo</w:t>
      </w:r>
      <w:r w:rsidRPr="0004467E">
        <w:rPr>
          <w:rFonts w:ascii="Calibri" w:hAnsi="Calibri"/>
          <w:color w:val="000000"/>
          <w:sz w:val="26"/>
          <w:szCs w:val="26"/>
        </w:rPr>
        <w:t xml:space="preserve"> </w:t>
      </w:r>
      <w:r w:rsidRPr="0004467E">
        <w:rPr>
          <w:rFonts w:ascii="Palatino Linotype" w:hAnsi="Palatino Linotype"/>
          <w:i/>
          <w:color w:val="000000"/>
        </w:rPr>
        <w:t xml:space="preserve">provoca la terminación de la controversia planteada por el quejoso en la demanda de </w:t>
      </w:r>
      <w:r w:rsidRPr="0004467E">
        <w:rPr>
          <w:rFonts w:ascii="Palatino Linotype" w:hAnsi="Palatino Linotype"/>
          <w:b/>
          <w:i/>
          <w:color w:val="000000"/>
        </w:rPr>
        <w:t>amparo</w:t>
      </w:r>
      <w:r w:rsidRPr="0004467E">
        <w:rPr>
          <w:rFonts w:ascii="Palatino Linotype" w:hAnsi="Palatino Linotype"/>
          <w:i/>
          <w:color w:val="000000"/>
        </w:rPr>
        <w:t>, sin hacer un pronunciamiento de fondo sobre la legalidad o ilegalidad de la sentencia reclamada. Por consiguiente, si al sobreseerse en el</w:t>
      </w:r>
      <w:r w:rsidRPr="0004467E">
        <w:rPr>
          <w:rFonts w:ascii="Palatino Linotype" w:hAnsi="Palatino Linotype"/>
          <w:b/>
          <w:i/>
          <w:color w:val="000000"/>
        </w:rPr>
        <w:t xml:space="preserve"> juicio </w:t>
      </w:r>
      <w:r w:rsidRPr="0004467E">
        <w:rPr>
          <w:rFonts w:ascii="Palatino Linotype" w:hAnsi="Palatino Linotype"/>
          <w:i/>
          <w:color w:val="000000"/>
        </w:rPr>
        <w:t xml:space="preserve">de </w:t>
      </w:r>
      <w:r w:rsidRPr="0004467E">
        <w:rPr>
          <w:rFonts w:ascii="Palatino Linotype" w:hAnsi="Palatino Linotype"/>
          <w:b/>
          <w:i/>
          <w:color w:val="000000"/>
        </w:rPr>
        <w:t>amparo</w:t>
      </w:r>
      <w:r w:rsidRPr="0004467E">
        <w:rPr>
          <w:rFonts w:ascii="Palatino Linotype" w:hAnsi="Palatino Linotype"/>
          <w:i/>
          <w:color w:val="000000"/>
        </w:rPr>
        <w:t xml:space="preserve"> no se pueden estudiar los planteamientos que se hacen valer en contra del fallo reclamado, tampoco se deben analizar las</w:t>
      </w:r>
      <w:r w:rsidRPr="0004467E">
        <w:rPr>
          <w:rFonts w:ascii="Palatino Linotype" w:hAnsi="Palatino Linotype"/>
          <w:b/>
          <w:i/>
          <w:color w:val="000000"/>
        </w:rPr>
        <w:t xml:space="preserve"> violaciones procesales</w:t>
      </w:r>
      <w:r w:rsidRPr="0004467E">
        <w:rPr>
          <w:rFonts w:ascii="Palatino Linotype" w:hAnsi="Palatino Linotype"/>
          <w:i/>
          <w:color w:val="000000"/>
        </w:rPr>
        <w:t xml:space="preserve"> propuestas en los </w:t>
      </w:r>
      <w:r w:rsidRPr="0004467E">
        <w:rPr>
          <w:rFonts w:ascii="Palatino Linotype" w:hAnsi="Palatino Linotype"/>
          <w:b/>
          <w:i/>
          <w:color w:val="000000"/>
        </w:rPr>
        <w:t xml:space="preserve">conceptos </w:t>
      </w:r>
      <w:r w:rsidRPr="0004467E">
        <w:rPr>
          <w:rFonts w:ascii="Palatino Linotype" w:hAnsi="Palatino Linotype"/>
          <w:i/>
          <w:color w:val="000000"/>
        </w:rPr>
        <w:t xml:space="preserve">de </w:t>
      </w:r>
      <w:r w:rsidRPr="0004467E">
        <w:rPr>
          <w:rFonts w:ascii="Palatino Linotype" w:hAnsi="Palatino Linotype"/>
          <w:b/>
          <w:i/>
          <w:color w:val="000000"/>
        </w:rPr>
        <w:t>violación</w:t>
      </w:r>
      <w:r w:rsidRPr="0004467E">
        <w:rPr>
          <w:rFonts w:ascii="Palatino Linotype" w:hAnsi="Palatino Linotype"/>
          <w:i/>
          <w:color w:val="000000"/>
        </w:rPr>
        <w:t xml:space="preserve">, dado que, la principal consecuencia del </w:t>
      </w:r>
      <w:r w:rsidRPr="0004467E">
        <w:rPr>
          <w:rFonts w:ascii="Palatino Linotype" w:hAnsi="Palatino Linotype"/>
          <w:b/>
          <w:i/>
          <w:color w:val="000000"/>
        </w:rPr>
        <w:t>sobreseimiento</w:t>
      </w:r>
      <w:r w:rsidRPr="0004467E">
        <w:rPr>
          <w:rFonts w:ascii="Palatino Linotype" w:hAnsi="Palatino Linotype"/>
          <w:i/>
          <w:color w:val="000000"/>
        </w:rPr>
        <w:t xml:space="preserve"> es poner fin al </w:t>
      </w:r>
      <w:r w:rsidRPr="0004467E">
        <w:rPr>
          <w:rFonts w:ascii="Palatino Linotype" w:hAnsi="Palatino Linotype"/>
          <w:b/>
          <w:i/>
          <w:color w:val="000000"/>
        </w:rPr>
        <w:t xml:space="preserve">juicio </w:t>
      </w:r>
      <w:r w:rsidRPr="0004467E">
        <w:rPr>
          <w:rFonts w:ascii="Palatino Linotype" w:hAnsi="Palatino Linotype"/>
          <w:i/>
          <w:color w:val="000000"/>
        </w:rPr>
        <w:t xml:space="preserve">de </w:t>
      </w:r>
      <w:r w:rsidRPr="0004467E">
        <w:rPr>
          <w:rFonts w:ascii="Palatino Linotype" w:hAnsi="Palatino Linotype"/>
          <w:b/>
          <w:i/>
          <w:color w:val="000000"/>
        </w:rPr>
        <w:t xml:space="preserve">amparo </w:t>
      </w:r>
      <w:r w:rsidRPr="0004467E">
        <w:rPr>
          <w:rFonts w:ascii="Palatino Linotype" w:hAnsi="Palatino Linotype"/>
          <w:i/>
          <w:color w:val="000000"/>
        </w:rPr>
        <w:t>sin resolver la controversia en sus méritos.  </w:t>
      </w:r>
    </w:p>
    <w:p w14:paraId="2C05A95E" w14:textId="77777777" w:rsidR="00FE080F" w:rsidRPr="0004467E" w:rsidRDefault="00FE080F" w:rsidP="00FE080F">
      <w:pPr>
        <w:spacing w:line="360" w:lineRule="auto"/>
        <w:ind w:left="851" w:right="851"/>
        <w:jc w:val="both"/>
        <w:rPr>
          <w:rFonts w:ascii="Palatino Linotype" w:hAnsi="Palatino Linotype" w:cs="Arial"/>
          <w:b/>
          <w:i/>
        </w:rPr>
      </w:pPr>
      <w:r w:rsidRPr="0004467E">
        <w:rPr>
          <w:rFonts w:ascii="Palatino Linotype" w:hAnsi="Palatino Linotype" w:cs="Arial"/>
          <w:b/>
          <w:i/>
        </w:rPr>
        <w:t>SÉPTIMO TRIBUNAL COLEGIADO EN MATERIA CIVIL DEL PRIMER CIRCUITO.</w:t>
      </w:r>
    </w:p>
    <w:p w14:paraId="703F372A" w14:textId="77777777" w:rsidR="00FE080F" w:rsidRPr="0004467E" w:rsidRDefault="00FE080F" w:rsidP="00FE080F">
      <w:pPr>
        <w:spacing w:line="360" w:lineRule="auto"/>
        <w:ind w:left="851" w:right="851"/>
        <w:jc w:val="both"/>
        <w:rPr>
          <w:rFonts w:ascii="Palatino Linotype" w:hAnsi="Palatino Linotype" w:cs="Arial"/>
          <w:i/>
        </w:rPr>
      </w:pPr>
      <w:r w:rsidRPr="0004467E">
        <w:rPr>
          <w:rFonts w:ascii="Palatino Linotype" w:hAnsi="Palatino Linotype" w:cs="Arial"/>
          <w:i/>
        </w:rPr>
        <w:t>Amparo directo 699/2008. Mariana Leticia González Steele. 13 de noviembre de 2008. Unanimidad de votos. Ponente: Sara Judith Montalvo Trejo. Secretario: Arnulfo Mateos García.”</w:t>
      </w:r>
      <w:r w:rsidRPr="0004467E">
        <w:rPr>
          <w:rFonts w:ascii="Palatino Linotype" w:eastAsia="Times New Roman" w:hAnsi="Palatino Linotype" w:cs="Times New Roman"/>
          <w:b/>
          <w:i/>
          <w:lang w:val="es-ES_tradnl" w:eastAsia="es-ES"/>
        </w:rPr>
        <w:t xml:space="preserve"> [Sic]</w:t>
      </w:r>
    </w:p>
    <w:p w14:paraId="44343E8E" w14:textId="77777777" w:rsidR="00FE080F" w:rsidRPr="0004467E" w:rsidRDefault="00FE080F" w:rsidP="00FE080F">
      <w:pPr>
        <w:ind w:right="141"/>
        <w:jc w:val="both"/>
        <w:rPr>
          <w:rFonts w:ascii="Palatino Linotype" w:hAnsi="Palatino Linotype" w:cs="Arial"/>
        </w:rPr>
      </w:pPr>
    </w:p>
    <w:p w14:paraId="2350AC39" w14:textId="77777777" w:rsidR="00FE080F" w:rsidRPr="0004467E" w:rsidRDefault="00FE080F" w:rsidP="00FE080F">
      <w:pPr>
        <w:spacing w:line="360" w:lineRule="auto"/>
        <w:jc w:val="both"/>
        <w:rPr>
          <w:rFonts w:ascii="Palatino Linotype" w:hAnsi="Palatino Linotype" w:cs="Arial"/>
          <w:sz w:val="24"/>
          <w:szCs w:val="24"/>
        </w:rPr>
      </w:pPr>
      <w:r w:rsidRPr="0004467E">
        <w:rPr>
          <w:rFonts w:ascii="Palatino Linotype" w:hAnsi="Palatino Linotype" w:cs="Arial"/>
          <w:sz w:val="24"/>
          <w:szCs w:val="24"/>
        </w:rPr>
        <w:lastRenderedPageBreak/>
        <w:t xml:space="preserve">De este modo, se puede deducir que en las resoluciones dictadas por el Pleno de este Instituto, en las que se decreta el sobreseimiento de un recurso de revisión por la actualización de alguno de los supuestos jurídicos contemplados en el </w:t>
      </w:r>
      <w:r w:rsidRPr="0004467E">
        <w:rPr>
          <w:rFonts w:ascii="Palatino Linotype" w:hAnsi="Palatino Linotype" w:cs="Arial"/>
          <w:b/>
          <w:sz w:val="24"/>
          <w:szCs w:val="24"/>
        </w:rPr>
        <w:t xml:space="preserve">artículo 192 </w:t>
      </w:r>
      <w:r w:rsidRPr="0004467E">
        <w:rPr>
          <w:rFonts w:ascii="Palatino Linotype" w:hAnsi="Palatino Linotype" w:cs="Arial"/>
          <w:sz w:val="24"/>
          <w:szCs w:val="24"/>
        </w:rPr>
        <w:t xml:space="preserve">de la </w:t>
      </w:r>
      <w:r w:rsidRPr="0004467E">
        <w:rPr>
          <w:rFonts w:ascii="Palatino Linotype" w:hAnsi="Palatino Linotype" w:cs="Arial"/>
          <w:b/>
          <w:sz w:val="24"/>
          <w:szCs w:val="24"/>
        </w:rPr>
        <w:t xml:space="preserve">Ley de Transparencia y Acceso a la Información Pública del Estado de México y Municipios, </w:t>
      </w:r>
      <w:r w:rsidRPr="0004467E">
        <w:rPr>
          <w:rFonts w:ascii="Palatino Linotype" w:hAnsi="Palatino Linotype" w:cs="Arial"/>
          <w:sz w:val="24"/>
          <w:szCs w:val="24"/>
        </w:rPr>
        <w:t xml:space="preserve">nos encontramos ante un sobreseimiento definitivo toda vez que pone fin al procedimiento sin entrar al estudio de fondo del mismo. </w:t>
      </w:r>
    </w:p>
    <w:p w14:paraId="68EBC9FE" w14:textId="77777777" w:rsidR="00FE080F" w:rsidRPr="0004467E" w:rsidRDefault="00FE080F" w:rsidP="00FE080F">
      <w:pPr>
        <w:spacing w:line="360" w:lineRule="auto"/>
        <w:jc w:val="both"/>
        <w:rPr>
          <w:rFonts w:ascii="Palatino Linotype" w:hAnsi="Palatino Linotype" w:cs="Arial"/>
          <w:b/>
          <w:sz w:val="24"/>
          <w:szCs w:val="24"/>
        </w:rPr>
      </w:pPr>
      <w:r w:rsidRPr="0004467E">
        <w:rPr>
          <w:rFonts w:ascii="Palatino Linotype" w:hAnsi="Palatino Linotype" w:cs="Arial"/>
          <w:sz w:val="24"/>
          <w:szCs w:val="24"/>
        </w:rPr>
        <w:t xml:space="preserve">Para los efectos de esta resolución, resulta oportuno precisar los alcances jurídicos de la </w:t>
      </w:r>
      <w:r w:rsidRPr="0004467E">
        <w:rPr>
          <w:rFonts w:ascii="Palatino Linotype" w:hAnsi="Palatino Linotype" w:cs="Arial"/>
          <w:b/>
          <w:sz w:val="24"/>
          <w:szCs w:val="24"/>
        </w:rPr>
        <w:t xml:space="preserve">fracción III </w:t>
      </w:r>
      <w:r w:rsidRPr="0004467E">
        <w:rPr>
          <w:rFonts w:ascii="Palatino Linotype" w:hAnsi="Palatino Linotype" w:cs="Arial"/>
          <w:sz w:val="24"/>
          <w:szCs w:val="24"/>
        </w:rPr>
        <w:t xml:space="preserve">de la disposición legal transcrita. Así, procede el sobreseimiento del recurso de revisión cuando el </w:t>
      </w:r>
      <w:r w:rsidRPr="0004467E">
        <w:rPr>
          <w:rFonts w:ascii="Palatino Linotype" w:hAnsi="Palatino Linotype" w:cs="Arial"/>
          <w:b/>
          <w:sz w:val="24"/>
          <w:szCs w:val="24"/>
        </w:rPr>
        <w:t xml:space="preserve">Sujeto Obligado: </w:t>
      </w:r>
    </w:p>
    <w:p w14:paraId="38B0F376" w14:textId="77777777" w:rsidR="00FE080F" w:rsidRPr="009D68FF" w:rsidRDefault="00FE080F" w:rsidP="00FE080F">
      <w:pPr>
        <w:pStyle w:val="Prrafodelista"/>
        <w:numPr>
          <w:ilvl w:val="0"/>
          <w:numId w:val="33"/>
        </w:numPr>
        <w:spacing w:line="360" w:lineRule="auto"/>
        <w:ind w:right="851"/>
        <w:jc w:val="both"/>
        <w:rPr>
          <w:rFonts w:ascii="Palatino Linotype" w:hAnsi="Palatino Linotype" w:cs="Arial"/>
          <w:b/>
        </w:rPr>
      </w:pPr>
      <w:r w:rsidRPr="0004467E">
        <w:rPr>
          <w:rFonts w:ascii="Palatino Linotype" w:hAnsi="Palatino Linotype" w:cs="Arial"/>
          <w:b/>
        </w:rPr>
        <w:t xml:space="preserve">Modifique el acto impugnado: </w:t>
      </w:r>
      <w:r w:rsidRPr="0004467E">
        <w:rPr>
          <w:rFonts w:ascii="Palatino Linotype" w:hAnsi="Palatino Linotype" w:cs="Arial"/>
        </w:rPr>
        <w:t xml:space="preserve">Se actualiza cuando el </w:t>
      </w:r>
      <w:r w:rsidRPr="0004467E">
        <w:rPr>
          <w:rFonts w:ascii="Palatino Linotype" w:hAnsi="Palatino Linotype" w:cs="Arial"/>
          <w:b/>
        </w:rPr>
        <w:t xml:space="preserve">Sujeto Obligado </w:t>
      </w:r>
      <w:r w:rsidRPr="0004467E">
        <w:rPr>
          <w:rFonts w:ascii="Palatino Linotype" w:hAnsi="Palatino Linotype" w:cs="Arial"/>
        </w:rPr>
        <w:t xml:space="preserve">después de haber otorgado una respuesta y hasta antes de dictada la resolución del recurso de revisión, emite una diversa en la que subsane las deficiencias que hubiere tenido. </w:t>
      </w:r>
    </w:p>
    <w:p w14:paraId="7778B5B4" w14:textId="77777777" w:rsidR="00FE080F" w:rsidRPr="00E5738E" w:rsidRDefault="00FE080F" w:rsidP="00FE080F">
      <w:pPr>
        <w:pStyle w:val="Prrafodelista"/>
        <w:spacing w:line="360" w:lineRule="auto"/>
        <w:ind w:left="720" w:right="851"/>
        <w:jc w:val="both"/>
        <w:rPr>
          <w:rFonts w:ascii="Palatino Linotype" w:hAnsi="Palatino Linotype" w:cs="Arial"/>
          <w:b/>
        </w:rPr>
      </w:pPr>
    </w:p>
    <w:p w14:paraId="6CDFB14D" w14:textId="77777777" w:rsidR="00FE080F" w:rsidRPr="0004467E" w:rsidRDefault="00FE080F" w:rsidP="00FE080F">
      <w:pPr>
        <w:spacing w:line="360" w:lineRule="auto"/>
        <w:jc w:val="both"/>
        <w:rPr>
          <w:rFonts w:ascii="Palatino Linotype" w:hAnsi="Palatino Linotype" w:cs="Arial"/>
          <w:sz w:val="24"/>
          <w:szCs w:val="24"/>
          <w:u w:val="single"/>
        </w:rPr>
      </w:pPr>
      <w:r w:rsidRPr="0004467E">
        <w:rPr>
          <w:rFonts w:ascii="Palatino Linotype" w:hAnsi="Palatino Linotype" w:cs="Arial"/>
          <w:sz w:val="24"/>
          <w:szCs w:val="24"/>
        </w:rPr>
        <w:t xml:space="preserve">Las consecuencias jurídicas de esta modificación es que el recurso de revisión interpuesto quede sin efectos o sin materia y se procure la debida tutela del Derecho de Acceso a la Información Pública. Un acto impugnado queda sin efectos, cuando aun existiendo jurídicamente, no genera consecuencia legal alguna; queda sin materia, </w:t>
      </w:r>
      <w:r w:rsidRPr="0004467E">
        <w:rPr>
          <w:rFonts w:ascii="Palatino Linotype" w:hAnsi="Palatino Linotype" w:cs="Arial"/>
          <w:b/>
          <w:sz w:val="24"/>
          <w:szCs w:val="24"/>
          <w:u w:val="single"/>
        </w:rPr>
        <w:t xml:space="preserve">cuando ha sido satisfecha la pretensión del particular, </w:t>
      </w:r>
      <w:r w:rsidRPr="0004467E">
        <w:rPr>
          <w:rFonts w:ascii="Palatino Linotype" w:hAnsi="Palatino Linotype" w:cs="Arial"/>
          <w:sz w:val="24"/>
          <w:szCs w:val="24"/>
        </w:rPr>
        <w:t>ya sea porque se hizo la entrega de la información solicitada o porque se completó la misma.</w:t>
      </w:r>
      <w:r w:rsidRPr="0004467E">
        <w:rPr>
          <w:rFonts w:ascii="Palatino Linotype" w:hAnsi="Palatino Linotype" w:cs="Arial"/>
          <w:sz w:val="24"/>
          <w:szCs w:val="24"/>
          <w:u w:val="single"/>
        </w:rPr>
        <w:t xml:space="preserve"> </w:t>
      </w:r>
    </w:p>
    <w:p w14:paraId="5CA1BB00" w14:textId="77777777" w:rsidR="00FE080F" w:rsidRPr="0004467E" w:rsidRDefault="00FE080F" w:rsidP="00FE080F">
      <w:pPr>
        <w:spacing w:line="360" w:lineRule="auto"/>
        <w:jc w:val="both"/>
        <w:rPr>
          <w:rFonts w:ascii="Palatino Linotype" w:hAnsi="Palatino Linotype" w:cs="Arial"/>
          <w:sz w:val="24"/>
          <w:szCs w:val="24"/>
        </w:rPr>
      </w:pPr>
      <w:r w:rsidRPr="0004467E">
        <w:rPr>
          <w:rFonts w:ascii="Palatino Linotype" w:hAnsi="Palatino Linotype" w:cs="Arial"/>
          <w:sz w:val="24"/>
          <w:szCs w:val="24"/>
        </w:rPr>
        <w:t xml:space="preserve">En este tenor, se advierte que </w:t>
      </w:r>
      <w:r w:rsidRPr="0004467E">
        <w:rPr>
          <w:rFonts w:ascii="Palatino Linotype" w:hAnsi="Palatino Linotype" w:cs="Arial"/>
          <w:b/>
          <w:sz w:val="24"/>
          <w:szCs w:val="24"/>
        </w:rPr>
        <w:t>El</w:t>
      </w:r>
      <w:r w:rsidRPr="0004467E">
        <w:rPr>
          <w:rFonts w:ascii="Palatino Linotype" w:hAnsi="Palatino Linotype" w:cs="Arial"/>
          <w:sz w:val="24"/>
          <w:szCs w:val="24"/>
        </w:rPr>
        <w:t xml:space="preserve"> </w:t>
      </w:r>
      <w:r w:rsidRPr="0004467E">
        <w:rPr>
          <w:rFonts w:ascii="Palatino Linotype" w:hAnsi="Palatino Linotype" w:cs="Arial"/>
          <w:b/>
          <w:sz w:val="24"/>
          <w:szCs w:val="24"/>
        </w:rPr>
        <w:t xml:space="preserve">Sujeto Obligado </w:t>
      </w:r>
      <w:r w:rsidRPr="0004467E">
        <w:rPr>
          <w:rFonts w:ascii="Palatino Linotype" w:hAnsi="Palatino Linotype" w:cs="Arial"/>
          <w:sz w:val="24"/>
          <w:szCs w:val="24"/>
        </w:rPr>
        <w:t xml:space="preserve">con la información enviada a este Órgano Garante, </w:t>
      </w:r>
      <w:r w:rsidRPr="0004467E">
        <w:rPr>
          <w:rFonts w:ascii="Palatino Linotype" w:hAnsi="Palatino Linotype" w:cs="Arial"/>
          <w:b/>
          <w:sz w:val="24"/>
          <w:szCs w:val="24"/>
        </w:rPr>
        <w:t xml:space="preserve">modifica </w:t>
      </w:r>
      <w:r w:rsidRPr="0004467E">
        <w:rPr>
          <w:rFonts w:ascii="Palatino Linotype" w:hAnsi="Palatino Linotype" w:cs="Arial"/>
          <w:sz w:val="24"/>
          <w:szCs w:val="24"/>
        </w:rPr>
        <w:t>el acto que le dio origen a</w:t>
      </w:r>
      <w:r>
        <w:rPr>
          <w:rFonts w:ascii="Palatino Linotype" w:hAnsi="Palatino Linotype" w:cs="Arial"/>
          <w:sz w:val="24"/>
          <w:szCs w:val="24"/>
        </w:rPr>
        <w:t>l</w:t>
      </w:r>
      <w:r w:rsidRPr="0004467E">
        <w:rPr>
          <w:rFonts w:ascii="Palatino Linotype" w:hAnsi="Palatino Linotype" w:cs="Arial"/>
          <w:sz w:val="24"/>
          <w:szCs w:val="24"/>
        </w:rPr>
        <w:t xml:space="preserve"> recurso de revisión, </w:t>
      </w:r>
      <w:r w:rsidRPr="0004467E">
        <w:rPr>
          <w:rFonts w:ascii="Palatino Linotype" w:hAnsi="Palatino Linotype" w:cs="Arial"/>
          <w:b/>
          <w:sz w:val="24"/>
          <w:szCs w:val="24"/>
        </w:rPr>
        <w:t xml:space="preserve">por lo que </w:t>
      </w:r>
      <w:r w:rsidRPr="0004467E">
        <w:rPr>
          <w:rFonts w:ascii="Palatino Linotype" w:hAnsi="Palatino Linotype" w:cs="Arial"/>
          <w:b/>
          <w:sz w:val="24"/>
          <w:szCs w:val="24"/>
        </w:rPr>
        <w:lastRenderedPageBreak/>
        <w:t xml:space="preserve">trae como consecuencia que </w:t>
      </w:r>
      <w:r>
        <w:rPr>
          <w:rFonts w:ascii="Palatino Linotype" w:hAnsi="Palatino Linotype" w:cs="Arial"/>
          <w:b/>
          <w:sz w:val="24"/>
          <w:szCs w:val="24"/>
        </w:rPr>
        <w:t>el mismo</w:t>
      </w:r>
      <w:r w:rsidRPr="0004467E">
        <w:rPr>
          <w:rFonts w:ascii="Palatino Linotype" w:hAnsi="Palatino Linotype" w:cs="Arial"/>
          <w:b/>
          <w:sz w:val="24"/>
          <w:szCs w:val="24"/>
        </w:rPr>
        <w:t xml:space="preserve"> quede sin materia, </w:t>
      </w:r>
      <w:r w:rsidRPr="0004467E">
        <w:rPr>
          <w:rFonts w:ascii="Palatino Linotype" w:hAnsi="Palatino Linotype" w:cs="Arial"/>
          <w:sz w:val="24"/>
          <w:szCs w:val="24"/>
        </w:rPr>
        <w:t xml:space="preserve">actualizándose de este modo, la hipótesis jurídica contenida en la fracción III del artículo 192. </w:t>
      </w:r>
    </w:p>
    <w:p w14:paraId="438FDBB9" w14:textId="77777777" w:rsidR="00FE080F" w:rsidRPr="0004467E" w:rsidRDefault="00FE080F" w:rsidP="00FE080F">
      <w:pPr>
        <w:spacing w:line="360" w:lineRule="auto"/>
        <w:jc w:val="both"/>
        <w:rPr>
          <w:rFonts w:ascii="Palatino Linotype" w:hAnsi="Palatino Linotype" w:cs="Arial"/>
          <w:sz w:val="24"/>
          <w:szCs w:val="24"/>
        </w:rPr>
      </w:pPr>
      <w:r w:rsidRPr="0004467E">
        <w:rPr>
          <w:rFonts w:ascii="Palatino Linotype" w:hAnsi="Palatino Linotype" w:cs="Arial"/>
          <w:sz w:val="24"/>
          <w:szCs w:val="24"/>
        </w:rPr>
        <w:t xml:space="preserve">De este modo, cuando </w:t>
      </w:r>
      <w:r w:rsidRPr="0004467E">
        <w:rPr>
          <w:rFonts w:ascii="Palatino Linotype" w:hAnsi="Palatino Linotype" w:cs="Arial"/>
          <w:b/>
          <w:sz w:val="24"/>
          <w:szCs w:val="24"/>
        </w:rPr>
        <w:t>El</w:t>
      </w:r>
      <w:r w:rsidRPr="0004467E">
        <w:rPr>
          <w:rFonts w:ascii="Palatino Linotype" w:hAnsi="Palatino Linotype" w:cs="Arial"/>
          <w:sz w:val="24"/>
          <w:szCs w:val="24"/>
        </w:rPr>
        <w:t xml:space="preserve"> </w:t>
      </w:r>
      <w:r w:rsidRPr="0004467E">
        <w:rPr>
          <w:rFonts w:ascii="Palatino Linotype" w:hAnsi="Palatino Linotype" w:cs="Arial"/>
          <w:b/>
          <w:sz w:val="24"/>
          <w:szCs w:val="24"/>
        </w:rPr>
        <w:t>Sujeto Obligado</w:t>
      </w:r>
      <w:r w:rsidRPr="0004467E">
        <w:rPr>
          <w:rFonts w:ascii="Palatino Linotype" w:hAnsi="Palatino Linotype" w:cs="Arial"/>
          <w:sz w:val="24"/>
          <w:szCs w:val="24"/>
        </w:rPr>
        <w:t xml:space="preserve">, antes de que se dicte resolución definitiva, entrega la información solicitada o completa la respuesta que en un momento fue incompleta o no correspondió con lo solicitado; el recurso de revisión que al efecto se haya interpuesto queda sin materia lo que imposibilita el estudio de fondo de la </w:t>
      </w:r>
      <w:r w:rsidRPr="0004467E">
        <w:rPr>
          <w:rFonts w:ascii="Palatino Linotype" w:hAnsi="Palatino Linotype" w:cs="Arial"/>
          <w:b/>
          <w:i/>
          <w:sz w:val="24"/>
          <w:szCs w:val="24"/>
        </w:rPr>
        <w:t xml:space="preserve">litis </w:t>
      </w:r>
      <w:r w:rsidRPr="0004467E">
        <w:rPr>
          <w:rFonts w:ascii="Palatino Linotype" w:hAnsi="Palatino Linotype" w:cs="Arial"/>
          <w:sz w:val="24"/>
          <w:szCs w:val="24"/>
        </w:rPr>
        <w:t xml:space="preserve">planteada, debido a que la afectación en su esfera de derechos fue restituida por la propia autoridad que emitió el acto de impugnación. </w:t>
      </w:r>
    </w:p>
    <w:p w14:paraId="00ED1131" w14:textId="77777777" w:rsidR="00FE080F" w:rsidRDefault="00FE080F" w:rsidP="00FE080F">
      <w:pPr>
        <w:tabs>
          <w:tab w:val="left" w:pos="7797"/>
        </w:tabs>
        <w:spacing w:line="360" w:lineRule="auto"/>
        <w:jc w:val="both"/>
        <w:rPr>
          <w:rFonts w:ascii="Palatino Linotype" w:hAnsi="Palatino Linotype" w:cs="Arial"/>
          <w:sz w:val="24"/>
          <w:szCs w:val="24"/>
        </w:rPr>
      </w:pPr>
      <w:r w:rsidRPr="0004467E">
        <w:rPr>
          <w:rFonts w:ascii="Palatino Linotype" w:hAnsi="Palatino Linotype" w:cs="Arial"/>
          <w:sz w:val="24"/>
          <w:szCs w:val="24"/>
        </w:rPr>
        <w:t xml:space="preserve">Por lo tanto, para que se actualice el sobreseimiento de un recurso de revisión, </w:t>
      </w:r>
      <w:r w:rsidRPr="0004467E">
        <w:rPr>
          <w:rFonts w:ascii="Palatino Linotype" w:hAnsi="Palatino Linotype" w:cs="Arial"/>
          <w:b/>
          <w:sz w:val="24"/>
          <w:szCs w:val="24"/>
        </w:rPr>
        <w:t>El</w:t>
      </w:r>
      <w:r w:rsidRPr="0004467E">
        <w:rPr>
          <w:rFonts w:ascii="Palatino Linotype" w:hAnsi="Palatino Linotype" w:cs="Arial"/>
          <w:sz w:val="24"/>
          <w:szCs w:val="24"/>
        </w:rPr>
        <w:t xml:space="preserve"> </w:t>
      </w:r>
      <w:r w:rsidRPr="0004467E">
        <w:rPr>
          <w:rFonts w:ascii="Palatino Linotype" w:hAnsi="Palatino Linotype" w:cs="Arial"/>
          <w:b/>
          <w:sz w:val="24"/>
          <w:szCs w:val="24"/>
        </w:rPr>
        <w:t xml:space="preserve">Sujeto Obligado </w:t>
      </w:r>
      <w:r w:rsidRPr="0004467E">
        <w:rPr>
          <w:rFonts w:ascii="Palatino Linotype" w:hAnsi="Palatino Linotype" w:cs="Arial"/>
          <w:sz w:val="24"/>
          <w:szCs w:val="24"/>
        </w:rPr>
        <w:t xml:space="preserve">puede entregar o completar la información al momento de rendir su </w:t>
      </w:r>
      <w:r w:rsidRPr="0004467E">
        <w:rPr>
          <w:rFonts w:ascii="Palatino Linotype" w:hAnsi="Palatino Linotype" w:cs="Arial"/>
          <w:b/>
          <w:sz w:val="24"/>
          <w:szCs w:val="24"/>
          <w:u w:val="single"/>
        </w:rPr>
        <w:t>informe de justificación dentro de los siete días</w:t>
      </w:r>
      <w:r w:rsidRPr="0004467E">
        <w:rPr>
          <w:rFonts w:ascii="Palatino Linotype" w:hAnsi="Palatino Linotype" w:cs="Arial"/>
          <w:b/>
          <w:sz w:val="24"/>
          <w:szCs w:val="24"/>
        </w:rPr>
        <w:t xml:space="preserve"> </w:t>
      </w:r>
      <w:r w:rsidRPr="0004467E">
        <w:rPr>
          <w:rFonts w:ascii="Palatino Linotype" w:hAnsi="Palatino Linotype" w:cs="Arial"/>
          <w:sz w:val="24"/>
          <w:szCs w:val="24"/>
        </w:rPr>
        <w:t>previstos para manifestar lo que a su derecho convenga</w:t>
      </w:r>
      <w:r>
        <w:rPr>
          <w:rFonts w:ascii="Palatino Linotype" w:hAnsi="Palatino Linotype" w:cs="Arial"/>
          <w:sz w:val="24"/>
          <w:szCs w:val="24"/>
        </w:rPr>
        <w:t>.</w:t>
      </w:r>
    </w:p>
    <w:p w14:paraId="41D41C0A" w14:textId="08C3ED63" w:rsidR="000B5C57" w:rsidRPr="00717553" w:rsidRDefault="000B5C57" w:rsidP="000B5C57">
      <w:pPr>
        <w:tabs>
          <w:tab w:val="left" w:pos="8080"/>
        </w:tabs>
        <w:spacing w:line="360" w:lineRule="auto"/>
        <w:jc w:val="both"/>
        <w:rPr>
          <w:rFonts w:ascii="Palatino Linotype" w:hAnsi="Palatino Linotype" w:cs="Arial"/>
          <w:sz w:val="24"/>
          <w:szCs w:val="24"/>
        </w:rPr>
      </w:pPr>
      <w:r w:rsidRPr="002E3488">
        <w:rPr>
          <w:rFonts w:ascii="Palatino Linotype" w:hAnsi="Palatino Linotype" w:cs="Arial"/>
          <w:sz w:val="24"/>
          <w:szCs w:val="24"/>
        </w:rPr>
        <w:t xml:space="preserve">En mérito de lo expuesto en líneas anteriores, resultan </w:t>
      </w:r>
      <w:r w:rsidR="00735A76">
        <w:rPr>
          <w:rFonts w:ascii="Palatino Linotype" w:hAnsi="Palatino Linotype" w:cs="Arial"/>
          <w:sz w:val="24"/>
          <w:szCs w:val="24"/>
        </w:rPr>
        <w:t xml:space="preserve">parcialmente </w:t>
      </w:r>
      <w:r w:rsidRPr="002E3488">
        <w:rPr>
          <w:rFonts w:ascii="Palatino Linotype" w:hAnsi="Palatino Linotype" w:cs="Arial"/>
          <w:sz w:val="24"/>
          <w:szCs w:val="24"/>
        </w:rPr>
        <w:t xml:space="preserve">fundados los motivos de inconformidad que arguye </w:t>
      </w:r>
      <w:r w:rsidR="00735A76">
        <w:rPr>
          <w:rFonts w:ascii="Palatino Linotype" w:hAnsi="Palatino Linotype" w:cs="Arial"/>
          <w:b/>
          <w:sz w:val="24"/>
          <w:szCs w:val="24"/>
        </w:rPr>
        <w:t>La</w:t>
      </w:r>
      <w:r w:rsidRPr="002E3488">
        <w:rPr>
          <w:rFonts w:ascii="Palatino Linotype" w:hAnsi="Palatino Linotype" w:cs="Arial"/>
          <w:b/>
          <w:sz w:val="24"/>
          <w:szCs w:val="24"/>
        </w:rPr>
        <w:t xml:space="preserve"> Recurrente </w:t>
      </w:r>
      <w:r w:rsidRPr="002E3488">
        <w:rPr>
          <w:rFonts w:ascii="Palatino Linotype" w:hAnsi="Palatino Linotype" w:cs="Arial"/>
          <w:sz w:val="24"/>
          <w:szCs w:val="24"/>
        </w:rPr>
        <w:t>en s</w:t>
      </w:r>
      <w:r>
        <w:rPr>
          <w:rFonts w:ascii="Palatino Linotype" w:hAnsi="Palatino Linotype" w:cs="Arial"/>
          <w:sz w:val="24"/>
          <w:szCs w:val="24"/>
        </w:rPr>
        <w:t>u medio de impugnación que fue</w:t>
      </w:r>
      <w:r w:rsidRPr="002E3488">
        <w:rPr>
          <w:rFonts w:ascii="Palatino Linotype" w:hAnsi="Palatino Linotype" w:cs="Arial"/>
          <w:sz w:val="24"/>
          <w:szCs w:val="24"/>
        </w:rPr>
        <w:t xml:space="preserve"> materia de estudio, por ello </w:t>
      </w:r>
      <w:r w:rsidRPr="002E3488">
        <w:rPr>
          <w:rFonts w:ascii="Palatino Linotype" w:hAnsi="Palatino Linotype" w:cs="Arial"/>
          <w:b/>
          <w:sz w:val="24"/>
          <w:szCs w:val="24"/>
        </w:rPr>
        <w:t xml:space="preserve">con fundamento en el artículo 186 fracción I, en concordancia con el 192 fracción III de la Ley de Transparencia y Acceso a la Información Pública del Estado de México y Municipios, </w:t>
      </w:r>
      <w:r w:rsidRPr="002E3488">
        <w:rPr>
          <w:rFonts w:ascii="Palatino Linotype" w:hAnsi="Palatino Linotype" w:cs="Arial"/>
          <w:sz w:val="24"/>
          <w:szCs w:val="24"/>
        </w:rPr>
        <w:t xml:space="preserve">se </w:t>
      </w:r>
      <w:r w:rsidRPr="002E3488">
        <w:rPr>
          <w:rFonts w:ascii="Palatino Linotype" w:hAnsi="Palatino Linotype" w:cs="Arial"/>
          <w:b/>
          <w:sz w:val="24"/>
          <w:szCs w:val="24"/>
        </w:rPr>
        <w:t xml:space="preserve">SOBRESEE </w:t>
      </w:r>
      <w:r w:rsidRPr="002E3488">
        <w:rPr>
          <w:rFonts w:ascii="Palatino Linotype" w:hAnsi="Palatino Linotype" w:cs="Arial"/>
          <w:sz w:val="24"/>
          <w:szCs w:val="24"/>
        </w:rPr>
        <w:t xml:space="preserve">el recurso de revisión </w:t>
      </w:r>
      <w:r w:rsidRPr="002E3488">
        <w:rPr>
          <w:rFonts w:ascii="Palatino Linotype" w:hAnsi="Palatino Linotype" w:cs="Arial"/>
          <w:b/>
          <w:sz w:val="24"/>
          <w:szCs w:val="24"/>
          <w:lang w:val="es-ES_tradnl"/>
        </w:rPr>
        <w:t>0</w:t>
      </w:r>
      <w:r>
        <w:rPr>
          <w:rFonts w:ascii="Palatino Linotype" w:hAnsi="Palatino Linotype" w:cs="Arial"/>
          <w:b/>
          <w:sz w:val="24"/>
          <w:szCs w:val="24"/>
          <w:lang w:val="es-ES_tradnl"/>
        </w:rPr>
        <w:t>0480</w:t>
      </w:r>
      <w:r w:rsidRPr="002E3488">
        <w:rPr>
          <w:rFonts w:ascii="Palatino Linotype" w:hAnsi="Palatino Linotype" w:cs="Arial"/>
          <w:b/>
          <w:sz w:val="24"/>
          <w:szCs w:val="24"/>
          <w:lang w:val="es-ES_tradnl"/>
        </w:rPr>
        <w:t>/INFOEM/IP/RR/20</w:t>
      </w:r>
      <w:r>
        <w:rPr>
          <w:rFonts w:ascii="Palatino Linotype" w:hAnsi="Palatino Linotype" w:cs="Arial"/>
          <w:b/>
          <w:sz w:val="24"/>
          <w:szCs w:val="24"/>
          <w:lang w:val="es-ES_tradnl"/>
        </w:rPr>
        <w:t>21</w:t>
      </w:r>
      <w:r w:rsidRPr="002E3488">
        <w:rPr>
          <w:rFonts w:ascii="Palatino Linotype" w:hAnsi="Palatino Linotype" w:cs="Arial"/>
          <w:b/>
          <w:sz w:val="24"/>
          <w:szCs w:val="24"/>
          <w:lang w:val="es-ES_tradnl"/>
        </w:rPr>
        <w:t xml:space="preserve">, </w:t>
      </w:r>
      <w:r w:rsidRPr="002E3488">
        <w:rPr>
          <w:rFonts w:ascii="Palatino Linotype" w:hAnsi="Palatino Linotype" w:cs="Arial"/>
          <w:sz w:val="24"/>
          <w:szCs w:val="24"/>
          <w:lang w:val="es-ES_tradnl"/>
        </w:rPr>
        <w:t>que ha sido materia del presente fallo.</w:t>
      </w:r>
      <w:r>
        <w:rPr>
          <w:rFonts w:ascii="Palatino Linotype" w:hAnsi="Palatino Linotype" w:cs="Arial"/>
          <w:sz w:val="24"/>
          <w:szCs w:val="24"/>
          <w:lang w:val="es-ES_tradnl"/>
        </w:rPr>
        <w:t xml:space="preserve"> </w:t>
      </w:r>
    </w:p>
    <w:p w14:paraId="014481E1" w14:textId="4F8842BF" w:rsidR="000B5C57" w:rsidRPr="00523CF0" w:rsidRDefault="000B5C57" w:rsidP="000B5C57">
      <w:pPr>
        <w:tabs>
          <w:tab w:val="left" w:pos="709"/>
        </w:tabs>
        <w:spacing w:before="240" w:line="360" w:lineRule="auto"/>
        <w:ind w:right="51"/>
        <w:jc w:val="both"/>
        <w:rPr>
          <w:rFonts w:ascii="Palatino Linotype" w:hAnsi="Palatino Linotype"/>
          <w:sz w:val="24"/>
          <w:szCs w:val="24"/>
        </w:rPr>
      </w:pPr>
      <w:r>
        <w:rPr>
          <w:rFonts w:ascii="Palatino Linotype" w:eastAsia="Times New Roman" w:hAnsi="Palatino Linotype"/>
          <w:b/>
          <w:bCs/>
          <w:noProof/>
          <w:spacing w:val="60"/>
          <w:sz w:val="28"/>
          <w:lang w:eastAsia="es-MX"/>
        </w:rPr>
        <mc:AlternateContent>
          <mc:Choice Requires="wps">
            <w:drawing>
              <wp:anchor distT="0" distB="0" distL="114300" distR="114300" simplePos="0" relativeHeight="251704320" behindDoc="0" locked="0" layoutInCell="1" allowOverlap="1" wp14:anchorId="4A4D7C4E" wp14:editId="0D04BAE5">
                <wp:simplePos x="0" y="0"/>
                <wp:positionH relativeFrom="column">
                  <wp:posOffset>-110076</wp:posOffset>
                </wp:positionH>
                <wp:positionV relativeFrom="paragraph">
                  <wp:posOffset>502394</wp:posOffset>
                </wp:positionV>
                <wp:extent cx="6193597" cy="1176517"/>
                <wp:effectExtent l="0" t="0" r="36195" b="24130"/>
                <wp:wrapNone/>
                <wp:docPr id="25" name="Conector recto 25"/>
                <wp:cNvGraphicFramePr/>
                <a:graphic xmlns:a="http://schemas.openxmlformats.org/drawingml/2006/main">
                  <a:graphicData uri="http://schemas.microsoft.com/office/word/2010/wordprocessingShape">
                    <wps:wsp>
                      <wps:cNvCnPr/>
                      <wps:spPr>
                        <a:xfrm>
                          <a:off x="0" y="0"/>
                          <a:ext cx="6193597" cy="117651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58FBCE" id="Conector recto 25"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5pt,39.55pt" to="479.05pt,1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" strokecolor="#5b9bd5 [3204]" strokeweight=".5pt">
                <v:stroke joinstyle="miter"/>
              </v:line>
            </w:pict>
          </mc:Fallback>
        </mc:AlternateContent>
      </w:r>
      <w:r w:rsidRPr="00523CF0">
        <w:rPr>
          <w:rFonts w:ascii="Palatino Linotype" w:hAnsi="Palatino Linotype"/>
          <w:sz w:val="24"/>
          <w:szCs w:val="24"/>
        </w:rPr>
        <w:t>Por lo antes expuesto y fundado es de resolverse y;</w:t>
      </w:r>
    </w:p>
    <w:p w14:paraId="3C374AD6" w14:textId="5062E3B3" w:rsidR="000B5C57" w:rsidRDefault="000B5C57" w:rsidP="000B5C57">
      <w:pPr>
        <w:spacing w:before="240" w:line="360" w:lineRule="auto"/>
        <w:jc w:val="center"/>
        <w:rPr>
          <w:rFonts w:ascii="Palatino Linotype" w:eastAsia="Times New Roman" w:hAnsi="Palatino Linotype"/>
          <w:b/>
          <w:bCs/>
          <w:spacing w:val="60"/>
          <w:sz w:val="28"/>
          <w:lang w:val="es-ES_tradnl"/>
        </w:rPr>
      </w:pPr>
    </w:p>
    <w:p w14:paraId="303ED321" w14:textId="77777777" w:rsidR="000B5C57" w:rsidRDefault="000B5C57" w:rsidP="000B5C57">
      <w:pPr>
        <w:spacing w:before="240" w:line="360" w:lineRule="auto"/>
        <w:jc w:val="center"/>
        <w:rPr>
          <w:rFonts w:ascii="Palatino Linotype" w:eastAsia="Times New Roman" w:hAnsi="Palatino Linotype"/>
          <w:b/>
          <w:bCs/>
          <w:spacing w:val="60"/>
          <w:sz w:val="28"/>
          <w:lang w:val="es-ES_tradnl"/>
        </w:rPr>
      </w:pPr>
    </w:p>
    <w:p w14:paraId="21F71FCA" w14:textId="77777777" w:rsidR="000B5C57" w:rsidRPr="00523CF0" w:rsidRDefault="000B5C57" w:rsidP="000B5C57">
      <w:pPr>
        <w:spacing w:before="240" w:line="360" w:lineRule="auto"/>
        <w:jc w:val="center"/>
        <w:rPr>
          <w:rFonts w:ascii="Palatino Linotype" w:eastAsia="Times New Roman" w:hAnsi="Palatino Linotype"/>
          <w:b/>
          <w:bCs/>
          <w:spacing w:val="60"/>
          <w:sz w:val="28"/>
          <w:lang w:val="es-ES_tradnl"/>
        </w:rPr>
      </w:pPr>
      <w:r w:rsidRPr="00523CF0">
        <w:rPr>
          <w:rFonts w:ascii="Palatino Linotype" w:eastAsia="Times New Roman" w:hAnsi="Palatino Linotype"/>
          <w:b/>
          <w:bCs/>
          <w:spacing w:val="60"/>
          <w:sz w:val="28"/>
          <w:lang w:val="es-ES_tradnl"/>
        </w:rPr>
        <w:lastRenderedPageBreak/>
        <w:t>SE    RESUELVE</w:t>
      </w:r>
    </w:p>
    <w:p w14:paraId="208B48AC" w14:textId="722E62BB" w:rsidR="000B5C57" w:rsidRPr="00717553" w:rsidRDefault="000B5C57" w:rsidP="000B5C57">
      <w:pPr>
        <w:spacing w:before="240" w:line="360" w:lineRule="auto"/>
        <w:jc w:val="both"/>
        <w:rPr>
          <w:rFonts w:ascii="Palatino Linotype" w:hAnsi="Palatino Linotype" w:cs="Arial"/>
          <w:sz w:val="24"/>
          <w:szCs w:val="24"/>
          <w:lang w:val="es-ES_tradnl"/>
        </w:rPr>
      </w:pPr>
      <w:r w:rsidRPr="00AF55AC">
        <w:rPr>
          <w:rFonts w:ascii="Palatino Linotype" w:hAnsi="Palatino Linotype" w:cs="Arial"/>
          <w:b/>
          <w:sz w:val="28"/>
          <w:szCs w:val="28"/>
          <w:lang w:val="es-ES_tradnl"/>
        </w:rPr>
        <w:t>PRIMERO.</w:t>
      </w:r>
      <w:r w:rsidRPr="00AF55AC">
        <w:rPr>
          <w:rFonts w:ascii="Palatino Linotype" w:hAnsi="Palatino Linotype" w:cs="Arial"/>
          <w:lang w:val="es-ES_tradnl"/>
        </w:rPr>
        <w:t xml:space="preserve"> </w:t>
      </w:r>
      <w:r w:rsidRPr="00AF55AC">
        <w:rPr>
          <w:rFonts w:ascii="Palatino Linotype" w:hAnsi="Palatino Linotype" w:cs="Arial"/>
          <w:sz w:val="24"/>
          <w:szCs w:val="24"/>
          <w:lang w:val="es-ES_tradnl"/>
        </w:rPr>
        <w:t xml:space="preserve">Se </w:t>
      </w:r>
      <w:r w:rsidRPr="00AF55AC">
        <w:rPr>
          <w:rFonts w:ascii="Palatino Linotype" w:hAnsi="Palatino Linotype" w:cs="Arial"/>
          <w:b/>
          <w:sz w:val="24"/>
          <w:szCs w:val="24"/>
          <w:lang w:val="es-ES_tradnl"/>
        </w:rPr>
        <w:t xml:space="preserve">SOBRESEE </w:t>
      </w:r>
      <w:r w:rsidRPr="00AF55AC">
        <w:rPr>
          <w:rFonts w:ascii="Palatino Linotype" w:hAnsi="Palatino Linotype" w:cs="Arial"/>
          <w:sz w:val="24"/>
          <w:szCs w:val="24"/>
          <w:lang w:val="es-ES_tradnl"/>
        </w:rPr>
        <w:t xml:space="preserve">el recurso de revisión número </w:t>
      </w:r>
      <w:r>
        <w:rPr>
          <w:rFonts w:ascii="Palatino Linotype" w:hAnsi="Palatino Linotype" w:cs="Arial"/>
          <w:b/>
          <w:sz w:val="24"/>
          <w:szCs w:val="24"/>
          <w:lang w:val="es-ES_tradnl"/>
        </w:rPr>
        <w:t>00480</w:t>
      </w:r>
      <w:r w:rsidRPr="00AF55AC">
        <w:rPr>
          <w:rFonts w:ascii="Palatino Linotype" w:hAnsi="Palatino Linotype" w:cs="Arial"/>
          <w:b/>
          <w:sz w:val="24"/>
          <w:szCs w:val="24"/>
          <w:lang w:val="es-ES_tradnl"/>
        </w:rPr>
        <w:t>/INFOEM/IP/RR/20</w:t>
      </w:r>
      <w:r>
        <w:rPr>
          <w:rFonts w:ascii="Palatino Linotype" w:hAnsi="Palatino Linotype" w:cs="Arial"/>
          <w:b/>
          <w:sz w:val="24"/>
          <w:szCs w:val="24"/>
          <w:lang w:val="es-ES_tradnl"/>
        </w:rPr>
        <w:t>21</w:t>
      </w:r>
      <w:r w:rsidRPr="00AF55AC">
        <w:rPr>
          <w:rFonts w:ascii="Palatino Linotype" w:hAnsi="Palatino Linotype" w:cs="Arial"/>
          <w:b/>
          <w:sz w:val="24"/>
          <w:szCs w:val="24"/>
          <w:lang w:val="es-ES_tradnl"/>
        </w:rPr>
        <w:t xml:space="preserve">, </w:t>
      </w:r>
      <w:r w:rsidRPr="00AF55AC">
        <w:rPr>
          <w:rFonts w:ascii="Palatino Linotype" w:hAnsi="Palatino Linotype" w:cs="Arial"/>
          <w:sz w:val="24"/>
          <w:szCs w:val="24"/>
          <w:lang w:val="es-ES_tradnl"/>
        </w:rPr>
        <w:t xml:space="preserve">porque al modificar la respuesta el recurso de revisión quedó sin materia en términos del Considerando </w:t>
      </w:r>
      <w:r>
        <w:rPr>
          <w:rFonts w:ascii="Palatino Linotype" w:hAnsi="Palatino Linotype" w:cs="Arial"/>
          <w:b/>
          <w:sz w:val="24"/>
          <w:szCs w:val="24"/>
          <w:lang w:val="es-ES_tradnl"/>
        </w:rPr>
        <w:t>CUARTO</w:t>
      </w:r>
      <w:r w:rsidRPr="00AF55AC">
        <w:rPr>
          <w:rFonts w:ascii="Palatino Linotype" w:hAnsi="Palatino Linotype" w:cs="Arial"/>
          <w:b/>
          <w:sz w:val="24"/>
          <w:szCs w:val="24"/>
          <w:lang w:val="es-ES_tradnl"/>
        </w:rPr>
        <w:t xml:space="preserve"> </w:t>
      </w:r>
      <w:r w:rsidRPr="00AF55AC">
        <w:rPr>
          <w:rFonts w:ascii="Palatino Linotype" w:hAnsi="Palatino Linotype" w:cs="Arial"/>
          <w:sz w:val="24"/>
          <w:szCs w:val="24"/>
          <w:lang w:val="es-ES_tradnl"/>
        </w:rPr>
        <w:t>de la presente resolución.</w:t>
      </w:r>
      <w:r>
        <w:rPr>
          <w:rFonts w:ascii="Palatino Linotype" w:hAnsi="Palatino Linotype" w:cs="Arial"/>
          <w:sz w:val="24"/>
          <w:szCs w:val="24"/>
          <w:lang w:val="es-ES_tradnl"/>
        </w:rPr>
        <w:t xml:space="preserve"> </w:t>
      </w:r>
    </w:p>
    <w:p w14:paraId="1A6FC27B" w14:textId="77777777" w:rsidR="000B5C57" w:rsidRDefault="000B5C57" w:rsidP="000B5C57">
      <w:pPr>
        <w:spacing w:before="240" w:line="360" w:lineRule="auto"/>
        <w:jc w:val="both"/>
        <w:rPr>
          <w:rFonts w:ascii="Palatino Linotype" w:hAnsi="Palatino Linotype" w:cs="Arial"/>
          <w:sz w:val="24"/>
          <w:szCs w:val="24"/>
          <w:lang w:val="es-ES_tradnl"/>
        </w:rPr>
      </w:pPr>
    </w:p>
    <w:p w14:paraId="4C84B3E9" w14:textId="77777777" w:rsidR="000B5C57" w:rsidRDefault="000B5C57" w:rsidP="000B5C57">
      <w:pPr>
        <w:widowControl w:val="0"/>
        <w:autoSpaceDE w:val="0"/>
        <w:autoSpaceDN w:val="0"/>
        <w:adjustRightInd w:val="0"/>
        <w:spacing w:before="240" w:after="240" w:line="360" w:lineRule="auto"/>
        <w:jc w:val="both"/>
        <w:rPr>
          <w:rFonts w:ascii="Palatino Linotype" w:hAnsi="Palatino Linotype"/>
          <w:sz w:val="24"/>
          <w:szCs w:val="24"/>
          <w:shd w:val="clear" w:color="auto" w:fill="FFFFFF"/>
        </w:rPr>
      </w:pPr>
      <w:r>
        <w:rPr>
          <w:rFonts w:ascii="Palatino Linotype" w:hAnsi="Palatino Linotype" w:cs="Arial"/>
          <w:b/>
          <w:sz w:val="28"/>
          <w:szCs w:val="28"/>
        </w:rPr>
        <w:t>SEGUNDO</w:t>
      </w:r>
      <w:r w:rsidRPr="003508B1">
        <w:rPr>
          <w:rFonts w:ascii="Palatino Linotype" w:hAnsi="Palatino Linotype" w:cs="Arial"/>
          <w:b/>
          <w:sz w:val="28"/>
          <w:szCs w:val="28"/>
        </w:rPr>
        <w:t>.</w:t>
      </w:r>
      <w:r w:rsidRPr="003508B1">
        <w:rPr>
          <w:rFonts w:ascii="Palatino Linotype" w:hAnsi="Palatino Linotype"/>
          <w:b/>
          <w:lang w:eastAsia="es-ES_tradnl"/>
        </w:rPr>
        <w:t xml:space="preserve"> </w:t>
      </w:r>
      <w:r w:rsidRPr="00F55762">
        <w:rPr>
          <w:rFonts w:ascii="Palatino Linotype" w:hAnsi="Palatino Linotype"/>
          <w:b/>
          <w:sz w:val="24"/>
          <w:szCs w:val="24"/>
          <w:shd w:val="clear" w:color="auto" w:fill="FFFFFF"/>
        </w:rPr>
        <w:t xml:space="preserve">Notifíquese </w:t>
      </w:r>
      <w:r>
        <w:rPr>
          <w:rFonts w:ascii="Palatino Linotype" w:hAnsi="Palatino Linotype"/>
          <w:b/>
          <w:sz w:val="24"/>
          <w:szCs w:val="24"/>
          <w:shd w:val="clear" w:color="auto" w:fill="FFFFFF"/>
        </w:rPr>
        <w:t xml:space="preserve">vía SAIMEX </w:t>
      </w:r>
      <w:r w:rsidRPr="0004467E">
        <w:rPr>
          <w:rFonts w:ascii="Palatino Linotype" w:hAnsi="Palatino Linotype"/>
          <w:sz w:val="24"/>
          <w:szCs w:val="24"/>
          <w:shd w:val="clear" w:color="auto" w:fill="FFFFFF"/>
        </w:rPr>
        <w:t>la presente resolución</w:t>
      </w:r>
      <w:r>
        <w:rPr>
          <w:rFonts w:ascii="Palatino Linotype" w:hAnsi="Palatino Linotype"/>
          <w:b/>
          <w:sz w:val="24"/>
          <w:szCs w:val="24"/>
          <w:shd w:val="clear" w:color="auto" w:fill="FFFFFF"/>
        </w:rPr>
        <w:t xml:space="preserve"> </w:t>
      </w:r>
      <w:r>
        <w:rPr>
          <w:rFonts w:ascii="Palatino Linotype" w:hAnsi="Palatino Linotype"/>
          <w:sz w:val="24"/>
          <w:szCs w:val="24"/>
          <w:shd w:val="clear" w:color="auto" w:fill="FFFFFF"/>
        </w:rPr>
        <w:t>al</w:t>
      </w:r>
      <w:r w:rsidRPr="00F55762">
        <w:rPr>
          <w:rFonts w:ascii="Palatino Linotype" w:hAnsi="Palatino Linotype"/>
          <w:sz w:val="24"/>
          <w:szCs w:val="24"/>
          <w:shd w:val="clear" w:color="auto" w:fill="FFFFFF"/>
        </w:rPr>
        <w:t xml:space="preserve"> Titular de la Unidad de Transparencia del</w:t>
      </w:r>
      <w:r w:rsidRPr="00F55762">
        <w:rPr>
          <w:rStyle w:val="apple-converted-space"/>
          <w:rFonts w:ascii="Palatino Linotype" w:hAnsi="Palatino Linotype"/>
          <w:sz w:val="24"/>
          <w:szCs w:val="24"/>
          <w:shd w:val="clear" w:color="auto" w:fill="FFFFFF"/>
        </w:rPr>
        <w:t> </w:t>
      </w:r>
      <w:r w:rsidRPr="00F55762">
        <w:rPr>
          <w:rFonts w:ascii="Palatino Linotype" w:hAnsi="Palatino Linotype"/>
          <w:b/>
          <w:sz w:val="24"/>
          <w:szCs w:val="24"/>
          <w:shd w:val="clear" w:color="auto" w:fill="FFFFFF"/>
        </w:rPr>
        <w:t>SUJETO OBLIGADO</w:t>
      </w:r>
      <w:r>
        <w:rPr>
          <w:rFonts w:ascii="Palatino Linotype" w:hAnsi="Palatino Linotype"/>
          <w:sz w:val="24"/>
          <w:szCs w:val="24"/>
          <w:shd w:val="clear" w:color="auto" w:fill="FFFFFF"/>
        </w:rPr>
        <w:t xml:space="preserve">. </w:t>
      </w:r>
    </w:p>
    <w:p w14:paraId="19F6D993" w14:textId="77777777" w:rsidR="000B5C57" w:rsidRDefault="000B5C57" w:rsidP="000B5C57">
      <w:pPr>
        <w:widowControl w:val="0"/>
        <w:autoSpaceDE w:val="0"/>
        <w:autoSpaceDN w:val="0"/>
        <w:adjustRightInd w:val="0"/>
        <w:spacing w:before="240" w:after="240" w:line="360" w:lineRule="auto"/>
        <w:jc w:val="both"/>
        <w:rPr>
          <w:rFonts w:ascii="Palatino Linotype" w:hAnsi="Palatino Linotype"/>
          <w:sz w:val="24"/>
          <w:szCs w:val="24"/>
          <w:shd w:val="clear" w:color="auto" w:fill="FFFFFF"/>
        </w:rPr>
      </w:pPr>
    </w:p>
    <w:p w14:paraId="2E058D68" w14:textId="14C4496B" w:rsidR="000B5C57" w:rsidRDefault="000B5C57" w:rsidP="000B5C57">
      <w:pPr>
        <w:spacing w:before="240" w:after="240" w:line="360" w:lineRule="auto"/>
        <w:jc w:val="both"/>
        <w:rPr>
          <w:rFonts w:ascii="Palatino Linotype" w:hAnsi="Palatino Linotype" w:cs="Arial"/>
          <w:sz w:val="24"/>
          <w:szCs w:val="24"/>
          <w:lang w:val="es-ES_tradnl"/>
        </w:rPr>
      </w:pPr>
      <w:r w:rsidRPr="00961F29">
        <w:rPr>
          <w:rFonts w:ascii="Palatino Linotype" w:hAnsi="Palatino Linotype" w:cs="Arial"/>
          <w:b/>
          <w:sz w:val="28"/>
          <w:szCs w:val="24"/>
          <w:lang w:val="es-ES_tradnl"/>
        </w:rPr>
        <w:t xml:space="preserve">TERCERO. </w:t>
      </w:r>
      <w:r w:rsidRPr="00961F29">
        <w:rPr>
          <w:rFonts w:ascii="Palatino Linotype" w:hAnsi="Palatino Linotype" w:cs="Arial"/>
          <w:b/>
          <w:sz w:val="24"/>
          <w:szCs w:val="24"/>
          <w:lang w:val="es-ES_tradnl"/>
        </w:rPr>
        <w:t>NOTIFÍQUESE</w:t>
      </w:r>
      <w:r w:rsidRPr="00961F29">
        <w:rPr>
          <w:rFonts w:ascii="Palatino Linotype" w:hAnsi="Palatino Linotype" w:cs="Arial"/>
          <w:sz w:val="24"/>
          <w:szCs w:val="24"/>
          <w:lang w:val="es-ES_tradnl"/>
        </w:rPr>
        <w:t xml:space="preserve"> a</w:t>
      </w:r>
      <w:r w:rsidR="00097EA3">
        <w:rPr>
          <w:rFonts w:ascii="Palatino Linotype" w:hAnsi="Palatino Linotype" w:cs="Arial"/>
          <w:sz w:val="24"/>
          <w:szCs w:val="24"/>
          <w:lang w:val="es-ES_tradnl"/>
        </w:rPr>
        <w:t xml:space="preserve"> </w:t>
      </w:r>
      <w:r w:rsidR="00097EA3">
        <w:rPr>
          <w:rFonts w:ascii="Palatino Linotype" w:hAnsi="Palatino Linotype" w:cs="Arial"/>
          <w:b/>
          <w:sz w:val="24"/>
          <w:szCs w:val="24"/>
          <w:lang w:val="es-ES_tradnl"/>
        </w:rPr>
        <w:t>LA</w:t>
      </w:r>
      <w:r>
        <w:rPr>
          <w:rFonts w:ascii="Palatino Linotype" w:hAnsi="Palatino Linotype" w:cs="Arial"/>
          <w:sz w:val="24"/>
          <w:szCs w:val="24"/>
          <w:lang w:val="es-ES_tradnl"/>
        </w:rPr>
        <w:t xml:space="preserve"> </w:t>
      </w:r>
      <w:r w:rsidRPr="00961F29">
        <w:rPr>
          <w:rFonts w:ascii="Palatino Linotype" w:hAnsi="Palatino Linotype" w:cs="Arial"/>
          <w:b/>
          <w:sz w:val="24"/>
          <w:szCs w:val="24"/>
          <w:lang w:val="es-ES_tradnl"/>
        </w:rPr>
        <w:t>RECURRENTE</w:t>
      </w:r>
      <w:r w:rsidRPr="00961F29">
        <w:rPr>
          <w:rFonts w:ascii="Palatino Linotype" w:hAnsi="Palatino Linotype" w:cs="Arial"/>
          <w:sz w:val="24"/>
          <w:szCs w:val="24"/>
          <w:lang w:val="es-ES_tradnl"/>
        </w:rPr>
        <w:t xml:space="preserve"> la presente resolución</w:t>
      </w:r>
      <w:r>
        <w:rPr>
          <w:rFonts w:ascii="Palatino Linotype" w:hAnsi="Palatino Linotype" w:cs="Arial"/>
          <w:sz w:val="24"/>
          <w:szCs w:val="24"/>
          <w:lang w:val="es-ES_tradnl"/>
        </w:rPr>
        <w:t xml:space="preserve"> vía </w:t>
      </w:r>
      <w:r w:rsidRPr="00C4297A">
        <w:rPr>
          <w:rFonts w:ascii="Palatino Linotype" w:hAnsi="Palatino Linotype" w:cs="Arial"/>
          <w:b/>
          <w:sz w:val="24"/>
          <w:szCs w:val="24"/>
          <w:lang w:val="es-ES_tradnl"/>
        </w:rPr>
        <w:t>SAIMEX</w:t>
      </w:r>
      <w:r w:rsidR="00125AEA">
        <w:rPr>
          <w:rFonts w:ascii="Palatino Linotype" w:hAnsi="Palatino Linotype" w:cs="Arial"/>
          <w:b/>
          <w:sz w:val="24"/>
          <w:szCs w:val="24"/>
          <w:lang w:val="es-ES_tradnl"/>
        </w:rPr>
        <w:t xml:space="preserve"> y por correo electrónico</w:t>
      </w:r>
      <w:r w:rsidRPr="00961F29">
        <w:rPr>
          <w:rFonts w:ascii="Palatino Linotype" w:hAnsi="Palatino Linotype" w:cs="Arial"/>
          <w:sz w:val="24"/>
          <w:szCs w:val="24"/>
          <w:lang w:val="es-ES_tradnl"/>
        </w:rPr>
        <w:t>, y hágase de su conocimiento que en caso de que considere que le cause algún perjuicio, podrá promover el Juicio de Amparo en los términos de las leyes aplicables, de acuerdo a lo estipulado por el artículo 196, de la Ley de Transparencia y Acceso a la Información Pública del Estado de México y Municipios.</w:t>
      </w:r>
    </w:p>
    <w:p w14:paraId="260EA0AE" w14:textId="77777777" w:rsidR="000B5C57" w:rsidRDefault="000B5C57" w:rsidP="000B5C57">
      <w:pPr>
        <w:spacing w:before="240" w:after="240" w:line="360" w:lineRule="auto"/>
        <w:jc w:val="both"/>
        <w:rPr>
          <w:rFonts w:ascii="Palatino Linotype" w:hAnsi="Palatino Linotype" w:cs="Arial"/>
          <w:sz w:val="24"/>
          <w:szCs w:val="24"/>
          <w:lang w:val="es-ES_tradnl"/>
        </w:rPr>
      </w:pPr>
    </w:p>
    <w:p w14:paraId="1A36FB25" w14:textId="4555A67B" w:rsidR="000B5C57" w:rsidRDefault="000B5C57" w:rsidP="000B5C57">
      <w:pPr>
        <w:spacing w:after="0" w:line="360" w:lineRule="auto"/>
        <w:jc w:val="both"/>
        <w:rPr>
          <w:rFonts w:ascii="Palatino Linotype" w:eastAsia="Times New Roman" w:hAnsi="Palatino Linotype" w:cs="Times New Roman"/>
          <w:sz w:val="24"/>
          <w:szCs w:val="24"/>
          <w:lang w:eastAsia="es-ES"/>
        </w:rPr>
      </w:pPr>
      <w:r>
        <w:rPr>
          <w:rFonts w:ascii="Palatino Linotype" w:hAnsi="Palatino Linotype" w:cs="Arial"/>
          <w:sz w:val="24"/>
          <w:szCs w:val="24"/>
        </w:rPr>
        <w:t xml:space="preserve">ASÍ LO RESUELVE, POR </w:t>
      </w:r>
      <w:r w:rsidR="00125AEA">
        <w:rPr>
          <w:rFonts w:ascii="Palatino Linotype" w:hAnsi="Palatino Linotype" w:cs="Arial"/>
          <w:sz w:val="24"/>
          <w:szCs w:val="24"/>
        </w:rPr>
        <w:t>UNANIMIDAD</w:t>
      </w:r>
      <w:r>
        <w:rPr>
          <w:rFonts w:ascii="Palatino Linotype" w:hAnsi="Palatino Linotype" w:cs="Arial"/>
          <w:sz w:val="24"/>
          <w:szCs w:val="24"/>
        </w:rPr>
        <w:t xml:space="preserve"> DE VOTOS, EL PLENO DEL</w:t>
      </w:r>
      <w:r>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Pr>
          <w:rFonts w:ascii="Palatino Linotype" w:hAnsi="Palatino Linotype" w:cs="Arial"/>
          <w:sz w:val="24"/>
          <w:szCs w:val="24"/>
        </w:rPr>
        <w:t>, CONFORMADO POR LOS COMISIONADOS ZULEMA MARTÍNEZ SÁNCHEZ, EVA ABAID YAPUR</w:t>
      </w:r>
      <w:r w:rsidR="00125AEA">
        <w:rPr>
          <w:rFonts w:ascii="Palatino Linotype" w:hAnsi="Palatino Linotype" w:cs="Arial"/>
          <w:sz w:val="24"/>
          <w:szCs w:val="24"/>
        </w:rPr>
        <w:t xml:space="preserve">, </w:t>
      </w:r>
      <w:r>
        <w:rPr>
          <w:rFonts w:ascii="Palatino Linotype" w:hAnsi="Palatino Linotype" w:cs="Arial"/>
          <w:sz w:val="24"/>
          <w:szCs w:val="24"/>
        </w:rPr>
        <w:t>JOSÉ GUADALUPE LUNA HERNÁNDEZ</w:t>
      </w:r>
      <w:r w:rsidR="00463CAC">
        <w:rPr>
          <w:rFonts w:ascii="Palatino Linotype" w:hAnsi="Palatino Linotype" w:cs="Arial"/>
          <w:sz w:val="24"/>
          <w:szCs w:val="24"/>
        </w:rPr>
        <w:t xml:space="preserve"> (EXCUSA EN </w:t>
      </w:r>
      <w:r w:rsidR="00463CAC">
        <w:rPr>
          <w:rFonts w:ascii="Palatino Linotype" w:hAnsi="Palatino Linotype" w:cs="Arial"/>
          <w:sz w:val="24"/>
          <w:szCs w:val="24"/>
        </w:rPr>
        <w:lastRenderedPageBreak/>
        <w:t>VOTACIÓN)</w:t>
      </w:r>
      <w:r>
        <w:rPr>
          <w:rFonts w:ascii="Palatino Linotype" w:hAnsi="Palatino Linotype" w:cs="Arial"/>
          <w:sz w:val="24"/>
          <w:szCs w:val="24"/>
        </w:rPr>
        <w:t xml:space="preserve">, JAVIER MARTÍNEZ CRUZ  Y LUIS GUSTAVO PARRA NORIEGA </w:t>
      </w:r>
      <w:r w:rsidRPr="003955C1">
        <w:rPr>
          <w:rFonts w:ascii="Palatino Linotype" w:eastAsia="Arial Unicode MS" w:hAnsi="Palatino Linotype" w:cs="Times New Roman"/>
          <w:sz w:val="24"/>
          <w:szCs w:val="24"/>
          <w:lang w:eastAsia="es-ES"/>
        </w:rPr>
        <w:t xml:space="preserve">EN LA </w:t>
      </w:r>
      <w:r>
        <w:rPr>
          <w:rFonts w:ascii="Palatino Linotype" w:eastAsia="Arial Unicode MS" w:hAnsi="Palatino Linotype" w:cs="Times New Roman"/>
          <w:sz w:val="24"/>
          <w:szCs w:val="24"/>
          <w:lang w:eastAsia="es-ES"/>
        </w:rPr>
        <w:t xml:space="preserve">DÉCIMA </w:t>
      </w:r>
      <w:r w:rsidR="00125AEA">
        <w:rPr>
          <w:rFonts w:ascii="Palatino Linotype" w:eastAsia="Arial Unicode MS" w:hAnsi="Palatino Linotype" w:cs="Times New Roman"/>
          <w:sz w:val="24"/>
          <w:szCs w:val="24"/>
          <w:lang w:eastAsia="es-ES"/>
        </w:rPr>
        <w:t>QUINTA</w:t>
      </w:r>
      <w:r>
        <w:rPr>
          <w:rFonts w:ascii="Palatino Linotype" w:eastAsia="Arial Unicode MS" w:hAnsi="Palatino Linotype" w:cs="Times New Roman"/>
          <w:sz w:val="24"/>
          <w:szCs w:val="24"/>
          <w:lang w:eastAsia="es-ES"/>
        </w:rPr>
        <w:t xml:space="preserve"> SESIÓN ORDINARIA CELEBRADA EL </w:t>
      </w:r>
      <w:r w:rsidR="00125AEA">
        <w:rPr>
          <w:rFonts w:ascii="Palatino Linotype" w:eastAsia="Arial Unicode MS" w:hAnsi="Palatino Linotype" w:cs="Times New Roman"/>
          <w:sz w:val="24"/>
          <w:szCs w:val="24"/>
          <w:lang w:eastAsia="es-ES"/>
        </w:rPr>
        <w:t>SEIS DE MAYO</w:t>
      </w:r>
      <w:r>
        <w:rPr>
          <w:rFonts w:ascii="Palatino Linotype" w:eastAsia="Arial Unicode MS" w:hAnsi="Palatino Linotype" w:cs="Times New Roman"/>
          <w:sz w:val="24"/>
          <w:szCs w:val="24"/>
          <w:lang w:eastAsia="es-ES"/>
        </w:rPr>
        <w:t xml:space="preserve"> DE DOS MIL VEINTIUNO, ANTE EL </w:t>
      </w:r>
      <w:r w:rsidRPr="003955C1">
        <w:rPr>
          <w:rFonts w:ascii="Palatino Linotype" w:eastAsia="Times New Roman" w:hAnsi="Palatino Linotype" w:cs="Times New Roman"/>
          <w:sz w:val="24"/>
          <w:szCs w:val="24"/>
          <w:lang w:eastAsia="es-ES"/>
        </w:rPr>
        <w:t>SECRETARIO TÉCNICO DEL PLENO, ALEXIS TAPIA RAMÍREZ.</w:t>
      </w:r>
    </w:p>
    <w:p w14:paraId="694BE4DE" w14:textId="6B1A93AA" w:rsidR="00FE080F" w:rsidRPr="00FE080F" w:rsidRDefault="00810A1B" w:rsidP="00FE080F">
      <w:pPr>
        <w:spacing w:line="360" w:lineRule="auto"/>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705344" behindDoc="0" locked="0" layoutInCell="1" allowOverlap="1" wp14:anchorId="759FC59C" wp14:editId="26A9EA26">
                <wp:simplePos x="0" y="0"/>
                <wp:positionH relativeFrom="column">
                  <wp:posOffset>-62368</wp:posOffset>
                </wp:positionH>
                <wp:positionV relativeFrom="paragraph">
                  <wp:posOffset>221808</wp:posOffset>
                </wp:positionV>
                <wp:extent cx="6440556" cy="5605670"/>
                <wp:effectExtent l="0" t="0" r="36830" b="33655"/>
                <wp:wrapNone/>
                <wp:docPr id="8" name="Conector recto 8"/>
                <wp:cNvGraphicFramePr/>
                <a:graphic xmlns:a="http://schemas.openxmlformats.org/drawingml/2006/main">
                  <a:graphicData uri="http://schemas.microsoft.com/office/word/2010/wordprocessingShape">
                    <wps:wsp>
                      <wps:cNvCnPr/>
                      <wps:spPr>
                        <a:xfrm>
                          <a:off x="0" y="0"/>
                          <a:ext cx="6440556" cy="56056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44C9B6" id="Conector recto 8"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4.9pt,17.45pt" to="502.25pt,4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" strokecolor="#5b9bd5 [3204]" strokeweight=".5pt">
                <v:stroke joinstyle="miter"/>
              </v:line>
            </w:pict>
          </mc:Fallback>
        </mc:AlternateContent>
      </w:r>
    </w:p>
    <w:p w14:paraId="1B0464B9" w14:textId="77777777" w:rsidR="007A63C4" w:rsidRDefault="007A63C4" w:rsidP="000C06AD">
      <w:pPr>
        <w:spacing w:after="0" w:line="360" w:lineRule="auto"/>
        <w:jc w:val="both"/>
        <w:rPr>
          <w:rFonts w:ascii="Palatino Linotype" w:hAnsi="Palatino Linotype"/>
          <w:sz w:val="24"/>
          <w:szCs w:val="24"/>
        </w:rPr>
      </w:pPr>
    </w:p>
    <w:p w14:paraId="1842F35A" w14:textId="5C0727E4" w:rsidR="00D67CEA" w:rsidRDefault="007A63C4" w:rsidP="000C06AD">
      <w:pPr>
        <w:spacing w:after="0" w:line="360" w:lineRule="auto"/>
        <w:jc w:val="both"/>
        <w:rPr>
          <w:rFonts w:ascii="Palatino Linotype" w:hAnsi="Palatino Linotype"/>
          <w:sz w:val="24"/>
          <w:szCs w:val="24"/>
        </w:rPr>
      </w:pPr>
      <w:r>
        <w:rPr>
          <w:rFonts w:ascii="Palatino Linotype" w:hAnsi="Palatino Linotype"/>
          <w:sz w:val="24"/>
          <w:szCs w:val="24"/>
        </w:rPr>
        <w:t xml:space="preserve"> </w:t>
      </w:r>
    </w:p>
    <w:p w14:paraId="764C9EA8" w14:textId="77777777" w:rsidR="007A63C4" w:rsidRDefault="007A63C4" w:rsidP="000C06AD">
      <w:pPr>
        <w:spacing w:after="0" w:line="360" w:lineRule="auto"/>
        <w:jc w:val="both"/>
        <w:rPr>
          <w:rFonts w:ascii="Palatino Linotype" w:hAnsi="Palatino Linotype"/>
          <w:sz w:val="24"/>
          <w:szCs w:val="24"/>
        </w:rPr>
      </w:pPr>
    </w:p>
    <w:p w14:paraId="770B9AFE" w14:textId="77777777" w:rsidR="007A63C4" w:rsidRPr="007A63C4" w:rsidRDefault="007A63C4" w:rsidP="000C06AD">
      <w:pPr>
        <w:spacing w:after="0" w:line="360" w:lineRule="auto"/>
        <w:jc w:val="both"/>
        <w:rPr>
          <w:rFonts w:ascii="Palatino Linotype" w:hAnsi="Palatino Linotype"/>
          <w:sz w:val="24"/>
          <w:szCs w:val="24"/>
        </w:rPr>
      </w:pPr>
    </w:p>
    <w:p w14:paraId="1F2A1396" w14:textId="7735498A" w:rsidR="00D67CEA" w:rsidRDefault="002E5285" w:rsidP="000C06AD">
      <w:pPr>
        <w:spacing w:after="0" w:line="360" w:lineRule="auto"/>
        <w:jc w:val="both"/>
        <w:rPr>
          <w:rFonts w:ascii="Palatino Linotype" w:hAnsi="Palatino Linotype"/>
          <w:sz w:val="24"/>
          <w:szCs w:val="24"/>
        </w:rPr>
      </w:pPr>
      <w:r>
        <w:rPr>
          <w:rFonts w:ascii="Palatino Linotype" w:hAnsi="Palatino Linotype"/>
          <w:sz w:val="24"/>
          <w:szCs w:val="24"/>
        </w:rPr>
        <w:t xml:space="preserve"> </w:t>
      </w:r>
    </w:p>
    <w:p w14:paraId="2593D152" w14:textId="77777777" w:rsidR="00125AEA" w:rsidRDefault="00125AEA" w:rsidP="000C06AD">
      <w:pPr>
        <w:spacing w:after="0" w:line="360" w:lineRule="auto"/>
        <w:jc w:val="both"/>
        <w:rPr>
          <w:rFonts w:ascii="Palatino Linotype" w:hAnsi="Palatino Linotype"/>
          <w:sz w:val="24"/>
          <w:szCs w:val="24"/>
        </w:rPr>
      </w:pPr>
    </w:p>
    <w:p w14:paraId="32D1F86D" w14:textId="77777777" w:rsidR="00125AEA" w:rsidRDefault="00125AEA" w:rsidP="000C06AD">
      <w:pPr>
        <w:spacing w:after="0" w:line="360" w:lineRule="auto"/>
        <w:jc w:val="both"/>
        <w:rPr>
          <w:rFonts w:ascii="Palatino Linotype" w:hAnsi="Palatino Linotype"/>
          <w:sz w:val="24"/>
          <w:szCs w:val="24"/>
        </w:rPr>
      </w:pPr>
    </w:p>
    <w:p w14:paraId="3C344BEF" w14:textId="77777777" w:rsidR="00125AEA" w:rsidRDefault="00125AEA" w:rsidP="000C06AD">
      <w:pPr>
        <w:spacing w:after="0" w:line="360" w:lineRule="auto"/>
        <w:jc w:val="both"/>
        <w:rPr>
          <w:rFonts w:ascii="Palatino Linotype" w:hAnsi="Palatino Linotype"/>
          <w:sz w:val="24"/>
          <w:szCs w:val="24"/>
        </w:rPr>
      </w:pPr>
    </w:p>
    <w:p w14:paraId="3D51DD9A" w14:textId="77777777" w:rsidR="00125AEA" w:rsidRDefault="00125AEA" w:rsidP="000C06AD">
      <w:pPr>
        <w:spacing w:after="0" w:line="360" w:lineRule="auto"/>
        <w:jc w:val="both"/>
        <w:rPr>
          <w:rFonts w:ascii="Palatino Linotype" w:hAnsi="Palatino Linotype"/>
          <w:sz w:val="24"/>
          <w:szCs w:val="24"/>
        </w:rPr>
      </w:pPr>
    </w:p>
    <w:p w14:paraId="08AF2541" w14:textId="77777777" w:rsidR="00125AEA" w:rsidRDefault="00125AEA" w:rsidP="000C06AD">
      <w:pPr>
        <w:spacing w:after="0" w:line="360" w:lineRule="auto"/>
        <w:jc w:val="both"/>
        <w:rPr>
          <w:rFonts w:ascii="Palatino Linotype" w:hAnsi="Palatino Linotype"/>
          <w:sz w:val="24"/>
          <w:szCs w:val="24"/>
        </w:rPr>
      </w:pPr>
    </w:p>
    <w:p w14:paraId="4234ECF4" w14:textId="77777777" w:rsidR="00125AEA" w:rsidRDefault="00125AEA" w:rsidP="000C06AD">
      <w:pPr>
        <w:spacing w:after="0" w:line="360" w:lineRule="auto"/>
        <w:jc w:val="both"/>
        <w:rPr>
          <w:rFonts w:ascii="Palatino Linotype" w:hAnsi="Palatino Linotype"/>
          <w:sz w:val="24"/>
          <w:szCs w:val="24"/>
        </w:rPr>
      </w:pPr>
    </w:p>
    <w:p w14:paraId="03732B47" w14:textId="77777777" w:rsidR="00125AEA" w:rsidRDefault="00125AEA" w:rsidP="000C06AD">
      <w:pPr>
        <w:spacing w:after="0" w:line="360" w:lineRule="auto"/>
        <w:jc w:val="both"/>
        <w:rPr>
          <w:rFonts w:ascii="Palatino Linotype" w:hAnsi="Palatino Linotype"/>
          <w:sz w:val="24"/>
          <w:szCs w:val="24"/>
        </w:rPr>
      </w:pPr>
    </w:p>
    <w:p w14:paraId="74500613" w14:textId="77777777" w:rsidR="00125AEA" w:rsidRDefault="00125AEA" w:rsidP="000C06AD">
      <w:pPr>
        <w:spacing w:after="0" w:line="360" w:lineRule="auto"/>
        <w:jc w:val="both"/>
        <w:rPr>
          <w:rFonts w:ascii="Palatino Linotype" w:hAnsi="Palatino Linotype"/>
          <w:sz w:val="24"/>
          <w:szCs w:val="24"/>
        </w:rPr>
      </w:pPr>
    </w:p>
    <w:p w14:paraId="3D060B73" w14:textId="77777777" w:rsidR="00125AEA" w:rsidRDefault="00125AEA" w:rsidP="000C06AD">
      <w:pPr>
        <w:spacing w:after="0" w:line="360" w:lineRule="auto"/>
        <w:jc w:val="both"/>
        <w:rPr>
          <w:rFonts w:ascii="Palatino Linotype" w:hAnsi="Palatino Linotype"/>
          <w:sz w:val="24"/>
          <w:szCs w:val="24"/>
        </w:rPr>
      </w:pPr>
    </w:p>
    <w:p w14:paraId="2BF2210E" w14:textId="77777777" w:rsidR="00125AEA" w:rsidRDefault="00125AEA" w:rsidP="000C06AD">
      <w:pPr>
        <w:spacing w:after="0" w:line="360" w:lineRule="auto"/>
        <w:jc w:val="both"/>
        <w:rPr>
          <w:rFonts w:ascii="Palatino Linotype" w:hAnsi="Palatino Linotype"/>
          <w:sz w:val="24"/>
          <w:szCs w:val="24"/>
        </w:rPr>
      </w:pPr>
    </w:p>
    <w:p w14:paraId="02EAED9B" w14:textId="77777777" w:rsidR="00125AEA" w:rsidRDefault="00125AEA" w:rsidP="000C06AD">
      <w:pPr>
        <w:spacing w:after="0" w:line="360" w:lineRule="auto"/>
        <w:jc w:val="both"/>
        <w:rPr>
          <w:rFonts w:ascii="Palatino Linotype" w:hAnsi="Palatino Linotype"/>
          <w:sz w:val="24"/>
          <w:szCs w:val="24"/>
        </w:rPr>
      </w:pPr>
    </w:p>
    <w:p w14:paraId="09AA0CC8" w14:textId="77777777" w:rsidR="00125AEA" w:rsidRDefault="00125AEA" w:rsidP="000C06AD">
      <w:pPr>
        <w:spacing w:after="0" w:line="360" w:lineRule="auto"/>
        <w:jc w:val="both"/>
        <w:rPr>
          <w:rFonts w:ascii="Palatino Linotype" w:hAnsi="Palatino Linotype"/>
          <w:sz w:val="24"/>
          <w:szCs w:val="24"/>
        </w:rPr>
      </w:pPr>
    </w:p>
    <w:p w14:paraId="664E73EF" w14:textId="77777777" w:rsidR="00125AEA" w:rsidRDefault="00125AEA" w:rsidP="000C06AD">
      <w:pPr>
        <w:spacing w:after="0" w:line="360" w:lineRule="auto"/>
        <w:jc w:val="both"/>
        <w:rPr>
          <w:rFonts w:ascii="Palatino Linotype" w:hAnsi="Palatino Linotype"/>
          <w:sz w:val="24"/>
          <w:szCs w:val="24"/>
        </w:rPr>
      </w:pPr>
    </w:p>
    <w:p w14:paraId="6AC29208" w14:textId="566AC521" w:rsidR="00125AEA" w:rsidRDefault="00125AEA" w:rsidP="000C06AD">
      <w:pPr>
        <w:spacing w:after="0" w:line="360" w:lineRule="auto"/>
        <w:jc w:val="both"/>
        <w:rPr>
          <w:rFonts w:ascii="Palatino Linotype" w:hAnsi="Palatino Linotype"/>
          <w:sz w:val="20"/>
          <w:szCs w:val="20"/>
        </w:rPr>
      </w:pPr>
      <w:r w:rsidRPr="00125AEA">
        <w:rPr>
          <w:rFonts w:ascii="Palatino Linotype" w:hAnsi="Palatino Linotype"/>
          <w:sz w:val="20"/>
          <w:szCs w:val="20"/>
        </w:rPr>
        <w:t>OSAM/JCMA</w:t>
      </w:r>
    </w:p>
    <w:p w14:paraId="085280EE" w14:textId="77777777" w:rsidR="00810A1B" w:rsidRDefault="00810A1B" w:rsidP="000C06AD">
      <w:pPr>
        <w:spacing w:after="0" w:line="360" w:lineRule="auto"/>
        <w:jc w:val="both"/>
        <w:rPr>
          <w:rFonts w:ascii="Palatino Linotype" w:hAnsi="Palatino Linotype"/>
          <w:sz w:val="20"/>
          <w:szCs w:val="20"/>
        </w:rPr>
      </w:pPr>
    </w:p>
    <w:p w14:paraId="6028CD14" w14:textId="77777777" w:rsidR="00810A1B" w:rsidRDefault="00810A1B" w:rsidP="000C06AD">
      <w:pPr>
        <w:spacing w:after="0" w:line="360" w:lineRule="auto"/>
        <w:jc w:val="both"/>
        <w:rPr>
          <w:rFonts w:ascii="Palatino Linotype" w:hAnsi="Palatino Linotype"/>
          <w:sz w:val="20"/>
          <w:szCs w:val="20"/>
        </w:rPr>
      </w:pPr>
    </w:p>
    <w:p w14:paraId="18504EF6" w14:textId="77777777" w:rsidR="00810A1B" w:rsidRPr="00125AEA" w:rsidRDefault="00810A1B" w:rsidP="000C06AD">
      <w:pPr>
        <w:spacing w:after="0" w:line="360" w:lineRule="auto"/>
        <w:jc w:val="both"/>
        <w:rPr>
          <w:rFonts w:ascii="Palatino Linotype" w:hAnsi="Palatino Linotype"/>
          <w:sz w:val="20"/>
          <w:szCs w:val="20"/>
        </w:rPr>
      </w:pPr>
    </w:p>
    <w:p w14:paraId="45692090" w14:textId="77777777" w:rsidR="00125AEA" w:rsidRDefault="00125AEA" w:rsidP="000C06AD">
      <w:pPr>
        <w:spacing w:after="0" w:line="360" w:lineRule="auto"/>
        <w:jc w:val="both"/>
        <w:rPr>
          <w:rFonts w:ascii="Palatino Linotype" w:hAnsi="Palatino Linotype"/>
          <w:sz w:val="24"/>
          <w:szCs w:val="24"/>
        </w:rPr>
      </w:pPr>
    </w:p>
    <w:sectPr w:rsidR="00125AEA" w:rsidSect="00FB4AAD">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D1B208" w14:textId="77777777" w:rsidR="00C06DDC" w:rsidRDefault="00C06DDC" w:rsidP="006168E4">
      <w:pPr>
        <w:spacing w:after="0" w:line="240" w:lineRule="auto"/>
      </w:pPr>
      <w:r>
        <w:separator/>
      </w:r>
    </w:p>
  </w:endnote>
  <w:endnote w:type="continuationSeparator" w:id="0">
    <w:p w14:paraId="750469A4" w14:textId="77777777" w:rsidR="00C06DDC" w:rsidRDefault="00C06DDC"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CACC34" w14:textId="77777777" w:rsidR="00BC135D" w:rsidRPr="000B69FA" w:rsidRDefault="00BC135D"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C1CCD">
      <w:rPr>
        <w:rFonts w:ascii="Palatino Linotype" w:hAnsi="Palatino Linotype"/>
        <w:bCs/>
        <w:noProof/>
        <w:sz w:val="20"/>
      </w:rPr>
      <w:t>30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C1CCD">
      <w:rPr>
        <w:rFonts w:ascii="Palatino Linotype" w:hAnsi="Palatino Linotype"/>
        <w:bCs/>
        <w:noProof/>
        <w:sz w:val="20"/>
      </w:rPr>
      <w:t>42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0800B4" w14:textId="414EC255" w:rsidR="00BC135D" w:rsidRPr="000B69FA" w:rsidRDefault="00BC135D"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C1CC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C1CCD">
      <w:rPr>
        <w:rFonts w:ascii="Palatino Linotype" w:hAnsi="Palatino Linotype"/>
        <w:bCs/>
        <w:noProof/>
        <w:sz w:val="20"/>
      </w:rPr>
      <w:t>42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DEF911" w14:textId="77777777" w:rsidR="00C06DDC" w:rsidRDefault="00C06DDC" w:rsidP="006168E4">
      <w:pPr>
        <w:spacing w:after="0" w:line="240" w:lineRule="auto"/>
      </w:pPr>
      <w:r>
        <w:separator/>
      </w:r>
    </w:p>
  </w:footnote>
  <w:footnote w:type="continuationSeparator" w:id="0">
    <w:p w14:paraId="75C0E267" w14:textId="77777777" w:rsidR="00C06DDC" w:rsidRDefault="00C06DDC" w:rsidP="006168E4">
      <w:pPr>
        <w:spacing w:after="0" w:line="240" w:lineRule="auto"/>
      </w:pPr>
      <w:r>
        <w:continuationSeparator/>
      </w:r>
    </w:p>
  </w:footnote>
  <w:footnote w:id="1">
    <w:p w14:paraId="29A449C1" w14:textId="77777777" w:rsidR="00BC135D" w:rsidRPr="00911081" w:rsidRDefault="00BC135D" w:rsidP="00D67CEA">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1EAE293D" w14:textId="77777777" w:rsidR="00BC135D" w:rsidRPr="00911081" w:rsidRDefault="00BC135D" w:rsidP="00D67CEA">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78F23B" w14:textId="0DF00A28" w:rsidR="00BC135D" w:rsidRDefault="00BC135D">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6EC76695" wp14:editId="30FBC50F">
          <wp:simplePos x="0" y="0"/>
          <wp:positionH relativeFrom="page">
            <wp:posOffset>22251</wp:posOffset>
          </wp:positionH>
          <wp:positionV relativeFrom="page">
            <wp:posOffset>42197</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BC135D" w14:paraId="0C70B187" w14:textId="77777777" w:rsidTr="00FB4AAD">
      <w:trPr>
        <w:trHeight w:val="227"/>
      </w:trPr>
      <w:tc>
        <w:tcPr>
          <w:tcW w:w="5529" w:type="dxa"/>
          <w:hideMark/>
        </w:tcPr>
        <w:p w14:paraId="3CF1BD11" w14:textId="77777777" w:rsidR="00BC135D" w:rsidRDefault="00BC135D"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0EF03C7" w14:textId="11499A44" w:rsidR="00BC135D" w:rsidRPr="00B4142F" w:rsidRDefault="00BC135D"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00480/INFOEM/IP/RR/2021</w:t>
          </w:r>
        </w:p>
      </w:tc>
    </w:tr>
    <w:tr w:rsidR="00BC135D" w14:paraId="12CBFB9E" w14:textId="77777777" w:rsidTr="00FB4AAD">
      <w:trPr>
        <w:trHeight w:val="242"/>
      </w:trPr>
      <w:tc>
        <w:tcPr>
          <w:tcW w:w="5529" w:type="dxa"/>
          <w:hideMark/>
        </w:tcPr>
        <w:p w14:paraId="5A573F6A" w14:textId="77777777" w:rsidR="00BC135D" w:rsidRDefault="00BC135D"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6028A843" w14:textId="5E697825" w:rsidR="00BC135D" w:rsidRPr="00F06FED" w:rsidRDefault="00BC135D" w:rsidP="006D2AFA">
          <w:pPr>
            <w:spacing w:after="120" w:line="256" w:lineRule="auto"/>
            <w:ind w:left="639" w:right="214"/>
            <w:jc w:val="both"/>
            <w:rPr>
              <w:rFonts w:ascii="Palatino Linotype" w:hAnsi="Palatino Linotype" w:cs="Arial"/>
            </w:rPr>
          </w:pPr>
          <w:r>
            <w:rPr>
              <w:rFonts w:ascii="Palatino Linotype" w:hAnsi="Palatino Linotype" w:cs="Arial"/>
              <w:szCs w:val="20"/>
            </w:rPr>
            <w:t>Poder Legislativo</w:t>
          </w:r>
        </w:p>
      </w:tc>
    </w:tr>
    <w:tr w:rsidR="00BC135D" w14:paraId="7DFF5244" w14:textId="77777777" w:rsidTr="00FB4AAD">
      <w:trPr>
        <w:trHeight w:val="342"/>
      </w:trPr>
      <w:tc>
        <w:tcPr>
          <w:tcW w:w="5529" w:type="dxa"/>
          <w:hideMark/>
        </w:tcPr>
        <w:p w14:paraId="368097BE" w14:textId="77777777" w:rsidR="00BC135D" w:rsidRDefault="00BC135D"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7E4A2877" w14:textId="77777777" w:rsidR="00BC135D" w:rsidRDefault="00BC135D"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Zulema Martínez Sánchez</w:t>
          </w:r>
        </w:p>
      </w:tc>
    </w:tr>
  </w:tbl>
  <w:p w14:paraId="4703F06A" w14:textId="77777777" w:rsidR="00BC135D" w:rsidRDefault="00BC135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BC135D" w14:paraId="7F87407A" w14:textId="77777777" w:rsidTr="00FB4AAD">
      <w:trPr>
        <w:trHeight w:val="227"/>
      </w:trPr>
      <w:tc>
        <w:tcPr>
          <w:tcW w:w="5529" w:type="dxa"/>
          <w:hideMark/>
        </w:tcPr>
        <w:p w14:paraId="28E3C677" w14:textId="27C58B78" w:rsidR="00BC135D" w:rsidRDefault="00BC135D"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454191E8" w14:textId="0D6EFF6B" w:rsidR="00BC135D" w:rsidRPr="00B4142F" w:rsidRDefault="00BC135D"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00480/INFOEM/IP/RR/2021</w:t>
          </w:r>
        </w:p>
      </w:tc>
    </w:tr>
    <w:tr w:rsidR="00BC135D" w14:paraId="10BA6E6B" w14:textId="77777777" w:rsidTr="00FB4AAD">
      <w:trPr>
        <w:trHeight w:val="196"/>
      </w:trPr>
      <w:tc>
        <w:tcPr>
          <w:tcW w:w="5529" w:type="dxa"/>
          <w:hideMark/>
        </w:tcPr>
        <w:p w14:paraId="02C1884D" w14:textId="77777777" w:rsidR="00BC135D" w:rsidRDefault="00BC135D"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596AEBD" w14:textId="423B61FC" w:rsidR="00BC135D" w:rsidRPr="006D2889" w:rsidRDefault="00AC1CCD" w:rsidP="00CC0C5F">
          <w:pPr>
            <w:spacing w:after="120" w:line="256" w:lineRule="auto"/>
            <w:ind w:left="639" w:right="214"/>
            <w:jc w:val="both"/>
            <w:rPr>
              <w:rFonts w:ascii="Palatino Linotype" w:hAnsi="Palatino Linotype" w:cs="Arial"/>
            </w:rPr>
          </w:pPr>
          <w:r>
            <w:rPr>
              <w:rFonts w:ascii="Palatino Linotype" w:hAnsi="Palatino Linotype"/>
              <w:color w:val="000000"/>
            </w:rPr>
            <w:t>xxxxxxxxxxxxxxxxxxxxxxxxxxxxxxxxxxxxxxxxxxxxxxxxxx</w:t>
          </w:r>
        </w:p>
      </w:tc>
    </w:tr>
    <w:tr w:rsidR="00BC135D" w14:paraId="411BF4C6" w14:textId="77777777" w:rsidTr="00FB4AAD">
      <w:trPr>
        <w:trHeight w:val="242"/>
      </w:trPr>
      <w:tc>
        <w:tcPr>
          <w:tcW w:w="5529" w:type="dxa"/>
          <w:hideMark/>
        </w:tcPr>
        <w:p w14:paraId="5B2ABC9C" w14:textId="77777777" w:rsidR="00BC135D" w:rsidRDefault="00BC135D"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1192A04A" w14:textId="73E0A1C0" w:rsidR="00BC135D" w:rsidRDefault="00BC135D" w:rsidP="006D2AFA">
          <w:pPr>
            <w:spacing w:after="120" w:line="256" w:lineRule="auto"/>
            <w:ind w:left="639" w:right="214"/>
            <w:jc w:val="both"/>
            <w:rPr>
              <w:rFonts w:ascii="Palatino Linotype" w:hAnsi="Palatino Linotype" w:cs="Arial"/>
              <w:szCs w:val="20"/>
            </w:rPr>
          </w:pPr>
          <w:r>
            <w:rPr>
              <w:rFonts w:ascii="Palatino Linotype" w:hAnsi="Palatino Linotype" w:cs="Arial"/>
              <w:szCs w:val="20"/>
            </w:rPr>
            <w:t>Poder Legislativo</w:t>
          </w:r>
        </w:p>
      </w:tc>
    </w:tr>
    <w:tr w:rsidR="00BC135D" w14:paraId="2F143B95" w14:textId="77777777" w:rsidTr="00FB4AAD">
      <w:trPr>
        <w:trHeight w:val="342"/>
      </w:trPr>
      <w:tc>
        <w:tcPr>
          <w:tcW w:w="5529" w:type="dxa"/>
          <w:hideMark/>
        </w:tcPr>
        <w:p w14:paraId="688A2B1E" w14:textId="77777777" w:rsidR="00BC135D" w:rsidRDefault="00BC135D"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17A4F9EA" w14:textId="77777777" w:rsidR="00BC135D" w:rsidRDefault="00BC135D"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14:paraId="363E9819" w14:textId="60843962" w:rsidR="00BC135D" w:rsidRDefault="00BC135D">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143B9027" wp14:editId="590766E4">
          <wp:simplePos x="0" y="0"/>
          <wp:positionH relativeFrom="page">
            <wp:posOffset>47486</wp:posOffset>
          </wp:positionH>
          <wp:positionV relativeFrom="page">
            <wp:posOffset>4358</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8761A"/>
    <w:multiLevelType w:val="hybridMultilevel"/>
    <w:tmpl w:val="D70A5BC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7184E4C"/>
    <w:multiLevelType w:val="hybridMultilevel"/>
    <w:tmpl w:val="60EA843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7A85C39"/>
    <w:multiLevelType w:val="hybridMultilevel"/>
    <w:tmpl w:val="1382CC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A9B1783"/>
    <w:multiLevelType w:val="hybridMultilevel"/>
    <w:tmpl w:val="4D7AB4B4"/>
    <w:lvl w:ilvl="0" w:tplc="F99A51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EA32F08"/>
    <w:multiLevelType w:val="hybridMultilevel"/>
    <w:tmpl w:val="4AA40248"/>
    <w:lvl w:ilvl="0" w:tplc="8A8ED8B6">
      <w:start w:val="3"/>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nsid w:val="13A7224E"/>
    <w:multiLevelType w:val="hybridMultilevel"/>
    <w:tmpl w:val="265E42AA"/>
    <w:lvl w:ilvl="0" w:tplc="6DB63B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6685A42"/>
    <w:multiLevelType w:val="hybridMultilevel"/>
    <w:tmpl w:val="B386CAF0"/>
    <w:lvl w:ilvl="0" w:tplc="8C7E4D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748557A"/>
    <w:multiLevelType w:val="hybridMultilevel"/>
    <w:tmpl w:val="4FA8526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A294DC6"/>
    <w:multiLevelType w:val="hybridMultilevel"/>
    <w:tmpl w:val="2176F3BE"/>
    <w:lvl w:ilvl="0" w:tplc="8F30C190">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10">
    <w:nsid w:val="1B3D363A"/>
    <w:multiLevelType w:val="hybridMultilevel"/>
    <w:tmpl w:val="12EEA2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21E7F0B"/>
    <w:multiLevelType w:val="hybridMultilevel"/>
    <w:tmpl w:val="A406092A"/>
    <w:lvl w:ilvl="0" w:tplc="31DADF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BDF3564"/>
    <w:multiLevelType w:val="hybridMultilevel"/>
    <w:tmpl w:val="A43C12FA"/>
    <w:lvl w:ilvl="0" w:tplc="080A0001">
      <w:start w:val="1"/>
      <w:numFmt w:val="bullet"/>
      <w:lvlText w:val=""/>
      <w:lvlJc w:val="left"/>
      <w:pPr>
        <w:ind w:left="1571" w:hanging="360"/>
      </w:pPr>
      <w:rPr>
        <w:rFonts w:ascii="Symbol" w:hAnsi="Symbol" w:hint="default"/>
      </w:rPr>
    </w:lvl>
    <w:lvl w:ilvl="1" w:tplc="080A0003">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3">
    <w:nsid w:val="2DB377E6"/>
    <w:multiLevelType w:val="hybridMultilevel"/>
    <w:tmpl w:val="110C7A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2117185"/>
    <w:multiLevelType w:val="hybridMultilevel"/>
    <w:tmpl w:val="831C4B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4666F99"/>
    <w:multiLevelType w:val="hybridMultilevel"/>
    <w:tmpl w:val="9D9A90C6"/>
    <w:lvl w:ilvl="0" w:tplc="4D004F0A">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nsid w:val="34DA3C92"/>
    <w:multiLevelType w:val="hybridMultilevel"/>
    <w:tmpl w:val="E99A5E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7476605"/>
    <w:multiLevelType w:val="hybridMultilevel"/>
    <w:tmpl w:val="4DD084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ACE32B0"/>
    <w:multiLevelType w:val="hybridMultilevel"/>
    <w:tmpl w:val="B0F67EF4"/>
    <w:lvl w:ilvl="0" w:tplc="080A0011">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9">
    <w:nsid w:val="424F0607"/>
    <w:multiLevelType w:val="hybridMultilevel"/>
    <w:tmpl w:val="E00AA1DE"/>
    <w:lvl w:ilvl="0" w:tplc="C048FA4C">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20">
    <w:nsid w:val="457F5350"/>
    <w:multiLevelType w:val="hybridMultilevel"/>
    <w:tmpl w:val="E2B87136"/>
    <w:lvl w:ilvl="0" w:tplc="BDE0E32E">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1">
    <w:nsid w:val="46B66475"/>
    <w:multiLevelType w:val="hybridMultilevel"/>
    <w:tmpl w:val="4F34D35C"/>
    <w:lvl w:ilvl="0" w:tplc="55AAE1BA">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2">
    <w:nsid w:val="48B913FB"/>
    <w:multiLevelType w:val="hybridMultilevel"/>
    <w:tmpl w:val="89EE1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E351AA7"/>
    <w:multiLevelType w:val="hybridMultilevel"/>
    <w:tmpl w:val="2020D5A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EFE1D69"/>
    <w:multiLevelType w:val="hybridMultilevel"/>
    <w:tmpl w:val="0C5211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74719FE"/>
    <w:multiLevelType w:val="hybridMultilevel"/>
    <w:tmpl w:val="3336ECC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8F74677"/>
    <w:multiLevelType w:val="hybridMultilevel"/>
    <w:tmpl w:val="173E1CB0"/>
    <w:lvl w:ilvl="0" w:tplc="04090013">
      <w:start w:val="1"/>
      <w:numFmt w:val="upperRoman"/>
      <w:lvlText w:val="%1."/>
      <w:lvlJc w:val="righ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7">
    <w:nsid w:val="624A0971"/>
    <w:multiLevelType w:val="hybridMultilevel"/>
    <w:tmpl w:val="DBA61D5C"/>
    <w:lvl w:ilvl="0" w:tplc="7A347EE0">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8">
    <w:nsid w:val="6C8170E7"/>
    <w:multiLevelType w:val="hybridMultilevel"/>
    <w:tmpl w:val="5D3A140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30">
    <w:nsid w:val="741D5266"/>
    <w:multiLevelType w:val="hybridMultilevel"/>
    <w:tmpl w:val="4DD084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91B4091"/>
    <w:multiLevelType w:val="hybridMultilevel"/>
    <w:tmpl w:val="4DD084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B74685C"/>
    <w:multiLevelType w:val="hybridMultilevel"/>
    <w:tmpl w:val="88EAFEDE"/>
    <w:lvl w:ilvl="0" w:tplc="122A2BB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num w:numId="1">
    <w:abstractNumId w:val="6"/>
  </w:num>
  <w:num w:numId="2">
    <w:abstractNumId w:val="29"/>
  </w:num>
  <w:num w:numId="3">
    <w:abstractNumId w:val="4"/>
  </w:num>
  <w:num w:numId="4">
    <w:abstractNumId w:val="11"/>
  </w:num>
  <w:num w:numId="5">
    <w:abstractNumId w:val="28"/>
  </w:num>
  <w:num w:numId="6">
    <w:abstractNumId w:val="9"/>
  </w:num>
  <w:num w:numId="7">
    <w:abstractNumId w:val="2"/>
  </w:num>
  <w:num w:numId="8">
    <w:abstractNumId w:val="0"/>
  </w:num>
  <w:num w:numId="9">
    <w:abstractNumId w:val="16"/>
  </w:num>
  <w:num w:numId="10">
    <w:abstractNumId w:val="14"/>
  </w:num>
  <w:num w:numId="11">
    <w:abstractNumId w:val="13"/>
  </w:num>
  <w:num w:numId="12">
    <w:abstractNumId w:val="18"/>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20"/>
  </w:num>
  <w:num w:numId="16">
    <w:abstractNumId w:val="27"/>
  </w:num>
  <w:num w:numId="17">
    <w:abstractNumId w:val="7"/>
  </w:num>
  <w:num w:numId="18">
    <w:abstractNumId w:val="23"/>
  </w:num>
  <w:num w:numId="19">
    <w:abstractNumId w:val="21"/>
  </w:num>
  <w:num w:numId="20">
    <w:abstractNumId w:val="32"/>
  </w:num>
  <w:num w:numId="21">
    <w:abstractNumId w:val="17"/>
  </w:num>
  <w:num w:numId="22">
    <w:abstractNumId w:val="26"/>
  </w:num>
  <w:num w:numId="23">
    <w:abstractNumId w:val="3"/>
  </w:num>
  <w:num w:numId="24">
    <w:abstractNumId w:val="12"/>
  </w:num>
  <w:num w:numId="25">
    <w:abstractNumId w:val="25"/>
  </w:num>
  <w:num w:numId="26">
    <w:abstractNumId w:val="8"/>
  </w:num>
  <w:num w:numId="27">
    <w:abstractNumId w:val="30"/>
  </w:num>
  <w:num w:numId="28">
    <w:abstractNumId w:val="31"/>
  </w:num>
  <w:num w:numId="29">
    <w:abstractNumId w:val="22"/>
  </w:num>
  <w:num w:numId="30">
    <w:abstractNumId w:val="10"/>
  </w:num>
  <w:num w:numId="31">
    <w:abstractNumId w:val="1"/>
  </w:num>
  <w:num w:numId="32">
    <w:abstractNumId w:val="5"/>
  </w:num>
  <w:num w:numId="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306A7"/>
    <w:rsid w:val="00044019"/>
    <w:rsid w:val="00045379"/>
    <w:rsid w:val="00045CFA"/>
    <w:rsid w:val="000526CD"/>
    <w:rsid w:val="00054BFC"/>
    <w:rsid w:val="00055224"/>
    <w:rsid w:val="00061821"/>
    <w:rsid w:val="000623F9"/>
    <w:rsid w:val="00063A10"/>
    <w:rsid w:val="000645F6"/>
    <w:rsid w:val="000662F8"/>
    <w:rsid w:val="00067A1B"/>
    <w:rsid w:val="000708DA"/>
    <w:rsid w:val="00073E78"/>
    <w:rsid w:val="00074433"/>
    <w:rsid w:val="00091131"/>
    <w:rsid w:val="00091552"/>
    <w:rsid w:val="00091C3A"/>
    <w:rsid w:val="00097EA3"/>
    <w:rsid w:val="000A0438"/>
    <w:rsid w:val="000A3486"/>
    <w:rsid w:val="000A41EC"/>
    <w:rsid w:val="000A5C16"/>
    <w:rsid w:val="000A79DA"/>
    <w:rsid w:val="000B40B6"/>
    <w:rsid w:val="000B4B51"/>
    <w:rsid w:val="000B5C57"/>
    <w:rsid w:val="000B7158"/>
    <w:rsid w:val="000C06AD"/>
    <w:rsid w:val="000C5B8B"/>
    <w:rsid w:val="000D1B55"/>
    <w:rsid w:val="000D1BBF"/>
    <w:rsid w:val="000D3C75"/>
    <w:rsid w:val="000E686B"/>
    <w:rsid w:val="00111BE1"/>
    <w:rsid w:val="00111DCD"/>
    <w:rsid w:val="00114CF9"/>
    <w:rsid w:val="0012305B"/>
    <w:rsid w:val="00124855"/>
    <w:rsid w:val="001254F5"/>
    <w:rsid w:val="00125AEA"/>
    <w:rsid w:val="00136FAD"/>
    <w:rsid w:val="001404C7"/>
    <w:rsid w:val="00146F0A"/>
    <w:rsid w:val="00152C2B"/>
    <w:rsid w:val="001634F5"/>
    <w:rsid w:val="00166E43"/>
    <w:rsid w:val="00175897"/>
    <w:rsid w:val="00180B9F"/>
    <w:rsid w:val="00181CC5"/>
    <w:rsid w:val="00192845"/>
    <w:rsid w:val="00193106"/>
    <w:rsid w:val="00193784"/>
    <w:rsid w:val="00193C2B"/>
    <w:rsid w:val="001A02EC"/>
    <w:rsid w:val="001A577E"/>
    <w:rsid w:val="001A7C9B"/>
    <w:rsid w:val="001B05B9"/>
    <w:rsid w:val="001B422A"/>
    <w:rsid w:val="001B4774"/>
    <w:rsid w:val="001B7B88"/>
    <w:rsid w:val="001C3D47"/>
    <w:rsid w:val="001C7319"/>
    <w:rsid w:val="001C7D87"/>
    <w:rsid w:val="001D10B1"/>
    <w:rsid w:val="001D3E87"/>
    <w:rsid w:val="001D7535"/>
    <w:rsid w:val="001F5FDE"/>
    <w:rsid w:val="0021501E"/>
    <w:rsid w:val="002205C0"/>
    <w:rsid w:val="00224007"/>
    <w:rsid w:val="002318BA"/>
    <w:rsid w:val="002325C3"/>
    <w:rsid w:val="0023373D"/>
    <w:rsid w:val="0023423C"/>
    <w:rsid w:val="00237625"/>
    <w:rsid w:val="00256DAB"/>
    <w:rsid w:val="002577FE"/>
    <w:rsid w:val="00273D0E"/>
    <w:rsid w:val="00274633"/>
    <w:rsid w:val="00276FE3"/>
    <w:rsid w:val="00287B4B"/>
    <w:rsid w:val="002906FA"/>
    <w:rsid w:val="00291377"/>
    <w:rsid w:val="002A2034"/>
    <w:rsid w:val="002A24F4"/>
    <w:rsid w:val="002A38BF"/>
    <w:rsid w:val="002A597E"/>
    <w:rsid w:val="002B5DBD"/>
    <w:rsid w:val="002C72D2"/>
    <w:rsid w:val="002E2051"/>
    <w:rsid w:val="002E2D7B"/>
    <w:rsid w:val="002E5285"/>
    <w:rsid w:val="002E5E6A"/>
    <w:rsid w:val="002F37BE"/>
    <w:rsid w:val="00300D0B"/>
    <w:rsid w:val="0030103F"/>
    <w:rsid w:val="003050C0"/>
    <w:rsid w:val="00305ACD"/>
    <w:rsid w:val="00306096"/>
    <w:rsid w:val="0031645D"/>
    <w:rsid w:val="00320A67"/>
    <w:rsid w:val="003272FB"/>
    <w:rsid w:val="00327839"/>
    <w:rsid w:val="00334417"/>
    <w:rsid w:val="003424F9"/>
    <w:rsid w:val="00361B9C"/>
    <w:rsid w:val="00376CEC"/>
    <w:rsid w:val="00380758"/>
    <w:rsid w:val="00382DCD"/>
    <w:rsid w:val="003913F0"/>
    <w:rsid w:val="00394A1E"/>
    <w:rsid w:val="003A0359"/>
    <w:rsid w:val="003A0B71"/>
    <w:rsid w:val="003A45B0"/>
    <w:rsid w:val="003A61F9"/>
    <w:rsid w:val="003B1E88"/>
    <w:rsid w:val="003B4E8A"/>
    <w:rsid w:val="003C10C4"/>
    <w:rsid w:val="003C6271"/>
    <w:rsid w:val="003D6E93"/>
    <w:rsid w:val="003E16E1"/>
    <w:rsid w:val="004012CF"/>
    <w:rsid w:val="00401A3B"/>
    <w:rsid w:val="00402FF3"/>
    <w:rsid w:val="004069EB"/>
    <w:rsid w:val="0041026D"/>
    <w:rsid w:val="00413BFA"/>
    <w:rsid w:val="00421BEE"/>
    <w:rsid w:val="00423213"/>
    <w:rsid w:val="0042416D"/>
    <w:rsid w:val="00437C8C"/>
    <w:rsid w:val="004443CA"/>
    <w:rsid w:val="00450BF1"/>
    <w:rsid w:val="004516EB"/>
    <w:rsid w:val="004529B6"/>
    <w:rsid w:val="00453DBD"/>
    <w:rsid w:val="00454B8B"/>
    <w:rsid w:val="00454CE6"/>
    <w:rsid w:val="00462881"/>
    <w:rsid w:val="00463CAC"/>
    <w:rsid w:val="00475F48"/>
    <w:rsid w:val="00477CC2"/>
    <w:rsid w:val="0048180A"/>
    <w:rsid w:val="00481C7A"/>
    <w:rsid w:val="00484C30"/>
    <w:rsid w:val="00490264"/>
    <w:rsid w:val="004906C8"/>
    <w:rsid w:val="00490AFE"/>
    <w:rsid w:val="004967E2"/>
    <w:rsid w:val="004A1841"/>
    <w:rsid w:val="004A290F"/>
    <w:rsid w:val="004A5FFD"/>
    <w:rsid w:val="004A7CE2"/>
    <w:rsid w:val="004B2F46"/>
    <w:rsid w:val="004B6D27"/>
    <w:rsid w:val="004C694D"/>
    <w:rsid w:val="004D001E"/>
    <w:rsid w:val="004D08EB"/>
    <w:rsid w:val="004E2371"/>
    <w:rsid w:val="004E6BE9"/>
    <w:rsid w:val="004F4B9D"/>
    <w:rsid w:val="00503655"/>
    <w:rsid w:val="00510629"/>
    <w:rsid w:val="00515090"/>
    <w:rsid w:val="00517889"/>
    <w:rsid w:val="005178BF"/>
    <w:rsid w:val="00521E57"/>
    <w:rsid w:val="005305EA"/>
    <w:rsid w:val="005335F0"/>
    <w:rsid w:val="005371E7"/>
    <w:rsid w:val="00540538"/>
    <w:rsid w:val="005467D8"/>
    <w:rsid w:val="005520FE"/>
    <w:rsid w:val="00556513"/>
    <w:rsid w:val="00562653"/>
    <w:rsid w:val="005733EB"/>
    <w:rsid w:val="00580802"/>
    <w:rsid w:val="00581A22"/>
    <w:rsid w:val="00593E91"/>
    <w:rsid w:val="005950AC"/>
    <w:rsid w:val="005A0B49"/>
    <w:rsid w:val="005A6D57"/>
    <w:rsid w:val="005B5B70"/>
    <w:rsid w:val="005B5F05"/>
    <w:rsid w:val="005B6501"/>
    <w:rsid w:val="005C6982"/>
    <w:rsid w:val="005D0B89"/>
    <w:rsid w:val="005D2B59"/>
    <w:rsid w:val="005D362F"/>
    <w:rsid w:val="005D370F"/>
    <w:rsid w:val="005D4FA2"/>
    <w:rsid w:val="005E4D7C"/>
    <w:rsid w:val="005F048E"/>
    <w:rsid w:val="005F57F0"/>
    <w:rsid w:val="0060599F"/>
    <w:rsid w:val="0061042F"/>
    <w:rsid w:val="00612AEF"/>
    <w:rsid w:val="006168E4"/>
    <w:rsid w:val="00637512"/>
    <w:rsid w:val="00640EE4"/>
    <w:rsid w:val="006422F1"/>
    <w:rsid w:val="006466F5"/>
    <w:rsid w:val="00661753"/>
    <w:rsid w:val="006618FA"/>
    <w:rsid w:val="00665D1F"/>
    <w:rsid w:val="00667BFB"/>
    <w:rsid w:val="00671E9F"/>
    <w:rsid w:val="00676562"/>
    <w:rsid w:val="006770F7"/>
    <w:rsid w:val="006848B7"/>
    <w:rsid w:val="006A5E22"/>
    <w:rsid w:val="006B1953"/>
    <w:rsid w:val="006B1BF1"/>
    <w:rsid w:val="006B26E3"/>
    <w:rsid w:val="006B7444"/>
    <w:rsid w:val="006C1270"/>
    <w:rsid w:val="006C4C48"/>
    <w:rsid w:val="006C5027"/>
    <w:rsid w:val="006D23FC"/>
    <w:rsid w:val="006D2889"/>
    <w:rsid w:val="006D2AFA"/>
    <w:rsid w:val="006D7DA2"/>
    <w:rsid w:val="006F1E9C"/>
    <w:rsid w:val="00701033"/>
    <w:rsid w:val="00703F5E"/>
    <w:rsid w:val="00717682"/>
    <w:rsid w:val="00735A76"/>
    <w:rsid w:val="00744EEF"/>
    <w:rsid w:val="007514B3"/>
    <w:rsid w:val="007530B8"/>
    <w:rsid w:val="00753FC3"/>
    <w:rsid w:val="00754CAE"/>
    <w:rsid w:val="00761E3F"/>
    <w:rsid w:val="007733B3"/>
    <w:rsid w:val="007851D5"/>
    <w:rsid w:val="0079486A"/>
    <w:rsid w:val="00794F80"/>
    <w:rsid w:val="00797915"/>
    <w:rsid w:val="007A1C9E"/>
    <w:rsid w:val="007A63C4"/>
    <w:rsid w:val="007B2C77"/>
    <w:rsid w:val="007C3D3B"/>
    <w:rsid w:val="007C7E1F"/>
    <w:rsid w:val="007D1A27"/>
    <w:rsid w:val="007D1B24"/>
    <w:rsid w:val="007D1F15"/>
    <w:rsid w:val="007D25B1"/>
    <w:rsid w:val="007D2878"/>
    <w:rsid w:val="007E0F05"/>
    <w:rsid w:val="007E34C9"/>
    <w:rsid w:val="007E7BAB"/>
    <w:rsid w:val="007E7DCE"/>
    <w:rsid w:val="007F069D"/>
    <w:rsid w:val="007F20AC"/>
    <w:rsid w:val="00802C56"/>
    <w:rsid w:val="00804875"/>
    <w:rsid w:val="00810A1B"/>
    <w:rsid w:val="00811205"/>
    <w:rsid w:val="00812C48"/>
    <w:rsid w:val="008146AB"/>
    <w:rsid w:val="008146F9"/>
    <w:rsid w:val="00814DAF"/>
    <w:rsid w:val="00815811"/>
    <w:rsid w:val="008223E4"/>
    <w:rsid w:val="00822B2E"/>
    <w:rsid w:val="00822BF8"/>
    <w:rsid w:val="00824DCD"/>
    <w:rsid w:val="00832AA2"/>
    <w:rsid w:val="00840EE6"/>
    <w:rsid w:val="00844569"/>
    <w:rsid w:val="00847D23"/>
    <w:rsid w:val="008531BC"/>
    <w:rsid w:val="00863327"/>
    <w:rsid w:val="00870F44"/>
    <w:rsid w:val="00873D34"/>
    <w:rsid w:val="008837A3"/>
    <w:rsid w:val="00884054"/>
    <w:rsid w:val="00895089"/>
    <w:rsid w:val="008951ED"/>
    <w:rsid w:val="008A72B8"/>
    <w:rsid w:val="008A75BE"/>
    <w:rsid w:val="008B5A19"/>
    <w:rsid w:val="008C32A8"/>
    <w:rsid w:val="008C55A3"/>
    <w:rsid w:val="008E6375"/>
    <w:rsid w:val="008F4C65"/>
    <w:rsid w:val="00905422"/>
    <w:rsid w:val="00907ABA"/>
    <w:rsid w:val="00913133"/>
    <w:rsid w:val="0091561E"/>
    <w:rsid w:val="00921DB9"/>
    <w:rsid w:val="00923D67"/>
    <w:rsid w:val="0092403D"/>
    <w:rsid w:val="00931D99"/>
    <w:rsid w:val="0093268E"/>
    <w:rsid w:val="009402DB"/>
    <w:rsid w:val="009449B8"/>
    <w:rsid w:val="00944DC9"/>
    <w:rsid w:val="009516AF"/>
    <w:rsid w:val="009611E0"/>
    <w:rsid w:val="00963110"/>
    <w:rsid w:val="009646CE"/>
    <w:rsid w:val="00965FEE"/>
    <w:rsid w:val="0096643B"/>
    <w:rsid w:val="009706B5"/>
    <w:rsid w:val="00972BDF"/>
    <w:rsid w:val="0097387E"/>
    <w:rsid w:val="0098182D"/>
    <w:rsid w:val="00982870"/>
    <w:rsid w:val="00985BB8"/>
    <w:rsid w:val="00993310"/>
    <w:rsid w:val="009A31ED"/>
    <w:rsid w:val="009A3E4D"/>
    <w:rsid w:val="009A686F"/>
    <w:rsid w:val="009B33A8"/>
    <w:rsid w:val="009B3487"/>
    <w:rsid w:val="009B7671"/>
    <w:rsid w:val="009B7C61"/>
    <w:rsid w:val="009C3793"/>
    <w:rsid w:val="009C3EFE"/>
    <w:rsid w:val="009E1411"/>
    <w:rsid w:val="009E52F2"/>
    <w:rsid w:val="009F3C1F"/>
    <w:rsid w:val="009F5F36"/>
    <w:rsid w:val="009F614E"/>
    <w:rsid w:val="009F762B"/>
    <w:rsid w:val="00A00128"/>
    <w:rsid w:val="00A02047"/>
    <w:rsid w:val="00A036BE"/>
    <w:rsid w:val="00A0437F"/>
    <w:rsid w:val="00A10A14"/>
    <w:rsid w:val="00A12205"/>
    <w:rsid w:val="00A17B19"/>
    <w:rsid w:val="00A43C76"/>
    <w:rsid w:val="00A453DC"/>
    <w:rsid w:val="00A625E2"/>
    <w:rsid w:val="00A631E4"/>
    <w:rsid w:val="00A72465"/>
    <w:rsid w:val="00A80C92"/>
    <w:rsid w:val="00A82461"/>
    <w:rsid w:val="00A851D8"/>
    <w:rsid w:val="00A953BA"/>
    <w:rsid w:val="00A965C0"/>
    <w:rsid w:val="00AA2D50"/>
    <w:rsid w:val="00AA5D62"/>
    <w:rsid w:val="00AB3710"/>
    <w:rsid w:val="00AB4B0F"/>
    <w:rsid w:val="00AB6A7C"/>
    <w:rsid w:val="00AB6C3B"/>
    <w:rsid w:val="00AC1CCD"/>
    <w:rsid w:val="00AD0169"/>
    <w:rsid w:val="00AD0735"/>
    <w:rsid w:val="00AE008F"/>
    <w:rsid w:val="00AF56CA"/>
    <w:rsid w:val="00B0119E"/>
    <w:rsid w:val="00B11E08"/>
    <w:rsid w:val="00B16715"/>
    <w:rsid w:val="00B3152E"/>
    <w:rsid w:val="00B32CD3"/>
    <w:rsid w:val="00B35A93"/>
    <w:rsid w:val="00B35CCD"/>
    <w:rsid w:val="00B3672D"/>
    <w:rsid w:val="00B4547B"/>
    <w:rsid w:val="00B46164"/>
    <w:rsid w:val="00B46511"/>
    <w:rsid w:val="00B4745C"/>
    <w:rsid w:val="00B57B63"/>
    <w:rsid w:val="00B60999"/>
    <w:rsid w:val="00B82685"/>
    <w:rsid w:val="00B84AEB"/>
    <w:rsid w:val="00B9223B"/>
    <w:rsid w:val="00B9564F"/>
    <w:rsid w:val="00BA1562"/>
    <w:rsid w:val="00BA4D1F"/>
    <w:rsid w:val="00BA7AD1"/>
    <w:rsid w:val="00BB2250"/>
    <w:rsid w:val="00BB3D44"/>
    <w:rsid w:val="00BC0343"/>
    <w:rsid w:val="00BC0FDD"/>
    <w:rsid w:val="00BC1226"/>
    <w:rsid w:val="00BC135D"/>
    <w:rsid w:val="00BC22E0"/>
    <w:rsid w:val="00BE28ED"/>
    <w:rsid w:val="00C06DDC"/>
    <w:rsid w:val="00C1315A"/>
    <w:rsid w:val="00C25084"/>
    <w:rsid w:val="00C52B5F"/>
    <w:rsid w:val="00C54258"/>
    <w:rsid w:val="00C5546E"/>
    <w:rsid w:val="00C71CD1"/>
    <w:rsid w:val="00C73143"/>
    <w:rsid w:val="00C77685"/>
    <w:rsid w:val="00C77815"/>
    <w:rsid w:val="00C8270D"/>
    <w:rsid w:val="00C85378"/>
    <w:rsid w:val="00C9297C"/>
    <w:rsid w:val="00C95EC0"/>
    <w:rsid w:val="00CA0F7F"/>
    <w:rsid w:val="00CA6FDA"/>
    <w:rsid w:val="00CB0EA0"/>
    <w:rsid w:val="00CB3B6F"/>
    <w:rsid w:val="00CB448E"/>
    <w:rsid w:val="00CB61E2"/>
    <w:rsid w:val="00CC0C5F"/>
    <w:rsid w:val="00CC2F3D"/>
    <w:rsid w:val="00CC5FF3"/>
    <w:rsid w:val="00CD43A6"/>
    <w:rsid w:val="00CD7EC4"/>
    <w:rsid w:val="00CE2ADF"/>
    <w:rsid w:val="00CF1D7D"/>
    <w:rsid w:val="00CF45D3"/>
    <w:rsid w:val="00CF6B6C"/>
    <w:rsid w:val="00D0297D"/>
    <w:rsid w:val="00D042BB"/>
    <w:rsid w:val="00D06CA0"/>
    <w:rsid w:val="00D07AB0"/>
    <w:rsid w:val="00D13F19"/>
    <w:rsid w:val="00D17789"/>
    <w:rsid w:val="00D21565"/>
    <w:rsid w:val="00D2737E"/>
    <w:rsid w:val="00D274A9"/>
    <w:rsid w:val="00D320DC"/>
    <w:rsid w:val="00D32644"/>
    <w:rsid w:val="00D33619"/>
    <w:rsid w:val="00D422B1"/>
    <w:rsid w:val="00D52AC7"/>
    <w:rsid w:val="00D53A1D"/>
    <w:rsid w:val="00D54CA9"/>
    <w:rsid w:val="00D6340F"/>
    <w:rsid w:val="00D67CEA"/>
    <w:rsid w:val="00D72D16"/>
    <w:rsid w:val="00D8195B"/>
    <w:rsid w:val="00D8619F"/>
    <w:rsid w:val="00D86764"/>
    <w:rsid w:val="00D8679D"/>
    <w:rsid w:val="00D9380B"/>
    <w:rsid w:val="00DA279C"/>
    <w:rsid w:val="00DB5C0A"/>
    <w:rsid w:val="00DB6202"/>
    <w:rsid w:val="00DC5234"/>
    <w:rsid w:val="00DD13E2"/>
    <w:rsid w:val="00DD1D36"/>
    <w:rsid w:val="00DF003C"/>
    <w:rsid w:val="00DF01C4"/>
    <w:rsid w:val="00DF4501"/>
    <w:rsid w:val="00DF78AE"/>
    <w:rsid w:val="00E04E58"/>
    <w:rsid w:val="00E11E2E"/>
    <w:rsid w:val="00E371EC"/>
    <w:rsid w:val="00E42379"/>
    <w:rsid w:val="00E47CDB"/>
    <w:rsid w:val="00E51DBB"/>
    <w:rsid w:val="00E6210F"/>
    <w:rsid w:val="00E71EB6"/>
    <w:rsid w:val="00E72AE3"/>
    <w:rsid w:val="00E73B51"/>
    <w:rsid w:val="00E741AB"/>
    <w:rsid w:val="00E920B9"/>
    <w:rsid w:val="00E96117"/>
    <w:rsid w:val="00EA1F89"/>
    <w:rsid w:val="00EA4BB7"/>
    <w:rsid w:val="00EB117B"/>
    <w:rsid w:val="00EB40D6"/>
    <w:rsid w:val="00EB46EE"/>
    <w:rsid w:val="00EB5F75"/>
    <w:rsid w:val="00EB79CD"/>
    <w:rsid w:val="00EC2486"/>
    <w:rsid w:val="00EC7A5E"/>
    <w:rsid w:val="00ED14DB"/>
    <w:rsid w:val="00EE0F2E"/>
    <w:rsid w:val="00EE1ED1"/>
    <w:rsid w:val="00EE2A41"/>
    <w:rsid w:val="00EF09FB"/>
    <w:rsid w:val="00EF6971"/>
    <w:rsid w:val="00F02319"/>
    <w:rsid w:val="00F02923"/>
    <w:rsid w:val="00F0351B"/>
    <w:rsid w:val="00F0602C"/>
    <w:rsid w:val="00F06472"/>
    <w:rsid w:val="00F22566"/>
    <w:rsid w:val="00F22963"/>
    <w:rsid w:val="00F403EA"/>
    <w:rsid w:val="00F42753"/>
    <w:rsid w:val="00F510DB"/>
    <w:rsid w:val="00F574F9"/>
    <w:rsid w:val="00F727B0"/>
    <w:rsid w:val="00F7496A"/>
    <w:rsid w:val="00FA2545"/>
    <w:rsid w:val="00FB2338"/>
    <w:rsid w:val="00FB4AAD"/>
    <w:rsid w:val="00FB4E3D"/>
    <w:rsid w:val="00FB5F2A"/>
    <w:rsid w:val="00FC3D86"/>
    <w:rsid w:val="00FC4F9B"/>
    <w:rsid w:val="00FC59F0"/>
    <w:rsid w:val="00FD160F"/>
    <w:rsid w:val="00FD4599"/>
    <w:rsid w:val="00FD4784"/>
    <w:rsid w:val="00FD65FE"/>
    <w:rsid w:val="00FE080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78DDD2"/>
  <w15:chartTrackingRefBased/>
  <w15:docId w15:val="{24448515-A893-4F86-81BD-43151A22E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502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paragraph" w:customStyle="1" w:styleId="INFOEM">
    <w:name w:val="INFOEM"/>
    <w:basedOn w:val="Normal"/>
    <w:qFormat/>
    <w:rsid w:val="006C5027"/>
    <w:pPr>
      <w:spacing w:before="240" w:line="360" w:lineRule="auto"/>
      <w:ind w:left="851" w:right="851"/>
      <w:jc w:val="both"/>
    </w:pPr>
    <w:rPr>
      <w:rFonts w:ascii="Palatino Linotype" w:hAnsi="Palatino Linotype" w:cs="Arial"/>
      <w:i/>
    </w:rPr>
  </w:style>
  <w:style w:type="character" w:styleId="Refdecomentario">
    <w:name w:val="annotation reference"/>
    <w:basedOn w:val="Fuentedeprrafopredeter"/>
    <w:uiPriority w:val="99"/>
    <w:semiHidden/>
    <w:unhideWhenUsed/>
    <w:rsid w:val="007E0F05"/>
    <w:rPr>
      <w:sz w:val="16"/>
      <w:szCs w:val="16"/>
    </w:rPr>
  </w:style>
  <w:style w:type="paragraph" w:styleId="Textocomentario">
    <w:name w:val="annotation text"/>
    <w:basedOn w:val="Normal"/>
    <w:link w:val="TextocomentarioCar"/>
    <w:uiPriority w:val="99"/>
    <w:semiHidden/>
    <w:unhideWhenUsed/>
    <w:rsid w:val="007E0F0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E0F05"/>
    <w:rPr>
      <w:sz w:val="20"/>
      <w:szCs w:val="20"/>
    </w:rPr>
  </w:style>
  <w:style w:type="paragraph" w:styleId="Asuntodelcomentario">
    <w:name w:val="annotation subject"/>
    <w:basedOn w:val="Textocomentario"/>
    <w:next w:val="Textocomentario"/>
    <w:link w:val="AsuntodelcomentarioCar"/>
    <w:uiPriority w:val="99"/>
    <w:semiHidden/>
    <w:unhideWhenUsed/>
    <w:rsid w:val="007E0F05"/>
    <w:rPr>
      <w:b/>
      <w:bCs/>
    </w:rPr>
  </w:style>
  <w:style w:type="character" w:customStyle="1" w:styleId="AsuntodelcomentarioCar">
    <w:name w:val="Asunto del comentario Car"/>
    <w:basedOn w:val="TextocomentarioCar"/>
    <w:link w:val="Asuntodelcomentario"/>
    <w:uiPriority w:val="99"/>
    <w:semiHidden/>
    <w:rsid w:val="007E0F0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061666">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26573227">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71743765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17129286">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1)" TargetMode="Externa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3/lgt/indice/CDDIPUTADOS/art_92_ii_b.web"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consultas.ifai.org.mx/descargar.php?r=./pdf/resoluciones/2017/&amp;a=RRA%2022.pdf"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javascript:AbrirModal(2)" TargetMode="External"/><Relationship Id="rId14" Type="http://schemas.openxmlformats.org/officeDocument/2006/relationships/image" Target="media/image3.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E1A535-457B-466B-90AB-C036ECEAD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1066</TotalTime>
  <Pages>42</Pages>
  <Words>8505</Words>
  <Characters>46782</Characters>
  <Application>Microsoft Office Word</Application>
  <DocSecurity>0</DocSecurity>
  <Lines>389</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21</cp:revision>
  <cp:lastPrinted>2018-08-17T02:21:00Z</cp:lastPrinted>
  <dcterms:created xsi:type="dcterms:W3CDTF">2021-02-23T20:30:00Z</dcterms:created>
  <dcterms:modified xsi:type="dcterms:W3CDTF">2021-06-17T18:03:00Z</dcterms:modified>
</cp:coreProperties>
</file>